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92F31D" w14:textId="345AD606" w:rsidR="00383901" w:rsidRDefault="00383901" w:rsidP="00C57DE5">
      <w:pPr>
        <w:rPr>
          <w:b/>
        </w:rPr>
      </w:pPr>
    </w:p>
    <w:p w14:paraId="088544A1" w14:textId="1BD18118" w:rsidR="00383901" w:rsidRDefault="00D53AE7" w:rsidP="00C57DE5">
      <w:pPr>
        <w:rPr>
          <w:b/>
        </w:rPr>
      </w:pPr>
      <w:r>
        <w:rPr>
          <w:b/>
          <w:noProof/>
        </w:rPr>
        <w:drawing>
          <wp:anchor distT="0" distB="0" distL="114300" distR="114300" simplePos="0" relativeHeight="251669504" behindDoc="1" locked="0" layoutInCell="1" allowOverlap="1" wp14:anchorId="01679CC1" wp14:editId="4F52322F">
            <wp:simplePos x="0" y="0"/>
            <wp:positionH relativeFrom="margin">
              <wp:align>right</wp:align>
            </wp:positionH>
            <wp:positionV relativeFrom="paragraph">
              <wp:posOffset>11430</wp:posOffset>
            </wp:positionV>
            <wp:extent cx="1730375" cy="1356360"/>
            <wp:effectExtent l="0" t="0" r="3175" b="0"/>
            <wp:wrapTight wrapText="bothSides">
              <wp:wrapPolygon edited="0">
                <wp:start x="0" y="0"/>
                <wp:lineTo x="0" y="21236"/>
                <wp:lineTo x="21402" y="21236"/>
                <wp:lineTo x="21402"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exual_Rights_Initiative_Design file.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30375" cy="1356360"/>
                    </a:xfrm>
                    <a:prstGeom prst="rect">
                      <a:avLst/>
                    </a:prstGeom>
                  </pic:spPr>
                </pic:pic>
              </a:graphicData>
            </a:graphic>
            <wp14:sizeRelH relativeFrom="page">
              <wp14:pctWidth>0</wp14:pctWidth>
            </wp14:sizeRelH>
            <wp14:sizeRelV relativeFrom="page">
              <wp14:pctHeight>0</wp14:pctHeight>
            </wp14:sizeRelV>
          </wp:anchor>
        </w:drawing>
      </w:r>
      <w:r w:rsidRPr="008F08C7">
        <w:rPr>
          <w:b/>
          <w:noProof/>
          <w:lang w:eastAsia="en-CA"/>
        </w:rPr>
        <w:drawing>
          <wp:anchor distT="0" distB="0" distL="114300" distR="114300" simplePos="0" relativeHeight="251658240" behindDoc="0" locked="0" layoutInCell="1" allowOverlap="1" wp14:anchorId="062634C4" wp14:editId="56F34687">
            <wp:simplePos x="0" y="0"/>
            <wp:positionH relativeFrom="margin">
              <wp:align>left</wp:align>
            </wp:positionH>
            <wp:positionV relativeFrom="paragraph">
              <wp:posOffset>221615</wp:posOffset>
            </wp:positionV>
            <wp:extent cx="3819428" cy="100012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ction Canada_Logo-hi_EN.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819428" cy="1000125"/>
                    </a:xfrm>
                    <a:prstGeom prst="rect">
                      <a:avLst/>
                    </a:prstGeom>
                  </pic:spPr>
                </pic:pic>
              </a:graphicData>
            </a:graphic>
            <wp14:sizeRelH relativeFrom="page">
              <wp14:pctWidth>0</wp14:pctWidth>
            </wp14:sizeRelH>
            <wp14:sizeRelV relativeFrom="page">
              <wp14:pctHeight>0</wp14:pctHeight>
            </wp14:sizeRelV>
          </wp:anchor>
        </w:drawing>
      </w:r>
    </w:p>
    <w:p w14:paraId="7BA68497" w14:textId="250CC003" w:rsidR="00383901" w:rsidRDefault="00383901" w:rsidP="00C57DE5">
      <w:pPr>
        <w:rPr>
          <w:b/>
        </w:rPr>
      </w:pPr>
    </w:p>
    <w:p w14:paraId="752EEC08" w14:textId="2F26B5E8" w:rsidR="00D53AE7" w:rsidRDefault="00D53AE7" w:rsidP="00C57DE5">
      <w:pPr>
        <w:rPr>
          <w:b/>
        </w:rPr>
      </w:pPr>
    </w:p>
    <w:p w14:paraId="7B1D499D" w14:textId="77777777" w:rsidR="00D53AE7" w:rsidRDefault="00D53AE7" w:rsidP="00C57DE5">
      <w:pPr>
        <w:rPr>
          <w:b/>
        </w:rPr>
      </w:pPr>
    </w:p>
    <w:p w14:paraId="7315A058" w14:textId="71FCB4CB" w:rsidR="00A402B9" w:rsidRPr="008F08C7" w:rsidRDefault="00A402B9" w:rsidP="00C57DE5">
      <w:pPr>
        <w:rPr>
          <w:b/>
        </w:rPr>
      </w:pPr>
    </w:p>
    <w:p w14:paraId="1FB539B2" w14:textId="5A223C4B" w:rsidR="00D9243C" w:rsidRDefault="00AF5E92" w:rsidP="008F08C7">
      <w:pPr>
        <w:pStyle w:val="Title"/>
        <w:jc w:val="left"/>
        <w:rPr>
          <w:rFonts w:ascii="Gotham Rounded Bold" w:eastAsiaTheme="minorEastAsia" w:hAnsi="Gotham Rounded Bold" w:cstheme="minorBidi"/>
          <w:b/>
          <w:caps w:val="0"/>
          <w:color w:val="3E4752"/>
          <w:spacing w:val="0"/>
          <w:sz w:val="28"/>
          <w:szCs w:val="28"/>
        </w:rPr>
      </w:pPr>
      <w:r>
        <w:rPr>
          <w:rFonts w:ascii="Gotham Rounded Bold" w:eastAsiaTheme="minorEastAsia" w:hAnsi="Gotham Rounded Bold" w:cstheme="minorBidi"/>
          <w:b/>
          <w:caps w:val="0"/>
          <w:color w:val="3E4752"/>
          <w:spacing w:val="0"/>
          <w:sz w:val="28"/>
          <w:szCs w:val="28"/>
        </w:rPr>
        <w:t xml:space="preserve">Submission to the UN Committee on </w:t>
      </w:r>
      <w:r w:rsidR="002C03BF">
        <w:rPr>
          <w:rFonts w:ascii="Gotham Rounded Bold" w:eastAsiaTheme="minorEastAsia" w:hAnsi="Gotham Rounded Bold" w:cstheme="minorBidi"/>
          <w:b/>
          <w:caps w:val="0"/>
          <w:color w:val="3E4752"/>
          <w:spacing w:val="0"/>
          <w:sz w:val="28"/>
          <w:szCs w:val="28"/>
        </w:rPr>
        <w:t xml:space="preserve">Economic, Social and Cultural Rights </w:t>
      </w:r>
    </w:p>
    <w:p w14:paraId="6B54A510" w14:textId="51642A9F" w:rsidR="00082BA5" w:rsidRDefault="0089561E" w:rsidP="00C76399">
      <w:r>
        <w:t>6</w:t>
      </w:r>
      <w:r w:rsidR="00BD513E">
        <w:t>6</w:t>
      </w:r>
      <w:r w:rsidR="00BD513E" w:rsidRPr="00BD513E">
        <w:rPr>
          <w:vertAlign w:val="superscript"/>
        </w:rPr>
        <w:t>th</w:t>
      </w:r>
      <w:r w:rsidR="00BD513E">
        <w:t xml:space="preserve"> </w:t>
      </w:r>
      <w:r w:rsidR="00082BA5">
        <w:t>Pre-Sessional Working Group (</w:t>
      </w:r>
      <w:r>
        <w:t xml:space="preserve">March </w:t>
      </w:r>
      <w:proofErr w:type="gramStart"/>
      <w:r>
        <w:t>9-13</w:t>
      </w:r>
      <w:proofErr w:type="gramEnd"/>
      <w:r>
        <w:t xml:space="preserve"> </w:t>
      </w:r>
      <w:r w:rsidR="009A4A8A">
        <w:t>20</w:t>
      </w:r>
      <w:r>
        <w:t>20</w:t>
      </w:r>
      <w:r w:rsidR="00082BA5">
        <w:t xml:space="preserve">) </w:t>
      </w:r>
    </w:p>
    <w:p w14:paraId="38AF0DAF" w14:textId="0FBBF109" w:rsidR="00C76399" w:rsidRDefault="00C76399" w:rsidP="00C76399">
      <w:pPr>
        <w:rPr>
          <w:b/>
        </w:rPr>
      </w:pPr>
    </w:p>
    <w:p w14:paraId="381A928E" w14:textId="77777777" w:rsidR="00B460C7" w:rsidRDefault="00B460C7" w:rsidP="00C76399">
      <w:pPr>
        <w:rPr>
          <w:b/>
        </w:rPr>
      </w:pPr>
    </w:p>
    <w:p w14:paraId="117D84F3" w14:textId="68FD36E6" w:rsidR="004A7C00" w:rsidRDefault="004A7C00" w:rsidP="004A7C00">
      <w:pPr>
        <w:rPr>
          <w:b/>
        </w:rPr>
      </w:pPr>
    </w:p>
    <w:p w14:paraId="7E99E603" w14:textId="77777777" w:rsidR="00EE7F15" w:rsidRDefault="00EE7F15" w:rsidP="004A7C00">
      <w:pPr>
        <w:rPr>
          <w:b/>
        </w:rPr>
      </w:pPr>
    </w:p>
    <w:p w14:paraId="1762132E" w14:textId="77777777" w:rsidR="004A7C00" w:rsidRDefault="004A7C00" w:rsidP="004A7C00">
      <w:pPr>
        <w:spacing w:after="0"/>
        <w:rPr>
          <w:b/>
        </w:rPr>
      </w:pPr>
    </w:p>
    <w:p w14:paraId="28868854" w14:textId="77777777" w:rsidR="004A7C00" w:rsidRDefault="004A7C00" w:rsidP="004A7C00">
      <w:pPr>
        <w:spacing w:after="0"/>
        <w:rPr>
          <w:b/>
        </w:rPr>
      </w:pPr>
    </w:p>
    <w:p w14:paraId="7F2FFF7B" w14:textId="07F4533B" w:rsidR="004A7C00" w:rsidRDefault="004A7C00" w:rsidP="004A7C00">
      <w:pPr>
        <w:spacing w:after="0"/>
        <w:rPr>
          <w:b/>
        </w:rPr>
      </w:pPr>
    </w:p>
    <w:p w14:paraId="4329C624" w14:textId="34A32666" w:rsidR="0049656B" w:rsidRDefault="0049656B" w:rsidP="004A7C00">
      <w:pPr>
        <w:spacing w:after="0"/>
        <w:rPr>
          <w:b/>
        </w:rPr>
      </w:pPr>
    </w:p>
    <w:p w14:paraId="3456B93E" w14:textId="25EEFA0E" w:rsidR="000F7440" w:rsidRDefault="000F7440" w:rsidP="004A7C00">
      <w:pPr>
        <w:spacing w:after="0"/>
        <w:rPr>
          <w:b/>
        </w:rPr>
      </w:pPr>
    </w:p>
    <w:p w14:paraId="5BFBAA66" w14:textId="60C4F78D" w:rsidR="00CD2486" w:rsidRDefault="00CD2486" w:rsidP="004A7C00">
      <w:pPr>
        <w:spacing w:after="0"/>
        <w:rPr>
          <w:b/>
        </w:rPr>
      </w:pPr>
    </w:p>
    <w:p w14:paraId="0C65F07F" w14:textId="77777777" w:rsidR="00CD2486" w:rsidRDefault="00CD2486" w:rsidP="004A7C00">
      <w:pPr>
        <w:spacing w:after="0"/>
        <w:rPr>
          <w:b/>
        </w:rPr>
      </w:pPr>
    </w:p>
    <w:p w14:paraId="5FA33F0C" w14:textId="77777777" w:rsidR="000F7440" w:rsidRDefault="000F7440" w:rsidP="004A7C00">
      <w:pPr>
        <w:spacing w:after="0"/>
        <w:rPr>
          <w:b/>
        </w:rPr>
      </w:pPr>
    </w:p>
    <w:p w14:paraId="6F69133B" w14:textId="7E0D4F2C" w:rsidR="004A7C00" w:rsidRDefault="004A7C00" w:rsidP="004A7C00">
      <w:pPr>
        <w:spacing w:after="0"/>
        <w:rPr>
          <w:b/>
        </w:rPr>
      </w:pPr>
      <w:r>
        <w:rPr>
          <w:b/>
        </w:rPr>
        <w:t xml:space="preserve">Contact information: </w:t>
      </w:r>
    </w:p>
    <w:p w14:paraId="2D13C0E3" w14:textId="6F8FDC8C" w:rsidR="004A7C00" w:rsidRPr="007E6446" w:rsidRDefault="009A4A8A" w:rsidP="004A7C00">
      <w:pPr>
        <w:spacing w:after="0" w:line="240" w:lineRule="auto"/>
      </w:pPr>
      <w:r>
        <w:t xml:space="preserve">Sarah Kennell, Director of Government Relations </w:t>
      </w:r>
    </w:p>
    <w:p w14:paraId="69DB8114" w14:textId="77FFDBBB" w:rsidR="004A7C00" w:rsidRDefault="00357697" w:rsidP="004A7C00">
      <w:pPr>
        <w:spacing w:after="0" w:line="240" w:lineRule="auto"/>
        <w:rPr>
          <w:rStyle w:val="Hyperlink"/>
        </w:rPr>
      </w:pPr>
      <w:hyperlink r:id="rId10" w:history="1">
        <w:r w:rsidR="009A4A8A" w:rsidRPr="00724D7E">
          <w:rPr>
            <w:rStyle w:val="Hyperlink"/>
          </w:rPr>
          <w:t>Sarah@actioncanadashr.org</w:t>
        </w:r>
      </w:hyperlink>
      <w:r w:rsidR="009A4A8A">
        <w:rPr>
          <w:rStyle w:val="Hyperlink"/>
        </w:rPr>
        <w:t xml:space="preserve"> </w:t>
      </w:r>
    </w:p>
    <w:p w14:paraId="659016F7" w14:textId="77777777" w:rsidR="005D4F53" w:rsidRDefault="005D4F53" w:rsidP="004A7C00">
      <w:pPr>
        <w:spacing w:after="0" w:line="240" w:lineRule="auto"/>
        <w:rPr>
          <w:rStyle w:val="Hyperlink"/>
        </w:rPr>
      </w:pPr>
    </w:p>
    <w:p w14:paraId="2D9D9EBA" w14:textId="198D8766" w:rsidR="005D4F53" w:rsidRPr="00A27070" w:rsidRDefault="005D4F53" w:rsidP="004A7C00">
      <w:pPr>
        <w:spacing w:after="0" w:line="240" w:lineRule="auto"/>
        <w:rPr>
          <w:rStyle w:val="Hyperlink"/>
          <w:color w:val="auto"/>
          <w:u w:val="none"/>
        </w:rPr>
      </w:pPr>
      <w:r w:rsidRPr="00A27070">
        <w:rPr>
          <w:rStyle w:val="Hyperlink"/>
          <w:color w:val="auto"/>
          <w:u w:val="none"/>
        </w:rPr>
        <w:t>Juan S. Jaime P., Advocacy advisor for treaty monitoring bodies</w:t>
      </w:r>
    </w:p>
    <w:p w14:paraId="799B7E35" w14:textId="41BEF02D" w:rsidR="005D4F53" w:rsidRPr="007E6446" w:rsidRDefault="00357697" w:rsidP="004A7C00">
      <w:pPr>
        <w:spacing w:after="0" w:line="240" w:lineRule="auto"/>
      </w:pPr>
      <w:hyperlink r:id="rId11" w:history="1">
        <w:r w:rsidR="005D4F53" w:rsidRPr="00776862">
          <w:rPr>
            <w:rStyle w:val="Hyperlink"/>
          </w:rPr>
          <w:t>juan@srigeneva.com</w:t>
        </w:r>
      </w:hyperlink>
      <w:r w:rsidR="005D4F53">
        <w:rPr>
          <w:rStyle w:val="Hyperlink"/>
        </w:rPr>
        <w:t xml:space="preserve"> </w:t>
      </w:r>
    </w:p>
    <w:p w14:paraId="51CA04D5" w14:textId="6AF19887" w:rsidR="004C376D" w:rsidRDefault="004C376D" w:rsidP="00EE7F15">
      <w:pPr>
        <w:pStyle w:val="Subtitle"/>
        <w:jc w:val="left"/>
        <w:rPr>
          <w:rFonts w:ascii="Gotham Rounded Bold" w:hAnsi="Gotham Rounded Bold"/>
          <w:b/>
          <w:color w:val="E26F54"/>
          <w:sz w:val="22"/>
          <w:szCs w:val="22"/>
        </w:rPr>
      </w:pPr>
    </w:p>
    <w:p w14:paraId="51757245" w14:textId="21ADAB64" w:rsidR="00971AD4" w:rsidRDefault="00971AD4" w:rsidP="00971AD4"/>
    <w:p w14:paraId="1E94EB81" w14:textId="77777777" w:rsidR="00971AD4" w:rsidRPr="00971AD4" w:rsidRDefault="00971AD4" w:rsidP="00971AD4"/>
    <w:p w14:paraId="711A0D21" w14:textId="178E867C" w:rsidR="00EE7F15" w:rsidRDefault="00EE7F15" w:rsidP="00EE7F15">
      <w:pPr>
        <w:pStyle w:val="Subtitle"/>
        <w:jc w:val="left"/>
        <w:rPr>
          <w:rFonts w:ascii="Gotham Rounded Bold" w:hAnsi="Gotham Rounded Bold"/>
          <w:color w:val="3E4752"/>
          <w:sz w:val="22"/>
          <w:szCs w:val="22"/>
        </w:rPr>
      </w:pPr>
      <w:r w:rsidRPr="008F08C7">
        <w:rPr>
          <w:rFonts w:ascii="Gotham Rounded Bold" w:hAnsi="Gotham Rounded Bold"/>
          <w:b/>
          <w:color w:val="E26F54"/>
          <w:sz w:val="22"/>
          <w:szCs w:val="22"/>
        </w:rPr>
        <w:lastRenderedPageBreak/>
        <w:t>Action Canada for Sexual Health &amp; Righ</w:t>
      </w:r>
      <w:r w:rsidRPr="00051E79">
        <w:rPr>
          <w:rFonts w:ascii="Gotham Rounded Bold" w:hAnsi="Gotham Rounded Bold"/>
          <w:b/>
          <w:color w:val="E26F54"/>
          <w:sz w:val="22"/>
          <w:szCs w:val="22"/>
        </w:rPr>
        <w:t>ts</w:t>
      </w:r>
      <w:r w:rsidRPr="008F08C7">
        <w:rPr>
          <w:rFonts w:ascii="Gotham Rounded Bold" w:hAnsi="Gotham Rounded Bold"/>
          <w:color w:val="3E4752"/>
          <w:sz w:val="22"/>
          <w:szCs w:val="22"/>
        </w:rPr>
        <w:t xml:space="preserve"> is a progressive, pro-choice charitable organization committed to advancing and upholding sexual and reproductive health and rights in Canada and globally. </w:t>
      </w:r>
    </w:p>
    <w:p w14:paraId="4FB4F617" w14:textId="21132CFA" w:rsidR="000C2144" w:rsidRPr="000C2144" w:rsidRDefault="00D03EBF" w:rsidP="000C2144">
      <w:r>
        <w:rPr>
          <w:rFonts w:ascii="Gotham Rounded Bold" w:hAnsi="Gotham Rounded Bold"/>
          <w:b/>
          <w:color w:val="E26F54"/>
          <w:szCs w:val="22"/>
        </w:rPr>
        <w:t xml:space="preserve">Sexual Rights Initiative </w:t>
      </w:r>
      <w:r w:rsidR="000C2144" w:rsidRPr="008F08C7">
        <w:rPr>
          <w:rFonts w:ascii="Gotham Rounded Bold" w:hAnsi="Gotham Rounded Bold"/>
          <w:szCs w:val="22"/>
        </w:rPr>
        <w:t xml:space="preserve">is a </w:t>
      </w:r>
      <w:r>
        <w:rPr>
          <w:rFonts w:ascii="Gotham Rounded Bold" w:hAnsi="Gotham Rounded Bold"/>
          <w:szCs w:val="22"/>
        </w:rPr>
        <w:t>coalition of national and regional organizations based in Canada, Poland, India, Argentina</w:t>
      </w:r>
      <w:r w:rsidR="001C5CE6">
        <w:rPr>
          <w:rFonts w:ascii="Gotham Rounded Bold" w:hAnsi="Gotham Rounded Bold"/>
          <w:szCs w:val="22"/>
        </w:rPr>
        <w:t>,</w:t>
      </w:r>
      <w:r>
        <w:rPr>
          <w:rFonts w:ascii="Gotham Rounded Bold" w:hAnsi="Gotham Rounded Bold"/>
          <w:szCs w:val="22"/>
        </w:rPr>
        <w:t xml:space="preserve"> and South Africa that work together to advance human rights related to sexuality at the United Nations. </w:t>
      </w:r>
    </w:p>
    <w:p w14:paraId="4D996360" w14:textId="54E08551" w:rsidR="00C76399" w:rsidRDefault="00C76399" w:rsidP="00C76399">
      <w:r>
        <w:rPr>
          <w:rStyle w:val="Heading2Char"/>
          <w:b/>
        </w:rPr>
        <w:t xml:space="preserve">Key words: </w:t>
      </w:r>
      <w:r w:rsidRPr="00C76399">
        <w:t xml:space="preserve">right to </w:t>
      </w:r>
      <w:r w:rsidR="00E3358A">
        <w:t xml:space="preserve">education, comprehensive sexuality education, right to </w:t>
      </w:r>
      <w:r w:rsidRPr="00C76399">
        <w:t xml:space="preserve">health, </w:t>
      </w:r>
      <w:r>
        <w:t xml:space="preserve">access to abortion, </w:t>
      </w:r>
      <w:r w:rsidR="00E3358A">
        <w:t xml:space="preserve">forced sterilization, </w:t>
      </w:r>
      <w:r w:rsidR="00601B92">
        <w:t>sex work</w:t>
      </w:r>
      <w:r w:rsidR="00E67DA9">
        <w:t xml:space="preserve">. </w:t>
      </w:r>
      <w:r>
        <w:t xml:space="preserve"> </w:t>
      </w:r>
    </w:p>
    <w:p w14:paraId="06F5B624" w14:textId="1E6BBAEE" w:rsidR="008D0E08" w:rsidRDefault="008D0E08" w:rsidP="008D0E08">
      <w:pPr>
        <w:pStyle w:val="Heading1"/>
      </w:pPr>
      <w:r>
        <w:t xml:space="preserve">Introduction </w:t>
      </w:r>
    </w:p>
    <w:p w14:paraId="2D6E0E21" w14:textId="2FED3BFE" w:rsidR="00AE07D6" w:rsidRPr="008651DA" w:rsidRDefault="00AE07D6" w:rsidP="00732750">
      <w:pPr>
        <w:pStyle w:val="ListParagraph"/>
        <w:numPr>
          <w:ilvl w:val="0"/>
          <w:numId w:val="4"/>
        </w:numPr>
      </w:pPr>
      <w:r w:rsidRPr="008651DA">
        <w:t xml:space="preserve">This report is submitted by Action Canada for Sexual Health and Rights </w:t>
      </w:r>
      <w:r w:rsidR="00EF576B">
        <w:t xml:space="preserve">and the Sexual Rights Initiative </w:t>
      </w:r>
      <w:r w:rsidRPr="008651DA">
        <w:t xml:space="preserve">in advance of Canada’s review during the </w:t>
      </w:r>
      <w:r w:rsidR="00166F9C">
        <w:t>6</w:t>
      </w:r>
      <w:r w:rsidR="00FB4EE9" w:rsidRPr="008651DA">
        <w:t xml:space="preserve">6th </w:t>
      </w:r>
      <w:r w:rsidRPr="008651DA">
        <w:t xml:space="preserve">Pre-Sessional working group of the UN Committee on </w:t>
      </w:r>
      <w:r w:rsidR="00166F9C">
        <w:t>Economic, Social and Cultural Rights</w:t>
      </w:r>
      <w:r w:rsidR="001C5CE6">
        <w:t xml:space="preserve"> (CESCR)</w:t>
      </w:r>
      <w:r w:rsidRPr="008651DA">
        <w:t xml:space="preserve">, taking place </w:t>
      </w:r>
      <w:r w:rsidR="00166F9C">
        <w:t xml:space="preserve">March 9 to 13 </w:t>
      </w:r>
      <w:r w:rsidRPr="008651DA">
        <w:t>20</w:t>
      </w:r>
      <w:r w:rsidR="00166F9C">
        <w:t>20</w:t>
      </w:r>
      <w:r w:rsidRPr="008651DA">
        <w:t xml:space="preserve">, during which the </w:t>
      </w:r>
      <w:r w:rsidR="002F150A" w:rsidRPr="008651DA">
        <w:t>L</w:t>
      </w:r>
      <w:r w:rsidRPr="008651DA">
        <w:t xml:space="preserve">ist of </w:t>
      </w:r>
      <w:r w:rsidR="002F150A" w:rsidRPr="008651DA">
        <w:t>I</w:t>
      </w:r>
      <w:r w:rsidRPr="008651DA">
        <w:t>ssues will be adopted. The report examines violations of articles</w:t>
      </w:r>
      <w:r w:rsidR="00624E32" w:rsidRPr="008651DA">
        <w:t xml:space="preserve"> </w:t>
      </w:r>
      <w:r w:rsidR="00205EED">
        <w:t xml:space="preserve">12 and 13 of the International Covenant on Economic, Social and Cultural Rights </w:t>
      </w:r>
      <w:r w:rsidR="00624E32" w:rsidRPr="008651DA">
        <w:t>(</w:t>
      </w:r>
      <w:r w:rsidR="001C5CE6">
        <w:t>I</w:t>
      </w:r>
      <w:r w:rsidR="00624E32" w:rsidRPr="008651DA">
        <w:t>CE</w:t>
      </w:r>
      <w:r w:rsidR="00205EED">
        <w:t>SCR)</w:t>
      </w:r>
      <w:r w:rsidR="00624E32" w:rsidRPr="008651DA">
        <w:t xml:space="preserve"> </w:t>
      </w:r>
      <w:r w:rsidRPr="008651DA">
        <w:t xml:space="preserve">with respect to ensuring young people </w:t>
      </w:r>
      <w:r w:rsidR="000F6A3F" w:rsidRPr="008651DA">
        <w:t xml:space="preserve">have </w:t>
      </w:r>
      <w:r w:rsidRPr="008651DA">
        <w:t xml:space="preserve">access to accurate, evidence-based </w:t>
      </w:r>
      <w:r w:rsidR="00B61403" w:rsidRPr="008651DA">
        <w:t xml:space="preserve">comprehensive </w:t>
      </w:r>
      <w:r w:rsidRPr="008651DA">
        <w:t xml:space="preserve">sexuality education, </w:t>
      </w:r>
      <w:r w:rsidR="00781975" w:rsidRPr="008651DA">
        <w:t xml:space="preserve">access to safe abortion services, </w:t>
      </w:r>
      <w:r w:rsidR="0067471E" w:rsidRPr="008651DA">
        <w:t>incidences of forced sterilization</w:t>
      </w:r>
      <w:r w:rsidR="001C5CE6">
        <w:t>,</w:t>
      </w:r>
      <w:r w:rsidR="0067471E" w:rsidRPr="008651DA">
        <w:t xml:space="preserve"> </w:t>
      </w:r>
      <w:r w:rsidRPr="008651DA">
        <w:t xml:space="preserve">and </w:t>
      </w:r>
      <w:r w:rsidR="00781975" w:rsidRPr="008651DA">
        <w:t xml:space="preserve">the health and safety of sex workers. </w:t>
      </w:r>
    </w:p>
    <w:p w14:paraId="09805553" w14:textId="54DED6E8" w:rsidR="00051E79" w:rsidRPr="004B44DC" w:rsidRDefault="00EE7F15" w:rsidP="00051E79">
      <w:pPr>
        <w:pStyle w:val="Heading1"/>
      </w:pPr>
      <w:r w:rsidRPr="004B44DC">
        <w:t>Article 1</w:t>
      </w:r>
      <w:r w:rsidR="00E027EF">
        <w:t>2</w:t>
      </w:r>
      <w:r w:rsidRPr="004B44DC">
        <w:t xml:space="preserve"> – Right to health </w:t>
      </w:r>
    </w:p>
    <w:p w14:paraId="1D6BF423" w14:textId="3867C2C4" w:rsidR="003D4CB5" w:rsidRPr="004B44DC" w:rsidRDefault="001B60BC" w:rsidP="003D4CB5">
      <w:r w:rsidRPr="004B44DC">
        <w:rPr>
          <w:rStyle w:val="Heading2Char"/>
          <w:b/>
        </w:rPr>
        <w:t xml:space="preserve">BACKGROUND: </w:t>
      </w:r>
      <w:r w:rsidR="00511084" w:rsidRPr="004B44DC">
        <w:rPr>
          <w:rStyle w:val="Heading2Char"/>
          <w:b/>
        </w:rPr>
        <w:t>Right to a</w:t>
      </w:r>
      <w:r w:rsidR="003D4CB5" w:rsidRPr="004B44DC">
        <w:rPr>
          <w:rStyle w:val="Heading2Char"/>
          <w:b/>
        </w:rPr>
        <w:t xml:space="preserve">ccess to safe abortion services </w:t>
      </w:r>
    </w:p>
    <w:p w14:paraId="1B0207DD" w14:textId="1D45CC0A" w:rsidR="00D24DAA" w:rsidRPr="00EE43DA" w:rsidRDefault="001F7B72" w:rsidP="00732750">
      <w:pPr>
        <w:pStyle w:val="ListParagraph"/>
        <w:numPr>
          <w:ilvl w:val="0"/>
          <w:numId w:val="4"/>
        </w:numPr>
      </w:pPr>
      <w:r w:rsidRPr="00EE43DA">
        <w:t xml:space="preserve">Article 12 of </w:t>
      </w:r>
      <w:r w:rsidR="00DF5E59" w:rsidRPr="00EE43DA">
        <w:t>ICESCR</w:t>
      </w:r>
      <w:r w:rsidR="001F4ED7" w:rsidRPr="00EE43DA">
        <w:t xml:space="preserve">, as developed by General Comment </w:t>
      </w:r>
      <w:r w:rsidR="00F71AC7" w:rsidRPr="00EE43DA">
        <w:t>N</w:t>
      </w:r>
      <w:r w:rsidR="001F4ED7" w:rsidRPr="00EE43DA">
        <w:t>o. 14 (2000)</w:t>
      </w:r>
      <w:r w:rsidRPr="00EE43DA">
        <w:t xml:space="preserve"> requires State parties to </w:t>
      </w:r>
      <w:r w:rsidR="00A07EE1" w:rsidRPr="00EE43DA">
        <w:t xml:space="preserve">take measures </w:t>
      </w:r>
      <w:r w:rsidR="001D71F5" w:rsidRPr="00EE43DA">
        <w:t>to ensure women have access to</w:t>
      </w:r>
      <w:r w:rsidR="00E044E8" w:rsidRPr="00EE43DA">
        <w:t xml:space="preserve"> access to safe, effective, affordable</w:t>
      </w:r>
      <w:r w:rsidR="001C5CE6">
        <w:t>,</w:t>
      </w:r>
      <w:r w:rsidR="00E044E8" w:rsidRPr="00EE43DA">
        <w:t xml:space="preserve"> and acceptable methods of</w:t>
      </w:r>
      <w:r w:rsidR="001D71F5" w:rsidRPr="00EE43DA">
        <w:t xml:space="preserve"> family planning and appropriate services in connection with pregnancy</w:t>
      </w:r>
      <w:r w:rsidR="00DA2A37" w:rsidRPr="00EE43DA">
        <w:t>.</w:t>
      </w:r>
      <w:r w:rsidR="000C7362" w:rsidRPr="00EE43DA">
        <w:t xml:space="preserve"> </w:t>
      </w:r>
      <w:r w:rsidR="0077337E" w:rsidRPr="00EE43DA">
        <w:t>Furthermore, General Comment No. 22</w:t>
      </w:r>
      <w:r w:rsidR="00E044E8" w:rsidRPr="00EE43DA">
        <w:t xml:space="preserve"> (2016)</w:t>
      </w:r>
      <w:r w:rsidR="00386C97" w:rsidRPr="00EE43DA">
        <w:t xml:space="preserve"> asserts that the fulfilment of obligations derived from article 12 requires States to “adopt appropriate legislative, administrative, budgetary, judicial, promotional and other measures to ensure safe abortion care.”</w:t>
      </w:r>
      <w:r w:rsidR="00386C97" w:rsidRPr="00EE43DA">
        <w:rPr>
          <w:rStyle w:val="FootnoteReference"/>
        </w:rPr>
        <w:footnoteReference w:id="1"/>
      </w:r>
      <w:r w:rsidR="00386C97" w:rsidRPr="00EE43DA">
        <w:t xml:space="preserve"> </w:t>
      </w:r>
      <w:r w:rsidR="00B02902" w:rsidRPr="00EE43DA">
        <w:t xml:space="preserve"> </w:t>
      </w:r>
      <w:r w:rsidR="003941F6" w:rsidRPr="00EE43DA">
        <w:t>The Committee has, on numerous occasions, outlined governments’ obligation to ensure access to safe abortion services</w:t>
      </w:r>
      <w:r w:rsidR="00386C97" w:rsidRPr="00EE43DA">
        <w:t xml:space="preserve"> under all circumstances</w:t>
      </w:r>
      <w:r w:rsidR="003941F6" w:rsidRPr="00EE43DA">
        <w:t xml:space="preserve"> as part of the right to </w:t>
      </w:r>
      <w:r w:rsidR="00386C97" w:rsidRPr="00EE43DA">
        <w:t xml:space="preserve">sexual and reproductive </w:t>
      </w:r>
      <w:r w:rsidR="003941F6" w:rsidRPr="00EE43DA">
        <w:t>health.</w:t>
      </w:r>
      <w:r w:rsidR="00D24DAA" w:rsidRPr="00EE43DA">
        <w:rPr>
          <w:vertAlign w:val="superscript"/>
        </w:rPr>
        <w:footnoteReference w:id="2"/>
      </w:r>
    </w:p>
    <w:p w14:paraId="26391107" w14:textId="77777777" w:rsidR="009B73D0" w:rsidRPr="00EE43DA" w:rsidRDefault="009B73D0" w:rsidP="009B73D0">
      <w:pPr>
        <w:pStyle w:val="ListParagraph"/>
      </w:pPr>
    </w:p>
    <w:p w14:paraId="00AB1FAA" w14:textId="385563D8" w:rsidR="00B157E0" w:rsidRPr="00EE43DA" w:rsidRDefault="001C34C7" w:rsidP="00470200">
      <w:pPr>
        <w:pStyle w:val="ListParagraph"/>
        <w:numPr>
          <w:ilvl w:val="0"/>
          <w:numId w:val="4"/>
        </w:numPr>
      </w:pPr>
      <w:r w:rsidRPr="00EE43DA">
        <w:t>In 201</w:t>
      </w:r>
      <w:r w:rsidR="00A42A4C" w:rsidRPr="00EE43DA">
        <w:t>6</w:t>
      </w:r>
      <w:r w:rsidRPr="00EE43DA">
        <w:t xml:space="preserve">, the </w:t>
      </w:r>
      <w:r w:rsidR="00470200" w:rsidRPr="00EE43DA">
        <w:t>CESCR</w:t>
      </w:r>
      <w:r w:rsidRPr="00EE43DA">
        <w:t xml:space="preserve"> examined </w:t>
      </w:r>
      <w:r w:rsidR="00A42B14" w:rsidRPr="00EE43DA">
        <w:t xml:space="preserve">barriers </w:t>
      </w:r>
      <w:r w:rsidR="00A42A4C" w:rsidRPr="00EE43DA">
        <w:t>in access to abortion</w:t>
      </w:r>
      <w:r w:rsidR="00712CF3" w:rsidRPr="00EE43DA">
        <w:t xml:space="preserve"> and contraception in Canada</w:t>
      </w:r>
      <w:r w:rsidR="00A42B14" w:rsidRPr="00EE43DA">
        <w:t xml:space="preserve">, expressing concern </w:t>
      </w:r>
      <w:r w:rsidR="00A42A4C" w:rsidRPr="00EE43DA">
        <w:t>regarding the stark disparities in access</w:t>
      </w:r>
      <w:r w:rsidR="00470200" w:rsidRPr="00EE43DA">
        <w:t xml:space="preserve"> to both. These disparities were most significant for poor women and those living in remote areas. </w:t>
      </w:r>
      <w:r w:rsidR="008D6FEF" w:rsidRPr="00EE43DA">
        <w:t xml:space="preserve">In </w:t>
      </w:r>
      <w:r w:rsidR="001F59DF" w:rsidRPr="00EE43DA">
        <w:t xml:space="preserve">addressing </w:t>
      </w:r>
      <w:r w:rsidR="008D6FEF" w:rsidRPr="00EE43DA">
        <w:t xml:space="preserve">barriers in access to services, the Committee recommends </w:t>
      </w:r>
      <w:r w:rsidR="0041072F" w:rsidRPr="00EE43DA">
        <w:t xml:space="preserve">that </w:t>
      </w:r>
      <w:r w:rsidR="008D6FEF" w:rsidRPr="00EE43DA">
        <w:t>state</w:t>
      </w:r>
      <w:r w:rsidR="0041072F" w:rsidRPr="00EE43DA">
        <w:t>s</w:t>
      </w:r>
      <w:r w:rsidR="008F76D3" w:rsidRPr="00EE43DA">
        <w:t xml:space="preserve">: </w:t>
      </w:r>
      <w:r w:rsidR="00712CF3" w:rsidRPr="00EE43DA">
        <w:t>ensure “physical accessibility […] for all, especially persons belonging to disadvantaged and marginalized groups, including, but not limited to, persons living in rural and remote areas, persons with disabilities</w:t>
      </w:r>
      <w:r w:rsidR="007F4EC4" w:rsidRPr="00EE43DA">
        <w:t>”</w:t>
      </w:r>
      <w:r w:rsidR="00712CF3" w:rsidRPr="00EE43DA">
        <w:rPr>
          <w:rStyle w:val="FootnoteReference"/>
        </w:rPr>
        <w:footnoteReference w:id="3"/>
      </w:r>
      <w:r w:rsidR="00017DAB" w:rsidRPr="00EE43DA">
        <w:t xml:space="preserve"> </w:t>
      </w:r>
      <w:r w:rsidR="00712CF3" w:rsidRPr="00EE43DA">
        <w:t xml:space="preserve">and that difficulties providing </w:t>
      </w:r>
      <w:r w:rsidR="00712CF3" w:rsidRPr="00EE43DA">
        <w:lastRenderedPageBreak/>
        <w:t>services in remote areas requires “positive measures to ensure that persons in need have communication and transportation to such services.”</w:t>
      </w:r>
      <w:r w:rsidR="00712CF3" w:rsidRPr="00EE43DA">
        <w:rPr>
          <w:rStyle w:val="FootnoteReference"/>
        </w:rPr>
        <w:footnoteReference w:id="4"/>
      </w:r>
      <w:r w:rsidR="00712CF3" w:rsidRPr="00EE43DA">
        <w:t xml:space="preserve"> </w:t>
      </w:r>
    </w:p>
    <w:p w14:paraId="51C3D827" w14:textId="77777777" w:rsidR="00BD061B" w:rsidRDefault="00BD061B" w:rsidP="00BD061B">
      <w:pPr>
        <w:pStyle w:val="ListParagraph"/>
      </w:pPr>
    </w:p>
    <w:p w14:paraId="485C4FC0" w14:textId="2469CA42" w:rsidR="004B44DC" w:rsidRDefault="00B157E0" w:rsidP="00732750">
      <w:pPr>
        <w:pStyle w:val="ListParagraph"/>
        <w:numPr>
          <w:ilvl w:val="0"/>
          <w:numId w:val="4"/>
        </w:numPr>
      </w:pPr>
      <w:r w:rsidRPr="0063573E">
        <w:t>In recent years, Canada has received numerous recommendations from human rights accountability frameworks calling for immediate steps to realize young peoples’ right to comprehensive sexuality education. Namely,</w:t>
      </w:r>
      <w:r w:rsidR="001C5CE6">
        <w:t xml:space="preserve"> the </w:t>
      </w:r>
      <w:r w:rsidR="00B51C21">
        <w:t xml:space="preserve">Committee </w:t>
      </w:r>
      <w:r w:rsidR="001C5CE6">
        <w:t>on the Elimination of all Forms of Discrimination Against Women</w:t>
      </w:r>
      <w:r w:rsidRPr="0063573E">
        <w:t xml:space="preserve"> </w:t>
      </w:r>
      <w:r w:rsidR="001C5CE6">
        <w:t>(</w:t>
      </w:r>
      <w:r w:rsidR="00C735D8" w:rsidRPr="0063573E">
        <w:t>CEDAW</w:t>
      </w:r>
      <w:r w:rsidR="001C5CE6">
        <w:t>)</w:t>
      </w:r>
      <w:r w:rsidR="00C735D8" w:rsidRPr="0063573E">
        <w:t xml:space="preserve"> </w:t>
      </w:r>
      <w:r w:rsidRPr="0063573E">
        <w:t xml:space="preserve">Concluding Observation </w:t>
      </w:r>
      <w:r w:rsidR="00C735D8" w:rsidRPr="0063573E">
        <w:t xml:space="preserve">40 </w:t>
      </w:r>
      <w:r w:rsidR="00166A7F">
        <w:t>(</w:t>
      </w:r>
      <w:r w:rsidR="00C735D8" w:rsidRPr="0063573E">
        <w:t>a</w:t>
      </w:r>
      <w:r w:rsidRPr="0063573E">
        <w:t>) in 201</w:t>
      </w:r>
      <w:r w:rsidR="00B757B5">
        <w:t>6</w:t>
      </w:r>
      <w:r w:rsidRPr="0063573E">
        <w:t xml:space="preserve"> call</w:t>
      </w:r>
      <w:r w:rsidR="00C735D8" w:rsidRPr="0063573E">
        <w:t>ed</w:t>
      </w:r>
      <w:r w:rsidRPr="0063573E">
        <w:t xml:space="preserve"> </w:t>
      </w:r>
      <w:r w:rsidR="00C735D8" w:rsidRPr="0063573E">
        <w:t xml:space="preserve">on Canada to ensure equal access to abortion services in all provinces and territories. </w:t>
      </w:r>
      <w:r w:rsidRPr="0063573E">
        <w:t xml:space="preserve">In 2016, the UN </w:t>
      </w:r>
      <w:r w:rsidR="00C35289">
        <w:t xml:space="preserve">CESCR </w:t>
      </w:r>
      <w:r w:rsidRPr="0063573E">
        <w:t xml:space="preserve">Concluding Observation </w:t>
      </w:r>
      <w:r w:rsidR="00AD3632">
        <w:t>52</w:t>
      </w:r>
      <w:r w:rsidR="00A22120">
        <w:t xml:space="preserve"> </w:t>
      </w:r>
      <w:r w:rsidRPr="0063573E">
        <w:t>called on Canada to ensure access to legal abortion services in all provinces and territories. In 2018, Canada received and accepted a recommendation as part of its UN Universal Periodic Review</w:t>
      </w:r>
      <w:r w:rsidR="00DD30BA">
        <w:t xml:space="preserve"> (UPR)</w:t>
      </w:r>
      <w:r w:rsidRPr="0063573E">
        <w:t xml:space="preserve"> to </w:t>
      </w:r>
      <w:proofErr w:type="gramStart"/>
      <w:r w:rsidRPr="0063573E">
        <w:t>take action</w:t>
      </w:r>
      <w:proofErr w:type="gramEnd"/>
      <w:r w:rsidRPr="0063573E">
        <w:t xml:space="preserve"> to ensure equal access to abortion. </w:t>
      </w:r>
      <w:r w:rsidR="0063573E" w:rsidRPr="0063573E">
        <w:t xml:space="preserve">The Government of Canada has failed to take meaningful steps to address abortion inequalities across jurisdictions. </w:t>
      </w:r>
    </w:p>
    <w:p w14:paraId="734FF23B" w14:textId="0BFD1EC9" w:rsidR="00D57F28" w:rsidRPr="004B44DC" w:rsidRDefault="00582A91" w:rsidP="00D57F28">
      <w:pPr>
        <w:rPr>
          <w:rStyle w:val="Heading2Char"/>
          <w:b/>
        </w:rPr>
      </w:pPr>
      <w:bookmarkStart w:id="0" w:name="_GoBack"/>
      <w:bookmarkEnd w:id="0"/>
      <w:r>
        <w:rPr>
          <w:rStyle w:val="Heading2Char"/>
          <w:b/>
        </w:rPr>
        <w:t xml:space="preserve">Access to safe abortion in Canada </w:t>
      </w:r>
    </w:p>
    <w:p w14:paraId="3558A494" w14:textId="77777777" w:rsidR="00DB73D8" w:rsidRDefault="009D1724" w:rsidP="00732750">
      <w:pPr>
        <w:pStyle w:val="ListParagraph"/>
        <w:numPr>
          <w:ilvl w:val="0"/>
          <w:numId w:val="4"/>
        </w:numPr>
      </w:pPr>
      <w:r w:rsidRPr="00DB73D8">
        <w:t xml:space="preserve">The barriers that exist to safe abortion services in Canada represent violations of article 12 as interpreted </w:t>
      </w:r>
      <w:r w:rsidR="00872D4B" w:rsidRPr="00DB73D8">
        <w:t xml:space="preserve">by the work of </w:t>
      </w:r>
      <w:r w:rsidRPr="00DB73D8">
        <w:t xml:space="preserve">the Committee. The Government of Canada, despite having the responsibility and authority to address these barriers, has failed to </w:t>
      </w:r>
      <w:proofErr w:type="gramStart"/>
      <w:r w:rsidR="00356364" w:rsidRPr="00DB73D8">
        <w:t xml:space="preserve">take </w:t>
      </w:r>
      <w:r w:rsidRPr="00DB73D8">
        <w:t>action</w:t>
      </w:r>
      <w:proofErr w:type="gramEnd"/>
      <w:r w:rsidRPr="00DB73D8">
        <w:t xml:space="preserve"> to address discriminatory policies and the barriers that are created as a result.</w:t>
      </w:r>
    </w:p>
    <w:p w14:paraId="59EA9719" w14:textId="77777777" w:rsidR="00DB73D8" w:rsidRDefault="00DB73D8" w:rsidP="00DB73D8">
      <w:pPr>
        <w:pStyle w:val="ListParagraph"/>
      </w:pPr>
    </w:p>
    <w:p w14:paraId="64103F9E" w14:textId="58D9DD9C" w:rsidR="009D1724" w:rsidRPr="00D02AA2" w:rsidRDefault="009D1724" w:rsidP="00732750">
      <w:pPr>
        <w:pStyle w:val="ListParagraph"/>
        <w:numPr>
          <w:ilvl w:val="0"/>
          <w:numId w:val="4"/>
        </w:numPr>
      </w:pPr>
      <w:r w:rsidRPr="00D02AA2">
        <w:t xml:space="preserve">In Canada, the provincial governments are responsible for the administration, organization and delivery of health care. The federal government has constitutional “spending power,” which enables it to fund the health systems under provincial jurisdiction, subject to provincial compliance with certain requirements set out in the 1984 </w:t>
      </w:r>
      <w:r w:rsidRPr="0089653E">
        <w:rPr>
          <w:i/>
          <w:iCs/>
        </w:rPr>
        <w:t>Canada Health Act</w:t>
      </w:r>
      <w:r w:rsidRPr="00D02AA2">
        <w:t xml:space="preserve"> (herein the </w:t>
      </w:r>
      <w:r w:rsidRPr="0089653E">
        <w:rPr>
          <w:i/>
          <w:iCs/>
        </w:rPr>
        <w:t>Act</w:t>
      </w:r>
      <w:r w:rsidRPr="00D02AA2">
        <w:t xml:space="preserve">). It regulates the conditions to which provincial and territorial health insurance programs must adhere in order to receive the full amount of the Canada Health Transfer (herein CHT) cash contribution. If any of the provinces or territories fails to meet any one of the criteria set out in section 13 of the </w:t>
      </w:r>
      <w:r w:rsidRPr="0089653E">
        <w:rPr>
          <w:i/>
          <w:iCs/>
        </w:rPr>
        <w:t>Act</w:t>
      </w:r>
      <w:r w:rsidRPr="00D02AA2">
        <w:t>, or if the province allows extra billing by medical practitioners or permits user charges for insured health services, the province will face as the penalty a reduction or withholding of the cash contribution</w:t>
      </w:r>
      <w:r w:rsidR="00D02AA2" w:rsidRPr="00D02AA2">
        <w:t>.</w:t>
      </w:r>
    </w:p>
    <w:p w14:paraId="1EB0F4F4" w14:textId="77777777" w:rsidR="00D02AA2" w:rsidRPr="00D02AA2" w:rsidRDefault="00D02AA2" w:rsidP="00D02AA2">
      <w:pPr>
        <w:pStyle w:val="ListParagraph"/>
        <w:rPr>
          <w:highlight w:val="yellow"/>
        </w:rPr>
      </w:pPr>
    </w:p>
    <w:p w14:paraId="5F45C560" w14:textId="56900516" w:rsidR="00C27DF3" w:rsidRPr="00FB0BC0" w:rsidRDefault="00D02AA2" w:rsidP="00732750">
      <w:pPr>
        <w:pStyle w:val="ListParagraph"/>
        <w:numPr>
          <w:ilvl w:val="0"/>
          <w:numId w:val="4"/>
        </w:numPr>
      </w:pPr>
      <w:r>
        <w:t xml:space="preserve">Despite the legal context, women seeking abortion services in Canada experience significant barriers due to lack of financial resources, geographic location, age, </w:t>
      </w:r>
      <w:r w:rsidR="00E80E45">
        <w:t xml:space="preserve">and </w:t>
      </w:r>
      <w:r>
        <w:t>race, among other factors</w:t>
      </w:r>
      <w:r w:rsidR="00C27DF3" w:rsidRPr="00FB0BC0">
        <w:t xml:space="preserve">. </w:t>
      </w:r>
      <w:r w:rsidR="00262EBB">
        <w:t>O</w:t>
      </w:r>
      <w:r w:rsidR="00C27DF3" w:rsidRPr="00FB0BC0">
        <w:t xml:space="preserve">nly </w:t>
      </w:r>
      <w:r w:rsidR="00657E33">
        <w:t>one</w:t>
      </w:r>
      <w:r w:rsidR="00E80E45">
        <w:t xml:space="preserve"> out of </w:t>
      </w:r>
      <w:r w:rsidR="00657E33">
        <w:t xml:space="preserve">every </w:t>
      </w:r>
      <w:r w:rsidR="00C27DF3" w:rsidRPr="00FB0BC0">
        <w:t xml:space="preserve">6 hospitals </w:t>
      </w:r>
      <w:r w:rsidR="00C35289" w:rsidRPr="00FB0BC0">
        <w:t>provide</w:t>
      </w:r>
      <w:r w:rsidR="00C27DF3" w:rsidRPr="00FB0BC0">
        <w:t xml:space="preserve"> abortion services,</w:t>
      </w:r>
      <w:r w:rsidR="00C27DF3" w:rsidRPr="00FB0BC0">
        <w:rPr>
          <w:vertAlign w:val="superscript"/>
        </w:rPr>
        <w:footnoteReference w:id="5"/>
      </w:r>
      <w:r w:rsidR="00C27DF3" w:rsidRPr="00FB0BC0">
        <w:rPr>
          <w:vertAlign w:val="superscript"/>
        </w:rPr>
        <w:t xml:space="preserve"> </w:t>
      </w:r>
      <w:r w:rsidR="00C27DF3" w:rsidRPr="00FB0BC0">
        <w:t xml:space="preserve">the majority of which, </w:t>
      </w:r>
      <w:r w:rsidR="00E80E45">
        <w:t>along with</w:t>
      </w:r>
      <w:r w:rsidR="00C27DF3" w:rsidRPr="00FB0BC0">
        <w:t xml:space="preserve"> free standing sexual health clinics, are disproportionately dispersed across Canada, with most located in urban areas. For example, </w:t>
      </w:r>
      <w:proofErr w:type="gramStart"/>
      <w:r w:rsidR="00C27DF3" w:rsidRPr="00FB0BC0">
        <w:t>the majority of</w:t>
      </w:r>
      <w:proofErr w:type="gramEnd"/>
      <w:r w:rsidR="00C27DF3" w:rsidRPr="00FB0BC0">
        <w:t xml:space="preserve"> sexual health centres are located within 150km from the US border in major urban centres. </w:t>
      </w:r>
      <w:r w:rsidR="00E80E45">
        <w:t>20%</w:t>
      </w:r>
      <w:r w:rsidR="00C27DF3" w:rsidRPr="00FB0BC0">
        <w:t xml:space="preserve"> of people in Canada live in rural areas</w:t>
      </w:r>
      <w:r w:rsidR="00E80E45">
        <w:t>,</w:t>
      </w:r>
      <w:r w:rsidR="00C27DF3" w:rsidRPr="00FB0BC0">
        <w:t xml:space="preserve"> where they must travel sometimes thousands </w:t>
      </w:r>
      <w:r w:rsidR="00CB0A1C" w:rsidRPr="00FB0BC0">
        <w:t xml:space="preserve">of </w:t>
      </w:r>
      <w:r w:rsidR="00C27DF3" w:rsidRPr="00FB0BC0">
        <w:t xml:space="preserve">kilometres to access abortion services, which often require timely care. Adding to this, there are few providers that offer services beyond 16 weeks gestation. This makes it particularly difficult for individuals living in areas with only one service provider (where the provider may only offer services until </w:t>
      </w:r>
      <w:proofErr w:type="gramStart"/>
      <w:r w:rsidR="00C27DF3" w:rsidRPr="00FB0BC0">
        <w:lastRenderedPageBreak/>
        <w:t>10 or 12 weeks</w:t>
      </w:r>
      <w:proofErr w:type="gramEnd"/>
      <w:r w:rsidR="00C27DF3" w:rsidRPr="00FB0BC0">
        <w:t xml:space="preserve"> gestation, for example) or those living thousands of kilometers away from major urban centr</w:t>
      </w:r>
      <w:r w:rsidR="00E80E45">
        <w:t>e</w:t>
      </w:r>
      <w:r w:rsidR="00C27DF3" w:rsidRPr="00FB0BC0">
        <w:t>s where there are multiple service access points.</w:t>
      </w:r>
      <w:r w:rsidR="00935C34" w:rsidRPr="00FB0BC0">
        <w:rPr>
          <w:rStyle w:val="FootnoteReference"/>
        </w:rPr>
        <w:footnoteReference w:id="6"/>
      </w:r>
      <w:r w:rsidR="00C27DF3" w:rsidRPr="00FB0BC0">
        <w:t xml:space="preserve"> </w:t>
      </w:r>
    </w:p>
    <w:p w14:paraId="12B1E924" w14:textId="77777777" w:rsidR="00C27DF3" w:rsidRPr="00B35F11" w:rsidRDefault="00C27DF3" w:rsidP="00C27DF3">
      <w:pPr>
        <w:pStyle w:val="ListParagraph"/>
        <w:rPr>
          <w:highlight w:val="yellow"/>
        </w:rPr>
      </w:pPr>
    </w:p>
    <w:p w14:paraId="68246AC6" w14:textId="72B95D89" w:rsidR="009F6087" w:rsidRDefault="00C27DF3" w:rsidP="00732750">
      <w:pPr>
        <w:pStyle w:val="ListParagraph"/>
        <w:numPr>
          <w:ilvl w:val="0"/>
          <w:numId w:val="4"/>
        </w:numPr>
      </w:pPr>
      <w:r w:rsidRPr="00FB0BC0">
        <w:t xml:space="preserve">The overall limited availability </w:t>
      </w:r>
      <w:r w:rsidR="00B10D14">
        <w:t>of</w:t>
      </w:r>
      <w:r w:rsidRPr="00FB0BC0">
        <w:t xml:space="preserve"> abortion services is compounded by other barriers</w:t>
      </w:r>
      <w:r w:rsidR="00C35289">
        <w:t>.</w:t>
      </w:r>
      <w:r w:rsidRPr="00FB0BC0">
        <w:t xml:space="preserve"> Unexpected travel time is a factor since some of the abortion providers put a gestational limit to the termination of the pregnanc</w:t>
      </w:r>
      <w:r w:rsidR="00CA2096" w:rsidRPr="00FB0BC0">
        <w:t xml:space="preserve">y, delaying </w:t>
      </w:r>
      <w:r w:rsidR="00300D54" w:rsidRPr="00FB0BC0">
        <w:t>a</w:t>
      </w:r>
      <w:r w:rsidR="00CA2096" w:rsidRPr="00FB0BC0">
        <w:t xml:space="preserve"> </w:t>
      </w:r>
      <w:r w:rsidRPr="00FB0BC0">
        <w:t>woman’s right to abortion. In addition, these women face unforeseen monetary expenses such as travel, accommodation, lost wages, childcare, eldercare, and possibly procedural costs (in the case where there is a lack of reciprocal billing within their provincial or territorial health systems), disproportionately impacting low‐income women. While there are no laws requiring parental consent or laws imposing restrictions to abortion access based on age, young people seeking abortion services have reported experiencing stigma and discrimination from health care providers.</w:t>
      </w:r>
      <w:r w:rsidRPr="00FB0BC0">
        <w:rPr>
          <w:rStyle w:val="FootnoteReference"/>
        </w:rPr>
        <w:footnoteReference w:id="7"/>
      </w:r>
    </w:p>
    <w:p w14:paraId="582116FA" w14:textId="77777777" w:rsidR="009F6087" w:rsidRDefault="009F6087" w:rsidP="009F6087">
      <w:pPr>
        <w:pStyle w:val="ListParagraph"/>
      </w:pPr>
    </w:p>
    <w:p w14:paraId="7112C2C8" w14:textId="77777777" w:rsidR="00B51C21" w:rsidRDefault="009D1724" w:rsidP="00B51C21">
      <w:pPr>
        <w:pStyle w:val="ListParagraph"/>
        <w:numPr>
          <w:ilvl w:val="0"/>
          <w:numId w:val="4"/>
        </w:numPr>
      </w:pPr>
      <w:r w:rsidRPr="009F6087">
        <w:t xml:space="preserve">New Brunswick only has </w:t>
      </w:r>
      <w:r w:rsidR="00405F9D" w:rsidRPr="009F6087">
        <w:t>three</w:t>
      </w:r>
      <w:r w:rsidRPr="009F6087">
        <w:t xml:space="preserve"> hospitals in the entire province </w:t>
      </w:r>
      <w:r w:rsidR="00B107B6" w:rsidRPr="009F6087">
        <w:t xml:space="preserve">providing </w:t>
      </w:r>
      <w:r w:rsidRPr="009F6087">
        <w:t>abortion services.</w:t>
      </w:r>
      <w:r w:rsidR="00335276" w:rsidRPr="0063748C">
        <w:rPr>
          <w:vertAlign w:val="superscript"/>
        </w:rPr>
        <w:footnoteReference w:id="8"/>
      </w:r>
      <w:r w:rsidR="00335276" w:rsidRPr="0063748C">
        <w:rPr>
          <w:vertAlign w:val="superscript"/>
        </w:rPr>
        <w:t xml:space="preserve"> </w:t>
      </w:r>
      <w:r w:rsidRPr="009F6087">
        <w:t xml:space="preserve">In contravention to the </w:t>
      </w:r>
      <w:r w:rsidR="00CD647B" w:rsidRPr="00CD647B">
        <w:rPr>
          <w:i/>
          <w:iCs/>
        </w:rPr>
        <w:t>Act</w:t>
      </w:r>
      <w:r w:rsidRPr="009F6087">
        <w:t>,</w:t>
      </w:r>
      <w:r w:rsidR="00DB182C">
        <w:rPr>
          <w:rStyle w:val="FootnoteReference"/>
        </w:rPr>
        <w:footnoteReference w:id="9"/>
      </w:r>
      <w:r w:rsidRPr="009F6087">
        <w:t xml:space="preserve"> New Brunswick is the only province that refuses to pay for, or reimburse women for, abortion services performed outside of hospitals; hence, this province refuses to fund clinic abortions. This policy can be especially difficult for women in small towns. If a woman in unable to travel to one of the </w:t>
      </w:r>
      <w:r w:rsidR="00EB5DC1">
        <w:t>three</w:t>
      </w:r>
      <w:r w:rsidRPr="009F6087">
        <w:t xml:space="preserve"> hospitals, or </w:t>
      </w:r>
      <w:r w:rsidR="0052110C">
        <w:t xml:space="preserve">if she </w:t>
      </w:r>
      <w:r w:rsidRPr="009F6087">
        <w:t>fears stigma and discrimination in accessing services in such environments, she may</w:t>
      </w:r>
      <w:r w:rsidR="0052110C">
        <w:t xml:space="preserve"> </w:t>
      </w:r>
      <w:r w:rsidRPr="009F6087">
        <w:t>be forced to travel out-of-province in order to obtain abortion care, pay $700</w:t>
      </w:r>
      <w:r w:rsidR="0052110C">
        <w:t xml:space="preserve"> or more</w:t>
      </w:r>
      <w:r w:rsidRPr="009F6087">
        <w:t xml:space="preserve"> to have the abortion </w:t>
      </w:r>
      <w:r w:rsidR="00782D39" w:rsidRPr="009F6087">
        <w:t>at the one clinic in the province</w:t>
      </w:r>
      <w:r w:rsidR="006A3E79" w:rsidRPr="009F6087">
        <w:t>,</w:t>
      </w:r>
      <w:r w:rsidR="00782D39" w:rsidRPr="009F6087">
        <w:t xml:space="preserve"> </w:t>
      </w:r>
      <w:r w:rsidRPr="009F6087">
        <w:t>or continue with the pregnancy and birth against her will. With such limited access, it has been reported that women are increasingly seeking abortion services out</w:t>
      </w:r>
      <w:r w:rsidR="00657E33">
        <w:t>-</w:t>
      </w:r>
      <w:r w:rsidRPr="009F6087">
        <w:t>of</w:t>
      </w:r>
      <w:r w:rsidR="00657E33">
        <w:t>-</w:t>
      </w:r>
      <w:r w:rsidRPr="009F6087">
        <w:t>country, and in some cases, engaging in unsafe practices to terminate unwanted pregnancies.</w:t>
      </w:r>
      <w:r w:rsidRPr="00895D18">
        <w:rPr>
          <w:vertAlign w:val="superscript"/>
        </w:rPr>
        <w:footnoteReference w:id="10"/>
      </w:r>
    </w:p>
    <w:p w14:paraId="77C7575B" w14:textId="77777777" w:rsidR="00B51C21" w:rsidRDefault="00B51C21" w:rsidP="00B51C21">
      <w:pPr>
        <w:pStyle w:val="ListParagraph"/>
      </w:pPr>
    </w:p>
    <w:p w14:paraId="68FF3EBB" w14:textId="302E08C2" w:rsidR="00C33F34" w:rsidRPr="00B51C21" w:rsidRDefault="003B2EE7" w:rsidP="00B51C21">
      <w:pPr>
        <w:pStyle w:val="ListParagraph"/>
        <w:numPr>
          <w:ilvl w:val="0"/>
          <w:numId w:val="4"/>
        </w:numPr>
        <w:rPr>
          <w:rStyle w:val="Heading2Char"/>
          <w:rFonts w:ascii="Adobe Garamond Pro" w:eastAsiaTheme="minorEastAsia" w:hAnsi="Adobe Garamond Pro" w:cstheme="minorBidi"/>
          <w:sz w:val="22"/>
          <w:szCs w:val="21"/>
        </w:rPr>
      </w:pPr>
      <w:r>
        <w:t xml:space="preserve">In recent years, Canada has experienced an increase in actions taken by a </w:t>
      </w:r>
      <w:r w:rsidRPr="00336EE1">
        <w:t>small, vocal</w:t>
      </w:r>
      <w:r>
        <w:t>,</w:t>
      </w:r>
      <w:r w:rsidRPr="00336EE1">
        <w:t xml:space="preserve"> and well-funded </w:t>
      </w:r>
      <w:r>
        <w:t xml:space="preserve">groups </w:t>
      </w:r>
      <w:r w:rsidRPr="00336EE1">
        <w:t>dedicated to curtailing and violating</w:t>
      </w:r>
      <w:r w:rsidR="00A02DB2">
        <w:t xml:space="preserve"> women’s</w:t>
      </w:r>
      <w:r w:rsidRPr="00336EE1">
        <w:t xml:space="preserve"> </w:t>
      </w:r>
      <w:r w:rsidR="00A02DB2">
        <w:t xml:space="preserve">reproductive </w:t>
      </w:r>
      <w:r w:rsidRPr="00336EE1">
        <w:t>rights through the activities of anti-choice organizations (often known as Crisis Pregnancy Centres</w:t>
      </w:r>
      <w:r w:rsidR="003F6C8B">
        <w:t xml:space="preserve"> (CPCs)</w:t>
      </w:r>
      <w:r>
        <w:t>, of which there are approximately 180 in Canada</w:t>
      </w:r>
      <w:r w:rsidR="003F6C8B">
        <w:t>)</w:t>
      </w:r>
      <w:r w:rsidR="00DA7A8A">
        <w:t>.</w:t>
      </w:r>
      <w:r>
        <w:rPr>
          <w:rStyle w:val="FootnoteReference"/>
        </w:rPr>
        <w:footnoteReference w:id="11"/>
      </w:r>
      <w:r w:rsidRPr="00336EE1">
        <w:t xml:space="preserve"> </w:t>
      </w:r>
      <w:r w:rsidR="001D06F2">
        <w:t>M</w:t>
      </w:r>
      <w:r w:rsidRPr="00336EE1">
        <w:t>any of these organizations actively interfere with people’s access to abortion care by, for example, sharing misleading information</w:t>
      </w:r>
      <w:r w:rsidR="003F6C8B">
        <w:t xml:space="preserve">, and </w:t>
      </w:r>
      <w:r w:rsidRPr="00336EE1">
        <w:t>gatekeeping or picketing abortion clinics or hospitals.</w:t>
      </w:r>
      <w:r w:rsidRPr="00336EE1">
        <w:rPr>
          <w:rStyle w:val="FootnoteReference"/>
        </w:rPr>
        <w:footnoteReference w:id="12"/>
      </w:r>
      <w:r w:rsidRPr="00336EE1">
        <w:t xml:space="preserve"> </w:t>
      </w:r>
      <w:r w:rsidR="008E08E7" w:rsidRPr="00892807">
        <w:t xml:space="preserve">They deceive people into thinking they </w:t>
      </w:r>
      <w:r w:rsidR="008E08E7" w:rsidRPr="00B51C21">
        <w:rPr>
          <w:i/>
        </w:rPr>
        <w:t>are</w:t>
      </w:r>
      <w:r w:rsidR="008E08E7" w:rsidRPr="00892807">
        <w:t xml:space="preserve"> abortion clinics </w:t>
      </w:r>
      <w:r w:rsidR="008E08E7">
        <w:t>–</w:t>
      </w:r>
      <w:r w:rsidR="008E08E7" w:rsidRPr="00892807">
        <w:t xml:space="preserve"> </w:t>
      </w:r>
      <w:r w:rsidR="008E08E7">
        <w:t xml:space="preserve">and </w:t>
      </w:r>
      <w:r w:rsidR="008E08E7" w:rsidRPr="00892807">
        <w:t>in many cases</w:t>
      </w:r>
      <w:r w:rsidR="008E08E7">
        <w:t>,</w:t>
      </w:r>
      <w:r w:rsidR="008E08E7" w:rsidRPr="00892807">
        <w:t xml:space="preserve"> they open as geographically close to abortion clinics as possible. In many cases, a town or </w:t>
      </w:r>
      <w:r w:rsidR="008E08E7" w:rsidRPr="00892807">
        <w:lastRenderedPageBreak/>
        <w:t>city that does not have abortion clinics will have a CPC, and it has been found that some CPCs are receiving public funding to operate</w:t>
      </w:r>
      <w:r w:rsidR="008E08E7">
        <w:t>.</w:t>
      </w:r>
      <w:r w:rsidR="008E08E7" w:rsidRPr="00892807">
        <w:rPr>
          <w:rStyle w:val="FootnoteReference"/>
        </w:rPr>
        <w:footnoteReference w:id="13"/>
      </w:r>
      <w:r w:rsidR="008E08E7">
        <w:t xml:space="preserve"> CPCs often do not employ health care providers </w:t>
      </w:r>
      <w:r w:rsidR="001628FA">
        <w:t xml:space="preserve">yet provide health care services (including ultrasounds) </w:t>
      </w:r>
      <w:r w:rsidR="008E08E7">
        <w:t>and therefore operat</w:t>
      </w:r>
      <w:r w:rsidR="001628FA">
        <w:t>ing</w:t>
      </w:r>
      <w:r w:rsidR="008E08E7">
        <w:t xml:space="preserve"> in unregulated contexts</w:t>
      </w:r>
      <w:r w:rsidR="00EF710B">
        <w:t>.</w:t>
      </w:r>
      <w:r w:rsidR="008E08E7">
        <w:t xml:space="preserve"> As a result, CPCs are not held to the same regulatory standards that require client confidentiality and privacy, adherence to health care standards. </w:t>
      </w:r>
      <w:r w:rsidRPr="00336EE1">
        <w:t>Some of these tactics result in delayed access to health</w:t>
      </w:r>
      <w:r w:rsidR="005579E4">
        <w:t xml:space="preserve"> </w:t>
      </w:r>
      <w:r w:rsidRPr="00336EE1">
        <w:t>care. Abortion is a time</w:t>
      </w:r>
      <w:r>
        <w:t>-</w:t>
      </w:r>
      <w:r w:rsidRPr="00336EE1">
        <w:t xml:space="preserve">sensitive procedure and the more a person is delayed, the more trouble they can have accessing the service. Delaying access jeopardizes people’s ability to make important decisions about pregnancy as early as possible and to </w:t>
      </w:r>
      <w:r>
        <w:t>access</w:t>
      </w:r>
      <w:r w:rsidRPr="00336EE1">
        <w:t xml:space="preserve"> the appropriate care.</w:t>
      </w:r>
      <w:r w:rsidRPr="00336EE1">
        <w:rPr>
          <w:rStyle w:val="FootnoteReference"/>
        </w:rPr>
        <w:footnoteReference w:id="14"/>
      </w:r>
      <w:r w:rsidR="008E08E7">
        <w:t xml:space="preserve"> </w:t>
      </w:r>
      <w:r w:rsidRPr="00892807">
        <w:t>The harmful activities of Canadian anti-choice groups go well beyond the safe expression of political positions and lobbying</w:t>
      </w:r>
      <w:r w:rsidR="003F6C8B">
        <w:t>, as</w:t>
      </w:r>
      <w:r>
        <w:t xml:space="preserve"> they often involve</w:t>
      </w:r>
      <w:r w:rsidRPr="00892807">
        <w:t xml:space="preserve"> the dissemination of false health information</w:t>
      </w:r>
      <w:r w:rsidR="003F6C8B">
        <w:t>.</w:t>
      </w:r>
      <w:r w:rsidRPr="00892807">
        <w:t xml:space="preserve"> </w:t>
      </w:r>
    </w:p>
    <w:p w14:paraId="223DF695" w14:textId="6BD26073" w:rsidR="001D7F2A" w:rsidRPr="004B44DC" w:rsidRDefault="00C33F34" w:rsidP="001D7F2A">
      <w:r w:rsidRPr="004B44DC">
        <w:rPr>
          <w:rStyle w:val="Heading2Char"/>
          <w:b/>
        </w:rPr>
        <w:t xml:space="preserve">BACKGROUND: </w:t>
      </w:r>
      <w:r w:rsidR="001D7F2A" w:rsidRPr="004B44DC">
        <w:rPr>
          <w:rStyle w:val="Heading2Char"/>
          <w:b/>
        </w:rPr>
        <w:t xml:space="preserve">Forced sterilization </w:t>
      </w:r>
    </w:p>
    <w:p w14:paraId="5005E11A" w14:textId="3EE8838B" w:rsidR="00A72CCA" w:rsidRDefault="009C57E1" w:rsidP="00BC2BB9">
      <w:pPr>
        <w:pStyle w:val="ListParagraph"/>
        <w:numPr>
          <w:ilvl w:val="0"/>
          <w:numId w:val="4"/>
        </w:numPr>
      </w:pPr>
      <w:r w:rsidRPr="009C57E1">
        <w:t xml:space="preserve">General Comment No. 22 of the Committee states that “measures to guarantee non-discrimination and substantive equality should be cognizant of and seek to overcome the </w:t>
      </w:r>
      <w:proofErr w:type="gramStart"/>
      <w:r w:rsidRPr="009C57E1">
        <w:t>often exacerbated</w:t>
      </w:r>
      <w:proofErr w:type="gramEnd"/>
      <w:r w:rsidRPr="009C57E1">
        <w:t xml:space="preserve"> impact that intersectional discrimination has on the realization of the right to sexual and reproductive health.” For Indigenous women, women with disabilities</w:t>
      </w:r>
      <w:r w:rsidR="0052110C">
        <w:t>,</w:t>
      </w:r>
      <w:r w:rsidRPr="009C57E1">
        <w:t xml:space="preserve"> and poor women, discrimination in the exercise of the right sexual and reproductive health often means violations of their bodily autonomy through the practice of involuntary, coercive</w:t>
      </w:r>
      <w:r w:rsidR="0052110C">
        <w:t>,</w:t>
      </w:r>
      <w:r w:rsidRPr="009C57E1">
        <w:t xml:space="preserve"> or forced medical procedures, including forced sterilization. The Committee has called for </w:t>
      </w:r>
      <w:r>
        <w:t xml:space="preserve">full and transparent investigation and </w:t>
      </w:r>
      <w:r w:rsidRPr="009C57E1">
        <w:t>adequate redress</w:t>
      </w:r>
      <w:r>
        <w:t xml:space="preserve"> in cases of forced sterilization.</w:t>
      </w:r>
      <w:r>
        <w:rPr>
          <w:rStyle w:val="FootnoteReference"/>
        </w:rPr>
        <w:footnoteReference w:id="15"/>
      </w:r>
    </w:p>
    <w:p w14:paraId="4FB58A0E" w14:textId="77777777" w:rsidR="009C57E1" w:rsidRDefault="009C57E1" w:rsidP="009C57E1">
      <w:pPr>
        <w:pStyle w:val="ListParagraph"/>
      </w:pPr>
    </w:p>
    <w:p w14:paraId="20266C87" w14:textId="749AAEBB" w:rsidR="00742E5B" w:rsidRPr="001C7707" w:rsidRDefault="00A72CCA" w:rsidP="00732750">
      <w:pPr>
        <w:pStyle w:val="ListParagraph"/>
        <w:numPr>
          <w:ilvl w:val="0"/>
          <w:numId w:val="4"/>
        </w:numPr>
      </w:pPr>
      <w:r w:rsidRPr="001C7707">
        <w:t>UN Special Procedures have also addressed this issue.</w:t>
      </w:r>
      <w:r w:rsidR="00742E5B" w:rsidRPr="00E26D15">
        <w:rPr>
          <w:vertAlign w:val="superscript"/>
        </w:rPr>
        <w:footnoteReference w:id="16"/>
      </w:r>
      <w:r w:rsidR="00742E5B" w:rsidRPr="001C7707">
        <w:t xml:space="preserve"> </w:t>
      </w:r>
      <w:r w:rsidRPr="001C7707">
        <w:t>Abuse and mistreatment of women seeking reproductive health services can cause permanent and severe physical and emotional suffering, including in the form of forced sterilization, and has severe impacts on women’s personal integrity, physical</w:t>
      </w:r>
      <w:r w:rsidR="003F6C8B">
        <w:t>,</w:t>
      </w:r>
      <w:r w:rsidRPr="001C7707">
        <w:t xml:space="preserve"> and mental wellbeing, and family life, as recognized by the Special Rapporteur on violence against women</w:t>
      </w:r>
      <w:r w:rsidR="00742E5B" w:rsidRPr="00AC1578">
        <w:rPr>
          <w:vertAlign w:val="superscript"/>
        </w:rPr>
        <w:footnoteReference w:id="17"/>
      </w:r>
      <w:r w:rsidR="00742E5B" w:rsidRPr="001C7707">
        <w:t xml:space="preserve"> </w:t>
      </w:r>
      <w:r w:rsidRPr="001C7707">
        <w:t>and the Special Rapporteur on torture.</w:t>
      </w:r>
      <w:r w:rsidR="00742E5B" w:rsidRPr="008F3BF3">
        <w:rPr>
          <w:vertAlign w:val="superscript"/>
        </w:rPr>
        <w:footnoteReference w:id="18"/>
      </w:r>
      <w:r w:rsidR="00742E5B" w:rsidRPr="001C7707">
        <w:t xml:space="preserve"> </w:t>
      </w:r>
      <w:r w:rsidRPr="001C7707">
        <w:t>The Special Rapporteur on the rights of the rights of Indigenous peoples similarly expressed concern about the forced sterilization of Indigenous women, among other severe violations of their sexual and reproductive rights committed in parallel with the historical denial of their rights to self-determination and cultural autonomy.</w:t>
      </w:r>
      <w:r w:rsidR="00742E5B" w:rsidRPr="00F333E4">
        <w:rPr>
          <w:vertAlign w:val="superscript"/>
        </w:rPr>
        <w:footnoteReference w:id="19"/>
      </w:r>
    </w:p>
    <w:p w14:paraId="0E4FCB97" w14:textId="77777777" w:rsidR="00931C57" w:rsidRPr="00D12FA2" w:rsidRDefault="00931C57" w:rsidP="00931C57">
      <w:pPr>
        <w:pStyle w:val="ListParagraph"/>
      </w:pPr>
    </w:p>
    <w:p w14:paraId="18CD26DB" w14:textId="75798805" w:rsidR="00370B32" w:rsidRPr="00D12FA2" w:rsidRDefault="008A4C9F" w:rsidP="00732750">
      <w:pPr>
        <w:pStyle w:val="ListParagraph"/>
        <w:numPr>
          <w:ilvl w:val="0"/>
          <w:numId w:val="4"/>
        </w:numPr>
      </w:pPr>
      <w:r w:rsidRPr="00D12FA2">
        <w:t>Indigenous rights groups in Canada, and globally, have advocated for the application of the principle of free, prior and informed consent (FPIC) in line with the UN Declaration on the Rights of Indigenous Peoples and international human rights law. FPIC empowers Indigenous peoples and communities to meaningfully engage in decision-making that affects them, which includes decision-making around health laws, policies and programmes in the realm of sexual and reproductive rights.</w:t>
      </w:r>
      <w:r w:rsidR="00116A37" w:rsidRPr="00D12FA2">
        <w:t xml:space="preserve"> The Government of Canada has repeatedly denied the validity of FPIC in international fora</w:t>
      </w:r>
      <w:r w:rsidR="004E4F47" w:rsidRPr="00D12FA2">
        <w:t>,</w:t>
      </w:r>
      <w:r w:rsidR="00116A37" w:rsidRPr="00D12FA2">
        <w:rPr>
          <w:rStyle w:val="FootnoteReference"/>
        </w:rPr>
        <w:footnoteReference w:id="20"/>
      </w:r>
      <w:r w:rsidR="004E4F47" w:rsidRPr="00D12FA2">
        <w:t xml:space="preserve"> stating that the concept could be applied as a </w:t>
      </w:r>
      <w:r w:rsidR="005579E4">
        <w:t>“</w:t>
      </w:r>
      <w:r w:rsidR="004E4F47" w:rsidRPr="00D12FA2">
        <w:t>veto</w:t>
      </w:r>
      <w:r w:rsidR="005579E4">
        <w:t>”</w:t>
      </w:r>
      <w:r w:rsidR="004E4F47" w:rsidRPr="00D12FA2">
        <w:t xml:space="preserve"> to Indigenous groups. </w:t>
      </w:r>
    </w:p>
    <w:p w14:paraId="11585D87" w14:textId="77777777" w:rsidR="00370B32" w:rsidRDefault="00370B32" w:rsidP="00370B32">
      <w:pPr>
        <w:pStyle w:val="ListParagraph"/>
      </w:pPr>
    </w:p>
    <w:p w14:paraId="62923567" w14:textId="7E75CC0D" w:rsidR="00370B32" w:rsidRPr="00402B2B" w:rsidRDefault="00D22F79" w:rsidP="00732750">
      <w:pPr>
        <w:pStyle w:val="ListParagraph"/>
        <w:numPr>
          <w:ilvl w:val="0"/>
          <w:numId w:val="4"/>
        </w:numPr>
      </w:pPr>
      <w:r w:rsidRPr="008D2BA1">
        <w:t xml:space="preserve">In 2018, the UN Committee Against Torture’s </w:t>
      </w:r>
      <w:r w:rsidR="00370B32" w:rsidRPr="008D2BA1">
        <w:t>Concluding Observations 51 (a) and (b) called on Canada to ensure that all allegations of forced or coerced sterilization are impartially investigated, that the persons responsible are held accountable and that adequate redress is provided to the victims, and adopt legislative and policy measures to prevent and criminalize the forced or coerced sterilization of women, particularly by clearly defining the requirement for free, prior</w:t>
      </w:r>
      <w:r w:rsidR="0052110C">
        <w:t>,</w:t>
      </w:r>
      <w:r w:rsidR="00370B32" w:rsidRPr="008D2BA1">
        <w:t xml:space="preserve"> and informed consent with regard to sterilization and by raising awareness among </w:t>
      </w:r>
      <w:r w:rsidR="0052110C">
        <w:t>I</w:t>
      </w:r>
      <w:r w:rsidR="00370B32" w:rsidRPr="008D2BA1">
        <w:t>ndigenous women and medical personnel of that requirement.</w:t>
      </w:r>
      <w:r w:rsidR="008D2BA1" w:rsidRPr="008D2BA1">
        <w:t xml:space="preserve"> The Committee further requested that Canada provide information on follow-up to the recommendations pertaining to forced sterilization by December 9</w:t>
      </w:r>
      <w:r w:rsidR="00445570">
        <w:t>,</w:t>
      </w:r>
      <w:r w:rsidR="008D2BA1" w:rsidRPr="008D2BA1">
        <w:t xml:space="preserve"> 2019. The Government of Canada has yet to follow-up. </w:t>
      </w:r>
      <w:r w:rsidR="00B741E1">
        <w:t>Recently, t</w:t>
      </w:r>
      <w:r w:rsidR="00541F93">
        <w:t>he CEDAW Committee asked Canada about the persistence of forced sterilization of Indigenous women.</w:t>
      </w:r>
      <w:r w:rsidR="00541F93">
        <w:rPr>
          <w:rStyle w:val="FootnoteReference"/>
        </w:rPr>
        <w:footnoteReference w:id="21"/>
      </w:r>
    </w:p>
    <w:p w14:paraId="23168C23" w14:textId="4E6C7E6E" w:rsidR="00C33F34" w:rsidRPr="004B44DC" w:rsidRDefault="00DF4518" w:rsidP="00C33F34">
      <w:pPr>
        <w:rPr>
          <w:rStyle w:val="Heading2Char"/>
          <w:b/>
        </w:rPr>
      </w:pPr>
      <w:r>
        <w:rPr>
          <w:rStyle w:val="Heading2Char"/>
          <w:b/>
        </w:rPr>
        <w:t xml:space="preserve">Forced sterilization in Canada </w:t>
      </w:r>
    </w:p>
    <w:p w14:paraId="6A5F9D2E" w14:textId="461B4A2F" w:rsidR="000A596F" w:rsidRDefault="000A596F" w:rsidP="00732750">
      <w:pPr>
        <w:pStyle w:val="ListParagraph"/>
        <w:numPr>
          <w:ilvl w:val="0"/>
          <w:numId w:val="4"/>
        </w:numPr>
      </w:pPr>
      <w:r w:rsidRPr="000A596F">
        <w:t xml:space="preserve">The 1980 Supreme Court of Canada (SCC) </w:t>
      </w:r>
      <w:proofErr w:type="spellStart"/>
      <w:r w:rsidRPr="000A596F">
        <w:t>Hopp</w:t>
      </w:r>
      <w:proofErr w:type="spellEnd"/>
      <w:r w:rsidRPr="000A596F">
        <w:t xml:space="preserve"> v. </w:t>
      </w:r>
      <w:proofErr w:type="spellStart"/>
      <w:r w:rsidRPr="000A596F">
        <w:t>Lepp</w:t>
      </w:r>
      <w:proofErr w:type="spellEnd"/>
      <w:r w:rsidR="00742E5B" w:rsidRPr="00CA1202">
        <w:rPr>
          <w:vertAlign w:val="superscript"/>
        </w:rPr>
        <w:footnoteReference w:id="22"/>
      </w:r>
      <w:r w:rsidR="00742E5B" w:rsidRPr="000A596F">
        <w:t xml:space="preserve"> </w:t>
      </w:r>
      <w:r w:rsidRPr="000A596F">
        <w:t>decision determined the legal importance of fully informed consent. In 1986 SCC decision E. (Mrs.) v. Eve made the practice of forced or compulsory sterilization illegal in Canada,</w:t>
      </w:r>
      <w:r w:rsidR="00742E5B" w:rsidRPr="00E620A1">
        <w:rPr>
          <w:vertAlign w:val="superscript"/>
        </w:rPr>
        <w:footnoteReference w:id="23"/>
      </w:r>
      <w:r w:rsidR="00742E5B" w:rsidRPr="000A596F">
        <w:t xml:space="preserve"> </w:t>
      </w:r>
      <w:r w:rsidRPr="000A596F">
        <w:t>and solidified that parents/guardians of people with disabilities cannot force their consent or consent on their behalf. However, involuntary sterilizations are still being practiced because of the historical legacy of ableist, racist</w:t>
      </w:r>
      <w:r w:rsidR="005579E4">
        <w:t>,</w:t>
      </w:r>
      <w:r w:rsidRPr="000A596F">
        <w:t xml:space="preserve"> and colonial state policies which position Indigenous women and women with disabilities as vulnerable and without agency which can in turn create situations where guardians, doctors, and third parties influence and coerce women’s consent.</w:t>
      </w:r>
    </w:p>
    <w:p w14:paraId="247C38D6" w14:textId="77777777" w:rsidR="000A596F" w:rsidRDefault="000A596F" w:rsidP="000A596F">
      <w:pPr>
        <w:pStyle w:val="ListParagraph"/>
      </w:pPr>
    </w:p>
    <w:p w14:paraId="3EF17564" w14:textId="63AFCB5C" w:rsidR="00425475" w:rsidRPr="003B2EE7" w:rsidRDefault="004C7E7F" w:rsidP="00732750">
      <w:pPr>
        <w:pStyle w:val="ListParagraph"/>
        <w:numPr>
          <w:ilvl w:val="0"/>
          <w:numId w:val="4"/>
        </w:numPr>
      </w:pPr>
      <w:r w:rsidRPr="003B2EE7">
        <w:t>In November 2015, media outlets released reports of women in the province of Saskatchewan having undergone forced sterilization</w:t>
      </w:r>
      <w:r w:rsidR="002937D3" w:rsidRPr="003B2EE7">
        <w:t xml:space="preserve"> in the last five years</w:t>
      </w:r>
      <w:r w:rsidRPr="003B2EE7">
        <w:t>.</w:t>
      </w:r>
      <w:r w:rsidR="00C60168" w:rsidRPr="003B2EE7">
        <w:rPr>
          <w:rStyle w:val="FootnoteReference"/>
        </w:rPr>
        <w:footnoteReference w:id="24"/>
      </w:r>
      <w:r w:rsidRPr="003B2EE7">
        <w:t xml:space="preserve"> </w:t>
      </w:r>
      <w:r w:rsidR="00C60168" w:rsidRPr="003B2EE7">
        <w:t>The women reported being pressured by health professionals and social workers to undergo tubal ligation surgeries.</w:t>
      </w:r>
      <w:r w:rsidR="00EF58DC" w:rsidRPr="003B2EE7">
        <w:t xml:space="preserve"> In response, the regional health authority commi</w:t>
      </w:r>
      <w:r w:rsidR="002158AE" w:rsidRPr="003B2EE7">
        <w:t xml:space="preserve">tted to launching an </w:t>
      </w:r>
      <w:r w:rsidR="002158AE" w:rsidRPr="003B2EE7">
        <w:lastRenderedPageBreak/>
        <w:t>independent</w:t>
      </w:r>
      <w:r w:rsidR="00EF58DC" w:rsidRPr="003B2EE7">
        <w:t xml:space="preserve"> investigation </w:t>
      </w:r>
      <w:r w:rsidR="000229DC" w:rsidRPr="003B2EE7">
        <w:t>to examine</w:t>
      </w:r>
      <w:r w:rsidR="00565188" w:rsidRPr="003B2EE7">
        <w:t xml:space="preserve"> the issue</w:t>
      </w:r>
      <w:r w:rsidR="00EF58DC" w:rsidRPr="003B2EE7">
        <w:t xml:space="preserve">. </w:t>
      </w:r>
      <w:r w:rsidR="008F6D36" w:rsidRPr="003B2EE7">
        <w:t>Many advocates believe there are other women in Canada</w:t>
      </w:r>
      <w:r w:rsidR="0016432B" w:rsidRPr="003B2EE7">
        <w:t>, particularly Indigenous women,</w:t>
      </w:r>
      <w:r w:rsidR="008F6D36" w:rsidRPr="003B2EE7">
        <w:t xml:space="preserve"> who have had similar experience</w:t>
      </w:r>
      <w:r w:rsidR="00E90D7E" w:rsidRPr="003B2EE7">
        <w:t>s</w:t>
      </w:r>
      <w:r w:rsidR="008F6D36" w:rsidRPr="003B2EE7">
        <w:t xml:space="preserve"> within the health care system</w:t>
      </w:r>
      <w:r w:rsidR="00A44E00" w:rsidRPr="003B2EE7">
        <w:t>.</w:t>
      </w:r>
      <w:r w:rsidR="00A44E00" w:rsidRPr="003B2EE7">
        <w:rPr>
          <w:rStyle w:val="FootnoteReference"/>
        </w:rPr>
        <w:t xml:space="preserve"> </w:t>
      </w:r>
      <w:r w:rsidR="00A44E00" w:rsidRPr="003B2EE7">
        <w:rPr>
          <w:rStyle w:val="FootnoteReference"/>
        </w:rPr>
        <w:footnoteReference w:id="25"/>
      </w:r>
      <w:r w:rsidR="00AA4882" w:rsidRPr="003B2EE7">
        <w:rPr>
          <w:rStyle w:val="FootnoteReference"/>
        </w:rPr>
        <w:t xml:space="preserve"> </w:t>
      </w:r>
      <w:r w:rsidR="00251300" w:rsidRPr="003B2EE7">
        <w:rPr>
          <w:rStyle w:val="FootnoteReference"/>
        </w:rPr>
        <w:t xml:space="preserve"> </w:t>
      </w:r>
    </w:p>
    <w:p w14:paraId="5031463C" w14:textId="77777777" w:rsidR="00425475" w:rsidRDefault="00425475" w:rsidP="00425475">
      <w:pPr>
        <w:pStyle w:val="ListParagraph"/>
      </w:pPr>
    </w:p>
    <w:p w14:paraId="0F18388C" w14:textId="2090C8F4" w:rsidR="00742E5B" w:rsidRDefault="00C372B2" w:rsidP="00732750">
      <w:pPr>
        <w:pStyle w:val="ListParagraph"/>
        <w:numPr>
          <w:ilvl w:val="0"/>
          <w:numId w:val="4"/>
        </w:numPr>
      </w:pPr>
      <w:r>
        <w:t xml:space="preserve">A </w:t>
      </w:r>
      <w:r w:rsidR="00425475" w:rsidRPr="00425475">
        <w:t>2017 report</w:t>
      </w:r>
      <w:r w:rsidR="00742E5B" w:rsidRPr="00C372B2">
        <w:rPr>
          <w:vertAlign w:val="superscript"/>
        </w:rPr>
        <w:footnoteReference w:id="26"/>
      </w:r>
      <w:r w:rsidR="00742E5B" w:rsidRPr="00425475">
        <w:t xml:space="preserve"> </w:t>
      </w:r>
      <w:r w:rsidR="00425475" w:rsidRPr="00425475">
        <w:t>confirmed that many women had similar experiences of being forced or coerced towards tubal ligation within the health care system.</w:t>
      </w:r>
      <w:r w:rsidR="00742E5B" w:rsidRPr="003D57B7">
        <w:rPr>
          <w:vertAlign w:val="superscript"/>
        </w:rPr>
        <w:footnoteReference w:id="27"/>
      </w:r>
      <w:r w:rsidR="00742E5B" w:rsidRPr="00425475">
        <w:t xml:space="preserve"> </w:t>
      </w:r>
      <w:r w:rsidR="00425475" w:rsidRPr="00425475">
        <w:t xml:space="preserve">The report proposed </w:t>
      </w:r>
      <w:proofErr w:type="gramStart"/>
      <w:r w:rsidR="00425475" w:rsidRPr="00425475">
        <w:t>a number of</w:t>
      </w:r>
      <w:proofErr w:type="gramEnd"/>
      <w:r w:rsidR="00425475" w:rsidRPr="00425475">
        <w:t xml:space="preserve"> concrete recommendations to be acted upon by the </w:t>
      </w:r>
      <w:r w:rsidR="005579E4">
        <w:t>P</w:t>
      </w:r>
      <w:r w:rsidR="00425475" w:rsidRPr="00425475">
        <w:t xml:space="preserve">rovince and the </w:t>
      </w:r>
      <w:r w:rsidR="005579E4">
        <w:t>F</w:t>
      </w:r>
      <w:r w:rsidR="00425475" w:rsidRPr="00425475">
        <w:t xml:space="preserve">ederal </w:t>
      </w:r>
      <w:r w:rsidR="005579E4">
        <w:t>G</w:t>
      </w:r>
      <w:r w:rsidR="00425475" w:rsidRPr="00425475">
        <w:t xml:space="preserve">overnment, including a recommendation to launch a national inquiry into forced tubal ligation among across the country. </w:t>
      </w:r>
      <w:r w:rsidR="00425475" w:rsidRPr="001C7707">
        <w:t>In October 2017</w:t>
      </w:r>
      <w:r w:rsidR="005579E4">
        <w:t>,</w:t>
      </w:r>
      <w:r w:rsidR="00425475" w:rsidRPr="001C7707">
        <w:t xml:space="preserve"> a class action suit representing </w:t>
      </w:r>
      <w:r w:rsidR="005579E4">
        <w:t>55</w:t>
      </w:r>
      <w:r w:rsidR="00425475" w:rsidRPr="001C7707">
        <w:t xml:space="preserve"> Indigenous women was filed against the province of Saskatchewan</w:t>
      </w:r>
      <w:r w:rsidR="00742E5B" w:rsidRPr="00C2459F">
        <w:rPr>
          <w:vertAlign w:val="superscript"/>
        </w:rPr>
        <w:footnoteReference w:id="28"/>
      </w:r>
      <w:r w:rsidR="005579E4">
        <w:t>,</w:t>
      </w:r>
      <w:r w:rsidR="00425475" w:rsidRPr="00C2459F">
        <w:rPr>
          <w:vertAlign w:val="superscript"/>
        </w:rPr>
        <w:t xml:space="preserve"> </w:t>
      </w:r>
      <w:r w:rsidR="00425475" w:rsidRPr="001C7707">
        <w:t xml:space="preserve">the </w:t>
      </w:r>
      <w:r w:rsidR="005579E4">
        <w:t>F</w:t>
      </w:r>
      <w:r w:rsidR="00425475" w:rsidRPr="001C7707">
        <w:t xml:space="preserve">ederal </w:t>
      </w:r>
      <w:r w:rsidR="005579E4">
        <w:t>Go</w:t>
      </w:r>
      <w:r w:rsidR="00425475" w:rsidRPr="001C7707">
        <w:t>vernment, regional health authorities</w:t>
      </w:r>
      <w:r w:rsidR="005579E4">
        <w:t>,</w:t>
      </w:r>
      <w:r w:rsidR="00425475" w:rsidRPr="001C7707">
        <w:t xml:space="preserve"> and individual physicians regarding recent incidents of forced sterilization of women in Saskatchewan. Intergenerational trauma on mental and sexual health</w:t>
      </w:r>
      <w:r w:rsidR="005579E4">
        <w:t>,</w:t>
      </w:r>
      <w:r w:rsidR="00425475" w:rsidRPr="001C7707">
        <w:t xml:space="preserve"> as well as the history of how accessing reproductive health care</w:t>
      </w:r>
      <w:r w:rsidR="005579E4">
        <w:t>,</w:t>
      </w:r>
      <w:r w:rsidR="00425475" w:rsidRPr="001C7707">
        <w:t xml:space="preserve"> has impacted Indigenous people (and other marginalized communities) and show that can impact the trust between patients/clients and providers.</w:t>
      </w:r>
      <w:r w:rsidR="00742E5B" w:rsidRPr="00DC00A2">
        <w:rPr>
          <w:vertAlign w:val="superscript"/>
        </w:rPr>
        <w:footnoteReference w:id="29"/>
      </w:r>
      <w:r w:rsidR="009C57E1">
        <w:t xml:space="preserve"> According to recent information from </w:t>
      </w:r>
      <w:r w:rsidR="00922621">
        <w:t>the attorneys representing forcibly sterilized Indigenous women in class actions, occurrence persists even after and despite recommendations and concerns issued by UN treaty bodies, Special Procedures</w:t>
      </w:r>
      <w:r w:rsidR="0052110C">
        <w:t>,</w:t>
      </w:r>
      <w:r w:rsidR="00922621">
        <w:t xml:space="preserve"> and the Inter-American Commission.</w:t>
      </w:r>
      <w:r w:rsidR="00922621">
        <w:rPr>
          <w:rStyle w:val="FootnoteReference"/>
        </w:rPr>
        <w:footnoteReference w:id="30"/>
      </w:r>
      <w:r w:rsidR="00922621">
        <w:t xml:space="preserve"> New amends are being made to the existing class action</w:t>
      </w:r>
      <w:r w:rsidR="00B51C21">
        <w:t xml:space="preserve"> to include more women</w:t>
      </w:r>
      <w:r w:rsidR="00922621">
        <w:t xml:space="preserve"> and new class actions are being prepared for different jurisdictions.</w:t>
      </w:r>
      <w:r w:rsidR="00922621">
        <w:rPr>
          <w:rStyle w:val="FootnoteReference"/>
        </w:rPr>
        <w:footnoteReference w:id="31"/>
      </w:r>
      <w:r w:rsidR="00922621">
        <w:t xml:space="preserve"> </w:t>
      </w:r>
    </w:p>
    <w:p w14:paraId="366AB994" w14:textId="77777777" w:rsidR="008C72BD" w:rsidRPr="00B35F11" w:rsidRDefault="008C72BD" w:rsidP="008C72BD">
      <w:pPr>
        <w:pStyle w:val="ListParagraph"/>
        <w:rPr>
          <w:highlight w:val="yellow"/>
        </w:rPr>
      </w:pPr>
    </w:p>
    <w:p w14:paraId="45CC440F" w14:textId="4A299307" w:rsidR="00BD73A9" w:rsidRPr="00E76C40" w:rsidRDefault="00055697" w:rsidP="00732750">
      <w:pPr>
        <w:pStyle w:val="ListParagraph"/>
        <w:numPr>
          <w:ilvl w:val="0"/>
          <w:numId w:val="4"/>
        </w:numPr>
      </w:pPr>
      <w:r w:rsidRPr="00E76C40">
        <w:t>According to the Native Youth Sexual Health Network</w:t>
      </w:r>
      <w:r w:rsidR="003B7F0A" w:rsidRPr="00E76C40">
        <w:t xml:space="preserve"> (NYSHN)</w:t>
      </w:r>
      <w:r w:rsidRPr="00E76C40">
        <w:t>, forms of sterilization persi</w:t>
      </w:r>
      <w:r w:rsidR="009F076F" w:rsidRPr="00E76C40">
        <w:t xml:space="preserve">st among Indigenous </w:t>
      </w:r>
      <w:r w:rsidR="00957A43">
        <w:t>c</w:t>
      </w:r>
      <w:r w:rsidR="009F076F" w:rsidRPr="00E76C40">
        <w:t>ommunities.</w:t>
      </w:r>
      <w:r w:rsidR="000454AC" w:rsidRPr="00E76C40">
        <w:rPr>
          <w:vertAlign w:val="superscript"/>
        </w:rPr>
        <w:footnoteReference w:id="32"/>
      </w:r>
      <w:r w:rsidR="003B7F0A" w:rsidRPr="00E76C40">
        <w:t xml:space="preserve"> NYSHN writes that </w:t>
      </w:r>
      <w:r w:rsidR="00A117FB" w:rsidRPr="00E76C40">
        <w:t xml:space="preserve">‘modern forms of </w:t>
      </w:r>
      <w:r w:rsidR="003B7F0A" w:rsidRPr="00E76C40">
        <w:t>forced sterilization</w:t>
      </w:r>
      <w:r w:rsidR="00A117FB" w:rsidRPr="00E76C40">
        <w:t>’</w:t>
      </w:r>
      <w:r w:rsidR="003B7F0A" w:rsidRPr="00E76C40">
        <w:t xml:space="preserve"> </w:t>
      </w:r>
      <w:r w:rsidR="00E97D87" w:rsidRPr="00E76C40">
        <w:t>occur</w:t>
      </w:r>
      <w:r w:rsidR="00A117FB" w:rsidRPr="00E76C40">
        <w:t xml:space="preserve"> </w:t>
      </w:r>
      <w:r w:rsidR="003B7F0A" w:rsidRPr="00E76C40">
        <w:t>through the “over-prescription of Depo-Provera to Indigenous youth, which has been proven to cause signs of infertility when over-used.”</w:t>
      </w:r>
      <w:r w:rsidR="009F76AA" w:rsidRPr="00E76C40">
        <w:rPr>
          <w:vertAlign w:val="superscript"/>
        </w:rPr>
        <w:t xml:space="preserve"> </w:t>
      </w:r>
      <w:r w:rsidR="009F76AA" w:rsidRPr="00E76C40">
        <w:rPr>
          <w:vertAlign w:val="superscript"/>
        </w:rPr>
        <w:footnoteReference w:id="33"/>
      </w:r>
      <w:r w:rsidR="00EA34C9" w:rsidRPr="00E76C40">
        <w:rPr>
          <w:vertAlign w:val="superscript"/>
        </w:rPr>
        <w:t xml:space="preserve"> </w:t>
      </w:r>
      <w:r w:rsidR="00381E94" w:rsidRPr="00E76C40">
        <w:t xml:space="preserve">NYSHN </w:t>
      </w:r>
      <w:r w:rsidR="00E97D87" w:rsidRPr="00E76C40">
        <w:t xml:space="preserve">has </w:t>
      </w:r>
      <w:r w:rsidR="00381E94" w:rsidRPr="00E76C40">
        <w:t>also repor</w:t>
      </w:r>
      <w:r w:rsidR="00E97D87" w:rsidRPr="00E76C40">
        <w:t>ted</w:t>
      </w:r>
      <w:r w:rsidR="00381E94" w:rsidRPr="00E76C40">
        <w:t xml:space="preserve"> incidences </w:t>
      </w:r>
      <w:r w:rsidR="0022650B" w:rsidRPr="00E76C40">
        <w:t>of forced sterilization in Canadian prisons.</w:t>
      </w:r>
      <w:r w:rsidR="00381E94" w:rsidRPr="00E76C40">
        <w:rPr>
          <w:rStyle w:val="FootnoteReference"/>
        </w:rPr>
        <w:footnoteReference w:id="34"/>
      </w:r>
      <w:r w:rsidR="00381E94" w:rsidRPr="00E76C40">
        <w:t xml:space="preserve"> </w:t>
      </w:r>
      <w:r w:rsidR="00E6280E" w:rsidRPr="00E76C40">
        <w:t xml:space="preserve">At an institutional level, </w:t>
      </w:r>
      <w:r w:rsidR="00113A50" w:rsidRPr="00E76C40">
        <w:t>“th</w:t>
      </w:r>
      <w:r w:rsidR="008C72BD" w:rsidRPr="00E76C40">
        <w:t xml:space="preserve">e ideology that justified historical coerced sterilization continues to shape state and medical interventions in the reproductive lives of women, (especially) marginalized, racialized and Indigenous women, pressuring them to get sterilized for their own good, to save them and society from having </w:t>
      </w:r>
      <w:r w:rsidR="00E6280E" w:rsidRPr="00E76C40">
        <w:t>to care for additional children.</w:t>
      </w:r>
      <w:r w:rsidR="008C72BD" w:rsidRPr="00E76C40">
        <w:t>”</w:t>
      </w:r>
      <w:r w:rsidR="00E6280E" w:rsidRPr="00E76C40">
        <w:rPr>
          <w:rStyle w:val="FootnoteReference"/>
        </w:rPr>
        <w:footnoteReference w:id="35"/>
      </w:r>
      <w:r w:rsidR="00141887" w:rsidRPr="00E76C40">
        <w:t xml:space="preserve"> </w:t>
      </w:r>
      <w:r w:rsidR="00AC7BEB" w:rsidRPr="00E76C40">
        <w:t>This speaks to the l</w:t>
      </w:r>
      <w:r w:rsidR="00141887" w:rsidRPr="00E76C40">
        <w:t xml:space="preserve">ongstanding forms of </w:t>
      </w:r>
      <w:r w:rsidR="00141887" w:rsidRPr="00E76C40">
        <w:lastRenderedPageBreak/>
        <w:t xml:space="preserve">systemic racism, and other types of discrimination, </w:t>
      </w:r>
      <w:r w:rsidR="005E0486" w:rsidRPr="00E76C40">
        <w:t xml:space="preserve">that have </w:t>
      </w:r>
      <w:r w:rsidR="00141887" w:rsidRPr="00E76C40">
        <w:t xml:space="preserve">contributed to </w:t>
      </w:r>
      <w:r w:rsidR="00A76661" w:rsidRPr="00E76C40">
        <w:t xml:space="preserve">the </w:t>
      </w:r>
      <w:r w:rsidR="006E601E" w:rsidRPr="00E76C40">
        <w:t>marginalization of Indigenous peop</w:t>
      </w:r>
      <w:r w:rsidR="0081285F" w:rsidRPr="00E76C40">
        <w:t>le</w:t>
      </w:r>
      <w:r w:rsidR="00DB3591">
        <w:t>s</w:t>
      </w:r>
      <w:r w:rsidR="0081285F" w:rsidRPr="00E76C40">
        <w:t xml:space="preserve"> in Canada</w:t>
      </w:r>
      <w:r w:rsidR="00D74EE2" w:rsidRPr="00E76C40">
        <w:t xml:space="preserve">. Such forms of marginalization and discrimination </w:t>
      </w:r>
      <w:r w:rsidR="0081285F" w:rsidRPr="00E76C40">
        <w:t xml:space="preserve">can </w:t>
      </w:r>
      <w:r w:rsidR="00A4284E" w:rsidRPr="00E76C40">
        <w:t>lead to</w:t>
      </w:r>
      <w:r w:rsidR="005D77F7" w:rsidRPr="00E76C40">
        <w:t xml:space="preserve"> barriers in access to health </w:t>
      </w:r>
      <w:r w:rsidR="00C436F6" w:rsidRPr="00E76C40">
        <w:t xml:space="preserve">care </w:t>
      </w:r>
      <w:r w:rsidR="009E254E" w:rsidRPr="00E76C40">
        <w:t xml:space="preserve">and negative </w:t>
      </w:r>
      <w:r w:rsidR="007A4E84" w:rsidRPr="00E76C40">
        <w:rPr>
          <w:noProof/>
          <w:lang w:eastAsia="en-CA"/>
        </w:rPr>
        <mc:AlternateContent>
          <mc:Choice Requires="wps">
            <w:drawing>
              <wp:anchor distT="45720" distB="45720" distL="114300" distR="114300" simplePos="0" relativeHeight="251666432" behindDoc="0" locked="0" layoutInCell="1" allowOverlap="1" wp14:anchorId="7C0810FE" wp14:editId="6C701793">
                <wp:simplePos x="0" y="0"/>
                <wp:positionH relativeFrom="margin">
                  <wp:align>right</wp:align>
                </wp:positionH>
                <wp:positionV relativeFrom="paragraph">
                  <wp:posOffset>772795</wp:posOffset>
                </wp:positionV>
                <wp:extent cx="6838950" cy="1371600"/>
                <wp:effectExtent l="0" t="0" r="19050" b="1905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38950" cy="1371600"/>
                        </a:xfrm>
                        <a:prstGeom prst="rect">
                          <a:avLst/>
                        </a:prstGeom>
                        <a:solidFill>
                          <a:srgbClr val="FFFFFF"/>
                        </a:solidFill>
                        <a:ln w="9525">
                          <a:solidFill>
                            <a:srgbClr val="000000"/>
                          </a:solidFill>
                          <a:miter lim="800000"/>
                          <a:headEnd/>
                          <a:tailEnd/>
                        </a:ln>
                      </wps:spPr>
                      <wps:txbx>
                        <w:txbxContent>
                          <w:p w14:paraId="3F62F45A" w14:textId="77777777" w:rsidR="006A4359" w:rsidRPr="00FE4564" w:rsidRDefault="006A4359" w:rsidP="006A4359">
                            <w:pPr>
                              <w:pStyle w:val="Heading3"/>
                              <w:spacing w:after="40"/>
                              <w:rPr>
                                <w:bCs/>
                                <w:lang w:val="en-GB"/>
                              </w:rPr>
                            </w:pPr>
                            <w:r w:rsidRPr="00FE4564">
                              <w:rPr>
                                <w:rStyle w:val="Heading2Char"/>
                                <w:bCs/>
                                <w:sz w:val="32"/>
                              </w:rPr>
                              <w:t xml:space="preserve">Recommended Questions to be included in the List of Issues </w:t>
                            </w:r>
                          </w:p>
                          <w:p w14:paraId="51F2EFCD" w14:textId="72D7B5A1" w:rsidR="00A07EE1" w:rsidRPr="002F6BBF" w:rsidRDefault="00A07EE1" w:rsidP="004378BF">
                            <w:r>
                              <w:t xml:space="preserve">Recognizing </w:t>
                            </w:r>
                            <w:r w:rsidRPr="001759B2">
                              <w:t>recent instances of health professional</w:t>
                            </w:r>
                            <w:r>
                              <w:t xml:space="preserve">s use of sterilization against the will of the patient, </w:t>
                            </w:r>
                          </w:p>
                          <w:p w14:paraId="6FE67C64" w14:textId="5426317D" w:rsidR="00A07EE1" w:rsidRPr="0035226F" w:rsidRDefault="00A07EE1" w:rsidP="00732750">
                            <w:pPr>
                              <w:pStyle w:val="ListParagraph"/>
                              <w:numPr>
                                <w:ilvl w:val="0"/>
                                <w:numId w:val="2"/>
                              </w:numPr>
                              <w:spacing w:before="120" w:line="259" w:lineRule="auto"/>
                            </w:pPr>
                            <w:r>
                              <w:t>What steps has the Government of Canada taken to investigate instances of forced sterilization, provide reparations to the victims of forced sterilization</w:t>
                            </w:r>
                            <w:r w:rsidR="002C2DD4">
                              <w:t>,</w:t>
                            </w:r>
                            <w:r>
                              <w:t xml:space="preserve"> and ensure the non-repetition of forced sterilization, particularly among Indigenous Women?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C0810FE" id="_x0000_t202" coordsize="21600,21600" o:spt="202" path="m,l,21600r21600,l21600,xe">
                <v:stroke joinstyle="miter"/>
                <v:path gradientshapeok="t" o:connecttype="rect"/>
              </v:shapetype>
              <v:shape id="Text Box 2" o:spid="_x0000_s1026" type="#_x0000_t202" style="position:absolute;left:0;text-align:left;margin-left:487.3pt;margin-top:60.85pt;width:538.5pt;height:108pt;z-index:25166643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">
                <v:textbox>
                  <w:txbxContent>
                    <w:p w14:paraId="3F62F45A" w14:textId="77777777" w:rsidR="006A4359" w:rsidRPr="00FE4564" w:rsidRDefault="006A4359" w:rsidP="006A4359">
                      <w:pPr>
                        <w:pStyle w:val="Heading3"/>
                        <w:spacing w:after="40"/>
                        <w:rPr>
                          <w:bCs/>
                          <w:lang w:val="en-GB"/>
                        </w:rPr>
                      </w:pPr>
                      <w:r w:rsidRPr="00FE4564">
                        <w:rPr>
                          <w:rStyle w:val="Heading2Char"/>
                          <w:bCs/>
                          <w:sz w:val="32"/>
                        </w:rPr>
                        <w:t xml:space="preserve">Recommended Questions to be included in the List of Issues </w:t>
                      </w:r>
                    </w:p>
                    <w:p w14:paraId="51F2EFCD" w14:textId="72D7B5A1" w:rsidR="00A07EE1" w:rsidRPr="002F6BBF" w:rsidRDefault="00A07EE1" w:rsidP="004378BF">
                      <w:r>
                        <w:t xml:space="preserve">Recognizing </w:t>
                      </w:r>
                      <w:r w:rsidRPr="001759B2">
                        <w:t>recent instances of health professional</w:t>
                      </w:r>
                      <w:r>
                        <w:t xml:space="preserve">s use of sterilization against the will of the patient, </w:t>
                      </w:r>
                    </w:p>
                    <w:p w14:paraId="6FE67C64" w14:textId="5426317D" w:rsidR="00A07EE1" w:rsidRPr="0035226F" w:rsidRDefault="00A07EE1" w:rsidP="00732750">
                      <w:pPr>
                        <w:pStyle w:val="ListParagraph"/>
                        <w:numPr>
                          <w:ilvl w:val="0"/>
                          <w:numId w:val="2"/>
                        </w:numPr>
                        <w:spacing w:before="120" w:line="259" w:lineRule="auto"/>
                      </w:pPr>
                      <w:r>
                        <w:t>What steps has the Government of Canada taken to investigate instances of forced sterilization, provide reparations to the victims of forced sterilization</w:t>
                      </w:r>
                      <w:r w:rsidR="002C2DD4">
                        <w:t>,</w:t>
                      </w:r>
                      <w:r>
                        <w:t xml:space="preserve"> and ensure the non-repetition of forced sterilization, particularly among Indigenous Women?</w:t>
                      </w:r>
                    </w:p>
                  </w:txbxContent>
                </v:textbox>
                <w10:wrap type="square" anchorx="margin"/>
              </v:shape>
            </w:pict>
          </mc:Fallback>
        </mc:AlternateContent>
      </w:r>
      <w:r w:rsidR="009E254E" w:rsidRPr="00E76C40">
        <w:t>health outcomes.</w:t>
      </w:r>
    </w:p>
    <w:p w14:paraId="2A348EB2" w14:textId="28FB4241" w:rsidR="00100AF7" w:rsidRDefault="00100AF7" w:rsidP="00BC26BB">
      <w:pPr>
        <w:spacing w:before="160"/>
        <w:rPr>
          <w:rStyle w:val="Heading2Char"/>
          <w:b/>
        </w:rPr>
      </w:pPr>
      <w:bookmarkStart w:id="1" w:name="_Toc462997896"/>
    </w:p>
    <w:p w14:paraId="2E8623A2" w14:textId="180AA382" w:rsidR="00BC26BB" w:rsidRPr="00D57912" w:rsidRDefault="00BC26BB" w:rsidP="00BC26BB">
      <w:pPr>
        <w:spacing w:before="160"/>
        <w:rPr>
          <w:rStyle w:val="Heading2Char"/>
          <w:b/>
        </w:rPr>
      </w:pPr>
      <w:r w:rsidRPr="00D57912">
        <w:rPr>
          <w:rStyle w:val="Heading2Char"/>
          <w:b/>
        </w:rPr>
        <w:t>B</w:t>
      </w:r>
      <w:r w:rsidR="004C0F11" w:rsidRPr="00D57912">
        <w:rPr>
          <w:rStyle w:val="Heading2Char"/>
          <w:b/>
        </w:rPr>
        <w:t>ACKGROUND</w:t>
      </w:r>
      <w:r w:rsidRPr="00D57912">
        <w:rPr>
          <w:rStyle w:val="Heading2Char"/>
          <w:b/>
        </w:rPr>
        <w:t>: health and safety of sex workers</w:t>
      </w:r>
      <w:bookmarkEnd w:id="1"/>
    </w:p>
    <w:p w14:paraId="75E81F08" w14:textId="22AE57D1" w:rsidR="005E1629" w:rsidRPr="00EE43DA" w:rsidRDefault="000366DF" w:rsidP="00732750">
      <w:pPr>
        <w:pStyle w:val="ListParagraph"/>
        <w:numPr>
          <w:ilvl w:val="0"/>
          <w:numId w:val="4"/>
        </w:numPr>
      </w:pPr>
      <w:r w:rsidRPr="00EE43DA">
        <w:t>T</w:t>
      </w:r>
      <w:r w:rsidR="007D7910" w:rsidRPr="00EE43DA">
        <w:t xml:space="preserve">he Committee </w:t>
      </w:r>
      <w:r w:rsidRPr="00EE43DA">
        <w:t xml:space="preserve">has </w:t>
      </w:r>
      <w:r w:rsidR="003B4DB4" w:rsidRPr="00EE43DA">
        <w:t>expressed concern regarding the criminalization of sex work resulting in rights violations, exposure to harassment</w:t>
      </w:r>
      <w:r w:rsidR="00EA596C" w:rsidRPr="00EE43DA">
        <w:t>,</w:t>
      </w:r>
      <w:r w:rsidR="003B4DB4" w:rsidRPr="00EE43DA">
        <w:t xml:space="preserve"> and arbitrary arrest and detention, resulting in sex workers not being able to report physical and sexual violence against them.</w:t>
      </w:r>
      <w:r w:rsidR="00DA4B15" w:rsidRPr="00EE43DA">
        <w:rPr>
          <w:rStyle w:val="FootnoteReference"/>
        </w:rPr>
        <w:footnoteReference w:id="36"/>
      </w:r>
      <w:r w:rsidR="003B4DB4" w:rsidRPr="00EE43DA">
        <w:t xml:space="preserve"> The Committee</w:t>
      </w:r>
      <w:r w:rsidRPr="00EE43DA">
        <w:t xml:space="preserve"> </w:t>
      </w:r>
      <w:r w:rsidR="005E7FD9" w:rsidRPr="00EE43DA">
        <w:t xml:space="preserve">has </w:t>
      </w:r>
      <w:r w:rsidR="00764627" w:rsidRPr="00EE43DA">
        <w:t>call</w:t>
      </w:r>
      <w:r w:rsidR="005E7FD9" w:rsidRPr="00EE43DA">
        <w:t>ed</w:t>
      </w:r>
      <w:r w:rsidR="00764627" w:rsidRPr="00EE43DA">
        <w:t xml:space="preserve"> to end the arrests of sex workers, </w:t>
      </w:r>
      <w:r w:rsidR="005E7FD9" w:rsidRPr="00EE43DA">
        <w:t xml:space="preserve">consider </w:t>
      </w:r>
      <w:r w:rsidR="00764627" w:rsidRPr="00EE43DA">
        <w:t>decriminaliz</w:t>
      </w:r>
      <w:r w:rsidR="005E7FD9" w:rsidRPr="00EE43DA">
        <w:t>ing</w:t>
      </w:r>
      <w:r w:rsidR="00764627" w:rsidRPr="00EE43DA">
        <w:t xml:space="preserve"> sex work</w:t>
      </w:r>
      <w:r w:rsidR="00EA596C" w:rsidRPr="00EE43DA">
        <w:t>,</w:t>
      </w:r>
      <w:r w:rsidR="00764627" w:rsidRPr="00EE43DA">
        <w:t xml:space="preserve"> </w:t>
      </w:r>
      <w:r w:rsidR="00FC7126" w:rsidRPr="00EE43DA">
        <w:t xml:space="preserve">and </w:t>
      </w:r>
      <w:r w:rsidR="00764627" w:rsidRPr="00EE43DA">
        <w:t>provide assistance and support to victims of harassment, violence</w:t>
      </w:r>
      <w:r w:rsidR="00EA596C" w:rsidRPr="00EE43DA">
        <w:t>,</w:t>
      </w:r>
      <w:r w:rsidR="00764627" w:rsidRPr="00EE43DA">
        <w:t xml:space="preserve"> and exploitations.</w:t>
      </w:r>
      <w:r w:rsidR="007D7910" w:rsidRPr="00EE43DA">
        <w:rPr>
          <w:vertAlign w:val="superscript"/>
        </w:rPr>
        <w:footnoteReference w:id="37"/>
      </w:r>
      <w:r w:rsidR="00D57B6D" w:rsidRPr="00EE43DA">
        <w:t xml:space="preserve"> </w:t>
      </w:r>
    </w:p>
    <w:p w14:paraId="1AD5859D" w14:textId="77777777" w:rsidR="005E1629" w:rsidRPr="00E027EF" w:rsidRDefault="005E1629" w:rsidP="005E1629">
      <w:pPr>
        <w:pStyle w:val="ListParagraph"/>
        <w:rPr>
          <w:highlight w:val="yellow"/>
        </w:rPr>
      </w:pPr>
    </w:p>
    <w:p w14:paraId="6B11C123" w14:textId="55DEBC4E" w:rsidR="00BC26BB" w:rsidRPr="002E698C" w:rsidRDefault="00BC26BB" w:rsidP="00732750">
      <w:pPr>
        <w:pStyle w:val="ListParagraph"/>
        <w:numPr>
          <w:ilvl w:val="0"/>
          <w:numId w:val="4"/>
        </w:numPr>
      </w:pPr>
      <w:r w:rsidRPr="002E698C">
        <w:t>Laws that criminalize sex work violate sex workers’ right to be free from discrimination, stereotyping</w:t>
      </w:r>
      <w:r w:rsidR="00EA596C" w:rsidRPr="002E698C">
        <w:t>,</w:t>
      </w:r>
      <w:r w:rsidRPr="002E698C">
        <w:t xml:space="preserve"> and violence, including in the areas of health, employment</w:t>
      </w:r>
      <w:r w:rsidR="00EA596C" w:rsidRPr="002E698C">
        <w:t>,</w:t>
      </w:r>
      <w:r w:rsidRPr="002E698C">
        <w:t xml:space="preserve"> and access to justice. Sex work laws force sex workers, clients</w:t>
      </w:r>
      <w:r w:rsidR="00EA596C" w:rsidRPr="002E698C">
        <w:t>,</w:t>
      </w:r>
      <w:r w:rsidRPr="002E698C">
        <w:t xml:space="preserve"> and third parties into unsafe and unprotected areas. They restrict access to important safety strategies, resulting in significant and profound negative consequences on sex workers’ right to health, security, safety, and equality. Such laws represent violations under </w:t>
      </w:r>
      <w:r w:rsidR="00A325F1" w:rsidRPr="002E698C">
        <w:t>a</w:t>
      </w:r>
      <w:r w:rsidRPr="002E698C">
        <w:t xml:space="preserve">rticle 12 as interpreted by the Committee, the work of the Special Rapporteur on the right to health and the work of the Special Rapporteur on extreme poverty and human rights. States are obligated to show due diligence in the protection of sex workers’ human rights through the enactment and reform of evidence and rights-based laws and policies and by addressing the intersecting and layered systems of oppression that impact sex workers’ experiences. </w:t>
      </w:r>
      <w:r w:rsidR="006B5469" w:rsidRPr="002E698C">
        <w:t>The Special Rapporteur on the right to health has condemned the criminalization, full or asymmetrical, of sex work as violating sex workers’ right to health by creating barriers to their access to health services, which can lead to poor health outcomes.</w:t>
      </w:r>
      <w:r w:rsidR="006B5469" w:rsidRPr="002E698C">
        <w:rPr>
          <w:vertAlign w:val="superscript"/>
        </w:rPr>
        <w:footnoteReference w:id="38"/>
      </w:r>
      <w:r w:rsidR="00FA7798" w:rsidRPr="002E698C">
        <w:t xml:space="preserve"> </w:t>
      </w:r>
      <w:r w:rsidRPr="002E698C">
        <w:t xml:space="preserve">UN agencies, including UNAIDS, </w:t>
      </w:r>
      <w:r w:rsidR="00ED52C6" w:rsidRPr="002E698C">
        <w:t>World Health Organization</w:t>
      </w:r>
      <w:r w:rsidR="00257048">
        <w:t>,</w:t>
      </w:r>
      <w:r w:rsidR="00ED52C6" w:rsidRPr="002E698C">
        <w:t xml:space="preserve"> and the International Organization for Migration</w:t>
      </w:r>
      <w:r w:rsidR="00FD6C3C" w:rsidRPr="002E698C">
        <w:t>,</w:t>
      </w:r>
      <w:r w:rsidR="00ED52C6" w:rsidRPr="002E698C">
        <w:t xml:space="preserve"> </w:t>
      </w:r>
      <w:r w:rsidRPr="002E698C">
        <w:t xml:space="preserve">support the decriminalization of sex work. </w:t>
      </w:r>
    </w:p>
    <w:p w14:paraId="232B39E7" w14:textId="11A1494A" w:rsidR="00BC26BB" w:rsidRPr="004B44DC" w:rsidRDefault="001B057C" w:rsidP="00BC26BB">
      <w:pPr>
        <w:rPr>
          <w:rStyle w:val="Heading2Char"/>
          <w:b/>
        </w:rPr>
      </w:pPr>
      <w:r>
        <w:rPr>
          <w:rStyle w:val="Heading2Char"/>
          <w:b/>
        </w:rPr>
        <w:t xml:space="preserve">Sex work in Canada </w:t>
      </w:r>
    </w:p>
    <w:p w14:paraId="4C5912D5" w14:textId="744CD7E6" w:rsidR="00BC26BB" w:rsidRPr="006618E2" w:rsidRDefault="00C01D6C" w:rsidP="00ED52C6">
      <w:pPr>
        <w:pStyle w:val="ListParagraph"/>
        <w:numPr>
          <w:ilvl w:val="0"/>
          <w:numId w:val="4"/>
        </w:numPr>
      </w:pPr>
      <w:r w:rsidRPr="006618E2">
        <w:t xml:space="preserve">In 2016, the CEDAW Committee recommended that Canada decriminalize women engaged in sex work. Canada has failed to take any action since then. </w:t>
      </w:r>
      <w:r w:rsidR="00BC26BB" w:rsidRPr="006618E2">
        <w:rPr>
          <w:lang w:val="en-GB"/>
        </w:rPr>
        <w:t>The criminalization of sex work (including third parties and clients)</w:t>
      </w:r>
      <w:r w:rsidR="00BC26BB" w:rsidRPr="006618E2">
        <w:rPr>
          <w:rStyle w:val="FootnoteReference"/>
          <w:lang w:val="en-GB"/>
        </w:rPr>
        <w:footnoteReference w:id="39"/>
      </w:r>
      <w:r w:rsidR="00BC26BB" w:rsidRPr="006618E2">
        <w:rPr>
          <w:lang w:val="en-GB"/>
        </w:rPr>
        <w:t xml:space="preserve"> in Canada </w:t>
      </w:r>
      <w:r w:rsidR="00BC26BB" w:rsidRPr="006618E2">
        <w:rPr>
          <w:lang w:val="en-GB"/>
        </w:rPr>
        <w:lastRenderedPageBreak/>
        <w:t xml:space="preserve">represents violations of </w:t>
      </w:r>
      <w:r w:rsidR="00A325F1" w:rsidRPr="006618E2">
        <w:rPr>
          <w:lang w:val="en-GB"/>
        </w:rPr>
        <w:t>a</w:t>
      </w:r>
      <w:r w:rsidR="00BC26BB" w:rsidRPr="006618E2">
        <w:rPr>
          <w:lang w:val="en-GB"/>
        </w:rPr>
        <w:t xml:space="preserve">rticle 12 </w:t>
      </w:r>
      <w:r w:rsidR="005E7FD9" w:rsidRPr="006618E2">
        <w:rPr>
          <w:lang w:val="en-GB"/>
        </w:rPr>
        <w:t xml:space="preserve">of the CEDAW </w:t>
      </w:r>
      <w:r w:rsidR="00BC26BB" w:rsidRPr="006618E2">
        <w:rPr>
          <w:lang w:val="en-GB"/>
        </w:rPr>
        <w:t>as interpreted by th</w:t>
      </w:r>
      <w:r w:rsidR="005E7FD9" w:rsidRPr="006618E2">
        <w:rPr>
          <w:lang w:val="en-GB"/>
        </w:rPr>
        <w:t>at</w:t>
      </w:r>
      <w:r w:rsidR="00BC26BB" w:rsidRPr="006618E2">
        <w:rPr>
          <w:lang w:val="en-GB"/>
        </w:rPr>
        <w:t xml:space="preserve"> Committee. The Government of Canada, despite having the responsibility and authority to address these human rights violations, has failed to respect and protect sex workers’ human rights.</w:t>
      </w:r>
      <w:r w:rsidR="00BC26BB" w:rsidRPr="006618E2">
        <w:t xml:space="preserve"> </w:t>
      </w:r>
    </w:p>
    <w:p w14:paraId="10344CE6" w14:textId="77777777" w:rsidR="00BC26BB" w:rsidRPr="006A31CD" w:rsidRDefault="00BC26BB" w:rsidP="00BC26BB">
      <w:pPr>
        <w:pStyle w:val="ListParagraph"/>
        <w:rPr>
          <w:highlight w:val="yellow"/>
        </w:rPr>
      </w:pPr>
    </w:p>
    <w:p w14:paraId="4176CD06" w14:textId="685ED036" w:rsidR="00BC26BB" w:rsidRPr="00D60424" w:rsidRDefault="00BC26BB" w:rsidP="00ED52C6">
      <w:pPr>
        <w:pStyle w:val="ListParagraph"/>
        <w:numPr>
          <w:ilvl w:val="0"/>
          <w:numId w:val="4"/>
        </w:numPr>
      </w:pPr>
      <w:r w:rsidRPr="00D60424">
        <w:t>In 2013 the Supreme Court of Canada (SCC) struck down elements of the Criminal Code that were determined to violate the rights of sex workers by undermining their health and safety. In response, the federal government tabled Bill C-36 in 2014</w:t>
      </w:r>
      <w:r>
        <w:t xml:space="preserve">, the </w:t>
      </w:r>
      <w:r w:rsidRPr="005B389B">
        <w:rPr>
          <w:i/>
          <w:iCs/>
        </w:rPr>
        <w:t>Protection of Communities and Exploited Persons Act</w:t>
      </w:r>
      <w:r>
        <w:t xml:space="preserve"> (</w:t>
      </w:r>
      <w:r w:rsidRPr="00D60424">
        <w:t>PCEPA</w:t>
      </w:r>
      <w:r>
        <w:t>).</w:t>
      </w:r>
      <w:r w:rsidRPr="00D60424">
        <w:t xml:space="preserve"> PCEPA effectively criminalizes the purchase of sexual services; communicating for the purpose of purchasing and selling sexual services; receiving a material benefit from the crimes of purchasing sexual services or communicating to obtain them; procuring a person to offer or provide sexual services for consideration; and prohibiting advertising of sexual services. With PCEPA, the </w:t>
      </w:r>
      <w:r w:rsidR="00E76B0D">
        <w:t>F</w:t>
      </w:r>
      <w:r w:rsidRPr="00D60424">
        <w:t xml:space="preserve">ederal </w:t>
      </w:r>
      <w:r w:rsidR="00E76B0D">
        <w:t>G</w:t>
      </w:r>
      <w:r w:rsidRPr="00D60424">
        <w:t>overnment reinstated provisions very similar to those already found by the SCC to be harmful to sex workers’ lives, health</w:t>
      </w:r>
      <w:r w:rsidR="00E76B0D">
        <w:t>,</w:t>
      </w:r>
      <w:r w:rsidRPr="00D60424">
        <w:t xml:space="preserve"> and safety. This approach continues to impose danger, increase </w:t>
      </w:r>
      <w:r>
        <w:t>surveillance and over</w:t>
      </w:r>
      <w:r w:rsidR="00E76B0D">
        <w:t>-</w:t>
      </w:r>
      <w:r>
        <w:t>policing</w:t>
      </w:r>
      <w:r w:rsidRPr="00D60424">
        <w:t>, decrease agency, provide little control over working conditions</w:t>
      </w:r>
      <w:r w:rsidR="00E76B0D">
        <w:t>,</w:t>
      </w:r>
      <w:r w:rsidRPr="00D60424">
        <w:t xml:space="preserve"> and reduce safe</w:t>
      </w:r>
      <w:r>
        <w:t>ty</w:t>
      </w:r>
      <w:r w:rsidRPr="00D60424">
        <w:t xml:space="preserve"> for sex workers. </w:t>
      </w:r>
    </w:p>
    <w:p w14:paraId="05A4453C" w14:textId="77777777" w:rsidR="00BC26BB" w:rsidRPr="006A31CD" w:rsidRDefault="00BC26BB" w:rsidP="00BC26BB">
      <w:pPr>
        <w:pStyle w:val="ListParagraph"/>
        <w:rPr>
          <w:highlight w:val="yellow"/>
        </w:rPr>
      </w:pPr>
    </w:p>
    <w:p w14:paraId="058BB2BA" w14:textId="749B7A85" w:rsidR="00BC26BB" w:rsidRDefault="00BC26BB" w:rsidP="00ED52C6">
      <w:pPr>
        <w:pStyle w:val="ListParagraph"/>
        <w:numPr>
          <w:ilvl w:val="0"/>
          <w:numId w:val="4"/>
        </w:numPr>
      </w:pPr>
      <w:r>
        <w:t>E</w:t>
      </w:r>
      <w:r w:rsidRPr="00151C5C">
        <w:t>viden</w:t>
      </w:r>
      <w:r w:rsidR="00FE7D06">
        <w:t>c</w:t>
      </w:r>
      <w:r w:rsidRPr="00151C5C">
        <w:t xml:space="preserve">e from Canada and throughout the world clearly indicates that </w:t>
      </w:r>
      <w:r>
        <w:t>criminalization</w:t>
      </w:r>
      <w:r w:rsidRPr="00151C5C">
        <w:t xml:space="preserve"> forces sex workers into unsafe and unprotected areas restricting access to important safety strategies that can have significant and profound negative consequences on sex workers’ health, security, safety, equality</w:t>
      </w:r>
      <w:r w:rsidR="00E76B0D">
        <w:t>,</w:t>
      </w:r>
      <w:r w:rsidRPr="00151C5C">
        <w:t xml:space="preserve"> and human rights.</w:t>
      </w:r>
      <w:r w:rsidRPr="00151C5C">
        <w:rPr>
          <w:rStyle w:val="FootnoteReference"/>
        </w:rPr>
        <w:footnoteReference w:id="40"/>
      </w:r>
      <w:r w:rsidRPr="00151C5C">
        <w:t xml:space="preserve"> In the context of the right to health, the criminalization of both the selling and/or the purchase of sexual services: creates fear among sex workers that they may face legal consequences or harassment if they carry condoms and lubricant, which can be used as evidence of sex work,</w:t>
      </w:r>
      <w:r w:rsidRPr="00151C5C">
        <w:rPr>
          <w:rStyle w:val="FootnoteReference"/>
        </w:rPr>
        <w:footnoteReference w:id="41"/>
      </w:r>
      <w:r w:rsidRPr="00151C5C">
        <w:t xml:space="preserve"> reduces sex workers’ ability to negotiate safer sex with clients, on the street as well as indoors or on the phone,</w:t>
      </w:r>
      <w:r w:rsidRPr="00151C5C">
        <w:rPr>
          <w:rStyle w:val="FootnoteReference"/>
        </w:rPr>
        <w:footnoteReference w:id="42"/>
      </w:r>
      <w:r w:rsidRPr="00151C5C">
        <w:t xml:space="preserve"> affects the relationship between sex workers and any service providers (such as those providing condoms and harm reduction supplies)</w:t>
      </w:r>
      <w:r w:rsidR="00E76B0D">
        <w:t>,</w:t>
      </w:r>
      <w:r w:rsidRPr="00151C5C">
        <w:t xml:space="preserve"> as sex workers may fear being identified as sex workers which could lead to police entrapment,</w:t>
      </w:r>
      <w:r w:rsidRPr="00151C5C">
        <w:rPr>
          <w:vertAlign w:val="superscript"/>
        </w:rPr>
        <w:footnoteReference w:id="43"/>
      </w:r>
      <w:r w:rsidRPr="00151C5C">
        <w:t xml:space="preserve"> and heightens risks of HIV and other sexually transmitted infections</w:t>
      </w:r>
      <w:r w:rsidR="00E76B0D">
        <w:t>,</w:t>
      </w:r>
      <w:r w:rsidRPr="00151C5C">
        <w:t xml:space="preserve"> as sex workers face substantial barriers in accessing prevention, treatment, and care services, largely because of stigma, discrimination</w:t>
      </w:r>
      <w:r w:rsidR="00E76B0D">
        <w:t>,</w:t>
      </w:r>
      <w:r w:rsidRPr="00151C5C">
        <w:t xml:space="preserve"> and criminalization. According to the Lancet, decriminalization of sex work was determined to be the single most efficient structural intervention to reduce HIV infections among sex workers through reducing the risk of violence.</w:t>
      </w:r>
      <w:r w:rsidRPr="00151C5C">
        <w:rPr>
          <w:rStyle w:val="FootnoteReference"/>
        </w:rPr>
        <w:footnoteReference w:id="44"/>
      </w:r>
      <w:r w:rsidRPr="00151C5C">
        <w:t xml:space="preserve"> The </w:t>
      </w:r>
      <w:r w:rsidRPr="00151C5C">
        <w:lastRenderedPageBreak/>
        <w:t>criminalization of sex work increases the likelihood of additional violation of sex workers’ human rights, namely the right to live free of violence and the right to bodily autonomy and women’s agency.</w:t>
      </w:r>
      <w:r w:rsidRPr="00151C5C">
        <w:rPr>
          <w:rStyle w:val="FootnoteReference"/>
        </w:rPr>
        <w:footnoteReference w:id="45"/>
      </w:r>
      <w:r w:rsidRPr="00151C5C">
        <w:t xml:space="preserve"> </w:t>
      </w:r>
    </w:p>
    <w:p w14:paraId="38B8702A" w14:textId="77777777" w:rsidR="005D386C" w:rsidRDefault="005D386C" w:rsidP="005D386C">
      <w:pPr>
        <w:pStyle w:val="ListParagraph"/>
      </w:pPr>
    </w:p>
    <w:p w14:paraId="57323EF2" w14:textId="7D8A8B7C" w:rsidR="00F936AB" w:rsidRDefault="006618E2" w:rsidP="00ED52C6">
      <w:pPr>
        <w:pStyle w:val="ListParagraph"/>
        <w:numPr>
          <w:ilvl w:val="0"/>
          <w:numId w:val="4"/>
        </w:numPr>
      </w:pPr>
      <w:r w:rsidRPr="00B35F11">
        <w:rPr>
          <w:noProof/>
          <w:highlight w:val="yellow"/>
          <w:lang w:eastAsia="en-CA"/>
        </w:rPr>
        <mc:AlternateContent>
          <mc:Choice Requires="wps">
            <w:drawing>
              <wp:anchor distT="45720" distB="45720" distL="114300" distR="114300" simplePos="0" relativeHeight="251671552" behindDoc="0" locked="0" layoutInCell="1" allowOverlap="1" wp14:anchorId="1EE9A91C" wp14:editId="6E741FA4">
                <wp:simplePos x="0" y="0"/>
                <wp:positionH relativeFrom="margin">
                  <wp:align>right</wp:align>
                </wp:positionH>
                <wp:positionV relativeFrom="paragraph">
                  <wp:posOffset>3323590</wp:posOffset>
                </wp:positionV>
                <wp:extent cx="6838950" cy="1864995"/>
                <wp:effectExtent l="0" t="0" r="19050" b="2095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38950" cy="1864995"/>
                        </a:xfrm>
                        <a:prstGeom prst="rect">
                          <a:avLst/>
                        </a:prstGeom>
                        <a:solidFill>
                          <a:srgbClr val="FFFFFF"/>
                        </a:solidFill>
                        <a:ln w="9525">
                          <a:solidFill>
                            <a:srgbClr val="000000"/>
                          </a:solidFill>
                          <a:miter lim="800000"/>
                          <a:headEnd/>
                          <a:tailEnd/>
                        </a:ln>
                      </wps:spPr>
                      <wps:txbx>
                        <w:txbxContent>
                          <w:p w14:paraId="60FDA90C" w14:textId="77777777" w:rsidR="00EF19E1" w:rsidRPr="00FE4564" w:rsidRDefault="00EF19E1" w:rsidP="00EF19E1">
                            <w:pPr>
                              <w:pStyle w:val="Heading3"/>
                              <w:spacing w:after="40"/>
                              <w:rPr>
                                <w:bCs/>
                                <w:lang w:val="en-GB"/>
                              </w:rPr>
                            </w:pPr>
                            <w:r w:rsidRPr="00FE4564">
                              <w:rPr>
                                <w:rStyle w:val="Heading2Char"/>
                                <w:bCs/>
                                <w:sz w:val="32"/>
                              </w:rPr>
                              <w:t xml:space="preserve">Recommended Questions to be included in the List of Issues </w:t>
                            </w:r>
                          </w:p>
                          <w:p w14:paraId="7E4B281E" w14:textId="77777777" w:rsidR="00EF19E1" w:rsidRPr="00DE0C67" w:rsidRDefault="00EF19E1" w:rsidP="00EF19E1">
                            <w:r w:rsidRPr="00DE0C67">
                              <w:t xml:space="preserve">Recognizing ongoing violations of sex workers’ right to health and safety, </w:t>
                            </w:r>
                          </w:p>
                          <w:p w14:paraId="244F0348" w14:textId="77777777" w:rsidR="00EF19E1" w:rsidRDefault="00EF19E1" w:rsidP="00EF19E1">
                            <w:pPr>
                              <w:pStyle w:val="ListParagraph"/>
                              <w:numPr>
                                <w:ilvl w:val="0"/>
                                <w:numId w:val="2"/>
                              </w:numPr>
                              <w:tabs>
                                <w:tab w:val="num" w:pos="360"/>
                              </w:tabs>
                              <w:spacing w:before="120" w:line="259" w:lineRule="auto"/>
                              <w:ind w:left="0" w:firstLine="0"/>
                              <w:contextualSpacing w:val="0"/>
                            </w:pPr>
                            <w:r w:rsidRPr="00DE0C67">
                              <w:t>What steps has the Government of Canada taken to respect, protect and fulfill sex workers’ rights</w:t>
                            </w:r>
                            <w:r>
                              <w:t xml:space="preserve"> by removing all criminal sanctions against sex work?</w:t>
                            </w:r>
                          </w:p>
                          <w:p w14:paraId="063DA8B7" w14:textId="77777777" w:rsidR="00EF19E1" w:rsidRPr="00BC26BB" w:rsidRDefault="00EF19E1" w:rsidP="00EF19E1">
                            <w:pPr>
                              <w:pStyle w:val="ListParagraph"/>
                              <w:numPr>
                                <w:ilvl w:val="0"/>
                                <w:numId w:val="2"/>
                              </w:numPr>
                              <w:tabs>
                                <w:tab w:val="num" w:pos="360"/>
                              </w:tabs>
                              <w:spacing w:before="120" w:line="259" w:lineRule="auto"/>
                              <w:ind w:left="0" w:firstLine="0"/>
                              <w:contextualSpacing w:val="0"/>
                            </w:pPr>
                            <w:r w:rsidRPr="00BC26BB">
                              <w:t>What</w:t>
                            </w:r>
                            <w:r>
                              <w:t xml:space="preserve"> steps will </w:t>
                            </w:r>
                            <w:r w:rsidRPr="00BC26BB">
                              <w:t xml:space="preserve">the </w:t>
                            </w:r>
                            <w:r>
                              <w:t xml:space="preserve">Government of Canada take to </w:t>
                            </w:r>
                            <w:r w:rsidRPr="00BC26BB">
                              <w:t>ensure that laws</w:t>
                            </w:r>
                            <w:r>
                              <w:t xml:space="preserve">, policies, and </w:t>
                            </w:r>
                            <w:r w:rsidRPr="00BC26BB">
                              <w:t>programs, including those targeting human trafficking, do not infringe on sex workers' fundamental rights to health, labour protections, and security of the person?</w:t>
                            </w:r>
                          </w:p>
                          <w:p w14:paraId="067E39DE" w14:textId="77777777" w:rsidR="00EF19E1" w:rsidRPr="00DE0C67" w:rsidRDefault="00EF19E1" w:rsidP="00EF19E1">
                            <w:pPr>
                              <w:spacing w:before="120" w:line="259" w:lineRule="auto"/>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E9A91C" id="_x0000_s1027" type="#_x0000_t202" style="position:absolute;left:0;text-align:left;margin-left:487.3pt;margin-top:261.7pt;width:538.5pt;height:146.85pt;z-index:25167155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">
                <v:textbox>
                  <w:txbxContent>
                    <w:p w14:paraId="60FDA90C" w14:textId="77777777" w:rsidR="00EF19E1" w:rsidRPr="00FE4564" w:rsidRDefault="00EF19E1" w:rsidP="00EF19E1">
                      <w:pPr>
                        <w:pStyle w:val="Heading3"/>
                        <w:spacing w:after="40"/>
                        <w:rPr>
                          <w:bCs/>
                          <w:lang w:val="en-GB"/>
                        </w:rPr>
                      </w:pPr>
                      <w:r w:rsidRPr="00FE4564">
                        <w:rPr>
                          <w:rStyle w:val="Heading2Char"/>
                          <w:bCs/>
                          <w:sz w:val="32"/>
                        </w:rPr>
                        <w:t xml:space="preserve">Recommended Questions to be included in the List of Issues </w:t>
                      </w:r>
                    </w:p>
                    <w:p w14:paraId="7E4B281E" w14:textId="77777777" w:rsidR="00EF19E1" w:rsidRPr="00DE0C67" w:rsidRDefault="00EF19E1" w:rsidP="00EF19E1">
                      <w:r w:rsidRPr="00DE0C67">
                        <w:t xml:space="preserve">Recognizing ongoing violations of sex workers’ right to health and safety, </w:t>
                      </w:r>
                    </w:p>
                    <w:p w14:paraId="244F0348" w14:textId="77777777" w:rsidR="00EF19E1" w:rsidRDefault="00EF19E1" w:rsidP="00EF19E1">
                      <w:pPr>
                        <w:pStyle w:val="ListParagraph"/>
                        <w:numPr>
                          <w:ilvl w:val="0"/>
                          <w:numId w:val="2"/>
                        </w:numPr>
                        <w:tabs>
                          <w:tab w:val="num" w:pos="360"/>
                        </w:tabs>
                        <w:spacing w:before="120" w:line="259" w:lineRule="auto"/>
                        <w:ind w:left="0" w:firstLine="0"/>
                        <w:contextualSpacing w:val="0"/>
                      </w:pPr>
                      <w:r w:rsidRPr="00DE0C67">
                        <w:t>What steps has the Government of Canada taken to respect, protect and fulfill sex workers’ rights</w:t>
                      </w:r>
                      <w:r>
                        <w:t xml:space="preserve"> by removing all criminal sanctions against sex work?</w:t>
                      </w:r>
                    </w:p>
                    <w:p w14:paraId="063DA8B7" w14:textId="77777777" w:rsidR="00EF19E1" w:rsidRPr="00BC26BB" w:rsidRDefault="00EF19E1" w:rsidP="00EF19E1">
                      <w:pPr>
                        <w:pStyle w:val="ListParagraph"/>
                        <w:numPr>
                          <w:ilvl w:val="0"/>
                          <w:numId w:val="2"/>
                        </w:numPr>
                        <w:tabs>
                          <w:tab w:val="num" w:pos="360"/>
                        </w:tabs>
                        <w:spacing w:before="120" w:line="259" w:lineRule="auto"/>
                        <w:ind w:left="0" w:firstLine="0"/>
                        <w:contextualSpacing w:val="0"/>
                      </w:pPr>
                      <w:r w:rsidRPr="00BC26BB">
                        <w:t>What</w:t>
                      </w:r>
                      <w:r>
                        <w:t xml:space="preserve"> steps will </w:t>
                      </w:r>
                      <w:r w:rsidRPr="00BC26BB">
                        <w:t xml:space="preserve">the </w:t>
                      </w:r>
                      <w:r>
                        <w:t xml:space="preserve">Government of Canada take to </w:t>
                      </w:r>
                      <w:r w:rsidRPr="00BC26BB">
                        <w:t>ensure that laws</w:t>
                      </w:r>
                      <w:r>
                        <w:t xml:space="preserve">, policies, and </w:t>
                      </w:r>
                      <w:r w:rsidRPr="00BC26BB">
                        <w:t>programs, including those targeting human trafficking, do not infringe on sex workers' fundamental rights to health, labour protections, and security of the person?</w:t>
                      </w:r>
                    </w:p>
                    <w:p w14:paraId="067E39DE" w14:textId="77777777" w:rsidR="00EF19E1" w:rsidRPr="00DE0C67" w:rsidRDefault="00EF19E1" w:rsidP="00EF19E1">
                      <w:pPr>
                        <w:spacing w:before="120" w:line="259" w:lineRule="auto"/>
                      </w:pPr>
                    </w:p>
                  </w:txbxContent>
                </v:textbox>
                <w10:wrap type="square" anchorx="margin"/>
              </v:shape>
            </w:pict>
          </mc:Fallback>
        </mc:AlternateContent>
      </w:r>
      <w:r w:rsidR="00F936AB" w:rsidRPr="00465291">
        <w:t>Migrant sex workers are at particularly at risk of experiencing human rights violations, detainment</w:t>
      </w:r>
      <w:r w:rsidR="00E76B0D">
        <w:t>,</w:t>
      </w:r>
      <w:r w:rsidR="00F936AB" w:rsidRPr="00465291">
        <w:t xml:space="preserve"> and deportation. </w:t>
      </w:r>
      <w:r w:rsidR="007E4EF5">
        <w:t>R</w:t>
      </w:r>
      <w:r w:rsidR="00F936AB" w:rsidRPr="00465291">
        <w:t>eports suggest migrant women sex workers are being targeted, creating environments of fear which further limit sex workers’ ability to access health services, report incidences of violence, or seek broader support services.</w:t>
      </w:r>
      <w:r w:rsidR="00F936AB" w:rsidRPr="00465291">
        <w:rPr>
          <w:vertAlign w:val="superscript"/>
        </w:rPr>
        <w:footnoteReference w:id="46"/>
      </w:r>
      <w:r w:rsidR="00F936AB" w:rsidRPr="00465291">
        <w:t xml:space="preserve"> Canada’s sex work-related laws do not explicitly address migrant sex workers but their stated objective is to “ensure consistency between prostitution offences and the existing human trafficking offences.” The laws rests on the incorrect conflation of consensual sex work with coercion or trafficking, which prohibits the former. Human trafficking frameworks are therefore being applied to the context of sex work,</w:t>
      </w:r>
      <w:r w:rsidR="00F936AB" w:rsidRPr="00465291">
        <w:rPr>
          <w:vertAlign w:val="superscript"/>
        </w:rPr>
        <w:footnoteReference w:id="47"/>
      </w:r>
      <w:r w:rsidR="00F936AB" w:rsidRPr="00465291">
        <w:t xml:space="preserve"> which limits meaningful dialogue about the rights of sex workers and creates the assumption that all sex workers are victims.</w:t>
      </w:r>
      <w:r w:rsidR="00F936AB" w:rsidRPr="00465291">
        <w:rPr>
          <w:vertAlign w:val="superscript"/>
        </w:rPr>
        <w:footnoteReference w:id="48"/>
      </w:r>
      <w:r w:rsidR="00F936AB" w:rsidRPr="00465291">
        <w:rPr>
          <w:vertAlign w:val="superscript"/>
        </w:rPr>
        <w:t xml:space="preserve"> </w:t>
      </w:r>
      <w:r w:rsidR="00F936AB" w:rsidRPr="00465291">
        <w:t xml:space="preserve">The new laws therefore uphold misconceptions about sex work and sex workers: that all sex workers are women or that they are inherently victims. It positions all sex workers, and by extension women, as vulnerable or in need of state protection. This approach denies sex workers, and women more generally, their agency as rational decision-makers who each navigate </w:t>
      </w:r>
      <w:proofErr w:type="gramStart"/>
      <w:r w:rsidR="00F936AB" w:rsidRPr="00465291">
        <w:t>more or less constrained</w:t>
      </w:r>
      <w:proofErr w:type="gramEnd"/>
      <w:r w:rsidR="00F936AB" w:rsidRPr="00465291">
        <w:t xml:space="preserve"> choices. It is also important to consider that Canada has existing laws that directly target exploitation, violence and non-consensual sexual activities, including those that prohibit physical assault, sexual assault, threatening, harassment, murder, extortion, human trafficking</w:t>
      </w:r>
      <w:r w:rsidR="00E76B0D">
        <w:t>,</w:t>
      </w:r>
      <w:r w:rsidR="00F936AB" w:rsidRPr="00465291">
        <w:t xml:space="preserve"> and child exploitation. </w:t>
      </w:r>
    </w:p>
    <w:p w14:paraId="033E4520" w14:textId="6F11161F" w:rsidR="0013228E" w:rsidRDefault="0013228E" w:rsidP="0013228E"/>
    <w:p w14:paraId="42E3C6A4" w14:textId="47908AC5" w:rsidR="00E027EF" w:rsidRPr="004B44DC" w:rsidRDefault="00E027EF" w:rsidP="00E027EF">
      <w:pPr>
        <w:rPr>
          <w:rStyle w:val="Heading2Char"/>
          <w:b/>
        </w:rPr>
      </w:pPr>
      <w:r w:rsidRPr="004B44DC">
        <w:rPr>
          <w:rStyle w:val="Heading2Char"/>
          <w:b/>
        </w:rPr>
        <w:t xml:space="preserve">BACKGROUND: Comprehensive sexuality education </w:t>
      </w:r>
    </w:p>
    <w:p w14:paraId="37486AB4" w14:textId="30DCAA86" w:rsidR="00E027EF" w:rsidRPr="006618E2" w:rsidRDefault="00E027EF" w:rsidP="00EE43DA">
      <w:pPr>
        <w:pStyle w:val="ListParagraph"/>
        <w:numPr>
          <w:ilvl w:val="0"/>
          <w:numId w:val="4"/>
        </w:numPr>
      </w:pPr>
      <w:r w:rsidRPr="006618E2">
        <w:t>Sexuality education is recognized as a basic human right of all children and youth in both the Annual Report of the Special Rapporteur on the right to education to the UN General Assembly in 2010,</w:t>
      </w:r>
      <w:r w:rsidRPr="006618E2">
        <w:rPr>
          <w:rStyle w:val="FootnoteReference"/>
        </w:rPr>
        <w:footnoteReference w:id="49"/>
      </w:r>
      <w:r w:rsidRPr="006618E2">
        <w:t xml:space="preserve"> General Comment No. 4 of the Committee on the Rights of the Child,</w:t>
      </w:r>
      <w:r w:rsidRPr="006618E2">
        <w:rPr>
          <w:rStyle w:val="FootnoteReference"/>
        </w:rPr>
        <w:footnoteReference w:id="50"/>
      </w:r>
      <w:r w:rsidRPr="006618E2">
        <w:t xml:space="preserve"> and UN Committee on Economic, Social and Cultural Rights General Comment</w:t>
      </w:r>
      <w:r w:rsidR="00B85D70" w:rsidRPr="006618E2">
        <w:t xml:space="preserve"> No.</w:t>
      </w:r>
      <w:r w:rsidRPr="006618E2">
        <w:t xml:space="preserve"> 22.</w:t>
      </w:r>
      <w:r w:rsidRPr="006618E2">
        <w:rPr>
          <w:rStyle w:val="FootnoteReference"/>
        </w:rPr>
        <w:footnoteReference w:id="51"/>
      </w:r>
      <w:r w:rsidRPr="006618E2">
        <w:t xml:space="preserve"> </w:t>
      </w:r>
      <w:r w:rsidR="00B85D70" w:rsidRPr="006618E2">
        <w:t>States’ obligation to provide sexuality education, is a requisite for the realization of the rights to education, to health and non-discrimination, among others.</w:t>
      </w:r>
      <w:r w:rsidR="00B85D70" w:rsidRPr="006618E2">
        <w:rPr>
          <w:rStyle w:val="FootnoteReference"/>
        </w:rPr>
        <w:footnoteReference w:id="52"/>
      </w:r>
      <w:r w:rsidR="00B85D70" w:rsidRPr="006618E2">
        <w:t xml:space="preserve"> </w:t>
      </w:r>
      <w:r w:rsidR="00212F41" w:rsidRPr="006618E2">
        <w:t xml:space="preserve">In words of this Committee, </w:t>
      </w:r>
      <w:r w:rsidR="00212F41" w:rsidRPr="006618E2">
        <w:rPr>
          <w:b/>
        </w:rPr>
        <w:t>States must “ensure that all educational institutions incorporate unbiased, scientifically accurate, evidence-based, age-appropriate and comprehensive sexuality education into their required curricula.”</w:t>
      </w:r>
      <w:r w:rsidR="00212F41" w:rsidRPr="006618E2">
        <w:rPr>
          <w:rStyle w:val="FootnoteReference"/>
        </w:rPr>
        <w:footnoteReference w:id="53"/>
      </w:r>
      <w:r w:rsidR="00212F41" w:rsidRPr="006618E2">
        <w:t xml:space="preserve"> </w:t>
      </w:r>
      <w:r w:rsidRPr="006618E2">
        <w:t>When effectively implemented, comprehensive sexuality education contributes to the reduction of the transmission of sexually transmitted infections, gender-based violence, stigma, and discrimination, unwanted pregnancies, and the development of healthy sexual and non-sexual relationships, among other outcomes.</w:t>
      </w:r>
      <w:r w:rsidRPr="006618E2">
        <w:rPr>
          <w:rStyle w:val="FootnoteReference"/>
        </w:rPr>
        <w:footnoteReference w:id="54"/>
      </w:r>
      <w:r w:rsidRPr="006618E2">
        <w:rPr>
          <w:rFonts w:cs="Calibri"/>
          <w:lang w:val="en-GB"/>
        </w:rPr>
        <w:t xml:space="preserve"> </w:t>
      </w:r>
    </w:p>
    <w:p w14:paraId="70324F28" w14:textId="77777777" w:rsidR="00E027EF" w:rsidRPr="00E027EF" w:rsidRDefault="00E027EF" w:rsidP="00E027EF">
      <w:pPr>
        <w:pStyle w:val="ListParagraph"/>
        <w:rPr>
          <w:highlight w:val="yellow"/>
        </w:rPr>
      </w:pPr>
    </w:p>
    <w:p w14:paraId="5513B494" w14:textId="76768CC1" w:rsidR="00E027EF" w:rsidRPr="006618E2" w:rsidRDefault="00E027EF" w:rsidP="00EE43DA">
      <w:pPr>
        <w:pStyle w:val="ListParagraph"/>
        <w:numPr>
          <w:ilvl w:val="0"/>
          <w:numId w:val="4"/>
        </w:numPr>
      </w:pPr>
      <w:r w:rsidRPr="006618E2">
        <w:t>At the international level, Canada consistently works to advance progressive standards on comprehensive sexuality education, recognizing its linkages to violence against women, the right to health, and the right to education, amongst others.</w:t>
      </w:r>
      <w:r w:rsidRPr="006618E2">
        <w:rPr>
          <w:rStyle w:val="FootnoteReference"/>
        </w:rPr>
        <w:footnoteReference w:id="55"/>
      </w:r>
      <w:r w:rsidRPr="006618E2">
        <w:t xml:space="preserve"> At the national level, Canada has, in recent years, received numerous recommendations from human rights accountability </w:t>
      </w:r>
      <w:r w:rsidR="009859AE">
        <w:t>mechanisms</w:t>
      </w:r>
      <w:r w:rsidRPr="006618E2">
        <w:t xml:space="preserve"> calling for immediate action to realize young peoples’ right to comprehensive sexuality education.</w:t>
      </w:r>
      <w:r w:rsidR="00723669">
        <w:rPr>
          <w:rStyle w:val="FootnoteReference"/>
        </w:rPr>
        <w:footnoteReference w:id="56"/>
      </w:r>
      <w:r w:rsidRPr="006618E2">
        <w:t xml:space="preserve"> </w:t>
      </w:r>
      <w:r w:rsidR="00B85D70" w:rsidRPr="006618E2">
        <w:t>In 2016, t</w:t>
      </w:r>
      <w:r w:rsidRPr="006618E2">
        <w:t xml:space="preserve">he </w:t>
      </w:r>
      <w:r w:rsidR="00B85D70" w:rsidRPr="006618E2">
        <w:t xml:space="preserve">CEDAW </w:t>
      </w:r>
      <w:r w:rsidRPr="006618E2">
        <w:t xml:space="preserve">Committee called for Canada to harmonize sex education curricula among provinces and territories and allow the Federal Government to hold them accountable for implementing such guidelines or standards. In 2018, Canada received and accepted a recommendation as part of its UN Universal Periodic Review to </w:t>
      </w:r>
      <w:proofErr w:type="gramStart"/>
      <w:r w:rsidRPr="006618E2">
        <w:t>take action</w:t>
      </w:r>
      <w:proofErr w:type="gramEnd"/>
      <w:r w:rsidRPr="006618E2">
        <w:t xml:space="preserve"> to ensure equal access to comprehensive sexuality education across provinces and territories. The Government of Canada has failed to take meaningful steps to address discrepancies in access to comprehensive sexuality education across jurisdictions. </w:t>
      </w:r>
    </w:p>
    <w:p w14:paraId="70038620" w14:textId="6E1FFF8E" w:rsidR="00E027EF" w:rsidRPr="00C73B32" w:rsidRDefault="00E027EF" w:rsidP="00E027EF">
      <w:pPr>
        <w:rPr>
          <w:rStyle w:val="Heading2Char"/>
          <w:b/>
        </w:rPr>
      </w:pPr>
      <w:r>
        <w:rPr>
          <w:rStyle w:val="Heading2Char"/>
          <w:b/>
        </w:rPr>
        <w:t xml:space="preserve">Comprehensive sexuality education in Canada </w:t>
      </w:r>
    </w:p>
    <w:p w14:paraId="523D7D33" w14:textId="77777777" w:rsidR="00E027EF" w:rsidRDefault="00E027EF" w:rsidP="00EE43DA">
      <w:pPr>
        <w:pStyle w:val="ListParagraph"/>
        <w:numPr>
          <w:ilvl w:val="0"/>
          <w:numId w:val="4"/>
        </w:numPr>
      </w:pPr>
      <w:r w:rsidRPr="00B10360">
        <w:lastRenderedPageBreak/>
        <w:t xml:space="preserve">Documented discrepancies in the quality and delivery of comprehensive sexuality education curriculums in Canada represent violations of article 10 as interpreted within this cited work of the Committee. Specifically, the Government of Canada has failed to hold provinces and territories accountable </w:t>
      </w:r>
      <w:r>
        <w:t>for</w:t>
      </w:r>
      <w:r w:rsidRPr="00B10360">
        <w:t xml:space="preserve"> the delivery of comprehensive, quality, evidence-based sexuality education, in line with national guidelines for sexual health education and international human rights obligations. </w:t>
      </w:r>
      <w:r>
        <w:t xml:space="preserve">In </w:t>
      </w:r>
      <w:r w:rsidRPr="00265717">
        <w:t>2019</w:t>
      </w:r>
      <w:r>
        <w:t xml:space="preserve">, the </w:t>
      </w:r>
      <w:r w:rsidRPr="00265717">
        <w:t>Canadian guidelines for sexual health education by Sex Information and Education Council of Canada (SIECCAN)</w:t>
      </w:r>
      <w:r>
        <w:t xml:space="preserve">, endorsed by the Public Health Agency of Canada, were re-released. They are </w:t>
      </w:r>
      <w:r w:rsidRPr="00265717">
        <w:t xml:space="preserve">meant to guide educators and policy makers when it comes to comprehensive sexuality education in Canada. </w:t>
      </w:r>
      <w:r>
        <w:t xml:space="preserve">Since the launch of the Guidelines, the Government of Canada has not taken any steps to disseminate or raise awareness to the existence of the guidelines, nor has it engaged provinces and territories towards strengthening the quality or implementation of comprehensive sexuality education across jurisdictions in line with human rights obligations. </w:t>
      </w:r>
    </w:p>
    <w:p w14:paraId="1BF8E5DF" w14:textId="77777777" w:rsidR="00E027EF" w:rsidRDefault="00E027EF" w:rsidP="00E027EF">
      <w:pPr>
        <w:pStyle w:val="ListParagraph"/>
      </w:pPr>
    </w:p>
    <w:p w14:paraId="36975568" w14:textId="77777777" w:rsidR="00E027EF" w:rsidRPr="00AF6116" w:rsidRDefault="00E027EF" w:rsidP="00EE43DA">
      <w:pPr>
        <w:pStyle w:val="ListParagraph"/>
        <w:numPr>
          <w:ilvl w:val="0"/>
          <w:numId w:val="4"/>
        </w:numPr>
      </w:pPr>
      <w:r w:rsidRPr="00AF6116">
        <w:t xml:space="preserve">The </w:t>
      </w:r>
      <w:r>
        <w:t>F</w:t>
      </w:r>
      <w:r w:rsidRPr="00AF6116">
        <w:t xml:space="preserve">ederal </w:t>
      </w:r>
      <w:r>
        <w:t>G</w:t>
      </w:r>
      <w:r w:rsidRPr="00AF6116">
        <w:t>overnment has repeatedly shirked</w:t>
      </w:r>
      <w:r>
        <w:t xml:space="preserve"> responsibility for its human rights obligations concerning comprehensive sexuality education, stating the division of power between federal and provincial jurisdictions as reason for not taking a leadership role. Evidence clearly demonstrates that in the absence of standardized access to comprehensive sexuality education, young people are susceptible to experiencing poor sexual health outcomes, heightened levels of gender-based violence, and homophobic and transphobic bullying, among other negative consequences. Given the public health, violence, stigma, and discrimination impacts associated with the delivery of poor sexual health education, combined with its human rights obligations, there is </w:t>
      </w:r>
      <w:proofErr w:type="gramStart"/>
      <w:r>
        <w:t>sufficient</w:t>
      </w:r>
      <w:proofErr w:type="gramEnd"/>
      <w:r>
        <w:t xml:space="preserve"> scope for the Federal Government to play a leadership role eliminating discrepancies in access to comprehensive sexuality education across jurisdictions.    </w:t>
      </w:r>
    </w:p>
    <w:p w14:paraId="66B455DD" w14:textId="77777777" w:rsidR="00E027EF" w:rsidRPr="00AF6116" w:rsidRDefault="00E027EF" w:rsidP="00E027EF">
      <w:pPr>
        <w:pStyle w:val="ListParagraph"/>
        <w:rPr>
          <w:highlight w:val="yellow"/>
        </w:rPr>
      </w:pPr>
    </w:p>
    <w:p w14:paraId="2F4EEC62" w14:textId="77777777" w:rsidR="00E027EF" w:rsidRPr="00323019" w:rsidRDefault="00E027EF" w:rsidP="00EE43DA">
      <w:pPr>
        <w:pStyle w:val="ListParagraph"/>
        <w:numPr>
          <w:ilvl w:val="0"/>
          <w:numId w:val="4"/>
        </w:numPr>
        <w:spacing w:before="100" w:beforeAutospacing="1" w:after="100" w:afterAutospacing="1"/>
        <w:rPr>
          <w:rFonts w:ascii="Calibri" w:hAnsi="Calibri"/>
          <w:color w:val="auto"/>
          <w:lang w:eastAsia="en-CA"/>
        </w:rPr>
      </w:pPr>
      <w:r>
        <w:rPr>
          <w:lang w:eastAsia="en-CA"/>
        </w:rPr>
        <w:t>In Canada, evidence demonstrates an overall lack of knowledge on sexual and reproductive health among youth populations. The number of new HIV diagnoses among youth has increased by 10% from 2013 to 2017. In 2016, almost one quarter of positive HIV tests were attributed to young people between the ages of 15 and 29. Some groups are more vulnerable to HIV infection; almost two-thirds (61%) of new youth HIV diagnoses were attributed to gay, bisexual, and other men having sex with men. Other sub-groups may also be more vulnerable to HIV infection, particularly Indigenous youth and young people coming from countries where HIV is endemic.</w:t>
      </w:r>
      <w:r>
        <w:rPr>
          <w:rStyle w:val="FootnoteReference"/>
          <w:lang w:eastAsia="en-CA"/>
        </w:rPr>
        <w:footnoteReference w:id="57"/>
      </w:r>
      <w:r>
        <w:rPr>
          <w:lang w:eastAsia="en-CA"/>
        </w:rPr>
        <w:t xml:space="preserve"> Moreover, STI rates have been steadily on the rise since the 1990s. In 2016, the highest rates of reportable STIs reported were in the 15-19, 20-24, and 25-29-year age groups. Overall, cases in the 15-29-year age groups consisted of 76% of the total reported cases of chlamydia in 2016, as observed in 2015, although they represented only 19% of the total population. Young women are particularly vulnerable. Female cases were younger than male cases: among female cases, 81% were 15-29 years old, while 68% of male cases were in these age groups. Female rates were higher than male rates in all age groups except those aged 40 and over.</w:t>
      </w:r>
      <w:r>
        <w:rPr>
          <w:rStyle w:val="FootnoteReference"/>
          <w:lang w:eastAsia="en-CA"/>
        </w:rPr>
        <w:footnoteReference w:id="58"/>
      </w:r>
      <w:r>
        <w:rPr>
          <w:lang w:eastAsia="en-CA"/>
        </w:rPr>
        <w:t xml:space="preserve"> This trend is ongoing; the rate of chlamydia has increased by 13% from 2011 to 2016, the rate of gonorrhea, 87%, and the rate of syphilis, 76%.</w:t>
      </w:r>
      <w:r>
        <w:rPr>
          <w:rStyle w:val="FootnoteReference"/>
          <w:lang w:eastAsia="en-CA"/>
        </w:rPr>
        <w:footnoteReference w:id="59"/>
      </w:r>
    </w:p>
    <w:p w14:paraId="01CF3110" w14:textId="77777777" w:rsidR="00E027EF" w:rsidRPr="00566FAF" w:rsidRDefault="00E027EF" w:rsidP="00E027EF">
      <w:pPr>
        <w:pStyle w:val="ListParagraph"/>
      </w:pPr>
    </w:p>
    <w:p w14:paraId="773514E7" w14:textId="77777777" w:rsidR="00212F41" w:rsidRDefault="00E027EF" w:rsidP="00212F41">
      <w:pPr>
        <w:pStyle w:val="ListParagraph"/>
        <w:numPr>
          <w:ilvl w:val="0"/>
          <w:numId w:val="4"/>
        </w:numPr>
      </w:pPr>
      <w:r>
        <w:lastRenderedPageBreak/>
        <w:t>In 2018, the Government of Ontario</w:t>
      </w:r>
      <w:r w:rsidRPr="00975925">
        <w:t xml:space="preserve"> announced </w:t>
      </w:r>
      <w:r>
        <w:t xml:space="preserve">the repeal of the </w:t>
      </w:r>
      <w:r w:rsidRPr="00975925">
        <w:t>201</w:t>
      </w:r>
      <w:r>
        <w:t>5</w:t>
      </w:r>
      <w:r w:rsidRPr="00975925">
        <w:t xml:space="preserve"> sexual health education curriculum</w:t>
      </w:r>
      <w:r>
        <w:t xml:space="preserve"> and replacement with </w:t>
      </w:r>
      <w:r w:rsidRPr="00975925">
        <w:t>the 1998 curriculum.</w:t>
      </w:r>
      <w:r w:rsidRPr="00975925">
        <w:rPr>
          <w:rStyle w:val="FootnoteReference"/>
        </w:rPr>
        <w:footnoteReference w:id="60"/>
      </w:r>
      <w:r w:rsidRPr="00975925">
        <w:t xml:space="preserve"> </w:t>
      </w:r>
      <w:r>
        <w:t xml:space="preserve">The 2015 curriculum had only recently been updated </w:t>
      </w:r>
      <w:r w:rsidRPr="00D43CFB">
        <w:t>to reflect sexual orientation and gender identity</w:t>
      </w:r>
      <w:r>
        <w:t xml:space="preserve"> and</w:t>
      </w:r>
      <w:r w:rsidRPr="00D43CFB">
        <w:t xml:space="preserve"> </w:t>
      </w:r>
      <w:r>
        <w:t xml:space="preserve">the concept of consent, </w:t>
      </w:r>
      <w:r w:rsidRPr="00D43CFB">
        <w:t>among other issues.</w:t>
      </w:r>
      <w:r w:rsidRPr="00D43CFB">
        <w:rPr>
          <w:vertAlign w:val="superscript"/>
        </w:rPr>
        <w:footnoteReference w:id="61"/>
      </w:r>
      <w:r w:rsidRPr="00D43CFB">
        <w:t xml:space="preserve"> </w:t>
      </w:r>
      <w:r>
        <w:t>Action Canada s</w:t>
      </w:r>
      <w:r w:rsidRPr="00EA520E">
        <w:t>ubmitted an urgent appeal</w:t>
      </w:r>
      <w:r>
        <w:rPr>
          <w:rStyle w:val="FootnoteReference"/>
        </w:rPr>
        <w:footnoteReference w:id="62"/>
      </w:r>
      <w:r w:rsidRPr="00EA520E">
        <w:t> to the UN’s Special Procedures to draw attention to the human rights violations</w:t>
      </w:r>
      <w:r>
        <w:t xml:space="preserve"> occurring as a result of the repeal</w:t>
      </w:r>
      <w:r w:rsidRPr="00EA520E">
        <w:t xml:space="preserve">. </w:t>
      </w:r>
      <w:r>
        <w:t xml:space="preserve">In </w:t>
      </w:r>
      <w:r w:rsidRPr="00EA520E">
        <w:t>December 2018, Canada received </w:t>
      </w:r>
      <w:r w:rsidRPr="00617D90">
        <w:t>an official communication</w:t>
      </w:r>
      <w:r>
        <w:rPr>
          <w:rStyle w:val="FootnoteReference"/>
        </w:rPr>
        <w:footnoteReference w:id="63"/>
      </w:r>
      <w:r w:rsidRPr="00EA520E">
        <w:t xml:space="preserve"> endorsed by </w:t>
      </w:r>
      <w:r>
        <w:t xml:space="preserve">seven </w:t>
      </w:r>
      <w:r w:rsidRPr="00EA520E">
        <w:t>UN human rights experts demanding Canada take immediate steps to ensure compliance with human rights obligations</w:t>
      </w:r>
      <w:r>
        <w:t xml:space="preserve">; including: </w:t>
      </w:r>
    </w:p>
    <w:p w14:paraId="4A6FEBB6" w14:textId="77777777" w:rsidR="00212F41" w:rsidRDefault="00212F41" w:rsidP="00EE43DA">
      <w:pPr>
        <w:pStyle w:val="ListParagraph"/>
      </w:pPr>
    </w:p>
    <w:p w14:paraId="08EEF36F" w14:textId="77777777" w:rsidR="00212F41" w:rsidRDefault="00E027EF" w:rsidP="00212F41">
      <w:pPr>
        <w:pStyle w:val="ListParagraph"/>
        <w:ind w:left="1440"/>
      </w:pPr>
      <w:r>
        <w:t xml:space="preserve">(1) providing </w:t>
      </w:r>
      <w:r w:rsidRPr="00761E4F">
        <w:t>information on the actions taken by the Federal Government of Canada to ensure that the State, including in Provincial jurisdictions, comply with its international human rights obligations, notably in terms of Economic, Social and Cultural Rights, including the rights to non-discrimination, health</w:t>
      </w:r>
      <w:r>
        <w:t>,</w:t>
      </w:r>
      <w:r w:rsidRPr="00761E4F">
        <w:t xml:space="preserve"> and education</w:t>
      </w:r>
      <w:r>
        <w:t xml:space="preserve">, and </w:t>
      </w:r>
    </w:p>
    <w:p w14:paraId="0499F4E7" w14:textId="167E5E28" w:rsidR="00E027EF" w:rsidRDefault="00E027EF" w:rsidP="00212F41">
      <w:pPr>
        <w:pStyle w:val="ListParagraph"/>
        <w:ind w:left="1440"/>
      </w:pPr>
      <w:r>
        <w:t xml:space="preserve">(2) explaining </w:t>
      </w:r>
      <w:r w:rsidRPr="00761E4F">
        <w:t>measures taken to ensure that all individuals and groups have access to comprehensive, non-discriminatory, evidence-based, scientifically accurate</w:t>
      </w:r>
      <w:r>
        <w:t>,</w:t>
      </w:r>
      <w:r w:rsidRPr="00761E4F">
        <w:t xml:space="preserve"> and age appropriate information on all aspects of sexual and reproductive health, including gender equality, sexual and gender-based violence, and the issue of consent.</w:t>
      </w:r>
    </w:p>
    <w:p w14:paraId="2154FD57" w14:textId="77777777" w:rsidR="00E027EF" w:rsidRDefault="00E027EF" w:rsidP="00E027EF">
      <w:pPr>
        <w:pStyle w:val="ListParagraph"/>
      </w:pPr>
    </w:p>
    <w:p w14:paraId="5487BEA6" w14:textId="77777777" w:rsidR="00E027EF" w:rsidRPr="00761E4F" w:rsidRDefault="00E027EF" w:rsidP="00EE43DA">
      <w:pPr>
        <w:pStyle w:val="ListParagraph"/>
        <w:numPr>
          <w:ilvl w:val="0"/>
          <w:numId w:val="4"/>
        </w:numPr>
      </w:pPr>
      <w:r w:rsidRPr="004C6B1A">
        <w:t>In response to the Communication, the Government of Canada, in collaboration with the Government of Ontario, submitted a response which fails to take adequate responsibility for human rights obligations (particularly regarding non-retrogression), puts forward inaccurate information regarding the curriculum in question, falsely claims there is no definition of “age appropriate,” refutes any violation of the freedom of expression of teachers by denying the creation of the “snitch” line, presents misleading information regarding the curriculum consultations, and incorrectly attributes rights entitlements to parents.</w:t>
      </w:r>
      <w:r>
        <w:rPr>
          <w:rStyle w:val="FootnoteReference"/>
        </w:rPr>
        <w:footnoteReference w:id="64"/>
      </w:r>
    </w:p>
    <w:p w14:paraId="76A9BEE8" w14:textId="77777777" w:rsidR="00E027EF" w:rsidRPr="00B23DA8" w:rsidRDefault="00E027EF" w:rsidP="00E027EF">
      <w:pPr>
        <w:pStyle w:val="ListParagraph"/>
        <w:rPr>
          <w:highlight w:val="yellow"/>
        </w:rPr>
      </w:pPr>
    </w:p>
    <w:p w14:paraId="690DAF48" w14:textId="77777777" w:rsidR="00E027EF" w:rsidRPr="008F016A" w:rsidRDefault="00E027EF" w:rsidP="00EE43DA">
      <w:pPr>
        <w:pStyle w:val="ListParagraph"/>
        <w:numPr>
          <w:ilvl w:val="0"/>
          <w:numId w:val="4"/>
        </w:numPr>
      </w:pPr>
      <w:r w:rsidRPr="008F016A">
        <w:t>In Alberta, some school boards allow religious groups to deliver sexuality education, which can contain inaccurate and misleading information regarding sexual and reproductive health, diverse family formations and scientific evidence.</w:t>
      </w:r>
      <w:r w:rsidRPr="008F016A">
        <w:rPr>
          <w:vertAlign w:val="superscript"/>
        </w:rPr>
        <w:footnoteReference w:id="65"/>
      </w:r>
      <w:r w:rsidRPr="008F016A">
        <w:rPr>
          <w:vertAlign w:val="superscript"/>
        </w:rPr>
        <w:t xml:space="preserve"> </w:t>
      </w:r>
      <w:r w:rsidRPr="008F016A">
        <w:t>In 2014, an Edmonton student launched a human rights complaint with the Alberta Human Rights Commission</w:t>
      </w:r>
      <w:r>
        <w:t>,</w:t>
      </w:r>
      <w:r w:rsidRPr="008F016A">
        <w:t xml:space="preserve"> providing evidence that religious groups were delivering misleading information to students on issues related to contraception and sexually transmitted infections, within an abstinence-based approach. Research shows the correlation between the implementation of abstinence-based approaches and rises in sexually transmitted infections, unwanted pregnancies</w:t>
      </w:r>
      <w:r>
        <w:t>,</w:t>
      </w:r>
      <w:r w:rsidRPr="008F016A">
        <w:t xml:space="preserve"> and other negative health outcomes,</w:t>
      </w:r>
      <w:r w:rsidRPr="00C2459F">
        <w:rPr>
          <w:vertAlign w:val="superscript"/>
        </w:rPr>
        <w:footnoteReference w:id="66"/>
      </w:r>
      <w:r w:rsidRPr="008F016A">
        <w:t xml:space="preserve"> as it limits young people’s access to comprehensive, evidence-based</w:t>
      </w:r>
      <w:r>
        <w:t>,</w:t>
      </w:r>
      <w:r w:rsidRPr="008F016A">
        <w:t xml:space="preserve"> and scientific information related to sexual and reproductive health. </w:t>
      </w:r>
    </w:p>
    <w:p w14:paraId="4D0A57AA" w14:textId="77777777" w:rsidR="00E027EF" w:rsidRDefault="00E027EF" w:rsidP="00E027EF">
      <w:pPr>
        <w:pStyle w:val="ListParagraph"/>
      </w:pPr>
    </w:p>
    <w:p w14:paraId="19A1DBA0" w14:textId="77777777" w:rsidR="002734A8" w:rsidRDefault="00E027EF" w:rsidP="0013228E">
      <w:pPr>
        <w:pStyle w:val="ListParagraph"/>
        <w:numPr>
          <w:ilvl w:val="0"/>
          <w:numId w:val="4"/>
        </w:numPr>
      </w:pPr>
      <w:r w:rsidRPr="00D214EB">
        <w:t xml:space="preserve">Despite the </w:t>
      </w:r>
      <w:r>
        <w:t>F</w:t>
      </w:r>
      <w:r w:rsidRPr="00D214EB">
        <w:t xml:space="preserve">ederal </w:t>
      </w:r>
      <w:r>
        <w:t>G</w:t>
      </w:r>
      <w:r w:rsidRPr="00D214EB">
        <w:t>overnment having a role to play both in fulfilling young people’s sexual and reproductive rights (in part through the implementation of comprehensive sexuality education) and in gathering and analyzing data on trends in relation to the sexual and reproductive health of all people in Canada, there are no standards through which sexual health education curricula can be monitored and evaluated. Regular national studies are required in order to determine the effectiveness of sexuality education and</w:t>
      </w:r>
      <w:r>
        <w:t>,</w:t>
      </w:r>
      <w:r w:rsidRPr="00D214EB">
        <w:t xml:space="preserve"> ultimately</w:t>
      </w:r>
      <w:r>
        <w:t>,</w:t>
      </w:r>
      <w:r w:rsidRPr="00D214EB">
        <w:t xml:space="preserve"> to determine if curriculums are contributing to positive health outcomes and reductions in stigma and discrimination, among other outcomes. </w:t>
      </w:r>
    </w:p>
    <w:p w14:paraId="71734331" w14:textId="77777777" w:rsidR="002734A8" w:rsidRDefault="002734A8" w:rsidP="002734A8">
      <w:pPr>
        <w:pStyle w:val="ListParagraph"/>
      </w:pPr>
    </w:p>
    <w:p w14:paraId="1D33F531" w14:textId="3FC77429" w:rsidR="0013228E" w:rsidRPr="0078362F" w:rsidRDefault="00A64B89" w:rsidP="0013228E">
      <w:pPr>
        <w:pStyle w:val="ListParagraph"/>
        <w:numPr>
          <w:ilvl w:val="0"/>
          <w:numId w:val="4"/>
        </w:numPr>
      </w:pPr>
      <w:r w:rsidRPr="00225623">
        <w:rPr>
          <w:noProof/>
        </w:rPr>
        <mc:AlternateContent>
          <mc:Choice Requires="wps">
            <w:drawing>
              <wp:anchor distT="45720" distB="45720" distL="114300" distR="114300" simplePos="0" relativeHeight="251673600" behindDoc="0" locked="0" layoutInCell="1" allowOverlap="1" wp14:anchorId="30A1566B" wp14:editId="71AFAACA">
                <wp:simplePos x="0" y="0"/>
                <wp:positionH relativeFrom="margin">
                  <wp:posOffset>95250</wp:posOffset>
                </wp:positionH>
                <wp:positionV relativeFrom="paragraph">
                  <wp:posOffset>1922780</wp:posOffset>
                </wp:positionV>
                <wp:extent cx="6838950" cy="1399540"/>
                <wp:effectExtent l="0" t="0" r="19050" b="2667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38950" cy="1399540"/>
                        </a:xfrm>
                        <a:prstGeom prst="rect">
                          <a:avLst/>
                        </a:prstGeom>
                        <a:solidFill>
                          <a:srgbClr val="FFFFFF"/>
                        </a:solidFill>
                        <a:ln w="9525">
                          <a:solidFill>
                            <a:srgbClr val="000000"/>
                          </a:solidFill>
                          <a:miter lim="800000"/>
                          <a:headEnd/>
                          <a:tailEnd/>
                        </a:ln>
                      </wps:spPr>
                      <wps:txbx>
                        <w:txbxContent>
                          <w:p w14:paraId="03E77500" w14:textId="77777777" w:rsidR="00E027EF" w:rsidRPr="00EA1E1F" w:rsidRDefault="00E027EF" w:rsidP="00E027EF">
                            <w:pPr>
                              <w:pStyle w:val="Heading3"/>
                              <w:spacing w:after="40"/>
                              <w:rPr>
                                <w:bCs/>
                                <w:lang w:val="en-GB"/>
                              </w:rPr>
                            </w:pPr>
                            <w:r w:rsidRPr="00C2459F">
                              <w:rPr>
                                <w:rStyle w:val="Heading2Char"/>
                                <w:bCs/>
                                <w:sz w:val="32"/>
                              </w:rPr>
                              <w:t xml:space="preserve">Recommended Questions to be included in the List of Issues </w:t>
                            </w:r>
                          </w:p>
                          <w:p w14:paraId="618037FF" w14:textId="77777777" w:rsidR="00E027EF" w:rsidRPr="002F6BBF" w:rsidRDefault="00E027EF" w:rsidP="00E027EF">
                            <w:r>
                              <w:t xml:space="preserve">Recognizing the division of powers outlined in the Constitution of Canada as it relates to legislation respecting education, </w:t>
                            </w:r>
                          </w:p>
                          <w:p w14:paraId="0EF117EB" w14:textId="1BBAC273" w:rsidR="00E027EF" w:rsidRPr="001D5728" w:rsidRDefault="00E027EF" w:rsidP="00E027EF">
                            <w:pPr>
                              <w:pStyle w:val="ListParagraph"/>
                              <w:numPr>
                                <w:ilvl w:val="0"/>
                                <w:numId w:val="2"/>
                              </w:numPr>
                              <w:spacing w:before="120" w:line="259" w:lineRule="auto"/>
                            </w:pPr>
                            <w:r>
                              <w:t xml:space="preserve">What steps has the </w:t>
                            </w:r>
                            <w:r w:rsidRPr="0035226F">
                              <w:t xml:space="preserve">Government of Canada </w:t>
                            </w:r>
                            <w:r>
                              <w:t xml:space="preserve">taken to </w:t>
                            </w:r>
                            <w:r w:rsidRPr="001D5728">
                              <w:t>harmonize sex education</w:t>
                            </w:r>
                            <w:r>
                              <w:t xml:space="preserve"> </w:t>
                            </w:r>
                            <w:r w:rsidRPr="001D5728">
                              <w:t xml:space="preserve">curricula among provinces and territories and allow the Federal Government </w:t>
                            </w:r>
                            <w:r>
                              <w:t xml:space="preserve">to </w:t>
                            </w:r>
                            <w:r w:rsidRPr="001D5728">
                              <w:t>hold them accountable for implementing such guidelines or standards</w:t>
                            </w:r>
                            <w:r>
                              <w:t>?</w:t>
                            </w:r>
                          </w:p>
                          <w:p w14:paraId="18305712" w14:textId="77777777" w:rsidR="00212F41" w:rsidRDefault="00E027EF" w:rsidP="00E027EF">
                            <w:pPr>
                              <w:pStyle w:val="ListParagraph"/>
                              <w:numPr>
                                <w:ilvl w:val="0"/>
                                <w:numId w:val="2"/>
                              </w:numPr>
                              <w:spacing w:before="120" w:line="259" w:lineRule="auto"/>
                            </w:pPr>
                            <w:r>
                              <w:t xml:space="preserve">What steps has the Government of Canada taken to conduct regular monitoring on a </w:t>
                            </w:r>
                            <w:r w:rsidRPr="00465291">
                              <w:t>robust set of sexual health indicators disaggregated by relevant factors</w:t>
                            </w:r>
                            <w:r>
                              <w:t>?</w:t>
                            </w:r>
                          </w:p>
                          <w:p w14:paraId="522F4386" w14:textId="66C275EA" w:rsidR="00E027EF" w:rsidRPr="0035226F" w:rsidRDefault="00212F41" w:rsidP="00EE43DA">
                            <w:pPr>
                              <w:pStyle w:val="ListParagraph"/>
                              <w:numPr>
                                <w:ilvl w:val="0"/>
                                <w:numId w:val="2"/>
                              </w:numPr>
                            </w:pPr>
                            <w:r w:rsidRPr="00212F41">
                              <w:t>What actions has the Government of Canada taken to establish a robust accountability framework or mechanism to engage all levels of government to ensure compliance with international human rights law?</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0A1566B" id="_x0000_s1028" type="#_x0000_t202" style="position:absolute;left:0;text-align:left;margin-left:7.5pt;margin-top:151.4pt;width:538.5pt;height:110.2pt;z-index:25167360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">
                <v:textbox style="mso-fit-shape-to-text:t">
                  <w:txbxContent>
                    <w:p w14:paraId="03E77500" w14:textId="77777777" w:rsidR="00E027EF" w:rsidRPr="00EA1E1F" w:rsidRDefault="00E027EF" w:rsidP="00E027EF">
                      <w:pPr>
                        <w:pStyle w:val="Heading3"/>
                        <w:spacing w:after="40"/>
                        <w:rPr>
                          <w:bCs/>
                          <w:lang w:val="en-GB"/>
                        </w:rPr>
                      </w:pPr>
                      <w:r w:rsidRPr="00C2459F">
                        <w:rPr>
                          <w:rStyle w:val="Heading2Char"/>
                          <w:bCs/>
                          <w:sz w:val="32"/>
                        </w:rPr>
                        <w:t xml:space="preserve">Recommended Questions to be included in the List of Issues </w:t>
                      </w:r>
                    </w:p>
                    <w:p w14:paraId="618037FF" w14:textId="77777777" w:rsidR="00E027EF" w:rsidRPr="002F6BBF" w:rsidRDefault="00E027EF" w:rsidP="00E027EF">
                      <w:r>
                        <w:t xml:space="preserve">Recognizing the division of powers outlined in the Constitution of Canada as it relates to legislation respecting education, </w:t>
                      </w:r>
                    </w:p>
                    <w:p w14:paraId="0EF117EB" w14:textId="1BBAC273" w:rsidR="00E027EF" w:rsidRPr="001D5728" w:rsidRDefault="00E027EF" w:rsidP="00E027EF">
                      <w:pPr>
                        <w:pStyle w:val="ListParagraph"/>
                        <w:numPr>
                          <w:ilvl w:val="0"/>
                          <w:numId w:val="2"/>
                        </w:numPr>
                        <w:spacing w:before="120" w:line="259" w:lineRule="auto"/>
                      </w:pPr>
                      <w:r>
                        <w:t xml:space="preserve">What steps has the </w:t>
                      </w:r>
                      <w:r w:rsidRPr="0035226F">
                        <w:t xml:space="preserve">Government of Canada </w:t>
                      </w:r>
                      <w:r>
                        <w:t xml:space="preserve">taken to </w:t>
                      </w:r>
                      <w:r w:rsidRPr="001D5728">
                        <w:t>harmonize sex education</w:t>
                      </w:r>
                      <w:r>
                        <w:t xml:space="preserve"> </w:t>
                      </w:r>
                      <w:r w:rsidRPr="001D5728">
                        <w:t xml:space="preserve">curricula among provinces and territories and allow the Federal Government </w:t>
                      </w:r>
                      <w:r>
                        <w:t xml:space="preserve">to </w:t>
                      </w:r>
                      <w:r w:rsidRPr="001D5728">
                        <w:t>hold them accountable for implementing such guidelines or standards</w:t>
                      </w:r>
                      <w:r>
                        <w:t>?</w:t>
                      </w:r>
                    </w:p>
                    <w:p w14:paraId="18305712" w14:textId="77777777" w:rsidR="00212F41" w:rsidRDefault="00E027EF" w:rsidP="00E027EF">
                      <w:pPr>
                        <w:pStyle w:val="ListParagraph"/>
                        <w:numPr>
                          <w:ilvl w:val="0"/>
                          <w:numId w:val="2"/>
                        </w:numPr>
                        <w:spacing w:before="120" w:line="259" w:lineRule="auto"/>
                      </w:pPr>
                      <w:r>
                        <w:t xml:space="preserve">What steps has the Government of Canada taken to conduct regular monitoring on a </w:t>
                      </w:r>
                      <w:r w:rsidRPr="00465291">
                        <w:t>robust set of sexual health indicators disaggregated by relevant factors</w:t>
                      </w:r>
                      <w:r>
                        <w:t>?</w:t>
                      </w:r>
                    </w:p>
                    <w:p w14:paraId="522F4386" w14:textId="66C275EA" w:rsidR="00E027EF" w:rsidRPr="0035226F" w:rsidRDefault="00212F41" w:rsidP="00EE43DA">
                      <w:pPr>
                        <w:pStyle w:val="ListParagraph"/>
                        <w:numPr>
                          <w:ilvl w:val="0"/>
                          <w:numId w:val="2"/>
                        </w:numPr>
                      </w:pPr>
                      <w:r w:rsidRPr="00212F41">
                        <w:t>What actions has the Government of Canada taken to establish a robust accountability framework or mechanism to engage all levels of government to ensure compliance with international human rights law?</w:t>
                      </w:r>
                    </w:p>
                  </w:txbxContent>
                </v:textbox>
                <w10:wrap type="square" anchorx="margin"/>
              </v:shape>
            </w:pict>
          </mc:Fallback>
        </mc:AlternateContent>
      </w:r>
      <w:r w:rsidR="00E027EF">
        <w:t xml:space="preserve">Further, Canada has no progress to effectively implement human rights recommendations or to ensure the implementation of human rights law across governmental jurisdictions. Process by which the Government consults civil society and Indigenous organizations before and after treaty body reviews are either nonexistence or perfunctory. The Federal Government must establish a robust human rights accountability framework to ensure compliance with international human rights law. </w:t>
      </w:r>
      <w:r w:rsidR="00E027EF" w:rsidRPr="00225623">
        <w:t xml:space="preserve">Such a framework or mechanism would engage all levels of government, maintain adequate resources for the implementation of human rights recommendations and Concluding Observations, incorporate regular monitoring and evaluation functions, </w:t>
      </w:r>
      <w:r w:rsidR="00E027EF">
        <w:t xml:space="preserve">and </w:t>
      </w:r>
      <w:r w:rsidR="00E027EF" w:rsidRPr="00225623">
        <w:t>regularly engage civil society organizations and Indigenous peoples’ organizations towards greater implementation of and compliance with human rights law.</w:t>
      </w:r>
    </w:p>
    <w:sectPr w:rsidR="0013228E" w:rsidRPr="0078362F" w:rsidSect="000028EE">
      <w:footerReference w:type="default" r:id="rId12"/>
      <w:pgSz w:w="12240" w:h="15840"/>
      <w:pgMar w:top="720" w:right="720" w:bottom="720" w:left="720"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6BBE55" w14:textId="77777777" w:rsidR="00357697" w:rsidRDefault="00357697" w:rsidP="00C57DE5">
      <w:pPr>
        <w:spacing w:after="0" w:line="240" w:lineRule="auto"/>
      </w:pPr>
      <w:r>
        <w:separator/>
      </w:r>
    </w:p>
  </w:endnote>
  <w:endnote w:type="continuationSeparator" w:id="0">
    <w:p w14:paraId="5A60A38B" w14:textId="77777777" w:rsidR="00357697" w:rsidRDefault="00357697" w:rsidP="00C57D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dobe garamond">
    <w:altName w:val="Cambria"/>
    <w:panose1 w:val="00000000000000000000"/>
    <w:charset w:val="00"/>
    <w:family w:val="roman"/>
    <w:notTrueType/>
    <w:pitch w:val="default"/>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dobe Garamond Pro">
    <w:altName w:val="Garamond"/>
    <w:panose1 w:val="02020502060506020403"/>
    <w:charset w:val="00"/>
    <w:family w:val="roman"/>
    <w:notTrueType/>
    <w:pitch w:val="variable"/>
    <w:sig w:usb0="00000007" w:usb1="00000001" w:usb2="00000000" w:usb3="00000000" w:csb0="00000093" w:csb1="00000000"/>
  </w:font>
  <w:font w:name="Gotham Rounded Bold">
    <w:panose1 w:val="00000000000000000000"/>
    <w:charset w:val="00"/>
    <w:family w:val="modern"/>
    <w:notTrueType/>
    <w:pitch w:val="variable"/>
    <w:sig w:usb0="A00000FF" w:usb1="4000004A" w:usb2="00000000" w:usb3="00000000" w:csb0="0000000B"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B56274" w14:textId="60C0250B" w:rsidR="00A07EE1" w:rsidRDefault="00A07EE1">
    <w:pPr>
      <w:pStyle w:val="Footer"/>
      <w:pBdr>
        <w:top w:val="single" w:sz="4" w:space="1" w:color="D9D9D9" w:themeColor="background1" w:themeShade="D9"/>
      </w:pBdr>
      <w:jc w:val="right"/>
    </w:pPr>
    <w:r>
      <w:rPr>
        <w:noProof/>
        <w:color w:val="7F7F7F" w:themeColor="background1" w:themeShade="7F"/>
        <w:spacing w:val="60"/>
        <w:lang w:eastAsia="en-CA"/>
      </w:rPr>
      <w:drawing>
        <wp:anchor distT="0" distB="0" distL="114300" distR="114300" simplePos="0" relativeHeight="251658240" behindDoc="0" locked="0" layoutInCell="1" allowOverlap="1" wp14:anchorId="0F1088C6" wp14:editId="152FED44">
          <wp:simplePos x="0" y="0"/>
          <wp:positionH relativeFrom="margin">
            <wp:posOffset>0</wp:posOffset>
          </wp:positionH>
          <wp:positionV relativeFrom="paragraph">
            <wp:posOffset>118257</wp:posOffset>
          </wp:positionV>
          <wp:extent cx="357505" cy="357505"/>
          <wp:effectExtent l="0" t="0" r="4445" b="4445"/>
          <wp:wrapNone/>
          <wp:docPr id="5" name="Picture 5" descr="C:\Users\Ani\AppData\Local\Microsoft\Windows\INetCache\Content.Word\avata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Ani\AppData\Local\Microsoft\Windows\INetCache\Content.Word\avatar.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57505" cy="3575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222ADBE" w14:textId="39E351A6" w:rsidR="00A07EE1" w:rsidRDefault="00357697">
    <w:pPr>
      <w:pStyle w:val="Footer"/>
      <w:pBdr>
        <w:top w:val="single" w:sz="4" w:space="1" w:color="D9D9D9" w:themeColor="background1" w:themeShade="D9"/>
      </w:pBdr>
      <w:jc w:val="right"/>
    </w:pPr>
    <w:sdt>
      <w:sdtPr>
        <w:id w:val="1974944597"/>
        <w:docPartObj>
          <w:docPartGallery w:val="Page Numbers (Bottom of Page)"/>
          <w:docPartUnique/>
        </w:docPartObj>
      </w:sdtPr>
      <w:sdtEndPr>
        <w:rPr>
          <w:color w:val="7F7F7F" w:themeColor="background1" w:themeShade="7F"/>
          <w:spacing w:val="60"/>
        </w:rPr>
      </w:sdtEndPr>
      <w:sdtContent>
        <w:r w:rsidR="00A07EE1" w:rsidRPr="00306D4F">
          <w:rPr>
            <w:color w:val="E26F54"/>
          </w:rPr>
          <w:fldChar w:fldCharType="begin"/>
        </w:r>
        <w:r w:rsidR="00A07EE1" w:rsidRPr="00306D4F">
          <w:rPr>
            <w:color w:val="E26F54"/>
          </w:rPr>
          <w:instrText xml:space="preserve"> PAGE   \* MERGEFORMAT </w:instrText>
        </w:r>
        <w:r w:rsidR="00A07EE1" w:rsidRPr="00306D4F">
          <w:rPr>
            <w:color w:val="E26F54"/>
          </w:rPr>
          <w:fldChar w:fldCharType="separate"/>
        </w:r>
        <w:r w:rsidR="00A07EE1">
          <w:rPr>
            <w:noProof/>
            <w:color w:val="E26F54"/>
          </w:rPr>
          <w:t>8</w:t>
        </w:r>
        <w:r w:rsidR="00A07EE1" w:rsidRPr="00306D4F">
          <w:rPr>
            <w:noProof/>
            <w:color w:val="E26F54"/>
          </w:rPr>
          <w:fldChar w:fldCharType="end"/>
        </w:r>
        <w:r w:rsidR="00A07EE1" w:rsidRPr="00306D4F">
          <w:rPr>
            <w:color w:val="E26F54"/>
          </w:rPr>
          <w:t xml:space="preserve"> | </w:t>
        </w:r>
        <w:r w:rsidR="00A07EE1">
          <w:rPr>
            <w:color w:val="7F7F7F" w:themeColor="background1" w:themeShade="7F"/>
            <w:spacing w:val="60"/>
          </w:rPr>
          <w:t>Page</w:t>
        </w:r>
      </w:sdtContent>
    </w:sdt>
  </w:p>
  <w:p w14:paraId="516DAB6F" w14:textId="25041411" w:rsidR="00A07EE1" w:rsidRDefault="00A07E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860F1D" w14:textId="77777777" w:rsidR="00357697" w:rsidRDefault="00357697" w:rsidP="00C57DE5">
      <w:pPr>
        <w:spacing w:after="0" w:line="240" w:lineRule="auto"/>
      </w:pPr>
      <w:r>
        <w:separator/>
      </w:r>
    </w:p>
  </w:footnote>
  <w:footnote w:type="continuationSeparator" w:id="0">
    <w:p w14:paraId="168E2060" w14:textId="77777777" w:rsidR="00357697" w:rsidRDefault="00357697" w:rsidP="00C57DE5">
      <w:pPr>
        <w:spacing w:after="0" w:line="240" w:lineRule="auto"/>
      </w:pPr>
      <w:r>
        <w:continuationSeparator/>
      </w:r>
    </w:p>
  </w:footnote>
  <w:footnote w:id="1">
    <w:p w14:paraId="3F019EF3" w14:textId="6E681107" w:rsidR="00386C97" w:rsidRPr="00707879" w:rsidRDefault="00386C97" w:rsidP="00707879">
      <w:pPr>
        <w:pStyle w:val="FootnoteText"/>
        <w:rPr>
          <w:rFonts w:ascii="Garamond" w:hAnsi="Garamond"/>
          <w:sz w:val="18"/>
          <w:szCs w:val="18"/>
          <w:lang w:val="es-CO"/>
        </w:rPr>
      </w:pPr>
      <w:r w:rsidRPr="00707879">
        <w:rPr>
          <w:rStyle w:val="FootnoteReference"/>
          <w:rFonts w:ascii="Garamond" w:hAnsi="Garamond"/>
          <w:sz w:val="18"/>
          <w:szCs w:val="18"/>
        </w:rPr>
        <w:footnoteRef/>
      </w:r>
      <w:r w:rsidRPr="00A27070">
        <w:rPr>
          <w:rFonts w:ascii="Garamond" w:hAnsi="Garamond"/>
          <w:sz w:val="18"/>
          <w:szCs w:val="18"/>
          <w:lang w:val="es-ES"/>
        </w:rPr>
        <w:t xml:space="preserve"> </w:t>
      </w:r>
      <w:r w:rsidR="00503036">
        <w:rPr>
          <w:rFonts w:ascii="Garamond" w:hAnsi="Garamond"/>
          <w:sz w:val="18"/>
          <w:szCs w:val="18"/>
        </w:rPr>
        <w:t xml:space="preserve">UN </w:t>
      </w:r>
      <w:r w:rsidR="00503036" w:rsidRPr="00707879">
        <w:rPr>
          <w:rFonts w:ascii="Garamond" w:hAnsi="Garamond"/>
          <w:sz w:val="18"/>
          <w:szCs w:val="18"/>
        </w:rPr>
        <w:t xml:space="preserve">CESCR, 2016, General Comment 22 on the Right to sexual and reproductive health (article 12 of the International Covenant on Economic, Social and Cultural Rights. </w:t>
      </w:r>
      <w:r w:rsidR="004C0F11" w:rsidRPr="00707879">
        <w:rPr>
          <w:rFonts w:ascii="Garamond" w:hAnsi="Garamond"/>
          <w:sz w:val="18"/>
          <w:szCs w:val="18"/>
          <w:lang w:val="es-CO"/>
        </w:rPr>
        <w:t xml:space="preserve">para. </w:t>
      </w:r>
      <w:r w:rsidR="004C0F11">
        <w:rPr>
          <w:rFonts w:ascii="Garamond" w:hAnsi="Garamond"/>
          <w:sz w:val="18"/>
          <w:szCs w:val="18"/>
          <w:lang w:val="es-CO"/>
        </w:rPr>
        <w:t xml:space="preserve">45 </w:t>
      </w:r>
      <w:r w:rsidR="00503036">
        <w:rPr>
          <w:rFonts w:ascii="Garamond" w:hAnsi="Garamond"/>
          <w:sz w:val="18"/>
          <w:szCs w:val="18"/>
          <w:lang w:val="es-CO"/>
        </w:rPr>
        <w:t>[</w:t>
      </w:r>
      <w:proofErr w:type="spellStart"/>
      <w:r w:rsidR="00503036">
        <w:rPr>
          <w:rFonts w:ascii="Garamond" w:hAnsi="Garamond"/>
          <w:sz w:val="18"/>
          <w:szCs w:val="18"/>
          <w:lang w:val="es-CO"/>
        </w:rPr>
        <w:t>hereinafter</w:t>
      </w:r>
      <w:proofErr w:type="spellEnd"/>
      <w:r w:rsidR="00503036">
        <w:rPr>
          <w:rFonts w:ascii="Garamond" w:hAnsi="Garamond"/>
          <w:sz w:val="18"/>
          <w:szCs w:val="18"/>
          <w:lang w:val="es-CO"/>
        </w:rPr>
        <w:t xml:space="preserve"> CESCR, General </w:t>
      </w:r>
      <w:proofErr w:type="spellStart"/>
      <w:r w:rsidR="00503036">
        <w:rPr>
          <w:rFonts w:ascii="Garamond" w:hAnsi="Garamond"/>
          <w:sz w:val="18"/>
          <w:szCs w:val="18"/>
          <w:lang w:val="es-CO"/>
        </w:rPr>
        <w:t>Comment</w:t>
      </w:r>
      <w:proofErr w:type="spellEnd"/>
      <w:r w:rsidR="00503036">
        <w:rPr>
          <w:rFonts w:ascii="Garamond" w:hAnsi="Garamond"/>
          <w:sz w:val="18"/>
          <w:szCs w:val="18"/>
          <w:lang w:val="es-CO"/>
        </w:rPr>
        <w:t xml:space="preserve"> 22]</w:t>
      </w:r>
    </w:p>
  </w:footnote>
  <w:footnote w:id="2">
    <w:p w14:paraId="37F476FD" w14:textId="554E9304" w:rsidR="00A07EE1" w:rsidRPr="005B389B" w:rsidRDefault="00A07EE1" w:rsidP="00707879">
      <w:pPr>
        <w:pStyle w:val="FootnoteText"/>
        <w:rPr>
          <w:rFonts w:ascii="Garamond" w:hAnsi="Garamond"/>
          <w:sz w:val="18"/>
          <w:szCs w:val="18"/>
          <w:lang w:val="es-ES"/>
        </w:rPr>
      </w:pPr>
      <w:r w:rsidRPr="00707879">
        <w:rPr>
          <w:rStyle w:val="FootnoteReference"/>
          <w:rFonts w:ascii="Garamond" w:hAnsi="Garamond"/>
          <w:sz w:val="18"/>
          <w:szCs w:val="18"/>
        </w:rPr>
        <w:footnoteRef/>
      </w:r>
      <w:r w:rsidRPr="00A27070">
        <w:rPr>
          <w:rFonts w:ascii="Garamond" w:hAnsi="Garamond"/>
          <w:sz w:val="18"/>
          <w:szCs w:val="18"/>
          <w:lang w:val="es-ES"/>
        </w:rPr>
        <w:t xml:space="preserve"> </w:t>
      </w:r>
      <w:proofErr w:type="spellStart"/>
      <w:r w:rsidR="00A42A4C" w:rsidRPr="00A27070">
        <w:rPr>
          <w:rFonts w:ascii="Garamond" w:hAnsi="Garamond"/>
          <w:sz w:val="18"/>
          <w:szCs w:val="18"/>
          <w:lang w:val="es-ES"/>
        </w:rPr>
        <w:t>See</w:t>
      </w:r>
      <w:proofErr w:type="spellEnd"/>
      <w:r w:rsidR="00A42A4C" w:rsidRPr="00A27070">
        <w:rPr>
          <w:rFonts w:ascii="Garamond" w:hAnsi="Garamond"/>
          <w:sz w:val="18"/>
          <w:szCs w:val="18"/>
          <w:lang w:val="es-ES"/>
        </w:rPr>
        <w:t xml:space="preserve">, </w:t>
      </w:r>
      <w:proofErr w:type="spellStart"/>
      <w:r w:rsidR="00A42A4C" w:rsidRPr="00A27070">
        <w:rPr>
          <w:rFonts w:ascii="Garamond" w:hAnsi="Garamond"/>
          <w:sz w:val="18"/>
          <w:szCs w:val="18"/>
          <w:lang w:val="es-ES"/>
        </w:rPr>
        <w:t>e.g</w:t>
      </w:r>
      <w:proofErr w:type="spellEnd"/>
      <w:r w:rsidR="00A42A4C" w:rsidRPr="00A27070">
        <w:rPr>
          <w:rFonts w:ascii="Garamond" w:hAnsi="Garamond"/>
          <w:sz w:val="18"/>
          <w:szCs w:val="18"/>
          <w:lang w:val="es-ES"/>
        </w:rPr>
        <w:t xml:space="preserve">.: </w:t>
      </w:r>
      <w:r w:rsidRPr="00A27070">
        <w:rPr>
          <w:rFonts w:ascii="Garamond" w:hAnsi="Garamond"/>
          <w:sz w:val="18"/>
          <w:szCs w:val="18"/>
          <w:lang w:val="es-ES"/>
        </w:rPr>
        <w:t>CE</w:t>
      </w:r>
      <w:r w:rsidR="00A42A4C" w:rsidRPr="00A27070">
        <w:rPr>
          <w:rFonts w:ascii="Garamond" w:hAnsi="Garamond"/>
          <w:sz w:val="18"/>
          <w:szCs w:val="18"/>
          <w:lang w:val="es-ES"/>
        </w:rPr>
        <w:t>SCR</w:t>
      </w:r>
      <w:r w:rsidR="004C0F11">
        <w:rPr>
          <w:rFonts w:ascii="Garamond" w:hAnsi="Garamond"/>
          <w:sz w:val="18"/>
          <w:szCs w:val="18"/>
          <w:lang w:val="es-ES"/>
        </w:rPr>
        <w:t xml:space="preserve">, </w:t>
      </w:r>
      <w:proofErr w:type="spellStart"/>
      <w:r w:rsidR="004C0F11">
        <w:rPr>
          <w:rFonts w:ascii="Garamond" w:hAnsi="Garamond"/>
          <w:sz w:val="18"/>
          <w:szCs w:val="18"/>
          <w:lang w:val="es-ES"/>
        </w:rPr>
        <w:t>Concluding</w:t>
      </w:r>
      <w:proofErr w:type="spellEnd"/>
      <w:r w:rsidR="004C0F11">
        <w:rPr>
          <w:rFonts w:ascii="Garamond" w:hAnsi="Garamond"/>
          <w:sz w:val="18"/>
          <w:szCs w:val="18"/>
          <w:lang w:val="es-ES"/>
        </w:rPr>
        <w:t xml:space="preserve"> </w:t>
      </w:r>
      <w:proofErr w:type="spellStart"/>
      <w:r w:rsidR="004C0F11">
        <w:rPr>
          <w:rFonts w:ascii="Garamond" w:hAnsi="Garamond"/>
          <w:sz w:val="18"/>
          <w:szCs w:val="18"/>
          <w:lang w:val="es-ES"/>
        </w:rPr>
        <w:t>Observations</w:t>
      </w:r>
      <w:proofErr w:type="spellEnd"/>
      <w:r w:rsidR="004C0F11">
        <w:rPr>
          <w:rFonts w:ascii="Garamond" w:hAnsi="Garamond"/>
          <w:sz w:val="18"/>
          <w:szCs w:val="18"/>
          <w:lang w:val="es-ES"/>
        </w:rPr>
        <w:t>:</w:t>
      </w:r>
      <w:r w:rsidR="00A42A4C" w:rsidRPr="00A27070">
        <w:rPr>
          <w:rFonts w:ascii="Garamond" w:hAnsi="Garamond"/>
          <w:sz w:val="18"/>
          <w:szCs w:val="18"/>
          <w:lang w:val="es-ES"/>
        </w:rPr>
        <w:t xml:space="preserve"> </w:t>
      </w:r>
      <w:proofErr w:type="spellStart"/>
      <w:r w:rsidR="00A42A4C" w:rsidRPr="00A27070">
        <w:rPr>
          <w:rFonts w:ascii="Garamond" w:hAnsi="Garamond"/>
          <w:sz w:val="18"/>
          <w:szCs w:val="18"/>
          <w:lang w:val="es-ES"/>
        </w:rPr>
        <w:t>Slovakia</w:t>
      </w:r>
      <w:proofErr w:type="spellEnd"/>
      <w:r w:rsidR="00A42A4C" w:rsidRPr="00A27070">
        <w:rPr>
          <w:rFonts w:ascii="Garamond" w:hAnsi="Garamond"/>
          <w:sz w:val="18"/>
          <w:szCs w:val="18"/>
          <w:lang w:val="es-ES"/>
        </w:rPr>
        <w:t>, para</w:t>
      </w:r>
      <w:r w:rsidR="004C0F11">
        <w:rPr>
          <w:rFonts w:ascii="Garamond" w:hAnsi="Garamond"/>
          <w:sz w:val="18"/>
          <w:szCs w:val="18"/>
          <w:lang w:val="es-ES"/>
        </w:rPr>
        <w:t>.</w:t>
      </w:r>
      <w:r w:rsidR="00A42A4C" w:rsidRPr="00A27070">
        <w:rPr>
          <w:rFonts w:ascii="Garamond" w:hAnsi="Garamond"/>
          <w:sz w:val="18"/>
          <w:szCs w:val="18"/>
          <w:lang w:val="es-ES"/>
        </w:rPr>
        <w:t xml:space="preserve"> 42</w:t>
      </w:r>
      <w:r w:rsidR="004C0F11">
        <w:rPr>
          <w:rFonts w:ascii="Garamond" w:hAnsi="Garamond"/>
          <w:sz w:val="18"/>
          <w:szCs w:val="18"/>
          <w:lang w:val="es-ES"/>
        </w:rPr>
        <w:t>,</w:t>
      </w:r>
      <w:r w:rsidR="00A42A4C" w:rsidRPr="00A27070">
        <w:rPr>
          <w:rFonts w:ascii="Garamond" w:hAnsi="Garamond"/>
          <w:sz w:val="18"/>
          <w:szCs w:val="18"/>
          <w:lang w:val="es-ES"/>
        </w:rPr>
        <w:t xml:space="preserve"> E/C.12/SVK/CO/3 (CESCR, 2019); CESCR</w:t>
      </w:r>
      <w:r w:rsidR="004C0F11">
        <w:rPr>
          <w:rFonts w:ascii="Garamond" w:hAnsi="Garamond"/>
          <w:sz w:val="18"/>
          <w:szCs w:val="18"/>
          <w:lang w:val="es-ES"/>
        </w:rPr>
        <w:t>,</w:t>
      </w:r>
      <w:r w:rsidR="00A42A4C" w:rsidRPr="00A27070">
        <w:rPr>
          <w:rFonts w:ascii="Garamond" w:hAnsi="Garamond"/>
          <w:sz w:val="18"/>
          <w:szCs w:val="18"/>
          <w:lang w:val="es-ES"/>
        </w:rPr>
        <w:t xml:space="preserve"> </w:t>
      </w:r>
      <w:proofErr w:type="spellStart"/>
      <w:r w:rsidR="004C0F11">
        <w:rPr>
          <w:rFonts w:ascii="Garamond" w:hAnsi="Garamond"/>
          <w:sz w:val="18"/>
          <w:szCs w:val="18"/>
          <w:lang w:val="es-ES"/>
        </w:rPr>
        <w:t>Concluding</w:t>
      </w:r>
      <w:proofErr w:type="spellEnd"/>
      <w:r w:rsidR="004C0F11">
        <w:rPr>
          <w:rFonts w:ascii="Garamond" w:hAnsi="Garamond"/>
          <w:sz w:val="18"/>
          <w:szCs w:val="18"/>
          <w:lang w:val="es-ES"/>
        </w:rPr>
        <w:t xml:space="preserve"> </w:t>
      </w:r>
      <w:proofErr w:type="spellStart"/>
      <w:r w:rsidR="004C0F11">
        <w:rPr>
          <w:rFonts w:ascii="Garamond" w:hAnsi="Garamond"/>
          <w:sz w:val="18"/>
          <w:szCs w:val="18"/>
          <w:lang w:val="es-ES"/>
        </w:rPr>
        <w:t>Observations</w:t>
      </w:r>
      <w:proofErr w:type="spellEnd"/>
      <w:r w:rsidR="004C0F11">
        <w:rPr>
          <w:rFonts w:ascii="Garamond" w:hAnsi="Garamond"/>
          <w:sz w:val="18"/>
          <w:szCs w:val="18"/>
          <w:lang w:val="es-ES"/>
        </w:rPr>
        <w:t xml:space="preserve">: </w:t>
      </w:r>
      <w:r w:rsidR="00A42A4C" w:rsidRPr="00A27070">
        <w:rPr>
          <w:rFonts w:ascii="Garamond" w:hAnsi="Garamond"/>
          <w:sz w:val="18"/>
          <w:szCs w:val="18"/>
          <w:lang w:val="es-ES"/>
        </w:rPr>
        <w:t>Argentina, para. 56</w:t>
      </w:r>
      <w:r w:rsidR="004C0F11">
        <w:rPr>
          <w:rFonts w:ascii="Garamond" w:hAnsi="Garamond"/>
          <w:sz w:val="18"/>
          <w:szCs w:val="18"/>
          <w:lang w:val="es-ES"/>
        </w:rPr>
        <w:t>,</w:t>
      </w:r>
      <w:r w:rsidR="00A42A4C" w:rsidRPr="00A27070">
        <w:rPr>
          <w:rFonts w:ascii="Garamond" w:hAnsi="Garamond"/>
          <w:sz w:val="18"/>
          <w:szCs w:val="18"/>
          <w:lang w:val="es-ES"/>
        </w:rPr>
        <w:t xml:space="preserve"> E/C.12/ARG/CO/4 (CESCR, 2018); CESCR</w:t>
      </w:r>
      <w:r w:rsidR="004C0F11">
        <w:rPr>
          <w:rFonts w:ascii="Garamond" w:hAnsi="Garamond"/>
          <w:sz w:val="18"/>
          <w:szCs w:val="18"/>
          <w:lang w:val="es-ES"/>
        </w:rPr>
        <w:t xml:space="preserve">, </w:t>
      </w:r>
      <w:proofErr w:type="spellStart"/>
      <w:r w:rsidR="004C0F11">
        <w:rPr>
          <w:rFonts w:ascii="Garamond" w:hAnsi="Garamond"/>
          <w:sz w:val="18"/>
          <w:szCs w:val="18"/>
          <w:lang w:val="es-ES"/>
        </w:rPr>
        <w:t>Concluding</w:t>
      </w:r>
      <w:proofErr w:type="spellEnd"/>
      <w:r w:rsidR="004C0F11">
        <w:rPr>
          <w:rFonts w:ascii="Garamond" w:hAnsi="Garamond"/>
          <w:sz w:val="18"/>
          <w:szCs w:val="18"/>
          <w:lang w:val="es-ES"/>
        </w:rPr>
        <w:t xml:space="preserve"> </w:t>
      </w:r>
      <w:proofErr w:type="spellStart"/>
      <w:r w:rsidR="004C0F11">
        <w:rPr>
          <w:rFonts w:ascii="Garamond" w:hAnsi="Garamond"/>
          <w:sz w:val="18"/>
          <w:szCs w:val="18"/>
          <w:lang w:val="es-ES"/>
        </w:rPr>
        <w:t>Observations</w:t>
      </w:r>
      <w:proofErr w:type="spellEnd"/>
      <w:r w:rsidR="004C0F11">
        <w:rPr>
          <w:rFonts w:ascii="Garamond" w:hAnsi="Garamond"/>
          <w:sz w:val="18"/>
          <w:szCs w:val="18"/>
          <w:lang w:val="es-ES"/>
        </w:rPr>
        <w:t>:</w:t>
      </w:r>
      <w:r w:rsidR="00A42A4C" w:rsidRPr="00A27070">
        <w:rPr>
          <w:rFonts w:ascii="Garamond" w:hAnsi="Garamond"/>
          <w:sz w:val="18"/>
          <w:szCs w:val="18"/>
          <w:lang w:val="es-ES"/>
        </w:rPr>
        <w:t xml:space="preserve"> </w:t>
      </w:r>
      <w:proofErr w:type="spellStart"/>
      <w:r w:rsidR="00A42A4C" w:rsidRPr="00A27070">
        <w:rPr>
          <w:rFonts w:ascii="Garamond" w:hAnsi="Garamond"/>
          <w:sz w:val="18"/>
          <w:szCs w:val="18"/>
          <w:lang w:val="es-ES"/>
        </w:rPr>
        <w:t>Mexico</w:t>
      </w:r>
      <w:proofErr w:type="spellEnd"/>
      <w:r w:rsidR="004C0F11">
        <w:rPr>
          <w:rFonts w:ascii="Garamond" w:hAnsi="Garamond"/>
          <w:sz w:val="18"/>
          <w:szCs w:val="18"/>
          <w:lang w:val="es-ES"/>
        </w:rPr>
        <w:t>,</w:t>
      </w:r>
      <w:r w:rsidR="00A42A4C" w:rsidRPr="00A27070">
        <w:rPr>
          <w:rFonts w:ascii="Garamond" w:hAnsi="Garamond"/>
          <w:sz w:val="18"/>
          <w:szCs w:val="18"/>
          <w:lang w:val="es-ES"/>
        </w:rPr>
        <w:t xml:space="preserve"> para. 63, E/C.12/MEX/CO/5-6 (CESCR, 2018); CESCR</w:t>
      </w:r>
      <w:r w:rsidR="004C0F11">
        <w:rPr>
          <w:rFonts w:ascii="Garamond" w:hAnsi="Garamond"/>
          <w:sz w:val="18"/>
          <w:szCs w:val="18"/>
          <w:lang w:val="es-ES"/>
        </w:rPr>
        <w:t xml:space="preserve">, </w:t>
      </w:r>
      <w:proofErr w:type="spellStart"/>
      <w:r w:rsidR="004C0F11">
        <w:rPr>
          <w:rFonts w:ascii="Garamond" w:hAnsi="Garamond"/>
          <w:sz w:val="18"/>
          <w:szCs w:val="18"/>
          <w:lang w:val="es-ES"/>
        </w:rPr>
        <w:t>Concluding</w:t>
      </w:r>
      <w:proofErr w:type="spellEnd"/>
      <w:r w:rsidR="004C0F11">
        <w:rPr>
          <w:rFonts w:ascii="Garamond" w:hAnsi="Garamond"/>
          <w:sz w:val="18"/>
          <w:szCs w:val="18"/>
          <w:lang w:val="es-ES"/>
        </w:rPr>
        <w:t xml:space="preserve"> </w:t>
      </w:r>
      <w:proofErr w:type="spellStart"/>
      <w:r w:rsidR="004C0F11">
        <w:rPr>
          <w:rFonts w:ascii="Garamond" w:hAnsi="Garamond"/>
          <w:sz w:val="18"/>
          <w:szCs w:val="18"/>
          <w:lang w:val="es-ES"/>
        </w:rPr>
        <w:t>Observations</w:t>
      </w:r>
      <w:proofErr w:type="spellEnd"/>
      <w:r w:rsidR="004C0F11">
        <w:rPr>
          <w:rFonts w:ascii="Garamond" w:hAnsi="Garamond"/>
          <w:sz w:val="18"/>
          <w:szCs w:val="18"/>
          <w:lang w:val="es-ES"/>
        </w:rPr>
        <w:t>:</w:t>
      </w:r>
      <w:r w:rsidR="00A42A4C" w:rsidRPr="00A27070">
        <w:rPr>
          <w:rFonts w:ascii="Garamond" w:hAnsi="Garamond"/>
          <w:sz w:val="18"/>
          <w:szCs w:val="18"/>
          <w:lang w:val="es-ES"/>
        </w:rPr>
        <w:t xml:space="preserve"> </w:t>
      </w:r>
      <w:proofErr w:type="spellStart"/>
      <w:r w:rsidR="00A42A4C" w:rsidRPr="00A27070">
        <w:rPr>
          <w:rFonts w:ascii="Garamond" w:hAnsi="Garamond"/>
          <w:sz w:val="18"/>
          <w:szCs w:val="18"/>
          <w:lang w:val="es-ES"/>
        </w:rPr>
        <w:t>Republic</w:t>
      </w:r>
      <w:proofErr w:type="spellEnd"/>
      <w:r w:rsidR="00A42A4C" w:rsidRPr="00A27070">
        <w:rPr>
          <w:rFonts w:ascii="Garamond" w:hAnsi="Garamond"/>
          <w:sz w:val="18"/>
          <w:szCs w:val="18"/>
          <w:lang w:val="es-ES"/>
        </w:rPr>
        <w:t xml:space="preserve"> of </w:t>
      </w:r>
      <w:proofErr w:type="spellStart"/>
      <w:r w:rsidR="00A42A4C" w:rsidRPr="00A27070">
        <w:rPr>
          <w:rFonts w:ascii="Garamond" w:hAnsi="Garamond"/>
          <w:sz w:val="18"/>
          <w:szCs w:val="18"/>
          <w:lang w:val="es-ES"/>
        </w:rPr>
        <w:t>Korea</w:t>
      </w:r>
      <w:proofErr w:type="spellEnd"/>
      <w:r w:rsidR="00A42A4C" w:rsidRPr="00A27070">
        <w:rPr>
          <w:rFonts w:ascii="Garamond" w:hAnsi="Garamond"/>
          <w:sz w:val="18"/>
          <w:szCs w:val="18"/>
          <w:lang w:val="es-ES"/>
        </w:rPr>
        <w:t xml:space="preserve">, para. </w:t>
      </w:r>
      <w:r w:rsidR="00A42A4C" w:rsidRPr="005B389B">
        <w:rPr>
          <w:rFonts w:ascii="Garamond" w:hAnsi="Garamond"/>
          <w:sz w:val="18"/>
          <w:szCs w:val="18"/>
          <w:lang w:val="es-ES"/>
        </w:rPr>
        <w:t>60, E/C.12/KOR/CO/4 (CESCR, 2017)</w:t>
      </w:r>
      <w:r w:rsidR="004C0F11">
        <w:rPr>
          <w:rFonts w:ascii="Garamond" w:hAnsi="Garamond"/>
          <w:sz w:val="18"/>
          <w:szCs w:val="18"/>
          <w:lang w:val="es-ES"/>
        </w:rPr>
        <w:t>.</w:t>
      </w:r>
    </w:p>
  </w:footnote>
  <w:footnote w:id="3">
    <w:p w14:paraId="6A381C1B" w14:textId="47B081D0" w:rsidR="00712CF3" w:rsidRPr="00707879" w:rsidRDefault="00712CF3" w:rsidP="00707879">
      <w:pPr>
        <w:pStyle w:val="FootnoteText"/>
        <w:rPr>
          <w:rFonts w:ascii="Garamond" w:hAnsi="Garamond"/>
          <w:sz w:val="18"/>
          <w:szCs w:val="18"/>
          <w:lang w:val="es-CO"/>
        </w:rPr>
      </w:pPr>
      <w:r w:rsidRPr="00707879">
        <w:rPr>
          <w:rStyle w:val="FootnoteReference"/>
          <w:rFonts w:ascii="Garamond" w:hAnsi="Garamond"/>
          <w:sz w:val="18"/>
          <w:szCs w:val="18"/>
        </w:rPr>
        <w:footnoteRef/>
      </w:r>
      <w:r w:rsidRPr="005B389B">
        <w:rPr>
          <w:rFonts w:ascii="Garamond" w:hAnsi="Garamond"/>
          <w:sz w:val="18"/>
          <w:szCs w:val="18"/>
          <w:lang w:val="es-ES"/>
        </w:rPr>
        <w:t xml:space="preserve"> </w:t>
      </w:r>
      <w:r w:rsidRPr="00707879">
        <w:rPr>
          <w:rFonts w:ascii="Garamond" w:hAnsi="Garamond"/>
          <w:sz w:val="18"/>
          <w:szCs w:val="18"/>
          <w:lang w:val="es-CO"/>
        </w:rPr>
        <w:t>CESCR</w:t>
      </w:r>
      <w:r w:rsidR="004C0F11">
        <w:rPr>
          <w:rFonts w:ascii="Garamond" w:hAnsi="Garamond"/>
          <w:sz w:val="18"/>
          <w:szCs w:val="18"/>
          <w:lang w:val="es-CO"/>
        </w:rPr>
        <w:t>,</w:t>
      </w:r>
      <w:r w:rsidRPr="00707879">
        <w:rPr>
          <w:rFonts w:ascii="Garamond" w:hAnsi="Garamond"/>
          <w:sz w:val="18"/>
          <w:szCs w:val="18"/>
          <w:lang w:val="es-CO"/>
        </w:rPr>
        <w:t xml:space="preserve"> G</w:t>
      </w:r>
      <w:r w:rsidR="004C0F11">
        <w:rPr>
          <w:rFonts w:ascii="Garamond" w:hAnsi="Garamond"/>
          <w:sz w:val="18"/>
          <w:szCs w:val="18"/>
          <w:lang w:val="es-CO"/>
        </w:rPr>
        <w:t xml:space="preserve">eneral </w:t>
      </w:r>
      <w:proofErr w:type="spellStart"/>
      <w:r w:rsidRPr="00707879">
        <w:rPr>
          <w:rFonts w:ascii="Garamond" w:hAnsi="Garamond"/>
          <w:sz w:val="18"/>
          <w:szCs w:val="18"/>
          <w:lang w:val="es-CO"/>
        </w:rPr>
        <w:t>C</w:t>
      </w:r>
      <w:r w:rsidR="004C0F11">
        <w:rPr>
          <w:rFonts w:ascii="Garamond" w:hAnsi="Garamond"/>
          <w:sz w:val="18"/>
          <w:szCs w:val="18"/>
          <w:lang w:val="es-CO"/>
        </w:rPr>
        <w:t>omment</w:t>
      </w:r>
      <w:proofErr w:type="spellEnd"/>
      <w:r w:rsidRPr="00707879">
        <w:rPr>
          <w:rFonts w:ascii="Garamond" w:hAnsi="Garamond"/>
          <w:sz w:val="18"/>
          <w:szCs w:val="18"/>
          <w:lang w:val="es-CO"/>
        </w:rPr>
        <w:t xml:space="preserve"> 22</w:t>
      </w:r>
      <w:r w:rsidR="004C0F11">
        <w:rPr>
          <w:rFonts w:ascii="Garamond" w:hAnsi="Garamond"/>
          <w:sz w:val="18"/>
          <w:szCs w:val="18"/>
          <w:lang w:val="es-CO"/>
        </w:rPr>
        <w:t>,</w:t>
      </w:r>
      <w:r w:rsidRPr="00707879">
        <w:rPr>
          <w:rFonts w:ascii="Garamond" w:hAnsi="Garamond"/>
          <w:sz w:val="18"/>
          <w:szCs w:val="18"/>
          <w:lang w:val="es-CO"/>
        </w:rPr>
        <w:t xml:space="preserve"> para. 16</w:t>
      </w:r>
      <w:r w:rsidR="004C0F11">
        <w:rPr>
          <w:rFonts w:ascii="Garamond" w:hAnsi="Garamond"/>
          <w:sz w:val="18"/>
          <w:szCs w:val="18"/>
          <w:lang w:val="es-CO"/>
        </w:rPr>
        <w:t xml:space="preserve"> (2016)</w:t>
      </w:r>
    </w:p>
  </w:footnote>
  <w:footnote w:id="4">
    <w:p w14:paraId="2E48A98F" w14:textId="2D6B33F2" w:rsidR="00712CF3" w:rsidRPr="00707879" w:rsidRDefault="00712CF3" w:rsidP="00707879">
      <w:pPr>
        <w:pStyle w:val="FootnoteText"/>
        <w:rPr>
          <w:rFonts w:ascii="Garamond" w:hAnsi="Garamond"/>
          <w:sz w:val="18"/>
          <w:szCs w:val="18"/>
          <w:lang w:val="es-CO"/>
        </w:rPr>
      </w:pPr>
      <w:r w:rsidRPr="00707879">
        <w:rPr>
          <w:rStyle w:val="FootnoteReference"/>
          <w:rFonts w:ascii="Garamond" w:hAnsi="Garamond"/>
          <w:sz w:val="18"/>
          <w:szCs w:val="18"/>
        </w:rPr>
        <w:footnoteRef/>
      </w:r>
      <w:r w:rsidRPr="005B389B">
        <w:rPr>
          <w:rFonts w:ascii="Garamond" w:hAnsi="Garamond"/>
          <w:sz w:val="18"/>
          <w:szCs w:val="18"/>
          <w:lang w:val="es-ES"/>
        </w:rPr>
        <w:t xml:space="preserve"> </w:t>
      </w:r>
      <w:r w:rsidRPr="00707879">
        <w:rPr>
          <w:rFonts w:ascii="Garamond" w:hAnsi="Garamond"/>
          <w:sz w:val="18"/>
          <w:szCs w:val="18"/>
          <w:lang w:val="es-CO"/>
        </w:rPr>
        <w:t>Id.</w:t>
      </w:r>
    </w:p>
  </w:footnote>
  <w:footnote w:id="5">
    <w:p w14:paraId="754CE262" w14:textId="77777777" w:rsidR="00A07EE1" w:rsidRPr="00707879" w:rsidRDefault="00A07EE1" w:rsidP="00707879">
      <w:pPr>
        <w:spacing w:after="0" w:line="240" w:lineRule="auto"/>
        <w:rPr>
          <w:rFonts w:ascii="Garamond" w:hAnsi="Garamond"/>
          <w:sz w:val="18"/>
          <w:szCs w:val="18"/>
          <w:lang w:val="en-US"/>
        </w:rPr>
      </w:pPr>
      <w:r w:rsidRPr="00707879">
        <w:rPr>
          <w:rStyle w:val="FootnoteReference"/>
          <w:rFonts w:ascii="Garamond" w:hAnsi="Garamond"/>
          <w:sz w:val="18"/>
          <w:szCs w:val="18"/>
        </w:rPr>
        <w:footnoteRef/>
      </w:r>
      <w:r w:rsidRPr="005B389B">
        <w:rPr>
          <w:rFonts w:ascii="Garamond" w:hAnsi="Garamond"/>
          <w:sz w:val="18"/>
          <w:szCs w:val="18"/>
          <w:lang w:val="es-ES"/>
        </w:rPr>
        <w:t xml:space="preserve"> Shaw, Jessica (2006). </w:t>
      </w:r>
      <w:r w:rsidRPr="00707879">
        <w:rPr>
          <w:rFonts w:ascii="Garamond" w:hAnsi="Garamond"/>
          <w:i/>
          <w:sz w:val="18"/>
          <w:szCs w:val="18"/>
        </w:rPr>
        <w:t xml:space="preserve">Reality Check: A Close Look </w:t>
      </w:r>
      <w:proofErr w:type="gramStart"/>
      <w:r w:rsidRPr="00707879">
        <w:rPr>
          <w:rFonts w:ascii="Garamond" w:hAnsi="Garamond"/>
          <w:i/>
          <w:sz w:val="18"/>
          <w:szCs w:val="18"/>
        </w:rPr>
        <w:t>At</w:t>
      </w:r>
      <w:proofErr w:type="gramEnd"/>
      <w:r w:rsidRPr="00707879">
        <w:rPr>
          <w:rFonts w:ascii="Garamond" w:hAnsi="Garamond"/>
          <w:i/>
          <w:sz w:val="18"/>
          <w:szCs w:val="18"/>
        </w:rPr>
        <w:t xml:space="preserve"> Accessing Hospital Abortion Services In Canada</w:t>
      </w:r>
      <w:r w:rsidRPr="00707879">
        <w:rPr>
          <w:rFonts w:ascii="Garamond" w:hAnsi="Garamond"/>
          <w:sz w:val="18"/>
          <w:szCs w:val="18"/>
        </w:rPr>
        <w:t xml:space="preserve">. Ottawa: Canadians for Choice. [This qualitative study has not been updated thus this data has not been validated since 2006 –but to our knowledge, </w:t>
      </w:r>
      <w:proofErr w:type="gramStart"/>
      <w:r w:rsidRPr="00707879">
        <w:rPr>
          <w:rFonts w:ascii="Garamond" w:hAnsi="Garamond"/>
          <w:sz w:val="18"/>
          <w:szCs w:val="18"/>
        </w:rPr>
        <w:t>a number of</w:t>
      </w:r>
      <w:proofErr w:type="gramEnd"/>
      <w:r w:rsidRPr="00707879">
        <w:rPr>
          <w:rFonts w:ascii="Garamond" w:hAnsi="Garamond"/>
          <w:sz w:val="18"/>
          <w:szCs w:val="18"/>
        </w:rPr>
        <w:t xml:space="preserve"> hospitals have ceased offering abortion services since that time, and as a result we would expect the current picture to reflect an even more significant disparity.]</w:t>
      </w:r>
    </w:p>
  </w:footnote>
  <w:footnote w:id="6">
    <w:p w14:paraId="6D6BF818" w14:textId="6584BE17" w:rsidR="00A07EE1" w:rsidRPr="00707879" w:rsidRDefault="00A07EE1" w:rsidP="00707879">
      <w:pPr>
        <w:pStyle w:val="FootnoteText"/>
        <w:rPr>
          <w:rFonts w:ascii="Garamond" w:hAnsi="Garamond"/>
          <w:color w:val="E26F54"/>
          <w:sz w:val="18"/>
          <w:szCs w:val="18"/>
          <w:lang w:val="en-CA"/>
        </w:rPr>
      </w:pPr>
      <w:r w:rsidRPr="00707879">
        <w:rPr>
          <w:rStyle w:val="FootnoteReference"/>
          <w:rFonts w:ascii="Garamond" w:hAnsi="Garamond"/>
          <w:sz w:val="18"/>
          <w:szCs w:val="18"/>
        </w:rPr>
        <w:footnoteRef/>
      </w:r>
      <w:r w:rsidRPr="00707879">
        <w:rPr>
          <w:rFonts w:ascii="Garamond" w:hAnsi="Garamond"/>
          <w:sz w:val="18"/>
          <w:szCs w:val="18"/>
        </w:rPr>
        <w:t xml:space="preserve"> </w:t>
      </w:r>
      <w:r w:rsidRPr="00707879">
        <w:rPr>
          <w:rFonts w:ascii="Garamond" w:hAnsi="Garamond"/>
          <w:sz w:val="18"/>
          <w:szCs w:val="18"/>
          <w:lang w:val="en-CA"/>
        </w:rPr>
        <w:t xml:space="preserve">Action Canada for Sexual Health and Rights. 2019. Access at a Glance. </w:t>
      </w:r>
      <w:hyperlink r:id="rId1" w:history="1">
        <w:r w:rsidRPr="00707879">
          <w:rPr>
            <w:rStyle w:val="Hyperlink"/>
            <w:rFonts w:ascii="Garamond" w:hAnsi="Garamond"/>
            <w:color w:val="E26F54"/>
            <w:sz w:val="18"/>
            <w:szCs w:val="18"/>
          </w:rPr>
          <w:t>https://www.actioncanadashr.org/news/2019-09-19-2019-launch-access-glance-identifies-realities-abortion-access-canada</w:t>
        </w:r>
      </w:hyperlink>
      <w:r w:rsidRPr="00707879">
        <w:rPr>
          <w:rFonts w:ascii="Garamond" w:hAnsi="Garamond"/>
          <w:color w:val="E26F54"/>
          <w:sz w:val="18"/>
          <w:szCs w:val="18"/>
        </w:rPr>
        <w:t xml:space="preserve"> </w:t>
      </w:r>
    </w:p>
  </w:footnote>
  <w:footnote w:id="7">
    <w:p w14:paraId="2195CB4E" w14:textId="6DCE69E4" w:rsidR="00A07EE1" w:rsidRPr="00707879" w:rsidRDefault="00A07EE1" w:rsidP="00707879">
      <w:pPr>
        <w:pStyle w:val="FootnoteText"/>
        <w:rPr>
          <w:rFonts w:ascii="Garamond" w:hAnsi="Garamond"/>
          <w:sz w:val="18"/>
          <w:szCs w:val="18"/>
        </w:rPr>
      </w:pPr>
      <w:r w:rsidRPr="00707879">
        <w:rPr>
          <w:rStyle w:val="FootnoteReference"/>
          <w:rFonts w:ascii="Garamond" w:hAnsi="Garamond"/>
          <w:sz w:val="18"/>
          <w:szCs w:val="18"/>
        </w:rPr>
        <w:footnoteRef/>
      </w:r>
      <w:r w:rsidRPr="00707879">
        <w:rPr>
          <w:rFonts w:ascii="Garamond" w:hAnsi="Garamond"/>
          <w:sz w:val="18"/>
          <w:szCs w:val="18"/>
        </w:rPr>
        <w:t xml:space="preserve"> The Guardian. “Women turning to desperate measures due to lack of abortion services.” November 2011. </w:t>
      </w:r>
      <w:hyperlink r:id="rId2" w:history="1">
        <w:r w:rsidRPr="00707879">
          <w:rPr>
            <w:rStyle w:val="Hyperlink"/>
            <w:rFonts w:ascii="Garamond" w:hAnsi="Garamond"/>
            <w:color w:val="E26F54"/>
            <w:sz w:val="18"/>
            <w:szCs w:val="18"/>
          </w:rPr>
          <w:t>http://www.theguardian.pe.ca/News/Local/2011-11-10/article-2802198/Women-turning-to-desperate-measures-due-to-lack-of-abortion-services/1</w:t>
        </w:r>
      </w:hyperlink>
      <w:r w:rsidRPr="00707879">
        <w:rPr>
          <w:rFonts w:ascii="Garamond" w:hAnsi="Garamond"/>
          <w:color w:val="E26F54"/>
          <w:sz w:val="18"/>
          <w:szCs w:val="18"/>
        </w:rPr>
        <w:t xml:space="preserve"> </w:t>
      </w:r>
      <w:r w:rsidRPr="00707879">
        <w:rPr>
          <w:rFonts w:ascii="Garamond" w:hAnsi="Garamond"/>
          <w:sz w:val="18"/>
          <w:szCs w:val="18"/>
        </w:rPr>
        <w:t xml:space="preserve">and </w:t>
      </w:r>
      <w:hyperlink r:id="rId3" w:history="1">
        <w:r w:rsidRPr="00707879">
          <w:rPr>
            <w:rStyle w:val="Hyperlink"/>
            <w:rFonts w:ascii="Garamond" w:hAnsi="Garamond"/>
            <w:color w:val="E26F54"/>
            <w:sz w:val="18"/>
            <w:szCs w:val="18"/>
          </w:rPr>
          <w:t>http://projects.upei.ca/cmacquarrie/files/2014/01/trials_and_trails_final.pdf</w:t>
        </w:r>
      </w:hyperlink>
      <w:r w:rsidRPr="00707879">
        <w:rPr>
          <w:rFonts w:ascii="Garamond" w:hAnsi="Garamond"/>
          <w:color w:val="E26F54"/>
          <w:sz w:val="18"/>
          <w:szCs w:val="18"/>
        </w:rPr>
        <w:t xml:space="preserve"> </w:t>
      </w:r>
    </w:p>
  </w:footnote>
  <w:footnote w:id="8">
    <w:p w14:paraId="0C6AA930" w14:textId="161B356D" w:rsidR="00A07EE1" w:rsidRPr="00707879" w:rsidRDefault="00A07EE1" w:rsidP="00707879">
      <w:pPr>
        <w:pStyle w:val="FootnoteText"/>
        <w:rPr>
          <w:rFonts w:ascii="Garamond" w:hAnsi="Garamond"/>
          <w:color w:val="E26F54"/>
          <w:sz w:val="18"/>
          <w:szCs w:val="18"/>
          <w:lang w:val="en-CA"/>
        </w:rPr>
      </w:pPr>
      <w:r w:rsidRPr="00707879">
        <w:rPr>
          <w:rStyle w:val="FootnoteReference"/>
          <w:rFonts w:ascii="Garamond" w:hAnsi="Garamond"/>
          <w:sz w:val="18"/>
          <w:szCs w:val="18"/>
        </w:rPr>
        <w:footnoteRef/>
      </w:r>
      <w:r w:rsidRPr="00707879">
        <w:rPr>
          <w:rFonts w:ascii="Garamond" w:hAnsi="Garamond"/>
          <w:sz w:val="18"/>
          <w:szCs w:val="18"/>
        </w:rPr>
        <w:t xml:space="preserve"> Action Canada for Sexual Health and Rights. Mapping Abortion Access in Canada. 2015</w:t>
      </w:r>
      <w:r w:rsidRPr="00707879">
        <w:rPr>
          <w:rFonts w:ascii="Garamond" w:hAnsi="Garamond"/>
          <w:color w:val="E26F54"/>
          <w:sz w:val="18"/>
          <w:szCs w:val="18"/>
        </w:rPr>
        <w:t xml:space="preserve">. </w:t>
      </w:r>
      <w:hyperlink r:id="rId4" w:history="1">
        <w:r w:rsidRPr="00707879">
          <w:rPr>
            <w:rStyle w:val="Hyperlink"/>
            <w:rFonts w:ascii="Garamond" w:hAnsi="Garamond"/>
            <w:color w:val="E26F54"/>
            <w:sz w:val="18"/>
            <w:szCs w:val="18"/>
          </w:rPr>
          <w:t>http://www.sexualhealthandrights.ca/wp-content/uploads/2015/10/Map-Access-CHC-and-AC.pdf</w:t>
        </w:r>
      </w:hyperlink>
      <w:r w:rsidRPr="00707879">
        <w:rPr>
          <w:rFonts w:ascii="Garamond" w:hAnsi="Garamond"/>
          <w:color w:val="E26F54"/>
          <w:sz w:val="18"/>
          <w:szCs w:val="18"/>
        </w:rPr>
        <w:t xml:space="preserve"> </w:t>
      </w:r>
    </w:p>
  </w:footnote>
  <w:footnote w:id="9">
    <w:p w14:paraId="34951164" w14:textId="1FA314D4" w:rsidR="00DB182C" w:rsidRPr="00707879" w:rsidRDefault="00DB182C" w:rsidP="00707879">
      <w:pPr>
        <w:autoSpaceDE w:val="0"/>
        <w:autoSpaceDN w:val="0"/>
        <w:adjustRightInd w:val="0"/>
        <w:spacing w:after="0" w:line="240" w:lineRule="auto"/>
        <w:rPr>
          <w:rFonts w:ascii="Garamond" w:hAnsi="Garamond"/>
          <w:color w:val="E26F54"/>
          <w:sz w:val="18"/>
          <w:szCs w:val="18"/>
        </w:rPr>
      </w:pPr>
      <w:r w:rsidRPr="00707879">
        <w:rPr>
          <w:rStyle w:val="FootnoteReference"/>
          <w:rFonts w:ascii="Garamond" w:hAnsi="Garamond"/>
          <w:sz w:val="18"/>
          <w:szCs w:val="18"/>
        </w:rPr>
        <w:footnoteRef/>
      </w:r>
      <w:r w:rsidRPr="00707879">
        <w:rPr>
          <w:rFonts w:ascii="Garamond" w:hAnsi="Garamond"/>
          <w:sz w:val="18"/>
          <w:szCs w:val="18"/>
        </w:rPr>
        <w:t xml:space="preserve"> </w:t>
      </w:r>
      <w:r w:rsidR="00DF0ECB" w:rsidRPr="00707879">
        <w:rPr>
          <w:rFonts w:ascii="Garamond" w:hAnsi="Garamond"/>
          <w:color w:val="000000"/>
          <w:sz w:val="18"/>
          <w:szCs w:val="18"/>
        </w:rPr>
        <w:t xml:space="preserve">If any of province or territory fails to meet any one of the criteria set out in section 13 of the </w:t>
      </w:r>
      <w:r w:rsidR="00DF0ECB" w:rsidRPr="00707879">
        <w:rPr>
          <w:rFonts w:ascii="Garamond" w:hAnsi="Garamond"/>
          <w:i/>
          <w:color w:val="000000"/>
          <w:sz w:val="18"/>
          <w:szCs w:val="18"/>
        </w:rPr>
        <w:t>Act</w:t>
      </w:r>
      <w:r w:rsidR="00DF0ECB" w:rsidRPr="00707879">
        <w:rPr>
          <w:rFonts w:ascii="Garamond" w:hAnsi="Garamond"/>
          <w:color w:val="000000"/>
          <w:sz w:val="18"/>
          <w:szCs w:val="18"/>
        </w:rPr>
        <w:t xml:space="preserve">, or if the province allows extra billing by medical practitioners or permits user charges for insured health services (which abortion is considered to be), the province will face as the penalty a reduction or withholding of the cash contribution. The </w:t>
      </w:r>
      <w:r w:rsidR="00DF0ECB" w:rsidRPr="005B389B">
        <w:rPr>
          <w:rFonts w:ascii="Garamond" w:hAnsi="Garamond"/>
          <w:i/>
          <w:iCs/>
          <w:color w:val="000000"/>
          <w:sz w:val="18"/>
          <w:szCs w:val="18"/>
        </w:rPr>
        <w:t>Ac</w:t>
      </w:r>
      <w:r w:rsidR="00CD647B">
        <w:rPr>
          <w:rFonts w:ascii="Garamond" w:hAnsi="Garamond"/>
          <w:i/>
          <w:iCs/>
          <w:color w:val="000000"/>
          <w:sz w:val="18"/>
          <w:szCs w:val="18"/>
        </w:rPr>
        <w:t>t</w:t>
      </w:r>
      <w:r w:rsidR="00DF0ECB" w:rsidRPr="00707879">
        <w:rPr>
          <w:rFonts w:ascii="Garamond" w:hAnsi="Garamond"/>
          <w:color w:val="000000"/>
          <w:sz w:val="18"/>
          <w:szCs w:val="18"/>
        </w:rPr>
        <w:t xml:space="preserve"> requires provinces and territories to provide universal coverage for all insured persons for all medically necessary hospital and physician services, without co-payments</w:t>
      </w:r>
      <w:r w:rsidR="00FA42A5" w:rsidRPr="00707879">
        <w:rPr>
          <w:rFonts w:ascii="Garamond" w:hAnsi="Garamond"/>
          <w:color w:val="000000"/>
          <w:sz w:val="18"/>
          <w:szCs w:val="18"/>
        </w:rPr>
        <w:t>.</w:t>
      </w:r>
      <w:r w:rsidR="00DF0ECB" w:rsidRPr="00707879">
        <w:rPr>
          <w:rFonts w:ascii="Garamond" w:hAnsi="Garamond"/>
          <w:color w:val="000000"/>
          <w:sz w:val="18"/>
          <w:szCs w:val="18"/>
        </w:rPr>
        <w:t xml:space="preserve"> </w:t>
      </w:r>
      <w:r w:rsidR="00DF0ECB" w:rsidRPr="00707879">
        <w:rPr>
          <w:rFonts w:ascii="Garamond" w:hAnsi="Garamond"/>
          <w:color w:val="auto"/>
          <w:sz w:val="18"/>
          <w:szCs w:val="18"/>
        </w:rPr>
        <w:t>In other words, making women pay for a service deemed to be medically necessary under the Canada Health Act is a violation of the</w:t>
      </w:r>
      <w:r w:rsidR="00CD647B">
        <w:rPr>
          <w:rFonts w:ascii="Garamond" w:hAnsi="Garamond"/>
          <w:color w:val="auto"/>
          <w:sz w:val="18"/>
          <w:szCs w:val="18"/>
        </w:rPr>
        <w:t xml:space="preserve"> </w:t>
      </w:r>
      <w:r w:rsidR="00CD647B">
        <w:rPr>
          <w:rFonts w:ascii="Garamond" w:hAnsi="Garamond"/>
          <w:i/>
          <w:iCs/>
          <w:color w:val="auto"/>
          <w:sz w:val="18"/>
          <w:szCs w:val="18"/>
        </w:rPr>
        <w:t>Act</w:t>
      </w:r>
      <w:r w:rsidR="00DF0ECB" w:rsidRPr="00707879">
        <w:rPr>
          <w:rFonts w:ascii="Garamond" w:hAnsi="Garamond"/>
          <w:color w:val="auto"/>
          <w:sz w:val="18"/>
          <w:szCs w:val="18"/>
        </w:rPr>
        <w:t xml:space="preserve">. </w:t>
      </w:r>
      <w:r w:rsidR="00335D5C" w:rsidRPr="00707879">
        <w:rPr>
          <w:rFonts w:ascii="Garamond" w:hAnsi="Garamond"/>
          <w:color w:val="000000"/>
          <w:sz w:val="18"/>
          <w:szCs w:val="18"/>
          <w:lang w:val="en-US"/>
        </w:rPr>
        <w:t xml:space="preserve">Canada Health Act (R.S., 1985, c. C-6), online </w:t>
      </w:r>
      <w:hyperlink r:id="rId5" w:history="1">
        <w:r w:rsidR="00335D5C" w:rsidRPr="00707879">
          <w:rPr>
            <w:rStyle w:val="Hyperlink"/>
            <w:rFonts w:ascii="Garamond" w:hAnsi="Garamond"/>
            <w:color w:val="E26F54"/>
            <w:sz w:val="18"/>
            <w:szCs w:val="18"/>
            <w:lang w:val="en-US"/>
          </w:rPr>
          <w:t>http://laws.justice.gc.ca/en/showdoc/cs/C-6/boga:3::bo-ga:s_4?page=3</w:t>
        </w:r>
      </w:hyperlink>
      <w:r w:rsidR="00F87C32" w:rsidRPr="00707879">
        <w:rPr>
          <w:rFonts w:ascii="Garamond" w:hAnsi="Garamond"/>
          <w:color w:val="E26F54"/>
          <w:sz w:val="18"/>
          <w:szCs w:val="18"/>
          <w:lang w:val="en-US"/>
        </w:rPr>
        <w:t xml:space="preserve">. </w:t>
      </w:r>
      <w:r w:rsidR="00335D5C" w:rsidRPr="00707879">
        <w:rPr>
          <w:rFonts w:ascii="Garamond" w:hAnsi="Garamond"/>
          <w:color w:val="E26F54"/>
          <w:sz w:val="18"/>
          <w:szCs w:val="18"/>
          <w:lang w:val="en-US"/>
        </w:rPr>
        <w:t xml:space="preserve"> </w:t>
      </w:r>
    </w:p>
  </w:footnote>
  <w:footnote w:id="10">
    <w:p w14:paraId="31C27BB1" w14:textId="77777777" w:rsidR="00A07EE1" w:rsidRPr="00707879" w:rsidRDefault="00A07EE1" w:rsidP="00707879">
      <w:pPr>
        <w:pStyle w:val="FootnoteText"/>
        <w:rPr>
          <w:rFonts w:ascii="Garamond" w:hAnsi="Garamond"/>
          <w:color w:val="E26F54"/>
          <w:sz w:val="18"/>
          <w:szCs w:val="18"/>
        </w:rPr>
      </w:pPr>
      <w:r w:rsidRPr="00707879">
        <w:rPr>
          <w:rStyle w:val="FootnoteReference"/>
          <w:rFonts w:ascii="Garamond" w:hAnsi="Garamond"/>
          <w:sz w:val="18"/>
          <w:szCs w:val="18"/>
        </w:rPr>
        <w:footnoteRef/>
      </w:r>
      <w:r w:rsidRPr="00707879">
        <w:rPr>
          <w:rFonts w:ascii="Garamond" w:hAnsi="Garamond"/>
          <w:sz w:val="18"/>
          <w:szCs w:val="18"/>
        </w:rPr>
        <w:t xml:space="preserve"> Allen, Tess. October </w:t>
      </w:r>
      <w:proofErr w:type="gramStart"/>
      <w:r w:rsidRPr="00707879">
        <w:rPr>
          <w:rFonts w:ascii="Garamond" w:hAnsi="Garamond"/>
          <w:sz w:val="18"/>
          <w:szCs w:val="18"/>
        </w:rPr>
        <w:t>20</w:t>
      </w:r>
      <w:proofErr w:type="gramEnd"/>
      <w:r w:rsidRPr="00707879">
        <w:rPr>
          <w:rFonts w:ascii="Garamond" w:hAnsi="Garamond"/>
          <w:sz w:val="18"/>
          <w:szCs w:val="18"/>
        </w:rPr>
        <w:t xml:space="preserve"> 2014. ‘Lacking access to abortion access, New Brunswick women head to Main abortion clinics.’ </w:t>
      </w:r>
      <w:hyperlink r:id="rId6" w:history="1">
        <w:r w:rsidRPr="00707879">
          <w:rPr>
            <w:rStyle w:val="Hyperlink"/>
            <w:rFonts w:ascii="Garamond" w:hAnsi="Garamond"/>
            <w:color w:val="E26F54"/>
            <w:sz w:val="18"/>
            <w:szCs w:val="18"/>
          </w:rPr>
          <w:t>http://rabble.ca/news/2014/10/lacking-abortion-access-new-brunswick-women-head-maine-abortion-clinics</w:t>
        </w:r>
      </w:hyperlink>
      <w:r w:rsidRPr="00707879">
        <w:rPr>
          <w:rFonts w:ascii="Garamond" w:hAnsi="Garamond"/>
          <w:sz w:val="18"/>
          <w:szCs w:val="18"/>
        </w:rPr>
        <w:t xml:space="preserve"> and </w:t>
      </w:r>
      <w:hyperlink r:id="rId7" w:history="1">
        <w:r w:rsidRPr="00707879">
          <w:rPr>
            <w:rStyle w:val="Hyperlink"/>
            <w:rFonts w:ascii="Garamond" w:hAnsi="Garamond"/>
            <w:color w:val="E26F54"/>
            <w:sz w:val="18"/>
            <w:szCs w:val="18"/>
          </w:rPr>
          <w:t>http://rabble.ca/columnists/2014/05/new-brunswick-invites-return-unsafe-abortions</w:t>
        </w:r>
      </w:hyperlink>
      <w:r w:rsidRPr="00707879">
        <w:rPr>
          <w:rFonts w:ascii="Garamond" w:hAnsi="Garamond"/>
          <w:color w:val="E26F54"/>
          <w:sz w:val="18"/>
          <w:szCs w:val="18"/>
        </w:rPr>
        <w:t xml:space="preserve"> </w:t>
      </w:r>
    </w:p>
  </w:footnote>
  <w:footnote w:id="11">
    <w:p w14:paraId="4C6AE454" w14:textId="77777777" w:rsidR="00A07EE1" w:rsidRPr="00707879" w:rsidRDefault="00A07EE1" w:rsidP="00707879">
      <w:pPr>
        <w:pStyle w:val="FootnoteText"/>
        <w:rPr>
          <w:rFonts w:ascii="Garamond" w:hAnsi="Garamond"/>
          <w:color w:val="E26F54"/>
          <w:sz w:val="18"/>
          <w:szCs w:val="18"/>
        </w:rPr>
      </w:pPr>
      <w:r w:rsidRPr="00707879">
        <w:rPr>
          <w:rStyle w:val="FootnoteReference"/>
          <w:rFonts w:ascii="Garamond" w:hAnsi="Garamond"/>
          <w:sz w:val="18"/>
          <w:szCs w:val="18"/>
        </w:rPr>
        <w:footnoteRef/>
      </w:r>
      <w:r w:rsidRPr="00707879">
        <w:rPr>
          <w:rFonts w:ascii="Garamond" w:hAnsi="Garamond"/>
          <w:sz w:val="18"/>
          <w:szCs w:val="18"/>
        </w:rPr>
        <w:t xml:space="preserve"> </w:t>
      </w:r>
      <w:hyperlink r:id="rId8" w:history="1">
        <w:r w:rsidRPr="00707879">
          <w:rPr>
            <w:rStyle w:val="Hyperlink"/>
            <w:rFonts w:ascii="Garamond" w:hAnsi="Garamond"/>
            <w:color w:val="E26F54"/>
            <w:sz w:val="18"/>
            <w:szCs w:val="18"/>
          </w:rPr>
          <w:t>http://www.arcc-cdac.ca/CPC-study/CPC-Website-Study-ARCC-2016.pdf</w:t>
        </w:r>
      </w:hyperlink>
      <w:r w:rsidRPr="00707879">
        <w:rPr>
          <w:rFonts w:ascii="Garamond" w:hAnsi="Garamond"/>
          <w:sz w:val="18"/>
          <w:szCs w:val="18"/>
        </w:rPr>
        <w:t xml:space="preserve"> </w:t>
      </w:r>
    </w:p>
  </w:footnote>
  <w:footnote w:id="12">
    <w:p w14:paraId="41613B69" w14:textId="77777777" w:rsidR="00A07EE1" w:rsidRPr="00707879" w:rsidRDefault="00A07EE1" w:rsidP="00707879">
      <w:pPr>
        <w:pStyle w:val="FootnoteText"/>
        <w:rPr>
          <w:rFonts w:ascii="Garamond" w:hAnsi="Garamond"/>
          <w:sz w:val="18"/>
          <w:szCs w:val="18"/>
        </w:rPr>
      </w:pPr>
      <w:r w:rsidRPr="00707879">
        <w:rPr>
          <w:rStyle w:val="FootnoteReference"/>
          <w:rFonts w:ascii="Garamond" w:hAnsi="Garamond"/>
          <w:sz w:val="18"/>
          <w:szCs w:val="18"/>
        </w:rPr>
        <w:footnoteRef/>
      </w:r>
      <w:r w:rsidRPr="00707879">
        <w:rPr>
          <w:rFonts w:ascii="Garamond" w:hAnsi="Garamond"/>
          <w:sz w:val="18"/>
          <w:szCs w:val="18"/>
        </w:rPr>
        <w:t xml:space="preserve"> </w:t>
      </w:r>
      <w:hyperlink r:id="rId9" w:history="1">
        <w:r w:rsidRPr="00707879">
          <w:rPr>
            <w:rStyle w:val="Hyperlink"/>
            <w:rFonts w:ascii="Garamond" w:hAnsi="Garamond"/>
            <w:color w:val="E26F54"/>
            <w:sz w:val="18"/>
            <w:szCs w:val="18"/>
          </w:rPr>
          <w:t>http://www.arcc-cdac.ca/CPC-study/list-anti-choice-groups.pdf</w:t>
        </w:r>
      </w:hyperlink>
      <w:r w:rsidRPr="00707879">
        <w:rPr>
          <w:rFonts w:ascii="Garamond" w:hAnsi="Garamond"/>
          <w:sz w:val="18"/>
          <w:szCs w:val="18"/>
        </w:rPr>
        <w:t xml:space="preserve"> and </w:t>
      </w:r>
      <w:hyperlink r:id="rId10" w:history="1">
        <w:r w:rsidRPr="00707879">
          <w:rPr>
            <w:rStyle w:val="Hyperlink"/>
            <w:rFonts w:ascii="Garamond" w:hAnsi="Garamond"/>
            <w:color w:val="E26F54"/>
            <w:sz w:val="18"/>
            <w:szCs w:val="18"/>
          </w:rPr>
          <w:t>http://www.arcc-cdac.ca/CPC-study/CPC-Website-Study-ARCC-2016.pdf</w:t>
        </w:r>
      </w:hyperlink>
      <w:r w:rsidRPr="00707879">
        <w:rPr>
          <w:rFonts w:ascii="Garamond" w:hAnsi="Garamond"/>
          <w:color w:val="E26F54"/>
          <w:sz w:val="18"/>
          <w:szCs w:val="18"/>
        </w:rPr>
        <w:t xml:space="preserve"> </w:t>
      </w:r>
    </w:p>
  </w:footnote>
  <w:footnote w:id="13">
    <w:p w14:paraId="7AD8D6AF" w14:textId="77777777" w:rsidR="008E08E7" w:rsidRPr="00707879" w:rsidRDefault="008E08E7" w:rsidP="00707879">
      <w:pPr>
        <w:pStyle w:val="FootnoteText"/>
        <w:rPr>
          <w:rFonts w:ascii="Garamond" w:hAnsi="Garamond"/>
          <w:sz w:val="18"/>
          <w:szCs w:val="18"/>
        </w:rPr>
      </w:pPr>
      <w:r w:rsidRPr="00707879">
        <w:rPr>
          <w:rStyle w:val="FootnoteReference"/>
          <w:rFonts w:ascii="Garamond" w:hAnsi="Garamond"/>
          <w:sz w:val="18"/>
          <w:szCs w:val="18"/>
        </w:rPr>
        <w:footnoteRef/>
      </w:r>
      <w:r w:rsidRPr="00707879">
        <w:rPr>
          <w:rFonts w:ascii="Garamond" w:hAnsi="Garamond"/>
          <w:sz w:val="18"/>
          <w:szCs w:val="18"/>
        </w:rPr>
        <w:t xml:space="preserve"> </w:t>
      </w:r>
      <w:hyperlink r:id="rId11" w:history="1">
        <w:r w:rsidRPr="00707879">
          <w:rPr>
            <w:rStyle w:val="Hyperlink"/>
            <w:rFonts w:ascii="Garamond" w:hAnsi="Garamond"/>
            <w:color w:val="E26F54"/>
            <w:sz w:val="18"/>
            <w:szCs w:val="18"/>
          </w:rPr>
          <w:t>https://globalnews.ca/news/2703632/crisis-prexgnancy-centres-mislead-women-report-says/</w:t>
        </w:r>
      </w:hyperlink>
      <w:r w:rsidRPr="00707879">
        <w:rPr>
          <w:rFonts w:ascii="Garamond" w:hAnsi="Garamond"/>
          <w:color w:val="E26F54"/>
          <w:sz w:val="18"/>
          <w:szCs w:val="18"/>
        </w:rPr>
        <w:t xml:space="preserve"> </w:t>
      </w:r>
    </w:p>
  </w:footnote>
  <w:footnote w:id="14">
    <w:p w14:paraId="4A310210" w14:textId="77777777" w:rsidR="00A07EE1" w:rsidRPr="00707879" w:rsidRDefault="00A07EE1" w:rsidP="004B53F6">
      <w:pPr>
        <w:pStyle w:val="FootnoteText"/>
        <w:rPr>
          <w:rFonts w:ascii="Garamond" w:hAnsi="Garamond"/>
          <w:sz w:val="18"/>
          <w:szCs w:val="18"/>
        </w:rPr>
      </w:pPr>
      <w:r w:rsidRPr="00707879">
        <w:rPr>
          <w:rStyle w:val="FootnoteReference"/>
          <w:rFonts w:ascii="Garamond" w:hAnsi="Garamond"/>
          <w:sz w:val="18"/>
          <w:szCs w:val="18"/>
        </w:rPr>
        <w:footnoteRef/>
      </w:r>
      <w:r w:rsidRPr="00707879">
        <w:rPr>
          <w:rFonts w:ascii="Garamond" w:hAnsi="Garamond"/>
          <w:sz w:val="18"/>
          <w:szCs w:val="18"/>
        </w:rPr>
        <w:t xml:space="preserve"> </w:t>
      </w:r>
      <w:hyperlink r:id="rId12" w:history="1">
        <w:r w:rsidRPr="00707879">
          <w:rPr>
            <w:rStyle w:val="Hyperlink"/>
            <w:rFonts w:ascii="Garamond" w:hAnsi="Garamond"/>
            <w:color w:val="E26F54"/>
            <w:sz w:val="18"/>
            <w:szCs w:val="18"/>
          </w:rPr>
          <w:t>https://www.ncbi.nlm.nih.gov/pubmed/22958665</w:t>
        </w:r>
      </w:hyperlink>
      <w:r w:rsidRPr="00707879">
        <w:rPr>
          <w:rStyle w:val="Hyperlink"/>
          <w:rFonts w:ascii="Garamond" w:hAnsi="Garamond"/>
          <w:color w:val="E26F54"/>
          <w:sz w:val="18"/>
          <w:szCs w:val="18"/>
        </w:rPr>
        <w:t xml:space="preserve"> </w:t>
      </w:r>
    </w:p>
  </w:footnote>
  <w:footnote w:id="15">
    <w:p w14:paraId="48120990" w14:textId="1ED95475" w:rsidR="009C57E1" w:rsidRPr="004B53F6" w:rsidRDefault="009C57E1" w:rsidP="004B53F6">
      <w:pPr>
        <w:pStyle w:val="FootnoteText"/>
        <w:rPr>
          <w:rFonts w:ascii="Garamond" w:hAnsi="Garamond"/>
          <w:sz w:val="18"/>
          <w:szCs w:val="18"/>
          <w:lang w:val="es-CO"/>
        </w:rPr>
      </w:pPr>
      <w:r w:rsidRPr="00707879">
        <w:rPr>
          <w:rStyle w:val="FootnoteReference"/>
          <w:rFonts w:ascii="Garamond" w:hAnsi="Garamond"/>
          <w:sz w:val="18"/>
          <w:szCs w:val="18"/>
        </w:rPr>
        <w:footnoteRef/>
      </w:r>
      <w:r w:rsidRPr="00A27070">
        <w:rPr>
          <w:rFonts w:ascii="Garamond" w:hAnsi="Garamond"/>
          <w:sz w:val="18"/>
          <w:szCs w:val="18"/>
          <w:lang w:val="es-ES"/>
        </w:rPr>
        <w:t xml:space="preserve"> </w:t>
      </w:r>
      <w:proofErr w:type="spellStart"/>
      <w:r w:rsidRPr="00707879">
        <w:rPr>
          <w:rFonts w:ascii="Garamond" w:hAnsi="Garamond"/>
          <w:sz w:val="18"/>
          <w:szCs w:val="18"/>
          <w:lang w:val="es-CO"/>
        </w:rPr>
        <w:t>See</w:t>
      </w:r>
      <w:proofErr w:type="spellEnd"/>
      <w:r w:rsidR="00503036">
        <w:rPr>
          <w:rFonts w:ascii="Garamond" w:hAnsi="Garamond"/>
          <w:sz w:val="18"/>
          <w:szCs w:val="18"/>
          <w:lang w:val="es-CO"/>
        </w:rPr>
        <w:t>:</w:t>
      </w:r>
      <w:r w:rsidRPr="00707879">
        <w:rPr>
          <w:rFonts w:ascii="Garamond" w:hAnsi="Garamond"/>
          <w:sz w:val="18"/>
          <w:szCs w:val="18"/>
          <w:lang w:val="es-CO"/>
        </w:rPr>
        <w:t xml:space="preserve"> </w:t>
      </w:r>
      <w:r w:rsidRPr="004B53F6">
        <w:rPr>
          <w:rFonts w:ascii="Garamond" w:hAnsi="Garamond"/>
          <w:sz w:val="18"/>
          <w:szCs w:val="18"/>
          <w:lang w:val="es-CO"/>
        </w:rPr>
        <w:t>CESCR</w:t>
      </w:r>
      <w:r w:rsidR="00503036">
        <w:rPr>
          <w:rFonts w:ascii="Garamond" w:hAnsi="Garamond"/>
          <w:sz w:val="18"/>
          <w:szCs w:val="18"/>
          <w:lang w:val="es-CO"/>
        </w:rPr>
        <w:t xml:space="preserve">, </w:t>
      </w:r>
      <w:proofErr w:type="spellStart"/>
      <w:r w:rsidR="00503036">
        <w:rPr>
          <w:rFonts w:ascii="Garamond" w:hAnsi="Garamond"/>
          <w:sz w:val="18"/>
          <w:szCs w:val="18"/>
          <w:lang w:val="es-CO"/>
        </w:rPr>
        <w:t>Concluding</w:t>
      </w:r>
      <w:proofErr w:type="spellEnd"/>
      <w:r w:rsidR="00503036">
        <w:rPr>
          <w:rFonts w:ascii="Garamond" w:hAnsi="Garamond"/>
          <w:sz w:val="18"/>
          <w:szCs w:val="18"/>
          <w:lang w:val="es-CO"/>
        </w:rPr>
        <w:t xml:space="preserve"> </w:t>
      </w:r>
      <w:proofErr w:type="spellStart"/>
      <w:r w:rsidR="00503036">
        <w:rPr>
          <w:rFonts w:ascii="Garamond" w:hAnsi="Garamond"/>
          <w:sz w:val="18"/>
          <w:szCs w:val="18"/>
          <w:lang w:val="es-CO"/>
        </w:rPr>
        <w:t>Observations</w:t>
      </w:r>
      <w:proofErr w:type="spellEnd"/>
      <w:r w:rsidR="00503036">
        <w:rPr>
          <w:rFonts w:ascii="Garamond" w:hAnsi="Garamond"/>
          <w:sz w:val="18"/>
          <w:szCs w:val="18"/>
          <w:lang w:val="es-CO"/>
        </w:rPr>
        <w:t>:</w:t>
      </w:r>
      <w:r w:rsidRPr="004B53F6">
        <w:rPr>
          <w:rFonts w:ascii="Garamond" w:hAnsi="Garamond"/>
          <w:sz w:val="18"/>
          <w:szCs w:val="18"/>
          <w:lang w:val="es-CO"/>
        </w:rPr>
        <w:t xml:space="preserve"> </w:t>
      </w:r>
      <w:proofErr w:type="spellStart"/>
      <w:r w:rsidRPr="004B53F6">
        <w:rPr>
          <w:rFonts w:ascii="Garamond" w:hAnsi="Garamond"/>
          <w:sz w:val="18"/>
          <w:szCs w:val="18"/>
          <w:lang w:val="es-CO"/>
        </w:rPr>
        <w:t>Slovakia</w:t>
      </w:r>
      <w:proofErr w:type="spellEnd"/>
      <w:r w:rsidRPr="004B53F6">
        <w:rPr>
          <w:rFonts w:ascii="Garamond" w:hAnsi="Garamond"/>
          <w:sz w:val="18"/>
          <w:szCs w:val="18"/>
          <w:lang w:val="es-CO"/>
        </w:rPr>
        <w:t>, para. 45 E/C.12/SVK/CO/3 (CESCR, 2019); CESCR</w:t>
      </w:r>
      <w:r w:rsidR="00503036">
        <w:rPr>
          <w:rFonts w:ascii="Garamond" w:hAnsi="Garamond"/>
          <w:sz w:val="18"/>
          <w:szCs w:val="18"/>
          <w:lang w:val="es-CO"/>
        </w:rPr>
        <w:t xml:space="preserve">, </w:t>
      </w:r>
      <w:proofErr w:type="spellStart"/>
      <w:r w:rsidR="00503036">
        <w:rPr>
          <w:rFonts w:ascii="Garamond" w:hAnsi="Garamond"/>
          <w:sz w:val="18"/>
          <w:szCs w:val="18"/>
          <w:lang w:val="es-CO"/>
        </w:rPr>
        <w:t>Concluding</w:t>
      </w:r>
      <w:proofErr w:type="spellEnd"/>
      <w:r w:rsidR="00503036">
        <w:rPr>
          <w:rFonts w:ascii="Garamond" w:hAnsi="Garamond"/>
          <w:sz w:val="18"/>
          <w:szCs w:val="18"/>
          <w:lang w:val="es-CO"/>
        </w:rPr>
        <w:t xml:space="preserve"> </w:t>
      </w:r>
      <w:proofErr w:type="spellStart"/>
      <w:r w:rsidR="00503036">
        <w:rPr>
          <w:rFonts w:ascii="Garamond" w:hAnsi="Garamond"/>
          <w:sz w:val="18"/>
          <w:szCs w:val="18"/>
          <w:lang w:val="es-CO"/>
        </w:rPr>
        <w:t>Observations</w:t>
      </w:r>
      <w:proofErr w:type="spellEnd"/>
      <w:r w:rsidR="00503036">
        <w:rPr>
          <w:rFonts w:ascii="Garamond" w:hAnsi="Garamond"/>
          <w:sz w:val="18"/>
          <w:szCs w:val="18"/>
          <w:lang w:val="es-CO"/>
        </w:rPr>
        <w:t>:</w:t>
      </w:r>
      <w:r w:rsidRPr="004B53F6">
        <w:rPr>
          <w:rFonts w:ascii="Garamond" w:hAnsi="Garamond"/>
          <w:sz w:val="18"/>
          <w:szCs w:val="18"/>
          <w:lang w:val="es-CO"/>
        </w:rPr>
        <w:t xml:space="preserve"> China, E/C.12/CHN/CO/2 (CESCR, 2014); CESCR</w:t>
      </w:r>
      <w:r w:rsidR="00503036">
        <w:rPr>
          <w:rFonts w:ascii="Garamond" w:hAnsi="Garamond"/>
          <w:sz w:val="18"/>
          <w:szCs w:val="18"/>
          <w:lang w:val="es-CO"/>
        </w:rPr>
        <w:t xml:space="preserve">, </w:t>
      </w:r>
      <w:proofErr w:type="spellStart"/>
      <w:r w:rsidR="00503036">
        <w:rPr>
          <w:rFonts w:ascii="Garamond" w:hAnsi="Garamond"/>
          <w:sz w:val="18"/>
          <w:szCs w:val="18"/>
          <w:lang w:val="es-CO"/>
        </w:rPr>
        <w:t>Concluding</w:t>
      </w:r>
      <w:proofErr w:type="spellEnd"/>
      <w:r w:rsidR="00503036">
        <w:rPr>
          <w:rFonts w:ascii="Garamond" w:hAnsi="Garamond"/>
          <w:sz w:val="18"/>
          <w:szCs w:val="18"/>
          <w:lang w:val="es-CO"/>
        </w:rPr>
        <w:t xml:space="preserve"> </w:t>
      </w:r>
      <w:proofErr w:type="spellStart"/>
      <w:r w:rsidR="00503036">
        <w:rPr>
          <w:rFonts w:ascii="Garamond" w:hAnsi="Garamond"/>
          <w:sz w:val="18"/>
          <w:szCs w:val="18"/>
          <w:lang w:val="es-CO"/>
        </w:rPr>
        <w:t>Observations</w:t>
      </w:r>
      <w:proofErr w:type="spellEnd"/>
      <w:r w:rsidR="00503036">
        <w:rPr>
          <w:rFonts w:ascii="Garamond" w:hAnsi="Garamond"/>
          <w:sz w:val="18"/>
          <w:szCs w:val="18"/>
          <w:lang w:val="es-CO"/>
        </w:rPr>
        <w:t>:</w:t>
      </w:r>
      <w:r w:rsidRPr="004B53F6">
        <w:rPr>
          <w:rFonts w:ascii="Garamond" w:hAnsi="Garamond"/>
          <w:sz w:val="18"/>
          <w:szCs w:val="18"/>
          <w:lang w:val="es-CO"/>
        </w:rPr>
        <w:t xml:space="preserve"> </w:t>
      </w:r>
      <w:proofErr w:type="gramStart"/>
      <w:r w:rsidRPr="004B53F6">
        <w:rPr>
          <w:rFonts w:ascii="Garamond" w:hAnsi="Garamond"/>
          <w:sz w:val="18"/>
          <w:szCs w:val="18"/>
          <w:lang w:val="es-CO"/>
        </w:rPr>
        <w:t>Perú  E</w:t>
      </w:r>
      <w:proofErr w:type="gramEnd"/>
      <w:r w:rsidRPr="004B53F6">
        <w:rPr>
          <w:rFonts w:ascii="Garamond" w:hAnsi="Garamond"/>
          <w:sz w:val="18"/>
          <w:szCs w:val="18"/>
          <w:lang w:val="es-CO"/>
        </w:rPr>
        <w:t>/C.12/PER/CO/2-4 (CESCR, 2012)</w:t>
      </w:r>
    </w:p>
  </w:footnote>
  <w:footnote w:id="16">
    <w:p w14:paraId="7D1E323C" w14:textId="14070EB1" w:rsidR="00A07EE1" w:rsidRPr="004B53F6" w:rsidRDefault="00A07EE1" w:rsidP="004B53F6">
      <w:pPr>
        <w:pStyle w:val="FootnoteText"/>
        <w:contextualSpacing/>
        <w:rPr>
          <w:rFonts w:ascii="Garamond" w:hAnsi="Garamond" w:cstheme="majorHAnsi"/>
          <w:sz w:val="18"/>
          <w:szCs w:val="18"/>
        </w:rPr>
      </w:pPr>
      <w:r w:rsidRPr="00707879">
        <w:rPr>
          <w:rStyle w:val="FootnoteReference"/>
          <w:rFonts w:ascii="Garamond" w:hAnsi="Garamond" w:cstheme="majorHAnsi"/>
          <w:color w:val="auto"/>
          <w:sz w:val="18"/>
          <w:szCs w:val="18"/>
        </w:rPr>
        <w:footnoteRef/>
      </w:r>
      <w:r w:rsidRPr="00707879">
        <w:rPr>
          <w:rFonts w:ascii="Garamond" w:hAnsi="Garamond" w:cstheme="majorHAnsi"/>
          <w:color w:val="auto"/>
          <w:sz w:val="18"/>
          <w:szCs w:val="18"/>
        </w:rPr>
        <w:t xml:space="preserve"> Including the </w:t>
      </w:r>
      <w:r w:rsidRPr="00707879">
        <w:rPr>
          <w:rFonts w:ascii="Garamond" w:hAnsi="Garamond" w:cstheme="majorHAnsi"/>
          <w:b/>
          <w:color w:val="auto"/>
          <w:sz w:val="18"/>
          <w:szCs w:val="18"/>
        </w:rPr>
        <w:t>Special Rapporteur on Torture</w:t>
      </w:r>
      <w:r w:rsidRPr="004B53F6">
        <w:rPr>
          <w:rFonts w:ascii="Garamond" w:hAnsi="Garamond" w:cstheme="majorHAnsi"/>
          <w:color w:val="auto"/>
          <w:sz w:val="18"/>
          <w:szCs w:val="18"/>
        </w:rPr>
        <w:t xml:space="preserve"> (see e.g. UN Human </w:t>
      </w:r>
      <w:r w:rsidRPr="004B53F6">
        <w:rPr>
          <w:rFonts w:ascii="Garamond" w:hAnsi="Garamond" w:cstheme="majorHAnsi"/>
          <w:sz w:val="18"/>
          <w:szCs w:val="18"/>
        </w:rPr>
        <w:t xml:space="preserve">Rights Council, </w:t>
      </w:r>
      <w:r w:rsidRPr="004B53F6">
        <w:rPr>
          <w:rFonts w:ascii="Garamond" w:hAnsi="Garamond" w:cstheme="majorHAnsi"/>
          <w:i/>
          <w:sz w:val="18"/>
          <w:szCs w:val="18"/>
        </w:rPr>
        <w:t>Report of the Special Rapporteur on torture and other cruel, inhuman or degrading treatment or punishment</w:t>
      </w:r>
      <w:r w:rsidRPr="004B53F6">
        <w:rPr>
          <w:rFonts w:ascii="Garamond" w:hAnsi="Garamond" w:cstheme="majorHAnsi"/>
          <w:sz w:val="18"/>
          <w:szCs w:val="18"/>
        </w:rPr>
        <w:t xml:space="preserve">, 31-35, 1 February 2013, A/HRC/22/53; UN Human Rights Council, </w:t>
      </w:r>
      <w:r w:rsidRPr="004B53F6">
        <w:rPr>
          <w:rFonts w:ascii="Garamond" w:hAnsi="Garamond" w:cstheme="majorHAnsi"/>
          <w:i/>
          <w:sz w:val="18"/>
          <w:szCs w:val="18"/>
        </w:rPr>
        <w:t>Report of the Special Rapporteur on torture and other cruel, inhuman or degrading treatment or punishment</w:t>
      </w:r>
      <w:r w:rsidRPr="004B53F6">
        <w:rPr>
          <w:rFonts w:ascii="Garamond" w:hAnsi="Garamond" w:cstheme="majorHAnsi"/>
          <w:sz w:val="18"/>
          <w:szCs w:val="18"/>
        </w:rPr>
        <w:t xml:space="preserve">, 38, 15 January 2008, A/HRC/7/3); the </w:t>
      </w:r>
      <w:r w:rsidRPr="004B53F6">
        <w:rPr>
          <w:rFonts w:ascii="Garamond" w:hAnsi="Garamond" w:cstheme="majorHAnsi"/>
          <w:b/>
          <w:sz w:val="18"/>
          <w:szCs w:val="18"/>
        </w:rPr>
        <w:t>Special Rapporteur on Violence against Women</w:t>
      </w:r>
      <w:r w:rsidRPr="004B53F6">
        <w:rPr>
          <w:rFonts w:ascii="Garamond" w:hAnsi="Garamond" w:cstheme="majorHAnsi"/>
          <w:sz w:val="18"/>
          <w:szCs w:val="18"/>
        </w:rPr>
        <w:t xml:space="preserve"> (see e.g. </w:t>
      </w:r>
      <w:r w:rsidRPr="004B53F6">
        <w:rPr>
          <w:rFonts w:ascii="Garamond" w:hAnsi="Garamond" w:cstheme="majorHAnsi"/>
          <w:i/>
          <w:sz w:val="18"/>
          <w:szCs w:val="18"/>
        </w:rPr>
        <w:t>Report of the Special Rapporteur on violence against women, its causes and consequences</w:t>
      </w:r>
      <w:r w:rsidRPr="004B53F6">
        <w:rPr>
          <w:rFonts w:ascii="Garamond" w:hAnsi="Garamond" w:cstheme="majorHAnsi"/>
          <w:sz w:val="18"/>
          <w:szCs w:val="18"/>
        </w:rPr>
        <w:t xml:space="preserve">,  28 &amp; 36, U.N. Doc. A/67/227 (2012)); the </w:t>
      </w:r>
      <w:r w:rsidRPr="004B53F6">
        <w:rPr>
          <w:rFonts w:ascii="Garamond" w:hAnsi="Garamond" w:cstheme="majorHAnsi"/>
          <w:b/>
          <w:sz w:val="18"/>
          <w:szCs w:val="18"/>
        </w:rPr>
        <w:t xml:space="preserve">Special Rapporteur on the rights of persons with disabilities </w:t>
      </w:r>
      <w:r w:rsidRPr="004B53F6">
        <w:rPr>
          <w:rFonts w:ascii="Garamond" w:hAnsi="Garamond" w:cstheme="majorHAnsi"/>
          <w:sz w:val="18"/>
          <w:szCs w:val="18"/>
        </w:rPr>
        <w:t xml:space="preserve">(see e.g. Report of the Special Rapporteur on the rights of persons with disabilities, 34, A/72/133, 14 July 2017); the </w:t>
      </w:r>
      <w:r w:rsidRPr="004B53F6">
        <w:rPr>
          <w:rFonts w:ascii="Garamond" w:hAnsi="Garamond" w:cstheme="majorHAnsi"/>
          <w:b/>
          <w:sz w:val="18"/>
          <w:szCs w:val="18"/>
        </w:rPr>
        <w:t>Special Rapporteur on minority issues</w:t>
      </w:r>
      <w:r w:rsidRPr="004B53F6">
        <w:rPr>
          <w:rFonts w:ascii="Garamond" w:hAnsi="Garamond" w:cstheme="majorHAnsi"/>
          <w:sz w:val="18"/>
          <w:szCs w:val="18"/>
        </w:rPr>
        <w:t xml:space="preserve"> (see e.g. </w:t>
      </w:r>
      <w:r w:rsidRPr="004B53F6">
        <w:rPr>
          <w:rFonts w:ascii="Garamond" w:hAnsi="Garamond" w:cstheme="majorHAnsi"/>
          <w:i/>
          <w:sz w:val="18"/>
          <w:szCs w:val="18"/>
        </w:rPr>
        <w:t xml:space="preserve">Report of the Special Rapporteur on minority issues, Rita </w:t>
      </w:r>
      <w:proofErr w:type="spellStart"/>
      <w:r w:rsidRPr="004B53F6">
        <w:rPr>
          <w:rFonts w:ascii="Garamond" w:hAnsi="Garamond" w:cstheme="majorHAnsi"/>
          <w:i/>
          <w:sz w:val="18"/>
          <w:szCs w:val="18"/>
        </w:rPr>
        <w:t>Izsák</w:t>
      </w:r>
      <w:proofErr w:type="spellEnd"/>
      <w:r w:rsidRPr="004B53F6">
        <w:rPr>
          <w:rFonts w:ascii="Garamond" w:hAnsi="Garamond" w:cstheme="majorHAnsi"/>
          <w:i/>
          <w:sz w:val="18"/>
          <w:szCs w:val="18"/>
        </w:rPr>
        <w:t>: Comprehensive study of the human rights situation of Roma worldwide, with a particular focus on the phenomenon</w:t>
      </w:r>
      <w:r w:rsidRPr="004B53F6">
        <w:rPr>
          <w:rFonts w:ascii="Garamond" w:hAnsi="Garamond" w:cstheme="majorHAnsi"/>
          <w:sz w:val="18"/>
          <w:szCs w:val="18"/>
        </w:rPr>
        <w:t xml:space="preserve"> </w:t>
      </w:r>
      <w:r w:rsidRPr="004B53F6">
        <w:rPr>
          <w:rFonts w:ascii="Garamond" w:hAnsi="Garamond" w:cstheme="majorHAnsi"/>
          <w:i/>
          <w:sz w:val="18"/>
          <w:szCs w:val="18"/>
        </w:rPr>
        <w:t>of anti-</w:t>
      </w:r>
      <w:proofErr w:type="spellStart"/>
      <w:r w:rsidRPr="004B53F6">
        <w:rPr>
          <w:rFonts w:ascii="Garamond" w:hAnsi="Garamond" w:cstheme="majorHAnsi"/>
          <w:i/>
          <w:sz w:val="18"/>
          <w:szCs w:val="18"/>
        </w:rPr>
        <w:t>Gypsyism</w:t>
      </w:r>
      <w:proofErr w:type="spellEnd"/>
      <w:r w:rsidRPr="004B53F6">
        <w:rPr>
          <w:rFonts w:ascii="Garamond" w:hAnsi="Garamond" w:cstheme="majorHAnsi"/>
          <w:i/>
          <w:sz w:val="18"/>
          <w:szCs w:val="18"/>
        </w:rPr>
        <w:t xml:space="preserve">, </w:t>
      </w:r>
      <w:r w:rsidRPr="004B53F6">
        <w:rPr>
          <w:rFonts w:ascii="Garamond" w:hAnsi="Garamond" w:cstheme="majorHAnsi"/>
          <w:sz w:val="18"/>
          <w:szCs w:val="18"/>
        </w:rPr>
        <w:t xml:space="preserve">27, A/HRC/29/24, 11 May 2015); the </w:t>
      </w:r>
      <w:r w:rsidRPr="004B53F6">
        <w:rPr>
          <w:rFonts w:ascii="Garamond" w:hAnsi="Garamond" w:cstheme="majorHAnsi"/>
          <w:b/>
          <w:sz w:val="18"/>
          <w:szCs w:val="18"/>
        </w:rPr>
        <w:t>Working Group on the issue of discrimination against women in law and in practice</w:t>
      </w:r>
      <w:r w:rsidRPr="004B53F6">
        <w:rPr>
          <w:rFonts w:ascii="Garamond" w:hAnsi="Garamond" w:cstheme="majorHAnsi"/>
          <w:sz w:val="18"/>
          <w:szCs w:val="18"/>
        </w:rPr>
        <w:t xml:space="preserve"> (see e.g. </w:t>
      </w:r>
      <w:r w:rsidRPr="004B53F6">
        <w:rPr>
          <w:rFonts w:ascii="Garamond" w:hAnsi="Garamond" w:cstheme="majorHAnsi"/>
          <w:i/>
          <w:sz w:val="18"/>
          <w:szCs w:val="18"/>
        </w:rPr>
        <w:t>Report of the Working Group on the issue of discrimination against women in law and in practice,</w:t>
      </w:r>
      <w:r w:rsidRPr="004B53F6">
        <w:rPr>
          <w:rFonts w:ascii="Garamond" w:hAnsi="Garamond" w:cstheme="majorHAnsi"/>
          <w:sz w:val="18"/>
          <w:szCs w:val="18"/>
        </w:rPr>
        <w:t xml:space="preserve"> 45, 48, 54, 57, A/HRC/32/44, 8 April 2016); the </w:t>
      </w:r>
      <w:r w:rsidRPr="004B53F6">
        <w:rPr>
          <w:rFonts w:ascii="Garamond" w:hAnsi="Garamond" w:cstheme="majorHAnsi"/>
          <w:b/>
          <w:sz w:val="18"/>
          <w:szCs w:val="18"/>
        </w:rPr>
        <w:t>Special Rapporteur on the right of everyone to the enjoyment of the highest attainable standard of physical and mental health</w:t>
      </w:r>
      <w:r w:rsidRPr="004B53F6">
        <w:rPr>
          <w:rFonts w:ascii="Garamond" w:hAnsi="Garamond" w:cstheme="majorHAnsi"/>
          <w:sz w:val="18"/>
          <w:szCs w:val="18"/>
        </w:rPr>
        <w:t xml:space="preserve"> (see e.g. </w:t>
      </w:r>
      <w:r w:rsidRPr="004B53F6">
        <w:rPr>
          <w:rFonts w:ascii="Garamond" w:hAnsi="Garamond" w:cstheme="majorHAnsi"/>
          <w:i/>
          <w:sz w:val="18"/>
          <w:szCs w:val="18"/>
        </w:rPr>
        <w:t xml:space="preserve">Interim report of the Special Rapporteur on the right of everyone to the enjoyment of the highest attainable standard of physical and mental health, </w:t>
      </w:r>
      <w:r w:rsidRPr="004B53F6">
        <w:rPr>
          <w:rFonts w:ascii="Garamond" w:hAnsi="Garamond" w:cstheme="majorHAnsi"/>
          <w:sz w:val="18"/>
          <w:szCs w:val="18"/>
        </w:rPr>
        <w:t>12, A/66/254, 3 August 2011).</w:t>
      </w:r>
    </w:p>
  </w:footnote>
  <w:footnote w:id="17">
    <w:p w14:paraId="0A7A14AC" w14:textId="74CB0CAF" w:rsidR="00A07EE1" w:rsidRPr="00707879" w:rsidRDefault="00A07EE1" w:rsidP="004B53F6">
      <w:pPr>
        <w:pStyle w:val="FootnoteText"/>
        <w:contextualSpacing/>
        <w:rPr>
          <w:rFonts w:ascii="Garamond" w:hAnsi="Garamond" w:cstheme="majorHAnsi"/>
          <w:sz w:val="18"/>
          <w:szCs w:val="18"/>
        </w:rPr>
      </w:pPr>
      <w:r w:rsidRPr="00707879">
        <w:rPr>
          <w:rStyle w:val="FootnoteReference"/>
          <w:rFonts w:ascii="Garamond" w:hAnsi="Garamond" w:cstheme="majorHAnsi"/>
          <w:sz w:val="18"/>
          <w:szCs w:val="18"/>
        </w:rPr>
        <w:footnoteRef/>
      </w:r>
      <w:r w:rsidRPr="00707879">
        <w:rPr>
          <w:rFonts w:ascii="Garamond" w:hAnsi="Garamond" w:cstheme="majorHAnsi"/>
          <w:sz w:val="18"/>
          <w:szCs w:val="18"/>
        </w:rPr>
        <w:t xml:space="preserve"> UN Special Rapporteur on Violence against Women, Report of the Special Rapporteur on violence against women, its causes and consequences, 28 &amp; 36, U.N. Doc. A/67/227 (2012).</w:t>
      </w:r>
    </w:p>
  </w:footnote>
  <w:footnote w:id="18">
    <w:p w14:paraId="0877BB1E" w14:textId="2CB27AA7" w:rsidR="00A07EE1" w:rsidRPr="004B53F6" w:rsidRDefault="00A07EE1" w:rsidP="004B53F6">
      <w:pPr>
        <w:pStyle w:val="FootnoteText"/>
        <w:contextualSpacing/>
        <w:rPr>
          <w:rFonts w:ascii="Garamond" w:hAnsi="Garamond" w:cstheme="majorHAnsi"/>
          <w:sz w:val="18"/>
          <w:szCs w:val="18"/>
        </w:rPr>
      </w:pPr>
      <w:r w:rsidRPr="00707879">
        <w:rPr>
          <w:rStyle w:val="FootnoteReference"/>
          <w:rFonts w:ascii="Garamond" w:hAnsi="Garamond" w:cstheme="majorHAnsi"/>
          <w:sz w:val="18"/>
          <w:szCs w:val="18"/>
        </w:rPr>
        <w:footnoteRef/>
      </w:r>
      <w:r w:rsidRPr="00707879">
        <w:rPr>
          <w:rFonts w:ascii="Garamond" w:hAnsi="Garamond" w:cstheme="majorHAnsi"/>
          <w:sz w:val="18"/>
          <w:szCs w:val="18"/>
        </w:rPr>
        <w:t xml:space="preserve"> UN Human Rights Council, </w:t>
      </w:r>
      <w:r w:rsidRPr="004B53F6">
        <w:rPr>
          <w:rFonts w:ascii="Garamond" w:hAnsi="Garamond" w:cstheme="majorHAnsi"/>
          <w:i/>
          <w:sz w:val="18"/>
          <w:szCs w:val="18"/>
        </w:rPr>
        <w:t>Report of the Special Rapporteur on torture and other cruel, inhuman or degrading treatment or punishment</w:t>
      </w:r>
      <w:r w:rsidRPr="004B53F6">
        <w:rPr>
          <w:rFonts w:ascii="Garamond" w:hAnsi="Garamond" w:cstheme="majorHAnsi"/>
          <w:sz w:val="18"/>
          <w:szCs w:val="18"/>
        </w:rPr>
        <w:t>, 46, 1 February 2013, A/HRC/22/53.</w:t>
      </w:r>
    </w:p>
  </w:footnote>
  <w:footnote w:id="19">
    <w:p w14:paraId="05674663" w14:textId="5EF9DD57" w:rsidR="00A07EE1" w:rsidRPr="00707879" w:rsidRDefault="00A07EE1" w:rsidP="004B53F6">
      <w:pPr>
        <w:pStyle w:val="FootnoteText"/>
        <w:contextualSpacing/>
        <w:rPr>
          <w:rFonts w:ascii="Garamond" w:hAnsi="Garamond" w:cstheme="majorHAnsi"/>
          <w:sz w:val="18"/>
          <w:szCs w:val="18"/>
        </w:rPr>
      </w:pPr>
      <w:r w:rsidRPr="00707879">
        <w:rPr>
          <w:rStyle w:val="FootnoteReference"/>
          <w:rFonts w:ascii="Garamond" w:hAnsi="Garamond" w:cstheme="majorHAnsi"/>
          <w:sz w:val="18"/>
          <w:szCs w:val="18"/>
        </w:rPr>
        <w:footnoteRef/>
      </w:r>
      <w:r w:rsidRPr="00707879">
        <w:rPr>
          <w:rFonts w:ascii="Garamond" w:hAnsi="Garamond" w:cstheme="majorHAnsi"/>
          <w:sz w:val="18"/>
          <w:szCs w:val="18"/>
        </w:rPr>
        <w:t xml:space="preserve"> UN Human Rights Council, Report of the Special Rapporteur on the rights of indigenous peoples, Victoria </w:t>
      </w:r>
      <w:proofErr w:type="spellStart"/>
      <w:r w:rsidRPr="00707879">
        <w:rPr>
          <w:rFonts w:ascii="Garamond" w:hAnsi="Garamond" w:cstheme="majorHAnsi"/>
          <w:sz w:val="18"/>
          <w:szCs w:val="18"/>
        </w:rPr>
        <w:t>Tauli-Corpuz</w:t>
      </w:r>
      <w:proofErr w:type="spellEnd"/>
      <w:r w:rsidRPr="00707879">
        <w:rPr>
          <w:rFonts w:ascii="Garamond" w:hAnsi="Garamond" w:cstheme="majorHAnsi"/>
          <w:sz w:val="18"/>
          <w:szCs w:val="18"/>
        </w:rPr>
        <w:t>, 34, 6 August 2015, A/HRC/30/41.</w:t>
      </w:r>
    </w:p>
  </w:footnote>
  <w:footnote w:id="20">
    <w:p w14:paraId="11B9B8EE" w14:textId="17E62F94" w:rsidR="00A07EE1" w:rsidRPr="00707879" w:rsidRDefault="00A07EE1" w:rsidP="004B53F6">
      <w:pPr>
        <w:pStyle w:val="FootnoteText"/>
        <w:rPr>
          <w:rFonts w:ascii="Garamond" w:hAnsi="Garamond"/>
          <w:sz w:val="18"/>
          <w:szCs w:val="18"/>
          <w:lang w:val="en-CA"/>
        </w:rPr>
      </w:pPr>
      <w:r w:rsidRPr="00707879">
        <w:rPr>
          <w:rStyle w:val="FootnoteReference"/>
          <w:rFonts w:ascii="Garamond" w:hAnsi="Garamond"/>
          <w:sz w:val="18"/>
          <w:szCs w:val="18"/>
        </w:rPr>
        <w:footnoteRef/>
      </w:r>
      <w:r w:rsidRPr="00707879">
        <w:rPr>
          <w:rFonts w:ascii="Garamond" w:hAnsi="Garamond"/>
          <w:sz w:val="18"/>
          <w:szCs w:val="18"/>
        </w:rPr>
        <w:t xml:space="preserve"> </w:t>
      </w:r>
      <w:r w:rsidRPr="00707879">
        <w:rPr>
          <w:rFonts w:ascii="Garamond" w:hAnsi="Garamond"/>
          <w:sz w:val="18"/>
          <w:szCs w:val="18"/>
          <w:lang w:val="en-CA"/>
        </w:rPr>
        <w:t xml:space="preserve">Government of Canada. Permanent Mission of Canada to the UN. “Canada’s Statement on the World Conference on Indigenous Peoples Outcome Document.” September 2014. </w:t>
      </w:r>
      <w:hyperlink r:id="rId13" w:history="1">
        <w:r w:rsidRPr="00707879">
          <w:rPr>
            <w:rStyle w:val="Hyperlink"/>
            <w:rFonts w:ascii="Garamond" w:hAnsi="Garamond"/>
            <w:color w:val="E26F54"/>
            <w:sz w:val="18"/>
            <w:szCs w:val="18"/>
            <w:lang w:val="en-CA"/>
          </w:rPr>
          <w:t>http://www.canadainternational.gc.ca/prmny-mponu/canada_un-canada_onu/statements-declarations/other-autres/2014-09-22_wcipd-padd.aspx?lang=eng</w:t>
        </w:r>
      </w:hyperlink>
      <w:r w:rsidRPr="00707879">
        <w:rPr>
          <w:rFonts w:ascii="Garamond" w:hAnsi="Garamond"/>
          <w:color w:val="E26F54"/>
          <w:sz w:val="18"/>
          <w:szCs w:val="18"/>
          <w:lang w:val="en-CA"/>
        </w:rPr>
        <w:t xml:space="preserve">  </w:t>
      </w:r>
      <w:r w:rsidRPr="00707879">
        <w:rPr>
          <w:rFonts w:ascii="Garamond" w:hAnsi="Garamond"/>
          <w:sz w:val="18"/>
          <w:szCs w:val="18"/>
          <w:lang w:val="en-CA"/>
        </w:rPr>
        <w:t xml:space="preserve">and Amnesty International Canada. “Free, Prior </w:t>
      </w:r>
      <w:r w:rsidRPr="004B53F6">
        <w:rPr>
          <w:rFonts w:ascii="Garamond" w:hAnsi="Garamond"/>
          <w:sz w:val="18"/>
          <w:szCs w:val="18"/>
          <w:lang w:val="en-CA"/>
        </w:rPr>
        <w:t xml:space="preserve">and Informed Consent.” 2013. </w:t>
      </w:r>
      <w:hyperlink r:id="rId14" w:history="1">
        <w:r w:rsidRPr="00707879">
          <w:rPr>
            <w:rStyle w:val="Hyperlink"/>
            <w:rFonts w:ascii="Garamond" w:hAnsi="Garamond"/>
            <w:color w:val="E26F54"/>
            <w:sz w:val="18"/>
            <w:szCs w:val="18"/>
            <w:lang w:val="en-CA"/>
          </w:rPr>
          <w:t>http://www.amnesty.ca/sites/amnesty/files/fpic_factsheet_nov_2013.pdf</w:t>
        </w:r>
      </w:hyperlink>
      <w:r w:rsidRPr="00707879">
        <w:rPr>
          <w:rFonts w:ascii="Garamond" w:hAnsi="Garamond"/>
          <w:color w:val="E26F54"/>
          <w:sz w:val="18"/>
          <w:szCs w:val="18"/>
          <w:lang w:val="en-CA"/>
        </w:rPr>
        <w:t xml:space="preserve"> </w:t>
      </w:r>
    </w:p>
  </w:footnote>
  <w:footnote w:id="21">
    <w:p w14:paraId="39C8348D" w14:textId="4DFA7ACC" w:rsidR="00541F93" w:rsidRPr="004B53F6" w:rsidRDefault="00541F93" w:rsidP="004B53F6">
      <w:pPr>
        <w:pStyle w:val="FootnoteText"/>
        <w:rPr>
          <w:rFonts w:ascii="Garamond" w:hAnsi="Garamond"/>
          <w:sz w:val="18"/>
          <w:szCs w:val="18"/>
          <w:lang w:val="es-CO"/>
        </w:rPr>
      </w:pPr>
      <w:r w:rsidRPr="00707879">
        <w:rPr>
          <w:rStyle w:val="FootnoteReference"/>
          <w:rFonts w:ascii="Garamond" w:hAnsi="Garamond"/>
          <w:sz w:val="18"/>
          <w:szCs w:val="18"/>
        </w:rPr>
        <w:footnoteRef/>
      </w:r>
      <w:r w:rsidRPr="00A27070">
        <w:rPr>
          <w:rFonts w:ascii="Garamond" w:hAnsi="Garamond"/>
          <w:sz w:val="18"/>
          <w:szCs w:val="18"/>
          <w:lang w:val="es-ES"/>
        </w:rPr>
        <w:t xml:space="preserve"> CEDAW</w:t>
      </w:r>
      <w:r w:rsidR="004C0F11">
        <w:rPr>
          <w:rFonts w:ascii="Garamond" w:hAnsi="Garamond"/>
          <w:sz w:val="18"/>
          <w:szCs w:val="18"/>
          <w:lang w:val="es-ES"/>
        </w:rPr>
        <w:t>,</w:t>
      </w:r>
      <w:r w:rsidRPr="00A27070">
        <w:rPr>
          <w:rFonts w:ascii="Garamond" w:hAnsi="Garamond"/>
          <w:sz w:val="18"/>
          <w:szCs w:val="18"/>
          <w:lang w:val="es-ES"/>
        </w:rPr>
        <w:t xml:space="preserve"> </w:t>
      </w:r>
      <w:proofErr w:type="spellStart"/>
      <w:r w:rsidR="004C0F11">
        <w:rPr>
          <w:rFonts w:ascii="Garamond" w:hAnsi="Garamond"/>
          <w:sz w:val="18"/>
          <w:szCs w:val="18"/>
          <w:lang w:val="es-ES"/>
        </w:rPr>
        <w:t>List</w:t>
      </w:r>
      <w:proofErr w:type="spellEnd"/>
      <w:r w:rsidR="004C0F11">
        <w:rPr>
          <w:rFonts w:ascii="Garamond" w:hAnsi="Garamond"/>
          <w:sz w:val="18"/>
          <w:szCs w:val="18"/>
          <w:lang w:val="es-ES"/>
        </w:rPr>
        <w:t xml:space="preserve"> of Issues Prior </w:t>
      </w:r>
      <w:proofErr w:type="spellStart"/>
      <w:r w:rsidR="004C0F11">
        <w:rPr>
          <w:rFonts w:ascii="Garamond" w:hAnsi="Garamond"/>
          <w:sz w:val="18"/>
          <w:szCs w:val="18"/>
          <w:lang w:val="es-ES"/>
        </w:rPr>
        <w:t>to</w:t>
      </w:r>
      <w:proofErr w:type="spellEnd"/>
      <w:r w:rsidR="004C0F11">
        <w:rPr>
          <w:rFonts w:ascii="Garamond" w:hAnsi="Garamond"/>
          <w:sz w:val="18"/>
          <w:szCs w:val="18"/>
          <w:lang w:val="es-ES"/>
        </w:rPr>
        <w:t xml:space="preserve"> </w:t>
      </w:r>
      <w:proofErr w:type="spellStart"/>
      <w:r w:rsidR="004C0F11">
        <w:rPr>
          <w:rFonts w:ascii="Garamond" w:hAnsi="Garamond"/>
          <w:sz w:val="18"/>
          <w:szCs w:val="18"/>
          <w:lang w:val="es-ES"/>
        </w:rPr>
        <w:t>Reporting</w:t>
      </w:r>
      <w:proofErr w:type="spellEnd"/>
      <w:r w:rsidR="004C0F11">
        <w:rPr>
          <w:rFonts w:ascii="Garamond" w:hAnsi="Garamond"/>
          <w:sz w:val="18"/>
          <w:szCs w:val="18"/>
          <w:lang w:val="es-ES"/>
        </w:rPr>
        <w:t xml:space="preserve"> of </w:t>
      </w:r>
      <w:r w:rsidRPr="00A27070">
        <w:rPr>
          <w:rFonts w:ascii="Garamond" w:hAnsi="Garamond"/>
          <w:sz w:val="18"/>
          <w:szCs w:val="18"/>
          <w:lang w:val="es-ES"/>
        </w:rPr>
        <w:t>Canada, para. 22, CEDAW/C/CAN/QPR/10 (2019)</w:t>
      </w:r>
    </w:p>
  </w:footnote>
  <w:footnote w:id="22">
    <w:p w14:paraId="1980A81E" w14:textId="77777777" w:rsidR="00A07EE1" w:rsidRPr="00707879" w:rsidRDefault="00A07EE1" w:rsidP="004B53F6">
      <w:pPr>
        <w:spacing w:after="0" w:line="240" w:lineRule="auto"/>
        <w:contextualSpacing/>
        <w:rPr>
          <w:rFonts w:ascii="Garamond" w:hAnsi="Garamond" w:cstheme="majorHAnsi"/>
          <w:sz w:val="18"/>
          <w:szCs w:val="18"/>
        </w:rPr>
      </w:pPr>
      <w:r w:rsidRPr="00707879">
        <w:rPr>
          <w:rFonts w:ascii="Garamond" w:hAnsi="Garamond" w:cstheme="majorHAnsi"/>
          <w:sz w:val="18"/>
          <w:szCs w:val="18"/>
          <w:vertAlign w:val="superscript"/>
        </w:rPr>
        <w:footnoteRef/>
      </w:r>
      <w:r w:rsidRPr="00707879">
        <w:rPr>
          <w:rFonts w:ascii="Garamond" w:hAnsi="Garamond" w:cstheme="majorHAnsi"/>
          <w:sz w:val="18"/>
          <w:szCs w:val="18"/>
        </w:rPr>
        <w:t xml:space="preserve"> </w:t>
      </w:r>
      <w:proofErr w:type="spellStart"/>
      <w:r w:rsidRPr="00707879">
        <w:rPr>
          <w:rFonts w:ascii="Garamond" w:hAnsi="Garamond" w:cstheme="majorHAnsi"/>
          <w:sz w:val="18"/>
          <w:szCs w:val="18"/>
        </w:rPr>
        <w:t>Hopp</w:t>
      </w:r>
      <w:proofErr w:type="spellEnd"/>
      <w:r w:rsidRPr="00707879">
        <w:rPr>
          <w:rFonts w:ascii="Garamond" w:hAnsi="Garamond" w:cstheme="majorHAnsi"/>
          <w:sz w:val="18"/>
          <w:szCs w:val="18"/>
        </w:rPr>
        <w:t xml:space="preserve"> v. </w:t>
      </w:r>
      <w:proofErr w:type="spellStart"/>
      <w:r w:rsidRPr="00707879">
        <w:rPr>
          <w:rFonts w:ascii="Garamond" w:hAnsi="Garamond" w:cstheme="majorHAnsi"/>
          <w:sz w:val="18"/>
          <w:szCs w:val="18"/>
        </w:rPr>
        <w:t>Lepp</w:t>
      </w:r>
      <w:proofErr w:type="spellEnd"/>
      <w:r w:rsidRPr="00707879">
        <w:rPr>
          <w:rFonts w:ascii="Garamond" w:hAnsi="Garamond" w:cstheme="majorHAnsi"/>
          <w:sz w:val="18"/>
          <w:szCs w:val="18"/>
        </w:rPr>
        <w:t xml:space="preserve">, [1980] 2 SCR 192, 1980 CanLII 14 (SCC), Available at: </w:t>
      </w:r>
      <w:hyperlink r:id="rId15">
        <w:r w:rsidRPr="00707879">
          <w:rPr>
            <w:rFonts w:ascii="Garamond" w:hAnsi="Garamond" w:cstheme="majorHAnsi"/>
            <w:sz w:val="18"/>
            <w:szCs w:val="18"/>
            <w:u w:val="single"/>
          </w:rPr>
          <w:t>http://canlii.ca/t/1mjv6</w:t>
        </w:r>
      </w:hyperlink>
      <w:r w:rsidRPr="00707879">
        <w:rPr>
          <w:rFonts w:ascii="Garamond" w:hAnsi="Garamond" w:cstheme="majorHAnsi"/>
          <w:sz w:val="18"/>
          <w:szCs w:val="18"/>
        </w:rPr>
        <w:t xml:space="preserve">, [Accessed 2017-02-21].  </w:t>
      </w:r>
    </w:p>
  </w:footnote>
  <w:footnote w:id="23">
    <w:p w14:paraId="77BE5352" w14:textId="77777777" w:rsidR="00A07EE1" w:rsidRPr="00707879" w:rsidRDefault="00A07EE1" w:rsidP="004B53F6">
      <w:pPr>
        <w:spacing w:after="0" w:line="240" w:lineRule="auto"/>
        <w:contextualSpacing/>
        <w:rPr>
          <w:rFonts w:ascii="Garamond" w:hAnsi="Garamond" w:cstheme="majorHAnsi"/>
          <w:sz w:val="18"/>
          <w:szCs w:val="18"/>
        </w:rPr>
      </w:pPr>
      <w:r w:rsidRPr="00707879">
        <w:rPr>
          <w:rFonts w:ascii="Garamond" w:hAnsi="Garamond" w:cstheme="majorHAnsi"/>
          <w:sz w:val="18"/>
          <w:szCs w:val="18"/>
          <w:vertAlign w:val="superscript"/>
        </w:rPr>
        <w:footnoteRef/>
      </w:r>
      <w:r w:rsidRPr="00707879">
        <w:rPr>
          <w:rFonts w:ascii="Garamond" w:hAnsi="Garamond" w:cstheme="majorHAnsi"/>
          <w:sz w:val="18"/>
          <w:szCs w:val="18"/>
        </w:rPr>
        <w:t xml:space="preserve"> E. (Mrs.) v. Eve, [1986] 2 SCR 388, 1986 CanLII 36 (SCC), Available at: </w:t>
      </w:r>
      <w:hyperlink r:id="rId16">
        <w:r w:rsidRPr="00707879">
          <w:rPr>
            <w:rFonts w:ascii="Garamond" w:hAnsi="Garamond" w:cstheme="majorHAnsi"/>
            <w:sz w:val="18"/>
            <w:szCs w:val="18"/>
            <w:u w:val="single"/>
          </w:rPr>
          <w:t>http://canlii.ca/t/1ftqt</w:t>
        </w:r>
      </w:hyperlink>
      <w:r w:rsidRPr="00707879">
        <w:rPr>
          <w:rFonts w:ascii="Garamond" w:hAnsi="Garamond" w:cstheme="majorHAnsi"/>
          <w:sz w:val="18"/>
          <w:szCs w:val="18"/>
        </w:rPr>
        <w:t xml:space="preserve"> [Accessed 2017-02-21].</w:t>
      </w:r>
    </w:p>
  </w:footnote>
  <w:footnote w:id="24">
    <w:p w14:paraId="10869D86" w14:textId="35C57EAF" w:rsidR="00A07EE1" w:rsidRPr="00707879" w:rsidRDefault="00A07EE1" w:rsidP="004B53F6">
      <w:pPr>
        <w:pStyle w:val="FootnoteText"/>
        <w:rPr>
          <w:rFonts w:ascii="Garamond" w:hAnsi="Garamond"/>
          <w:sz w:val="18"/>
          <w:szCs w:val="18"/>
          <w:lang w:val="en-CA"/>
        </w:rPr>
      </w:pPr>
      <w:r w:rsidRPr="00707879">
        <w:rPr>
          <w:rStyle w:val="FootnoteReference"/>
          <w:rFonts w:ascii="Garamond" w:hAnsi="Garamond"/>
          <w:sz w:val="18"/>
          <w:szCs w:val="18"/>
        </w:rPr>
        <w:footnoteRef/>
      </w:r>
      <w:r w:rsidRPr="00707879">
        <w:rPr>
          <w:rFonts w:ascii="Garamond" w:hAnsi="Garamond"/>
          <w:sz w:val="18"/>
          <w:szCs w:val="18"/>
        </w:rPr>
        <w:t xml:space="preserve"> </w:t>
      </w:r>
      <w:r w:rsidRPr="00707879">
        <w:rPr>
          <w:rFonts w:ascii="Garamond" w:hAnsi="Garamond"/>
          <w:sz w:val="18"/>
          <w:szCs w:val="18"/>
          <w:lang w:val="en-CA"/>
        </w:rPr>
        <w:t xml:space="preserve">National Post. “Saskatoon Health Region apologizes after aboriginal women felt pressured by staff to have tubes tied.” November 2015. </w:t>
      </w:r>
      <w:hyperlink r:id="rId17" w:history="1">
        <w:r w:rsidRPr="00707879">
          <w:rPr>
            <w:rStyle w:val="Hyperlink"/>
            <w:rFonts w:ascii="Garamond" w:hAnsi="Garamond"/>
            <w:color w:val="E26F54"/>
            <w:sz w:val="18"/>
            <w:szCs w:val="18"/>
            <w:lang w:val="en-CA"/>
          </w:rPr>
          <w:t>http://news.nationalpost.com/news/canada/saskatoon-health-region-apologizes-after-aboriginal-women-felt-pressured-by-staff-to-have-tubes-tied</w:t>
        </w:r>
      </w:hyperlink>
      <w:r w:rsidRPr="00707879">
        <w:rPr>
          <w:rFonts w:ascii="Garamond" w:hAnsi="Garamond"/>
          <w:color w:val="E26F54"/>
          <w:sz w:val="18"/>
          <w:szCs w:val="18"/>
          <w:lang w:val="en-CA"/>
        </w:rPr>
        <w:t xml:space="preserve"> </w:t>
      </w:r>
    </w:p>
  </w:footnote>
  <w:footnote w:id="25">
    <w:p w14:paraId="7D4ACCB8" w14:textId="67D7CED7" w:rsidR="00A07EE1" w:rsidRPr="00707879" w:rsidRDefault="00A07EE1" w:rsidP="004B53F6">
      <w:pPr>
        <w:pStyle w:val="FootnoteText"/>
        <w:rPr>
          <w:rFonts w:ascii="Garamond" w:hAnsi="Garamond"/>
          <w:color w:val="0000FF"/>
          <w:sz w:val="18"/>
          <w:szCs w:val="18"/>
          <w:u w:val="single"/>
        </w:rPr>
      </w:pPr>
      <w:r w:rsidRPr="00707879">
        <w:rPr>
          <w:rStyle w:val="FootnoteReference"/>
          <w:rFonts w:ascii="Garamond" w:hAnsi="Garamond"/>
          <w:sz w:val="18"/>
          <w:szCs w:val="18"/>
        </w:rPr>
        <w:footnoteRef/>
      </w:r>
      <w:r w:rsidRPr="00707879">
        <w:rPr>
          <w:rFonts w:ascii="Garamond" w:hAnsi="Garamond"/>
          <w:sz w:val="18"/>
          <w:szCs w:val="18"/>
        </w:rPr>
        <w:t xml:space="preserve"> Radical Criminology. “Art through a birch bark health: an illustrated interview with Erin Marie Konsmo. </w:t>
      </w:r>
      <w:hyperlink r:id="rId18" w:history="1">
        <w:r w:rsidRPr="00707879">
          <w:rPr>
            <w:rStyle w:val="Hyperlink"/>
            <w:rFonts w:ascii="Garamond" w:hAnsi="Garamond"/>
            <w:color w:val="E26F54"/>
            <w:sz w:val="18"/>
            <w:szCs w:val="18"/>
          </w:rPr>
          <w:t>http://journal.radicalcriminology.org/index.php/rc/article/view</w:t>
        </w:r>
        <w:r w:rsidRPr="004B53F6">
          <w:rPr>
            <w:rStyle w:val="Hyperlink"/>
            <w:rFonts w:ascii="Garamond" w:hAnsi="Garamond"/>
            <w:color w:val="E26F54"/>
            <w:sz w:val="18"/>
            <w:szCs w:val="18"/>
          </w:rPr>
          <w:t>/29/html</w:t>
        </w:r>
      </w:hyperlink>
      <w:r w:rsidRPr="00707879">
        <w:rPr>
          <w:rFonts w:ascii="Garamond" w:hAnsi="Garamond"/>
          <w:color w:val="E26F54"/>
          <w:sz w:val="18"/>
          <w:szCs w:val="18"/>
        </w:rPr>
        <w:t xml:space="preserve">, </w:t>
      </w:r>
      <w:r w:rsidRPr="00707879">
        <w:rPr>
          <w:rFonts w:ascii="Garamond" w:hAnsi="Garamond"/>
          <w:sz w:val="18"/>
          <w:szCs w:val="18"/>
        </w:rPr>
        <w:t xml:space="preserve">2013, and </w:t>
      </w:r>
      <w:r w:rsidRPr="004B53F6">
        <w:rPr>
          <w:rFonts w:ascii="Garamond" w:hAnsi="Garamond"/>
          <w:sz w:val="18"/>
          <w:szCs w:val="18"/>
          <w:lang w:val="en-CA"/>
        </w:rPr>
        <w:t xml:space="preserve">Vice News. “This Woman Says a Hospital in Canada Pushed Her to Undergo Sterilization.” November 2015. </w:t>
      </w:r>
      <w:hyperlink r:id="rId19" w:history="1">
        <w:r w:rsidRPr="00707879">
          <w:rPr>
            <w:rStyle w:val="Hyperlink"/>
            <w:rFonts w:ascii="Garamond" w:hAnsi="Garamond"/>
            <w:color w:val="E26F54"/>
            <w:sz w:val="18"/>
            <w:szCs w:val="18"/>
          </w:rPr>
          <w:t>https://news.vi</w:t>
        </w:r>
        <w:r w:rsidRPr="004B53F6">
          <w:rPr>
            <w:rStyle w:val="Hyperlink"/>
            <w:rFonts w:ascii="Garamond" w:hAnsi="Garamond"/>
            <w:color w:val="E26F54"/>
            <w:sz w:val="18"/>
            <w:szCs w:val="18"/>
          </w:rPr>
          <w:t>ce.com/article/this-woman-says-a-hospital-in-canada-pushed-her-to-undergo-sterilization</w:t>
        </w:r>
      </w:hyperlink>
    </w:p>
  </w:footnote>
  <w:footnote w:id="26">
    <w:p w14:paraId="522394AD" w14:textId="77777777" w:rsidR="00A07EE1" w:rsidRPr="00707879" w:rsidRDefault="00A07EE1" w:rsidP="004B53F6">
      <w:pPr>
        <w:pBdr>
          <w:top w:val="nil"/>
          <w:left w:val="nil"/>
          <w:bottom w:val="nil"/>
          <w:right w:val="nil"/>
          <w:between w:val="nil"/>
        </w:pBdr>
        <w:spacing w:after="0" w:line="240" w:lineRule="auto"/>
        <w:contextualSpacing/>
        <w:rPr>
          <w:rFonts w:ascii="Garamond" w:hAnsi="Garamond" w:cstheme="majorHAnsi"/>
          <w:sz w:val="18"/>
          <w:szCs w:val="18"/>
        </w:rPr>
      </w:pPr>
      <w:r w:rsidRPr="00707879">
        <w:rPr>
          <w:rFonts w:ascii="Garamond" w:hAnsi="Garamond" w:cstheme="majorHAnsi"/>
          <w:sz w:val="18"/>
          <w:szCs w:val="18"/>
          <w:vertAlign w:val="superscript"/>
        </w:rPr>
        <w:footnoteRef/>
      </w:r>
      <w:r w:rsidRPr="00707879">
        <w:rPr>
          <w:rFonts w:ascii="Garamond" w:hAnsi="Garamond" w:cstheme="majorHAnsi"/>
          <w:sz w:val="18"/>
          <w:szCs w:val="18"/>
        </w:rPr>
        <w:t xml:space="preserve"> Id.</w:t>
      </w:r>
    </w:p>
  </w:footnote>
  <w:footnote w:id="27">
    <w:p w14:paraId="3A0B98C6" w14:textId="77777777" w:rsidR="00A07EE1" w:rsidRPr="00707879" w:rsidRDefault="00A07EE1" w:rsidP="004B53F6">
      <w:pPr>
        <w:pBdr>
          <w:top w:val="nil"/>
          <w:left w:val="nil"/>
          <w:bottom w:val="nil"/>
          <w:right w:val="nil"/>
          <w:between w:val="nil"/>
        </w:pBdr>
        <w:spacing w:after="0" w:line="240" w:lineRule="auto"/>
        <w:contextualSpacing/>
        <w:rPr>
          <w:rFonts w:ascii="Garamond" w:hAnsi="Garamond" w:cstheme="majorHAnsi"/>
          <w:sz w:val="18"/>
          <w:szCs w:val="18"/>
        </w:rPr>
      </w:pPr>
      <w:r w:rsidRPr="00707879">
        <w:rPr>
          <w:rFonts w:ascii="Garamond" w:hAnsi="Garamond" w:cstheme="majorHAnsi"/>
          <w:sz w:val="18"/>
          <w:szCs w:val="18"/>
          <w:vertAlign w:val="superscript"/>
        </w:rPr>
        <w:footnoteRef/>
      </w:r>
      <w:r w:rsidRPr="00707879">
        <w:rPr>
          <w:rFonts w:ascii="Garamond" w:hAnsi="Garamond" w:cstheme="majorHAnsi"/>
          <w:sz w:val="18"/>
          <w:szCs w:val="18"/>
        </w:rPr>
        <w:t xml:space="preserve"> Radical Criminology. “Art through a birch bark health: an illustrated interview with Erin Marie Konsmo. </w:t>
      </w:r>
      <w:hyperlink r:id="rId20">
        <w:r w:rsidRPr="00707879">
          <w:rPr>
            <w:rFonts w:ascii="Garamond" w:hAnsi="Garamond" w:cstheme="majorHAnsi"/>
            <w:color w:val="E26F54"/>
            <w:sz w:val="18"/>
            <w:szCs w:val="18"/>
            <w:u w:val="single"/>
          </w:rPr>
          <w:t>http://journal.radicalcriminology.org/index.php/rc/article/view/29/html</w:t>
        </w:r>
      </w:hyperlink>
      <w:r w:rsidRPr="00707879">
        <w:rPr>
          <w:rFonts w:ascii="Garamond" w:hAnsi="Garamond" w:cstheme="majorHAnsi"/>
          <w:sz w:val="18"/>
          <w:szCs w:val="18"/>
        </w:rPr>
        <w:t xml:space="preserve">, 2013, and Vice News. “This Woman Says a Hospital in Canada Pushed Her to Undergo Sterilization.” November 2015. </w:t>
      </w:r>
      <w:hyperlink r:id="rId21">
        <w:r w:rsidRPr="00707879">
          <w:rPr>
            <w:rFonts w:ascii="Garamond" w:hAnsi="Garamond" w:cstheme="majorHAnsi"/>
            <w:color w:val="E26F54"/>
            <w:sz w:val="18"/>
            <w:szCs w:val="18"/>
            <w:u w:val="single"/>
          </w:rPr>
          <w:t>https://news.vice.com/article/this-woman-says-a-hospital-in-canada-pushed-her-to-undergo-sterilization</w:t>
        </w:r>
      </w:hyperlink>
      <w:r w:rsidRPr="00707879">
        <w:rPr>
          <w:rFonts w:ascii="Garamond" w:hAnsi="Garamond" w:cstheme="majorHAnsi"/>
          <w:color w:val="E26F54"/>
          <w:sz w:val="18"/>
          <w:szCs w:val="18"/>
          <w:u w:val="single"/>
        </w:rPr>
        <w:t>.</w:t>
      </w:r>
    </w:p>
  </w:footnote>
  <w:footnote w:id="28">
    <w:p w14:paraId="2F3E1E8A" w14:textId="77777777" w:rsidR="00A07EE1" w:rsidRPr="00707879" w:rsidRDefault="00A07EE1" w:rsidP="004B53F6">
      <w:pPr>
        <w:pBdr>
          <w:top w:val="nil"/>
          <w:left w:val="nil"/>
          <w:bottom w:val="nil"/>
          <w:right w:val="nil"/>
          <w:between w:val="nil"/>
        </w:pBdr>
        <w:spacing w:after="0" w:line="240" w:lineRule="auto"/>
        <w:contextualSpacing/>
        <w:rPr>
          <w:rFonts w:ascii="Garamond" w:hAnsi="Garamond" w:cstheme="majorHAnsi"/>
          <w:sz w:val="18"/>
          <w:szCs w:val="18"/>
        </w:rPr>
      </w:pPr>
      <w:r w:rsidRPr="00707879">
        <w:rPr>
          <w:rFonts w:ascii="Garamond" w:hAnsi="Garamond" w:cstheme="majorHAnsi"/>
          <w:sz w:val="18"/>
          <w:szCs w:val="18"/>
          <w:vertAlign w:val="superscript"/>
        </w:rPr>
        <w:footnoteRef/>
      </w:r>
      <w:r w:rsidRPr="00707879">
        <w:rPr>
          <w:rFonts w:ascii="Garamond" w:hAnsi="Garamond" w:cstheme="majorHAnsi"/>
          <w:sz w:val="18"/>
          <w:szCs w:val="18"/>
        </w:rPr>
        <w:t xml:space="preserve"> CBC News. “Sask. Indigenous Women File Lawsuit Claiming Coerced Sterilization.” 10 October 2017. </w:t>
      </w:r>
      <w:hyperlink r:id="rId22">
        <w:r w:rsidRPr="00707879">
          <w:rPr>
            <w:rFonts w:ascii="Garamond" w:hAnsi="Garamond" w:cstheme="majorHAnsi"/>
            <w:color w:val="E26F54"/>
            <w:sz w:val="18"/>
            <w:szCs w:val="18"/>
            <w:u w:val="single"/>
          </w:rPr>
          <w:t>https://www.cbc.ca/news/canada/saskatchewan/sask-i</w:t>
        </w:r>
        <w:r w:rsidRPr="004B53F6">
          <w:rPr>
            <w:rFonts w:ascii="Garamond" w:hAnsi="Garamond" w:cstheme="majorHAnsi"/>
            <w:color w:val="E26F54"/>
            <w:sz w:val="18"/>
            <w:szCs w:val="18"/>
            <w:u w:val="single"/>
          </w:rPr>
          <w:t>ndigenous-women-file-lawsuit-claiming-coerced-sterilization-1.4348848</w:t>
        </w:r>
      </w:hyperlink>
    </w:p>
  </w:footnote>
  <w:footnote w:id="29">
    <w:p w14:paraId="7D265923" w14:textId="77777777" w:rsidR="00A07EE1" w:rsidRPr="00707879" w:rsidRDefault="00A07EE1" w:rsidP="004B53F6">
      <w:pPr>
        <w:pStyle w:val="FootnoteText"/>
        <w:rPr>
          <w:rFonts w:ascii="Garamond" w:hAnsi="Garamond" w:cstheme="majorHAnsi"/>
          <w:color w:val="E26F54"/>
          <w:sz w:val="18"/>
          <w:szCs w:val="18"/>
          <w:lang w:val="en-CA"/>
        </w:rPr>
      </w:pPr>
      <w:r w:rsidRPr="00707879">
        <w:rPr>
          <w:rStyle w:val="FootnoteReference"/>
          <w:rFonts w:ascii="Garamond" w:hAnsi="Garamond" w:cstheme="majorHAnsi"/>
          <w:sz w:val="18"/>
          <w:szCs w:val="18"/>
        </w:rPr>
        <w:footnoteRef/>
      </w:r>
      <w:r w:rsidRPr="00707879">
        <w:rPr>
          <w:rFonts w:ascii="Garamond" w:hAnsi="Garamond" w:cstheme="majorHAnsi"/>
          <w:sz w:val="18"/>
          <w:szCs w:val="18"/>
        </w:rPr>
        <w:t xml:space="preserve"> Ottawa Rape Crisis Centre. “When a Patient Has Experienced Sexual Violence.” February 2018. </w:t>
      </w:r>
      <w:hyperlink r:id="rId23" w:history="1">
        <w:r w:rsidRPr="00707879">
          <w:rPr>
            <w:rStyle w:val="Hyperlink"/>
            <w:rFonts w:ascii="Garamond" w:hAnsi="Garamond" w:cstheme="majorHAnsi"/>
            <w:color w:val="E26F54"/>
            <w:sz w:val="18"/>
            <w:szCs w:val="18"/>
          </w:rPr>
          <w:t>http</w:t>
        </w:r>
        <w:r w:rsidRPr="004B53F6">
          <w:rPr>
            <w:rStyle w:val="Hyperlink"/>
            <w:rFonts w:ascii="Garamond" w:hAnsi="Garamond" w:cstheme="majorHAnsi"/>
            <w:color w:val="E26F54"/>
            <w:sz w:val="18"/>
            <w:szCs w:val="18"/>
          </w:rPr>
          <w:t>://www.srhweek.ca/providers/people-and-communities/sexual-violence/</w:t>
        </w:r>
      </w:hyperlink>
      <w:r w:rsidRPr="00707879">
        <w:rPr>
          <w:rFonts w:ascii="Garamond" w:hAnsi="Garamond" w:cstheme="majorHAnsi"/>
          <w:color w:val="E26F54"/>
          <w:sz w:val="18"/>
          <w:szCs w:val="18"/>
        </w:rPr>
        <w:t xml:space="preserve"> </w:t>
      </w:r>
    </w:p>
  </w:footnote>
  <w:footnote w:id="30">
    <w:p w14:paraId="7A2A88D0" w14:textId="4F95F848" w:rsidR="00922621" w:rsidRPr="004B53F6" w:rsidRDefault="00922621" w:rsidP="004B53F6">
      <w:pPr>
        <w:pStyle w:val="FootnoteText"/>
        <w:rPr>
          <w:rFonts w:ascii="Garamond" w:hAnsi="Garamond"/>
          <w:sz w:val="18"/>
          <w:szCs w:val="18"/>
        </w:rPr>
      </w:pPr>
      <w:r w:rsidRPr="00707879">
        <w:rPr>
          <w:rStyle w:val="FootnoteReference"/>
          <w:rFonts w:ascii="Garamond" w:hAnsi="Garamond"/>
          <w:sz w:val="18"/>
          <w:szCs w:val="18"/>
        </w:rPr>
        <w:footnoteRef/>
      </w:r>
      <w:r w:rsidRPr="00707879">
        <w:rPr>
          <w:rFonts w:ascii="Garamond" w:hAnsi="Garamond"/>
          <w:sz w:val="18"/>
          <w:szCs w:val="18"/>
        </w:rPr>
        <w:t xml:space="preserve"> SEMAGANIS</w:t>
      </w:r>
      <w:r w:rsidRPr="004B53F6">
        <w:rPr>
          <w:rFonts w:ascii="Garamond" w:hAnsi="Garamond"/>
          <w:sz w:val="18"/>
          <w:szCs w:val="18"/>
        </w:rPr>
        <w:t>, WORME, LOMBARD, Submission to the Special Rapporteur on Violence Against women, its causes and consequences: Mistreatment &amp; Violence Against Women During Reproductive Care, With Focus on</w:t>
      </w:r>
    </w:p>
    <w:p w14:paraId="3F38DDA2" w14:textId="72BE0392" w:rsidR="00922621" w:rsidRPr="00A27070" w:rsidRDefault="00922621" w:rsidP="004B53F6">
      <w:pPr>
        <w:pStyle w:val="FootnoteText"/>
        <w:rPr>
          <w:rFonts w:ascii="Garamond" w:hAnsi="Garamond"/>
          <w:sz w:val="18"/>
          <w:szCs w:val="18"/>
          <w:lang w:val="en-CA"/>
        </w:rPr>
      </w:pPr>
      <w:r w:rsidRPr="004B53F6">
        <w:rPr>
          <w:rFonts w:ascii="Garamond" w:hAnsi="Garamond"/>
          <w:sz w:val="18"/>
          <w:szCs w:val="18"/>
        </w:rPr>
        <w:t xml:space="preserve">Childbirth – RE: Forced Sterilization of Indigenous Women in Canada. (2019) Available at: </w:t>
      </w:r>
      <w:hyperlink r:id="rId24" w:history="1">
        <w:r w:rsidRPr="00707879">
          <w:rPr>
            <w:rStyle w:val="Hyperlink"/>
            <w:rFonts w:ascii="Garamond" w:hAnsi="Garamond"/>
            <w:sz w:val="18"/>
            <w:szCs w:val="18"/>
          </w:rPr>
          <w:t>https://www.ohchr</w:t>
        </w:r>
        <w:r w:rsidRPr="004B53F6">
          <w:rPr>
            <w:rStyle w:val="Hyperlink"/>
            <w:rFonts w:ascii="Garamond" w:hAnsi="Garamond"/>
            <w:sz w:val="18"/>
            <w:szCs w:val="18"/>
          </w:rPr>
          <w:t>.org/Documents/Issues/Women/SR/ReproductiveHealthCare/SEMAGANIS%20WORME%20LOMBARD.pdf</w:t>
        </w:r>
      </w:hyperlink>
      <w:r w:rsidRPr="00707879">
        <w:rPr>
          <w:rFonts w:ascii="Garamond" w:hAnsi="Garamond"/>
          <w:sz w:val="18"/>
          <w:szCs w:val="18"/>
        </w:rPr>
        <w:t xml:space="preserve"> </w:t>
      </w:r>
    </w:p>
  </w:footnote>
  <w:footnote w:id="31">
    <w:p w14:paraId="680C94AD" w14:textId="2317AC98" w:rsidR="00922621" w:rsidRPr="00A27070" w:rsidRDefault="00922621" w:rsidP="004B53F6">
      <w:pPr>
        <w:pStyle w:val="FootnoteText"/>
        <w:rPr>
          <w:rFonts w:ascii="Garamond" w:hAnsi="Garamond"/>
          <w:sz w:val="18"/>
          <w:szCs w:val="18"/>
          <w:lang w:val="en-CA"/>
        </w:rPr>
      </w:pPr>
      <w:r w:rsidRPr="00707879">
        <w:rPr>
          <w:rStyle w:val="FootnoteReference"/>
          <w:rFonts w:ascii="Garamond" w:hAnsi="Garamond"/>
          <w:sz w:val="18"/>
          <w:szCs w:val="18"/>
        </w:rPr>
        <w:footnoteRef/>
      </w:r>
      <w:r w:rsidRPr="00707879">
        <w:rPr>
          <w:rFonts w:ascii="Garamond" w:hAnsi="Garamond"/>
          <w:sz w:val="18"/>
          <w:szCs w:val="18"/>
        </w:rPr>
        <w:t xml:space="preserve"> </w:t>
      </w:r>
      <w:r w:rsidRPr="00A27070">
        <w:rPr>
          <w:rFonts w:ascii="Garamond" w:hAnsi="Garamond"/>
          <w:sz w:val="18"/>
          <w:szCs w:val="18"/>
          <w:lang w:val="en-CA"/>
        </w:rPr>
        <w:t>Personal communication. November 12, 2019.</w:t>
      </w:r>
    </w:p>
  </w:footnote>
  <w:footnote w:id="32">
    <w:p w14:paraId="00263658" w14:textId="24DDB909" w:rsidR="00A07EE1" w:rsidRPr="00707879" w:rsidRDefault="00A07EE1" w:rsidP="004B53F6">
      <w:pPr>
        <w:pStyle w:val="FootnoteText"/>
        <w:rPr>
          <w:rFonts w:ascii="Garamond" w:hAnsi="Garamond"/>
          <w:color w:val="E26F54"/>
          <w:sz w:val="18"/>
          <w:szCs w:val="18"/>
          <w:u w:val="single"/>
        </w:rPr>
      </w:pPr>
      <w:r w:rsidRPr="00707879">
        <w:rPr>
          <w:rStyle w:val="FootnoteReference"/>
          <w:rFonts w:ascii="Garamond" w:hAnsi="Garamond"/>
          <w:sz w:val="18"/>
          <w:szCs w:val="18"/>
        </w:rPr>
        <w:footnoteRef/>
      </w:r>
      <w:r w:rsidRPr="00707879">
        <w:rPr>
          <w:rFonts w:ascii="Garamond" w:hAnsi="Garamond"/>
          <w:sz w:val="18"/>
          <w:szCs w:val="18"/>
        </w:rPr>
        <w:t xml:space="preserve"> Radical Criminology. “Art through a birch bark health: an illustrated interview with Erin Marie Konsmo. </w:t>
      </w:r>
      <w:hyperlink r:id="rId25" w:history="1">
        <w:r w:rsidRPr="00707879">
          <w:rPr>
            <w:rStyle w:val="Hyperlink"/>
            <w:rFonts w:ascii="Garamond" w:hAnsi="Garamond"/>
            <w:color w:val="E26F54"/>
            <w:sz w:val="18"/>
            <w:szCs w:val="18"/>
          </w:rPr>
          <w:t>http://journal.radicalcriminology.org/index.php/rc/article/view/29/html</w:t>
        </w:r>
      </w:hyperlink>
      <w:r w:rsidRPr="00707879">
        <w:rPr>
          <w:rFonts w:ascii="Garamond" w:hAnsi="Garamond"/>
          <w:color w:val="E26F54"/>
          <w:sz w:val="18"/>
          <w:szCs w:val="18"/>
        </w:rPr>
        <w:t xml:space="preserve">, </w:t>
      </w:r>
      <w:r w:rsidRPr="00707879">
        <w:rPr>
          <w:rFonts w:ascii="Garamond" w:hAnsi="Garamond"/>
          <w:sz w:val="18"/>
          <w:szCs w:val="18"/>
        </w:rPr>
        <w:t xml:space="preserve">2013, and </w:t>
      </w:r>
      <w:r w:rsidRPr="004B53F6">
        <w:rPr>
          <w:rFonts w:ascii="Garamond" w:hAnsi="Garamond"/>
          <w:sz w:val="18"/>
          <w:szCs w:val="18"/>
          <w:lang w:val="en-CA"/>
        </w:rPr>
        <w:t xml:space="preserve">Vice News. “This Woman Says a Hospital in Canada Pushed Her to Undergo Sterilization.” November 2015. </w:t>
      </w:r>
      <w:hyperlink r:id="rId26" w:history="1">
        <w:r w:rsidRPr="00707879">
          <w:rPr>
            <w:rStyle w:val="Hyperlink"/>
            <w:rFonts w:ascii="Garamond" w:hAnsi="Garamond"/>
            <w:color w:val="E26F54"/>
            <w:sz w:val="18"/>
            <w:szCs w:val="18"/>
          </w:rPr>
          <w:t>https://news.vice.com/article/this-</w:t>
        </w:r>
        <w:r w:rsidRPr="004B53F6">
          <w:rPr>
            <w:rStyle w:val="Hyperlink"/>
            <w:rFonts w:ascii="Garamond" w:hAnsi="Garamond"/>
            <w:color w:val="E26F54"/>
            <w:sz w:val="18"/>
            <w:szCs w:val="18"/>
          </w:rPr>
          <w:t>woman-says-a-hospital-in-canada-pushed-her-to-undergo-sterilization</w:t>
        </w:r>
      </w:hyperlink>
    </w:p>
  </w:footnote>
  <w:footnote w:id="33">
    <w:p w14:paraId="5F509CE9" w14:textId="13D07B84" w:rsidR="00A07EE1" w:rsidRPr="004B53F6" w:rsidRDefault="00A07EE1" w:rsidP="004B53F6">
      <w:pPr>
        <w:pStyle w:val="FootnoteText"/>
        <w:rPr>
          <w:rFonts w:ascii="Garamond" w:hAnsi="Garamond"/>
          <w:color w:val="0000FF"/>
          <w:sz w:val="18"/>
          <w:szCs w:val="18"/>
          <w:u w:val="single"/>
        </w:rPr>
      </w:pPr>
      <w:r w:rsidRPr="00707879">
        <w:rPr>
          <w:rStyle w:val="FootnoteReference"/>
          <w:rFonts w:ascii="Garamond" w:hAnsi="Garamond"/>
          <w:sz w:val="18"/>
          <w:szCs w:val="18"/>
        </w:rPr>
        <w:footnoteRef/>
      </w:r>
      <w:r w:rsidRPr="00707879">
        <w:rPr>
          <w:rFonts w:ascii="Garamond" w:hAnsi="Garamond"/>
          <w:sz w:val="18"/>
          <w:szCs w:val="18"/>
        </w:rPr>
        <w:t xml:space="preserve"> Radical Criminology. “Art through a birch bark health: an illustrated interview with Erin Marie Konsmo. </w:t>
      </w:r>
      <w:hyperlink r:id="rId27" w:history="1">
        <w:r w:rsidRPr="00707879">
          <w:rPr>
            <w:rStyle w:val="Hyperlink"/>
            <w:rFonts w:ascii="Garamond" w:hAnsi="Garamond"/>
            <w:color w:val="E26F54"/>
            <w:sz w:val="18"/>
            <w:szCs w:val="18"/>
          </w:rPr>
          <w:t>http://journal.radicalcriminology.org/index.php/rc/article/view/29/html</w:t>
        </w:r>
      </w:hyperlink>
      <w:r w:rsidRPr="00707879">
        <w:rPr>
          <w:rFonts w:ascii="Garamond" w:hAnsi="Garamond"/>
          <w:color w:val="E26F54"/>
          <w:sz w:val="18"/>
          <w:szCs w:val="18"/>
        </w:rPr>
        <w:t xml:space="preserve">, </w:t>
      </w:r>
      <w:r w:rsidRPr="00707879">
        <w:rPr>
          <w:rFonts w:ascii="Garamond" w:hAnsi="Garamond"/>
          <w:sz w:val="18"/>
          <w:szCs w:val="18"/>
        </w:rPr>
        <w:t>2013.</w:t>
      </w:r>
    </w:p>
  </w:footnote>
  <w:footnote w:id="34">
    <w:p w14:paraId="7B0B5540" w14:textId="5F275BCF" w:rsidR="00A07EE1" w:rsidRPr="00707879" w:rsidRDefault="00A07EE1" w:rsidP="004B53F6">
      <w:pPr>
        <w:pStyle w:val="FootnoteText"/>
        <w:rPr>
          <w:rFonts w:ascii="Garamond" w:hAnsi="Garamond"/>
          <w:color w:val="E26F54"/>
          <w:sz w:val="18"/>
          <w:szCs w:val="18"/>
          <w:lang w:val="en-CA"/>
        </w:rPr>
      </w:pPr>
      <w:r w:rsidRPr="00707879">
        <w:rPr>
          <w:rStyle w:val="FootnoteReference"/>
          <w:rFonts w:ascii="Garamond" w:hAnsi="Garamond"/>
          <w:sz w:val="18"/>
          <w:szCs w:val="18"/>
        </w:rPr>
        <w:footnoteRef/>
      </w:r>
      <w:r w:rsidRPr="00707879">
        <w:rPr>
          <w:rFonts w:ascii="Garamond" w:hAnsi="Garamond"/>
          <w:sz w:val="18"/>
          <w:szCs w:val="18"/>
        </w:rPr>
        <w:t xml:space="preserve"> Native Youth Sexual Health Network. 2013. Presentation during </w:t>
      </w:r>
      <w:r w:rsidRPr="00707879">
        <w:rPr>
          <w:rFonts w:ascii="Garamond" w:hAnsi="Garamond"/>
          <w:color w:val="111111"/>
          <w:sz w:val="18"/>
          <w:szCs w:val="18"/>
          <w:shd w:val="clear" w:color="auto" w:fill="F9F9F9"/>
        </w:rPr>
        <w:t>6</w:t>
      </w:r>
      <w:r w:rsidRPr="004B53F6">
        <w:rPr>
          <w:rFonts w:ascii="Garamond" w:hAnsi="Garamond"/>
          <w:color w:val="111111"/>
          <w:sz w:val="18"/>
          <w:szCs w:val="18"/>
          <w:shd w:val="clear" w:color="auto" w:fill="F9F9F9"/>
          <w:vertAlign w:val="superscript"/>
        </w:rPr>
        <w:t>th</w:t>
      </w:r>
      <w:r w:rsidRPr="004B53F6">
        <w:rPr>
          <w:rFonts w:ascii="Garamond" w:hAnsi="Garamond"/>
          <w:color w:val="111111"/>
          <w:sz w:val="18"/>
          <w:szCs w:val="18"/>
          <w:shd w:val="clear" w:color="auto" w:fill="F9F9F9"/>
        </w:rPr>
        <w:t xml:space="preserve"> session of the Expert Mechanism on the Rights of Indigenous Peoples July 8-12, 2013; </w:t>
      </w:r>
      <w:hyperlink r:id="rId28" w:history="1">
        <w:r w:rsidRPr="00707879">
          <w:rPr>
            <w:rStyle w:val="Hyperlink"/>
            <w:rFonts w:ascii="Garamond" w:hAnsi="Garamond"/>
            <w:color w:val="E26F54"/>
            <w:sz w:val="18"/>
            <w:szCs w:val="18"/>
            <w:shd w:val="clear" w:color="auto" w:fill="F9F9F9"/>
          </w:rPr>
          <w:t>http://www.nativeyouthsexualhealth.com/emrip2013item5.pdf</w:t>
        </w:r>
      </w:hyperlink>
      <w:r w:rsidRPr="00707879">
        <w:rPr>
          <w:rStyle w:val="Hyperlink"/>
          <w:rFonts w:ascii="Garamond" w:hAnsi="Garamond"/>
          <w:color w:val="E26F54"/>
          <w:sz w:val="18"/>
          <w:szCs w:val="18"/>
          <w:shd w:val="clear" w:color="auto" w:fill="F9F9F9"/>
        </w:rPr>
        <w:t xml:space="preserve"> </w:t>
      </w:r>
    </w:p>
  </w:footnote>
  <w:footnote w:id="35">
    <w:p w14:paraId="33661A14" w14:textId="500B4E2A" w:rsidR="00A07EE1" w:rsidRPr="00707879" w:rsidRDefault="00A07EE1" w:rsidP="004B53F6">
      <w:pPr>
        <w:pStyle w:val="FootnoteText"/>
        <w:rPr>
          <w:rFonts w:ascii="Garamond" w:hAnsi="Garamond"/>
          <w:sz w:val="18"/>
          <w:szCs w:val="18"/>
          <w:lang w:val="en-CA"/>
        </w:rPr>
      </w:pPr>
      <w:r w:rsidRPr="00707879">
        <w:rPr>
          <w:rStyle w:val="FootnoteReference"/>
          <w:rFonts w:ascii="Garamond" w:hAnsi="Garamond"/>
          <w:sz w:val="18"/>
          <w:szCs w:val="18"/>
        </w:rPr>
        <w:footnoteRef/>
      </w:r>
      <w:r w:rsidRPr="00707879">
        <w:rPr>
          <w:rFonts w:ascii="Garamond" w:hAnsi="Garamond"/>
          <w:sz w:val="18"/>
          <w:szCs w:val="18"/>
        </w:rPr>
        <w:t xml:space="preserve"> Saskatoon Star Phoenix. “Saskatchewan women pressured to have tubal ligations.” November 17, 2015. </w:t>
      </w:r>
      <w:hyperlink r:id="rId29" w:history="1">
        <w:r w:rsidRPr="00707879">
          <w:rPr>
            <w:rStyle w:val="Hyperlink"/>
            <w:rFonts w:ascii="Garamond" w:hAnsi="Garamond"/>
            <w:color w:val="E26F54"/>
            <w:sz w:val="18"/>
            <w:szCs w:val="18"/>
          </w:rPr>
          <w:t>http://thestarphoenix.com/news/national/women-pressured-to-have-tubal-ligations</w:t>
        </w:r>
      </w:hyperlink>
      <w:r w:rsidRPr="00707879">
        <w:rPr>
          <w:rFonts w:ascii="Garamond" w:hAnsi="Garamond"/>
          <w:color w:val="E26F54"/>
          <w:sz w:val="18"/>
          <w:szCs w:val="18"/>
        </w:rPr>
        <w:t xml:space="preserve"> </w:t>
      </w:r>
    </w:p>
  </w:footnote>
  <w:footnote w:id="36">
    <w:p w14:paraId="4D581C9A" w14:textId="40B2FDE1" w:rsidR="00DA4B15" w:rsidRPr="00A27070" w:rsidRDefault="00DA4B15" w:rsidP="004B53F6">
      <w:pPr>
        <w:pStyle w:val="FootnoteText"/>
        <w:rPr>
          <w:rFonts w:ascii="Garamond" w:hAnsi="Garamond"/>
          <w:sz w:val="18"/>
          <w:szCs w:val="18"/>
          <w:lang w:val="en-CA"/>
        </w:rPr>
      </w:pPr>
      <w:r w:rsidRPr="00707879">
        <w:rPr>
          <w:rStyle w:val="FootnoteReference"/>
          <w:rFonts w:ascii="Garamond" w:hAnsi="Garamond"/>
          <w:sz w:val="18"/>
          <w:szCs w:val="18"/>
        </w:rPr>
        <w:footnoteRef/>
      </w:r>
      <w:r w:rsidRPr="00707879">
        <w:rPr>
          <w:rFonts w:ascii="Garamond" w:hAnsi="Garamond"/>
          <w:sz w:val="18"/>
          <w:szCs w:val="18"/>
        </w:rPr>
        <w:t xml:space="preserve"> </w:t>
      </w:r>
      <w:r w:rsidRPr="00707879">
        <w:rPr>
          <w:rFonts w:ascii="Garamond" w:hAnsi="Garamond"/>
          <w:sz w:val="18"/>
          <w:szCs w:val="18"/>
          <w:lang w:val="en-CA"/>
        </w:rPr>
        <w:t xml:space="preserve">CESCR, </w:t>
      </w:r>
      <w:r w:rsidR="004C0F11" w:rsidRPr="00707879">
        <w:rPr>
          <w:rFonts w:ascii="Garamond" w:hAnsi="Garamond"/>
          <w:sz w:val="18"/>
          <w:szCs w:val="18"/>
          <w:lang w:val="en-CA"/>
        </w:rPr>
        <w:t>Concluding Observations to South Africa,</w:t>
      </w:r>
      <w:r w:rsidR="004C0F11">
        <w:rPr>
          <w:rFonts w:ascii="Garamond" w:hAnsi="Garamond"/>
          <w:sz w:val="18"/>
          <w:szCs w:val="18"/>
          <w:lang w:val="en-CA"/>
        </w:rPr>
        <w:t xml:space="preserve"> </w:t>
      </w:r>
      <w:r w:rsidRPr="00707879">
        <w:rPr>
          <w:rFonts w:ascii="Garamond" w:hAnsi="Garamond"/>
          <w:sz w:val="18"/>
          <w:szCs w:val="18"/>
          <w:lang w:val="en-CA"/>
        </w:rPr>
        <w:t>E/C.12/ZAF/CO/1, 2018, paras. 32-33.</w:t>
      </w:r>
    </w:p>
  </w:footnote>
  <w:footnote w:id="37">
    <w:p w14:paraId="44778CDC" w14:textId="26EBE3CE" w:rsidR="007D7910" w:rsidRPr="004B53F6" w:rsidRDefault="007D7910" w:rsidP="004B53F6">
      <w:pPr>
        <w:pStyle w:val="FootnoteText"/>
        <w:rPr>
          <w:rFonts w:ascii="Garamond" w:hAnsi="Garamond"/>
          <w:sz w:val="18"/>
          <w:szCs w:val="18"/>
          <w:lang w:val="en-CA"/>
        </w:rPr>
      </w:pPr>
      <w:r w:rsidRPr="00707879">
        <w:rPr>
          <w:rStyle w:val="FootnoteReference"/>
          <w:rFonts w:ascii="Garamond" w:hAnsi="Garamond"/>
          <w:sz w:val="18"/>
          <w:szCs w:val="18"/>
        </w:rPr>
        <w:footnoteRef/>
      </w:r>
      <w:r w:rsidRPr="00707879">
        <w:rPr>
          <w:rFonts w:ascii="Garamond" w:hAnsi="Garamond"/>
          <w:sz w:val="18"/>
          <w:szCs w:val="18"/>
        </w:rPr>
        <w:t xml:space="preserve"> </w:t>
      </w:r>
      <w:r w:rsidR="00DA4B15" w:rsidRPr="00707879">
        <w:rPr>
          <w:rFonts w:ascii="Garamond" w:hAnsi="Garamond"/>
          <w:sz w:val="18"/>
          <w:szCs w:val="18"/>
          <w:lang w:val="en-CA"/>
        </w:rPr>
        <w:t>Id.</w:t>
      </w:r>
    </w:p>
  </w:footnote>
  <w:footnote w:id="38">
    <w:p w14:paraId="06E47BED" w14:textId="77777777" w:rsidR="006B5469" w:rsidRPr="004B53F6" w:rsidRDefault="006B5469" w:rsidP="004B53F6">
      <w:pPr>
        <w:pStyle w:val="FootnoteText"/>
        <w:rPr>
          <w:rFonts w:ascii="Garamond" w:hAnsi="Garamond" w:cstheme="minorHAnsi"/>
          <w:sz w:val="18"/>
          <w:szCs w:val="18"/>
        </w:rPr>
      </w:pPr>
      <w:r w:rsidRPr="00707879">
        <w:rPr>
          <w:rStyle w:val="FootnoteReference"/>
          <w:rFonts w:ascii="Garamond" w:hAnsi="Garamond" w:cstheme="minorHAnsi"/>
          <w:sz w:val="18"/>
          <w:szCs w:val="18"/>
        </w:rPr>
        <w:footnoteRef/>
      </w:r>
      <w:r w:rsidRPr="00707879">
        <w:rPr>
          <w:rFonts w:ascii="Garamond" w:hAnsi="Garamond" w:cstheme="minorHAnsi"/>
          <w:sz w:val="18"/>
          <w:szCs w:val="18"/>
        </w:rPr>
        <w:t xml:space="preserve"> UN General Assembly. 2010. </w:t>
      </w:r>
      <w:hyperlink r:id="rId30" w:history="1">
        <w:r w:rsidRPr="00707879">
          <w:rPr>
            <w:rStyle w:val="Hyperlink"/>
            <w:rFonts w:ascii="Garamond" w:eastAsiaTheme="majorEastAsia" w:hAnsi="Garamond" w:cstheme="minorHAnsi"/>
            <w:i/>
            <w:iCs/>
            <w:color w:val="E26F54"/>
            <w:sz w:val="18"/>
            <w:szCs w:val="18"/>
          </w:rPr>
          <w:t>Report of the Special Rapporteur on the right of everyone to the enjoyment of the highest attainable standard of physical and mental health, Anand Grover</w:t>
        </w:r>
      </w:hyperlink>
      <w:r w:rsidRPr="00707879">
        <w:rPr>
          <w:rFonts w:ascii="Garamond" w:hAnsi="Garamond" w:cstheme="minorHAnsi"/>
          <w:color w:val="E26F54"/>
          <w:sz w:val="18"/>
          <w:szCs w:val="18"/>
        </w:rPr>
        <w:t xml:space="preserve"> </w:t>
      </w:r>
      <w:r w:rsidRPr="00707879">
        <w:rPr>
          <w:rFonts w:ascii="Garamond" w:hAnsi="Garamond" w:cstheme="minorHAnsi"/>
          <w:sz w:val="18"/>
          <w:szCs w:val="18"/>
        </w:rPr>
        <w:t>Human Rights</w:t>
      </w:r>
      <w:r w:rsidRPr="004B53F6">
        <w:rPr>
          <w:rFonts w:ascii="Garamond" w:hAnsi="Garamond" w:cstheme="minorHAnsi"/>
          <w:sz w:val="18"/>
          <w:szCs w:val="18"/>
        </w:rPr>
        <w:t xml:space="preserve"> Council, 14</w:t>
      </w:r>
      <w:r w:rsidRPr="004B53F6">
        <w:rPr>
          <w:rFonts w:ascii="Garamond" w:hAnsi="Garamond" w:cstheme="minorHAnsi"/>
          <w:sz w:val="18"/>
          <w:szCs w:val="18"/>
          <w:vertAlign w:val="superscript"/>
        </w:rPr>
        <w:t>th</w:t>
      </w:r>
      <w:r w:rsidRPr="004B53F6">
        <w:rPr>
          <w:rFonts w:ascii="Garamond" w:hAnsi="Garamond" w:cstheme="minorHAnsi"/>
          <w:sz w:val="18"/>
          <w:szCs w:val="18"/>
        </w:rPr>
        <w:t xml:space="preserve"> session. A/HRC/14/20.</w:t>
      </w:r>
    </w:p>
  </w:footnote>
  <w:footnote w:id="39">
    <w:p w14:paraId="7B52299D" w14:textId="77777777" w:rsidR="00BC26BB" w:rsidRPr="00707879" w:rsidRDefault="00BC26BB" w:rsidP="004B53F6">
      <w:pPr>
        <w:pStyle w:val="FootnoteText"/>
        <w:rPr>
          <w:rFonts w:ascii="Garamond" w:hAnsi="Garamond" w:cstheme="minorHAnsi"/>
          <w:sz w:val="18"/>
          <w:szCs w:val="18"/>
        </w:rPr>
      </w:pPr>
      <w:r w:rsidRPr="00707879">
        <w:rPr>
          <w:rStyle w:val="FootnoteReference"/>
          <w:rFonts w:ascii="Garamond" w:hAnsi="Garamond" w:cstheme="minorHAnsi"/>
          <w:sz w:val="18"/>
          <w:szCs w:val="18"/>
        </w:rPr>
        <w:footnoteRef/>
      </w:r>
      <w:r w:rsidRPr="00707879">
        <w:rPr>
          <w:rFonts w:ascii="Garamond" w:hAnsi="Garamond" w:cstheme="minorHAnsi"/>
          <w:sz w:val="18"/>
          <w:szCs w:val="18"/>
        </w:rPr>
        <w:t xml:space="preserve"> Canadian Alliance for Sex Work Law Reform. “Sex work and changes to the Criminal Code after bill C-36: what does the evidence say.” </w:t>
      </w:r>
      <w:hyperlink r:id="rId31" w:history="1">
        <w:r w:rsidRPr="00707879">
          <w:rPr>
            <w:rStyle w:val="Hyperlink"/>
            <w:rFonts w:ascii="Garamond" w:eastAsiaTheme="majorEastAsia" w:hAnsi="Garamond" w:cstheme="minorHAnsi"/>
            <w:color w:val="E26F54"/>
            <w:sz w:val="18"/>
            <w:szCs w:val="18"/>
          </w:rPr>
          <w:t>www.sexworklawreform.com</w:t>
        </w:r>
      </w:hyperlink>
      <w:r w:rsidRPr="00707879">
        <w:rPr>
          <w:rFonts w:ascii="Garamond" w:hAnsi="Garamond" w:cstheme="minorHAnsi"/>
          <w:sz w:val="18"/>
          <w:szCs w:val="18"/>
        </w:rPr>
        <w:t xml:space="preserve">  </w:t>
      </w:r>
    </w:p>
  </w:footnote>
  <w:footnote w:id="40">
    <w:p w14:paraId="1A13559D" w14:textId="77777777" w:rsidR="00BC26BB" w:rsidRPr="00707879" w:rsidRDefault="00BC26BB" w:rsidP="004B53F6">
      <w:pPr>
        <w:pStyle w:val="FootnoteText"/>
        <w:rPr>
          <w:rFonts w:ascii="Garamond" w:hAnsi="Garamond" w:cstheme="minorHAnsi"/>
          <w:sz w:val="18"/>
          <w:szCs w:val="18"/>
        </w:rPr>
      </w:pPr>
      <w:r w:rsidRPr="00707879">
        <w:rPr>
          <w:rStyle w:val="FootnoteReference"/>
          <w:rFonts w:ascii="Garamond" w:hAnsi="Garamond" w:cstheme="minorHAnsi"/>
          <w:sz w:val="18"/>
          <w:szCs w:val="18"/>
        </w:rPr>
        <w:footnoteRef/>
      </w:r>
      <w:r w:rsidRPr="00707879">
        <w:rPr>
          <w:rFonts w:ascii="Garamond" w:hAnsi="Garamond" w:cstheme="minorHAnsi"/>
          <w:sz w:val="18"/>
          <w:szCs w:val="18"/>
        </w:rPr>
        <w:t xml:space="preserve"> World Health Organization. 2015. Sexual health, human rights and the law. </w:t>
      </w:r>
      <w:hyperlink r:id="rId32" w:history="1">
        <w:r w:rsidRPr="00707879">
          <w:rPr>
            <w:rStyle w:val="Hyperlink"/>
            <w:rFonts w:ascii="Garamond" w:eastAsiaTheme="majorEastAsia" w:hAnsi="Garamond" w:cstheme="minorHAnsi"/>
            <w:color w:val="E26F54"/>
            <w:sz w:val="18"/>
            <w:szCs w:val="18"/>
            <w:lang w:val="fr-CA"/>
          </w:rPr>
          <w:t>http://apps.who.int/iris/bitstream/10665/175556/1/9789241564984_eng.pdf?ua=1</w:t>
        </w:r>
      </w:hyperlink>
      <w:r w:rsidRPr="00707879">
        <w:rPr>
          <w:rFonts w:ascii="Garamond" w:hAnsi="Garamond" w:cstheme="minorHAnsi"/>
          <w:sz w:val="18"/>
          <w:szCs w:val="18"/>
          <w:lang w:val="fr-CA"/>
        </w:rPr>
        <w:t xml:space="preserve">,  SWUAV et al. </w:t>
      </w:r>
      <w:r w:rsidRPr="00707879">
        <w:rPr>
          <w:rFonts w:ascii="Garamond" w:hAnsi="Garamond" w:cstheme="minorHAnsi"/>
          <w:sz w:val="18"/>
          <w:szCs w:val="18"/>
        </w:rPr>
        <w:t>“My Work Should Not Cost me My Life” (Vanco</w:t>
      </w:r>
      <w:r w:rsidRPr="004B53F6">
        <w:rPr>
          <w:rFonts w:ascii="Garamond" w:hAnsi="Garamond" w:cstheme="minorHAnsi"/>
          <w:sz w:val="18"/>
          <w:szCs w:val="18"/>
        </w:rPr>
        <w:t xml:space="preserve">uver: Pivot Legal Society, 2014), available at: </w:t>
      </w:r>
      <w:hyperlink r:id="rId33" w:history="1">
        <w:r w:rsidRPr="00707879">
          <w:rPr>
            <w:rStyle w:val="Hyperlink"/>
            <w:rFonts w:ascii="Garamond" w:eastAsiaTheme="majorEastAsia" w:hAnsi="Garamond" w:cstheme="minorHAnsi"/>
            <w:color w:val="E26F54"/>
            <w:sz w:val="18"/>
            <w:szCs w:val="18"/>
          </w:rPr>
          <w:t>http://www.pivotlegal.org/my_work</w:t>
        </w:r>
      </w:hyperlink>
      <w:r w:rsidRPr="00707879">
        <w:rPr>
          <w:rFonts w:ascii="Garamond" w:hAnsi="Garamond" w:cstheme="minorHAnsi"/>
          <w:sz w:val="18"/>
          <w:szCs w:val="18"/>
        </w:rPr>
        <w:t xml:space="preserve"> and Canada (Attorney General) v. Bedford, 2013 SCC 72 </w:t>
      </w:r>
      <w:proofErr w:type="spellStart"/>
      <w:r w:rsidRPr="00707879">
        <w:rPr>
          <w:rFonts w:ascii="Garamond" w:hAnsi="Garamond" w:cstheme="minorHAnsi"/>
          <w:sz w:val="18"/>
          <w:szCs w:val="18"/>
        </w:rPr>
        <w:t>CanLII</w:t>
      </w:r>
      <w:proofErr w:type="spellEnd"/>
      <w:r w:rsidRPr="00707879">
        <w:rPr>
          <w:rFonts w:ascii="Garamond" w:hAnsi="Garamond" w:cstheme="minorHAnsi"/>
          <w:sz w:val="18"/>
          <w:szCs w:val="18"/>
        </w:rPr>
        <w:t xml:space="preserve">. 2013. 3 SCR 1101. Available at: </w:t>
      </w:r>
      <w:hyperlink r:id="rId34" w:history="1">
        <w:r w:rsidRPr="00707879">
          <w:rPr>
            <w:rStyle w:val="Hyperlink"/>
            <w:rFonts w:ascii="Garamond" w:eastAsiaTheme="majorEastAsia" w:hAnsi="Garamond" w:cstheme="minorHAnsi"/>
            <w:color w:val="E26F54"/>
            <w:sz w:val="18"/>
            <w:szCs w:val="18"/>
          </w:rPr>
          <w:t>http://canlii.ca/t/g2f56</w:t>
        </w:r>
      </w:hyperlink>
      <w:r w:rsidRPr="00707879">
        <w:rPr>
          <w:rFonts w:ascii="Garamond" w:hAnsi="Garamond" w:cstheme="minorHAnsi"/>
          <w:sz w:val="18"/>
          <w:szCs w:val="18"/>
        </w:rPr>
        <w:t xml:space="preserve"> </w:t>
      </w:r>
    </w:p>
  </w:footnote>
  <w:footnote w:id="41">
    <w:p w14:paraId="72C818F6" w14:textId="77777777" w:rsidR="00BC26BB" w:rsidRPr="00707879" w:rsidRDefault="00BC26BB" w:rsidP="004B53F6">
      <w:pPr>
        <w:pStyle w:val="FootnoteText"/>
        <w:rPr>
          <w:rFonts w:ascii="Garamond" w:hAnsi="Garamond" w:cstheme="minorHAnsi"/>
          <w:sz w:val="18"/>
          <w:szCs w:val="18"/>
        </w:rPr>
      </w:pPr>
      <w:r w:rsidRPr="00707879">
        <w:rPr>
          <w:rStyle w:val="FootnoteReference"/>
          <w:rFonts w:ascii="Garamond" w:hAnsi="Garamond" w:cstheme="minorHAnsi"/>
          <w:sz w:val="18"/>
          <w:szCs w:val="18"/>
        </w:rPr>
        <w:footnoteRef/>
      </w:r>
      <w:r w:rsidRPr="00707879">
        <w:rPr>
          <w:rFonts w:ascii="Garamond" w:hAnsi="Garamond" w:cstheme="minorHAnsi"/>
          <w:sz w:val="18"/>
          <w:szCs w:val="18"/>
        </w:rPr>
        <w:t xml:space="preserve"> Canadian Alliance for Sex Work Law Reform: factsheet “Why Decriminalization is Consistent with Public Health Goals.” </w:t>
      </w:r>
      <w:hyperlink r:id="rId35" w:history="1">
        <w:r w:rsidRPr="00707879">
          <w:rPr>
            <w:rStyle w:val="Hyperlink"/>
            <w:rFonts w:ascii="Garamond" w:eastAsiaTheme="majorEastAsia" w:hAnsi="Garamond" w:cstheme="minorHAnsi"/>
            <w:color w:val="E26F54"/>
            <w:sz w:val="18"/>
            <w:szCs w:val="18"/>
          </w:rPr>
          <w:t>https://drive.google.com/folderview?id=0B3mqMOhRg5FeLWpPd21VYTlidTA&amp;usp=sharing&amp;tid=0B3mqMOhRg5FeNlY4ZkxFb2pLaWM</w:t>
        </w:r>
      </w:hyperlink>
    </w:p>
  </w:footnote>
  <w:footnote w:id="42">
    <w:p w14:paraId="017286AA" w14:textId="77777777" w:rsidR="00BC26BB" w:rsidRPr="004B53F6" w:rsidRDefault="00BC26BB" w:rsidP="004B53F6">
      <w:pPr>
        <w:pStyle w:val="FootnoteText"/>
        <w:rPr>
          <w:rFonts w:ascii="Garamond" w:hAnsi="Garamond" w:cstheme="minorHAnsi"/>
          <w:sz w:val="18"/>
          <w:szCs w:val="18"/>
        </w:rPr>
      </w:pPr>
      <w:r w:rsidRPr="00707879">
        <w:rPr>
          <w:rStyle w:val="FootnoteReference"/>
          <w:rFonts w:ascii="Garamond" w:hAnsi="Garamond" w:cstheme="minorHAnsi"/>
          <w:sz w:val="18"/>
          <w:szCs w:val="18"/>
        </w:rPr>
        <w:footnoteRef/>
      </w:r>
      <w:r w:rsidRPr="00707879">
        <w:rPr>
          <w:rFonts w:ascii="Garamond" w:hAnsi="Garamond" w:cstheme="minorHAnsi"/>
          <w:sz w:val="18"/>
          <w:szCs w:val="18"/>
        </w:rPr>
        <w:t xml:space="preserve"> Kim Blankenship and Stephen Koester, “Criminal  Law, Policing Policy and HIV Risk in Female Street Sex Workers and Injection Drug Users” (2002) 30 Journal of Law, Medicine and Ethics 548, p.550; Annika Eriksson and Anna </w:t>
      </w:r>
      <w:proofErr w:type="spellStart"/>
      <w:r w:rsidRPr="00707879">
        <w:rPr>
          <w:rFonts w:ascii="Garamond" w:hAnsi="Garamond" w:cstheme="minorHAnsi"/>
          <w:sz w:val="18"/>
          <w:szCs w:val="18"/>
        </w:rPr>
        <w:t>Gavanas</w:t>
      </w:r>
      <w:proofErr w:type="spellEnd"/>
      <w:r w:rsidRPr="00707879">
        <w:rPr>
          <w:rFonts w:ascii="Garamond" w:hAnsi="Garamond" w:cstheme="minorHAnsi"/>
          <w:sz w:val="18"/>
          <w:szCs w:val="18"/>
        </w:rPr>
        <w:t>, Prostitution in Sweden 2007 (</w:t>
      </w:r>
      <w:proofErr w:type="spellStart"/>
      <w:r w:rsidRPr="00707879">
        <w:rPr>
          <w:rFonts w:ascii="Garamond" w:hAnsi="Garamond" w:cstheme="minorHAnsi"/>
          <w:sz w:val="18"/>
          <w:szCs w:val="18"/>
        </w:rPr>
        <w:t>Socialstyrelsen</w:t>
      </w:r>
      <w:proofErr w:type="spellEnd"/>
      <w:r w:rsidRPr="00707879">
        <w:rPr>
          <w:rFonts w:ascii="Garamond" w:hAnsi="Garamond" w:cstheme="minorHAnsi"/>
          <w:sz w:val="18"/>
          <w:szCs w:val="18"/>
        </w:rPr>
        <w:t xml:space="preserve"> 2008) </w:t>
      </w:r>
      <w:hyperlink r:id="rId36" w:history="1">
        <w:r w:rsidRPr="00707879">
          <w:rPr>
            <w:rStyle w:val="Hyperlink"/>
            <w:rFonts w:ascii="Garamond" w:eastAsiaTheme="majorEastAsia" w:hAnsi="Garamond" w:cstheme="minorHAnsi"/>
            <w:color w:val="E26F54"/>
            <w:sz w:val="18"/>
            <w:szCs w:val="18"/>
          </w:rPr>
          <w:t>http://www.socialstyrelsen.se/lists/artikelkatalog/attachments/8806/2008-126-65_200812665.pdf</w:t>
        </w:r>
      </w:hyperlink>
      <w:r w:rsidRPr="00707879">
        <w:rPr>
          <w:rFonts w:ascii="Garamond" w:hAnsi="Garamond" w:cstheme="minorHAnsi"/>
          <w:sz w:val="18"/>
          <w:szCs w:val="18"/>
        </w:rPr>
        <w:t xml:space="preserve"> p.48; Ulf </w:t>
      </w:r>
      <w:proofErr w:type="spellStart"/>
      <w:r w:rsidRPr="00707879">
        <w:rPr>
          <w:rFonts w:ascii="Garamond" w:hAnsi="Garamond" w:cstheme="minorHAnsi"/>
          <w:sz w:val="18"/>
          <w:szCs w:val="18"/>
        </w:rPr>
        <w:t>Stridbeck</w:t>
      </w:r>
      <w:proofErr w:type="spellEnd"/>
      <w:r w:rsidRPr="00707879">
        <w:rPr>
          <w:rFonts w:ascii="Garamond" w:hAnsi="Garamond" w:cstheme="minorHAnsi"/>
          <w:sz w:val="18"/>
          <w:szCs w:val="18"/>
        </w:rPr>
        <w:t xml:space="preserve"> (ed.), Purchasing Sexual Services in Sweden and the Netherlands: Legal Regulation and Experiences—An Abbreviated  English Version. A Report by a Working Group on the legal regulation  of  the  purchase of sexual services (</w:t>
      </w:r>
      <w:proofErr w:type="spellStart"/>
      <w:r w:rsidRPr="00707879">
        <w:rPr>
          <w:rFonts w:ascii="Garamond" w:hAnsi="Garamond" w:cstheme="minorHAnsi"/>
          <w:sz w:val="18"/>
          <w:szCs w:val="18"/>
        </w:rPr>
        <w:t>Justis-ogPolitidepartementet</w:t>
      </w:r>
      <w:proofErr w:type="spellEnd"/>
      <w:r w:rsidRPr="00707879">
        <w:rPr>
          <w:rFonts w:ascii="Garamond" w:hAnsi="Garamond" w:cstheme="minorHAnsi"/>
          <w:sz w:val="18"/>
          <w:szCs w:val="18"/>
        </w:rPr>
        <w:t xml:space="preserve">, 2004) </w:t>
      </w:r>
      <w:hyperlink r:id="rId37" w:history="1">
        <w:r w:rsidRPr="00707879">
          <w:rPr>
            <w:rStyle w:val="Hyperlink"/>
            <w:rFonts w:ascii="Garamond" w:eastAsiaTheme="majorEastAsia" w:hAnsi="Garamond" w:cstheme="minorHAnsi"/>
            <w:color w:val="E26F54"/>
            <w:sz w:val="18"/>
            <w:szCs w:val="18"/>
          </w:rPr>
          <w:t>http://www.regjeringen.no/upload/kilde/jd/rap/2004/0034/ddd/pdfv/232216- purchasing_sexual_services_in_sweden_and_the_nederlands.pdf</w:t>
        </w:r>
      </w:hyperlink>
      <w:r w:rsidRPr="00707879">
        <w:rPr>
          <w:rFonts w:ascii="Garamond" w:hAnsi="Garamond" w:cstheme="minorHAnsi"/>
          <w:sz w:val="18"/>
          <w:szCs w:val="18"/>
        </w:rPr>
        <w:t xml:space="preserve"> pp.13 and 19; Petra </w:t>
      </w:r>
      <w:proofErr w:type="spellStart"/>
      <w:r w:rsidRPr="00707879">
        <w:rPr>
          <w:rFonts w:ascii="Garamond" w:hAnsi="Garamond" w:cstheme="minorHAnsi"/>
          <w:sz w:val="18"/>
          <w:szCs w:val="18"/>
        </w:rPr>
        <w:t>Östergren</w:t>
      </w:r>
      <w:proofErr w:type="spellEnd"/>
      <w:r w:rsidRPr="00707879">
        <w:rPr>
          <w:rFonts w:ascii="Garamond" w:hAnsi="Garamond" w:cstheme="minorHAnsi"/>
          <w:sz w:val="18"/>
          <w:szCs w:val="18"/>
        </w:rPr>
        <w:t>, “</w:t>
      </w:r>
      <w:proofErr w:type="spellStart"/>
      <w:r w:rsidRPr="00707879">
        <w:rPr>
          <w:rFonts w:ascii="Garamond" w:hAnsi="Garamond" w:cstheme="minorHAnsi"/>
          <w:sz w:val="18"/>
          <w:szCs w:val="18"/>
        </w:rPr>
        <w:t>Sexworkers</w:t>
      </w:r>
      <w:proofErr w:type="spellEnd"/>
      <w:r w:rsidRPr="00707879">
        <w:rPr>
          <w:rFonts w:ascii="Garamond" w:hAnsi="Garamond" w:cstheme="minorHAnsi"/>
          <w:sz w:val="18"/>
          <w:szCs w:val="18"/>
        </w:rPr>
        <w:t xml:space="preserve"> critique of Swedish Prostitution policy” (2004), </w:t>
      </w:r>
      <w:hyperlink r:id="rId38" w:history="1">
        <w:r w:rsidRPr="00707879">
          <w:rPr>
            <w:rStyle w:val="Hyperlink"/>
            <w:rFonts w:ascii="Garamond" w:eastAsiaTheme="majorEastAsia" w:hAnsi="Garamond" w:cstheme="minorHAnsi"/>
            <w:color w:val="E26F54"/>
            <w:sz w:val="18"/>
            <w:szCs w:val="18"/>
          </w:rPr>
          <w:t>http://www.petraostergren.com/pages.aspx?r_id=40716</w:t>
        </w:r>
      </w:hyperlink>
      <w:r w:rsidRPr="00707879">
        <w:rPr>
          <w:rFonts w:ascii="Garamond" w:hAnsi="Garamond" w:cstheme="minorHAnsi"/>
          <w:sz w:val="18"/>
          <w:szCs w:val="18"/>
        </w:rPr>
        <w:t xml:space="preserve">; Rosie Campbell and </w:t>
      </w:r>
      <w:proofErr w:type="spellStart"/>
      <w:r w:rsidRPr="00707879">
        <w:rPr>
          <w:rFonts w:ascii="Garamond" w:hAnsi="Garamond" w:cstheme="minorHAnsi"/>
          <w:sz w:val="18"/>
          <w:szCs w:val="18"/>
        </w:rPr>
        <w:t>Merl</w:t>
      </w:r>
      <w:proofErr w:type="spellEnd"/>
      <w:r w:rsidRPr="00707879">
        <w:rPr>
          <w:rFonts w:ascii="Garamond" w:hAnsi="Garamond" w:cstheme="minorHAnsi"/>
          <w:sz w:val="18"/>
          <w:szCs w:val="18"/>
        </w:rPr>
        <w:t xml:space="preserve"> </w:t>
      </w:r>
      <w:proofErr w:type="spellStart"/>
      <w:r w:rsidRPr="00707879">
        <w:rPr>
          <w:rFonts w:ascii="Garamond" w:hAnsi="Garamond" w:cstheme="minorHAnsi"/>
          <w:sz w:val="18"/>
          <w:szCs w:val="18"/>
        </w:rPr>
        <w:t>Storr</w:t>
      </w:r>
      <w:proofErr w:type="spellEnd"/>
      <w:r w:rsidRPr="00707879">
        <w:rPr>
          <w:rFonts w:ascii="Garamond" w:hAnsi="Garamond" w:cstheme="minorHAnsi"/>
          <w:sz w:val="18"/>
          <w:szCs w:val="18"/>
        </w:rPr>
        <w:t xml:space="preserve">, “Challenging the </w:t>
      </w:r>
      <w:proofErr w:type="spellStart"/>
      <w:r w:rsidRPr="00707879">
        <w:rPr>
          <w:rFonts w:ascii="Garamond" w:hAnsi="Garamond" w:cstheme="minorHAnsi"/>
          <w:sz w:val="18"/>
          <w:szCs w:val="18"/>
        </w:rPr>
        <w:t>Kerb</w:t>
      </w:r>
      <w:proofErr w:type="spellEnd"/>
      <w:r w:rsidRPr="00707879">
        <w:rPr>
          <w:rFonts w:ascii="Garamond" w:hAnsi="Garamond" w:cstheme="minorHAnsi"/>
          <w:sz w:val="18"/>
          <w:szCs w:val="18"/>
        </w:rPr>
        <w:t xml:space="preserve"> Crawler Rehabilitation </w:t>
      </w:r>
      <w:proofErr w:type="spellStart"/>
      <w:r w:rsidRPr="00707879">
        <w:rPr>
          <w:rFonts w:ascii="Garamond" w:hAnsi="Garamond" w:cstheme="minorHAnsi"/>
          <w:sz w:val="18"/>
          <w:szCs w:val="18"/>
        </w:rPr>
        <w:t>Programme</w:t>
      </w:r>
      <w:proofErr w:type="spellEnd"/>
      <w:r w:rsidRPr="00707879">
        <w:rPr>
          <w:rFonts w:ascii="Garamond" w:hAnsi="Garamond" w:cstheme="minorHAnsi"/>
          <w:sz w:val="18"/>
          <w:szCs w:val="18"/>
        </w:rPr>
        <w:t xml:space="preserve">” (2001) 67 Feminist Review 94, 102 citing Steph Wilcock, The Lifeline </w:t>
      </w:r>
      <w:proofErr w:type="spellStart"/>
      <w:r w:rsidRPr="00707879">
        <w:rPr>
          <w:rFonts w:ascii="Garamond" w:hAnsi="Garamond" w:cstheme="minorHAnsi"/>
          <w:sz w:val="18"/>
          <w:szCs w:val="18"/>
        </w:rPr>
        <w:t>Sexwork</w:t>
      </w:r>
      <w:proofErr w:type="spellEnd"/>
      <w:r w:rsidRPr="00707879">
        <w:rPr>
          <w:rFonts w:ascii="Garamond" w:hAnsi="Garamond" w:cstheme="minorHAnsi"/>
          <w:sz w:val="18"/>
          <w:szCs w:val="18"/>
        </w:rPr>
        <w:t xml:space="preserve"> Project Report: Occupational Health and Safety Issues and Drug Using Patterns of Current </w:t>
      </w:r>
      <w:proofErr w:type="spellStart"/>
      <w:r w:rsidRPr="00707879">
        <w:rPr>
          <w:rFonts w:ascii="Garamond" w:hAnsi="Garamond" w:cstheme="minorHAnsi"/>
          <w:sz w:val="18"/>
          <w:szCs w:val="18"/>
        </w:rPr>
        <w:t>Sexworker</w:t>
      </w:r>
      <w:proofErr w:type="spellEnd"/>
      <w:r w:rsidRPr="00707879">
        <w:rPr>
          <w:rFonts w:ascii="Garamond" w:hAnsi="Garamond" w:cstheme="minorHAnsi"/>
          <w:sz w:val="18"/>
          <w:szCs w:val="18"/>
        </w:rPr>
        <w:t xml:space="preserve">: Survey Findings (Manchester: Lifeline, 1998); Pro </w:t>
      </w:r>
      <w:proofErr w:type="spellStart"/>
      <w:r w:rsidRPr="00707879">
        <w:rPr>
          <w:rFonts w:ascii="Garamond" w:hAnsi="Garamond" w:cstheme="minorHAnsi"/>
          <w:sz w:val="18"/>
          <w:szCs w:val="18"/>
        </w:rPr>
        <w:t>Sentret</w:t>
      </w:r>
      <w:proofErr w:type="spellEnd"/>
      <w:r w:rsidRPr="00707879">
        <w:rPr>
          <w:rFonts w:ascii="Garamond" w:hAnsi="Garamond" w:cstheme="minorHAnsi"/>
          <w:sz w:val="18"/>
          <w:szCs w:val="18"/>
        </w:rPr>
        <w:t xml:space="preserve">, </w:t>
      </w:r>
      <w:proofErr w:type="spellStart"/>
      <w:r w:rsidRPr="00707879">
        <w:rPr>
          <w:rFonts w:ascii="Garamond" w:hAnsi="Garamond" w:cstheme="minorHAnsi"/>
          <w:sz w:val="18"/>
          <w:szCs w:val="18"/>
        </w:rPr>
        <w:t>Året</w:t>
      </w:r>
      <w:proofErr w:type="spellEnd"/>
      <w:r w:rsidRPr="00707879">
        <w:rPr>
          <w:rFonts w:ascii="Garamond" w:hAnsi="Garamond" w:cstheme="minorHAnsi"/>
          <w:sz w:val="18"/>
          <w:szCs w:val="18"/>
        </w:rPr>
        <w:t xml:space="preserve"> 2010/2011), pp.72, 78-79.</w:t>
      </w:r>
    </w:p>
  </w:footnote>
  <w:footnote w:id="43">
    <w:p w14:paraId="21A4CD73" w14:textId="77777777" w:rsidR="00BC26BB" w:rsidRPr="00707879" w:rsidRDefault="00BC26BB" w:rsidP="004B53F6">
      <w:pPr>
        <w:pStyle w:val="FootnoteText"/>
        <w:rPr>
          <w:rFonts w:ascii="Garamond" w:hAnsi="Garamond" w:cstheme="minorHAnsi"/>
          <w:sz w:val="18"/>
          <w:szCs w:val="18"/>
        </w:rPr>
      </w:pPr>
      <w:r w:rsidRPr="00707879">
        <w:rPr>
          <w:rStyle w:val="FootnoteReference"/>
          <w:rFonts w:ascii="Garamond" w:hAnsi="Garamond" w:cstheme="minorHAnsi"/>
          <w:sz w:val="18"/>
          <w:szCs w:val="18"/>
        </w:rPr>
        <w:footnoteRef/>
      </w:r>
      <w:r w:rsidRPr="00707879">
        <w:rPr>
          <w:rFonts w:ascii="Garamond" w:hAnsi="Garamond" w:cstheme="minorHAnsi"/>
          <w:sz w:val="18"/>
          <w:szCs w:val="18"/>
        </w:rPr>
        <w:t xml:space="preserve"> </w:t>
      </w:r>
      <w:proofErr w:type="spellStart"/>
      <w:r w:rsidRPr="00707879">
        <w:rPr>
          <w:rFonts w:ascii="Garamond" w:hAnsi="Garamond" w:cstheme="minorHAnsi"/>
          <w:sz w:val="18"/>
          <w:szCs w:val="18"/>
        </w:rPr>
        <w:t>Helsedirektoratet</w:t>
      </w:r>
      <w:proofErr w:type="spellEnd"/>
      <w:r w:rsidRPr="00707879">
        <w:rPr>
          <w:rFonts w:ascii="Garamond" w:hAnsi="Garamond" w:cstheme="minorHAnsi"/>
          <w:sz w:val="18"/>
          <w:szCs w:val="18"/>
        </w:rPr>
        <w:t xml:space="preserve"> (Norwegian Directorate of Health), UNGASS Country Progress Report Norway: Jan. 2008–Dec. 2009 (</w:t>
      </w:r>
      <w:proofErr w:type="spellStart"/>
      <w:r w:rsidRPr="00707879">
        <w:rPr>
          <w:rFonts w:ascii="Garamond" w:hAnsi="Garamond" w:cstheme="minorHAnsi"/>
          <w:sz w:val="18"/>
          <w:szCs w:val="18"/>
        </w:rPr>
        <w:t>Helsedirektoratet</w:t>
      </w:r>
      <w:proofErr w:type="spellEnd"/>
      <w:r w:rsidRPr="00707879">
        <w:rPr>
          <w:rFonts w:ascii="Garamond" w:hAnsi="Garamond" w:cstheme="minorHAnsi"/>
          <w:sz w:val="18"/>
          <w:szCs w:val="18"/>
        </w:rPr>
        <w:t xml:space="preserve">, Apr. 2010) </w:t>
      </w:r>
      <w:hyperlink r:id="rId39" w:history="1">
        <w:r w:rsidRPr="00707879">
          <w:rPr>
            <w:rStyle w:val="Hyperlink"/>
            <w:rFonts w:ascii="Garamond" w:eastAsiaTheme="majorEastAsia" w:hAnsi="Garamond" w:cstheme="minorHAnsi"/>
            <w:color w:val="E26F54"/>
            <w:sz w:val="18"/>
            <w:szCs w:val="18"/>
          </w:rPr>
          <w:t>http://www.unaids.org/en/</w:t>
        </w:r>
        <w:r w:rsidRPr="004B53F6">
          <w:rPr>
            <w:rStyle w:val="Hyperlink"/>
            <w:rFonts w:ascii="Garamond" w:eastAsiaTheme="majorEastAsia" w:hAnsi="Garamond" w:cstheme="minorHAnsi"/>
            <w:color w:val="E26F54"/>
            <w:sz w:val="18"/>
            <w:szCs w:val="18"/>
          </w:rPr>
          <w:t>dataanalysis/knowyourresponse/countryprogressreports/2010countries/norway_2010</w:t>
        </w:r>
      </w:hyperlink>
      <w:r w:rsidRPr="00707879">
        <w:rPr>
          <w:rFonts w:ascii="Garamond" w:hAnsi="Garamond" w:cstheme="minorHAnsi"/>
          <w:sz w:val="18"/>
          <w:szCs w:val="18"/>
        </w:rPr>
        <w:t>.</w:t>
      </w:r>
    </w:p>
  </w:footnote>
  <w:footnote w:id="44">
    <w:p w14:paraId="4A6A7644" w14:textId="77777777" w:rsidR="00BC26BB" w:rsidRPr="00707879" w:rsidRDefault="00BC26BB" w:rsidP="004B53F6">
      <w:pPr>
        <w:pStyle w:val="FootnoteText"/>
        <w:rPr>
          <w:rFonts w:ascii="Garamond" w:hAnsi="Garamond" w:cstheme="minorHAnsi"/>
          <w:sz w:val="18"/>
          <w:szCs w:val="18"/>
        </w:rPr>
      </w:pPr>
      <w:r w:rsidRPr="00707879">
        <w:rPr>
          <w:rStyle w:val="FootnoteReference"/>
          <w:rFonts w:ascii="Garamond" w:hAnsi="Garamond" w:cstheme="minorHAnsi"/>
          <w:sz w:val="18"/>
          <w:szCs w:val="18"/>
        </w:rPr>
        <w:footnoteRef/>
      </w:r>
      <w:r w:rsidRPr="00707879">
        <w:rPr>
          <w:rFonts w:ascii="Garamond" w:hAnsi="Garamond" w:cstheme="minorHAnsi"/>
          <w:sz w:val="18"/>
          <w:szCs w:val="18"/>
        </w:rPr>
        <w:t xml:space="preserve"> The Lancet. 2014. “HIV and Sex Workers.” </w:t>
      </w:r>
      <w:hyperlink r:id="rId40" w:history="1">
        <w:r w:rsidRPr="00707879">
          <w:rPr>
            <w:rStyle w:val="Hyperlink"/>
            <w:rFonts w:ascii="Garamond" w:eastAsiaTheme="majorEastAsia" w:hAnsi="Garamond" w:cstheme="minorHAnsi"/>
            <w:color w:val="E26F54"/>
            <w:sz w:val="18"/>
            <w:szCs w:val="18"/>
          </w:rPr>
          <w:t>http://www.thelancet.com/series/HIV-and-sex-workers</w:t>
        </w:r>
      </w:hyperlink>
      <w:r w:rsidRPr="00707879">
        <w:rPr>
          <w:rFonts w:ascii="Garamond" w:hAnsi="Garamond" w:cstheme="minorHAnsi"/>
          <w:sz w:val="18"/>
          <w:szCs w:val="18"/>
        </w:rPr>
        <w:t>.</w:t>
      </w:r>
    </w:p>
  </w:footnote>
  <w:footnote w:id="45">
    <w:p w14:paraId="7147EA9A" w14:textId="2C604028" w:rsidR="00BC26BB" w:rsidRPr="00707879" w:rsidRDefault="00BC26BB" w:rsidP="004B53F6">
      <w:pPr>
        <w:spacing w:after="0" w:line="240" w:lineRule="auto"/>
        <w:rPr>
          <w:rFonts w:ascii="Garamond" w:hAnsi="Garamond" w:cstheme="minorHAnsi"/>
          <w:color w:val="E26F54"/>
          <w:sz w:val="18"/>
          <w:szCs w:val="18"/>
        </w:rPr>
      </w:pPr>
      <w:r w:rsidRPr="00707879">
        <w:rPr>
          <w:rStyle w:val="FootnoteReference"/>
          <w:rFonts w:ascii="Garamond" w:hAnsi="Garamond" w:cstheme="minorHAnsi"/>
          <w:sz w:val="18"/>
          <w:szCs w:val="18"/>
        </w:rPr>
        <w:footnoteRef/>
      </w:r>
      <w:r w:rsidRPr="00707879">
        <w:rPr>
          <w:rFonts w:ascii="Garamond" w:hAnsi="Garamond" w:cstheme="minorHAnsi"/>
          <w:sz w:val="18"/>
          <w:szCs w:val="18"/>
        </w:rPr>
        <w:t xml:space="preserve"> The criminalization of both the selling and the purchase of sexual services invites police harassment as well as makes sex workers more vulnerable to violence as it pushes sex work underground where it is harder to negotiate safer working conditions and consistent condom use; increases sex workers’ isolation and marginalization while it concurrently limits access to police protection and support services, as well as decreases their ability to report vio</w:t>
      </w:r>
      <w:r w:rsidRPr="004B53F6">
        <w:rPr>
          <w:rFonts w:ascii="Garamond" w:hAnsi="Garamond" w:cstheme="minorHAnsi"/>
          <w:sz w:val="18"/>
          <w:szCs w:val="18"/>
        </w:rPr>
        <w:t>lence to police; results in sex workers having to take risks with new, less familiar or less desirable clients as they have less time to screen them, and being displaced to isolated areas as the client’s fear of arrest may also have a dispersal effect; prevents sex workers from implementing simple safety enhancing measures such as working in pairs, working in familiar areas or having the time to consult bad date lists, which provides critical information for people to protect themselves; and intensifies the social stigma of selling sex. The Criminalization of the selling and purchase of sexual services is a violation of the right to bodily autonomy and to have control over and decide freely upon all matters relating to one’s sexuality. The new law’s assumption about sex workers as women strongly links this approach with the desire to control women’s sexuality, hinders sex workers’ ability to communicate with their clients about what services they consent to provide and which ones they do not, and rests on the incorrect conflation of consensual sex work with coercion or trafficking, which prohibits the former.</w:t>
      </w:r>
      <w:r w:rsidR="00415B8E" w:rsidRPr="004B53F6">
        <w:rPr>
          <w:rFonts w:ascii="Garamond" w:hAnsi="Garamond" w:cstheme="minorHAnsi"/>
          <w:sz w:val="18"/>
          <w:szCs w:val="18"/>
        </w:rPr>
        <w:t xml:space="preserve"> For more information, visit the Canadian Alliance for Sex Work Law Reform: </w:t>
      </w:r>
      <w:hyperlink r:id="rId41" w:history="1">
        <w:r w:rsidR="00415B8E" w:rsidRPr="00707879">
          <w:rPr>
            <w:rStyle w:val="Hyperlink"/>
            <w:rFonts w:ascii="Garamond" w:hAnsi="Garamond"/>
            <w:color w:val="E26F54"/>
            <w:sz w:val="18"/>
            <w:szCs w:val="18"/>
          </w:rPr>
          <w:t>http://sexworklawreform.com/wp-content/uploads/2017/05/Laws-General.pdf</w:t>
        </w:r>
      </w:hyperlink>
      <w:r w:rsidR="00415B8E" w:rsidRPr="00707879">
        <w:rPr>
          <w:rFonts w:ascii="Garamond" w:hAnsi="Garamond" w:cstheme="minorHAnsi"/>
          <w:color w:val="E26F54"/>
          <w:sz w:val="18"/>
          <w:szCs w:val="18"/>
        </w:rPr>
        <w:t xml:space="preserve"> </w:t>
      </w:r>
    </w:p>
  </w:footnote>
  <w:footnote w:id="46">
    <w:p w14:paraId="18709ECD" w14:textId="77777777" w:rsidR="00F936AB" w:rsidRPr="004B53F6" w:rsidRDefault="00F936AB" w:rsidP="004B53F6">
      <w:pPr>
        <w:spacing w:after="0" w:line="240" w:lineRule="auto"/>
        <w:ind w:right="-20"/>
        <w:rPr>
          <w:rFonts w:ascii="Garamond" w:eastAsia="Arial" w:hAnsi="Garamond" w:cstheme="minorHAnsi"/>
          <w:sz w:val="18"/>
          <w:szCs w:val="18"/>
        </w:rPr>
      </w:pPr>
      <w:r w:rsidRPr="00707879">
        <w:rPr>
          <w:rStyle w:val="FootnoteReference"/>
          <w:rFonts w:ascii="Garamond" w:hAnsi="Garamond" w:cstheme="minorHAnsi"/>
          <w:sz w:val="18"/>
          <w:szCs w:val="18"/>
        </w:rPr>
        <w:footnoteRef/>
      </w:r>
      <w:r w:rsidRPr="00707879">
        <w:rPr>
          <w:rFonts w:ascii="Garamond" w:hAnsi="Garamond" w:cstheme="minorHAnsi"/>
          <w:sz w:val="18"/>
          <w:szCs w:val="18"/>
        </w:rPr>
        <w:t xml:space="preserve"> </w:t>
      </w:r>
      <w:r w:rsidRPr="00707879">
        <w:rPr>
          <w:rFonts w:ascii="Garamond" w:eastAsia="Arial" w:hAnsi="Garamond" w:cstheme="minorHAnsi"/>
          <w:spacing w:val="-1"/>
          <w:sz w:val="18"/>
          <w:szCs w:val="18"/>
        </w:rPr>
        <w:t>B</w:t>
      </w:r>
      <w:r w:rsidRPr="004B53F6">
        <w:rPr>
          <w:rFonts w:ascii="Garamond" w:eastAsia="Arial" w:hAnsi="Garamond" w:cstheme="minorHAnsi"/>
          <w:sz w:val="18"/>
          <w:szCs w:val="18"/>
        </w:rPr>
        <w:t>ut</w:t>
      </w:r>
      <w:r w:rsidRPr="004B53F6">
        <w:rPr>
          <w:rFonts w:ascii="Garamond" w:eastAsia="Arial" w:hAnsi="Garamond" w:cstheme="minorHAnsi"/>
          <w:spacing w:val="2"/>
          <w:sz w:val="18"/>
          <w:szCs w:val="18"/>
        </w:rPr>
        <w:t>t</w:t>
      </w:r>
      <w:r w:rsidRPr="004B53F6">
        <w:rPr>
          <w:rFonts w:ascii="Garamond" w:eastAsia="Arial" w:hAnsi="Garamond" w:cstheme="minorHAnsi"/>
          <w:sz w:val="18"/>
          <w:szCs w:val="18"/>
        </w:rPr>
        <w:t>e</w:t>
      </w:r>
      <w:r w:rsidRPr="004B53F6">
        <w:rPr>
          <w:rFonts w:ascii="Garamond" w:eastAsia="Arial" w:hAnsi="Garamond" w:cstheme="minorHAnsi"/>
          <w:spacing w:val="1"/>
          <w:sz w:val="18"/>
          <w:szCs w:val="18"/>
        </w:rPr>
        <w:t>r</w:t>
      </w:r>
      <w:r w:rsidRPr="004B53F6">
        <w:rPr>
          <w:rFonts w:ascii="Garamond" w:eastAsia="Arial" w:hAnsi="Garamond" w:cstheme="minorHAnsi"/>
          <w:spacing w:val="2"/>
          <w:sz w:val="18"/>
          <w:szCs w:val="18"/>
        </w:rPr>
        <w:t>f</w:t>
      </w:r>
      <w:r w:rsidRPr="004B53F6">
        <w:rPr>
          <w:rFonts w:ascii="Garamond" w:eastAsia="Arial" w:hAnsi="Garamond" w:cstheme="minorHAnsi"/>
          <w:spacing w:val="1"/>
          <w:sz w:val="18"/>
          <w:szCs w:val="18"/>
        </w:rPr>
        <w:t>l</w:t>
      </w:r>
      <w:r w:rsidRPr="004B53F6">
        <w:rPr>
          <w:rFonts w:ascii="Garamond" w:eastAsia="Arial" w:hAnsi="Garamond" w:cstheme="minorHAnsi"/>
          <w:sz w:val="18"/>
          <w:szCs w:val="18"/>
        </w:rPr>
        <w:t>y</w:t>
      </w:r>
      <w:r w:rsidRPr="004B53F6">
        <w:rPr>
          <w:rFonts w:ascii="Garamond" w:eastAsia="Arial" w:hAnsi="Garamond" w:cstheme="minorHAnsi"/>
          <w:spacing w:val="-11"/>
          <w:sz w:val="18"/>
          <w:szCs w:val="18"/>
        </w:rPr>
        <w:t xml:space="preserve"> </w:t>
      </w:r>
      <w:r w:rsidRPr="004B53F6">
        <w:rPr>
          <w:rFonts w:ascii="Garamond" w:eastAsia="Arial" w:hAnsi="Garamond" w:cstheme="minorHAnsi"/>
          <w:spacing w:val="1"/>
          <w:sz w:val="18"/>
          <w:szCs w:val="18"/>
        </w:rPr>
        <w:t>(</w:t>
      </w:r>
      <w:r w:rsidRPr="004B53F6">
        <w:rPr>
          <w:rFonts w:ascii="Garamond" w:eastAsia="Arial" w:hAnsi="Garamond" w:cstheme="minorHAnsi"/>
          <w:spacing w:val="-1"/>
          <w:sz w:val="18"/>
          <w:szCs w:val="18"/>
        </w:rPr>
        <w:t>A</w:t>
      </w:r>
      <w:r w:rsidRPr="004B53F6">
        <w:rPr>
          <w:rFonts w:ascii="Garamond" w:eastAsia="Arial" w:hAnsi="Garamond" w:cstheme="minorHAnsi"/>
          <w:spacing w:val="4"/>
          <w:sz w:val="18"/>
          <w:szCs w:val="18"/>
        </w:rPr>
        <w:t>s</w:t>
      </w:r>
      <w:r w:rsidRPr="004B53F6">
        <w:rPr>
          <w:rFonts w:ascii="Garamond" w:eastAsia="Arial" w:hAnsi="Garamond" w:cstheme="minorHAnsi"/>
          <w:spacing w:val="-1"/>
          <w:sz w:val="18"/>
          <w:szCs w:val="18"/>
        </w:rPr>
        <w:t>i</w:t>
      </w:r>
      <w:r w:rsidRPr="004B53F6">
        <w:rPr>
          <w:rFonts w:ascii="Garamond" w:eastAsia="Arial" w:hAnsi="Garamond" w:cstheme="minorHAnsi"/>
          <w:sz w:val="18"/>
          <w:szCs w:val="18"/>
        </w:rPr>
        <w:t>an</w:t>
      </w:r>
      <w:r w:rsidRPr="004B53F6">
        <w:rPr>
          <w:rFonts w:ascii="Garamond" w:eastAsia="Arial" w:hAnsi="Garamond" w:cstheme="minorHAnsi"/>
          <w:spacing w:val="-4"/>
          <w:sz w:val="18"/>
          <w:szCs w:val="18"/>
        </w:rPr>
        <w:t xml:space="preserve"> </w:t>
      </w:r>
      <w:r w:rsidRPr="004B53F6">
        <w:rPr>
          <w:rFonts w:ascii="Garamond" w:eastAsia="Arial" w:hAnsi="Garamond" w:cstheme="minorHAnsi"/>
          <w:sz w:val="18"/>
          <w:szCs w:val="18"/>
        </w:rPr>
        <w:t>and</w:t>
      </w:r>
      <w:r w:rsidRPr="004B53F6">
        <w:rPr>
          <w:rFonts w:ascii="Garamond" w:eastAsia="Arial" w:hAnsi="Garamond" w:cstheme="minorHAnsi"/>
          <w:spacing w:val="-1"/>
          <w:sz w:val="18"/>
          <w:szCs w:val="18"/>
        </w:rPr>
        <w:t xml:space="preserve"> </w:t>
      </w:r>
      <w:r w:rsidRPr="004B53F6">
        <w:rPr>
          <w:rFonts w:ascii="Garamond" w:eastAsia="Arial" w:hAnsi="Garamond" w:cstheme="minorHAnsi"/>
          <w:spacing w:val="2"/>
          <w:sz w:val="18"/>
          <w:szCs w:val="18"/>
        </w:rPr>
        <w:t>M</w:t>
      </w:r>
      <w:r w:rsidRPr="004B53F6">
        <w:rPr>
          <w:rFonts w:ascii="Garamond" w:eastAsia="Arial" w:hAnsi="Garamond" w:cstheme="minorHAnsi"/>
          <w:spacing w:val="-1"/>
          <w:sz w:val="18"/>
          <w:szCs w:val="18"/>
        </w:rPr>
        <w:t>i</w:t>
      </w:r>
      <w:r w:rsidRPr="004B53F6">
        <w:rPr>
          <w:rFonts w:ascii="Garamond" w:eastAsia="Arial" w:hAnsi="Garamond" w:cstheme="minorHAnsi"/>
          <w:sz w:val="18"/>
          <w:szCs w:val="18"/>
        </w:rPr>
        <w:t>g</w:t>
      </w:r>
      <w:r w:rsidRPr="004B53F6">
        <w:rPr>
          <w:rFonts w:ascii="Garamond" w:eastAsia="Arial" w:hAnsi="Garamond" w:cstheme="minorHAnsi"/>
          <w:spacing w:val="1"/>
          <w:sz w:val="18"/>
          <w:szCs w:val="18"/>
        </w:rPr>
        <w:t>r</w:t>
      </w:r>
      <w:r w:rsidRPr="004B53F6">
        <w:rPr>
          <w:rFonts w:ascii="Garamond" w:eastAsia="Arial" w:hAnsi="Garamond" w:cstheme="minorHAnsi"/>
          <w:spacing w:val="2"/>
          <w:sz w:val="18"/>
          <w:szCs w:val="18"/>
        </w:rPr>
        <w:t>a</w:t>
      </w:r>
      <w:r w:rsidRPr="004B53F6">
        <w:rPr>
          <w:rFonts w:ascii="Garamond" w:eastAsia="Arial" w:hAnsi="Garamond" w:cstheme="minorHAnsi"/>
          <w:sz w:val="18"/>
          <w:szCs w:val="18"/>
        </w:rPr>
        <w:t>nt</w:t>
      </w:r>
      <w:r w:rsidRPr="004B53F6">
        <w:rPr>
          <w:rFonts w:ascii="Garamond" w:eastAsia="Arial" w:hAnsi="Garamond" w:cstheme="minorHAnsi"/>
          <w:spacing w:val="-8"/>
          <w:sz w:val="18"/>
          <w:szCs w:val="18"/>
        </w:rPr>
        <w:t xml:space="preserve"> </w:t>
      </w:r>
      <w:r w:rsidRPr="004B53F6">
        <w:rPr>
          <w:rFonts w:ascii="Garamond" w:eastAsia="Arial" w:hAnsi="Garamond" w:cstheme="minorHAnsi"/>
          <w:spacing w:val="2"/>
          <w:sz w:val="18"/>
          <w:szCs w:val="18"/>
        </w:rPr>
        <w:t>S</w:t>
      </w:r>
      <w:r w:rsidRPr="004B53F6">
        <w:rPr>
          <w:rFonts w:ascii="Garamond" w:eastAsia="Arial" w:hAnsi="Garamond" w:cstheme="minorHAnsi"/>
          <w:sz w:val="18"/>
          <w:szCs w:val="18"/>
        </w:rPr>
        <w:t>ex</w:t>
      </w:r>
      <w:r w:rsidRPr="004B53F6">
        <w:rPr>
          <w:rFonts w:ascii="Garamond" w:eastAsia="Arial" w:hAnsi="Garamond" w:cstheme="minorHAnsi"/>
          <w:spacing w:val="-7"/>
          <w:sz w:val="18"/>
          <w:szCs w:val="18"/>
        </w:rPr>
        <w:t xml:space="preserve"> </w:t>
      </w:r>
      <w:r w:rsidRPr="004B53F6">
        <w:rPr>
          <w:rFonts w:ascii="Garamond" w:eastAsia="Arial" w:hAnsi="Garamond" w:cstheme="minorHAnsi"/>
          <w:spacing w:val="9"/>
          <w:sz w:val="18"/>
          <w:szCs w:val="18"/>
        </w:rPr>
        <w:t>W</w:t>
      </w:r>
      <w:r w:rsidRPr="004B53F6">
        <w:rPr>
          <w:rFonts w:ascii="Garamond" w:eastAsia="Arial" w:hAnsi="Garamond" w:cstheme="minorHAnsi"/>
          <w:sz w:val="18"/>
          <w:szCs w:val="18"/>
        </w:rPr>
        <w:t>o</w:t>
      </w:r>
      <w:r w:rsidRPr="004B53F6">
        <w:rPr>
          <w:rFonts w:ascii="Garamond" w:eastAsia="Arial" w:hAnsi="Garamond" w:cstheme="minorHAnsi"/>
          <w:spacing w:val="-2"/>
          <w:sz w:val="18"/>
          <w:szCs w:val="18"/>
        </w:rPr>
        <w:t>r</w:t>
      </w:r>
      <w:r w:rsidRPr="004B53F6">
        <w:rPr>
          <w:rFonts w:ascii="Garamond" w:eastAsia="Arial" w:hAnsi="Garamond" w:cstheme="minorHAnsi"/>
          <w:spacing w:val="4"/>
          <w:sz w:val="18"/>
          <w:szCs w:val="18"/>
        </w:rPr>
        <w:t>k</w:t>
      </w:r>
      <w:r w:rsidRPr="004B53F6">
        <w:rPr>
          <w:rFonts w:ascii="Garamond" w:eastAsia="Arial" w:hAnsi="Garamond" w:cstheme="minorHAnsi"/>
          <w:sz w:val="18"/>
          <w:szCs w:val="18"/>
        </w:rPr>
        <w:t>e</w:t>
      </w:r>
      <w:r w:rsidRPr="004B53F6">
        <w:rPr>
          <w:rFonts w:ascii="Garamond" w:eastAsia="Arial" w:hAnsi="Garamond" w:cstheme="minorHAnsi"/>
          <w:spacing w:val="1"/>
          <w:sz w:val="18"/>
          <w:szCs w:val="18"/>
        </w:rPr>
        <w:t>r</w:t>
      </w:r>
      <w:r w:rsidRPr="004B53F6">
        <w:rPr>
          <w:rFonts w:ascii="Garamond" w:eastAsia="Arial" w:hAnsi="Garamond" w:cstheme="minorHAnsi"/>
          <w:sz w:val="18"/>
          <w:szCs w:val="18"/>
        </w:rPr>
        <w:t>s</w:t>
      </w:r>
      <w:r w:rsidRPr="004B53F6">
        <w:rPr>
          <w:rFonts w:ascii="Garamond" w:eastAsia="Arial" w:hAnsi="Garamond" w:cstheme="minorHAnsi"/>
          <w:spacing w:val="-6"/>
          <w:sz w:val="18"/>
          <w:szCs w:val="18"/>
        </w:rPr>
        <w:t xml:space="preserve"> </w:t>
      </w:r>
      <w:r w:rsidRPr="004B53F6">
        <w:rPr>
          <w:rFonts w:ascii="Garamond" w:eastAsia="Arial" w:hAnsi="Garamond" w:cstheme="minorHAnsi"/>
          <w:spacing w:val="-1"/>
          <w:sz w:val="18"/>
          <w:szCs w:val="18"/>
        </w:rPr>
        <w:t>S</w:t>
      </w:r>
      <w:r w:rsidRPr="004B53F6">
        <w:rPr>
          <w:rFonts w:ascii="Garamond" w:eastAsia="Arial" w:hAnsi="Garamond" w:cstheme="minorHAnsi"/>
          <w:sz w:val="18"/>
          <w:szCs w:val="18"/>
        </w:rPr>
        <w:t>uppo</w:t>
      </w:r>
      <w:r w:rsidRPr="004B53F6">
        <w:rPr>
          <w:rFonts w:ascii="Garamond" w:eastAsia="Arial" w:hAnsi="Garamond" w:cstheme="minorHAnsi"/>
          <w:spacing w:val="1"/>
          <w:sz w:val="18"/>
          <w:szCs w:val="18"/>
        </w:rPr>
        <w:t>r</w:t>
      </w:r>
      <w:r w:rsidRPr="004B53F6">
        <w:rPr>
          <w:rFonts w:ascii="Garamond" w:eastAsia="Arial" w:hAnsi="Garamond" w:cstheme="minorHAnsi"/>
          <w:sz w:val="18"/>
          <w:szCs w:val="18"/>
        </w:rPr>
        <w:t>t</w:t>
      </w:r>
      <w:r w:rsidRPr="004B53F6">
        <w:rPr>
          <w:rFonts w:ascii="Garamond" w:eastAsia="Arial" w:hAnsi="Garamond" w:cstheme="minorHAnsi"/>
          <w:spacing w:val="-8"/>
          <w:sz w:val="18"/>
          <w:szCs w:val="18"/>
        </w:rPr>
        <w:t xml:space="preserve"> </w:t>
      </w:r>
      <w:r w:rsidRPr="004B53F6">
        <w:rPr>
          <w:rFonts w:ascii="Garamond" w:eastAsia="Arial" w:hAnsi="Garamond" w:cstheme="minorHAnsi"/>
          <w:sz w:val="18"/>
          <w:szCs w:val="18"/>
        </w:rPr>
        <w:t>N</w:t>
      </w:r>
      <w:r w:rsidRPr="004B53F6">
        <w:rPr>
          <w:rFonts w:ascii="Garamond" w:eastAsia="Arial" w:hAnsi="Garamond" w:cstheme="minorHAnsi"/>
          <w:spacing w:val="2"/>
          <w:sz w:val="18"/>
          <w:szCs w:val="18"/>
        </w:rPr>
        <w:t>e</w:t>
      </w:r>
      <w:r w:rsidRPr="004B53F6">
        <w:rPr>
          <w:rFonts w:ascii="Garamond" w:eastAsia="Arial" w:hAnsi="Garamond" w:cstheme="minorHAnsi"/>
          <w:sz w:val="18"/>
          <w:szCs w:val="18"/>
        </w:rPr>
        <w:t>two</w:t>
      </w:r>
      <w:r w:rsidRPr="004B53F6">
        <w:rPr>
          <w:rFonts w:ascii="Garamond" w:eastAsia="Arial" w:hAnsi="Garamond" w:cstheme="minorHAnsi"/>
          <w:spacing w:val="1"/>
          <w:sz w:val="18"/>
          <w:szCs w:val="18"/>
        </w:rPr>
        <w:t>r</w:t>
      </w:r>
      <w:r w:rsidRPr="004B53F6">
        <w:rPr>
          <w:rFonts w:ascii="Garamond" w:eastAsia="Arial" w:hAnsi="Garamond" w:cstheme="minorHAnsi"/>
          <w:spacing w:val="4"/>
          <w:sz w:val="18"/>
          <w:szCs w:val="18"/>
        </w:rPr>
        <w:t>k</w:t>
      </w:r>
      <w:r w:rsidRPr="004B53F6">
        <w:rPr>
          <w:rFonts w:ascii="Garamond" w:eastAsia="Arial" w:hAnsi="Garamond" w:cstheme="minorHAnsi"/>
          <w:spacing w:val="1"/>
          <w:sz w:val="18"/>
          <w:szCs w:val="18"/>
        </w:rPr>
        <w:t>)</w:t>
      </w:r>
      <w:r w:rsidRPr="004B53F6">
        <w:rPr>
          <w:rFonts w:ascii="Garamond" w:eastAsia="Arial" w:hAnsi="Garamond" w:cstheme="minorHAnsi"/>
          <w:sz w:val="18"/>
          <w:szCs w:val="18"/>
        </w:rPr>
        <w:t>,</w:t>
      </w:r>
      <w:r w:rsidRPr="004B53F6">
        <w:rPr>
          <w:rFonts w:ascii="Garamond" w:eastAsia="Arial" w:hAnsi="Garamond" w:cstheme="minorHAnsi"/>
          <w:spacing w:val="-10"/>
          <w:sz w:val="18"/>
          <w:szCs w:val="18"/>
        </w:rPr>
        <w:t xml:space="preserve"> </w:t>
      </w:r>
      <w:r w:rsidRPr="004B53F6">
        <w:rPr>
          <w:rFonts w:ascii="Garamond" w:eastAsia="Arial" w:hAnsi="Garamond" w:cstheme="minorHAnsi"/>
          <w:i/>
          <w:spacing w:val="-1"/>
          <w:sz w:val="18"/>
          <w:szCs w:val="18"/>
        </w:rPr>
        <w:t>S</w:t>
      </w:r>
      <w:r w:rsidRPr="004B53F6">
        <w:rPr>
          <w:rFonts w:ascii="Garamond" w:eastAsia="Arial" w:hAnsi="Garamond" w:cstheme="minorHAnsi"/>
          <w:i/>
          <w:sz w:val="18"/>
          <w:szCs w:val="18"/>
        </w:rPr>
        <w:t>top</w:t>
      </w:r>
      <w:r w:rsidRPr="004B53F6">
        <w:rPr>
          <w:rFonts w:ascii="Garamond" w:eastAsia="Arial" w:hAnsi="Garamond" w:cstheme="minorHAnsi"/>
          <w:i/>
          <w:spacing w:val="-5"/>
          <w:sz w:val="18"/>
          <w:szCs w:val="18"/>
        </w:rPr>
        <w:t xml:space="preserve"> </w:t>
      </w:r>
      <w:r w:rsidRPr="004B53F6">
        <w:rPr>
          <w:rFonts w:ascii="Garamond" w:eastAsia="Arial" w:hAnsi="Garamond" w:cstheme="minorHAnsi"/>
          <w:i/>
          <w:sz w:val="18"/>
          <w:szCs w:val="18"/>
        </w:rPr>
        <w:t>t</w:t>
      </w:r>
      <w:r w:rsidRPr="004B53F6">
        <w:rPr>
          <w:rFonts w:ascii="Garamond" w:eastAsia="Arial" w:hAnsi="Garamond" w:cstheme="minorHAnsi"/>
          <w:i/>
          <w:spacing w:val="2"/>
          <w:sz w:val="18"/>
          <w:szCs w:val="18"/>
        </w:rPr>
        <w:t>h</w:t>
      </w:r>
      <w:r w:rsidRPr="004B53F6">
        <w:rPr>
          <w:rFonts w:ascii="Garamond" w:eastAsia="Arial" w:hAnsi="Garamond" w:cstheme="minorHAnsi"/>
          <w:i/>
          <w:sz w:val="18"/>
          <w:szCs w:val="18"/>
        </w:rPr>
        <w:t>e</w:t>
      </w:r>
      <w:r w:rsidRPr="004B53F6">
        <w:rPr>
          <w:rFonts w:ascii="Garamond" w:eastAsia="Arial" w:hAnsi="Garamond" w:cstheme="minorHAnsi"/>
          <w:i/>
          <w:spacing w:val="-4"/>
          <w:sz w:val="18"/>
          <w:szCs w:val="18"/>
        </w:rPr>
        <w:t xml:space="preserve"> </w:t>
      </w:r>
      <w:r w:rsidRPr="004B53F6">
        <w:rPr>
          <w:rFonts w:ascii="Garamond" w:eastAsia="Arial" w:hAnsi="Garamond" w:cstheme="minorHAnsi"/>
          <w:i/>
          <w:sz w:val="18"/>
          <w:szCs w:val="18"/>
        </w:rPr>
        <w:t>ha</w:t>
      </w:r>
      <w:r w:rsidRPr="004B53F6">
        <w:rPr>
          <w:rFonts w:ascii="Garamond" w:eastAsia="Arial" w:hAnsi="Garamond" w:cstheme="minorHAnsi"/>
          <w:i/>
          <w:spacing w:val="3"/>
          <w:sz w:val="18"/>
          <w:szCs w:val="18"/>
        </w:rPr>
        <w:t>r</w:t>
      </w:r>
      <w:r w:rsidRPr="004B53F6">
        <w:rPr>
          <w:rFonts w:ascii="Garamond" w:eastAsia="Arial" w:hAnsi="Garamond" w:cstheme="minorHAnsi"/>
          <w:i/>
          <w:sz w:val="18"/>
          <w:szCs w:val="18"/>
        </w:rPr>
        <w:t>m</w:t>
      </w:r>
      <w:r w:rsidRPr="004B53F6">
        <w:rPr>
          <w:rFonts w:ascii="Garamond" w:eastAsia="Arial" w:hAnsi="Garamond" w:cstheme="minorHAnsi"/>
          <w:i/>
          <w:spacing w:val="-6"/>
          <w:sz w:val="18"/>
          <w:szCs w:val="18"/>
        </w:rPr>
        <w:t xml:space="preserve"> </w:t>
      </w:r>
      <w:r w:rsidRPr="004B53F6">
        <w:rPr>
          <w:rFonts w:ascii="Garamond" w:eastAsia="Arial" w:hAnsi="Garamond" w:cstheme="minorHAnsi"/>
          <w:i/>
          <w:sz w:val="18"/>
          <w:szCs w:val="18"/>
        </w:rPr>
        <w:t>f</w:t>
      </w:r>
      <w:r w:rsidRPr="004B53F6">
        <w:rPr>
          <w:rFonts w:ascii="Garamond" w:eastAsia="Arial" w:hAnsi="Garamond" w:cstheme="minorHAnsi"/>
          <w:i/>
          <w:spacing w:val="1"/>
          <w:sz w:val="18"/>
          <w:szCs w:val="18"/>
        </w:rPr>
        <w:t>r</w:t>
      </w:r>
      <w:r w:rsidRPr="004B53F6">
        <w:rPr>
          <w:rFonts w:ascii="Garamond" w:eastAsia="Arial" w:hAnsi="Garamond" w:cstheme="minorHAnsi"/>
          <w:i/>
          <w:sz w:val="18"/>
          <w:szCs w:val="18"/>
        </w:rPr>
        <w:t>om ant</w:t>
      </w:r>
      <w:r w:rsidRPr="004B53F6">
        <w:rPr>
          <w:rFonts w:ascii="Garamond" w:eastAsia="Arial" w:hAnsi="Garamond" w:cstheme="minorHAnsi"/>
          <w:i/>
          <w:spacing w:val="1"/>
          <w:sz w:val="18"/>
          <w:szCs w:val="18"/>
        </w:rPr>
        <w:t>i-</w:t>
      </w:r>
      <w:r w:rsidRPr="004B53F6">
        <w:rPr>
          <w:rFonts w:ascii="Garamond" w:eastAsia="Arial" w:hAnsi="Garamond" w:cstheme="minorHAnsi"/>
          <w:i/>
          <w:sz w:val="18"/>
          <w:szCs w:val="18"/>
        </w:rPr>
        <w:t>t</w:t>
      </w:r>
      <w:r w:rsidRPr="004B53F6">
        <w:rPr>
          <w:rFonts w:ascii="Garamond" w:eastAsia="Arial" w:hAnsi="Garamond" w:cstheme="minorHAnsi"/>
          <w:i/>
          <w:spacing w:val="1"/>
          <w:sz w:val="18"/>
          <w:szCs w:val="18"/>
        </w:rPr>
        <w:t>r</w:t>
      </w:r>
      <w:r w:rsidRPr="004B53F6">
        <w:rPr>
          <w:rFonts w:ascii="Garamond" w:eastAsia="Arial" w:hAnsi="Garamond" w:cstheme="minorHAnsi"/>
          <w:i/>
          <w:spacing w:val="2"/>
          <w:sz w:val="18"/>
          <w:szCs w:val="18"/>
        </w:rPr>
        <w:t>a</w:t>
      </w:r>
      <w:r w:rsidRPr="004B53F6">
        <w:rPr>
          <w:rFonts w:ascii="Garamond" w:eastAsia="Arial" w:hAnsi="Garamond" w:cstheme="minorHAnsi"/>
          <w:i/>
          <w:sz w:val="18"/>
          <w:szCs w:val="18"/>
        </w:rPr>
        <w:t>ff</w:t>
      </w:r>
      <w:r w:rsidRPr="004B53F6">
        <w:rPr>
          <w:rFonts w:ascii="Garamond" w:eastAsia="Arial" w:hAnsi="Garamond" w:cstheme="minorHAnsi"/>
          <w:i/>
          <w:spacing w:val="-1"/>
          <w:sz w:val="18"/>
          <w:szCs w:val="18"/>
        </w:rPr>
        <w:t>i</w:t>
      </w:r>
      <w:r w:rsidRPr="004B53F6">
        <w:rPr>
          <w:rFonts w:ascii="Garamond" w:eastAsia="Arial" w:hAnsi="Garamond" w:cstheme="minorHAnsi"/>
          <w:i/>
          <w:spacing w:val="1"/>
          <w:sz w:val="18"/>
          <w:szCs w:val="18"/>
        </w:rPr>
        <w:t>ck</w:t>
      </w:r>
      <w:r w:rsidRPr="004B53F6">
        <w:rPr>
          <w:rFonts w:ascii="Garamond" w:eastAsia="Arial" w:hAnsi="Garamond" w:cstheme="minorHAnsi"/>
          <w:i/>
          <w:spacing w:val="-1"/>
          <w:sz w:val="18"/>
          <w:szCs w:val="18"/>
        </w:rPr>
        <w:t>i</w:t>
      </w:r>
      <w:r w:rsidRPr="004B53F6">
        <w:rPr>
          <w:rFonts w:ascii="Garamond" w:eastAsia="Arial" w:hAnsi="Garamond" w:cstheme="minorHAnsi"/>
          <w:i/>
          <w:spacing w:val="2"/>
          <w:sz w:val="18"/>
          <w:szCs w:val="18"/>
        </w:rPr>
        <w:t>n</w:t>
      </w:r>
      <w:r w:rsidRPr="004B53F6">
        <w:rPr>
          <w:rFonts w:ascii="Garamond" w:eastAsia="Arial" w:hAnsi="Garamond" w:cstheme="minorHAnsi"/>
          <w:i/>
          <w:sz w:val="18"/>
          <w:szCs w:val="18"/>
        </w:rPr>
        <w:t>g</w:t>
      </w:r>
      <w:r w:rsidRPr="004B53F6">
        <w:rPr>
          <w:rFonts w:ascii="Garamond" w:eastAsia="Arial" w:hAnsi="Garamond" w:cstheme="minorHAnsi"/>
          <w:i/>
          <w:spacing w:val="-13"/>
          <w:sz w:val="18"/>
          <w:szCs w:val="18"/>
        </w:rPr>
        <w:t xml:space="preserve"> </w:t>
      </w:r>
      <w:r w:rsidRPr="004B53F6">
        <w:rPr>
          <w:rFonts w:ascii="Garamond" w:eastAsia="Arial" w:hAnsi="Garamond" w:cstheme="minorHAnsi"/>
          <w:i/>
          <w:spacing w:val="2"/>
          <w:sz w:val="18"/>
          <w:szCs w:val="18"/>
        </w:rPr>
        <w:t>p</w:t>
      </w:r>
      <w:r w:rsidRPr="004B53F6">
        <w:rPr>
          <w:rFonts w:ascii="Garamond" w:eastAsia="Arial" w:hAnsi="Garamond" w:cstheme="minorHAnsi"/>
          <w:i/>
          <w:sz w:val="18"/>
          <w:szCs w:val="18"/>
        </w:rPr>
        <w:t>o</w:t>
      </w:r>
      <w:r w:rsidRPr="004B53F6">
        <w:rPr>
          <w:rFonts w:ascii="Garamond" w:eastAsia="Arial" w:hAnsi="Garamond" w:cstheme="minorHAnsi"/>
          <w:i/>
          <w:spacing w:val="1"/>
          <w:sz w:val="18"/>
          <w:szCs w:val="18"/>
        </w:rPr>
        <w:t>l</w:t>
      </w:r>
      <w:r w:rsidRPr="004B53F6">
        <w:rPr>
          <w:rFonts w:ascii="Garamond" w:eastAsia="Arial" w:hAnsi="Garamond" w:cstheme="minorHAnsi"/>
          <w:i/>
          <w:spacing w:val="-1"/>
          <w:sz w:val="18"/>
          <w:szCs w:val="18"/>
        </w:rPr>
        <w:t>i</w:t>
      </w:r>
      <w:r w:rsidRPr="004B53F6">
        <w:rPr>
          <w:rFonts w:ascii="Garamond" w:eastAsia="Arial" w:hAnsi="Garamond" w:cstheme="minorHAnsi"/>
          <w:i/>
          <w:spacing w:val="1"/>
          <w:sz w:val="18"/>
          <w:szCs w:val="18"/>
        </w:rPr>
        <w:t>c</w:t>
      </w:r>
      <w:r w:rsidRPr="004B53F6">
        <w:rPr>
          <w:rFonts w:ascii="Garamond" w:eastAsia="Arial" w:hAnsi="Garamond" w:cstheme="minorHAnsi"/>
          <w:i/>
          <w:spacing w:val="-1"/>
          <w:sz w:val="18"/>
          <w:szCs w:val="18"/>
        </w:rPr>
        <w:t>i</w:t>
      </w:r>
      <w:r w:rsidRPr="004B53F6">
        <w:rPr>
          <w:rFonts w:ascii="Garamond" w:eastAsia="Arial" w:hAnsi="Garamond" w:cstheme="minorHAnsi"/>
          <w:i/>
          <w:sz w:val="18"/>
          <w:szCs w:val="18"/>
        </w:rPr>
        <w:t>es</w:t>
      </w:r>
      <w:r w:rsidRPr="004B53F6">
        <w:rPr>
          <w:rFonts w:ascii="Garamond" w:eastAsia="Arial" w:hAnsi="Garamond" w:cstheme="minorHAnsi"/>
          <w:sz w:val="18"/>
          <w:szCs w:val="18"/>
        </w:rPr>
        <w:t xml:space="preserve"> </w:t>
      </w:r>
      <w:r w:rsidRPr="004B53F6">
        <w:rPr>
          <w:rFonts w:ascii="Garamond" w:eastAsia="Arial" w:hAnsi="Garamond" w:cstheme="minorHAnsi"/>
          <w:i/>
          <w:sz w:val="18"/>
          <w:szCs w:val="18"/>
        </w:rPr>
        <w:t>&amp;</w:t>
      </w:r>
      <w:r w:rsidRPr="004B53F6">
        <w:rPr>
          <w:rFonts w:ascii="Garamond" w:eastAsia="Arial" w:hAnsi="Garamond" w:cstheme="minorHAnsi"/>
          <w:i/>
          <w:spacing w:val="-2"/>
          <w:sz w:val="18"/>
          <w:szCs w:val="18"/>
        </w:rPr>
        <w:t xml:space="preserve"> </w:t>
      </w:r>
      <w:r w:rsidRPr="004B53F6">
        <w:rPr>
          <w:rFonts w:ascii="Garamond" w:eastAsia="Arial" w:hAnsi="Garamond" w:cstheme="minorHAnsi"/>
          <w:i/>
          <w:spacing w:val="1"/>
          <w:sz w:val="18"/>
          <w:szCs w:val="18"/>
        </w:rPr>
        <w:t>c</w:t>
      </w:r>
      <w:r w:rsidRPr="004B53F6">
        <w:rPr>
          <w:rFonts w:ascii="Garamond" w:eastAsia="Arial" w:hAnsi="Garamond" w:cstheme="minorHAnsi"/>
          <w:i/>
          <w:sz w:val="18"/>
          <w:szCs w:val="18"/>
        </w:rPr>
        <w:t>a</w:t>
      </w:r>
      <w:r w:rsidRPr="004B53F6">
        <w:rPr>
          <w:rFonts w:ascii="Garamond" w:eastAsia="Arial" w:hAnsi="Garamond" w:cstheme="minorHAnsi"/>
          <w:i/>
          <w:spacing w:val="2"/>
          <w:sz w:val="18"/>
          <w:szCs w:val="18"/>
        </w:rPr>
        <w:t>m</w:t>
      </w:r>
      <w:r w:rsidRPr="004B53F6">
        <w:rPr>
          <w:rFonts w:ascii="Garamond" w:eastAsia="Arial" w:hAnsi="Garamond" w:cstheme="minorHAnsi"/>
          <w:i/>
          <w:sz w:val="18"/>
          <w:szCs w:val="18"/>
        </w:rPr>
        <w:t>pa</w:t>
      </w:r>
      <w:r w:rsidRPr="004B53F6">
        <w:rPr>
          <w:rFonts w:ascii="Garamond" w:eastAsia="Arial" w:hAnsi="Garamond" w:cstheme="minorHAnsi"/>
          <w:i/>
          <w:spacing w:val="1"/>
          <w:sz w:val="18"/>
          <w:szCs w:val="18"/>
        </w:rPr>
        <w:t>i</w:t>
      </w:r>
      <w:r w:rsidRPr="004B53F6">
        <w:rPr>
          <w:rFonts w:ascii="Garamond" w:eastAsia="Arial" w:hAnsi="Garamond" w:cstheme="minorHAnsi"/>
          <w:i/>
          <w:sz w:val="18"/>
          <w:szCs w:val="18"/>
        </w:rPr>
        <w:t>gn</w:t>
      </w:r>
      <w:r w:rsidRPr="004B53F6">
        <w:rPr>
          <w:rFonts w:ascii="Garamond" w:eastAsia="Arial" w:hAnsi="Garamond" w:cstheme="minorHAnsi"/>
          <w:i/>
          <w:spacing w:val="1"/>
          <w:sz w:val="18"/>
          <w:szCs w:val="18"/>
        </w:rPr>
        <w:t>s</w:t>
      </w:r>
      <w:r w:rsidRPr="004B53F6">
        <w:rPr>
          <w:rFonts w:ascii="Garamond" w:eastAsia="Arial" w:hAnsi="Garamond" w:cstheme="minorHAnsi"/>
          <w:i/>
          <w:sz w:val="18"/>
          <w:szCs w:val="18"/>
        </w:rPr>
        <w:t>:</w:t>
      </w:r>
      <w:r w:rsidRPr="004B53F6">
        <w:rPr>
          <w:rFonts w:ascii="Garamond" w:eastAsia="Arial" w:hAnsi="Garamond" w:cstheme="minorHAnsi"/>
          <w:i/>
          <w:spacing w:val="-11"/>
          <w:sz w:val="18"/>
          <w:szCs w:val="18"/>
        </w:rPr>
        <w:t xml:space="preserve"> </w:t>
      </w:r>
      <w:r w:rsidRPr="004B53F6">
        <w:rPr>
          <w:rFonts w:ascii="Garamond" w:eastAsia="Arial" w:hAnsi="Garamond" w:cstheme="minorHAnsi"/>
          <w:i/>
          <w:spacing w:val="1"/>
          <w:sz w:val="18"/>
          <w:szCs w:val="18"/>
        </w:rPr>
        <w:t>s</w:t>
      </w:r>
      <w:r w:rsidRPr="004B53F6">
        <w:rPr>
          <w:rFonts w:ascii="Garamond" w:eastAsia="Arial" w:hAnsi="Garamond" w:cstheme="minorHAnsi"/>
          <w:i/>
          <w:sz w:val="18"/>
          <w:szCs w:val="18"/>
        </w:rPr>
        <w:t>u</w:t>
      </w:r>
      <w:r w:rsidRPr="004B53F6">
        <w:rPr>
          <w:rFonts w:ascii="Garamond" w:eastAsia="Arial" w:hAnsi="Garamond" w:cstheme="minorHAnsi"/>
          <w:i/>
          <w:spacing w:val="2"/>
          <w:sz w:val="18"/>
          <w:szCs w:val="18"/>
        </w:rPr>
        <w:t>p</w:t>
      </w:r>
      <w:r w:rsidRPr="004B53F6">
        <w:rPr>
          <w:rFonts w:ascii="Garamond" w:eastAsia="Arial" w:hAnsi="Garamond" w:cstheme="minorHAnsi"/>
          <w:i/>
          <w:sz w:val="18"/>
          <w:szCs w:val="18"/>
        </w:rPr>
        <w:t>po</w:t>
      </w:r>
      <w:r w:rsidRPr="004B53F6">
        <w:rPr>
          <w:rFonts w:ascii="Garamond" w:eastAsia="Arial" w:hAnsi="Garamond" w:cstheme="minorHAnsi"/>
          <w:i/>
          <w:spacing w:val="1"/>
          <w:sz w:val="18"/>
          <w:szCs w:val="18"/>
        </w:rPr>
        <w:t>r</w:t>
      </w:r>
      <w:r w:rsidRPr="004B53F6">
        <w:rPr>
          <w:rFonts w:ascii="Garamond" w:eastAsia="Arial" w:hAnsi="Garamond" w:cstheme="minorHAnsi"/>
          <w:i/>
          <w:sz w:val="18"/>
          <w:szCs w:val="18"/>
        </w:rPr>
        <w:t>t</w:t>
      </w:r>
      <w:r w:rsidRPr="004B53F6">
        <w:rPr>
          <w:rFonts w:ascii="Garamond" w:eastAsia="Arial" w:hAnsi="Garamond" w:cstheme="minorHAnsi"/>
          <w:i/>
          <w:spacing w:val="-8"/>
          <w:sz w:val="18"/>
          <w:szCs w:val="18"/>
        </w:rPr>
        <w:t xml:space="preserve"> </w:t>
      </w:r>
      <w:r w:rsidRPr="004B53F6">
        <w:rPr>
          <w:rFonts w:ascii="Garamond" w:eastAsia="Arial" w:hAnsi="Garamond" w:cstheme="minorHAnsi"/>
          <w:i/>
          <w:spacing w:val="1"/>
          <w:sz w:val="18"/>
          <w:szCs w:val="18"/>
        </w:rPr>
        <w:t>s</w:t>
      </w:r>
      <w:r w:rsidRPr="004B53F6">
        <w:rPr>
          <w:rFonts w:ascii="Garamond" w:eastAsia="Arial" w:hAnsi="Garamond" w:cstheme="minorHAnsi"/>
          <w:i/>
          <w:sz w:val="18"/>
          <w:szCs w:val="18"/>
        </w:rPr>
        <w:t>ex wo</w:t>
      </w:r>
      <w:r w:rsidRPr="004B53F6">
        <w:rPr>
          <w:rFonts w:ascii="Garamond" w:eastAsia="Arial" w:hAnsi="Garamond" w:cstheme="minorHAnsi"/>
          <w:i/>
          <w:spacing w:val="1"/>
          <w:sz w:val="18"/>
          <w:szCs w:val="18"/>
        </w:rPr>
        <w:t>rk</w:t>
      </w:r>
      <w:r w:rsidRPr="004B53F6">
        <w:rPr>
          <w:rFonts w:ascii="Garamond" w:eastAsia="Arial" w:hAnsi="Garamond" w:cstheme="minorHAnsi"/>
          <w:i/>
          <w:sz w:val="18"/>
          <w:szCs w:val="18"/>
        </w:rPr>
        <w:t>e</w:t>
      </w:r>
      <w:r w:rsidRPr="004B53F6">
        <w:rPr>
          <w:rFonts w:ascii="Garamond" w:eastAsia="Arial" w:hAnsi="Garamond" w:cstheme="minorHAnsi"/>
          <w:i/>
          <w:spacing w:val="1"/>
          <w:sz w:val="18"/>
          <w:szCs w:val="18"/>
        </w:rPr>
        <w:t>r</w:t>
      </w:r>
      <w:r w:rsidRPr="004B53F6">
        <w:rPr>
          <w:rFonts w:ascii="Garamond" w:eastAsia="Arial" w:hAnsi="Garamond" w:cstheme="minorHAnsi"/>
          <w:i/>
          <w:spacing w:val="4"/>
          <w:sz w:val="18"/>
          <w:szCs w:val="18"/>
        </w:rPr>
        <w:t>s</w:t>
      </w:r>
      <w:r w:rsidRPr="004B53F6">
        <w:rPr>
          <w:rFonts w:ascii="Garamond" w:eastAsia="Arial" w:hAnsi="Garamond" w:cstheme="minorHAnsi"/>
          <w:i/>
          <w:sz w:val="18"/>
          <w:szCs w:val="18"/>
        </w:rPr>
        <w:t>’</w:t>
      </w:r>
      <w:r w:rsidRPr="004B53F6">
        <w:rPr>
          <w:rFonts w:ascii="Garamond" w:eastAsia="Arial" w:hAnsi="Garamond" w:cstheme="minorHAnsi"/>
          <w:i/>
          <w:spacing w:val="-13"/>
          <w:sz w:val="18"/>
          <w:szCs w:val="18"/>
        </w:rPr>
        <w:t xml:space="preserve"> </w:t>
      </w:r>
      <w:r w:rsidRPr="004B53F6">
        <w:rPr>
          <w:rFonts w:ascii="Garamond" w:eastAsia="Arial" w:hAnsi="Garamond" w:cstheme="minorHAnsi"/>
          <w:i/>
          <w:spacing w:val="3"/>
          <w:sz w:val="18"/>
          <w:szCs w:val="18"/>
        </w:rPr>
        <w:t>r</w:t>
      </w:r>
      <w:r w:rsidRPr="004B53F6">
        <w:rPr>
          <w:rFonts w:ascii="Garamond" w:eastAsia="Arial" w:hAnsi="Garamond" w:cstheme="minorHAnsi"/>
          <w:i/>
          <w:spacing w:val="-1"/>
          <w:sz w:val="18"/>
          <w:szCs w:val="18"/>
        </w:rPr>
        <w:t>i</w:t>
      </w:r>
      <w:r w:rsidRPr="004B53F6">
        <w:rPr>
          <w:rFonts w:ascii="Garamond" w:eastAsia="Arial" w:hAnsi="Garamond" w:cstheme="minorHAnsi"/>
          <w:i/>
          <w:sz w:val="18"/>
          <w:szCs w:val="18"/>
        </w:rPr>
        <w:t>g</w:t>
      </w:r>
      <w:r w:rsidRPr="004B53F6">
        <w:rPr>
          <w:rFonts w:ascii="Garamond" w:eastAsia="Arial" w:hAnsi="Garamond" w:cstheme="minorHAnsi"/>
          <w:i/>
          <w:spacing w:val="2"/>
          <w:sz w:val="18"/>
          <w:szCs w:val="18"/>
        </w:rPr>
        <w:t>h</w:t>
      </w:r>
      <w:r w:rsidRPr="004B53F6">
        <w:rPr>
          <w:rFonts w:ascii="Garamond" w:eastAsia="Arial" w:hAnsi="Garamond" w:cstheme="minorHAnsi"/>
          <w:i/>
          <w:sz w:val="18"/>
          <w:szCs w:val="18"/>
        </w:rPr>
        <w:t>t</w:t>
      </w:r>
      <w:r w:rsidRPr="004B53F6">
        <w:rPr>
          <w:rFonts w:ascii="Garamond" w:eastAsia="Arial" w:hAnsi="Garamond" w:cstheme="minorHAnsi"/>
          <w:i/>
          <w:spacing w:val="1"/>
          <w:sz w:val="18"/>
          <w:szCs w:val="18"/>
        </w:rPr>
        <w:t>s</w:t>
      </w:r>
      <w:r w:rsidRPr="004B53F6">
        <w:rPr>
          <w:rFonts w:ascii="Garamond" w:eastAsia="Arial" w:hAnsi="Garamond" w:cstheme="minorHAnsi"/>
          <w:i/>
          <w:sz w:val="18"/>
          <w:szCs w:val="18"/>
        </w:rPr>
        <w:t>,</w:t>
      </w:r>
      <w:r w:rsidRPr="004B53F6">
        <w:rPr>
          <w:rFonts w:ascii="Garamond" w:eastAsia="Arial" w:hAnsi="Garamond" w:cstheme="minorHAnsi"/>
          <w:i/>
          <w:spacing w:val="-6"/>
          <w:sz w:val="18"/>
          <w:szCs w:val="18"/>
        </w:rPr>
        <w:t xml:space="preserve"> </w:t>
      </w:r>
      <w:r w:rsidRPr="004B53F6">
        <w:rPr>
          <w:rFonts w:ascii="Garamond" w:eastAsia="Arial" w:hAnsi="Garamond" w:cstheme="minorHAnsi"/>
          <w:i/>
          <w:spacing w:val="-1"/>
          <w:sz w:val="18"/>
          <w:szCs w:val="18"/>
        </w:rPr>
        <w:t>j</w:t>
      </w:r>
      <w:r w:rsidRPr="004B53F6">
        <w:rPr>
          <w:rFonts w:ascii="Garamond" w:eastAsia="Arial" w:hAnsi="Garamond" w:cstheme="minorHAnsi"/>
          <w:i/>
          <w:sz w:val="18"/>
          <w:szCs w:val="18"/>
        </w:rPr>
        <w:t>u</w:t>
      </w:r>
      <w:r w:rsidRPr="004B53F6">
        <w:rPr>
          <w:rFonts w:ascii="Garamond" w:eastAsia="Arial" w:hAnsi="Garamond" w:cstheme="minorHAnsi"/>
          <w:i/>
          <w:spacing w:val="1"/>
          <w:sz w:val="18"/>
          <w:szCs w:val="18"/>
        </w:rPr>
        <w:t>s</w:t>
      </w:r>
      <w:r w:rsidRPr="004B53F6">
        <w:rPr>
          <w:rFonts w:ascii="Garamond" w:eastAsia="Arial" w:hAnsi="Garamond" w:cstheme="minorHAnsi"/>
          <w:i/>
          <w:spacing w:val="2"/>
          <w:sz w:val="18"/>
          <w:szCs w:val="18"/>
        </w:rPr>
        <w:t>t</w:t>
      </w:r>
      <w:r w:rsidRPr="004B53F6">
        <w:rPr>
          <w:rFonts w:ascii="Garamond" w:eastAsia="Arial" w:hAnsi="Garamond" w:cstheme="minorHAnsi"/>
          <w:i/>
          <w:spacing w:val="-1"/>
          <w:sz w:val="18"/>
          <w:szCs w:val="18"/>
        </w:rPr>
        <w:t>i</w:t>
      </w:r>
      <w:r w:rsidRPr="004B53F6">
        <w:rPr>
          <w:rFonts w:ascii="Garamond" w:eastAsia="Arial" w:hAnsi="Garamond" w:cstheme="minorHAnsi"/>
          <w:i/>
          <w:spacing w:val="1"/>
          <w:sz w:val="18"/>
          <w:szCs w:val="18"/>
        </w:rPr>
        <w:t>c</w:t>
      </w:r>
      <w:r w:rsidRPr="004B53F6">
        <w:rPr>
          <w:rFonts w:ascii="Garamond" w:eastAsia="Arial" w:hAnsi="Garamond" w:cstheme="minorHAnsi"/>
          <w:i/>
          <w:sz w:val="18"/>
          <w:szCs w:val="18"/>
        </w:rPr>
        <w:t>e</w:t>
      </w:r>
      <w:r w:rsidRPr="004B53F6">
        <w:rPr>
          <w:rFonts w:ascii="Garamond" w:eastAsia="Arial" w:hAnsi="Garamond" w:cstheme="minorHAnsi"/>
          <w:i/>
          <w:spacing w:val="-7"/>
          <w:sz w:val="18"/>
          <w:szCs w:val="18"/>
        </w:rPr>
        <w:t xml:space="preserve"> </w:t>
      </w:r>
      <w:r w:rsidRPr="004B53F6">
        <w:rPr>
          <w:rFonts w:ascii="Garamond" w:eastAsia="Arial" w:hAnsi="Garamond" w:cstheme="minorHAnsi"/>
          <w:i/>
          <w:spacing w:val="2"/>
          <w:sz w:val="18"/>
          <w:szCs w:val="18"/>
        </w:rPr>
        <w:t>a</w:t>
      </w:r>
      <w:r w:rsidRPr="004B53F6">
        <w:rPr>
          <w:rFonts w:ascii="Garamond" w:eastAsia="Arial" w:hAnsi="Garamond" w:cstheme="minorHAnsi"/>
          <w:i/>
          <w:sz w:val="18"/>
          <w:szCs w:val="18"/>
        </w:rPr>
        <w:t>nd</w:t>
      </w:r>
      <w:r w:rsidRPr="004B53F6">
        <w:rPr>
          <w:rFonts w:ascii="Garamond" w:eastAsia="Arial" w:hAnsi="Garamond" w:cstheme="minorHAnsi"/>
          <w:i/>
          <w:spacing w:val="-1"/>
          <w:sz w:val="18"/>
          <w:szCs w:val="18"/>
        </w:rPr>
        <w:t xml:space="preserve"> </w:t>
      </w:r>
      <w:r w:rsidRPr="004B53F6">
        <w:rPr>
          <w:rFonts w:ascii="Garamond" w:eastAsia="Arial" w:hAnsi="Garamond" w:cstheme="minorHAnsi"/>
          <w:i/>
          <w:sz w:val="18"/>
          <w:szCs w:val="18"/>
        </w:rPr>
        <w:t>d</w:t>
      </w:r>
      <w:r w:rsidRPr="004B53F6">
        <w:rPr>
          <w:rFonts w:ascii="Garamond" w:eastAsia="Arial" w:hAnsi="Garamond" w:cstheme="minorHAnsi"/>
          <w:i/>
          <w:spacing w:val="-1"/>
          <w:sz w:val="18"/>
          <w:szCs w:val="18"/>
        </w:rPr>
        <w:t>i</w:t>
      </w:r>
      <w:r w:rsidRPr="004B53F6">
        <w:rPr>
          <w:rFonts w:ascii="Garamond" w:eastAsia="Arial" w:hAnsi="Garamond" w:cstheme="minorHAnsi"/>
          <w:i/>
          <w:spacing w:val="2"/>
          <w:sz w:val="18"/>
          <w:szCs w:val="18"/>
        </w:rPr>
        <w:t>g</w:t>
      </w:r>
      <w:r w:rsidRPr="004B53F6">
        <w:rPr>
          <w:rFonts w:ascii="Garamond" w:eastAsia="Arial" w:hAnsi="Garamond" w:cstheme="minorHAnsi"/>
          <w:i/>
          <w:sz w:val="18"/>
          <w:szCs w:val="18"/>
        </w:rPr>
        <w:t>n</w:t>
      </w:r>
      <w:r w:rsidRPr="004B53F6">
        <w:rPr>
          <w:rFonts w:ascii="Garamond" w:eastAsia="Arial" w:hAnsi="Garamond" w:cstheme="minorHAnsi"/>
          <w:i/>
          <w:spacing w:val="-1"/>
          <w:sz w:val="18"/>
          <w:szCs w:val="18"/>
        </w:rPr>
        <w:t>i</w:t>
      </w:r>
      <w:r w:rsidRPr="004B53F6">
        <w:rPr>
          <w:rFonts w:ascii="Garamond" w:eastAsia="Arial" w:hAnsi="Garamond" w:cstheme="minorHAnsi"/>
          <w:i/>
          <w:sz w:val="18"/>
          <w:szCs w:val="18"/>
        </w:rPr>
        <w:t>t</w:t>
      </w:r>
      <w:r w:rsidRPr="004B53F6">
        <w:rPr>
          <w:rFonts w:ascii="Garamond" w:eastAsia="Arial" w:hAnsi="Garamond" w:cstheme="minorHAnsi"/>
          <w:i/>
          <w:spacing w:val="3"/>
          <w:sz w:val="18"/>
          <w:szCs w:val="18"/>
        </w:rPr>
        <w:t>y</w:t>
      </w:r>
      <w:r w:rsidRPr="004B53F6">
        <w:rPr>
          <w:rFonts w:ascii="Garamond" w:eastAsia="Arial" w:hAnsi="Garamond" w:cstheme="minorHAnsi"/>
          <w:sz w:val="18"/>
          <w:szCs w:val="18"/>
        </w:rPr>
        <w:t>,</w:t>
      </w:r>
      <w:r w:rsidRPr="004B53F6">
        <w:rPr>
          <w:rFonts w:ascii="Garamond" w:eastAsia="Arial" w:hAnsi="Garamond" w:cstheme="minorHAnsi"/>
          <w:spacing w:val="-4"/>
          <w:sz w:val="18"/>
          <w:szCs w:val="18"/>
        </w:rPr>
        <w:t xml:space="preserve"> </w:t>
      </w:r>
      <w:r w:rsidRPr="004B53F6">
        <w:rPr>
          <w:rFonts w:ascii="Garamond" w:eastAsia="Arial" w:hAnsi="Garamond" w:cstheme="minorHAnsi"/>
          <w:sz w:val="18"/>
          <w:szCs w:val="18"/>
        </w:rPr>
        <w:t>20</w:t>
      </w:r>
      <w:r w:rsidRPr="004B53F6">
        <w:rPr>
          <w:rFonts w:ascii="Garamond" w:eastAsia="Arial" w:hAnsi="Garamond" w:cstheme="minorHAnsi"/>
          <w:spacing w:val="2"/>
          <w:sz w:val="18"/>
          <w:szCs w:val="18"/>
        </w:rPr>
        <w:t>1</w:t>
      </w:r>
      <w:r w:rsidRPr="004B53F6">
        <w:rPr>
          <w:rFonts w:ascii="Garamond" w:eastAsia="Arial" w:hAnsi="Garamond" w:cstheme="minorHAnsi"/>
          <w:sz w:val="18"/>
          <w:szCs w:val="18"/>
        </w:rPr>
        <w:t>6.</w:t>
      </w:r>
    </w:p>
  </w:footnote>
  <w:footnote w:id="47">
    <w:p w14:paraId="3388EDD3" w14:textId="77777777" w:rsidR="00F936AB" w:rsidRPr="004B53F6" w:rsidRDefault="00F936AB" w:rsidP="004B53F6">
      <w:pPr>
        <w:pStyle w:val="FootnoteText"/>
        <w:rPr>
          <w:rFonts w:ascii="Garamond" w:hAnsi="Garamond" w:cstheme="minorHAnsi"/>
          <w:sz w:val="18"/>
          <w:szCs w:val="18"/>
        </w:rPr>
      </w:pPr>
      <w:r w:rsidRPr="00707879">
        <w:rPr>
          <w:rStyle w:val="FootnoteReference"/>
          <w:rFonts w:ascii="Garamond" w:hAnsi="Garamond" w:cstheme="minorHAnsi"/>
          <w:sz w:val="18"/>
          <w:szCs w:val="18"/>
        </w:rPr>
        <w:footnoteRef/>
      </w:r>
      <w:r w:rsidRPr="00707879">
        <w:rPr>
          <w:rFonts w:ascii="Garamond" w:hAnsi="Garamond" w:cstheme="minorHAnsi"/>
          <w:sz w:val="18"/>
          <w:szCs w:val="18"/>
        </w:rPr>
        <w:t xml:space="preserve"> See the </w:t>
      </w:r>
      <w:r w:rsidRPr="00707879">
        <w:rPr>
          <w:rFonts w:ascii="Garamond" w:eastAsia="Arial" w:hAnsi="Garamond" w:cstheme="minorHAnsi"/>
          <w:i/>
          <w:sz w:val="18"/>
          <w:szCs w:val="18"/>
        </w:rPr>
        <w:t>Na</w:t>
      </w:r>
      <w:r w:rsidRPr="004B53F6">
        <w:rPr>
          <w:rFonts w:ascii="Garamond" w:eastAsia="Arial" w:hAnsi="Garamond" w:cstheme="minorHAnsi"/>
          <w:i/>
          <w:spacing w:val="2"/>
          <w:sz w:val="18"/>
          <w:szCs w:val="18"/>
        </w:rPr>
        <w:t>t</w:t>
      </w:r>
      <w:r w:rsidRPr="004B53F6">
        <w:rPr>
          <w:rFonts w:ascii="Garamond" w:eastAsia="Arial" w:hAnsi="Garamond" w:cstheme="minorHAnsi"/>
          <w:i/>
          <w:spacing w:val="-1"/>
          <w:sz w:val="18"/>
          <w:szCs w:val="18"/>
        </w:rPr>
        <w:t>i</w:t>
      </w:r>
      <w:r w:rsidRPr="004B53F6">
        <w:rPr>
          <w:rFonts w:ascii="Garamond" w:eastAsia="Arial" w:hAnsi="Garamond" w:cstheme="minorHAnsi"/>
          <w:i/>
          <w:sz w:val="18"/>
          <w:szCs w:val="18"/>
        </w:rPr>
        <w:t>o</w:t>
      </w:r>
      <w:r w:rsidRPr="004B53F6">
        <w:rPr>
          <w:rFonts w:ascii="Garamond" w:eastAsia="Arial" w:hAnsi="Garamond" w:cstheme="minorHAnsi"/>
          <w:i/>
          <w:spacing w:val="2"/>
          <w:sz w:val="18"/>
          <w:szCs w:val="18"/>
        </w:rPr>
        <w:t>n</w:t>
      </w:r>
      <w:r w:rsidRPr="004B53F6">
        <w:rPr>
          <w:rFonts w:ascii="Garamond" w:eastAsia="Arial" w:hAnsi="Garamond" w:cstheme="minorHAnsi"/>
          <w:i/>
          <w:sz w:val="18"/>
          <w:szCs w:val="18"/>
        </w:rPr>
        <w:t>al</w:t>
      </w:r>
      <w:r w:rsidRPr="004B53F6">
        <w:rPr>
          <w:rFonts w:ascii="Garamond" w:eastAsia="Arial" w:hAnsi="Garamond" w:cstheme="minorHAnsi"/>
          <w:i/>
          <w:spacing w:val="-6"/>
          <w:sz w:val="18"/>
          <w:szCs w:val="18"/>
        </w:rPr>
        <w:t xml:space="preserve"> </w:t>
      </w:r>
      <w:r w:rsidRPr="004B53F6">
        <w:rPr>
          <w:rFonts w:ascii="Garamond" w:eastAsia="Arial" w:hAnsi="Garamond" w:cstheme="minorHAnsi"/>
          <w:i/>
          <w:spacing w:val="-1"/>
          <w:sz w:val="18"/>
          <w:szCs w:val="18"/>
        </w:rPr>
        <w:t>A</w:t>
      </w:r>
      <w:r w:rsidRPr="004B53F6">
        <w:rPr>
          <w:rFonts w:ascii="Garamond" w:eastAsia="Arial" w:hAnsi="Garamond" w:cstheme="minorHAnsi"/>
          <w:i/>
          <w:spacing w:val="1"/>
          <w:sz w:val="18"/>
          <w:szCs w:val="18"/>
        </w:rPr>
        <w:t>c</w:t>
      </w:r>
      <w:r w:rsidRPr="004B53F6">
        <w:rPr>
          <w:rFonts w:ascii="Garamond" w:eastAsia="Arial" w:hAnsi="Garamond" w:cstheme="minorHAnsi"/>
          <w:i/>
          <w:sz w:val="18"/>
          <w:szCs w:val="18"/>
        </w:rPr>
        <w:t>t</w:t>
      </w:r>
      <w:r w:rsidRPr="004B53F6">
        <w:rPr>
          <w:rFonts w:ascii="Garamond" w:eastAsia="Arial" w:hAnsi="Garamond" w:cstheme="minorHAnsi"/>
          <w:i/>
          <w:spacing w:val="1"/>
          <w:sz w:val="18"/>
          <w:szCs w:val="18"/>
        </w:rPr>
        <w:t>i</w:t>
      </w:r>
      <w:r w:rsidRPr="004B53F6">
        <w:rPr>
          <w:rFonts w:ascii="Garamond" w:eastAsia="Arial" w:hAnsi="Garamond" w:cstheme="minorHAnsi"/>
          <w:i/>
          <w:spacing w:val="2"/>
          <w:sz w:val="18"/>
          <w:szCs w:val="18"/>
        </w:rPr>
        <w:t>o</w:t>
      </w:r>
      <w:r w:rsidRPr="004B53F6">
        <w:rPr>
          <w:rFonts w:ascii="Garamond" w:eastAsia="Arial" w:hAnsi="Garamond" w:cstheme="minorHAnsi"/>
          <w:i/>
          <w:sz w:val="18"/>
          <w:szCs w:val="18"/>
        </w:rPr>
        <w:t>n</w:t>
      </w:r>
      <w:r w:rsidRPr="004B53F6">
        <w:rPr>
          <w:rFonts w:ascii="Garamond" w:eastAsia="Arial" w:hAnsi="Garamond" w:cstheme="minorHAnsi"/>
          <w:i/>
          <w:spacing w:val="-7"/>
          <w:sz w:val="18"/>
          <w:szCs w:val="18"/>
        </w:rPr>
        <w:t xml:space="preserve"> </w:t>
      </w:r>
      <w:r w:rsidRPr="004B53F6">
        <w:rPr>
          <w:rFonts w:ascii="Garamond" w:eastAsia="Arial" w:hAnsi="Garamond" w:cstheme="minorHAnsi"/>
          <w:i/>
          <w:spacing w:val="2"/>
          <w:sz w:val="18"/>
          <w:szCs w:val="18"/>
        </w:rPr>
        <w:t>P</w:t>
      </w:r>
      <w:r w:rsidRPr="004B53F6">
        <w:rPr>
          <w:rFonts w:ascii="Garamond" w:eastAsia="Arial" w:hAnsi="Garamond" w:cstheme="minorHAnsi"/>
          <w:i/>
          <w:spacing w:val="-1"/>
          <w:sz w:val="18"/>
          <w:szCs w:val="18"/>
        </w:rPr>
        <w:t>l</w:t>
      </w:r>
      <w:r w:rsidRPr="004B53F6">
        <w:rPr>
          <w:rFonts w:ascii="Garamond" w:eastAsia="Arial" w:hAnsi="Garamond" w:cstheme="minorHAnsi"/>
          <w:i/>
          <w:sz w:val="18"/>
          <w:szCs w:val="18"/>
        </w:rPr>
        <w:t>an</w:t>
      </w:r>
      <w:r w:rsidRPr="004B53F6">
        <w:rPr>
          <w:rFonts w:ascii="Garamond" w:eastAsia="Arial" w:hAnsi="Garamond" w:cstheme="minorHAnsi"/>
          <w:i/>
          <w:spacing w:val="-2"/>
          <w:sz w:val="18"/>
          <w:szCs w:val="18"/>
        </w:rPr>
        <w:t xml:space="preserve"> </w:t>
      </w:r>
      <w:r w:rsidRPr="004B53F6">
        <w:rPr>
          <w:rFonts w:ascii="Garamond" w:eastAsia="Arial" w:hAnsi="Garamond" w:cstheme="minorHAnsi"/>
          <w:i/>
          <w:sz w:val="18"/>
          <w:szCs w:val="18"/>
        </w:rPr>
        <w:t>to</w:t>
      </w:r>
      <w:r w:rsidRPr="004B53F6">
        <w:rPr>
          <w:rFonts w:ascii="Garamond" w:eastAsia="Arial" w:hAnsi="Garamond" w:cstheme="minorHAnsi"/>
          <w:i/>
          <w:spacing w:val="-3"/>
          <w:sz w:val="18"/>
          <w:szCs w:val="18"/>
        </w:rPr>
        <w:t xml:space="preserve"> </w:t>
      </w:r>
      <w:r w:rsidRPr="004B53F6">
        <w:rPr>
          <w:rFonts w:ascii="Garamond" w:eastAsia="Arial" w:hAnsi="Garamond" w:cstheme="minorHAnsi"/>
          <w:i/>
          <w:spacing w:val="3"/>
          <w:sz w:val="18"/>
          <w:szCs w:val="18"/>
        </w:rPr>
        <w:t>C</w:t>
      </w:r>
      <w:r w:rsidRPr="004B53F6">
        <w:rPr>
          <w:rFonts w:ascii="Garamond" w:eastAsia="Arial" w:hAnsi="Garamond" w:cstheme="minorHAnsi"/>
          <w:i/>
          <w:sz w:val="18"/>
          <w:szCs w:val="18"/>
        </w:rPr>
        <w:t>om</w:t>
      </w:r>
      <w:r w:rsidRPr="004B53F6">
        <w:rPr>
          <w:rFonts w:ascii="Garamond" w:eastAsia="Arial" w:hAnsi="Garamond" w:cstheme="minorHAnsi"/>
          <w:i/>
          <w:spacing w:val="2"/>
          <w:sz w:val="18"/>
          <w:szCs w:val="18"/>
        </w:rPr>
        <w:t>b</w:t>
      </w:r>
      <w:r w:rsidRPr="004B53F6">
        <w:rPr>
          <w:rFonts w:ascii="Garamond" w:eastAsia="Arial" w:hAnsi="Garamond" w:cstheme="minorHAnsi"/>
          <w:i/>
          <w:sz w:val="18"/>
          <w:szCs w:val="18"/>
        </w:rPr>
        <w:t>at</w:t>
      </w:r>
      <w:r w:rsidRPr="004B53F6">
        <w:rPr>
          <w:rFonts w:ascii="Garamond" w:eastAsia="Arial" w:hAnsi="Garamond" w:cstheme="minorHAnsi"/>
          <w:i/>
          <w:spacing w:val="-8"/>
          <w:sz w:val="18"/>
          <w:szCs w:val="18"/>
        </w:rPr>
        <w:t xml:space="preserve"> </w:t>
      </w:r>
      <w:r w:rsidRPr="004B53F6">
        <w:rPr>
          <w:rFonts w:ascii="Garamond" w:eastAsia="Arial" w:hAnsi="Garamond" w:cstheme="minorHAnsi"/>
          <w:i/>
          <w:spacing w:val="3"/>
          <w:sz w:val="18"/>
          <w:szCs w:val="18"/>
        </w:rPr>
        <w:t>H</w:t>
      </w:r>
      <w:r w:rsidRPr="004B53F6">
        <w:rPr>
          <w:rFonts w:ascii="Garamond" w:eastAsia="Arial" w:hAnsi="Garamond" w:cstheme="minorHAnsi"/>
          <w:i/>
          <w:sz w:val="18"/>
          <w:szCs w:val="18"/>
        </w:rPr>
        <w:t>um</w:t>
      </w:r>
      <w:r w:rsidRPr="004B53F6">
        <w:rPr>
          <w:rFonts w:ascii="Garamond" w:eastAsia="Arial" w:hAnsi="Garamond" w:cstheme="minorHAnsi"/>
          <w:i/>
          <w:spacing w:val="2"/>
          <w:sz w:val="18"/>
          <w:szCs w:val="18"/>
        </w:rPr>
        <w:t>a</w:t>
      </w:r>
      <w:r w:rsidRPr="004B53F6">
        <w:rPr>
          <w:rFonts w:ascii="Garamond" w:eastAsia="Arial" w:hAnsi="Garamond" w:cstheme="minorHAnsi"/>
          <w:i/>
          <w:sz w:val="18"/>
          <w:szCs w:val="18"/>
        </w:rPr>
        <w:t>n</w:t>
      </w:r>
      <w:r w:rsidRPr="004B53F6">
        <w:rPr>
          <w:rFonts w:ascii="Garamond" w:eastAsia="Arial" w:hAnsi="Garamond" w:cstheme="minorHAnsi"/>
          <w:i/>
          <w:spacing w:val="-7"/>
          <w:sz w:val="18"/>
          <w:szCs w:val="18"/>
        </w:rPr>
        <w:t xml:space="preserve"> </w:t>
      </w:r>
      <w:r w:rsidRPr="004B53F6">
        <w:rPr>
          <w:rFonts w:ascii="Garamond" w:eastAsia="Arial" w:hAnsi="Garamond" w:cstheme="minorHAnsi"/>
          <w:i/>
          <w:spacing w:val="3"/>
          <w:sz w:val="18"/>
          <w:szCs w:val="18"/>
        </w:rPr>
        <w:t>T</w:t>
      </w:r>
      <w:r w:rsidRPr="004B53F6">
        <w:rPr>
          <w:rFonts w:ascii="Garamond" w:eastAsia="Arial" w:hAnsi="Garamond" w:cstheme="minorHAnsi"/>
          <w:i/>
          <w:spacing w:val="1"/>
          <w:sz w:val="18"/>
          <w:szCs w:val="18"/>
        </w:rPr>
        <w:t>r</w:t>
      </w:r>
      <w:r w:rsidRPr="004B53F6">
        <w:rPr>
          <w:rFonts w:ascii="Garamond" w:eastAsia="Arial" w:hAnsi="Garamond" w:cstheme="minorHAnsi"/>
          <w:i/>
          <w:sz w:val="18"/>
          <w:szCs w:val="18"/>
        </w:rPr>
        <w:t>aff</w:t>
      </w:r>
      <w:r w:rsidRPr="004B53F6">
        <w:rPr>
          <w:rFonts w:ascii="Garamond" w:eastAsia="Arial" w:hAnsi="Garamond" w:cstheme="minorHAnsi"/>
          <w:i/>
          <w:spacing w:val="-1"/>
          <w:sz w:val="18"/>
          <w:szCs w:val="18"/>
        </w:rPr>
        <w:t>i</w:t>
      </w:r>
      <w:r w:rsidRPr="004B53F6">
        <w:rPr>
          <w:rFonts w:ascii="Garamond" w:eastAsia="Arial" w:hAnsi="Garamond" w:cstheme="minorHAnsi"/>
          <w:i/>
          <w:spacing w:val="1"/>
          <w:sz w:val="18"/>
          <w:szCs w:val="18"/>
        </w:rPr>
        <w:t>ck</w:t>
      </w:r>
      <w:r w:rsidRPr="004B53F6">
        <w:rPr>
          <w:rFonts w:ascii="Garamond" w:eastAsia="Arial" w:hAnsi="Garamond" w:cstheme="minorHAnsi"/>
          <w:i/>
          <w:spacing w:val="-1"/>
          <w:sz w:val="18"/>
          <w:szCs w:val="18"/>
        </w:rPr>
        <w:t>i</w:t>
      </w:r>
      <w:r w:rsidRPr="004B53F6">
        <w:rPr>
          <w:rFonts w:ascii="Garamond" w:eastAsia="Arial" w:hAnsi="Garamond" w:cstheme="minorHAnsi"/>
          <w:i/>
          <w:sz w:val="18"/>
          <w:szCs w:val="18"/>
        </w:rPr>
        <w:t>ng</w:t>
      </w:r>
      <w:r w:rsidRPr="004B53F6">
        <w:rPr>
          <w:rFonts w:ascii="Garamond" w:eastAsia="Arial" w:hAnsi="Garamond" w:cstheme="minorHAnsi"/>
          <w:i/>
          <w:spacing w:val="-6"/>
          <w:sz w:val="18"/>
          <w:szCs w:val="18"/>
        </w:rPr>
        <w:t xml:space="preserve"> </w:t>
      </w:r>
      <w:r w:rsidRPr="004B53F6">
        <w:rPr>
          <w:rFonts w:ascii="Garamond" w:eastAsia="Arial" w:hAnsi="Garamond" w:cstheme="minorHAnsi"/>
          <w:spacing w:val="-6"/>
          <w:sz w:val="18"/>
          <w:szCs w:val="18"/>
        </w:rPr>
        <w:t>which</w:t>
      </w:r>
      <w:r w:rsidRPr="004B53F6">
        <w:rPr>
          <w:rFonts w:ascii="Garamond" w:eastAsia="Arial" w:hAnsi="Garamond" w:cstheme="minorHAnsi"/>
          <w:i/>
          <w:spacing w:val="-6"/>
          <w:sz w:val="18"/>
          <w:szCs w:val="18"/>
        </w:rPr>
        <w:t xml:space="preserve"> </w:t>
      </w:r>
      <w:r w:rsidRPr="004B53F6">
        <w:rPr>
          <w:rFonts w:ascii="Garamond" w:eastAsia="Arial" w:hAnsi="Garamond" w:cstheme="minorHAnsi"/>
          <w:spacing w:val="4"/>
          <w:sz w:val="18"/>
          <w:szCs w:val="18"/>
        </w:rPr>
        <w:t>m</w:t>
      </w:r>
      <w:r w:rsidRPr="004B53F6">
        <w:rPr>
          <w:rFonts w:ascii="Garamond" w:eastAsia="Arial" w:hAnsi="Garamond" w:cstheme="minorHAnsi"/>
          <w:spacing w:val="-3"/>
          <w:sz w:val="18"/>
          <w:szCs w:val="18"/>
        </w:rPr>
        <w:t>a</w:t>
      </w:r>
      <w:r w:rsidRPr="004B53F6">
        <w:rPr>
          <w:rFonts w:ascii="Garamond" w:eastAsia="Arial" w:hAnsi="Garamond" w:cstheme="minorHAnsi"/>
          <w:spacing w:val="4"/>
          <w:sz w:val="18"/>
          <w:szCs w:val="18"/>
        </w:rPr>
        <w:t>k</w:t>
      </w:r>
      <w:r w:rsidRPr="004B53F6">
        <w:rPr>
          <w:rFonts w:ascii="Garamond" w:eastAsia="Arial" w:hAnsi="Garamond" w:cstheme="minorHAnsi"/>
          <w:sz w:val="18"/>
          <w:szCs w:val="18"/>
        </w:rPr>
        <w:t>es</w:t>
      </w:r>
      <w:r w:rsidRPr="004B53F6">
        <w:rPr>
          <w:rFonts w:ascii="Garamond" w:eastAsia="Arial" w:hAnsi="Garamond" w:cstheme="minorHAnsi"/>
          <w:spacing w:val="-5"/>
          <w:sz w:val="18"/>
          <w:szCs w:val="18"/>
        </w:rPr>
        <w:t xml:space="preserve"> </w:t>
      </w:r>
      <w:r w:rsidRPr="004B53F6">
        <w:rPr>
          <w:rFonts w:ascii="Garamond" w:eastAsia="Arial" w:hAnsi="Garamond" w:cstheme="minorHAnsi"/>
          <w:spacing w:val="1"/>
          <w:sz w:val="18"/>
          <w:szCs w:val="18"/>
        </w:rPr>
        <w:t>c</w:t>
      </w:r>
      <w:r w:rsidRPr="004B53F6">
        <w:rPr>
          <w:rFonts w:ascii="Garamond" w:eastAsia="Arial" w:hAnsi="Garamond" w:cstheme="minorHAnsi"/>
          <w:spacing w:val="-1"/>
          <w:sz w:val="18"/>
          <w:szCs w:val="18"/>
        </w:rPr>
        <w:t>l</w:t>
      </w:r>
      <w:r w:rsidRPr="004B53F6">
        <w:rPr>
          <w:rFonts w:ascii="Garamond" w:eastAsia="Arial" w:hAnsi="Garamond" w:cstheme="minorHAnsi"/>
          <w:spacing w:val="2"/>
          <w:sz w:val="18"/>
          <w:szCs w:val="18"/>
        </w:rPr>
        <w:t>a</w:t>
      </w:r>
      <w:r w:rsidRPr="004B53F6">
        <w:rPr>
          <w:rFonts w:ascii="Garamond" w:eastAsia="Arial" w:hAnsi="Garamond" w:cstheme="minorHAnsi"/>
          <w:spacing w:val="-1"/>
          <w:sz w:val="18"/>
          <w:szCs w:val="18"/>
        </w:rPr>
        <w:t>i</w:t>
      </w:r>
      <w:r w:rsidRPr="004B53F6">
        <w:rPr>
          <w:rFonts w:ascii="Garamond" w:eastAsia="Arial" w:hAnsi="Garamond" w:cstheme="minorHAnsi"/>
          <w:sz w:val="18"/>
          <w:szCs w:val="18"/>
        </w:rPr>
        <w:t>m</w:t>
      </w:r>
      <w:r w:rsidRPr="004B53F6">
        <w:rPr>
          <w:rFonts w:ascii="Garamond" w:eastAsia="Arial" w:hAnsi="Garamond" w:cstheme="minorHAnsi"/>
          <w:spacing w:val="-1"/>
          <w:sz w:val="18"/>
          <w:szCs w:val="18"/>
        </w:rPr>
        <w:t xml:space="preserve"> </w:t>
      </w:r>
      <w:r w:rsidRPr="004B53F6">
        <w:rPr>
          <w:rFonts w:ascii="Garamond" w:eastAsia="Arial" w:hAnsi="Garamond" w:cstheme="minorHAnsi"/>
          <w:sz w:val="18"/>
          <w:szCs w:val="18"/>
        </w:rPr>
        <w:t>that the</w:t>
      </w:r>
      <w:r w:rsidRPr="004B53F6">
        <w:rPr>
          <w:rFonts w:ascii="Garamond" w:eastAsia="Arial" w:hAnsi="Garamond" w:cstheme="minorHAnsi"/>
          <w:spacing w:val="-4"/>
          <w:sz w:val="18"/>
          <w:szCs w:val="18"/>
        </w:rPr>
        <w:t xml:space="preserve"> </w:t>
      </w:r>
      <w:r w:rsidRPr="004B53F6">
        <w:rPr>
          <w:rFonts w:ascii="Garamond" w:eastAsia="Arial" w:hAnsi="Garamond" w:cstheme="minorHAnsi"/>
          <w:spacing w:val="1"/>
          <w:sz w:val="18"/>
          <w:szCs w:val="18"/>
        </w:rPr>
        <w:t>s</w:t>
      </w:r>
      <w:r w:rsidRPr="004B53F6">
        <w:rPr>
          <w:rFonts w:ascii="Garamond" w:eastAsia="Arial" w:hAnsi="Garamond" w:cstheme="minorHAnsi"/>
          <w:sz w:val="18"/>
          <w:szCs w:val="18"/>
        </w:rPr>
        <w:t>e</w:t>
      </w:r>
      <w:r w:rsidRPr="004B53F6">
        <w:rPr>
          <w:rFonts w:ascii="Garamond" w:eastAsia="Arial" w:hAnsi="Garamond" w:cstheme="minorHAnsi"/>
          <w:spacing w:val="1"/>
          <w:sz w:val="18"/>
          <w:szCs w:val="18"/>
        </w:rPr>
        <w:t>x</w:t>
      </w:r>
      <w:r w:rsidRPr="004B53F6">
        <w:rPr>
          <w:rFonts w:ascii="Garamond" w:eastAsia="Arial" w:hAnsi="Garamond" w:cstheme="minorHAnsi"/>
          <w:sz w:val="18"/>
          <w:szCs w:val="18"/>
        </w:rPr>
        <w:t>u</w:t>
      </w:r>
      <w:r w:rsidRPr="004B53F6">
        <w:rPr>
          <w:rFonts w:ascii="Garamond" w:eastAsia="Arial" w:hAnsi="Garamond" w:cstheme="minorHAnsi"/>
          <w:spacing w:val="2"/>
          <w:sz w:val="18"/>
          <w:szCs w:val="18"/>
        </w:rPr>
        <w:t>a</w:t>
      </w:r>
      <w:r w:rsidRPr="004B53F6">
        <w:rPr>
          <w:rFonts w:ascii="Garamond" w:eastAsia="Arial" w:hAnsi="Garamond" w:cstheme="minorHAnsi"/>
          <w:sz w:val="18"/>
          <w:szCs w:val="18"/>
        </w:rPr>
        <w:t>l</w:t>
      </w:r>
      <w:r w:rsidRPr="004B53F6">
        <w:rPr>
          <w:rFonts w:ascii="Garamond" w:eastAsia="Arial" w:hAnsi="Garamond" w:cstheme="minorHAnsi"/>
          <w:spacing w:val="-7"/>
          <w:sz w:val="18"/>
          <w:szCs w:val="18"/>
        </w:rPr>
        <w:t xml:space="preserve"> </w:t>
      </w:r>
      <w:r w:rsidRPr="004B53F6">
        <w:rPr>
          <w:rFonts w:ascii="Garamond" w:eastAsia="Arial" w:hAnsi="Garamond" w:cstheme="minorHAnsi"/>
          <w:sz w:val="18"/>
          <w:szCs w:val="18"/>
        </w:rPr>
        <w:t>e</w:t>
      </w:r>
      <w:r w:rsidRPr="004B53F6">
        <w:rPr>
          <w:rFonts w:ascii="Garamond" w:eastAsia="Arial" w:hAnsi="Garamond" w:cstheme="minorHAnsi"/>
          <w:spacing w:val="1"/>
          <w:sz w:val="18"/>
          <w:szCs w:val="18"/>
        </w:rPr>
        <w:t>x</w:t>
      </w:r>
      <w:r w:rsidRPr="004B53F6">
        <w:rPr>
          <w:rFonts w:ascii="Garamond" w:eastAsia="Arial" w:hAnsi="Garamond" w:cstheme="minorHAnsi"/>
          <w:spacing w:val="2"/>
          <w:sz w:val="18"/>
          <w:szCs w:val="18"/>
        </w:rPr>
        <w:t>p</w:t>
      </w:r>
      <w:r w:rsidRPr="004B53F6">
        <w:rPr>
          <w:rFonts w:ascii="Garamond" w:eastAsia="Arial" w:hAnsi="Garamond" w:cstheme="minorHAnsi"/>
          <w:spacing w:val="-1"/>
          <w:sz w:val="18"/>
          <w:szCs w:val="18"/>
        </w:rPr>
        <w:t>l</w:t>
      </w:r>
      <w:r w:rsidRPr="004B53F6">
        <w:rPr>
          <w:rFonts w:ascii="Garamond" w:eastAsia="Arial" w:hAnsi="Garamond" w:cstheme="minorHAnsi"/>
          <w:spacing w:val="2"/>
          <w:sz w:val="18"/>
          <w:szCs w:val="18"/>
        </w:rPr>
        <w:t>o</w:t>
      </w:r>
      <w:r w:rsidRPr="004B53F6">
        <w:rPr>
          <w:rFonts w:ascii="Garamond" w:eastAsia="Arial" w:hAnsi="Garamond" w:cstheme="minorHAnsi"/>
          <w:spacing w:val="-1"/>
          <w:sz w:val="18"/>
          <w:szCs w:val="18"/>
        </w:rPr>
        <w:t>i</w:t>
      </w:r>
      <w:r w:rsidRPr="004B53F6">
        <w:rPr>
          <w:rFonts w:ascii="Garamond" w:eastAsia="Arial" w:hAnsi="Garamond" w:cstheme="minorHAnsi"/>
          <w:sz w:val="18"/>
          <w:szCs w:val="18"/>
        </w:rPr>
        <w:t>ta</w:t>
      </w:r>
      <w:r w:rsidRPr="004B53F6">
        <w:rPr>
          <w:rFonts w:ascii="Garamond" w:eastAsia="Arial" w:hAnsi="Garamond" w:cstheme="minorHAnsi"/>
          <w:spacing w:val="2"/>
          <w:sz w:val="18"/>
          <w:szCs w:val="18"/>
        </w:rPr>
        <w:t>t</w:t>
      </w:r>
      <w:r w:rsidRPr="004B53F6">
        <w:rPr>
          <w:rFonts w:ascii="Garamond" w:eastAsia="Arial" w:hAnsi="Garamond" w:cstheme="minorHAnsi"/>
          <w:spacing w:val="-1"/>
          <w:sz w:val="18"/>
          <w:szCs w:val="18"/>
        </w:rPr>
        <w:t>i</w:t>
      </w:r>
      <w:r w:rsidRPr="004B53F6">
        <w:rPr>
          <w:rFonts w:ascii="Garamond" w:eastAsia="Arial" w:hAnsi="Garamond" w:cstheme="minorHAnsi"/>
          <w:spacing w:val="2"/>
          <w:sz w:val="18"/>
          <w:szCs w:val="18"/>
        </w:rPr>
        <w:t>o</w:t>
      </w:r>
      <w:r w:rsidRPr="004B53F6">
        <w:rPr>
          <w:rFonts w:ascii="Garamond" w:eastAsia="Arial" w:hAnsi="Garamond" w:cstheme="minorHAnsi"/>
          <w:sz w:val="18"/>
          <w:szCs w:val="18"/>
        </w:rPr>
        <w:t>n</w:t>
      </w:r>
      <w:r w:rsidRPr="004B53F6">
        <w:rPr>
          <w:rFonts w:ascii="Garamond" w:eastAsia="Arial" w:hAnsi="Garamond" w:cstheme="minorHAnsi"/>
          <w:spacing w:val="-11"/>
          <w:sz w:val="18"/>
          <w:szCs w:val="18"/>
        </w:rPr>
        <w:t xml:space="preserve"> </w:t>
      </w:r>
      <w:r w:rsidRPr="004B53F6">
        <w:rPr>
          <w:rFonts w:ascii="Garamond" w:eastAsia="Arial" w:hAnsi="Garamond" w:cstheme="minorHAnsi"/>
          <w:sz w:val="18"/>
          <w:szCs w:val="18"/>
        </w:rPr>
        <w:t>of</w:t>
      </w:r>
      <w:r w:rsidRPr="004B53F6">
        <w:rPr>
          <w:rFonts w:ascii="Garamond" w:eastAsia="Arial" w:hAnsi="Garamond" w:cstheme="minorHAnsi"/>
          <w:spacing w:val="2"/>
          <w:sz w:val="18"/>
          <w:szCs w:val="18"/>
        </w:rPr>
        <w:t xml:space="preserve"> </w:t>
      </w:r>
      <w:r w:rsidRPr="004B53F6">
        <w:rPr>
          <w:rFonts w:ascii="Garamond" w:eastAsia="Arial" w:hAnsi="Garamond" w:cstheme="minorHAnsi"/>
          <w:sz w:val="18"/>
          <w:szCs w:val="18"/>
        </w:rPr>
        <w:t>wo</w:t>
      </w:r>
      <w:r w:rsidRPr="004B53F6">
        <w:rPr>
          <w:rFonts w:ascii="Garamond" w:eastAsia="Arial" w:hAnsi="Garamond" w:cstheme="minorHAnsi"/>
          <w:spacing w:val="4"/>
          <w:sz w:val="18"/>
          <w:szCs w:val="18"/>
        </w:rPr>
        <w:t>m</w:t>
      </w:r>
      <w:r w:rsidRPr="004B53F6">
        <w:rPr>
          <w:rFonts w:ascii="Garamond" w:eastAsia="Arial" w:hAnsi="Garamond" w:cstheme="minorHAnsi"/>
          <w:sz w:val="18"/>
          <w:szCs w:val="18"/>
        </w:rPr>
        <w:t>en</w:t>
      </w:r>
      <w:r w:rsidRPr="004B53F6">
        <w:rPr>
          <w:rFonts w:ascii="Garamond" w:eastAsia="Arial" w:hAnsi="Garamond" w:cstheme="minorHAnsi"/>
          <w:spacing w:val="-7"/>
          <w:sz w:val="18"/>
          <w:szCs w:val="18"/>
        </w:rPr>
        <w:t xml:space="preserve"> </w:t>
      </w:r>
      <w:r w:rsidRPr="004B53F6">
        <w:rPr>
          <w:rFonts w:ascii="Garamond" w:eastAsia="Arial" w:hAnsi="Garamond" w:cstheme="minorHAnsi"/>
          <w:sz w:val="18"/>
          <w:szCs w:val="18"/>
        </w:rPr>
        <w:t>and</w:t>
      </w:r>
      <w:r w:rsidRPr="004B53F6">
        <w:rPr>
          <w:rFonts w:ascii="Garamond" w:eastAsia="Arial" w:hAnsi="Garamond" w:cstheme="minorHAnsi"/>
          <w:spacing w:val="-4"/>
          <w:sz w:val="18"/>
          <w:szCs w:val="18"/>
        </w:rPr>
        <w:t xml:space="preserve"> </w:t>
      </w:r>
      <w:r w:rsidRPr="004B53F6">
        <w:rPr>
          <w:rFonts w:ascii="Garamond" w:eastAsia="Arial" w:hAnsi="Garamond" w:cstheme="minorHAnsi"/>
          <w:spacing w:val="2"/>
          <w:sz w:val="18"/>
          <w:szCs w:val="18"/>
        </w:rPr>
        <w:t>g</w:t>
      </w:r>
      <w:r w:rsidRPr="004B53F6">
        <w:rPr>
          <w:rFonts w:ascii="Garamond" w:eastAsia="Arial" w:hAnsi="Garamond" w:cstheme="minorHAnsi"/>
          <w:spacing w:val="-1"/>
          <w:sz w:val="18"/>
          <w:szCs w:val="18"/>
        </w:rPr>
        <w:t>i</w:t>
      </w:r>
      <w:r w:rsidRPr="004B53F6">
        <w:rPr>
          <w:rFonts w:ascii="Garamond" w:eastAsia="Arial" w:hAnsi="Garamond" w:cstheme="minorHAnsi"/>
          <w:spacing w:val="1"/>
          <w:sz w:val="18"/>
          <w:szCs w:val="18"/>
        </w:rPr>
        <w:t>r</w:t>
      </w:r>
      <w:r w:rsidRPr="004B53F6">
        <w:rPr>
          <w:rFonts w:ascii="Garamond" w:eastAsia="Arial" w:hAnsi="Garamond" w:cstheme="minorHAnsi"/>
          <w:spacing w:val="-1"/>
          <w:sz w:val="18"/>
          <w:szCs w:val="18"/>
        </w:rPr>
        <w:t>l</w:t>
      </w:r>
      <w:r w:rsidRPr="004B53F6">
        <w:rPr>
          <w:rFonts w:ascii="Garamond" w:eastAsia="Arial" w:hAnsi="Garamond" w:cstheme="minorHAnsi"/>
          <w:sz w:val="18"/>
          <w:szCs w:val="18"/>
        </w:rPr>
        <w:t>s</w:t>
      </w:r>
      <w:r w:rsidRPr="004B53F6">
        <w:rPr>
          <w:rFonts w:ascii="Garamond" w:eastAsia="Arial" w:hAnsi="Garamond" w:cstheme="minorHAnsi"/>
          <w:spacing w:val="-3"/>
          <w:sz w:val="18"/>
          <w:szCs w:val="18"/>
        </w:rPr>
        <w:t xml:space="preserve"> </w:t>
      </w:r>
      <w:r w:rsidRPr="004B53F6">
        <w:rPr>
          <w:rFonts w:ascii="Garamond" w:eastAsia="Arial" w:hAnsi="Garamond" w:cstheme="minorHAnsi"/>
          <w:spacing w:val="-1"/>
          <w:sz w:val="18"/>
          <w:szCs w:val="18"/>
        </w:rPr>
        <w:t>i</w:t>
      </w:r>
      <w:r w:rsidRPr="004B53F6">
        <w:rPr>
          <w:rFonts w:ascii="Garamond" w:eastAsia="Arial" w:hAnsi="Garamond" w:cstheme="minorHAnsi"/>
          <w:sz w:val="18"/>
          <w:szCs w:val="18"/>
        </w:rPr>
        <w:t xml:space="preserve">s </w:t>
      </w:r>
      <w:r w:rsidRPr="004B53F6">
        <w:rPr>
          <w:rFonts w:ascii="Garamond" w:eastAsia="Arial" w:hAnsi="Garamond" w:cstheme="minorHAnsi"/>
          <w:spacing w:val="2"/>
          <w:sz w:val="18"/>
          <w:szCs w:val="18"/>
        </w:rPr>
        <w:t>t</w:t>
      </w:r>
      <w:r w:rsidRPr="004B53F6">
        <w:rPr>
          <w:rFonts w:ascii="Garamond" w:eastAsia="Arial" w:hAnsi="Garamond" w:cstheme="minorHAnsi"/>
          <w:sz w:val="18"/>
          <w:szCs w:val="18"/>
        </w:rPr>
        <w:t>he</w:t>
      </w:r>
      <w:r w:rsidRPr="004B53F6">
        <w:rPr>
          <w:rFonts w:ascii="Garamond" w:eastAsia="Arial" w:hAnsi="Garamond" w:cstheme="minorHAnsi"/>
          <w:spacing w:val="-4"/>
          <w:sz w:val="18"/>
          <w:szCs w:val="18"/>
        </w:rPr>
        <w:t xml:space="preserve"> </w:t>
      </w:r>
      <w:r w:rsidRPr="004B53F6">
        <w:rPr>
          <w:rFonts w:ascii="Garamond" w:eastAsia="Arial" w:hAnsi="Garamond" w:cstheme="minorHAnsi"/>
          <w:spacing w:val="4"/>
          <w:sz w:val="18"/>
          <w:szCs w:val="18"/>
        </w:rPr>
        <w:t>m</w:t>
      </w:r>
      <w:r w:rsidRPr="004B53F6">
        <w:rPr>
          <w:rFonts w:ascii="Garamond" w:eastAsia="Arial" w:hAnsi="Garamond" w:cstheme="minorHAnsi"/>
          <w:sz w:val="18"/>
          <w:szCs w:val="18"/>
        </w:rPr>
        <w:t>o</w:t>
      </w:r>
      <w:r w:rsidRPr="004B53F6">
        <w:rPr>
          <w:rFonts w:ascii="Garamond" w:eastAsia="Arial" w:hAnsi="Garamond" w:cstheme="minorHAnsi"/>
          <w:spacing w:val="1"/>
          <w:sz w:val="18"/>
          <w:szCs w:val="18"/>
        </w:rPr>
        <w:t>s</w:t>
      </w:r>
      <w:r w:rsidRPr="004B53F6">
        <w:rPr>
          <w:rFonts w:ascii="Garamond" w:eastAsia="Arial" w:hAnsi="Garamond" w:cstheme="minorHAnsi"/>
          <w:sz w:val="18"/>
          <w:szCs w:val="18"/>
        </w:rPr>
        <w:t>t</w:t>
      </w:r>
      <w:r w:rsidRPr="004B53F6">
        <w:rPr>
          <w:rFonts w:ascii="Garamond" w:eastAsia="Arial" w:hAnsi="Garamond" w:cstheme="minorHAnsi"/>
          <w:spacing w:val="-5"/>
          <w:sz w:val="18"/>
          <w:szCs w:val="18"/>
        </w:rPr>
        <w:t xml:space="preserve"> </w:t>
      </w:r>
      <w:r w:rsidRPr="004B53F6">
        <w:rPr>
          <w:rFonts w:ascii="Garamond" w:eastAsia="Arial" w:hAnsi="Garamond" w:cstheme="minorHAnsi"/>
          <w:spacing w:val="1"/>
          <w:sz w:val="18"/>
          <w:szCs w:val="18"/>
        </w:rPr>
        <w:t>c</w:t>
      </w:r>
      <w:r w:rsidRPr="004B53F6">
        <w:rPr>
          <w:rFonts w:ascii="Garamond" w:eastAsia="Arial" w:hAnsi="Garamond" w:cstheme="minorHAnsi"/>
          <w:spacing w:val="-3"/>
          <w:sz w:val="18"/>
          <w:szCs w:val="18"/>
        </w:rPr>
        <w:t>o</w:t>
      </w:r>
      <w:r w:rsidRPr="004B53F6">
        <w:rPr>
          <w:rFonts w:ascii="Garamond" w:eastAsia="Arial" w:hAnsi="Garamond" w:cstheme="minorHAnsi"/>
          <w:spacing w:val="2"/>
          <w:sz w:val="18"/>
          <w:szCs w:val="18"/>
        </w:rPr>
        <w:t>m</w:t>
      </w:r>
      <w:r w:rsidRPr="004B53F6">
        <w:rPr>
          <w:rFonts w:ascii="Garamond" w:eastAsia="Arial" w:hAnsi="Garamond" w:cstheme="minorHAnsi"/>
          <w:spacing w:val="4"/>
          <w:sz w:val="18"/>
          <w:szCs w:val="18"/>
        </w:rPr>
        <w:t>m</w:t>
      </w:r>
      <w:r w:rsidRPr="004B53F6">
        <w:rPr>
          <w:rFonts w:ascii="Garamond" w:eastAsia="Arial" w:hAnsi="Garamond" w:cstheme="minorHAnsi"/>
          <w:sz w:val="18"/>
          <w:szCs w:val="18"/>
        </w:rPr>
        <w:t>on</w:t>
      </w:r>
      <w:r w:rsidRPr="004B53F6">
        <w:rPr>
          <w:rFonts w:ascii="Garamond" w:eastAsia="Arial" w:hAnsi="Garamond" w:cstheme="minorHAnsi"/>
          <w:spacing w:val="-11"/>
          <w:sz w:val="18"/>
          <w:szCs w:val="18"/>
        </w:rPr>
        <w:t xml:space="preserve"> </w:t>
      </w:r>
      <w:r w:rsidRPr="004B53F6">
        <w:rPr>
          <w:rFonts w:ascii="Garamond" w:eastAsia="Arial" w:hAnsi="Garamond" w:cstheme="minorHAnsi"/>
          <w:spacing w:val="4"/>
          <w:sz w:val="18"/>
          <w:szCs w:val="18"/>
        </w:rPr>
        <w:t>m</w:t>
      </w:r>
      <w:r w:rsidRPr="004B53F6">
        <w:rPr>
          <w:rFonts w:ascii="Garamond" w:eastAsia="Arial" w:hAnsi="Garamond" w:cstheme="minorHAnsi"/>
          <w:sz w:val="18"/>
          <w:szCs w:val="18"/>
        </w:rPr>
        <w:t>an</w:t>
      </w:r>
      <w:r w:rsidRPr="004B53F6">
        <w:rPr>
          <w:rFonts w:ascii="Garamond" w:eastAsia="Arial" w:hAnsi="Garamond" w:cstheme="minorHAnsi"/>
          <w:spacing w:val="-1"/>
          <w:sz w:val="18"/>
          <w:szCs w:val="18"/>
        </w:rPr>
        <w:t>i</w:t>
      </w:r>
      <w:r w:rsidRPr="004B53F6">
        <w:rPr>
          <w:rFonts w:ascii="Garamond" w:eastAsia="Arial" w:hAnsi="Garamond" w:cstheme="minorHAnsi"/>
          <w:spacing w:val="2"/>
          <w:sz w:val="18"/>
          <w:szCs w:val="18"/>
        </w:rPr>
        <w:t>f</w:t>
      </w:r>
      <w:r w:rsidRPr="004B53F6">
        <w:rPr>
          <w:rFonts w:ascii="Garamond" w:eastAsia="Arial" w:hAnsi="Garamond" w:cstheme="minorHAnsi"/>
          <w:sz w:val="18"/>
          <w:szCs w:val="18"/>
        </w:rPr>
        <w:t>e</w:t>
      </w:r>
      <w:r w:rsidRPr="004B53F6">
        <w:rPr>
          <w:rFonts w:ascii="Garamond" w:eastAsia="Arial" w:hAnsi="Garamond" w:cstheme="minorHAnsi"/>
          <w:spacing w:val="1"/>
          <w:sz w:val="18"/>
          <w:szCs w:val="18"/>
        </w:rPr>
        <w:t>s</w:t>
      </w:r>
      <w:r w:rsidRPr="004B53F6">
        <w:rPr>
          <w:rFonts w:ascii="Garamond" w:eastAsia="Arial" w:hAnsi="Garamond" w:cstheme="minorHAnsi"/>
          <w:sz w:val="18"/>
          <w:szCs w:val="18"/>
        </w:rPr>
        <w:t>tat</w:t>
      </w:r>
      <w:r w:rsidRPr="004B53F6">
        <w:rPr>
          <w:rFonts w:ascii="Garamond" w:eastAsia="Arial" w:hAnsi="Garamond" w:cstheme="minorHAnsi"/>
          <w:spacing w:val="-1"/>
          <w:sz w:val="18"/>
          <w:szCs w:val="18"/>
        </w:rPr>
        <w:t>i</w:t>
      </w:r>
      <w:r w:rsidRPr="004B53F6">
        <w:rPr>
          <w:rFonts w:ascii="Garamond" w:eastAsia="Arial" w:hAnsi="Garamond" w:cstheme="minorHAnsi"/>
          <w:sz w:val="18"/>
          <w:szCs w:val="18"/>
        </w:rPr>
        <w:t>on</w:t>
      </w:r>
      <w:r w:rsidRPr="004B53F6">
        <w:rPr>
          <w:rFonts w:ascii="Garamond" w:eastAsia="Arial" w:hAnsi="Garamond" w:cstheme="minorHAnsi"/>
          <w:spacing w:val="-10"/>
          <w:sz w:val="18"/>
          <w:szCs w:val="18"/>
        </w:rPr>
        <w:t xml:space="preserve"> </w:t>
      </w:r>
      <w:r w:rsidRPr="004B53F6">
        <w:rPr>
          <w:rFonts w:ascii="Garamond" w:eastAsia="Arial" w:hAnsi="Garamond" w:cstheme="minorHAnsi"/>
          <w:sz w:val="18"/>
          <w:szCs w:val="18"/>
        </w:rPr>
        <w:t>of t</w:t>
      </w:r>
      <w:r w:rsidRPr="004B53F6">
        <w:rPr>
          <w:rFonts w:ascii="Garamond" w:eastAsia="Arial" w:hAnsi="Garamond" w:cstheme="minorHAnsi"/>
          <w:spacing w:val="1"/>
          <w:sz w:val="18"/>
          <w:szCs w:val="18"/>
        </w:rPr>
        <w:t>r</w:t>
      </w:r>
      <w:r w:rsidRPr="004B53F6">
        <w:rPr>
          <w:rFonts w:ascii="Garamond" w:eastAsia="Arial" w:hAnsi="Garamond" w:cstheme="minorHAnsi"/>
          <w:sz w:val="18"/>
          <w:szCs w:val="18"/>
        </w:rPr>
        <w:t>a</w:t>
      </w:r>
      <w:r w:rsidRPr="004B53F6">
        <w:rPr>
          <w:rFonts w:ascii="Garamond" w:eastAsia="Arial" w:hAnsi="Garamond" w:cstheme="minorHAnsi"/>
          <w:spacing w:val="2"/>
          <w:sz w:val="18"/>
          <w:szCs w:val="18"/>
        </w:rPr>
        <w:t>ff</w:t>
      </w:r>
      <w:r w:rsidRPr="004B53F6">
        <w:rPr>
          <w:rFonts w:ascii="Garamond" w:eastAsia="Arial" w:hAnsi="Garamond" w:cstheme="minorHAnsi"/>
          <w:spacing w:val="-1"/>
          <w:sz w:val="18"/>
          <w:szCs w:val="18"/>
        </w:rPr>
        <w:t>ic</w:t>
      </w:r>
      <w:r w:rsidRPr="004B53F6">
        <w:rPr>
          <w:rFonts w:ascii="Garamond" w:eastAsia="Arial" w:hAnsi="Garamond" w:cstheme="minorHAnsi"/>
          <w:spacing w:val="4"/>
          <w:sz w:val="18"/>
          <w:szCs w:val="18"/>
        </w:rPr>
        <w:t>k</w:t>
      </w:r>
      <w:r w:rsidRPr="004B53F6">
        <w:rPr>
          <w:rFonts w:ascii="Garamond" w:eastAsia="Arial" w:hAnsi="Garamond" w:cstheme="minorHAnsi"/>
          <w:spacing w:val="-1"/>
          <w:sz w:val="18"/>
          <w:szCs w:val="18"/>
        </w:rPr>
        <w:t>i</w:t>
      </w:r>
      <w:r w:rsidRPr="004B53F6">
        <w:rPr>
          <w:rFonts w:ascii="Garamond" w:eastAsia="Arial" w:hAnsi="Garamond" w:cstheme="minorHAnsi"/>
          <w:sz w:val="18"/>
          <w:szCs w:val="18"/>
        </w:rPr>
        <w:t>ng</w:t>
      </w:r>
      <w:r w:rsidRPr="004B53F6">
        <w:rPr>
          <w:rFonts w:ascii="Garamond" w:eastAsia="Arial" w:hAnsi="Garamond" w:cstheme="minorHAnsi"/>
          <w:spacing w:val="-10"/>
          <w:sz w:val="18"/>
          <w:szCs w:val="18"/>
        </w:rPr>
        <w:t xml:space="preserve"> </w:t>
      </w:r>
      <w:r w:rsidRPr="004B53F6">
        <w:rPr>
          <w:rFonts w:ascii="Garamond" w:eastAsia="Arial" w:hAnsi="Garamond" w:cstheme="minorHAnsi"/>
          <w:spacing w:val="-1"/>
          <w:sz w:val="18"/>
          <w:szCs w:val="18"/>
        </w:rPr>
        <w:t>i</w:t>
      </w:r>
      <w:r w:rsidRPr="004B53F6">
        <w:rPr>
          <w:rFonts w:ascii="Garamond" w:eastAsia="Arial" w:hAnsi="Garamond" w:cstheme="minorHAnsi"/>
          <w:sz w:val="18"/>
          <w:szCs w:val="18"/>
        </w:rPr>
        <w:t>n</w:t>
      </w:r>
      <w:r w:rsidRPr="004B53F6">
        <w:rPr>
          <w:rFonts w:ascii="Garamond" w:eastAsia="Arial" w:hAnsi="Garamond" w:cstheme="minorHAnsi"/>
          <w:spacing w:val="-3"/>
          <w:sz w:val="18"/>
          <w:szCs w:val="18"/>
        </w:rPr>
        <w:t xml:space="preserve"> </w:t>
      </w:r>
      <w:r w:rsidRPr="004B53F6">
        <w:rPr>
          <w:rFonts w:ascii="Garamond" w:eastAsia="Arial" w:hAnsi="Garamond" w:cstheme="minorHAnsi"/>
          <w:sz w:val="18"/>
          <w:szCs w:val="18"/>
        </w:rPr>
        <w:t>C</w:t>
      </w:r>
      <w:r w:rsidRPr="004B53F6">
        <w:rPr>
          <w:rFonts w:ascii="Garamond" w:eastAsia="Arial" w:hAnsi="Garamond" w:cstheme="minorHAnsi"/>
          <w:spacing w:val="2"/>
          <w:sz w:val="18"/>
          <w:szCs w:val="18"/>
        </w:rPr>
        <w:t>a</w:t>
      </w:r>
      <w:r w:rsidRPr="004B53F6">
        <w:rPr>
          <w:rFonts w:ascii="Garamond" w:eastAsia="Arial" w:hAnsi="Garamond" w:cstheme="minorHAnsi"/>
          <w:sz w:val="18"/>
          <w:szCs w:val="18"/>
        </w:rPr>
        <w:t>na</w:t>
      </w:r>
      <w:r w:rsidRPr="004B53F6">
        <w:rPr>
          <w:rFonts w:ascii="Garamond" w:eastAsia="Arial" w:hAnsi="Garamond" w:cstheme="minorHAnsi"/>
          <w:spacing w:val="2"/>
          <w:sz w:val="18"/>
          <w:szCs w:val="18"/>
        </w:rPr>
        <w:t>d</w:t>
      </w:r>
      <w:r w:rsidRPr="004B53F6">
        <w:rPr>
          <w:rFonts w:ascii="Garamond" w:eastAsia="Arial" w:hAnsi="Garamond" w:cstheme="minorHAnsi"/>
          <w:sz w:val="18"/>
          <w:szCs w:val="18"/>
        </w:rPr>
        <w:t xml:space="preserve">a. </w:t>
      </w:r>
      <w:r w:rsidRPr="004B53F6">
        <w:rPr>
          <w:rFonts w:ascii="Garamond" w:eastAsia="Arial" w:hAnsi="Garamond" w:cstheme="minorHAnsi"/>
          <w:spacing w:val="-1"/>
          <w:sz w:val="18"/>
          <w:szCs w:val="18"/>
        </w:rPr>
        <w:t>S</w:t>
      </w:r>
      <w:r w:rsidRPr="004B53F6">
        <w:rPr>
          <w:rFonts w:ascii="Garamond" w:eastAsia="Arial" w:hAnsi="Garamond" w:cstheme="minorHAnsi"/>
          <w:sz w:val="18"/>
          <w:szCs w:val="18"/>
        </w:rPr>
        <w:t>ee</w:t>
      </w:r>
      <w:r w:rsidRPr="004B53F6">
        <w:rPr>
          <w:rFonts w:ascii="Garamond" w:eastAsia="Arial" w:hAnsi="Garamond" w:cstheme="minorHAnsi"/>
          <w:spacing w:val="-2"/>
          <w:sz w:val="18"/>
          <w:szCs w:val="18"/>
        </w:rPr>
        <w:t xml:space="preserve"> </w:t>
      </w:r>
      <w:r w:rsidRPr="004B53F6">
        <w:rPr>
          <w:rFonts w:ascii="Garamond" w:eastAsia="Arial" w:hAnsi="Garamond" w:cstheme="minorHAnsi"/>
          <w:spacing w:val="-1"/>
          <w:sz w:val="18"/>
          <w:szCs w:val="18"/>
        </w:rPr>
        <w:t>P</w:t>
      </w:r>
      <w:r w:rsidRPr="004B53F6">
        <w:rPr>
          <w:rFonts w:ascii="Garamond" w:eastAsia="Arial" w:hAnsi="Garamond" w:cstheme="minorHAnsi"/>
          <w:spacing w:val="2"/>
          <w:sz w:val="18"/>
          <w:szCs w:val="18"/>
        </w:rPr>
        <w:t>u</w:t>
      </w:r>
      <w:r w:rsidRPr="004B53F6">
        <w:rPr>
          <w:rFonts w:ascii="Garamond" w:eastAsia="Arial" w:hAnsi="Garamond" w:cstheme="minorHAnsi"/>
          <w:sz w:val="18"/>
          <w:szCs w:val="18"/>
        </w:rPr>
        <w:t>b</w:t>
      </w:r>
      <w:r w:rsidRPr="004B53F6">
        <w:rPr>
          <w:rFonts w:ascii="Garamond" w:eastAsia="Arial" w:hAnsi="Garamond" w:cstheme="minorHAnsi"/>
          <w:spacing w:val="1"/>
          <w:sz w:val="18"/>
          <w:szCs w:val="18"/>
        </w:rPr>
        <w:t>l</w:t>
      </w:r>
      <w:r w:rsidRPr="004B53F6">
        <w:rPr>
          <w:rFonts w:ascii="Garamond" w:eastAsia="Arial" w:hAnsi="Garamond" w:cstheme="minorHAnsi"/>
          <w:spacing w:val="-1"/>
          <w:sz w:val="18"/>
          <w:szCs w:val="18"/>
        </w:rPr>
        <w:t>i</w:t>
      </w:r>
      <w:r w:rsidRPr="004B53F6">
        <w:rPr>
          <w:rFonts w:ascii="Garamond" w:eastAsia="Arial" w:hAnsi="Garamond" w:cstheme="minorHAnsi"/>
          <w:sz w:val="18"/>
          <w:szCs w:val="18"/>
        </w:rPr>
        <w:t>c</w:t>
      </w:r>
      <w:r w:rsidRPr="004B53F6">
        <w:rPr>
          <w:rFonts w:ascii="Garamond" w:eastAsia="Arial" w:hAnsi="Garamond" w:cstheme="minorHAnsi"/>
          <w:spacing w:val="-4"/>
          <w:sz w:val="18"/>
          <w:szCs w:val="18"/>
        </w:rPr>
        <w:t xml:space="preserve"> </w:t>
      </w:r>
      <w:r w:rsidRPr="004B53F6">
        <w:rPr>
          <w:rFonts w:ascii="Garamond" w:eastAsia="Arial" w:hAnsi="Garamond" w:cstheme="minorHAnsi"/>
          <w:spacing w:val="2"/>
          <w:sz w:val="18"/>
          <w:szCs w:val="18"/>
        </w:rPr>
        <w:t>S</w:t>
      </w:r>
      <w:r w:rsidRPr="004B53F6">
        <w:rPr>
          <w:rFonts w:ascii="Garamond" w:eastAsia="Arial" w:hAnsi="Garamond" w:cstheme="minorHAnsi"/>
          <w:sz w:val="18"/>
          <w:szCs w:val="18"/>
        </w:rPr>
        <w:t>a</w:t>
      </w:r>
      <w:r w:rsidRPr="004B53F6">
        <w:rPr>
          <w:rFonts w:ascii="Garamond" w:eastAsia="Arial" w:hAnsi="Garamond" w:cstheme="minorHAnsi"/>
          <w:spacing w:val="2"/>
          <w:sz w:val="18"/>
          <w:szCs w:val="18"/>
        </w:rPr>
        <w:t>f</w:t>
      </w:r>
      <w:r w:rsidRPr="004B53F6">
        <w:rPr>
          <w:rFonts w:ascii="Garamond" w:eastAsia="Arial" w:hAnsi="Garamond" w:cstheme="minorHAnsi"/>
          <w:sz w:val="18"/>
          <w:szCs w:val="18"/>
        </w:rPr>
        <w:t>e</w:t>
      </w:r>
      <w:r w:rsidRPr="004B53F6">
        <w:rPr>
          <w:rFonts w:ascii="Garamond" w:eastAsia="Arial" w:hAnsi="Garamond" w:cstheme="minorHAnsi"/>
          <w:spacing w:val="2"/>
          <w:sz w:val="18"/>
          <w:szCs w:val="18"/>
        </w:rPr>
        <w:t>t</w:t>
      </w:r>
      <w:r w:rsidRPr="004B53F6">
        <w:rPr>
          <w:rFonts w:ascii="Garamond" w:eastAsia="Arial" w:hAnsi="Garamond" w:cstheme="minorHAnsi"/>
          <w:sz w:val="18"/>
          <w:szCs w:val="18"/>
        </w:rPr>
        <w:t>y</w:t>
      </w:r>
      <w:r w:rsidRPr="004B53F6">
        <w:rPr>
          <w:rFonts w:ascii="Garamond" w:eastAsia="Arial" w:hAnsi="Garamond" w:cstheme="minorHAnsi"/>
          <w:spacing w:val="-10"/>
          <w:sz w:val="18"/>
          <w:szCs w:val="18"/>
        </w:rPr>
        <w:t xml:space="preserve"> </w:t>
      </w:r>
      <w:r w:rsidRPr="004B53F6">
        <w:rPr>
          <w:rFonts w:ascii="Garamond" w:eastAsia="Arial" w:hAnsi="Garamond" w:cstheme="minorHAnsi"/>
          <w:spacing w:val="3"/>
          <w:sz w:val="18"/>
          <w:szCs w:val="18"/>
        </w:rPr>
        <w:t>C</w:t>
      </w:r>
      <w:r w:rsidRPr="004B53F6">
        <w:rPr>
          <w:rFonts w:ascii="Garamond" w:eastAsia="Arial" w:hAnsi="Garamond" w:cstheme="minorHAnsi"/>
          <w:sz w:val="18"/>
          <w:szCs w:val="18"/>
        </w:rPr>
        <w:t>an</w:t>
      </w:r>
      <w:r w:rsidRPr="004B53F6">
        <w:rPr>
          <w:rFonts w:ascii="Garamond" w:eastAsia="Arial" w:hAnsi="Garamond" w:cstheme="minorHAnsi"/>
          <w:spacing w:val="2"/>
          <w:sz w:val="18"/>
          <w:szCs w:val="18"/>
        </w:rPr>
        <w:t>a</w:t>
      </w:r>
      <w:r w:rsidRPr="004B53F6">
        <w:rPr>
          <w:rFonts w:ascii="Garamond" w:eastAsia="Arial" w:hAnsi="Garamond" w:cstheme="minorHAnsi"/>
          <w:sz w:val="18"/>
          <w:szCs w:val="18"/>
        </w:rPr>
        <w:t>da,</w:t>
      </w:r>
      <w:r w:rsidRPr="004B53F6">
        <w:rPr>
          <w:rFonts w:ascii="Garamond" w:eastAsia="Arial" w:hAnsi="Garamond" w:cstheme="minorHAnsi"/>
          <w:spacing w:val="-6"/>
          <w:sz w:val="18"/>
          <w:szCs w:val="18"/>
        </w:rPr>
        <w:t xml:space="preserve"> </w:t>
      </w:r>
      <w:r w:rsidRPr="004B53F6">
        <w:rPr>
          <w:rFonts w:ascii="Garamond" w:eastAsia="Arial" w:hAnsi="Garamond" w:cstheme="minorHAnsi"/>
          <w:i/>
          <w:sz w:val="18"/>
          <w:szCs w:val="18"/>
        </w:rPr>
        <w:t>Nat</w:t>
      </w:r>
      <w:r w:rsidRPr="004B53F6">
        <w:rPr>
          <w:rFonts w:ascii="Garamond" w:eastAsia="Arial" w:hAnsi="Garamond" w:cstheme="minorHAnsi"/>
          <w:i/>
          <w:spacing w:val="1"/>
          <w:sz w:val="18"/>
          <w:szCs w:val="18"/>
        </w:rPr>
        <w:t>i</w:t>
      </w:r>
      <w:r w:rsidRPr="004B53F6">
        <w:rPr>
          <w:rFonts w:ascii="Garamond" w:eastAsia="Arial" w:hAnsi="Garamond" w:cstheme="minorHAnsi"/>
          <w:i/>
          <w:sz w:val="18"/>
          <w:szCs w:val="18"/>
        </w:rPr>
        <w:t>on</w:t>
      </w:r>
      <w:r w:rsidRPr="004B53F6">
        <w:rPr>
          <w:rFonts w:ascii="Garamond" w:eastAsia="Arial" w:hAnsi="Garamond" w:cstheme="minorHAnsi"/>
          <w:i/>
          <w:spacing w:val="2"/>
          <w:sz w:val="18"/>
          <w:szCs w:val="18"/>
        </w:rPr>
        <w:t>a</w:t>
      </w:r>
      <w:r w:rsidRPr="004B53F6">
        <w:rPr>
          <w:rFonts w:ascii="Garamond" w:eastAsia="Arial" w:hAnsi="Garamond" w:cstheme="minorHAnsi"/>
          <w:i/>
          <w:sz w:val="18"/>
          <w:szCs w:val="18"/>
        </w:rPr>
        <w:t>l</w:t>
      </w:r>
      <w:r w:rsidRPr="004B53F6">
        <w:rPr>
          <w:rFonts w:ascii="Garamond" w:eastAsia="Arial" w:hAnsi="Garamond" w:cstheme="minorHAnsi"/>
          <w:i/>
          <w:spacing w:val="-6"/>
          <w:sz w:val="18"/>
          <w:szCs w:val="18"/>
        </w:rPr>
        <w:t xml:space="preserve"> </w:t>
      </w:r>
      <w:r w:rsidRPr="004B53F6">
        <w:rPr>
          <w:rFonts w:ascii="Garamond" w:eastAsia="Arial" w:hAnsi="Garamond" w:cstheme="minorHAnsi"/>
          <w:i/>
          <w:spacing w:val="-1"/>
          <w:sz w:val="18"/>
          <w:szCs w:val="18"/>
        </w:rPr>
        <w:t>A</w:t>
      </w:r>
      <w:r w:rsidRPr="004B53F6">
        <w:rPr>
          <w:rFonts w:ascii="Garamond" w:eastAsia="Arial" w:hAnsi="Garamond" w:cstheme="minorHAnsi"/>
          <w:i/>
          <w:spacing w:val="1"/>
          <w:sz w:val="18"/>
          <w:szCs w:val="18"/>
        </w:rPr>
        <w:t>c</w:t>
      </w:r>
      <w:r w:rsidRPr="004B53F6">
        <w:rPr>
          <w:rFonts w:ascii="Garamond" w:eastAsia="Arial" w:hAnsi="Garamond" w:cstheme="minorHAnsi"/>
          <w:i/>
          <w:sz w:val="18"/>
          <w:szCs w:val="18"/>
        </w:rPr>
        <w:t>t</w:t>
      </w:r>
      <w:r w:rsidRPr="004B53F6">
        <w:rPr>
          <w:rFonts w:ascii="Garamond" w:eastAsia="Arial" w:hAnsi="Garamond" w:cstheme="minorHAnsi"/>
          <w:i/>
          <w:spacing w:val="-1"/>
          <w:sz w:val="18"/>
          <w:szCs w:val="18"/>
        </w:rPr>
        <w:t>i</w:t>
      </w:r>
      <w:r w:rsidRPr="004B53F6">
        <w:rPr>
          <w:rFonts w:ascii="Garamond" w:eastAsia="Arial" w:hAnsi="Garamond" w:cstheme="minorHAnsi"/>
          <w:i/>
          <w:spacing w:val="2"/>
          <w:sz w:val="18"/>
          <w:szCs w:val="18"/>
        </w:rPr>
        <w:t>o</w:t>
      </w:r>
      <w:r w:rsidRPr="004B53F6">
        <w:rPr>
          <w:rFonts w:ascii="Garamond" w:eastAsia="Arial" w:hAnsi="Garamond" w:cstheme="minorHAnsi"/>
          <w:i/>
          <w:sz w:val="18"/>
          <w:szCs w:val="18"/>
        </w:rPr>
        <w:t>n</w:t>
      </w:r>
      <w:r w:rsidRPr="004B53F6">
        <w:rPr>
          <w:rFonts w:ascii="Garamond" w:eastAsia="Arial" w:hAnsi="Garamond" w:cstheme="minorHAnsi"/>
          <w:i/>
          <w:spacing w:val="-7"/>
          <w:sz w:val="18"/>
          <w:szCs w:val="18"/>
        </w:rPr>
        <w:t xml:space="preserve"> </w:t>
      </w:r>
      <w:r w:rsidRPr="004B53F6">
        <w:rPr>
          <w:rFonts w:ascii="Garamond" w:eastAsia="Arial" w:hAnsi="Garamond" w:cstheme="minorHAnsi"/>
          <w:i/>
          <w:spacing w:val="2"/>
          <w:sz w:val="18"/>
          <w:szCs w:val="18"/>
        </w:rPr>
        <w:t>P</w:t>
      </w:r>
      <w:r w:rsidRPr="004B53F6">
        <w:rPr>
          <w:rFonts w:ascii="Garamond" w:eastAsia="Arial" w:hAnsi="Garamond" w:cstheme="minorHAnsi"/>
          <w:i/>
          <w:spacing w:val="-1"/>
          <w:sz w:val="18"/>
          <w:szCs w:val="18"/>
        </w:rPr>
        <w:t>l</w:t>
      </w:r>
      <w:r w:rsidRPr="004B53F6">
        <w:rPr>
          <w:rFonts w:ascii="Garamond" w:eastAsia="Arial" w:hAnsi="Garamond" w:cstheme="minorHAnsi"/>
          <w:i/>
          <w:spacing w:val="2"/>
          <w:sz w:val="18"/>
          <w:szCs w:val="18"/>
        </w:rPr>
        <w:t>a</w:t>
      </w:r>
      <w:r w:rsidRPr="004B53F6">
        <w:rPr>
          <w:rFonts w:ascii="Garamond" w:eastAsia="Arial" w:hAnsi="Garamond" w:cstheme="minorHAnsi"/>
          <w:i/>
          <w:sz w:val="18"/>
          <w:szCs w:val="18"/>
        </w:rPr>
        <w:t>n</w:t>
      </w:r>
      <w:r w:rsidRPr="004B53F6">
        <w:rPr>
          <w:rFonts w:ascii="Garamond" w:eastAsia="Arial" w:hAnsi="Garamond" w:cstheme="minorHAnsi"/>
          <w:i/>
          <w:spacing w:val="-5"/>
          <w:sz w:val="18"/>
          <w:szCs w:val="18"/>
        </w:rPr>
        <w:t xml:space="preserve"> </w:t>
      </w:r>
      <w:r w:rsidRPr="004B53F6">
        <w:rPr>
          <w:rFonts w:ascii="Garamond" w:eastAsia="Arial" w:hAnsi="Garamond" w:cstheme="minorHAnsi"/>
          <w:i/>
          <w:sz w:val="18"/>
          <w:szCs w:val="18"/>
        </w:rPr>
        <w:t>to C</w:t>
      </w:r>
      <w:r w:rsidRPr="004B53F6">
        <w:rPr>
          <w:rFonts w:ascii="Garamond" w:eastAsia="Arial" w:hAnsi="Garamond" w:cstheme="minorHAnsi"/>
          <w:i/>
          <w:spacing w:val="2"/>
          <w:sz w:val="18"/>
          <w:szCs w:val="18"/>
        </w:rPr>
        <w:t>o</w:t>
      </w:r>
      <w:r w:rsidRPr="004B53F6">
        <w:rPr>
          <w:rFonts w:ascii="Garamond" w:eastAsia="Arial" w:hAnsi="Garamond" w:cstheme="minorHAnsi"/>
          <w:i/>
          <w:sz w:val="18"/>
          <w:szCs w:val="18"/>
        </w:rPr>
        <w:t>mbat</w:t>
      </w:r>
      <w:r w:rsidRPr="004B53F6">
        <w:rPr>
          <w:rFonts w:ascii="Garamond" w:eastAsia="Arial" w:hAnsi="Garamond" w:cstheme="minorHAnsi"/>
          <w:i/>
          <w:spacing w:val="-5"/>
          <w:sz w:val="18"/>
          <w:szCs w:val="18"/>
        </w:rPr>
        <w:t xml:space="preserve"> </w:t>
      </w:r>
      <w:r w:rsidRPr="004B53F6">
        <w:rPr>
          <w:rFonts w:ascii="Garamond" w:eastAsia="Arial" w:hAnsi="Garamond" w:cstheme="minorHAnsi"/>
          <w:i/>
          <w:sz w:val="18"/>
          <w:szCs w:val="18"/>
        </w:rPr>
        <w:t>Hu</w:t>
      </w:r>
      <w:r w:rsidRPr="004B53F6">
        <w:rPr>
          <w:rFonts w:ascii="Garamond" w:eastAsia="Arial" w:hAnsi="Garamond" w:cstheme="minorHAnsi"/>
          <w:i/>
          <w:spacing w:val="2"/>
          <w:sz w:val="18"/>
          <w:szCs w:val="18"/>
        </w:rPr>
        <w:t>m</w:t>
      </w:r>
      <w:r w:rsidRPr="004B53F6">
        <w:rPr>
          <w:rFonts w:ascii="Garamond" w:eastAsia="Arial" w:hAnsi="Garamond" w:cstheme="minorHAnsi"/>
          <w:i/>
          <w:sz w:val="18"/>
          <w:szCs w:val="18"/>
        </w:rPr>
        <w:t>an</w:t>
      </w:r>
      <w:r w:rsidRPr="004B53F6">
        <w:rPr>
          <w:rFonts w:ascii="Garamond" w:eastAsia="Arial" w:hAnsi="Garamond" w:cstheme="minorHAnsi"/>
          <w:i/>
          <w:spacing w:val="-7"/>
          <w:sz w:val="18"/>
          <w:szCs w:val="18"/>
        </w:rPr>
        <w:t xml:space="preserve"> </w:t>
      </w:r>
      <w:r w:rsidRPr="004B53F6">
        <w:rPr>
          <w:rFonts w:ascii="Garamond" w:eastAsia="Arial" w:hAnsi="Garamond" w:cstheme="minorHAnsi"/>
          <w:i/>
          <w:spacing w:val="1"/>
          <w:sz w:val="18"/>
          <w:szCs w:val="18"/>
        </w:rPr>
        <w:t>Tr</w:t>
      </w:r>
      <w:r w:rsidRPr="004B53F6">
        <w:rPr>
          <w:rFonts w:ascii="Garamond" w:eastAsia="Arial" w:hAnsi="Garamond" w:cstheme="minorHAnsi"/>
          <w:i/>
          <w:sz w:val="18"/>
          <w:szCs w:val="18"/>
        </w:rPr>
        <w:t>a</w:t>
      </w:r>
      <w:r w:rsidRPr="004B53F6">
        <w:rPr>
          <w:rFonts w:ascii="Garamond" w:eastAsia="Arial" w:hAnsi="Garamond" w:cstheme="minorHAnsi"/>
          <w:i/>
          <w:spacing w:val="2"/>
          <w:sz w:val="18"/>
          <w:szCs w:val="18"/>
        </w:rPr>
        <w:t>f</w:t>
      </w:r>
      <w:r w:rsidRPr="004B53F6">
        <w:rPr>
          <w:rFonts w:ascii="Garamond" w:eastAsia="Arial" w:hAnsi="Garamond" w:cstheme="minorHAnsi"/>
          <w:i/>
          <w:sz w:val="18"/>
          <w:szCs w:val="18"/>
        </w:rPr>
        <w:t>f</w:t>
      </w:r>
      <w:r w:rsidRPr="004B53F6">
        <w:rPr>
          <w:rFonts w:ascii="Garamond" w:eastAsia="Arial" w:hAnsi="Garamond" w:cstheme="minorHAnsi"/>
          <w:i/>
          <w:spacing w:val="-1"/>
          <w:sz w:val="18"/>
          <w:szCs w:val="18"/>
        </w:rPr>
        <w:t>i</w:t>
      </w:r>
      <w:r w:rsidRPr="004B53F6">
        <w:rPr>
          <w:rFonts w:ascii="Garamond" w:eastAsia="Arial" w:hAnsi="Garamond" w:cstheme="minorHAnsi"/>
          <w:i/>
          <w:spacing w:val="1"/>
          <w:sz w:val="18"/>
          <w:szCs w:val="18"/>
        </w:rPr>
        <w:t>ck</w:t>
      </w:r>
      <w:r w:rsidRPr="004B53F6">
        <w:rPr>
          <w:rFonts w:ascii="Garamond" w:eastAsia="Arial" w:hAnsi="Garamond" w:cstheme="minorHAnsi"/>
          <w:i/>
          <w:spacing w:val="-1"/>
          <w:sz w:val="18"/>
          <w:szCs w:val="18"/>
        </w:rPr>
        <w:t>i</w:t>
      </w:r>
      <w:r w:rsidRPr="004B53F6">
        <w:rPr>
          <w:rFonts w:ascii="Garamond" w:eastAsia="Arial" w:hAnsi="Garamond" w:cstheme="minorHAnsi"/>
          <w:i/>
          <w:spacing w:val="2"/>
          <w:sz w:val="18"/>
          <w:szCs w:val="18"/>
        </w:rPr>
        <w:t>n</w:t>
      </w:r>
      <w:r w:rsidRPr="004B53F6">
        <w:rPr>
          <w:rFonts w:ascii="Garamond" w:eastAsia="Arial" w:hAnsi="Garamond" w:cstheme="minorHAnsi"/>
          <w:i/>
          <w:sz w:val="18"/>
          <w:szCs w:val="18"/>
        </w:rPr>
        <w:t>g</w:t>
      </w:r>
      <w:r w:rsidRPr="004B53F6">
        <w:rPr>
          <w:rFonts w:ascii="Garamond" w:eastAsia="Arial" w:hAnsi="Garamond" w:cstheme="minorHAnsi"/>
          <w:sz w:val="18"/>
          <w:szCs w:val="18"/>
        </w:rPr>
        <w:t>,</w:t>
      </w:r>
      <w:r w:rsidRPr="004B53F6">
        <w:rPr>
          <w:rFonts w:ascii="Garamond" w:eastAsia="Arial" w:hAnsi="Garamond" w:cstheme="minorHAnsi"/>
          <w:spacing w:val="-11"/>
          <w:sz w:val="18"/>
          <w:szCs w:val="18"/>
        </w:rPr>
        <w:t xml:space="preserve"> </w:t>
      </w:r>
      <w:r w:rsidRPr="004B53F6">
        <w:rPr>
          <w:rFonts w:ascii="Garamond" w:eastAsia="Arial" w:hAnsi="Garamond" w:cstheme="minorHAnsi"/>
          <w:spacing w:val="2"/>
          <w:sz w:val="18"/>
          <w:szCs w:val="18"/>
        </w:rPr>
        <w:t>2</w:t>
      </w:r>
      <w:r w:rsidRPr="004B53F6">
        <w:rPr>
          <w:rFonts w:ascii="Garamond" w:eastAsia="Arial" w:hAnsi="Garamond" w:cstheme="minorHAnsi"/>
          <w:sz w:val="18"/>
          <w:szCs w:val="18"/>
        </w:rPr>
        <w:t>012.</w:t>
      </w:r>
    </w:p>
  </w:footnote>
  <w:footnote w:id="48">
    <w:p w14:paraId="271878D8" w14:textId="77777777" w:rsidR="00F936AB" w:rsidRPr="004B53F6" w:rsidRDefault="00F936AB" w:rsidP="004B53F6">
      <w:pPr>
        <w:pStyle w:val="FootnoteText"/>
        <w:rPr>
          <w:rFonts w:ascii="Garamond" w:hAnsi="Garamond" w:cstheme="minorHAnsi"/>
          <w:sz w:val="18"/>
          <w:szCs w:val="18"/>
        </w:rPr>
      </w:pPr>
      <w:r w:rsidRPr="00707879">
        <w:rPr>
          <w:rStyle w:val="FootnoteReference"/>
          <w:rFonts w:ascii="Garamond" w:hAnsi="Garamond" w:cstheme="minorHAnsi"/>
          <w:sz w:val="18"/>
          <w:szCs w:val="18"/>
        </w:rPr>
        <w:footnoteRef/>
      </w:r>
      <w:r w:rsidRPr="00707879">
        <w:rPr>
          <w:rFonts w:ascii="Garamond" w:hAnsi="Garamond" w:cstheme="minorHAnsi"/>
          <w:sz w:val="18"/>
          <w:szCs w:val="18"/>
        </w:rPr>
        <w:t xml:space="preserve"> </w:t>
      </w:r>
      <w:r w:rsidRPr="00707879">
        <w:rPr>
          <w:rFonts w:ascii="Garamond" w:eastAsia="Arial" w:hAnsi="Garamond" w:cstheme="minorHAnsi"/>
          <w:spacing w:val="-1"/>
          <w:sz w:val="18"/>
          <w:szCs w:val="18"/>
        </w:rPr>
        <w:t>B</w:t>
      </w:r>
      <w:r w:rsidRPr="004B53F6">
        <w:rPr>
          <w:rFonts w:ascii="Garamond" w:eastAsia="Arial" w:hAnsi="Garamond" w:cstheme="minorHAnsi"/>
          <w:sz w:val="18"/>
          <w:szCs w:val="18"/>
        </w:rPr>
        <w:t>ut</w:t>
      </w:r>
      <w:r w:rsidRPr="004B53F6">
        <w:rPr>
          <w:rFonts w:ascii="Garamond" w:eastAsia="Arial" w:hAnsi="Garamond" w:cstheme="minorHAnsi"/>
          <w:spacing w:val="2"/>
          <w:sz w:val="18"/>
          <w:szCs w:val="18"/>
        </w:rPr>
        <w:t>t</w:t>
      </w:r>
      <w:r w:rsidRPr="004B53F6">
        <w:rPr>
          <w:rFonts w:ascii="Garamond" w:eastAsia="Arial" w:hAnsi="Garamond" w:cstheme="minorHAnsi"/>
          <w:sz w:val="18"/>
          <w:szCs w:val="18"/>
        </w:rPr>
        <w:t>e</w:t>
      </w:r>
      <w:r w:rsidRPr="004B53F6">
        <w:rPr>
          <w:rFonts w:ascii="Garamond" w:eastAsia="Arial" w:hAnsi="Garamond" w:cstheme="minorHAnsi"/>
          <w:spacing w:val="1"/>
          <w:sz w:val="18"/>
          <w:szCs w:val="18"/>
        </w:rPr>
        <w:t>r</w:t>
      </w:r>
      <w:r w:rsidRPr="004B53F6">
        <w:rPr>
          <w:rFonts w:ascii="Garamond" w:eastAsia="Arial" w:hAnsi="Garamond" w:cstheme="minorHAnsi"/>
          <w:spacing w:val="2"/>
          <w:sz w:val="18"/>
          <w:szCs w:val="18"/>
        </w:rPr>
        <w:t>f</w:t>
      </w:r>
      <w:r w:rsidRPr="004B53F6">
        <w:rPr>
          <w:rFonts w:ascii="Garamond" w:eastAsia="Arial" w:hAnsi="Garamond" w:cstheme="minorHAnsi"/>
          <w:spacing w:val="1"/>
          <w:sz w:val="18"/>
          <w:szCs w:val="18"/>
        </w:rPr>
        <w:t>l</w:t>
      </w:r>
      <w:r w:rsidRPr="004B53F6">
        <w:rPr>
          <w:rFonts w:ascii="Garamond" w:eastAsia="Arial" w:hAnsi="Garamond" w:cstheme="minorHAnsi"/>
          <w:sz w:val="18"/>
          <w:szCs w:val="18"/>
        </w:rPr>
        <w:t>y</w:t>
      </w:r>
      <w:r w:rsidRPr="004B53F6">
        <w:rPr>
          <w:rFonts w:ascii="Garamond" w:eastAsia="Arial" w:hAnsi="Garamond" w:cstheme="minorHAnsi"/>
          <w:spacing w:val="-11"/>
          <w:sz w:val="18"/>
          <w:szCs w:val="18"/>
        </w:rPr>
        <w:t xml:space="preserve"> </w:t>
      </w:r>
      <w:r w:rsidRPr="004B53F6">
        <w:rPr>
          <w:rFonts w:ascii="Garamond" w:eastAsia="Arial" w:hAnsi="Garamond" w:cstheme="minorHAnsi"/>
          <w:spacing w:val="1"/>
          <w:sz w:val="18"/>
          <w:szCs w:val="18"/>
        </w:rPr>
        <w:t>(</w:t>
      </w:r>
      <w:r w:rsidRPr="004B53F6">
        <w:rPr>
          <w:rFonts w:ascii="Garamond" w:eastAsia="Arial" w:hAnsi="Garamond" w:cstheme="minorHAnsi"/>
          <w:spacing w:val="-1"/>
          <w:sz w:val="18"/>
          <w:szCs w:val="18"/>
        </w:rPr>
        <w:t>A</w:t>
      </w:r>
      <w:r w:rsidRPr="004B53F6">
        <w:rPr>
          <w:rFonts w:ascii="Garamond" w:eastAsia="Arial" w:hAnsi="Garamond" w:cstheme="minorHAnsi"/>
          <w:spacing w:val="4"/>
          <w:sz w:val="18"/>
          <w:szCs w:val="18"/>
        </w:rPr>
        <w:t>s</w:t>
      </w:r>
      <w:r w:rsidRPr="004B53F6">
        <w:rPr>
          <w:rFonts w:ascii="Garamond" w:eastAsia="Arial" w:hAnsi="Garamond" w:cstheme="minorHAnsi"/>
          <w:spacing w:val="-1"/>
          <w:sz w:val="18"/>
          <w:szCs w:val="18"/>
        </w:rPr>
        <w:t>i</w:t>
      </w:r>
      <w:r w:rsidRPr="004B53F6">
        <w:rPr>
          <w:rFonts w:ascii="Garamond" w:eastAsia="Arial" w:hAnsi="Garamond" w:cstheme="minorHAnsi"/>
          <w:sz w:val="18"/>
          <w:szCs w:val="18"/>
        </w:rPr>
        <w:t>an</w:t>
      </w:r>
      <w:r w:rsidRPr="004B53F6">
        <w:rPr>
          <w:rFonts w:ascii="Garamond" w:eastAsia="Arial" w:hAnsi="Garamond" w:cstheme="minorHAnsi"/>
          <w:spacing w:val="-4"/>
          <w:sz w:val="18"/>
          <w:szCs w:val="18"/>
        </w:rPr>
        <w:t xml:space="preserve"> </w:t>
      </w:r>
      <w:r w:rsidRPr="004B53F6">
        <w:rPr>
          <w:rFonts w:ascii="Garamond" w:eastAsia="Arial" w:hAnsi="Garamond" w:cstheme="minorHAnsi"/>
          <w:sz w:val="18"/>
          <w:szCs w:val="18"/>
        </w:rPr>
        <w:t>and</w:t>
      </w:r>
      <w:r w:rsidRPr="004B53F6">
        <w:rPr>
          <w:rFonts w:ascii="Garamond" w:eastAsia="Arial" w:hAnsi="Garamond" w:cstheme="minorHAnsi"/>
          <w:spacing w:val="-1"/>
          <w:sz w:val="18"/>
          <w:szCs w:val="18"/>
        </w:rPr>
        <w:t xml:space="preserve"> </w:t>
      </w:r>
      <w:r w:rsidRPr="004B53F6">
        <w:rPr>
          <w:rFonts w:ascii="Garamond" w:eastAsia="Arial" w:hAnsi="Garamond" w:cstheme="minorHAnsi"/>
          <w:spacing w:val="2"/>
          <w:sz w:val="18"/>
          <w:szCs w:val="18"/>
        </w:rPr>
        <w:t>M</w:t>
      </w:r>
      <w:r w:rsidRPr="004B53F6">
        <w:rPr>
          <w:rFonts w:ascii="Garamond" w:eastAsia="Arial" w:hAnsi="Garamond" w:cstheme="minorHAnsi"/>
          <w:spacing w:val="-1"/>
          <w:sz w:val="18"/>
          <w:szCs w:val="18"/>
        </w:rPr>
        <w:t>i</w:t>
      </w:r>
      <w:r w:rsidRPr="004B53F6">
        <w:rPr>
          <w:rFonts w:ascii="Garamond" w:eastAsia="Arial" w:hAnsi="Garamond" w:cstheme="minorHAnsi"/>
          <w:sz w:val="18"/>
          <w:szCs w:val="18"/>
        </w:rPr>
        <w:t>g</w:t>
      </w:r>
      <w:r w:rsidRPr="004B53F6">
        <w:rPr>
          <w:rFonts w:ascii="Garamond" w:eastAsia="Arial" w:hAnsi="Garamond" w:cstheme="minorHAnsi"/>
          <w:spacing w:val="1"/>
          <w:sz w:val="18"/>
          <w:szCs w:val="18"/>
        </w:rPr>
        <w:t>r</w:t>
      </w:r>
      <w:r w:rsidRPr="004B53F6">
        <w:rPr>
          <w:rFonts w:ascii="Garamond" w:eastAsia="Arial" w:hAnsi="Garamond" w:cstheme="minorHAnsi"/>
          <w:spacing w:val="2"/>
          <w:sz w:val="18"/>
          <w:szCs w:val="18"/>
        </w:rPr>
        <w:t>a</w:t>
      </w:r>
      <w:r w:rsidRPr="004B53F6">
        <w:rPr>
          <w:rFonts w:ascii="Garamond" w:eastAsia="Arial" w:hAnsi="Garamond" w:cstheme="minorHAnsi"/>
          <w:sz w:val="18"/>
          <w:szCs w:val="18"/>
        </w:rPr>
        <w:t>nt</w:t>
      </w:r>
      <w:r w:rsidRPr="004B53F6">
        <w:rPr>
          <w:rFonts w:ascii="Garamond" w:eastAsia="Arial" w:hAnsi="Garamond" w:cstheme="minorHAnsi"/>
          <w:spacing w:val="-8"/>
          <w:sz w:val="18"/>
          <w:szCs w:val="18"/>
        </w:rPr>
        <w:t xml:space="preserve"> </w:t>
      </w:r>
      <w:r w:rsidRPr="004B53F6">
        <w:rPr>
          <w:rFonts w:ascii="Garamond" w:eastAsia="Arial" w:hAnsi="Garamond" w:cstheme="minorHAnsi"/>
          <w:spacing w:val="2"/>
          <w:sz w:val="18"/>
          <w:szCs w:val="18"/>
        </w:rPr>
        <w:t>S</w:t>
      </w:r>
      <w:r w:rsidRPr="004B53F6">
        <w:rPr>
          <w:rFonts w:ascii="Garamond" w:eastAsia="Arial" w:hAnsi="Garamond" w:cstheme="minorHAnsi"/>
          <w:sz w:val="18"/>
          <w:szCs w:val="18"/>
        </w:rPr>
        <w:t>ex</w:t>
      </w:r>
      <w:r w:rsidRPr="004B53F6">
        <w:rPr>
          <w:rFonts w:ascii="Garamond" w:eastAsia="Arial" w:hAnsi="Garamond" w:cstheme="minorHAnsi"/>
          <w:spacing w:val="-7"/>
          <w:sz w:val="18"/>
          <w:szCs w:val="18"/>
        </w:rPr>
        <w:t xml:space="preserve"> </w:t>
      </w:r>
      <w:r w:rsidRPr="004B53F6">
        <w:rPr>
          <w:rFonts w:ascii="Garamond" w:eastAsia="Arial" w:hAnsi="Garamond" w:cstheme="minorHAnsi"/>
          <w:spacing w:val="9"/>
          <w:sz w:val="18"/>
          <w:szCs w:val="18"/>
        </w:rPr>
        <w:t>W</w:t>
      </w:r>
      <w:r w:rsidRPr="004B53F6">
        <w:rPr>
          <w:rFonts w:ascii="Garamond" w:eastAsia="Arial" w:hAnsi="Garamond" w:cstheme="minorHAnsi"/>
          <w:sz w:val="18"/>
          <w:szCs w:val="18"/>
        </w:rPr>
        <w:t>o</w:t>
      </w:r>
      <w:r w:rsidRPr="004B53F6">
        <w:rPr>
          <w:rFonts w:ascii="Garamond" w:eastAsia="Arial" w:hAnsi="Garamond" w:cstheme="minorHAnsi"/>
          <w:spacing w:val="-2"/>
          <w:sz w:val="18"/>
          <w:szCs w:val="18"/>
        </w:rPr>
        <w:t>r</w:t>
      </w:r>
      <w:r w:rsidRPr="004B53F6">
        <w:rPr>
          <w:rFonts w:ascii="Garamond" w:eastAsia="Arial" w:hAnsi="Garamond" w:cstheme="minorHAnsi"/>
          <w:spacing w:val="4"/>
          <w:sz w:val="18"/>
          <w:szCs w:val="18"/>
        </w:rPr>
        <w:t>k</w:t>
      </w:r>
      <w:r w:rsidRPr="004B53F6">
        <w:rPr>
          <w:rFonts w:ascii="Garamond" w:eastAsia="Arial" w:hAnsi="Garamond" w:cstheme="minorHAnsi"/>
          <w:sz w:val="18"/>
          <w:szCs w:val="18"/>
        </w:rPr>
        <w:t>e</w:t>
      </w:r>
      <w:r w:rsidRPr="004B53F6">
        <w:rPr>
          <w:rFonts w:ascii="Garamond" w:eastAsia="Arial" w:hAnsi="Garamond" w:cstheme="minorHAnsi"/>
          <w:spacing w:val="1"/>
          <w:sz w:val="18"/>
          <w:szCs w:val="18"/>
        </w:rPr>
        <w:t>r</w:t>
      </w:r>
      <w:r w:rsidRPr="004B53F6">
        <w:rPr>
          <w:rFonts w:ascii="Garamond" w:eastAsia="Arial" w:hAnsi="Garamond" w:cstheme="minorHAnsi"/>
          <w:sz w:val="18"/>
          <w:szCs w:val="18"/>
        </w:rPr>
        <w:t>s</w:t>
      </w:r>
      <w:r w:rsidRPr="004B53F6">
        <w:rPr>
          <w:rFonts w:ascii="Garamond" w:eastAsia="Arial" w:hAnsi="Garamond" w:cstheme="minorHAnsi"/>
          <w:spacing w:val="-6"/>
          <w:sz w:val="18"/>
          <w:szCs w:val="18"/>
        </w:rPr>
        <w:t xml:space="preserve"> </w:t>
      </w:r>
      <w:r w:rsidRPr="004B53F6">
        <w:rPr>
          <w:rFonts w:ascii="Garamond" w:eastAsia="Arial" w:hAnsi="Garamond" w:cstheme="minorHAnsi"/>
          <w:spacing w:val="-1"/>
          <w:sz w:val="18"/>
          <w:szCs w:val="18"/>
        </w:rPr>
        <w:t>S</w:t>
      </w:r>
      <w:r w:rsidRPr="004B53F6">
        <w:rPr>
          <w:rFonts w:ascii="Garamond" w:eastAsia="Arial" w:hAnsi="Garamond" w:cstheme="minorHAnsi"/>
          <w:sz w:val="18"/>
          <w:szCs w:val="18"/>
        </w:rPr>
        <w:t>uppo</w:t>
      </w:r>
      <w:r w:rsidRPr="004B53F6">
        <w:rPr>
          <w:rFonts w:ascii="Garamond" w:eastAsia="Arial" w:hAnsi="Garamond" w:cstheme="minorHAnsi"/>
          <w:spacing w:val="1"/>
          <w:sz w:val="18"/>
          <w:szCs w:val="18"/>
        </w:rPr>
        <w:t>r</w:t>
      </w:r>
      <w:r w:rsidRPr="004B53F6">
        <w:rPr>
          <w:rFonts w:ascii="Garamond" w:eastAsia="Arial" w:hAnsi="Garamond" w:cstheme="minorHAnsi"/>
          <w:sz w:val="18"/>
          <w:szCs w:val="18"/>
        </w:rPr>
        <w:t>t</w:t>
      </w:r>
      <w:r w:rsidRPr="004B53F6">
        <w:rPr>
          <w:rFonts w:ascii="Garamond" w:eastAsia="Arial" w:hAnsi="Garamond" w:cstheme="minorHAnsi"/>
          <w:spacing w:val="-8"/>
          <w:sz w:val="18"/>
          <w:szCs w:val="18"/>
        </w:rPr>
        <w:t xml:space="preserve"> </w:t>
      </w:r>
      <w:r w:rsidRPr="004B53F6">
        <w:rPr>
          <w:rFonts w:ascii="Garamond" w:eastAsia="Arial" w:hAnsi="Garamond" w:cstheme="minorHAnsi"/>
          <w:sz w:val="18"/>
          <w:szCs w:val="18"/>
        </w:rPr>
        <w:t>N</w:t>
      </w:r>
      <w:r w:rsidRPr="004B53F6">
        <w:rPr>
          <w:rFonts w:ascii="Garamond" w:eastAsia="Arial" w:hAnsi="Garamond" w:cstheme="minorHAnsi"/>
          <w:spacing w:val="2"/>
          <w:sz w:val="18"/>
          <w:szCs w:val="18"/>
        </w:rPr>
        <w:t>e</w:t>
      </w:r>
      <w:r w:rsidRPr="004B53F6">
        <w:rPr>
          <w:rFonts w:ascii="Garamond" w:eastAsia="Arial" w:hAnsi="Garamond" w:cstheme="minorHAnsi"/>
          <w:sz w:val="18"/>
          <w:szCs w:val="18"/>
        </w:rPr>
        <w:t>two</w:t>
      </w:r>
      <w:r w:rsidRPr="004B53F6">
        <w:rPr>
          <w:rFonts w:ascii="Garamond" w:eastAsia="Arial" w:hAnsi="Garamond" w:cstheme="minorHAnsi"/>
          <w:spacing w:val="1"/>
          <w:sz w:val="18"/>
          <w:szCs w:val="18"/>
        </w:rPr>
        <w:t>r</w:t>
      </w:r>
      <w:r w:rsidRPr="004B53F6">
        <w:rPr>
          <w:rFonts w:ascii="Garamond" w:eastAsia="Arial" w:hAnsi="Garamond" w:cstheme="minorHAnsi"/>
          <w:spacing w:val="4"/>
          <w:sz w:val="18"/>
          <w:szCs w:val="18"/>
        </w:rPr>
        <w:t>k</w:t>
      </w:r>
      <w:r w:rsidRPr="004B53F6">
        <w:rPr>
          <w:rFonts w:ascii="Garamond" w:eastAsia="Arial" w:hAnsi="Garamond" w:cstheme="minorHAnsi"/>
          <w:spacing w:val="1"/>
          <w:sz w:val="18"/>
          <w:szCs w:val="18"/>
        </w:rPr>
        <w:t>)</w:t>
      </w:r>
      <w:r w:rsidRPr="004B53F6">
        <w:rPr>
          <w:rFonts w:ascii="Garamond" w:eastAsia="Arial" w:hAnsi="Garamond" w:cstheme="minorHAnsi"/>
          <w:sz w:val="18"/>
          <w:szCs w:val="18"/>
        </w:rPr>
        <w:t>,</w:t>
      </w:r>
      <w:r w:rsidRPr="004B53F6">
        <w:rPr>
          <w:rFonts w:ascii="Garamond" w:eastAsia="Arial" w:hAnsi="Garamond" w:cstheme="minorHAnsi"/>
          <w:spacing w:val="-10"/>
          <w:sz w:val="18"/>
          <w:szCs w:val="18"/>
        </w:rPr>
        <w:t xml:space="preserve"> </w:t>
      </w:r>
      <w:r w:rsidRPr="004B53F6">
        <w:rPr>
          <w:rFonts w:ascii="Garamond" w:eastAsia="Arial" w:hAnsi="Garamond" w:cstheme="minorHAnsi"/>
          <w:i/>
          <w:spacing w:val="-1"/>
          <w:sz w:val="18"/>
          <w:szCs w:val="18"/>
        </w:rPr>
        <w:t>S</w:t>
      </w:r>
      <w:r w:rsidRPr="004B53F6">
        <w:rPr>
          <w:rFonts w:ascii="Garamond" w:eastAsia="Arial" w:hAnsi="Garamond" w:cstheme="minorHAnsi"/>
          <w:i/>
          <w:sz w:val="18"/>
          <w:szCs w:val="18"/>
        </w:rPr>
        <w:t>top</w:t>
      </w:r>
      <w:r w:rsidRPr="004B53F6">
        <w:rPr>
          <w:rFonts w:ascii="Garamond" w:eastAsia="Arial" w:hAnsi="Garamond" w:cstheme="minorHAnsi"/>
          <w:i/>
          <w:spacing w:val="-5"/>
          <w:sz w:val="18"/>
          <w:szCs w:val="18"/>
        </w:rPr>
        <w:t xml:space="preserve"> </w:t>
      </w:r>
      <w:r w:rsidRPr="004B53F6">
        <w:rPr>
          <w:rFonts w:ascii="Garamond" w:eastAsia="Arial" w:hAnsi="Garamond" w:cstheme="minorHAnsi"/>
          <w:i/>
          <w:sz w:val="18"/>
          <w:szCs w:val="18"/>
        </w:rPr>
        <w:t>t</w:t>
      </w:r>
      <w:r w:rsidRPr="004B53F6">
        <w:rPr>
          <w:rFonts w:ascii="Garamond" w:eastAsia="Arial" w:hAnsi="Garamond" w:cstheme="minorHAnsi"/>
          <w:i/>
          <w:spacing w:val="2"/>
          <w:sz w:val="18"/>
          <w:szCs w:val="18"/>
        </w:rPr>
        <w:t>h</w:t>
      </w:r>
      <w:r w:rsidRPr="004B53F6">
        <w:rPr>
          <w:rFonts w:ascii="Garamond" w:eastAsia="Arial" w:hAnsi="Garamond" w:cstheme="minorHAnsi"/>
          <w:i/>
          <w:sz w:val="18"/>
          <w:szCs w:val="18"/>
        </w:rPr>
        <w:t>e</w:t>
      </w:r>
      <w:r w:rsidRPr="004B53F6">
        <w:rPr>
          <w:rFonts w:ascii="Garamond" w:eastAsia="Arial" w:hAnsi="Garamond" w:cstheme="minorHAnsi"/>
          <w:i/>
          <w:spacing w:val="-4"/>
          <w:sz w:val="18"/>
          <w:szCs w:val="18"/>
        </w:rPr>
        <w:t xml:space="preserve"> </w:t>
      </w:r>
      <w:r w:rsidRPr="004B53F6">
        <w:rPr>
          <w:rFonts w:ascii="Garamond" w:eastAsia="Arial" w:hAnsi="Garamond" w:cstheme="minorHAnsi"/>
          <w:i/>
          <w:sz w:val="18"/>
          <w:szCs w:val="18"/>
        </w:rPr>
        <w:t>ha</w:t>
      </w:r>
      <w:r w:rsidRPr="004B53F6">
        <w:rPr>
          <w:rFonts w:ascii="Garamond" w:eastAsia="Arial" w:hAnsi="Garamond" w:cstheme="minorHAnsi"/>
          <w:i/>
          <w:spacing w:val="3"/>
          <w:sz w:val="18"/>
          <w:szCs w:val="18"/>
        </w:rPr>
        <w:t>r</w:t>
      </w:r>
      <w:r w:rsidRPr="004B53F6">
        <w:rPr>
          <w:rFonts w:ascii="Garamond" w:eastAsia="Arial" w:hAnsi="Garamond" w:cstheme="minorHAnsi"/>
          <w:i/>
          <w:sz w:val="18"/>
          <w:szCs w:val="18"/>
        </w:rPr>
        <w:t>m</w:t>
      </w:r>
      <w:r w:rsidRPr="004B53F6">
        <w:rPr>
          <w:rFonts w:ascii="Garamond" w:eastAsia="Arial" w:hAnsi="Garamond" w:cstheme="minorHAnsi"/>
          <w:i/>
          <w:spacing w:val="-6"/>
          <w:sz w:val="18"/>
          <w:szCs w:val="18"/>
        </w:rPr>
        <w:t xml:space="preserve"> </w:t>
      </w:r>
      <w:r w:rsidRPr="004B53F6">
        <w:rPr>
          <w:rFonts w:ascii="Garamond" w:eastAsia="Arial" w:hAnsi="Garamond" w:cstheme="minorHAnsi"/>
          <w:i/>
          <w:sz w:val="18"/>
          <w:szCs w:val="18"/>
        </w:rPr>
        <w:t>f</w:t>
      </w:r>
      <w:r w:rsidRPr="004B53F6">
        <w:rPr>
          <w:rFonts w:ascii="Garamond" w:eastAsia="Arial" w:hAnsi="Garamond" w:cstheme="minorHAnsi"/>
          <w:i/>
          <w:spacing w:val="1"/>
          <w:sz w:val="18"/>
          <w:szCs w:val="18"/>
        </w:rPr>
        <w:t>r</w:t>
      </w:r>
      <w:r w:rsidRPr="004B53F6">
        <w:rPr>
          <w:rFonts w:ascii="Garamond" w:eastAsia="Arial" w:hAnsi="Garamond" w:cstheme="minorHAnsi"/>
          <w:i/>
          <w:sz w:val="18"/>
          <w:szCs w:val="18"/>
        </w:rPr>
        <w:t>om ant</w:t>
      </w:r>
      <w:r w:rsidRPr="004B53F6">
        <w:rPr>
          <w:rFonts w:ascii="Garamond" w:eastAsia="Arial" w:hAnsi="Garamond" w:cstheme="minorHAnsi"/>
          <w:i/>
          <w:spacing w:val="1"/>
          <w:sz w:val="18"/>
          <w:szCs w:val="18"/>
        </w:rPr>
        <w:t>i-</w:t>
      </w:r>
      <w:r w:rsidRPr="004B53F6">
        <w:rPr>
          <w:rFonts w:ascii="Garamond" w:eastAsia="Arial" w:hAnsi="Garamond" w:cstheme="minorHAnsi"/>
          <w:i/>
          <w:sz w:val="18"/>
          <w:szCs w:val="18"/>
        </w:rPr>
        <w:t>t</w:t>
      </w:r>
      <w:r w:rsidRPr="004B53F6">
        <w:rPr>
          <w:rFonts w:ascii="Garamond" w:eastAsia="Arial" w:hAnsi="Garamond" w:cstheme="minorHAnsi"/>
          <w:i/>
          <w:spacing w:val="1"/>
          <w:sz w:val="18"/>
          <w:szCs w:val="18"/>
        </w:rPr>
        <w:t>r</w:t>
      </w:r>
      <w:r w:rsidRPr="004B53F6">
        <w:rPr>
          <w:rFonts w:ascii="Garamond" w:eastAsia="Arial" w:hAnsi="Garamond" w:cstheme="minorHAnsi"/>
          <w:i/>
          <w:spacing w:val="2"/>
          <w:sz w:val="18"/>
          <w:szCs w:val="18"/>
        </w:rPr>
        <w:t>a</w:t>
      </w:r>
      <w:r w:rsidRPr="004B53F6">
        <w:rPr>
          <w:rFonts w:ascii="Garamond" w:eastAsia="Arial" w:hAnsi="Garamond" w:cstheme="minorHAnsi"/>
          <w:i/>
          <w:sz w:val="18"/>
          <w:szCs w:val="18"/>
        </w:rPr>
        <w:t>ff</w:t>
      </w:r>
      <w:r w:rsidRPr="004B53F6">
        <w:rPr>
          <w:rFonts w:ascii="Garamond" w:eastAsia="Arial" w:hAnsi="Garamond" w:cstheme="minorHAnsi"/>
          <w:i/>
          <w:spacing w:val="-1"/>
          <w:sz w:val="18"/>
          <w:szCs w:val="18"/>
        </w:rPr>
        <w:t>i</w:t>
      </w:r>
      <w:r w:rsidRPr="004B53F6">
        <w:rPr>
          <w:rFonts w:ascii="Garamond" w:eastAsia="Arial" w:hAnsi="Garamond" w:cstheme="minorHAnsi"/>
          <w:i/>
          <w:spacing w:val="1"/>
          <w:sz w:val="18"/>
          <w:szCs w:val="18"/>
        </w:rPr>
        <w:t>ck</w:t>
      </w:r>
      <w:r w:rsidRPr="004B53F6">
        <w:rPr>
          <w:rFonts w:ascii="Garamond" w:eastAsia="Arial" w:hAnsi="Garamond" w:cstheme="minorHAnsi"/>
          <w:i/>
          <w:spacing w:val="-1"/>
          <w:sz w:val="18"/>
          <w:szCs w:val="18"/>
        </w:rPr>
        <w:t>i</w:t>
      </w:r>
      <w:r w:rsidRPr="004B53F6">
        <w:rPr>
          <w:rFonts w:ascii="Garamond" w:eastAsia="Arial" w:hAnsi="Garamond" w:cstheme="minorHAnsi"/>
          <w:i/>
          <w:spacing w:val="2"/>
          <w:sz w:val="18"/>
          <w:szCs w:val="18"/>
        </w:rPr>
        <w:t>n</w:t>
      </w:r>
      <w:r w:rsidRPr="004B53F6">
        <w:rPr>
          <w:rFonts w:ascii="Garamond" w:eastAsia="Arial" w:hAnsi="Garamond" w:cstheme="minorHAnsi"/>
          <w:i/>
          <w:sz w:val="18"/>
          <w:szCs w:val="18"/>
        </w:rPr>
        <w:t>g</w:t>
      </w:r>
      <w:r w:rsidRPr="004B53F6">
        <w:rPr>
          <w:rFonts w:ascii="Garamond" w:eastAsia="Arial" w:hAnsi="Garamond" w:cstheme="minorHAnsi"/>
          <w:i/>
          <w:spacing w:val="-13"/>
          <w:sz w:val="18"/>
          <w:szCs w:val="18"/>
        </w:rPr>
        <w:t xml:space="preserve"> </w:t>
      </w:r>
      <w:r w:rsidRPr="004B53F6">
        <w:rPr>
          <w:rFonts w:ascii="Garamond" w:eastAsia="Arial" w:hAnsi="Garamond" w:cstheme="minorHAnsi"/>
          <w:i/>
          <w:spacing w:val="2"/>
          <w:sz w:val="18"/>
          <w:szCs w:val="18"/>
        </w:rPr>
        <w:t>p</w:t>
      </w:r>
      <w:r w:rsidRPr="004B53F6">
        <w:rPr>
          <w:rFonts w:ascii="Garamond" w:eastAsia="Arial" w:hAnsi="Garamond" w:cstheme="minorHAnsi"/>
          <w:i/>
          <w:sz w:val="18"/>
          <w:szCs w:val="18"/>
        </w:rPr>
        <w:t>o</w:t>
      </w:r>
      <w:r w:rsidRPr="004B53F6">
        <w:rPr>
          <w:rFonts w:ascii="Garamond" w:eastAsia="Arial" w:hAnsi="Garamond" w:cstheme="minorHAnsi"/>
          <w:i/>
          <w:spacing w:val="1"/>
          <w:sz w:val="18"/>
          <w:szCs w:val="18"/>
        </w:rPr>
        <w:t>l</w:t>
      </w:r>
      <w:r w:rsidRPr="004B53F6">
        <w:rPr>
          <w:rFonts w:ascii="Garamond" w:eastAsia="Arial" w:hAnsi="Garamond" w:cstheme="minorHAnsi"/>
          <w:i/>
          <w:spacing w:val="-1"/>
          <w:sz w:val="18"/>
          <w:szCs w:val="18"/>
        </w:rPr>
        <w:t>i</w:t>
      </w:r>
      <w:r w:rsidRPr="004B53F6">
        <w:rPr>
          <w:rFonts w:ascii="Garamond" w:eastAsia="Arial" w:hAnsi="Garamond" w:cstheme="minorHAnsi"/>
          <w:i/>
          <w:spacing w:val="1"/>
          <w:sz w:val="18"/>
          <w:szCs w:val="18"/>
        </w:rPr>
        <w:t>c</w:t>
      </w:r>
      <w:r w:rsidRPr="004B53F6">
        <w:rPr>
          <w:rFonts w:ascii="Garamond" w:eastAsia="Arial" w:hAnsi="Garamond" w:cstheme="minorHAnsi"/>
          <w:i/>
          <w:spacing w:val="-1"/>
          <w:sz w:val="18"/>
          <w:szCs w:val="18"/>
        </w:rPr>
        <w:t>i</w:t>
      </w:r>
      <w:r w:rsidRPr="004B53F6">
        <w:rPr>
          <w:rFonts w:ascii="Garamond" w:eastAsia="Arial" w:hAnsi="Garamond" w:cstheme="minorHAnsi"/>
          <w:i/>
          <w:sz w:val="18"/>
          <w:szCs w:val="18"/>
        </w:rPr>
        <w:t>es</w:t>
      </w:r>
      <w:r w:rsidRPr="004B53F6">
        <w:rPr>
          <w:rFonts w:ascii="Garamond" w:eastAsia="Arial" w:hAnsi="Garamond" w:cstheme="minorHAnsi"/>
          <w:sz w:val="18"/>
          <w:szCs w:val="18"/>
        </w:rPr>
        <w:t xml:space="preserve"> </w:t>
      </w:r>
      <w:r w:rsidRPr="004B53F6">
        <w:rPr>
          <w:rFonts w:ascii="Garamond" w:eastAsia="Arial" w:hAnsi="Garamond" w:cstheme="minorHAnsi"/>
          <w:i/>
          <w:sz w:val="18"/>
          <w:szCs w:val="18"/>
        </w:rPr>
        <w:t>&amp;</w:t>
      </w:r>
      <w:r w:rsidRPr="004B53F6">
        <w:rPr>
          <w:rFonts w:ascii="Garamond" w:eastAsia="Arial" w:hAnsi="Garamond" w:cstheme="minorHAnsi"/>
          <w:i/>
          <w:spacing w:val="-2"/>
          <w:sz w:val="18"/>
          <w:szCs w:val="18"/>
        </w:rPr>
        <w:t xml:space="preserve"> </w:t>
      </w:r>
      <w:r w:rsidRPr="004B53F6">
        <w:rPr>
          <w:rFonts w:ascii="Garamond" w:eastAsia="Arial" w:hAnsi="Garamond" w:cstheme="minorHAnsi"/>
          <w:i/>
          <w:spacing w:val="1"/>
          <w:sz w:val="18"/>
          <w:szCs w:val="18"/>
        </w:rPr>
        <w:t>c</w:t>
      </w:r>
      <w:r w:rsidRPr="004B53F6">
        <w:rPr>
          <w:rFonts w:ascii="Garamond" w:eastAsia="Arial" w:hAnsi="Garamond" w:cstheme="minorHAnsi"/>
          <w:i/>
          <w:sz w:val="18"/>
          <w:szCs w:val="18"/>
        </w:rPr>
        <w:t>a</w:t>
      </w:r>
      <w:r w:rsidRPr="004B53F6">
        <w:rPr>
          <w:rFonts w:ascii="Garamond" w:eastAsia="Arial" w:hAnsi="Garamond" w:cstheme="minorHAnsi"/>
          <w:i/>
          <w:spacing w:val="2"/>
          <w:sz w:val="18"/>
          <w:szCs w:val="18"/>
        </w:rPr>
        <w:t>m</w:t>
      </w:r>
      <w:r w:rsidRPr="004B53F6">
        <w:rPr>
          <w:rFonts w:ascii="Garamond" w:eastAsia="Arial" w:hAnsi="Garamond" w:cstheme="minorHAnsi"/>
          <w:i/>
          <w:sz w:val="18"/>
          <w:szCs w:val="18"/>
        </w:rPr>
        <w:t>pa</w:t>
      </w:r>
      <w:r w:rsidRPr="004B53F6">
        <w:rPr>
          <w:rFonts w:ascii="Garamond" w:eastAsia="Arial" w:hAnsi="Garamond" w:cstheme="minorHAnsi"/>
          <w:i/>
          <w:spacing w:val="1"/>
          <w:sz w:val="18"/>
          <w:szCs w:val="18"/>
        </w:rPr>
        <w:t>i</w:t>
      </w:r>
      <w:r w:rsidRPr="004B53F6">
        <w:rPr>
          <w:rFonts w:ascii="Garamond" w:eastAsia="Arial" w:hAnsi="Garamond" w:cstheme="minorHAnsi"/>
          <w:i/>
          <w:sz w:val="18"/>
          <w:szCs w:val="18"/>
        </w:rPr>
        <w:t>gn</w:t>
      </w:r>
      <w:r w:rsidRPr="004B53F6">
        <w:rPr>
          <w:rFonts w:ascii="Garamond" w:eastAsia="Arial" w:hAnsi="Garamond" w:cstheme="minorHAnsi"/>
          <w:i/>
          <w:spacing w:val="1"/>
          <w:sz w:val="18"/>
          <w:szCs w:val="18"/>
        </w:rPr>
        <w:t>s</w:t>
      </w:r>
      <w:r w:rsidRPr="004B53F6">
        <w:rPr>
          <w:rFonts w:ascii="Garamond" w:eastAsia="Arial" w:hAnsi="Garamond" w:cstheme="minorHAnsi"/>
          <w:i/>
          <w:sz w:val="18"/>
          <w:szCs w:val="18"/>
        </w:rPr>
        <w:t>:</w:t>
      </w:r>
      <w:r w:rsidRPr="004B53F6">
        <w:rPr>
          <w:rFonts w:ascii="Garamond" w:eastAsia="Arial" w:hAnsi="Garamond" w:cstheme="minorHAnsi"/>
          <w:i/>
          <w:spacing w:val="-11"/>
          <w:sz w:val="18"/>
          <w:szCs w:val="18"/>
        </w:rPr>
        <w:t xml:space="preserve"> </w:t>
      </w:r>
      <w:r w:rsidRPr="004B53F6">
        <w:rPr>
          <w:rFonts w:ascii="Garamond" w:eastAsia="Arial" w:hAnsi="Garamond" w:cstheme="minorHAnsi"/>
          <w:i/>
          <w:spacing w:val="1"/>
          <w:sz w:val="18"/>
          <w:szCs w:val="18"/>
        </w:rPr>
        <w:t>s</w:t>
      </w:r>
      <w:r w:rsidRPr="004B53F6">
        <w:rPr>
          <w:rFonts w:ascii="Garamond" w:eastAsia="Arial" w:hAnsi="Garamond" w:cstheme="minorHAnsi"/>
          <w:i/>
          <w:sz w:val="18"/>
          <w:szCs w:val="18"/>
        </w:rPr>
        <w:t>u</w:t>
      </w:r>
      <w:r w:rsidRPr="004B53F6">
        <w:rPr>
          <w:rFonts w:ascii="Garamond" w:eastAsia="Arial" w:hAnsi="Garamond" w:cstheme="minorHAnsi"/>
          <w:i/>
          <w:spacing w:val="2"/>
          <w:sz w:val="18"/>
          <w:szCs w:val="18"/>
        </w:rPr>
        <w:t>p</w:t>
      </w:r>
      <w:r w:rsidRPr="004B53F6">
        <w:rPr>
          <w:rFonts w:ascii="Garamond" w:eastAsia="Arial" w:hAnsi="Garamond" w:cstheme="minorHAnsi"/>
          <w:i/>
          <w:sz w:val="18"/>
          <w:szCs w:val="18"/>
        </w:rPr>
        <w:t>po</w:t>
      </w:r>
      <w:r w:rsidRPr="004B53F6">
        <w:rPr>
          <w:rFonts w:ascii="Garamond" w:eastAsia="Arial" w:hAnsi="Garamond" w:cstheme="minorHAnsi"/>
          <w:i/>
          <w:spacing w:val="1"/>
          <w:sz w:val="18"/>
          <w:szCs w:val="18"/>
        </w:rPr>
        <w:t>r</w:t>
      </w:r>
      <w:r w:rsidRPr="004B53F6">
        <w:rPr>
          <w:rFonts w:ascii="Garamond" w:eastAsia="Arial" w:hAnsi="Garamond" w:cstheme="minorHAnsi"/>
          <w:i/>
          <w:sz w:val="18"/>
          <w:szCs w:val="18"/>
        </w:rPr>
        <w:t>t</w:t>
      </w:r>
      <w:r w:rsidRPr="004B53F6">
        <w:rPr>
          <w:rFonts w:ascii="Garamond" w:eastAsia="Arial" w:hAnsi="Garamond" w:cstheme="minorHAnsi"/>
          <w:i/>
          <w:spacing w:val="-8"/>
          <w:sz w:val="18"/>
          <w:szCs w:val="18"/>
        </w:rPr>
        <w:t xml:space="preserve"> </w:t>
      </w:r>
      <w:r w:rsidRPr="004B53F6">
        <w:rPr>
          <w:rFonts w:ascii="Garamond" w:eastAsia="Arial" w:hAnsi="Garamond" w:cstheme="minorHAnsi"/>
          <w:i/>
          <w:spacing w:val="1"/>
          <w:sz w:val="18"/>
          <w:szCs w:val="18"/>
        </w:rPr>
        <w:t>s</w:t>
      </w:r>
      <w:r w:rsidRPr="004B53F6">
        <w:rPr>
          <w:rFonts w:ascii="Garamond" w:eastAsia="Arial" w:hAnsi="Garamond" w:cstheme="minorHAnsi"/>
          <w:i/>
          <w:sz w:val="18"/>
          <w:szCs w:val="18"/>
        </w:rPr>
        <w:t>ex wo</w:t>
      </w:r>
      <w:r w:rsidRPr="004B53F6">
        <w:rPr>
          <w:rFonts w:ascii="Garamond" w:eastAsia="Arial" w:hAnsi="Garamond" w:cstheme="minorHAnsi"/>
          <w:i/>
          <w:spacing w:val="1"/>
          <w:sz w:val="18"/>
          <w:szCs w:val="18"/>
        </w:rPr>
        <w:t>rk</w:t>
      </w:r>
      <w:r w:rsidRPr="004B53F6">
        <w:rPr>
          <w:rFonts w:ascii="Garamond" w:eastAsia="Arial" w:hAnsi="Garamond" w:cstheme="minorHAnsi"/>
          <w:i/>
          <w:sz w:val="18"/>
          <w:szCs w:val="18"/>
        </w:rPr>
        <w:t>e</w:t>
      </w:r>
      <w:r w:rsidRPr="004B53F6">
        <w:rPr>
          <w:rFonts w:ascii="Garamond" w:eastAsia="Arial" w:hAnsi="Garamond" w:cstheme="minorHAnsi"/>
          <w:i/>
          <w:spacing w:val="1"/>
          <w:sz w:val="18"/>
          <w:szCs w:val="18"/>
        </w:rPr>
        <w:t>r</w:t>
      </w:r>
      <w:r w:rsidRPr="004B53F6">
        <w:rPr>
          <w:rFonts w:ascii="Garamond" w:eastAsia="Arial" w:hAnsi="Garamond" w:cstheme="minorHAnsi"/>
          <w:i/>
          <w:spacing w:val="4"/>
          <w:sz w:val="18"/>
          <w:szCs w:val="18"/>
        </w:rPr>
        <w:t>s</w:t>
      </w:r>
      <w:r w:rsidRPr="004B53F6">
        <w:rPr>
          <w:rFonts w:ascii="Garamond" w:eastAsia="Arial" w:hAnsi="Garamond" w:cstheme="minorHAnsi"/>
          <w:i/>
          <w:sz w:val="18"/>
          <w:szCs w:val="18"/>
        </w:rPr>
        <w:t>’</w:t>
      </w:r>
      <w:r w:rsidRPr="004B53F6">
        <w:rPr>
          <w:rFonts w:ascii="Garamond" w:eastAsia="Arial" w:hAnsi="Garamond" w:cstheme="minorHAnsi"/>
          <w:i/>
          <w:spacing w:val="-13"/>
          <w:sz w:val="18"/>
          <w:szCs w:val="18"/>
        </w:rPr>
        <w:t xml:space="preserve"> </w:t>
      </w:r>
      <w:r w:rsidRPr="004B53F6">
        <w:rPr>
          <w:rFonts w:ascii="Garamond" w:eastAsia="Arial" w:hAnsi="Garamond" w:cstheme="minorHAnsi"/>
          <w:i/>
          <w:spacing w:val="3"/>
          <w:sz w:val="18"/>
          <w:szCs w:val="18"/>
        </w:rPr>
        <w:t>r</w:t>
      </w:r>
      <w:r w:rsidRPr="004B53F6">
        <w:rPr>
          <w:rFonts w:ascii="Garamond" w:eastAsia="Arial" w:hAnsi="Garamond" w:cstheme="minorHAnsi"/>
          <w:i/>
          <w:spacing w:val="-1"/>
          <w:sz w:val="18"/>
          <w:szCs w:val="18"/>
        </w:rPr>
        <w:t>i</w:t>
      </w:r>
      <w:r w:rsidRPr="004B53F6">
        <w:rPr>
          <w:rFonts w:ascii="Garamond" w:eastAsia="Arial" w:hAnsi="Garamond" w:cstheme="minorHAnsi"/>
          <w:i/>
          <w:sz w:val="18"/>
          <w:szCs w:val="18"/>
        </w:rPr>
        <w:t>g</w:t>
      </w:r>
      <w:r w:rsidRPr="004B53F6">
        <w:rPr>
          <w:rFonts w:ascii="Garamond" w:eastAsia="Arial" w:hAnsi="Garamond" w:cstheme="minorHAnsi"/>
          <w:i/>
          <w:spacing w:val="2"/>
          <w:sz w:val="18"/>
          <w:szCs w:val="18"/>
        </w:rPr>
        <w:t>h</w:t>
      </w:r>
      <w:r w:rsidRPr="004B53F6">
        <w:rPr>
          <w:rFonts w:ascii="Garamond" w:eastAsia="Arial" w:hAnsi="Garamond" w:cstheme="minorHAnsi"/>
          <w:i/>
          <w:sz w:val="18"/>
          <w:szCs w:val="18"/>
        </w:rPr>
        <w:t>t</w:t>
      </w:r>
      <w:r w:rsidRPr="004B53F6">
        <w:rPr>
          <w:rFonts w:ascii="Garamond" w:eastAsia="Arial" w:hAnsi="Garamond" w:cstheme="minorHAnsi"/>
          <w:i/>
          <w:spacing w:val="1"/>
          <w:sz w:val="18"/>
          <w:szCs w:val="18"/>
        </w:rPr>
        <w:t>s</w:t>
      </w:r>
      <w:r w:rsidRPr="004B53F6">
        <w:rPr>
          <w:rFonts w:ascii="Garamond" w:eastAsia="Arial" w:hAnsi="Garamond" w:cstheme="minorHAnsi"/>
          <w:i/>
          <w:sz w:val="18"/>
          <w:szCs w:val="18"/>
        </w:rPr>
        <w:t>,</w:t>
      </w:r>
      <w:r w:rsidRPr="004B53F6">
        <w:rPr>
          <w:rFonts w:ascii="Garamond" w:eastAsia="Arial" w:hAnsi="Garamond" w:cstheme="minorHAnsi"/>
          <w:i/>
          <w:spacing w:val="-6"/>
          <w:sz w:val="18"/>
          <w:szCs w:val="18"/>
        </w:rPr>
        <w:t xml:space="preserve"> </w:t>
      </w:r>
      <w:r w:rsidRPr="004B53F6">
        <w:rPr>
          <w:rFonts w:ascii="Garamond" w:eastAsia="Arial" w:hAnsi="Garamond" w:cstheme="minorHAnsi"/>
          <w:i/>
          <w:spacing w:val="-1"/>
          <w:sz w:val="18"/>
          <w:szCs w:val="18"/>
        </w:rPr>
        <w:t>j</w:t>
      </w:r>
      <w:r w:rsidRPr="004B53F6">
        <w:rPr>
          <w:rFonts w:ascii="Garamond" w:eastAsia="Arial" w:hAnsi="Garamond" w:cstheme="minorHAnsi"/>
          <w:i/>
          <w:sz w:val="18"/>
          <w:szCs w:val="18"/>
        </w:rPr>
        <w:t>u</w:t>
      </w:r>
      <w:r w:rsidRPr="004B53F6">
        <w:rPr>
          <w:rFonts w:ascii="Garamond" w:eastAsia="Arial" w:hAnsi="Garamond" w:cstheme="minorHAnsi"/>
          <w:i/>
          <w:spacing w:val="1"/>
          <w:sz w:val="18"/>
          <w:szCs w:val="18"/>
        </w:rPr>
        <w:t>s</w:t>
      </w:r>
      <w:r w:rsidRPr="004B53F6">
        <w:rPr>
          <w:rFonts w:ascii="Garamond" w:eastAsia="Arial" w:hAnsi="Garamond" w:cstheme="minorHAnsi"/>
          <w:i/>
          <w:spacing w:val="2"/>
          <w:sz w:val="18"/>
          <w:szCs w:val="18"/>
        </w:rPr>
        <w:t>t</w:t>
      </w:r>
      <w:r w:rsidRPr="004B53F6">
        <w:rPr>
          <w:rFonts w:ascii="Garamond" w:eastAsia="Arial" w:hAnsi="Garamond" w:cstheme="minorHAnsi"/>
          <w:i/>
          <w:spacing w:val="-1"/>
          <w:sz w:val="18"/>
          <w:szCs w:val="18"/>
        </w:rPr>
        <w:t>i</w:t>
      </w:r>
      <w:r w:rsidRPr="004B53F6">
        <w:rPr>
          <w:rFonts w:ascii="Garamond" w:eastAsia="Arial" w:hAnsi="Garamond" w:cstheme="minorHAnsi"/>
          <w:i/>
          <w:spacing w:val="1"/>
          <w:sz w:val="18"/>
          <w:szCs w:val="18"/>
        </w:rPr>
        <w:t>c</w:t>
      </w:r>
      <w:r w:rsidRPr="004B53F6">
        <w:rPr>
          <w:rFonts w:ascii="Garamond" w:eastAsia="Arial" w:hAnsi="Garamond" w:cstheme="minorHAnsi"/>
          <w:i/>
          <w:sz w:val="18"/>
          <w:szCs w:val="18"/>
        </w:rPr>
        <w:t>e</w:t>
      </w:r>
      <w:r w:rsidRPr="004B53F6">
        <w:rPr>
          <w:rFonts w:ascii="Garamond" w:eastAsia="Arial" w:hAnsi="Garamond" w:cstheme="minorHAnsi"/>
          <w:i/>
          <w:spacing w:val="-7"/>
          <w:sz w:val="18"/>
          <w:szCs w:val="18"/>
        </w:rPr>
        <w:t xml:space="preserve"> </w:t>
      </w:r>
      <w:r w:rsidRPr="004B53F6">
        <w:rPr>
          <w:rFonts w:ascii="Garamond" w:eastAsia="Arial" w:hAnsi="Garamond" w:cstheme="minorHAnsi"/>
          <w:i/>
          <w:spacing w:val="2"/>
          <w:sz w:val="18"/>
          <w:szCs w:val="18"/>
        </w:rPr>
        <w:t>a</w:t>
      </w:r>
      <w:r w:rsidRPr="004B53F6">
        <w:rPr>
          <w:rFonts w:ascii="Garamond" w:eastAsia="Arial" w:hAnsi="Garamond" w:cstheme="minorHAnsi"/>
          <w:i/>
          <w:sz w:val="18"/>
          <w:szCs w:val="18"/>
        </w:rPr>
        <w:t>nd</w:t>
      </w:r>
      <w:r w:rsidRPr="004B53F6">
        <w:rPr>
          <w:rFonts w:ascii="Garamond" w:eastAsia="Arial" w:hAnsi="Garamond" w:cstheme="minorHAnsi"/>
          <w:i/>
          <w:spacing w:val="-1"/>
          <w:sz w:val="18"/>
          <w:szCs w:val="18"/>
        </w:rPr>
        <w:t xml:space="preserve"> </w:t>
      </w:r>
      <w:r w:rsidRPr="004B53F6">
        <w:rPr>
          <w:rFonts w:ascii="Garamond" w:eastAsia="Arial" w:hAnsi="Garamond" w:cstheme="minorHAnsi"/>
          <w:i/>
          <w:sz w:val="18"/>
          <w:szCs w:val="18"/>
        </w:rPr>
        <w:t>d</w:t>
      </w:r>
      <w:r w:rsidRPr="004B53F6">
        <w:rPr>
          <w:rFonts w:ascii="Garamond" w:eastAsia="Arial" w:hAnsi="Garamond" w:cstheme="minorHAnsi"/>
          <w:i/>
          <w:spacing w:val="-1"/>
          <w:sz w:val="18"/>
          <w:szCs w:val="18"/>
        </w:rPr>
        <w:t>i</w:t>
      </w:r>
      <w:r w:rsidRPr="004B53F6">
        <w:rPr>
          <w:rFonts w:ascii="Garamond" w:eastAsia="Arial" w:hAnsi="Garamond" w:cstheme="minorHAnsi"/>
          <w:i/>
          <w:spacing w:val="2"/>
          <w:sz w:val="18"/>
          <w:szCs w:val="18"/>
        </w:rPr>
        <w:t>g</w:t>
      </w:r>
      <w:r w:rsidRPr="004B53F6">
        <w:rPr>
          <w:rFonts w:ascii="Garamond" w:eastAsia="Arial" w:hAnsi="Garamond" w:cstheme="minorHAnsi"/>
          <w:i/>
          <w:sz w:val="18"/>
          <w:szCs w:val="18"/>
        </w:rPr>
        <w:t>n</w:t>
      </w:r>
      <w:r w:rsidRPr="004B53F6">
        <w:rPr>
          <w:rFonts w:ascii="Garamond" w:eastAsia="Arial" w:hAnsi="Garamond" w:cstheme="minorHAnsi"/>
          <w:i/>
          <w:spacing w:val="-1"/>
          <w:sz w:val="18"/>
          <w:szCs w:val="18"/>
        </w:rPr>
        <w:t>i</w:t>
      </w:r>
      <w:r w:rsidRPr="004B53F6">
        <w:rPr>
          <w:rFonts w:ascii="Garamond" w:eastAsia="Arial" w:hAnsi="Garamond" w:cstheme="minorHAnsi"/>
          <w:i/>
          <w:sz w:val="18"/>
          <w:szCs w:val="18"/>
        </w:rPr>
        <w:t>t</w:t>
      </w:r>
      <w:r w:rsidRPr="004B53F6">
        <w:rPr>
          <w:rFonts w:ascii="Garamond" w:eastAsia="Arial" w:hAnsi="Garamond" w:cstheme="minorHAnsi"/>
          <w:i/>
          <w:spacing w:val="3"/>
          <w:sz w:val="18"/>
          <w:szCs w:val="18"/>
        </w:rPr>
        <w:t>y</w:t>
      </w:r>
      <w:r w:rsidRPr="004B53F6">
        <w:rPr>
          <w:rFonts w:ascii="Garamond" w:eastAsia="Arial" w:hAnsi="Garamond" w:cstheme="minorHAnsi"/>
          <w:sz w:val="18"/>
          <w:szCs w:val="18"/>
        </w:rPr>
        <w:t>,</w:t>
      </w:r>
      <w:r w:rsidRPr="004B53F6">
        <w:rPr>
          <w:rFonts w:ascii="Garamond" w:eastAsia="Arial" w:hAnsi="Garamond" w:cstheme="minorHAnsi"/>
          <w:spacing w:val="-4"/>
          <w:sz w:val="18"/>
          <w:szCs w:val="18"/>
        </w:rPr>
        <w:t xml:space="preserve"> </w:t>
      </w:r>
      <w:r w:rsidRPr="004B53F6">
        <w:rPr>
          <w:rFonts w:ascii="Garamond" w:eastAsia="Arial" w:hAnsi="Garamond" w:cstheme="minorHAnsi"/>
          <w:sz w:val="18"/>
          <w:szCs w:val="18"/>
        </w:rPr>
        <w:t>20</w:t>
      </w:r>
      <w:r w:rsidRPr="004B53F6">
        <w:rPr>
          <w:rFonts w:ascii="Garamond" w:eastAsia="Arial" w:hAnsi="Garamond" w:cstheme="minorHAnsi"/>
          <w:spacing w:val="2"/>
          <w:sz w:val="18"/>
          <w:szCs w:val="18"/>
        </w:rPr>
        <w:t>1</w:t>
      </w:r>
      <w:r w:rsidRPr="004B53F6">
        <w:rPr>
          <w:rFonts w:ascii="Garamond" w:eastAsia="Arial" w:hAnsi="Garamond" w:cstheme="minorHAnsi"/>
          <w:sz w:val="18"/>
          <w:szCs w:val="18"/>
        </w:rPr>
        <w:t>6.</w:t>
      </w:r>
    </w:p>
  </w:footnote>
  <w:footnote w:id="49">
    <w:p w14:paraId="7FF1E3CB" w14:textId="77777777" w:rsidR="00E027EF" w:rsidRPr="00707879" w:rsidRDefault="00E027EF" w:rsidP="004B53F6">
      <w:pPr>
        <w:pStyle w:val="FootnoteText"/>
        <w:rPr>
          <w:rFonts w:ascii="Garamond" w:hAnsi="Garamond"/>
          <w:sz w:val="18"/>
          <w:szCs w:val="18"/>
          <w:lang w:val="en-CA"/>
        </w:rPr>
      </w:pPr>
      <w:r w:rsidRPr="00707879">
        <w:rPr>
          <w:rStyle w:val="FootnoteReference"/>
          <w:rFonts w:ascii="Garamond" w:hAnsi="Garamond"/>
          <w:sz w:val="18"/>
          <w:szCs w:val="18"/>
        </w:rPr>
        <w:footnoteRef/>
      </w:r>
      <w:r w:rsidRPr="00707879">
        <w:rPr>
          <w:rFonts w:ascii="Garamond" w:hAnsi="Garamond"/>
          <w:sz w:val="18"/>
          <w:szCs w:val="18"/>
        </w:rPr>
        <w:t xml:space="preserve"> United Nations Special Rapporteur on the right to education. Annual report to the General Assembly on the human right to comprehensive sexual education. 2010. </w:t>
      </w:r>
    </w:p>
  </w:footnote>
  <w:footnote w:id="50">
    <w:p w14:paraId="7DBCE2A5" w14:textId="77777777" w:rsidR="00E027EF" w:rsidRPr="004B53F6" w:rsidRDefault="00E027EF" w:rsidP="004B53F6">
      <w:pPr>
        <w:pStyle w:val="FootnoteText"/>
        <w:rPr>
          <w:rFonts w:ascii="Garamond" w:hAnsi="Garamond"/>
          <w:sz w:val="18"/>
          <w:szCs w:val="18"/>
          <w:lang w:val="en-CA"/>
        </w:rPr>
      </w:pPr>
      <w:r w:rsidRPr="00707879">
        <w:rPr>
          <w:rStyle w:val="FootnoteReference"/>
          <w:rFonts w:ascii="Garamond" w:hAnsi="Garamond"/>
          <w:sz w:val="18"/>
          <w:szCs w:val="18"/>
        </w:rPr>
        <w:footnoteRef/>
      </w:r>
      <w:r w:rsidRPr="00707879">
        <w:rPr>
          <w:rFonts w:ascii="Garamond" w:hAnsi="Garamond"/>
          <w:sz w:val="18"/>
          <w:szCs w:val="18"/>
        </w:rPr>
        <w:t xml:space="preserve"> Committee on the rights of the child. General Comment 4 on adolescent health and development in the context of the Convention on the rights of the child. 2003. </w:t>
      </w:r>
    </w:p>
  </w:footnote>
  <w:footnote w:id="51">
    <w:p w14:paraId="524FD68A" w14:textId="5E338C97" w:rsidR="00E027EF" w:rsidRPr="004B53F6" w:rsidRDefault="00E027EF" w:rsidP="004B53F6">
      <w:pPr>
        <w:pStyle w:val="FootnoteText"/>
        <w:rPr>
          <w:rFonts w:ascii="Garamond" w:hAnsi="Garamond"/>
          <w:sz w:val="18"/>
          <w:szCs w:val="18"/>
          <w:lang w:val="en-CA"/>
        </w:rPr>
      </w:pPr>
      <w:r w:rsidRPr="00707879">
        <w:rPr>
          <w:rStyle w:val="FootnoteReference"/>
          <w:rFonts w:ascii="Garamond" w:hAnsi="Garamond"/>
          <w:sz w:val="18"/>
          <w:szCs w:val="18"/>
        </w:rPr>
        <w:footnoteRef/>
      </w:r>
      <w:r w:rsidRPr="00707879">
        <w:rPr>
          <w:rFonts w:ascii="Garamond" w:hAnsi="Garamond"/>
          <w:sz w:val="18"/>
          <w:szCs w:val="18"/>
        </w:rPr>
        <w:t xml:space="preserve"> CESCR, General Comment 22</w:t>
      </w:r>
      <w:r w:rsidR="00503036">
        <w:rPr>
          <w:rFonts w:ascii="Garamond" w:hAnsi="Garamond"/>
          <w:sz w:val="18"/>
          <w:szCs w:val="18"/>
        </w:rPr>
        <w:t xml:space="preserve"> (2016)</w:t>
      </w:r>
      <w:r w:rsidRPr="00707879">
        <w:rPr>
          <w:rFonts w:ascii="Garamond" w:hAnsi="Garamond"/>
          <w:sz w:val="18"/>
          <w:szCs w:val="18"/>
        </w:rPr>
        <w:t xml:space="preserve"> </w:t>
      </w:r>
    </w:p>
  </w:footnote>
  <w:footnote w:id="52">
    <w:p w14:paraId="2C8CF263" w14:textId="3283DFC6" w:rsidR="00B85D70" w:rsidRPr="004B53F6" w:rsidRDefault="00B85D70" w:rsidP="004B53F6">
      <w:pPr>
        <w:spacing w:after="0" w:line="240" w:lineRule="auto"/>
        <w:rPr>
          <w:rFonts w:ascii="Garamond" w:hAnsi="Garamond"/>
          <w:sz w:val="18"/>
          <w:szCs w:val="18"/>
        </w:rPr>
      </w:pPr>
      <w:r w:rsidRPr="00707879">
        <w:rPr>
          <w:rStyle w:val="FootnoteReference"/>
          <w:rFonts w:ascii="Garamond" w:hAnsi="Garamond"/>
          <w:sz w:val="18"/>
          <w:szCs w:val="18"/>
        </w:rPr>
        <w:footnoteRef/>
      </w:r>
      <w:r w:rsidRPr="00707879">
        <w:rPr>
          <w:rFonts w:ascii="Garamond" w:hAnsi="Garamond"/>
          <w:sz w:val="18"/>
          <w:szCs w:val="18"/>
        </w:rPr>
        <w:t xml:space="preserve"> CEDAW/C/CHN/CO/7-8, 2014, For the achievement of the sexual and reproductive health and rights under the Convention, effective age-appropriate education on sexual and reproductive health must be provided at school. CEDAW/C/PER/CO/7-8,2014, The lack of implementation of the existing framework on CSE results in limited access to age-appropriate information and intercultural perspectives on sexual and reproductive health and rights, including on responsible sexual behaviour, prevention of early pregnancy and sexually transmitted diseases and measures to provide protection from sexual abuse</w:t>
      </w:r>
      <w:r w:rsidR="004C0F11">
        <w:rPr>
          <w:rFonts w:ascii="Garamond" w:hAnsi="Garamond"/>
          <w:sz w:val="18"/>
          <w:szCs w:val="18"/>
        </w:rPr>
        <w:t>;</w:t>
      </w:r>
      <w:r w:rsidRPr="00707879">
        <w:rPr>
          <w:rFonts w:ascii="Garamond" w:hAnsi="Garamond"/>
          <w:sz w:val="18"/>
          <w:szCs w:val="18"/>
        </w:rPr>
        <w:t xml:space="preserve"> CEDAW/C/MNE/CO/2,</w:t>
      </w:r>
      <w:r w:rsidR="004C0F11">
        <w:rPr>
          <w:rFonts w:ascii="Garamond" w:hAnsi="Garamond"/>
          <w:sz w:val="18"/>
          <w:szCs w:val="18"/>
        </w:rPr>
        <w:t xml:space="preserve"> </w:t>
      </w:r>
      <w:r w:rsidR="004C0F11" w:rsidRPr="00707879">
        <w:rPr>
          <w:rFonts w:ascii="Garamond" w:hAnsi="Garamond"/>
          <w:sz w:val="18"/>
          <w:szCs w:val="18"/>
        </w:rPr>
        <w:t>2017</w:t>
      </w:r>
      <w:r w:rsidR="004C0F11">
        <w:rPr>
          <w:rFonts w:ascii="Garamond" w:hAnsi="Garamond"/>
          <w:sz w:val="18"/>
          <w:szCs w:val="18"/>
        </w:rPr>
        <w:t>,</w:t>
      </w:r>
      <w:r w:rsidRPr="00707879">
        <w:rPr>
          <w:rFonts w:ascii="Garamond" w:hAnsi="Garamond"/>
          <w:sz w:val="18"/>
          <w:szCs w:val="18"/>
        </w:rPr>
        <w:t xml:space="preserve"> The Committee expressed its concerns about sex education being insufficiently taught and not covering the social relations of gender and the impact of patriarchal attitudes and discriminatory stereotypes on sexual relations. CEDAW/C/ARG/CO/7,2016, The Committee expressed its concerns about limited implementation of CSE programmes in provinces. </w:t>
      </w:r>
    </w:p>
  </w:footnote>
  <w:footnote w:id="53">
    <w:p w14:paraId="4F1B4DE2" w14:textId="0174903C" w:rsidR="00212F41" w:rsidRPr="00A27070" w:rsidRDefault="00212F41" w:rsidP="004B53F6">
      <w:pPr>
        <w:pStyle w:val="FootnoteText"/>
        <w:rPr>
          <w:rFonts w:ascii="Garamond" w:hAnsi="Garamond"/>
          <w:sz w:val="18"/>
          <w:szCs w:val="18"/>
          <w:lang w:val="en-CA"/>
        </w:rPr>
      </w:pPr>
      <w:r w:rsidRPr="00707879">
        <w:rPr>
          <w:rStyle w:val="FootnoteReference"/>
          <w:rFonts w:ascii="Garamond" w:hAnsi="Garamond"/>
          <w:sz w:val="18"/>
          <w:szCs w:val="18"/>
        </w:rPr>
        <w:footnoteRef/>
      </w:r>
      <w:r w:rsidRPr="00707879">
        <w:rPr>
          <w:rFonts w:ascii="Garamond" w:hAnsi="Garamond"/>
          <w:sz w:val="18"/>
          <w:szCs w:val="18"/>
        </w:rPr>
        <w:t xml:space="preserve"> </w:t>
      </w:r>
      <w:r w:rsidRPr="00A27070">
        <w:rPr>
          <w:rFonts w:ascii="Garamond" w:hAnsi="Garamond"/>
          <w:sz w:val="18"/>
          <w:szCs w:val="18"/>
          <w:lang w:val="en-CA"/>
        </w:rPr>
        <w:t>C</w:t>
      </w:r>
      <w:r w:rsidR="00503036">
        <w:rPr>
          <w:rFonts w:ascii="Garamond" w:hAnsi="Garamond"/>
          <w:sz w:val="18"/>
          <w:szCs w:val="18"/>
          <w:lang w:val="en-CA"/>
        </w:rPr>
        <w:t>E</w:t>
      </w:r>
      <w:r w:rsidRPr="00A27070">
        <w:rPr>
          <w:rFonts w:ascii="Garamond" w:hAnsi="Garamond"/>
          <w:sz w:val="18"/>
          <w:szCs w:val="18"/>
          <w:lang w:val="en-CA"/>
        </w:rPr>
        <w:t>SCR</w:t>
      </w:r>
      <w:r w:rsidR="00503036">
        <w:rPr>
          <w:rFonts w:ascii="Garamond" w:hAnsi="Garamond"/>
          <w:sz w:val="18"/>
          <w:szCs w:val="18"/>
          <w:lang w:val="en-CA"/>
        </w:rPr>
        <w:t>,</w:t>
      </w:r>
      <w:r w:rsidRPr="00A27070">
        <w:rPr>
          <w:rFonts w:ascii="Garamond" w:hAnsi="Garamond"/>
          <w:sz w:val="18"/>
          <w:szCs w:val="18"/>
          <w:lang w:val="en-CA"/>
        </w:rPr>
        <w:t xml:space="preserve"> G</w:t>
      </w:r>
      <w:r w:rsidR="00503036">
        <w:rPr>
          <w:rFonts w:ascii="Garamond" w:hAnsi="Garamond"/>
          <w:sz w:val="18"/>
          <w:szCs w:val="18"/>
          <w:lang w:val="en-CA"/>
        </w:rPr>
        <w:t xml:space="preserve">eneral </w:t>
      </w:r>
      <w:r w:rsidRPr="00A27070">
        <w:rPr>
          <w:rFonts w:ascii="Garamond" w:hAnsi="Garamond"/>
          <w:sz w:val="18"/>
          <w:szCs w:val="18"/>
          <w:lang w:val="en-CA"/>
        </w:rPr>
        <w:t>C</w:t>
      </w:r>
      <w:r w:rsidR="00503036">
        <w:rPr>
          <w:rFonts w:ascii="Garamond" w:hAnsi="Garamond"/>
          <w:sz w:val="18"/>
          <w:szCs w:val="18"/>
          <w:lang w:val="en-CA"/>
        </w:rPr>
        <w:t>omment</w:t>
      </w:r>
      <w:r w:rsidRPr="00A27070">
        <w:rPr>
          <w:rFonts w:ascii="Garamond" w:hAnsi="Garamond"/>
          <w:sz w:val="18"/>
          <w:szCs w:val="18"/>
          <w:lang w:val="en-CA"/>
        </w:rPr>
        <w:t xml:space="preserve"> 22</w:t>
      </w:r>
      <w:r w:rsidR="00503036">
        <w:rPr>
          <w:rFonts w:ascii="Garamond" w:hAnsi="Garamond"/>
          <w:sz w:val="18"/>
          <w:szCs w:val="18"/>
          <w:lang w:val="en-CA"/>
        </w:rPr>
        <w:t>,</w:t>
      </w:r>
      <w:r w:rsidRPr="00A27070">
        <w:rPr>
          <w:rFonts w:ascii="Garamond" w:hAnsi="Garamond"/>
          <w:sz w:val="18"/>
          <w:szCs w:val="18"/>
          <w:lang w:val="en-CA"/>
        </w:rPr>
        <w:t xml:space="preserve"> para</w:t>
      </w:r>
      <w:r w:rsidR="00503036">
        <w:rPr>
          <w:rFonts w:ascii="Garamond" w:hAnsi="Garamond"/>
          <w:sz w:val="18"/>
          <w:szCs w:val="18"/>
          <w:lang w:val="en-CA"/>
        </w:rPr>
        <w:t>.</w:t>
      </w:r>
      <w:r w:rsidRPr="00A27070">
        <w:rPr>
          <w:rFonts w:ascii="Garamond" w:hAnsi="Garamond"/>
          <w:sz w:val="18"/>
          <w:szCs w:val="18"/>
          <w:lang w:val="en-CA"/>
        </w:rPr>
        <w:t xml:space="preserve"> 63</w:t>
      </w:r>
      <w:r w:rsidR="00503036">
        <w:rPr>
          <w:rFonts w:ascii="Garamond" w:hAnsi="Garamond"/>
          <w:sz w:val="18"/>
          <w:szCs w:val="18"/>
          <w:lang w:val="en-CA"/>
        </w:rPr>
        <w:t xml:space="preserve"> (2016)</w:t>
      </w:r>
    </w:p>
  </w:footnote>
  <w:footnote w:id="54">
    <w:p w14:paraId="5BE65D0C" w14:textId="77777777" w:rsidR="00E027EF" w:rsidRPr="00707879" w:rsidRDefault="00E027EF" w:rsidP="004B53F6">
      <w:pPr>
        <w:pStyle w:val="FootnoteText"/>
        <w:rPr>
          <w:rFonts w:ascii="Garamond" w:hAnsi="Garamond"/>
          <w:color w:val="E26F54"/>
          <w:sz w:val="18"/>
          <w:szCs w:val="18"/>
          <w:lang w:val="en-CA"/>
        </w:rPr>
      </w:pPr>
      <w:r w:rsidRPr="00707879">
        <w:rPr>
          <w:rStyle w:val="FootnoteReference"/>
          <w:rFonts w:ascii="Garamond" w:hAnsi="Garamond"/>
          <w:sz w:val="18"/>
          <w:szCs w:val="18"/>
        </w:rPr>
        <w:footnoteRef/>
      </w:r>
      <w:r w:rsidRPr="00707879">
        <w:rPr>
          <w:rFonts w:ascii="Garamond" w:hAnsi="Garamond"/>
          <w:sz w:val="18"/>
          <w:szCs w:val="18"/>
        </w:rPr>
        <w:t xml:space="preserve"> Upworthy. “Oh kindergarten. Finger painting, ABCs, and sexuality education.” June/July 2015. </w:t>
      </w:r>
      <w:hyperlink r:id="rId42" w:history="1">
        <w:r w:rsidRPr="00707879">
          <w:rPr>
            <w:rStyle w:val="Hyperlink"/>
            <w:rFonts w:ascii="Garamond" w:hAnsi="Garamond"/>
            <w:color w:val="E26F54"/>
            <w:sz w:val="18"/>
            <w:szCs w:val="18"/>
          </w:rPr>
          <w:t>http://www.upworthy.com/kids-dont-usually-learn-about-the-birds-and-bees-in-kindergarten-unless-of-course-theyre-dutch</w:t>
        </w:r>
      </w:hyperlink>
      <w:r w:rsidRPr="00707879">
        <w:rPr>
          <w:rFonts w:ascii="Garamond" w:hAnsi="Garamond"/>
          <w:color w:val="E26F54"/>
          <w:sz w:val="18"/>
          <w:szCs w:val="18"/>
        </w:rPr>
        <w:t xml:space="preserve"> </w:t>
      </w:r>
    </w:p>
  </w:footnote>
  <w:footnote w:id="55">
    <w:p w14:paraId="2F8C8B4C" w14:textId="77777777" w:rsidR="00E027EF" w:rsidRPr="00707879" w:rsidRDefault="00E027EF" w:rsidP="004B53F6">
      <w:pPr>
        <w:pStyle w:val="FootnoteText"/>
        <w:rPr>
          <w:rFonts w:ascii="Garamond" w:hAnsi="Garamond"/>
          <w:sz w:val="18"/>
          <w:szCs w:val="18"/>
        </w:rPr>
      </w:pPr>
      <w:r w:rsidRPr="00707879">
        <w:rPr>
          <w:rStyle w:val="FootnoteReference"/>
          <w:rFonts w:ascii="Garamond" w:hAnsi="Garamond"/>
          <w:sz w:val="18"/>
          <w:szCs w:val="18"/>
        </w:rPr>
        <w:footnoteRef/>
      </w:r>
      <w:r w:rsidRPr="00707879">
        <w:rPr>
          <w:rFonts w:ascii="Garamond" w:hAnsi="Garamond"/>
          <w:sz w:val="18"/>
          <w:szCs w:val="18"/>
        </w:rPr>
        <w:t xml:space="preserve"> Canada played an instrumental role establishing the position of UN Special Rapporteur on violence against women and leading the annual resolution on the same topic at the UN Human Rights Council; with increasingly progressive references to CSE in the annual VAW resolutions.  </w:t>
      </w:r>
    </w:p>
  </w:footnote>
  <w:footnote w:id="56">
    <w:p w14:paraId="4BB6A85A" w14:textId="2D89B3F8" w:rsidR="00723669" w:rsidRPr="004B53F6" w:rsidRDefault="00723669" w:rsidP="004B53F6">
      <w:pPr>
        <w:pStyle w:val="NormalWeb"/>
        <w:shd w:val="clear" w:color="auto" w:fill="FFFFFF"/>
        <w:spacing w:before="0" w:beforeAutospacing="0" w:after="0" w:afterAutospacing="0"/>
        <w:rPr>
          <w:rFonts w:ascii="Garamond" w:hAnsi="Garamond"/>
          <w:color w:val="3D4752"/>
          <w:sz w:val="18"/>
          <w:szCs w:val="18"/>
        </w:rPr>
      </w:pPr>
      <w:r w:rsidRPr="004B53F6">
        <w:rPr>
          <w:rStyle w:val="FootnoteReference"/>
          <w:rFonts w:ascii="Garamond" w:hAnsi="Garamond"/>
          <w:sz w:val="18"/>
          <w:szCs w:val="18"/>
        </w:rPr>
        <w:footnoteRef/>
      </w:r>
      <w:r w:rsidRPr="004B53F6">
        <w:rPr>
          <w:rFonts w:ascii="Garamond" w:hAnsi="Garamond"/>
          <w:sz w:val="18"/>
          <w:szCs w:val="18"/>
        </w:rPr>
        <w:t xml:space="preserve"> </w:t>
      </w:r>
      <w:r w:rsidR="00DB07CA">
        <w:rPr>
          <w:rFonts w:ascii="Garamond" w:hAnsi="Garamond"/>
          <w:sz w:val="18"/>
          <w:szCs w:val="18"/>
        </w:rPr>
        <w:t xml:space="preserve">See paragraph 29. </w:t>
      </w:r>
    </w:p>
    <w:p w14:paraId="17617484" w14:textId="227C4ED3" w:rsidR="00723669" w:rsidRPr="004B53F6" w:rsidRDefault="00723669" w:rsidP="00707879">
      <w:pPr>
        <w:pStyle w:val="FootnoteText"/>
        <w:rPr>
          <w:rFonts w:ascii="Garamond" w:hAnsi="Garamond"/>
          <w:sz w:val="18"/>
          <w:szCs w:val="18"/>
          <w:lang w:val="en-CA"/>
        </w:rPr>
      </w:pPr>
    </w:p>
  </w:footnote>
  <w:footnote w:id="57">
    <w:p w14:paraId="3DC8B8B4" w14:textId="77777777" w:rsidR="00E027EF" w:rsidRPr="00707879" w:rsidRDefault="00E027EF" w:rsidP="00707879">
      <w:pPr>
        <w:spacing w:after="0" w:line="240" w:lineRule="auto"/>
        <w:rPr>
          <w:rFonts w:ascii="Garamond" w:eastAsia="Times New Roman" w:hAnsi="Garamond"/>
          <w:sz w:val="18"/>
          <w:szCs w:val="18"/>
          <w:lang w:eastAsia="en-CA"/>
        </w:rPr>
      </w:pPr>
      <w:r w:rsidRPr="00707879">
        <w:rPr>
          <w:rStyle w:val="FootnoteReference"/>
          <w:rFonts w:ascii="Garamond" w:hAnsi="Garamond"/>
          <w:sz w:val="18"/>
          <w:szCs w:val="18"/>
        </w:rPr>
        <w:footnoteRef/>
      </w:r>
      <w:r w:rsidRPr="00707879">
        <w:rPr>
          <w:rFonts w:ascii="Garamond" w:hAnsi="Garamond"/>
          <w:sz w:val="18"/>
          <w:szCs w:val="18"/>
        </w:rPr>
        <w:t xml:space="preserve"> </w:t>
      </w:r>
      <w:r w:rsidRPr="00707879">
        <w:rPr>
          <w:rFonts w:ascii="Garamond" w:eastAsia="Times New Roman" w:hAnsi="Garamond"/>
          <w:sz w:val="18"/>
          <w:szCs w:val="18"/>
          <w:lang w:eastAsia="en-CA"/>
        </w:rPr>
        <w:t xml:space="preserve">Haddad N, Li JS, McGuire M. HIV in Canada-Surveillance Report, 2017. Canada Communicable Disease Report. 2018;44(12):324–332. Available from: </w:t>
      </w:r>
      <w:hyperlink r:id="rId43" w:history="1">
        <w:r w:rsidRPr="00707879">
          <w:rPr>
            <w:rStyle w:val="Hyperlink"/>
            <w:rFonts w:ascii="Garamond" w:eastAsia="Times New Roman" w:hAnsi="Garamond"/>
            <w:color w:val="E26F54"/>
            <w:sz w:val="18"/>
            <w:szCs w:val="18"/>
            <w:lang w:eastAsia="en-CA"/>
          </w:rPr>
          <w:t>https://www.canada.ca/en/public-health/services/reports-publications/canada-communicable-disease-report-ccdr/monthly-issue/2018-44/issue-12-december-6-2018/article-3-hiv-in-canada-2017.html</w:t>
        </w:r>
      </w:hyperlink>
      <w:r w:rsidRPr="00707879">
        <w:rPr>
          <w:rFonts w:ascii="Garamond" w:eastAsia="Times New Roman" w:hAnsi="Garamond"/>
          <w:color w:val="E26F54"/>
          <w:sz w:val="18"/>
          <w:szCs w:val="18"/>
          <w:lang w:eastAsia="en-CA"/>
        </w:rPr>
        <w:t xml:space="preserve"> </w:t>
      </w:r>
    </w:p>
  </w:footnote>
  <w:footnote w:id="58">
    <w:p w14:paraId="58629FEA" w14:textId="77777777" w:rsidR="00E027EF" w:rsidRPr="00707879" w:rsidRDefault="00E027EF" w:rsidP="00707879">
      <w:pPr>
        <w:spacing w:after="0" w:line="240" w:lineRule="auto"/>
        <w:rPr>
          <w:rFonts w:ascii="Garamond" w:eastAsia="Times New Roman" w:hAnsi="Garamond"/>
          <w:color w:val="E26F54"/>
          <w:sz w:val="18"/>
          <w:szCs w:val="18"/>
          <w:lang w:eastAsia="en-CA"/>
        </w:rPr>
      </w:pPr>
      <w:r w:rsidRPr="00707879">
        <w:rPr>
          <w:rStyle w:val="FootnoteReference"/>
          <w:rFonts w:ascii="Garamond" w:hAnsi="Garamond"/>
          <w:sz w:val="18"/>
          <w:szCs w:val="18"/>
        </w:rPr>
        <w:footnoteRef/>
      </w:r>
      <w:r w:rsidRPr="00707879">
        <w:rPr>
          <w:rFonts w:ascii="Garamond" w:hAnsi="Garamond"/>
          <w:sz w:val="18"/>
          <w:szCs w:val="18"/>
        </w:rPr>
        <w:t xml:space="preserve"> </w:t>
      </w:r>
      <w:hyperlink r:id="rId44" w:history="1">
        <w:r w:rsidRPr="00707879">
          <w:rPr>
            <w:rStyle w:val="Hyperlink"/>
            <w:rFonts w:ascii="Garamond" w:eastAsia="Times New Roman" w:hAnsi="Garamond"/>
            <w:color w:val="E26F54"/>
            <w:sz w:val="18"/>
            <w:szCs w:val="18"/>
            <w:lang w:eastAsia="en-CA"/>
          </w:rPr>
          <w:t>https://www.canada.ca/en/health-canada/services/publications/diseases-conditions/update-sexually-transmitted-infections-canada-2016.html</w:t>
        </w:r>
      </w:hyperlink>
      <w:r w:rsidRPr="00707879">
        <w:rPr>
          <w:rFonts w:ascii="Garamond" w:eastAsia="Times New Roman" w:hAnsi="Garamond"/>
          <w:color w:val="E26F54"/>
          <w:sz w:val="18"/>
          <w:szCs w:val="18"/>
          <w:lang w:eastAsia="en-CA"/>
        </w:rPr>
        <w:t>   </w:t>
      </w:r>
    </w:p>
  </w:footnote>
  <w:footnote w:id="59">
    <w:p w14:paraId="5A9DBBA2" w14:textId="77777777" w:rsidR="00E027EF" w:rsidRPr="00707879" w:rsidRDefault="00E027EF" w:rsidP="00707879">
      <w:pPr>
        <w:spacing w:after="0" w:line="240" w:lineRule="auto"/>
        <w:rPr>
          <w:rFonts w:ascii="Garamond" w:eastAsia="Times New Roman" w:hAnsi="Garamond"/>
          <w:sz w:val="18"/>
          <w:szCs w:val="18"/>
          <w:lang w:eastAsia="en-CA"/>
        </w:rPr>
      </w:pPr>
      <w:r w:rsidRPr="00707879">
        <w:rPr>
          <w:rStyle w:val="FootnoteReference"/>
          <w:rFonts w:ascii="Garamond" w:hAnsi="Garamond"/>
          <w:sz w:val="18"/>
          <w:szCs w:val="18"/>
        </w:rPr>
        <w:footnoteRef/>
      </w:r>
      <w:r w:rsidRPr="00707879">
        <w:rPr>
          <w:rFonts w:ascii="Garamond" w:hAnsi="Garamond"/>
          <w:sz w:val="18"/>
          <w:szCs w:val="18"/>
        </w:rPr>
        <w:t xml:space="preserve"> </w:t>
      </w:r>
      <w:hyperlink r:id="rId45" w:history="1">
        <w:r w:rsidRPr="00707879">
          <w:rPr>
            <w:rStyle w:val="Hyperlink"/>
            <w:rFonts w:ascii="Garamond" w:eastAsia="Times New Roman" w:hAnsi="Garamond"/>
            <w:color w:val="E26F54"/>
            <w:sz w:val="18"/>
            <w:szCs w:val="18"/>
            <w:lang w:eastAsia="en-CA"/>
          </w:rPr>
          <w:t>https://www.catie.ca/en/hiv-canada/3/3-1/3-1-1</w:t>
        </w:r>
      </w:hyperlink>
      <w:r w:rsidRPr="00707879">
        <w:rPr>
          <w:rFonts w:ascii="Garamond" w:eastAsia="Times New Roman" w:hAnsi="Garamond"/>
          <w:color w:val="E26F54"/>
          <w:sz w:val="18"/>
          <w:szCs w:val="18"/>
          <w:lang w:eastAsia="en-CA"/>
        </w:rPr>
        <w:t xml:space="preserve">  </w:t>
      </w:r>
      <w:r w:rsidRPr="00707879">
        <w:rPr>
          <w:rFonts w:ascii="Garamond" w:eastAsia="Times New Roman" w:hAnsi="Garamond"/>
          <w:sz w:val="18"/>
          <w:szCs w:val="18"/>
          <w:lang w:eastAsia="en-CA"/>
        </w:rPr>
        <w:t> </w:t>
      </w:r>
    </w:p>
  </w:footnote>
  <w:footnote w:id="60">
    <w:p w14:paraId="703417B5" w14:textId="77777777" w:rsidR="00E027EF" w:rsidRPr="00707879" w:rsidRDefault="00E027EF" w:rsidP="004B53F6">
      <w:pPr>
        <w:pStyle w:val="FootnoteText"/>
        <w:rPr>
          <w:rFonts w:ascii="Garamond" w:hAnsi="Garamond"/>
          <w:sz w:val="18"/>
          <w:szCs w:val="18"/>
          <w:lang w:val="en-CA"/>
        </w:rPr>
      </w:pPr>
      <w:r w:rsidRPr="00707879">
        <w:rPr>
          <w:rStyle w:val="FootnoteReference"/>
          <w:rFonts w:ascii="Garamond" w:hAnsi="Garamond"/>
          <w:sz w:val="18"/>
          <w:szCs w:val="18"/>
        </w:rPr>
        <w:footnoteRef/>
      </w:r>
      <w:r w:rsidRPr="00707879">
        <w:rPr>
          <w:rFonts w:ascii="Garamond" w:hAnsi="Garamond"/>
          <w:sz w:val="18"/>
          <w:szCs w:val="18"/>
        </w:rPr>
        <w:t xml:space="preserve"> </w:t>
      </w:r>
      <w:hyperlink r:id="rId46" w:history="1">
        <w:r w:rsidRPr="00707879">
          <w:rPr>
            <w:rStyle w:val="Hyperlink"/>
            <w:rFonts w:ascii="Garamond" w:hAnsi="Garamond"/>
            <w:color w:val="E26F54"/>
            <w:sz w:val="18"/>
            <w:szCs w:val="18"/>
          </w:rPr>
          <w:t>https://globalnews.ca/news/4325268/ontario-sex-ed-curriculum/</w:t>
        </w:r>
      </w:hyperlink>
      <w:r w:rsidRPr="00707879">
        <w:rPr>
          <w:rFonts w:ascii="Garamond" w:hAnsi="Garamond"/>
          <w:color w:val="E26F54"/>
          <w:sz w:val="18"/>
          <w:szCs w:val="18"/>
        </w:rPr>
        <w:t xml:space="preserve"> </w:t>
      </w:r>
    </w:p>
  </w:footnote>
  <w:footnote w:id="61">
    <w:p w14:paraId="197E5D23" w14:textId="77777777" w:rsidR="00E027EF" w:rsidRPr="00707879" w:rsidRDefault="00E027EF" w:rsidP="004B53F6">
      <w:pPr>
        <w:spacing w:after="0" w:line="240" w:lineRule="auto"/>
        <w:ind w:left="284" w:hanging="284"/>
        <w:rPr>
          <w:rFonts w:ascii="Garamond" w:hAnsi="Garamond"/>
          <w:sz w:val="18"/>
          <w:szCs w:val="18"/>
        </w:rPr>
      </w:pPr>
      <w:r w:rsidRPr="00707879">
        <w:rPr>
          <w:rStyle w:val="FootnoteReference"/>
          <w:rFonts w:ascii="Garamond" w:hAnsi="Garamond"/>
          <w:sz w:val="18"/>
          <w:szCs w:val="18"/>
        </w:rPr>
        <w:footnoteRef/>
      </w:r>
      <w:r w:rsidRPr="00707879">
        <w:rPr>
          <w:rFonts w:ascii="Garamond" w:hAnsi="Garamond"/>
          <w:sz w:val="18"/>
          <w:szCs w:val="18"/>
        </w:rPr>
        <w:t xml:space="preserve"> </w:t>
      </w:r>
      <w:proofErr w:type="spellStart"/>
      <w:r w:rsidRPr="00707879">
        <w:rPr>
          <w:rFonts w:ascii="Garamond" w:hAnsi="Garamond"/>
          <w:sz w:val="18"/>
          <w:szCs w:val="18"/>
        </w:rPr>
        <w:t>Rushowy</w:t>
      </w:r>
      <w:proofErr w:type="spellEnd"/>
      <w:r w:rsidRPr="00707879">
        <w:rPr>
          <w:rFonts w:ascii="Garamond" w:hAnsi="Garamond"/>
          <w:sz w:val="18"/>
          <w:szCs w:val="18"/>
        </w:rPr>
        <w:t xml:space="preserve">, Kristin. “Sex education in Ontario schools outdated, teachers say.” </w:t>
      </w:r>
      <w:r w:rsidRPr="00707879">
        <w:rPr>
          <w:rFonts w:ascii="Garamond" w:hAnsi="Garamond"/>
          <w:i/>
          <w:sz w:val="18"/>
          <w:szCs w:val="18"/>
        </w:rPr>
        <w:t>The Toronto Star</w:t>
      </w:r>
      <w:r w:rsidRPr="00707879">
        <w:rPr>
          <w:rFonts w:ascii="Garamond" w:hAnsi="Garamond"/>
          <w:sz w:val="18"/>
          <w:szCs w:val="18"/>
        </w:rPr>
        <w:t xml:space="preserve">, </w:t>
      </w:r>
      <w:r w:rsidRPr="00707879">
        <w:rPr>
          <w:rStyle w:val="published-date"/>
          <w:rFonts w:ascii="Garamond" w:hAnsi="Garamond"/>
          <w:sz w:val="18"/>
          <w:szCs w:val="18"/>
        </w:rPr>
        <w:t>October 10, 2013.</w:t>
      </w:r>
    </w:p>
  </w:footnote>
  <w:footnote w:id="62">
    <w:p w14:paraId="1FC7CE3A" w14:textId="77777777" w:rsidR="00E027EF" w:rsidRPr="00707879" w:rsidRDefault="00E027EF" w:rsidP="004B53F6">
      <w:pPr>
        <w:pStyle w:val="FootnoteText"/>
        <w:rPr>
          <w:rFonts w:ascii="Garamond" w:hAnsi="Garamond"/>
          <w:color w:val="E26F54"/>
          <w:sz w:val="18"/>
          <w:szCs w:val="18"/>
        </w:rPr>
      </w:pPr>
      <w:r w:rsidRPr="00707879">
        <w:rPr>
          <w:rStyle w:val="FootnoteReference"/>
          <w:rFonts w:ascii="Garamond" w:hAnsi="Garamond"/>
          <w:sz w:val="18"/>
          <w:szCs w:val="18"/>
        </w:rPr>
        <w:footnoteRef/>
      </w:r>
      <w:r w:rsidRPr="00707879">
        <w:rPr>
          <w:rFonts w:ascii="Garamond" w:hAnsi="Garamond"/>
          <w:sz w:val="18"/>
          <w:szCs w:val="18"/>
        </w:rPr>
        <w:t xml:space="preserve"> </w:t>
      </w:r>
      <w:hyperlink r:id="rId47" w:history="1">
        <w:r w:rsidRPr="00707879">
          <w:rPr>
            <w:rStyle w:val="Hyperlink"/>
            <w:rFonts w:ascii="Garamond" w:hAnsi="Garamond"/>
            <w:color w:val="E26F54"/>
            <w:sz w:val="18"/>
            <w:szCs w:val="18"/>
          </w:rPr>
          <w:t>https://www.actioncanadashr.org/action-canada-calls-on-un-to-intervene-in-ontario-sex-ed-crisis/</w:t>
        </w:r>
      </w:hyperlink>
    </w:p>
  </w:footnote>
  <w:footnote w:id="63">
    <w:p w14:paraId="4F3F37A0" w14:textId="77777777" w:rsidR="00E027EF" w:rsidRPr="00707879" w:rsidRDefault="00E027EF" w:rsidP="004B53F6">
      <w:pPr>
        <w:pStyle w:val="FootnoteText"/>
        <w:rPr>
          <w:rFonts w:ascii="Garamond" w:hAnsi="Garamond"/>
          <w:sz w:val="18"/>
          <w:szCs w:val="18"/>
        </w:rPr>
      </w:pPr>
      <w:r w:rsidRPr="00707879">
        <w:rPr>
          <w:rStyle w:val="FootnoteReference"/>
          <w:rFonts w:ascii="Garamond" w:hAnsi="Garamond"/>
          <w:sz w:val="18"/>
          <w:szCs w:val="18"/>
        </w:rPr>
        <w:footnoteRef/>
      </w:r>
      <w:r w:rsidRPr="00707879">
        <w:rPr>
          <w:rFonts w:ascii="Garamond" w:hAnsi="Garamond"/>
          <w:sz w:val="18"/>
          <w:szCs w:val="18"/>
        </w:rPr>
        <w:t xml:space="preserve"> </w:t>
      </w:r>
      <w:hyperlink r:id="rId48" w:history="1">
        <w:r w:rsidRPr="00707879">
          <w:rPr>
            <w:rStyle w:val="Hyperlink"/>
            <w:rFonts w:ascii="Garamond" w:hAnsi="Garamond"/>
            <w:color w:val="E26F54"/>
            <w:sz w:val="18"/>
            <w:szCs w:val="18"/>
          </w:rPr>
          <w:t>https://www.ohchr.org/Documents/Issues/Women/WG/Communications/OL_CAN_20_12_2018.pdf</w:t>
        </w:r>
      </w:hyperlink>
      <w:r w:rsidRPr="00707879">
        <w:rPr>
          <w:rFonts w:ascii="Garamond" w:hAnsi="Garamond"/>
          <w:color w:val="E26F54"/>
          <w:sz w:val="18"/>
          <w:szCs w:val="18"/>
        </w:rPr>
        <w:t xml:space="preserve"> </w:t>
      </w:r>
    </w:p>
  </w:footnote>
  <w:footnote w:id="64">
    <w:p w14:paraId="4745C393" w14:textId="77777777" w:rsidR="00E027EF" w:rsidRPr="00707879" w:rsidRDefault="00E027EF" w:rsidP="004B53F6">
      <w:pPr>
        <w:pStyle w:val="FootnoteText"/>
        <w:rPr>
          <w:rFonts w:ascii="Garamond" w:hAnsi="Garamond"/>
          <w:sz w:val="18"/>
          <w:szCs w:val="18"/>
        </w:rPr>
      </w:pPr>
      <w:r w:rsidRPr="00707879">
        <w:rPr>
          <w:rStyle w:val="FootnoteReference"/>
          <w:rFonts w:ascii="Garamond" w:hAnsi="Garamond"/>
          <w:sz w:val="18"/>
          <w:szCs w:val="18"/>
        </w:rPr>
        <w:footnoteRef/>
      </w:r>
      <w:r w:rsidRPr="00707879">
        <w:rPr>
          <w:rFonts w:ascii="Garamond" w:hAnsi="Garamond"/>
          <w:sz w:val="18"/>
          <w:szCs w:val="18"/>
        </w:rPr>
        <w:t xml:space="preserve"> Read Action Canada’s response to Canada’s respond to the Communication from UN Special Procedures: </w:t>
      </w:r>
      <w:hyperlink r:id="rId49" w:history="1">
        <w:r w:rsidRPr="00707879">
          <w:rPr>
            <w:rStyle w:val="Hyperlink"/>
            <w:rFonts w:ascii="Garamond" w:hAnsi="Garamond"/>
            <w:color w:val="E26F54"/>
            <w:sz w:val="18"/>
            <w:szCs w:val="18"/>
          </w:rPr>
          <w:t>https://www.actioncanadashr.org/sites/default/files/2019-06/AC%20response%20to%20UN%20SP%20comms%20to%20CAN%20re%20CSE%20in%20ON_Final.pdf</w:t>
        </w:r>
      </w:hyperlink>
      <w:r w:rsidRPr="00707879">
        <w:rPr>
          <w:rFonts w:ascii="Garamond" w:hAnsi="Garamond"/>
          <w:color w:val="E26F54"/>
          <w:sz w:val="18"/>
          <w:szCs w:val="18"/>
        </w:rPr>
        <w:t xml:space="preserve"> </w:t>
      </w:r>
    </w:p>
  </w:footnote>
  <w:footnote w:id="65">
    <w:p w14:paraId="5A6CBF0F" w14:textId="77777777" w:rsidR="00E027EF" w:rsidRPr="00707879" w:rsidRDefault="00E027EF" w:rsidP="004B53F6">
      <w:pPr>
        <w:spacing w:after="0" w:line="240" w:lineRule="auto"/>
        <w:ind w:left="284" w:hanging="284"/>
        <w:rPr>
          <w:rFonts w:ascii="Garamond" w:hAnsi="Garamond"/>
          <w:sz w:val="18"/>
          <w:szCs w:val="18"/>
        </w:rPr>
      </w:pPr>
      <w:r w:rsidRPr="00707879">
        <w:rPr>
          <w:rStyle w:val="FootnoteReference"/>
          <w:rFonts w:ascii="Garamond" w:hAnsi="Garamond"/>
          <w:sz w:val="18"/>
          <w:szCs w:val="18"/>
        </w:rPr>
        <w:footnoteRef/>
      </w:r>
      <w:r w:rsidRPr="00707879">
        <w:rPr>
          <w:rFonts w:ascii="Garamond" w:hAnsi="Garamond"/>
          <w:sz w:val="18"/>
          <w:szCs w:val="18"/>
        </w:rPr>
        <w:t xml:space="preserve"> “Teen, mother launch complaint against abstinence-based sex ed.” CBC News, July 10, 2014. </w:t>
      </w:r>
    </w:p>
  </w:footnote>
  <w:footnote w:id="66">
    <w:p w14:paraId="18EA886E" w14:textId="77777777" w:rsidR="00E027EF" w:rsidRPr="00707879" w:rsidRDefault="00E027EF" w:rsidP="004B53F6">
      <w:pPr>
        <w:pStyle w:val="FootnoteText"/>
        <w:rPr>
          <w:rFonts w:ascii="Garamond" w:hAnsi="Garamond"/>
          <w:sz w:val="18"/>
          <w:szCs w:val="18"/>
          <w:lang w:val="en-CA"/>
        </w:rPr>
      </w:pPr>
      <w:r w:rsidRPr="00707879">
        <w:rPr>
          <w:rStyle w:val="FootnoteReference"/>
          <w:rFonts w:ascii="Garamond" w:hAnsi="Garamond"/>
          <w:sz w:val="18"/>
          <w:szCs w:val="18"/>
        </w:rPr>
        <w:footnoteRef/>
      </w:r>
      <w:r w:rsidRPr="00707879">
        <w:rPr>
          <w:rFonts w:ascii="Garamond" w:hAnsi="Garamond"/>
          <w:sz w:val="18"/>
          <w:szCs w:val="18"/>
        </w:rPr>
        <w:t xml:space="preserve"> Guttmacher Institute “Consequences of Sex Education on Teen and Young Adult Sexual Behaviors and Outcomes.” (2012). </w:t>
      </w:r>
      <w:hyperlink r:id="rId50" w:history="1">
        <w:r w:rsidRPr="00707879">
          <w:rPr>
            <w:rStyle w:val="Hyperlink"/>
            <w:rFonts w:ascii="Garamond" w:hAnsi="Garamond"/>
            <w:color w:val="E26F54"/>
            <w:sz w:val="18"/>
            <w:szCs w:val="18"/>
          </w:rPr>
          <w:t>https://www.guttmacher.org/pubs/journals/j.jadohealth.2011.12.028.pdf</w:t>
        </w:r>
      </w:hyperlink>
      <w:r w:rsidRPr="00707879">
        <w:rPr>
          <w:rFonts w:ascii="Garamond" w:hAnsi="Garamond"/>
          <w:color w:val="E26F54"/>
          <w:sz w:val="18"/>
          <w:szCs w:val="18"/>
        </w:rPr>
        <w:t xml:space="preserve"> </w:t>
      </w:r>
      <w:r w:rsidRPr="00707879">
        <w:rPr>
          <w:rFonts w:ascii="Garamond" w:hAnsi="Garamond"/>
          <w:sz w:val="18"/>
          <w:szCs w:val="18"/>
        </w:rPr>
        <w:t xml:space="preserve">and Advocates for Youth. “Abstinence-Only-Until-Marriage Programs: Ineffective, Unethical, and Poor Public Health.” (2007) </w:t>
      </w:r>
      <w:hyperlink r:id="rId51" w:history="1">
        <w:r w:rsidRPr="00707879">
          <w:rPr>
            <w:rStyle w:val="Hyperlink"/>
            <w:rFonts w:ascii="Garamond" w:hAnsi="Garamond"/>
            <w:color w:val="E26F54"/>
            <w:sz w:val="18"/>
            <w:szCs w:val="18"/>
          </w:rPr>
          <w:t>http://www.advocatesforyouth.org/publications/publications-a-z/597-abstinence-only-until-marriage-programs-ineffective-unethical-and-poor-public-health</w:t>
        </w:r>
      </w:hyperlink>
      <w:r w:rsidRPr="00707879">
        <w:rPr>
          <w:rFonts w:ascii="Garamond" w:hAnsi="Garamond"/>
          <w:color w:val="E26F54"/>
          <w:sz w:val="18"/>
          <w:szCs w:val="18"/>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241FD0"/>
    <w:multiLevelType w:val="hybridMultilevel"/>
    <w:tmpl w:val="3F1A2FCA"/>
    <w:lvl w:ilvl="0" w:tplc="8E1AFFEE">
      <w:start w:val="1"/>
      <w:numFmt w:val="decimal"/>
      <w:lvlText w:val="%1."/>
      <w:lvlJc w:val="left"/>
      <w:pPr>
        <w:ind w:left="720" w:hanging="360"/>
      </w:pPr>
      <w:rPr>
        <w:rFonts w:ascii="Adobe garamond" w:hAnsi="Adobe garamond" w:hint="default"/>
        <w:sz w:val="20"/>
        <w:szCs w:val="2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0EEC3812"/>
    <w:multiLevelType w:val="multilevel"/>
    <w:tmpl w:val="9288EB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4262C98"/>
    <w:multiLevelType w:val="hybridMultilevel"/>
    <w:tmpl w:val="6FF688B8"/>
    <w:lvl w:ilvl="0" w:tplc="8592C3DC">
      <w:start w:val="1"/>
      <w:numFmt w:val="decimal"/>
      <w:lvlText w:val="%1."/>
      <w:lvlJc w:val="left"/>
      <w:pPr>
        <w:ind w:left="720" w:hanging="360"/>
      </w:pPr>
      <w:rPr>
        <w:rFonts w:hint="eastAsia"/>
        <w:b/>
        <w:color w:val="3E4752"/>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366B6D1B"/>
    <w:multiLevelType w:val="hybridMultilevel"/>
    <w:tmpl w:val="FB8835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52FF43AF"/>
    <w:multiLevelType w:val="hybridMultilevel"/>
    <w:tmpl w:val="F27885C8"/>
    <w:lvl w:ilvl="0" w:tplc="8E1AFFEE">
      <w:start w:val="1"/>
      <w:numFmt w:val="decimal"/>
      <w:lvlText w:val="%1."/>
      <w:lvlJc w:val="left"/>
      <w:pPr>
        <w:ind w:left="720" w:hanging="360"/>
      </w:pPr>
      <w:rPr>
        <w:rFonts w:ascii="Adobe garamond" w:hAnsi="Adobe garamond" w:hint="default"/>
        <w:sz w:val="20"/>
        <w:szCs w:val="2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6AA769DB"/>
    <w:multiLevelType w:val="hybridMultilevel"/>
    <w:tmpl w:val="80BC135C"/>
    <w:lvl w:ilvl="0" w:tplc="10090001">
      <w:start w:val="1"/>
      <w:numFmt w:val="bullet"/>
      <w:lvlText w:val=""/>
      <w:lvlJc w:val="left"/>
      <w:pPr>
        <w:ind w:left="720" w:hanging="360"/>
      </w:pPr>
      <w:rPr>
        <w:rFonts w:ascii="Symbol" w:hAnsi="Symbol" w:hint="default"/>
        <w:b/>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5"/>
  </w:num>
  <w:num w:numId="2">
    <w:abstractNumId w:val="3"/>
  </w:num>
  <w:num w:numId="3">
    <w:abstractNumId w:val="2"/>
  </w:num>
  <w:num w:numId="4">
    <w:abstractNumId w:val="4"/>
  </w:num>
  <w:num w:numId="5">
    <w:abstractNumId w:val="0"/>
  </w:num>
  <w:num w:numId="6">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5D2C"/>
    <w:rsid w:val="000006B9"/>
    <w:rsid w:val="00001881"/>
    <w:rsid w:val="00001D4E"/>
    <w:rsid w:val="00002178"/>
    <w:rsid w:val="000028EE"/>
    <w:rsid w:val="00004302"/>
    <w:rsid w:val="0000456E"/>
    <w:rsid w:val="00005697"/>
    <w:rsid w:val="00007248"/>
    <w:rsid w:val="00011169"/>
    <w:rsid w:val="00013B6F"/>
    <w:rsid w:val="0001407F"/>
    <w:rsid w:val="000155E2"/>
    <w:rsid w:val="00015A25"/>
    <w:rsid w:val="000164F2"/>
    <w:rsid w:val="00016990"/>
    <w:rsid w:val="00017519"/>
    <w:rsid w:val="00017DAB"/>
    <w:rsid w:val="0002020E"/>
    <w:rsid w:val="00020E68"/>
    <w:rsid w:val="000226E4"/>
    <w:rsid w:val="000229DC"/>
    <w:rsid w:val="00024B31"/>
    <w:rsid w:val="00034A94"/>
    <w:rsid w:val="000366DF"/>
    <w:rsid w:val="0003700A"/>
    <w:rsid w:val="00042580"/>
    <w:rsid w:val="00044131"/>
    <w:rsid w:val="000454AC"/>
    <w:rsid w:val="000456DE"/>
    <w:rsid w:val="00045F6C"/>
    <w:rsid w:val="00046EAB"/>
    <w:rsid w:val="00047264"/>
    <w:rsid w:val="00047A74"/>
    <w:rsid w:val="000501D9"/>
    <w:rsid w:val="000502C0"/>
    <w:rsid w:val="00051E79"/>
    <w:rsid w:val="00051F82"/>
    <w:rsid w:val="000526C3"/>
    <w:rsid w:val="00055098"/>
    <w:rsid w:val="00055697"/>
    <w:rsid w:val="00055890"/>
    <w:rsid w:val="00056464"/>
    <w:rsid w:val="00057179"/>
    <w:rsid w:val="00057852"/>
    <w:rsid w:val="000613B5"/>
    <w:rsid w:val="000617EC"/>
    <w:rsid w:val="0006196F"/>
    <w:rsid w:val="00062E47"/>
    <w:rsid w:val="000630CB"/>
    <w:rsid w:val="00066CFC"/>
    <w:rsid w:val="00076631"/>
    <w:rsid w:val="00082BA5"/>
    <w:rsid w:val="00087F70"/>
    <w:rsid w:val="00090412"/>
    <w:rsid w:val="00093E86"/>
    <w:rsid w:val="00094335"/>
    <w:rsid w:val="00096DBA"/>
    <w:rsid w:val="00096FB8"/>
    <w:rsid w:val="000A0E66"/>
    <w:rsid w:val="000A223E"/>
    <w:rsid w:val="000A3905"/>
    <w:rsid w:val="000A4909"/>
    <w:rsid w:val="000A4E71"/>
    <w:rsid w:val="000A596F"/>
    <w:rsid w:val="000A7155"/>
    <w:rsid w:val="000A7DCF"/>
    <w:rsid w:val="000B0658"/>
    <w:rsid w:val="000B094A"/>
    <w:rsid w:val="000B0CA7"/>
    <w:rsid w:val="000B2C1D"/>
    <w:rsid w:val="000B7A37"/>
    <w:rsid w:val="000C03C5"/>
    <w:rsid w:val="000C11D6"/>
    <w:rsid w:val="000C1822"/>
    <w:rsid w:val="000C2144"/>
    <w:rsid w:val="000C2956"/>
    <w:rsid w:val="000C394A"/>
    <w:rsid w:val="000C7362"/>
    <w:rsid w:val="000C7637"/>
    <w:rsid w:val="000C764A"/>
    <w:rsid w:val="000D088D"/>
    <w:rsid w:val="000D0F16"/>
    <w:rsid w:val="000D1F5A"/>
    <w:rsid w:val="000D2F97"/>
    <w:rsid w:val="000D38BF"/>
    <w:rsid w:val="000D4221"/>
    <w:rsid w:val="000D4D5E"/>
    <w:rsid w:val="000E2063"/>
    <w:rsid w:val="000E4D43"/>
    <w:rsid w:val="000E635B"/>
    <w:rsid w:val="000E74D1"/>
    <w:rsid w:val="000F1873"/>
    <w:rsid w:val="000F210A"/>
    <w:rsid w:val="000F2A9A"/>
    <w:rsid w:val="000F33E3"/>
    <w:rsid w:val="000F3800"/>
    <w:rsid w:val="000F4524"/>
    <w:rsid w:val="000F5B56"/>
    <w:rsid w:val="000F60BC"/>
    <w:rsid w:val="000F6A3F"/>
    <w:rsid w:val="000F7440"/>
    <w:rsid w:val="000F7D16"/>
    <w:rsid w:val="00100AF7"/>
    <w:rsid w:val="00102AF1"/>
    <w:rsid w:val="001033E1"/>
    <w:rsid w:val="0010431C"/>
    <w:rsid w:val="00105CE6"/>
    <w:rsid w:val="00111442"/>
    <w:rsid w:val="00113772"/>
    <w:rsid w:val="0011398B"/>
    <w:rsid w:val="00113A50"/>
    <w:rsid w:val="00115623"/>
    <w:rsid w:val="001167CC"/>
    <w:rsid w:val="00116A0E"/>
    <w:rsid w:val="00116A37"/>
    <w:rsid w:val="00117E42"/>
    <w:rsid w:val="00120883"/>
    <w:rsid w:val="00120A23"/>
    <w:rsid w:val="00121DA5"/>
    <w:rsid w:val="00125EA9"/>
    <w:rsid w:val="00131F03"/>
    <w:rsid w:val="0013228E"/>
    <w:rsid w:val="001334B8"/>
    <w:rsid w:val="00133D7C"/>
    <w:rsid w:val="00133DC6"/>
    <w:rsid w:val="00135028"/>
    <w:rsid w:val="0013561E"/>
    <w:rsid w:val="00135B0D"/>
    <w:rsid w:val="001361BD"/>
    <w:rsid w:val="00137FA6"/>
    <w:rsid w:val="00141887"/>
    <w:rsid w:val="00141D96"/>
    <w:rsid w:val="00144037"/>
    <w:rsid w:val="001459E7"/>
    <w:rsid w:val="001463CE"/>
    <w:rsid w:val="00146663"/>
    <w:rsid w:val="00150252"/>
    <w:rsid w:val="00150632"/>
    <w:rsid w:val="0015277B"/>
    <w:rsid w:val="00154AD1"/>
    <w:rsid w:val="00155A71"/>
    <w:rsid w:val="00155BB1"/>
    <w:rsid w:val="00157532"/>
    <w:rsid w:val="001601AE"/>
    <w:rsid w:val="001603AB"/>
    <w:rsid w:val="001621EB"/>
    <w:rsid w:val="001628FA"/>
    <w:rsid w:val="00162F8B"/>
    <w:rsid w:val="0016432B"/>
    <w:rsid w:val="0016445C"/>
    <w:rsid w:val="00165D1A"/>
    <w:rsid w:val="00165F26"/>
    <w:rsid w:val="00166919"/>
    <w:rsid w:val="00166A7F"/>
    <w:rsid w:val="00166F9C"/>
    <w:rsid w:val="0016727B"/>
    <w:rsid w:val="00171250"/>
    <w:rsid w:val="00174BA0"/>
    <w:rsid w:val="0017729A"/>
    <w:rsid w:val="00180397"/>
    <w:rsid w:val="00180B98"/>
    <w:rsid w:val="0018142B"/>
    <w:rsid w:val="00190701"/>
    <w:rsid w:val="001909E8"/>
    <w:rsid w:val="00191C76"/>
    <w:rsid w:val="00192E01"/>
    <w:rsid w:val="00194431"/>
    <w:rsid w:val="00196040"/>
    <w:rsid w:val="00196CCE"/>
    <w:rsid w:val="001971D4"/>
    <w:rsid w:val="001A0343"/>
    <w:rsid w:val="001A272E"/>
    <w:rsid w:val="001A35C3"/>
    <w:rsid w:val="001A3894"/>
    <w:rsid w:val="001A3DFF"/>
    <w:rsid w:val="001A670C"/>
    <w:rsid w:val="001B057C"/>
    <w:rsid w:val="001B0840"/>
    <w:rsid w:val="001B60BC"/>
    <w:rsid w:val="001B6AE8"/>
    <w:rsid w:val="001C0C46"/>
    <w:rsid w:val="001C34C7"/>
    <w:rsid w:val="001C5CE6"/>
    <w:rsid w:val="001C606A"/>
    <w:rsid w:val="001C7D28"/>
    <w:rsid w:val="001D06F2"/>
    <w:rsid w:val="001D2DD7"/>
    <w:rsid w:val="001D3DE7"/>
    <w:rsid w:val="001D453F"/>
    <w:rsid w:val="001D52F0"/>
    <w:rsid w:val="001D5728"/>
    <w:rsid w:val="001D71B1"/>
    <w:rsid w:val="001D71F5"/>
    <w:rsid w:val="001D77CF"/>
    <w:rsid w:val="001D7F2A"/>
    <w:rsid w:val="001E063A"/>
    <w:rsid w:val="001E2FE6"/>
    <w:rsid w:val="001E4EBA"/>
    <w:rsid w:val="001E78A4"/>
    <w:rsid w:val="001F01DC"/>
    <w:rsid w:val="001F01F2"/>
    <w:rsid w:val="001F1BB9"/>
    <w:rsid w:val="001F4ED7"/>
    <w:rsid w:val="001F59DF"/>
    <w:rsid w:val="001F67BA"/>
    <w:rsid w:val="001F67D7"/>
    <w:rsid w:val="001F7780"/>
    <w:rsid w:val="001F7B72"/>
    <w:rsid w:val="00201A75"/>
    <w:rsid w:val="0020298F"/>
    <w:rsid w:val="00205EED"/>
    <w:rsid w:val="00206ECA"/>
    <w:rsid w:val="002079B3"/>
    <w:rsid w:val="0021136E"/>
    <w:rsid w:val="002119AF"/>
    <w:rsid w:val="00212F41"/>
    <w:rsid w:val="00214493"/>
    <w:rsid w:val="002146F9"/>
    <w:rsid w:val="00214AAB"/>
    <w:rsid w:val="002158AE"/>
    <w:rsid w:val="00216A01"/>
    <w:rsid w:val="00216D20"/>
    <w:rsid w:val="0021793C"/>
    <w:rsid w:val="00222C3F"/>
    <w:rsid w:val="00223E06"/>
    <w:rsid w:val="00224F66"/>
    <w:rsid w:val="00225623"/>
    <w:rsid w:val="0022650B"/>
    <w:rsid w:val="00230731"/>
    <w:rsid w:val="00231C3D"/>
    <w:rsid w:val="00234345"/>
    <w:rsid w:val="00235F72"/>
    <w:rsid w:val="0024129A"/>
    <w:rsid w:val="00241A6B"/>
    <w:rsid w:val="00241B48"/>
    <w:rsid w:val="00244452"/>
    <w:rsid w:val="00250493"/>
    <w:rsid w:val="00250590"/>
    <w:rsid w:val="00251300"/>
    <w:rsid w:val="0025202B"/>
    <w:rsid w:val="00254A76"/>
    <w:rsid w:val="002565A5"/>
    <w:rsid w:val="00257048"/>
    <w:rsid w:val="0026203D"/>
    <w:rsid w:val="00262CBD"/>
    <w:rsid w:val="00262EBB"/>
    <w:rsid w:val="00265717"/>
    <w:rsid w:val="0026591D"/>
    <w:rsid w:val="00267FAB"/>
    <w:rsid w:val="00271480"/>
    <w:rsid w:val="00271513"/>
    <w:rsid w:val="002719C5"/>
    <w:rsid w:val="00271B21"/>
    <w:rsid w:val="002734A8"/>
    <w:rsid w:val="00274A2D"/>
    <w:rsid w:val="0027539F"/>
    <w:rsid w:val="002755D0"/>
    <w:rsid w:val="0028011A"/>
    <w:rsid w:val="00281659"/>
    <w:rsid w:val="0028186A"/>
    <w:rsid w:val="00285A86"/>
    <w:rsid w:val="00285B9F"/>
    <w:rsid w:val="00285CE9"/>
    <w:rsid w:val="00287498"/>
    <w:rsid w:val="00287F80"/>
    <w:rsid w:val="002937D3"/>
    <w:rsid w:val="002940C0"/>
    <w:rsid w:val="00295D8C"/>
    <w:rsid w:val="002967F8"/>
    <w:rsid w:val="002971F1"/>
    <w:rsid w:val="00297CD4"/>
    <w:rsid w:val="002A4A07"/>
    <w:rsid w:val="002A77A1"/>
    <w:rsid w:val="002B0164"/>
    <w:rsid w:val="002B248B"/>
    <w:rsid w:val="002B2680"/>
    <w:rsid w:val="002B4A53"/>
    <w:rsid w:val="002B4D30"/>
    <w:rsid w:val="002B7291"/>
    <w:rsid w:val="002C029F"/>
    <w:rsid w:val="002C03BF"/>
    <w:rsid w:val="002C2DD4"/>
    <w:rsid w:val="002C4EEB"/>
    <w:rsid w:val="002D0654"/>
    <w:rsid w:val="002D272B"/>
    <w:rsid w:val="002D525E"/>
    <w:rsid w:val="002D5306"/>
    <w:rsid w:val="002D5FBB"/>
    <w:rsid w:val="002D6533"/>
    <w:rsid w:val="002D75ED"/>
    <w:rsid w:val="002D78DC"/>
    <w:rsid w:val="002E16AB"/>
    <w:rsid w:val="002E179F"/>
    <w:rsid w:val="002E2FB9"/>
    <w:rsid w:val="002E3180"/>
    <w:rsid w:val="002E3798"/>
    <w:rsid w:val="002E57B9"/>
    <w:rsid w:val="002E698C"/>
    <w:rsid w:val="002E71D9"/>
    <w:rsid w:val="002F078C"/>
    <w:rsid w:val="002F150A"/>
    <w:rsid w:val="002F1F1C"/>
    <w:rsid w:val="002F4CCC"/>
    <w:rsid w:val="002F6139"/>
    <w:rsid w:val="002F669E"/>
    <w:rsid w:val="002F7BF5"/>
    <w:rsid w:val="00300D54"/>
    <w:rsid w:val="00301405"/>
    <w:rsid w:val="00301BD8"/>
    <w:rsid w:val="00306580"/>
    <w:rsid w:val="00306D4F"/>
    <w:rsid w:val="00311975"/>
    <w:rsid w:val="00311AD4"/>
    <w:rsid w:val="0032103E"/>
    <w:rsid w:val="0032228D"/>
    <w:rsid w:val="003224AE"/>
    <w:rsid w:val="00323019"/>
    <w:rsid w:val="003242CF"/>
    <w:rsid w:val="00325478"/>
    <w:rsid w:val="00326B71"/>
    <w:rsid w:val="003302FF"/>
    <w:rsid w:val="003311A1"/>
    <w:rsid w:val="00332222"/>
    <w:rsid w:val="00332F60"/>
    <w:rsid w:val="00335276"/>
    <w:rsid w:val="00335D5C"/>
    <w:rsid w:val="00337300"/>
    <w:rsid w:val="00340561"/>
    <w:rsid w:val="003431F4"/>
    <w:rsid w:val="003438E5"/>
    <w:rsid w:val="003443E3"/>
    <w:rsid w:val="00344505"/>
    <w:rsid w:val="00345F40"/>
    <w:rsid w:val="0034776A"/>
    <w:rsid w:val="00355376"/>
    <w:rsid w:val="00355A3F"/>
    <w:rsid w:val="00356364"/>
    <w:rsid w:val="00357697"/>
    <w:rsid w:val="0036023E"/>
    <w:rsid w:val="00360C2F"/>
    <w:rsid w:val="00361A01"/>
    <w:rsid w:val="00361A72"/>
    <w:rsid w:val="003677E5"/>
    <w:rsid w:val="00370B32"/>
    <w:rsid w:val="00371A86"/>
    <w:rsid w:val="00371E7A"/>
    <w:rsid w:val="00372364"/>
    <w:rsid w:val="003748E7"/>
    <w:rsid w:val="0037537D"/>
    <w:rsid w:val="00376A16"/>
    <w:rsid w:val="00376F9B"/>
    <w:rsid w:val="00381E94"/>
    <w:rsid w:val="0038303C"/>
    <w:rsid w:val="00383901"/>
    <w:rsid w:val="003844A3"/>
    <w:rsid w:val="00384B7D"/>
    <w:rsid w:val="00385458"/>
    <w:rsid w:val="00386068"/>
    <w:rsid w:val="00386C97"/>
    <w:rsid w:val="003914E4"/>
    <w:rsid w:val="00391F9B"/>
    <w:rsid w:val="003924A8"/>
    <w:rsid w:val="00393605"/>
    <w:rsid w:val="003939EB"/>
    <w:rsid w:val="003941F6"/>
    <w:rsid w:val="00395548"/>
    <w:rsid w:val="00395BDD"/>
    <w:rsid w:val="003961B3"/>
    <w:rsid w:val="00397AA0"/>
    <w:rsid w:val="003A0EB7"/>
    <w:rsid w:val="003A22B4"/>
    <w:rsid w:val="003A3B09"/>
    <w:rsid w:val="003A4612"/>
    <w:rsid w:val="003A7A23"/>
    <w:rsid w:val="003A7FDC"/>
    <w:rsid w:val="003B115E"/>
    <w:rsid w:val="003B1ED1"/>
    <w:rsid w:val="003B23BE"/>
    <w:rsid w:val="003B25CD"/>
    <w:rsid w:val="003B2EE7"/>
    <w:rsid w:val="003B4DB4"/>
    <w:rsid w:val="003B7F0A"/>
    <w:rsid w:val="003C22B7"/>
    <w:rsid w:val="003C6EAC"/>
    <w:rsid w:val="003C762C"/>
    <w:rsid w:val="003D0D6A"/>
    <w:rsid w:val="003D1FA1"/>
    <w:rsid w:val="003D2F6D"/>
    <w:rsid w:val="003D3C7E"/>
    <w:rsid w:val="003D4CB5"/>
    <w:rsid w:val="003D57B7"/>
    <w:rsid w:val="003D5ECC"/>
    <w:rsid w:val="003D6A68"/>
    <w:rsid w:val="003D7F23"/>
    <w:rsid w:val="003E021C"/>
    <w:rsid w:val="003E1129"/>
    <w:rsid w:val="003E1491"/>
    <w:rsid w:val="003E3739"/>
    <w:rsid w:val="003E5C76"/>
    <w:rsid w:val="003E6D46"/>
    <w:rsid w:val="003E75B3"/>
    <w:rsid w:val="003F0378"/>
    <w:rsid w:val="003F0D0B"/>
    <w:rsid w:val="003F0FD9"/>
    <w:rsid w:val="003F2427"/>
    <w:rsid w:val="003F6C8B"/>
    <w:rsid w:val="003F6CAE"/>
    <w:rsid w:val="003F7B2C"/>
    <w:rsid w:val="00401627"/>
    <w:rsid w:val="00402B2B"/>
    <w:rsid w:val="0040351C"/>
    <w:rsid w:val="00403DA4"/>
    <w:rsid w:val="00404AB2"/>
    <w:rsid w:val="00405F9D"/>
    <w:rsid w:val="004068AF"/>
    <w:rsid w:val="0041021F"/>
    <w:rsid w:val="0041072F"/>
    <w:rsid w:val="00412AE9"/>
    <w:rsid w:val="00413407"/>
    <w:rsid w:val="00414367"/>
    <w:rsid w:val="00415B8E"/>
    <w:rsid w:val="00420DD5"/>
    <w:rsid w:val="00421FA1"/>
    <w:rsid w:val="00422813"/>
    <w:rsid w:val="004252BE"/>
    <w:rsid w:val="00425475"/>
    <w:rsid w:val="0042565C"/>
    <w:rsid w:val="004256E6"/>
    <w:rsid w:val="0042607B"/>
    <w:rsid w:val="00426B80"/>
    <w:rsid w:val="00426F08"/>
    <w:rsid w:val="00426FBB"/>
    <w:rsid w:val="00432B8B"/>
    <w:rsid w:val="0043386C"/>
    <w:rsid w:val="004346D7"/>
    <w:rsid w:val="004378BF"/>
    <w:rsid w:val="00437DF3"/>
    <w:rsid w:val="00437EF7"/>
    <w:rsid w:val="00442015"/>
    <w:rsid w:val="00442CF9"/>
    <w:rsid w:val="00442E76"/>
    <w:rsid w:val="00443DDC"/>
    <w:rsid w:val="004452A8"/>
    <w:rsid w:val="00445411"/>
    <w:rsid w:val="00445570"/>
    <w:rsid w:val="00445C9C"/>
    <w:rsid w:val="00446834"/>
    <w:rsid w:val="00446A23"/>
    <w:rsid w:val="00447408"/>
    <w:rsid w:val="004477B5"/>
    <w:rsid w:val="004547EC"/>
    <w:rsid w:val="004549AB"/>
    <w:rsid w:val="00454CB6"/>
    <w:rsid w:val="00455F54"/>
    <w:rsid w:val="00456335"/>
    <w:rsid w:val="00456FF9"/>
    <w:rsid w:val="004574B8"/>
    <w:rsid w:val="00460763"/>
    <w:rsid w:val="004613E8"/>
    <w:rsid w:val="00462840"/>
    <w:rsid w:val="00465953"/>
    <w:rsid w:val="00465C8B"/>
    <w:rsid w:val="00467194"/>
    <w:rsid w:val="00470200"/>
    <w:rsid w:val="004703A4"/>
    <w:rsid w:val="00471AB6"/>
    <w:rsid w:val="00473D83"/>
    <w:rsid w:val="00474291"/>
    <w:rsid w:val="00482445"/>
    <w:rsid w:val="00483752"/>
    <w:rsid w:val="00485D63"/>
    <w:rsid w:val="004900E0"/>
    <w:rsid w:val="00491737"/>
    <w:rsid w:val="00492376"/>
    <w:rsid w:val="004935C1"/>
    <w:rsid w:val="0049656B"/>
    <w:rsid w:val="004A11C0"/>
    <w:rsid w:val="004A3245"/>
    <w:rsid w:val="004A4467"/>
    <w:rsid w:val="004A6621"/>
    <w:rsid w:val="004A7966"/>
    <w:rsid w:val="004A7C00"/>
    <w:rsid w:val="004B01C4"/>
    <w:rsid w:val="004B160F"/>
    <w:rsid w:val="004B1EF5"/>
    <w:rsid w:val="004B2DE2"/>
    <w:rsid w:val="004B44D0"/>
    <w:rsid w:val="004B44DC"/>
    <w:rsid w:val="004B53F6"/>
    <w:rsid w:val="004B5707"/>
    <w:rsid w:val="004B7E4E"/>
    <w:rsid w:val="004B7E9C"/>
    <w:rsid w:val="004C0F11"/>
    <w:rsid w:val="004C2359"/>
    <w:rsid w:val="004C3044"/>
    <w:rsid w:val="004C376D"/>
    <w:rsid w:val="004C6193"/>
    <w:rsid w:val="004C6B1A"/>
    <w:rsid w:val="004C7104"/>
    <w:rsid w:val="004C7426"/>
    <w:rsid w:val="004C7E7F"/>
    <w:rsid w:val="004D0777"/>
    <w:rsid w:val="004D1B6B"/>
    <w:rsid w:val="004D2EBD"/>
    <w:rsid w:val="004D2FBF"/>
    <w:rsid w:val="004D3962"/>
    <w:rsid w:val="004D4386"/>
    <w:rsid w:val="004D6D28"/>
    <w:rsid w:val="004D7434"/>
    <w:rsid w:val="004D751C"/>
    <w:rsid w:val="004E3D24"/>
    <w:rsid w:val="004E4F47"/>
    <w:rsid w:val="004E6ADC"/>
    <w:rsid w:val="004E6D6C"/>
    <w:rsid w:val="004F0853"/>
    <w:rsid w:val="004F1461"/>
    <w:rsid w:val="004F1F16"/>
    <w:rsid w:val="004F390C"/>
    <w:rsid w:val="004F40DF"/>
    <w:rsid w:val="004F4849"/>
    <w:rsid w:val="004F6F91"/>
    <w:rsid w:val="004F7845"/>
    <w:rsid w:val="00502135"/>
    <w:rsid w:val="00503036"/>
    <w:rsid w:val="00506210"/>
    <w:rsid w:val="005073B5"/>
    <w:rsid w:val="00507991"/>
    <w:rsid w:val="00507B1C"/>
    <w:rsid w:val="00511084"/>
    <w:rsid w:val="00511C83"/>
    <w:rsid w:val="00512359"/>
    <w:rsid w:val="0051463E"/>
    <w:rsid w:val="00515497"/>
    <w:rsid w:val="00516998"/>
    <w:rsid w:val="00520EC4"/>
    <w:rsid w:val="0052110C"/>
    <w:rsid w:val="00521A30"/>
    <w:rsid w:val="0052299A"/>
    <w:rsid w:val="005241FE"/>
    <w:rsid w:val="00527DE7"/>
    <w:rsid w:val="0053011C"/>
    <w:rsid w:val="00531FCE"/>
    <w:rsid w:val="0053255F"/>
    <w:rsid w:val="00532599"/>
    <w:rsid w:val="00532D4E"/>
    <w:rsid w:val="00533195"/>
    <w:rsid w:val="00536BC0"/>
    <w:rsid w:val="00537995"/>
    <w:rsid w:val="00540A28"/>
    <w:rsid w:val="00541E15"/>
    <w:rsid w:val="00541F93"/>
    <w:rsid w:val="00545062"/>
    <w:rsid w:val="00545A65"/>
    <w:rsid w:val="00547C92"/>
    <w:rsid w:val="00550402"/>
    <w:rsid w:val="005504C3"/>
    <w:rsid w:val="00551A5F"/>
    <w:rsid w:val="005579E4"/>
    <w:rsid w:val="00557E0A"/>
    <w:rsid w:val="00560426"/>
    <w:rsid w:val="0056087F"/>
    <w:rsid w:val="00561F60"/>
    <w:rsid w:val="005634B4"/>
    <w:rsid w:val="0056403D"/>
    <w:rsid w:val="00565188"/>
    <w:rsid w:val="00566FAF"/>
    <w:rsid w:val="00567AAD"/>
    <w:rsid w:val="00572939"/>
    <w:rsid w:val="00573924"/>
    <w:rsid w:val="00574BDD"/>
    <w:rsid w:val="0057591F"/>
    <w:rsid w:val="0057596A"/>
    <w:rsid w:val="005763C6"/>
    <w:rsid w:val="005776FA"/>
    <w:rsid w:val="00580A4F"/>
    <w:rsid w:val="00580B50"/>
    <w:rsid w:val="005819F5"/>
    <w:rsid w:val="00581C8C"/>
    <w:rsid w:val="00582A91"/>
    <w:rsid w:val="00582B57"/>
    <w:rsid w:val="00583EF8"/>
    <w:rsid w:val="005840D1"/>
    <w:rsid w:val="0058573D"/>
    <w:rsid w:val="00586AE3"/>
    <w:rsid w:val="005940DB"/>
    <w:rsid w:val="0059423F"/>
    <w:rsid w:val="005A1AEA"/>
    <w:rsid w:val="005A216F"/>
    <w:rsid w:val="005A2D76"/>
    <w:rsid w:val="005A31FA"/>
    <w:rsid w:val="005B04D2"/>
    <w:rsid w:val="005B0C55"/>
    <w:rsid w:val="005B389B"/>
    <w:rsid w:val="005B6AED"/>
    <w:rsid w:val="005C20DA"/>
    <w:rsid w:val="005C4719"/>
    <w:rsid w:val="005C482C"/>
    <w:rsid w:val="005C5CA2"/>
    <w:rsid w:val="005C5D87"/>
    <w:rsid w:val="005C62A1"/>
    <w:rsid w:val="005C659D"/>
    <w:rsid w:val="005C73E2"/>
    <w:rsid w:val="005D19E7"/>
    <w:rsid w:val="005D26D6"/>
    <w:rsid w:val="005D2CCC"/>
    <w:rsid w:val="005D31DD"/>
    <w:rsid w:val="005D386C"/>
    <w:rsid w:val="005D3CEB"/>
    <w:rsid w:val="005D408F"/>
    <w:rsid w:val="005D4F53"/>
    <w:rsid w:val="005D6658"/>
    <w:rsid w:val="005D77F7"/>
    <w:rsid w:val="005E0486"/>
    <w:rsid w:val="005E1629"/>
    <w:rsid w:val="005E2411"/>
    <w:rsid w:val="005E2619"/>
    <w:rsid w:val="005E4128"/>
    <w:rsid w:val="005E442F"/>
    <w:rsid w:val="005E7FD9"/>
    <w:rsid w:val="005F0A78"/>
    <w:rsid w:val="005F12F7"/>
    <w:rsid w:val="005F1C37"/>
    <w:rsid w:val="005F3AC9"/>
    <w:rsid w:val="005F4664"/>
    <w:rsid w:val="005F5794"/>
    <w:rsid w:val="005F5A4E"/>
    <w:rsid w:val="005F609F"/>
    <w:rsid w:val="005F6604"/>
    <w:rsid w:val="005F740B"/>
    <w:rsid w:val="00601AFE"/>
    <w:rsid w:val="00601B92"/>
    <w:rsid w:val="006032D7"/>
    <w:rsid w:val="00605576"/>
    <w:rsid w:val="0060597A"/>
    <w:rsid w:val="00606ECF"/>
    <w:rsid w:val="006076B5"/>
    <w:rsid w:val="006076E0"/>
    <w:rsid w:val="006076FF"/>
    <w:rsid w:val="00607CA4"/>
    <w:rsid w:val="006169E7"/>
    <w:rsid w:val="00617C85"/>
    <w:rsid w:val="00617D90"/>
    <w:rsid w:val="00620334"/>
    <w:rsid w:val="006212DF"/>
    <w:rsid w:val="006223EF"/>
    <w:rsid w:val="00624E32"/>
    <w:rsid w:val="00632071"/>
    <w:rsid w:val="0063573E"/>
    <w:rsid w:val="006367CD"/>
    <w:rsid w:val="0063748C"/>
    <w:rsid w:val="00637BB8"/>
    <w:rsid w:val="00640CBA"/>
    <w:rsid w:val="00642754"/>
    <w:rsid w:val="00643872"/>
    <w:rsid w:val="00646E7F"/>
    <w:rsid w:val="00650F2B"/>
    <w:rsid w:val="00651368"/>
    <w:rsid w:val="006521DC"/>
    <w:rsid w:val="006529B1"/>
    <w:rsid w:val="006547C8"/>
    <w:rsid w:val="0065499F"/>
    <w:rsid w:val="00657E33"/>
    <w:rsid w:val="00661393"/>
    <w:rsid w:val="006618E2"/>
    <w:rsid w:val="00661A5A"/>
    <w:rsid w:val="006634C5"/>
    <w:rsid w:val="00664709"/>
    <w:rsid w:val="00666098"/>
    <w:rsid w:val="00667A70"/>
    <w:rsid w:val="0067471E"/>
    <w:rsid w:val="00675DF7"/>
    <w:rsid w:val="00676FBF"/>
    <w:rsid w:val="00677036"/>
    <w:rsid w:val="006810BF"/>
    <w:rsid w:val="00681D1B"/>
    <w:rsid w:val="00686255"/>
    <w:rsid w:val="00691467"/>
    <w:rsid w:val="0069171D"/>
    <w:rsid w:val="006924D3"/>
    <w:rsid w:val="00693B51"/>
    <w:rsid w:val="006942F2"/>
    <w:rsid w:val="006964B7"/>
    <w:rsid w:val="0069771B"/>
    <w:rsid w:val="006A053B"/>
    <w:rsid w:val="006A1356"/>
    <w:rsid w:val="006A2A13"/>
    <w:rsid w:val="006A31CD"/>
    <w:rsid w:val="006A34EA"/>
    <w:rsid w:val="006A3E79"/>
    <w:rsid w:val="006A3F32"/>
    <w:rsid w:val="006A4359"/>
    <w:rsid w:val="006A4DA8"/>
    <w:rsid w:val="006A4DC0"/>
    <w:rsid w:val="006A636D"/>
    <w:rsid w:val="006A706B"/>
    <w:rsid w:val="006A741D"/>
    <w:rsid w:val="006A7D7E"/>
    <w:rsid w:val="006B0E5A"/>
    <w:rsid w:val="006B39BC"/>
    <w:rsid w:val="006B5469"/>
    <w:rsid w:val="006B5B62"/>
    <w:rsid w:val="006B5E83"/>
    <w:rsid w:val="006C168E"/>
    <w:rsid w:val="006C1779"/>
    <w:rsid w:val="006C732F"/>
    <w:rsid w:val="006D160B"/>
    <w:rsid w:val="006D2316"/>
    <w:rsid w:val="006D6251"/>
    <w:rsid w:val="006E2DC4"/>
    <w:rsid w:val="006E3217"/>
    <w:rsid w:val="006E601E"/>
    <w:rsid w:val="006E6D94"/>
    <w:rsid w:val="006E795A"/>
    <w:rsid w:val="006F0376"/>
    <w:rsid w:val="006F0817"/>
    <w:rsid w:val="006F0BD7"/>
    <w:rsid w:val="006F0C9A"/>
    <w:rsid w:val="006F1BE3"/>
    <w:rsid w:val="006F3796"/>
    <w:rsid w:val="006F3CE9"/>
    <w:rsid w:val="006F592D"/>
    <w:rsid w:val="006F5A20"/>
    <w:rsid w:val="00700E4C"/>
    <w:rsid w:val="0070378B"/>
    <w:rsid w:val="00705E19"/>
    <w:rsid w:val="00707879"/>
    <w:rsid w:val="00712734"/>
    <w:rsid w:val="00712CF3"/>
    <w:rsid w:val="00712D9A"/>
    <w:rsid w:val="00713DEA"/>
    <w:rsid w:val="00714354"/>
    <w:rsid w:val="00715C6B"/>
    <w:rsid w:val="0072065D"/>
    <w:rsid w:val="00723669"/>
    <w:rsid w:val="00723A8E"/>
    <w:rsid w:val="00725829"/>
    <w:rsid w:val="00725E80"/>
    <w:rsid w:val="0072622B"/>
    <w:rsid w:val="00730CDC"/>
    <w:rsid w:val="007311B1"/>
    <w:rsid w:val="00731344"/>
    <w:rsid w:val="007314D9"/>
    <w:rsid w:val="007320FB"/>
    <w:rsid w:val="00732750"/>
    <w:rsid w:val="00733489"/>
    <w:rsid w:val="00734DCF"/>
    <w:rsid w:val="007362FF"/>
    <w:rsid w:val="00741E6C"/>
    <w:rsid w:val="00742E5B"/>
    <w:rsid w:val="00742FFA"/>
    <w:rsid w:val="00743AF1"/>
    <w:rsid w:val="00743F08"/>
    <w:rsid w:val="0074689D"/>
    <w:rsid w:val="007468B7"/>
    <w:rsid w:val="00746E08"/>
    <w:rsid w:val="0075125C"/>
    <w:rsid w:val="007516FC"/>
    <w:rsid w:val="0075341A"/>
    <w:rsid w:val="00754538"/>
    <w:rsid w:val="00754B46"/>
    <w:rsid w:val="00757354"/>
    <w:rsid w:val="007608BC"/>
    <w:rsid w:val="00761E4F"/>
    <w:rsid w:val="0076351F"/>
    <w:rsid w:val="0076398E"/>
    <w:rsid w:val="00764627"/>
    <w:rsid w:val="007651C0"/>
    <w:rsid w:val="007652B3"/>
    <w:rsid w:val="00766BAC"/>
    <w:rsid w:val="00772138"/>
    <w:rsid w:val="0077337E"/>
    <w:rsid w:val="007739D0"/>
    <w:rsid w:val="00774134"/>
    <w:rsid w:val="0077455A"/>
    <w:rsid w:val="00775E88"/>
    <w:rsid w:val="00776564"/>
    <w:rsid w:val="00776E4D"/>
    <w:rsid w:val="00777704"/>
    <w:rsid w:val="00781975"/>
    <w:rsid w:val="00782D39"/>
    <w:rsid w:val="0078362F"/>
    <w:rsid w:val="0079103A"/>
    <w:rsid w:val="007918F9"/>
    <w:rsid w:val="00792910"/>
    <w:rsid w:val="00794ADE"/>
    <w:rsid w:val="0079579C"/>
    <w:rsid w:val="00796D4A"/>
    <w:rsid w:val="00797F95"/>
    <w:rsid w:val="007A28E2"/>
    <w:rsid w:val="007A4E4F"/>
    <w:rsid w:val="007A4E84"/>
    <w:rsid w:val="007A7575"/>
    <w:rsid w:val="007A7B0D"/>
    <w:rsid w:val="007B05DA"/>
    <w:rsid w:val="007B1B7F"/>
    <w:rsid w:val="007B259B"/>
    <w:rsid w:val="007B28BE"/>
    <w:rsid w:val="007B5482"/>
    <w:rsid w:val="007B5C35"/>
    <w:rsid w:val="007B76D0"/>
    <w:rsid w:val="007C3DE3"/>
    <w:rsid w:val="007C491B"/>
    <w:rsid w:val="007C4D80"/>
    <w:rsid w:val="007C6EFB"/>
    <w:rsid w:val="007C70AB"/>
    <w:rsid w:val="007C7617"/>
    <w:rsid w:val="007C7790"/>
    <w:rsid w:val="007C7C7D"/>
    <w:rsid w:val="007D0B2A"/>
    <w:rsid w:val="007D1D0D"/>
    <w:rsid w:val="007D1F70"/>
    <w:rsid w:val="007D226B"/>
    <w:rsid w:val="007D39AA"/>
    <w:rsid w:val="007D400B"/>
    <w:rsid w:val="007D422A"/>
    <w:rsid w:val="007D4EED"/>
    <w:rsid w:val="007D557A"/>
    <w:rsid w:val="007D6708"/>
    <w:rsid w:val="007D6E06"/>
    <w:rsid w:val="007D7910"/>
    <w:rsid w:val="007D7FF0"/>
    <w:rsid w:val="007E2487"/>
    <w:rsid w:val="007E4183"/>
    <w:rsid w:val="007E47C9"/>
    <w:rsid w:val="007E4EF5"/>
    <w:rsid w:val="007E51D5"/>
    <w:rsid w:val="007E6544"/>
    <w:rsid w:val="007E7545"/>
    <w:rsid w:val="007F12A8"/>
    <w:rsid w:val="007F3205"/>
    <w:rsid w:val="007F3348"/>
    <w:rsid w:val="007F3378"/>
    <w:rsid w:val="007F40FD"/>
    <w:rsid w:val="007F411C"/>
    <w:rsid w:val="007F4D9D"/>
    <w:rsid w:val="007F4EC4"/>
    <w:rsid w:val="007F61A2"/>
    <w:rsid w:val="007F7E21"/>
    <w:rsid w:val="008027AB"/>
    <w:rsid w:val="00804261"/>
    <w:rsid w:val="00805D9F"/>
    <w:rsid w:val="0081285F"/>
    <w:rsid w:val="008128CD"/>
    <w:rsid w:val="00813362"/>
    <w:rsid w:val="008137C5"/>
    <w:rsid w:val="0082249E"/>
    <w:rsid w:val="00822AA6"/>
    <w:rsid w:val="0082556F"/>
    <w:rsid w:val="00825937"/>
    <w:rsid w:val="00827CDB"/>
    <w:rsid w:val="00830A3B"/>
    <w:rsid w:val="00831DE9"/>
    <w:rsid w:val="00834CE2"/>
    <w:rsid w:val="0083514C"/>
    <w:rsid w:val="00835317"/>
    <w:rsid w:val="00836A57"/>
    <w:rsid w:val="0084044F"/>
    <w:rsid w:val="00840E07"/>
    <w:rsid w:val="00841631"/>
    <w:rsid w:val="0084412F"/>
    <w:rsid w:val="00845F07"/>
    <w:rsid w:val="008475D3"/>
    <w:rsid w:val="008509E9"/>
    <w:rsid w:val="0085384A"/>
    <w:rsid w:val="00853F57"/>
    <w:rsid w:val="008559A9"/>
    <w:rsid w:val="00857796"/>
    <w:rsid w:val="00857C33"/>
    <w:rsid w:val="00857C70"/>
    <w:rsid w:val="00861A8E"/>
    <w:rsid w:val="00862030"/>
    <w:rsid w:val="00862BF0"/>
    <w:rsid w:val="00862DF4"/>
    <w:rsid w:val="0086400B"/>
    <w:rsid w:val="008651DA"/>
    <w:rsid w:val="0086692D"/>
    <w:rsid w:val="00870929"/>
    <w:rsid w:val="00872D4B"/>
    <w:rsid w:val="008735F6"/>
    <w:rsid w:val="0088114A"/>
    <w:rsid w:val="00881C85"/>
    <w:rsid w:val="00882F64"/>
    <w:rsid w:val="00886FE2"/>
    <w:rsid w:val="0089043E"/>
    <w:rsid w:val="00892482"/>
    <w:rsid w:val="00892916"/>
    <w:rsid w:val="008950FC"/>
    <w:rsid w:val="0089561E"/>
    <w:rsid w:val="00895D18"/>
    <w:rsid w:val="0089653E"/>
    <w:rsid w:val="00896588"/>
    <w:rsid w:val="008A2946"/>
    <w:rsid w:val="008A3A49"/>
    <w:rsid w:val="008A4C9F"/>
    <w:rsid w:val="008A4E96"/>
    <w:rsid w:val="008A61E3"/>
    <w:rsid w:val="008A63EA"/>
    <w:rsid w:val="008A6614"/>
    <w:rsid w:val="008A6A7E"/>
    <w:rsid w:val="008B243B"/>
    <w:rsid w:val="008B3AB9"/>
    <w:rsid w:val="008B5751"/>
    <w:rsid w:val="008B57D6"/>
    <w:rsid w:val="008B5878"/>
    <w:rsid w:val="008B6432"/>
    <w:rsid w:val="008B6995"/>
    <w:rsid w:val="008C052C"/>
    <w:rsid w:val="008C0CAA"/>
    <w:rsid w:val="008C16C8"/>
    <w:rsid w:val="008C1DB9"/>
    <w:rsid w:val="008C24E6"/>
    <w:rsid w:val="008C2D86"/>
    <w:rsid w:val="008C5D32"/>
    <w:rsid w:val="008C620F"/>
    <w:rsid w:val="008C72BD"/>
    <w:rsid w:val="008D0910"/>
    <w:rsid w:val="008D0E08"/>
    <w:rsid w:val="008D0E21"/>
    <w:rsid w:val="008D0EF6"/>
    <w:rsid w:val="008D17A2"/>
    <w:rsid w:val="008D2646"/>
    <w:rsid w:val="008D2BA1"/>
    <w:rsid w:val="008D2D8B"/>
    <w:rsid w:val="008D42AF"/>
    <w:rsid w:val="008D4CBB"/>
    <w:rsid w:val="008D4D21"/>
    <w:rsid w:val="008D4E56"/>
    <w:rsid w:val="008D4E82"/>
    <w:rsid w:val="008D6FEF"/>
    <w:rsid w:val="008D772F"/>
    <w:rsid w:val="008E0512"/>
    <w:rsid w:val="008E08E7"/>
    <w:rsid w:val="008E0A90"/>
    <w:rsid w:val="008E3866"/>
    <w:rsid w:val="008E645F"/>
    <w:rsid w:val="008E70C9"/>
    <w:rsid w:val="008F016A"/>
    <w:rsid w:val="008F08C7"/>
    <w:rsid w:val="008F1DB0"/>
    <w:rsid w:val="008F30C9"/>
    <w:rsid w:val="008F3BF3"/>
    <w:rsid w:val="008F3D1E"/>
    <w:rsid w:val="008F58E3"/>
    <w:rsid w:val="008F68B1"/>
    <w:rsid w:val="008F6B46"/>
    <w:rsid w:val="008F6D36"/>
    <w:rsid w:val="008F76D3"/>
    <w:rsid w:val="008F7A92"/>
    <w:rsid w:val="00900537"/>
    <w:rsid w:val="00910215"/>
    <w:rsid w:val="009124D4"/>
    <w:rsid w:val="00914D3F"/>
    <w:rsid w:val="009155BD"/>
    <w:rsid w:val="00915DF7"/>
    <w:rsid w:val="00917810"/>
    <w:rsid w:val="00917FB2"/>
    <w:rsid w:val="00920AFA"/>
    <w:rsid w:val="00922621"/>
    <w:rsid w:val="009245FF"/>
    <w:rsid w:val="00925A64"/>
    <w:rsid w:val="00927FA4"/>
    <w:rsid w:val="00931C57"/>
    <w:rsid w:val="0093265B"/>
    <w:rsid w:val="00934B7C"/>
    <w:rsid w:val="00935358"/>
    <w:rsid w:val="00935C34"/>
    <w:rsid w:val="00935D2C"/>
    <w:rsid w:val="00935D31"/>
    <w:rsid w:val="00935E19"/>
    <w:rsid w:val="0093670C"/>
    <w:rsid w:val="009415CA"/>
    <w:rsid w:val="0094290B"/>
    <w:rsid w:val="009429DA"/>
    <w:rsid w:val="009433F7"/>
    <w:rsid w:val="00943586"/>
    <w:rsid w:val="009452CD"/>
    <w:rsid w:val="00946716"/>
    <w:rsid w:val="00946785"/>
    <w:rsid w:val="00947A79"/>
    <w:rsid w:val="0095105A"/>
    <w:rsid w:val="00952956"/>
    <w:rsid w:val="00955B91"/>
    <w:rsid w:val="009563EF"/>
    <w:rsid w:val="00957544"/>
    <w:rsid w:val="00957708"/>
    <w:rsid w:val="00957A43"/>
    <w:rsid w:val="00960AD4"/>
    <w:rsid w:val="00960BE5"/>
    <w:rsid w:val="00961D95"/>
    <w:rsid w:val="009628E1"/>
    <w:rsid w:val="00963CEF"/>
    <w:rsid w:val="00966109"/>
    <w:rsid w:val="0096690F"/>
    <w:rsid w:val="00971AD4"/>
    <w:rsid w:val="00971C13"/>
    <w:rsid w:val="00972972"/>
    <w:rsid w:val="009739E1"/>
    <w:rsid w:val="00973D0F"/>
    <w:rsid w:val="00975638"/>
    <w:rsid w:val="00975925"/>
    <w:rsid w:val="00975BC4"/>
    <w:rsid w:val="00976245"/>
    <w:rsid w:val="00982045"/>
    <w:rsid w:val="00982B8C"/>
    <w:rsid w:val="00982C62"/>
    <w:rsid w:val="009859AE"/>
    <w:rsid w:val="00990448"/>
    <w:rsid w:val="00990FF6"/>
    <w:rsid w:val="0099172A"/>
    <w:rsid w:val="00991EB3"/>
    <w:rsid w:val="00992494"/>
    <w:rsid w:val="00995833"/>
    <w:rsid w:val="0099743E"/>
    <w:rsid w:val="00997FED"/>
    <w:rsid w:val="009A2EAB"/>
    <w:rsid w:val="009A32AD"/>
    <w:rsid w:val="009A4A8A"/>
    <w:rsid w:val="009A4F4F"/>
    <w:rsid w:val="009A6565"/>
    <w:rsid w:val="009A6ED8"/>
    <w:rsid w:val="009B3402"/>
    <w:rsid w:val="009B4861"/>
    <w:rsid w:val="009B5198"/>
    <w:rsid w:val="009B5A30"/>
    <w:rsid w:val="009B647A"/>
    <w:rsid w:val="009B73D0"/>
    <w:rsid w:val="009C0107"/>
    <w:rsid w:val="009C09D2"/>
    <w:rsid w:val="009C09F1"/>
    <w:rsid w:val="009C0B5F"/>
    <w:rsid w:val="009C0B8D"/>
    <w:rsid w:val="009C1452"/>
    <w:rsid w:val="009C49E5"/>
    <w:rsid w:val="009C57E1"/>
    <w:rsid w:val="009C5AF9"/>
    <w:rsid w:val="009C6C36"/>
    <w:rsid w:val="009C799B"/>
    <w:rsid w:val="009D1724"/>
    <w:rsid w:val="009D1FBC"/>
    <w:rsid w:val="009D2D15"/>
    <w:rsid w:val="009D6768"/>
    <w:rsid w:val="009D6BD6"/>
    <w:rsid w:val="009E0050"/>
    <w:rsid w:val="009E006C"/>
    <w:rsid w:val="009E0E3B"/>
    <w:rsid w:val="009E254E"/>
    <w:rsid w:val="009E2964"/>
    <w:rsid w:val="009E6174"/>
    <w:rsid w:val="009F076F"/>
    <w:rsid w:val="009F1164"/>
    <w:rsid w:val="009F3D3E"/>
    <w:rsid w:val="009F545D"/>
    <w:rsid w:val="009F6087"/>
    <w:rsid w:val="009F76AA"/>
    <w:rsid w:val="00A02DB2"/>
    <w:rsid w:val="00A04E0F"/>
    <w:rsid w:val="00A0502A"/>
    <w:rsid w:val="00A06564"/>
    <w:rsid w:val="00A06647"/>
    <w:rsid w:val="00A06CB9"/>
    <w:rsid w:val="00A07EE1"/>
    <w:rsid w:val="00A10A8D"/>
    <w:rsid w:val="00A10C15"/>
    <w:rsid w:val="00A117FB"/>
    <w:rsid w:val="00A11D87"/>
    <w:rsid w:val="00A12425"/>
    <w:rsid w:val="00A139F6"/>
    <w:rsid w:val="00A16E67"/>
    <w:rsid w:val="00A17E45"/>
    <w:rsid w:val="00A21468"/>
    <w:rsid w:val="00A21E91"/>
    <w:rsid w:val="00A22120"/>
    <w:rsid w:val="00A22FB0"/>
    <w:rsid w:val="00A230DE"/>
    <w:rsid w:val="00A2526A"/>
    <w:rsid w:val="00A2589A"/>
    <w:rsid w:val="00A27070"/>
    <w:rsid w:val="00A2740E"/>
    <w:rsid w:val="00A325F1"/>
    <w:rsid w:val="00A32A56"/>
    <w:rsid w:val="00A340CA"/>
    <w:rsid w:val="00A34EB7"/>
    <w:rsid w:val="00A3744D"/>
    <w:rsid w:val="00A402B9"/>
    <w:rsid w:val="00A40424"/>
    <w:rsid w:val="00A40A76"/>
    <w:rsid w:val="00A40E66"/>
    <w:rsid w:val="00A4197E"/>
    <w:rsid w:val="00A4284E"/>
    <w:rsid w:val="00A42A4C"/>
    <w:rsid w:val="00A42B14"/>
    <w:rsid w:val="00A44E00"/>
    <w:rsid w:val="00A45948"/>
    <w:rsid w:val="00A45C89"/>
    <w:rsid w:val="00A467A1"/>
    <w:rsid w:val="00A50392"/>
    <w:rsid w:val="00A51A32"/>
    <w:rsid w:val="00A5251A"/>
    <w:rsid w:val="00A535F4"/>
    <w:rsid w:val="00A53F65"/>
    <w:rsid w:val="00A557FE"/>
    <w:rsid w:val="00A568A1"/>
    <w:rsid w:val="00A56957"/>
    <w:rsid w:val="00A60400"/>
    <w:rsid w:val="00A61796"/>
    <w:rsid w:val="00A64B89"/>
    <w:rsid w:val="00A64D0A"/>
    <w:rsid w:val="00A65848"/>
    <w:rsid w:val="00A67300"/>
    <w:rsid w:val="00A701A1"/>
    <w:rsid w:val="00A71DD8"/>
    <w:rsid w:val="00A7203B"/>
    <w:rsid w:val="00A72CCA"/>
    <w:rsid w:val="00A730D9"/>
    <w:rsid w:val="00A73A98"/>
    <w:rsid w:val="00A73C20"/>
    <w:rsid w:val="00A73F11"/>
    <w:rsid w:val="00A750E6"/>
    <w:rsid w:val="00A76661"/>
    <w:rsid w:val="00A819CF"/>
    <w:rsid w:val="00A81A72"/>
    <w:rsid w:val="00A86717"/>
    <w:rsid w:val="00A87870"/>
    <w:rsid w:val="00A91B78"/>
    <w:rsid w:val="00A9362C"/>
    <w:rsid w:val="00A944A2"/>
    <w:rsid w:val="00A94CB6"/>
    <w:rsid w:val="00A95734"/>
    <w:rsid w:val="00A958C1"/>
    <w:rsid w:val="00A95A3C"/>
    <w:rsid w:val="00A97469"/>
    <w:rsid w:val="00AA0668"/>
    <w:rsid w:val="00AA1AC0"/>
    <w:rsid w:val="00AA2176"/>
    <w:rsid w:val="00AA4537"/>
    <w:rsid w:val="00AA4882"/>
    <w:rsid w:val="00AA5069"/>
    <w:rsid w:val="00AA5F7F"/>
    <w:rsid w:val="00AA75C4"/>
    <w:rsid w:val="00AB003E"/>
    <w:rsid w:val="00AB0C39"/>
    <w:rsid w:val="00AB1147"/>
    <w:rsid w:val="00AB2B23"/>
    <w:rsid w:val="00AB3584"/>
    <w:rsid w:val="00AB7784"/>
    <w:rsid w:val="00AC02B2"/>
    <w:rsid w:val="00AC1578"/>
    <w:rsid w:val="00AC1886"/>
    <w:rsid w:val="00AC1C3C"/>
    <w:rsid w:val="00AC2CE0"/>
    <w:rsid w:val="00AC315F"/>
    <w:rsid w:val="00AC333B"/>
    <w:rsid w:val="00AC658A"/>
    <w:rsid w:val="00AC6D13"/>
    <w:rsid w:val="00AC751A"/>
    <w:rsid w:val="00AC7BEB"/>
    <w:rsid w:val="00AC7EB7"/>
    <w:rsid w:val="00AD3632"/>
    <w:rsid w:val="00AD67A2"/>
    <w:rsid w:val="00AD7416"/>
    <w:rsid w:val="00AD7947"/>
    <w:rsid w:val="00AE07D6"/>
    <w:rsid w:val="00AE4B9D"/>
    <w:rsid w:val="00AF0D16"/>
    <w:rsid w:val="00AF0D4A"/>
    <w:rsid w:val="00AF2134"/>
    <w:rsid w:val="00AF2D5B"/>
    <w:rsid w:val="00AF536C"/>
    <w:rsid w:val="00AF5E92"/>
    <w:rsid w:val="00AF6116"/>
    <w:rsid w:val="00AF7390"/>
    <w:rsid w:val="00AF7BA5"/>
    <w:rsid w:val="00AF7BBE"/>
    <w:rsid w:val="00B02902"/>
    <w:rsid w:val="00B04BCF"/>
    <w:rsid w:val="00B0503D"/>
    <w:rsid w:val="00B063DB"/>
    <w:rsid w:val="00B10360"/>
    <w:rsid w:val="00B1064C"/>
    <w:rsid w:val="00B107B6"/>
    <w:rsid w:val="00B10D14"/>
    <w:rsid w:val="00B11A39"/>
    <w:rsid w:val="00B132FD"/>
    <w:rsid w:val="00B1487D"/>
    <w:rsid w:val="00B15678"/>
    <w:rsid w:val="00B157E0"/>
    <w:rsid w:val="00B178B8"/>
    <w:rsid w:val="00B21DF0"/>
    <w:rsid w:val="00B23DA8"/>
    <w:rsid w:val="00B24272"/>
    <w:rsid w:val="00B24861"/>
    <w:rsid w:val="00B253B8"/>
    <w:rsid w:val="00B26C96"/>
    <w:rsid w:val="00B3394A"/>
    <w:rsid w:val="00B339D4"/>
    <w:rsid w:val="00B358CD"/>
    <w:rsid w:val="00B35F11"/>
    <w:rsid w:val="00B36ACF"/>
    <w:rsid w:val="00B405EE"/>
    <w:rsid w:val="00B40E29"/>
    <w:rsid w:val="00B41696"/>
    <w:rsid w:val="00B41E83"/>
    <w:rsid w:val="00B424DF"/>
    <w:rsid w:val="00B45013"/>
    <w:rsid w:val="00B46073"/>
    <w:rsid w:val="00B460C7"/>
    <w:rsid w:val="00B47378"/>
    <w:rsid w:val="00B474FF"/>
    <w:rsid w:val="00B4793B"/>
    <w:rsid w:val="00B512A6"/>
    <w:rsid w:val="00B51C21"/>
    <w:rsid w:val="00B5350A"/>
    <w:rsid w:val="00B53E1B"/>
    <w:rsid w:val="00B54581"/>
    <w:rsid w:val="00B56A17"/>
    <w:rsid w:val="00B61403"/>
    <w:rsid w:val="00B61F4A"/>
    <w:rsid w:val="00B63A80"/>
    <w:rsid w:val="00B64009"/>
    <w:rsid w:val="00B654E0"/>
    <w:rsid w:val="00B65C75"/>
    <w:rsid w:val="00B6670B"/>
    <w:rsid w:val="00B72D70"/>
    <w:rsid w:val="00B741E1"/>
    <w:rsid w:val="00B74229"/>
    <w:rsid w:val="00B74B68"/>
    <w:rsid w:val="00B757B5"/>
    <w:rsid w:val="00B758A4"/>
    <w:rsid w:val="00B76490"/>
    <w:rsid w:val="00B76A73"/>
    <w:rsid w:val="00B76F3E"/>
    <w:rsid w:val="00B81111"/>
    <w:rsid w:val="00B819BA"/>
    <w:rsid w:val="00B85D70"/>
    <w:rsid w:val="00B91140"/>
    <w:rsid w:val="00B920C4"/>
    <w:rsid w:val="00B95EDC"/>
    <w:rsid w:val="00B96BBE"/>
    <w:rsid w:val="00BA100C"/>
    <w:rsid w:val="00BA1C5B"/>
    <w:rsid w:val="00BA2051"/>
    <w:rsid w:val="00BA2E18"/>
    <w:rsid w:val="00BA3600"/>
    <w:rsid w:val="00BA4244"/>
    <w:rsid w:val="00BA65C4"/>
    <w:rsid w:val="00BA65EC"/>
    <w:rsid w:val="00BA7B4C"/>
    <w:rsid w:val="00BB4692"/>
    <w:rsid w:val="00BB477E"/>
    <w:rsid w:val="00BC0DD0"/>
    <w:rsid w:val="00BC1737"/>
    <w:rsid w:val="00BC24FF"/>
    <w:rsid w:val="00BC26BB"/>
    <w:rsid w:val="00BC34FD"/>
    <w:rsid w:val="00BC3736"/>
    <w:rsid w:val="00BC6403"/>
    <w:rsid w:val="00BD061B"/>
    <w:rsid w:val="00BD0718"/>
    <w:rsid w:val="00BD09B3"/>
    <w:rsid w:val="00BD146D"/>
    <w:rsid w:val="00BD2055"/>
    <w:rsid w:val="00BD2B2A"/>
    <w:rsid w:val="00BD31F1"/>
    <w:rsid w:val="00BD513E"/>
    <w:rsid w:val="00BD73A9"/>
    <w:rsid w:val="00BD76DA"/>
    <w:rsid w:val="00BD7F75"/>
    <w:rsid w:val="00BE16E9"/>
    <w:rsid w:val="00BE1C62"/>
    <w:rsid w:val="00BE1E01"/>
    <w:rsid w:val="00BE3695"/>
    <w:rsid w:val="00BE42C5"/>
    <w:rsid w:val="00BE5A44"/>
    <w:rsid w:val="00BE5E36"/>
    <w:rsid w:val="00BF2F13"/>
    <w:rsid w:val="00BF3A53"/>
    <w:rsid w:val="00BF4615"/>
    <w:rsid w:val="00C01D6C"/>
    <w:rsid w:val="00C02723"/>
    <w:rsid w:val="00C03BB0"/>
    <w:rsid w:val="00C107F4"/>
    <w:rsid w:val="00C116AA"/>
    <w:rsid w:val="00C11DBE"/>
    <w:rsid w:val="00C14EBF"/>
    <w:rsid w:val="00C1671C"/>
    <w:rsid w:val="00C1787A"/>
    <w:rsid w:val="00C21643"/>
    <w:rsid w:val="00C2176E"/>
    <w:rsid w:val="00C23C2D"/>
    <w:rsid w:val="00C2459F"/>
    <w:rsid w:val="00C253A1"/>
    <w:rsid w:val="00C25B71"/>
    <w:rsid w:val="00C25E6E"/>
    <w:rsid w:val="00C26DA6"/>
    <w:rsid w:val="00C27DF3"/>
    <w:rsid w:val="00C308C9"/>
    <w:rsid w:val="00C31E81"/>
    <w:rsid w:val="00C33138"/>
    <w:rsid w:val="00C33F34"/>
    <w:rsid w:val="00C3479F"/>
    <w:rsid w:val="00C35289"/>
    <w:rsid w:val="00C372B2"/>
    <w:rsid w:val="00C37528"/>
    <w:rsid w:val="00C40056"/>
    <w:rsid w:val="00C42F0D"/>
    <w:rsid w:val="00C436F6"/>
    <w:rsid w:val="00C44932"/>
    <w:rsid w:val="00C46AE1"/>
    <w:rsid w:val="00C46BC1"/>
    <w:rsid w:val="00C50758"/>
    <w:rsid w:val="00C5263E"/>
    <w:rsid w:val="00C526D2"/>
    <w:rsid w:val="00C53DD3"/>
    <w:rsid w:val="00C56EDF"/>
    <w:rsid w:val="00C57A1E"/>
    <w:rsid w:val="00C57DE5"/>
    <w:rsid w:val="00C60168"/>
    <w:rsid w:val="00C61A20"/>
    <w:rsid w:val="00C63037"/>
    <w:rsid w:val="00C63B0B"/>
    <w:rsid w:val="00C70FD9"/>
    <w:rsid w:val="00C71974"/>
    <w:rsid w:val="00C724B9"/>
    <w:rsid w:val="00C735D8"/>
    <w:rsid w:val="00C73B32"/>
    <w:rsid w:val="00C76399"/>
    <w:rsid w:val="00C80860"/>
    <w:rsid w:val="00C827BD"/>
    <w:rsid w:val="00C84D3F"/>
    <w:rsid w:val="00C8554B"/>
    <w:rsid w:val="00C914B2"/>
    <w:rsid w:val="00C92A7F"/>
    <w:rsid w:val="00C92C43"/>
    <w:rsid w:val="00C95D08"/>
    <w:rsid w:val="00C95E37"/>
    <w:rsid w:val="00CA0BF2"/>
    <w:rsid w:val="00CA1202"/>
    <w:rsid w:val="00CA12AE"/>
    <w:rsid w:val="00CA2096"/>
    <w:rsid w:val="00CA2C5C"/>
    <w:rsid w:val="00CA34E8"/>
    <w:rsid w:val="00CA4E88"/>
    <w:rsid w:val="00CA560E"/>
    <w:rsid w:val="00CB0A1C"/>
    <w:rsid w:val="00CB5681"/>
    <w:rsid w:val="00CB652D"/>
    <w:rsid w:val="00CB71D2"/>
    <w:rsid w:val="00CB7879"/>
    <w:rsid w:val="00CC05A1"/>
    <w:rsid w:val="00CC1C48"/>
    <w:rsid w:val="00CC35AF"/>
    <w:rsid w:val="00CC6E04"/>
    <w:rsid w:val="00CD175E"/>
    <w:rsid w:val="00CD2486"/>
    <w:rsid w:val="00CD294C"/>
    <w:rsid w:val="00CD2E90"/>
    <w:rsid w:val="00CD3B37"/>
    <w:rsid w:val="00CD647B"/>
    <w:rsid w:val="00CE3C6C"/>
    <w:rsid w:val="00CE4FE2"/>
    <w:rsid w:val="00CE648B"/>
    <w:rsid w:val="00CE6AD7"/>
    <w:rsid w:val="00CE6FA0"/>
    <w:rsid w:val="00CF429E"/>
    <w:rsid w:val="00CF5117"/>
    <w:rsid w:val="00CF62C4"/>
    <w:rsid w:val="00CF715B"/>
    <w:rsid w:val="00D02AA2"/>
    <w:rsid w:val="00D02C8A"/>
    <w:rsid w:val="00D0316F"/>
    <w:rsid w:val="00D03EBF"/>
    <w:rsid w:val="00D04523"/>
    <w:rsid w:val="00D05C45"/>
    <w:rsid w:val="00D06F77"/>
    <w:rsid w:val="00D07CC6"/>
    <w:rsid w:val="00D10633"/>
    <w:rsid w:val="00D11C50"/>
    <w:rsid w:val="00D12FA2"/>
    <w:rsid w:val="00D13554"/>
    <w:rsid w:val="00D1627E"/>
    <w:rsid w:val="00D16B75"/>
    <w:rsid w:val="00D2005D"/>
    <w:rsid w:val="00D214EB"/>
    <w:rsid w:val="00D22F79"/>
    <w:rsid w:val="00D24BB2"/>
    <w:rsid w:val="00D24DAA"/>
    <w:rsid w:val="00D25E52"/>
    <w:rsid w:val="00D30BFF"/>
    <w:rsid w:val="00D30E99"/>
    <w:rsid w:val="00D330A2"/>
    <w:rsid w:val="00D34105"/>
    <w:rsid w:val="00D34E96"/>
    <w:rsid w:val="00D41096"/>
    <w:rsid w:val="00D41264"/>
    <w:rsid w:val="00D4161C"/>
    <w:rsid w:val="00D43CFB"/>
    <w:rsid w:val="00D460F5"/>
    <w:rsid w:val="00D46831"/>
    <w:rsid w:val="00D52D43"/>
    <w:rsid w:val="00D537D5"/>
    <w:rsid w:val="00D53AE7"/>
    <w:rsid w:val="00D5449A"/>
    <w:rsid w:val="00D571D5"/>
    <w:rsid w:val="00D57B6D"/>
    <w:rsid w:val="00D57BE4"/>
    <w:rsid w:val="00D57F28"/>
    <w:rsid w:val="00D60340"/>
    <w:rsid w:val="00D607DE"/>
    <w:rsid w:val="00D6685C"/>
    <w:rsid w:val="00D66A6A"/>
    <w:rsid w:val="00D70111"/>
    <w:rsid w:val="00D713FE"/>
    <w:rsid w:val="00D717EE"/>
    <w:rsid w:val="00D71F56"/>
    <w:rsid w:val="00D723EC"/>
    <w:rsid w:val="00D72BFF"/>
    <w:rsid w:val="00D74826"/>
    <w:rsid w:val="00D74EE2"/>
    <w:rsid w:val="00D806E8"/>
    <w:rsid w:val="00D81AB2"/>
    <w:rsid w:val="00D81D9E"/>
    <w:rsid w:val="00D823F7"/>
    <w:rsid w:val="00D83E7F"/>
    <w:rsid w:val="00D83EB4"/>
    <w:rsid w:val="00D8740D"/>
    <w:rsid w:val="00D875B5"/>
    <w:rsid w:val="00D9243C"/>
    <w:rsid w:val="00D93B79"/>
    <w:rsid w:val="00D94749"/>
    <w:rsid w:val="00D94F7A"/>
    <w:rsid w:val="00D97214"/>
    <w:rsid w:val="00DA02E7"/>
    <w:rsid w:val="00DA0580"/>
    <w:rsid w:val="00DA0B84"/>
    <w:rsid w:val="00DA2A37"/>
    <w:rsid w:val="00DA4B15"/>
    <w:rsid w:val="00DA64E9"/>
    <w:rsid w:val="00DA7A8A"/>
    <w:rsid w:val="00DB07CA"/>
    <w:rsid w:val="00DB1635"/>
    <w:rsid w:val="00DB182C"/>
    <w:rsid w:val="00DB3591"/>
    <w:rsid w:val="00DB73D8"/>
    <w:rsid w:val="00DC00A2"/>
    <w:rsid w:val="00DC1BF2"/>
    <w:rsid w:val="00DC2B35"/>
    <w:rsid w:val="00DC51D4"/>
    <w:rsid w:val="00DC56C2"/>
    <w:rsid w:val="00DD1387"/>
    <w:rsid w:val="00DD30BA"/>
    <w:rsid w:val="00DD3CC9"/>
    <w:rsid w:val="00DD53BC"/>
    <w:rsid w:val="00DD6049"/>
    <w:rsid w:val="00DD6B01"/>
    <w:rsid w:val="00DD6F19"/>
    <w:rsid w:val="00DE0393"/>
    <w:rsid w:val="00DE0B81"/>
    <w:rsid w:val="00DE3DE5"/>
    <w:rsid w:val="00DE66A7"/>
    <w:rsid w:val="00DF00E2"/>
    <w:rsid w:val="00DF0895"/>
    <w:rsid w:val="00DF0B38"/>
    <w:rsid w:val="00DF0ECB"/>
    <w:rsid w:val="00DF1C2E"/>
    <w:rsid w:val="00DF21A8"/>
    <w:rsid w:val="00DF34F3"/>
    <w:rsid w:val="00DF3E8A"/>
    <w:rsid w:val="00DF3E92"/>
    <w:rsid w:val="00DF4518"/>
    <w:rsid w:val="00DF5E59"/>
    <w:rsid w:val="00DF670E"/>
    <w:rsid w:val="00E017A6"/>
    <w:rsid w:val="00E027EF"/>
    <w:rsid w:val="00E035B4"/>
    <w:rsid w:val="00E044E8"/>
    <w:rsid w:val="00E04B8D"/>
    <w:rsid w:val="00E051AE"/>
    <w:rsid w:val="00E06D85"/>
    <w:rsid w:val="00E07343"/>
    <w:rsid w:val="00E07845"/>
    <w:rsid w:val="00E07D79"/>
    <w:rsid w:val="00E142ED"/>
    <w:rsid w:val="00E154CD"/>
    <w:rsid w:val="00E16E91"/>
    <w:rsid w:val="00E20D61"/>
    <w:rsid w:val="00E2125C"/>
    <w:rsid w:val="00E21B4A"/>
    <w:rsid w:val="00E21CF7"/>
    <w:rsid w:val="00E22BAC"/>
    <w:rsid w:val="00E24399"/>
    <w:rsid w:val="00E25C14"/>
    <w:rsid w:val="00E26D15"/>
    <w:rsid w:val="00E27CCD"/>
    <w:rsid w:val="00E27E4F"/>
    <w:rsid w:val="00E30373"/>
    <w:rsid w:val="00E304A2"/>
    <w:rsid w:val="00E3358A"/>
    <w:rsid w:val="00E367FA"/>
    <w:rsid w:val="00E40DEF"/>
    <w:rsid w:val="00E43222"/>
    <w:rsid w:val="00E43939"/>
    <w:rsid w:val="00E45E4E"/>
    <w:rsid w:val="00E4687C"/>
    <w:rsid w:val="00E5022E"/>
    <w:rsid w:val="00E5078D"/>
    <w:rsid w:val="00E51230"/>
    <w:rsid w:val="00E5384D"/>
    <w:rsid w:val="00E53870"/>
    <w:rsid w:val="00E54050"/>
    <w:rsid w:val="00E54884"/>
    <w:rsid w:val="00E554BC"/>
    <w:rsid w:val="00E5790B"/>
    <w:rsid w:val="00E601F9"/>
    <w:rsid w:val="00E620A1"/>
    <w:rsid w:val="00E6280E"/>
    <w:rsid w:val="00E62BC5"/>
    <w:rsid w:val="00E64679"/>
    <w:rsid w:val="00E654CA"/>
    <w:rsid w:val="00E654F6"/>
    <w:rsid w:val="00E67110"/>
    <w:rsid w:val="00E67BFD"/>
    <w:rsid w:val="00E67DA9"/>
    <w:rsid w:val="00E72C97"/>
    <w:rsid w:val="00E72F96"/>
    <w:rsid w:val="00E7550D"/>
    <w:rsid w:val="00E75879"/>
    <w:rsid w:val="00E76B0D"/>
    <w:rsid w:val="00E76C40"/>
    <w:rsid w:val="00E803BC"/>
    <w:rsid w:val="00E80E45"/>
    <w:rsid w:val="00E81D36"/>
    <w:rsid w:val="00E81E17"/>
    <w:rsid w:val="00E82D9C"/>
    <w:rsid w:val="00E8597E"/>
    <w:rsid w:val="00E90D7E"/>
    <w:rsid w:val="00E911E3"/>
    <w:rsid w:val="00E94D92"/>
    <w:rsid w:val="00E9595B"/>
    <w:rsid w:val="00E961E5"/>
    <w:rsid w:val="00E962FB"/>
    <w:rsid w:val="00E96F02"/>
    <w:rsid w:val="00E96F04"/>
    <w:rsid w:val="00E97622"/>
    <w:rsid w:val="00E97D87"/>
    <w:rsid w:val="00EA1E1F"/>
    <w:rsid w:val="00EA2CB3"/>
    <w:rsid w:val="00EA34C9"/>
    <w:rsid w:val="00EA47AF"/>
    <w:rsid w:val="00EA520E"/>
    <w:rsid w:val="00EA596C"/>
    <w:rsid w:val="00EA5AF2"/>
    <w:rsid w:val="00EA718A"/>
    <w:rsid w:val="00EB1CF3"/>
    <w:rsid w:val="00EB1E6F"/>
    <w:rsid w:val="00EB39CB"/>
    <w:rsid w:val="00EB43AA"/>
    <w:rsid w:val="00EB5DC1"/>
    <w:rsid w:val="00EB65E7"/>
    <w:rsid w:val="00EC05A5"/>
    <w:rsid w:val="00EC14F3"/>
    <w:rsid w:val="00EC1F73"/>
    <w:rsid w:val="00EC426E"/>
    <w:rsid w:val="00EC475F"/>
    <w:rsid w:val="00EC5780"/>
    <w:rsid w:val="00EC5A70"/>
    <w:rsid w:val="00ED0134"/>
    <w:rsid w:val="00ED1BCD"/>
    <w:rsid w:val="00ED3C41"/>
    <w:rsid w:val="00ED3D55"/>
    <w:rsid w:val="00ED52C6"/>
    <w:rsid w:val="00EE075E"/>
    <w:rsid w:val="00EE111D"/>
    <w:rsid w:val="00EE1CA9"/>
    <w:rsid w:val="00EE313F"/>
    <w:rsid w:val="00EE43DA"/>
    <w:rsid w:val="00EE43DC"/>
    <w:rsid w:val="00EE6AF6"/>
    <w:rsid w:val="00EE78BA"/>
    <w:rsid w:val="00EE7F15"/>
    <w:rsid w:val="00EF19E1"/>
    <w:rsid w:val="00EF36E7"/>
    <w:rsid w:val="00EF3E48"/>
    <w:rsid w:val="00EF3ECE"/>
    <w:rsid w:val="00EF576B"/>
    <w:rsid w:val="00EF58DC"/>
    <w:rsid w:val="00EF710B"/>
    <w:rsid w:val="00F0105F"/>
    <w:rsid w:val="00F044A5"/>
    <w:rsid w:val="00F04726"/>
    <w:rsid w:val="00F058D1"/>
    <w:rsid w:val="00F061D1"/>
    <w:rsid w:val="00F0704F"/>
    <w:rsid w:val="00F07EDB"/>
    <w:rsid w:val="00F12CEC"/>
    <w:rsid w:val="00F13E87"/>
    <w:rsid w:val="00F16B54"/>
    <w:rsid w:val="00F1714E"/>
    <w:rsid w:val="00F2176D"/>
    <w:rsid w:val="00F25717"/>
    <w:rsid w:val="00F2734D"/>
    <w:rsid w:val="00F27415"/>
    <w:rsid w:val="00F3160D"/>
    <w:rsid w:val="00F317B0"/>
    <w:rsid w:val="00F3319E"/>
    <w:rsid w:val="00F333E4"/>
    <w:rsid w:val="00F34865"/>
    <w:rsid w:val="00F420B6"/>
    <w:rsid w:val="00F42B6C"/>
    <w:rsid w:val="00F43E1F"/>
    <w:rsid w:val="00F44B50"/>
    <w:rsid w:val="00F45E57"/>
    <w:rsid w:val="00F46DE6"/>
    <w:rsid w:val="00F47535"/>
    <w:rsid w:val="00F50979"/>
    <w:rsid w:val="00F55D40"/>
    <w:rsid w:val="00F56EDB"/>
    <w:rsid w:val="00F61ADB"/>
    <w:rsid w:val="00F660E9"/>
    <w:rsid w:val="00F66713"/>
    <w:rsid w:val="00F71080"/>
    <w:rsid w:val="00F71AC7"/>
    <w:rsid w:val="00F74D9F"/>
    <w:rsid w:val="00F75306"/>
    <w:rsid w:val="00F757EB"/>
    <w:rsid w:val="00F77BA4"/>
    <w:rsid w:val="00F80665"/>
    <w:rsid w:val="00F81259"/>
    <w:rsid w:val="00F81657"/>
    <w:rsid w:val="00F836B3"/>
    <w:rsid w:val="00F84EEC"/>
    <w:rsid w:val="00F858CE"/>
    <w:rsid w:val="00F86431"/>
    <w:rsid w:val="00F87C32"/>
    <w:rsid w:val="00F936AB"/>
    <w:rsid w:val="00F95152"/>
    <w:rsid w:val="00F96188"/>
    <w:rsid w:val="00F97A0A"/>
    <w:rsid w:val="00FA072F"/>
    <w:rsid w:val="00FA2204"/>
    <w:rsid w:val="00FA42A5"/>
    <w:rsid w:val="00FA4DE9"/>
    <w:rsid w:val="00FA5861"/>
    <w:rsid w:val="00FA5AFE"/>
    <w:rsid w:val="00FA6CA6"/>
    <w:rsid w:val="00FA7798"/>
    <w:rsid w:val="00FB0147"/>
    <w:rsid w:val="00FB0BC0"/>
    <w:rsid w:val="00FB35BC"/>
    <w:rsid w:val="00FB4739"/>
    <w:rsid w:val="00FB4AC1"/>
    <w:rsid w:val="00FB4EE9"/>
    <w:rsid w:val="00FB5DEE"/>
    <w:rsid w:val="00FB7219"/>
    <w:rsid w:val="00FC01C4"/>
    <w:rsid w:val="00FC113F"/>
    <w:rsid w:val="00FC18CC"/>
    <w:rsid w:val="00FC2672"/>
    <w:rsid w:val="00FC369F"/>
    <w:rsid w:val="00FC36EA"/>
    <w:rsid w:val="00FC7126"/>
    <w:rsid w:val="00FC740C"/>
    <w:rsid w:val="00FD17B7"/>
    <w:rsid w:val="00FD3BF1"/>
    <w:rsid w:val="00FD6C3C"/>
    <w:rsid w:val="00FE0DFD"/>
    <w:rsid w:val="00FE321A"/>
    <w:rsid w:val="00FE5314"/>
    <w:rsid w:val="00FE579D"/>
    <w:rsid w:val="00FE658B"/>
    <w:rsid w:val="00FE7D06"/>
    <w:rsid w:val="00FF14AF"/>
    <w:rsid w:val="00FF274C"/>
    <w:rsid w:val="00FF4AE7"/>
    <w:rsid w:val="00FF6E94"/>
    <w:rsid w:val="00FF7C7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D374EF7"/>
  <w15:chartTrackingRefBased/>
  <w15:docId w15:val="{C1F6777F-2704-4775-854F-C8A63061B3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1"/>
        <w:szCs w:val="21"/>
        <w:lang w:val="en-CA" w:eastAsia="en-US" w:bidi="ar-SA"/>
      </w:rPr>
    </w:rPrDefault>
    <w:pPrDefault>
      <w:pPr>
        <w:spacing w:after="160" w:line="30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F08C7"/>
    <w:rPr>
      <w:rFonts w:ascii="Adobe Garamond Pro" w:hAnsi="Adobe Garamond Pro"/>
      <w:color w:val="3E4752"/>
      <w:sz w:val="22"/>
    </w:rPr>
  </w:style>
  <w:style w:type="paragraph" w:styleId="Heading1">
    <w:name w:val="heading 1"/>
    <w:basedOn w:val="Normal"/>
    <w:next w:val="Normal"/>
    <w:link w:val="Heading1Char"/>
    <w:uiPriority w:val="9"/>
    <w:qFormat/>
    <w:rsid w:val="008F08C7"/>
    <w:pPr>
      <w:keepNext/>
      <w:keepLines/>
      <w:spacing w:before="320" w:after="80" w:line="240" w:lineRule="auto"/>
      <w:outlineLvl w:val="0"/>
    </w:pPr>
    <w:rPr>
      <w:rFonts w:ascii="Gotham Rounded Bold" w:eastAsiaTheme="majorEastAsia" w:hAnsi="Gotham Rounded Bold" w:cstheme="majorBidi"/>
      <w:color w:val="E26F54"/>
      <w:sz w:val="28"/>
      <w:szCs w:val="40"/>
    </w:rPr>
  </w:style>
  <w:style w:type="paragraph" w:styleId="Heading2">
    <w:name w:val="heading 2"/>
    <w:basedOn w:val="Normal"/>
    <w:next w:val="Normal"/>
    <w:link w:val="Heading2Char"/>
    <w:uiPriority w:val="9"/>
    <w:unhideWhenUsed/>
    <w:qFormat/>
    <w:rsid w:val="008F08C7"/>
    <w:pPr>
      <w:keepNext/>
      <w:keepLines/>
      <w:spacing w:before="160" w:after="40" w:line="240" w:lineRule="auto"/>
      <w:jc w:val="center"/>
      <w:outlineLvl w:val="1"/>
    </w:pPr>
    <w:rPr>
      <w:rFonts w:ascii="Gotham Rounded Bold" w:eastAsiaTheme="majorEastAsia" w:hAnsi="Gotham Rounded Bold" w:cstheme="majorBidi"/>
      <w:sz w:val="24"/>
      <w:szCs w:val="32"/>
    </w:rPr>
  </w:style>
  <w:style w:type="paragraph" w:styleId="Heading3">
    <w:name w:val="heading 3"/>
    <w:basedOn w:val="Normal"/>
    <w:next w:val="Normal"/>
    <w:link w:val="Heading3Char"/>
    <w:uiPriority w:val="9"/>
    <w:unhideWhenUsed/>
    <w:qFormat/>
    <w:rsid w:val="008F08C7"/>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8F08C7"/>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8F08C7"/>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8F08C7"/>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8F08C7"/>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8F08C7"/>
    <w:pPr>
      <w:keepNext/>
      <w:keepLines/>
      <w:spacing w:before="40" w:after="0"/>
      <w:outlineLvl w:val="7"/>
    </w:pPr>
    <w:rPr>
      <w:rFonts w:asciiTheme="majorHAnsi" w:eastAsiaTheme="majorEastAsia" w:hAnsiTheme="majorHAnsi" w:cstheme="majorBidi"/>
      <w:i/>
      <w:iCs/>
      <w:szCs w:val="22"/>
    </w:rPr>
  </w:style>
  <w:style w:type="paragraph" w:styleId="Heading9">
    <w:name w:val="heading 9"/>
    <w:basedOn w:val="Normal"/>
    <w:next w:val="Normal"/>
    <w:link w:val="Heading9Char"/>
    <w:uiPriority w:val="9"/>
    <w:semiHidden/>
    <w:unhideWhenUsed/>
    <w:qFormat/>
    <w:rsid w:val="008F08C7"/>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35D2C"/>
    <w:rPr>
      <w:color w:val="0000FF"/>
      <w:u w:val="single"/>
    </w:rPr>
  </w:style>
  <w:style w:type="paragraph" w:styleId="NormalWeb">
    <w:name w:val="Normal (Web)"/>
    <w:basedOn w:val="Normal"/>
    <w:uiPriority w:val="99"/>
    <w:unhideWhenUsed/>
    <w:rsid w:val="00C57DE5"/>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ListParagraph">
    <w:name w:val="List Paragraph"/>
    <w:basedOn w:val="Normal"/>
    <w:uiPriority w:val="34"/>
    <w:qFormat/>
    <w:rsid w:val="00C57DE5"/>
    <w:pPr>
      <w:ind w:left="720"/>
      <w:contextualSpacing/>
    </w:pPr>
  </w:style>
  <w:style w:type="paragraph" w:styleId="Header">
    <w:name w:val="header"/>
    <w:basedOn w:val="Normal"/>
    <w:link w:val="HeaderChar"/>
    <w:uiPriority w:val="99"/>
    <w:unhideWhenUsed/>
    <w:rsid w:val="00C57DE5"/>
    <w:pPr>
      <w:tabs>
        <w:tab w:val="center" w:pos="4680"/>
        <w:tab w:val="right" w:pos="9360"/>
      </w:tabs>
      <w:spacing w:after="0" w:line="240" w:lineRule="auto"/>
    </w:pPr>
  </w:style>
  <w:style w:type="character" w:customStyle="1" w:styleId="HeaderChar">
    <w:name w:val="Header Char"/>
    <w:basedOn w:val="DefaultParagraphFont"/>
    <w:link w:val="Header"/>
    <w:uiPriority w:val="99"/>
    <w:rsid w:val="00C57DE5"/>
  </w:style>
  <w:style w:type="paragraph" w:styleId="Footer">
    <w:name w:val="footer"/>
    <w:basedOn w:val="Normal"/>
    <w:link w:val="FooterChar"/>
    <w:uiPriority w:val="99"/>
    <w:unhideWhenUsed/>
    <w:rsid w:val="00C57DE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57DE5"/>
  </w:style>
  <w:style w:type="character" w:styleId="FootnoteReference">
    <w:name w:val="footnote reference"/>
    <w:basedOn w:val="DefaultParagraphFont"/>
    <w:uiPriority w:val="99"/>
    <w:rsid w:val="007D1F70"/>
    <w:rPr>
      <w:vertAlign w:val="superscript"/>
    </w:rPr>
  </w:style>
  <w:style w:type="paragraph" w:styleId="FootnoteText">
    <w:name w:val="footnote text"/>
    <w:basedOn w:val="Normal"/>
    <w:link w:val="FootnoteTextChar"/>
    <w:uiPriority w:val="99"/>
    <w:rsid w:val="007D1F70"/>
    <w:pPr>
      <w:spacing w:after="0" w:line="240" w:lineRule="auto"/>
    </w:pPr>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uiPriority w:val="99"/>
    <w:rsid w:val="007D1F70"/>
    <w:rPr>
      <w:rFonts w:ascii="Times New Roman" w:eastAsia="Times New Roman" w:hAnsi="Times New Roman" w:cs="Times New Roman"/>
      <w:sz w:val="20"/>
      <w:szCs w:val="20"/>
      <w:lang w:val="en-US"/>
    </w:rPr>
  </w:style>
  <w:style w:type="paragraph" w:styleId="Title">
    <w:name w:val="Title"/>
    <w:basedOn w:val="Normal"/>
    <w:next w:val="Normal"/>
    <w:link w:val="TitleChar"/>
    <w:uiPriority w:val="10"/>
    <w:qFormat/>
    <w:rsid w:val="008F08C7"/>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itleChar">
    <w:name w:val="Title Char"/>
    <w:basedOn w:val="DefaultParagraphFont"/>
    <w:link w:val="Title"/>
    <w:uiPriority w:val="10"/>
    <w:rsid w:val="008F08C7"/>
    <w:rPr>
      <w:rFonts w:asciiTheme="majorHAnsi" w:eastAsiaTheme="majorEastAsia" w:hAnsiTheme="majorHAnsi" w:cstheme="majorBidi"/>
      <w:caps/>
      <w:color w:val="44546A" w:themeColor="text2"/>
      <w:spacing w:val="30"/>
      <w:sz w:val="72"/>
      <w:szCs w:val="72"/>
    </w:rPr>
  </w:style>
  <w:style w:type="paragraph" w:styleId="Subtitle">
    <w:name w:val="Subtitle"/>
    <w:basedOn w:val="Normal"/>
    <w:next w:val="Normal"/>
    <w:link w:val="SubtitleChar"/>
    <w:uiPriority w:val="11"/>
    <w:qFormat/>
    <w:rsid w:val="008F08C7"/>
    <w:pPr>
      <w:numPr>
        <w:ilvl w:val="1"/>
      </w:numPr>
      <w:jc w:val="center"/>
    </w:pPr>
    <w:rPr>
      <w:color w:val="44546A" w:themeColor="text2"/>
      <w:sz w:val="28"/>
      <w:szCs w:val="28"/>
    </w:rPr>
  </w:style>
  <w:style w:type="character" w:customStyle="1" w:styleId="SubtitleChar">
    <w:name w:val="Subtitle Char"/>
    <w:basedOn w:val="DefaultParagraphFont"/>
    <w:link w:val="Subtitle"/>
    <w:uiPriority w:val="11"/>
    <w:rsid w:val="008F08C7"/>
    <w:rPr>
      <w:color w:val="44546A" w:themeColor="text2"/>
      <w:sz w:val="28"/>
      <w:szCs w:val="28"/>
    </w:rPr>
  </w:style>
  <w:style w:type="character" w:customStyle="1" w:styleId="Heading1Char">
    <w:name w:val="Heading 1 Char"/>
    <w:basedOn w:val="DefaultParagraphFont"/>
    <w:link w:val="Heading1"/>
    <w:uiPriority w:val="9"/>
    <w:rsid w:val="008F08C7"/>
    <w:rPr>
      <w:rFonts w:ascii="Gotham Rounded Bold" w:eastAsiaTheme="majorEastAsia" w:hAnsi="Gotham Rounded Bold" w:cstheme="majorBidi"/>
      <w:color w:val="E26F54"/>
      <w:sz w:val="28"/>
      <w:szCs w:val="40"/>
    </w:rPr>
  </w:style>
  <w:style w:type="character" w:styleId="CommentReference">
    <w:name w:val="annotation reference"/>
    <w:basedOn w:val="DefaultParagraphFont"/>
    <w:uiPriority w:val="99"/>
    <w:semiHidden/>
    <w:rsid w:val="00361A01"/>
    <w:rPr>
      <w:rFonts w:cs="Times New Roman"/>
      <w:sz w:val="16"/>
      <w:szCs w:val="16"/>
    </w:rPr>
  </w:style>
  <w:style w:type="paragraph" w:styleId="CommentText">
    <w:name w:val="annotation text"/>
    <w:basedOn w:val="Normal"/>
    <w:link w:val="CommentTextChar"/>
    <w:uiPriority w:val="99"/>
    <w:rsid w:val="00361A01"/>
    <w:pPr>
      <w:spacing w:after="200" w:line="276" w:lineRule="auto"/>
    </w:pPr>
    <w:rPr>
      <w:rFonts w:ascii="Calibri" w:eastAsia="SimSun" w:hAnsi="Calibri" w:cs="Arial"/>
      <w:sz w:val="20"/>
      <w:szCs w:val="20"/>
      <w:lang w:val="en-US" w:eastAsia="zh-CN"/>
    </w:rPr>
  </w:style>
  <w:style w:type="character" w:customStyle="1" w:styleId="CommentTextChar">
    <w:name w:val="Comment Text Char"/>
    <w:basedOn w:val="DefaultParagraphFont"/>
    <w:link w:val="CommentText"/>
    <w:uiPriority w:val="99"/>
    <w:rsid w:val="00361A01"/>
    <w:rPr>
      <w:rFonts w:ascii="Calibri" w:eastAsia="SimSun" w:hAnsi="Calibri" w:cs="Arial"/>
      <w:sz w:val="20"/>
      <w:szCs w:val="20"/>
      <w:lang w:val="en-US" w:eastAsia="zh-CN"/>
    </w:rPr>
  </w:style>
  <w:style w:type="paragraph" w:styleId="BalloonText">
    <w:name w:val="Balloon Text"/>
    <w:basedOn w:val="Normal"/>
    <w:link w:val="BalloonTextChar"/>
    <w:uiPriority w:val="99"/>
    <w:semiHidden/>
    <w:unhideWhenUsed/>
    <w:rsid w:val="00361A0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61A01"/>
    <w:rPr>
      <w:rFonts w:ascii="Segoe UI" w:hAnsi="Segoe UI" w:cs="Segoe UI"/>
      <w:sz w:val="18"/>
      <w:szCs w:val="18"/>
    </w:rPr>
  </w:style>
  <w:style w:type="character" w:customStyle="1" w:styleId="InternetLink">
    <w:name w:val="Internet Link"/>
    <w:basedOn w:val="DefaultParagraphFont"/>
    <w:uiPriority w:val="99"/>
    <w:unhideWhenUsed/>
    <w:rsid w:val="00F317B0"/>
    <w:rPr>
      <w:color w:val="0563C1" w:themeColor="hyperlink"/>
      <w:u w:val="single"/>
    </w:rPr>
  </w:style>
  <w:style w:type="character" w:customStyle="1" w:styleId="FootnoteAnchor">
    <w:name w:val="Footnote Anchor"/>
    <w:rsid w:val="00F317B0"/>
    <w:rPr>
      <w:vertAlign w:val="superscript"/>
    </w:rPr>
  </w:style>
  <w:style w:type="paragraph" w:customStyle="1" w:styleId="Footnote">
    <w:name w:val="Footnote"/>
    <w:basedOn w:val="Normal"/>
    <w:rsid w:val="00F317B0"/>
    <w:pPr>
      <w:suppressAutoHyphens/>
      <w:spacing w:after="200" w:line="276" w:lineRule="auto"/>
    </w:pPr>
  </w:style>
  <w:style w:type="character" w:customStyle="1" w:styleId="Heading2Char">
    <w:name w:val="Heading 2 Char"/>
    <w:basedOn w:val="DefaultParagraphFont"/>
    <w:link w:val="Heading2"/>
    <w:uiPriority w:val="9"/>
    <w:rsid w:val="008F08C7"/>
    <w:rPr>
      <w:rFonts w:ascii="Gotham Rounded Bold" w:eastAsiaTheme="majorEastAsia" w:hAnsi="Gotham Rounded Bold" w:cstheme="majorBidi"/>
      <w:color w:val="3E4752"/>
      <w:sz w:val="24"/>
      <w:szCs w:val="32"/>
    </w:rPr>
  </w:style>
  <w:style w:type="character" w:customStyle="1" w:styleId="apple-converted-space">
    <w:name w:val="apple-converted-space"/>
    <w:basedOn w:val="DefaultParagraphFont"/>
    <w:rsid w:val="00CD2E90"/>
  </w:style>
  <w:style w:type="paragraph" w:styleId="CommentSubject">
    <w:name w:val="annotation subject"/>
    <w:basedOn w:val="CommentText"/>
    <w:next w:val="CommentText"/>
    <w:link w:val="CommentSubjectChar"/>
    <w:uiPriority w:val="99"/>
    <w:semiHidden/>
    <w:unhideWhenUsed/>
    <w:rsid w:val="00287498"/>
    <w:pPr>
      <w:spacing w:after="160" w:line="240" w:lineRule="auto"/>
    </w:pPr>
    <w:rPr>
      <w:rFonts w:asciiTheme="minorHAnsi" w:eastAsiaTheme="minorHAnsi" w:hAnsiTheme="minorHAnsi" w:cstheme="minorBidi"/>
      <w:b/>
      <w:bCs/>
      <w:lang w:val="en-CA" w:eastAsia="en-US"/>
    </w:rPr>
  </w:style>
  <w:style w:type="character" w:customStyle="1" w:styleId="CommentSubjectChar">
    <w:name w:val="Comment Subject Char"/>
    <w:basedOn w:val="CommentTextChar"/>
    <w:link w:val="CommentSubject"/>
    <w:uiPriority w:val="99"/>
    <w:semiHidden/>
    <w:rsid w:val="00287498"/>
    <w:rPr>
      <w:rFonts w:ascii="Calibri" w:eastAsia="SimSun" w:hAnsi="Calibri" w:cs="Arial"/>
      <w:b/>
      <w:bCs/>
      <w:sz w:val="20"/>
      <w:szCs w:val="20"/>
      <w:lang w:val="en-US" w:eastAsia="zh-CN"/>
    </w:rPr>
  </w:style>
  <w:style w:type="paragraph" w:styleId="Revision">
    <w:name w:val="Revision"/>
    <w:hidden/>
    <w:uiPriority w:val="99"/>
    <w:semiHidden/>
    <w:rsid w:val="00A60400"/>
    <w:pPr>
      <w:spacing w:after="0" w:line="240" w:lineRule="auto"/>
    </w:pPr>
  </w:style>
  <w:style w:type="paragraph" w:styleId="EndnoteText">
    <w:name w:val="endnote text"/>
    <w:basedOn w:val="Normal"/>
    <w:link w:val="EndnoteTextChar"/>
    <w:uiPriority w:val="99"/>
    <w:unhideWhenUsed/>
    <w:rsid w:val="00DF0895"/>
    <w:pPr>
      <w:spacing w:after="0" w:line="240" w:lineRule="auto"/>
    </w:pPr>
    <w:rPr>
      <w:sz w:val="20"/>
      <w:szCs w:val="20"/>
    </w:rPr>
  </w:style>
  <w:style w:type="character" w:customStyle="1" w:styleId="EndnoteTextChar">
    <w:name w:val="Endnote Text Char"/>
    <w:basedOn w:val="DefaultParagraphFont"/>
    <w:link w:val="EndnoteText"/>
    <w:uiPriority w:val="99"/>
    <w:rsid w:val="00DF0895"/>
    <w:rPr>
      <w:sz w:val="20"/>
      <w:szCs w:val="20"/>
    </w:rPr>
  </w:style>
  <w:style w:type="character" w:styleId="EndnoteReference">
    <w:name w:val="endnote reference"/>
    <w:basedOn w:val="DefaultParagraphFont"/>
    <w:uiPriority w:val="99"/>
    <w:unhideWhenUsed/>
    <w:rsid w:val="00DF0895"/>
    <w:rPr>
      <w:vertAlign w:val="superscript"/>
    </w:rPr>
  </w:style>
  <w:style w:type="character" w:customStyle="1" w:styleId="Heading3Char">
    <w:name w:val="Heading 3 Char"/>
    <w:basedOn w:val="DefaultParagraphFont"/>
    <w:link w:val="Heading3"/>
    <w:uiPriority w:val="9"/>
    <w:rsid w:val="008F08C7"/>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8F08C7"/>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8F08C7"/>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8F08C7"/>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8F08C7"/>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8F08C7"/>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8F08C7"/>
    <w:rPr>
      <w:b/>
      <w:bCs/>
      <w:i/>
      <w:iCs/>
    </w:rPr>
  </w:style>
  <w:style w:type="paragraph" w:styleId="Caption">
    <w:name w:val="caption"/>
    <w:basedOn w:val="Normal"/>
    <w:next w:val="Normal"/>
    <w:uiPriority w:val="35"/>
    <w:semiHidden/>
    <w:unhideWhenUsed/>
    <w:qFormat/>
    <w:rsid w:val="008F08C7"/>
    <w:pPr>
      <w:spacing w:line="240" w:lineRule="auto"/>
    </w:pPr>
    <w:rPr>
      <w:b/>
      <w:bCs/>
      <w:color w:val="404040" w:themeColor="text1" w:themeTint="BF"/>
      <w:sz w:val="16"/>
      <w:szCs w:val="16"/>
    </w:rPr>
  </w:style>
  <w:style w:type="character" w:styleId="Strong">
    <w:name w:val="Strong"/>
    <w:basedOn w:val="DefaultParagraphFont"/>
    <w:uiPriority w:val="22"/>
    <w:qFormat/>
    <w:rsid w:val="008F08C7"/>
    <w:rPr>
      <w:b/>
      <w:bCs/>
    </w:rPr>
  </w:style>
  <w:style w:type="character" w:styleId="Emphasis">
    <w:name w:val="Emphasis"/>
    <w:basedOn w:val="DefaultParagraphFont"/>
    <w:uiPriority w:val="20"/>
    <w:qFormat/>
    <w:rsid w:val="008F08C7"/>
    <w:rPr>
      <w:i/>
      <w:iCs/>
      <w:color w:val="000000" w:themeColor="text1"/>
    </w:rPr>
  </w:style>
  <w:style w:type="paragraph" w:styleId="NoSpacing">
    <w:name w:val="No Spacing"/>
    <w:uiPriority w:val="1"/>
    <w:qFormat/>
    <w:rsid w:val="008F08C7"/>
    <w:pPr>
      <w:spacing w:after="0" w:line="240" w:lineRule="auto"/>
    </w:pPr>
  </w:style>
  <w:style w:type="paragraph" w:styleId="Quote">
    <w:name w:val="Quote"/>
    <w:basedOn w:val="Normal"/>
    <w:next w:val="Normal"/>
    <w:link w:val="QuoteChar"/>
    <w:uiPriority w:val="29"/>
    <w:qFormat/>
    <w:rsid w:val="008F08C7"/>
    <w:pPr>
      <w:spacing w:before="160"/>
      <w:ind w:left="720" w:right="720"/>
      <w:jc w:val="center"/>
    </w:pPr>
    <w:rPr>
      <w:i/>
      <w:iCs/>
      <w:color w:val="7B7B7B" w:themeColor="accent3" w:themeShade="BF"/>
      <w:sz w:val="24"/>
      <w:szCs w:val="24"/>
    </w:rPr>
  </w:style>
  <w:style w:type="character" w:customStyle="1" w:styleId="QuoteChar">
    <w:name w:val="Quote Char"/>
    <w:basedOn w:val="DefaultParagraphFont"/>
    <w:link w:val="Quote"/>
    <w:uiPriority w:val="29"/>
    <w:rsid w:val="008F08C7"/>
    <w:rPr>
      <w:i/>
      <w:iCs/>
      <w:color w:val="7B7B7B" w:themeColor="accent3" w:themeShade="BF"/>
      <w:sz w:val="24"/>
      <w:szCs w:val="24"/>
    </w:rPr>
  </w:style>
  <w:style w:type="paragraph" w:styleId="IntenseQuote">
    <w:name w:val="Intense Quote"/>
    <w:basedOn w:val="Normal"/>
    <w:next w:val="Normal"/>
    <w:link w:val="IntenseQuoteChar"/>
    <w:uiPriority w:val="30"/>
    <w:qFormat/>
    <w:rsid w:val="008F08C7"/>
    <w:pPr>
      <w:spacing w:before="160" w:line="276" w:lineRule="auto"/>
      <w:ind w:left="936" w:right="936"/>
      <w:jc w:val="center"/>
    </w:pPr>
    <w:rPr>
      <w:rFonts w:asciiTheme="majorHAnsi" w:eastAsiaTheme="majorEastAsia" w:hAnsiTheme="majorHAnsi" w:cstheme="majorBidi"/>
      <w:caps/>
      <w:color w:val="2E74B5" w:themeColor="accent1" w:themeShade="BF"/>
      <w:sz w:val="28"/>
      <w:szCs w:val="28"/>
    </w:rPr>
  </w:style>
  <w:style w:type="character" w:customStyle="1" w:styleId="IntenseQuoteChar">
    <w:name w:val="Intense Quote Char"/>
    <w:basedOn w:val="DefaultParagraphFont"/>
    <w:link w:val="IntenseQuote"/>
    <w:uiPriority w:val="30"/>
    <w:rsid w:val="008F08C7"/>
    <w:rPr>
      <w:rFonts w:asciiTheme="majorHAnsi" w:eastAsiaTheme="majorEastAsia" w:hAnsiTheme="majorHAnsi" w:cstheme="majorBidi"/>
      <w:caps/>
      <w:color w:val="2E74B5" w:themeColor="accent1" w:themeShade="BF"/>
      <w:sz w:val="28"/>
      <w:szCs w:val="28"/>
    </w:rPr>
  </w:style>
  <w:style w:type="character" w:styleId="SubtleEmphasis">
    <w:name w:val="Subtle Emphasis"/>
    <w:basedOn w:val="DefaultParagraphFont"/>
    <w:uiPriority w:val="19"/>
    <w:qFormat/>
    <w:rsid w:val="008F08C7"/>
    <w:rPr>
      <w:i/>
      <w:iCs/>
      <w:color w:val="595959" w:themeColor="text1" w:themeTint="A6"/>
    </w:rPr>
  </w:style>
  <w:style w:type="character" w:styleId="IntenseEmphasis">
    <w:name w:val="Intense Emphasis"/>
    <w:basedOn w:val="DefaultParagraphFont"/>
    <w:uiPriority w:val="21"/>
    <w:qFormat/>
    <w:rsid w:val="008F08C7"/>
    <w:rPr>
      <w:b/>
      <w:bCs/>
      <w:i/>
      <w:iCs/>
      <w:color w:val="auto"/>
    </w:rPr>
  </w:style>
  <w:style w:type="character" w:styleId="SubtleReference">
    <w:name w:val="Subtle Reference"/>
    <w:basedOn w:val="DefaultParagraphFont"/>
    <w:uiPriority w:val="31"/>
    <w:qFormat/>
    <w:rsid w:val="008F08C7"/>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8F08C7"/>
    <w:rPr>
      <w:b/>
      <w:bCs/>
      <w:caps w:val="0"/>
      <w:smallCaps/>
      <w:color w:val="auto"/>
      <w:spacing w:val="0"/>
      <w:u w:val="single"/>
    </w:rPr>
  </w:style>
  <w:style w:type="character" w:styleId="BookTitle">
    <w:name w:val="Book Title"/>
    <w:basedOn w:val="DefaultParagraphFont"/>
    <w:uiPriority w:val="33"/>
    <w:qFormat/>
    <w:rsid w:val="008F08C7"/>
    <w:rPr>
      <w:b/>
      <w:bCs/>
      <w:caps w:val="0"/>
      <w:smallCaps/>
      <w:spacing w:val="0"/>
    </w:rPr>
  </w:style>
  <w:style w:type="paragraph" w:styleId="TOCHeading">
    <w:name w:val="TOC Heading"/>
    <w:basedOn w:val="Heading1"/>
    <w:next w:val="Normal"/>
    <w:uiPriority w:val="39"/>
    <w:semiHidden/>
    <w:unhideWhenUsed/>
    <w:qFormat/>
    <w:rsid w:val="008F08C7"/>
    <w:pPr>
      <w:outlineLvl w:val="9"/>
    </w:pPr>
  </w:style>
  <w:style w:type="character" w:customStyle="1" w:styleId="5yl5">
    <w:name w:val="_5yl5"/>
    <w:basedOn w:val="DefaultParagraphFont"/>
    <w:rsid w:val="00C3479F"/>
  </w:style>
  <w:style w:type="character" w:customStyle="1" w:styleId="relative-date">
    <w:name w:val="relative-date"/>
    <w:basedOn w:val="DefaultParagraphFont"/>
    <w:rsid w:val="00E962FB"/>
  </w:style>
  <w:style w:type="character" w:customStyle="1" w:styleId="published-date">
    <w:name w:val="published-date"/>
    <w:basedOn w:val="DefaultParagraphFont"/>
    <w:rsid w:val="00090412"/>
  </w:style>
  <w:style w:type="paragraph" w:customStyle="1" w:styleId="SingleTxtG">
    <w:name w:val="_ Single Txt_G"/>
    <w:basedOn w:val="Normal"/>
    <w:link w:val="SingleTxtGChar"/>
    <w:qFormat/>
    <w:rsid w:val="0060597A"/>
    <w:pPr>
      <w:suppressAutoHyphens/>
      <w:spacing w:after="120" w:line="240" w:lineRule="atLeast"/>
      <w:ind w:left="1134" w:right="1134"/>
      <w:jc w:val="both"/>
    </w:pPr>
    <w:rPr>
      <w:rFonts w:ascii="Times New Roman" w:eastAsia="Times New Roman" w:hAnsi="Times New Roman" w:cs="Times New Roman"/>
      <w:color w:val="auto"/>
      <w:sz w:val="20"/>
      <w:szCs w:val="20"/>
      <w:lang w:val="en-GB"/>
    </w:rPr>
  </w:style>
  <w:style w:type="paragraph" w:customStyle="1" w:styleId="SingleTxt">
    <w:name w:val="__Single Txt"/>
    <w:basedOn w:val="Normal"/>
    <w:rsid w:val="00E6467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ascii="Times New Roman" w:eastAsia="Times New Roman" w:hAnsi="Times New Roman" w:cs="Times New Roman"/>
      <w:color w:val="auto"/>
      <w:spacing w:val="4"/>
      <w:w w:val="103"/>
      <w:kern w:val="14"/>
      <w:sz w:val="20"/>
      <w:szCs w:val="20"/>
      <w:lang w:val="en-GB" w:eastAsia="en-GB"/>
    </w:rPr>
  </w:style>
  <w:style w:type="character" w:customStyle="1" w:styleId="highlight">
    <w:name w:val="highlight"/>
    <w:basedOn w:val="DefaultParagraphFont"/>
    <w:rsid w:val="00020E68"/>
  </w:style>
  <w:style w:type="paragraph" w:customStyle="1" w:styleId="HM">
    <w:name w:val="_ H __M"/>
    <w:basedOn w:val="Normal"/>
    <w:next w:val="Normal"/>
    <w:rsid w:val="00AE4B9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360" w:lineRule="exact"/>
      <w:outlineLvl w:val="0"/>
    </w:pPr>
    <w:rPr>
      <w:rFonts w:ascii="Times New Roman" w:eastAsia="Times New Roman" w:hAnsi="Times New Roman" w:cs="Times New Roman"/>
      <w:b/>
      <w:color w:val="auto"/>
      <w:spacing w:val="-3"/>
      <w:w w:val="99"/>
      <w:kern w:val="14"/>
      <w:sz w:val="34"/>
      <w:szCs w:val="20"/>
      <w:lang w:val="en-GB"/>
    </w:rPr>
  </w:style>
  <w:style w:type="character" w:styleId="FollowedHyperlink">
    <w:name w:val="FollowedHyperlink"/>
    <w:basedOn w:val="DefaultParagraphFont"/>
    <w:uiPriority w:val="99"/>
    <w:semiHidden/>
    <w:unhideWhenUsed/>
    <w:rsid w:val="003D0D6A"/>
    <w:rPr>
      <w:color w:val="954F72" w:themeColor="followedHyperlink"/>
      <w:u w:val="single"/>
    </w:rPr>
  </w:style>
  <w:style w:type="character" w:styleId="UnresolvedMention">
    <w:name w:val="Unresolved Mention"/>
    <w:basedOn w:val="DefaultParagraphFont"/>
    <w:uiPriority w:val="99"/>
    <w:semiHidden/>
    <w:unhideWhenUsed/>
    <w:rsid w:val="009A4A8A"/>
    <w:rPr>
      <w:color w:val="605E5C"/>
      <w:shd w:val="clear" w:color="auto" w:fill="E1DFDD"/>
    </w:rPr>
  </w:style>
  <w:style w:type="character" w:customStyle="1" w:styleId="fontstyle01">
    <w:name w:val="fontstyle01"/>
    <w:basedOn w:val="DefaultParagraphFont"/>
    <w:rsid w:val="001D5728"/>
    <w:rPr>
      <w:rFonts w:ascii="Times New Roman" w:hAnsi="Times New Roman" w:cs="Times New Roman" w:hint="default"/>
      <w:b/>
      <w:bCs/>
      <w:i w:val="0"/>
      <w:iCs w:val="0"/>
      <w:color w:val="000000"/>
      <w:sz w:val="20"/>
      <w:szCs w:val="20"/>
    </w:rPr>
  </w:style>
  <w:style w:type="character" w:customStyle="1" w:styleId="SingleTxtGChar">
    <w:name w:val="_ Single Txt_G Char"/>
    <w:basedOn w:val="DefaultParagraphFont"/>
    <w:link w:val="SingleTxtG"/>
    <w:locked/>
    <w:rsid w:val="00370B32"/>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60893">
      <w:bodyDiv w:val="1"/>
      <w:marLeft w:val="0"/>
      <w:marRight w:val="0"/>
      <w:marTop w:val="0"/>
      <w:marBottom w:val="0"/>
      <w:divBdr>
        <w:top w:val="none" w:sz="0" w:space="0" w:color="auto"/>
        <w:left w:val="none" w:sz="0" w:space="0" w:color="auto"/>
        <w:bottom w:val="none" w:sz="0" w:space="0" w:color="auto"/>
        <w:right w:val="none" w:sz="0" w:space="0" w:color="auto"/>
      </w:divBdr>
    </w:div>
    <w:div w:id="340743221">
      <w:bodyDiv w:val="1"/>
      <w:marLeft w:val="0"/>
      <w:marRight w:val="0"/>
      <w:marTop w:val="0"/>
      <w:marBottom w:val="0"/>
      <w:divBdr>
        <w:top w:val="none" w:sz="0" w:space="0" w:color="auto"/>
        <w:left w:val="none" w:sz="0" w:space="0" w:color="auto"/>
        <w:bottom w:val="none" w:sz="0" w:space="0" w:color="auto"/>
        <w:right w:val="none" w:sz="0" w:space="0" w:color="auto"/>
      </w:divBdr>
    </w:div>
    <w:div w:id="493834129">
      <w:bodyDiv w:val="1"/>
      <w:marLeft w:val="0"/>
      <w:marRight w:val="0"/>
      <w:marTop w:val="0"/>
      <w:marBottom w:val="0"/>
      <w:divBdr>
        <w:top w:val="none" w:sz="0" w:space="0" w:color="auto"/>
        <w:left w:val="none" w:sz="0" w:space="0" w:color="auto"/>
        <w:bottom w:val="none" w:sz="0" w:space="0" w:color="auto"/>
        <w:right w:val="none" w:sz="0" w:space="0" w:color="auto"/>
      </w:divBdr>
    </w:div>
    <w:div w:id="619457718">
      <w:bodyDiv w:val="1"/>
      <w:marLeft w:val="0"/>
      <w:marRight w:val="0"/>
      <w:marTop w:val="0"/>
      <w:marBottom w:val="0"/>
      <w:divBdr>
        <w:top w:val="none" w:sz="0" w:space="0" w:color="auto"/>
        <w:left w:val="none" w:sz="0" w:space="0" w:color="auto"/>
        <w:bottom w:val="none" w:sz="0" w:space="0" w:color="auto"/>
        <w:right w:val="none" w:sz="0" w:space="0" w:color="auto"/>
      </w:divBdr>
      <w:divsChild>
        <w:div w:id="2141220389">
          <w:marLeft w:val="1799"/>
          <w:marRight w:val="0"/>
          <w:marTop w:val="0"/>
          <w:marBottom w:val="0"/>
          <w:divBdr>
            <w:top w:val="none" w:sz="0" w:space="0" w:color="auto"/>
            <w:left w:val="none" w:sz="0" w:space="0" w:color="auto"/>
            <w:bottom w:val="none" w:sz="0" w:space="0" w:color="auto"/>
            <w:right w:val="none" w:sz="0" w:space="0" w:color="auto"/>
          </w:divBdr>
        </w:div>
      </w:divsChild>
    </w:div>
    <w:div w:id="930502707">
      <w:bodyDiv w:val="1"/>
      <w:marLeft w:val="0"/>
      <w:marRight w:val="0"/>
      <w:marTop w:val="0"/>
      <w:marBottom w:val="0"/>
      <w:divBdr>
        <w:top w:val="none" w:sz="0" w:space="0" w:color="auto"/>
        <w:left w:val="none" w:sz="0" w:space="0" w:color="auto"/>
        <w:bottom w:val="none" w:sz="0" w:space="0" w:color="auto"/>
        <w:right w:val="none" w:sz="0" w:space="0" w:color="auto"/>
      </w:divBdr>
    </w:div>
    <w:div w:id="942880838">
      <w:bodyDiv w:val="1"/>
      <w:marLeft w:val="0"/>
      <w:marRight w:val="0"/>
      <w:marTop w:val="0"/>
      <w:marBottom w:val="0"/>
      <w:divBdr>
        <w:top w:val="none" w:sz="0" w:space="0" w:color="auto"/>
        <w:left w:val="none" w:sz="0" w:space="0" w:color="auto"/>
        <w:bottom w:val="none" w:sz="0" w:space="0" w:color="auto"/>
        <w:right w:val="none" w:sz="0" w:space="0" w:color="auto"/>
      </w:divBdr>
    </w:div>
    <w:div w:id="1085227660">
      <w:bodyDiv w:val="1"/>
      <w:marLeft w:val="0"/>
      <w:marRight w:val="0"/>
      <w:marTop w:val="0"/>
      <w:marBottom w:val="0"/>
      <w:divBdr>
        <w:top w:val="none" w:sz="0" w:space="0" w:color="auto"/>
        <w:left w:val="none" w:sz="0" w:space="0" w:color="auto"/>
        <w:bottom w:val="none" w:sz="0" w:space="0" w:color="auto"/>
        <w:right w:val="none" w:sz="0" w:space="0" w:color="auto"/>
      </w:divBdr>
    </w:div>
    <w:div w:id="1095446266">
      <w:bodyDiv w:val="1"/>
      <w:marLeft w:val="0"/>
      <w:marRight w:val="0"/>
      <w:marTop w:val="0"/>
      <w:marBottom w:val="0"/>
      <w:divBdr>
        <w:top w:val="none" w:sz="0" w:space="0" w:color="auto"/>
        <w:left w:val="none" w:sz="0" w:space="0" w:color="auto"/>
        <w:bottom w:val="none" w:sz="0" w:space="0" w:color="auto"/>
        <w:right w:val="none" w:sz="0" w:space="0" w:color="auto"/>
      </w:divBdr>
      <w:divsChild>
        <w:div w:id="603728143">
          <w:marLeft w:val="1799"/>
          <w:marRight w:val="0"/>
          <w:marTop w:val="0"/>
          <w:marBottom w:val="0"/>
          <w:divBdr>
            <w:top w:val="none" w:sz="0" w:space="0" w:color="auto"/>
            <w:left w:val="none" w:sz="0" w:space="0" w:color="auto"/>
            <w:bottom w:val="none" w:sz="0" w:space="0" w:color="auto"/>
            <w:right w:val="none" w:sz="0" w:space="0" w:color="auto"/>
          </w:divBdr>
        </w:div>
      </w:divsChild>
    </w:div>
    <w:div w:id="1247611033">
      <w:bodyDiv w:val="1"/>
      <w:marLeft w:val="0"/>
      <w:marRight w:val="0"/>
      <w:marTop w:val="0"/>
      <w:marBottom w:val="0"/>
      <w:divBdr>
        <w:top w:val="none" w:sz="0" w:space="0" w:color="auto"/>
        <w:left w:val="none" w:sz="0" w:space="0" w:color="auto"/>
        <w:bottom w:val="none" w:sz="0" w:space="0" w:color="auto"/>
        <w:right w:val="none" w:sz="0" w:space="0" w:color="auto"/>
      </w:divBdr>
    </w:div>
    <w:div w:id="1298609375">
      <w:bodyDiv w:val="1"/>
      <w:marLeft w:val="0"/>
      <w:marRight w:val="0"/>
      <w:marTop w:val="0"/>
      <w:marBottom w:val="0"/>
      <w:divBdr>
        <w:top w:val="none" w:sz="0" w:space="0" w:color="auto"/>
        <w:left w:val="none" w:sz="0" w:space="0" w:color="auto"/>
        <w:bottom w:val="none" w:sz="0" w:space="0" w:color="auto"/>
        <w:right w:val="none" w:sz="0" w:space="0" w:color="auto"/>
      </w:divBdr>
    </w:div>
    <w:div w:id="1450853611">
      <w:bodyDiv w:val="1"/>
      <w:marLeft w:val="0"/>
      <w:marRight w:val="0"/>
      <w:marTop w:val="0"/>
      <w:marBottom w:val="0"/>
      <w:divBdr>
        <w:top w:val="none" w:sz="0" w:space="0" w:color="auto"/>
        <w:left w:val="none" w:sz="0" w:space="0" w:color="auto"/>
        <w:bottom w:val="none" w:sz="0" w:space="0" w:color="auto"/>
        <w:right w:val="none" w:sz="0" w:space="0" w:color="auto"/>
      </w:divBdr>
    </w:div>
    <w:div w:id="1461607626">
      <w:bodyDiv w:val="1"/>
      <w:marLeft w:val="0"/>
      <w:marRight w:val="0"/>
      <w:marTop w:val="0"/>
      <w:marBottom w:val="0"/>
      <w:divBdr>
        <w:top w:val="none" w:sz="0" w:space="0" w:color="auto"/>
        <w:left w:val="none" w:sz="0" w:space="0" w:color="auto"/>
        <w:bottom w:val="none" w:sz="0" w:space="0" w:color="auto"/>
        <w:right w:val="none" w:sz="0" w:space="0" w:color="auto"/>
      </w:divBdr>
    </w:div>
    <w:div w:id="1482624503">
      <w:bodyDiv w:val="1"/>
      <w:marLeft w:val="0"/>
      <w:marRight w:val="0"/>
      <w:marTop w:val="0"/>
      <w:marBottom w:val="0"/>
      <w:divBdr>
        <w:top w:val="none" w:sz="0" w:space="0" w:color="auto"/>
        <w:left w:val="none" w:sz="0" w:space="0" w:color="auto"/>
        <w:bottom w:val="none" w:sz="0" w:space="0" w:color="auto"/>
        <w:right w:val="none" w:sz="0" w:space="0" w:color="auto"/>
      </w:divBdr>
    </w:div>
    <w:div w:id="1746878332">
      <w:bodyDiv w:val="1"/>
      <w:marLeft w:val="0"/>
      <w:marRight w:val="0"/>
      <w:marTop w:val="0"/>
      <w:marBottom w:val="0"/>
      <w:divBdr>
        <w:top w:val="none" w:sz="0" w:space="0" w:color="auto"/>
        <w:left w:val="none" w:sz="0" w:space="0" w:color="auto"/>
        <w:bottom w:val="none" w:sz="0" w:space="0" w:color="auto"/>
        <w:right w:val="none" w:sz="0" w:space="0" w:color="auto"/>
      </w:divBdr>
      <w:divsChild>
        <w:div w:id="1135175428">
          <w:marLeft w:val="0"/>
          <w:marRight w:val="0"/>
          <w:marTop w:val="0"/>
          <w:marBottom w:val="0"/>
          <w:divBdr>
            <w:top w:val="none" w:sz="0" w:space="0" w:color="auto"/>
            <w:left w:val="none" w:sz="0" w:space="0" w:color="auto"/>
            <w:bottom w:val="none" w:sz="0" w:space="0" w:color="auto"/>
            <w:right w:val="none" w:sz="0" w:space="0" w:color="auto"/>
          </w:divBdr>
          <w:divsChild>
            <w:div w:id="4214180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462627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60372126">
      <w:bodyDiv w:val="1"/>
      <w:marLeft w:val="0"/>
      <w:marRight w:val="0"/>
      <w:marTop w:val="0"/>
      <w:marBottom w:val="0"/>
      <w:divBdr>
        <w:top w:val="none" w:sz="0" w:space="0" w:color="auto"/>
        <w:left w:val="none" w:sz="0" w:space="0" w:color="auto"/>
        <w:bottom w:val="none" w:sz="0" w:space="0" w:color="auto"/>
        <w:right w:val="none" w:sz="0" w:space="0" w:color="auto"/>
      </w:divBdr>
      <w:divsChild>
        <w:div w:id="1937975875">
          <w:marLeft w:val="1799"/>
          <w:marRight w:val="0"/>
          <w:marTop w:val="0"/>
          <w:marBottom w:val="0"/>
          <w:divBdr>
            <w:top w:val="none" w:sz="0" w:space="0" w:color="auto"/>
            <w:left w:val="none" w:sz="0" w:space="0" w:color="auto"/>
            <w:bottom w:val="none" w:sz="0" w:space="0" w:color="auto"/>
            <w:right w:val="none" w:sz="0" w:space="0" w:color="auto"/>
          </w:divBdr>
        </w:div>
      </w:divsChild>
    </w:div>
    <w:div w:id="2081100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juan@srigeneva.com" TargetMode="Externa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yperlink" Target="mailto:Sarah@actioncanadashr.org"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3" Type="http://schemas.openxmlformats.org/officeDocument/2006/relationships/hyperlink" Target="http://www.canadainternational.gc.ca/prmny-mponu/canada_un-canada_onu/statements-declarations/other-autres/2014-09-22_wcipd-padd.aspx?lang=eng" TargetMode="External"/><Relationship Id="rId18" Type="http://schemas.openxmlformats.org/officeDocument/2006/relationships/hyperlink" Target="http://journal.radicalcriminology.org/index.php/rc/article/view/29/html" TargetMode="External"/><Relationship Id="rId26" Type="http://schemas.openxmlformats.org/officeDocument/2006/relationships/hyperlink" Target="https://news.vice.com/article/this-woman-says-a-hospital-in-canada-pushed-her-to-undergo-sterilization" TargetMode="External"/><Relationship Id="rId39" Type="http://schemas.openxmlformats.org/officeDocument/2006/relationships/hyperlink" Target="http://www.unaids.org/en/dataanalysis/knowyourresponse/countryprogressreports/2010countries/norway_2010_" TargetMode="External"/><Relationship Id="rId3" Type="http://schemas.openxmlformats.org/officeDocument/2006/relationships/hyperlink" Target="http://projects.upei.ca/cmacquarrie/files/2014/01/trials_and_trails_final.pdf" TargetMode="External"/><Relationship Id="rId21" Type="http://schemas.openxmlformats.org/officeDocument/2006/relationships/hyperlink" Target="https://news.vice.com/article/this-woman-says-a-hospital-in-canada-pushed-her-to-undergo-sterilization" TargetMode="External"/><Relationship Id="rId34" Type="http://schemas.openxmlformats.org/officeDocument/2006/relationships/hyperlink" Target="http://canlii.ca/t/g2f56" TargetMode="External"/><Relationship Id="rId42" Type="http://schemas.openxmlformats.org/officeDocument/2006/relationships/hyperlink" Target="http://www.upworthy.com/kids-dont-usually-learn-about-the-birds-and-bees-in-kindergarten-unless-of-course-theyre-dutch" TargetMode="External"/><Relationship Id="rId47" Type="http://schemas.openxmlformats.org/officeDocument/2006/relationships/hyperlink" Target="https://www.actioncanadashr.org/action-canada-calls-on-un-to-intervene-in-ontario-sex-ed-crisis/" TargetMode="External"/><Relationship Id="rId50" Type="http://schemas.openxmlformats.org/officeDocument/2006/relationships/hyperlink" Target="https://www.guttmacher.org/pubs/journals/j.jadohealth.2011.12.028.pdf" TargetMode="External"/><Relationship Id="rId7" Type="http://schemas.openxmlformats.org/officeDocument/2006/relationships/hyperlink" Target="http://rabble.ca/columnists/2014/05/new-brunswick-invites-return-unsafe-abortions" TargetMode="External"/><Relationship Id="rId12" Type="http://schemas.openxmlformats.org/officeDocument/2006/relationships/hyperlink" Target="https://www.ncbi.nlm.nih.gov/pubmed/22958665" TargetMode="External"/><Relationship Id="rId17" Type="http://schemas.openxmlformats.org/officeDocument/2006/relationships/hyperlink" Target="http://news.nationalpost.com/news/canada/saskatoon-health-region-apologizes-after-aboriginal-women-felt-pressured-by-staff-to-have-tubes-tied" TargetMode="External"/><Relationship Id="rId25" Type="http://schemas.openxmlformats.org/officeDocument/2006/relationships/hyperlink" Target="http://journal.radicalcriminology.org/index.php/rc/article/view/29/html" TargetMode="External"/><Relationship Id="rId33" Type="http://schemas.openxmlformats.org/officeDocument/2006/relationships/hyperlink" Target="http://www.pivotlegal.org/my_work" TargetMode="External"/><Relationship Id="rId38" Type="http://schemas.openxmlformats.org/officeDocument/2006/relationships/hyperlink" Target="http://www.petraostergren.com/pages.aspx?r_id=40716" TargetMode="External"/><Relationship Id="rId46" Type="http://schemas.openxmlformats.org/officeDocument/2006/relationships/hyperlink" Target="https://globalnews.ca/news/4325268/ontario-sex-ed-curriculum/" TargetMode="External"/><Relationship Id="rId2" Type="http://schemas.openxmlformats.org/officeDocument/2006/relationships/hyperlink" Target="http://www.theguardian.pe.ca/News/Local/2011-11-10/article-2802198/Women-turning-to-desperate-measures-due-to-lack-of-abortion-services/1" TargetMode="External"/><Relationship Id="rId16" Type="http://schemas.openxmlformats.org/officeDocument/2006/relationships/hyperlink" Target="http://canlii.ca/t/1ftqt" TargetMode="External"/><Relationship Id="rId20" Type="http://schemas.openxmlformats.org/officeDocument/2006/relationships/hyperlink" Target="http://journal.radicalcriminology.org/index.php/rc/article/view/29/html" TargetMode="External"/><Relationship Id="rId29" Type="http://schemas.openxmlformats.org/officeDocument/2006/relationships/hyperlink" Target="http://thestarphoenix.com/news/national/women-pressured-to-have-tubal-ligations" TargetMode="External"/><Relationship Id="rId41" Type="http://schemas.openxmlformats.org/officeDocument/2006/relationships/hyperlink" Target="http://sexworklawreform.com/wp-content/uploads/2017/05/Laws-General.pdf" TargetMode="External"/><Relationship Id="rId1" Type="http://schemas.openxmlformats.org/officeDocument/2006/relationships/hyperlink" Target="https://www.actioncanadashr.org/news/2019-09-19-2019-launch-access-glance-identifies-realities-abortion-access-canada" TargetMode="External"/><Relationship Id="rId6" Type="http://schemas.openxmlformats.org/officeDocument/2006/relationships/hyperlink" Target="http://rabble.ca/news/2014/10/lacking-abortion-access-new-brunswick-women-head-maine-abortion-clinics" TargetMode="External"/><Relationship Id="rId11" Type="http://schemas.openxmlformats.org/officeDocument/2006/relationships/hyperlink" Target="https://globalnews.ca/news/2703632/crisis-prexgnancy-centres-mislead-women-report-says/" TargetMode="External"/><Relationship Id="rId24" Type="http://schemas.openxmlformats.org/officeDocument/2006/relationships/hyperlink" Target="https://www.ohchr.org/Documents/Issues/Women/SR/ReproductiveHealthCare/SEMAGANIS%20WORME%20LOMBARD.pdf" TargetMode="External"/><Relationship Id="rId32" Type="http://schemas.openxmlformats.org/officeDocument/2006/relationships/hyperlink" Target="http://apps.who.int/iris/bitstream/10665/175556/1/9789241564984_eng.pdf?ua=1" TargetMode="External"/><Relationship Id="rId37" Type="http://schemas.openxmlformats.org/officeDocument/2006/relationships/hyperlink" Target="http://www.regjeringen.no/upload/kilde/jd/rap/2004/0034/ddd/pdfv/232216-%20purchasing_sexual_services_in_sweden_and_the_nederlands.pdf" TargetMode="External"/><Relationship Id="rId40" Type="http://schemas.openxmlformats.org/officeDocument/2006/relationships/hyperlink" Target="http://www.thelancet.com/series/HIV-and-sex-workers" TargetMode="External"/><Relationship Id="rId45" Type="http://schemas.openxmlformats.org/officeDocument/2006/relationships/hyperlink" Target="https://www.catie.ca/en/hiv-canada/3/3-1/3-1-1" TargetMode="External"/><Relationship Id="rId5" Type="http://schemas.openxmlformats.org/officeDocument/2006/relationships/hyperlink" Target="http://laws.justice.gc.ca/en/showdoc/cs/C-6/boga:3::bo-ga:s_4?page=3" TargetMode="External"/><Relationship Id="rId15" Type="http://schemas.openxmlformats.org/officeDocument/2006/relationships/hyperlink" Target="http://canlii.ca/t/1mjv6" TargetMode="External"/><Relationship Id="rId23" Type="http://schemas.openxmlformats.org/officeDocument/2006/relationships/hyperlink" Target="http://www.srhweek.ca/providers/people-and-communities/sexual-violence/" TargetMode="External"/><Relationship Id="rId28" Type="http://schemas.openxmlformats.org/officeDocument/2006/relationships/hyperlink" Target="http://www.nativeyouthsexualhealth.com/emrip2013item5.pdf" TargetMode="External"/><Relationship Id="rId36" Type="http://schemas.openxmlformats.org/officeDocument/2006/relationships/hyperlink" Target="http://www.socialstyrelsen.se/lists/artikelkatalog/attachments/8806/2008-126-65_200812665.pdf" TargetMode="External"/><Relationship Id="rId49" Type="http://schemas.openxmlformats.org/officeDocument/2006/relationships/hyperlink" Target="https://www.actioncanadashr.org/sites/default/files/2019-06/AC%20response%20to%20UN%20SP%20comms%20to%20CAN%20re%20CSE%20in%20ON_Final.pdf" TargetMode="External"/><Relationship Id="rId10" Type="http://schemas.openxmlformats.org/officeDocument/2006/relationships/hyperlink" Target="http://www.arcc-cdac.ca/CPC-study/CPC-Website-Study-ARCC-2016.pdf" TargetMode="External"/><Relationship Id="rId19" Type="http://schemas.openxmlformats.org/officeDocument/2006/relationships/hyperlink" Target="https://news.vice.com/article/this-woman-says-a-hospital-in-canada-pushed-her-to-undergo-sterilization" TargetMode="External"/><Relationship Id="rId31" Type="http://schemas.openxmlformats.org/officeDocument/2006/relationships/hyperlink" Target="http://www.sexworklawreform.com" TargetMode="External"/><Relationship Id="rId44" Type="http://schemas.openxmlformats.org/officeDocument/2006/relationships/hyperlink" Target="https://www.canada.ca/en/health-canada/services/publications/diseases-conditions/update-sexually-transmitted-infections-canada-2016.html" TargetMode="External"/><Relationship Id="rId4" Type="http://schemas.openxmlformats.org/officeDocument/2006/relationships/hyperlink" Target="http://www.sexualhealthandrights.ca/wp-content/uploads/2015/10/Map-Access-CHC-and-AC.pdf" TargetMode="External"/><Relationship Id="rId9" Type="http://schemas.openxmlformats.org/officeDocument/2006/relationships/hyperlink" Target="http://www.arcc-cdac.ca/CPC-study/list-anti-choice-groups.pdf" TargetMode="External"/><Relationship Id="rId14" Type="http://schemas.openxmlformats.org/officeDocument/2006/relationships/hyperlink" Target="http://www.amnesty.ca/sites/amnesty/files/fpic_factsheet_nov_2013.pdf" TargetMode="External"/><Relationship Id="rId22" Type="http://schemas.openxmlformats.org/officeDocument/2006/relationships/hyperlink" Target="https://www.cbc.ca/news/canada/saskatchewan/sask-indigenous-women-file-lawsuit-claiming-coerced-sterilization-1.4348848" TargetMode="External"/><Relationship Id="rId27" Type="http://schemas.openxmlformats.org/officeDocument/2006/relationships/hyperlink" Target="http://journal.radicalcriminology.org/index.php/rc/article/view/29/html" TargetMode="External"/><Relationship Id="rId30" Type="http://schemas.openxmlformats.org/officeDocument/2006/relationships/hyperlink" Target="http://www.aidslaw.ca/site/wp-content/uploads/2014/02/4_R.Special2010EN.pdf" TargetMode="External"/><Relationship Id="rId35" Type="http://schemas.openxmlformats.org/officeDocument/2006/relationships/hyperlink" Target="https://drive.google.com/folderview?id=0B3mqMOhRg5FeLWpPd21VYTlidTA&amp;usp=sharing&amp;tid=0B3mqMOhRg5FeNlY4ZkxFb2pLaWM" TargetMode="External"/><Relationship Id="rId43" Type="http://schemas.openxmlformats.org/officeDocument/2006/relationships/hyperlink" Target="https://www.canada.ca/en/public-health/services/reports-publications/canada-communicable-disease-report-ccdr/monthly-issue/2018-44/issue-12-december-6-2018/article-3-hiv-in-canada-2017.html" TargetMode="External"/><Relationship Id="rId48" Type="http://schemas.openxmlformats.org/officeDocument/2006/relationships/hyperlink" Target="https://www.ohchr.org/Documents/Issues/Women/WG/Communications/OL_CAN_20_12_2018.pdf" TargetMode="External"/><Relationship Id="rId8" Type="http://schemas.openxmlformats.org/officeDocument/2006/relationships/hyperlink" Target="http://www.arcc-cdac.ca/CPC-study/CPC-Website-Study-ARCC-2016.pdf" TargetMode="External"/><Relationship Id="rId51" Type="http://schemas.openxmlformats.org/officeDocument/2006/relationships/hyperlink" Target="http://www.advocatesforyouth.org/publications/publications-a-z/597-abstinence-only-until-marriage-programs-ineffective-unethical-and-poor-public-healt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9F223D5-E2E6-406E-8883-711339CD62BE}">
  <ds:schemaRefs>
    <ds:schemaRef ds:uri="http://schemas.openxmlformats.org/officeDocument/2006/bibliography"/>
  </ds:schemaRefs>
</ds:datastoreItem>
</file>

<file path=customXml/itemProps2.xml><?xml version="1.0" encoding="utf-8"?>
<ds:datastoreItem xmlns:ds="http://schemas.openxmlformats.org/officeDocument/2006/customXml" ds:itemID="{910C26B9-125E-41E5-BD31-E6180FDD04B6}"/>
</file>

<file path=customXml/itemProps3.xml><?xml version="1.0" encoding="utf-8"?>
<ds:datastoreItem xmlns:ds="http://schemas.openxmlformats.org/officeDocument/2006/customXml" ds:itemID="{D5416CB2-9DAE-4858-B348-641CEDC0E8BF}"/>
</file>

<file path=customXml/itemProps4.xml><?xml version="1.0" encoding="utf-8"?>
<ds:datastoreItem xmlns:ds="http://schemas.openxmlformats.org/officeDocument/2006/customXml" ds:itemID="{03FF364C-916A-4668-9016-0A5C567F4271}"/>
</file>

<file path=docProps/app.xml><?xml version="1.0" encoding="utf-8"?>
<Properties xmlns="http://schemas.openxmlformats.org/officeDocument/2006/extended-properties" xmlns:vt="http://schemas.openxmlformats.org/officeDocument/2006/docPropsVTypes">
  <Template>Normal</Template>
  <TotalTime>1</TotalTime>
  <Pages>14</Pages>
  <Words>4969</Words>
  <Characters>28329</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Kennell</dc:creator>
  <cp:keywords/>
  <dc:description/>
  <cp:lastModifiedBy>Sarah Kennell</cp:lastModifiedBy>
  <cp:revision>7</cp:revision>
  <cp:lastPrinted>2015-09-23T14:32:00Z</cp:lastPrinted>
  <dcterms:created xsi:type="dcterms:W3CDTF">2020-01-10T13:54:00Z</dcterms:created>
  <dcterms:modified xsi:type="dcterms:W3CDTF">2020-01-10T13:55:00Z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