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B94" w:rsidRPr="00445B94" w:rsidRDefault="00445B94" w:rsidP="00445B94">
      <w:pPr>
        <w:suppressAutoHyphens/>
        <w:spacing w:after="0" w:line="240" w:lineRule="auto"/>
        <w:jc w:val="center"/>
        <w:rPr>
          <w:rFonts w:ascii="ShelleyVolante BT" w:eastAsia="Times New Roman" w:hAnsi="ShelleyVolante BT" w:cs="Times New Roman"/>
          <w:sz w:val="24"/>
          <w:szCs w:val="24"/>
          <w:lang w:val="fr-CH" w:eastAsia="fr-FR"/>
        </w:rPr>
      </w:pPr>
      <w:bookmarkStart w:id="0" w:name="_GoBack"/>
      <w:bookmarkEnd w:id="0"/>
      <w:r w:rsidRPr="00445B94">
        <w:rPr>
          <w:rFonts w:ascii="ShelleyVolante BT" w:eastAsia="Times New Roman" w:hAnsi="ShelleyVolante BT" w:cs="Times New Roman"/>
          <w:noProof/>
          <w:sz w:val="24"/>
          <w:szCs w:val="24"/>
          <w:lang w:val="en-GB" w:eastAsia="en-GB"/>
        </w:rPr>
        <w:drawing>
          <wp:inline distT="0" distB="0" distL="0" distR="0" wp14:anchorId="299F1D68" wp14:editId="5837ED3B">
            <wp:extent cx="952500" cy="61912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619125"/>
                    </a:xfrm>
                    <a:prstGeom prst="rect">
                      <a:avLst/>
                    </a:prstGeom>
                    <a:noFill/>
                    <a:ln>
                      <a:noFill/>
                    </a:ln>
                  </pic:spPr>
                </pic:pic>
              </a:graphicData>
            </a:graphic>
          </wp:inline>
        </w:drawing>
      </w:r>
    </w:p>
    <w:p w:rsidR="00445B94" w:rsidRPr="00445B94" w:rsidRDefault="00445B94" w:rsidP="00445B94">
      <w:pPr>
        <w:suppressAutoHyphens/>
        <w:spacing w:after="0" w:line="240" w:lineRule="auto"/>
        <w:jc w:val="center"/>
        <w:rPr>
          <w:rFonts w:ascii="ShelleyVolante BT" w:eastAsia="Times New Roman" w:hAnsi="ShelleyVolante BT" w:cs="Times New Roman"/>
          <w:sz w:val="24"/>
          <w:szCs w:val="24"/>
          <w:lang w:val="fr-CH" w:eastAsia="fr-FR"/>
        </w:rPr>
      </w:pPr>
    </w:p>
    <w:p w:rsidR="00445B94" w:rsidRPr="00445B94" w:rsidRDefault="00445B94" w:rsidP="00445B94">
      <w:pPr>
        <w:suppressAutoHyphens/>
        <w:spacing w:after="0" w:line="240" w:lineRule="auto"/>
        <w:jc w:val="center"/>
        <w:rPr>
          <w:rFonts w:ascii="ShelleyVolante BT" w:eastAsia="Times New Roman" w:hAnsi="ShelleyVolante BT" w:cs="Times New Roman"/>
          <w:sz w:val="24"/>
          <w:szCs w:val="24"/>
          <w:lang w:val="fr-CH" w:eastAsia="fr-FR"/>
        </w:rPr>
      </w:pPr>
    </w:p>
    <w:tbl>
      <w:tblPr>
        <w:tblW w:w="10065" w:type="dxa"/>
        <w:tblInd w:w="-923" w:type="dxa"/>
        <w:tblLayout w:type="fixed"/>
        <w:tblCellMar>
          <w:left w:w="70" w:type="dxa"/>
          <w:right w:w="70" w:type="dxa"/>
        </w:tblCellMar>
        <w:tblLook w:val="0000" w:firstRow="0" w:lastRow="0" w:firstColumn="0" w:lastColumn="0" w:noHBand="0" w:noVBand="0"/>
      </w:tblPr>
      <w:tblGrid>
        <w:gridCol w:w="4962"/>
        <w:gridCol w:w="5103"/>
      </w:tblGrid>
      <w:tr w:rsidR="00445B94" w:rsidRPr="00445B94" w:rsidTr="00EB4F4D">
        <w:tc>
          <w:tcPr>
            <w:tcW w:w="4962" w:type="dxa"/>
          </w:tcPr>
          <w:p w:rsidR="00445B94" w:rsidRPr="00445B94" w:rsidRDefault="00445B94" w:rsidP="00445B94">
            <w:pPr>
              <w:tabs>
                <w:tab w:val="center" w:pos="2269"/>
              </w:tabs>
              <w:suppressAutoHyphens/>
              <w:spacing w:after="0" w:line="240" w:lineRule="auto"/>
              <w:jc w:val="center"/>
              <w:rPr>
                <w:rFonts w:ascii="Times New Roman" w:eastAsia="Times New Roman" w:hAnsi="Times New Roman" w:cs="Times New Roman"/>
                <w:b/>
                <w:sz w:val="24"/>
                <w:szCs w:val="24"/>
                <w:lang w:val="fr-CH" w:eastAsia="fr-FR"/>
              </w:rPr>
            </w:pPr>
            <w:r w:rsidRPr="00445B94">
              <w:rPr>
                <w:rFonts w:ascii="Times New Roman" w:eastAsia="Times New Roman" w:hAnsi="Times New Roman" w:cs="Times New Roman"/>
                <w:b/>
                <w:sz w:val="24"/>
                <w:szCs w:val="24"/>
                <w:lang w:val="fr-CH" w:eastAsia="fr-FR"/>
              </w:rPr>
              <w:t>MINISTERE</w:t>
            </w:r>
          </w:p>
          <w:p w:rsidR="00445B94" w:rsidRPr="00445B94" w:rsidRDefault="00445B94" w:rsidP="00445B94">
            <w:pPr>
              <w:tabs>
                <w:tab w:val="center" w:pos="2269"/>
                <w:tab w:val="left" w:pos="6521"/>
              </w:tabs>
              <w:suppressAutoHyphens/>
              <w:spacing w:after="0" w:line="240" w:lineRule="auto"/>
              <w:jc w:val="center"/>
              <w:rPr>
                <w:rFonts w:ascii="Times New Roman" w:eastAsia="Times New Roman" w:hAnsi="Times New Roman" w:cs="Times New Roman"/>
                <w:b/>
                <w:sz w:val="24"/>
                <w:szCs w:val="24"/>
                <w:lang w:val="fr-CH" w:eastAsia="fr-FR"/>
              </w:rPr>
            </w:pPr>
            <w:r w:rsidRPr="00445B94">
              <w:rPr>
                <w:rFonts w:ascii="Times New Roman" w:eastAsia="Times New Roman" w:hAnsi="Times New Roman" w:cs="Times New Roman"/>
                <w:b/>
                <w:sz w:val="24"/>
                <w:szCs w:val="24"/>
                <w:lang w:val="fr-CH" w:eastAsia="fr-FR"/>
              </w:rPr>
              <w:t>DES</w:t>
            </w:r>
          </w:p>
          <w:p w:rsidR="00445B94" w:rsidRPr="00445B94" w:rsidRDefault="00445B94" w:rsidP="00445B94">
            <w:pPr>
              <w:tabs>
                <w:tab w:val="center" w:pos="2269"/>
                <w:tab w:val="left" w:pos="6521"/>
              </w:tabs>
              <w:suppressAutoHyphens/>
              <w:spacing w:after="0" w:line="240" w:lineRule="auto"/>
              <w:jc w:val="center"/>
              <w:rPr>
                <w:rFonts w:ascii="Times New Roman" w:eastAsia="Times New Roman" w:hAnsi="Times New Roman" w:cs="Times New Roman"/>
                <w:sz w:val="24"/>
                <w:szCs w:val="24"/>
                <w:lang w:val="fr-CH" w:eastAsia="fr-FR"/>
              </w:rPr>
            </w:pPr>
            <w:r w:rsidRPr="00445B94">
              <w:rPr>
                <w:rFonts w:ascii="Times New Roman" w:eastAsia="Times New Roman" w:hAnsi="Times New Roman" w:cs="Times New Roman"/>
                <w:b/>
                <w:sz w:val="24"/>
                <w:szCs w:val="24"/>
                <w:lang w:val="fr-CH" w:eastAsia="fr-FR"/>
              </w:rPr>
              <w:t>AFFAIRES ETRANGERES ET DU DEVELOPPEMENT INTERNATIONAL</w:t>
            </w:r>
          </w:p>
          <w:p w:rsidR="00445B94" w:rsidRPr="00445B94" w:rsidRDefault="00445B94" w:rsidP="00445B94">
            <w:pPr>
              <w:tabs>
                <w:tab w:val="center" w:pos="2269"/>
                <w:tab w:val="left" w:pos="6521"/>
              </w:tabs>
              <w:suppressAutoHyphens/>
              <w:spacing w:after="0" w:line="240" w:lineRule="auto"/>
              <w:jc w:val="center"/>
              <w:rPr>
                <w:rFonts w:ascii="Times New Roman" w:eastAsia="Times New Roman" w:hAnsi="Times New Roman" w:cs="Times New Roman"/>
                <w:sz w:val="24"/>
                <w:szCs w:val="24"/>
                <w:lang w:val="fr-CH" w:eastAsia="fr-FR"/>
              </w:rPr>
            </w:pPr>
          </w:p>
          <w:p w:rsidR="00445B94" w:rsidRPr="00445B94" w:rsidRDefault="00445B94" w:rsidP="00445B94">
            <w:pPr>
              <w:tabs>
                <w:tab w:val="center" w:pos="2269"/>
                <w:tab w:val="left" w:pos="6521"/>
              </w:tabs>
              <w:suppressAutoHyphens/>
              <w:spacing w:after="0" w:line="240" w:lineRule="auto"/>
              <w:jc w:val="center"/>
              <w:rPr>
                <w:rFonts w:ascii="Times New Roman" w:eastAsia="Times New Roman" w:hAnsi="Times New Roman" w:cs="Times New Roman"/>
                <w:sz w:val="24"/>
                <w:szCs w:val="24"/>
                <w:lang w:val="fr-CH" w:eastAsia="fr-FR"/>
              </w:rPr>
            </w:pPr>
            <w:r w:rsidRPr="00445B94">
              <w:rPr>
                <w:rFonts w:ascii="Times New Roman" w:eastAsia="Times New Roman" w:hAnsi="Times New Roman" w:cs="Times New Roman"/>
                <w:sz w:val="24"/>
                <w:szCs w:val="24"/>
                <w:lang w:val="fr-CH" w:eastAsia="fr-FR"/>
              </w:rPr>
              <w:t>----</w:t>
            </w:r>
          </w:p>
          <w:p w:rsidR="00445B94" w:rsidRPr="00445B94" w:rsidRDefault="00445B94" w:rsidP="00445B94">
            <w:pPr>
              <w:tabs>
                <w:tab w:val="center" w:pos="2269"/>
                <w:tab w:val="left" w:pos="6521"/>
              </w:tabs>
              <w:suppressAutoHyphens/>
              <w:spacing w:after="0" w:line="240" w:lineRule="auto"/>
              <w:jc w:val="center"/>
              <w:rPr>
                <w:rFonts w:ascii="Times New Roman" w:eastAsia="Times New Roman" w:hAnsi="Times New Roman" w:cs="Times New Roman"/>
                <w:b/>
                <w:sz w:val="24"/>
                <w:szCs w:val="24"/>
                <w:lang w:val="fr-CH" w:eastAsia="fr-FR"/>
              </w:rPr>
            </w:pPr>
            <w:r w:rsidRPr="00445B94">
              <w:rPr>
                <w:rFonts w:ascii="Times New Roman" w:eastAsia="Times New Roman" w:hAnsi="Times New Roman" w:cs="Times New Roman"/>
                <w:b/>
                <w:sz w:val="24"/>
                <w:szCs w:val="24"/>
                <w:lang w:val="fr-CH" w:eastAsia="fr-FR"/>
              </w:rPr>
              <w:t>DIRECTION</w:t>
            </w:r>
          </w:p>
          <w:p w:rsidR="00445B94" w:rsidRPr="00445B94" w:rsidRDefault="00445B94" w:rsidP="00445B94">
            <w:pPr>
              <w:tabs>
                <w:tab w:val="center" w:pos="2269"/>
                <w:tab w:val="left" w:pos="6521"/>
              </w:tabs>
              <w:suppressAutoHyphens/>
              <w:spacing w:after="0" w:line="240" w:lineRule="auto"/>
              <w:jc w:val="center"/>
              <w:rPr>
                <w:rFonts w:ascii="Times New Roman" w:eastAsia="Times New Roman" w:hAnsi="Times New Roman" w:cs="Times New Roman"/>
                <w:sz w:val="24"/>
                <w:szCs w:val="24"/>
                <w:lang w:val="fr-CH" w:eastAsia="fr-FR"/>
              </w:rPr>
            </w:pPr>
            <w:r w:rsidRPr="00445B94">
              <w:rPr>
                <w:rFonts w:ascii="Times New Roman" w:eastAsia="Times New Roman" w:hAnsi="Times New Roman" w:cs="Times New Roman"/>
                <w:b/>
                <w:sz w:val="24"/>
                <w:szCs w:val="24"/>
                <w:lang w:val="fr-CH" w:eastAsia="fr-FR"/>
              </w:rPr>
              <w:t>DES AFFAIRES JURIDIQUES</w:t>
            </w:r>
          </w:p>
          <w:p w:rsidR="00445B94" w:rsidRPr="00445B94" w:rsidRDefault="00445B94" w:rsidP="00445B94">
            <w:pPr>
              <w:tabs>
                <w:tab w:val="center" w:pos="2269"/>
                <w:tab w:val="left" w:pos="6521"/>
              </w:tabs>
              <w:suppressAutoHyphens/>
              <w:spacing w:after="0" w:line="240" w:lineRule="auto"/>
              <w:jc w:val="center"/>
              <w:rPr>
                <w:rFonts w:ascii="Times New Roman" w:eastAsia="Times New Roman" w:hAnsi="Times New Roman" w:cs="Times New Roman"/>
                <w:sz w:val="24"/>
                <w:szCs w:val="24"/>
                <w:lang w:val="fr-CH" w:eastAsia="fr-FR"/>
              </w:rPr>
            </w:pPr>
            <w:r w:rsidRPr="00445B94">
              <w:rPr>
                <w:rFonts w:ascii="Times New Roman" w:eastAsia="Times New Roman" w:hAnsi="Times New Roman" w:cs="Times New Roman"/>
                <w:sz w:val="24"/>
                <w:szCs w:val="24"/>
                <w:lang w:val="fr-CH" w:eastAsia="fr-FR"/>
              </w:rPr>
              <w:t>----</w:t>
            </w:r>
          </w:p>
          <w:p w:rsidR="00445B94" w:rsidRPr="00445B94" w:rsidRDefault="00445B94" w:rsidP="00445B94">
            <w:pPr>
              <w:keepNext/>
              <w:tabs>
                <w:tab w:val="left" w:pos="5742"/>
              </w:tabs>
              <w:suppressAutoHyphens/>
              <w:spacing w:after="0" w:line="240" w:lineRule="auto"/>
              <w:ind w:left="720" w:right="638"/>
              <w:jc w:val="center"/>
              <w:outlineLvl w:val="0"/>
              <w:rPr>
                <w:rFonts w:ascii="Times New Roman" w:eastAsia="Times New Roman" w:hAnsi="Times New Roman" w:cs="Times New Roman"/>
                <w:b/>
                <w:iCs/>
                <w:smallCaps/>
                <w:sz w:val="28"/>
                <w:szCs w:val="24"/>
                <w:lang w:val="fr-CH" w:eastAsia="fr-FR"/>
              </w:rPr>
            </w:pPr>
            <w:r w:rsidRPr="00445B94">
              <w:rPr>
                <w:rFonts w:ascii="Times New Roman" w:eastAsia="Times New Roman" w:hAnsi="Times New Roman" w:cs="Times New Roman"/>
                <w:b/>
                <w:iCs/>
                <w:smallCaps/>
                <w:sz w:val="28"/>
                <w:szCs w:val="24"/>
                <w:lang w:val="fr-CH" w:eastAsia="fr-FR"/>
              </w:rPr>
              <w:t>Sous-direction des droits de l’homme</w:t>
            </w:r>
          </w:p>
          <w:p w:rsidR="00445B94" w:rsidRPr="00445B94" w:rsidRDefault="00445B94" w:rsidP="00445B94">
            <w:pPr>
              <w:tabs>
                <w:tab w:val="center" w:pos="2269"/>
                <w:tab w:val="left" w:pos="6521"/>
              </w:tabs>
              <w:suppressAutoHyphens/>
              <w:spacing w:after="0" w:line="240" w:lineRule="auto"/>
              <w:jc w:val="center"/>
              <w:rPr>
                <w:rFonts w:ascii="Times New Roman" w:eastAsia="Times New Roman" w:hAnsi="Times New Roman" w:cs="Times New Roman"/>
                <w:sz w:val="24"/>
                <w:szCs w:val="24"/>
                <w:lang w:val="fr-CH" w:eastAsia="fr-FR"/>
              </w:rPr>
            </w:pPr>
            <w:r w:rsidRPr="00445B94">
              <w:rPr>
                <w:rFonts w:ascii="Times New Roman" w:eastAsia="Times New Roman" w:hAnsi="Times New Roman" w:cs="Times New Roman"/>
                <w:sz w:val="24"/>
                <w:szCs w:val="24"/>
                <w:lang w:val="fr-CH" w:eastAsia="fr-FR"/>
              </w:rPr>
              <w:t>---</w:t>
            </w:r>
          </w:p>
          <w:p w:rsidR="00445B94" w:rsidRPr="00445B94" w:rsidRDefault="00445B94" w:rsidP="00445B94">
            <w:pPr>
              <w:tabs>
                <w:tab w:val="center" w:pos="-495"/>
                <w:tab w:val="center" w:pos="2057"/>
              </w:tabs>
              <w:suppressAutoHyphens/>
              <w:spacing w:after="0" w:line="240" w:lineRule="auto"/>
              <w:ind w:left="497" w:right="-354"/>
              <w:jc w:val="center"/>
              <w:rPr>
                <w:rFonts w:ascii="Times New Roman" w:eastAsia="Times New Roman" w:hAnsi="Times New Roman" w:cs="Times New Roman"/>
                <w:sz w:val="20"/>
                <w:szCs w:val="24"/>
                <w:lang w:val="fr-CH" w:eastAsia="fr-FR"/>
              </w:rPr>
            </w:pPr>
          </w:p>
          <w:p w:rsidR="00445B94" w:rsidRPr="00445B94" w:rsidRDefault="00445B94" w:rsidP="00445B94">
            <w:pPr>
              <w:tabs>
                <w:tab w:val="center" w:pos="-495"/>
              </w:tabs>
              <w:suppressAutoHyphens/>
              <w:spacing w:after="0" w:line="240" w:lineRule="auto"/>
              <w:ind w:left="497" w:right="55"/>
              <w:rPr>
                <w:rFonts w:ascii="Times New Roman" w:eastAsia="Times New Roman" w:hAnsi="Times New Roman" w:cs="Times New Roman"/>
                <w:b/>
                <w:sz w:val="24"/>
                <w:szCs w:val="24"/>
                <w:lang w:val="fr-CH" w:eastAsia="fr-FR"/>
              </w:rPr>
            </w:pPr>
            <w:r w:rsidRPr="00445B94">
              <w:rPr>
                <w:rFonts w:ascii="Times New Roman" w:eastAsia="Times New Roman" w:hAnsi="Times New Roman" w:cs="Times New Roman"/>
                <w:sz w:val="20"/>
                <w:szCs w:val="24"/>
                <w:lang w:val="fr-CH" w:eastAsia="fr-FR"/>
              </w:rPr>
              <w:t xml:space="preserve">Référence: </w:t>
            </w:r>
            <w:r>
              <w:rPr>
                <w:rFonts w:ascii="Times New Roman" w:eastAsia="Times New Roman" w:hAnsi="Times New Roman" w:cs="Times New Roman"/>
                <w:sz w:val="20"/>
                <w:szCs w:val="24"/>
                <w:lang w:val="fr-CH" w:eastAsia="fr-FR"/>
              </w:rPr>
              <w:t xml:space="preserve">                   </w:t>
            </w:r>
            <w:r w:rsidR="003073CA">
              <w:rPr>
                <w:rFonts w:ascii="Times New Roman" w:eastAsia="Times New Roman" w:hAnsi="Times New Roman" w:cs="Times New Roman"/>
                <w:sz w:val="20"/>
                <w:szCs w:val="24"/>
                <w:lang w:val="fr-CH" w:eastAsia="fr-FR"/>
              </w:rPr>
              <w:t xml:space="preserve">            </w:t>
            </w:r>
            <w:r w:rsidRPr="00445B94">
              <w:rPr>
                <w:rFonts w:ascii="Times New Roman" w:eastAsia="Times New Roman" w:hAnsi="Times New Roman" w:cs="Times New Roman"/>
                <w:sz w:val="20"/>
                <w:szCs w:val="24"/>
                <w:lang w:val="fr-CH" w:eastAsia="fr-FR"/>
              </w:rPr>
              <w:t>/DJ/</w:t>
            </w:r>
            <w:r>
              <w:rPr>
                <w:rFonts w:ascii="Times New Roman" w:eastAsia="Times New Roman" w:hAnsi="Times New Roman" w:cs="Times New Roman"/>
                <w:sz w:val="20"/>
                <w:szCs w:val="24"/>
                <w:lang w:val="fr-CH" w:eastAsia="fr-FR"/>
              </w:rPr>
              <w:t>RF</w:t>
            </w:r>
            <w:r w:rsidRPr="00445B94">
              <w:rPr>
                <w:rFonts w:ascii="Times New Roman" w:eastAsia="Times New Roman" w:hAnsi="Times New Roman" w:cs="Times New Roman"/>
                <w:sz w:val="20"/>
                <w:szCs w:val="24"/>
                <w:lang w:val="fr-CH" w:eastAsia="fr-FR"/>
              </w:rPr>
              <w:t xml:space="preserve"> </w:t>
            </w:r>
          </w:p>
        </w:tc>
        <w:tc>
          <w:tcPr>
            <w:tcW w:w="5103" w:type="dxa"/>
          </w:tcPr>
          <w:p w:rsidR="00445B94" w:rsidRPr="00445B94" w:rsidRDefault="00445B94" w:rsidP="00445B94">
            <w:pPr>
              <w:keepNext/>
              <w:tabs>
                <w:tab w:val="left" w:pos="6521"/>
              </w:tabs>
              <w:suppressAutoHyphens/>
              <w:spacing w:after="0" w:line="240" w:lineRule="auto"/>
              <w:ind w:left="942"/>
              <w:outlineLvl w:val="7"/>
              <w:rPr>
                <w:rFonts w:ascii="Times New Roman" w:eastAsia="Times New Roman" w:hAnsi="Times New Roman" w:cs="Times New Roman"/>
                <w:sz w:val="24"/>
                <w:szCs w:val="24"/>
                <w:lang w:val="fr-CH" w:eastAsia="fr-FR"/>
              </w:rPr>
            </w:pPr>
          </w:p>
          <w:p w:rsidR="00445B94" w:rsidRPr="00445B94" w:rsidRDefault="00445B94" w:rsidP="00445B94">
            <w:pPr>
              <w:keepNext/>
              <w:tabs>
                <w:tab w:val="left" w:pos="6521"/>
              </w:tabs>
              <w:suppressAutoHyphens/>
              <w:spacing w:after="0" w:line="240" w:lineRule="auto"/>
              <w:ind w:left="942"/>
              <w:jc w:val="center"/>
              <w:outlineLvl w:val="7"/>
              <w:rPr>
                <w:rFonts w:ascii="Times New Roman" w:eastAsia="Times New Roman" w:hAnsi="Times New Roman" w:cs="Times New Roman"/>
                <w:b/>
                <w:sz w:val="24"/>
                <w:szCs w:val="24"/>
                <w:lang w:val="fr-CH" w:eastAsia="fr-FR"/>
              </w:rPr>
            </w:pPr>
            <w:r w:rsidRPr="00445B94">
              <w:rPr>
                <w:rFonts w:ascii="Times New Roman" w:eastAsia="Times New Roman" w:hAnsi="Times New Roman" w:cs="Times New Roman"/>
                <w:b/>
                <w:sz w:val="24"/>
                <w:szCs w:val="24"/>
                <w:lang w:val="fr-CH" w:eastAsia="fr-FR"/>
              </w:rPr>
              <w:t>REPUBLIQUE FRANCAISE</w:t>
            </w:r>
          </w:p>
          <w:p w:rsidR="00445B94" w:rsidRPr="00445B94" w:rsidRDefault="00445B94" w:rsidP="00445B94">
            <w:pPr>
              <w:keepNext/>
              <w:tabs>
                <w:tab w:val="left" w:pos="6521"/>
              </w:tabs>
              <w:suppressAutoHyphens/>
              <w:spacing w:after="0" w:line="240" w:lineRule="auto"/>
              <w:ind w:left="942"/>
              <w:jc w:val="center"/>
              <w:outlineLvl w:val="7"/>
              <w:rPr>
                <w:rFonts w:ascii="Times New Roman" w:eastAsia="Times New Roman" w:hAnsi="Times New Roman" w:cs="Times New Roman"/>
                <w:b/>
                <w:sz w:val="24"/>
                <w:szCs w:val="24"/>
                <w:lang w:val="fr-CH" w:eastAsia="fr-FR"/>
              </w:rPr>
            </w:pPr>
          </w:p>
          <w:p w:rsidR="00445B94" w:rsidRPr="00445B94" w:rsidRDefault="00445B94" w:rsidP="00445B94">
            <w:pPr>
              <w:keepNext/>
              <w:tabs>
                <w:tab w:val="left" w:pos="6521"/>
              </w:tabs>
              <w:suppressAutoHyphens/>
              <w:spacing w:after="0" w:line="240" w:lineRule="auto"/>
              <w:ind w:left="942"/>
              <w:jc w:val="center"/>
              <w:outlineLvl w:val="7"/>
              <w:rPr>
                <w:rFonts w:ascii="Times New Roman" w:eastAsia="Times New Roman" w:hAnsi="Times New Roman" w:cs="Times New Roman"/>
                <w:sz w:val="24"/>
                <w:szCs w:val="24"/>
                <w:lang w:val="fr-CH" w:eastAsia="fr-FR"/>
              </w:rPr>
            </w:pPr>
          </w:p>
          <w:p w:rsidR="00445B94" w:rsidRPr="00445B94" w:rsidRDefault="00445B94" w:rsidP="00445B94">
            <w:pPr>
              <w:keepNext/>
              <w:tabs>
                <w:tab w:val="left" w:pos="6521"/>
              </w:tabs>
              <w:suppressAutoHyphens/>
              <w:spacing w:after="0" w:line="240" w:lineRule="auto"/>
              <w:ind w:left="942"/>
              <w:jc w:val="center"/>
              <w:outlineLvl w:val="7"/>
              <w:rPr>
                <w:rFonts w:ascii="Times New Roman" w:eastAsia="Times New Roman" w:hAnsi="Times New Roman" w:cs="Times New Roman"/>
                <w:sz w:val="24"/>
                <w:szCs w:val="24"/>
                <w:lang w:val="fr-CH" w:eastAsia="fr-FR"/>
              </w:rPr>
            </w:pPr>
            <w:r w:rsidRPr="00445B94">
              <w:rPr>
                <w:rFonts w:ascii="Times New Roman" w:eastAsia="Times New Roman" w:hAnsi="Times New Roman" w:cs="Times New Roman"/>
                <w:sz w:val="24"/>
                <w:szCs w:val="24"/>
                <w:lang w:val="fr-CH" w:eastAsia="fr-FR"/>
              </w:rPr>
              <w:t xml:space="preserve">Paris, le </w:t>
            </w:r>
            <w:r>
              <w:rPr>
                <w:rFonts w:ascii="Times New Roman" w:eastAsia="Times New Roman" w:hAnsi="Times New Roman" w:cs="Times New Roman"/>
                <w:sz w:val="24"/>
                <w:szCs w:val="24"/>
                <w:lang w:val="fr-CH" w:eastAsia="fr-FR"/>
              </w:rPr>
              <w:t xml:space="preserve">22 avril </w:t>
            </w:r>
            <w:r w:rsidRPr="00445B94">
              <w:rPr>
                <w:rFonts w:ascii="Times New Roman" w:eastAsia="Times New Roman" w:hAnsi="Times New Roman" w:cs="Times New Roman"/>
                <w:sz w:val="24"/>
                <w:szCs w:val="24"/>
                <w:lang w:val="fr-CH" w:eastAsia="fr-FR"/>
              </w:rPr>
              <w:t>2016</w:t>
            </w:r>
          </w:p>
          <w:p w:rsidR="00445B94" w:rsidRPr="00445B94" w:rsidRDefault="00445B94" w:rsidP="00445B94">
            <w:pPr>
              <w:keepNext/>
              <w:tabs>
                <w:tab w:val="left" w:pos="6521"/>
              </w:tabs>
              <w:suppressAutoHyphens/>
              <w:spacing w:after="0" w:line="240" w:lineRule="auto"/>
              <w:ind w:left="942"/>
              <w:outlineLvl w:val="7"/>
              <w:rPr>
                <w:rFonts w:ascii="Times New Roman" w:eastAsia="Times New Roman" w:hAnsi="Times New Roman" w:cs="Times New Roman"/>
                <w:sz w:val="24"/>
                <w:szCs w:val="24"/>
                <w:lang w:val="fr-CH" w:eastAsia="fr-FR"/>
              </w:rPr>
            </w:pPr>
          </w:p>
          <w:p w:rsidR="00445B94" w:rsidRPr="00445B94" w:rsidRDefault="00445B94" w:rsidP="00445B94">
            <w:pPr>
              <w:keepNext/>
              <w:tabs>
                <w:tab w:val="left" w:pos="6521"/>
              </w:tabs>
              <w:suppressAutoHyphens/>
              <w:spacing w:after="0" w:line="240" w:lineRule="auto"/>
              <w:ind w:left="942"/>
              <w:outlineLvl w:val="7"/>
              <w:rPr>
                <w:rFonts w:ascii="Times New Roman" w:eastAsia="Times New Roman" w:hAnsi="Times New Roman" w:cs="Times New Roman"/>
                <w:sz w:val="24"/>
                <w:szCs w:val="24"/>
                <w:lang w:val="fr-CH" w:eastAsia="fr-FR"/>
              </w:rPr>
            </w:pPr>
          </w:p>
          <w:p w:rsidR="00445B94" w:rsidRPr="00445B94" w:rsidRDefault="00445B94" w:rsidP="00445B94">
            <w:pPr>
              <w:keepNext/>
              <w:tabs>
                <w:tab w:val="left" w:pos="6521"/>
              </w:tabs>
              <w:suppressAutoHyphens/>
              <w:spacing w:after="0" w:line="240" w:lineRule="auto"/>
              <w:ind w:left="942"/>
              <w:outlineLvl w:val="7"/>
              <w:rPr>
                <w:rFonts w:ascii="Times New Roman" w:eastAsia="Times New Roman" w:hAnsi="Times New Roman" w:cs="Times New Roman"/>
                <w:sz w:val="24"/>
                <w:szCs w:val="24"/>
                <w:lang w:val="fr-CH" w:eastAsia="fr-FR"/>
              </w:rPr>
            </w:pPr>
          </w:p>
          <w:p w:rsidR="00445B94" w:rsidRPr="00445B94" w:rsidRDefault="00445B94" w:rsidP="00445B94">
            <w:pPr>
              <w:keepNext/>
              <w:tabs>
                <w:tab w:val="left" w:pos="6521"/>
              </w:tabs>
              <w:suppressAutoHyphens/>
              <w:spacing w:after="0" w:line="240" w:lineRule="auto"/>
              <w:ind w:left="942"/>
              <w:outlineLvl w:val="7"/>
              <w:rPr>
                <w:rFonts w:ascii="Times New Roman" w:eastAsia="Times New Roman" w:hAnsi="Times New Roman" w:cs="Times New Roman"/>
                <w:sz w:val="24"/>
                <w:szCs w:val="24"/>
                <w:lang w:val="fr-CH" w:eastAsia="fr-FR"/>
              </w:rPr>
            </w:pPr>
          </w:p>
        </w:tc>
      </w:tr>
    </w:tbl>
    <w:p w:rsidR="00445B94" w:rsidRPr="00445B94" w:rsidRDefault="00445B94" w:rsidP="00445B94">
      <w:pPr>
        <w:suppressAutoHyphens/>
        <w:spacing w:after="0" w:line="240" w:lineRule="atLeast"/>
        <w:jc w:val="both"/>
        <w:rPr>
          <w:rFonts w:ascii="Times New Roman" w:eastAsia="Times New Roman" w:hAnsi="Times New Roman" w:cs="Times New Roman"/>
          <w:sz w:val="24"/>
          <w:szCs w:val="24"/>
          <w:lang w:val="fr-CH"/>
        </w:rPr>
      </w:pPr>
    </w:p>
    <w:p w:rsidR="00825105" w:rsidRDefault="00825105" w:rsidP="00445B94">
      <w:pPr>
        <w:suppressAutoHyphens/>
        <w:spacing w:after="0" w:line="240" w:lineRule="atLeast"/>
        <w:jc w:val="both"/>
        <w:rPr>
          <w:rFonts w:ascii="Times New Roman" w:eastAsia="Times New Roman" w:hAnsi="Times New Roman" w:cs="Times New Roman"/>
          <w:b/>
          <w:sz w:val="24"/>
          <w:szCs w:val="24"/>
          <w:u w:val="single"/>
          <w:lang w:val="fr-CH"/>
        </w:rPr>
      </w:pPr>
    </w:p>
    <w:p w:rsidR="00825105" w:rsidRDefault="00825105" w:rsidP="00445B94">
      <w:pPr>
        <w:suppressAutoHyphens/>
        <w:spacing w:after="0" w:line="240" w:lineRule="atLeast"/>
        <w:jc w:val="both"/>
        <w:rPr>
          <w:rFonts w:ascii="Times New Roman" w:eastAsia="Times New Roman" w:hAnsi="Times New Roman" w:cs="Times New Roman"/>
          <w:b/>
          <w:sz w:val="24"/>
          <w:szCs w:val="24"/>
          <w:u w:val="single"/>
          <w:lang w:val="fr-CH"/>
        </w:rPr>
      </w:pPr>
    </w:p>
    <w:p w:rsidR="00445B94" w:rsidRDefault="00445B94" w:rsidP="00445B94">
      <w:pPr>
        <w:suppressAutoHyphens/>
        <w:spacing w:after="0" w:line="240" w:lineRule="atLeast"/>
        <w:jc w:val="both"/>
        <w:rPr>
          <w:rFonts w:ascii="Times New Roman" w:eastAsia="Times New Roman" w:hAnsi="Times New Roman" w:cs="Times New Roman"/>
          <w:b/>
          <w:sz w:val="24"/>
          <w:szCs w:val="24"/>
          <w:lang w:val="fr-CH"/>
        </w:rPr>
      </w:pPr>
      <w:r w:rsidRPr="00445B94">
        <w:rPr>
          <w:rFonts w:ascii="Times New Roman" w:eastAsia="Times New Roman" w:hAnsi="Times New Roman" w:cs="Times New Roman"/>
          <w:b/>
          <w:sz w:val="24"/>
          <w:szCs w:val="24"/>
          <w:u w:val="single"/>
          <w:lang w:val="fr-CH"/>
        </w:rPr>
        <w:t>A/s</w:t>
      </w:r>
      <w:r w:rsidRPr="00445B94">
        <w:rPr>
          <w:rFonts w:ascii="Times New Roman" w:eastAsia="Times New Roman" w:hAnsi="Times New Roman" w:cs="Times New Roman"/>
          <w:b/>
          <w:sz w:val="24"/>
          <w:szCs w:val="24"/>
          <w:lang w:val="fr-CH"/>
        </w:rPr>
        <w:t xml:space="preserve"> : </w:t>
      </w:r>
      <w:r>
        <w:rPr>
          <w:rFonts w:ascii="Times New Roman" w:eastAsia="Times New Roman" w:hAnsi="Times New Roman" w:cs="Times New Roman"/>
          <w:b/>
          <w:sz w:val="24"/>
          <w:szCs w:val="24"/>
          <w:lang w:val="fr-CH"/>
        </w:rPr>
        <w:t xml:space="preserve">Eléments de réponse complémentaires aux questions posées par le Comité de lutte contre la torture lors de l’audition de la France les 19 et 20 avril 2016 sur son </w:t>
      </w:r>
      <w:r w:rsidRPr="00445B94">
        <w:rPr>
          <w:rFonts w:ascii="Times New Roman" w:eastAsia="Times New Roman" w:hAnsi="Times New Roman" w:cs="Times New Roman"/>
          <w:b/>
          <w:sz w:val="24"/>
          <w:szCs w:val="24"/>
          <w:lang w:val="fr-CH"/>
        </w:rPr>
        <w:t>7</w:t>
      </w:r>
      <w:r w:rsidRPr="00445B94">
        <w:rPr>
          <w:rFonts w:ascii="Times New Roman" w:eastAsia="Times New Roman" w:hAnsi="Times New Roman" w:cs="Times New Roman"/>
          <w:b/>
          <w:sz w:val="24"/>
          <w:szCs w:val="24"/>
          <w:vertAlign w:val="superscript"/>
          <w:lang w:val="fr-CH"/>
        </w:rPr>
        <w:t>ème</w:t>
      </w:r>
      <w:r w:rsidRPr="00445B94">
        <w:rPr>
          <w:rFonts w:ascii="Times New Roman" w:eastAsia="Times New Roman" w:hAnsi="Times New Roman" w:cs="Times New Roman"/>
          <w:b/>
          <w:sz w:val="24"/>
          <w:szCs w:val="24"/>
          <w:lang w:val="fr-CH"/>
        </w:rPr>
        <w:t xml:space="preserve"> rapport périodique </w:t>
      </w:r>
    </w:p>
    <w:p w:rsidR="00445B94" w:rsidRDefault="00445B94" w:rsidP="00445B94">
      <w:pPr>
        <w:suppressAutoHyphens/>
        <w:spacing w:after="0" w:line="240" w:lineRule="atLeast"/>
        <w:jc w:val="both"/>
        <w:rPr>
          <w:rFonts w:ascii="Times New Roman" w:eastAsia="Times New Roman" w:hAnsi="Times New Roman" w:cs="Times New Roman"/>
          <w:b/>
          <w:sz w:val="24"/>
          <w:szCs w:val="24"/>
          <w:lang w:val="fr-CH"/>
        </w:rPr>
      </w:pPr>
    </w:p>
    <w:p w:rsidR="00445B94" w:rsidRDefault="00445B94" w:rsidP="00445B94">
      <w:pPr>
        <w:suppressAutoHyphens/>
        <w:spacing w:after="0" w:line="240" w:lineRule="atLeast"/>
        <w:jc w:val="both"/>
        <w:rPr>
          <w:rFonts w:ascii="Times New Roman" w:eastAsia="Times New Roman" w:hAnsi="Times New Roman" w:cs="Times New Roman"/>
          <w:b/>
          <w:sz w:val="24"/>
          <w:szCs w:val="24"/>
          <w:lang w:val="fr-CH"/>
        </w:rPr>
      </w:pPr>
    </w:p>
    <w:p w:rsidR="00445B94" w:rsidRDefault="00445B94" w:rsidP="00445B94">
      <w:pPr>
        <w:suppressAutoHyphens/>
        <w:spacing w:after="0" w:line="240" w:lineRule="atLeast"/>
        <w:jc w:val="both"/>
        <w:rPr>
          <w:rFonts w:ascii="Times New Roman" w:eastAsia="Times New Roman" w:hAnsi="Times New Roman" w:cs="Times New Roman"/>
          <w:b/>
          <w:sz w:val="24"/>
          <w:szCs w:val="24"/>
          <w:lang w:val="fr-CH"/>
        </w:rPr>
      </w:pPr>
      <w:r>
        <w:rPr>
          <w:rFonts w:ascii="Times New Roman" w:eastAsia="Times New Roman" w:hAnsi="Times New Roman" w:cs="Times New Roman"/>
          <w:b/>
          <w:sz w:val="24"/>
          <w:szCs w:val="24"/>
          <w:lang w:val="fr-CH"/>
        </w:rPr>
        <w:t>Question</w:t>
      </w:r>
      <w:r w:rsidR="00AF1867">
        <w:rPr>
          <w:rFonts w:ascii="Times New Roman" w:eastAsia="Times New Roman" w:hAnsi="Times New Roman" w:cs="Times New Roman"/>
          <w:b/>
          <w:sz w:val="24"/>
          <w:szCs w:val="24"/>
          <w:lang w:val="fr-CH"/>
        </w:rPr>
        <w:t xml:space="preserve"> de M. le Président Modvig sur la d</w:t>
      </w:r>
      <w:r w:rsidR="00AC7EB3">
        <w:rPr>
          <w:rFonts w:ascii="Times New Roman" w:eastAsia="Times New Roman" w:hAnsi="Times New Roman" w:cs="Times New Roman"/>
          <w:b/>
          <w:sz w:val="24"/>
          <w:szCs w:val="24"/>
          <w:lang w:val="fr-CH"/>
        </w:rPr>
        <w:t>éfinition de la torture par la Cour de cassation.</w:t>
      </w:r>
    </w:p>
    <w:p w:rsidR="00AC7EB3" w:rsidRDefault="00AC7EB3" w:rsidP="00445B94">
      <w:pPr>
        <w:suppressAutoHyphens/>
        <w:spacing w:after="0" w:line="240" w:lineRule="atLeast"/>
        <w:jc w:val="both"/>
        <w:rPr>
          <w:rFonts w:ascii="Times New Roman" w:eastAsia="Times New Roman" w:hAnsi="Times New Roman" w:cs="Times New Roman"/>
          <w:b/>
          <w:sz w:val="24"/>
          <w:szCs w:val="24"/>
          <w:lang w:val="fr-CH"/>
        </w:rPr>
      </w:pPr>
    </w:p>
    <w:p w:rsidR="00AC7EB3" w:rsidRDefault="00AC7EB3" w:rsidP="00445B94">
      <w:pPr>
        <w:suppressAutoHyphens/>
        <w:spacing w:after="0" w:line="240" w:lineRule="atLeast"/>
        <w:jc w:val="both"/>
        <w:rPr>
          <w:rFonts w:ascii="Times New Roman" w:eastAsia="Times New Roman" w:hAnsi="Times New Roman" w:cs="Times New Roman"/>
          <w:sz w:val="24"/>
          <w:szCs w:val="24"/>
          <w:lang w:val="fr-CH"/>
        </w:rPr>
      </w:pPr>
      <w:r>
        <w:rPr>
          <w:rFonts w:ascii="Times New Roman" w:eastAsia="Times New Roman" w:hAnsi="Times New Roman" w:cs="Times New Roman"/>
          <w:sz w:val="24"/>
          <w:szCs w:val="24"/>
          <w:lang w:val="fr-CH"/>
        </w:rPr>
        <w:t xml:space="preserve">Le Comité trouvera en annexe n° 1 un arrêt de la chambre criminelle de la Cour de cassation en date du 21 avril 2016 (pourvoi n° </w:t>
      </w:r>
      <w:r w:rsidRPr="00AC7EB3">
        <w:rPr>
          <w:rFonts w:ascii="Times New Roman" w:eastAsia="Times New Roman" w:hAnsi="Times New Roman" w:cs="Times New Roman"/>
          <w:sz w:val="24"/>
          <w:szCs w:val="24"/>
          <w:lang w:val="fr-CH"/>
        </w:rPr>
        <w:t>15-82495</w:t>
      </w:r>
      <w:r>
        <w:rPr>
          <w:rFonts w:ascii="Times New Roman" w:eastAsia="Times New Roman" w:hAnsi="Times New Roman" w:cs="Times New Roman"/>
          <w:sz w:val="24"/>
          <w:szCs w:val="24"/>
          <w:lang w:val="fr-CH"/>
        </w:rPr>
        <w:t xml:space="preserve">) dans lequel la chambre criminelle, pour </w:t>
      </w:r>
      <w:r w:rsidR="003073CA">
        <w:rPr>
          <w:rFonts w:ascii="Times New Roman" w:eastAsia="Times New Roman" w:hAnsi="Times New Roman" w:cs="Times New Roman"/>
          <w:sz w:val="24"/>
          <w:szCs w:val="24"/>
          <w:lang w:val="fr-CH"/>
        </w:rPr>
        <w:t xml:space="preserve">définir le terme </w:t>
      </w:r>
      <w:r>
        <w:rPr>
          <w:rFonts w:ascii="Times New Roman" w:eastAsia="Times New Roman" w:hAnsi="Times New Roman" w:cs="Times New Roman"/>
          <w:sz w:val="24"/>
          <w:szCs w:val="24"/>
          <w:lang w:val="fr-CH"/>
        </w:rPr>
        <w:t>de torture se réfère expressément à l’article 1</w:t>
      </w:r>
      <w:r w:rsidRPr="00AC7EB3">
        <w:rPr>
          <w:rFonts w:ascii="Times New Roman" w:eastAsia="Times New Roman" w:hAnsi="Times New Roman" w:cs="Times New Roman"/>
          <w:sz w:val="24"/>
          <w:szCs w:val="24"/>
          <w:vertAlign w:val="superscript"/>
          <w:lang w:val="fr-CH"/>
        </w:rPr>
        <w:t>er</w:t>
      </w:r>
      <w:r>
        <w:rPr>
          <w:rFonts w:ascii="Times New Roman" w:eastAsia="Times New Roman" w:hAnsi="Times New Roman" w:cs="Times New Roman"/>
          <w:sz w:val="24"/>
          <w:szCs w:val="24"/>
          <w:lang w:val="fr-CH"/>
        </w:rPr>
        <w:t xml:space="preserve"> de la Convention </w:t>
      </w:r>
      <w:r w:rsidR="003073CA">
        <w:rPr>
          <w:rFonts w:ascii="Times New Roman" w:eastAsia="Times New Roman" w:hAnsi="Times New Roman" w:cs="Times New Roman"/>
          <w:sz w:val="24"/>
          <w:szCs w:val="24"/>
          <w:lang w:val="fr-CH"/>
        </w:rPr>
        <w:t>contre la torture.</w:t>
      </w:r>
    </w:p>
    <w:p w:rsidR="003073CA" w:rsidRDefault="003073CA" w:rsidP="00445B94">
      <w:pPr>
        <w:suppressAutoHyphens/>
        <w:spacing w:after="0" w:line="240" w:lineRule="atLeast"/>
        <w:jc w:val="both"/>
        <w:rPr>
          <w:rFonts w:ascii="Times New Roman" w:eastAsia="Times New Roman" w:hAnsi="Times New Roman" w:cs="Times New Roman"/>
          <w:sz w:val="24"/>
          <w:szCs w:val="24"/>
          <w:lang w:val="fr-CH"/>
        </w:rPr>
      </w:pPr>
    </w:p>
    <w:p w:rsidR="003073CA" w:rsidRDefault="003073CA" w:rsidP="00445B94">
      <w:pPr>
        <w:suppressAutoHyphens/>
        <w:spacing w:after="0" w:line="240" w:lineRule="atLeast"/>
        <w:jc w:val="both"/>
        <w:rPr>
          <w:rFonts w:ascii="Times New Roman" w:eastAsia="Times New Roman" w:hAnsi="Times New Roman" w:cs="Times New Roman"/>
          <w:b/>
          <w:sz w:val="24"/>
          <w:szCs w:val="24"/>
          <w:lang w:val="fr-CH"/>
        </w:rPr>
      </w:pPr>
      <w:r>
        <w:rPr>
          <w:rFonts w:ascii="Times New Roman" w:eastAsia="Times New Roman" w:hAnsi="Times New Roman" w:cs="Times New Roman"/>
          <w:b/>
          <w:sz w:val="24"/>
          <w:szCs w:val="24"/>
          <w:lang w:val="fr-CH"/>
        </w:rPr>
        <w:t>Question </w:t>
      </w:r>
      <w:r w:rsidR="00AF1867">
        <w:rPr>
          <w:rFonts w:ascii="Times New Roman" w:eastAsia="Times New Roman" w:hAnsi="Times New Roman" w:cs="Times New Roman"/>
          <w:b/>
          <w:sz w:val="24"/>
          <w:szCs w:val="24"/>
          <w:lang w:val="fr-CH"/>
        </w:rPr>
        <w:t>de M. le rapporteur Bruni s</w:t>
      </w:r>
      <w:r>
        <w:rPr>
          <w:rFonts w:ascii="Times New Roman" w:eastAsia="Times New Roman" w:hAnsi="Times New Roman" w:cs="Times New Roman"/>
          <w:b/>
          <w:sz w:val="24"/>
          <w:szCs w:val="24"/>
          <w:lang w:val="fr-CH"/>
        </w:rPr>
        <w:t xml:space="preserve">ur la présence de caméras de vidéosurveillance dans les parties communes des locaux de police et de gendarmerie. </w:t>
      </w: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r w:rsidRPr="003073CA">
        <w:rPr>
          <w:rFonts w:ascii="Times New Roman" w:eastAsia="Times New Roman" w:hAnsi="Times New Roman" w:cs="Times New Roman"/>
          <w:sz w:val="24"/>
          <w:szCs w:val="24"/>
          <w:lang w:val="fr-CH"/>
        </w:rPr>
        <w:t xml:space="preserve">Les locaux de police </w:t>
      </w:r>
      <w:r>
        <w:rPr>
          <w:rFonts w:ascii="Times New Roman" w:eastAsia="Times New Roman" w:hAnsi="Times New Roman" w:cs="Times New Roman"/>
          <w:sz w:val="24"/>
          <w:szCs w:val="24"/>
          <w:lang w:val="fr-CH"/>
        </w:rPr>
        <w:t>disposent de dispositifs de vidé</w:t>
      </w:r>
      <w:r w:rsidRPr="003073CA">
        <w:rPr>
          <w:rFonts w:ascii="Times New Roman" w:eastAsia="Times New Roman" w:hAnsi="Times New Roman" w:cs="Times New Roman"/>
          <w:sz w:val="24"/>
          <w:szCs w:val="24"/>
          <w:lang w:val="fr-CH"/>
        </w:rPr>
        <w:t>oprotection dans les zones ouvertes au public. L’objectif est de prévenir et de sécuriser les lieux, pour la sécurité de tous.</w:t>
      </w: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r w:rsidRPr="003073CA">
        <w:rPr>
          <w:rFonts w:ascii="Times New Roman" w:eastAsia="Times New Roman" w:hAnsi="Times New Roman" w:cs="Times New Roman"/>
          <w:sz w:val="24"/>
          <w:szCs w:val="24"/>
          <w:lang w:val="fr-CH"/>
        </w:rPr>
        <w:t>Pour ce qui concerne les parties communes, non ouvertes au public, les locaux de police disposent également, en fonction des besoins, de dispositifs de vidéoprotection visant à assurer la protection des installations contre, notamment, les intrusions extérieures.</w:t>
      </w: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r w:rsidRPr="003073CA">
        <w:rPr>
          <w:rFonts w:ascii="Times New Roman" w:eastAsia="Times New Roman" w:hAnsi="Times New Roman" w:cs="Times New Roman"/>
          <w:sz w:val="24"/>
          <w:szCs w:val="24"/>
          <w:lang w:val="fr-CH"/>
        </w:rPr>
        <w:t xml:space="preserve">Dans </w:t>
      </w:r>
      <w:r>
        <w:rPr>
          <w:rFonts w:ascii="Times New Roman" w:eastAsia="Times New Roman" w:hAnsi="Times New Roman" w:cs="Times New Roman"/>
          <w:sz w:val="24"/>
          <w:szCs w:val="24"/>
          <w:lang w:val="fr-CH"/>
        </w:rPr>
        <w:t>ces deux cas, les images font l’objet d'un enregistrement et d’</w:t>
      </w:r>
      <w:r w:rsidRPr="003073CA">
        <w:rPr>
          <w:rFonts w:ascii="Times New Roman" w:eastAsia="Times New Roman" w:hAnsi="Times New Roman" w:cs="Times New Roman"/>
          <w:sz w:val="24"/>
          <w:szCs w:val="24"/>
          <w:lang w:val="fr-CH"/>
        </w:rPr>
        <w:t>une conservation.</w:t>
      </w: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r w:rsidRPr="003073CA">
        <w:rPr>
          <w:rFonts w:ascii="Times New Roman" w:eastAsia="Times New Roman" w:hAnsi="Times New Roman" w:cs="Times New Roman"/>
          <w:sz w:val="24"/>
          <w:szCs w:val="24"/>
          <w:lang w:val="fr-CH"/>
        </w:rPr>
        <w:t>Par ailleurs, afin d’améliorer les conditions de séjour des personnes mises en cause et garantir au mieux le respect de la dignité, des dispositifs de la surveillance vidéo en circuit fermé sont installés dans les locaux de garde à vue.</w:t>
      </w:r>
    </w:p>
    <w:p w:rsidR="003073CA" w:rsidRP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p>
    <w:p w:rsid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r w:rsidRPr="003073CA">
        <w:rPr>
          <w:rFonts w:ascii="Times New Roman" w:eastAsia="Times New Roman" w:hAnsi="Times New Roman" w:cs="Times New Roman"/>
          <w:sz w:val="24"/>
          <w:szCs w:val="24"/>
          <w:lang w:val="fr-CH"/>
        </w:rPr>
        <w:t>Conçue comme une extension de la vision directe par l’œil humain, la surveillance par vidéo des locaux de garde à vue ne dispense cependant pas de rondes fréquentes et régulières, qui permettent un contact régulier et direct avec les personnes placées en garde à vue.</w:t>
      </w:r>
    </w:p>
    <w:p w:rsidR="003073CA" w:rsidRDefault="003073CA" w:rsidP="003073CA">
      <w:pPr>
        <w:suppressAutoHyphens/>
        <w:spacing w:after="0" w:line="240" w:lineRule="atLeast"/>
        <w:jc w:val="both"/>
        <w:rPr>
          <w:rFonts w:ascii="Times New Roman" w:eastAsia="Times New Roman" w:hAnsi="Times New Roman" w:cs="Times New Roman"/>
          <w:sz w:val="24"/>
          <w:szCs w:val="24"/>
          <w:lang w:val="fr-CH"/>
        </w:rPr>
      </w:pPr>
    </w:p>
    <w:p w:rsidR="003073CA" w:rsidRPr="00445B94" w:rsidRDefault="003073CA" w:rsidP="003073CA">
      <w:pPr>
        <w:suppressAutoHyphens/>
        <w:spacing w:after="0" w:line="240" w:lineRule="atLeast"/>
        <w:jc w:val="both"/>
        <w:rPr>
          <w:rFonts w:ascii="Times New Roman" w:eastAsia="Times New Roman" w:hAnsi="Times New Roman" w:cs="Times New Roman"/>
          <w:b/>
          <w:sz w:val="24"/>
          <w:szCs w:val="24"/>
          <w:lang w:val="fr-CH"/>
        </w:rPr>
      </w:pPr>
      <w:r w:rsidRPr="003073CA">
        <w:rPr>
          <w:rFonts w:ascii="Times New Roman" w:eastAsia="Times New Roman" w:hAnsi="Times New Roman" w:cs="Times New Roman"/>
          <w:b/>
          <w:sz w:val="24"/>
          <w:szCs w:val="24"/>
          <w:lang w:val="fr-CH"/>
        </w:rPr>
        <w:t>Question </w:t>
      </w:r>
      <w:r w:rsidR="00AF1867">
        <w:rPr>
          <w:rFonts w:ascii="Times New Roman" w:eastAsia="Times New Roman" w:hAnsi="Times New Roman" w:cs="Times New Roman"/>
          <w:b/>
          <w:sz w:val="24"/>
          <w:szCs w:val="24"/>
          <w:lang w:val="fr-CH"/>
        </w:rPr>
        <w:t>de M. le Président Modvig</w:t>
      </w:r>
      <w:r w:rsidRPr="003073CA">
        <w:rPr>
          <w:rFonts w:ascii="Times New Roman" w:eastAsia="Times New Roman" w:hAnsi="Times New Roman" w:cs="Times New Roman"/>
          <w:b/>
          <w:sz w:val="24"/>
          <w:szCs w:val="24"/>
          <w:lang w:val="fr-CH"/>
        </w:rPr>
        <w:t xml:space="preserve"> </w:t>
      </w:r>
      <w:r w:rsidR="002439E9">
        <w:rPr>
          <w:rFonts w:ascii="Times New Roman" w:eastAsia="Times New Roman" w:hAnsi="Times New Roman" w:cs="Times New Roman"/>
          <w:b/>
          <w:sz w:val="24"/>
          <w:szCs w:val="24"/>
          <w:lang w:val="fr-CH"/>
        </w:rPr>
        <w:t>s</w:t>
      </w:r>
      <w:r w:rsidRPr="003073CA">
        <w:rPr>
          <w:rFonts w:ascii="Times New Roman" w:eastAsia="Times New Roman" w:hAnsi="Times New Roman" w:cs="Times New Roman"/>
          <w:b/>
          <w:sz w:val="24"/>
          <w:szCs w:val="24"/>
          <w:lang w:val="fr-CH"/>
        </w:rPr>
        <w:t>ur l’éloignement des étrangers</w:t>
      </w:r>
      <w:r>
        <w:rPr>
          <w:rFonts w:ascii="Times New Roman" w:eastAsia="Times New Roman" w:hAnsi="Times New Roman" w:cs="Times New Roman"/>
          <w:b/>
          <w:sz w:val="24"/>
          <w:szCs w:val="24"/>
          <w:lang w:val="fr-CH"/>
        </w:rPr>
        <w:t xml:space="preserve"> par voie aérienne.</w:t>
      </w:r>
    </w:p>
    <w:p w:rsidR="003073CA" w:rsidRDefault="003073CA" w:rsidP="003073CA">
      <w:pPr>
        <w:suppressAutoHyphens/>
        <w:spacing w:after="0" w:line="240" w:lineRule="atLeast"/>
        <w:rPr>
          <w:rFonts w:ascii="Times New Roman" w:eastAsia="Times New Roman" w:hAnsi="Times New Roman" w:cs="Times New Roman"/>
          <w:sz w:val="24"/>
          <w:szCs w:val="24"/>
          <w:lang w:val="fr-CH" w:eastAsia="en-GB"/>
        </w:rPr>
      </w:pPr>
    </w:p>
    <w:p w:rsidR="003073CA" w:rsidRDefault="003073CA" w:rsidP="00825105">
      <w:pPr>
        <w:suppressAutoHyphens/>
        <w:spacing w:after="0" w:line="240" w:lineRule="atLeast"/>
        <w:jc w:val="both"/>
        <w:rPr>
          <w:rFonts w:ascii="Times New Roman" w:eastAsia="Times New Roman" w:hAnsi="Times New Roman" w:cs="Times New Roman"/>
          <w:sz w:val="24"/>
          <w:szCs w:val="24"/>
          <w:lang w:val="fr-CH" w:eastAsia="en-GB"/>
        </w:rPr>
      </w:pPr>
      <w:r>
        <w:rPr>
          <w:rFonts w:ascii="Times New Roman" w:eastAsia="Times New Roman" w:hAnsi="Times New Roman" w:cs="Times New Roman"/>
          <w:sz w:val="24"/>
          <w:szCs w:val="24"/>
          <w:lang w:val="fr-CH" w:eastAsia="en-GB"/>
        </w:rPr>
        <w:t>En ce domaine, l</w:t>
      </w:r>
      <w:r w:rsidRPr="003073CA">
        <w:rPr>
          <w:rFonts w:ascii="Times New Roman" w:eastAsia="Times New Roman" w:hAnsi="Times New Roman" w:cs="Times New Roman"/>
          <w:sz w:val="24"/>
          <w:szCs w:val="24"/>
          <w:lang w:val="fr-CH" w:eastAsia="en-GB"/>
        </w:rPr>
        <w:t xml:space="preserve">e principe est que seuls les fonctionnaires </w:t>
      </w:r>
      <w:r>
        <w:rPr>
          <w:rFonts w:ascii="Times New Roman" w:eastAsia="Times New Roman" w:hAnsi="Times New Roman" w:cs="Times New Roman"/>
          <w:sz w:val="24"/>
          <w:szCs w:val="24"/>
          <w:lang w:val="fr-CH" w:eastAsia="en-GB"/>
        </w:rPr>
        <w:t xml:space="preserve">spécialement </w:t>
      </w:r>
      <w:r w:rsidRPr="003073CA">
        <w:rPr>
          <w:rFonts w:ascii="Times New Roman" w:eastAsia="Times New Roman" w:hAnsi="Times New Roman" w:cs="Times New Roman"/>
          <w:sz w:val="24"/>
          <w:szCs w:val="24"/>
          <w:lang w:val="fr-CH" w:eastAsia="en-GB"/>
        </w:rPr>
        <w:t>formés peuvent participer en tant qu’escorteurs à des missions d’éloignement à bord des aéronefs.</w:t>
      </w:r>
    </w:p>
    <w:p w:rsidR="003073CA" w:rsidRPr="003073CA" w:rsidRDefault="003073CA" w:rsidP="00825105">
      <w:pPr>
        <w:suppressAutoHyphens/>
        <w:spacing w:after="0" w:line="240" w:lineRule="atLeast"/>
        <w:jc w:val="both"/>
        <w:rPr>
          <w:rFonts w:ascii="Times New Roman" w:eastAsia="Times New Roman" w:hAnsi="Times New Roman" w:cs="Times New Roman"/>
          <w:sz w:val="24"/>
          <w:szCs w:val="24"/>
          <w:lang w:val="fr-CH" w:eastAsia="en-GB"/>
        </w:rPr>
      </w:pPr>
    </w:p>
    <w:p w:rsidR="003073CA" w:rsidRDefault="003073CA" w:rsidP="00825105">
      <w:pPr>
        <w:suppressAutoHyphens/>
        <w:spacing w:after="0" w:line="240" w:lineRule="atLeast"/>
        <w:jc w:val="both"/>
        <w:rPr>
          <w:rFonts w:ascii="Times New Roman" w:eastAsia="Times New Roman" w:hAnsi="Times New Roman" w:cs="Times New Roman"/>
          <w:sz w:val="24"/>
          <w:szCs w:val="24"/>
          <w:lang w:val="fr-CH" w:eastAsia="en-GB"/>
        </w:rPr>
      </w:pPr>
      <w:r w:rsidRPr="003073CA">
        <w:rPr>
          <w:rFonts w:ascii="Times New Roman" w:eastAsia="Times New Roman" w:hAnsi="Times New Roman" w:cs="Times New Roman"/>
          <w:sz w:val="24"/>
          <w:szCs w:val="24"/>
          <w:lang w:val="fr-CH" w:eastAsia="en-GB"/>
        </w:rPr>
        <w:t>A l’issue de leur formation, les escorteurs se voient délivrer une habilitation qui est subordonnée, sous le contrôle du chef de service, à un recyclage trimestriel obligatoire d’une demi-journée.</w:t>
      </w:r>
    </w:p>
    <w:p w:rsidR="003073CA" w:rsidRPr="003073CA" w:rsidRDefault="003073CA" w:rsidP="00825105">
      <w:pPr>
        <w:suppressAutoHyphens/>
        <w:spacing w:after="0" w:line="240" w:lineRule="atLeast"/>
        <w:jc w:val="both"/>
        <w:rPr>
          <w:rFonts w:ascii="Times New Roman" w:eastAsia="Times New Roman" w:hAnsi="Times New Roman" w:cs="Times New Roman"/>
          <w:sz w:val="24"/>
          <w:szCs w:val="24"/>
          <w:lang w:val="fr-CH" w:eastAsia="en-GB"/>
        </w:rPr>
      </w:pPr>
    </w:p>
    <w:p w:rsidR="003073CA" w:rsidRDefault="003073CA" w:rsidP="00825105">
      <w:pPr>
        <w:suppressAutoHyphens/>
        <w:spacing w:after="0" w:line="240" w:lineRule="atLeast"/>
        <w:jc w:val="both"/>
        <w:rPr>
          <w:rFonts w:ascii="Times New Roman" w:eastAsia="Times New Roman" w:hAnsi="Times New Roman" w:cs="Times New Roman"/>
          <w:sz w:val="24"/>
          <w:szCs w:val="24"/>
          <w:lang w:val="fr-CH" w:eastAsia="en-GB"/>
        </w:rPr>
      </w:pPr>
      <w:r w:rsidRPr="003073CA">
        <w:rPr>
          <w:rFonts w:ascii="Times New Roman" w:eastAsia="Times New Roman" w:hAnsi="Times New Roman" w:cs="Times New Roman"/>
          <w:sz w:val="24"/>
          <w:szCs w:val="24"/>
          <w:lang w:val="fr-CH" w:eastAsia="en-GB"/>
        </w:rPr>
        <w:t>Comme il s’agit d’un métier qui comporte des obligations particulières, une unité nationale d’escorte, de soutien et d’intervention a été créée (UNESI).</w:t>
      </w: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Ainsi que la France l’a indiqué au paragraphe 160 de son rapport, les agents de l’UNESI, service à compétence nationale chargé d’assurer l’escorte, effectuent 77% des opérations d’éloignement avec escorte.</w:t>
      </w:r>
    </w:p>
    <w:p w:rsidR="00825105" w:rsidRPr="003073CA"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Pr>
          <w:rFonts w:ascii="Times New Roman" w:eastAsia="Times New Roman" w:hAnsi="Times New Roman" w:cs="Times New Roman"/>
          <w:sz w:val="24"/>
          <w:szCs w:val="24"/>
          <w:lang w:val="fr-CH" w:eastAsia="en-GB"/>
        </w:rPr>
        <w:t xml:space="preserve">Cependant, il arrive </w:t>
      </w:r>
      <w:r w:rsidR="003073CA" w:rsidRPr="003073CA">
        <w:rPr>
          <w:rFonts w:ascii="Times New Roman" w:eastAsia="Times New Roman" w:hAnsi="Times New Roman" w:cs="Times New Roman"/>
          <w:sz w:val="24"/>
          <w:szCs w:val="24"/>
          <w:lang w:val="fr-CH" w:eastAsia="en-GB"/>
        </w:rPr>
        <w:t xml:space="preserve">que, en tant que de besoin, certains policiers de la direction centrale de la police aux frontières, spécifiquement formés à cet effet, participent </w:t>
      </w:r>
      <w:r>
        <w:rPr>
          <w:rFonts w:ascii="Times New Roman" w:eastAsia="Times New Roman" w:hAnsi="Times New Roman" w:cs="Times New Roman"/>
          <w:sz w:val="24"/>
          <w:szCs w:val="24"/>
          <w:lang w:val="fr-CH" w:eastAsia="en-GB"/>
        </w:rPr>
        <w:t xml:space="preserve">à des missions </w:t>
      </w:r>
      <w:r w:rsidR="003073CA" w:rsidRPr="003073CA">
        <w:rPr>
          <w:rFonts w:ascii="Times New Roman" w:eastAsia="Times New Roman" w:hAnsi="Times New Roman" w:cs="Times New Roman"/>
          <w:sz w:val="24"/>
          <w:szCs w:val="24"/>
          <w:lang w:val="fr-CH" w:eastAsia="en-GB"/>
        </w:rPr>
        <w:t xml:space="preserve">d’éloignement. </w:t>
      </w:r>
    </w:p>
    <w:p w:rsidR="00825105" w:rsidRDefault="00825105" w:rsidP="003073CA">
      <w:pPr>
        <w:suppressAutoHyphens/>
        <w:spacing w:after="0" w:line="240" w:lineRule="atLeast"/>
        <w:rPr>
          <w:rFonts w:ascii="Times New Roman" w:eastAsia="Times New Roman" w:hAnsi="Times New Roman" w:cs="Times New Roman"/>
          <w:sz w:val="24"/>
          <w:szCs w:val="24"/>
          <w:lang w:val="fr-CH" w:eastAsia="en-GB"/>
        </w:rPr>
      </w:pPr>
    </w:p>
    <w:p w:rsidR="003073CA" w:rsidRDefault="003073CA" w:rsidP="00825105">
      <w:pPr>
        <w:suppressAutoHyphens/>
        <w:spacing w:after="0" w:line="240" w:lineRule="atLeast"/>
        <w:jc w:val="both"/>
        <w:rPr>
          <w:rFonts w:ascii="Times New Roman" w:eastAsia="Times New Roman" w:hAnsi="Times New Roman" w:cs="Times New Roman"/>
          <w:sz w:val="24"/>
          <w:szCs w:val="24"/>
          <w:lang w:val="fr-CH" w:eastAsia="en-GB"/>
        </w:rPr>
      </w:pPr>
      <w:r w:rsidRPr="003073CA">
        <w:rPr>
          <w:rFonts w:ascii="Times New Roman" w:eastAsia="Times New Roman" w:hAnsi="Times New Roman" w:cs="Times New Roman"/>
          <w:sz w:val="24"/>
          <w:szCs w:val="24"/>
          <w:lang w:val="fr-CH" w:eastAsia="en-GB"/>
        </w:rPr>
        <w:t>La formation de ces policiers est également supervisée par le bureau formation de la direction centrale de la police aux frontières.</w:t>
      </w:r>
    </w:p>
    <w:p w:rsidR="00825105" w:rsidRPr="003073CA"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445B94" w:rsidRDefault="003073CA" w:rsidP="00825105">
      <w:pPr>
        <w:suppressAutoHyphens/>
        <w:spacing w:after="0" w:line="240" w:lineRule="atLeast"/>
        <w:jc w:val="both"/>
        <w:rPr>
          <w:rFonts w:ascii="Times New Roman" w:eastAsia="Times New Roman" w:hAnsi="Times New Roman" w:cs="Times New Roman"/>
          <w:sz w:val="24"/>
          <w:szCs w:val="24"/>
          <w:lang w:val="fr-CH" w:eastAsia="en-GB"/>
        </w:rPr>
      </w:pPr>
      <w:r w:rsidRPr="003073CA">
        <w:rPr>
          <w:rFonts w:ascii="Times New Roman" w:eastAsia="Times New Roman" w:hAnsi="Times New Roman" w:cs="Times New Roman"/>
          <w:sz w:val="24"/>
          <w:szCs w:val="24"/>
          <w:lang w:val="fr-CH" w:eastAsia="en-GB"/>
        </w:rPr>
        <w:t>Dans tous les cas, le dispositif à bord de l’avion demeure sous la responsabilité de la direction centrale de la police aux frontières.</w:t>
      </w:r>
      <w:r w:rsidR="00445B94" w:rsidRPr="00445B94">
        <w:rPr>
          <w:rFonts w:ascii="Times New Roman" w:eastAsia="Times New Roman" w:hAnsi="Times New Roman" w:cs="Times New Roman"/>
          <w:sz w:val="24"/>
          <w:szCs w:val="24"/>
          <w:lang w:val="fr-CH" w:eastAsia="en-GB"/>
        </w:rPr>
        <w:tab/>
      </w: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b/>
          <w:sz w:val="24"/>
          <w:szCs w:val="24"/>
          <w:lang w:val="fr-CH" w:eastAsia="en-GB"/>
        </w:rPr>
      </w:pPr>
      <w:r w:rsidRPr="00825105">
        <w:rPr>
          <w:rFonts w:ascii="Times New Roman" w:eastAsia="Times New Roman" w:hAnsi="Times New Roman" w:cs="Times New Roman"/>
          <w:b/>
          <w:sz w:val="24"/>
          <w:szCs w:val="24"/>
          <w:lang w:val="fr-CH" w:eastAsia="en-GB"/>
        </w:rPr>
        <w:t>Question </w:t>
      </w:r>
      <w:r w:rsidR="00AF1867">
        <w:rPr>
          <w:rFonts w:ascii="Times New Roman" w:eastAsia="Times New Roman" w:hAnsi="Times New Roman" w:cs="Times New Roman"/>
          <w:b/>
          <w:sz w:val="24"/>
          <w:szCs w:val="24"/>
          <w:lang w:val="fr-CH" w:eastAsia="en-GB"/>
        </w:rPr>
        <w:t>de M. le Président Modvig</w:t>
      </w:r>
      <w:r w:rsidRPr="00825105">
        <w:rPr>
          <w:rFonts w:ascii="Times New Roman" w:eastAsia="Times New Roman" w:hAnsi="Times New Roman" w:cs="Times New Roman"/>
          <w:b/>
          <w:sz w:val="24"/>
          <w:szCs w:val="24"/>
          <w:lang w:val="fr-CH" w:eastAsia="en-GB"/>
        </w:rPr>
        <w:t xml:space="preserve"> </w:t>
      </w:r>
      <w:r w:rsidR="00AF1867">
        <w:rPr>
          <w:rFonts w:ascii="Times New Roman" w:eastAsia="Times New Roman" w:hAnsi="Times New Roman" w:cs="Times New Roman"/>
          <w:b/>
          <w:sz w:val="24"/>
          <w:szCs w:val="24"/>
          <w:lang w:val="fr-CH" w:eastAsia="en-GB"/>
        </w:rPr>
        <w:t>sur les s</w:t>
      </w:r>
      <w:r w:rsidRPr="00825105">
        <w:rPr>
          <w:rFonts w:ascii="Times New Roman" w:eastAsia="Times New Roman" w:hAnsi="Times New Roman" w:cs="Times New Roman"/>
          <w:b/>
          <w:sz w:val="24"/>
          <w:szCs w:val="24"/>
          <w:lang w:val="fr-CH" w:eastAsia="en-GB"/>
        </w:rPr>
        <w:t>tatistiques portant sur le traitement apporté, sur le plan judiciaire, aux allégations de violences volontaires portées à l’encontre des policiers et, sur le plan administratif, aux manquements au devoir de respecter la dignité de la personne, au devoir de protection de la personne interpellée et à l’usage disproportionné de la force ou de la contrainte.</w:t>
      </w:r>
    </w:p>
    <w:p w:rsidR="00825105" w:rsidRPr="00825105" w:rsidRDefault="00825105" w:rsidP="00825105">
      <w:pPr>
        <w:suppressAutoHyphens/>
        <w:spacing w:after="0" w:line="240" w:lineRule="atLeast"/>
        <w:jc w:val="both"/>
        <w:rPr>
          <w:rFonts w:ascii="Times New Roman" w:eastAsia="Times New Roman" w:hAnsi="Times New Roman" w:cs="Times New Roman"/>
          <w:b/>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L’inspection générale de la police nationale (IGPN) compte aujourd’hui 120 enquêteurs (effectif total : 240) répartis en neuf services d’enquête sur le territoire métropolitain à Paris, Bordeaux, Lille, Lyon, Marseille, Metz, Nice et Rennes, ainsi qu’une représentation en outre-mer dont le siège est installé à Fort-de-France.</w:t>
      </w: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 xml:space="preserve">Les rapports annuels </w:t>
      </w:r>
      <w:r>
        <w:rPr>
          <w:rFonts w:ascii="Times New Roman" w:eastAsia="Times New Roman" w:hAnsi="Times New Roman" w:cs="Times New Roman"/>
          <w:sz w:val="24"/>
          <w:szCs w:val="24"/>
          <w:lang w:val="fr-CH" w:eastAsia="en-GB"/>
        </w:rPr>
        <w:t xml:space="preserve">d’activité de l’IGPN pour les années </w:t>
      </w:r>
      <w:r w:rsidRPr="00825105">
        <w:rPr>
          <w:rFonts w:ascii="Times New Roman" w:eastAsia="Times New Roman" w:hAnsi="Times New Roman" w:cs="Times New Roman"/>
          <w:sz w:val="24"/>
          <w:szCs w:val="24"/>
          <w:lang w:val="fr-CH" w:eastAsia="en-GB"/>
        </w:rPr>
        <w:t xml:space="preserve">2013 et 2014 ont été remis </w:t>
      </w:r>
      <w:r>
        <w:rPr>
          <w:rFonts w:ascii="Times New Roman" w:eastAsia="Times New Roman" w:hAnsi="Times New Roman" w:cs="Times New Roman"/>
          <w:sz w:val="24"/>
          <w:szCs w:val="24"/>
          <w:lang w:val="fr-CH" w:eastAsia="en-GB"/>
        </w:rPr>
        <w:t>par la délégation française, lors de l’audition, au Président du Comité, M. Jens Modvig</w:t>
      </w:r>
      <w:r w:rsidRPr="00825105">
        <w:rPr>
          <w:rFonts w:ascii="Times New Roman" w:eastAsia="Times New Roman" w:hAnsi="Times New Roman" w:cs="Times New Roman"/>
          <w:sz w:val="24"/>
          <w:szCs w:val="24"/>
          <w:lang w:val="fr-CH" w:eastAsia="en-GB"/>
        </w:rPr>
        <w:t>.</w:t>
      </w:r>
      <w:r>
        <w:rPr>
          <w:rFonts w:ascii="Times New Roman" w:eastAsia="Times New Roman" w:hAnsi="Times New Roman" w:cs="Times New Roman"/>
          <w:sz w:val="24"/>
          <w:szCs w:val="24"/>
          <w:lang w:val="fr-CH" w:eastAsia="en-GB"/>
        </w:rPr>
        <w:t xml:space="preserve"> </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Quelques chiffres clés pour 2015 (chiffres non consolidés, car le rapport annuel 2015 de l’</w:t>
      </w:r>
      <w:r>
        <w:rPr>
          <w:rFonts w:ascii="Times New Roman" w:eastAsia="Times New Roman" w:hAnsi="Times New Roman" w:cs="Times New Roman"/>
          <w:sz w:val="24"/>
          <w:szCs w:val="24"/>
          <w:lang w:val="fr-CH" w:eastAsia="en-GB"/>
        </w:rPr>
        <w:t xml:space="preserve">IGPN n’a pas encore été publié) : </w:t>
      </w: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pStyle w:val="ListParagraph"/>
        <w:numPr>
          <w:ilvl w:val="0"/>
          <w:numId w:val="1"/>
        </w:num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Les enquêtes judiciaires conduites par l’IGPN</w:t>
      </w:r>
      <w:r>
        <w:rPr>
          <w:rFonts w:ascii="Times New Roman" w:eastAsia="Times New Roman" w:hAnsi="Times New Roman" w:cs="Times New Roman"/>
          <w:sz w:val="24"/>
          <w:szCs w:val="24"/>
          <w:lang w:val="fr-CH" w:eastAsia="en-GB"/>
        </w:rPr>
        <w:t> :</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lastRenderedPageBreak/>
        <w:t>En 2015, l’IGPN a ouvert 408 enquêtes et clôturé 411 enquêtes judiciaires pour des faits de violences volontaires par personne dépositaire de l’autorité publique. Elles ont représenté 42 % des transmissions à l’autorité judiciaire. Une proportion qui reste stable par rapport à 2014.</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pStyle w:val="ListParagraph"/>
        <w:numPr>
          <w:ilvl w:val="0"/>
          <w:numId w:val="1"/>
        </w:num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Les enquêtes administratives conduites par l’IGPN</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En 2015, 287 enquêtes administratives ont été ouvertes.</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45 enquêtes administratives ont été ouvertes pour un motif d’usage disproportionné de la force ou de la contrainte ou un manquement au devoir de protection de la personne interpellée ou gardée à vue.</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50 enquêtes ont été clôturées.</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L’IGPN a, en conclusion de ses enquêtes, émis les propositions de sanctions suivantes :</w:t>
      </w: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23 renvois en conseil de discipline ;</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27 sanctions d’un blâme ou d’un avertissement.</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Concernant les sanctions administratives</w:t>
      </w: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En 2015, 2 125 sanctions disciplinaires ont été prononcées à l’égard de policiers, dont 47 mesures de radiation des cadres.</w:t>
      </w: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35 sanctions, dont 7 mesures de radiation des cadres, ont été prononcées, après consultation du conseil de disciplinaire, pour des manquements au devoir de respecter la dignité de la personne, au devoir de protection de la personne interpellée et à l’usage disproportionné de la force ou de la contrainte.</w:t>
      </w:r>
    </w:p>
    <w:p w:rsidR="00825105"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p>
    <w:p w:rsidR="00825105" w:rsidRPr="00445B94" w:rsidRDefault="00825105" w:rsidP="00825105">
      <w:pPr>
        <w:suppressAutoHyphens/>
        <w:spacing w:after="0" w:line="240" w:lineRule="atLeast"/>
        <w:jc w:val="both"/>
        <w:rPr>
          <w:rFonts w:ascii="Times New Roman" w:eastAsia="Times New Roman" w:hAnsi="Times New Roman" w:cs="Times New Roman"/>
          <w:sz w:val="24"/>
          <w:szCs w:val="24"/>
          <w:lang w:val="fr-CH" w:eastAsia="en-GB"/>
        </w:rPr>
      </w:pPr>
      <w:r w:rsidRPr="00825105">
        <w:rPr>
          <w:rFonts w:ascii="Times New Roman" w:eastAsia="Times New Roman" w:hAnsi="Times New Roman" w:cs="Times New Roman"/>
          <w:sz w:val="24"/>
          <w:szCs w:val="24"/>
          <w:lang w:val="fr-CH" w:eastAsia="en-GB"/>
        </w:rPr>
        <w:t>Cela représente 10,3 % du total des sanctions prononcées après avis du conseil de discipline.</w:t>
      </w:r>
    </w:p>
    <w:p w:rsidR="00BF63B0" w:rsidRPr="00825105" w:rsidRDefault="00BF63B0" w:rsidP="00825105">
      <w:pPr>
        <w:jc w:val="both"/>
        <w:rPr>
          <w:rFonts w:ascii="Times New Roman" w:hAnsi="Times New Roman" w:cs="Times New Roman"/>
          <w:sz w:val="24"/>
          <w:szCs w:val="24"/>
          <w:lang w:val="fr-CH"/>
        </w:rPr>
      </w:pPr>
    </w:p>
    <w:p w:rsidR="00AF1867" w:rsidRPr="00AF1867" w:rsidRDefault="00825105" w:rsidP="00AF1867">
      <w:pPr>
        <w:jc w:val="both"/>
        <w:rPr>
          <w:rFonts w:ascii="Times New Roman" w:hAnsi="Times New Roman" w:cs="Times New Roman"/>
          <w:b/>
          <w:sz w:val="24"/>
          <w:szCs w:val="24"/>
          <w:lang w:val="fr-CH"/>
        </w:rPr>
      </w:pPr>
      <w:r w:rsidRPr="00825105">
        <w:rPr>
          <w:rFonts w:ascii="Times New Roman" w:hAnsi="Times New Roman" w:cs="Times New Roman"/>
          <w:b/>
          <w:sz w:val="24"/>
          <w:szCs w:val="24"/>
          <w:lang w:val="fr-CH"/>
        </w:rPr>
        <w:t>Q</w:t>
      </w:r>
      <w:r>
        <w:rPr>
          <w:rFonts w:ascii="Times New Roman" w:hAnsi="Times New Roman" w:cs="Times New Roman"/>
          <w:b/>
          <w:sz w:val="24"/>
          <w:szCs w:val="24"/>
          <w:lang w:val="fr-CH"/>
        </w:rPr>
        <w:t>uestion</w:t>
      </w:r>
      <w:r w:rsidR="00AF1867">
        <w:rPr>
          <w:rFonts w:ascii="Times New Roman" w:hAnsi="Times New Roman" w:cs="Times New Roman"/>
          <w:b/>
          <w:sz w:val="24"/>
          <w:szCs w:val="24"/>
          <w:lang w:val="fr-CH"/>
        </w:rPr>
        <w:t xml:space="preserve"> de M. le rapporteur Bruni sur les</w:t>
      </w:r>
      <w:r>
        <w:rPr>
          <w:rFonts w:ascii="Times New Roman" w:hAnsi="Times New Roman" w:cs="Times New Roman"/>
          <w:b/>
          <w:sz w:val="24"/>
          <w:szCs w:val="24"/>
          <w:lang w:val="fr-CH"/>
        </w:rPr>
        <w:t xml:space="preserve"> </w:t>
      </w:r>
      <w:r w:rsidR="002439E9">
        <w:rPr>
          <w:rFonts w:ascii="Times New Roman" w:hAnsi="Times New Roman" w:cs="Times New Roman"/>
          <w:b/>
          <w:sz w:val="24"/>
          <w:szCs w:val="24"/>
          <w:lang w:val="fr-CH"/>
        </w:rPr>
        <w:t>d</w:t>
      </w:r>
      <w:r w:rsidR="00AF1867" w:rsidRPr="00AF1867">
        <w:rPr>
          <w:rFonts w:ascii="Times New Roman" w:hAnsi="Times New Roman" w:cs="Times New Roman"/>
          <w:b/>
          <w:sz w:val="24"/>
          <w:szCs w:val="24"/>
          <w:lang w:val="fr-CH"/>
        </w:rPr>
        <w:t>emandes d’asile placées e</w:t>
      </w:r>
      <w:r w:rsidR="00AF1867">
        <w:rPr>
          <w:rFonts w:ascii="Times New Roman" w:hAnsi="Times New Roman" w:cs="Times New Roman"/>
          <w:b/>
          <w:sz w:val="24"/>
          <w:szCs w:val="24"/>
          <w:lang w:val="fr-CH"/>
        </w:rPr>
        <w:t xml:space="preserve">n procédure d’examen accélérée - </w:t>
      </w:r>
      <w:r w:rsidR="00AF1867" w:rsidRPr="00AF1867">
        <w:rPr>
          <w:rFonts w:ascii="Times New Roman" w:hAnsi="Times New Roman" w:cs="Times New Roman"/>
          <w:b/>
          <w:sz w:val="24"/>
          <w:szCs w:val="24"/>
          <w:lang w:val="fr-CH"/>
        </w:rPr>
        <w:t>Droits et délais en matière d’</w:t>
      </w:r>
      <w:r w:rsidR="00AF1867">
        <w:rPr>
          <w:rFonts w:ascii="Times New Roman" w:hAnsi="Times New Roman" w:cs="Times New Roman"/>
          <w:b/>
          <w:sz w:val="24"/>
          <w:szCs w:val="24"/>
          <w:lang w:val="fr-CH"/>
        </w:rPr>
        <w:t>examen et en matière de recours</w:t>
      </w:r>
    </w:p>
    <w:p w:rsidR="00AF1867" w:rsidRPr="00AF1867" w:rsidRDefault="00AF1867" w:rsidP="00AF1867">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1/ </w:t>
      </w:r>
      <w:r w:rsidRPr="00AF1867">
        <w:rPr>
          <w:rFonts w:ascii="Times New Roman" w:hAnsi="Times New Roman" w:cs="Times New Roman"/>
          <w:sz w:val="24"/>
          <w:szCs w:val="24"/>
          <w:u w:val="single"/>
          <w:lang w:val="fr-CH"/>
        </w:rPr>
        <w:t>Introduction de la demande auprès de l’Office français de prote</w:t>
      </w:r>
      <w:r>
        <w:rPr>
          <w:rFonts w:ascii="Times New Roman" w:hAnsi="Times New Roman" w:cs="Times New Roman"/>
          <w:sz w:val="24"/>
          <w:szCs w:val="24"/>
          <w:u w:val="single"/>
          <w:lang w:val="fr-CH"/>
        </w:rPr>
        <w:t>ction des réfugiés et apatrides</w:t>
      </w:r>
      <w:r w:rsidRPr="00AF1867">
        <w:rPr>
          <w:rFonts w:ascii="Times New Roman" w:hAnsi="Times New Roman" w:cs="Times New Roman"/>
          <w:sz w:val="24"/>
          <w:szCs w:val="24"/>
          <w:lang w:val="fr-CH"/>
        </w:rPr>
        <w:t xml:space="preserve">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Les demandeurs d’asile, que leur demande soit placée en procédure normale ou en procédure accélérée, disposent d’un délai de 21 jours à compter de la remise de l’attestation de demande d’asile, pour introduire leur demande auprès de l’O</w:t>
      </w:r>
      <w:r>
        <w:rPr>
          <w:rFonts w:ascii="Times New Roman" w:hAnsi="Times New Roman" w:cs="Times New Roman"/>
          <w:sz w:val="24"/>
          <w:szCs w:val="24"/>
          <w:lang w:val="fr-CH"/>
        </w:rPr>
        <w:t>ffice français de protection des réfugiés et apatrides (ci-après l’« OF</w:t>
      </w:r>
      <w:r w:rsidRPr="00AF1867">
        <w:rPr>
          <w:rFonts w:ascii="Times New Roman" w:hAnsi="Times New Roman" w:cs="Times New Roman"/>
          <w:sz w:val="24"/>
          <w:szCs w:val="24"/>
          <w:lang w:val="fr-CH"/>
        </w:rPr>
        <w:t>PRA</w:t>
      </w:r>
      <w:r>
        <w:rPr>
          <w:rFonts w:ascii="Times New Roman" w:hAnsi="Times New Roman" w:cs="Times New Roman"/>
          <w:sz w:val="24"/>
          <w:szCs w:val="24"/>
          <w:lang w:val="fr-CH"/>
        </w:rPr>
        <w:t> »)</w:t>
      </w:r>
      <w:r w:rsidRPr="00AF1867">
        <w:rPr>
          <w:rFonts w:ascii="Times New Roman" w:hAnsi="Times New Roman" w:cs="Times New Roman"/>
          <w:sz w:val="24"/>
          <w:szCs w:val="24"/>
          <w:lang w:val="fr-CH"/>
        </w:rPr>
        <w:t>, c’est-à-dire pour transmettre à l’OFPRA le formulaire écrit exposant en particulier les motifs de leur demande (art. R.723-1 du code de l’entrée et du séjour des étrangers et du droit d’asile CESEDA).</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 xml:space="preserve">Que leur demande soit placée en procédure normale ou en procédure accélérée, ils bénéficient d’une aide à la constitution de leur dossier, qui leur est apportée en centre d’accueil pour demandeurs d’asile (CADA) ou en en hébergement d’urgence pour demandeurs d’asile (HU-DA). Pour ceux qui ne sont pas hébergés, ils peuvent s’adresser à l’association chargée de l’accompagnement des demandeurs d’asile financée par l’Office français de l’immigration et </w:t>
      </w:r>
      <w:r w:rsidRPr="00AF1867">
        <w:rPr>
          <w:rFonts w:ascii="Times New Roman" w:hAnsi="Times New Roman" w:cs="Times New Roman"/>
          <w:sz w:val="24"/>
          <w:szCs w:val="24"/>
          <w:lang w:val="fr-CH"/>
        </w:rPr>
        <w:lastRenderedPageBreak/>
        <w:t xml:space="preserve">de l’intégration sur le fondement d’un marché public.  Ces associations sont présentes sur l’ensemble du territoire. </w:t>
      </w:r>
    </w:p>
    <w:p w:rsidR="00AF1867" w:rsidRPr="00AF1867" w:rsidRDefault="00AF1867" w:rsidP="00AF1867">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2/ </w:t>
      </w:r>
      <w:r w:rsidRPr="00AF1867">
        <w:rPr>
          <w:rFonts w:ascii="Times New Roman" w:hAnsi="Times New Roman" w:cs="Times New Roman"/>
          <w:sz w:val="24"/>
          <w:szCs w:val="24"/>
          <w:u w:val="single"/>
          <w:lang w:val="fr-CH"/>
        </w:rPr>
        <w:t>Examen de la demande d’asile par l’OFPRA</w:t>
      </w:r>
      <w:r w:rsidRPr="00AF1867">
        <w:rPr>
          <w:rFonts w:ascii="Times New Roman" w:hAnsi="Times New Roman" w:cs="Times New Roman"/>
          <w:sz w:val="24"/>
          <w:szCs w:val="24"/>
          <w:lang w:val="fr-CH"/>
        </w:rPr>
        <w:t xml:space="preserve">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Les demandes d’asile classées en procédure accélérée sont examinées dans un délai de quinze jours suivant leur introduction, par l’</w:t>
      </w:r>
      <w:r>
        <w:rPr>
          <w:rFonts w:ascii="Times New Roman" w:hAnsi="Times New Roman" w:cs="Times New Roman"/>
          <w:sz w:val="24"/>
          <w:szCs w:val="24"/>
          <w:lang w:val="fr-CH"/>
        </w:rPr>
        <w:t>OFPRA (article R.723-4 du code de l’entrée et du séjour des étrangers et du droit d’asile</w:t>
      </w:r>
      <w:r w:rsidRPr="00AF1867">
        <w:rPr>
          <w:rFonts w:ascii="Times New Roman" w:hAnsi="Times New Roman" w:cs="Times New Roman"/>
          <w:sz w:val="24"/>
          <w:szCs w:val="24"/>
          <w:lang w:val="fr-CH"/>
        </w:rPr>
        <w:t>) et 96 heures en rétention. Toutefois, le dépassement de ce délai n’emporte pas le rejet de la demande et l’OFPRA peut toujours, si l’examen du dossier le requiert, consacrer davan</w:t>
      </w:r>
      <w:r>
        <w:rPr>
          <w:rFonts w:ascii="Times New Roman" w:hAnsi="Times New Roman" w:cs="Times New Roman"/>
          <w:sz w:val="24"/>
          <w:szCs w:val="24"/>
          <w:lang w:val="fr-CH"/>
        </w:rPr>
        <w:t xml:space="preserve">tage de temps à l’instruction.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Il est exact que la règlementation, en renvoyant à l’article 31 de la directive « procédure » de 2013  prévoit un délai d’examen de l’ordre de six mois (avec possibilité de prorogation) pour le traitement des demandes d’asile en procédure normale. Il  s’agit, dans la directive, non pas de fixer un délai moyen à respecter pour l’examen de toutes les demandes d’asile mais au contraire de fixer des délais  d’examen « plafond », qui ne sauraient être dépassés. C’est précisément parce qu’il est de l’intérêt des demandeurs d’asile que les procédures se déroulent dans des délais courts que la</w:t>
      </w:r>
      <w:r>
        <w:rPr>
          <w:rFonts w:ascii="Times New Roman" w:hAnsi="Times New Roman" w:cs="Times New Roman"/>
          <w:sz w:val="24"/>
          <w:szCs w:val="24"/>
          <w:lang w:val="fr-CH"/>
        </w:rPr>
        <w:t xml:space="preserve"> directive a fixé ces limites.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En tout état de cause, que les demandes soient examinées en procédure normale ou accélérée, le temps consacré individuellement à chaque dossier n’est pas fonction de la procédure appliquée mais de son contenu et les garanties d’examen sont strictement les mêmes.  En particulier, le demandeur peut, dans un cas comme dans l’autre être assisté pendant l’entretien par un avocat ou le r</w:t>
      </w:r>
      <w:r>
        <w:rPr>
          <w:rFonts w:ascii="Times New Roman" w:hAnsi="Times New Roman" w:cs="Times New Roman"/>
          <w:sz w:val="24"/>
          <w:szCs w:val="24"/>
          <w:lang w:val="fr-CH"/>
        </w:rPr>
        <w:t xml:space="preserve">eprésentant d’une association. </w:t>
      </w:r>
    </w:p>
    <w:p w:rsidR="00AF1867" w:rsidRDefault="00AF1867" w:rsidP="00AF1867">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3/ </w:t>
      </w:r>
      <w:r w:rsidRPr="00AF1867">
        <w:rPr>
          <w:rFonts w:ascii="Times New Roman" w:hAnsi="Times New Roman" w:cs="Times New Roman"/>
          <w:sz w:val="24"/>
          <w:szCs w:val="24"/>
          <w:u w:val="single"/>
          <w:lang w:val="fr-CH"/>
        </w:rPr>
        <w:t>Introduction du recours devant la Cour nationale du droit d’asile (CNDA)</w:t>
      </w:r>
      <w:r w:rsidRPr="00AF1867">
        <w:rPr>
          <w:rFonts w:ascii="Times New Roman" w:hAnsi="Times New Roman" w:cs="Times New Roman"/>
          <w:sz w:val="24"/>
          <w:szCs w:val="24"/>
          <w:lang w:val="fr-CH"/>
        </w:rPr>
        <w:t xml:space="preserve">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Les demandeurs d’asile, que leur demande soit placée en procédure normale ou en procédure accélérée, disposent d’un délai d’un mois à compter de la notification de la décision de rejet de l’OFPRA pour former un recours devant la CNDA (L.731-2</w:t>
      </w:r>
      <w:r>
        <w:rPr>
          <w:rFonts w:ascii="Times New Roman" w:hAnsi="Times New Roman" w:cs="Times New Roman"/>
          <w:sz w:val="24"/>
          <w:szCs w:val="24"/>
          <w:lang w:val="fr-CH"/>
        </w:rPr>
        <w:t xml:space="preserve"> du code de l’entrée et du séjour des étrangers et du droit d’asile).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 xml:space="preserve">Quelle que soit la procédure, les requérants bénéficient des mêmes garanties juridictionnelles, en particulier du droit à l’assistance d’un interprète et d’un avocat, le cas échéant pris en charge au titre de l’aide juridictionnelle. </w:t>
      </w:r>
    </w:p>
    <w:p w:rsidR="00AF1867" w:rsidRPr="00AF1867" w:rsidRDefault="00AF1867" w:rsidP="00AF1867">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4/ </w:t>
      </w:r>
      <w:r w:rsidRPr="00AF1867">
        <w:rPr>
          <w:rFonts w:ascii="Times New Roman" w:hAnsi="Times New Roman" w:cs="Times New Roman"/>
          <w:sz w:val="24"/>
          <w:szCs w:val="24"/>
          <w:u w:val="single"/>
          <w:lang w:val="fr-CH"/>
        </w:rPr>
        <w:t>Délai de jugement devant la CNDA</w:t>
      </w:r>
      <w:r w:rsidRPr="00AF1867">
        <w:rPr>
          <w:rFonts w:ascii="Times New Roman" w:hAnsi="Times New Roman" w:cs="Times New Roman"/>
          <w:sz w:val="24"/>
          <w:szCs w:val="24"/>
          <w:lang w:val="fr-CH"/>
        </w:rPr>
        <w:t xml:space="preserve"> : </w:t>
      </w:r>
    </w:p>
    <w:p w:rsid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Alors que la CNDA statue normalement dans un délai de cinq mois, (article L.731-2</w:t>
      </w:r>
      <w:r>
        <w:rPr>
          <w:rFonts w:ascii="Times New Roman" w:hAnsi="Times New Roman" w:cs="Times New Roman"/>
          <w:sz w:val="24"/>
          <w:szCs w:val="24"/>
          <w:lang w:val="fr-CH"/>
        </w:rPr>
        <w:t xml:space="preserve"> du code de l’entrée et du séjour des étrangers et du droit d’asile</w:t>
      </w:r>
      <w:r w:rsidRPr="00AF1867">
        <w:rPr>
          <w:rFonts w:ascii="Times New Roman" w:hAnsi="Times New Roman" w:cs="Times New Roman"/>
          <w:sz w:val="24"/>
          <w:szCs w:val="24"/>
          <w:lang w:val="fr-CH"/>
        </w:rPr>
        <w:t>), la CNDA statue à juge unique dans un délai de cinq semaines sur les demandes placées en procédure accé</w:t>
      </w:r>
      <w:r>
        <w:rPr>
          <w:rFonts w:ascii="Times New Roman" w:hAnsi="Times New Roman" w:cs="Times New Roman"/>
          <w:sz w:val="24"/>
          <w:szCs w:val="24"/>
          <w:lang w:val="fr-CH"/>
        </w:rPr>
        <w:t>lérée (article L.731-2 du même code). Cependant,</w:t>
      </w:r>
      <w:r w:rsidRPr="00AF1867">
        <w:rPr>
          <w:rFonts w:ascii="Times New Roman" w:hAnsi="Times New Roman" w:cs="Times New Roman"/>
          <w:sz w:val="24"/>
          <w:szCs w:val="24"/>
          <w:lang w:val="fr-CH"/>
        </w:rPr>
        <w:t xml:space="preserve"> il s’agit d’un délai « indicatif » et la Cour peut toujours statuer au-delà de ce délai. De même, la Cour a la possibilité, à tout moment de la procédure, de sa propre initiative ou à la demande du requérant de renvoyer à la formation collégiale l’examen des demandes qu’elle estime ne pas relever de la procédure accélérée ou qui soulèvent une difficulté sérieuse.</w:t>
      </w:r>
    </w:p>
    <w:p w:rsidR="00AF1867" w:rsidRPr="00AF1867" w:rsidRDefault="00AF1867" w:rsidP="00AF1867">
      <w:pPr>
        <w:jc w:val="both"/>
        <w:rPr>
          <w:rFonts w:ascii="Times New Roman" w:hAnsi="Times New Roman" w:cs="Times New Roman"/>
          <w:b/>
          <w:sz w:val="24"/>
          <w:szCs w:val="24"/>
          <w:lang w:val="fr-CH"/>
        </w:rPr>
      </w:pPr>
      <w:r w:rsidRPr="00AF1867">
        <w:rPr>
          <w:rFonts w:ascii="Times New Roman" w:hAnsi="Times New Roman" w:cs="Times New Roman"/>
          <w:b/>
          <w:sz w:val="24"/>
          <w:szCs w:val="24"/>
          <w:lang w:val="fr-CH"/>
        </w:rPr>
        <w:lastRenderedPageBreak/>
        <w:t xml:space="preserve">Question de M. le Président Modvig sur les </w:t>
      </w:r>
      <w:r w:rsidR="002439E9">
        <w:rPr>
          <w:rFonts w:ascii="Times New Roman" w:hAnsi="Times New Roman" w:cs="Times New Roman"/>
          <w:b/>
          <w:sz w:val="24"/>
          <w:szCs w:val="24"/>
          <w:lang w:val="fr-CH"/>
        </w:rPr>
        <w:t xml:space="preserve">demandeurs d’asile </w:t>
      </w:r>
      <w:r w:rsidRPr="00AF1867">
        <w:rPr>
          <w:rFonts w:ascii="Times New Roman" w:hAnsi="Times New Roman" w:cs="Times New Roman"/>
          <w:b/>
          <w:sz w:val="24"/>
          <w:szCs w:val="24"/>
          <w:lang w:val="fr-CH"/>
        </w:rPr>
        <w:t>victimes de torture et de mauvais traitements</w:t>
      </w:r>
    </w:p>
    <w:p w:rsidR="00AF1867" w:rsidRPr="00AF1867" w:rsidRDefault="00AF1867" w:rsidP="00AF1867">
      <w:pPr>
        <w:jc w:val="both"/>
        <w:rPr>
          <w:rFonts w:ascii="Times New Roman" w:hAnsi="Times New Roman" w:cs="Times New Roman"/>
          <w:sz w:val="24"/>
          <w:szCs w:val="24"/>
          <w:lang w:val="fr-CH"/>
        </w:rPr>
      </w:pPr>
      <w:r>
        <w:rPr>
          <w:rFonts w:ascii="Times New Roman" w:hAnsi="Times New Roman" w:cs="Times New Roman"/>
          <w:sz w:val="24"/>
          <w:szCs w:val="24"/>
          <w:lang w:val="fr-CH"/>
        </w:rPr>
        <w:t>Le Gouvernement ne dispose</w:t>
      </w:r>
      <w:r w:rsidRPr="00AF1867">
        <w:rPr>
          <w:rFonts w:ascii="Times New Roman" w:hAnsi="Times New Roman" w:cs="Times New Roman"/>
          <w:sz w:val="24"/>
          <w:szCs w:val="24"/>
          <w:lang w:val="fr-CH"/>
        </w:rPr>
        <w:t xml:space="preserve"> pas d’informations statistiques précises sur la part des demandeurs d’asile</w:t>
      </w:r>
      <w:r w:rsidR="002439E9">
        <w:rPr>
          <w:rFonts w:ascii="Times New Roman" w:hAnsi="Times New Roman" w:cs="Times New Roman"/>
          <w:sz w:val="24"/>
          <w:szCs w:val="24"/>
          <w:lang w:val="fr-CH"/>
        </w:rPr>
        <w:t xml:space="preserve"> qui auraient été</w:t>
      </w:r>
      <w:r w:rsidRPr="00AF1867">
        <w:rPr>
          <w:rFonts w:ascii="Times New Roman" w:hAnsi="Times New Roman" w:cs="Times New Roman"/>
          <w:sz w:val="24"/>
          <w:szCs w:val="24"/>
          <w:lang w:val="fr-CH"/>
        </w:rPr>
        <w:t xml:space="preserve"> victimes de torture</w:t>
      </w:r>
      <w:r w:rsidR="002439E9">
        <w:rPr>
          <w:rFonts w:ascii="Times New Roman" w:hAnsi="Times New Roman" w:cs="Times New Roman"/>
          <w:sz w:val="24"/>
          <w:szCs w:val="24"/>
          <w:lang w:val="fr-CH"/>
        </w:rPr>
        <w:t xml:space="preserve"> ou de mauvais traitement</w:t>
      </w:r>
      <w:r w:rsidRPr="00AF1867">
        <w:rPr>
          <w:rFonts w:ascii="Times New Roman" w:hAnsi="Times New Roman" w:cs="Times New Roman"/>
          <w:sz w:val="24"/>
          <w:szCs w:val="24"/>
          <w:lang w:val="fr-CH"/>
        </w:rPr>
        <w:t xml:space="preserve">.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 xml:space="preserve">La prise en compte de ces situations est assurée dans le cadre des procédures d’examen des demandes d’asile par l’OFPRA. Ainsi comme indiqué lors de l’audition, il existe à l’OFPRA un groupe de référents spécialisés sur </w:t>
      </w:r>
      <w:r w:rsidR="002439E9">
        <w:rPr>
          <w:rFonts w:ascii="Times New Roman" w:hAnsi="Times New Roman" w:cs="Times New Roman"/>
          <w:sz w:val="24"/>
          <w:szCs w:val="24"/>
          <w:lang w:val="fr-CH"/>
        </w:rPr>
        <w:t xml:space="preserve">la situation spécifique des </w:t>
      </w:r>
      <w:r w:rsidRPr="00AF1867">
        <w:rPr>
          <w:rFonts w:ascii="Times New Roman" w:hAnsi="Times New Roman" w:cs="Times New Roman"/>
          <w:sz w:val="24"/>
          <w:szCs w:val="24"/>
          <w:lang w:val="fr-CH"/>
        </w:rPr>
        <w:t xml:space="preserve">victimes de torture qui </w:t>
      </w:r>
      <w:r w:rsidR="002439E9">
        <w:rPr>
          <w:rFonts w:ascii="Times New Roman" w:hAnsi="Times New Roman" w:cs="Times New Roman"/>
          <w:sz w:val="24"/>
          <w:szCs w:val="24"/>
          <w:lang w:val="fr-CH"/>
        </w:rPr>
        <w:t>apporte notamment leur soutien aux officiers de protection lors de l’entretien pour adapter les questions posées afin de prendre en compte les</w:t>
      </w:r>
      <w:r w:rsidRPr="00AF1867">
        <w:rPr>
          <w:rFonts w:ascii="Times New Roman" w:hAnsi="Times New Roman" w:cs="Times New Roman"/>
          <w:sz w:val="24"/>
          <w:szCs w:val="24"/>
          <w:lang w:val="fr-CH"/>
        </w:rPr>
        <w:t xml:space="preserve"> questions de troubles de la mémoire, de muti</w:t>
      </w:r>
      <w:r>
        <w:rPr>
          <w:rFonts w:ascii="Times New Roman" w:hAnsi="Times New Roman" w:cs="Times New Roman"/>
          <w:sz w:val="24"/>
          <w:szCs w:val="24"/>
          <w:lang w:val="fr-CH"/>
        </w:rPr>
        <w:t>sme, de reviviscence</w:t>
      </w:r>
      <w:r w:rsidRPr="00AF1867">
        <w:rPr>
          <w:rFonts w:ascii="Times New Roman" w:hAnsi="Times New Roman" w:cs="Times New Roman"/>
          <w:sz w:val="24"/>
          <w:szCs w:val="24"/>
          <w:lang w:val="fr-CH"/>
        </w:rPr>
        <w:t xml:space="preserve"> ... qui peuvent affecter la verbalisation. L'Office dialogue aussi régulièrement avec ses partenaires associatifs  (ACAT, COMEDE, ...) sur le sujet de l'identification des victimes de torture.</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 xml:space="preserve">Comme rappelé </w:t>
      </w:r>
      <w:r w:rsidR="000E6A8D">
        <w:rPr>
          <w:rFonts w:ascii="Times New Roman" w:hAnsi="Times New Roman" w:cs="Times New Roman"/>
          <w:sz w:val="24"/>
          <w:szCs w:val="24"/>
          <w:lang w:val="fr-CH"/>
        </w:rPr>
        <w:t>lors de l’audition</w:t>
      </w:r>
      <w:r w:rsidRPr="00AF1867">
        <w:rPr>
          <w:rFonts w:ascii="Times New Roman" w:hAnsi="Times New Roman" w:cs="Times New Roman"/>
          <w:sz w:val="24"/>
          <w:szCs w:val="24"/>
          <w:lang w:val="fr-CH"/>
        </w:rPr>
        <w:t xml:space="preserve">, l’OFPRA </w:t>
      </w:r>
      <w:r w:rsidR="000E6A8D">
        <w:rPr>
          <w:rFonts w:ascii="Times New Roman" w:hAnsi="Times New Roman" w:cs="Times New Roman"/>
          <w:sz w:val="24"/>
          <w:szCs w:val="24"/>
          <w:lang w:val="fr-CH"/>
        </w:rPr>
        <w:t xml:space="preserve">peut par ailleurs toujours </w:t>
      </w:r>
      <w:r w:rsidRPr="00AF1867">
        <w:rPr>
          <w:rFonts w:ascii="Times New Roman" w:hAnsi="Times New Roman" w:cs="Times New Roman"/>
          <w:sz w:val="24"/>
          <w:szCs w:val="24"/>
          <w:lang w:val="fr-CH"/>
        </w:rPr>
        <w:t xml:space="preserve">reclasser en procédure normale l’examen d’une demande présentée par une personne victime de torture comme il peut le faire comme pour toute personne en situation de vulnérabilité particulière.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 xml:space="preserve">S’agissant de la prise en compte de ces situations au plan des conditions d’accueil et du suivi médico- psychologique :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Lors de la présentation de la demande d’asile et tout au long de la durée de la procédure</w:t>
      </w:r>
      <w:r w:rsidR="000E6A8D">
        <w:rPr>
          <w:rFonts w:ascii="Times New Roman" w:hAnsi="Times New Roman" w:cs="Times New Roman"/>
          <w:sz w:val="24"/>
          <w:szCs w:val="24"/>
          <w:lang w:val="fr-CH"/>
        </w:rPr>
        <w:t>,</w:t>
      </w:r>
      <w:r w:rsidRPr="00AF1867">
        <w:rPr>
          <w:rFonts w:ascii="Times New Roman" w:hAnsi="Times New Roman" w:cs="Times New Roman"/>
          <w:sz w:val="24"/>
          <w:szCs w:val="24"/>
          <w:lang w:val="fr-CH"/>
        </w:rPr>
        <w:t xml:space="preserve"> une évaluation de la vulnérabilité </w:t>
      </w:r>
      <w:r w:rsidR="000E6A8D">
        <w:rPr>
          <w:rFonts w:ascii="Times New Roman" w:hAnsi="Times New Roman" w:cs="Times New Roman"/>
          <w:sz w:val="24"/>
          <w:szCs w:val="24"/>
          <w:lang w:val="fr-CH"/>
        </w:rPr>
        <w:t xml:space="preserve">du demandeur d’asile </w:t>
      </w:r>
      <w:r w:rsidRPr="00AF1867">
        <w:rPr>
          <w:rFonts w:ascii="Times New Roman" w:hAnsi="Times New Roman" w:cs="Times New Roman"/>
          <w:sz w:val="24"/>
          <w:szCs w:val="24"/>
          <w:lang w:val="fr-CH"/>
        </w:rPr>
        <w:t xml:space="preserve">est assurée </w:t>
      </w:r>
      <w:r w:rsidR="000E6A8D">
        <w:rPr>
          <w:rFonts w:ascii="Times New Roman" w:hAnsi="Times New Roman" w:cs="Times New Roman"/>
          <w:sz w:val="24"/>
          <w:szCs w:val="24"/>
          <w:lang w:val="fr-CH"/>
        </w:rPr>
        <w:t>afin de</w:t>
      </w:r>
      <w:r w:rsidRPr="00AF1867">
        <w:rPr>
          <w:rFonts w:ascii="Times New Roman" w:hAnsi="Times New Roman" w:cs="Times New Roman"/>
          <w:sz w:val="24"/>
          <w:szCs w:val="24"/>
          <w:lang w:val="fr-CH"/>
        </w:rPr>
        <w:t xml:space="preserve"> déterminer les besoins particuliers. Dans les lieux d’hébergement des demandeurs d’asile, les travailleurs sociaux sont rendus attentifs à ces problématiques et peuvent orienter les personnes concernées vers l’accès aux soins adaptés. On rappellera que les demandeurs d’asile bénéficient de la couverture médicale universelle qui couvre l’ensemble de leurs soins médicaux </w:t>
      </w:r>
    </w:p>
    <w:p w:rsidR="00AF1867" w:rsidRPr="00AF1867"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Il existe plusieurs associations spécialisées dans le suivi thérapeutique et la prise en charge des victimes de tortures dont certaines sont financées par le FAMI : le COMEDE (Paris) , l’association PRIMO LEVI (Paris) qui assure notamment des formations en particulier à l’usage des médecins</w:t>
      </w:r>
      <w:r w:rsidR="00C03D6F">
        <w:rPr>
          <w:rFonts w:ascii="Times New Roman" w:hAnsi="Times New Roman" w:cs="Times New Roman"/>
          <w:sz w:val="24"/>
          <w:szCs w:val="24"/>
          <w:lang w:val="fr-CH"/>
        </w:rPr>
        <w:t xml:space="preserve"> (dans son rapport d’activité de l’année 2014 l’association indique avoir accueilli 231 professionnels)</w:t>
      </w:r>
      <w:r w:rsidRPr="00AF1867">
        <w:rPr>
          <w:rFonts w:ascii="Times New Roman" w:hAnsi="Times New Roman" w:cs="Times New Roman"/>
          <w:sz w:val="24"/>
          <w:szCs w:val="24"/>
          <w:lang w:val="fr-CH"/>
        </w:rPr>
        <w:t xml:space="preserve">, ESSOR-FORUM REFUGIES (Lyon-Villeurbanne),   PARCOURS D'EXIL(Paris ) Médecins sans frontière, OSIRIS (Marseille) etc… . Ces associations disposent de centres de consultation spécialisés. Par ailleurs plusieurs établissements hospitaliers offrent des consultations transculturelles dédiées à ces problématiques comme l’hôpital Avicenne et l’hôpital Cochin. </w:t>
      </w:r>
    </w:p>
    <w:p w:rsidR="00C03D6F" w:rsidRDefault="00AF1867" w:rsidP="00AF1867">
      <w:pPr>
        <w:jc w:val="both"/>
        <w:rPr>
          <w:rFonts w:ascii="Times New Roman" w:hAnsi="Times New Roman" w:cs="Times New Roman"/>
          <w:sz w:val="24"/>
          <w:szCs w:val="24"/>
          <w:lang w:val="fr-CH"/>
        </w:rPr>
      </w:pPr>
      <w:r w:rsidRPr="00AF1867">
        <w:rPr>
          <w:rFonts w:ascii="Times New Roman" w:hAnsi="Times New Roman" w:cs="Times New Roman"/>
          <w:sz w:val="24"/>
          <w:szCs w:val="24"/>
          <w:lang w:val="fr-CH"/>
        </w:rPr>
        <w:t>On me</w:t>
      </w:r>
      <w:r>
        <w:rPr>
          <w:rFonts w:ascii="Times New Roman" w:hAnsi="Times New Roman" w:cs="Times New Roman"/>
          <w:sz w:val="24"/>
          <w:szCs w:val="24"/>
          <w:lang w:val="fr-CH"/>
        </w:rPr>
        <w:t>ntionnera en particulier que l’</w:t>
      </w:r>
      <w:r w:rsidRPr="00AF1867">
        <w:rPr>
          <w:rFonts w:ascii="Times New Roman" w:hAnsi="Times New Roman" w:cs="Times New Roman"/>
          <w:sz w:val="24"/>
          <w:szCs w:val="24"/>
          <w:lang w:val="fr-CH"/>
        </w:rPr>
        <w:t>association Parcours d’exil a développé un module "Protect Able" qui a pour objectif de diffuser une procédure de détection précoce et d’orientation des demandeurs d’asile victimes de traumatismes sévères – torture, viol et autres formes de violence physique, psychologique et sexuelle. La diffusion de cette procédure est réalisée à travers la formation, le réseau (networking) et la communication. Ce module est diffusé par FTDA et utilisé au sein de certains centres d’accueil pour demandeurs d’asile (CADA) et de certaines plateformes d'accueil et d'orientation des demandeurs d'asile.</w:t>
      </w:r>
      <w:r w:rsidR="00C03D6F">
        <w:rPr>
          <w:rFonts w:ascii="Times New Roman" w:hAnsi="Times New Roman" w:cs="Times New Roman"/>
          <w:sz w:val="24"/>
          <w:szCs w:val="24"/>
          <w:lang w:val="fr-CH"/>
        </w:rPr>
        <w:t xml:space="preserve"> En </w:t>
      </w:r>
      <w:r w:rsidR="00C03D6F">
        <w:rPr>
          <w:rFonts w:ascii="Times New Roman" w:hAnsi="Times New Roman" w:cs="Times New Roman"/>
          <w:sz w:val="24"/>
          <w:szCs w:val="24"/>
          <w:lang w:val="fr-CH"/>
        </w:rPr>
        <w:lastRenderedPageBreak/>
        <w:t>2014, le rapport d’activité de l’association indique que 318 professionnels, dont des médecins, ont ainsi été formés.</w:t>
      </w:r>
    </w:p>
    <w:p w:rsidR="00C03D6F" w:rsidRPr="00C03D6F" w:rsidRDefault="00C03D6F" w:rsidP="00C03D6F">
      <w:pPr>
        <w:jc w:val="both"/>
        <w:rPr>
          <w:rFonts w:ascii="Times New Roman" w:hAnsi="Times New Roman" w:cs="Times New Roman"/>
          <w:b/>
          <w:sz w:val="24"/>
          <w:szCs w:val="24"/>
          <w:lang w:val="fr-CH"/>
        </w:rPr>
      </w:pPr>
      <w:r w:rsidRPr="00C03D6F">
        <w:rPr>
          <w:rFonts w:ascii="Times New Roman" w:hAnsi="Times New Roman" w:cs="Times New Roman"/>
          <w:b/>
          <w:sz w:val="24"/>
          <w:szCs w:val="24"/>
          <w:lang w:val="fr-CH"/>
        </w:rPr>
        <w:t>Question</w:t>
      </w:r>
      <w:r>
        <w:rPr>
          <w:rFonts w:ascii="Times New Roman" w:hAnsi="Times New Roman" w:cs="Times New Roman"/>
          <w:b/>
          <w:sz w:val="24"/>
          <w:szCs w:val="24"/>
          <w:lang w:val="fr-CH"/>
        </w:rPr>
        <w:t>s</w:t>
      </w:r>
      <w:r w:rsidRPr="00C03D6F">
        <w:rPr>
          <w:rFonts w:ascii="Times New Roman" w:hAnsi="Times New Roman" w:cs="Times New Roman"/>
          <w:b/>
          <w:sz w:val="24"/>
          <w:szCs w:val="24"/>
          <w:lang w:val="fr-CH"/>
        </w:rPr>
        <w:t xml:space="preserve"> de </w:t>
      </w:r>
      <w:r>
        <w:rPr>
          <w:rFonts w:ascii="Times New Roman" w:hAnsi="Times New Roman" w:cs="Times New Roman"/>
          <w:b/>
          <w:sz w:val="24"/>
          <w:szCs w:val="24"/>
          <w:lang w:val="fr-CH"/>
        </w:rPr>
        <w:t>plusieurs membres du Co</w:t>
      </w:r>
      <w:r w:rsidRPr="00C03D6F">
        <w:rPr>
          <w:rFonts w:ascii="Times New Roman" w:hAnsi="Times New Roman" w:cs="Times New Roman"/>
          <w:b/>
          <w:sz w:val="24"/>
          <w:szCs w:val="24"/>
          <w:lang w:val="fr-CH"/>
        </w:rPr>
        <w:t xml:space="preserve">mité sur les mesures prises dans le cadre de l’état d’urgence.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 xml:space="preserve">L’exception au droit commun fait partie intégrante de l’histoire républicaine française. Tout État démocratique </w:t>
      </w:r>
      <w:r w:rsidR="004822C9">
        <w:rPr>
          <w:rFonts w:ascii="Times New Roman" w:hAnsi="Times New Roman" w:cs="Times New Roman"/>
          <w:sz w:val="24"/>
          <w:szCs w:val="24"/>
          <w:lang w:val="fr-CH"/>
        </w:rPr>
        <w:t xml:space="preserve">peut être amené à prévoir </w:t>
      </w:r>
      <w:r w:rsidRPr="00C03D6F">
        <w:rPr>
          <w:rFonts w:ascii="Times New Roman" w:hAnsi="Times New Roman" w:cs="Times New Roman"/>
          <w:sz w:val="24"/>
          <w:szCs w:val="24"/>
          <w:lang w:val="fr-CH"/>
        </w:rPr>
        <w:t>un dispositif d’exception susceptible de lui donner les moyens de droit pour faire face à une situation d’une extrême gravité. Mais il doit bien évidemment le faire dans le respect scrupuleux des principes démocratiques et en prévoyant les garanties permettant de s’assurer qu’il en sera fait u</w:t>
      </w:r>
      <w:r>
        <w:rPr>
          <w:rFonts w:ascii="Times New Roman" w:hAnsi="Times New Roman" w:cs="Times New Roman"/>
          <w:sz w:val="24"/>
          <w:szCs w:val="24"/>
          <w:lang w:val="fr-CH"/>
        </w:rPr>
        <w:t>n usage strictement nécessaire.</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L’état d’urgence est organisé par la loi du 3 avril 1955 modifiée par la loi n°2015-1501 du 20 novembre 2015.</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C’est un régime d’exception qui investit l’autorité administrative de pouvoirs exceptionnels permettant de limiter l’exercice des libertés publiques dans des conditions que les pouvoirs de police de droit commun ne permettent pas.</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Mais, l’état d’urgence n’est certainement pas synonyme d’arbitraire. Les raisons justifiant d’y avoir recours, sa déclaration comme sa prorogation, ainsi que les actes et les décisions pris sur son fondement, sont tous prévus et s</w:t>
      </w:r>
      <w:r>
        <w:rPr>
          <w:rFonts w:ascii="Times New Roman" w:hAnsi="Times New Roman" w:cs="Times New Roman"/>
          <w:sz w:val="24"/>
          <w:szCs w:val="24"/>
          <w:lang w:val="fr-CH"/>
        </w:rPr>
        <w:t>trictement encadrés par la loi.</w:t>
      </w:r>
    </w:p>
    <w:p w:rsidR="00C03D6F" w:rsidRPr="00C03D6F" w:rsidRDefault="00C03D6F" w:rsidP="00C03D6F">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1/ </w:t>
      </w:r>
      <w:r w:rsidRPr="00C03D6F">
        <w:rPr>
          <w:rFonts w:ascii="Times New Roman" w:hAnsi="Times New Roman" w:cs="Times New Roman"/>
          <w:sz w:val="24"/>
          <w:szCs w:val="24"/>
          <w:u w:val="single"/>
          <w:lang w:val="fr-CH"/>
        </w:rPr>
        <w:t>Circonstances requises et conditions de mise en œuvre</w:t>
      </w:r>
      <w:r w:rsidRPr="00C03D6F">
        <w:rPr>
          <w:rFonts w:ascii="Times New Roman" w:hAnsi="Times New Roman" w:cs="Times New Roman"/>
          <w:sz w:val="24"/>
          <w:szCs w:val="24"/>
          <w:lang w:val="fr-CH"/>
        </w:rPr>
        <w:t xml:space="preserve">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L’état d’urgence peut être déclaré aux termes de l’article premier de la loi du 3 avril 1955 modifiée : « soit en cas de péril imminent résultant d’atteintes graves à l’ordre public, soit en cas d’événements présentant, par leur nature et leur gravité, le carac</w:t>
      </w:r>
      <w:r>
        <w:rPr>
          <w:rFonts w:ascii="Times New Roman" w:hAnsi="Times New Roman" w:cs="Times New Roman"/>
          <w:sz w:val="24"/>
          <w:szCs w:val="24"/>
          <w:lang w:val="fr-CH"/>
        </w:rPr>
        <w:t>tère d’une calamité publique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Sa mise en œuvre fait intervenir plusieurs autorités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l’état d’urgence est d’abord  déclaré par décret en Conseil des ministres, c'est-à-dire par le président de la République. Ce décret détermine la ou les circonscriptions territoriales dans lesquels l’état d’urgence entre en vigueur.</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A l’intérieur de ces circonscriptions, les zones où l’état d’urgence « recevra application » (dans lesquelles l’autorité de police dispose de pouvoirs plus étendus) sont fixées par décret simple, c'est-à-dire par le Premier ministre.</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Pour se prolonger au-delà de douze jours, l’état d’urgence doit être prorogé par une loi qui fixe la durée définitive de l’état d’urgence.</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Enfin, pour l’application de l’état d’urgence, l’autorité administrative (ministre de l’intérieur ou préfet) est conduite à prendre des arrêtés (fermeture de débits de boissons, interdictions de rassemblement dans un lieu public, perquisition, assignation à résidence…).</w:t>
      </w:r>
    </w:p>
    <w:p w:rsidR="00C03D6F" w:rsidRPr="00C03D6F" w:rsidRDefault="00C03D6F" w:rsidP="00C03D6F">
      <w:pPr>
        <w:jc w:val="both"/>
        <w:rPr>
          <w:rFonts w:ascii="Times New Roman" w:hAnsi="Times New Roman" w:cs="Times New Roman"/>
          <w:sz w:val="24"/>
          <w:szCs w:val="24"/>
          <w:lang w:val="fr-CH"/>
        </w:rPr>
      </w:pPr>
    </w:p>
    <w:p w:rsidR="00C03D6F" w:rsidRPr="00C03D6F" w:rsidRDefault="00C03D6F" w:rsidP="00C03D6F">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lastRenderedPageBreak/>
        <w:t xml:space="preserve">2/ </w:t>
      </w:r>
      <w:r w:rsidRPr="00C03D6F">
        <w:rPr>
          <w:rFonts w:ascii="Times New Roman" w:hAnsi="Times New Roman" w:cs="Times New Roman"/>
          <w:sz w:val="24"/>
          <w:szCs w:val="24"/>
          <w:u w:val="single"/>
          <w:lang w:val="fr-CH"/>
        </w:rPr>
        <w:t>Mise en œuvre de ce régime par la France depuis le 14 novembre 2015</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Déclaré le 14 novembre 2015, l’état d’urgence a été prorogé deux fois par les lois du 20 novembre 2015 et du 20 février 2016, jusqu’au 26 mai 2016. Il répond au péril immédiat que fait peser sur la France le caractère inédit et exceptionnellement élevé de la menace terroriste, comme l’a confirmé la succession d’attaques frappant des métropoles d’Afrique de l’Ouest, du Proche et Moyen-Orient et d’Europe, en dernier lieu Bruxelles. La propagande des groupes terroristes continue de cib</w:t>
      </w:r>
      <w:r>
        <w:rPr>
          <w:rFonts w:ascii="Times New Roman" w:hAnsi="Times New Roman" w:cs="Times New Roman"/>
          <w:sz w:val="24"/>
          <w:szCs w:val="24"/>
          <w:lang w:val="fr-CH"/>
        </w:rPr>
        <w:t>ler particulièrement la France.</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Dans le contexte actuel de risque terroriste sans précédent, alimenté par les menaces réitérées des organisations terroristes disposant de la capacité opérationnelle de projeter des commandos, l’organisation en France du championnat d’Europe de football du 10 juin au 10 juillet 2016 nécessitera un degré particulièrement élevé de mobilisation. En conséquence, la prorogation de l’état d’urgence apparaît nécessaire pour couvrir les risques spécifiques associés à cette manifestation de dimension européenne et, parallèlement, assurer la sécurité de tous les Français. C’est pourquoi le Gouvernement va proposer au Parlement une prorogation supplémentaire de l’état d’urg</w:t>
      </w:r>
      <w:r>
        <w:rPr>
          <w:rFonts w:ascii="Times New Roman" w:hAnsi="Times New Roman" w:cs="Times New Roman"/>
          <w:sz w:val="24"/>
          <w:szCs w:val="24"/>
          <w:lang w:val="fr-CH"/>
        </w:rPr>
        <w:t>ence, pour une durée de 2 mois.</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 xml:space="preserve">L’état d’urgence a permis de déployer une stratégie accélérée de détection et de déstabilisation des filières djihadistes qui opèrent en France ou qui acheminent des combattants vers les zones de conflit. Les prérogatives que la loi du 3 avril 1955 confère à l’autorité administrative, principalement la possibilité de procéder à des assignations à résidence et à des perquisitions administratives, sont utilisées dans cette perspective, sous le contrôle étroit du Parlement.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 xml:space="preserve">Elles poursuivent donc un objectif de prévention et de renseignement et concernent exclusivement des personnes à l’égard desquelles l’autorité administrative des raisons sérieuses de penser que leur comportement constitue une menace pour </w:t>
      </w:r>
      <w:r>
        <w:rPr>
          <w:rFonts w:ascii="Times New Roman" w:hAnsi="Times New Roman" w:cs="Times New Roman"/>
          <w:sz w:val="24"/>
          <w:szCs w:val="24"/>
          <w:lang w:val="fr-CH"/>
        </w:rPr>
        <w:t>la sécurité et l’ordre publics.</w:t>
      </w:r>
    </w:p>
    <w:p w:rsidR="00C03D6F" w:rsidRPr="00C03D6F" w:rsidRDefault="00C03D6F" w:rsidP="00C03D6F">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3/ </w:t>
      </w:r>
      <w:r w:rsidRPr="00C03D6F">
        <w:rPr>
          <w:rFonts w:ascii="Times New Roman" w:hAnsi="Times New Roman" w:cs="Times New Roman"/>
          <w:sz w:val="24"/>
          <w:szCs w:val="24"/>
          <w:u w:val="single"/>
          <w:lang w:val="fr-CH"/>
        </w:rPr>
        <w:t>Les perquisitions administratives</w:t>
      </w:r>
    </w:p>
    <w:p w:rsidR="00C03D6F" w:rsidRPr="00C03D6F" w:rsidRDefault="00C03D6F" w:rsidP="00C03D6F">
      <w:pPr>
        <w:pStyle w:val="ListParagraph"/>
        <w:numPr>
          <w:ilvl w:val="0"/>
          <w:numId w:val="2"/>
        </w:numPr>
        <w:jc w:val="both"/>
        <w:rPr>
          <w:rFonts w:ascii="Times New Roman" w:hAnsi="Times New Roman" w:cs="Times New Roman"/>
          <w:i/>
          <w:sz w:val="24"/>
          <w:szCs w:val="24"/>
          <w:lang w:val="fr-CH"/>
        </w:rPr>
      </w:pPr>
      <w:r w:rsidRPr="00C03D6F">
        <w:rPr>
          <w:rFonts w:ascii="Times New Roman" w:hAnsi="Times New Roman" w:cs="Times New Roman"/>
          <w:i/>
          <w:sz w:val="24"/>
          <w:szCs w:val="24"/>
          <w:lang w:val="fr-CH"/>
        </w:rPr>
        <w:t>Rappel du cadre juridique</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La loi du 3 avril 1955 permet à l'autorité administrative, lorsque l'état d'urgence a été déclaré, d'ordonner des perquisitions.</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Le Conseil</w:t>
      </w:r>
      <w:r>
        <w:rPr>
          <w:rFonts w:ascii="Times New Roman" w:hAnsi="Times New Roman" w:cs="Times New Roman"/>
          <w:sz w:val="24"/>
          <w:szCs w:val="24"/>
          <w:lang w:val="fr-CH"/>
        </w:rPr>
        <w:t xml:space="preserve"> constitutionnel a jugé, dans une</w:t>
      </w:r>
      <w:r w:rsidRPr="00C03D6F">
        <w:rPr>
          <w:rFonts w:ascii="Times New Roman" w:hAnsi="Times New Roman" w:cs="Times New Roman"/>
          <w:sz w:val="24"/>
          <w:szCs w:val="24"/>
          <w:lang w:val="fr-CH"/>
        </w:rPr>
        <w:t xml:space="preserve"> décision du 19 février 2016, ces perquisitio</w:t>
      </w:r>
      <w:r>
        <w:rPr>
          <w:rFonts w:ascii="Times New Roman" w:hAnsi="Times New Roman" w:cs="Times New Roman"/>
          <w:sz w:val="24"/>
          <w:szCs w:val="24"/>
          <w:lang w:val="fr-CH"/>
        </w:rPr>
        <w:t>ns conformes à la Constitution.</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Il a notamment relevé les règles s'</w:t>
      </w:r>
      <w:r>
        <w:rPr>
          <w:rFonts w:ascii="Times New Roman" w:hAnsi="Times New Roman" w:cs="Times New Roman"/>
          <w:sz w:val="24"/>
          <w:szCs w:val="24"/>
          <w:lang w:val="fr-CH"/>
        </w:rPr>
        <w:t xml:space="preserve">appliquant aux perquisitions :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 xml:space="preserve">la décision ordonnant la perquisition en précise le lieu et le moment ;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 xml:space="preserve">le procureur de la République est informé sans délai de cette décision ;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 xml:space="preserve">la perquisition est conduite en présence d'un officier de police judiciaire et ne peut se dérouler qu'en présence de l'occupant ou, à défaut, de son représentant ou de deux témoins ;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lastRenderedPageBreak/>
        <w:t>-</w:t>
      </w:r>
      <w:r w:rsidRPr="00C03D6F">
        <w:rPr>
          <w:rFonts w:ascii="Times New Roman" w:hAnsi="Times New Roman" w:cs="Times New Roman"/>
          <w:sz w:val="24"/>
          <w:szCs w:val="24"/>
          <w:lang w:val="fr-CH"/>
        </w:rPr>
        <w:tab/>
        <w:t>enfin elle donne lieu à l'établissement d'un compte-rendu communiqué sans délai</w:t>
      </w:r>
      <w:r>
        <w:rPr>
          <w:rFonts w:ascii="Times New Roman" w:hAnsi="Times New Roman" w:cs="Times New Roman"/>
          <w:sz w:val="24"/>
          <w:szCs w:val="24"/>
          <w:lang w:val="fr-CH"/>
        </w:rPr>
        <w:t xml:space="preserve"> au procureur de la République.</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Le Conseil constitutionnel a jugé que la décision ordonnant une perquisition et les conditions de sa mise en œuvre doivent être justifiées et proportionnées aux raisons ayant motivé cette mesure dans les circonstances particulières ayant conduit à la dé</w:t>
      </w:r>
      <w:r>
        <w:rPr>
          <w:rFonts w:ascii="Times New Roman" w:hAnsi="Times New Roman" w:cs="Times New Roman"/>
          <w:sz w:val="24"/>
          <w:szCs w:val="24"/>
          <w:lang w:val="fr-CH"/>
        </w:rPr>
        <w:t xml:space="preserve">claration de l'état d'urgence.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En particulier, une perquisition se déroulant la nuit dans un domicile doit être justifiée par l'urgence ou l'impossi</w:t>
      </w:r>
      <w:r>
        <w:rPr>
          <w:rFonts w:ascii="Times New Roman" w:hAnsi="Times New Roman" w:cs="Times New Roman"/>
          <w:sz w:val="24"/>
          <w:szCs w:val="24"/>
          <w:lang w:val="fr-CH"/>
        </w:rPr>
        <w:t xml:space="preserve">bilité de l'effectuer le jour.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Le juge administratif est chargé de s'assurer que cette mesure, qui doit être motivée, est adaptée, nécessaire et proportionnée à la fin</w:t>
      </w:r>
      <w:r>
        <w:rPr>
          <w:rFonts w:ascii="Times New Roman" w:hAnsi="Times New Roman" w:cs="Times New Roman"/>
          <w:sz w:val="24"/>
          <w:szCs w:val="24"/>
          <w:lang w:val="fr-CH"/>
        </w:rPr>
        <w:t>alité qu'elle poursuit.</w:t>
      </w:r>
    </w:p>
    <w:p w:rsidR="00C03D6F" w:rsidRPr="00C03D6F" w:rsidRDefault="00C03D6F" w:rsidP="00C03D6F">
      <w:pPr>
        <w:pStyle w:val="ListParagraph"/>
        <w:numPr>
          <w:ilvl w:val="0"/>
          <w:numId w:val="2"/>
        </w:numPr>
        <w:jc w:val="both"/>
        <w:rPr>
          <w:rFonts w:ascii="Times New Roman" w:hAnsi="Times New Roman" w:cs="Times New Roman"/>
          <w:i/>
          <w:sz w:val="24"/>
          <w:szCs w:val="24"/>
          <w:lang w:val="fr-CH"/>
        </w:rPr>
      </w:pPr>
      <w:r w:rsidRPr="00C03D6F">
        <w:rPr>
          <w:rFonts w:ascii="Times New Roman" w:hAnsi="Times New Roman" w:cs="Times New Roman"/>
          <w:i/>
          <w:sz w:val="24"/>
          <w:szCs w:val="24"/>
          <w:lang w:val="fr-CH"/>
        </w:rPr>
        <w:t>La problématique des perquisitions menées en présence d’enfants</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Cette question a fait l’objet d’une recommandation générale du Défenseur des droits le 26 février dernier.</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 xml:space="preserve">Sur ce point, </w:t>
      </w:r>
      <w:r>
        <w:rPr>
          <w:rFonts w:ascii="Times New Roman" w:hAnsi="Times New Roman" w:cs="Times New Roman"/>
          <w:sz w:val="24"/>
          <w:szCs w:val="24"/>
          <w:lang w:val="fr-CH"/>
        </w:rPr>
        <w:t>le Gouvernement français souhaite</w:t>
      </w:r>
      <w:r w:rsidRPr="00C03D6F">
        <w:rPr>
          <w:rFonts w:ascii="Times New Roman" w:hAnsi="Times New Roman" w:cs="Times New Roman"/>
          <w:sz w:val="24"/>
          <w:szCs w:val="24"/>
          <w:lang w:val="fr-CH"/>
        </w:rPr>
        <w:t xml:space="preserve"> apporter les précisions suivantes.</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Quelle que soit le cadre dans lequel elles interviennent, les forces de l’ordre disposent d’instructions spécifiques destinées à prendre en compte la présence d’enfants lors d’opérations dans des domiciles. Deux instructions ont ainsi été diffusées sur cette question au cours des dernières années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l’instruction du 9 juillet 2012 relative aux recommandations du Défenseur des droits concernant l’intervention des forces de sécurité à domicile en présence d’enfants</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w:t>
      </w:r>
      <w:r w:rsidRPr="00C03D6F">
        <w:rPr>
          <w:rFonts w:ascii="Times New Roman" w:hAnsi="Times New Roman" w:cs="Times New Roman"/>
          <w:sz w:val="24"/>
          <w:szCs w:val="24"/>
          <w:lang w:val="fr-CH"/>
        </w:rPr>
        <w:tab/>
        <w:t xml:space="preserve">l’instruction du 22 juillet 2013 relative à la prise en compte des jeunes enfants au cours des interventions à domicile effectuées par les unités spécialisées.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Cette dernière instruction préconise notamment que les services vérifient avant l’intervention si des mineurs sont présents au domicile et, dans cette hypothèse, affectent des personnels, qui ne soient pas porteurs de cagoule, pour veiller sur les mineurs pendant les opérations. Ces agents doivent, dan</w:t>
      </w:r>
      <w:r>
        <w:rPr>
          <w:rFonts w:ascii="Times New Roman" w:hAnsi="Times New Roman" w:cs="Times New Roman"/>
          <w:sz w:val="24"/>
          <w:szCs w:val="24"/>
          <w:lang w:val="fr-CH"/>
        </w:rPr>
        <w:t>s</w:t>
      </w:r>
      <w:r w:rsidRPr="00C03D6F">
        <w:rPr>
          <w:rFonts w:ascii="Times New Roman" w:hAnsi="Times New Roman" w:cs="Times New Roman"/>
          <w:sz w:val="24"/>
          <w:szCs w:val="24"/>
          <w:lang w:val="fr-CH"/>
        </w:rPr>
        <w:t xml:space="preserve"> la mesure du possible, préserver les mineurs de la vue de la suite des opérations et s’attacher à les rassurer.</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L’importance qui s’attache au respect de ces instructions, y compris dans le cadre de l’état d’urgence, a été rappelée par une instruction du 16 mars 2016.</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Les forces de l’ordre sont pleinement attentives à la nécessité de préserver les mineurs sur les plans physique et psychologique et s’attachent à réduire l’impact psychologique que pourra</w:t>
      </w:r>
      <w:r>
        <w:rPr>
          <w:rFonts w:ascii="Times New Roman" w:hAnsi="Times New Roman" w:cs="Times New Roman"/>
          <w:sz w:val="24"/>
          <w:szCs w:val="24"/>
          <w:lang w:val="fr-CH"/>
        </w:rPr>
        <w:t>ient avoir leurs interventions.</w:t>
      </w:r>
    </w:p>
    <w:p w:rsidR="00C03D6F" w:rsidRPr="00C03D6F" w:rsidRDefault="00C03D6F" w:rsidP="00C03D6F">
      <w:pPr>
        <w:pStyle w:val="ListParagraph"/>
        <w:numPr>
          <w:ilvl w:val="0"/>
          <w:numId w:val="2"/>
        </w:numPr>
        <w:jc w:val="both"/>
        <w:rPr>
          <w:rFonts w:ascii="Times New Roman" w:hAnsi="Times New Roman" w:cs="Times New Roman"/>
          <w:i/>
          <w:sz w:val="24"/>
          <w:szCs w:val="24"/>
          <w:lang w:val="fr-CH"/>
        </w:rPr>
      </w:pPr>
      <w:r w:rsidRPr="00C03D6F">
        <w:rPr>
          <w:rFonts w:ascii="Times New Roman" w:hAnsi="Times New Roman" w:cs="Times New Roman"/>
          <w:i/>
          <w:sz w:val="24"/>
          <w:szCs w:val="24"/>
          <w:lang w:val="fr-CH"/>
        </w:rPr>
        <w:t>Les perquisitions menées dans les lieux de culte</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Lors de la première période de l’état d’urgence, du 14 novembre 2015 au 26 février 2016, 45 mosquées, certaines clandestines, et lieux de culte ont fait l'objet d'une perquisition admin</w:t>
      </w:r>
      <w:r>
        <w:rPr>
          <w:rFonts w:ascii="Times New Roman" w:hAnsi="Times New Roman" w:cs="Times New Roman"/>
          <w:sz w:val="24"/>
          <w:szCs w:val="24"/>
          <w:lang w:val="fr-CH"/>
        </w:rPr>
        <w:t xml:space="preserve">istrative; 10 ont été fermées.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lastRenderedPageBreak/>
        <w:t>Dans ces lieux, des prêches qui n'avaient rien à voir avec le culte musulman propageaient une vision de l'islam incompatible avec les valeurs de la République, encourageant ou légitimant des actes constitutifs d'une menace sérieuse pour l'ordre et la sécur</w:t>
      </w:r>
      <w:r>
        <w:rPr>
          <w:rFonts w:ascii="Times New Roman" w:hAnsi="Times New Roman" w:cs="Times New Roman"/>
          <w:sz w:val="24"/>
          <w:szCs w:val="24"/>
          <w:lang w:val="fr-CH"/>
        </w:rPr>
        <w:t>ité publics.</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Interrogé sur certaines de ces perquisitions par les parlementaires, le ministre de l’intérieur a reconnu que quelques opérations n'avaient pas été menées avec le discernement nécessaire, notamment le 17 novembre 2015, dans une mosquée à Aubervilliers. Il a indiqué que les conditions dans lesquelles cette perquisition a été menée ne lui ont pas semblé suffisamment resp</w:t>
      </w:r>
      <w:r>
        <w:rPr>
          <w:rFonts w:ascii="Times New Roman" w:hAnsi="Times New Roman" w:cs="Times New Roman"/>
          <w:sz w:val="24"/>
          <w:szCs w:val="24"/>
          <w:lang w:val="fr-CH"/>
        </w:rPr>
        <w:t xml:space="preserve">ectueuses de ce lieu de culte.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Il en a fait part aux responsables locaux concernés et a donné, par écrit, le 25 novembre 2015, des instructions extrêmement fermes pour que les objectifs soient toujours parfaitement pertinents et le déroulement de l</w:t>
      </w:r>
      <w:r>
        <w:rPr>
          <w:rFonts w:ascii="Times New Roman" w:hAnsi="Times New Roman" w:cs="Times New Roman"/>
          <w:sz w:val="24"/>
          <w:szCs w:val="24"/>
          <w:lang w:val="fr-CH"/>
        </w:rPr>
        <w:t xml:space="preserve">a perquisition, irréprochable.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Il a également demandé aux directions générales de la police nationale et de la gendarmerie nationale de relaye</w:t>
      </w:r>
      <w:r>
        <w:rPr>
          <w:rFonts w:ascii="Times New Roman" w:hAnsi="Times New Roman" w:cs="Times New Roman"/>
          <w:sz w:val="24"/>
          <w:szCs w:val="24"/>
          <w:lang w:val="fr-CH"/>
        </w:rPr>
        <w:t>r ces consignes sur le terrain.</w:t>
      </w:r>
    </w:p>
    <w:p w:rsidR="00C03D6F" w:rsidRPr="00C03D6F" w:rsidRDefault="00C03D6F" w:rsidP="00C03D6F">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4/ </w:t>
      </w:r>
      <w:r w:rsidRPr="00C03D6F">
        <w:rPr>
          <w:rFonts w:ascii="Times New Roman" w:hAnsi="Times New Roman" w:cs="Times New Roman"/>
          <w:sz w:val="24"/>
          <w:szCs w:val="24"/>
          <w:u w:val="single"/>
          <w:lang w:val="fr-CH"/>
        </w:rPr>
        <w:t>Le contrôle juridictionnel de l’état d’urgence</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Les mesures prises dans le cadre de l’état d’urgence font désormais l’objet d’un contrôle juridictionnel, qui n’était à l’origine  pas systématiquement prévu par</w:t>
      </w:r>
      <w:r>
        <w:rPr>
          <w:rFonts w:ascii="Times New Roman" w:hAnsi="Times New Roman" w:cs="Times New Roman"/>
          <w:sz w:val="24"/>
          <w:szCs w:val="24"/>
          <w:lang w:val="fr-CH"/>
        </w:rPr>
        <w:t xml:space="preserve"> la loi de 1955.</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Ce contrôle est exercé à titre principal par le juge administratif qui s’assure du caractère nécessaire, adapté et pr</w:t>
      </w:r>
      <w:r>
        <w:rPr>
          <w:rFonts w:ascii="Times New Roman" w:hAnsi="Times New Roman" w:cs="Times New Roman"/>
          <w:sz w:val="24"/>
          <w:szCs w:val="24"/>
          <w:lang w:val="fr-CH"/>
        </w:rPr>
        <w:t xml:space="preserve">oportionné des mesures prises.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Ainsi, du 14 novembre 2015 au 25 février 2016, les tribunaux administratifs ont rendu 140 décisions relatives à des mesures prises au titre de l’état d’urgence : 116 ordonnances de référé et 24 décisions au fond. Le Conseil d’</w:t>
      </w:r>
      <w:r>
        <w:rPr>
          <w:rFonts w:ascii="Times New Roman" w:hAnsi="Times New Roman" w:cs="Times New Roman"/>
          <w:sz w:val="24"/>
          <w:szCs w:val="24"/>
          <w:lang w:val="fr-CH"/>
        </w:rPr>
        <w:t xml:space="preserve">État a lui rendu 37 décisions. </w:t>
      </w:r>
    </w:p>
    <w:p w:rsidR="00C03D6F" w:rsidRP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Depuis le début de l’état d’urgence, 190 procédures d’urgence ont été engagées contre des mesures d’assignation à résidence. Seules 14 d’entre elles ont fait l’objet d’une suspension, et 3 o</w:t>
      </w:r>
      <w:r>
        <w:rPr>
          <w:rFonts w:ascii="Times New Roman" w:hAnsi="Times New Roman" w:cs="Times New Roman"/>
          <w:sz w:val="24"/>
          <w:szCs w:val="24"/>
          <w:lang w:val="fr-CH"/>
        </w:rPr>
        <w:t>nt été annulées au contentieux.</w:t>
      </w:r>
    </w:p>
    <w:p w:rsidR="00C03D6F" w:rsidRDefault="00C03D6F" w:rsidP="00C03D6F">
      <w:pPr>
        <w:jc w:val="both"/>
        <w:rPr>
          <w:rFonts w:ascii="Times New Roman" w:hAnsi="Times New Roman" w:cs="Times New Roman"/>
          <w:sz w:val="24"/>
          <w:szCs w:val="24"/>
          <w:lang w:val="fr-CH"/>
        </w:rPr>
      </w:pPr>
      <w:r w:rsidRPr="00C03D6F">
        <w:rPr>
          <w:rFonts w:ascii="Times New Roman" w:hAnsi="Times New Roman" w:cs="Times New Roman"/>
          <w:sz w:val="24"/>
          <w:szCs w:val="24"/>
          <w:lang w:val="fr-CH"/>
        </w:rPr>
        <w:t>Enfin, 4 perquisitions ont fait l’objet d’une annulation contentieuse et 174 demandes d’indemnisation ont été formulées.</w:t>
      </w:r>
    </w:p>
    <w:p w:rsidR="004822C9" w:rsidRPr="00C03D6F" w:rsidRDefault="004822C9" w:rsidP="004822C9">
      <w:pPr>
        <w:ind w:left="708"/>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5/ </w:t>
      </w:r>
      <w:r w:rsidRPr="00404CEC">
        <w:rPr>
          <w:rFonts w:ascii="Times New Roman" w:hAnsi="Times New Roman" w:cs="Times New Roman"/>
          <w:sz w:val="24"/>
          <w:szCs w:val="24"/>
          <w:u w:val="single"/>
          <w:lang w:val="fr-CH"/>
        </w:rPr>
        <w:t>Le contrôle parlementaire</w:t>
      </w:r>
      <w:r>
        <w:rPr>
          <w:rFonts w:ascii="Times New Roman" w:hAnsi="Times New Roman" w:cs="Times New Roman"/>
          <w:sz w:val="24"/>
          <w:szCs w:val="24"/>
          <w:lang w:val="fr-CH"/>
        </w:rPr>
        <w:t xml:space="preserve"> </w:t>
      </w:r>
    </w:p>
    <w:p w:rsidR="004822C9" w:rsidRPr="00404CEC" w:rsidRDefault="004822C9" w:rsidP="004822C9">
      <w:pPr>
        <w:jc w:val="both"/>
        <w:rPr>
          <w:rFonts w:ascii="Times New Roman" w:hAnsi="Times New Roman" w:cs="Times New Roman"/>
          <w:sz w:val="24"/>
          <w:szCs w:val="24"/>
          <w:lang w:val="fr-CH"/>
        </w:rPr>
      </w:pPr>
      <w:r w:rsidRPr="00404CEC">
        <w:rPr>
          <w:rFonts w:ascii="Times New Roman" w:hAnsi="Times New Roman" w:cs="Times New Roman"/>
          <w:sz w:val="24"/>
          <w:szCs w:val="24"/>
          <w:lang w:val="fr-CH"/>
        </w:rPr>
        <w:t>Au-delà de ces recours juridictionnels, dont disposent les personnes visées par des mesures prises dans le cadre de l’état d’urgence, le Gouvernement a également souhaité que ces mesures individuelles fassent l’objet d’un contrôle parlementaire d’une portée inédite introduite par la loi du 20 novembre 2015.</w:t>
      </w:r>
    </w:p>
    <w:p w:rsidR="004822C9" w:rsidRPr="00404CEC" w:rsidRDefault="004822C9" w:rsidP="004822C9">
      <w:pPr>
        <w:jc w:val="both"/>
        <w:rPr>
          <w:rFonts w:ascii="Times New Roman" w:hAnsi="Times New Roman" w:cs="Times New Roman"/>
          <w:sz w:val="24"/>
          <w:szCs w:val="24"/>
          <w:lang w:val="fr-CH"/>
        </w:rPr>
      </w:pPr>
      <w:r w:rsidRPr="00404CEC">
        <w:rPr>
          <w:rFonts w:ascii="Times New Roman" w:hAnsi="Times New Roman" w:cs="Times New Roman"/>
          <w:sz w:val="24"/>
          <w:szCs w:val="24"/>
          <w:lang w:val="fr-CH"/>
        </w:rPr>
        <w:t xml:space="preserve">Ce contrôle est effectué tant par l’Assemblée Nationale que par le Sénat et, dès l’entrée en vigueur de l’état d’urgence, le Gouvernement a indiqué aux présidents des commissions des lois des deux assemblées parlementaires qu’il était résolu à mettre en œuvre un contrôle parlementaire allant au-delà de celui exercé par une commission d’enquête parlementaire. </w:t>
      </w:r>
    </w:p>
    <w:p w:rsidR="004822C9" w:rsidRPr="00404CEC" w:rsidRDefault="004822C9" w:rsidP="004822C9">
      <w:pPr>
        <w:jc w:val="both"/>
        <w:rPr>
          <w:rFonts w:ascii="Times New Roman" w:hAnsi="Times New Roman" w:cs="Times New Roman"/>
          <w:sz w:val="24"/>
          <w:szCs w:val="24"/>
          <w:lang w:val="fr-CH"/>
        </w:rPr>
      </w:pPr>
      <w:r w:rsidRPr="00404CEC">
        <w:rPr>
          <w:rFonts w:ascii="Times New Roman" w:hAnsi="Times New Roman" w:cs="Times New Roman"/>
          <w:sz w:val="24"/>
          <w:szCs w:val="24"/>
          <w:lang w:val="fr-CH"/>
        </w:rPr>
        <w:lastRenderedPageBreak/>
        <w:t>A ce titre, il a été créé, au sein du ministère de l’Intérieur, une structure spécialisée chargée de répondre, dans les 48 heures, à toute demande des parlementaires pour y apporter des réponses précises et circonstanciées sur tout cas individuel dans la plus grande transparence. En outre, le ministère de l’Intérieur transmet en temps réel et quotidiennement un bilan chiffré des mesures individuelles mises en œuvre.</w:t>
      </w:r>
    </w:p>
    <w:p w:rsidR="004822C9" w:rsidRPr="00C03D6F" w:rsidRDefault="004822C9" w:rsidP="004822C9">
      <w:pPr>
        <w:jc w:val="both"/>
        <w:rPr>
          <w:rFonts w:ascii="Times New Roman" w:hAnsi="Times New Roman" w:cs="Times New Roman"/>
          <w:sz w:val="24"/>
          <w:szCs w:val="24"/>
          <w:lang w:val="fr-CH"/>
        </w:rPr>
      </w:pPr>
      <w:r w:rsidRPr="00404CEC">
        <w:rPr>
          <w:rFonts w:ascii="Times New Roman" w:hAnsi="Times New Roman" w:cs="Times New Roman"/>
          <w:sz w:val="24"/>
          <w:szCs w:val="24"/>
          <w:lang w:val="fr-CH"/>
        </w:rPr>
        <w:t>La  France, tant par les contrôles juridictionnels existants relatifs aux mesures individuelles prises dans le cadre de l’état d’urgence que par le contrôle du Parlement sur ces mêmes mesures, satisfait, en ce domaine, à ses obligations internationales telles qu’elles découlent du Pacte.</w:t>
      </w:r>
    </w:p>
    <w:p w:rsidR="004822C9" w:rsidRPr="00C03D6F" w:rsidRDefault="004822C9" w:rsidP="004822C9">
      <w:pPr>
        <w:jc w:val="both"/>
        <w:rPr>
          <w:rFonts w:ascii="Times New Roman" w:hAnsi="Times New Roman" w:cs="Times New Roman"/>
          <w:sz w:val="24"/>
          <w:szCs w:val="24"/>
          <w:lang w:val="fr-CH"/>
        </w:rPr>
      </w:pPr>
    </w:p>
    <w:p w:rsidR="004822C9" w:rsidRPr="00C03D6F" w:rsidRDefault="004822C9" w:rsidP="00C03D6F">
      <w:pPr>
        <w:jc w:val="both"/>
        <w:rPr>
          <w:rFonts w:ascii="Times New Roman" w:hAnsi="Times New Roman" w:cs="Times New Roman"/>
          <w:sz w:val="24"/>
          <w:szCs w:val="24"/>
          <w:lang w:val="fr-CH"/>
        </w:rPr>
      </w:pPr>
    </w:p>
    <w:p w:rsidR="00C03D6F" w:rsidRPr="00C03D6F" w:rsidRDefault="00C03D6F" w:rsidP="00C03D6F">
      <w:pPr>
        <w:jc w:val="both"/>
        <w:rPr>
          <w:rFonts w:ascii="Times New Roman" w:hAnsi="Times New Roman" w:cs="Times New Roman"/>
          <w:sz w:val="24"/>
          <w:szCs w:val="24"/>
          <w:lang w:val="fr-CH"/>
        </w:rPr>
      </w:pPr>
    </w:p>
    <w:p w:rsidR="00C03D6F" w:rsidRPr="00C03D6F" w:rsidRDefault="00C03D6F" w:rsidP="00AF1867">
      <w:pPr>
        <w:jc w:val="both"/>
        <w:rPr>
          <w:rFonts w:ascii="Times New Roman" w:hAnsi="Times New Roman" w:cs="Times New Roman"/>
          <w:sz w:val="24"/>
          <w:szCs w:val="24"/>
          <w:lang w:val="fr-CH"/>
        </w:rPr>
      </w:pPr>
    </w:p>
    <w:p w:rsidR="00AF1867" w:rsidRPr="00C03D6F" w:rsidRDefault="00AF1867" w:rsidP="00AF1867">
      <w:pPr>
        <w:jc w:val="both"/>
        <w:rPr>
          <w:rFonts w:ascii="Times New Roman" w:hAnsi="Times New Roman" w:cs="Times New Roman"/>
          <w:sz w:val="24"/>
          <w:szCs w:val="24"/>
          <w:lang w:val="fr-CH"/>
        </w:rPr>
      </w:pPr>
    </w:p>
    <w:p w:rsidR="00825105" w:rsidRDefault="00825105" w:rsidP="00825105">
      <w:pPr>
        <w:jc w:val="both"/>
        <w:rPr>
          <w:rFonts w:ascii="Times New Roman" w:hAnsi="Times New Roman" w:cs="Times New Roman"/>
          <w:sz w:val="24"/>
          <w:szCs w:val="24"/>
          <w:lang w:val="fr-CH"/>
        </w:rPr>
      </w:pPr>
    </w:p>
    <w:p w:rsidR="00C03D6F" w:rsidRDefault="00C03D6F" w:rsidP="00C03D6F">
      <w:pPr>
        <w:jc w:val="center"/>
        <w:rPr>
          <w:rFonts w:ascii="Times New Roman" w:hAnsi="Times New Roman" w:cs="Times New Roman"/>
          <w:b/>
          <w:sz w:val="24"/>
          <w:szCs w:val="24"/>
          <w:lang w:val="fr-CH"/>
        </w:rPr>
      </w:pPr>
      <w:r w:rsidRPr="00C03D6F">
        <w:rPr>
          <w:rFonts w:ascii="Times New Roman" w:hAnsi="Times New Roman" w:cs="Times New Roman"/>
          <w:b/>
          <w:sz w:val="24"/>
          <w:szCs w:val="24"/>
          <w:lang w:val="fr-CH"/>
        </w:rPr>
        <w:t>DOCUMENTS JOINTS</w:t>
      </w:r>
    </w:p>
    <w:p w:rsidR="00C03D6F" w:rsidRDefault="00C03D6F" w:rsidP="00C03D6F">
      <w:pPr>
        <w:rPr>
          <w:rFonts w:ascii="Times New Roman" w:hAnsi="Times New Roman" w:cs="Times New Roman"/>
          <w:sz w:val="24"/>
          <w:szCs w:val="24"/>
          <w:lang w:val="fr-CH"/>
        </w:rPr>
      </w:pPr>
    </w:p>
    <w:p w:rsidR="00C03D6F" w:rsidRDefault="00C03D6F" w:rsidP="00C03D6F">
      <w:pPr>
        <w:pStyle w:val="ListParagraph"/>
        <w:numPr>
          <w:ilvl w:val="0"/>
          <w:numId w:val="1"/>
        </w:numPr>
        <w:rPr>
          <w:rFonts w:ascii="Times New Roman" w:hAnsi="Times New Roman" w:cs="Times New Roman"/>
          <w:sz w:val="24"/>
          <w:szCs w:val="24"/>
          <w:lang w:val="fr-CH"/>
        </w:rPr>
      </w:pPr>
      <w:r>
        <w:rPr>
          <w:rFonts w:ascii="Times New Roman" w:hAnsi="Times New Roman" w:cs="Times New Roman"/>
          <w:sz w:val="24"/>
          <w:szCs w:val="24"/>
          <w:lang w:val="fr-CH"/>
        </w:rPr>
        <w:t>Annexe n° 1 : Arrêt de la Cour de cassation, 21 avril 2016, pourvoi n° 15-82495 ;</w:t>
      </w: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4822C9">
      <w:pPr>
        <w:rPr>
          <w:rFonts w:ascii="Times New Roman" w:hAnsi="Times New Roman" w:cs="Times New Roman"/>
          <w:sz w:val="24"/>
          <w:szCs w:val="24"/>
          <w:lang w:val="fr-CH"/>
        </w:rPr>
      </w:pPr>
    </w:p>
    <w:p w:rsidR="004822C9" w:rsidRPr="004822C9" w:rsidRDefault="004822C9" w:rsidP="004822C9">
      <w:pPr>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sz w:val="24"/>
          <w:szCs w:val="24"/>
          <w:lang w:val="fr-CH"/>
        </w:rPr>
      </w:pPr>
    </w:p>
    <w:p w:rsidR="00C03D6F" w:rsidRDefault="00C03D6F" w:rsidP="00C03D6F">
      <w:pPr>
        <w:pStyle w:val="ListParagraph"/>
        <w:rPr>
          <w:rFonts w:ascii="Times New Roman" w:hAnsi="Times New Roman" w:cs="Times New Roman"/>
          <w:b/>
          <w:sz w:val="24"/>
          <w:szCs w:val="24"/>
          <w:u w:val="single"/>
          <w:lang w:val="fr-CH"/>
        </w:rPr>
      </w:pPr>
      <w:r w:rsidRPr="00C03D6F">
        <w:rPr>
          <w:rFonts w:ascii="Times New Roman" w:hAnsi="Times New Roman" w:cs="Times New Roman"/>
          <w:b/>
          <w:sz w:val="24"/>
          <w:szCs w:val="24"/>
          <w:u w:val="single"/>
          <w:lang w:val="fr-CH"/>
        </w:rPr>
        <w:lastRenderedPageBreak/>
        <w:t>Annexe 1 : Arrêt de la Cour de cassation, 21 avril 2016, pourvoi n° 15-82495</w:t>
      </w:r>
    </w:p>
    <w:p w:rsidR="004C188D" w:rsidRDefault="004C188D" w:rsidP="00C03D6F">
      <w:pPr>
        <w:pStyle w:val="ListParagraph"/>
        <w:rPr>
          <w:rFonts w:ascii="Times New Roman" w:hAnsi="Times New Roman" w:cs="Times New Roman"/>
          <w:b/>
          <w:sz w:val="24"/>
          <w:szCs w:val="24"/>
          <w:u w:val="single"/>
          <w:lang w:val="fr-CH"/>
        </w:rPr>
      </w:pPr>
    </w:p>
    <w:p w:rsidR="004C188D" w:rsidRDefault="004C188D" w:rsidP="004C188D">
      <w:pPr>
        <w:widowControl w:val="0"/>
        <w:autoSpaceDE w:val="0"/>
        <w:autoSpaceDN w:val="0"/>
        <w:adjustRightInd w:val="0"/>
        <w:spacing w:after="0" w:line="240" w:lineRule="auto"/>
        <w:jc w:val="right"/>
        <w:rPr>
          <w:rFonts w:ascii="Arial" w:eastAsia="Times New Roman" w:hAnsi="Arial" w:cs="Arial"/>
          <w:sz w:val="24"/>
          <w:szCs w:val="24"/>
          <w:lang w:eastAsia="fr-FR"/>
        </w:rPr>
      </w:pPr>
    </w:p>
    <w:p w:rsidR="004C188D" w:rsidRPr="004C188D" w:rsidRDefault="004C188D" w:rsidP="004C188D">
      <w:pPr>
        <w:widowControl w:val="0"/>
        <w:autoSpaceDE w:val="0"/>
        <w:autoSpaceDN w:val="0"/>
        <w:adjustRightInd w:val="0"/>
        <w:spacing w:after="0" w:line="240" w:lineRule="auto"/>
        <w:jc w:val="right"/>
        <w:rPr>
          <w:rFonts w:ascii="Arial" w:eastAsia="Times New Roman" w:hAnsi="Arial" w:cs="Arial"/>
          <w:sz w:val="24"/>
          <w:szCs w:val="24"/>
          <w:lang w:eastAsia="fr-FR"/>
        </w:rPr>
      </w:pPr>
      <w:r w:rsidRPr="004C188D">
        <w:rPr>
          <w:rFonts w:ascii="Arial" w:eastAsia="Times New Roman" w:hAnsi="Arial" w:cs="Arial"/>
          <w:sz w:val="24"/>
          <w:szCs w:val="24"/>
          <w:lang w:eastAsia="fr-FR"/>
        </w:rPr>
        <w:t>Le : 21/04/2016</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b/>
          <w:bCs/>
          <w:sz w:val="24"/>
          <w:szCs w:val="24"/>
          <w:lang w:eastAsia="fr-FR"/>
        </w:rPr>
        <w:t>Cour de cassation</w:t>
      </w:r>
      <w:r w:rsidRPr="004C188D">
        <w:rPr>
          <w:rFonts w:ascii="Arial" w:eastAsia="Times New Roman" w:hAnsi="Arial" w:cs="Arial"/>
          <w:sz w:val="24"/>
          <w:szCs w:val="24"/>
          <w:lang w:eastAsia="fr-FR"/>
        </w:rPr>
        <w:t xml:space="preserve">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b/>
          <w:bCs/>
          <w:sz w:val="24"/>
          <w:szCs w:val="24"/>
          <w:lang w:eastAsia="fr-FR"/>
        </w:rPr>
        <w:t>chambre criminelle</w:t>
      </w:r>
      <w:r w:rsidRPr="004C188D">
        <w:rPr>
          <w:rFonts w:ascii="Arial" w:eastAsia="Times New Roman" w:hAnsi="Arial" w:cs="Arial"/>
          <w:sz w:val="24"/>
          <w:szCs w:val="24"/>
          <w:lang w:eastAsia="fr-FR"/>
        </w:rPr>
        <w:t xml:space="preserve">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b/>
          <w:bCs/>
          <w:sz w:val="24"/>
          <w:szCs w:val="24"/>
          <w:lang w:eastAsia="fr-FR"/>
        </w:rPr>
        <w:t>Audience publique du 8 juillet 2015</w:t>
      </w:r>
      <w:r w:rsidRPr="004C188D">
        <w:rPr>
          <w:rFonts w:ascii="Arial" w:eastAsia="Times New Roman" w:hAnsi="Arial" w:cs="Arial"/>
          <w:sz w:val="24"/>
          <w:szCs w:val="24"/>
          <w:lang w:eastAsia="fr-FR"/>
        </w:rPr>
        <w:t xml:space="preserve">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b/>
          <w:bCs/>
          <w:sz w:val="24"/>
          <w:szCs w:val="24"/>
          <w:lang w:eastAsia="fr-FR"/>
        </w:rPr>
        <w:t xml:space="preserve">N° de pourvoi: 15-82495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ECLI:FR:CCASS:2015:CR03766</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Non publié au bulletin</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right"/>
        <w:rPr>
          <w:rFonts w:ascii="Arial" w:eastAsia="Times New Roman" w:hAnsi="Arial" w:cs="Arial"/>
          <w:sz w:val="24"/>
          <w:szCs w:val="24"/>
          <w:lang w:eastAsia="fr-FR"/>
        </w:rPr>
      </w:pPr>
      <w:r w:rsidRPr="004C188D">
        <w:rPr>
          <w:rFonts w:ascii="Arial" w:eastAsia="Times New Roman" w:hAnsi="Arial" w:cs="Arial"/>
          <w:b/>
          <w:bCs/>
          <w:sz w:val="24"/>
          <w:szCs w:val="24"/>
          <w:lang w:eastAsia="fr-FR"/>
        </w:rPr>
        <w:t>Rejet</w:t>
      </w:r>
      <w:r w:rsidRPr="004C188D">
        <w:rPr>
          <w:rFonts w:ascii="Arial" w:eastAsia="Times New Roman" w:hAnsi="Arial" w:cs="Arial"/>
          <w:sz w:val="24"/>
          <w:szCs w:val="24"/>
          <w:lang w:eastAsia="fr-FR"/>
        </w:rPr>
        <w:t xml:space="preserve">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b/>
          <w:bCs/>
          <w:sz w:val="24"/>
          <w:szCs w:val="24"/>
          <w:lang w:eastAsia="fr-FR"/>
        </w:rPr>
        <w:t>M. Guérin (président), président</w:t>
      </w:r>
      <w:r w:rsidRPr="004C188D">
        <w:rPr>
          <w:rFonts w:ascii="Arial" w:eastAsia="Times New Roman" w:hAnsi="Arial" w:cs="Arial"/>
          <w:sz w:val="24"/>
          <w:szCs w:val="24"/>
          <w:lang w:eastAsia="fr-FR"/>
        </w:rPr>
        <w:t xml:space="preserve">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SCP Piwnica et Molinié, avocat(s)</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center"/>
        <w:rPr>
          <w:rFonts w:ascii="Arial" w:eastAsia="Times New Roman" w:hAnsi="Arial" w:cs="Arial"/>
          <w:sz w:val="24"/>
          <w:szCs w:val="24"/>
          <w:lang w:eastAsia="fr-FR"/>
        </w:rPr>
      </w:pPr>
      <w:r w:rsidRPr="004C188D">
        <w:rPr>
          <w:rFonts w:ascii="Arial" w:eastAsia="Times New Roman" w:hAnsi="Arial" w:cs="Arial"/>
          <w:b/>
          <w:bCs/>
          <w:sz w:val="24"/>
          <w:szCs w:val="24"/>
          <w:lang w:eastAsia="fr-FR"/>
        </w:rPr>
        <w:t>REPUBLIQUE FRANCAISE</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center"/>
        <w:rPr>
          <w:rFonts w:ascii="Arial" w:eastAsia="Times New Roman" w:hAnsi="Arial" w:cs="Arial"/>
          <w:sz w:val="24"/>
          <w:szCs w:val="24"/>
          <w:lang w:eastAsia="fr-FR"/>
        </w:rPr>
      </w:pPr>
      <w:r w:rsidRPr="004C188D">
        <w:rPr>
          <w:rFonts w:ascii="Arial" w:eastAsia="Times New Roman" w:hAnsi="Arial" w:cs="Arial"/>
          <w:b/>
          <w:bCs/>
          <w:sz w:val="24"/>
          <w:szCs w:val="24"/>
          <w:lang w:eastAsia="fr-FR"/>
        </w:rPr>
        <w:t>AU NOM DU PEUPLE FRANCAIS</w:t>
      </w:r>
    </w:p>
    <w:p w:rsidR="004C188D" w:rsidRPr="004C188D" w:rsidRDefault="004C188D" w:rsidP="004C188D">
      <w:pPr>
        <w:widowControl w:val="0"/>
        <w:autoSpaceDE w:val="0"/>
        <w:autoSpaceDN w:val="0"/>
        <w:adjustRightInd w:val="0"/>
        <w:spacing w:after="0" w:line="240" w:lineRule="auto"/>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LA COUR DE CASSATION, CHAMBRE CRIMINELLE, a rendu l’arrêt suivant :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Statuant sur le pourvoi formé par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xml:space="preserve">- M. Emmanuel X...,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xml:space="preserve">contre l’arrêt de la chambre de l’instruction de la cour d’appel de PARIS, 6e section, en date du 7 avril 2015, qui, infirmant, sur l’appel de la partie civile, l’ordonnance de requalification et de renvoi devant le tribunal correctionnel l’a renvoyé devant la cour d’assises de Paris sous l’accusation de détention ou séquestration arbitraire et extorsion précédées, accompagnées ou suivies d’actes de torture ou de barbarie et a constaté que le mandat de dépôt criminel conservait sa force exécutoire ;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Vu le mémoire produit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lastRenderedPageBreak/>
        <w:t xml:space="preserve">Sur le premier moyen de cassation, pris de la violation des articles 179, 186, 186-3, 591 et 593 du code de procédure pénale, défaut de motifs, manque de base légale ;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”en ce que l’arrêt attaqué a jugé recevable l’appel de la partie civile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”aux motifs qu’il résulte des articles 186, 179 et 186-3 du code de procédure pénale, que la partie civile ne peut interjeter appel de l’ordonnance de renvoi devant le tribunal correctionnel que dans le cas où elle estime que les faits constituent un crime qui aurait dû faire l’objet d’une ordonnance de mise en accusation devant la cour d’assises ; qu’il n’importe, en l’espèce, que la déclaration d’appel de la partie civile ne fasse pas apparaître que le recours est exercé sur le fondement de l’article 186-3 précité puisque dans le mémoire régulièrement déposé au greffe de la chambre de l’instruction, le conseil de M. Y... mentionne que son appel vise à redonner aux faits leur réelle qualification criminelle et demande consécutivement à la chambre de l’instruction d’ordonner le renvoi des trois mis en examen devant la cour d’assises ; qu’en conséquence, cet appel est recevable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”alors que c’est à la date à laquelle expire le délai d’un recours que doivent être appréciées les conditions de sa recevabilité ; que l’appel formé par la partie civile à l’encontre d’une ordonnance de renvoi devant le tribunal correctionnel n’est recevable qu’à la condition d’avoir pour objet de faire qualifier l’infraction de crime et de faire renvoyer la personne mise en examen devant la cour d’assises ; que dès lors, la chambre de l’instruction, qui n’a pas recherché si cette condition était remplie à la date d’expiration du délai d’appel, dix jours après la notification de l’ordonnance de renvoi, intervenue le 18 février 2014, mais l’a seulement caractérisée dans un mémoire déposé le 23 mars, a méconnu les textes susvisés”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xml:space="preserve">Attendu qu’à l’issue de l’information suivie notamment contre M. X... des chefs d’extorsion avec actes de torture ou de barbarie, séquestration, le juge d’instruction a rendu une ordonnance renvoyant celui-ci devant le tribunal correctionnel après avoir requalifié les faits en extorsion, violences aggravées, séquestration avec libération avant le septième jour ; que la victime constituée partie civile, M. Y..., a interjeté appel de cette décision ;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xml:space="preserve">Attendu qu’en déclarant recevable ce recours, et, dès lors que, d’une part, la déclaration d’appel, en ce qu’elle vise expressément l’ordonnance de requalification et de renvoi devant le tribunal correctionnel, d’autre part, le mémoire présenté par la partie civile devant la juridiction d’instruction du second degré établissent que celle-ci a entendu contester, comme l’y autorise l’article 186-3 du code de procédure pénale, la qualification correctionnelle finalement retenue par le magistrat instructeur, la chambre de l’instruction a justifié sa décision ;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xml:space="preserve">D’où il suit que le moyen n’est pas fondé ;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Sur le deuxième moyen de cassation, pris de la violation des articles 1er de la Convention contre la torture et autres peines ou traitements cruels, inhumains ou dégradants du 10 décembre 1984, ratifiée par la France le 12 novembre 1985, 3 et 6 de la Convention européenne des droits de l’homme, 224-1, 224-2, 312-7, 591 et 593 du code de procédure pénale, défaut de motifs, manque de base légale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lastRenderedPageBreak/>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”en ce que l’arrêt attaqué a prononcé la mise en accusation de M. X... devant la cour d’assises de Paris des chefs de détention ou séquestration sans libération volontaire de la victime avant le 7e jour et d’extorsion précédés, accompagnés ou suivis de tortures ou d’actes de barbarie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xml:space="preserve">”aux motifs que la chambre de l’instruction n’est pas en charge de la politique pénale ni de l’opportunité des poursuites mais qu’il lui appartient, lorsqu’elle est saisie de l’entier litige, de donner aux faits commis leur exacte qualification pénale, de se prononcer sur leur imputabilité et de saisir la juridiction compétente ; que les déclarations de M. Y... telles que détaillées dans l’exposé des faits, confirmées pour l’essentiel par celles de M. A... et de M. B..., qui ont indiqué avoir agi sur instructions de M. X... qui voulait humilier son ancien bailleur et recouvrer une créance qu’il prétendait lui être due, mais aussi confirmées par celles de M. X... lui-même, qui soutient qu’il s’est agi d’un plan “sado-masochiste” qui aurait dégénéré, et encore confortées par les autres éléments du dossier et notamment par les photographies prises lors des événements, démontrent que la victime, qui ne disposait plus de sa liberté d’aller et venir, a été retenue contre sa volonté dans sa galerie à Paris les 21 et 22 février 2014 ; que ses trois agresseurs l’ont abandonnée alors qu’elle était toujours ligotée ; qu’elle s’est libérée seule de ses entraves ; qu’en conséquence, le crime de séquestration sans libération volontaire avant le septième jour est constitué à l’encontre de chacun des mis en examen ; que l’extorsion est, aux termes de l’article 312-1 du code pénal, le fait d’obtenir par violence, menace de violences ou contrainte, soit une signature, un engagement ou une renonciation, soit la révélation d’un secret, soit la remise de fonds, de valeurs ou d’un bien quelconque ; qu’en l’espèce il est établi par les pièces du dossier que M. A..., MM. B... et X... ont, d’un commun accord, selon un plan préparé à l’avance et durant la séquestration de l’intéressé, obtenu de M. Y..., par violence, menace de violence et contrainte, des signatures apposées sur des feuilles vierges, plusieurs reconnaissances de dettes, la somme de 2 500 euros en liquide, un téléphone portable, des bijoux et des clés ; qu’il résulte des articles 224-2 alinéa 2 et 312-7 du code pénal que la séquestration sans libération volontaire avant le septième jour et l’extorsion sont des infractions punies de la réclusion criminelle à perpétuité lorsqu’elles sont précédées, accompagnées ou suivies de tortures ou d’actes de barbarie ; que la chambre de l’instruction, saisie de l’entier litige, peut retenir les circonstances aggravantes omises par le juge d’instruction ; qu’en l’espèce, la circonstance aggravante de tortures ou d’actes de barbarie était comprise dans l’étendue de la saisine du magistrat instructeur; que les mis en examen ont été mis à même de s’en expliquer ; </w:t>
      </w:r>
      <w:r w:rsidRPr="004C188D">
        <w:rPr>
          <w:rFonts w:ascii="Arial" w:eastAsia="Times New Roman" w:hAnsi="Arial" w:cs="Arial"/>
          <w:sz w:val="24"/>
          <w:szCs w:val="24"/>
          <w:highlight w:val="yellow"/>
          <w:lang w:eastAsia="fr-FR"/>
        </w:rPr>
        <w:t xml:space="preserve">que si le code pénal ne définit pas les “tortures ou actes de barbarie” qu’il incrimine, il résulte de l’article premier de la Convention contre la torture et autres peines ou traitements cruels, inhumains ou dégradants du 10 décembre 1984, ratifiée par la France le 12 novembre 1985, que “le terme “torture” désigne tout acte par lequel une douleur et des souffrances aiguës, physiques ou mentales, sont intentionnellement infligées à une personne” ; que sont constitutives de tortures, au sens de l’article 3 de la Convention européenne des droits de l’homme, selon lequel “nul ne peut être soumis à la torture ni à des peines ou traitements inhumains ou dégradants” : les violences physiques et mentales particulièrement graves et cruelles, qui dépassent les violences ordinaires, entraînent pour ceux sur lesquelles elles sont exercées des douleurs aiguës, des souffrances insupportables et portent gravement atteinte à la dignité humaine ; qu’en </w:t>
      </w:r>
      <w:r w:rsidRPr="004C188D">
        <w:rPr>
          <w:rFonts w:ascii="Arial" w:eastAsia="Times New Roman" w:hAnsi="Arial" w:cs="Arial"/>
          <w:sz w:val="24"/>
          <w:szCs w:val="24"/>
          <w:highlight w:val="yellow"/>
          <w:lang w:eastAsia="fr-FR"/>
        </w:rPr>
        <w:lastRenderedPageBreak/>
        <w:t>l’espèce, pendant cette séquestration qui a duré plus de cinq heures, M. Y... a été frappé à de multiples reprises et notamment à la tête avec une bouteille en verre, s’est vu enfoncer des aiguilles sous les ongles de pied, injecté dans un bras et les testicules un produit dont on lui a dit qu’il contenait le virus du Sida, brûlé sur le corps par des cigarettes ; que ses agresseurs l’ont forcé à renifler une poudre blanche dont il ignorait la teneur et lui ont fait ingurgiter des excréments, qu’ils ont tenté de lui sectionner ou briser un doigt avec une pince et de lui introduire un godemiché dans l’anus ; que ces multiples sévices, particulièrement graves et cruels, intentionnellement infligés à la victime, ont dépassé les violences ordinaires, porté gravement atteinte à la dignité de M. Y... et ce d’autant que ces agissements ont été photographiés et filmés, ce qui a entraîné chez l’intéressé une souffrance psychologique particulièrement sévère ; que ces actes sont constitutifs de tortures ou d’actes de barbarie ; qu’en conséquence, les crimes de détention ou séquestration sans libération volontaire de la victime avant le septième jour et d’extorsion ont été précédés, accompagnés ou suivis de tortures ou d’actes de barbarie ; qu’ils sont établis à l’encontre de chacun des mis en examen qui, quels qu’ont été leurs agissements individuels, ont accepté et ont confortés par leur seule présence chacun des actes perpétrés par leurs camarades dont aucun n’aurait pu agir sans la présence effective de ses comparses et leur soutien physique et moral ; que chacun des mis en examen sera donc renvoyé devant la cour d’assises comme auteur de ces crimes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”1°) alors que la chambre de l’instruction devait déterminer si le fait de quitter les lieux en y laissant la victime en mesure de se détacher, n’équivalait pas à une libération volontaire, de sorte que l’infraction ne pouvait être qualifiée de séquestration sans libération avant le septième jour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”2°) alors que les actes de torture et de barbarie supposent que des souffrances physiques ou morales aient été infligées à la victime, non pas seulement consciemment, mais volontairement et dans le but de les causer ; que la chambre de l’instruction, qui s’est bornée à caractériser la conscience d’infliger une douleur, sans déterminer si M. X... avait agi volontairement et dans le but de faire souffrir la victime, la chambre de l’instruction n’a pas donné de base légale à sa décision”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Attendu que les motifs de l’arrêt attaqué mettent la Cour de cassation en mesure de s’assurer que la chambre de l’instruction, après avoir exposé les faits et répondu comme elle le devait aux articulations essentielles du mémoire dont elle était saisie, a relevé l’existence de charges qu’elle a estimé suffisantes contre M. X... pour ordonner son renvoi devant la cour d’assises sous l’accusation de détention ou séquestration arbitraire et extorsion précédées, accompagnées ou suivies d’actes de torture ou de barbarie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Qu’en effet, les juridictions d’instruction apprécient souverainement si les faits retenus à la charge de la personne mise en examen sont constitutifs d’une infraction, la Cour de cassation n’ayant d’autre pouvoir que de vérifier si, à supposer ces faits établis, la qualification justifie la saisine de la juridiction de jugement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Que, dès lors, le moyen ne peut qu’être écarté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lastRenderedPageBreak/>
        <w:t>Sur le troisième moyen de cassation, pris de la violation des articles 5 et 6 de la convention européenne des droits de l’homme, 145-2, 179, 181, 593 du code de procédure pénale, défaut de motifs, manque de base légale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”en ce que l’arrêt a dit que le mandat de dépôt décerné contre M. X... conservait sa force exécutoire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”aux motifs que M. X... a été sous mandat de dépôt criminel du 26 mars 2014 au 18 février 2015 ; qu’à cette date, après avoir ordonné la requalification des faits et le renvoi des mis en examen devant le tribunal correctionnel, le magistrat instructeur a ordonné son maintien en détention provisoire sur le fondement de l’article 179 du code de procédure pénale ; que le mis en examen se trouve ainsi légalement détenu jusqu’au 18 avril 2015 ; que lorsque la juridiction d’instruction substitue une qualification criminelle à une qualification correctionnelle, le titre de détention afférent à cette dernière qualification demeure valable et la détention se trouve soumise aux règles qui découlent de la nouvelle qualification ; qu’en application de l’alinéa 7 de l’article 181 du code de procédure pénale, lorsque l’accusé est placé en détention provisoire, le mandat de dépôt décerné contre lui conserve sa force exécutoire et l’intéressé reste détenu jusqu’à son jugement par la cour d’assises ; qu’conséquence, M. X... restera provisoirement détenu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”alors que le renvoi devant la cour d’assises entraîne, le cas échéant, la caducité de l’ordonnance de placement en détention provisoire, l’accusé étant alors détenu en vertu du mandat de dépôt criminel initial ; qu’en matière criminelle, la personne mise en examen ne peut être maintenue en détention au-delà d’un an ; que le mandat de dépôt criminel décerné contre M. X... le 26 mars 2014, M. X... ayant été incarcéré provisoirement dès le 21 mars 2014, ne pouvait être exécuté au-delà du 21 mars 2015 ; que dès lors, la chambre de l’instruction ne pouvait, le 7 avril 2015, dire que ce mandat, qui était périmé, conservait sa force exécutoire”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xml:space="preserve">Attendu que le demandeur ne saurait se faire un grief de ce que l’arrêt a rejeté sa demande tendant à voir constater qu’il serait détenu sans titre depuis le 22 mars 2015, dès lors que cette demande n’avait pas été faite dans les formes prévues par les articles 148-6 et 148-7 du code de procédure pénale mais par insertion dans un mémoire en défense ;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D’où il suit que le moyen ne saurait être accueilli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Et attendu que la procédure est régulière et que les faits, objet de l’accusation, sont qualifiés crime par la loi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REJETTE le pourvoi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Ainsi jugé et prononcé par la Cour de cassation, chambre criminelle, en son audience publique, les jour, mois et an que dessus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Etaient présents aux débats et au délibéré, dans la formation prévue à l’article 567-1-</w:t>
      </w:r>
      <w:r w:rsidRPr="004C188D">
        <w:rPr>
          <w:rFonts w:ascii="Arial" w:eastAsia="Times New Roman" w:hAnsi="Arial" w:cs="Arial"/>
          <w:sz w:val="24"/>
          <w:szCs w:val="24"/>
          <w:lang w:eastAsia="fr-FR"/>
        </w:rPr>
        <w:lastRenderedPageBreak/>
        <w:t>1 du code de procédure pénale : M. Guérin, président, Mme Caron, conseiller rapporteur, M. Finidori, conseiller de la chambre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Greffier de chambre : Mme Hervé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En foi de quoi le présent arrêt a été signé par le président, le rapporteur et le greffier de chambre.</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b/>
          <w:bCs/>
          <w:sz w:val="24"/>
          <w:szCs w:val="24"/>
          <w:lang w:eastAsia="fr-FR"/>
        </w:rPr>
        <w:t xml:space="preserve">Décision attaquée : </w:t>
      </w:r>
      <w:r w:rsidRPr="004C188D">
        <w:rPr>
          <w:rFonts w:ascii="Arial" w:eastAsia="Times New Roman" w:hAnsi="Arial" w:cs="Arial"/>
          <w:sz w:val="24"/>
          <w:szCs w:val="24"/>
          <w:lang w:eastAsia="fr-FR"/>
        </w:rPr>
        <w:t>Chambre de l’instruction de la cour d’appel de Paris , du 7 avril 2015</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r w:rsidRPr="004C188D">
        <w:rPr>
          <w:rFonts w:ascii="Arial" w:eastAsia="Times New Roman" w:hAnsi="Arial" w:cs="Arial"/>
          <w:sz w:val="24"/>
          <w:szCs w:val="24"/>
          <w:lang w:eastAsia="fr-FR"/>
        </w:rPr>
        <w:t> </w:t>
      </w:r>
    </w:p>
    <w:p w:rsidR="004C188D" w:rsidRPr="004C188D" w:rsidRDefault="004C188D" w:rsidP="004C188D">
      <w:pPr>
        <w:widowControl w:val="0"/>
        <w:autoSpaceDE w:val="0"/>
        <w:autoSpaceDN w:val="0"/>
        <w:adjustRightInd w:val="0"/>
        <w:spacing w:after="0" w:line="240" w:lineRule="auto"/>
        <w:jc w:val="both"/>
        <w:rPr>
          <w:rFonts w:ascii="Arial" w:eastAsia="Times New Roman" w:hAnsi="Arial" w:cs="Arial"/>
          <w:sz w:val="24"/>
          <w:szCs w:val="24"/>
          <w:lang w:eastAsia="fr-FR"/>
        </w:rPr>
      </w:pPr>
    </w:p>
    <w:p w:rsidR="004C188D" w:rsidRPr="004C188D" w:rsidRDefault="004C188D" w:rsidP="004C188D">
      <w:pPr>
        <w:pStyle w:val="ListParagraph"/>
        <w:jc w:val="both"/>
        <w:rPr>
          <w:rFonts w:ascii="Times New Roman" w:hAnsi="Times New Roman" w:cs="Times New Roman"/>
          <w:b/>
          <w:sz w:val="24"/>
          <w:szCs w:val="24"/>
          <w:u w:val="single"/>
        </w:rPr>
      </w:pPr>
    </w:p>
    <w:p w:rsidR="00C03D6F" w:rsidRDefault="00C03D6F" w:rsidP="004C188D">
      <w:pPr>
        <w:pStyle w:val="ListParagraph"/>
        <w:jc w:val="both"/>
        <w:rPr>
          <w:rFonts w:ascii="Times New Roman" w:hAnsi="Times New Roman" w:cs="Times New Roman"/>
          <w:sz w:val="24"/>
          <w:szCs w:val="24"/>
          <w:lang w:val="fr-CH"/>
        </w:rPr>
      </w:pPr>
    </w:p>
    <w:p w:rsidR="00C03D6F" w:rsidRDefault="00C03D6F" w:rsidP="004C188D">
      <w:pPr>
        <w:pStyle w:val="ListParagraph"/>
        <w:jc w:val="both"/>
        <w:rPr>
          <w:rFonts w:ascii="Times New Roman" w:hAnsi="Times New Roman" w:cs="Times New Roman"/>
          <w:sz w:val="24"/>
          <w:szCs w:val="24"/>
          <w:lang w:val="fr-CH"/>
        </w:rPr>
      </w:pPr>
    </w:p>
    <w:p w:rsidR="00C03D6F" w:rsidRDefault="00C03D6F" w:rsidP="004C188D">
      <w:pPr>
        <w:pStyle w:val="ListParagraph"/>
        <w:jc w:val="both"/>
        <w:rPr>
          <w:rFonts w:ascii="Times New Roman" w:hAnsi="Times New Roman" w:cs="Times New Roman"/>
          <w:sz w:val="24"/>
          <w:szCs w:val="24"/>
          <w:lang w:val="fr-CH"/>
        </w:rPr>
      </w:pPr>
    </w:p>
    <w:p w:rsidR="00C03D6F" w:rsidRPr="00C03D6F" w:rsidRDefault="00C03D6F" w:rsidP="004C188D">
      <w:pPr>
        <w:pStyle w:val="ListParagraph"/>
        <w:jc w:val="both"/>
        <w:rPr>
          <w:rFonts w:ascii="Times New Roman" w:hAnsi="Times New Roman" w:cs="Times New Roman"/>
          <w:sz w:val="24"/>
          <w:szCs w:val="24"/>
          <w:lang w:val="fr-CH"/>
        </w:rPr>
      </w:pPr>
    </w:p>
    <w:sectPr w:rsidR="00C03D6F" w:rsidRPr="00C03D6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541" w:rsidRDefault="00DF5541" w:rsidP="00AF1867">
      <w:pPr>
        <w:spacing w:after="0" w:line="240" w:lineRule="auto"/>
      </w:pPr>
      <w:r>
        <w:separator/>
      </w:r>
    </w:p>
  </w:endnote>
  <w:endnote w:type="continuationSeparator" w:id="0">
    <w:p w:rsidR="00DF5541" w:rsidRDefault="00DF5541" w:rsidP="00AF1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helleyVolante BT">
    <w:panose1 w:val="00000000000000000000"/>
    <w:charset w:val="00"/>
    <w:family w:val="script"/>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582360"/>
      <w:docPartObj>
        <w:docPartGallery w:val="Page Numbers (Bottom of Page)"/>
        <w:docPartUnique/>
      </w:docPartObj>
    </w:sdtPr>
    <w:sdtEndPr/>
    <w:sdtContent>
      <w:p w:rsidR="00AF1867" w:rsidRDefault="00AF1867">
        <w:pPr>
          <w:pStyle w:val="Footer"/>
          <w:jc w:val="center"/>
        </w:pPr>
        <w:r>
          <w:fldChar w:fldCharType="begin"/>
        </w:r>
        <w:r>
          <w:instrText>PAGE   \* MERGEFORMAT</w:instrText>
        </w:r>
        <w:r>
          <w:fldChar w:fldCharType="separate"/>
        </w:r>
        <w:r w:rsidR="00B9276A">
          <w:rPr>
            <w:noProof/>
          </w:rPr>
          <w:t>1</w:t>
        </w:r>
        <w:r>
          <w:fldChar w:fldCharType="end"/>
        </w:r>
      </w:p>
    </w:sdtContent>
  </w:sdt>
  <w:p w:rsidR="00AF1867" w:rsidRDefault="00AF18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541" w:rsidRDefault="00DF5541" w:rsidP="00AF1867">
      <w:pPr>
        <w:spacing w:after="0" w:line="240" w:lineRule="auto"/>
      </w:pPr>
      <w:r>
        <w:separator/>
      </w:r>
    </w:p>
  </w:footnote>
  <w:footnote w:type="continuationSeparator" w:id="0">
    <w:p w:rsidR="00DF5541" w:rsidRDefault="00DF5541" w:rsidP="00AF18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6530C"/>
    <w:multiLevelType w:val="hybridMultilevel"/>
    <w:tmpl w:val="DC2E6FB4"/>
    <w:lvl w:ilvl="0" w:tplc="E9F0223C">
      <w:start w:val="1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CC27FC8"/>
    <w:multiLevelType w:val="hybridMultilevel"/>
    <w:tmpl w:val="C2E8C014"/>
    <w:lvl w:ilvl="0" w:tplc="040C0017">
      <w:start w:val="1"/>
      <w:numFmt w:val="lowerLetter"/>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B94"/>
    <w:rsid w:val="00010F8B"/>
    <w:rsid w:val="000E6A8D"/>
    <w:rsid w:val="002439E9"/>
    <w:rsid w:val="003073CA"/>
    <w:rsid w:val="00445B94"/>
    <w:rsid w:val="004822C9"/>
    <w:rsid w:val="004C1773"/>
    <w:rsid w:val="004C188D"/>
    <w:rsid w:val="00825105"/>
    <w:rsid w:val="00AC7EB3"/>
    <w:rsid w:val="00AF1867"/>
    <w:rsid w:val="00B9276A"/>
    <w:rsid w:val="00BF63B0"/>
    <w:rsid w:val="00C03D6F"/>
    <w:rsid w:val="00C77664"/>
    <w:rsid w:val="00DF55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B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B94"/>
    <w:rPr>
      <w:rFonts w:ascii="Tahoma" w:hAnsi="Tahoma" w:cs="Tahoma"/>
      <w:sz w:val="16"/>
      <w:szCs w:val="16"/>
    </w:rPr>
  </w:style>
  <w:style w:type="character" w:styleId="Hyperlink">
    <w:name w:val="Hyperlink"/>
    <w:basedOn w:val="DefaultParagraphFont"/>
    <w:uiPriority w:val="99"/>
    <w:unhideWhenUsed/>
    <w:rsid w:val="00825105"/>
    <w:rPr>
      <w:color w:val="0000FF" w:themeColor="hyperlink"/>
      <w:u w:val="single"/>
    </w:rPr>
  </w:style>
  <w:style w:type="paragraph" w:styleId="ListParagraph">
    <w:name w:val="List Paragraph"/>
    <w:basedOn w:val="Normal"/>
    <w:uiPriority w:val="34"/>
    <w:qFormat/>
    <w:rsid w:val="00825105"/>
    <w:pPr>
      <w:ind w:left="720"/>
      <w:contextualSpacing/>
    </w:pPr>
  </w:style>
  <w:style w:type="paragraph" w:styleId="Header">
    <w:name w:val="header"/>
    <w:basedOn w:val="Normal"/>
    <w:link w:val="HeaderChar"/>
    <w:uiPriority w:val="99"/>
    <w:unhideWhenUsed/>
    <w:rsid w:val="00AF186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F1867"/>
  </w:style>
  <w:style w:type="paragraph" w:styleId="Footer">
    <w:name w:val="footer"/>
    <w:basedOn w:val="Normal"/>
    <w:link w:val="FooterChar"/>
    <w:uiPriority w:val="99"/>
    <w:unhideWhenUsed/>
    <w:rsid w:val="00AF186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F1867"/>
  </w:style>
  <w:style w:type="character" w:styleId="CommentReference">
    <w:name w:val="annotation reference"/>
    <w:basedOn w:val="DefaultParagraphFont"/>
    <w:uiPriority w:val="99"/>
    <w:semiHidden/>
    <w:unhideWhenUsed/>
    <w:rsid w:val="000E6A8D"/>
    <w:rPr>
      <w:sz w:val="16"/>
      <w:szCs w:val="16"/>
    </w:rPr>
  </w:style>
  <w:style w:type="paragraph" w:styleId="CommentText">
    <w:name w:val="annotation text"/>
    <w:basedOn w:val="Normal"/>
    <w:link w:val="CommentTextChar"/>
    <w:uiPriority w:val="99"/>
    <w:semiHidden/>
    <w:unhideWhenUsed/>
    <w:rsid w:val="000E6A8D"/>
    <w:pPr>
      <w:spacing w:line="240" w:lineRule="auto"/>
    </w:pPr>
    <w:rPr>
      <w:sz w:val="20"/>
      <w:szCs w:val="20"/>
    </w:rPr>
  </w:style>
  <w:style w:type="character" w:customStyle="1" w:styleId="CommentTextChar">
    <w:name w:val="Comment Text Char"/>
    <w:basedOn w:val="DefaultParagraphFont"/>
    <w:link w:val="CommentText"/>
    <w:uiPriority w:val="99"/>
    <w:semiHidden/>
    <w:rsid w:val="000E6A8D"/>
    <w:rPr>
      <w:sz w:val="20"/>
      <w:szCs w:val="20"/>
    </w:rPr>
  </w:style>
  <w:style w:type="paragraph" w:styleId="CommentSubject">
    <w:name w:val="annotation subject"/>
    <w:basedOn w:val="CommentText"/>
    <w:next w:val="CommentText"/>
    <w:link w:val="CommentSubjectChar"/>
    <w:uiPriority w:val="99"/>
    <w:semiHidden/>
    <w:unhideWhenUsed/>
    <w:rsid w:val="000E6A8D"/>
    <w:rPr>
      <w:b/>
      <w:bCs/>
    </w:rPr>
  </w:style>
  <w:style w:type="character" w:customStyle="1" w:styleId="CommentSubjectChar">
    <w:name w:val="Comment Subject Char"/>
    <w:basedOn w:val="CommentTextChar"/>
    <w:link w:val="CommentSubject"/>
    <w:uiPriority w:val="99"/>
    <w:semiHidden/>
    <w:rsid w:val="000E6A8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B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B94"/>
    <w:rPr>
      <w:rFonts w:ascii="Tahoma" w:hAnsi="Tahoma" w:cs="Tahoma"/>
      <w:sz w:val="16"/>
      <w:szCs w:val="16"/>
    </w:rPr>
  </w:style>
  <w:style w:type="character" w:styleId="Hyperlink">
    <w:name w:val="Hyperlink"/>
    <w:basedOn w:val="DefaultParagraphFont"/>
    <w:uiPriority w:val="99"/>
    <w:unhideWhenUsed/>
    <w:rsid w:val="00825105"/>
    <w:rPr>
      <w:color w:val="0000FF" w:themeColor="hyperlink"/>
      <w:u w:val="single"/>
    </w:rPr>
  </w:style>
  <w:style w:type="paragraph" w:styleId="ListParagraph">
    <w:name w:val="List Paragraph"/>
    <w:basedOn w:val="Normal"/>
    <w:uiPriority w:val="34"/>
    <w:qFormat/>
    <w:rsid w:val="00825105"/>
    <w:pPr>
      <w:ind w:left="720"/>
      <w:contextualSpacing/>
    </w:pPr>
  </w:style>
  <w:style w:type="paragraph" w:styleId="Header">
    <w:name w:val="header"/>
    <w:basedOn w:val="Normal"/>
    <w:link w:val="HeaderChar"/>
    <w:uiPriority w:val="99"/>
    <w:unhideWhenUsed/>
    <w:rsid w:val="00AF186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F1867"/>
  </w:style>
  <w:style w:type="paragraph" w:styleId="Footer">
    <w:name w:val="footer"/>
    <w:basedOn w:val="Normal"/>
    <w:link w:val="FooterChar"/>
    <w:uiPriority w:val="99"/>
    <w:unhideWhenUsed/>
    <w:rsid w:val="00AF186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F1867"/>
  </w:style>
  <w:style w:type="character" w:styleId="CommentReference">
    <w:name w:val="annotation reference"/>
    <w:basedOn w:val="DefaultParagraphFont"/>
    <w:uiPriority w:val="99"/>
    <w:semiHidden/>
    <w:unhideWhenUsed/>
    <w:rsid w:val="000E6A8D"/>
    <w:rPr>
      <w:sz w:val="16"/>
      <w:szCs w:val="16"/>
    </w:rPr>
  </w:style>
  <w:style w:type="paragraph" w:styleId="CommentText">
    <w:name w:val="annotation text"/>
    <w:basedOn w:val="Normal"/>
    <w:link w:val="CommentTextChar"/>
    <w:uiPriority w:val="99"/>
    <w:semiHidden/>
    <w:unhideWhenUsed/>
    <w:rsid w:val="000E6A8D"/>
    <w:pPr>
      <w:spacing w:line="240" w:lineRule="auto"/>
    </w:pPr>
    <w:rPr>
      <w:sz w:val="20"/>
      <w:szCs w:val="20"/>
    </w:rPr>
  </w:style>
  <w:style w:type="character" w:customStyle="1" w:styleId="CommentTextChar">
    <w:name w:val="Comment Text Char"/>
    <w:basedOn w:val="DefaultParagraphFont"/>
    <w:link w:val="CommentText"/>
    <w:uiPriority w:val="99"/>
    <w:semiHidden/>
    <w:rsid w:val="000E6A8D"/>
    <w:rPr>
      <w:sz w:val="20"/>
      <w:szCs w:val="20"/>
    </w:rPr>
  </w:style>
  <w:style w:type="paragraph" w:styleId="CommentSubject">
    <w:name w:val="annotation subject"/>
    <w:basedOn w:val="CommentText"/>
    <w:next w:val="CommentText"/>
    <w:link w:val="CommentSubjectChar"/>
    <w:uiPriority w:val="99"/>
    <w:semiHidden/>
    <w:unhideWhenUsed/>
    <w:rsid w:val="000E6A8D"/>
    <w:rPr>
      <w:b/>
      <w:bCs/>
    </w:rPr>
  </w:style>
  <w:style w:type="character" w:customStyle="1" w:styleId="CommentSubjectChar">
    <w:name w:val="Comment Subject Char"/>
    <w:basedOn w:val="CommentTextChar"/>
    <w:link w:val="CommentSubject"/>
    <w:uiPriority w:val="99"/>
    <w:semiHidden/>
    <w:rsid w:val="000E6A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478FC7-0102-4871-AA77-93F133CB5A67}"/>
</file>

<file path=customXml/itemProps2.xml><?xml version="1.0" encoding="utf-8"?>
<ds:datastoreItem xmlns:ds="http://schemas.openxmlformats.org/officeDocument/2006/customXml" ds:itemID="{7B7411C4-53EA-4081-806D-D38AB77FC549}"/>
</file>

<file path=customXml/itemProps3.xml><?xml version="1.0" encoding="utf-8"?>
<ds:datastoreItem xmlns:ds="http://schemas.openxmlformats.org/officeDocument/2006/customXml" ds:itemID="{3E232D97-32A1-4D1C-8AF5-5799CEF76E5C}"/>
</file>

<file path=docProps/app.xml><?xml version="1.0" encoding="utf-8"?>
<Properties xmlns="http://schemas.openxmlformats.org/officeDocument/2006/extended-properties" xmlns:vt="http://schemas.openxmlformats.org/officeDocument/2006/docPropsVTypes">
  <Template>Normal.dotm</Template>
  <TotalTime>0</TotalTime>
  <Pages>16</Pages>
  <Words>5929</Words>
  <Characters>33797</Characters>
  <Application>Microsoft Office Word</Application>
  <DocSecurity>0</DocSecurity>
  <Lines>281</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M.A.E.E</Company>
  <LinksUpToDate>false</LinksUpToDate>
  <CharactersWithSpaces>39647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FERAL Rodolphe</dc:creator>
  <cp:lastModifiedBy>Helen Brown</cp:lastModifiedBy>
  <cp:revision>2</cp:revision>
  <cp:lastPrinted>2016-04-22T13:35:00Z</cp:lastPrinted>
  <dcterms:created xsi:type="dcterms:W3CDTF">2016-05-09T10:35:00Z</dcterms:created>
  <dcterms:modified xsi:type="dcterms:W3CDTF">2016-05-09T10:35:00Z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