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0C39B" w14:textId="5711DF9C" w:rsidR="004E4C40" w:rsidRPr="004E4C40" w:rsidRDefault="004E4C40" w:rsidP="00336B42">
      <w:pPr>
        <w:ind w:left="300" w:hanging="357"/>
        <w:jc w:val="center"/>
        <w:rPr>
          <w:rFonts w:ascii="Times New Roman" w:eastAsia="Times New Roman" w:hAnsi="Times New Roman" w:cs="Times New Roman"/>
          <w:b/>
          <w:bCs/>
          <w:color w:val="7030A0"/>
          <w:sz w:val="28"/>
          <w:szCs w:val="28"/>
          <w:lang w:bidi="ar-EG"/>
        </w:rPr>
      </w:pPr>
      <w:r w:rsidRPr="004E4C40">
        <w:rPr>
          <w:rFonts w:ascii="Times New Roman" w:eastAsia="Times New Roman" w:hAnsi="Times New Roman" w:cs="Times New Roman"/>
          <w:b/>
          <w:bCs/>
          <w:color w:val="7030A0"/>
          <w:sz w:val="28"/>
          <w:szCs w:val="28"/>
          <w:lang w:bidi="ar-EG"/>
        </w:rPr>
        <w:t>Maat</w:t>
      </w:r>
      <w:r w:rsidR="00336B42">
        <w:rPr>
          <w:rFonts w:ascii="Times New Roman" w:eastAsia="Times New Roman" w:hAnsi="Times New Roman" w:cs="Times New Roman"/>
          <w:b/>
          <w:bCs/>
          <w:color w:val="7030A0"/>
          <w:sz w:val="28"/>
          <w:szCs w:val="28"/>
          <w:lang w:bidi="ar-EG"/>
        </w:rPr>
        <w:t xml:space="preserve">’s </w:t>
      </w:r>
      <w:r w:rsidR="00692C55">
        <w:rPr>
          <w:rFonts w:ascii="Times New Roman" w:eastAsia="Times New Roman" w:hAnsi="Times New Roman" w:cs="Times New Roman"/>
          <w:b/>
          <w:bCs/>
          <w:color w:val="7030A0"/>
          <w:sz w:val="28"/>
          <w:szCs w:val="28"/>
          <w:lang w:bidi="ar-EG"/>
        </w:rPr>
        <w:t xml:space="preserve">submission on the review </w:t>
      </w:r>
      <w:r w:rsidR="00151D5F">
        <w:rPr>
          <w:rFonts w:ascii="Times New Roman" w:eastAsia="Times New Roman" w:hAnsi="Times New Roman" w:cs="Times New Roman"/>
          <w:b/>
          <w:bCs/>
          <w:color w:val="7030A0"/>
          <w:sz w:val="28"/>
          <w:szCs w:val="28"/>
          <w:lang w:bidi="ar-EG"/>
        </w:rPr>
        <w:t xml:space="preserve">on the state party report of Bahrain </w:t>
      </w:r>
      <w:r w:rsidR="00692C55">
        <w:rPr>
          <w:rFonts w:ascii="Times New Roman" w:eastAsia="Times New Roman" w:hAnsi="Times New Roman" w:cs="Times New Roman"/>
          <w:b/>
          <w:bCs/>
          <w:color w:val="7030A0"/>
          <w:sz w:val="28"/>
          <w:szCs w:val="28"/>
          <w:lang w:bidi="ar-EG"/>
        </w:rPr>
        <w:t>before the CESCR</w:t>
      </w:r>
    </w:p>
    <w:p w14:paraId="6D3D025F" w14:textId="42D4F5AF" w:rsidR="004E4C40" w:rsidRPr="004E4C40" w:rsidRDefault="004E4C40" w:rsidP="00336B42">
      <w:pPr>
        <w:ind w:left="-57"/>
        <w:rPr>
          <w:rFonts w:ascii="Times New Roman" w:eastAsia="Times New Roman" w:hAnsi="Times New Roman" w:cs="Times New Roman"/>
          <w:sz w:val="28"/>
          <w:szCs w:val="28"/>
          <w:rtl/>
          <w:lang w:bidi="ar-EG"/>
        </w:rPr>
      </w:pPr>
      <w:r w:rsidRPr="004E4C40">
        <w:rPr>
          <w:rFonts w:ascii="Times New Roman" w:eastAsia="Times New Roman" w:hAnsi="Times New Roman" w:cs="Times New Roman"/>
          <w:b/>
          <w:bCs/>
          <w:sz w:val="28"/>
          <w:szCs w:val="28"/>
          <w:u w:val="single"/>
          <w:lang w:bidi="ar-EG"/>
        </w:rPr>
        <w:t>Submitted by</w:t>
      </w:r>
      <w:r>
        <w:rPr>
          <w:rFonts w:ascii="Times New Roman" w:eastAsia="Times New Roman" w:hAnsi="Times New Roman" w:cs="Times New Roman"/>
          <w:sz w:val="28"/>
          <w:szCs w:val="28"/>
          <w:lang w:bidi="ar-EG"/>
        </w:rPr>
        <w:t xml:space="preserve">: </w:t>
      </w:r>
      <w:bookmarkStart w:id="0" w:name="_GoBack"/>
      <w:r>
        <w:rPr>
          <w:rFonts w:ascii="Times New Roman" w:eastAsia="Times New Roman" w:hAnsi="Times New Roman" w:cs="Times New Roman"/>
          <w:sz w:val="28"/>
          <w:szCs w:val="28"/>
          <w:lang w:bidi="ar-EG"/>
        </w:rPr>
        <w:t>Maat</w:t>
      </w:r>
      <w:r w:rsidRPr="004E4C40">
        <w:rPr>
          <w:rFonts w:ascii="Times New Roman" w:eastAsia="Times New Roman" w:hAnsi="Times New Roman" w:cs="Times New Roman"/>
          <w:sz w:val="28"/>
          <w:szCs w:val="28"/>
          <w:lang w:bidi="ar-EG"/>
        </w:rPr>
        <w:t xml:space="preserve"> for Peace</w:t>
      </w:r>
      <w:r w:rsidR="00336B42">
        <w:rPr>
          <w:rFonts w:ascii="Times New Roman" w:eastAsia="Times New Roman" w:hAnsi="Times New Roman" w:cs="Times New Roman"/>
          <w:sz w:val="28"/>
          <w:szCs w:val="28"/>
          <w:lang w:bidi="ar-EG"/>
        </w:rPr>
        <w:t>, Development and Human Rights</w:t>
      </w:r>
      <w:bookmarkEnd w:id="0"/>
      <w:r w:rsidR="00336B42">
        <w:rPr>
          <w:rFonts w:ascii="Times New Roman" w:eastAsia="Times New Roman" w:hAnsi="Times New Roman" w:cs="Times New Roman"/>
          <w:sz w:val="28"/>
          <w:szCs w:val="28"/>
          <w:lang w:bidi="ar-EG"/>
        </w:rPr>
        <w:t xml:space="preserve"> </w:t>
      </w:r>
      <w:r w:rsidR="00151D5F">
        <w:rPr>
          <w:rFonts w:ascii="Times New Roman" w:eastAsia="Times New Roman" w:hAnsi="Times New Roman" w:cs="Times New Roman"/>
          <w:sz w:val="28"/>
          <w:szCs w:val="28"/>
          <w:lang w:bidi="ar-EG"/>
        </w:rPr>
        <w:t>in</w:t>
      </w:r>
      <w:r w:rsidR="00336B42">
        <w:rPr>
          <w:rFonts w:ascii="Times New Roman" w:eastAsia="Times New Roman" w:hAnsi="Times New Roman" w:cs="Times New Roman"/>
          <w:sz w:val="28"/>
          <w:szCs w:val="28"/>
          <w:lang w:bidi="ar-EG"/>
        </w:rPr>
        <w:t xml:space="preserve"> </w:t>
      </w:r>
      <w:r w:rsidRPr="004E4C40">
        <w:rPr>
          <w:rFonts w:ascii="Times New Roman" w:eastAsia="Times New Roman" w:hAnsi="Times New Roman" w:cs="Times New Roman"/>
          <w:sz w:val="28"/>
          <w:szCs w:val="28"/>
          <w:lang w:bidi="ar-EG"/>
        </w:rPr>
        <w:t xml:space="preserve">consultative status </w:t>
      </w:r>
      <w:r w:rsidR="00336B42">
        <w:rPr>
          <w:rFonts w:ascii="Times New Roman" w:eastAsia="Times New Roman" w:hAnsi="Times New Roman" w:cs="Times New Roman"/>
          <w:sz w:val="28"/>
          <w:szCs w:val="28"/>
          <w:lang w:bidi="ar-EG"/>
        </w:rPr>
        <w:t>with</w:t>
      </w:r>
      <w:r w:rsidRPr="004E4C40">
        <w:rPr>
          <w:rFonts w:ascii="Times New Roman" w:eastAsia="Times New Roman" w:hAnsi="Times New Roman" w:cs="Times New Roman"/>
          <w:sz w:val="28"/>
          <w:szCs w:val="28"/>
          <w:lang w:bidi="ar-EG"/>
        </w:rPr>
        <w:t xml:space="preserve"> </w:t>
      </w:r>
      <w:r w:rsidR="00336B42">
        <w:rPr>
          <w:rFonts w:ascii="Times New Roman" w:eastAsia="Times New Roman" w:hAnsi="Times New Roman" w:cs="Times New Roman"/>
          <w:sz w:val="28"/>
          <w:szCs w:val="28"/>
          <w:lang w:bidi="ar-EG"/>
        </w:rPr>
        <w:t>the UN Economic and Social Council</w:t>
      </w:r>
      <w:r w:rsidR="00151D5F">
        <w:rPr>
          <w:rFonts w:ascii="Times New Roman" w:eastAsia="Times New Roman" w:hAnsi="Times New Roman" w:cs="Times New Roman"/>
          <w:sz w:val="28"/>
          <w:szCs w:val="28"/>
          <w:lang w:bidi="ar-EG"/>
        </w:rPr>
        <w:t xml:space="preserve">. </w:t>
      </w:r>
    </w:p>
    <w:p w14:paraId="1517EBF7" w14:textId="77777777" w:rsidR="004E4C40" w:rsidRPr="004E4C40" w:rsidRDefault="004E4C40" w:rsidP="004E4C40">
      <w:pPr>
        <w:ind w:left="-57"/>
        <w:jc w:val="lowKashida"/>
        <w:rPr>
          <w:rFonts w:ascii="Times New Roman" w:eastAsia="Times New Roman" w:hAnsi="Times New Roman" w:cs="Times New Roman"/>
          <w:b/>
          <w:bCs/>
          <w:color w:val="7030A0"/>
          <w:sz w:val="28"/>
          <w:szCs w:val="28"/>
          <w:rtl/>
          <w:lang w:bidi="ar-EG"/>
        </w:rPr>
      </w:pPr>
      <w:r w:rsidRPr="004E4C40">
        <w:rPr>
          <w:rFonts w:ascii="Times New Roman" w:eastAsia="Times New Roman" w:hAnsi="Times New Roman" w:cs="Times New Roman"/>
          <w:b/>
          <w:bCs/>
          <w:color w:val="7030A0"/>
          <w:sz w:val="28"/>
          <w:szCs w:val="28"/>
          <w:lang w:bidi="ar-EG"/>
        </w:rPr>
        <w:t>Preamble</w:t>
      </w:r>
    </w:p>
    <w:p w14:paraId="51C41934" w14:textId="77777777" w:rsidR="004E4C40" w:rsidRPr="004E4C40" w:rsidRDefault="004E4C40" w:rsidP="00AE48FE">
      <w:pPr>
        <w:ind w:firstLine="720"/>
        <w:rPr>
          <w:rFonts w:ascii="Times New Roman" w:eastAsia="Times New Roman" w:hAnsi="Times New Roman" w:cs="Times New Roman"/>
          <w:sz w:val="28"/>
          <w:szCs w:val="28"/>
          <w:lang w:bidi="ar-EG"/>
        </w:rPr>
      </w:pPr>
      <w:r w:rsidRPr="004E4C40">
        <w:rPr>
          <w:rFonts w:ascii="Times New Roman" w:eastAsia="Times New Roman" w:hAnsi="Times New Roman" w:cs="Times New Roman"/>
          <w:sz w:val="28"/>
          <w:szCs w:val="28"/>
          <w:lang w:bidi="ar-EG"/>
        </w:rPr>
        <w:t xml:space="preserve">On July 16, 2007, the Kingdom of Bahrain acceded to the International Covenant on Economic, Social, and Cultural Rights under Law No. (10) of 2007. </w:t>
      </w:r>
      <w:r w:rsidR="00336B42">
        <w:rPr>
          <w:rFonts w:ascii="Times New Roman" w:eastAsia="Times New Roman" w:hAnsi="Times New Roman" w:cs="Times New Roman"/>
          <w:sz w:val="28"/>
          <w:szCs w:val="28"/>
          <w:lang w:bidi="ar-EG"/>
        </w:rPr>
        <w:t>Despite the</w:t>
      </w:r>
      <w:r w:rsidRPr="004E4C40">
        <w:rPr>
          <w:rFonts w:ascii="Times New Roman" w:eastAsia="Times New Roman" w:hAnsi="Times New Roman" w:cs="Times New Roman"/>
          <w:sz w:val="28"/>
          <w:szCs w:val="28"/>
          <w:lang w:bidi="ar-EG"/>
        </w:rPr>
        <w:t xml:space="preserve"> Kingdom's delay in acceding to the International Covenant on Economic, Social</w:t>
      </w:r>
      <w:r w:rsidR="00336B42">
        <w:rPr>
          <w:rFonts w:ascii="Times New Roman" w:eastAsia="Times New Roman" w:hAnsi="Times New Roman" w:cs="Times New Roman"/>
          <w:sz w:val="28"/>
          <w:szCs w:val="28"/>
          <w:lang w:bidi="ar-EG"/>
        </w:rPr>
        <w:t xml:space="preserve"> and Cultural Rights until 2007, and its delay</w:t>
      </w:r>
      <w:r w:rsidRPr="004E4C40">
        <w:rPr>
          <w:rFonts w:ascii="Times New Roman" w:eastAsia="Times New Roman" w:hAnsi="Times New Roman" w:cs="Times New Roman"/>
          <w:sz w:val="28"/>
          <w:szCs w:val="28"/>
          <w:lang w:bidi="ar-EG"/>
        </w:rPr>
        <w:t xml:space="preserve"> in submitting its initial report until 2009 under Articles 16 and 17 of th</w:t>
      </w:r>
      <w:r w:rsidR="00336B42">
        <w:rPr>
          <w:rFonts w:ascii="Times New Roman" w:eastAsia="Times New Roman" w:hAnsi="Times New Roman" w:cs="Times New Roman"/>
          <w:sz w:val="28"/>
          <w:szCs w:val="28"/>
          <w:lang w:bidi="ar-EG"/>
        </w:rPr>
        <w:t xml:space="preserve">e Covenant until December 2019, the </w:t>
      </w:r>
      <w:r w:rsidRPr="004E4C40">
        <w:rPr>
          <w:rFonts w:ascii="Times New Roman" w:eastAsia="Times New Roman" w:hAnsi="Times New Roman" w:cs="Times New Roman"/>
          <w:sz w:val="28"/>
          <w:szCs w:val="28"/>
          <w:lang w:bidi="ar-EG"/>
        </w:rPr>
        <w:t xml:space="preserve">Kingdom of Bahrain </w:t>
      </w:r>
      <w:r w:rsidR="00AE48FE">
        <w:rPr>
          <w:rFonts w:ascii="Times New Roman" w:eastAsia="Times New Roman" w:hAnsi="Times New Roman" w:cs="Times New Roman"/>
          <w:sz w:val="28"/>
          <w:szCs w:val="28"/>
          <w:lang w:bidi="ar-EG"/>
        </w:rPr>
        <w:t>has taken serious steps in the development of</w:t>
      </w:r>
      <w:r w:rsidRPr="004E4C40">
        <w:rPr>
          <w:rFonts w:ascii="Times New Roman" w:eastAsia="Times New Roman" w:hAnsi="Times New Roman" w:cs="Times New Roman"/>
          <w:sz w:val="28"/>
          <w:szCs w:val="28"/>
          <w:lang w:bidi="ar-EG"/>
        </w:rPr>
        <w:t xml:space="preserve"> the economic, cultural, and social rights in Bahraini legislation and societal practice over the previous years. That is evident in the legislation and measures taken by the Kingdom to ensure that all individuals residing on its land obtain all the economic, social, and cultural rights guaranteed in the International Covenant on Economic, Social, and Cultural Rights. It includes the right to self-determination, the right to work, the right to just and favorable conditions of work, the right to form and join trade unions, the right to social security and insurance, the right to the enjoyment of the highest attainable standard of physical and mental health, and the right to compulsory education and education</w:t>
      </w:r>
      <w:r w:rsidRPr="004E4C40">
        <w:rPr>
          <w:rFonts w:ascii="Times New Roman" w:eastAsia="Times New Roman" w:hAnsi="Times New Roman" w:cs="Times New Roman"/>
          <w:sz w:val="28"/>
          <w:szCs w:val="28"/>
          <w:rtl/>
          <w:lang w:bidi="ar-EG"/>
        </w:rPr>
        <w:t>.</w:t>
      </w:r>
    </w:p>
    <w:p w14:paraId="6B07BBC0" w14:textId="77777777" w:rsidR="004E4C40" w:rsidRPr="004E4C40" w:rsidRDefault="00AE48FE" w:rsidP="00AE48FE">
      <w:pPr>
        <w:ind w:firstLine="720"/>
        <w:rPr>
          <w:rFonts w:ascii="Times New Roman" w:eastAsia="Times New Roman" w:hAnsi="Times New Roman" w:cs="Times New Roman"/>
          <w:sz w:val="28"/>
          <w:szCs w:val="28"/>
          <w:lang w:bidi="ar-EG"/>
        </w:rPr>
      </w:pPr>
      <w:r>
        <w:rPr>
          <w:rFonts w:ascii="Times New Roman" w:eastAsia="Times New Roman" w:hAnsi="Times New Roman" w:cs="Times New Roman"/>
          <w:sz w:val="28"/>
          <w:szCs w:val="28"/>
          <w:lang w:bidi="ar-EG"/>
        </w:rPr>
        <w:t>In reality,</w:t>
      </w:r>
      <w:r w:rsidR="004E4C40" w:rsidRPr="004E4C40">
        <w:rPr>
          <w:rFonts w:ascii="Times New Roman" w:eastAsia="Times New Roman" w:hAnsi="Times New Roman" w:cs="Times New Roman"/>
          <w:sz w:val="28"/>
          <w:szCs w:val="28"/>
          <w:lang w:bidi="ar-EG"/>
        </w:rPr>
        <w:t xml:space="preserve"> despite the progress made by the Kingdom over the past years in implementing its international obligations under the International Covenant on Economi</w:t>
      </w:r>
      <w:r>
        <w:rPr>
          <w:rFonts w:ascii="Times New Roman" w:eastAsia="Times New Roman" w:hAnsi="Times New Roman" w:cs="Times New Roman"/>
          <w:sz w:val="28"/>
          <w:szCs w:val="28"/>
          <w:lang w:bidi="ar-EG"/>
        </w:rPr>
        <w:t xml:space="preserve">c, Social, and Cultural Rights, there </w:t>
      </w:r>
      <w:r w:rsidR="004E4C40" w:rsidRPr="004E4C40">
        <w:rPr>
          <w:rFonts w:ascii="Times New Roman" w:eastAsia="Times New Roman" w:hAnsi="Times New Roman" w:cs="Times New Roman"/>
          <w:sz w:val="28"/>
          <w:szCs w:val="28"/>
          <w:lang w:bidi="ar-EG"/>
        </w:rPr>
        <w:t xml:space="preserve">is still an urgent need to exert more efforts by the Kingdom towards </w:t>
      </w:r>
      <w:r>
        <w:rPr>
          <w:rFonts w:ascii="Times New Roman" w:eastAsia="Times New Roman" w:hAnsi="Times New Roman" w:cs="Times New Roman"/>
          <w:sz w:val="28"/>
          <w:szCs w:val="28"/>
          <w:lang w:bidi="ar-EG"/>
        </w:rPr>
        <w:t>to address some</w:t>
      </w:r>
      <w:r w:rsidR="004E4C40" w:rsidRPr="004E4C40">
        <w:rPr>
          <w:rFonts w:ascii="Times New Roman" w:eastAsia="Times New Roman" w:hAnsi="Times New Roman" w:cs="Times New Roman"/>
          <w:sz w:val="28"/>
          <w:szCs w:val="28"/>
          <w:lang w:bidi="ar-EG"/>
        </w:rPr>
        <w:t xml:space="preserve"> issues that </w:t>
      </w:r>
      <w:r>
        <w:rPr>
          <w:rFonts w:ascii="Times New Roman" w:eastAsia="Times New Roman" w:hAnsi="Times New Roman" w:cs="Times New Roman"/>
          <w:sz w:val="28"/>
          <w:szCs w:val="28"/>
          <w:lang w:bidi="ar-EG"/>
        </w:rPr>
        <w:t>contain</w:t>
      </w:r>
      <w:r w:rsidR="004E4C40" w:rsidRPr="004E4C40">
        <w:rPr>
          <w:rFonts w:ascii="Times New Roman" w:eastAsia="Times New Roman" w:hAnsi="Times New Roman" w:cs="Times New Roman"/>
          <w:sz w:val="28"/>
          <w:szCs w:val="28"/>
          <w:lang w:bidi="ar-EG"/>
        </w:rPr>
        <w:t xml:space="preserve"> widespread violations of the economic, social, and cultural rights stipulated in the International Covenant on Economic, Social and Cultural Rights. It includes discrimination and inequality in employment, forced and compulsory labor, and other violations of economic rights faced by foreign workers, especially domestic workers, in Bahrain</w:t>
      </w:r>
      <w:r w:rsidR="004E4C40" w:rsidRPr="004E4C40">
        <w:rPr>
          <w:rFonts w:ascii="Times New Roman" w:eastAsia="Times New Roman" w:hAnsi="Times New Roman" w:cs="Times New Roman"/>
          <w:sz w:val="28"/>
          <w:szCs w:val="28"/>
          <w:rtl/>
          <w:lang w:bidi="ar-EG"/>
        </w:rPr>
        <w:t>.</w:t>
      </w:r>
    </w:p>
    <w:p w14:paraId="22BAA91E" w14:textId="77777777" w:rsidR="004E4C40" w:rsidRPr="004E4C40" w:rsidRDefault="004E4C40" w:rsidP="00AE48FE">
      <w:pPr>
        <w:ind w:firstLine="720"/>
        <w:jc w:val="lowKashida"/>
        <w:rPr>
          <w:rFonts w:ascii="Times New Roman" w:eastAsia="Calibri" w:hAnsi="Times New Roman" w:cs="Times New Roman"/>
          <w:sz w:val="28"/>
          <w:szCs w:val="28"/>
          <w:rtl/>
        </w:rPr>
      </w:pPr>
      <w:r w:rsidRPr="00AE48FE">
        <w:rPr>
          <w:rFonts w:ascii="Times New Roman" w:eastAsia="Times New Roman" w:hAnsi="Times New Roman" w:cs="Times New Roman"/>
          <w:b/>
          <w:bCs/>
          <w:sz w:val="28"/>
          <w:szCs w:val="28"/>
          <w:lang w:bidi="ar-EG"/>
        </w:rPr>
        <w:lastRenderedPageBreak/>
        <w:t>Maat for Peace, Development, and Human Rights</w:t>
      </w:r>
      <w:r w:rsidRPr="004E4C40">
        <w:rPr>
          <w:rFonts w:ascii="Times New Roman" w:eastAsia="Times New Roman" w:hAnsi="Times New Roman" w:cs="Times New Roman"/>
          <w:sz w:val="28"/>
          <w:szCs w:val="28"/>
          <w:lang w:bidi="ar-EG"/>
        </w:rPr>
        <w:t xml:space="preserve"> presents</w:t>
      </w:r>
      <w:r w:rsidR="00AE48FE">
        <w:rPr>
          <w:rFonts w:ascii="Times New Roman" w:eastAsia="Times New Roman" w:hAnsi="Times New Roman" w:cs="Times New Roman"/>
          <w:sz w:val="28"/>
          <w:szCs w:val="28"/>
          <w:lang w:bidi="ar-EG"/>
        </w:rPr>
        <w:t>,</w:t>
      </w:r>
      <w:r w:rsidRPr="004E4C40">
        <w:rPr>
          <w:rFonts w:ascii="Times New Roman" w:eastAsia="Times New Roman" w:hAnsi="Times New Roman" w:cs="Times New Roman"/>
          <w:sz w:val="28"/>
          <w:szCs w:val="28"/>
          <w:lang w:bidi="ar-EG"/>
        </w:rPr>
        <w:t xml:space="preserve"> </w:t>
      </w:r>
      <w:r w:rsidR="00AE48FE" w:rsidRPr="004E4C40">
        <w:rPr>
          <w:rFonts w:ascii="Times New Roman" w:eastAsia="Times New Roman" w:hAnsi="Times New Roman" w:cs="Times New Roman"/>
          <w:sz w:val="28"/>
          <w:szCs w:val="28"/>
          <w:lang w:bidi="ar-EG"/>
        </w:rPr>
        <w:t>in this report</w:t>
      </w:r>
      <w:r w:rsidR="00AE48FE">
        <w:rPr>
          <w:rFonts w:ascii="Times New Roman" w:eastAsia="Times New Roman" w:hAnsi="Times New Roman" w:cs="Times New Roman"/>
          <w:sz w:val="28"/>
          <w:szCs w:val="28"/>
          <w:lang w:bidi="ar-EG"/>
        </w:rPr>
        <w:t>,</w:t>
      </w:r>
      <w:r w:rsidR="00AE48FE" w:rsidRPr="004E4C40">
        <w:rPr>
          <w:rFonts w:ascii="Times New Roman" w:eastAsia="Times New Roman" w:hAnsi="Times New Roman" w:cs="Times New Roman"/>
          <w:sz w:val="28"/>
          <w:szCs w:val="28"/>
          <w:lang w:bidi="ar-EG"/>
        </w:rPr>
        <w:t xml:space="preserve"> </w:t>
      </w:r>
      <w:r w:rsidRPr="004E4C40">
        <w:rPr>
          <w:rFonts w:ascii="Times New Roman" w:eastAsia="Times New Roman" w:hAnsi="Times New Roman" w:cs="Times New Roman"/>
          <w:sz w:val="28"/>
          <w:szCs w:val="28"/>
          <w:lang w:bidi="ar-EG"/>
        </w:rPr>
        <w:t>detailed observations regarding the follow-up of Bahrain's a</w:t>
      </w:r>
      <w:r w:rsidR="00AE48FE">
        <w:rPr>
          <w:rFonts w:ascii="Times New Roman" w:eastAsia="Times New Roman" w:hAnsi="Times New Roman" w:cs="Times New Roman"/>
          <w:sz w:val="28"/>
          <w:szCs w:val="28"/>
          <w:lang w:bidi="ar-EG"/>
        </w:rPr>
        <w:t xml:space="preserve">rticle's implementation of the </w:t>
      </w:r>
      <w:r w:rsidRPr="004E4C40">
        <w:rPr>
          <w:rFonts w:ascii="Times New Roman" w:eastAsia="Times New Roman" w:hAnsi="Times New Roman" w:cs="Times New Roman"/>
          <w:sz w:val="28"/>
          <w:szCs w:val="28"/>
          <w:lang w:bidi="ar-EG"/>
        </w:rPr>
        <w:t>International Covenant on Economic, Social, and Cultural Rights. Maat cannot provide in this report a comprehensive review of all concerns regarding Bahrain's implementation of all articles of the International Covenant on Economic, Social, and Cultural Rights. Maat would like to shed light on the most important Covenant articles, which contain some issues of concern. It includes cases of discrimination and inequality in employment, cases of forced or compulsory labor, and other cases involving human rights violations against migrant workers, including domestic workers, in Bahrain. The follow-up to these articles is highlighted as follows</w:t>
      </w:r>
      <w:r w:rsidRPr="004E4C40">
        <w:rPr>
          <w:rFonts w:ascii="Times New Roman" w:eastAsia="Times New Roman" w:hAnsi="Times New Roman" w:cs="Times New Roman"/>
          <w:sz w:val="28"/>
          <w:szCs w:val="28"/>
          <w:rtl/>
          <w:lang w:bidi="ar-EG"/>
        </w:rPr>
        <w:t>:</w:t>
      </w:r>
      <w:r w:rsidRPr="004E4C40">
        <w:rPr>
          <w:rFonts w:ascii="Times New Roman" w:eastAsia="Calibri" w:hAnsi="Times New Roman" w:cs="Times New Roman"/>
          <w:sz w:val="28"/>
          <w:szCs w:val="28"/>
          <w:rtl/>
        </w:rPr>
        <w:t xml:space="preserve"> </w:t>
      </w:r>
    </w:p>
    <w:p w14:paraId="6DF69AD2" w14:textId="77777777" w:rsidR="004E4C40" w:rsidRPr="004E4C40" w:rsidRDefault="004E4C40" w:rsidP="004E4C40">
      <w:pPr>
        <w:ind w:left="-57"/>
        <w:jc w:val="lowKashida"/>
        <w:rPr>
          <w:rFonts w:ascii="Times New Roman" w:eastAsia="Times New Roman" w:hAnsi="Times New Roman" w:cs="Times New Roman"/>
          <w:b/>
          <w:bCs/>
          <w:color w:val="7030A0"/>
          <w:sz w:val="28"/>
          <w:szCs w:val="28"/>
          <w:rtl/>
          <w:lang w:bidi="ar-EG"/>
        </w:rPr>
      </w:pPr>
      <w:r w:rsidRPr="004E4C40">
        <w:rPr>
          <w:rFonts w:ascii="Times New Roman" w:eastAsia="Times New Roman" w:hAnsi="Times New Roman" w:cs="Times New Roman"/>
          <w:b/>
          <w:bCs/>
          <w:color w:val="7030A0"/>
          <w:sz w:val="28"/>
          <w:szCs w:val="28"/>
          <w:lang w:bidi="ar-EG"/>
        </w:rPr>
        <w:t>Article (3) Ensuring the equal rights of men and women to the enjoyment of all the economic, social and cultural rights stipulated in the Covenant</w:t>
      </w:r>
      <w:r w:rsidRPr="004E4C40">
        <w:rPr>
          <w:rFonts w:ascii="Times New Roman" w:eastAsia="Times New Roman" w:hAnsi="Times New Roman" w:cs="Times New Roman"/>
          <w:b/>
          <w:bCs/>
          <w:color w:val="7030A0"/>
          <w:sz w:val="28"/>
          <w:szCs w:val="28"/>
          <w:rtl/>
          <w:lang w:bidi="ar-EG"/>
        </w:rPr>
        <w:t>:</w:t>
      </w:r>
    </w:p>
    <w:p w14:paraId="289E4999" w14:textId="77777777" w:rsidR="004E4C40" w:rsidRPr="004E4C40" w:rsidRDefault="004E4C40" w:rsidP="00AE48FE">
      <w:pPr>
        <w:ind w:firstLine="720"/>
        <w:rPr>
          <w:rFonts w:ascii="Times New Roman" w:eastAsia="Calibri" w:hAnsi="Times New Roman" w:cs="Times New Roman"/>
          <w:sz w:val="28"/>
          <w:szCs w:val="28"/>
          <w:rtl/>
        </w:rPr>
      </w:pPr>
      <w:r w:rsidRPr="004E4C40">
        <w:rPr>
          <w:rFonts w:ascii="Times New Roman" w:eastAsia="Calibri" w:hAnsi="Times New Roman" w:cs="Times New Roman"/>
          <w:sz w:val="28"/>
          <w:szCs w:val="28"/>
        </w:rPr>
        <w:t>Over the past years, the Kingdom of Bahrain has made efforts to fulfill its obligations under Article 3 of the International Covenant on Economic, Social, and Cultural Rights to ensure equality between men and women in the enjoyment of all economic, social, and cultural rights. Paragraph (b) of Article (5) of the Bahraini Constitution enshrined equality between men and women in political, social, cultural, and economic life. It stipulated that the state guarantees reconciliation between women’s duties towards the family and her work in society, her equality with men in the fields of political, social, cultural, and economic life without prejudice to the provisions of Islamic Sharia. Under Resolution No (4) of 2014 issued by the Civil Service Commission the Kingdom established, committees for equal opportunities between the sexes in the government jobs</w:t>
      </w:r>
      <w:r w:rsidRPr="004E4C40">
        <w:rPr>
          <w:rFonts w:ascii="Times New Roman" w:eastAsia="Calibri" w:hAnsi="Times New Roman" w:cs="Times New Roman"/>
          <w:sz w:val="28"/>
          <w:szCs w:val="28"/>
          <w:vertAlign w:val="superscript"/>
          <w:rtl/>
        </w:rPr>
        <w:footnoteReference w:id="1"/>
      </w:r>
      <w:r w:rsidRPr="004E4C40">
        <w:rPr>
          <w:rFonts w:ascii="Times New Roman" w:eastAsia="Calibri" w:hAnsi="Times New Roman" w:cs="Times New Roman"/>
          <w:sz w:val="28"/>
          <w:szCs w:val="28"/>
          <w:rtl/>
        </w:rPr>
        <w:t>.</w:t>
      </w:r>
    </w:p>
    <w:p w14:paraId="5B7A4E38" w14:textId="77777777" w:rsidR="004E4C40" w:rsidRPr="004E4C40" w:rsidRDefault="004E4C40" w:rsidP="00AE48FE">
      <w:pPr>
        <w:ind w:firstLine="720"/>
        <w:rPr>
          <w:rFonts w:ascii="Times New Roman" w:eastAsia="Calibri" w:hAnsi="Times New Roman" w:cs="Times New Roman"/>
          <w:sz w:val="28"/>
          <w:szCs w:val="28"/>
        </w:rPr>
      </w:pPr>
      <w:r w:rsidRPr="004E4C40">
        <w:rPr>
          <w:rFonts w:ascii="Times New Roman" w:eastAsia="Calibri" w:hAnsi="Times New Roman" w:cs="Times New Roman"/>
          <w:sz w:val="28"/>
          <w:szCs w:val="28"/>
        </w:rPr>
        <w:t xml:space="preserve">Bahraini law guarantees women the same economic rights as men. Article 72 of the Bahraini Civil Code stipulates that “every person is qualified to contract unless his capacity has been taken away or diminished by law.” Article 10 of the Trade Law stipulates, that “every Bahraini who has reached the age of eighteen and has not had a legal impediment </w:t>
      </w:r>
      <w:r w:rsidRPr="004E4C40">
        <w:rPr>
          <w:rFonts w:ascii="Times New Roman" w:eastAsia="Calibri" w:hAnsi="Times New Roman" w:cs="Times New Roman"/>
          <w:sz w:val="28"/>
          <w:szCs w:val="28"/>
        </w:rPr>
        <w:lastRenderedPageBreak/>
        <w:t>related to his person or the type of commercial transaction that he engages in, shall be eligible to engage in trade.” Bahraini law made equality between men and women in acquiring the capacity to contract and engage in trade without any discrimination based on gender. In further reforms in the field of promoting women's economic rights, the Bahraini Ministry of Labor and Social Development on August 28, 2020, abolished the ban on women working at night. It issued Resolution No. (50) Of 2020 allows women to work at night as men</w:t>
      </w:r>
      <w:r w:rsidRPr="004E4C40">
        <w:rPr>
          <w:rFonts w:ascii="Times New Roman" w:eastAsia="Calibri" w:hAnsi="Times New Roman" w:cs="Times New Roman"/>
          <w:sz w:val="28"/>
          <w:szCs w:val="28"/>
          <w:vertAlign w:val="superscript"/>
          <w:rtl/>
        </w:rPr>
        <w:footnoteReference w:id="2"/>
      </w:r>
      <w:r w:rsidRPr="004E4C40">
        <w:rPr>
          <w:rFonts w:ascii="Times New Roman" w:eastAsia="Calibri" w:hAnsi="Times New Roman" w:cs="Times New Roman"/>
          <w:sz w:val="28"/>
          <w:szCs w:val="28"/>
          <w:rtl/>
        </w:rPr>
        <w:t>.</w:t>
      </w:r>
    </w:p>
    <w:p w14:paraId="7E1799CD" w14:textId="77777777" w:rsidR="004E4C40" w:rsidRPr="00AE48FE" w:rsidRDefault="004E4C40" w:rsidP="00AE48FE">
      <w:pPr>
        <w:jc w:val="lowKashida"/>
        <w:rPr>
          <w:rFonts w:ascii="Times New Roman" w:eastAsia="Calibri" w:hAnsi="Times New Roman" w:cs="Times New Roman"/>
          <w:sz w:val="28"/>
          <w:szCs w:val="28"/>
        </w:rPr>
      </w:pPr>
      <w:r w:rsidRPr="004E4C40">
        <w:rPr>
          <w:rFonts w:ascii="Times New Roman" w:eastAsia="Calibri" w:hAnsi="Times New Roman" w:cs="Times New Roman"/>
          <w:sz w:val="28"/>
          <w:szCs w:val="28"/>
          <w:rtl/>
        </w:rPr>
        <w:t xml:space="preserve"> </w:t>
      </w:r>
      <w:r w:rsidR="00AE48FE">
        <w:rPr>
          <w:rFonts w:ascii="Times New Roman" w:eastAsia="Calibri" w:hAnsi="Times New Roman" w:cs="Times New Roman"/>
          <w:sz w:val="28"/>
          <w:szCs w:val="28"/>
        </w:rPr>
        <w:tab/>
      </w:r>
      <w:r w:rsidRPr="004E4C40">
        <w:rPr>
          <w:rFonts w:ascii="Times New Roman" w:eastAsia="Calibri" w:hAnsi="Times New Roman" w:cs="Times New Roman"/>
          <w:sz w:val="28"/>
          <w:szCs w:val="28"/>
        </w:rPr>
        <w:t>Despite the efforts made by the Bahraini government to promote women's economic rights in the same way as men, they still suffer from bad societal stereotypes that impede their participation in the labor market in Bahrain. There is still a societal view that limits the role of women in Bahraini society to the scope of the family and the upbringing of young people. That is evident in the unemployment rates among women in Bahrain being the highest in the world and their low contribution to the labor market compared to men. The percentage of unemployed women in Bahrain exceeds 63 percent, according to the General Federation of Bahrain Trade Unions. It also represents only about a fifth of the working population in Bahrain</w:t>
      </w:r>
      <w:r w:rsidRPr="004E4C40">
        <w:rPr>
          <w:rFonts w:ascii="Times New Roman" w:eastAsia="Calibri" w:hAnsi="Times New Roman" w:cs="Times New Roman"/>
          <w:sz w:val="28"/>
          <w:szCs w:val="28"/>
          <w:vertAlign w:val="superscript"/>
          <w:rtl/>
        </w:rPr>
        <w:footnoteReference w:id="3"/>
      </w:r>
      <w:r w:rsidRPr="004E4C40">
        <w:rPr>
          <w:rFonts w:ascii="Times New Roman" w:eastAsia="Calibri" w:hAnsi="Times New Roman" w:cs="Times New Roman"/>
          <w:sz w:val="28"/>
          <w:szCs w:val="28"/>
        </w:rPr>
        <w:t>, which is a very low percentage compared to the size of the reforms taken by the Bahraini government to increase its participation in the labor market. Some ministerial decisions in Bahrain discriminate against women in their enjoyment of their right to work in some sectors. A ministerial decree in Bahrain prohibits women from working in some industries, including mining, construction, factories, and the energy sector</w:t>
      </w:r>
      <w:r w:rsidRPr="004E4C40">
        <w:rPr>
          <w:rFonts w:ascii="Times New Roman" w:eastAsia="Calibri" w:hAnsi="Times New Roman" w:cs="Times New Roman"/>
          <w:sz w:val="28"/>
          <w:szCs w:val="28"/>
          <w:rtl/>
        </w:rPr>
        <w:t>.</w:t>
      </w:r>
      <w:r w:rsidRPr="004E4C40">
        <w:rPr>
          <w:rFonts w:ascii="Times New Roman" w:eastAsia="Calibri" w:hAnsi="Times New Roman" w:cs="Times New Roman"/>
          <w:sz w:val="28"/>
          <w:szCs w:val="28"/>
          <w:vertAlign w:val="superscript"/>
          <w:rtl/>
        </w:rPr>
        <w:t xml:space="preserve"> </w:t>
      </w:r>
      <w:r w:rsidRPr="004E4C40">
        <w:rPr>
          <w:rFonts w:ascii="Times New Roman" w:eastAsia="Calibri" w:hAnsi="Times New Roman" w:cs="Times New Roman"/>
          <w:sz w:val="28"/>
          <w:szCs w:val="28"/>
          <w:vertAlign w:val="superscript"/>
          <w:rtl/>
        </w:rPr>
        <w:footnoteReference w:id="4"/>
      </w:r>
    </w:p>
    <w:p w14:paraId="6A74370B" w14:textId="77777777" w:rsidR="004E4C40" w:rsidRPr="004E4C40" w:rsidRDefault="004E4C40" w:rsidP="004E4C40">
      <w:pPr>
        <w:ind w:left="-57"/>
        <w:jc w:val="lowKashida"/>
        <w:rPr>
          <w:rFonts w:ascii="Times New Roman" w:eastAsia="Times New Roman" w:hAnsi="Times New Roman" w:cs="Times New Roman"/>
          <w:b/>
          <w:bCs/>
          <w:color w:val="7030A0"/>
          <w:sz w:val="28"/>
          <w:szCs w:val="28"/>
          <w:rtl/>
          <w:lang w:bidi="ar-EG"/>
        </w:rPr>
      </w:pPr>
      <w:r w:rsidRPr="004E4C40">
        <w:rPr>
          <w:rFonts w:ascii="Times New Roman" w:eastAsia="Times New Roman" w:hAnsi="Times New Roman" w:cs="Times New Roman"/>
          <w:b/>
          <w:bCs/>
          <w:color w:val="7030A0"/>
          <w:sz w:val="28"/>
          <w:szCs w:val="28"/>
          <w:lang w:bidi="ar-EG"/>
        </w:rPr>
        <w:t>Article (6)</w:t>
      </w:r>
      <w:r w:rsidR="00AE48FE">
        <w:rPr>
          <w:rFonts w:ascii="Times New Roman" w:eastAsia="Times New Roman" w:hAnsi="Times New Roman" w:cs="Times New Roman"/>
          <w:b/>
          <w:bCs/>
          <w:color w:val="7030A0"/>
          <w:sz w:val="28"/>
          <w:szCs w:val="28"/>
          <w:lang w:bidi="ar-EG"/>
        </w:rPr>
        <w:t>:</w:t>
      </w:r>
      <w:r w:rsidRPr="004E4C40">
        <w:rPr>
          <w:rFonts w:ascii="Times New Roman" w:eastAsia="Times New Roman" w:hAnsi="Times New Roman" w:cs="Times New Roman"/>
          <w:b/>
          <w:bCs/>
          <w:color w:val="7030A0"/>
          <w:sz w:val="28"/>
          <w:szCs w:val="28"/>
          <w:lang w:bidi="ar-EG"/>
        </w:rPr>
        <w:t xml:space="preserve"> The Right to Work</w:t>
      </w:r>
      <w:r w:rsidRPr="004E4C40">
        <w:rPr>
          <w:rFonts w:ascii="Times New Roman" w:eastAsia="Times New Roman" w:hAnsi="Times New Roman" w:cs="Times New Roman"/>
          <w:b/>
          <w:bCs/>
          <w:color w:val="7030A0"/>
          <w:sz w:val="28"/>
          <w:szCs w:val="28"/>
          <w:rtl/>
          <w:lang w:bidi="ar-EG"/>
        </w:rPr>
        <w:t>:</w:t>
      </w:r>
      <w:r w:rsidRPr="004E4C40">
        <w:rPr>
          <w:rFonts w:ascii="Times New Roman" w:eastAsia="Times New Roman" w:hAnsi="Times New Roman" w:cs="Times New Roman" w:hint="cs"/>
          <w:b/>
          <w:bCs/>
          <w:color w:val="7030A0"/>
          <w:sz w:val="28"/>
          <w:szCs w:val="28"/>
          <w:rtl/>
          <w:lang w:bidi="ar-EG"/>
        </w:rPr>
        <w:t xml:space="preserve"> </w:t>
      </w:r>
    </w:p>
    <w:p w14:paraId="07709EA8" w14:textId="77777777" w:rsidR="004E4C40" w:rsidRPr="004E4C40" w:rsidRDefault="004E4C40" w:rsidP="00AE48FE">
      <w:pPr>
        <w:ind w:firstLine="720"/>
        <w:rPr>
          <w:rFonts w:ascii="Times New Roman" w:eastAsia="Calibri" w:hAnsi="Times New Roman" w:cs="Times New Roman"/>
          <w:sz w:val="28"/>
          <w:szCs w:val="28"/>
        </w:rPr>
      </w:pPr>
      <w:r w:rsidRPr="004E4C40">
        <w:rPr>
          <w:rFonts w:ascii="Times New Roman" w:eastAsia="Calibri" w:hAnsi="Times New Roman" w:cs="Times New Roman"/>
          <w:sz w:val="28"/>
          <w:szCs w:val="28"/>
        </w:rPr>
        <w:lastRenderedPageBreak/>
        <w:t xml:space="preserve">The Kingdom of Bahrain has guaranteed the right to work for citizens in the constitution and Bahraini law under Article VI of the International Covenant on Economic, Social, and Cultural Rights. It has </w:t>
      </w:r>
      <w:r w:rsidR="00AE48FE">
        <w:rPr>
          <w:rFonts w:ascii="Times New Roman" w:eastAsia="Calibri" w:hAnsi="Times New Roman" w:cs="Times New Roman"/>
          <w:sz w:val="28"/>
          <w:szCs w:val="28"/>
        </w:rPr>
        <w:t>adopted several</w:t>
      </w:r>
      <w:r w:rsidRPr="004E4C40">
        <w:rPr>
          <w:rFonts w:ascii="Times New Roman" w:eastAsia="Calibri" w:hAnsi="Times New Roman" w:cs="Times New Roman"/>
          <w:sz w:val="28"/>
          <w:szCs w:val="28"/>
        </w:rPr>
        <w:t xml:space="preserve"> measures to ensure the maintenance of this right, including measures related to job creation, technical and vocational guidance, and training programs. Article (13) of the Constitution of the Kingdom of Bahrain stipulates that "every citizen has the right to work and to choose its type under public order and morals; the state must guarantee the provision of job opportunities for citizens and the fairness of its conditions</w:t>
      </w:r>
      <w:r w:rsidRPr="004E4C40">
        <w:rPr>
          <w:rFonts w:ascii="Times New Roman" w:eastAsia="Calibri" w:hAnsi="Times New Roman" w:cs="Times New Roman"/>
          <w:sz w:val="28"/>
          <w:szCs w:val="28"/>
          <w:rtl/>
        </w:rPr>
        <w:t>.</w:t>
      </w:r>
      <w:r w:rsidRPr="004E4C40">
        <w:rPr>
          <w:rFonts w:ascii="Times New Roman" w:eastAsia="Calibri" w:hAnsi="Times New Roman" w:cs="Times New Roman"/>
          <w:sz w:val="28"/>
          <w:szCs w:val="28"/>
          <w:vertAlign w:val="superscript"/>
          <w:rtl/>
        </w:rPr>
        <w:t xml:space="preserve"> </w:t>
      </w:r>
      <w:r w:rsidRPr="004E4C40">
        <w:rPr>
          <w:rFonts w:ascii="Times New Roman" w:eastAsia="Calibri" w:hAnsi="Times New Roman" w:cs="Times New Roman"/>
          <w:sz w:val="28"/>
          <w:szCs w:val="28"/>
          <w:vertAlign w:val="superscript"/>
          <w:rtl/>
        </w:rPr>
        <w:footnoteReference w:id="5"/>
      </w:r>
    </w:p>
    <w:p w14:paraId="0683379A" w14:textId="77777777" w:rsidR="004E4C40" w:rsidRPr="004E4C40" w:rsidRDefault="004E4C40" w:rsidP="009F1D14">
      <w:pPr>
        <w:ind w:firstLine="720"/>
        <w:rPr>
          <w:rFonts w:ascii="Times New Roman" w:eastAsia="Calibri" w:hAnsi="Times New Roman" w:cs="Times New Roman"/>
          <w:sz w:val="28"/>
          <w:szCs w:val="28"/>
          <w:rtl/>
        </w:rPr>
      </w:pPr>
      <w:r w:rsidRPr="004E4C40">
        <w:rPr>
          <w:rFonts w:ascii="Times New Roman" w:eastAsia="Calibri" w:hAnsi="Times New Roman" w:cs="Times New Roman"/>
          <w:sz w:val="28"/>
          <w:szCs w:val="28"/>
        </w:rPr>
        <w:t>Bahrain takes many measures and policies, launches many initiatives and projects to provide suitable job opportunities for citizens, and provides training programs that meet the labor market requirements. In March 2014, the Bahraini Ministry of Labor launched a project to recruit and qualify Bahrainis (2) at 13 million Bahraini dinars to create suitable job opportunities for citizens. Since the establishment of the Bahraini Labor Fund known as "Tamkeen" in August 2006, it launched more than 200 programs and initiatives in many fields such as financing, training, qualification, and encouraging entrepreneurship. Training and qualifying nearly 13,000 Bahraini citizens in various disciplines and providing support to more than 100,000 Bahraini citizens and more than 35,000 institutions in disciplines and fields</w:t>
      </w:r>
      <w:r w:rsidRPr="004E4C40">
        <w:rPr>
          <w:rFonts w:ascii="Times New Roman" w:eastAsia="Calibri" w:hAnsi="Times New Roman" w:cs="Times New Roman"/>
          <w:sz w:val="28"/>
          <w:szCs w:val="28"/>
          <w:vertAlign w:val="superscript"/>
          <w:rtl/>
          <w:lang w:bidi="ar-EG"/>
        </w:rPr>
        <w:footnoteReference w:id="6"/>
      </w:r>
      <w:r w:rsidRPr="004E4C40">
        <w:rPr>
          <w:rFonts w:ascii="Times New Roman" w:eastAsia="Calibri" w:hAnsi="Times New Roman" w:cs="Times New Roman"/>
          <w:sz w:val="28"/>
          <w:szCs w:val="28"/>
          <w:rtl/>
        </w:rPr>
        <w:t>.</w:t>
      </w:r>
    </w:p>
    <w:p w14:paraId="72F8B4A2" w14:textId="77777777" w:rsidR="004E4C40" w:rsidRPr="004E4C40" w:rsidRDefault="004E4C40" w:rsidP="009F1D14">
      <w:pPr>
        <w:ind w:firstLine="720"/>
        <w:rPr>
          <w:rFonts w:ascii="Times New Roman" w:eastAsia="Calibri" w:hAnsi="Times New Roman" w:cs="Times New Roman"/>
          <w:sz w:val="28"/>
          <w:szCs w:val="28"/>
          <w:rtl/>
        </w:rPr>
      </w:pPr>
      <w:r w:rsidRPr="004E4C40">
        <w:rPr>
          <w:rFonts w:ascii="Times New Roman" w:eastAsia="Calibri" w:hAnsi="Times New Roman" w:cs="Times New Roman"/>
          <w:sz w:val="28"/>
          <w:szCs w:val="28"/>
        </w:rPr>
        <w:t>Despite the efforts of the Kingdom of Bahrain to enhance the right of citizens to work by launching several programs and initiatives aimed at providing job opportunities for citizens and integrating them into the private sector, the unemployment rate in the State of Bahrain has recently been witnessing a steady rise following the economic closure measures imposed by the pandemic Corona. The general unemployment rate in Bahrain during the year 2020 reached more than 10 percent, according to a study prepared by the General Federation of Bahrain Trade Unions, a rate different from what was announced by the Bahraini government, which considered that the unemployment rate has stabilized at 5 % within safe limits</w:t>
      </w:r>
      <w:r w:rsidRPr="004E4C40">
        <w:rPr>
          <w:rFonts w:ascii="Times New Roman" w:eastAsia="Calibri" w:hAnsi="Times New Roman" w:cs="Times New Roman"/>
          <w:sz w:val="28"/>
          <w:szCs w:val="28"/>
          <w:rtl/>
        </w:rPr>
        <w:t>.</w:t>
      </w:r>
      <w:r w:rsidRPr="004E4C40">
        <w:rPr>
          <w:rFonts w:ascii="Times New Roman" w:eastAsia="Calibri" w:hAnsi="Times New Roman" w:cs="Times New Roman"/>
          <w:sz w:val="28"/>
          <w:szCs w:val="28"/>
          <w:vertAlign w:val="superscript"/>
          <w:rtl/>
          <w:lang w:bidi="ar-EG"/>
        </w:rPr>
        <w:t xml:space="preserve"> </w:t>
      </w:r>
      <w:r w:rsidRPr="004E4C40">
        <w:rPr>
          <w:rFonts w:ascii="Times New Roman" w:eastAsia="Calibri" w:hAnsi="Times New Roman" w:cs="Times New Roman"/>
          <w:sz w:val="28"/>
          <w:szCs w:val="28"/>
          <w:vertAlign w:val="superscript"/>
          <w:rtl/>
          <w:lang w:bidi="ar-EG"/>
        </w:rPr>
        <w:footnoteReference w:id="7"/>
      </w:r>
    </w:p>
    <w:p w14:paraId="4A3692B4" w14:textId="77777777" w:rsidR="004E4C40" w:rsidRPr="004E4C40" w:rsidRDefault="004E4C40" w:rsidP="009F1D14">
      <w:pPr>
        <w:ind w:firstLine="720"/>
        <w:jc w:val="lowKashida"/>
        <w:rPr>
          <w:rFonts w:ascii="Times New Roman" w:eastAsia="Calibri" w:hAnsi="Times New Roman" w:cs="Times New Roman"/>
          <w:sz w:val="28"/>
          <w:szCs w:val="28"/>
        </w:rPr>
      </w:pPr>
      <w:r w:rsidRPr="004E4C40">
        <w:rPr>
          <w:rFonts w:ascii="Times New Roman" w:eastAsia="Calibri" w:hAnsi="Times New Roman" w:cs="Times New Roman"/>
          <w:sz w:val="28"/>
          <w:szCs w:val="28"/>
        </w:rPr>
        <w:lastRenderedPageBreak/>
        <w:t>In a completely different way to the national legislation in the Kingdom of Bahrain, which did not discriminate in employment between individuals based on gender, race, origin, or color, the reality is that there is discrimination in the recruitment process. Foreign workers and Bahraini citizens of Shiite origin face discrimination. The International Labor Organization and some international NGOs have noted that foreign workers in Bahrain face systematic discrimination in the recruitment process and the workplace. It is common for employers in Bahrain to advertise jobs for specific nationalities or languages ​​without justifying why they only accept people from that specific nationality or language group. It is the same discrimination faced by the Shiite citizens in Bahrain; some human rights organizations reported that Shiite citizens in Bahrain face occupational discrimination in both the public and private sectors. They are prohibited from assuming important and sensitive governmental, leadership, and administrative professions and positions in the country, including professions in security and police services; Bahraini army forces, which are often limited to Sunni citizens only</w:t>
      </w:r>
      <w:r w:rsidRPr="004E4C40">
        <w:rPr>
          <w:rFonts w:ascii="Times New Roman" w:eastAsia="Calibri" w:hAnsi="Times New Roman" w:cs="Times New Roman"/>
          <w:sz w:val="28"/>
          <w:szCs w:val="28"/>
          <w:vertAlign w:val="superscript"/>
          <w:rtl/>
          <w:lang w:bidi="ar-EG"/>
        </w:rPr>
        <w:footnoteReference w:id="8"/>
      </w:r>
      <w:r w:rsidRPr="004E4C40">
        <w:rPr>
          <w:rFonts w:ascii="Times New Roman" w:eastAsia="Calibri" w:hAnsi="Times New Roman" w:cs="Times New Roman"/>
          <w:sz w:val="28"/>
          <w:szCs w:val="28"/>
          <w:rtl/>
        </w:rPr>
        <w:t>.</w:t>
      </w:r>
    </w:p>
    <w:p w14:paraId="2AA6D3F1" w14:textId="77777777" w:rsidR="004E4C40" w:rsidRPr="004E4C40" w:rsidRDefault="004E4C40" w:rsidP="009F1D14">
      <w:pPr>
        <w:ind w:left="-57" w:firstLine="57"/>
        <w:jc w:val="lowKashida"/>
        <w:rPr>
          <w:rFonts w:ascii="Times New Roman" w:eastAsia="Times New Roman" w:hAnsi="Times New Roman" w:cs="Times New Roman"/>
          <w:b/>
          <w:bCs/>
          <w:color w:val="7030A0"/>
          <w:sz w:val="28"/>
          <w:szCs w:val="28"/>
          <w:rtl/>
          <w:lang w:bidi="ar-EG"/>
        </w:rPr>
      </w:pPr>
      <w:r w:rsidRPr="004E4C40">
        <w:rPr>
          <w:rFonts w:ascii="Times New Roman" w:eastAsia="Times New Roman" w:hAnsi="Times New Roman" w:cs="Times New Roman"/>
          <w:b/>
          <w:bCs/>
          <w:color w:val="7030A0"/>
          <w:sz w:val="28"/>
          <w:szCs w:val="28"/>
          <w:lang w:bidi="ar-EG"/>
        </w:rPr>
        <w:t>Article (7)</w:t>
      </w:r>
      <w:r w:rsidR="009F1D14">
        <w:rPr>
          <w:rFonts w:ascii="Times New Roman" w:eastAsia="Times New Roman" w:hAnsi="Times New Roman" w:cs="Times New Roman"/>
          <w:b/>
          <w:bCs/>
          <w:color w:val="7030A0"/>
          <w:sz w:val="28"/>
          <w:szCs w:val="28"/>
          <w:lang w:bidi="ar-EG"/>
        </w:rPr>
        <w:t>:</w:t>
      </w:r>
      <w:r w:rsidRPr="004E4C40">
        <w:rPr>
          <w:rFonts w:ascii="Times New Roman" w:eastAsia="Times New Roman" w:hAnsi="Times New Roman" w:cs="Times New Roman"/>
          <w:b/>
          <w:bCs/>
          <w:color w:val="7030A0"/>
          <w:sz w:val="28"/>
          <w:szCs w:val="28"/>
          <w:lang w:bidi="ar-EG"/>
        </w:rPr>
        <w:t xml:space="preserve"> The Right to Just and Satisfactory Conditions of Work</w:t>
      </w:r>
      <w:r w:rsidRPr="004E4C40">
        <w:rPr>
          <w:rFonts w:ascii="Times New Roman" w:eastAsia="Times New Roman" w:hAnsi="Times New Roman" w:cs="Times New Roman"/>
          <w:b/>
          <w:bCs/>
          <w:color w:val="7030A0"/>
          <w:sz w:val="28"/>
          <w:szCs w:val="28"/>
          <w:rtl/>
          <w:lang w:bidi="ar-EG"/>
        </w:rPr>
        <w:t>:</w:t>
      </w:r>
    </w:p>
    <w:p w14:paraId="5D1D8224" w14:textId="77777777" w:rsidR="004E4C40" w:rsidRPr="004E4C40" w:rsidRDefault="004E4C40" w:rsidP="009F1D14">
      <w:pPr>
        <w:ind w:firstLine="720"/>
        <w:rPr>
          <w:rFonts w:ascii="Times New Roman" w:eastAsia="Calibri" w:hAnsi="Times New Roman" w:cs="Times New Roman"/>
          <w:sz w:val="28"/>
          <w:szCs w:val="28"/>
          <w:rtl/>
          <w:lang w:bidi="ar-EG"/>
        </w:rPr>
      </w:pPr>
      <w:r w:rsidRPr="004E4C40">
        <w:rPr>
          <w:rFonts w:ascii="Times New Roman" w:eastAsia="Calibri" w:hAnsi="Times New Roman" w:cs="Times New Roman"/>
          <w:sz w:val="28"/>
          <w:szCs w:val="28"/>
          <w:lang w:bidi="ar-EG"/>
        </w:rPr>
        <w:t xml:space="preserve">Over the past years, the Kingdom of Bahrain has taken steps to ensure that working citizens can enjoy just and favorable work conditions under its international obligations under Article VII of the Covenant. That was evident in the Bahraini government's guarantee of equitable wages, rewards, and allowances for males and females alike in the same value and proportion. Article (15) of the Civil Service Law and Article (10) of the Executive Regulations of the Civil Service Law stipulate that the determination of salaries and job benefits for all employees is carried out by a decision of the Prime Minister based on a proposal by the Civil Service Commission. That makes all employees under the umbrella of the civil service receive a fair wage without any discrimination. Bahraini law also guarantees all employees annual leave, sick leave, and paid rest times. According to Article </w:t>
      </w:r>
      <w:proofErr w:type="gramStart"/>
      <w:r w:rsidRPr="004E4C40">
        <w:rPr>
          <w:rFonts w:ascii="Times New Roman" w:eastAsia="Calibri" w:hAnsi="Times New Roman" w:cs="Times New Roman"/>
          <w:sz w:val="28"/>
          <w:szCs w:val="28"/>
          <w:lang w:bidi="ar-EG"/>
        </w:rPr>
        <w:t>No(</w:t>
      </w:r>
      <w:proofErr w:type="gramEnd"/>
      <w:r w:rsidRPr="004E4C40">
        <w:rPr>
          <w:rFonts w:ascii="Times New Roman" w:eastAsia="Calibri" w:hAnsi="Times New Roman" w:cs="Times New Roman"/>
          <w:sz w:val="28"/>
          <w:szCs w:val="28"/>
          <w:lang w:bidi="ar-EG"/>
        </w:rPr>
        <w:t xml:space="preserve">28) and Article (30) Clause (1) Paragraph (A) of the Executive Regulations of the Civil Service Law in Bahrain, employees are equal in entitlement to paid annual leave at a rate of thirty working </w:t>
      </w:r>
      <w:r w:rsidRPr="004E4C40">
        <w:rPr>
          <w:rFonts w:ascii="Times New Roman" w:eastAsia="Calibri" w:hAnsi="Times New Roman" w:cs="Times New Roman"/>
          <w:sz w:val="28"/>
          <w:szCs w:val="28"/>
          <w:lang w:bidi="ar-EG"/>
        </w:rPr>
        <w:lastRenderedPageBreak/>
        <w:t>days for each year of service. In addition to their entitlement to paid sick leave based on approved medical certificates at a rate of twenty-four working days per year, they are also entitled to paid leave on public and weekly holidays. Under Article No (26) of the Executive Regulations of the Civil Service Law, the Bahraini Labor Law sets the maximum daily working hours at eight hours and the number of weekly working hours at forty-eight hours per week, to ensure the health and occupational safety of workers in Bahrain, the Kingdom of Bahrain, in Ministerial Resolution No. (3) Of 2013, prohibited employers in Bahrain from forcing workers to work at noon under direct sunlight in July and August</w:t>
      </w:r>
      <w:r w:rsidRPr="004E4C40">
        <w:rPr>
          <w:rFonts w:ascii="Times New Roman" w:eastAsia="Calibri" w:hAnsi="Times New Roman" w:cs="Times New Roman"/>
          <w:sz w:val="28"/>
          <w:szCs w:val="28"/>
          <w:rtl/>
          <w:lang w:bidi="ar-EG"/>
        </w:rPr>
        <w:t>.</w:t>
      </w:r>
      <w:r w:rsidRPr="004E4C40">
        <w:rPr>
          <w:rFonts w:ascii="Times New Roman" w:eastAsia="Calibri" w:hAnsi="Times New Roman" w:cs="Times New Roman"/>
          <w:sz w:val="28"/>
          <w:szCs w:val="28"/>
          <w:vertAlign w:val="superscript"/>
          <w:rtl/>
          <w:lang w:bidi="ar-EG"/>
        </w:rPr>
        <w:footnoteReference w:id="9"/>
      </w:r>
    </w:p>
    <w:p w14:paraId="501684C1" w14:textId="77777777" w:rsidR="004E4C40" w:rsidRPr="004E4C40" w:rsidRDefault="004E4C40" w:rsidP="009F1D14">
      <w:pPr>
        <w:ind w:firstLine="720"/>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Despite Bahrain's efforts to ensure that all its employees enjoy the right to just and satisfactory working conditions under its international obligations, there are many violations against foreign workers, including domestic workers, of their right to enjoy just and favorable work conditions. Foreign workers, especially workers in the construction and service sectors, domestic workers, are subject to forced and compulsory labor. They are subject to withholding passports, working long hours, restricted movement, the substitution of contracts, non-payment of wages, working during prohibition time, and physical, psychological, and sexual abuse by their employers. The number of complaints submitted by foreign workers, including domestic workers, to the Ministry of Labor during 2020 about being denied one of the fair and satisfactory conditions of work under Bahraini law, such as non-payment of wages or denial of leave, reached more than 1,979 complaints. The Bahraini Ministry of Labor also documented in August 2020 that 16 foreign workers were subject to forced labor during the annual summer work ban</w:t>
      </w:r>
      <w:r w:rsidRPr="004E4C40">
        <w:rPr>
          <w:rFonts w:ascii="Times New Roman" w:eastAsia="Calibri" w:hAnsi="Times New Roman" w:cs="Times New Roman"/>
          <w:sz w:val="28"/>
          <w:szCs w:val="28"/>
          <w:vertAlign w:val="superscript"/>
          <w:rtl/>
          <w:lang w:bidi="ar-EG"/>
        </w:rPr>
        <w:footnoteReference w:id="10"/>
      </w:r>
      <w:r w:rsidRPr="004E4C40">
        <w:rPr>
          <w:rFonts w:ascii="Times New Roman" w:eastAsia="Calibri" w:hAnsi="Times New Roman" w:cs="Times New Roman"/>
          <w:sz w:val="28"/>
          <w:szCs w:val="28"/>
          <w:rtl/>
          <w:lang w:bidi="ar-EG"/>
        </w:rPr>
        <w:t>.</w:t>
      </w:r>
    </w:p>
    <w:p w14:paraId="0AEFCC9D" w14:textId="77777777" w:rsidR="004E4C40" w:rsidRPr="004E4C40" w:rsidRDefault="004E4C40" w:rsidP="004E4C40">
      <w:pPr>
        <w:rPr>
          <w:rFonts w:ascii="Times New Roman" w:eastAsia="Calibri" w:hAnsi="Times New Roman" w:cs="Times New Roman"/>
          <w:sz w:val="28"/>
          <w:szCs w:val="28"/>
          <w:rtl/>
          <w:lang w:bidi="ar-EG"/>
        </w:rPr>
      </w:pPr>
    </w:p>
    <w:p w14:paraId="2C89571D" w14:textId="77777777" w:rsidR="004E4C40" w:rsidRPr="004E4C40" w:rsidRDefault="004E4C40" w:rsidP="009F1D14">
      <w:pPr>
        <w:ind w:firstLine="720"/>
        <w:jc w:val="lowKashida"/>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The Bahraini labor law completely excludes domestic workers from the scope of its protection, as they are not covered by its protection, which makes business owners exploit them. According to reliable reports, d</w:t>
      </w:r>
      <w:r w:rsidR="009F1D14">
        <w:rPr>
          <w:rFonts w:ascii="Times New Roman" w:eastAsia="Calibri" w:hAnsi="Times New Roman" w:cs="Times New Roman"/>
          <w:sz w:val="28"/>
          <w:szCs w:val="28"/>
          <w:lang w:bidi="ar-EG"/>
        </w:rPr>
        <w:t xml:space="preserve">omestic workers in Bahrain, whose number exceeds </w:t>
      </w:r>
      <w:r w:rsidRPr="004E4C40">
        <w:rPr>
          <w:rFonts w:ascii="Times New Roman" w:eastAsia="Calibri" w:hAnsi="Times New Roman" w:cs="Times New Roman"/>
          <w:sz w:val="28"/>
          <w:szCs w:val="28"/>
          <w:lang w:bidi="ar-EG"/>
        </w:rPr>
        <w:t xml:space="preserve">86,000, are subjected to </w:t>
      </w:r>
      <w:r w:rsidR="009F1D14">
        <w:rPr>
          <w:rFonts w:ascii="Times New Roman" w:eastAsia="Calibri" w:hAnsi="Times New Roman" w:cs="Times New Roman"/>
          <w:sz w:val="28"/>
          <w:szCs w:val="28"/>
          <w:lang w:bidi="ar-EG"/>
        </w:rPr>
        <w:t xml:space="preserve">numerous violations; including </w:t>
      </w:r>
      <w:r w:rsidRPr="004E4C40">
        <w:rPr>
          <w:rFonts w:ascii="Times New Roman" w:eastAsia="Calibri" w:hAnsi="Times New Roman" w:cs="Times New Roman"/>
          <w:sz w:val="28"/>
          <w:szCs w:val="28"/>
          <w:lang w:bidi="ar-EG"/>
        </w:rPr>
        <w:t xml:space="preserve">non-payment of wages, forced </w:t>
      </w:r>
      <w:r w:rsidRPr="004E4C40">
        <w:rPr>
          <w:rFonts w:ascii="Times New Roman" w:eastAsia="Calibri" w:hAnsi="Times New Roman" w:cs="Times New Roman"/>
          <w:sz w:val="28"/>
          <w:szCs w:val="28"/>
          <w:lang w:bidi="ar-EG"/>
        </w:rPr>
        <w:lastRenderedPageBreak/>
        <w:t>confinement, long working hours, so</w:t>
      </w:r>
      <w:r w:rsidR="009F1D14">
        <w:rPr>
          <w:rFonts w:ascii="Times New Roman" w:eastAsia="Calibri" w:hAnsi="Times New Roman" w:cs="Times New Roman"/>
          <w:sz w:val="28"/>
          <w:szCs w:val="28"/>
          <w:lang w:bidi="ar-EG"/>
        </w:rPr>
        <w:t xml:space="preserve">metimes up to 16 hours per day </w:t>
      </w:r>
      <w:r w:rsidRPr="004E4C40">
        <w:rPr>
          <w:rFonts w:ascii="Times New Roman" w:eastAsia="Calibri" w:hAnsi="Times New Roman" w:cs="Times New Roman"/>
          <w:sz w:val="28"/>
          <w:szCs w:val="28"/>
          <w:lang w:bidi="ar-EG"/>
        </w:rPr>
        <w:t>without a break, passport confiscation, food deprivation, and inappropriate accommodation. In addition to being subjected to verbal and physical abuse, including sexual harassment and rape, and the withdrawal of identity documents to restrict their movement, they are deprived of all fair and satisfactory work conditions, including rest times, weekends, and overtime compensation</w:t>
      </w:r>
      <w:r w:rsidRPr="004E4C40">
        <w:rPr>
          <w:rFonts w:ascii="Times New Roman" w:eastAsia="Calibri" w:hAnsi="Times New Roman" w:cs="Times New Roman"/>
          <w:sz w:val="28"/>
          <w:szCs w:val="28"/>
          <w:vertAlign w:val="superscript"/>
          <w:rtl/>
          <w:lang w:bidi="ar-EG"/>
        </w:rPr>
        <w:footnoteReference w:id="11"/>
      </w:r>
      <w:r w:rsidRPr="004E4C40">
        <w:rPr>
          <w:rFonts w:ascii="Times New Roman" w:eastAsia="Calibri" w:hAnsi="Times New Roman" w:cs="Times New Roman"/>
          <w:sz w:val="28"/>
          <w:szCs w:val="28"/>
          <w:rtl/>
          <w:lang w:bidi="ar-EG"/>
        </w:rPr>
        <w:t>.</w:t>
      </w:r>
    </w:p>
    <w:p w14:paraId="2BDFB03B" w14:textId="77777777" w:rsidR="004E4C40" w:rsidRPr="004E4C40" w:rsidRDefault="004E4C40" w:rsidP="004E4C40">
      <w:pPr>
        <w:ind w:left="-57"/>
        <w:rPr>
          <w:rFonts w:ascii="Times New Roman" w:eastAsia="Times New Roman" w:hAnsi="Times New Roman" w:cs="Times New Roman"/>
          <w:b/>
          <w:bCs/>
          <w:color w:val="7030A0"/>
          <w:sz w:val="28"/>
          <w:szCs w:val="28"/>
          <w:rtl/>
          <w:lang w:bidi="ar-EG"/>
        </w:rPr>
      </w:pPr>
      <w:r w:rsidRPr="004E4C40">
        <w:rPr>
          <w:rFonts w:ascii="Times New Roman" w:eastAsia="Times New Roman" w:hAnsi="Times New Roman" w:cs="Times New Roman"/>
          <w:b/>
          <w:bCs/>
          <w:color w:val="7030A0"/>
          <w:sz w:val="28"/>
          <w:szCs w:val="28"/>
          <w:lang w:bidi="ar-EG"/>
        </w:rPr>
        <w:t>Recommendations</w:t>
      </w:r>
    </w:p>
    <w:p w14:paraId="3F787FDB" w14:textId="77777777" w:rsidR="004E4C40" w:rsidRPr="004E4C40" w:rsidRDefault="004E4C40" w:rsidP="009F1D14">
      <w:pPr>
        <w:ind w:firstLine="360"/>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Bahrain makes efforts to ensure that individuals residing obtain all the economic, social, and cultural rights guaranteed in the International Covenant on Economic, Social, and Cultural Rights, such as the right to work, enjoy just and satisfactory working conditions form trade unions, security and social insurance, and the right to health and education. Despite all the efforts, there is an urgent need to exert Kingdom efforts towards some issues that involve widespread violations of the set of economic, social, and cultural rights stipulated in the International Covenant on Economic, Social, and Cultural Rights, including issues of discrimination and inequality in employment, forced and compulsory labor and other violations of economic rights faced by foreign workers, especially domestic workers, in Bahrain. In this context, Maat for Peace, Development and Human Rights presents its recommendations to the State of Bahrain to improve the climate for economic, cultural, and social rights, as follows</w:t>
      </w:r>
      <w:r w:rsidRPr="004E4C40">
        <w:rPr>
          <w:rFonts w:ascii="Times New Roman" w:eastAsia="Calibri" w:hAnsi="Times New Roman" w:cs="Times New Roman"/>
          <w:sz w:val="28"/>
          <w:szCs w:val="28"/>
          <w:rtl/>
          <w:lang w:bidi="ar-EG"/>
        </w:rPr>
        <w:t>:</w:t>
      </w:r>
    </w:p>
    <w:p w14:paraId="0CCDC5C9" w14:textId="77777777" w:rsidR="004E4C40" w:rsidRPr="004E4C40" w:rsidRDefault="004E4C40" w:rsidP="009F1D14">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w:t>
      </w:r>
      <w:r w:rsidR="009F1D14">
        <w:rPr>
          <w:rFonts w:ascii="Times New Roman" w:eastAsia="Calibri" w:hAnsi="Times New Roman" w:cs="Times New Roman"/>
          <w:sz w:val="28"/>
          <w:szCs w:val="28"/>
          <w:lang w:bidi="ar-EG"/>
        </w:rPr>
        <w:t>need</w:t>
      </w:r>
      <w:r w:rsidRPr="004E4C40">
        <w:rPr>
          <w:rFonts w:ascii="Times New Roman" w:eastAsia="Calibri" w:hAnsi="Times New Roman" w:cs="Times New Roman"/>
          <w:sz w:val="28"/>
          <w:szCs w:val="28"/>
          <w:lang w:bidi="ar-EG"/>
        </w:rPr>
        <w:t xml:space="preserve"> to increase the rate of women's participation in the labor market by adopting many initiatives, programs, and awareness campaigns to change bad stereotypes about the role of women in Bahraini society</w:t>
      </w:r>
      <w:r w:rsidR="009F1D14">
        <w:rPr>
          <w:rFonts w:ascii="Times New Roman" w:eastAsia="Calibri" w:hAnsi="Times New Roman" w:cs="Times New Roman"/>
          <w:sz w:val="28"/>
          <w:szCs w:val="28"/>
          <w:lang w:bidi="ar-EG"/>
        </w:rPr>
        <w:t>;</w:t>
      </w:r>
    </w:p>
    <w:p w14:paraId="4D295F99" w14:textId="77777777" w:rsidR="004E4C40" w:rsidRPr="004E4C40" w:rsidRDefault="004E4C40" w:rsidP="004E4C40">
      <w:pPr>
        <w:ind w:left="720"/>
        <w:contextualSpacing/>
        <w:rPr>
          <w:rFonts w:ascii="Times New Roman" w:eastAsia="Calibri" w:hAnsi="Times New Roman" w:cs="Times New Roman"/>
          <w:sz w:val="28"/>
          <w:szCs w:val="28"/>
          <w:lang w:bidi="ar-EG"/>
        </w:rPr>
      </w:pPr>
    </w:p>
    <w:p w14:paraId="47455789" w14:textId="77777777" w:rsidR="004E4C40" w:rsidRDefault="004E4C40" w:rsidP="009F1D14">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w:t>
      </w:r>
      <w:r w:rsidR="009F1D14">
        <w:rPr>
          <w:rFonts w:ascii="Times New Roman" w:eastAsia="Calibri" w:hAnsi="Times New Roman" w:cs="Times New Roman"/>
          <w:sz w:val="28"/>
          <w:szCs w:val="28"/>
          <w:lang w:bidi="ar-EG"/>
        </w:rPr>
        <w:t>need to cancel</w:t>
      </w:r>
      <w:r w:rsidRPr="004E4C40">
        <w:rPr>
          <w:rFonts w:ascii="Times New Roman" w:eastAsia="Calibri" w:hAnsi="Times New Roman" w:cs="Times New Roman"/>
          <w:sz w:val="28"/>
          <w:szCs w:val="28"/>
          <w:lang w:bidi="ar-EG"/>
        </w:rPr>
        <w:t xml:space="preserve"> ministerial decisions that discriminate against women in their enjoyment of their right to work. Such as prohibiting women from working in industries such as mining, construction, factories, and the energy sector</w:t>
      </w:r>
      <w:r w:rsidR="009F1D14">
        <w:rPr>
          <w:rFonts w:ascii="Times New Roman" w:eastAsia="Calibri" w:hAnsi="Times New Roman" w:cs="Times New Roman"/>
          <w:sz w:val="28"/>
          <w:szCs w:val="28"/>
          <w:lang w:bidi="ar-EG"/>
        </w:rPr>
        <w:t>;</w:t>
      </w:r>
    </w:p>
    <w:p w14:paraId="4A3BEC46" w14:textId="77777777" w:rsidR="009F1D14" w:rsidRPr="009F1D14" w:rsidRDefault="009F1D14" w:rsidP="009F1D14">
      <w:pPr>
        <w:contextualSpacing/>
        <w:rPr>
          <w:rFonts w:ascii="Times New Roman" w:eastAsia="Calibri" w:hAnsi="Times New Roman" w:cs="Times New Roman"/>
          <w:sz w:val="28"/>
          <w:szCs w:val="28"/>
          <w:lang w:bidi="ar-EG"/>
        </w:rPr>
      </w:pPr>
    </w:p>
    <w:p w14:paraId="77E41A89" w14:textId="77777777" w:rsidR="004E4C40" w:rsidRPr="004E4C40" w:rsidRDefault="004E4C40" w:rsidP="009F1D14">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lastRenderedPageBreak/>
        <w:t>The need to launch more effective programs and strategies to reduce high unemployment rates</w:t>
      </w:r>
      <w:r w:rsidR="009F1D14">
        <w:rPr>
          <w:rFonts w:ascii="Times New Roman" w:eastAsia="Calibri" w:hAnsi="Times New Roman" w:cs="Times New Roman"/>
          <w:sz w:val="28"/>
          <w:szCs w:val="28"/>
          <w:lang w:bidi="ar-EG"/>
        </w:rPr>
        <w:t>;</w:t>
      </w:r>
    </w:p>
    <w:p w14:paraId="04DAE333" w14:textId="77777777" w:rsidR="004E4C40" w:rsidRPr="004E4C40" w:rsidRDefault="004E4C40" w:rsidP="004E4C40">
      <w:pPr>
        <w:bidi/>
        <w:ind w:left="720" w:hanging="357"/>
        <w:contextualSpacing/>
        <w:rPr>
          <w:rFonts w:ascii="Times New Roman" w:eastAsia="Calibri" w:hAnsi="Times New Roman" w:cs="Times New Roman"/>
          <w:sz w:val="28"/>
          <w:szCs w:val="28"/>
          <w:lang w:bidi="ar-EG"/>
        </w:rPr>
      </w:pPr>
    </w:p>
    <w:p w14:paraId="5C4ABE84" w14:textId="77777777" w:rsidR="004E4C40" w:rsidRPr="004E4C40" w:rsidRDefault="004E4C40" w:rsidP="00B20F6C">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need to end all forms of discrimination </w:t>
      </w:r>
      <w:r w:rsidR="00B20F6C" w:rsidRPr="004E4C40">
        <w:rPr>
          <w:rFonts w:ascii="Times New Roman" w:eastAsia="Calibri" w:hAnsi="Times New Roman" w:cs="Times New Roman"/>
          <w:sz w:val="28"/>
          <w:szCs w:val="28"/>
          <w:lang w:bidi="ar-EG"/>
        </w:rPr>
        <w:t xml:space="preserve">against foreign workers and Shiite citizens </w:t>
      </w:r>
      <w:r w:rsidRPr="004E4C40">
        <w:rPr>
          <w:rFonts w:ascii="Times New Roman" w:eastAsia="Calibri" w:hAnsi="Times New Roman" w:cs="Times New Roman"/>
          <w:sz w:val="28"/>
          <w:szCs w:val="28"/>
          <w:lang w:bidi="ar-EG"/>
        </w:rPr>
        <w:t xml:space="preserve">in recruitment </w:t>
      </w:r>
      <w:r w:rsidR="00B20F6C">
        <w:rPr>
          <w:rFonts w:ascii="Times New Roman" w:eastAsia="Calibri" w:hAnsi="Times New Roman" w:cs="Times New Roman"/>
          <w:sz w:val="28"/>
          <w:szCs w:val="28"/>
          <w:lang w:bidi="ar-EG"/>
        </w:rPr>
        <w:t>and labor market, especially</w:t>
      </w:r>
      <w:r w:rsidRPr="004E4C40">
        <w:rPr>
          <w:rFonts w:ascii="Times New Roman" w:eastAsia="Calibri" w:hAnsi="Times New Roman" w:cs="Times New Roman"/>
          <w:sz w:val="28"/>
          <w:szCs w:val="28"/>
          <w:lang w:bidi="ar-EG"/>
        </w:rPr>
        <w:t xml:space="preserve"> </w:t>
      </w:r>
      <w:r w:rsidR="00B20F6C">
        <w:rPr>
          <w:rFonts w:ascii="Times New Roman" w:eastAsia="Calibri" w:hAnsi="Times New Roman" w:cs="Times New Roman"/>
          <w:sz w:val="28"/>
          <w:szCs w:val="28"/>
          <w:lang w:bidi="ar-EG"/>
        </w:rPr>
        <w:t xml:space="preserve">with regard to </w:t>
      </w:r>
      <w:r w:rsidRPr="004E4C40">
        <w:rPr>
          <w:rFonts w:ascii="Times New Roman" w:eastAsia="Calibri" w:hAnsi="Times New Roman" w:cs="Times New Roman"/>
          <w:sz w:val="28"/>
          <w:szCs w:val="28"/>
          <w:lang w:bidi="ar-EG"/>
        </w:rPr>
        <w:t>sensitive professions in the security sector and the Bahraini army</w:t>
      </w:r>
      <w:r w:rsidRPr="004E4C40">
        <w:rPr>
          <w:rFonts w:ascii="Times New Roman" w:eastAsia="Calibri" w:hAnsi="Times New Roman" w:cs="Times New Roman"/>
          <w:sz w:val="28"/>
          <w:szCs w:val="28"/>
          <w:rtl/>
          <w:lang w:bidi="ar-EG"/>
        </w:rPr>
        <w:t>.</w:t>
      </w:r>
    </w:p>
    <w:p w14:paraId="3A7BC77D" w14:textId="77777777" w:rsidR="004E4C40" w:rsidRPr="004E4C40" w:rsidRDefault="004E4C40" w:rsidP="004E4C40">
      <w:pPr>
        <w:bidi/>
        <w:ind w:left="720" w:hanging="357"/>
        <w:contextualSpacing/>
        <w:rPr>
          <w:rFonts w:ascii="Times New Roman" w:eastAsia="Calibri" w:hAnsi="Times New Roman" w:cs="Times New Roman"/>
          <w:sz w:val="28"/>
          <w:szCs w:val="28"/>
          <w:lang w:bidi="ar-EG"/>
        </w:rPr>
      </w:pPr>
    </w:p>
    <w:p w14:paraId="39A0D1B7" w14:textId="77777777" w:rsidR="004E4C40" w:rsidRPr="004E4C40" w:rsidRDefault="004E4C40" w:rsidP="00B20F6C">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w:t>
      </w:r>
      <w:r w:rsidR="00B20F6C">
        <w:rPr>
          <w:rFonts w:ascii="Times New Roman" w:eastAsia="Calibri" w:hAnsi="Times New Roman" w:cs="Times New Roman"/>
          <w:sz w:val="28"/>
          <w:szCs w:val="28"/>
          <w:lang w:bidi="ar-EG"/>
        </w:rPr>
        <w:t>need</w:t>
      </w:r>
      <w:r w:rsidRPr="004E4C40">
        <w:rPr>
          <w:rFonts w:ascii="Times New Roman" w:eastAsia="Calibri" w:hAnsi="Times New Roman" w:cs="Times New Roman"/>
          <w:sz w:val="28"/>
          <w:szCs w:val="28"/>
          <w:lang w:bidi="ar-EG"/>
        </w:rPr>
        <w:t xml:space="preserve"> to end all forms of forced or compulsory labor to which foreign workers, including domestic workers, are subjected by employers in Bahrain</w:t>
      </w:r>
      <w:r w:rsidRPr="004E4C40">
        <w:rPr>
          <w:rFonts w:ascii="Times New Roman" w:eastAsia="Calibri" w:hAnsi="Times New Roman" w:cs="Times New Roman"/>
          <w:sz w:val="28"/>
          <w:szCs w:val="28"/>
          <w:rtl/>
          <w:lang w:bidi="ar-EG"/>
        </w:rPr>
        <w:t>.</w:t>
      </w:r>
    </w:p>
    <w:p w14:paraId="699A2202" w14:textId="77777777" w:rsidR="004E4C40" w:rsidRPr="004E4C40" w:rsidRDefault="004E4C40" w:rsidP="004E4C40">
      <w:pPr>
        <w:bidi/>
        <w:ind w:left="720" w:hanging="357"/>
        <w:contextualSpacing/>
        <w:rPr>
          <w:rFonts w:ascii="Times New Roman" w:eastAsia="Calibri" w:hAnsi="Times New Roman" w:cs="Times New Roman"/>
          <w:sz w:val="28"/>
          <w:szCs w:val="28"/>
          <w:lang w:bidi="ar-EG"/>
        </w:rPr>
      </w:pPr>
    </w:p>
    <w:p w14:paraId="5917A055" w14:textId="77777777" w:rsidR="004E4C40" w:rsidRPr="004E4C40" w:rsidRDefault="004E4C40" w:rsidP="00B20F6C">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w:t>
      </w:r>
      <w:r w:rsidR="00B20F6C">
        <w:rPr>
          <w:rFonts w:ascii="Times New Roman" w:eastAsia="Calibri" w:hAnsi="Times New Roman" w:cs="Times New Roman"/>
          <w:sz w:val="28"/>
          <w:szCs w:val="28"/>
          <w:lang w:bidi="ar-EG"/>
        </w:rPr>
        <w:t>need to allow</w:t>
      </w:r>
      <w:r w:rsidRPr="004E4C40">
        <w:rPr>
          <w:rFonts w:ascii="Times New Roman" w:eastAsia="Calibri" w:hAnsi="Times New Roman" w:cs="Times New Roman"/>
          <w:sz w:val="28"/>
          <w:szCs w:val="28"/>
          <w:lang w:bidi="ar-EG"/>
        </w:rPr>
        <w:t xml:space="preserve"> domestic workers to keep their passports and other documents</w:t>
      </w:r>
      <w:r w:rsidRPr="004E4C40">
        <w:rPr>
          <w:rFonts w:ascii="Times New Roman" w:eastAsia="Calibri" w:hAnsi="Times New Roman" w:cs="Times New Roman"/>
          <w:sz w:val="28"/>
          <w:szCs w:val="28"/>
          <w:rtl/>
          <w:lang w:bidi="ar-EG"/>
        </w:rPr>
        <w:t>.</w:t>
      </w:r>
    </w:p>
    <w:p w14:paraId="7A6ED583" w14:textId="77777777" w:rsidR="004E4C40" w:rsidRPr="004E4C40" w:rsidRDefault="004E4C40" w:rsidP="004E4C40">
      <w:pPr>
        <w:bidi/>
        <w:ind w:left="720" w:hanging="357"/>
        <w:contextualSpacing/>
        <w:rPr>
          <w:rFonts w:ascii="Times New Roman" w:eastAsia="Calibri" w:hAnsi="Times New Roman" w:cs="Times New Roman"/>
          <w:sz w:val="28"/>
          <w:szCs w:val="28"/>
          <w:lang w:bidi="ar-EG"/>
        </w:rPr>
      </w:pPr>
    </w:p>
    <w:p w14:paraId="0901ED5E" w14:textId="77777777" w:rsidR="004E4C40" w:rsidRPr="004E4C40" w:rsidRDefault="004E4C40" w:rsidP="00B20F6C">
      <w:pPr>
        <w:numPr>
          <w:ilvl w:val="0"/>
          <w:numId w:val="1"/>
        </w:numPr>
        <w:contextualSpacing/>
        <w:rPr>
          <w:rFonts w:ascii="Times New Roman" w:eastAsia="Calibri" w:hAnsi="Times New Roman" w:cs="Times New Roman"/>
          <w:sz w:val="28"/>
          <w:szCs w:val="28"/>
          <w:lang w:bidi="ar-EG"/>
        </w:rPr>
      </w:pPr>
      <w:r w:rsidRPr="004E4C40">
        <w:rPr>
          <w:rFonts w:ascii="Times New Roman" w:eastAsia="Calibri" w:hAnsi="Times New Roman" w:cs="Times New Roman"/>
          <w:sz w:val="28"/>
          <w:szCs w:val="28"/>
          <w:lang w:bidi="ar-EG"/>
        </w:rPr>
        <w:t xml:space="preserve">The </w:t>
      </w:r>
      <w:r w:rsidR="00B20F6C">
        <w:rPr>
          <w:rFonts w:ascii="Times New Roman" w:eastAsia="Calibri" w:hAnsi="Times New Roman" w:cs="Times New Roman"/>
          <w:sz w:val="28"/>
          <w:szCs w:val="28"/>
          <w:lang w:bidi="ar-EG"/>
        </w:rPr>
        <w:t>need to make</w:t>
      </w:r>
      <w:r w:rsidRPr="004E4C40">
        <w:rPr>
          <w:rFonts w:ascii="Times New Roman" w:eastAsia="Calibri" w:hAnsi="Times New Roman" w:cs="Times New Roman"/>
          <w:sz w:val="28"/>
          <w:szCs w:val="28"/>
          <w:lang w:bidi="ar-EG"/>
        </w:rPr>
        <w:t xml:space="preserve"> legislative reforms to the Bahraini labor law in a manner that achieves equality between the rights of domestic workers and the rights of other workers stipulated in the labor law</w:t>
      </w:r>
      <w:r w:rsidRPr="004E4C40">
        <w:rPr>
          <w:rFonts w:ascii="Times New Roman" w:eastAsia="Calibri" w:hAnsi="Times New Roman" w:cs="Times New Roman"/>
          <w:sz w:val="28"/>
          <w:szCs w:val="28"/>
          <w:rtl/>
          <w:lang w:bidi="ar-EG"/>
        </w:rPr>
        <w:t>.</w:t>
      </w:r>
    </w:p>
    <w:p w14:paraId="29FBDC7B" w14:textId="77777777" w:rsidR="00DB6B40" w:rsidRDefault="00DB6B40"/>
    <w:sectPr w:rsidR="00DB6B40" w:rsidSect="00CD2A98">
      <w:headerReference w:type="default" r:id="rId7"/>
      <w:footerReference w:type="default" r:id="rId8"/>
      <w:pgSz w:w="12240" w:h="15840"/>
      <w:pgMar w:top="851"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FF17C" w14:textId="77777777" w:rsidR="00D86BDA" w:rsidRDefault="00D86BDA" w:rsidP="004E4C40">
      <w:pPr>
        <w:spacing w:after="0" w:line="240" w:lineRule="auto"/>
      </w:pPr>
      <w:r>
        <w:separator/>
      </w:r>
    </w:p>
  </w:endnote>
  <w:endnote w:type="continuationSeparator" w:id="0">
    <w:p w14:paraId="0643604D" w14:textId="77777777" w:rsidR="00D86BDA" w:rsidRDefault="00D86BDA" w:rsidP="004E4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jawal">
    <w:altName w:val="Courier New"/>
    <w:charset w:val="00"/>
    <w:family w:val="auto"/>
    <w:pitch w:val="variable"/>
    <w:sig w:usb0="00000000" w:usb1="9000204A" w:usb2="00000008" w:usb3="00000000" w:csb0="0000004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1"/>
      <w:gridCol w:w="576"/>
      <w:gridCol w:w="1393"/>
      <w:gridCol w:w="690"/>
      <w:gridCol w:w="452"/>
      <w:gridCol w:w="817"/>
      <w:gridCol w:w="523"/>
      <w:gridCol w:w="4736"/>
    </w:tblGrid>
    <w:tr w:rsidR="0086433E" w14:paraId="2BDDA50C" w14:textId="77777777" w:rsidTr="0086433E">
      <w:trPr>
        <w:jc w:val="center"/>
      </w:trPr>
      <w:tc>
        <w:tcPr>
          <w:tcW w:w="740" w:type="pct"/>
          <w:vMerge w:val="restart"/>
          <w:vAlign w:val="center"/>
        </w:tcPr>
        <w:p w14:paraId="0718525B" w14:textId="77777777" w:rsidR="0086433E" w:rsidRDefault="002B29E0" w:rsidP="0086433E">
          <w:pPr>
            <w:bidi w:val="0"/>
            <w:spacing w:after="60"/>
            <w:jc w:val="center"/>
            <w:rPr>
              <w:noProof/>
              <w:rtl/>
            </w:rPr>
          </w:pPr>
          <w:r>
            <w:rPr>
              <w:rFonts w:hint="cs"/>
              <w:noProof/>
              <w:lang w:val="en-GB" w:eastAsia="en-GB"/>
            </w:rPr>
            <w:drawing>
              <wp:inline distT="0" distB="0" distL="0" distR="0" wp14:anchorId="3564DD68" wp14:editId="798E9C25">
                <wp:extent cx="721378" cy="560173"/>
                <wp:effectExtent l="0" t="0" r="254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4B1C1478" w14:textId="77777777" w:rsidR="0086433E" w:rsidRDefault="002B29E0" w:rsidP="00C124EA">
          <w:pPr>
            <w:bidi w:val="0"/>
            <w:spacing w:after="60"/>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6F092E93" wp14:editId="4E4CB669">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6CE567B"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" strokecolor="red" strokeweight="2.25pt">
                    <w10:anchorlock/>
                  </v:line>
                </w:pict>
              </mc:Fallback>
            </mc:AlternateContent>
          </w:r>
        </w:p>
        <w:p w14:paraId="0F4A2E44" w14:textId="77777777" w:rsidR="0086433E" w:rsidRPr="006F4190" w:rsidRDefault="002B29E0" w:rsidP="00C124EA">
          <w:pPr>
            <w:bidi w:val="0"/>
            <w:spacing w:after="60"/>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86433E" w14:paraId="07276C81" w14:textId="77777777" w:rsidTr="0086433E">
      <w:trPr>
        <w:jc w:val="center"/>
      </w:trPr>
      <w:tc>
        <w:tcPr>
          <w:tcW w:w="740" w:type="pct"/>
          <w:vMerge/>
        </w:tcPr>
        <w:p w14:paraId="711175A1" w14:textId="77777777" w:rsidR="0086433E" w:rsidRDefault="009A2C32" w:rsidP="00BF1E65">
          <w:pPr>
            <w:bidi w:val="0"/>
            <w:jc w:val="center"/>
            <w:rPr>
              <w:b/>
              <w:bCs/>
              <w:noProof/>
              <w:lang w:bidi="ar-EG"/>
            </w:rPr>
          </w:pPr>
        </w:p>
      </w:tc>
      <w:tc>
        <w:tcPr>
          <w:tcW w:w="269" w:type="pct"/>
          <w:vMerge w:val="restart"/>
          <w:vAlign w:val="center"/>
        </w:tcPr>
        <w:p w14:paraId="45DA8B23" w14:textId="77777777" w:rsidR="0086433E" w:rsidRPr="000F15D5" w:rsidRDefault="002B29E0" w:rsidP="00BF1E65">
          <w:pPr>
            <w:bidi w:val="0"/>
            <w:jc w:val="center"/>
            <w:rPr>
              <w:b/>
              <w:bCs/>
              <w:lang w:bidi="ar-EG"/>
            </w:rPr>
          </w:pPr>
          <w:r>
            <w:rPr>
              <w:b/>
              <w:bCs/>
              <w:noProof/>
              <w:lang w:val="en-GB" w:eastAsia="en-GB"/>
            </w:rPr>
            <w:drawing>
              <wp:inline distT="0" distB="0" distL="0" distR="0" wp14:anchorId="6FFEC178" wp14:editId="1B5104F1">
                <wp:extent cx="113208" cy="180000"/>
                <wp:effectExtent l="0" t="0" r="1270" b="0"/>
                <wp:docPr id="3"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6C189C0C" w14:textId="77777777" w:rsidR="0086433E" w:rsidRPr="000F15D5" w:rsidRDefault="002B29E0" w:rsidP="00BF1E65">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86433E" w14:paraId="0E80DA43" w14:textId="77777777" w:rsidTr="0086433E">
      <w:trPr>
        <w:jc w:val="center"/>
      </w:trPr>
      <w:tc>
        <w:tcPr>
          <w:tcW w:w="740" w:type="pct"/>
          <w:vMerge/>
        </w:tcPr>
        <w:p w14:paraId="0E7A32F6" w14:textId="77777777" w:rsidR="0086433E" w:rsidRDefault="009A2C32" w:rsidP="00BF1E65">
          <w:pPr>
            <w:bidi w:val="0"/>
            <w:jc w:val="center"/>
            <w:rPr>
              <w:lang w:bidi="ar-EG"/>
            </w:rPr>
          </w:pPr>
        </w:p>
      </w:tc>
      <w:tc>
        <w:tcPr>
          <w:tcW w:w="269" w:type="pct"/>
          <w:vMerge/>
          <w:vAlign w:val="center"/>
        </w:tcPr>
        <w:p w14:paraId="0101AD49" w14:textId="77777777" w:rsidR="0086433E" w:rsidRDefault="009A2C32" w:rsidP="00BF1E65">
          <w:pPr>
            <w:bidi w:val="0"/>
            <w:jc w:val="center"/>
            <w:rPr>
              <w:lang w:bidi="ar-EG"/>
            </w:rPr>
          </w:pPr>
        </w:p>
      </w:tc>
      <w:tc>
        <w:tcPr>
          <w:tcW w:w="3991" w:type="pct"/>
          <w:gridSpan w:val="6"/>
          <w:vAlign w:val="center"/>
        </w:tcPr>
        <w:p w14:paraId="3861798D" w14:textId="77777777" w:rsidR="0086433E" w:rsidRPr="000F15D5" w:rsidRDefault="002B29E0" w:rsidP="00BF1E65">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C124EA" w14:paraId="226A3CA9" w14:textId="77777777" w:rsidTr="0086433E">
      <w:trPr>
        <w:jc w:val="center"/>
      </w:trPr>
      <w:tc>
        <w:tcPr>
          <w:tcW w:w="740" w:type="pct"/>
          <w:vMerge/>
        </w:tcPr>
        <w:p w14:paraId="0041F896" w14:textId="77777777" w:rsidR="0086433E" w:rsidRDefault="009A2C32" w:rsidP="00BF1E65">
          <w:pPr>
            <w:bidi w:val="0"/>
            <w:jc w:val="center"/>
            <w:rPr>
              <w:noProof/>
              <w:lang w:bidi="ar-EG"/>
            </w:rPr>
          </w:pPr>
        </w:p>
      </w:tc>
      <w:tc>
        <w:tcPr>
          <w:tcW w:w="269" w:type="pct"/>
          <w:vAlign w:val="center"/>
        </w:tcPr>
        <w:p w14:paraId="7DEA4777" w14:textId="77777777" w:rsidR="0086433E" w:rsidRDefault="002B29E0" w:rsidP="00BF1E65">
          <w:pPr>
            <w:bidi w:val="0"/>
            <w:jc w:val="center"/>
            <w:rPr>
              <w:lang w:bidi="ar-EG"/>
            </w:rPr>
          </w:pPr>
          <w:r>
            <w:rPr>
              <w:noProof/>
              <w:lang w:val="en-GB" w:eastAsia="en-GB"/>
            </w:rPr>
            <w:drawing>
              <wp:inline distT="0" distB="0" distL="0" distR="0" wp14:anchorId="0E375E35" wp14:editId="7D25C3C2">
                <wp:extent cx="178378" cy="180000"/>
                <wp:effectExtent l="0" t="0" r="0" b="0"/>
                <wp:docPr id="4"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1FC48A2F" w14:textId="77777777" w:rsidR="0086433E" w:rsidRPr="000F15D5" w:rsidRDefault="002B29E0" w:rsidP="00BF1E65">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51F5E8CB" w14:textId="77777777" w:rsidR="0086433E" w:rsidRPr="000F15D5" w:rsidRDefault="002B29E0" w:rsidP="00BF1E65">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61F084AB" w14:textId="77777777" w:rsidR="0086433E" w:rsidRPr="00A20672" w:rsidRDefault="002B29E0" w:rsidP="00BF1E65">
          <w:pPr>
            <w:bidi w:val="0"/>
            <w:rPr>
              <w:b/>
              <w:bCs/>
              <w:sz w:val="18"/>
              <w:szCs w:val="18"/>
              <w:lang w:bidi="ar-EG"/>
            </w:rPr>
          </w:pPr>
          <w:r>
            <w:rPr>
              <w:b/>
              <w:bCs/>
              <w:noProof/>
              <w:sz w:val="18"/>
              <w:szCs w:val="18"/>
              <w:lang w:val="en-GB" w:eastAsia="en-GB"/>
            </w:rPr>
            <w:drawing>
              <wp:inline distT="0" distB="0" distL="0" distR="0" wp14:anchorId="2CD3E5A2" wp14:editId="581D50F1">
                <wp:extent cx="185455" cy="180000"/>
                <wp:effectExtent l="0" t="0" r="5080" b="0"/>
                <wp:docPr id="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631E748D" w14:textId="77777777" w:rsidR="0086433E" w:rsidRPr="000F15D5" w:rsidRDefault="002B29E0" w:rsidP="00BF1E65">
          <w:pPr>
            <w:bidi w:val="0"/>
            <w:rPr>
              <w:sz w:val="18"/>
              <w:szCs w:val="18"/>
              <w:lang w:bidi="ar-EG"/>
            </w:rPr>
          </w:pPr>
          <w:r w:rsidRPr="0086433E">
            <w:rPr>
              <w:rStyle w:val="apple-style-span"/>
              <w:color w:val="000000"/>
              <w:sz w:val="20"/>
              <w:szCs w:val="20"/>
            </w:rPr>
            <w:t>maat@maatpeace.org</w:t>
          </w:r>
        </w:p>
      </w:tc>
    </w:tr>
    <w:tr w:rsidR="00C124EA" w14:paraId="0DC18DD2" w14:textId="77777777" w:rsidTr="0086433E">
      <w:trPr>
        <w:jc w:val="center"/>
      </w:trPr>
      <w:tc>
        <w:tcPr>
          <w:tcW w:w="740" w:type="pct"/>
          <w:vMerge/>
        </w:tcPr>
        <w:p w14:paraId="60A5E766" w14:textId="77777777" w:rsidR="0086433E" w:rsidRDefault="009A2C32" w:rsidP="00BF1E65">
          <w:pPr>
            <w:bidi w:val="0"/>
            <w:jc w:val="center"/>
            <w:rPr>
              <w:noProof/>
              <w:lang w:bidi="ar-EG"/>
            </w:rPr>
          </w:pPr>
        </w:p>
      </w:tc>
      <w:tc>
        <w:tcPr>
          <w:tcW w:w="269" w:type="pct"/>
          <w:vAlign w:val="center"/>
        </w:tcPr>
        <w:p w14:paraId="57AB233F" w14:textId="77777777" w:rsidR="0086433E" w:rsidRDefault="002B29E0" w:rsidP="00BF1E65">
          <w:pPr>
            <w:bidi w:val="0"/>
            <w:jc w:val="center"/>
            <w:rPr>
              <w:lang w:bidi="ar-EG"/>
            </w:rPr>
          </w:pPr>
          <w:r>
            <w:rPr>
              <w:noProof/>
              <w:lang w:val="en-GB" w:eastAsia="en-GB"/>
            </w:rPr>
            <w:drawing>
              <wp:inline distT="0" distB="0" distL="0" distR="0" wp14:anchorId="77B70643" wp14:editId="43783AF1">
                <wp:extent cx="178378" cy="180000"/>
                <wp:effectExtent l="0" t="0" r="0" b="0"/>
                <wp:docPr id="6"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5B741701" w14:textId="77777777" w:rsidR="0086433E" w:rsidRPr="005C2948" w:rsidRDefault="002B29E0" w:rsidP="00BF1E65">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0FA36984" w14:textId="77777777" w:rsidR="0086433E" w:rsidRPr="005C2948" w:rsidRDefault="002B29E0" w:rsidP="00BF1E65">
          <w:pPr>
            <w:bidi w:val="0"/>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7679FA1A" wp14:editId="407CAD62">
                <wp:extent cx="100547" cy="180000"/>
                <wp:effectExtent l="0" t="0" r="0" b="0"/>
                <wp:docPr id="7"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0B13B2DD" w14:textId="77777777" w:rsidR="0086433E" w:rsidRPr="0086433E" w:rsidRDefault="002B29E0" w:rsidP="00BF1E65">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556A7A58" w14:textId="77777777" w:rsidR="00BF1E65" w:rsidRPr="00BF1E65" w:rsidRDefault="009A2C32"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A1802" w14:textId="77777777" w:rsidR="00D86BDA" w:rsidRDefault="00D86BDA" w:rsidP="004E4C40">
      <w:pPr>
        <w:spacing w:after="0" w:line="240" w:lineRule="auto"/>
      </w:pPr>
      <w:r>
        <w:separator/>
      </w:r>
    </w:p>
  </w:footnote>
  <w:footnote w:type="continuationSeparator" w:id="0">
    <w:p w14:paraId="0986F956" w14:textId="77777777" w:rsidR="00D86BDA" w:rsidRDefault="00D86BDA" w:rsidP="004E4C40">
      <w:pPr>
        <w:spacing w:after="0" w:line="240" w:lineRule="auto"/>
      </w:pPr>
      <w:r>
        <w:continuationSeparator/>
      </w:r>
    </w:p>
  </w:footnote>
  <w:footnote w:id="1">
    <w:p w14:paraId="0A145ED9"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lang w:bidi="ar-EG"/>
        </w:rPr>
        <w:t>Article 5 of the Constitution of the Kingdom of Bahrain. For the full articles of the constitution, see the following link:</w:t>
      </w:r>
      <w:r w:rsidRPr="00D217AE">
        <w:rPr>
          <w:rFonts w:ascii="Sakkal Majalla" w:hAnsi="Sakkal Majalla" w:cs="Sakkal Majalla"/>
          <w:rtl/>
          <w:lang w:bidi="ar-EG"/>
        </w:rPr>
        <w:t xml:space="preserve"> </w:t>
      </w:r>
      <w:hyperlink r:id="rId1" w:history="1">
        <w:r w:rsidRPr="00D217AE">
          <w:rPr>
            <w:rStyle w:val="Hyperlink"/>
            <w:rFonts w:ascii="Sakkal Majalla" w:hAnsi="Sakkal Majalla" w:cs="Sakkal Majalla"/>
            <w:lang w:bidi="ar-EG"/>
          </w:rPr>
          <w:t>https://www.legalaffairs.gov.bh/102.aspx?cms=iQRpheuphYtJ6pyXUGiNqq6h9qKLgVAb</w:t>
        </w:r>
      </w:hyperlink>
      <w:r w:rsidRPr="00D217AE">
        <w:rPr>
          <w:rFonts w:ascii="Sakkal Majalla" w:hAnsi="Sakkal Majalla" w:cs="Sakkal Majalla"/>
          <w:rtl/>
          <w:lang w:bidi="ar-EG"/>
        </w:rPr>
        <w:t xml:space="preserve">  </w:t>
      </w:r>
    </w:p>
  </w:footnote>
  <w:footnote w:id="2">
    <w:p w14:paraId="4A8760EE" w14:textId="77777777" w:rsidR="004E4C40" w:rsidRPr="00D217AE" w:rsidRDefault="004E4C40" w:rsidP="004E4C40">
      <w:pPr>
        <w:pStyle w:val="FootnoteText"/>
        <w:rPr>
          <w:rFonts w:ascii="Sakkal Majalla" w:hAnsi="Sakkal Majalla" w:cs="Sakkal Majalla"/>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Pr>
        <w:t>Resolution No. (50) of 2020 regarding the employment of women at night</w:t>
      </w:r>
      <w:r w:rsidRPr="00D217AE">
        <w:rPr>
          <w:rFonts w:ascii="Sakkal Majalla" w:hAnsi="Sakkal Majalla" w:cs="Sakkal Majalla"/>
          <w:lang w:bidi="ar-EG"/>
        </w:rPr>
        <w:t>,</w:t>
      </w:r>
      <w:r w:rsidRPr="00D217AE">
        <w:rPr>
          <w:rFonts w:ascii="Sakkal Majalla" w:hAnsi="Sakkal Majalla" w:cs="Sakkal Majalla"/>
        </w:rPr>
        <w:t xml:space="preserve">  Legislation and Legal Opinion commission</w:t>
      </w:r>
      <w:r w:rsidRPr="00D217AE">
        <w:rPr>
          <w:rFonts w:ascii="Sakkal Majalla" w:hAnsi="Sakkal Majalla" w:cs="Sakkal Majalla"/>
          <w:lang w:bidi="ar-EG"/>
        </w:rPr>
        <w:t>,</w:t>
      </w:r>
      <w:r w:rsidRPr="00D217AE">
        <w:rPr>
          <w:rFonts w:ascii="Sakkal Majalla" w:hAnsi="Sakkal Majalla" w:cs="Sakkal Majalla"/>
        </w:rPr>
        <w:t xml:space="preserve">  August 27, 2020 link: </w:t>
      </w:r>
      <w:hyperlink r:id="rId2" w:history="1">
        <w:r w:rsidRPr="00D217AE">
          <w:rPr>
            <w:rStyle w:val="Hyperlink"/>
            <w:rFonts w:ascii="Sakkal Majalla" w:hAnsi="Sakkal Majalla" w:cs="Sakkal Majalla"/>
          </w:rPr>
          <w:t>https://www.lloc.gov.bh/15497.aspx?cms=q8FmFJgiscJUAh5wTFxPQnjc67hw%2Bcd53dCDU8XkwhyDqZn9xoYKj62QFqJ90AeHiV8fR84xDwasQrYsc01MLw%3D%3D</w:t>
        </w:r>
      </w:hyperlink>
      <w:r w:rsidRPr="00D217AE">
        <w:rPr>
          <w:rFonts w:ascii="Sakkal Majalla" w:hAnsi="Sakkal Majalla" w:cs="Sakkal Majalla"/>
        </w:rPr>
        <w:t xml:space="preserve"> </w:t>
      </w:r>
    </w:p>
  </w:footnote>
  <w:footnote w:id="3">
    <w:p w14:paraId="469E69D8" w14:textId="77777777" w:rsidR="004E4C40" w:rsidRPr="00D217AE" w:rsidRDefault="004E4C40" w:rsidP="004E4C40">
      <w:pPr>
        <w:pStyle w:val="FootnoteText"/>
        <w:rPr>
          <w:rFonts w:ascii="Sakkal Majalla" w:hAnsi="Sakkal Majalla" w:cs="Sakkal Majalla"/>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Pr>
        <w:t xml:space="preserve">THE TWO SIDES OF WOMEN’S RIGHTS IN BAHRAIN,  The </w:t>
      </w:r>
      <w:proofErr w:type="spellStart"/>
      <w:r w:rsidRPr="00D217AE">
        <w:rPr>
          <w:rFonts w:ascii="Sakkal Majalla" w:hAnsi="Sakkal Majalla" w:cs="Sakkal Majalla"/>
        </w:rPr>
        <w:t>Borgen</w:t>
      </w:r>
      <w:proofErr w:type="spellEnd"/>
      <w:r w:rsidRPr="00D217AE">
        <w:rPr>
          <w:rFonts w:ascii="Sakkal Majalla" w:hAnsi="Sakkal Majalla" w:cs="Sakkal Majalla"/>
        </w:rPr>
        <w:t xml:space="preserve"> project,  MARCH 19, 2021,  link: </w:t>
      </w:r>
      <w:hyperlink r:id="rId3" w:history="1">
        <w:r w:rsidRPr="00D217AE">
          <w:rPr>
            <w:rStyle w:val="Hyperlink"/>
            <w:rFonts w:ascii="Sakkal Majalla" w:hAnsi="Sakkal Majalla" w:cs="Sakkal Majalla"/>
          </w:rPr>
          <w:t>https://borgenproject.org/womens-rights-in-bahrain/</w:t>
        </w:r>
      </w:hyperlink>
      <w:r w:rsidRPr="00D217AE">
        <w:rPr>
          <w:rFonts w:ascii="Sakkal Majalla" w:hAnsi="Sakkal Majalla" w:cs="Sakkal Majalla"/>
        </w:rPr>
        <w:t xml:space="preserve"> </w:t>
      </w:r>
    </w:p>
  </w:footnote>
  <w:footnote w:id="4">
    <w:p w14:paraId="464F6613"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tl/>
          <w:lang w:bidi="ar-EG"/>
        </w:rPr>
        <w:t>2020</w:t>
      </w:r>
      <w:r w:rsidRPr="00D217AE">
        <w:rPr>
          <w:rFonts w:ascii="Sakkal Majalla" w:hAnsi="Sakkal Majalla" w:cs="Sakkal Majalla"/>
          <w:lang w:bidi="ar-EG"/>
        </w:rPr>
        <w:t xml:space="preserve"> Country Reports on Human Rights Practices: Bahrain,</w:t>
      </w:r>
      <w:r w:rsidRPr="00D217AE">
        <w:rPr>
          <w:rFonts w:ascii="Sakkal Majalla" w:hAnsi="Sakkal Majalla" w:cs="Sakkal Majalla"/>
        </w:rPr>
        <w:t xml:space="preserve">  </w:t>
      </w:r>
      <w:r w:rsidRPr="00D217AE">
        <w:rPr>
          <w:rFonts w:ascii="Sakkal Majalla" w:hAnsi="Sakkal Majalla" w:cs="Sakkal Majalla"/>
          <w:lang w:bidi="ar-EG"/>
        </w:rPr>
        <w:t>Us department of state,</w:t>
      </w:r>
      <w:r w:rsidRPr="00D217AE">
        <w:rPr>
          <w:rFonts w:ascii="Sakkal Majalla" w:hAnsi="Sakkal Majalla" w:cs="Sakkal Majalla"/>
        </w:rPr>
        <w:t xml:space="preserve"> </w:t>
      </w:r>
      <w:r w:rsidRPr="00D217AE">
        <w:rPr>
          <w:rFonts w:ascii="Sakkal Majalla" w:hAnsi="Sakkal Majalla" w:cs="Sakkal Majalla"/>
          <w:lang w:bidi="ar-EG"/>
        </w:rPr>
        <w:t>March 30, 2021,</w:t>
      </w:r>
      <w:r w:rsidRPr="00D217AE">
        <w:rPr>
          <w:rFonts w:ascii="Sakkal Majalla" w:hAnsi="Sakkal Majalla" w:cs="Sakkal Majalla"/>
        </w:rPr>
        <w:t xml:space="preserve"> </w:t>
      </w:r>
      <w:r w:rsidRPr="00D217AE">
        <w:rPr>
          <w:rFonts w:ascii="Sakkal Majalla" w:hAnsi="Sakkal Majalla" w:cs="Sakkal Majalla"/>
          <w:lang w:bidi="ar-EG"/>
        </w:rPr>
        <w:t xml:space="preserve"> link: </w:t>
      </w:r>
      <w:hyperlink r:id="rId4" w:history="1">
        <w:r w:rsidRPr="00D217AE">
          <w:rPr>
            <w:rStyle w:val="Hyperlink"/>
            <w:rFonts w:ascii="Sakkal Majalla" w:hAnsi="Sakkal Majalla" w:cs="Sakkal Majalla"/>
            <w:lang w:bidi="ar-EG"/>
          </w:rPr>
          <w:t>https://www.state.gov/reports/2020-country-reports-on-human-rights-practices/bahrain/</w:t>
        </w:r>
      </w:hyperlink>
      <w:r w:rsidRPr="00D217AE">
        <w:rPr>
          <w:rFonts w:ascii="Sakkal Majalla" w:hAnsi="Sakkal Majalla" w:cs="Sakkal Majalla"/>
          <w:lang w:bidi="ar-EG"/>
        </w:rPr>
        <w:t xml:space="preserve"> </w:t>
      </w:r>
    </w:p>
  </w:footnote>
  <w:footnote w:id="5">
    <w:p w14:paraId="6F0BC23D"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lang w:bidi="ar-EG"/>
        </w:rPr>
        <w:t xml:space="preserve">Article 13 of the Constitution of the Kingdom of Bahrain. For the full articles of the constitution, see the following link: </w:t>
      </w:r>
      <w:hyperlink r:id="rId5" w:history="1">
        <w:r w:rsidRPr="00D217AE">
          <w:rPr>
            <w:rStyle w:val="Hyperlink"/>
            <w:rFonts w:ascii="Sakkal Majalla" w:hAnsi="Sakkal Majalla" w:cs="Sakkal Majalla"/>
            <w:lang w:bidi="ar-EG"/>
          </w:rPr>
          <w:t>https://www.legalaffairs.gov.bh/102.aspx?cms=iQRpheuphYtJ6pyXUGiNqq6h9qKLgVAb</w:t>
        </w:r>
      </w:hyperlink>
      <w:r w:rsidRPr="00D217AE">
        <w:rPr>
          <w:rFonts w:ascii="Sakkal Majalla" w:hAnsi="Sakkal Majalla" w:cs="Sakkal Majalla"/>
          <w:lang w:bidi="ar-EG"/>
        </w:rPr>
        <w:t xml:space="preserve">   </w:t>
      </w:r>
    </w:p>
  </w:footnote>
  <w:footnote w:id="6">
    <w:p w14:paraId="3127881C"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lang w:bidi="ar-EG"/>
        </w:rPr>
        <w:t>Initial report from Bahrain under Articles 16 and 17 of the Covenant to be submitted in 2009,  Committee on Economic, Social and Cultural Rights,</w:t>
      </w:r>
      <w:r w:rsidRPr="00D217AE">
        <w:rPr>
          <w:rFonts w:ascii="Sakkal Majalla" w:hAnsi="Sakkal Majalla" w:cs="Sakkal Majalla"/>
        </w:rPr>
        <w:t xml:space="preserve"> </w:t>
      </w:r>
      <w:r w:rsidRPr="00D217AE">
        <w:rPr>
          <w:rFonts w:ascii="Sakkal Majalla" w:hAnsi="Sakkal Majalla" w:cs="Sakkal Majalla"/>
          <w:lang w:bidi="ar-EG"/>
        </w:rPr>
        <w:t xml:space="preserve"> </w:t>
      </w:r>
      <w:r w:rsidRPr="00D217AE">
        <w:rPr>
          <w:rFonts w:ascii="Sakkal Majalla" w:hAnsi="Sakkal Majalla" w:cs="Sakkal Majalla"/>
        </w:rPr>
        <w:t xml:space="preserve"> </w:t>
      </w:r>
      <w:r w:rsidRPr="00D217AE">
        <w:rPr>
          <w:rFonts w:ascii="Sakkal Majalla" w:hAnsi="Sakkal Majalla" w:cs="Sakkal Majalla"/>
          <w:lang w:bidi="ar-EG"/>
        </w:rPr>
        <w:t>28 May 2020 ,</w:t>
      </w:r>
      <w:r w:rsidRPr="00D217AE">
        <w:rPr>
          <w:rFonts w:ascii="Sakkal Majalla" w:hAnsi="Sakkal Majalla" w:cs="Sakkal Majalla"/>
        </w:rPr>
        <w:t xml:space="preserve">  </w:t>
      </w:r>
      <w:r w:rsidRPr="00D217AE">
        <w:rPr>
          <w:rFonts w:ascii="Sakkal Majalla" w:hAnsi="Sakkal Majalla" w:cs="Sakkal Majalla"/>
          <w:lang w:bidi="ar-EG"/>
        </w:rPr>
        <w:t>link:</w:t>
      </w:r>
      <w:r w:rsidRPr="00D217AE">
        <w:rPr>
          <w:rFonts w:ascii="Sakkal Majalla" w:hAnsi="Sakkal Majalla" w:cs="Sakkal Majalla"/>
        </w:rPr>
        <w:t xml:space="preserve"> </w:t>
      </w:r>
      <w:hyperlink r:id="rId6" w:history="1">
        <w:r w:rsidRPr="00D217AE">
          <w:rPr>
            <w:rStyle w:val="Hyperlink"/>
            <w:rFonts w:ascii="Sakkal Majalla" w:hAnsi="Sakkal Majalla" w:cs="Sakkal Majalla"/>
            <w:lang w:bidi="ar-EG"/>
          </w:rPr>
          <w:t>https://tbinternet.ohchr.org/_layouts/15/treatybodyexternal/Download.aspx?symbolno=E%2FC.12%2FBHR%2F1&amp;Lang=en</w:t>
        </w:r>
      </w:hyperlink>
      <w:r w:rsidRPr="00D217AE">
        <w:rPr>
          <w:rFonts w:ascii="Sakkal Majalla" w:hAnsi="Sakkal Majalla" w:cs="Sakkal Majalla"/>
          <w:lang w:bidi="ar-EG"/>
        </w:rPr>
        <w:t xml:space="preserve"> </w:t>
      </w:r>
    </w:p>
  </w:footnote>
  <w:footnote w:id="7">
    <w:p w14:paraId="549D6E04"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lang w:bidi="ar-EG"/>
        </w:rPr>
        <w:t xml:space="preserve">Unemployment and job opportunities for women in Bahrain,  </w:t>
      </w:r>
      <w:proofErr w:type="spellStart"/>
      <w:r w:rsidRPr="00D217AE">
        <w:rPr>
          <w:rFonts w:ascii="Sakkal Majalla" w:hAnsi="Sakkal Majalla" w:cs="Sakkal Majalla"/>
          <w:lang w:bidi="ar-EG"/>
        </w:rPr>
        <w:t>annd</w:t>
      </w:r>
      <w:proofErr w:type="spellEnd"/>
      <w:r w:rsidRPr="00D217AE">
        <w:rPr>
          <w:rFonts w:ascii="Sakkal Majalla" w:hAnsi="Sakkal Majalla" w:cs="Sakkal Majalla"/>
          <w:lang w:bidi="ar-EG"/>
        </w:rPr>
        <w:t xml:space="preserve">,  Apr 28, 2021, link: </w:t>
      </w:r>
      <w:hyperlink r:id="rId7" w:history="1">
        <w:r w:rsidRPr="00D217AE">
          <w:rPr>
            <w:rStyle w:val="Hyperlink"/>
            <w:rFonts w:ascii="Sakkal Majalla" w:hAnsi="Sakkal Majalla" w:cs="Sakkal Majalla"/>
            <w:lang w:bidi="ar-EG"/>
          </w:rPr>
          <w:t>https://www.annd.org/ar/publications/details</w:t>
        </w:r>
      </w:hyperlink>
      <w:r w:rsidRPr="00D217AE">
        <w:rPr>
          <w:rFonts w:ascii="Sakkal Majalla" w:hAnsi="Sakkal Majalla" w:cs="Sakkal Majalla"/>
          <w:lang w:bidi="ar-EG"/>
        </w:rPr>
        <w:t xml:space="preserve"> </w:t>
      </w:r>
    </w:p>
  </w:footnote>
  <w:footnote w:id="8">
    <w:p w14:paraId="3692731C"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tl/>
          <w:lang w:bidi="ar-EG"/>
        </w:rPr>
        <w:t>2020</w:t>
      </w:r>
      <w:r w:rsidRPr="00D217AE">
        <w:rPr>
          <w:rFonts w:ascii="Sakkal Majalla" w:hAnsi="Sakkal Majalla" w:cs="Sakkal Majalla"/>
          <w:lang w:bidi="ar-EG"/>
        </w:rPr>
        <w:t xml:space="preserve"> Country Reports on Human Rights Practices: Bahrain,</w:t>
      </w:r>
      <w:r w:rsidRPr="00D217AE">
        <w:rPr>
          <w:rFonts w:ascii="Sakkal Majalla" w:hAnsi="Sakkal Majalla" w:cs="Sakkal Majalla"/>
        </w:rPr>
        <w:t xml:space="preserve"> </w:t>
      </w:r>
      <w:r w:rsidRPr="00D217AE">
        <w:rPr>
          <w:rFonts w:ascii="Sakkal Majalla" w:hAnsi="Sakkal Majalla" w:cs="Sakkal Majalla"/>
          <w:lang w:bidi="ar-EG"/>
        </w:rPr>
        <w:t>Previous reference.</w:t>
      </w:r>
    </w:p>
  </w:footnote>
  <w:footnote w:id="9">
    <w:p w14:paraId="2B56C2FA"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Pr>
        <w:t>Initial report from Bahrain under Articles 16 and 17 of the Covenant to be submitted in 2009, Previous reference.</w:t>
      </w:r>
    </w:p>
  </w:footnote>
  <w:footnote w:id="10">
    <w:p w14:paraId="3A82C770"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rtl/>
          <w:lang w:bidi="ar-EG"/>
        </w:rPr>
        <w:t>020</w:t>
      </w:r>
      <w:r w:rsidRPr="00D217AE">
        <w:rPr>
          <w:rFonts w:ascii="Sakkal Majalla" w:hAnsi="Sakkal Majalla" w:cs="Sakkal Majalla"/>
          <w:lang w:bidi="ar-EG"/>
        </w:rPr>
        <w:t xml:space="preserve"> Country Reports on Human Rights Practices: Bahrain,</w:t>
      </w:r>
      <w:r w:rsidRPr="00D217AE">
        <w:rPr>
          <w:rFonts w:ascii="Sakkal Majalla" w:hAnsi="Sakkal Majalla" w:cs="Sakkal Majalla"/>
        </w:rPr>
        <w:t xml:space="preserve"> </w:t>
      </w:r>
      <w:r w:rsidRPr="00D217AE">
        <w:rPr>
          <w:rFonts w:ascii="Sakkal Majalla" w:hAnsi="Sakkal Majalla" w:cs="Sakkal Majalla"/>
          <w:lang w:bidi="ar-EG"/>
        </w:rPr>
        <w:t>Previous reference.</w:t>
      </w:r>
    </w:p>
  </w:footnote>
  <w:footnote w:id="11">
    <w:p w14:paraId="4629ECA1" w14:textId="77777777" w:rsidR="004E4C40" w:rsidRPr="00D217AE" w:rsidRDefault="004E4C40" w:rsidP="004E4C40">
      <w:pPr>
        <w:pStyle w:val="FootnoteText"/>
        <w:rPr>
          <w:rFonts w:ascii="Sakkal Majalla" w:hAnsi="Sakkal Majalla" w:cs="Sakkal Majalla"/>
          <w:lang w:bidi="ar-EG"/>
        </w:rPr>
      </w:pPr>
      <w:r w:rsidRPr="00D217AE">
        <w:rPr>
          <w:rStyle w:val="FootnoteReference"/>
          <w:rFonts w:ascii="Sakkal Majalla" w:hAnsi="Sakkal Majalla" w:cs="Sakkal Majalla"/>
        </w:rPr>
        <w:footnoteRef/>
      </w:r>
      <w:r w:rsidRPr="00D217AE">
        <w:rPr>
          <w:rFonts w:ascii="Sakkal Majalla" w:hAnsi="Sakkal Majalla" w:cs="Sakkal Majalla"/>
          <w:rtl/>
        </w:rPr>
        <w:t xml:space="preserve"> </w:t>
      </w:r>
      <w:r w:rsidRPr="00D217AE">
        <w:rPr>
          <w:rFonts w:ascii="Sakkal Majalla" w:hAnsi="Sakkal Majalla" w:cs="Sakkal Majalla"/>
          <w:lang w:bidi="ar-EG"/>
        </w:rPr>
        <w:t>The same Previous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37DE5" w14:textId="77777777" w:rsidR="0086433E" w:rsidRDefault="002B29E0" w:rsidP="0086433E">
    <w:pPr>
      <w:pStyle w:val="Header"/>
      <w:jc w:val="right"/>
    </w:pPr>
    <w:r>
      <w:rPr>
        <w:rFonts w:hint="cs"/>
        <w:noProof/>
        <w:lang w:val="en-GB" w:eastAsia="en-GB"/>
      </w:rPr>
      <w:drawing>
        <wp:inline distT="0" distB="0" distL="0" distR="0" wp14:anchorId="13608DE7" wp14:editId="7A3098DA">
          <wp:extent cx="1471930" cy="11430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282E62"/>
    <w:multiLevelType w:val="hybridMultilevel"/>
    <w:tmpl w:val="54D276E6"/>
    <w:lvl w:ilvl="0" w:tplc="B2ECB3D2">
      <w:numFmt w:val="bullet"/>
      <w:lvlText w:val="•"/>
      <w:lvlJc w:val="left"/>
      <w:pPr>
        <w:ind w:left="720" w:hanging="360"/>
      </w:pPr>
      <w:rPr>
        <w:rFonts w:ascii="Tajawal" w:eastAsia="Calibri" w:hAnsi="Tajawal" w:cs="Tajaw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2MzI2MzMzNDcxtTBR0lEKTi0uzszPAykwrAUABdBRwSwAAAA="/>
  </w:docVars>
  <w:rsids>
    <w:rsidRoot w:val="004E4C40"/>
    <w:rsid w:val="00151D5F"/>
    <w:rsid w:val="002B29E0"/>
    <w:rsid w:val="00336B42"/>
    <w:rsid w:val="004E4C40"/>
    <w:rsid w:val="00692C55"/>
    <w:rsid w:val="007C77C6"/>
    <w:rsid w:val="009A2C32"/>
    <w:rsid w:val="009F1D14"/>
    <w:rsid w:val="00AE48FE"/>
    <w:rsid w:val="00B20F6C"/>
    <w:rsid w:val="00D86BDA"/>
    <w:rsid w:val="00DB6B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94CD"/>
  <w15:docId w15:val="{F771B610-51AC-412F-AB2B-8E83E93D4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E4C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4C40"/>
  </w:style>
  <w:style w:type="paragraph" w:styleId="FootnoteText">
    <w:name w:val="footnote text"/>
    <w:basedOn w:val="Normal"/>
    <w:link w:val="FootnoteTextChar"/>
    <w:uiPriority w:val="99"/>
    <w:semiHidden/>
    <w:unhideWhenUsed/>
    <w:rsid w:val="004E4C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4C40"/>
    <w:rPr>
      <w:sz w:val="20"/>
      <w:szCs w:val="20"/>
    </w:rPr>
  </w:style>
  <w:style w:type="paragraph" w:styleId="Footer">
    <w:name w:val="footer"/>
    <w:basedOn w:val="Normal"/>
    <w:link w:val="FooterChar"/>
    <w:uiPriority w:val="99"/>
    <w:unhideWhenUsed/>
    <w:rsid w:val="004E4C40"/>
    <w:pPr>
      <w:tabs>
        <w:tab w:val="center" w:pos="4680"/>
        <w:tab w:val="right" w:pos="9360"/>
      </w:tabs>
      <w:bidi/>
      <w:spacing w:after="0" w:line="240" w:lineRule="auto"/>
      <w:ind w:left="300" w:hanging="357"/>
    </w:pPr>
    <w:rPr>
      <w:rFonts w:eastAsia="Times New Roman"/>
    </w:rPr>
  </w:style>
  <w:style w:type="character" w:customStyle="1" w:styleId="FooterChar">
    <w:name w:val="Footer Char"/>
    <w:basedOn w:val="DefaultParagraphFont"/>
    <w:link w:val="Footer"/>
    <w:uiPriority w:val="99"/>
    <w:rsid w:val="004E4C40"/>
    <w:rPr>
      <w:rFonts w:eastAsia="Times New Roman"/>
    </w:rPr>
  </w:style>
  <w:style w:type="character" w:customStyle="1" w:styleId="apple-style-span">
    <w:name w:val="apple-style-span"/>
    <w:basedOn w:val="DefaultParagraphFont"/>
    <w:rsid w:val="004E4C40"/>
  </w:style>
  <w:style w:type="table" w:styleId="TableGrid">
    <w:name w:val="Table Grid"/>
    <w:basedOn w:val="TableNormal"/>
    <w:uiPriority w:val="39"/>
    <w:rsid w:val="004E4C40"/>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4C40"/>
    <w:rPr>
      <w:color w:val="0000FF"/>
      <w:u w:val="single"/>
    </w:rPr>
  </w:style>
  <w:style w:type="character" w:styleId="FootnoteReference">
    <w:name w:val="footnote reference"/>
    <w:aliases w:val="4_G"/>
    <w:basedOn w:val="DefaultParagraphFont"/>
    <w:uiPriority w:val="99"/>
    <w:unhideWhenUsed/>
    <w:rsid w:val="004E4C40"/>
    <w:rPr>
      <w:vertAlign w:val="superscript"/>
    </w:rPr>
  </w:style>
  <w:style w:type="paragraph" w:styleId="BalloonText">
    <w:name w:val="Balloon Text"/>
    <w:basedOn w:val="Normal"/>
    <w:link w:val="BalloonTextChar"/>
    <w:uiPriority w:val="99"/>
    <w:semiHidden/>
    <w:unhideWhenUsed/>
    <w:rsid w:val="004E4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C40"/>
    <w:rPr>
      <w:rFonts w:ascii="Tahoma" w:hAnsi="Tahoma" w:cs="Tahoma"/>
      <w:sz w:val="16"/>
      <w:szCs w:val="16"/>
    </w:rPr>
  </w:style>
  <w:style w:type="paragraph" w:styleId="ListParagraph">
    <w:name w:val="List Paragraph"/>
    <w:basedOn w:val="Normal"/>
    <w:uiPriority w:val="34"/>
    <w:qFormat/>
    <w:rsid w:val="009F1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borgenproject.org/womens-rights-in-bahrain/" TargetMode="External"/><Relationship Id="rId7" Type="http://schemas.openxmlformats.org/officeDocument/2006/relationships/hyperlink" Target="https://www.annd.org/ar/publications/details" TargetMode="External"/><Relationship Id="rId2" Type="http://schemas.openxmlformats.org/officeDocument/2006/relationships/hyperlink" Target="https://www.lloc.gov.bh/15497.aspx?cms=q8FmFJgiscJUAh5wTFxPQnjc67hw%2Bcd53dCDU8XkwhyDqZn9xoYKj62QFqJ90AeHiV8fR84xDwasQrYsc01MLw%3D%3D" TargetMode="External"/><Relationship Id="rId1" Type="http://schemas.openxmlformats.org/officeDocument/2006/relationships/hyperlink" Target="https://www.legalaffairs.gov.bh/102.aspx?cms=iQRpheuphYtJ6pyXUGiNqq6h9qKLgVAb" TargetMode="External"/><Relationship Id="rId6" Type="http://schemas.openxmlformats.org/officeDocument/2006/relationships/hyperlink" Target="https://tbinternet.ohchr.org/_layouts/15/treatybodyexternal/Download.aspx?symbolno=E%2FC.12%2FBHR%2F1&amp;Lang=en" TargetMode="External"/><Relationship Id="rId5" Type="http://schemas.openxmlformats.org/officeDocument/2006/relationships/hyperlink" Target="https://www.legalaffairs.gov.bh/102.aspx?cms=iQRpheuphYtJ6pyXUGiNqq6h9qKLgVAb" TargetMode="External"/><Relationship Id="rId4" Type="http://schemas.openxmlformats.org/officeDocument/2006/relationships/hyperlink" Target="https://www.state.gov/reports/2020-country-reports-on-human-rights-practices/bahra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39C42E-92CC-4FB5-A59F-946137465144}"/>
</file>

<file path=customXml/itemProps2.xml><?xml version="1.0" encoding="utf-8"?>
<ds:datastoreItem xmlns:ds="http://schemas.openxmlformats.org/officeDocument/2006/customXml" ds:itemID="{4A5B0531-572A-4610-9515-89E77C6AEE56}"/>
</file>

<file path=customXml/itemProps3.xml><?xml version="1.0" encoding="utf-8"?>
<ds:datastoreItem xmlns:ds="http://schemas.openxmlformats.org/officeDocument/2006/customXml" ds:itemID="{8649C754-811C-4225-AD2C-4006463DFCD1}"/>
</file>

<file path=docProps/app.xml><?xml version="1.0" encoding="utf-8"?>
<Properties xmlns="http://schemas.openxmlformats.org/officeDocument/2006/extended-properties" xmlns:vt="http://schemas.openxmlformats.org/officeDocument/2006/docPropsVTypes">
  <Template>Normal.dotm</Template>
  <TotalTime>1</TotalTime>
  <Pages>8</Pages>
  <Words>2287</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dalal</dc:creator>
  <cp:lastModifiedBy>REYNAUD Céline</cp:lastModifiedBy>
  <cp:revision>2</cp:revision>
  <dcterms:created xsi:type="dcterms:W3CDTF">2021-09-06T20:21:00Z</dcterms:created>
  <dcterms:modified xsi:type="dcterms:W3CDTF">2021-09-06T20:21:00Z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