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E0C4B" w14:textId="77777777" w:rsidR="001F1A65" w:rsidRDefault="001F1A65">
      <w:pPr>
        <w:pStyle w:val="BodyA"/>
        <w:rPr>
          <w:b/>
          <w:bCs/>
          <w:sz w:val="36"/>
          <w:szCs w:val="36"/>
        </w:rPr>
      </w:pPr>
    </w:p>
    <w:p w14:paraId="2F1A3F63" w14:textId="77777777" w:rsidR="001F1A65" w:rsidRDefault="001F1A65">
      <w:pPr>
        <w:pStyle w:val="BodyA"/>
        <w:jc w:val="center"/>
        <w:rPr>
          <w:b/>
          <w:bCs/>
          <w:sz w:val="36"/>
          <w:szCs w:val="36"/>
        </w:rPr>
      </w:pPr>
    </w:p>
    <w:p w14:paraId="1CFE7DE7" w14:textId="77777777" w:rsidR="001F1A65" w:rsidRDefault="00E030F7">
      <w:pPr>
        <w:pStyle w:val="BodyA"/>
        <w:jc w:val="center"/>
      </w:pPr>
      <w:r>
        <w:rPr>
          <w:b/>
          <w:bCs/>
          <w:sz w:val="36"/>
          <w:szCs w:val="36"/>
        </w:rPr>
        <w:t>Cambodia</w:t>
      </w:r>
    </w:p>
    <w:p w14:paraId="6A30BE96" w14:textId="77777777" w:rsidR="001F1A65" w:rsidRDefault="001F1A65">
      <w:pPr>
        <w:pStyle w:val="BodyA"/>
      </w:pPr>
    </w:p>
    <w:p w14:paraId="6B0C7F1E" w14:textId="77777777" w:rsidR="001F1A65" w:rsidRDefault="00E030F7">
      <w:pPr>
        <w:pStyle w:val="BodyA"/>
        <w:jc w:val="center"/>
        <w:rPr>
          <w:rFonts w:ascii="Times" w:eastAsia="Times" w:hAnsi="Times" w:cs="Times"/>
          <w:b/>
          <w:bCs/>
          <w:sz w:val="28"/>
          <w:szCs w:val="28"/>
        </w:rPr>
      </w:pPr>
      <w:r>
        <w:rPr>
          <w:rFonts w:ascii="Times" w:hAnsi="Times"/>
          <w:b/>
          <w:bCs/>
          <w:sz w:val="28"/>
          <w:szCs w:val="28"/>
        </w:rPr>
        <w:t>Alternative Report on Labor Rights and Gender</w:t>
      </w:r>
    </w:p>
    <w:p w14:paraId="5975A10D" w14:textId="77777777" w:rsidR="001F1A65" w:rsidRDefault="00E030F7">
      <w:pPr>
        <w:pStyle w:val="BodyA"/>
        <w:jc w:val="center"/>
        <w:rPr>
          <w:rFonts w:ascii="Times" w:eastAsia="Times" w:hAnsi="Times" w:cs="Times"/>
          <w:b/>
          <w:bCs/>
          <w:sz w:val="28"/>
          <w:szCs w:val="28"/>
        </w:rPr>
      </w:pPr>
      <w:proofErr w:type="gramStart"/>
      <w:r>
        <w:rPr>
          <w:rFonts w:ascii="Times" w:hAnsi="Times"/>
          <w:b/>
          <w:bCs/>
          <w:sz w:val="28"/>
          <w:szCs w:val="28"/>
        </w:rPr>
        <w:t>for</w:t>
      </w:r>
      <w:proofErr w:type="gramEnd"/>
    </w:p>
    <w:p w14:paraId="10B05301" w14:textId="77777777" w:rsidR="001F1A65" w:rsidRDefault="00E030F7">
      <w:pPr>
        <w:pStyle w:val="BodyA"/>
        <w:jc w:val="center"/>
        <w:rPr>
          <w:rFonts w:ascii="Times" w:eastAsia="Times" w:hAnsi="Times" w:cs="Times"/>
          <w:b/>
          <w:bCs/>
          <w:sz w:val="28"/>
          <w:szCs w:val="28"/>
        </w:rPr>
      </w:pPr>
      <w:r>
        <w:rPr>
          <w:rFonts w:ascii="Times" w:hAnsi="Times"/>
          <w:b/>
          <w:bCs/>
          <w:sz w:val="28"/>
          <w:szCs w:val="28"/>
        </w:rPr>
        <w:t xml:space="preserve">Submission to the United Nations </w:t>
      </w:r>
    </w:p>
    <w:p w14:paraId="576D1AB0" w14:textId="77777777" w:rsidR="001F1A65" w:rsidRDefault="00E030F7">
      <w:pPr>
        <w:pStyle w:val="BodyA"/>
        <w:jc w:val="center"/>
        <w:rPr>
          <w:rFonts w:ascii="Times" w:eastAsia="Times" w:hAnsi="Times" w:cs="Times"/>
          <w:b/>
          <w:bCs/>
          <w:smallCaps/>
          <w:sz w:val="28"/>
          <w:szCs w:val="28"/>
        </w:rPr>
      </w:pPr>
      <w:r>
        <w:rPr>
          <w:rFonts w:ascii="Times" w:hAnsi="Times"/>
          <w:b/>
          <w:bCs/>
          <w:smallCaps/>
          <w:sz w:val="28"/>
          <w:szCs w:val="28"/>
        </w:rPr>
        <w:t>Committee on the Elimination of Discrimination against Women</w:t>
      </w:r>
    </w:p>
    <w:p w14:paraId="0FA5BD2A" w14:textId="77777777" w:rsidR="001F1A65" w:rsidRDefault="001F1A65">
      <w:pPr>
        <w:pStyle w:val="BodyA"/>
        <w:jc w:val="center"/>
        <w:rPr>
          <w:rFonts w:ascii="Times" w:eastAsia="Times" w:hAnsi="Times" w:cs="Times"/>
          <w:b/>
          <w:bCs/>
        </w:rPr>
      </w:pPr>
    </w:p>
    <w:p w14:paraId="6456A4F6" w14:textId="77777777" w:rsidR="001F1A65" w:rsidRDefault="00E030F7">
      <w:pPr>
        <w:pStyle w:val="BodyA"/>
        <w:jc w:val="center"/>
        <w:rPr>
          <w:rFonts w:ascii="Times" w:eastAsia="Times" w:hAnsi="Times" w:cs="Times"/>
        </w:rPr>
      </w:pPr>
      <w:r>
        <w:rPr>
          <w:rFonts w:ascii="Times" w:hAnsi="Times"/>
          <w:lang w:val="ru-RU"/>
        </w:rPr>
        <w:t>74</w:t>
      </w:r>
      <w:proofErr w:type="spellStart"/>
      <w:r w:rsidRPr="00205034">
        <w:rPr>
          <w:rFonts w:ascii="Times" w:hAnsi="Times"/>
          <w:sz w:val="32"/>
          <w:vertAlign w:val="superscript"/>
        </w:rPr>
        <w:t>th</w:t>
      </w:r>
      <w:proofErr w:type="spellEnd"/>
      <w:r w:rsidRPr="00205034">
        <w:rPr>
          <w:rFonts w:ascii="Times" w:hAnsi="Times"/>
          <w:sz w:val="32"/>
          <w:lang w:val="fr-FR"/>
        </w:rPr>
        <w:t xml:space="preserve"> </w:t>
      </w:r>
      <w:r>
        <w:rPr>
          <w:rFonts w:ascii="Times" w:hAnsi="Times"/>
          <w:lang w:val="fr-FR"/>
        </w:rPr>
        <w:t xml:space="preserve">Session </w:t>
      </w:r>
    </w:p>
    <w:p w14:paraId="6B034DC0" w14:textId="77777777" w:rsidR="001F1A65" w:rsidRDefault="001F1A65">
      <w:pPr>
        <w:pStyle w:val="BodyA"/>
        <w:jc w:val="center"/>
        <w:rPr>
          <w:rFonts w:ascii="Times" w:eastAsia="Times" w:hAnsi="Times" w:cs="Times"/>
        </w:rPr>
      </w:pPr>
    </w:p>
    <w:p w14:paraId="78CABD87" w14:textId="77777777" w:rsidR="001F1A65" w:rsidRDefault="001F1A65">
      <w:pPr>
        <w:pStyle w:val="BodyA"/>
        <w:jc w:val="center"/>
        <w:rPr>
          <w:rFonts w:ascii="Times" w:eastAsia="Times" w:hAnsi="Times" w:cs="Times"/>
        </w:rPr>
      </w:pPr>
    </w:p>
    <w:p w14:paraId="14D5CAC6" w14:textId="77777777" w:rsidR="001F1A65" w:rsidRDefault="00E030F7">
      <w:pPr>
        <w:pStyle w:val="BodyA"/>
        <w:jc w:val="center"/>
        <w:rPr>
          <w:rFonts w:ascii="Times" w:eastAsia="Times" w:hAnsi="Times" w:cs="Times"/>
          <w:b/>
          <w:bCs/>
          <w:smallCaps/>
          <w:sz w:val="36"/>
          <w:szCs w:val="36"/>
        </w:rPr>
      </w:pPr>
      <w:r>
        <w:rPr>
          <w:rFonts w:ascii="Times" w:hAnsi="Times"/>
          <w:b/>
          <w:bCs/>
          <w:smallCaps/>
          <w:sz w:val="36"/>
          <w:szCs w:val="36"/>
        </w:rPr>
        <w:t>Labor Rights</w:t>
      </w:r>
    </w:p>
    <w:p w14:paraId="68D0C29A" w14:textId="77777777" w:rsidR="001F1A65" w:rsidRDefault="001F1A65">
      <w:pPr>
        <w:pStyle w:val="BodyA"/>
        <w:jc w:val="center"/>
        <w:rPr>
          <w:rFonts w:ascii="Times" w:eastAsia="Times" w:hAnsi="Times" w:cs="Times"/>
          <w:b/>
          <w:bCs/>
          <w:smallCaps/>
          <w:sz w:val="36"/>
          <w:szCs w:val="36"/>
        </w:rPr>
      </w:pPr>
    </w:p>
    <w:p w14:paraId="2BC68263" w14:textId="77777777" w:rsidR="001F1A65" w:rsidRDefault="001F1A65">
      <w:pPr>
        <w:pStyle w:val="BodyA"/>
        <w:jc w:val="center"/>
        <w:rPr>
          <w:rFonts w:ascii="Times" w:eastAsia="Times" w:hAnsi="Times" w:cs="Times"/>
          <w:b/>
          <w:bCs/>
        </w:rPr>
      </w:pPr>
    </w:p>
    <w:p w14:paraId="7984CDC7" w14:textId="77777777" w:rsidR="001F1A65" w:rsidRDefault="001F1A65">
      <w:pPr>
        <w:pStyle w:val="BodyA"/>
        <w:jc w:val="center"/>
        <w:rPr>
          <w:rFonts w:ascii="Times" w:eastAsia="Times" w:hAnsi="Times" w:cs="Times"/>
          <w:b/>
          <w:bCs/>
        </w:rPr>
      </w:pPr>
    </w:p>
    <w:p w14:paraId="60435FDA" w14:textId="77777777" w:rsidR="00654E4D" w:rsidRPr="00654E4D" w:rsidRDefault="00654E4D" w:rsidP="005C42F3">
      <w:pPr>
        <w:pStyle w:val="BodyA"/>
        <w:jc w:val="center"/>
        <w:rPr>
          <w:rFonts w:ascii="Times" w:hAnsi="Times"/>
          <w:b/>
          <w:bCs/>
        </w:rPr>
      </w:pPr>
      <w:r w:rsidRPr="00654E4D">
        <w:rPr>
          <w:rFonts w:ascii="Times" w:hAnsi="Times"/>
          <w:b/>
          <w:bCs/>
        </w:rPr>
        <w:t>Prepared By:</w:t>
      </w:r>
    </w:p>
    <w:p w14:paraId="13C12795" w14:textId="77777777" w:rsidR="00654E4D" w:rsidRPr="00654E4D" w:rsidRDefault="00654E4D" w:rsidP="005C42F3">
      <w:pPr>
        <w:pStyle w:val="BodyA"/>
        <w:jc w:val="center"/>
        <w:rPr>
          <w:rFonts w:ascii="Times" w:hAnsi="Times"/>
          <w:b/>
          <w:bCs/>
        </w:rPr>
      </w:pPr>
      <w:proofErr w:type="spellStart"/>
      <w:r w:rsidRPr="00654E4D">
        <w:rPr>
          <w:rFonts w:ascii="Times" w:hAnsi="Times"/>
          <w:b/>
          <w:bCs/>
        </w:rPr>
        <w:t>Ziona</w:t>
      </w:r>
      <w:proofErr w:type="spellEnd"/>
      <w:r w:rsidRPr="00654E4D">
        <w:rPr>
          <w:rFonts w:ascii="Times" w:hAnsi="Times"/>
          <w:b/>
          <w:bCs/>
        </w:rPr>
        <w:t xml:space="preserve"> </w:t>
      </w:r>
      <w:proofErr w:type="spellStart"/>
      <w:r w:rsidRPr="00654E4D">
        <w:rPr>
          <w:rFonts w:ascii="Times" w:hAnsi="Times"/>
          <w:b/>
          <w:bCs/>
        </w:rPr>
        <w:t>Tanzer</w:t>
      </w:r>
      <w:proofErr w:type="spellEnd"/>
    </w:p>
    <w:p w14:paraId="7F245149" w14:textId="77777777" w:rsidR="00654E4D" w:rsidRPr="00654E4D" w:rsidRDefault="00654E4D" w:rsidP="00654E4D">
      <w:pPr>
        <w:pStyle w:val="BodyA"/>
        <w:rPr>
          <w:rFonts w:ascii="Times" w:hAnsi="Times"/>
          <w:b/>
          <w:bCs/>
        </w:rPr>
      </w:pPr>
    </w:p>
    <w:p w14:paraId="2F4F6B23" w14:textId="77777777" w:rsidR="00654E4D" w:rsidRPr="00654E4D" w:rsidRDefault="00654E4D" w:rsidP="00654E4D">
      <w:pPr>
        <w:pStyle w:val="BodyA"/>
        <w:rPr>
          <w:rFonts w:ascii="Times" w:hAnsi="Times"/>
          <w:b/>
          <w:bCs/>
        </w:rPr>
      </w:pPr>
    </w:p>
    <w:p w14:paraId="29C3B4E5" w14:textId="53FF84B0" w:rsidR="00EA7348" w:rsidRDefault="00654E4D" w:rsidP="00EA7348">
      <w:pPr>
        <w:pStyle w:val="BodyA"/>
        <w:jc w:val="center"/>
        <w:rPr>
          <w:rFonts w:ascii="Times" w:hAnsi="Times"/>
          <w:b/>
          <w:bCs/>
        </w:rPr>
      </w:pPr>
      <w:r w:rsidRPr="00654E4D">
        <w:rPr>
          <w:rFonts w:ascii="Times" w:hAnsi="Times"/>
          <w:b/>
          <w:bCs/>
        </w:rPr>
        <w:t>Submitted by:</w:t>
      </w:r>
      <w:r w:rsidR="00EA7348">
        <w:rPr>
          <w:rFonts w:ascii="Times" w:hAnsi="Times"/>
          <w:b/>
          <w:bCs/>
        </w:rPr>
        <w:br/>
      </w:r>
      <w:r w:rsidRPr="00654E4D">
        <w:rPr>
          <w:rFonts w:ascii="Times" w:hAnsi="Times"/>
          <w:b/>
          <w:bCs/>
        </w:rPr>
        <w:t>Solidarity Center Cambodia (ACILS)</w:t>
      </w:r>
    </w:p>
    <w:p w14:paraId="7226985A" w14:textId="77777777" w:rsidR="00EA7348" w:rsidRPr="00EA7348" w:rsidRDefault="00EA7348" w:rsidP="00EA7348">
      <w:pPr>
        <w:pStyle w:val="BodyA"/>
        <w:jc w:val="center"/>
        <w:rPr>
          <w:rFonts w:ascii="Times" w:hAnsi="Times"/>
          <w:b/>
          <w:bCs/>
        </w:rPr>
      </w:pPr>
    </w:p>
    <w:p w14:paraId="08D5DB7A" w14:textId="46E91FDB" w:rsidR="00EA7348" w:rsidRPr="00EA7348" w:rsidRDefault="005C42F3" w:rsidP="00EA734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80" w:lineRule="atLeast"/>
        <w:jc w:val="center"/>
        <w:rPr>
          <w:rFonts w:ascii="Times" w:hAnsi="Times"/>
          <w:b/>
          <w:bCs/>
          <w:sz w:val="22"/>
        </w:rPr>
      </w:pPr>
      <w:r w:rsidRPr="003D1913">
        <w:rPr>
          <w:rFonts w:ascii="Times" w:hAnsi="Times"/>
          <w:b/>
          <w:bCs/>
        </w:rPr>
        <w:t>With partner organizations</w:t>
      </w:r>
      <w:r w:rsidR="00EA7348" w:rsidRPr="003D1913">
        <w:rPr>
          <w:rFonts w:ascii="Times" w:hAnsi="Times"/>
          <w:b/>
          <w:bCs/>
        </w:rPr>
        <w:t xml:space="preserve">: </w:t>
      </w:r>
      <w:r w:rsidR="00EA7348">
        <w:rPr>
          <w:rFonts w:ascii="Times" w:hAnsi="Times"/>
          <w:b/>
          <w:bCs/>
          <w:sz w:val="22"/>
        </w:rPr>
        <w:br/>
      </w:r>
      <w:r w:rsidR="00EA7348" w:rsidRPr="003D1913">
        <w:rPr>
          <w:rFonts w:ascii="Times" w:hAnsi="Times"/>
          <w:bCs/>
          <w:sz w:val="22"/>
        </w:rPr>
        <w:t xml:space="preserve">Building and Woodworkers Trade Union Cambodia (BWTUC), </w:t>
      </w:r>
      <w:r w:rsidR="00EA7348" w:rsidRPr="003D1913">
        <w:rPr>
          <w:rFonts w:ascii="Times" w:hAnsi="Times"/>
          <w:bCs/>
          <w:sz w:val="22"/>
          <w:lang w:bidi="he-IL"/>
        </w:rPr>
        <w:t xml:space="preserve">Cambodian Alliance of Trade Unions (CATU), </w:t>
      </w:r>
      <w:r w:rsidR="00EA7348" w:rsidRPr="003D1913">
        <w:rPr>
          <w:rFonts w:ascii="Times" w:hAnsi="Times"/>
          <w:bCs/>
          <w:sz w:val="22"/>
        </w:rPr>
        <w:t xml:space="preserve">Cambodian Domestic Workers Network (CDWN), </w:t>
      </w:r>
      <w:r w:rsidR="003E6D52" w:rsidRPr="003D1913">
        <w:rPr>
          <w:rFonts w:ascii="Times" w:hAnsi="Times"/>
          <w:bCs/>
          <w:sz w:val="22"/>
          <w:lang w:bidi="he-IL"/>
        </w:rPr>
        <w:t>Coalition of Cambodian Apparel Workers Democratic Union</w:t>
      </w:r>
      <w:r w:rsidR="003E6D52" w:rsidRPr="003D1913">
        <w:rPr>
          <w:rFonts w:ascii="Times" w:hAnsi="Times"/>
          <w:bCs/>
          <w:sz w:val="22"/>
        </w:rPr>
        <w:t xml:space="preserve"> (</w:t>
      </w:r>
      <w:r w:rsidRPr="003D1913">
        <w:rPr>
          <w:rFonts w:ascii="Times" w:hAnsi="Times"/>
          <w:bCs/>
          <w:sz w:val="22"/>
        </w:rPr>
        <w:t>C.CAWDU</w:t>
      </w:r>
      <w:r w:rsidR="003E6D52" w:rsidRPr="003D1913">
        <w:rPr>
          <w:rFonts w:ascii="Times" w:hAnsi="Times"/>
          <w:bCs/>
          <w:sz w:val="22"/>
        </w:rPr>
        <w:t>)</w:t>
      </w:r>
      <w:r w:rsidRPr="003D1913">
        <w:rPr>
          <w:rFonts w:ascii="Times" w:hAnsi="Times"/>
          <w:bCs/>
          <w:sz w:val="22"/>
        </w:rPr>
        <w:t>,</w:t>
      </w:r>
      <w:r w:rsidR="003E6D52" w:rsidRPr="003D1913">
        <w:rPr>
          <w:rFonts w:ascii="Times" w:hAnsi="Times"/>
          <w:bCs/>
          <w:sz w:val="22"/>
          <w:lang w:bidi="he-IL"/>
        </w:rPr>
        <w:t xml:space="preserve"> Collective Union of Movement of Workers (CUMW</w:t>
      </w:r>
      <w:r w:rsidR="003E6D52" w:rsidRPr="003D1913">
        <w:rPr>
          <w:rFonts w:ascii="Times" w:hAnsi="Times"/>
          <w:bCs/>
          <w:sz w:val="22"/>
        </w:rPr>
        <w:t>)</w:t>
      </w:r>
      <w:r w:rsidRPr="003D1913">
        <w:rPr>
          <w:rFonts w:ascii="Times" w:hAnsi="Times"/>
          <w:bCs/>
          <w:sz w:val="22"/>
        </w:rPr>
        <w:t xml:space="preserve">, </w:t>
      </w:r>
      <w:r w:rsidR="00EA7348" w:rsidRPr="003D1913">
        <w:rPr>
          <w:rFonts w:ascii="Times" w:hAnsi="Times"/>
          <w:bCs/>
          <w:sz w:val="22"/>
          <w:lang w:bidi="he-IL"/>
        </w:rPr>
        <w:t>Coalition Free Trade Union of Women's Textiles (CFTUWT)</w:t>
      </w:r>
      <w:r w:rsidR="00EA7348" w:rsidRPr="003D1913">
        <w:rPr>
          <w:rFonts w:ascii="Times" w:hAnsi="Times"/>
          <w:bCs/>
          <w:sz w:val="22"/>
        </w:rPr>
        <w:t xml:space="preserve">, </w:t>
      </w:r>
      <w:r w:rsidR="003E6D52" w:rsidRPr="003D1913">
        <w:rPr>
          <w:rFonts w:ascii="Times" w:hAnsi="Times"/>
          <w:bCs/>
          <w:sz w:val="22"/>
        </w:rPr>
        <w:t xml:space="preserve">Free Trade Union of the Workers of the Kingdom of Cambodia (FTUWKC), </w:t>
      </w:r>
      <w:r w:rsidR="00EA7348" w:rsidRPr="003D1913">
        <w:rPr>
          <w:rFonts w:ascii="Times" w:hAnsi="Times"/>
          <w:bCs/>
          <w:sz w:val="22"/>
        </w:rPr>
        <w:t>Nationals Unions Defend the Interests of Khmer Workers</w:t>
      </w:r>
      <w:r w:rsidR="005228A4" w:rsidRPr="003D1913">
        <w:rPr>
          <w:rFonts w:ascii="Times" w:hAnsi="Times"/>
          <w:bCs/>
          <w:sz w:val="22"/>
        </w:rPr>
        <w:t xml:space="preserve"> (NUDIK)</w:t>
      </w:r>
      <w:r w:rsidRPr="003D1913">
        <w:rPr>
          <w:rFonts w:ascii="Times" w:hAnsi="Times"/>
          <w:bCs/>
          <w:sz w:val="22"/>
        </w:rPr>
        <w:t xml:space="preserve">, </w:t>
      </w:r>
      <w:r w:rsidR="00EA7348" w:rsidRPr="003D1913">
        <w:rPr>
          <w:rFonts w:ascii="Times" w:hAnsi="Times"/>
          <w:bCs/>
          <w:sz w:val="22"/>
        </w:rPr>
        <w:t xml:space="preserve">Union Coalition of Labor  (UCL), </w:t>
      </w:r>
      <w:r w:rsidR="00EA7348" w:rsidRPr="003D1913">
        <w:rPr>
          <w:rFonts w:ascii="Times" w:hAnsi="Times"/>
          <w:bCs/>
          <w:sz w:val="22"/>
          <w:lang w:bidi="he-IL"/>
        </w:rPr>
        <w:t>Worker Friendship Union Federation (WFUF)</w:t>
      </w:r>
    </w:p>
    <w:p w14:paraId="76565C42" w14:textId="01C76702" w:rsidR="005C42F3" w:rsidRPr="00EA7348" w:rsidRDefault="005C42F3" w:rsidP="00EA734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80" w:lineRule="atLeast"/>
        <w:jc w:val="center"/>
        <w:rPr>
          <w:rFonts w:ascii="Times Roman" w:hAnsi="Times Roman" w:cs="Times Roman"/>
          <w:color w:val="000000"/>
          <w:sz w:val="22"/>
        </w:rPr>
      </w:pPr>
    </w:p>
    <w:p w14:paraId="3BA08282" w14:textId="77777777" w:rsidR="001F1A65" w:rsidRDefault="001F1A65">
      <w:pPr>
        <w:pStyle w:val="BodyA"/>
        <w:ind w:left="720" w:hanging="720"/>
        <w:jc w:val="center"/>
        <w:rPr>
          <w:rFonts w:ascii="Times" w:eastAsia="Times" w:hAnsi="Times" w:cs="Times"/>
          <w:b/>
          <w:bCs/>
          <w:u w:val="single"/>
        </w:rPr>
      </w:pPr>
    </w:p>
    <w:p w14:paraId="40E5896E" w14:textId="77777777" w:rsidR="003E6D52" w:rsidRDefault="003E6D52">
      <w:pPr>
        <w:pStyle w:val="BodyA"/>
        <w:ind w:left="720" w:hanging="720"/>
        <w:jc w:val="center"/>
        <w:rPr>
          <w:rFonts w:ascii="Times" w:eastAsia="Times" w:hAnsi="Times" w:cs="Times"/>
          <w:b/>
          <w:bCs/>
          <w:u w:val="single"/>
        </w:rPr>
      </w:pPr>
    </w:p>
    <w:p w14:paraId="40D6145B" w14:textId="77777777" w:rsidR="003E6D52" w:rsidRDefault="003E6D52">
      <w:pPr>
        <w:pStyle w:val="BodyA"/>
        <w:ind w:left="720" w:hanging="720"/>
        <w:jc w:val="center"/>
        <w:rPr>
          <w:rFonts w:ascii="Times" w:eastAsia="Times" w:hAnsi="Times" w:cs="Times"/>
          <w:b/>
          <w:bCs/>
          <w:u w:val="single"/>
        </w:rPr>
      </w:pPr>
    </w:p>
    <w:p w14:paraId="17BB90DE" w14:textId="77777777" w:rsidR="001F1A65" w:rsidRDefault="001F1A65">
      <w:pPr>
        <w:pStyle w:val="BodyA"/>
        <w:ind w:left="630"/>
        <w:rPr>
          <w:rFonts w:ascii="Times" w:eastAsia="Times" w:hAnsi="Times" w:cs="Times"/>
          <w:b/>
          <w:bCs/>
          <w:u w:val="single"/>
        </w:rPr>
      </w:pPr>
    </w:p>
    <w:p w14:paraId="11B14DBF" w14:textId="77777777" w:rsidR="001F1A65" w:rsidRDefault="001F1A65">
      <w:pPr>
        <w:pStyle w:val="BodyA"/>
        <w:jc w:val="center"/>
        <w:rPr>
          <w:rFonts w:ascii="Times" w:eastAsia="Times" w:hAnsi="Times" w:cs="Times"/>
        </w:rPr>
      </w:pPr>
    </w:p>
    <w:p w14:paraId="5A005B99" w14:textId="77777777" w:rsidR="001F1A65" w:rsidRDefault="001F1A65">
      <w:pPr>
        <w:pStyle w:val="BodyA"/>
        <w:rPr>
          <w:rFonts w:ascii="Times" w:eastAsia="Times" w:hAnsi="Times" w:cs="Times"/>
        </w:rPr>
      </w:pPr>
    </w:p>
    <w:p w14:paraId="5AC6D3CC" w14:textId="77777777" w:rsidR="001F1A65" w:rsidRDefault="00E030F7">
      <w:pPr>
        <w:pStyle w:val="Body"/>
      </w:pPr>
      <w:r>
        <w:rPr>
          <w:rFonts w:ascii="Arial Unicode MS" w:eastAsia="Arial Unicode MS" w:hAnsi="Arial Unicode MS" w:cs="Arial Unicode MS"/>
        </w:rPr>
        <w:br w:type="page"/>
      </w:r>
    </w:p>
    <w:p w14:paraId="18B8236F" w14:textId="77777777" w:rsidR="001F1A65" w:rsidRDefault="001F1A65">
      <w:pPr>
        <w:pStyle w:val="BodyA"/>
        <w:jc w:val="left"/>
        <w:rPr>
          <w:rFonts w:ascii="Times" w:eastAsia="Times" w:hAnsi="Times" w:cs="Times"/>
        </w:rPr>
      </w:pPr>
    </w:p>
    <w:p w14:paraId="6B34297F" w14:textId="77777777" w:rsidR="001F1A65" w:rsidRDefault="00E030F7">
      <w:pPr>
        <w:pStyle w:val="BodyA"/>
        <w:keepNext/>
        <w:jc w:val="center"/>
      </w:pPr>
      <w:r>
        <w:rPr>
          <w:b/>
          <w:bCs/>
        </w:rPr>
        <w:t>INTRODUCTION</w:t>
      </w:r>
    </w:p>
    <w:p w14:paraId="4B28D49D" w14:textId="77777777" w:rsidR="001F1A65" w:rsidRDefault="00E030F7">
      <w:pPr>
        <w:pStyle w:val="Heading"/>
        <w:numPr>
          <w:ilvl w:val="0"/>
          <w:numId w:val="2"/>
        </w:numPr>
        <w:jc w:val="left"/>
      </w:pPr>
      <w:r>
        <w:rPr>
          <w:rFonts w:ascii="Times New Roman" w:hAnsi="Times New Roman"/>
        </w:rPr>
        <w:t>Executive summary</w:t>
      </w:r>
    </w:p>
    <w:p w14:paraId="78715F07" w14:textId="77777777" w:rsidR="001F1A65" w:rsidRDefault="001F1A65">
      <w:pPr>
        <w:pStyle w:val="BodyA"/>
        <w:keepNext/>
        <w:ind w:left="720"/>
      </w:pPr>
    </w:p>
    <w:p w14:paraId="30578123" w14:textId="77777777" w:rsidR="001F1A65" w:rsidRPr="00F643B5" w:rsidRDefault="00E030F7">
      <w:pPr>
        <w:pStyle w:val="BodyA"/>
        <w:numPr>
          <w:ilvl w:val="1"/>
          <w:numId w:val="2"/>
        </w:numPr>
      </w:pPr>
      <w:r>
        <w:t>Cambodian women have a labor force participation rate of 79.7%, the highest in the region.</w:t>
      </w:r>
      <w:r>
        <w:rPr>
          <w:rStyle w:val="FootnoteReference"/>
        </w:rPr>
        <w:footnoteReference w:id="2"/>
      </w:r>
      <w:r>
        <w:t xml:space="preserve"> Approximately 700,000 garment and footwear workers, over 85% of </w:t>
      </w:r>
      <w:proofErr w:type="gramStart"/>
      <w:r>
        <w:t>whom</w:t>
      </w:r>
      <w:proofErr w:type="gramEnd"/>
      <w:r>
        <w:t xml:space="preserve"> are women, are currently employed by more than 600 mostly foreign-owned</w:t>
      </w:r>
      <w:r w:rsidRPr="00EF187C">
        <w:t xml:space="preserve"> </w:t>
      </w:r>
      <w:r>
        <w:t>factories.</w:t>
      </w:r>
      <w:r>
        <w:rPr>
          <w:rStyle w:val="FootnoteReference"/>
        </w:rPr>
        <w:footnoteReference w:id="3"/>
      </w:r>
      <w:r>
        <w:t xml:space="preserve"> They export more than US $7 billion annually, which is nearly 80% of the country’s total merchandise exports and 11% of its GDP.</w:t>
      </w:r>
      <w:r>
        <w:rPr>
          <w:rStyle w:val="FootnoteReference"/>
        </w:rPr>
        <w:footnoteReference w:id="4"/>
      </w:r>
      <w:r>
        <w:t xml:space="preserve"> Their work drives the engine of the Cambodian economy. Cambodia’s booming construction sector is the second key sector driving economic growth. Women are estimated to account for up to 30% of the total workforce.</w:t>
      </w:r>
      <w:r>
        <w:rPr>
          <w:rStyle w:val="FootnoteReference"/>
        </w:rPr>
        <w:footnoteReference w:id="5"/>
      </w:r>
      <w:r>
        <w:t xml:space="preserve"> However, employment in this sector is often informal and precarious, and accounts for about 11% of all informal employment in Cambodia.</w:t>
      </w:r>
      <w:r>
        <w:rPr>
          <w:rStyle w:val="FootnoteReference"/>
        </w:rPr>
        <w:footnoteReference w:id="6"/>
      </w:r>
      <w:r>
        <w:t xml:space="preserve"> Domestic work—a predominantly female and highly informal </w:t>
      </w:r>
      <w:r w:rsidRPr="00F643B5">
        <w:t>workforce—is still excluded from the labor legislation.</w:t>
      </w:r>
      <w:r w:rsidRPr="00F643B5">
        <w:rPr>
          <w:rStyle w:val="FootnoteReference"/>
        </w:rPr>
        <w:footnoteReference w:id="7"/>
      </w:r>
    </w:p>
    <w:p w14:paraId="2801DD47" w14:textId="77777777" w:rsidR="001F1A65" w:rsidRDefault="001F1A65">
      <w:pPr>
        <w:pStyle w:val="BodyA"/>
        <w:ind w:left="720"/>
      </w:pPr>
    </w:p>
    <w:p w14:paraId="6A92C428" w14:textId="77777777" w:rsidR="001F1A65" w:rsidRPr="005C42F3" w:rsidRDefault="00E030F7">
      <w:pPr>
        <w:pStyle w:val="BodyA"/>
        <w:numPr>
          <w:ilvl w:val="1"/>
          <w:numId w:val="2"/>
        </w:numPr>
      </w:pPr>
      <w:r>
        <w:t xml:space="preserve">While the right to work is core to the realization of substantive equality, the right to decent work </w:t>
      </w:r>
      <w:r w:rsidRPr="005C42F3">
        <w:t>remains largely elusive for women workers in Cambodia.</w:t>
      </w:r>
    </w:p>
    <w:p w14:paraId="1B7C2ACB" w14:textId="77777777" w:rsidR="001F1A65" w:rsidRDefault="001F1A65">
      <w:pPr>
        <w:pStyle w:val="BodyA"/>
      </w:pPr>
    </w:p>
    <w:p w14:paraId="058275AE" w14:textId="28A1522B" w:rsidR="001F1A65" w:rsidRDefault="00E030F7" w:rsidP="00CB11B0">
      <w:pPr>
        <w:pStyle w:val="BodyA"/>
        <w:numPr>
          <w:ilvl w:val="1"/>
          <w:numId w:val="2"/>
        </w:numPr>
        <w:jc w:val="left"/>
      </w:pPr>
      <w:r>
        <w:t>The challenges women workers in Cambodia face are multiple and intertwined</w:t>
      </w:r>
      <w:r w:rsidR="004A6668">
        <w:t xml:space="preserve"> and</w:t>
      </w:r>
      <w:r>
        <w:t xml:space="preserve"> are both the product of negative gender stereotypes and an economically globalized race to the bottom. Legislative erosion of core labor rights, when coupled with an almost unchecked permission to use </w:t>
      </w:r>
      <w:proofErr w:type="gramStart"/>
      <w:r w:rsidR="00DE19A3">
        <w:t>short term</w:t>
      </w:r>
      <w:proofErr w:type="gramEnd"/>
      <w:r w:rsidR="00DE19A3">
        <w:t xml:space="preserve"> contracts (</w:t>
      </w:r>
      <w:r>
        <w:t>STCs</w:t>
      </w:r>
      <w:r w:rsidR="00DE19A3">
        <w:t>)</w:t>
      </w:r>
      <w:r>
        <w:t xml:space="preserve">, </w:t>
      </w:r>
      <w:r w:rsidR="00DE758F">
        <w:t xml:space="preserve">can </w:t>
      </w:r>
      <w:r>
        <w:t>leave women workers outside legal protection</w:t>
      </w:r>
      <w:r w:rsidR="00DE758F">
        <w:t>s</w:t>
      </w:r>
      <w:r w:rsidR="00570E60">
        <w:t xml:space="preserve"> and increase their exposure to unsafe working conditions. Women workers have few avenues to raise their safety concerns or obtain recourse for violations of rights. </w:t>
      </w:r>
      <w:r>
        <w:t>The CEDAW Committee has recognized the frequently negative impact of conduct of transnational companies on the enjoyment of women’s rights.</w:t>
      </w:r>
    </w:p>
    <w:p w14:paraId="78E95612" w14:textId="77777777" w:rsidR="001F1A65" w:rsidRDefault="001F1A65">
      <w:pPr>
        <w:pStyle w:val="BodyA"/>
      </w:pPr>
    </w:p>
    <w:p w14:paraId="2A97E3C8" w14:textId="0F874E58" w:rsidR="001F1A65" w:rsidRDefault="00E030F7">
      <w:pPr>
        <w:pStyle w:val="BodyA"/>
        <w:numPr>
          <w:ilvl w:val="1"/>
          <w:numId w:val="2"/>
        </w:numPr>
      </w:pPr>
      <w:r>
        <w:t xml:space="preserve">This report </w:t>
      </w:r>
      <w:r w:rsidR="00AB55CF">
        <w:t xml:space="preserve">expands upon the joint civil society submission by highlighting the gender impacts of labor violations on women workers and </w:t>
      </w:r>
      <w:r>
        <w:t xml:space="preserve">will focus on the following core labor violations: (a) Freedom of Association and assembly as it impacts on women’s ability to exercise trade union rights; (b) the increase in the use of short-term employment which permits employers to escape from obligations to pay benefits and maternity leave, and also restricts women in their opportunities to organize in </w:t>
      </w:r>
      <w:r>
        <w:lastRenderedPageBreak/>
        <w:t>associations and trade unions</w:t>
      </w:r>
      <w:r>
        <w:rPr>
          <w:vertAlign w:val="superscript"/>
        </w:rPr>
        <w:footnoteReference w:id="8"/>
      </w:r>
      <w:r>
        <w:t>; (c) gender-based violence</w:t>
      </w:r>
      <w:r w:rsidR="00DE19A3">
        <w:t xml:space="preserve"> and harassment</w:t>
      </w:r>
      <w:r>
        <w:t xml:space="preserve"> </w:t>
      </w:r>
      <w:r w:rsidR="00DE19A3">
        <w:t xml:space="preserve">(GBV/H) </w:t>
      </w:r>
      <w:r>
        <w:t>in the world of work, (d) health and safety issues, particularly</w:t>
      </w:r>
      <w:r w:rsidR="00570E60">
        <w:t xml:space="preserve"> </w:t>
      </w:r>
      <w:r>
        <w:t xml:space="preserve">unsafe commuting conditions that make women vulnerable to hazards when traveling to and from work, especially after working overtime and (e) maternity and paternity protection.  </w:t>
      </w:r>
    </w:p>
    <w:p w14:paraId="200A3139" w14:textId="77777777" w:rsidR="001F1A65" w:rsidRDefault="001F1A65">
      <w:pPr>
        <w:pStyle w:val="BodyA"/>
        <w:ind w:left="720"/>
      </w:pPr>
    </w:p>
    <w:p w14:paraId="601BD4D3" w14:textId="77777777" w:rsidR="001F1A65" w:rsidRDefault="001F1A65">
      <w:pPr>
        <w:pStyle w:val="BodyA"/>
        <w:ind w:left="720"/>
      </w:pPr>
    </w:p>
    <w:p w14:paraId="26C095E5" w14:textId="77777777" w:rsidR="001F1A65" w:rsidRDefault="00E030F7">
      <w:pPr>
        <w:pStyle w:val="BodyA"/>
        <w:numPr>
          <w:ilvl w:val="1"/>
          <w:numId w:val="2"/>
        </w:numPr>
      </w:pPr>
      <w:r>
        <w:t>This report is organized in the following way:</w:t>
      </w:r>
    </w:p>
    <w:p w14:paraId="4543339B" w14:textId="77777777" w:rsidR="001F1A65" w:rsidRDefault="001F1A65">
      <w:pPr>
        <w:pStyle w:val="ListParagraph"/>
      </w:pPr>
    </w:p>
    <w:p w14:paraId="3E1F8ABD" w14:textId="77777777" w:rsidR="001F1A65" w:rsidRPr="00361B28" w:rsidRDefault="00E030F7">
      <w:pPr>
        <w:pStyle w:val="BodyA"/>
        <w:ind w:left="720"/>
      </w:pPr>
      <w:r w:rsidRPr="004D2480">
        <w:rPr>
          <w:b/>
        </w:rPr>
        <w:t>2.</w:t>
      </w:r>
      <w:r>
        <w:tab/>
      </w:r>
      <w:r w:rsidRPr="004D2480">
        <w:rPr>
          <w:b/>
        </w:rPr>
        <w:t>Methodology</w:t>
      </w:r>
      <w:r w:rsidRPr="00361B28">
        <w:tab/>
      </w:r>
    </w:p>
    <w:p w14:paraId="5B1A4ECC" w14:textId="77777777" w:rsidR="001F1A65" w:rsidRPr="00361B28" w:rsidRDefault="00E030F7">
      <w:pPr>
        <w:pStyle w:val="BodyA"/>
        <w:ind w:left="720"/>
      </w:pPr>
      <w:r w:rsidRPr="004D2480">
        <w:rPr>
          <w:b/>
        </w:rPr>
        <w:t>3.</w:t>
      </w:r>
      <w:r w:rsidRPr="00361B28">
        <w:t xml:space="preserve"> </w:t>
      </w:r>
      <w:r w:rsidRPr="00361B28">
        <w:tab/>
      </w:r>
      <w:r w:rsidRPr="004D2480">
        <w:rPr>
          <w:b/>
        </w:rPr>
        <w:t>Freedom of Association</w:t>
      </w:r>
      <w:r w:rsidRPr="00361B28">
        <w:t>: Articles 3 and 11</w:t>
      </w:r>
      <w:r w:rsidRPr="00361B28">
        <w:tab/>
      </w:r>
    </w:p>
    <w:p w14:paraId="2AC95970" w14:textId="6BBB7599" w:rsidR="00361B28" w:rsidRPr="00361B28" w:rsidRDefault="00E030F7" w:rsidP="00361B28">
      <w:pPr>
        <w:pStyle w:val="BodyA"/>
        <w:ind w:left="720"/>
      </w:pPr>
      <w:r w:rsidRPr="004D2480">
        <w:rPr>
          <w:b/>
        </w:rPr>
        <w:t>4.</w:t>
      </w:r>
      <w:r w:rsidRPr="00361B28">
        <w:tab/>
      </w:r>
      <w:r w:rsidRPr="004D2480">
        <w:rPr>
          <w:b/>
        </w:rPr>
        <w:t>Short-term Contracts</w:t>
      </w:r>
      <w:r w:rsidRPr="00361B28">
        <w:t>: Articles 4(2), 5 and 11(2)</w:t>
      </w:r>
    </w:p>
    <w:p w14:paraId="140A56F1" w14:textId="3DB25C06" w:rsidR="001F1A65" w:rsidRPr="00361B28" w:rsidRDefault="00361B28" w:rsidP="00361B28">
      <w:pPr>
        <w:pStyle w:val="BodyA"/>
        <w:ind w:left="1440" w:hanging="720"/>
      </w:pPr>
      <w:r w:rsidRPr="004D2480">
        <w:rPr>
          <w:b/>
        </w:rPr>
        <w:t>5.</w:t>
      </w:r>
      <w:r w:rsidRPr="00361B28">
        <w:t xml:space="preserve"> </w:t>
      </w:r>
      <w:r w:rsidRPr="00361B28">
        <w:tab/>
      </w:r>
      <w:r w:rsidRPr="004D2480">
        <w:rPr>
          <w:b/>
        </w:rPr>
        <w:t>Gender Based Violence and Harassment in the World of Work</w:t>
      </w:r>
      <w:r w:rsidRPr="00361B28">
        <w:t>: Articles 2 (e), 2 (d), 11 and General Recommendations 12 And 19</w:t>
      </w:r>
      <w:r w:rsidR="00E030F7" w:rsidRPr="00361B28">
        <w:tab/>
      </w:r>
    </w:p>
    <w:p w14:paraId="27626671" w14:textId="5B66466E" w:rsidR="00361B28" w:rsidRPr="00361B28" w:rsidRDefault="00E030F7" w:rsidP="00361B28">
      <w:pPr>
        <w:pStyle w:val="BodyA"/>
        <w:ind w:left="1440" w:hanging="720"/>
      </w:pPr>
      <w:r w:rsidRPr="004D2480">
        <w:rPr>
          <w:b/>
        </w:rPr>
        <w:t>6.</w:t>
      </w:r>
      <w:r w:rsidRPr="00361B28">
        <w:tab/>
      </w:r>
      <w:r w:rsidR="00361B28" w:rsidRPr="004D2480">
        <w:rPr>
          <w:b/>
        </w:rPr>
        <w:t>Gender Impacts of Unsafe Transport Systems</w:t>
      </w:r>
      <w:r w:rsidR="00361B28" w:rsidRPr="00361B28">
        <w:t>: Articles 11(f) The Right to Protection of Health and Safety in Working Conditions</w:t>
      </w:r>
    </w:p>
    <w:p w14:paraId="6BB604E9" w14:textId="765CA343" w:rsidR="001F1A65" w:rsidRPr="00DF272A" w:rsidRDefault="00361B28" w:rsidP="002A1E02">
      <w:pPr>
        <w:pStyle w:val="BodyA"/>
        <w:ind w:left="720"/>
      </w:pPr>
      <w:proofErr w:type="gramStart"/>
      <w:r w:rsidRPr="004D2480">
        <w:rPr>
          <w:b/>
        </w:rPr>
        <w:t>7.</w:t>
      </w:r>
      <w:r w:rsidR="00257AC8">
        <w:t xml:space="preserve"> </w:t>
      </w:r>
      <w:r w:rsidR="00257AC8">
        <w:tab/>
      </w:r>
      <w:r w:rsidR="00E030F7" w:rsidRPr="004D2480">
        <w:rPr>
          <w:b/>
        </w:rPr>
        <w:t>Maternity</w:t>
      </w:r>
      <w:proofErr w:type="gramEnd"/>
      <w:r w:rsidR="00E030F7" w:rsidRPr="004D2480">
        <w:rPr>
          <w:b/>
        </w:rPr>
        <w:t xml:space="preserve"> and Paternity Protection</w:t>
      </w:r>
      <w:r w:rsidR="00E030F7">
        <w:t>: Article</w:t>
      </w:r>
      <w:r w:rsidR="002A1E02">
        <w:t xml:space="preserve">s </w:t>
      </w:r>
      <w:r>
        <w:t>2(e</w:t>
      </w:r>
      <w:r w:rsidR="002A1E02" w:rsidRPr="002A1E02">
        <w:t xml:space="preserve">), </w:t>
      </w:r>
      <w:r>
        <w:t>4</w:t>
      </w:r>
      <w:r w:rsidR="002A1E02" w:rsidRPr="00DF272A">
        <w:t xml:space="preserve">(2), 5 </w:t>
      </w:r>
      <w:r w:rsidR="002A1E02">
        <w:t>and</w:t>
      </w:r>
      <w:r w:rsidR="002A1E02" w:rsidRPr="00DF272A">
        <w:t xml:space="preserve"> 11</w:t>
      </w:r>
    </w:p>
    <w:p w14:paraId="40E742AD" w14:textId="77777777" w:rsidR="001F1A65" w:rsidRDefault="001F1A65">
      <w:pPr>
        <w:pStyle w:val="BodyA"/>
        <w:ind w:left="720"/>
        <w:rPr>
          <w:b/>
          <w:bCs/>
        </w:rPr>
      </w:pPr>
    </w:p>
    <w:p w14:paraId="02F5AD36" w14:textId="77777777" w:rsidR="001F1A65" w:rsidRDefault="00E030F7" w:rsidP="00BF1310">
      <w:pPr>
        <w:pStyle w:val="Heading"/>
        <w:numPr>
          <w:ilvl w:val="0"/>
          <w:numId w:val="2"/>
        </w:numPr>
        <w:jc w:val="left"/>
      </w:pPr>
      <w:r>
        <w:t>Methodology</w:t>
      </w:r>
    </w:p>
    <w:p w14:paraId="2602933C" w14:textId="77777777" w:rsidR="001F1A65" w:rsidRDefault="001F1A65">
      <w:pPr>
        <w:pStyle w:val="Heading21"/>
        <w:spacing w:line="240" w:lineRule="auto"/>
        <w:ind w:left="720"/>
        <w:jc w:val="left"/>
      </w:pPr>
    </w:p>
    <w:p w14:paraId="4BD73B7E" w14:textId="68904D22" w:rsidR="001F1A65" w:rsidRDefault="00E030F7" w:rsidP="00BF1310">
      <w:pPr>
        <w:pStyle w:val="BodyA"/>
        <w:numPr>
          <w:ilvl w:val="1"/>
          <w:numId w:val="2"/>
        </w:numPr>
      </w:pPr>
      <w:r>
        <w:t>Representatives of the submitting organizations held discussions in August 2018 as a small group and then held further discussions with civil society organizations (hereinafter “CSO”) and union leaders and members. Separate expert interviews were held and experts in the field collected case studies to share for purposes of this report.</w:t>
      </w:r>
      <w:r>
        <w:rPr>
          <w:rStyle w:val="FootnoteReference"/>
        </w:rPr>
        <w:footnoteReference w:id="9"/>
      </w:r>
      <w:r>
        <w:t xml:space="preserve"> In June through July 2019, the Women’s Union Network (WUN) conducted 192 interviews with workers in the construction, garment, and manufacturing sectors, for purposes of supplementing this report.</w:t>
      </w:r>
      <w:r w:rsidR="005D5567">
        <w:rPr>
          <w:rStyle w:val="FootnoteReference"/>
        </w:rPr>
        <w:footnoteReference w:id="10"/>
      </w:r>
      <w:r w:rsidR="00C3370F">
        <w:t xml:space="preserve"> </w:t>
      </w:r>
      <w:r w:rsidR="00A12DB2">
        <w:t xml:space="preserve">Other research and sources of information are also referenced which provide relevant examples of the issues referred to in this report. </w:t>
      </w:r>
    </w:p>
    <w:p w14:paraId="1B122153" w14:textId="77777777" w:rsidR="001F1A65" w:rsidRDefault="001F1A65">
      <w:pPr>
        <w:pStyle w:val="BodyA"/>
        <w:ind w:left="720"/>
      </w:pPr>
    </w:p>
    <w:p w14:paraId="21952ABF" w14:textId="77777777" w:rsidR="001F1A65" w:rsidRDefault="00E030F7">
      <w:pPr>
        <w:pStyle w:val="Heading"/>
        <w:spacing w:line="240" w:lineRule="auto"/>
      </w:pPr>
      <w:r>
        <w:t>Cambodia’s obligations under the Convention on the Elimination of All Forms of Discrimination against Women</w:t>
      </w:r>
    </w:p>
    <w:p w14:paraId="7295A0B3" w14:textId="77777777" w:rsidR="001F1A65" w:rsidRDefault="001F1A65">
      <w:pPr>
        <w:pStyle w:val="BodyA"/>
        <w:ind w:left="720"/>
      </w:pPr>
    </w:p>
    <w:p w14:paraId="7142DF85" w14:textId="77777777" w:rsidR="001F1A65" w:rsidRDefault="00E030F7">
      <w:pPr>
        <w:pStyle w:val="Heading"/>
      </w:pPr>
      <w:r>
        <w:t xml:space="preserve">ARTICLES 3 AND 11 </w:t>
      </w:r>
    </w:p>
    <w:p w14:paraId="2D85F21F" w14:textId="77777777" w:rsidR="001F1A65" w:rsidRDefault="001F1A65">
      <w:pPr>
        <w:pStyle w:val="BodyA"/>
        <w:rPr>
          <w:b/>
          <w:bCs/>
        </w:rPr>
      </w:pPr>
    </w:p>
    <w:p w14:paraId="06A64C08" w14:textId="77777777" w:rsidR="001F1A65" w:rsidRDefault="00E030F7" w:rsidP="00BF1310">
      <w:pPr>
        <w:pStyle w:val="Heading"/>
        <w:numPr>
          <w:ilvl w:val="0"/>
          <w:numId w:val="2"/>
        </w:numPr>
        <w:jc w:val="left"/>
      </w:pPr>
      <w:r>
        <w:lastRenderedPageBreak/>
        <w:t>Freedom of Association</w:t>
      </w:r>
    </w:p>
    <w:p w14:paraId="34BF8E4C" w14:textId="77777777" w:rsidR="001F1A65" w:rsidRDefault="001F1A65">
      <w:pPr>
        <w:pStyle w:val="Heading21"/>
        <w:spacing w:line="240" w:lineRule="auto"/>
        <w:jc w:val="left"/>
      </w:pPr>
    </w:p>
    <w:p w14:paraId="33C2C6B6" w14:textId="26604026" w:rsidR="001F1A65" w:rsidRDefault="00E030F7" w:rsidP="00BF1310">
      <w:pPr>
        <w:pStyle w:val="BodyA"/>
        <w:numPr>
          <w:ilvl w:val="1"/>
          <w:numId w:val="2"/>
        </w:numPr>
      </w:pPr>
      <w:r>
        <w:t xml:space="preserve">Association and collective bargaining rights are instrumental to the realization of a broad range of CEDAW rights at work, including equal pay, maternity and security benefits, health and safety, and protection from gender-based violence (GBV) and harassment. The ability to associate freely in order to form a trade union and participate in collective </w:t>
      </w:r>
      <w:r w:rsidRPr="00F45221">
        <w:t>bargaining is recognized in Article 7</w:t>
      </w:r>
      <w:r w:rsidR="00F45221">
        <w:t xml:space="preserve"> (c)</w:t>
      </w:r>
      <w:r w:rsidRPr="00F45221">
        <w:t xml:space="preserve"> and the CEDAW Committee has emphasized that states must take effective measures to</w:t>
      </w:r>
      <w:r>
        <w:t xml:space="preserve"> increase the number of women in trade unions.    </w:t>
      </w:r>
    </w:p>
    <w:p w14:paraId="524E0A6F" w14:textId="77777777" w:rsidR="001F1A65" w:rsidRDefault="001F1A65">
      <w:pPr>
        <w:pStyle w:val="BodyA"/>
        <w:ind w:left="720"/>
        <w:rPr>
          <w:shd w:val="clear" w:color="auto" w:fill="FFFF00"/>
        </w:rPr>
      </w:pPr>
    </w:p>
    <w:p w14:paraId="16F327C2" w14:textId="45D61B22" w:rsidR="001F1A65" w:rsidRPr="0055075B" w:rsidRDefault="00AB55CF" w:rsidP="00BF1310">
      <w:pPr>
        <w:pStyle w:val="BodyA"/>
        <w:numPr>
          <w:ilvl w:val="1"/>
          <w:numId w:val="2"/>
        </w:numPr>
      </w:pPr>
      <w:r>
        <w:t xml:space="preserve">The </w:t>
      </w:r>
      <w:r w:rsidR="00E030F7">
        <w:t xml:space="preserve">widespread use of </w:t>
      </w:r>
      <w:r w:rsidR="00CB11B0">
        <w:t>fixed duration contracts (</w:t>
      </w:r>
      <w:r w:rsidR="00E030F7">
        <w:t>FDCs</w:t>
      </w:r>
      <w:r w:rsidR="00CB11B0">
        <w:t>)</w:t>
      </w:r>
      <w:r w:rsidR="00E030F7">
        <w:t xml:space="preserve"> in female dominated industries has the effect of chilling participation in trade unions because women—often legitimately—fear that they will not have their contracts renewed if they join and participate in a trade </w:t>
      </w:r>
      <w:r w:rsidR="00E030F7" w:rsidRPr="0055075B">
        <w:t>union. Simultaneously, workers in the domestic work sectors are entirely excluded from the labor law and the collective bargaining mechanisms.</w:t>
      </w:r>
    </w:p>
    <w:p w14:paraId="0948F261" w14:textId="77777777" w:rsidR="001F1A65" w:rsidRDefault="001F1A65">
      <w:pPr>
        <w:pStyle w:val="ListParagraph"/>
        <w:rPr>
          <w:shd w:val="clear" w:color="auto" w:fill="FFFF00"/>
        </w:rPr>
      </w:pPr>
    </w:p>
    <w:p w14:paraId="4E872FDB" w14:textId="4AEA9C30" w:rsidR="001F1A65" w:rsidRDefault="00E030F7" w:rsidP="00BF1310">
      <w:pPr>
        <w:pStyle w:val="BodyA"/>
        <w:numPr>
          <w:ilvl w:val="1"/>
          <w:numId w:val="2"/>
        </w:numPr>
      </w:pPr>
      <w:r w:rsidRPr="00F45221">
        <w:t>The protection of collective bargaining rights in Cambodia</w:t>
      </w:r>
      <w:r w:rsidR="00F868BB" w:rsidRPr="00F45221">
        <w:t xml:space="preserve"> has declined as has overall numbers of collective agreements which has </w:t>
      </w:r>
      <w:r w:rsidRPr="00F45221">
        <w:t>occur</w:t>
      </w:r>
      <w:r w:rsidR="00F868BB" w:rsidRPr="00F45221">
        <w:t>red</w:t>
      </w:r>
      <w:r w:rsidRPr="00F45221">
        <w:t xml:space="preserve"> in the context of </w:t>
      </w:r>
      <w:r w:rsidR="00F868BB" w:rsidRPr="00F45221">
        <w:t xml:space="preserve">restrictions </w:t>
      </w:r>
      <w:r w:rsidRPr="00F45221">
        <w:t>on peoples’ freedom of expression, association, and peaceful assembly; these restrictions limit rights to hold legal strikes and demonstrations, demand bett</w:t>
      </w:r>
      <w:r>
        <w:t>er working conditions, and bargain for better wages.</w:t>
      </w:r>
    </w:p>
    <w:p w14:paraId="3343BC60" w14:textId="77777777" w:rsidR="001F1A65" w:rsidRDefault="001F1A65">
      <w:pPr>
        <w:pStyle w:val="BodyA"/>
        <w:ind w:left="720"/>
      </w:pPr>
    </w:p>
    <w:p w14:paraId="04432DEA" w14:textId="50FE7F28" w:rsidR="001F1A65" w:rsidRDefault="00E030F7" w:rsidP="00AB55CF">
      <w:pPr>
        <w:pStyle w:val="BodyA"/>
        <w:numPr>
          <w:ilvl w:val="1"/>
          <w:numId w:val="2"/>
        </w:numPr>
      </w:pPr>
      <w:r w:rsidRPr="004D2480">
        <w:t xml:space="preserve">The Royal Government of Cambodia (RGC) adopted </w:t>
      </w:r>
      <w:r w:rsidR="00773F82" w:rsidRPr="004D2480">
        <w:t>excessive</w:t>
      </w:r>
      <w:r w:rsidRPr="004D2480">
        <w:t xml:space="preserve"> registration and reporting requirements for unions in the Trade Union Law and </w:t>
      </w:r>
      <w:r w:rsidR="00773F82" w:rsidRPr="004D2480">
        <w:t xml:space="preserve">accompanying </w:t>
      </w:r>
      <w:proofErr w:type="spellStart"/>
      <w:r w:rsidRPr="004D2480">
        <w:t>Prakas</w:t>
      </w:r>
      <w:proofErr w:type="spellEnd"/>
      <w:r w:rsidRPr="004D2480">
        <w:t>.</w:t>
      </w:r>
      <w:r w:rsidRPr="004D2480">
        <w:rPr>
          <w:rStyle w:val="FootnoteReference"/>
        </w:rPr>
        <w:footnoteReference w:id="11"/>
      </w:r>
      <w:r>
        <w:rPr>
          <w:rStyle w:val="FootnoteReference"/>
        </w:rPr>
        <w:t xml:space="preserve"> </w:t>
      </w:r>
      <w:r>
        <w:t xml:space="preserve">For </w:t>
      </w:r>
      <w:r w:rsidR="00B604FE">
        <w:t>example, the government required</w:t>
      </w:r>
      <w:r>
        <w:t xml:space="preserve"> that organizations have legal personality and status,</w:t>
      </w:r>
      <w:r>
        <w:rPr>
          <w:rStyle w:val="FootnoteReference"/>
        </w:rPr>
        <w:footnoteReference w:id="12"/>
      </w:r>
      <w:r>
        <w:rPr>
          <w:rStyle w:val="FootnoteReference"/>
        </w:rPr>
        <w:t xml:space="preserve"> </w:t>
      </w:r>
      <w:r>
        <w:t>that trade union leaders should be literate and educated,</w:t>
      </w:r>
      <w:r>
        <w:rPr>
          <w:rStyle w:val="FootnoteReference"/>
        </w:rPr>
        <w:footnoteReference w:id="13"/>
      </w:r>
      <w:r>
        <w:rPr>
          <w:rStyle w:val="FootnoteReference"/>
        </w:rPr>
        <w:t xml:space="preserve"> </w:t>
      </w:r>
      <w:r>
        <w:t>and that extensive information of the leaders’ spouse and family is provided prior to registration</w:t>
      </w:r>
      <w:r w:rsidRPr="000B3158">
        <w:t>.</w:t>
      </w:r>
      <w:r w:rsidRPr="000B3158">
        <w:rPr>
          <w:rStyle w:val="FootnoteReference"/>
        </w:rPr>
        <w:footnoteReference w:id="14"/>
      </w:r>
      <w:r w:rsidRPr="000B3158">
        <w:rPr>
          <w:rStyle w:val="FootnoteReference"/>
        </w:rPr>
        <w:t xml:space="preserve">  </w:t>
      </w:r>
      <w:r w:rsidR="00300826" w:rsidRPr="000B3158">
        <w:t xml:space="preserve">While some of these more onerous requirements have been alleviated through a directive from the Ministry of </w:t>
      </w:r>
      <w:proofErr w:type="spellStart"/>
      <w:r w:rsidR="00300826" w:rsidRPr="000B3158">
        <w:t>Labour</w:t>
      </w:r>
      <w:proofErr w:type="spellEnd"/>
      <w:r w:rsidR="00300826" w:rsidRPr="000B3158">
        <w:t xml:space="preserve"> issued in December 2018, it does not remove other burdensome registration requirements set forth in the Trade Union Law (TUL) and </w:t>
      </w:r>
      <w:proofErr w:type="spellStart"/>
      <w:r w:rsidR="00300826" w:rsidRPr="000B3158">
        <w:t>Prakas</w:t>
      </w:r>
      <w:proofErr w:type="spellEnd"/>
      <w:r w:rsidR="00300826" w:rsidRPr="000B3158">
        <w:t xml:space="preserve"> 249 which restrict the ability of unions to carry out their activities.</w:t>
      </w:r>
      <w:r w:rsidR="00300826" w:rsidRPr="000B3158">
        <w:rPr>
          <w:rStyle w:val="FootnoteReference"/>
        </w:rPr>
        <w:footnoteReference w:id="15"/>
      </w:r>
      <w:r w:rsidR="00300826" w:rsidRPr="000B3158">
        <w:t xml:space="preserve"> </w:t>
      </w:r>
      <w:r w:rsidRPr="000B3158">
        <w:t xml:space="preserve">Once unions are registered, </w:t>
      </w:r>
      <w:r w:rsidR="00773F82" w:rsidRPr="000B3158">
        <w:t>there are</w:t>
      </w:r>
      <w:r w:rsidR="00D67200">
        <w:t xml:space="preserve"> additional administrative</w:t>
      </w:r>
      <w:r w:rsidR="00773F82" w:rsidRPr="000B3158">
        <w:t xml:space="preserve"> </w:t>
      </w:r>
      <w:proofErr w:type="gramStart"/>
      <w:r w:rsidR="00D67200">
        <w:t xml:space="preserve">burdens </w:t>
      </w:r>
      <w:r w:rsidR="00773F82" w:rsidRPr="000B3158">
        <w:t>which</w:t>
      </w:r>
      <w:proofErr w:type="gramEnd"/>
      <w:r w:rsidR="00773F82" w:rsidRPr="000B3158">
        <w:t xml:space="preserve"> </w:t>
      </w:r>
      <w:r w:rsidR="00D67200">
        <w:t>unions must comply or risk suspension and</w:t>
      </w:r>
      <w:r w:rsidR="00773F82" w:rsidRPr="000B3158">
        <w:t xml:space="preserve"> </w:t>
      </w:r>
      <w:r w:rsidR="00790482">
        <w:t xml:space="preserve">requirements for </w:t>
      </w:r>
      <w:r w:rsidRPr="00EE69E0">
        <w:t xml:space="preserve">trade unions and civil society organizations to notify </w:t>
      </w:r>
      <w:r w:rsidR="00790482">
        <w:t>government authorities</w:t>
      </w:r>
      <w:r w:rsidRPr="00EE69E0">
        <w:t xml:space="preserve"> three days prior to </w:t>
      </w:r>
      <w:r w:rsidRPr="00EE69E0">
        <w:lastRenderedPageBreak/>
        <w:t>conducting any activity.</w:t>
      </w:r>
      <w:r w:rsidR="00D67200" w:rsidRPr="00D67200">
        <w:t xml:space="preserve"> </w:t>
      </w:r>
      <w:r w:rsidR="00D67200" w:rsidRPr="000B3158">
        <w:t>.</w:t>
      </w:r>
      <w:r w:rsidR="00D67200" w:rsidRPr="00D67200">
        <w:rPr>
          <w:rStyle w:val="FootnoteReference"/>
        </w:rPr>
        <w:footnoteReference w:id="16"/>
      </w:r>
      <w:r w:rsidR="00D67200" w:rsidRPr="00CB11B0">
        <w:rPr>
          <w:vertAlign w:val="superscript"/>
        </w:rPr>
        <w:t>,</w:t>
      </w:r>
      <w:r w:rsidRPr="00D67200">
        <w:rPr>
          <w:rStyle w:val="FootnoteReference"/>
        </w:rPr>
        <w:footnoteReference w:id="17"/>
      </w:r>
      <w:r w:rsidRPr="00EE69E0">
        <w:t xml:space="preserve"> </w:t>
      </w:r>
      <w:r w:rsidR="00790482">
        <w:t xml:space="preserve">Although </w:t>
      </w:r>
      <w:r w:rsidR="00D67200">
        <w:t xml:space="preserve">some </w:t>
      </w:r>
      <w:r w:rsidR="00790482">
        <w:t xml:space="preserve">restrictions </w:t>
      </w:r>
      <w:r w:rsidR="0027668F">
        <w:t>were</w:t>
      </w:r>
      <w:r w:rsidR="00790482">
        <w:t xml:space="preserve"> repealed in November </w:t>
      </w:r>
      <w:proofErr w:type="gramStart"/>
      <w:r w:rsidR="00790482">
        <w:t>2018  authorities</w:t>
      </w:r>
      <w:proofErr w:type="gramEnd"/>
      <w:r w:rsidR="00790482">
        <w:t xml:space="preserve"> have</w:t>
      </w:r>
      <w:r w:rsidR="0027668F">
        <w:t xml:space="preserve"> still</w:t>
      </w:r>
      <w:r w:rsidR="00790482">
        <w:t xml:space="preserve"> insisted on these requirements</w:t>
      </w:r>
      <w:r w:rsidR="0067355F">
        <w:t>.</w:t>
      </w:r>
      <w:r w:rsidR="00790482">
        <w:rPr>
          <w:rStyle w:val="FootnoteReference"/>
        </w:rPr>
        <w:footnoteReference w:id="18"/>
      </w:r>
      <w:r w:rsidR="00790482">
        <w:t xml:space="preserve"> </w:t>
      </w:r>
    </w:p>
    <w:p w14:paraId="711AF2A5" w14:textId="77777777" w:rsidR="00AB55CF" w:rsidRDefault="00AB55CF" w:rsidP="00AB55CF">
      <w:pPr>
        <w:pStyle w:val="BodyA"/>
        <w:ind w:left="720"/>
      </w:pPr>
    </w:p>
    <w:p w14:paraId="20452E1F" w14:textId="77777777" w:rsidR="001F1A65" w:rsidRDefault="00E030F7" w:rsidP="00BF1310">
      <w:pPr>
        <w:pStyle w:val="BodyA"/>
        <w:numPr>
          <w:ilvl w:val="1"/>
          <w:numId w:val="2"/>
        </w:numPr>
      </w:pPr>
      <w:r>
        <w:t xml:space="preserve">While legislation eroding these fundamental rights is gender neutral, the impact is not. It serves to exacerbate existing gender hierarchies and inequalities in trade unions. Women are disproportionately affected by these regulations in some of the following ways: </w:t>
      </w:r>
    </w:p>
    <w:p w14:paraId="19071303" w14:textId="77777777" w:rsidR="001F1A65" w:rsidRDefault="001F1A65" w:rsidP="0067355F">
      <w:pPr>
        <w:pStyle w:val="ListParagraph"/>
        <w:pBdr>
          <w:bottom w:val="nil"/>
        </w:pBdr>
      </w:pPr>
    </w:p>
    <w:p w14:paraId="3F7112F6" w14:textId="0F348E0D" w:rsidR="001F1A65" w:rsidRPr="0067355F" w:rsidRDefault="00E030F7" w:rsidP="00C44C84">
      <w:pPr>
        <w:pStyle w:val="BodyA"/>
        <w:numPr>
          <w:ilvl w:val="2"/>
          <w:numId w:val="2"/>
        </w:numPr>
      </w:pPr>
      <w:r>
        <w:rPr>
          <w:b/>
          <w:bCs/>
        </w:rPr>
        <w:t>Obstacles to registration for unions</w:t>
      </w:r>
      <w:r>
        <w:t xml:space="preserve">: </w:t>
      </w:r>
      <w:r w:rsidRPr="0067355F">
        <w:t>Men dominate union leadership positions, even in the predominantly female garment industry</w:t>
      </w:r>
      <w:r w:rsidR="0067355F" w:rsidRPr="0067355F">
        <w:t>.</w:t>
      </w:r>
      <w:r w:rsidR="0067355F" w:rsidRPr="0067355F">
        <w:rPr>
          <w:rStyle w:val="FootnoteReference"/>
        </w:rPr>
        <w:footnoteReference w:id="19"/>
      </w:r>
      <w:r w:rsidR="0067355F" w:rsidRPr="00421D87">
        <w:t xml:space="preserve"> </w:t>
      </w:r>
      <w:r w:rsidR="009D4CEB" w:rsidRPr="00421D87">
        <w:t xml:space="preserve">In </w:t>
      </w:r>
      <w:r w:rsidR="009D4CEB">
        <w:t>a</w:t>
      </w:r>
      <w:r w:rsidR="009D4CEB" w:rsidRPr="00421D87">
        <w:t xml:space="preserve"> 2011 study, the reasons identified by male and female workers for the low rate of union women leaders include that women are more easily intimidated and </w:t>
      </w:r>
      <w:r w:rsidR="009D4CEB">
        <w:t xml:space="preserve">less </w:t>
      </w:r>
      <w:r w:rsidR="009D4CEB" w:rsidRPr="00421D87">
        <w:t>educated, which the study understands as itself a product of broader Cambodian culture and unequal access to education.</w:t>
      </w:r>
      <w:r w:rsidR="009D4CEB" w:rsidRPr="00421D87">
        <w:rPr>
          <w:rStyle w:val="FootnoteReference"/>
        </w:rPr>
        <w:footnoteReference w:id="20"/>
      </w:r>
      <w:r w:rsidR="009D4CEB" w:rsidRPr="00421D87">
        <w:t xml:space="preserve"> </w:t>
      </w:r>
      <w:r w:rsidRPr="00B36FCE">
        <w:t>TUL provisions requiring that trade union leaders be literate and educate</w:t>
      </w:r>
      <w:r w:rsidRPr="00EE69E0">
        <w:t>d</w:t>
      </w:r>
      <w:r w:rsidRPr="00B36FCE">
        <w:t xml:space="preserve"> </w:t>
      </w:r>
      <w:r>
        <w:t xml:space="preserve">particularly impact women workers who come primarily from rural areas and have low levels of education, </w:t>
      </w:r>
      <w:r w:rsidR="0027668F">
        <w:t xml:space="preserve">and are </w:t>
      </w:r>
      <w:r>
        <w:t xml:space="preserve">time </w:t>
      </w:r>
      <w:r w:rsidR="0027668F">
        <w:t xml:space="preserve">poor </w:t>
      </w:r>
      <w:r>
        <w:t>by virtue of juggling paid wo</w:t>
      </w:r>
      <w:r w:rsidR="00EE69E0">
        <w:t>rk, and unpaid caregiving roles.</w:t>
      </w:r>
      <w:r>
        <w:t xml:space="preserve"> This provision not only fails to comply with Articles 7(c) and 2(e) of the </w:t>
      </w:r>
      <w:proofErr w:type="gramStart"/>
      <w:r>
        <w:t>Convention which</w:t>
      </w:r>
      <w:proofErr w:type="gramEnd"/>
      <w:r>
        <w:t xml:space="preserve"> requires States to take adequate measures to increase the number of women in trade unions.</w:t>
      </w:r>
    </w:p>
    <w:p w14:paraId="6FF13C09" w14:textId="77777777" w:rsidR="001F1A65" w:rsidRDefault="001F1A65">
      <w:pPr>
        <w:pStyle w:val="ListParagraph"/>
        <w:rPr>
          <w:color w:val="FF0000"/>
          <w:u w:color="FF0000"/>
        </w:rPr>
      </w:pPr>
    </w:p>
    <w:p w14:paraId="149908DA" w14:textId="31DB9C0D" w:rsidR="001F1A65" w:rsidRDefault="00E030F7" w:rsidP="00C44C84">
      <w:pPr>
        <w:pStyle w:val="BodyA"/>
        <w:numPr>
          <w:ilvl w:val="2"/>
          <w:numId w:val="2"/>
        </w:numPr>
      </w:pPr>
      <w:r>
        <w:rPr>
          <w:b/>
          <w:bCs/>
        </w:rPr>
        <w:t>They face reprisals</w:t>
      </w:r>
      <w:r>
        <w:t xml:space="preserve">: Female union leaders are particularly vulnerable as they face reprisals in the workplace for participating in unions and taking leadership positions within unions. One female union leader reported she was </w:t>
      </w:r>
      <w:proofErr w:type="gramStart"/>
      <w:r>
        <w:t>told</w:t>
      </w:r>
      <w:proofErr w:type="gramEnd"/>
      <w:r>
        <w:t xml:space="preserve"> “You should protect yourself or you will be hit or raped since you work late at night.”</w:t>
      </w:r>
      <w:r>
        <w:rPr>
          <w:rStyle w:val="FootnoteReference"/>
        </w:rPr>
        <w:footnoteReference w:id="21"/>
      </w:r>
      <w:r>
        <w:t xml:space="preserve"> In research conducted by WUN in 2019, 139 of 192 interviewees alleged incidents of violation of freedom of association, which included:</w:t>
      </w:r>
    </w:p>
    <w:p w14:paraId="4DF5561B" w14:textId="77777777" w:rsidR="001F1A65" w:rsidRDefault="001F1A65">
      <w:pPr>
        <w:pStyle w:val="ListParagraph"/>
        <w:ind w:left="0"/>
      </w:pPr>
    </w:p>
    <w:p w14:paraId="73933B65" w14:textId="6E3A4E07" w:rsidR="001F1A65" w:rsidRDefault="00E030F7" w:rsidP="00CB11B0">
      <w:pPr>
        <w:pStyle w:val="ListParagraph"/>
        <w:numPr>
          <w:ilvl w:val="2"/>
          <w:numId w:val="11"/>
        </w:numPr>
        <w:ind w:left="1740"/>
      </w:pPr>
      <w:proofErr w:type="gramStart"/>
      <w:r>
        <w:rPr>
          <w:b/>
          <w:bCs/>
        </w:rPr>
        <w:t>being</w:t>
      </w:r>
      <w:proofErr w:type="gramEnd"/>
      <w:r>
        <w:rPr>
          <w:b/>
          <w:bCs/>
        </w:rPr>
        <w:t xml:space="preserve"> threatened with termination for joining a union</w:t>
      </w:r>
    </w:p>
    <w:p w14:paraId="05FF9449" w14:textId="51196566" w:rsidR="0027668F" w:rsidRDefault="00E030F7" w:rsidP="00DF272A">
      <w:pPr>
        <w:pStyle w:val="ListParagraph"/>
        <w:numPr>
          <w:ilvl w:val="2"/>
          <w:numId w:val="11"/>
        </w:numPr>
        <w:ind w:left="1740"/>
      </w:pPr>
      <w:proofErr w:type="gramStart"/>
      <w:r>
        <w:rPr>
          <w:b/>
          <w:bCs/>
        </w:rPr>
        <w:t>reprisals</w:t>
      </w:r>
      <w:proofErr w:type="gramEnd"/>
      <w:r>
        <w:rPr>
          <w:b/>
          <w:bCs/>
        </w:rPr>
        <w:t xml:space="preserve"> in the form of obstacles to exercising benefits such as taking leave because they are union members</w:t>
      </w:r>
    </w:p>
    <w:p w14:paraId="65DD9E5F" w14:textId="77777777" w:rsidR="0027668F" w:rsidRDefault="00E030F7" w:rsidP="00CB11B0">
      <w:pPr>
        <w:pStyle w:val="ListParagraph"/>
        <w:numPr>
          <w:ilvl w:val="2"/>
          <w:numId w:val="11"/>
        </w:numPr>
        <w:ind w:left="1740"/>
      </w:pPr>
      <w:proofErr w:type="gramStart"/>
      <w:r w:rsidRPr="0027668F">
        <w:rPr>
          <w:b/>
          <w:bCs/>
        </w:rPr>
        <w:lastRenderedPageBreak/>
        <w:t>having</w:t>
      </w:r>
      <w:proofErr w:type="gramEnd"/>
      <w:r w:rsidRPr="0027668F">
        <w:rPr>
          <w:b/>
          <w:bCs/>
        </w:rPr>
        <w:t xml:space="preserve"> their contracts terminated due to union activities</w:t>
      </w:r>
      <w:r>
        <w:t>: In one example in the sewing industry in October 2017, WUN interviewers found that the company had threatened to terminate workers and leaders of the union and proceeded to dismiss 500 people</w:t>
      </w:r>
      <w:r w:rsidR="004F1A29">
        <w:t xml:space="preserve"> associated with the union</w:t>
      </w:r>
      <w:r>
        <w:t xml:space="preserve">. </w:t>
      </w:r>
    </w:p>
    <w:p w14:paraId="40D10283" w14:textId="77777777" w:rsidR="001F1A65" w:rsidRDefault="001F1A65" w:rsidP="00CB11B0">
      <w:pPr>
        <w:pStyle w:val="ListParagraph"/>
        <w:ind w:left="1740"/>
      </w:pPr>
    </w:p>
    <w:p w14:paraId="2D5A3DF9" w14:textId="4B0AA43D" w:rsidR="001F1A65" w:rsidRDefault="00E030F7" w:rsidP="00C44C84">
      <w:pPr>
        <w:pStyle w:val="BodyA"/>
        <w:numPr>
          <w:ilvl w:val="2"/>
          <w:numId w:val="2"/>
        </w:numPr>
        <w:rPr>
          <w:color w:val="C00000"/>
        </w:rPr>
      </w:pPr>
      <w:r w:rsidRPr="00C3370F">
        <w:rPr>
          <w:bCs/>
        </w:rPr>
        <w:t>The</w:t>
      </w:r>
      <w:r w:rsidRPr="00C3370F">
        <w:t xml:space="preserve"> consequences</w:t>
      </w:r>
      <w:r>
        <w:t xml:space="preserve"> of women being unable to participate in union leadership positions means that women workers have little ability to determine the agenda of collective bargaining or participate in collective cases</w:t>
      </w:r>
      <w:r w:rsidR="0027668F">
        <w:t xml:space="preserve"> which </w:t>
      </w:r>
      <w:r>
        <w:t xml:space="preserve">facilitates women’s agency to bargain for </w:t>
      </w:r>
      <w:r w:rsidR="0027668F">
        <w:t>improved benefits and conditions</w:t>
      </w:r>
      <w:r>
        <w:t xml:space="preserve">, and health and safety standards amongst other issues protected by CEDAW. </w:t>
      </w:r>
    </w:p>
    <w:p w14:paraId="7A083FE3" w14:textId="77777777" w:rsidR="001F1A65" w:rsidRDefault="001F1A65">
      <w:pPr>
        <w:pStyle w:val="ListParagraph"/>
        <w:ind w:left="480"/>
      </w:pPr>
    </w:p>
    <w:p w14:paraId="2987DDC7" w14:textId="77777777" w:rsidR="001F1A65" w:rsidRDefault="001F1A65">
      <w:pPr>
        <w:pStyle w:val="Body"/>
      </w:pPr>
    </w:p>
    <w:p w14:paraId="5C53EDF0" w14:textId="77777777" w:rsidR="001F1A65" w:rsidRDefault="00E030F7">
      <w:pPr>
        <w:pStyle w:val="BodyA"/>
        <w:rPr>
          <w:b/>
          <w:bCs/>
          <w:i/>
          <w:iCs/>
        </w:rPr>
      </w:pPr>
      <w:r>
        <w:rPr>
          <w:b/>
          <w:bCs/>
          <w:i/>
          <w:iCs/>
        </w:rPr>
        <w:t>Recommendations for Cambodia:</w:t>
      </w:r>
    </w:p>
    <w:p w14:paraId="1ADBF771" w14:textId="77777777" w:rsidR="001F1A65" w:rsidRDefault="001F1A65">
      <w:pPr>
        <w:pStyle w:val="BodyA"/>
        <w:rPr>
          <w:b/>
          <w:bCs/>
          <w:i/>
          <w:iCs/>
        </w:rPr>
      </w:pPr>
    </w:p>
    <w:p w14:paraId="03B06912" w14:textId="4DD0636B" w:rsidR="001F1A65" w:rsidRDefault="00E030F7" w:rsidP="00DF272A">
      <w:pPr>
        <w:pStyle w:val="BodyA"/>
        <w:numPr>
          <w:ilvl w:val="0"/>
          <w:numId w:val="14"/>
        </w:numPr>
        <w:spacing w:after="120"/>
        <w:jc w:val="left"/>
        <w:rPr>
          <w:i/>
          <w:iCs/>
        </w:rPr>
      </w:pPr>
      <w:r>
        <w:rPr>
          <w:i/>
          <w:iCs/>
        </w:rPr>
        <w:t xml:space="preserve">RCG must revoke provisions relating to trade union registration, reporting and literacy requirements, which indirectly discriminate against women. </w:t>
      </w:r>
    </w:p>
    <w:p w14:paraId="21BB81CD" w14:textId="02151ABB" w:rsidR="001F1A65" w:rsidRDefault="00E030F7" w:rsidP="00DF272A">
      <w:pPr>
        <w:pStyle w:val="BodyA"/>
        <w:numPr>
          <w:ilvl w:val="0"/>
          <w:numId w:val="14"/>
        </w:numPr>
        <w:spacing w:after="120"/>
        <w:jc w:val="left"/>
        <w:rPr>
          <w:i/>
          <w:iCs/>
        </w:rPr>
      </w:pPr>
      <w:r>
        <w:rPr>
          <w:i/>
          <w:iCs/>
        </w:rPr>
        <w:t xml:space="preserve">RCG must also take specific positive measures to increase women’s participation in trade unions, including expanding application of the labor law to include the predominantly female, domestic worker sector, with revision of legislative provisions such as those requiring employees in order to organize. </w:t>
      </w:r>
    </w:p>
    <w:p w14:paraId="316F5A09" w14:textId="77777777" w:rsidR="001F1A65" w:rsidRDefault="00E030F7" w:rsidP="00DF272A">
      <w:pPr>
        <w:pStyle w:val="BodyA"/>
        <w:numPr>
          <w:ilvl w:val="0"/>
          <w:numId w:val="14"/>
        </w:numPr>
        <w:spacing w:after="120"/>
        <w:jc w:val="left"/>
        <w:rPr>
          <w:i/>
          <w:iCs/>
        </w:rPr>
      </w:pPr>
      <w:r>
        <w:rPr>
          <w:i/>
          <w:iCs/>
        </w:rPr>
        <w:t xml:space="preserve">Strengthen the capacity of </w:t>
      </w:r>
      <w:proofErr w:type="spellStart"/>
      <w:r>
        <w:rPr>
          <w:i/>
          <w:iCs/>
        </w:rPr>
        <w:t>MoLVT</w:t>
      </w:r>
      <w:proofErr w:type="spellEnd"/>
      <w:r>
        <w:rPr>
          <w:i/>
          <w:iCs/>
        </w:rPr>
        <w:t xml:space="preserve"> to effectively investigate and prosecute unfair labor practices, including special measures to prosecute the gendered manifestations and impacts of such harassment and intimidation. </w:t>
      </w:r>
    </w:p>
    <w:p w14:paraId="3297EE94" w14:textId="22ED5E8B" w:rsidR="001F1A65" w:rsidRDefault="00E030F7" w:rsidP="00DF272A">
      <w:pPr>
        <w:pStyle w:val="Heading"/>
      </w:pPr>
      <w:r>
        <w:rPr>
          <w:rFonts w:ascii="Times New Roman" w:hAnsi="Times New Roman"/>
        </w:rPr>
        <w:t>ARTICLES 4 (2), 5 AND 11 (2)</w:t>
      </w:r>
    </w:p>
    <w:p w14:paraId="09A87238" w14:textId="77777777" w:rsidR="001F1A65" w:rsidRDefault="00E030F7" w:rsidP="00C44C84">
      <w:pPr>
        <w:pStyle w:val="Heading"/>
        <w:numPr>
          <w:ilvl w:val="0"/>
          <w:numId w:val="2"/>
        </w:numPr>
        <w:jc w:val="left"/>
      </w:pPr>
      <w:r>
        <w:t xml:space="preserve">The use of short-term contracts which disproportionately affect women </w:t>
      </w:r>
    </w:p>
    <w:p w14:paraId="1E3288A4" w14:textId="77777777" w:rsidR="001F1A65" w:rsidRDefault="001F1A65">
      <w:pPr>
        <w:pStyle w:val="Heading21"/>
        <w:spacing w:line="240" w:lineRule="auto"/>
        <w:ind w:left="720"/>
        <w:jc w:val="left"/>
        <w:rPr>
          <w:rFonts w:ascii="Times New Roman" w:eastAsia="Times New Roman" w:hAnsi="Times New Roman" w:cs="Times New Roman"/>
          <w:b w:val="0"/>
          <w:bCs w:val="0"/>
        </w:rPr>
      </w:pPr>
    </w:p>
    <w:p w14:paraId="13B0BB32" w14:textId="3DE926D7" w:rsidR="001F1A65" w:rsidRPr="00361B28" w:rsidRDefault="00E030F7" w:rsidP="00C44C84">
      <w:pPr>
        <w:pStyle w:val="BodyA"/>
        <w:numPr>
          <w:ilvl w:val="1"/>
          <w:numId w:val="2"/>
        </w:numPr>
      </w:pPr>
      <w:r w:rsidRPr="00361B28">
        <w:t xml:space="preserve">CEDAW is committed to the elimination of structural discrimination. However, the impact of </w:t>
      </w:r>
      <w:r w:rsidR="00361B28" w:rsidRPr="00361B28">
        <w:t xml:space="preserve">short-term contracts </w:t>
      </w:r>
      <w:r w:rsidRPr="00361B28">
        <w:t xml:space="preserve">is to remove workers from labor law protections; it essentially amounts to </w:t>
      </w:r>
      <w:r w:rsidR="00F83E55" w:rsidRPr="00361B28">
        <w:t xml:space="preserve">potential widespread </w:t>
      </w:r>
      <w:r w:rsidRPr="00361B28">
        <w:t>violat</w:t>
      </w:r>
      <w:r w:rsidR="00F83E55" w:rsidRPr="00361B28">
        <w:t>ion of</w:t>
      </w:r>
      <w:r w:rsidRPr="00361B28">
        <w:t xml:space="preserve"> worker right</w:t>
      </w:r>
      <w:r w:rsidR="00F83E55" w:rsidRPr="00361B28">
        <w:t>s with impunity</w:t>
      </w:r>
      <w:r w:rsidRPr="00361B28">
        <w:t xml:space="preserve"> including those contained in Article 11 of CEDAW.  Through the mechanism of </w:t>
      </w:r>
      <w:r w:rsidR="00D2347B">
        <w:t>short term contract</w:t>
      </w:r>
      <w:r w:rsidRPr="00361B28">
        <w:t>s, employers are able to terminate employment at will without requiring cause or notice, and in circumstances including those which would violate ILO Convention 158, which prohibits employers from terminating employment on the grounds of union membership, participation in union activities, or pregnancy, among others.</w:t>
      </w:r>
    </w:p>
    <w:p w14:paraId="7E0A28CE" w14:textId="77777777" w:rsidR="001F1A65" w:rsidRDefault="001F1A65">
      <w:pPr>
        <w:pStyle w:val="ListParagraph"/>
        <w:ind w:left="360"/>
      </w:pPr>
    </w:p>
    <w:p w14:paraId="66CC5727" w14:textId="77777777" w:rsidR="001F1A65" w:rsidRDefault="00E030F7" w:rsidP="00C44C84">
      <w:pPr>
        <w:pStyle w:val="BodyA"/>
        <w:numPr>
          <w:ilvl w:val="1"/>
          <w:numId w:val="2"/>
        </w:numPr>
      </w:pPr>
      <w:r>
        <w:t>Article 67 of the Cambodian Labor Law allows for the use of short-term contracts, termed Fixed Duration Contracts (FDCs), if they are written, do not exceed 2 years, and have a precise starting and end date. If a contract does not meet these standards it is considered an Undetermined Duration Contract (UDC).  The worker under a FDC is less protected in a number of respects, but particularly with respect to termination of employment, which if less than 6 months, does not require a notice period. Also, the right to paid maternity leave only accrues to a woman who has a minimum of one-</w:t>
      </w:r>
      <w:r>
        <w:lastRenderedPageBreak/>
        <w:t>year uninterrupted service at the company, and paid leave only accrues after one year.</w:t>
      </w:r>
      <w:r>
        <w:rPr>
          <w:rStyle w:val="FootnoteReference"/>
        </w:rPr>
        <w:footnoteReference w:id="22"/>
      </w:r>
    </w:p>
    <w:p w14:paraId="483857CC" w14:textId="77777777" w:rsidR="001F1A65" w:rsidRDefault="001F1A65">
      <w:pPr>
        <w:pStyle w:val="ListParagraph"/>
        <w:spacing w:after="160"/>
      </w:pPr>
    </w:p>
    <w:p w14:paraId="348D04C7" w14:textId="76D927DE" w:rsidR="001F1A65" w:rsidRDefault="00E030F7" w:rsidP="00C44C84">
      <w:pPr>
        <w:pStyle w:val="BodyA"/>
        <w:numPr>
          <w:ilvl w:val="1"/>
          <w:numId w:val="2"/>
        </w:numPr>
      </w:pPr>
      <w:r>
        <w:t xml:space="preserve">Short-term contracts are particularly common in the </w:t>
      </w:r>
      <w:r w:rsidR="00D2347B">
        <w:t xml:space="preserve">predominantly female </w:t>
      </w:r>
      <w:r>
        <w:t>garment sector in Cambodia. By some estimates approximately 80% of exporting garment factories employ most of their workforce on this type of contract.</w:t>
      </w:r>
      <w:r>
        <w:rPr>
          <w:rStyle w:val="FootnoteReference"/>
        </w:rPr>
        <w:footnoteReference w:id="23"/>
      </w:r>
      <w:r>
        <w:t xml:space="preserve"> These short-term contracts have both gender specific adverse consequences, such as non-renewal in cases of pregnancy, as well as more generalized adverse consequences on social security benefits, collective bargaining, and organizing into unions and seniority. The impact of STC’s more generally is that workers are afraid to assert their rights for fear that they will not have their contracts renewed.</w:t>
      </w:r>
    </w:p>
    <w:p w14:paraId="20FD0DB4" w14:textId="77777777" w:rsidR="001F1A65" w:rsidRDefault="001F1A65">
      <w:pPr>
        <w:pStyle w:val="ListParagraph"/>
        <w:spacing w:after="160"/>
        <w:ind w:left="0"/>
      </w:pPr>
    </w:p>
    <w:p w14:paraId="270369D7" w14:textId="38D2853D" w:rsidR="001F1A65" w:rsidRDefault="00E030F7" w:rsidP="00C44C84">
      <w:pPr>
        <w:pStyle w:val="BodyA"/>
        <w:numPr>
          <w:ilvl w:val="1"/>
          <w:numId w:val="2"/>
        </w:numPr>
      </w:pPr>
      <w:r>
        <w:t>Although the Arbitration Council has found that if an FDC is extended or renewed for the total period of more than two years, then the contract will automatically become a UDC, employers circumvent this ruling by allowing workers to break from employment and then renewing short-term contracts indefinitely. In research conducted at H&amp;M Suppliers in Cambodia, workers interviewed told of having their FDCs repeatedly renewed over a five-year period and then being dismissed.</w:t>
      </w:r>
      <w:r>
        <w:rPr>
          <w:rStyle w:val="FootnoteReference"/>
        </w:rPr>
        <w:footnoteReference w:id="24"/>
      </w:r>
      <w:r>
        <w:rPr>
          <w:rStyle w:val="FootnoteReference"/>
        </w:rPr>
        <w:t xml:space="preserve"> </w:t>
      </w:r>
      <w:r>
        <w:t>WUN worker interviews in 2019, found 17 instances of alleged misuse of short-term contracts, including:</w:t>
      </w:r>
    </w:p>
    <w:p w14:paraId="49002077" w14:textId="75E3DA4D" w:rsidR="001F1A65" w:rsidRDefault="00E030F7" w:rsidP="00DF272A">
      <w:pPr>
        <w:pStyle w:val="ListParagraph"/>
        <w:numPr>
          <w:ilvl w:val="0"/>
          <w:numId w:val="37"/>
        </w:numPr>
        <w:spacing w:after="120"/>
        <w:ind w:left="1800"/>
      </w:pPr>
      <w:r>
        <w:rPr>
          <w:b/>
          <w:bCs/>
        </w:rPr>
        <w:t xml:space="preserve">FDCs negative impact on women trade union and collective bargaining rights. </w:t>
      </w:r>
      <w:r>
        <w:t xml:space="preserve">Women recruited under FDC’s risk termination of their employment when organizing, rendering the exercise of collective bargaining rights too costly. This has detrimental consequences for women’s working conditions, which remain poor. In a </w:t>
      </w:r>
      <w:r w:rsidR="00D2347B">
        <w:t xml:space="preserve">study </w:t>
      </w:r>
      <w:r>
        <w:t>by the Lowenstein Human Rights Clinic, many interviewees stated that FDCs made it easier for employers to discriminate against unions and organizers, and garment workers told of their reluctance to join a union for fear of non-renewal of FDCs.</w:t>
      </w:r>
      <w:r>
        <w:rPr>
          <w:rStyle w:val="FootnoteReference"/>
        </w:rPr>
        <w:footnoteReference w:id="25"/>
      </w:r>
      <w:r>
        <w:t xml:space="preserve"> It is often impossible to prove the reason for the non-renewal because the nature of the contractual relationship to the STC does not require the employer to justify non-renewal of contract.</w:t>
      </w:r>
      <w:r>
        <w:rPr>
          <w:rStyle w:val="FootnoteReference"/>
        </w:rPr>
        <w:footnoteReference w:id="26"/>
      </w:r>
      <w:r>
        <w:t xml:space="preserve"> </w:t>
      </w:r>
    </w:p>
    <w:p w14:paraId="4D9A43AF" w14:textId="6CF5FF34" w:rsidR="001F1A65" w:rsidRDefault="00E030F7" w:rsidP="00DF272A">
      <w:pPr>
        <w:pStyle w:val="ListParagraph"/>
        <w:numPr>
          <w:ilvl w:val="0"/>
          <w:numId w:val="37"/>
        </w:numPr>
        <w:spacing w:after="120"/>
        <w:ind w:left="1800"/>
      </w:pPr>
      <w:r>
        <w:rPr>
          <w:b/>
          <w:bCs/>
        </w:rPr>
        <w:t>FDC’s have deleterious consequences on maternity benefits</w:t>
      </w:r>
      <w:r>
        <w:t xml:space="preserve">: Women do not receive maternity benefits when they are on short-term contracts. In workshops hosted by the Solidarity Center, women reported that their short-term contracts were not renewed after the employer discovered their </w:t>
      </w:r>
      <w:r>
        <w:lastRenderedPageBreak/>
        <w:t>pregnancy.</w:t>
      </w:r>
      <w:r>
        <w:rPr>
          <w:rStyle w:val="FootnoteReference"/>
        </w:rPr>
        <w:footnoteReference w:id="27"/>
      </w:r>
      <w:r>
        <w:t xml:space="preserve"> In cases where this is challenged at the Arbitration Council, the burden of proof is on the employee, not the employer.</w:t>
      </w:r>
      <w:r>
        <w:rPr>
          <w:rStyle w:val="FootnoteReference"/>
        </w:rPr>
        <w:footnoteReference w:id="28"/>
      </w:r>
      <w:r>
        <w:t xml:space="preserve"> </w:t>
      </w:r>
    </w:p>
    <w:p w14:paraId="12602593" w14:textId="224E6D32" w:rsidR="001F1A65" w:rsidRDefault="00E030F7" w:rsidP="00DF272A">
      <w:pPr>
        <w:pStyle w:val="ListParagraph"/>
        <w:numPr>
          <w:ilvl w:val="0"/>
          <w:numId w:val="37"/>
        </w:numPr>
        <w:spacing w:after="120"/>
        <w:ind w:left="1800"/>
      </w:pPr>
      <w:r w:rsidRPr="00361B28">
        <w:rPr>
          <w:b/>
          <w:bCs/>
        </w:rPr>
        <w:t>New Instruction</w:t>
      </w:r>
      <w:r w:rsidR="00F83E55" w:rsidRPr="00361B28">
        <w:rPr>
          <w:b/>
          <w:bCs/>
        </w:rPr>
        <w:t>s</w:t>
      </w:r>
      <w:r w:rsidRPr="00361B28">
        <w:rPr>
          <w:b/>
          <w:bCs/>
        </w:rPr>
        <w:t xml:space="preserve"> </w:t>
      </w:r>
      <w:r w:rsidR="00F83E55" w:rsidRPr="00361B28">
        <w:rPr>
          <w:b/>
          <w:bCs/>
        </w:rPr>
        <w:t>Which Can Lengthen FDCs and D</w:t>
      </w:r>
      <w:r w:rsidRPr="00361B28">
        <w:rPr>
          <w:b/>
          <w:bCs/>
        </w:rPr>
        <w:t>iminish Workplace Security</w:t>
      </w:r>
      <w:r w:rsidRPr="00361B28">
        <w:t>: In May 2019, rather than restricting the use of short-term contracts the Cambodian</w:t>
      </w:r>
      <w:r>
        <w:t xml:space="preserve"> Ministry of Labor and Vocational Training issued Instruction No. 050, which now makes it easier for employers to extend the amount of time that short-term contracts can potentially be used to up to 4 years of continuous employment. Furthermore, once the FDC has reached the maximum permissible period, the employer may renew the FDC with the same worker for a similar or the same work as long as there is a break period or gap period for at least one month between the previous expired FDC and the new FDC. As a consequence of this instruction, employers are now able employ FDC workers for as long as four years, and </w:t>
      </w:r>
      <w:r>
        <w:rPr>
          <w:i/>
          <w:iCs/>
        </w:rPr>
        <w:t>longer</w:t>
      </w:r>
      <w:r w:rsidR="006E3751">
        <w:rPr>
          <w:i/>
          <w:iCs/>
        </w:rPr>
        <w:t xml:space="preserve"> </w:t>
      </w:r>
      <w:r>
        <w:t xml:space="preserve">(8 years) provided there is a one-month break and they are unrestrained in their ability to make use of this mechanism to deny FDC workers’ rights and benefits.  </w:t>
      </w:r>
    </w:p>
    <w:p w14:paraId="0D8E231D" w14:textId="77777777" w:rsidR="001F1A65" w:rsidRDefault="001F1A65">
      <w:pPr>
        <w:pStyle w:val="BodyA"/>
        <w:rPr>
          <w:b/>
          <w:bCs/>
        </w:rPr>
      </w:pPr>
    </w:p>
    <w:p w14:paraId="20E5D78B" w14:textId="77777777" w:rsidR="001F1A65" w:rsidRDefault="00E030F7">
      <w:pPr>
        <w:pStyle w:val="BodyA"/>
        <w:rPr>
          <w:b/>
          <w:bCs/>
          <w:i/>
          <w:iCs/>
        </w:rPr>
      </w:pPr>
      <w:r>
        <w:rPr>
          <w:b/>
          <w:bCs/>
          <w:i/>
          <w:iCs/>
        </w:rPr>
        <w:t>Recommendations for Cambodia:</w:t>
      </w:r>
    </w:p>
    <w:p w14:paraId="2C8AB854" w14:textId="77777777" w:rsidR="001F1A65" w:rsidRDefault="001F1A65">
      <w:pPr>
        <w:pStyle w:val="BodyA"/>
        <w:rPr>
          <w:i/>
          <w:iCs/>
        </w:rPr>
      </w:pPr>
    </w:p>
    <w:p w14:paraId="60CE3745" w14:textId="77777777" w:rsidR="001F1A65" w:rsidRDefault="00E030F7">
      <w:pPr>
        <w:pStyle w:val="Body"/>
        <w:numPr>
          <w:ilvl w:val="0"/>
          <w:numId w:val="19"/>
        </w:numPr>
        <w:rPr>
          <w:i/>
          <w:iCs/>
        </w:rPr>
      </w:pPr>
      <w:r>
        <w:rPr>
          <w:i/>
          <w:iCs/>
        </w:rPr>
        <w:t xml:space="preserve">A new </w:t>
      </w:r>
      <w:proofErr w:type="spellStart"/>
      <w:r>
        <w:rPr>
          <w:i/>
          <w:iCs/>
        </w:rPr>
        <w:t>Prakas</w:t>
      </w:r>
      <w:proofErr w:type="spellEnd"/>
      <w:r>
        <w:rPr>
          <w:i/>
          <w:iCs/>
        </w:rPr>
        <w:t xml:space="preserve"> should be issued specifying that the length of service (for purposes of calculating statutory benefits including but not limited to maternity benefits) accrues from the start date of service and does not reset at the beginning of each FDC. </w:t>
      </w:r>
    </w:p>
    <w:p w14:paraId="622B3A37" w14:textId="376FF576" w:rsidR="001F1A65" w:rsidRDefault="00E030F7">
      <w:pPr>
        <w:pStyle w:val="Body"/>
        <w:numPr>
          <w:ilvl w:val="0"/>
          <w:numId w:val="20"/>
        </w:numPr>
        <w:spacing w:after="160"/>
        <w:rPr>
          <w:i/>
          <w:iCs/>
        </w:rPr>
      </w:pPr>
      <w:r>
        <w:rPr>
          <w:i/>
          <w:iCs/>
        </w:rPr>
        <w:t xml:space="preserve">Instruction 150 should be repealed since it conflicts with the Arbitration Council ruling, which places a cumulative two-year cap on the use of </w:t>
      </w:r>
      <w:r w:rsidR="00BF19E4">
        <w:rPr>
          <w:i/>
          <w:iCs/>
        </w:rPr>
        <w:t>Fixed Duration Contracts (</w:t>
      </w:r>
      <w:r>
        <w:rPr>
          <w:i/>
          <w:iCs/>
        </w:rPr>
        <w:t>FDCs</w:t>
      </w:r>
      <w:r w:rsidR="00BF19E4">
        <w:rPr>
          <w:i/>
          <w:iCs/>
        </w:rPr>
        <w:t>)</w:t>
      </w:r>
      <w:r>
        <w:rPr>
          <w:i/>
          <w:iCs/>
        </w:rPr>
        <w:t xml:space="preserve"> and limits the number of times an FDC can be renewed before it is converted into an Undetermined Duration Contract (UDC).  </w:t>
      </w:r>
    </w:p>
    <w:p w14:paraId="7F3A6A1D" w14:textId="77777777" w:rsidR="002A1E02" w:rsidRDefault="002A1E02" w:rsidP="00DF272A">
      <w:pPr>
        <w:pStyle w:val="Heading"/>
        <w:spacing w:line="240" w:lineRule="auto"/>
      </w:pPr>
    </w:p>
    <w:p w14:paraId="59C54F25" w14:textId="5AEB15B9" w:rsidR="001F1A65" w:rsidRDefault="00E030F7" w:rsidP="0055075B">
      <w:pPr>
        <w:pStyle w:val="Heading"/>
        <w:spacing w:line="240" w:lineRule="auto"/>
      </w:pPr>
      <w:r>
        <w:t xml:space="preserve">ARTICLES 2 (E), 2 (D), 11 AND </w:t>
      </w:r>
      <w:r w:rsidR="0055075B">
        <w:br/>
      </w:r>
      <w:r>
        <w:t xml:space="preserve">GENERAL RECOMMENDATIONS 12 AND 19 </w:t>
      </w:r>
    </w:p>
    <w:p w14:paraId="017A2DDD" w14:textId="77777777" w:rsidR="001F1A65" w:rsidRDefault="00E030F7" w:rsidP="00C44C84">
      <w:pPr>
        <w:pStyle w:val="Heading"/>
        <w:numPr>
          <w:ilvl w:val="0"/>
          <w:numId w:val="2"/>
        </w:numPr>
        <w:jc w:val="left"/>
      </w:pPr>
      <w:r>
        <w:t xml:space="preserve">Gender-based violence in the world of work </w:t>
      </w:r>
    </w:p>
    <w:p w14:paraId="3A35A49F" w14:textId="77777777" w:rsidR="001F1A65" w:rsidRDefault="001F1A65" w:rsidP="002D56EB">
      <w:pPr>
        <w:pStyle w:val="BodyA"/>
      </w:pPr>
    </w:p>
    <w:p w14:paraId="36F94C3E" w14:textId="77777777" w:rsidR="001F1A65" w:rsidRDefault="00E030F7" w:rsidP="00C44C84">
      <w:pPr>
        <w:pStyle w:val="BodyA"/>
        <w:numPr>
          <w:ilvl w:val="1"/>
          <w:numId w:val="2"/>
        </w:numPr>
      </w:pPr>
      <w:r>
        <w:t xml:space="preserve">According to Article 45 of the Cambodian Constitution, men and women have equal rights in all fields, especially in marriage and family. Article 172 of Cambodian Labor Law imposes an obligation on managers and employers to “watch over good behavior and decency “of women” and prohibits “sexual violation.” However, “sexual violation” is undefined and there are no further provisions with respect to penalties, sanctions or preventative measures. The Penal Code defines sexual harassment as “an act that a person abuses the power which was vested to him/her in his/her functions in order to put pressure again and again on other persons in exchange for sexual </w:t>
      </w:r>
      <w:r>
        <w:lastRenderedPageBreak/>
        <w:t>favor.”</w:t>
      </w:r>
      <w:r>
        <w:rPr>
          <w:rStyle w:val="FootnoteReference"/>
        </w:rPr>
        <w:footnoteReference w:id="29"/>
      </w:r>
      <w:r>
        <w:rPr>
          <w:rStyle w:val="FootnoteReference"/>
        </w:rPr>
        <w:t xml:space="preserve"> </w:t>
      </w:r>
      <w:r>
        <w:t xml:space="preserve"> However, this does not address sexual harassment that falls outside of the “quid pro quo harassment,” and which would apply more broadly to horizontal relationships. Similarly, mechanisms implemented by the government including the Minimum Standards for Essential Services for Women and Girl Survivors of GBV under NAPVAW II, as referenced in the National Report, in practice do not reach victims of GBV in the world of work. The reality is that the Cambodian government has not implemented specific laws addressing sexual harassment in the workplace, nor put in place accountability mechanisms or programs that are aimed at changing attitudes related to the roles and status of men and women in Cambodia.</w:t>
      </w:r>
    </w:p>
    <w:p w14:paraId="14EEB041" w14:textId="77777777" w:rsidR="001F1A65" w:rsidRDefault="001F1A65">
      <w:pPr>
        <w:pStyle w:val="BodyA"/>
      </w:pPr>
    </w:p>
    <w:p w14:paraId="23EC7D44" w14:textId="41876914" w:rsidR="001F1A65" w:rsidRDefault="00E030F7" w:rsidP="00C44C84">
      <w:pPr>
        <w:pStyle w:val="BodyA"/>
        <w:numPr>
          <w:ilvl w:val="1"/>
          <w:numId w:val="2"/>
        </w:numPr>
      </w:pPr>
      <w:r>
        <w:t>It is notoriously difficult to map out the full extent of gender-based violence in the world of work since the subject is culturally taboo and it is often difficult for victims to speak up. For example, Better Factories Cambodia found only two cases of physical and verbal sexual harassment in their study</w:t>
      </w:r>
      <w:r w:rsidR="00EF187C">
        <w:t>. However they</w:t>
      </w:r>
      <w:r>
        <w:t xml:space="preserve"> </w:t>
      </w:r>
      <w:r w:rsidR="00EF187C">
        <w:t>found</w:t>
      </w:r>
      <w:r>
        <w:t xml:space="preserve"> forms of harassment, such as threatening</w:t>
      </w:r>
      <w:r w:rsidR="00EF187C">
        <w:t xml:space="preserve"> and </w:t>
      </w:r>
      <w:r>
        <w:t>throwing objects in 12% of factories.</w:t>
      </w:r>
      <w:r>
        <w:rPr>
          <w:rStyle w:val="FootnoteReference"/>
        </w:rPr>
        <w:footnoteReference w:id="30"/>
      </w:r>
      <w:r>
        <w:rPr>
          <w:rStyle w:val="FootnoteReference"/>
        </w:rPr>
        <w:t xml:space="preserve">  </w:t>
      </w:r>
      <w:r>
        <w:t>On the other hand, a 2017 report CARE report found that one third of female workers in the garment industry experience sexual harassment at work.</w:t>
      </w:r>
      <w:r>
        <w:rPr>
          <w:rStyle w:val="FootnoteReference"/>
        </w:rPr>
        <w:footnoteReference w:id="31"/>
      </w:r>
      <w:r>
        <w:rPr>
          <w:rStyle w:val="FootnoteReference"/>
        </w:rPr>
        <w:t xml:space="preserve"> </w:t>
      </w:r>
      <w:r>
        <w:t>The Garment Manufacturers Association of Cambodia disputed these results, claiming the actual numbers were far lower, but independent unions maintained that these numbers are consistent with their experience.</w:t>
      </w:r>
      <w:r>
        <w:rPr>
          <w:rStyle w:val="FootnoteReference"/>
        </w:rPr>
        <w:footnoteReference w:id="32"/>
      </w:r>
      <w:r>
        <w:rPr>
          <w:rStyle w:val="FootnoteReference"/>
        </w:rPr>
        <w:t xml:space="preserve"> </w:t>
      </w:r>
      <w:r>
        <w:t xml:space="preserve">Research by </w:t>
      </w:r>
      <w:proofErr w:type="spellStart"/>
      <w:r>
        <w:t>ActionAid</w:t>
      </w:r>
      <w:proofErr w:type="spellEnd"/>
      <w:r>
        <w:t xml:space="preserve"> in Cambodia found that half of garment workers interviewed had experienced or witnessed harassment in the workplace.</w:t>
      </w:r>
      <w:r>
        <w:rPr>
          <w:rStyle w:val="FootnoteReference"/>
        </w:rPr>
        <w:footnoteReference w:id="33"/>
      </w:r>
    </w:p>
    <w:p w14:paraId="27AFE54B" w14:textId="77777777" w:rsidR="001F1A65" w:rsidRDefault="001F1A65" w:rsidP="007306A9">
      <w:bookmarkStart w:id="0" w:name="_GoBack"/>
      <w:bookmarkEnd w:id="0"/>
    </w:p>
    <w:p w14:paraId="21FC2638" w14:textId="77777777" w:rsidR="001F1A65" w:rsidRDefault="00E030F7" w:rsidP="00C44C84">
      <w:pPr>
        <w:pStyle w:val="BodyA"/>
        <w:numPr>
          <w:ilvl w:val="1"/>
          <w:numId w:val="2"/>
        </w:numPr>
      </w:pPr>
      <w:r>
        <w:t xml:space="preserve">Harassment in the entertainment industry is similarly increasing. </w:t>
      </w:r>
      <w:proofErr w:type="gramStart"/>
      <w:r>
        <w:t>Women working in casinos are generally harassed by managers, but also increasingly by customers</w:t>
      </w:r>
      <w:proofErr w:type="gramEnd"/>
      <w:r>
        <w:t>.  One of the union leaders reported that within a two-month period a hiring official threw a water bottle to a dealer leaving bruises on her face. Only after it had happened five times did the company issue a warning.</w:t>
      </w:r>
      <w:r>
        <w:rPr>
          <w:rStyle w:val="FootnoteReference"/>
        </w:rPr>
        <w:footnoteReference w:id="34"/>
      </w:r>
    </w:p>
    <w:p w14:paraId="6153001E" w14:textId="77777777" w:rsidR="001F1A65" w:rsidRDefault="001F1A65">
      <w:pPr>
        <w:pStyle w:val="BodyA"/>
      </w:pPr>
    </w:p>
    <w:p w14:paraId="37D03861" w14:textId="3E6C35C8" w:rsidR="001F1A65" w:rsidRDefault="00E030F7" w:rsidP="00C44C84">
      <w:pPr>
        <w:pStyle w:val="BodyA"/>
        <w:numPr>
          <w:ilvl w:val="1"/>
          <w:numId w:val="2"/>
        </w:numPr>
      </w:pPr>
      <w:r>
        <w:t>In 2018, nine women leaders from seven unions in Cambodia, representing the garment sector, conducted interviews and held focus groups with 83 women garment workers to gather information about the scope and incidence of GBV in garment and apparel sectors</w:t>
      </w:r>
      <w:r w:rsidR="00E70A5D">
        <w:t xml:space="preserve">. </w:t>
      </w:r>
      <w:r w:rsidR="00E70A5D">
        <w:rPr>
          <w:rStyle w:val="FootnoteReference"/>
        </w:rPr>
        <w:footnoteReference w:id="35"/>
      </w:r>
      <w:r>
        <w:t xml:space="preserve"> Of these respondents:</w:t>
      </w:r>
    </w:p>
    <w:p w14:paraId="4A0FBFDF" w14:textId="77777777" w:rsidR="001F1A65" w:rsidRDefault="001F1A65">
      <w:pPr>
        <w:pStyle w:val="ListParagraph"/>
      </w:pPr>
    </w:p>
    <w:p w14:paraId="5940B7A9" w14:textId="77777777" w:rsidR="001F1A65" w:rsidRPr="00DF272A" w:rsidRDefault="00E030F7" w:rsidP="00DF272A">
      <w:pPr>
        <w:pStyle w:val="ListParagraph"/>
        <w:numPr>
          <w:ilvl w:val="0"/>
          <w:numId w:val="40"/>
        </w:numPr>
        <w:spacing w:after="120"/>
        <w:ind w:left="1890" w:hanging="540"/>
        <w:rPr>
          <w:bCs/>
        </w:rPr>
      </w:pPr>
      <w:r w:rsidRPr="00DF272A">
        <w:rPr>
          <w:bCs/>
        </w:rPr>
        <w:t>48% self- identified as targets of gender-based violence at work;</w:t>
      </w:r>
    </w:p>
    <w:p w14:paraId="07739F1D" w14:textId="0F4367F0" w:rsidR="00DF272A" w:rsidRPr="00DF272A" w:rsidRDefault="00E030F7" w:rsidP="00DF272A">
      <w:pPr>
        <w:pStyle w:val="ListParagraph"/>
        <w:numPr>
          <w:ilvl w:val="0"/>
          <w:numId w:val="40"/>
        </w:numPr>
        <w:spacing w:after="120"/>
        <w:ind w:left="1890" w:hanging="540"/>
        <w:rPr>
          <w:bCs/>
        </w:rPr>
      </w:pPr>
      <w:r w:rsidRPr="00DF272A">
        <w:rPr>
          <w:bCs/>
        </w:rPr>
        <w:t>87% experienced verbal harassment or unwanted touching based on their gender;</w:t>
      </w:r>
    </w:p>
    <w:p w14:paraId="07338FF9" w14:textId="77777777" w:rsidR="001F1A65" w:rsidRPr="00DF272A" w:rsidRDefault="00E030F7" w:rsidP="00DF272A">
      <w:pPr>
        <w:pStyle w:val="ListParagraph"/>
        <w:numPr>
          <w:ilvl w:val="0"/>
          <w:numId w:val="40"/>
        </w:numPr>
        <w:spacing w:after="120"/>
        <w:ind w:left="1890" w:hanging="540"/>
        <w:rPr>
          <w:bCs/>
        </w:rPr>
      </w:pPr>
      <w:r w:rsidRPr="00DF272A">
        <w:rPr>
          <w:bCs/>
        </w:rPr>
        <w:lastRenderedPageBreak/>
        <w:t>47% had a supervisor or manager force them to become their mistress or “second wife” with the understanding that it would improve working conditions;</w:t>
      </w:r>
    </w:p>
    <w:p w14:paraId="6026EDA4" w14:textId="77777777" w:rsidR="001F1A65" w:rsidRPr="00DF272A" w:rsidRDefault="00E030F7" w:rsidP="00DF272A">
      <w:pPr>
        <w:pStyle w:val="ListParagraph"/>
        <w:numPr>
          <w:ilvl w:val="0"/>
          <w:numId w:val="40"/>
        </w:numPr>
        <w:spacing w:after="120"/>
        <w:ind w:left="1890" w:hanging="540"/>
        <w:rPr>
          <w:bCs/>
        </w:rPr>
      </w:pPr>
      <w:r w:rsidRPr="00DF272A">
        <w:rPr>
          <w:bCs/>
        </w:rPr>
        <w:t>28% reported that someone at work forced them to sleep with them to extend a contract, fix their sewing machine or obtain a bonus;</w:t>
      </w:r>
    </w:p>
    <w:p w14:paraId="3F6681B6" w14:textId="27F719CA" w:rsidR="00DF272A" w:rsidRPr="00DF272A" w:rsidRDefault="00E030F7" w:rsidP="00DF272A">
      <w:pPr>
        <w:pStyle w:val="ListParagraph"/>
        <w:numPr>
          <w:ilvl w:val="0"/>
          <w:numId w:val="40"/>
        </w:numPr>
        <w:spacing w:after="120"/>
        <w:ind w:left="1890" w:hanging="540"/>
        <w:rPr>
          <w:bCs/>
        </w:rPr>
      </w:pPr>
      <w:r w:rsidRPr="00DF272A">
        <w:rPr>
          <w:bCs/>
        </w:rPr>
        <w:t>35% reported their managers to be the perpetrators of GBV;</w:t>
      </w:r>
    </w:p>
    <w:p w14:paraId="4ADFDBB9" w14:textId="4DA51C52" w:rsidR="00DF272A" w:rsidRPr="00DF272A" w:rsidRDefault="00E030F7" w:rsidP="00DF272A">
      <w:pPr>
        <w:pStyle w:val="ListParagraph"/>
        <w:numPr>
          <w:ilvl w:val="0"/>
          <w:numId w:val="40"/>
        </w:numPr>
        <w:spacing w:after="120"/>
        <w:ind w:left="1890" w:hanging="540"/>
        <w:rPr>
          <w:bCs/>
        </w:rPr>
      </w:pPr>
      <w:r w:rsidRPr="00DF272A">
        <w:rPr>
          <w:bCs/>
        </w:rPr>
        <w:t>24% reported sewing machine mechanics to be perpetrators of GBV;</w:t>
      </w:r>
    </w:p>
    <w:p w14:paraId="63B02C36" w14:textId="523C49A2" w:rsidR="00DF272A" w:rsidRPr="00DF272A" w:rsidRDefault="00E030F7" w:rsidP="00DF272A">
      <w:pPr>
        <w:pStyle w:val="ListParagraph"/>
        <w:numPr>
          <w:ilvl w:val="0"/>
          <w:numId w:val="40"/>
        </w:numPr>
        <w:spacing w:after="120"/>
        <w:ind w:left="1890" w:hanging="540"/>
        <w:rPr>
          <w:bCs/>
        </w:rPr>
      </w:pPr>
      <w:r w:rsidRPr="00DF272A">
        <w:rPr>
          <w:bCs/>
        </w:rPr>
        <w:t>72 % of workers were on short-term contracts</w:t>
      </w:r>
    </w:p>
    <w:p w14:paraId="54F5BF10" w14:textId="77777777" w:rsidR="001F1A65" w:rsidRPr="00DF272A" w:rsidRDefault="00E030F7" w:rsidP="00DF272A">
      <w:pPr>
        <w:pStyle w:val="ListParagraph"/>
        <w:numPr>
          <w:ilvl w:val="0"/>
          <w:numId w:val="40"/>
        </w:numPr>
        <w:spacing w:after="120"/>
        <w:ind w:left="1890" w:hanging="540"/>
        <w:rPr>
          <w:bCs/>
        </w:rPr>
      </w:pPr>
      <w:r w:rsidRPr="00DF272A">
        <w:rPr>
          <w:bCs/>
        </w:rPr>
        <w:t>17 out of 49 workers reported having direct experience with or seen verbal violence against pregnant workers.</w:t>
      </w:r>
    </w:p>
    <w:p w14:paraId="72AFABDD" w14:textId="77777777" w:rsidR="001F1A65" w:rsidRDefault="001F1A65">
      <w:pPr>
        <w:pStyle w:val="BodyA"/>
        <w:ind w:left="1440"/>
      </w:pPr>
    </w:p>
    <w:p w14:paraId="0BBBB117" w14:textId="77777777" w:rsidR="002D56EB" w:rsidRDefault="002D56EB" w:rsidP="002D56EB">
      <w:pPr>
        <w:pStyle w:val="BodyA"/>
        <w:numPr>
          <w:ilvl w:val="1"/>
          <w:numId w:val="2"/>
        </w:numPr>
      </w:pPr>
      <w:r>
        <w:t>In 2019, the ILO passed Convention 190 on Violence and Harassment, which recognizes the right of everyone to a world free from violence and harassment, including gender-based violence and harassment.</w:t>
      </w:r>
      <w:r>
        <w:rPr>
          <w:rStyle w:val="FootnoteReference"/>
        </w:rPr>
        <w:footnoteReference w:id="36"/>
      </w:r>
      <w:r>
        <w:t xml:space="preserve"> </w:t>
      </w:r>
      <w:bookmarkStart w:id="1" w:name="_Hlk20395710"/>
      <w:r>
        <w:t>T</w:t>
      </w:r>
      <w:bookmarkStart w:id="2" w:name="_Hlk20418989"/>
      <w:bookmarkEnd w:id="1"/>
      <w:r>
        <w:t>he Convention applies to all sectors, in the formal and informal economies, as well as to spaces linked with or arising out of work, including sanitary and washing facilities, in employer provided accommodation and when commuting to and from work.</w:t>
      </w:r>
      <w:r>
        <w:rPr>
          <w:rStyle w:val="FootnoteReference"/>
        </w:rPr>
        <w:footnoteReference w:id="37"/>
      </w:r>
      <w:bookmarkEnd w:id="2"/>
      <w:r>
        <w:t xml:space="preserve"> The Convention obliges member states to adopt a gender-responsive approach to the prevention and elimination of violence in the world of work, in consultation with workers and employers organizations.</w:t>
      </w:r>
      <w:r>
        <w:rPr>
          <w:rStyle w:val="FootnoteReference"/>
        </w:rPr>
        <w:footnoteReference w:id="38"/>
      </w:r>
      <w:r>
        <w:t xml:space="preserve"> Cambodia has not yet ratified ILO C190.</w:t>
      </w:r>
    </w:p>
    <w:p w14:paraId="263E6DA0" w14:textId="77777777" w:rsidR="001F1A65" w:rsidRDefault="001F1A65">
      <w:pPr>
        <w:pStyle w:val="BodyA"/>
      </w:pPr>
    </w:p>
    <w:p w14:paraId="440049AC" w14:textId="6C6EE27D" w:rsidR="001F1A65" w:rsidRDefault="00E030F7" w:rsidP="00C44C84">
      <w:pPr>
        <w:pStyle w:val="BodyA"/>
        <w:numPr>
          <w:ilvl w:val="1"/>
          <w:numId w:val="2"/>
        </w:numPr>
      </w:pPr>
      <w:r>
        <w:t>The problem of GBV in the world of work is compounded by the lack of awareness of GBV including sexual harassment</w:t>
      </w:r>
      <w:r w:rsidR="00CB11B0">
        <w:t xml:space="preserve">. </w:t>
      </w:r>
      <w:r>
        <w:t>Indeed, the RGC’s lack of actions to educate workers on gender-based violence denies women any form of protection since it takes knowledge to be able to assemble against discrimination or to seek justice. Without knowledge, women are left vulnerable to all forms of discrimination.</w:t>
      </w:r>
    </w:p>
    <w:p w14:paraId="5A172E50" w14:textId="77777777" w:rsidR="001F1A65" w:rsidRDefault="001F1A65">
      <w:pPr>
        <w:pStyle w:val="ListParagraph"/>
      </w:pPr>
    </w:p>
    <w:p w14:paraId="4658A34E" w14:textId="289D4B50" w:rsidR="001F1A65" w:rsidRPr="00403433" w:rsidRDefault="00E030F7" w:rsidP="00C44C84">
      <w:pPr>
        <w:pStyle w:val="BodyA"/>
        <w:numPr>
          <w:ilvl w:val="1"/>
          <w:numId w:val="2"/>
        </w:numPr>
      </w:pPr>
      <w:r>
        <w:t xml:space="preserve">Women workers also have limited systems in place for women to raise concerns and also expressed their hesitation to report harassment and gender-based violence due to negative community attitudes and assumptions about them from others in their </w:t>
      </w:r>
      <w:r w:rsidRPr="00403433">
        <w:t>community, such as not being a ‘proper woman,’ shunning traditional values, or being sexually promiscuous when away from their home communities for work.</w:t>
      </w:r>
      <w:r w:rsidR="00403433" w:rsidRPr="00403433">
        <w:t xml:space="preserve"> </w:t>
      </w:r>
      <w:r w:rsidRPr="00403433">
        <w:t xml:space="preserve">A culture of </w:t>
      </w:r>
      <w:proofErr w:type="gramStart"/>
      <w:r w:rsidRPr="00403433">
        <w:t>victim-blaming</w:t>
      </w:r>
      <w:proofErr w:type="gramEnd"/>
      <w:r w:rsidRPr="00403433">
        <w:t>, from both officials and peers, has also been cited as a common problem which inhibits workers from discussing their concerns.</w:t>
      </w:r>
      <w:r w:rsidRPr="00403433">
        <w:rPr>
          <w:rStyle w:val="FootnoteReference"/>
        </w:rPr>
        <w:footnoteReference w:id="39"/>
      </w:r>
    </w:p>
    <w:p w14:paraId="517DC4EC" w14:textId="77777777" w:rsidR="001F1A65" w:rsidRDefault="001F1A65">
      <w:pPr>
        <w:pStyle w:val="BodyA"/>
      </w:pPr>
    </w:p>
    <w:p w14:paraId="3F00A88D" w14:textId="28283EE9" w:rsidR="00257AC8" w:rsidRPr="00CB11B0" w:rsidRDefault="00E030F7" w:rsidP="00CB11B0">
      <w:pPr>
        <w:pStyle w:val="BodyA"/>
        <w:numPr>
          <w:ilvl w:val="1"/>
          <w:numId w:val="2"/>
        </w:numPr>
        <w:rPr>
          <w:b/>
          <w:bCs/>
          <w:i/>
          <w:iCs/>
        </w:rPr>
      </w:pPr>
      <w:r>
        <w:t xml:space="preserve">Even when workers possess the knowledge to address cases of GBV, the RGC has yet to establish mechanisms that offer an opportunity for victims to be heard and grant access to justice. </w:t>
      </w:r>
    </w:p>
    <w:p w14:paraId="118D062E" w14:textId="77777777" w:rsidR="00CB11B0" w:rsidRDefault="00CB11B0" w:rsidP="00CB11B0">
      <w:pPr>
        <w:pStyle w:val="BodyA"/>
        <w:rPr>
          <w:b/>
          <w:bCs/>
          <w:i/>
          <w:iCs/>
        </w:rPr>
      </w:pPr>
    </w:p>
    <w:p w14:paraId="2B0247E6" w14:textId="77777777" w:rsidR="00CB11B0" w:rsidRPr="00CB11B0" w:rsidRDefault="00CB11B0" w:rsidP="00CB11B0">
      <w:pPr>
        <w:pStyle w:val="BodyA"/>
        <w:rPr>
          <w:b/>
          <w:bCs/>
          <w:i/>
          <w:iCs/>
        </w:rPr>
      </w:pPr>
    </w:p>
    <w:p w14:paraId="258BD39F" w14:textId="77777777" w:rsidR="001F1A65" w:rsidRDefault="00E030F7">
      <w:pPr>
        <w:pStyle w:val="Body"/>
        <w:rPr>
          <w:b/>
          <w:bCs/>
          <w:i/>
          <w:iCs/>
        </w:rPr>
      </w:pPr>
      <w:r>
        <w:rPr>
          <w:rFonts w:eastAsia="Arial Unicode MS" w:cs="Arial Unicode MS"/>
          <w:b/>
          <w:bCs/>
          <w:i/>
          <w:iCs/>
        </w:rPr>
        <w:lastRenderedPageBreak/>
        <w:t>Recommendations for Cambodia:</w:t>
      </w:r>
    </w:p>
    <w:p w14:paraId="00422FE4" w14:textId="77777777" w:rsidR="001F1A65" w:rsidRDefault="001F1A65">
      <w:pPr>
        <w:pStyle w:val="Body"/>
        <w:rPr>
          <w:b/>
          <w:bCs/>
        </w:rPr>
      </w:pPr>
    </w:p>
    <w:p w14:paraId="0633E8FE" w14:textId="77777777" w:rsidR="001F1A65" w:rsidRDefault="00E030F7">
      <w:pPr>
        <w:pStyle w:val="ListParagraph"/>
        <w:numPr>
          <w:ilvl w:val="1"/>
          <w:numId w:val="27"/>
        </w:numPr>
        <w:spacing w:after="160"/>
        <w:jc w:val="left"/>
        <w:rPr>
          <w:i/>
          <w:iCs/>
        </w:rPr>
      </w:pPr>
      <w:r>
        <w:rPr>
          <w:i/>
          <w:iCs/>
        </w:rPr>
        <w:t>Pass comprehensive criminal, civil, and labor laws that prohibit GBV and harassment at work, and that make provisions for penalties and sanctions, which include effective reparations to victims of GBV.</w:t>
      </w:r>
    </w:p>
    <w:p w14:paraId="107DFD5E" w14:textId="77777777" w:rsidR="001F1A65" w:rsidRDefault="00E030F7">
      <w:pPr>
        <w:pStyle w:val="ListParagraph"/>
        <w:numPr>
          <w:ilvl w:val="1"/>
          <w:numId w:val="27"/>
        </w:numPr>
        <w:spacing w:after="160"/>
        <w:jc w:val="left"/>
        <w:rPr>
          <w:i/>
          <w:iCs/>
        </w:rPr>
      </w:pPr>
      <w:r>
        <w:rPr>
          <w:i/>
          <w:iCs/>
        </w:rPr>
        <w:t>Ratify ILO Convention 190 on Violence and Harassment at Work</w:t>
      </w:r>
    </w:p>
    <w:p w14:paraId="4C6DBDA0" w14:textId="77777777" w:rsidR="001F1A65" w:rsidRDefault="00E030F7">
      <w:pPr>
        <w:pStyle w:val="ListParagraph"/>
        <w:numPr>
          <w:ilvl w:val="1"/>
          <w:numId w:val="27"/>
        </w:numPr>
        <w:spacing w:after="160"/>
        <w:jc w:val="left"/>
        <w:rPr>
          <w:i/>
          <w:iCs/>
        </w:rPr>
      </w:pPr>
      <w:r>
        <w:rPr>
          <w:i/>
          <w:iCs/>
        </w:rPr>
        <w:t>Establish an independent complaint mechanism to investigate and respond to individual complaints of harassment, and which regularly collect and publish data on the number and forms of gender-based violence complaints and their resolution.</w:t>
      </w:r>
    </w:p>
    <w:p w14:paraId="291078CF" w14:textId="77777777" w:rsidR="001F1A65" w:rsidRDefault="00E030F7">
      <w:pPr>
        <w:pStyle w:val="ListParagraph"/>
        <w:numPr>
          <w:ilvl w:val="1"/>
          <w:numId w:val="27"/>
        </w:numPr>
        <w:spacing w:after="160"/>
        <w:jc w:val="left"/>
        <w:rPr>
          <w:i/>
          <w:iCs/>
        </w:rPr>
      </w:pPr>
      <w:r>
        <w:rPr>
          <w:i/>
          <w:iCs/>
        </w:rPr>
        <w:t>Require that transnational companies operating in Cambodia conduct gender impact assessments and provide effective remedies in cases of GBV/H.</w:t>
      </w:r>
    </w:p>
    <w:p w14:paraId="77F7588A" w14:textId="77777777" w:rsidR="001F1A65" w:rsidRDefault="00E030F7">
      <w:pPr>
        <w:pStyle w:val="ListParagraph"/>
        <w:numPr>
          <w:ilvl w:val="1"/>
          <w:numId w:val="27"/>
        </w:numPr>
        <w:spacing w:after="160"/>
        <w:jc w:val="left"/>
        <w:rPr>
          <w:i/>
          <w:iCs/>
        </w:rPr>
      </w:pPr>
      <w:r>
        <w:rPr>
          <w:i/>
          <w:iCs/>
        </w:rPr>
        <w:t xml:space="preserve">Establish nation-wide </w:t>
      </w:r>
      <w:proofErr w:type="gramStart"/>
      <w:r>
        <w:rPr>
          <w:i/>
          <w:iCs/>
        </w:rPr>
        <w:t>awareness-raising</w:t>
      </w:r>
      <w:proofErr w:type="gramEnd"/>
      <w:r>
        <w:rPr>
          <w:i/>
          <w:iCs/>
        </w:rPr>
        <w:t xml:space="preserve"> and workplace training and prevention programs on GBV and harassment at Work.</w:t>
      </w:r>
    </w:p>
    <w:p w14:paraId="670CA0F0" w14:textId="77777777" w:rsidR="001F1A65" w:rsidRDefault="001F1A65">
      <w:pPr>
        <w:pStyle w:val="ListParagraph"/>
        <w:spacing w:after="160"/>
        <w:jc w:val="left"/>
      </w:pPr>
    </w:p>
    <w:p w14:paraId="6A870C4C" w14:textId="77777777" w:rsidR="001F1A65" w:rsidRDefault="00E030F7">
      <w:pPr>
        <w:pStyle w:val="Heading"/>
      </w:pPr>
      <w:r>
        <w:t>11(f) The Right to Protection of Health and Safety in Working Conditions</w:t>
      </w:r>
    </w:p>
    <w:p w14:paraId="59EFBC24" w14:textId="77777777" w:rsidR="001F1A65" w:rsidRDefault="001F1A65">
      <w:pPr>
        <w:pStyle w:val="BodyA"/>
      </w:pPr>
    </w:p>
    <w:p w14:paraId="5D118692" w14:textId="77777777" w:rsidR="001F1A65" w:rsidRDefault="00E030F7" w:rsidP="00C44C84">
      <w:pPr>
        <w:pStyle w:val="Heading"/>
        <w:numPr>
          <w:ilvl w:val="0"/>
          <w:numId w:val="2"/>
        </w:numPr>
        <w:jc w:val="left"/>
      </w:pPr>
      <w:bookmarkStart w:id="3" w:name="_Hlk20421058"/>
      <w:r>
        <w:t>Gender-Impacts of Unsafe Transport systems:</w:t>
      </w:r>
    </w:p>
    <w:p w14:paraId="0464728C" w14:textId="77777777" w:rsidR="001F1A65" w:rsidRDefault="001F1A65">
      <w:pPr>
        <w:pStyle w:val="BodyA"/>
      </w:pPr>
    </w:p>
    <w:p w14:paraId="1C8B20BB" w14:textId="326AD7B2" w:rsidR="001F1A65" w:rsidRDefault="00E030F7" w:rsidP="00C44C84">
      <w:pPr>
        <w:pStyle w:val="BodyA"/>
        <w:numPr>
          <w:ilvl w:val="1"/>
          <w:numId w:val="2"/>
        </w:numPr>
      </w:pPr>
      <w:r>
        <w:t>Some of the most serious risks to health and safety that Cambodian factory workers are exposed to happen during their daily commute to and from work, which for some workers, takes up to two hours each way. The recent ILO Convention on Violence and Harassment applies to spaces “linked with or arising out of work,” which includes commuting to and from work. We would argue that the CEDAW right to protection of health and safety in 11(f) also applies to the wider spaces required by work, notably the commute.</w:t>
      </w:r>
      <w:r w:rsidRPr="00205034">
        <w:rPr>
          <w:vertAlign w:val="superscript"/>
        </w:rPr>
        <w:footnoteReference w:id="40"/>
      </w:r>
    </w:p>
    <w:p w14:paraId="20735E6F" w14:textId="77777777" w:rsidR="001F1A65" w:rsidRDefault="001F1A65">
      <w:pPr>
        <w:pStyle w:val="BodyA"/>
        <w:ind w:left="720"/>
      </w:pPr>
    </w:p>
    <w:p w14:paraId="10CC003D" w14:textId="48EC5EA4" w:rsidR="001F1A65" w:rsidRPr="002D2C32" w:rsidRDefault="00E030F7" w:rsidP="00CB11B0">
      <w:pPr>
        <w:pStyle w:val="BodyA"/>
        <w:numPr>
          <w:ilvl w:val="1"/>
          <w:numId w:val="2"/>
        </w:numPr>
      </w:pPr>
      <w:r>
        <w:t xml:space="preserve">Road accidents involving workers are </w:t>
      </w:r>
      <w:proofErr w:type="gramStart"/>
      <w:r>
        <w:t>common-place</w:t>
      </w:r>
      <w:proofErr w:type="gramEnd"/>
      <w:r>
        <w:t xml:space="preserve"> and regularly reported in the media</w:t>
      </w:r>
      <w:r w:rsidR="008E4C3F">
        <w:t xml:space="preserve">. </w:t>
      </w:r>
      <w:r>
        <w:t>For example, in 2016, among Cambodian garment and footwear factory workers, there were an average of 12 workers injured in commuting crashes every day and 43 garment factory workers died.</w:t>
      </w:r>
      <w:r>
        <w:rPr>
          <w:rStyle w:val="FootnoteReference"/>
        </w:rPr>
        <w:footnoteReference w:id="41"/>
      </w:r>
      <w:r>
        <w:t xml:space="preserve"> More recently, five female garment factory workers had their arms severed off as they were commuting to work in an overloaded open-back truck.</w:t>
      </w:r>
      <w:r>
        <w:rPr>
          <w:rStyle w:val="FootnoteReference"/>
        </w:rPr>
        <w:footnoteReference w:id="42"/>
      </w:r>
      <w:r w:rsidR="002D56EB">
        <w:t xml:space="preserve"> </w:t>
      </w:r>
    </w:p>
    <w:p w14:paraId="7EF059F1" w14:textId="77777777" w:rsidR="001F1A65" w:rsidRDefault="001F1A65">
      <w:pPr>
        <w:pStyle w:val="BodyA"/>
      </w:pPr>
    </w:p>
    <w:p w14:paraId="65B75DEC" w14:textId="37F65EB5" w:rsidR="001F1A65" w:rsidRDefault="00E030F7" w:rsidP="00C44C84">
      <w:pPr>
        <w:pStyle w:val="BodyA"/>
        <w:numPr>
          <w:ilvl w:val="1"/>
          <w:numId w:val="2"/>
        </w:numPr>
      </w:pPr>
      <w:r>
        <w:t>The absence of safe commute options causes road injurie</w:t>
      </w:r>
      <w:r w:rsidR="007A62CF">
        <w:t>s and deaths</w:t>
      </w:r>
      <w:r w:rsidR="002D56EB" w:rsidRPr="002D56EB">
        <w:t xml:space="preserve"> </w:t>
      </w:r>
      <w:r w:rsidR="002D56EB">
        <w:t>and exposure to dangerous transport conditions affects women workers in several ways,</w:t>
      </w:r>
      <w:r>
        <w:t xml:space="preserve"> including: </w:t>
      </w:r>
    </w:p>
    <w:p w14:paraId="469B0BD0" w14:textId="77777777" w:rsidR="001F1A65" w:rsidRDefault="001F1A65">
      <w:pPr>
        <w:pStyle w:val="BodyA"/>
        <w:ind w:left="720"/>
      </w:pPr>
    </w:p>
    <w:p w14:paraId="5ABE8301" w14:textId="6FA2EFCF" w:rsidR="00DF272A" w:rsidRDefault="00E030F7" w:rsidP="00DF272A">
      <w:pPr>
        <w:pStyle w:val="ListParagraph"/>
        <w:numPr>
          <w:ilvl w:val="0"/>
          <w:numId w:val="41"/>
        </w:numPr>
        <w:spacing w:after="120"/>
      </w:pPr>
      <w:r>
        <w:rPr>
          <w:b/>
          <w:bCs/>
        </w:rPr>
        <w:lastRenderedPageBreak/>
        <w:t>Women consider resigning their jobs because of unsafe commutes</w:t>
      </w:r>
      <w:r>
        <w:t>: Approximately 200,000 workers commute to and from work standing on the back of crowded flat-bed trucks which are illegal for carrying passengers, but unenforced. The women workers report experiencing severe stress due to unsafe transport conditions and physical fatigue after an already exhausting workday.</w:t>
      </w:r>
      <w:r>
        <w:rPr>
          <w:vertAlign w:val="superscript"/>
        </w:rPr>
        <w:footnoteReference w:id="43"/>
      </w:r>
      <w:r w:rsidR="002D2C32">
        <w:t xml:space="preserve"> One woman</w:t>
      </w:r>
      <w:r>
        <w:t>, who travels between 3-4 hours per day by truck, said that she had often considered quitting her factory job due to concerns about transportation safety; she had witnessed numerous road accidents and worried when her driver would drive drunk after attending a wedding. However, because she was the family’s main breadwinner, she felt she had no choice but to continue commuting to her factory job.</w:t>
      </w:r>
      <w:r w:rsidR="00BD7670">
        <w:rPr>
          <w:rStyle w:val="FootnoteReference"/>
        </w:rPr>
        <w:footnoteReference w:id="44"/>
      </w:r>
    </w:p>
    <w:p w14:paraId="0FF51DC6" w14:textId="0613EE6E" w:rsidR="001F1A65" w:rsidRDefault="00E030F7" w:rsidP="00DF272A">
      <w:pPr>
        <w:pStyle w:val="ListParagraph"/>
        <w:numPr>
          <w:ilvl w:val="0"/>
          <w:numId w:val="41"/>
        </w:numPr>
        <w:spacing w:after="120"/>
      </w:pPr>
      <w:r w:rsidRPr="00DF272A">
        <w:rPr>
          <w:b/>
        </w:rPr>
        <w:t xml:space="preserve">A barrier </w:t>
      </w:r>
      <w:r w:rsidR="00CB11B0">
        <w:rPr>
          <w:b/>
        </w:rPr>
        <w:t>to utilizing employer provided c</w:t>
      </w:r>
      <w:r w:rsidRPr="00DF272A">
        <w:rPr>
          <w:b/>
        </w:rPr>
        <w:t>hildcare</w:t>
      </w:r>
      <w:r>
        <w:t>: Unsafe transportation to work has been found to undermine progressive employment and workplace policies, designed to support female garment worke</w:t>
      </w:r>
      <w:r w:rsidR="002D2C32">
        <w:t>rs in their dual roles as bread</w:t>
      </w:r>
      <w:r>
        <w:t>winners and caregivers.</w:t>
      </w:r>
      <w:r>
        <w:rPr>
          <w:rStyle w:val="FootnoteReference"/>
        </w:rPr>
        <w:footnoteReference w:id="45"/>
      </w:r>
      <w:r>
        <w:t xml:space="preserve"> For example, both female factory workers and factory managers cited a lack of safe and accessible transport options as a key barrier for female workers to utilize child-care or breast-feeding facilities which factories are obliged to provide under Cambodian </w:t>
      </w:r>
      <w:r w:rsidR="00C232C6">
        <w:t>labor</w:t>
      </w:r>
      <w:r>
        <w:t xml:space="preserve"> law.</w:t>
      </w:r>
      <w:r>
        <w:rPr>
          <w:rStyle w:val="FootnoteReference"/>
        </w:rPr>
        <w:footnoteReference w:id="46"/>
      </w:r>
    </w:p>
    <w:p w14:paraId="6F58921A" w14:textId="45AE9C12" w:rsidR="009B7919" w:rsidRDefault="009B7919" w:rsidP="009B7919">
      <w:pPr>
        <w:pStyle w:val="ListParagraph"/>
        <w:numPr>
          <w:ilvl w:val="0"/>
          <w:numId w:val="41"/>
        </w:numPr>
        <w:spacing w:after="120"/>
      </w:pPr>
      <w:r w:rsidRPr="00DF272A">
        <w:rPr>
          <w:b/>
        </w:rPr>
        <w:t>Violence and harassment, including gender-based violence and harassment during the commute</w:t>
      </w:r>
      <w:r>
        <w:t>: Studies of the Cambodian garment manufacturing sector have found that garment factory workers cite concerns on a range of issues they encounter during their commute including robbery, gang violence, and gender-based violence, including sexual harassment and rape.</w:t>
      </w:r>
      <w:r>
        <w:rPr>
          <w:rStyle w:val="FootnoteReference"/>
        </w:rPr>
        <w:footnoteReference w:id="47"/>
      </w:r>
      <w:r>
        <w:t xml:space="preserve"> The dangers of commuting increase when women work overtime and travel after dark. </w:t>
      </w:r>
    </w:p>
    <w:p w14:paraId="4983E8EE" w14:textId="590CB9DD" w:rsidR="001F1A65" w:rsidRDefault="002D56EB" w:rsidP="00C44C84">
      <w:pPr>
        <w:pStyle w:val="BodyA"/>
        <w:numPr>
          <w:ilvl w:val="1"/>
          <w:numId w:val="2"/>
        </w:numPr>
      </w:pPr>
      <w:r>
        <w:t>Phnom Penh public bus transport</w:t>
      </w:r>
      <w:r w:rsidR="002F05BE">
        <w:t xml:space="preserve"> </w:t>
      </w:r>
      <w:r w:rsidR="00E030F7">
        <w:t xml:space="preserve">provides workers with </w:t>
      </w:r>
      <w:r w:rsidR="002F05BE">
        <w:t xml:space="preserve">an alternative transport </w:t>
      </w:r>
      <w:proofErr w:type="gramStart"/>
      <w:r w:rsidR="002F05BE">
        <w:t xml:space="preserve">option </w:t>
      </w:r>
      <w:r w:rsidR="00E030F7">
        <w:t>which</w:t>
      </w:r>
      <w:proofErr w:type="gramEnd"/>
      <w:r w:rsidR="00E030F7">
        <w:t xml:space="preserve"> is cleaner, more comfortable and potentially much safer than the current informal collective transport options. However, </w:t>
      </w:r>
      <w:r w:rsidR="002F05BE">
        <w:t>usage remains</w:t>
      </w:r>
      <w:r w:rsidR="00E030F7">
        <w:t xml:space="preserve"> low with total passenger numbers reportedly reaching </w:t>
      </w:r>
      <w:r w:rsidR="002F05BE">
        <w:t>only</w:t>
      </w:r>
      <w:r w:rsidR="00E030F7">
        <w:t xml:space="preserve"> 17,000 passengers per day.</w:t>
      </w:r>
      <w:r w:rsidR="002F05BE">
        <w:rPr>
          <w:rStyle w:val="FootnoteReference"/>
        </w:rPr>
        <w:footnoteReference w:id="48"/>
      </w:r>
      <w:r w:rsidR="00E030F7">
        <w:t xml:space="preserve"> </w:t>
      </w:r>
      <w:r w:rsidR="009B7919">
        <w:t>Recent research has found that s</w:t>
      </w:r>
      <w:r w:rsidR="00E030F7">
        <w:t xml:space="preserve">ome of the reasons for the low </w:t>
      </w:r>
      <w:r w:rsidR="007F6A02">
        <w:t xml:space="preserve">public transport </w:t>
      </w:r>
      <w:r w:rsidR="00E030F7">
        <w:t>usage are</w:t>
      </w:r>
      <w:r w:rsidR="009B7919">
        <w:t xml:space="preserve"> </w:t>
      </w:r>
      <w:r w:rsidR="007F6A02">
        <w:t>due</w:t>
      </w:r>
      <w:r w:rsidR="009B7919">
        <w:t xml:space="preserve"> to</w:t>
      </w:r>
      <w:r w:rsidR="00CB11B0">
        <w:t xml:space="preserve"> long delays waiting for connecting buses make it difficult to use the bus to travel to the factory in the mornings and workers concerns about heightened personal safety and security risks after dark when walking to and from the bus stop and while they wait.</w:t>
      </w:r>
      <w:r w:rsidR="00CB11B0">
        <w:rPr>
          <w:rStyle w:val="FootnoteReference"/>
        </w:rPr>
        <w:t xml:space="preserve"> </w:t>
      </w:r>
      <w:r w:rsidR="00CB11B0">
        <w:t xml:space="preserve">An interview with a factory management representative confirmed that workers </w:t>
      </w:r>
      <w:r w:rsidR="00CB11B0">
        <w:lastRenderedPageBreak/>
        <w:t xml:space="preserve">fears were </w:t>
      </w:r>
      <w:proofErr w:type="gramStart"/>
      <w:r w:rsidR="00CB11B0">
        <w:t>well-founded</w:t>
      </w:r>
      <w:proofErr w:type="gramEnd"/>
      <w:r w:rsidR="00CB11B0">
        <w:t xml:space="preserve"> as there had been several cases of their employees being drugged and robbed as they walked home.</w:t>
      </w:r>
      <w:r w:rsidR="009B7919">
        <w:rPr>
          <w:rStyle w:val="FootnoteReference"/>
        </w:rPr>
        <w:footnoteReference w:id="49"/>
      </w:r>
    </w:p>
    <w:p w14:paraId="24A251A2" w14:textId="77777777" w:rsidR="001F1A65" w:rsidRDefault="001F1A65" w:rsidP="00CB11B0">
      <w:pPr>
        <w:pStyle w:val="BodyA"/>
      </w:pPr>
    </w:p>
    <w:p w14:paraId="02227B7D" w14:textId="77777777" w:rsidR="001F1A65" w:rsidRDefault="00E030F7">
      <w:pPr>
        <w:pStyle w:val="BodyA"/>
        <w:rPr>
          <w:b/>
          <w:bCs/>
          <w:i/>
          <w:iCs/>
        </w:rPr>
      </w:pPr>
      <w:r>
        <w:rPr>
          <w:b/>
          <w:bCs/>
          <w:i/>
          <w:iCs/>
        </w:rPr>
        <w:t>Recommendations:</w:t>
      </w:r>
    </w:p>
    <w:p w14:paraId="7FE81065" w14:textId="77777777" w:rsidR="001F1A65" w:rsidRDefault="001F1A65">
      <w:pPr>
        <w:pStyle w:val="BodyA"/>
        <w:ind w:left="720"/>
      </w:pPr>
    </w:p>
    <w:p w14:paraId="04C9F66C" w14:textId="77777777" w:rsidR="001F1A65" w:rsidRDefault="00E030F7" w:rsidP="00DF272A">
      <w:pPr>
        <w:pStyle w:val="BodyA"/>
        <w:numPr>
          <w:ilvl w:val="1"/>
          <w:numId w:val="27"/>
        </w:numPr>
        <w:spacing w:after="120"/>
        <w:rPr>
          <w:i/>
          <w:iCs/>
        </w:rPr>
      </w:pPr>
      <w:r>
        <w:rPr>
          <w:i/>
          <w:iCs/>
        </w:rPr>
        <w:t>Consistent enforcement of the road traffic law, focusing on ensuring the safety of commuting workers including regular driver licensing checks and addressing serious safety concerns including unsafe and overloaded vehicles, drunk driving, speeding and helmet use. To be effective, enforcement must occur both during the day and after dark when many workers are traveling.</w:t>
      </w:r>
    </w:p>
    <w:p w14:paraId="52FF3DDD" w14:textId="77777777" w:rsidR="001F1A65" w:rsidRDefault="00E030F7" w:rsidP="00DF272A">
      <w:pPr>
        <w:pStyle w:val="BodyA"/>
        <w:numPr>
          <w:ilvl w:val="1"/>
          <w:numId w:val="27"/>
        </w:numPr>
        <w:spacing w:after="120"/>
        <w:rPr>
          <w:i/>
          <w:iCs/>
        </w:rPr>
      </w:pPr>
      <w:r>
        <w:rPr>
          <w:i/>
          <w:iCs/>
        </w:rPr>
        <w:t>Implement measures to enable workers and current drivers providing transport services to afford transportation which is legal, safe, and suitable for passengers, or which alternatively requires employers to be responsible for providing quality transportation service for workers.</w:t>
      </w:r>
    </w:p>
    <w:p w14:paraId="24F51CB5" w14:textId="77777777" w:rsidR="001F1A65" w:rsidRDefault="00E030F7" w:rsidP="00DF272A">
      <w:pPr>
        <w:pStyle w:val="BodyA"/>
        <w:numPr>
          <w:ilvl w:val="1"/>
          <w:numId w:val="27"/>
        </w:numPr>
        <w:spacing w:after="120"/>
        <w:rPr>
          <w:i/>
          <w:iCs/>
        </w:rPr>
      </w:pPr>
      <w:r>
        <w:rPr>
          <w:i/>
          <w:iCs/>
        </w:rPr>
        <w:t>Establish a nation-wide complaints and response mechanism which seeks to identify and address worker commuting safety concerns.</w:t>
      </w:r>
    </w:p>
    <w:p w14:paraId="6A5B01ED" w14:textId="77777777" w:rsidR="001F1A65" w:rsidRDefault="00E030F7" w:rsidP="00DF272A">
      <w:pPr>
        <w:pStyle w:val="BodyA"/>
        <w:numPr>
          <w:ilvl w:val="1"/>
          <w:numId w:val="27"/>
        </w:numPr>
        <w:spacing w:after="120"/>
        <w:rPr>
          <w:i/>
          <w:iCs/>
        </w:rPr>
      </w:pPr>
      <w:r>
        <w:rPr>
          <w:i/>
          <w:iCs/>
        </w:rPr>
        <w:t>Ratify ILC 190: Violence and Harassment Convention, 2019 (No. 190), which applies to violence and harassment in the world of work occurring in the course of, linked with or arising out of work, including when commuting to and from work.</w:t>
      </w:r>
    </w:p>
    <w:p w14:paraId="4065C773" w14:textId="77777777" w:rsidR="001F1A65" w:rsidRDefault="001F1A65" w:rsidP="00DF272A">
      <w:pPr>
        <w:pStyle w:val="BodyA"/>
        <w:spacing w:after="120"/>
      </w:pPr>
    </w:p>
    <w:bookmarkEnd w:id="3"/>
    <w:p w14:paraId="1BA16544" w14:textId="77777777" w:rsidR="001F1A65" w:rsidRDefault="00E030F7">
      <w:pPr>
        <w:pStyle w:val="Heading"/>
      </w:pPr>
      <w:r>
        <w:t>ARTICLES 2(E) AND ARTICLES 4 (2), 5 AND 11</w:t>
      </w:r>
    </w:p>
    <w:p w14:paraId="19B6970E" w14:textId="77777777" w:rsidR="001F1A65" w:rsidRDefault="00E030F7" w:rsidP="00C44C84">
      <w:pPr>
        <w:pStyle w:val="Heading"/>
        <w:numPr>
          <w:ilvl w:val="0"/>
          <w:numId w:val="2"/>
        </w:numPr>
        <w:jc w:val="left"/>
      </w:pPr>
      <w:r>
        <w:t>Maternity and paternity protection</w:t>
      </w:r>
    </w:p>
    <w:p w14:paraId="0CCDB427" w14:textId="77777777" w:rsidR="001F1A65" w:rsidRDefault="001F1A65">
      <w:pPr>
        <w:pStyle w:val="BodyA"/>
      </w:pPr>
    </w:p>
    <w:p w14:paraId="4A84FB42" w14:textId="77777777" w:rsidR="001F1A65" w:rsidRPr="00C3370F" w:rsidRDefault="00E030F7" w:rsidP="00C44C84">
      <w:pPr>
        <w:pStyle w:val="BodyA"/>
        <w:numPr>
          <w:ilvl w:val="1"/>
          <w:numId w:val="2"/>
        </w:numPr>
      </w:pPr>
      <w:r w:rsidRPr="00C3370F">
        <w:t>Discrimination against pregnant women remains prevalent in Cambodia.</w:t>
      </w:r>
    </w:p>
    <w:p w14:paraId="6AA7EA91" w14:textId="77777777" w:rsidR="001F1A65" w:rsidRDefault="001F1A65">
      <w:pPr>
        <w:pStyle w:val="Heading21"/>
        <w:spacing w:line="240" w:lineRule="auto"/>
        <w:jc w:val="left"/>
        <w:rPr>
          <w:color w:val="7F7F7F"/>
          <w:u w:color="7F7F7F"/>
        </w:rPr>
      </w:pPr>
    </w:p>
    <w:p w14:paraId="46DEA37A" w14:textId="77777777" w:rsidR="001F1A65" w:rsidRPr="00C3370F" w:rsidRDefault="00E030F7" w:rsidP="00C44C84">
      <w:pPr>
        <w:pStyle w:val="BodyA"/>
        <w:numPr>
          <w:ilvl w:val="1"/>
          <w:numId w:val="2"/>
        </w:numPr>
        <w:rPr>
          <w:bCs/>
        </w:rPr>
      </w:pPr>
      <w:r w:rsidRPr="00C3370F">
        <w:t>The</w:t>
      </w:r>
      <w:r w:rsidRPr="00C3370F">
        <w:rPr>
          <w:bCs/>
        </w:rPr>
        <w:t xml:space="preserve"> link between discrimination and women’s reproductive rights is carefully addressed in the Convention and its preamble. Under article 5, CEDAW advocates ''a proper understanding of maternity as a social function,” demanding shared responsibility for </w:t>
      </w:r>
      <w:proofErr w:type="gramStart"/>
      <w:r w:rsidRPr="00C3370F">
        <w:rPr>
          <w:bCs/>
        </w:rPr>
        <w:t>child-rearing</w:t>
      </w:r>
      <w:proofErr w:type="gramEnd"/>
      <w:r w:rsidRPr="00C3370F">
        <w:rPr>
          <w:bCs/>
        </w:rPr>
        <w:t xml:space="preserve"> by both sexes. Hence, provisions for maternity protection and child-care are considered essential rights and incorporated into all areas of the Convention, including those pertaining to employment. Special measures for maternity protection are recommended and "shall not be considered discriminatory.”</w:t>
      </w:r>
      <w:r w:rsidRPr="00C3370F">
        <w:rPr>
          <w:bCs/>
          <w:vertAlign w:val="superscript"/>
        </w:rPr>
        <w:footnoteReference w:id="50"/>
      </w:r>
      <w:r w:rsidRPr="00C3370F">
        <w:rPr>
          <w:bCs/>
          <w:vertAlign w:val="superscript"/>
        </w:rPr>
        <w:t xml:space="preserve"> </w:t>
      </w:r>
    </w:p>
    <w:p w14:paraId="66326140" w14:textId="77777777" w:rsidR="001F1A65" w:rsidRDefault="001F1A65">
      <w:pPr>
        <w:pStyle w:val="Heading21"/>
        <w:spacing w:line="240" w:lineRule="auto"/>
        <w:jc w:val="left"/>
        <w:rPr>
          <w:rFonts w:ascii="Times New Roman" w:eastAsia="Times New Roman" w:hAnsi="Times New Roman" w:cs="Times New Roman"/>
          <w:b w:val="0"/>
          <w:bCs w:val="0"/>
          <w:vertAlign w:val="superscript"/>
        </w:rPr>
      </w:pPr>
    </w:p>
    <w:p w14:paraId="35C9BD9A" w14:textId="77777777" w:rsidR="001F1A65" w:rsidRPr="002A1E02" w:rsidRDefault="00E030F7" w:rsidP="00C44C84">
      <w:pPr>
        <w:pStyle w:val="BodyA"/>
        <w:numPr>
          <w:ilvl w:val="1"/>
          <w:numId w:val="2"/>
        </w:numPr>
        <w:rPr>
          <w:bCs/>
        </w:rPr>
      </w:pPr>
      <w:r w:rsidRPr="00C3370F">
        <w:rPr>
          <w:bCs/>
        </w:rPr>
        <w:t>Specifically, in the labor context, the Convention commends that States Parties are required to take measures to prohibit dismissal on the grounds of pregnancy or maternity leave, subject to the imposition of sanctions.</w:t>
      </w:r>
      <w:r w:rsidRPr="00C3370F">
        <w:rPr>
          <w:bCs/>
          <w:vertAlign w:val="superscript"/>
        </w:rPr>
        <w:footnoteReference w:id="51"/>
      </w:r>
      <w:r w:rsidRPr="00C3370F">
        <w:rPr>
          <w:bCs/>
        </w:rPr>
        <w:t xml:space="preserve"> In terms of Article 11(2), states are obliged to introduce maternity leave with pay or comparable social benefits, without loss of former employment, seniority or social allowances. In addition, it also requires states to encourage the provision of the necessary supporting social services </w:t>
      </w:r>
      <w:r w:rsidRPr="00C3370F">
        <w:rPr>
          <w:bCs/>
        </w:rPr>
        <w:lastRenderedPageBreak/>
        <w:t>to enable parents to combine family obligations with work responsibilities and participation in public life, and to protect pregnant women from doing work that is harmful to them.</w:t>
      </w:r>
    </w:p>
    <w:p w14:paraId="177B7F42" w14:textId="77777777" w:rsidR="001F1A65" w:rsidRDefault="001F1A65">
      <w:pPr>
        <w:pStyle w:val="Heading21"/>
        <w:spacing w:line="240" w:lineRule="auto"/>
        <w:jc w:val="left"/>
        <w:rPr>
          <w:rFonts w:ascii="Times New Roman" w:eastAsia="Times New Roman" w:hAnsi="Times New Roman" w:cs="Times New Roman"/>
          <w:b w:val="0"/>
          <w:bCs w:val="0"/>
        </w:rPr>
      </w:pPr>
    </w:p>
    <w:p w14:paraId="0174D5F0" w14:textId="7DCAF272" w:rsidR="001F1A65" w:rsidRPr="002A1E02" w:rsidRDefault="00E030F7" w:rsidP="00C44C84">
      <w:pPr>
        <w:pStyle w:val="BodyA"/>
        <w:numPr>
          <w:ilvl w:val="1"/>
          <w:numId w:val="2"/>
        </w:numPr>
        <w:rPr>
          <w:bCs/>
        </w:rPr>
      </w:pPr>
      <w:r w:rsidRPr="00C3370F">
        <w:rPr>
          <w:bCs/>
        </w:rPr>
        <w:t>Article 46 of the Cambodian Constitution guarantees women have the right to take maternity leave with full pay without loss of seniority or social benefits. However, there is a dissonance between the constitutional principle and the l</w:t>
      </w:r>
      <w:r w:rsidRPr="002A1E02">
        <w:rPr>
          <w:bCs/>
        </w:rPr>
        <w:t xml:space="preserve">abor legislation, which entitles workers to 90 days leave with 50% of their wages. There are also several Arbitration Council awards that have interpreted 90 days to mean 90 calendar days, and not 90 working days. In terms of the Law on Social Security, a female worker is entitled to 70% of her average monthly wage during maternity leave. From January 2018 forward, a female worker also receives a lump sum from the National Social Security Fund when she gives birth. </w:t>
      </w:r>
    </w:p>
    <w:p w14:paraId="7A3FFDCC" w14:textId="77777777" w:rsidR="001F1A65" w:rsidRPr="002A1E02" w:rsidRDefault="001F1A65">
      <w:pPr>
        <w:pStyle w:val="Heading21"/>
        <w:spacing w:line="240" w:lineRule="auto"/>
        <w:jc w:val="left"/>
        <w:rPr>
          <w:b w:val="0"/>
          <w:bCs w:val="0"/>
        </w:rPr>
      </w:pPr>
    </w:p>
    <w:p w14:paraId="773FDC5C" w14:textId="43FD26A1" w:rsidR="001F1A65" w:rsidRPr="002A1E02" w:rsidRDefault="00E030F7" w:rsidP="00C44C84">
      <w:pPr>
        <w:pStyle w:val="BodyA"/>
        <w:numPr>
          <w:ilvl w:val="1"/>
          <w:numId w:val="2"/>
        </w:numPr>
        <w:rPr>
          <w:bCs/>
        </w:rPr>
      </w:pPr>
      <w:r w:rsidRPr="00C44C84">
        <w:t>These</w:t>
      </w:r>
      <w:r w:rsidRPr="00C3370F">
        <w:rPr>
          <w:bCs/>
        </w:rPr>
        <w:t xml:space="preserve"> provisions fall short of the ILO standard both in terms of amount, which under Convention 183 A</w:t>
      </w:r>
      <w:r w:rsidR="007F6A02">
        <w:rPr>
          <w:bCs/>
        </w:rPr>
        <w:t xml:space="preserve">rticle </w:t>
      </w:r>
      <w:r w:rsidRPr="00C3370F">
        <w:rPr>
          <w:bCs/>
        </w:rPr>
        <w:t>6(2) and (3) calls for cash benefits at a level that ensures woman can maintain</w:t>
      </w:r>
      <w:r w:rsidRPr="002A1E02">
        <w:rPr>
          <w:bCs/>
        </w:rPr>
        <w:t xml:space="preserve"> herself and her child improper condition of health and at a suitable standard of living, which should be no less than two-thirds of the previous earnings. The benefits provided must be provided through compulsory social insurance or public funds to protect women in the labor market.</w:t>
      </w:r>
      <w:r w:rsidRPr="002A1E02">
        <w:rPr>
          <w:rStyle w:val="FootnoteReference"/>
          <w:bCs/>
        </w:rPr>
        <w:footnoteReference w:id="52"/>
      </w:r>
    </w:p>
    <w:p w14:paraId="67F5B46C" w14:textId="77777777" w:rsidR="001F1A65" w:rsidRDefault="001F1A65">
      <w:pPr>
        <w:pStyle w:val="Heading21"/>
        <w:spacing w:line="240" w:lineRule="auto"/>
        <w:jc w:val="left"/>
        <w:rPr>
          <w:b w:val="0"/>
          <w:bCs w:val="0"/>
        </w:rPr>
      </w:pPr>
    </w:p>
    <w:p w14:paraId="1AD3891F" w14:textId="21342EDE" w:rsidR="001F1A65" w:rsidRPr="00CE766D" w:rsidRDefault="00E030F7" w:rsidP="00CE766D">
      <w:pPr>
        <w:pStyle w:val="BodyA"/>
        <w:numPr>
          <w:ilvl w:val="1"/>
          <w:numId w:val="2"/>
        </w:numPr>
        <w:jc w:val="left"/>
      </w:pPr>
      <w:r w:rsidRPr="00C44C84">
        <w:t>In</w:t>
      </w:r>
      <w:r w:rsidRPr="00CE766D">
        <w:t xml:space="preserve"> practice, many factories routinely use short</w:t>
      </w:r>
      <w:r w:rsidRPr="00CE766D">
        <w:rPr>
          <w:rFonts w:ascii="Arial Unicode MS" w:hAnsi="Arial Unicode MS"/>
        </w:rPr>
        <w:t>‐</w:t>
      </w:r>
      <w:r w:rsidRPr="00CE766D">
        <w:t xml:space="preserve">term contracts for all staff regardless of length of employment, and fire pregnant women at some point prior to the birth of their child to avoid their legal obligations. </w:t>
      </w:r>
    </w:p>
    <w:p w14:paraId="793FD09E" w14:textId="69F6BC35" w:rsidR="001F1A65" w:rsidRPr="00DF272A" w:rsidRDefault="007F6A02" w:rsidP="00C44C84">
      <w:pPr>
        <w:pStyle w:val="BodyA"/>
        <w:numPr>
          <w:ilvl w:val="1"/>
          <w:numId w:val="2"/>
        </w:numPr>
        <w:rPr>
          <w:bCs/>
        </w:rPr>
      </w:pPr>
      <w:r w:rsidRPr="00C44C84">
        <w:t>At</w:t>
      </w:r>
      <w:r w:rsidRPr="005E1873">
        <w:rPr>
          <w:bCs/>
        </w:rPr>
        <w:t xml:space="preserve"> workshops with </w:t>
      </w:r>
      <w:r w:rsidR="00E030F7" w:rsidRPr="005E1873">
        <w:rPr>
          <w:bCs/>
        </w:rPr>
        <w:t>the Solidarity Center Cambodia</w:t>
      </w:r>
      <w:r w:rsidRPr="005E1873">
        <w:rPr>
          <w:bCs/>
        </w:rPr>
        <w:t xml:space="preserve"> </w:t>
      </w:r>
      <w:r w:rsidR="00E030F7" w:rsidRPr="005E1873">
        <w:rPr>
          <w:bCs/>
        </w:rPr>
        <w:t xml:space="preserve">many women working in the garment industry report that their short-term contracts were not renewed after the employer discovered that they were pregnant. </w:t>
      </w:r>
      <w:r w:rsidRPr="005E1873">
        <w:rPr>
          <w:bCs/>
        </w:rPr>
        <w:t>This is also born out by cases reported</w:t>
      </w:r>
      <w:r>
        <w:rPr>
          <w:bCs/>
        </w:rPr>
        <w:t xml:space="preserve"> in the mainstream media</w:t>
      </w:r>
      <w:r>
        <w:rPr>
          <w:rStyle w:val="FootnoteReference"/>
          <w:bCs/>
        </w:rPr>
        <w:footnoteReference w:id="53"/>
      </w:r>
      <w:r>
        <w:rPr>
          <w:bCs/>
        </w:rPr>
        <w:t>.</w:t>
      </w:r>
      <w:r w:rsidRPr="00C3370F">
        <w:rPr>
          <w:bCs/>
        </w:rPr>
        <w:t xml:space="preserve"> </w:t>
      </w:r>
      <w:r w:rsidR="00E030F7" w:rsidRPr="00C3370F">
        <w:rPr>
          <w:bCs/>
        </w:rPr>
        <w:t>In cases where this is challenged at the Arbitration Council, the burden of proof to establish the pregnancy discrimination is on the employee, not the employer.</w:t>
      </w:r>
      <w:r w:rsidR="003D1B4A">
        <w:rPr>
          <w:rStyle w:val="FootnoteReference"/>
          <w:bCs/>
        </w:rPr>
        <w:footnoteReference w:id="54"/>
      </w:r>
      <w:r w:rsidR="00CB11B0">
        <w:rPr>
          <w:bCs/>
        </w:rPr>
        <w:t xml:space="preserve"> </w:t>
      </w:r>
      <w:r w:rsidR="00E030F7" w:rsidRPr="00C3370F">
        <w:rPr>
          <w:bCs/>
        </w:rPr>
        <w:t>This makes proving such discrimination very difficult.  In the interviews conducted by WUN in 2019, they found 36 reports of alleged discrimination on the basis of both pregnancy and maternity, including:</w:t>
      </w:r>
    </w:p>
    <w:p w14:paraId="203342FF" w14:textId="6BBE83C0" w:rsidR="001F1A65" w:rsidRDefault="00E030F7" w:rsidP="006E3751">
      <w:pPr>
        <w:pStyle w:val="ListParagraph"/>
        <w:numPr>
          <w:ilvl w:val="0"/>
          <w:numId w:val="42"/>
        </w:numPr>
        <w:spacing w:after="120"/>
      </w:pPr>
      <w:r w:rsidRPr="00DF272A">
        <w:rPr>
          <w:b/>
          <w:bCs/>
          <w:i/>
          <w:iCs/>
        </w:rPr>
        <w:t>Pre-employment urine tests</w:t>
      </w:r>
      <w:r>
        <w:t xml:space="preserve">: During interviews conducted by CFSWF with entertainment sector workers, female workers reported they had to undergo urine tests to </w:t>
      </w:r>
      <w:r w:rsidR="00CE766D">
        <w:t>confirm</w:t>
      </w:r>
      <w:r>
        <w:t xml:space="preserve"> they were</w:t>
      </w:r>
      <w:r w:rsidR="00CE766D">
        <w:t xml:space="preserve"> not</w:t>
      </w:r>
      <w:r>
        <w:t xml:space="preserve"> pregnant. </w:t>
      </w:r>
      <w:r w:rsidR="00CE766D">
        <w:t>Another</w:t>
      </w:r>
      <w:r>
        <w:t xml:space="preserve"> witness reported that when she discovered she was pregnant, she had an abortion because the looming threat of the urine test made her fear for losing her job. In a study by </w:t>
      </w:r>
      <w:proofErr w:type="spellStart"/>
      <w:r>
        <w:t>Nuon</w:t>
      </w:r>
      <w:proofErr w:type="spellEnd"/>
      <w:r>
        <w:t xml:space="preserve"> and Serrano (2009), despite pregnancy pre-screening prior to hiring and regularization being prohibited by law, 30% of the respondents of the survey claimed that women were subjected to such pre-screening prior to hiring or regularization. </w:t>
      </w:r>
      <w:r w:rsidRPr="00DF272A">
        <w:rPr>
          <w:b/>
          <w:bCs/>
        </w:rPr>
        <w:t xml:space="preserve"> </w:t>
      </w:r>
    </w:p>
    <w:p w14:paraId="699E0561" w14:textId="06D152FE" w:rsidR="001F1A65" w:rsidRDefault="00E030F7" w:rsidP="006E3751">
      <w:pPr>
        <w:pStyle w:val="ListParagraph"/>
        <w:numPr>
          <w:ilvl w:val="0"/>
          <w:numId w:val="42"/>
        </w:numPr>
        <w:spacing w:after="120"/>
      </w:pPr>
      <w:r w:rsidRPr="00DF272A">
        <w:rPr>
          <w:b/>
          <w:bCs/>
          <w:i/>
          <w:iCs/>
        </w:rPr>
        <w:lastRenderedPageBreak/>
        <w:t>Dismissal of pregnant women</w:t>
      </w:r>
      <w:r>
        <w:t xml:space="preserve">: For example, one interviewee in the constriction work center was told to stop working after she was month pregnant in order to avoid any negative impacts on her unborn child. In another interview reported by WUN, a woman working as a bricklayer who was a union member and had worked for the company for one year became pregnant and her contract was terminated, alongside 6 other pregnant women. </w:t>
      </w:r>
    </w:p>
    <w:p w14:paraId="6E4144C9" w14:textId="27699698" w:rsidR="001F1A65" w:rsidRDefault="00E030F7" w:rsidP="006E3751">
      <w:pPr>
        <w:pStyle w:val="ListParagraph"/>
        <w:numPr>
          <w:ilvl w:val="0"/>
          <w:numId w:val="42"/>
        </w:numPr>
        <w:spacing w:after="120"/>
      </w:pPr>
      <w:r w:rsidRPr="00DF272A">
        <w:rPr>
          <w:b/>
          <w:bCs/>
          <w:i/>
          <w:iCs/>
        </w:rPr>
        <w:t>Non-renewal of pregnant women’s contracts</w:t>
      </w:r>
      <w:r>
        <w:t>: Garment workers experience similar forms of discrimination. Since female workers are often employed through short-term contracts, employers threaten non-renewal of pregnant women’s contracts to escape obligations pertaining to maternity leave.</w:t>
      </w:r>
      <w:r>
        <w:rPr>
          <w:rStyle w:val="FootnoteReference"/>
        </w:rPr>
        <w:footnoteReference w:id="55"/>
      </w:r>
      <w:r>
        <w:t xml:space="preserve"> The WUN interviews also found multiple instances of women who were employed on short-term contracts, which were terminated upon the employer finding out about the pregnancy or after </w:t>
      </w:r>
      <w:proofErr w:type="gramStart"/>
      <w:r>
        <w:t>child birth</w:t>
      </w:r>
      <w:proofErr w:type="gramEnd"/>
      <w:r>
        <w:t>.</w:t>
      </w:r>
    </w:p>
    <w:p w14:paraId="58F8B819" w14:textId="77777777" w:rsidR="001F1A65" w:rsidRDefault="00E030F7" w:rsidP="006E3751">
      <w:pPr>
        <w:pStyle w:val="ListParagraph"/>
        <w:numPr>
          <w:ilvl w:val="0"/>
          <w:numId w:val="42"/>
        </w:numPr>
        <w:spacing w:after="120"/>
      </w:pPr>
      <w:r w:rsidRPr="00DF272A">
        <w:rPr>
          <w:b/>
          <w:bCs/>
          <w:i/>
          <w:iCs/>
        </w:rPr>
        <w:t>Requiring excessive overtime work from pregnant workers in order to pressure them to quit</w:t>
      </w:r>
      <w:r w:rsidRPr="00DF272A">
        <w:rPr>
          <w:b/>
          <w:bCs/>
        </w:rPr>
        <w:t>.</w:t>
      </w:r>
    </w:p>
    <w:p w14:paraId="58BB7245" w14:textId="77777777" w:rsidR="001F1A65" w:rsidRDefault="00E030F7" w:rsidP="006E3751">
      <w:pPr>
        <w:pStyle w:val="ListParagraph"/>
        <w:numPr>
          <w:ilvl w:val="0"/>
          <w:numId w:val="42"/>
        </w:numPr>
        <w:spacing w:after="120"/>
      </w:pPr>
      <w:r w:rsidRPr="00DF272A">
        <w:rPr>
          <w:b/>
          <w:bCs/>
          <w:i/>
          <w:iCs/>
        </w:rPr>
        <w:t>Changing worker’s position after becoming aware of pregnancy,</w:t>
      </w:r>
    </w:p>
    <w:p w14:paraId="2A1B9D14" w14:textId="18C3012A" w:rsidR="001F1A65" w:rsidRDefault="00E030F7" w:rsidP="006E3751">
      <w:pPr>
        <w:pStyle w:val="ListParagraph"/>
        <w:numPr>
          <w:ilvl w:val="0"/>
          <w:numId w:val="42"/>
        </w:numPr>
        <w:spacing w:after="120"/>
      </w:pPr>
      <w:r w:rsidRPr="00DF272A">
        <w:rPr>
          <w:b/>
          <w:bCs/>
          <w:i/>
          <w:iCs/>
        </w:rPr>
        <w:t>Dismissal of returning FDC worker after requesting breast feeding breaks or lighter duties</w:t>
      </w:r>
      <w:r>
        <w:t xml:space="preserve">: A number of FDC workers returning to work after leave had their contracts terminated or not renewed due to breastfeeding breaks or requests for lighter duties. In one case identified by the WUN, a 36-year-old female bricklayer and member of BWTUC worked for the company for 1 year before becoming pregnant. Her contract was terminated after her supervisor learned that she was pregnant. A further five pregnant workers have been terminated by this supervisor. </w:t>
      </w:r>
    </w:p>
    <w:p w14:paraId="5FF073DC" w14:textId="77777777" w:rsidR="001F1A65" w:rsidRDefault="001F1A65">
      <w:pPr>
        <w:pStyle w:val="BodyA"/>
        <w:rPr>
          <w:i/>
          <w:iCs/>
        </w:rPr>
      </w:pPr>
    </w:p>
    <w:p w14:paraId="26999804" w14:textId="77777777" w:rsidR="001F1A65" w:rsidRDefault="00E030F7">
      <w:pPr>
        <w:pStyle w:val="BodyA"/>
        <w:rPr>
          <w:b/>
          <w:bCs/>
          <w:i/>
          <w:iCs/>
        </w:rPr>
      </w:pPr>
      <w:r>
        <w:rPr>
          <w:b/>
          <w:bCs/>
          <w:i/>
          <w:iCs/>
        </w:rPr>
        <w:t>Recommendations for Cambodia:</w:t>
      </w:r>
    </w:p>
    <w:p w14:paraId="6D699230" w14:textId="77777777" w:rsidR="001F1A65" w:rsidRDefault="001F1A65">
      <w:pPr>
        <w:pStyle w:val="BodyA"/>
        <w:rPr>
          <w:b/>
          <w:bCs/>
          <w:i/>
          <w:iCs/>
        </w:rPr>
      </w:pPr>
    </w:p>
    <w:p w14:paraId="061A393F" w14:textId="77777777" w:rsidR="001F1A65" w:rsidRDefault="00E030F7" w:rsidP="00DF272A">
      <w:pPr>
        <w:pStyle w:val="BodyA"/>
        <w:numPr>
          <w:ilvl w:val="0"/>
          <w:numId w:val="35"/>
        </w:numPr>
        <w:spacing w:after="120"/>
        <w:rPr>
          <w:i/>
          <w:iCs/>
        </w:rPr>
      </w:pPr>
      <w:r>
        <w:rPr>
          <w:i/>
          <w:iCs/>
        </w:rPr>
        <w:t xml:space="preserve">In instances of alleged pregnancy discrimination, the employer should bear the onus of proof. The current Arbitration Council’s approach to cast the onus of proving discrimination on pregnant women must be reversed. </w:t>
      </w:r>
    </w:p>
    <w:p w14:paraId="3712D877" w14:textId="77777777" w:rsidR="001F1A65" w:rsidRDefault="00E030F7" w:rsidP="00DF272A">
      <w:pPr>
        <w:pStyle w:val="BodyA"/>
        <w:numPr>
          <w:ilvl w:val="0"/>
          <w:numId w:val="35"/>
        </w:numPr>
        <w:spacing w:after="120"/>
        <w:rPr>
          <w:i/>
          <w:iCs/>
        </w:rPr>
      </w:pPr>
      <w:r>
        <w:rPr>
          <w:i/>
          <w:iCs/>
        </w:rPr>
        <w:t xml:space="preserve">Cambodia should ratify the ILO Convention 183 and domesticate its provisions, including 14 weeks of paid maternity leave and cash and medical benefits. </w:t>
      </w:r>
    </w:p>
    <w:p w14:paraId="5030E934" w14:textId="07166147" w:rsidR="001F1A65" w:rsidRDefault="00E030F7" w:rsidP="00DF272A">
      <w:pPr>
        <w:pStyle w:val="BodyA"/>
        <w:numPr>
          <w:ilvl w:val="0"/>
          <w:numId w:val="35"/>
        </w:numPr>
        <w:spacing w:after="120"/>
      </w:pPr>
      <w:r>
        <w:rPr>
          <w:i/>
          <w:iCs/>
        </w:rPr>
        <w:t>A labor ombudsman mechanism should be established to allow workers to report unlawful working conditions outside of existing conciliation and arbitration process. Regulations should be issued that increase penalties for employers who fail to provide maternity benefits in accordance with the Labor Law.</w:t>
      </w:r>
    </w:p>
    <w:sectPr w:rsidR="001F1A65">
      <w:headerReference w:type="default" r:id="rId9"/>
      <w:footerReference w:type="default" r:id="rId10"/>
      <w:pgSz w:w="11900" w:h="16840"/>
      <w:pgMar w:top="1440" w:right="1440" w:bottom="1440" w:left="1440" w:header="708" w:footer="708" w:gutter="0"/>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8CBB8B1" w15:done="0"/>
  <w15:commentEx w15:paraId="48472418" w15:done="0"/>
  <w15:commentEx w15:paraId="0DB13352" w15:paraIdParent="48472418" w15:done="0"/>
  <w15:commentEx w15:paraId="5AAD462D" w15:done="0"/>
  <w15:commentEx w15:paraId="2E1AA2C4" w15:paraIdParent="5AAD462D" w15:done="0"/>
  <w15:commentEx w15:paraId="6062C921" w15:done="0"/>
  <w15:commentEx w15:paraId="763C7A70" w15:done="0"/>
  <w15:commentEx w15:paraId="02EC0857" w15:done="0"/>
  <w15:commentEx w15:paraId="16FC0986" w15:done="0"/>
  <w15:commentEx w15:paraId="21238020" w15:done="0"/>
  <w15:commentEx w15:paraId="10A28064" w15:done="0"/>
  <w15:commentEx w15:paraId="45F2B972" w15:paraIdParent="10A28064" w15:done="0"/>
  <w15:commentEx w15:paraId="60A65CCE" w15:done="0"/>
  <w15:commentEx w15:paraId="46097F5F" w15:done="0"/>
  <w15:commentEx w15:paraId="67E00B70" w15:paraIdParent="46097F5F" w15:done="0"/>
  <w15:commentEx w15:paraId="6BB8C44F" w15:done="0"/>
  <w15:commentEx w15:paraId="1EDD9634" w15:paraIdParent="6BB8C44F" w15:done="0"/>
  <w15:commentEx w15:paraId="11718F8B" w15:done="0"/>
  <w15:commentEx w15:paraId="3A98B6A8" w15:done="0"/>
  <w15:commentEx w15:paraId="7232C537" w15:done="0"/>
  <w15:commentEx w15:paraId="42BF0986" w15:done="0"/>
  <w15:commentEx w15:paraId="07AD4116" w15:done="0"/>
  <w15:commentEx w15:paraId="745EDF20" w15:done="0"/>
  <w15:commentEx w15:paraId="00FB231F" w15:done="0"/>
  <w15:commentEx w15:paraId="691F52AD" w15:done="0"/>
  <w15:commentEx w15:paraId="5BE5E090" w15:done="0"/>
  <w15:commentEx w15:paraId="4D9E85D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3C320" w14:textId="77777777" w:rsidR="002D56EB" w:rsidRDefault="002D56EB">
      <w:r>
        <w:separator/>
      </w:r>
    </w:p>
  </w:endnote>
  <w:endnote w:type="continuationSeparator" w:id="0">
    <w:p w14:paraId="30588385" w14:textId="77777777" w:rsidR="002D56EB" w:rsidRDefault="002D5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Times">
    <w:altName w:val="Times Roman"/>
    <w:panose1 w:val="00000000000000000000"/>
    <w:charset w:val="4D"/>
    <w:family w:val="roman"/>
    <w:notTrueType/>
    <w:pitch w:val="variable"/>
    <w:sig w:usb0="00000003" w:usb1="00000000" w:usb2="00000000" w:usb3="00000000" w:csb0="00000001" w:csb1="00000000"/>
  </w:font>
  <w:font w:name="Segoe UI">
    <w:altName w:val="Courier New"/>
    <w:charset w:val="00"/>
    <w:family w:val="swiss"/>
    <w:pitch w:val="variable"/>
    <w:sig w:usb0="E4002EFF" w:usb1="C000E47F" w:usb2="00000009" w:usb3="00000000" w:csb0="000001F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E189C" w14:textId="2D279914" w:rsidR="002D56EB" w:rsidRDefault="002D56EB">
    <w:pPr>
      <w:pStyle w:val="Footer"/>
      <w:tabs>
        <w:tab w:val="clear" w:pos="9360"/>
        <w:tab w:val="right" w:pos="9000"/>
      </w:tabs>
      <w:jc w:val="right"/>
    </w:pPr>
    <w:r>
      <w:fldChar w:fldCharType="begin"/>
    </w:r>
    <w:r>
      <w:instrText xml:space="preserve"> PAGE </w:instrText>
    </w:r>
    <w:r>
      <w:fldChar w:fldCharType="separate"/>
    </w:r>
    <w:r w:rsidR="007306A9">
      <w:rPr>
        <w:noProof/>
      </w:rPr>
      <w:t>9</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4B1D3" w14:textId="77777777" w:rsidR="002D56EB" w:rsidRDefault="002D56EB">
      <w:r>
        <w:separator/>
      </w:r>
    </w:p>
  </w:footnote>
  <w:footnote w:type="continuationSeparator" w:id="0">
    <w:p w14:paraId="0FC7F4BA" w14:textId="77777777" w:rsidR="002D56EB" w:rsidRDefault="002D56EB">
      <w:r>
        <w:continuationSeparator/>
      </w:r>
    </w:p>
  </w:footnote>
  <w:footnote w:type="continuationNotice" w:id="1">
    <w:p w14:paraId="0FC321E3" w14:textId="77777777" w:rsidR="002D56EB" w:rsidRDefault="002D56EB"/>
  </w:footnote>
  <w:footnote w:id="2">
    <w:p w14:paraId="4A577E6D" w14:textId="4F503974"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Cambodia Gender Analysis (Summary), Cambodia: Country Partnership Strategy (2014-2018) ADB </w:t>
      </w:r>
      <w:hyperlink r:id="rId1" w:history="1">
        <w:r w:rsidRPr="00F35315">
          <w:rPr>
            <w:rStyle w:val="FootnoteReference"/>
            <w:sz w:val="20"/>
            <w:szCs w:val="20"/>
            <w:vertAlign w:val="baseline"/>
          </w:rPr>
          <w:t>https://www.adb.org/sites/default/files/linked-documents/cps-cam-2014-2018-ga.pdf</w:t>
        </w:r>
      </w:hyperlink>
    </w:p>
  </w:footnote>
  <w:footnote w:id="3">
    <w:p w14:paraId="199A02DA" w14:textId="15CB7420"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Care International</w:t>
      </w:r>
      <w:r>
        <w:rPr>
          <w:rStyle w:val="FootnoteReference"/>
          <w:sz w:val="20"/>
          <w:szCs w:val="20"/>
          <w:vertAlign w:val="baseline"/>
        </w:rPr>
        <w:t xml:space="preserve"> (2017)</w:t>
      </w:r>
      <w:r w:rsidRPr="00F35315">
        <w:rPr>
          <w:rStyle w:val="FootnoteReference"/>
          <w:sz w:val="20"/>
          <w:szCs w:val="20"/>
          <w:vertAlign w:val="baseline"/>
        </w:rPr>
        <w:t>, ‘I know I cannot quit’  The Prevalence and Productivity Cost of Sexual Harassment to the Cambodian Garment Industry</w:t>
      </w:r>
      <w:r>
        <w:rPr>
          <w:sz w:val="20"/>
          <w:szCs w:val="20"/>
        </w:rPr>
        <w:t xml:space="preserve">, </w:t>
      </w:r>
      <w:r w:rsidRPr="00E1632D">
        <w:rPr>
          <w:rStyle w:val="FootnoteReference"/>
          <w:sz w:val="20"/>
          <w:szCs w:val="20"/>
          <w:vertAlign w:val="baseline"/>
        </w:rPr>
        <w:t>Available at: www.care-cambodia.org</w:t>
      </w:r>
      <w:r>
        <w:rPr>
          <w:rStyle w:val="FootnoteReference"/>
          <w:sz w:val="20"/>
          <w:szCs w:val="20"/>
          <w:vertAlign w:val="baseline"/>
        </w:rPr>
        <w:t>.</w:t>
      </w:r>
    </w:p>
  </w:footnote>
  <w:footnote w:id="4">
    <w:p w14:paraId="446C2436" w14:textId="77777777"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International Labor Organization. Cambodian Garment and Footwear Sector, 6. (May 2017), at 8, available at http://www.ilo.org/wcmsp5/groups/public/---asia/---robangkok/documents/publication/wcms_555290.pdf</w:t>
      </w:r>
    </w:p>
  </w:footnote>
  <w:footnote w:id="5">
    <w:p w14:paraId="03B5FC3E" w14:textId="77777777"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CARE Cambodia (2016),Women in Cambodia’s Construction Industry, available at </w:t>
      </w:r>
      <w:hyperlink r:id="rId2" w:history="1">
        <w:r w:rsidRPr="00F35315">
          <w:rPr>
            <w:rStyle w:val="FootnoteReference"/>
            <w:sz w:val="20"/>
            <w:szCs w:val="20"/>
            <w:vertAlign w:val="baseline"/>
          </w:rPr>
          <w:t>https://www.care.at/wp-content/uploads/2017/07/CARE-Factsheet_V5-Low.pdf</w:t>
        </w:r>
      </w:hyperlink>
    </w:p>
  </w:footnote>
  <w:footnote w:id="6">
    <w:p w14:paraId="779A9B14" w14:textId="77777777"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Unions and Development in Cambodia, M. </w:t>
      </w:r>
      <w:proofErr w:type="spellStart"/>
      <w:r w:rsidRPr="00F35315">
        <w:rPr>
          <w:rStyle w:val="FootnoteReference"/>
          <w:sz w:val="20"/>
          <w:szCs w:val="20"/>
          <w:vertAlign w:val="baseline"/>
        </w:rPr>
        <w:t>Serano</w:t>
      </w:r>
      <w:proofErr w:type="spellEnd"/>
      <w:r w:rsidRPr="00F35315">
        <w:rPr>
          <w:rStyle w:val="FootnoteReference"/>
          <w:sz w:val="20"/>
          <w:szCs w:val="20"/>
          <w:vertAlign w:val="baseline"/>
        </w:rPr>
        <w:t xml:space="preserve"> &amp; V. </w:t>
      </w:r>
      <w:proofErr w:type="spellStart"/>
      <w:r w:rsidRPr="00F35315">
        <w:rPr>
          <w:rStyle w:val="FootnoteReference"/>
          <w:sz w:val="20"/>
          <w:szCs w:val="20"/>
          <w:vertAlign w:val="baseline"/>
        </w:rPr>
        <w:t>Nuon</w:t>
      </w:r>
      <w:proofErr w:type="spellEnd"/>
      <w:r w:rsidRPr="00F35315">
        <w:rPr>
          <w:rStyle w:val="FootnoteReference"/>
          <w:sz w:val="20"/>
          <w:szCs w:val="20"/>
          <w:vertAlign w:val="baseline"/>
        </w:rPr>
        <w:t>, 2018</w:t>
      </w:r>
    </w:p>
  </w:footnote>
  <w:footnote w:id="7">
    <w:p w14:paraId="013C5631" w14:textId="77777777" w:rsidR="002D56EB" w:rsidRPr="00F35315" w:rsidRDefault="002D56EB" w:rsidP="00F35315">
      <w:pPr>
        <w:pStyle w:val="FootnoteText"/>
        <w:spacing w:after="60"/>
        <w:jc w:val="left"/>
        <w:rPr>
          <w:rStyle w:val="FootnoteReference"/>
          <w:sz w:val="20"/>
          <w:szCs w:val="20"/>
          <w:vertAlign w:val="baseline"/>
        </w:rPr>
      </w:pPr>
      <w:r w:rsidRPr="00F35315">
        <w:rPr>
          <w:rStyle w:val="FootnoteReference"/>
          <w:sz w:val="20"/>
          <w:szCs w:val="20"/>
          <w:vertAlign w:val="baseline"/>
        </w:rPr>
        <w:footnoteRef/>
      </w:r>
      <w:r w:rsidRPr="00F35315">
        <w:rPr>
          <w:rStyle w:val="FootnoteReference"/>
          <w:sz w:val="20"/>
          <w:szCs w:val="20"/>
          <w:vertAlign w:val="baseline"/>
        </w:rPr>
        <w:t xml:space="preserve"> Although the Ministry of Labor issued </w:t>
      </w:r>
      <w:proofErr w:type="spellStart"/>
      <w:r w:rsidRPr="00F35315">
        <w:rPr>
          <w:rStyle w:val="FootnoteReference"/>
          <w:sz w:val="20"/>
          <w:szCs w:val="20"/>
          <w:vertAlign w:val="baseline"/>
        </w:rPr>
        <w:t>Prakas</w:t>
      </w:r>
      <w:proofErr w:type="spellEnd"/>
      <w:r w:rsidRPr="00F35315">
        <w:rPr>
          <w:rStyle w:val="FootnoteReference"/>
          <w:sz w:val="20"/>
          <w:szCs w:val="20"/>
          <w:vertAlign w:val="baseline"/>
        </w:rPr>
        <w:t xml:space="preserve"> No.235 on 29 May 2018, affording some basic rights to domestic workers, they remain excluded from labor legislation.</w:t>
      </w:r>
    </w:p>
  </w:footnote>
  <w:footnote w:id="8">
    <w:p w14:paraId="02C33619" w14:textId="77777777" w:rsidR="002D56EB" w:rsidRDefault="002D56EB" w:rsidP="00F35315">
      <w:pPr>
        <w:pStyle w:val="FootnoteText"/>
        <w:spacing w:after="60"/>
        <w:jc w:val="left"/>
      </w:pPr>
      <w:r w:rsidRPr="00F35315">
        <w:rPr>
          <w:rStyle w:val="FootnoteReference"/>
          <w:sz w:val="20"/>
          <w:szCs w:val="20"/>
          <w:vertAlign w:val="baseline"/>
        </w:rPr>
        <w:footnoteRef/>
      </w:r>
      <w:r w:rsidRPr="00F35315">
        <w:rPr>
          <w:rStyle w:val="FootnoteReference"/>
          <w:sz w:val="20"/>
          <w:szCs w:val="20"/>
          <w:vertAlign w:val="baseline"/>
        </w:rPr>
        <w:t xml:space="preserve"> See Ministry of Interior (“</w:t>
      </w:r>
      <w:proofErr w:type="spellStart"/>
      <w:r w:rsidRPr="00F35315">
        <w:rPr>
          <w:rStyle w:val="FootnoteReference"/>
          <w:sz w:val="20"/>
          <w:szCs w:val="20"/>
          <w:vertAlign w:val="baseline"/>
        </w:rPr>
        <w:t>MoI</w:t>
      </w:r>
      <w:proofErr w:type="spellEnd"/>
      <w:r w:rsidRPr="00F35315">
        <w:rPr>
          <w:rStyle w:val="FootnoteReference"/>
          <w:sz w:val="20"/>
          <w:szCs w:val="20"/>
          <w:vertAlign w:val="baseline"/>
        </w:rPr>
        <w:t xml:space="preserve">”) notification #1753 (October 2017), which installed a prior notification system for all civil society organization activities requiring trade unions and civil society organizations (“CSO”) to notify the </w:t>
      </w:r>
      <w:proofErr w:type="spellStart"/>
      <w:r w:rsidRPr="00F35315">
        <w:rPr>
          <w:rStyle w:val="FootnoteReference"/>
          <w:sz w:val="20"/>
          <w:szCs w:val="20"/>
          <w:vertAlign w:val="baseline"/>
        </w:rPr>
        <w:t>MoI</w:t>
      </w:r>
      <w:proofErr w:type="spellEnd"/>
      <w:r w:rsidRPr="00F35315">
        <w:rPr>
          <w:rStyle w:val="FootnoteReference"/>
          <w:sz w:val="20"/>
          <w:szCs w:val="20"/>
          <w:vertAlign w:val="baseline"/>
        </w:rPr>
        <w:t xml:space="preserve"> three days prior to conducting any activities.</w:t>
      </w:r>
      <w:r>
        <w:rPr>
          <w:rFonts w:ascii="Times" w:hAnsi="Times"/>
          <w:sz w:val="20"/>
          <w:szCs w:val="20"/>
        </w:rPr>
        <w:t xml:space="preserve"> </w:t>
      </w:r>
    </w:p>
  </w:footnote>
  <w:footnote w:id="9">
    <w:p w14:paraId="15FF1B94" w14:textId="77777777" w:rsidR="002D56EB" w:rsidRPr="00F35315" w:rsidRDefault="002D56EB" w:rsidP="00F35315">
      <w:pPr>
        <w:pStyle w:val="FootnoteText"/>
        <w:spacing w:after="60"/>
        <w:jc w:val="left"/>
        <w:rPr>
          <w:rStyle w:val="FootnoteReference"/>
          <w:sz w:val="20"/>
          <w:vertAlign w:val="baseline"/>
        </w:rPr>
      </w:pPr>
      <w:r w:rsidRPr="00F35315">
        <w:rPr>
          <w:rStyle w:val="FootnoteReference"/>
          <w:sz w:val="20"/>
          <w:vertAlign w:val="baseline"/>
        </w:rPr>
        <w:t>8 Witnesses were asked permission for the sharing of their story by means of signature.</w:t>
      </w:r>
    </w:p>
  </w:footnote>
  <w:footnote w:id="10">
    <w:p w14:paraId="1739D77E" w14:textId="465B98E2" w:rsidR="002D56EB" w:rsidRPr="00F35315" w:rsidRDefault="002D56EB" w:rsidP="00F35315">
      <w:pPr>
        <w:pStyle w:val="FootnoteText"/>
        <w:spacing w:after="60"/>
        <w:jc w:val="left"/>
        <w:rPr>
          <w:rStyle w:val="FootnoteReference"/>
          <w:vertAlign w:val="baseline"/>
        </w:rPr>
      </w:pPr>
      <w:r w:rsidRPr="00F35315">
        <w:rPr>
          <w:rStyle w:val="FootnoteReference"/>
          <w:sz w:val="20"/>
          <w:vertAlign w:val="baseline"/>
        </w:rPr>
        <w:footnoteRef/>
      </w:r>
      <w:r w:rsidRPr="00F35315">
        <w:rPr>
          <w:rStyle w:val="FootnoteReference"/>
          <w:sz w:val="20"/>
          <w:vertAlign w:val="baseline"/>
        </w:rPr>
        <w:t xml:space="preserve"> Interviews were conducted in June 2019 by union officials from unions participating in the Women Union Network: Building and Woodworkers Trade Union Confederation (BWTUC), Coalition of Cambodian Apparel Workers Democratic Union (CCAWDU), Free Trade Union of the Workers of the Kingdom of Cambodia (FTUWKC), Coalition Free Trade Union of Women's Textiles (CFTUWT), Cambodian Alliance of Trade Unions (CATU), Collective Union of Movement of Workers (CUMW), Worker Friendship Union Federation (WFUF).</w:t>
      </w:r>
    </w:p>
    <w:p w14:paraId="59AE4A93" w14:textId="7470675A" w:rsidR="002D56EB" w:rsidRDefault="002D56EB">
      <w:pPr>
        <w:pStyle w:val="FootnoteText"/>
      </w:pPr>
    </w:p>
  </w:footnote>
  <w:footnote w:id="11">
    <w:p w14:paraId="638D5A3B" w14:textId="7E5AB84F" w:rsidR="002D56EB" w:rsidRPr="00F35315" w:rsidRDefault="002D56EB" w:rsidP="00F35315">
      <w:pPr>
        <w:pStyle w:val="FootnoteText"/>
        <w:spacing w:after="60"/>
        <w:jc w:val="left"/>
        <w:rPr>
          <w:rStyle w:val="FootnoteReference"/>
          <w:sz w:val="20"/>
          <w:vertAlign w:val="baseline"/>
        </w:rPr>
      </w:pPr>
      <w:r w:rsidRPr="00F35315">
        <w:rPr>
          <w:rStyle w:val="FootnoteReference"/>
          <w:sz w:val="20"/>
          <w:vertAlign w:val="baseline"/>
        </w:rPr>
        <w:footnoteRef/>
      </w:r>
      <w:r w:rsidRPr="00F35315">
        <w:rPr>
          <w:rStyle w:val="FootnoteReference"/>
          <w:sz w:val="20"/>
          <w:vertAlign w:val="baseline"/>
        </w:rPr>
        <w:t xml:space="preserve"> Trade Union Law (TUL) and on 27 June 2016, </w:t>
      </w:r>
      <w:proofErr w:type="spellStart"/>
      <w:r w:rsidRPr="00F35315">
        <w:rPr>
          <w:rStyle w:val="FootnoteReference"/>
          <w:sz w:val="20"/>
          <w:vertAlign w:val="baseline"/>
        </w:rPr>
        <w:t>Prakas</w:t>
      </w:r>
      <w:proofErr w:type="spellEnd"/>
      <w:r w:rsidRPr="00F35315">
        <w:rPr>
          <w:rStyle w:val="FootnoteReference"/>
          <w:sz w:val="20"/>
          <w:vertAlign w:val="baseline"/>
        </w:rPr>
        <w:t xml:space="preserve"> 249 on Registration of Worker Organizations Trade Unions and Employer Associations. See also Fundamental Freedoms Monitoring Project: Annual Report, CCHR, ADHOC, ACILS (2016-2017), at 5 (“FFMP Annual Report”).</w:t>
      </w:r>
    </w:p>
  </w:footnote>
  <w:footnote w:id="12">
    <w:p w14:paraId="40CB722F" w14:textId="77777777" w:rsidR="002D56EB" w:rsidRPr="00F35315" w:rsidRDefault="002D56EB" w:rsidP="00F35315">
      <w:pPr>
        <w:pStyle w:val="FootnoteText"/>
        <w:spacing w:after="60"/>
        <w:jc w:val="left"/>
        <w:rPr>
          <w:rStyle w:val="FootnoteReference"/>
          <w:sz w:val="20"/>
          <w:vertAlign w:val="baseline"/>
        </w:rPr>
      </w:pPr>
      <w:r w:rsidRPr="00F35315">
        <w:rPr>
          <w:rStyle w:val="FootnoteReference"/>
          <w:sz w:val="20"/>
          <w:vertAlign w:val="baseline"/>
        </w:rPr>
        <w:footnoteRef/>
      </w:r>
      <w:r w:rsidRPr="00F35315">
        <w:rPr>
          <w:rStyle w:val="FootnoteReference"/>
          <w:sz w:val="20"/>
          <w:vertAlign w:val="baseline"/>
        </w:rPr>
        <w:t xml:space="preserve"> Article 14 TUL and </w:t>
      </w:r>
      <w:proofErr w:type="spellStart"/>
      <w:r w:rsidRPr="00F35315">
        <w:rPr>
          <w:rStyle w:val="FootnoteReference"/>
          <w:sz w:val="20"/>
          <w:vertAlign w:val="baseline"/>
        </w:rPr>
        <w:t>Prakas</w:t>
      </w:r>
      <w:proofErr w:type="spellEnd"/>
      <w:r w:rsidRPr="00F35315">
        <w:rPr>
          <w:rStyle w:val="FootnoteReference"/>
          <w:sz w:val="20"/>
          <w:vertAlign w:val="baseline"/>
        </w:rPr>
        <w:t xml:space="preserve"> 249.</w:t>
      </w:r>
    </w:p>
  </w:footnote>
  <w:footnote w:id="13">
    <w:p w14:paraId="57E84C5D" w14:textId="77777777" w:rsidR="002D56EB" w:rsidRDefault="002D56EB" w:rsidP="00F35315">
      <w:pPr>
        <w:pStyle w:val="FootnoteText"/>
        <w:spacing w:after="60"/>
        <w:jc w:val="left"/>
      </w:pPr>
      <w:r w:rsidRPr="00F35315">
        <w:rPr>
          <w:rStyle w:val="FootnoteReference"/>
          <w:sz w:val="20"/>
          <w:vertAlign w:val="baseline"/>
        </w:rPr>
        <w:footnoteRef/>
      </w:r>
      <w:r w:rsidRPr="00F35315">
        <w:rPr>
          <w:rStyle w:val="FootnoteReference"/>
          <w:sz w:val="20"/>
          <w:vertAlign w:val="baseline"/>
        </w:rPr>
        <w:t xml:space="preserve"> Article 20 TUL, </w:t>
      </w:r>
      <w:proofErr w:type="spellStart"/>
      <w:r w:rsidRPr="00F35315">
        <w:rPr>
          <w:rStyle w:val="FootnoteReference"/>
          <w:sz w:val="20"/>
          <w:vertAlign w:val="baseline"/>
        </w:rPr>
        <w:t>Prakas</w:t>
      </w:r>
      <w:proofErr w:type="spellEnd"/>
      <w:r w:rsidRPr="00F35315">
        <w:rPr>
          <w:rStyle w:val="FootnoteReference"/>
          <w:sz w:val="20"/>
          <w:vertAlign w:val="baseline"/>
        </w:rPr>
        <w:t xml:space="preserve"> 249.</w:t>
      </w:r>
    </w:p>
  </w:footnote>
  <w:footnote w:id="14">
    <w:p w14:paraId="05C67D15" w14:textId="77777777" w:rsidR="002D56EB" w:rsidRPr="00F35315" w:rsidRDefault="002D56EB" w:rsidP="00F35315">
      <w:pPr>
        <w:pStyle w:val="FootnoteText"/>
        <w:spacing w:after="60"/>
        <w:jc w:val="left"/>
        <w:rPr>
          <w:rStyle w:val="FootnoteReference"/>
          <w:sz w:val="20"/>
          <w:szCs w:val="22"/>
          <w:vertAlign w:val="baseline"/>
        </w:rPr>
      </w:pPr>
      <w:r w:rsidRPr="00F35315">
        <w:rPr>
          <w:rStyle w:val="FootnoteReference"/>
          <w:sz w:val="20"/>
          <w:vertAlign w:val="baseline"/>
        </w:rPr>
        <w:footnoteRef/>
      </w:r>
      <w:r w:rsidRPr="00F35315">
        <w:rPr>
          <w:rStyle w:val="FootnoteReference"/>
          <w:sz w:val="20"/>
          <w:vertAlign w:val="baseline"/>
        </w:rPr>
        <w:t xml:space="preserve"> </w:t>
      </w:r>
      <w:proofErr w:type="spellStart"/>
      <w:r w:rsidRPr="00F35315">
        <w:rPr>
          <w:rStyle w:val="FootnoteReference"/>
          <w:sz w:val="20"/>
          <w:vertAlign w:val="baseline"/>
        </w:rPr>
        <w:t>Prakas</w:t>
      </w:r>
      <w:proofErr w:type="spellEnd"/>
      <w:r w:rsidRPr="00F35315">
        <w:rPr>
          <w:rStyle w:val="FootnoteReference"/>
          <w:sz w:val="20"/>
          <w:vertAlign w:val="baseline"/>
        </w:rPr>
        <w:t xml:space="preserve"> 249, Article 3.iv.</w:t>
      </w:r>
    </w:p>
  </w:footnote>
  <w:footnote w:id="15">
    <w:p w14:paraId="33EC968F" w14:textId="41DBB32E" w:rsidR="002D56EB" w:rsidRPr="00F35315" w:rsidRDefault="002D56EB" w:rsidP="00F35315">
      <w:pPr>
        <w:pStyle w:val="FootnoteText"/>
        <w:spacing w:after="60"/>
        <w:jc w:val="left"/>
        <w:rPr>
          <w:rStyle w:val="FootnoteReference"/>
          <w:sz w:val="20"/>
          <w:vertAlign w:val="baseline"/>
        </w:rPr>
      </w:pPr>
      <w:r w:rsidRPr="00F35315">
        <w:rPr>
          <w:rStyle w:val="FootnoteReference"/>
          <w:sz w:val="20"/>
          <w:szCs w:val="22"/>
          <w:vertAlign w:val="baseline"/>
        </w:rPr>
        <w:footnoteRef/>
      </w:r>
      <w:r w:rsidRPr="00F35315">
        <w:rPr>
          <w:rStyle w:val="FootnoteReference"/>
          <w:sz w:val="20"/>
          <w:vertAlign w:val="baseline"/>
        </w:rPr>
        <w:t xml:space="preserve"> Refer </w:t>
      </w:r>
      <w:proofErr w:type="spellStart"/>
      <w:r w:rsidRPr="00F35315">
        <w:rPr>
          <w:rStyle w:val="FootnoteReference"/>
          <w:sz w:val="20"/>
          <w:vertAlign w:val="baseline"/>
        </w:rPr>
        <w:t>MoLVT</w:t>
      </w:r>
      <w:proofErr w:type="spellEnd"/>
      <w:r w:rsidRPr="00F35315">
        <w:rPr>
          <w:rStyle w:val="FootnoteReference"/>
          <w:sz w:val="20"/>
          <w:vertAlign w:val="baseline"/>
        </w:rPr>
        <w:t xml:space="preserve">, “Directive on Facilitating Procedures and Formalities for Union Registration,” (Directive No: 039/18… K.B/ D.K.B.K); See ‘Ministry of Labor calls for facilitation of union registration’, </w:t>
      </w:r>
      <w:proofErr w:type="spellStart"/>
      <w:r w:rsidRPr="00F35315">
        <w:rPr>
          <w:rStyle w:val="FootnoteReference"/>
          <w:sz w:val="20"/>
          <w:vertAlign w:val="baseline"/>
        </w:rPr>
        <w:t>Thmey</w:t>
      </w:r>
      <w:proofErr w:type="spellEnd"/>
      <w:r w:rsidRPr="00F35315">
        <w:rPr>
          <w:rStyle w:val="FootnoteReference"/>
          <w:sz w:val="20"/>
          <w:vertAlign w:val="baseline"/>
        </w:rPr>
        <w:t xml:space="preserve"> </w:t>
      </w:r>
      <w:proofErr w:type="spellStart"/>
      <w:r w:rsidRPr="00F35315">
        <w:rPr>
          <w:rStyle w:val="FootnoteReference"/>
          <w:sz w:val="20"/>
          <w:vertAlign w:val="baseline"/>
        </w:rPr>
        <w:t>Thmey</w:t>
      </w:r>
      <w:proofErr w:type="spellEnd"/>
      <w:r w:rsidRPr="00F35315">
        <w:rPr>
          <w:rStyle w:val="FootnoteReference"/>
          <w:sz w:val="20"/>
          <w:vertAlign w:val="baseline"/>
        </w:rPr>
        <w:t xml:space="preserve"> (16 January 2019), available at: https://thmeythmey.com/?page=detail&amp;id=73554/.</w:t>
      </w:r>
    </w:p>
  </w:footnote>
  <w:footnote w:id="16">
    <w:p w14:paraId="3811ECC3" w14:textId="77777777" w:rsidR="002D56EB" w:rsidRPr="00F35315" w:rsidRDefault="002D56EB" w:rsidP="00D67200">
      <w:pPr>
        <w:pStyle w:val="FootnoteText"/>
        <w:spacing w:after="60"/>
        <w:jc w:val="left"/>
        <w:rPr>
          <w:rStyle w:val="FootnoteReference"/>
          <w:sz w:val="20"/>
          <w:vertAlign w:val="baseline"/>
        </w:rPr>
      </w:pPr>
      <w:r w:rsidRPr="00F35315">
        <w:rPr>
          <w:rStyle w:val="FootnoteReference"/>
          <w:sz w:val="20"/>
          <w:vertAlign w:val="baseline"/>
        </w:rPr>
        <w:footnoteRef/>
      </w:r>
      <w:r w:rsidRPr="00F35315">
        <w:rPr>
          <w:rStyle w:val="FootnoteReference"/>
          <w:sz w:val="20"/>
          <w:vertAlign w:val="baseline"/>
        </w:rPr>
        <w:t xml:space="preserve"> Section 17(a) and (b) of TUL requires that unions provide bank account details within 45 days of receipt of registration, and update this whenever changes are made (except changes to membership), within 15 days. If any TU fails to comply with these requirements, the union may face a fine, suspension, or removal from the registry.</w:t>
      </w:r>
    </w:p>
  </w:footnote>
  <w:footnote w:id="17">
    <w:p w14:paraId="1E18EF47" w14:textId="77777777" w:rsidR="002D56EB" w:rsidRPr="00F35315" w:rsidRDefault="002D56EB" w:rsidP="00F35315">
      <w:pPr>
        <w:pStyle w:val="FootnoteText"/>
        <w:spacing w:after="60"/>
        <w:jc w:val="left"/>
        <w:rPr>
          <w:rStyle w:val="FootnoteReference"/>
          <w:sz w:val="20"/>
          <w:vertAlign w:val="baseline"/>
        </w:rPr>
      </w:pPr>
      <w:r w:rsidRPr="00F35315">
        <w:rPr>
          <w:rStyle w:val="FootnoteReference"/>
          <w:sz w:val="20"/>
          <w:vertAlign w:val="baseline"/>
        </w:rPr>
        <w:footnoteRef/>
      </w:r>
      <w:r w:rsidRPr="00F35315">
        <w:rPr>
          <w:rStyle w:val="FootnoteReference"/>
          <w:sz w:val="20"/>
          <w:vertAlign w:val="baseline"/>
        </w:rPr>
        <w:t xml:space="preserve"> Ministry of Interior notification number 1753 (October 2017).</w:t>
      </w:r>
    </w:p>
  </w:footnote>
  <w:footnote w:id="18">
    <w:p w14:paraId="5B3F0C62" w14:textId="1E931A61" w:rsidR="002D56EB" w:rsidRPr="00F35315" w:rsidRDefault="002D56EB" w:rsidP="00F35315">
      <w:pPr>
        <w:pStyle w:val="FootnoteText"/>
        <w:spacing w:after="60"/>
        <w:jc w:val="left"/>
        <w:rPr>
          <w:rStyle w:val="FootnoteReference"/>
          <w:sz w:val="20"/>
          <w:vertAlign w:val="baseline"/>
        </w:rPr>
      </w:pPr>
      <w:r w:rsidRPr="00F35315">
        <w:rPr>
          <w:rStyle w:val="FootnoteReference"/>
          <w:sz w:val="20"/>
          <w:szCs w:val="22"/>
          <w:vertAlign w:val="baseline"/>
        </w:rPr>
        <w:footnoteRef/>
      </w:r>
      <w:r w:rsidRPr="00F35315">
        <w:rPr>
          <w:rStyle w:val="FootnoteReference"/>
          <w:sz w:val="20"/>
          <w:vertAlign w:val="baseline"/>
        </w:rPr>
        <w:t xml:space="preserve"> As reported in the Third Annual Report, Cambodia Fundamental Freedoms Monitor there have been six incidents where authorities interrupted CSOs’ activities seeking proof of notification or permission to hold activities after revocation of the prior notification regime. </w:t>
      </w:r>
      <w:hyperlink r:id="rId3" w:history="1">
        <w:r w:rsidRPr="00F35315">
          <w:rPr>
            <w:rStyle w:val="FootnoteReference"/>
            <w:sz w:val="20"/>
            <w:vertAlign w:val="baseline"/>
          </w:rPr>
          <w:t>https://cchrcambodia.org/admin/media/report/report/english/Third%20Annual%20Report%20of%20the%20Cambodia%20Fundamental%20Freedoms%20Monitor%202018-2019_ENG.pdf</w:t>
        </w:r>
      </w:hyperlink>
    </w:p>
  </w:footnote>
  <w:footnote w:id="19">
    <w:p w14:paraId="0F4D8387" w14:textId="77777777" w:rsidR="002D56EB" w:rsidRPr="0067355F" w:rsidRDefault="002D56EB" w:rsidP="00F35315">
      <w:pPr>
        <w:pStyle w:val="FootnoteText"/>
        <w:spacing w:after="60"/>
        <w:jc w:val="left"/>
        <w:rPr>
          <w:sz w:val="22"/>
        </w:rPr>
      </w:pPr>
      <w:r w:rsidRPr="00F35315">
        <w:rPr>
          <w:rStyle w:val="FootnoteReference"/>
          <w:sz w:val="20"/>
          <w:szCs w:val="22"/>
          <w:vertAlign w:val="baseline"/>
        </w:rPr>
        <w:footnoteRef/>
      </w:r>
      <w:r w:rsidRPr="00F35315">
        <w:rPr>
          <w:rStyle w:val="FootnoteReference"/>
          <w:sz w:val="20"/>
          <w:szCs w:val="22"/>
          <w:vertAlign w:val="baseline"/>
        </w:rPr>
        <w:t xml:space="preserve"> </w:t>
      </w:r>
      <w:proofErr w:type="spellStart"/>
      <w:r w:rsidRPr="00F35315">
        <w:rPr>
          <w:rStyle w:val="FootnoteReference"/>
          <w:sz w:val="20"/>
          <w:szCs w:val="22"/>
          <w:vertAlign w:val="baseline"/>
        </w:rPr>
        <w:t>Veasna</w:t>
      </w:r>
      <w:proofErr w:type="spellEnd"/>
      <w:r w:rsidRPr="00F35315">
        <w:rPr>
          <w:rStyle w:val="FootnoteReference"/>
          <w:sz w:val="20"/>
          <w:szCs w:val="22"/>
          <w:vertAlign w:val="baseline"/>
        </w:rPr>
        <w:t xml:space="preserve"> </w:t>
      </w:r>
      <w:proofErr w:type="spellStart"/>
      <w:r w:rsidRPr="00F35315">
        <w:rPr>
          <w:rStyle w:val="FootnoteReference"/>
          <w:sz w:val="20"/>
          <w:szCs w:val="22"/>
          <w:vertAlign w:val="baseline"/>
        </w:rPr>
        <w:t>Nuon</w:t>
      </w:r>
      <w:proofErr w:type="spellEnd"/>
      <w:r w:rsidRPr="00F35315">
        <w:rPr>
          <w:rStyle w:val="FootnoteReference"/>
          <w:sz w:val="20"/>
          <w:szCs w:val="22"/>
          <w:vertAlign w:val="baseline"/>
        </w:rPr>
        <w:t xml:space="preserve">, Melisa Serrano and </w:t>
      </w:r>
      <w:proofErr w:type="spellStart"/>
      <w:r w:rsidRPr="00F35315">
        <w:rPr>
          <w:rStyle w:val="FootnoteReference"/>
          <w:sz w:val="20"/>
          <w:szCs w:val="22"/>
          <w:vertAlign w:val="baseline"/>
        </w:rPr>
        <w:t>Edlira</w:t>
      </w:r>
      <w:proofErr w:type="spellEnd"/>
      <w:r w:rsidRPr="00F35315">
        <w:rPr>
          <w:rStyle w:val="FootnoteReference"/>
          <w:sz w:val="20"/>
          <w:szCs w:val="22"/>
          <w:vertAlign w:val="baseline"/>
        </w:rPr>
        <w:t xml:space="preserve"> </w:t>
      </w:r>
      <w:proofErr w:type="spellStart"/>
      <w:r w:rsidRPr="00F35315">
        <w:rPr>
          <w:rStyle w:val="FootnoteReference"/>
          <w:sz w:val="20"/>
          <w:szCs w:val="22"/>
          <w:vertAlign w:val="baseline"/>
        </w:rPr>
        <w:t>Xhafa</w:t>
      </w:r>
      <w:proofErr w:type="spellEnd"/>
      <w:r w:rsidRPr="00F35315">
        <w:rPr>
          <w:rStyle w:val="FootnoteReference"/>
          <w:sz w:val="20"/>
          <w:szCs w:val="22"/>
          <w:vertAlign w:val="baseline"/>
        </w:rPr>
        <w:t xml:space="preserve">, Women and Gender Issues in Trade Unions in the Cambodian Garment Industry, at p. 19.  Also, </w:t>
      </w:r>
      <w:proofErr w:type="spellStart"/>
      <w:r w:rsidRPr="00F35315">
        <w:rPr>
          <w:rStyle w:val="FootnoteReference"/>
          <w:sz w:val="20"/>
          <w:szCs w:val="22"/>
          <w:vertAlign w:val="baseline"/>
        </w:rPr>
        <w:t>Veasna</w:t>
      </w:r>
      <w:proofErr w:type="spellEnd"/>
      <w:r w:rsidRPr="00F35315">
        <w:rPr>
          <w:rStyle w:val="FootnoteReference"/>
          <w:sz w:val="20"/>
          <w:szCs w:val="22"/>
          <w:vertAlign w:val="baseline"/>
        </w:rPr>
        <w:t xml:space="preserve"> </w:t>
      </w:r>
      <w:proofErr w:type="spellStart"/>
      <w:r w:rsidRPr="00F35315">
        <w:rPr>
          <w:rStyle w:val="FootnoteReference"/>
          <w:sz w:val="20"/>
          <w:szCs w:val="22"/>
          <w:vertAlign w:val="baseline"/>
        </w:rPr>
        <w:t>Nuon</w:t>
      </w:r>
      <w:proofErr w:type="spellEnd"/>
      <w:r w:rsidRPr="00F35315">
        <w:rPr>
          <w:rStyle w:val="FootnoteReference"/>
          <w:sz w:val="20"/>
          <w:szCs w:val="22"/>
          <w:vertAlign w:val="baseline"/>
        </w:rPr>
        <w:t xml:space="preserve"> and Melisa Serrano, Building Unions in Cambodia – History, Challenges, Strategies, at p. 88. Gender Helpdesk Stockholm University, Gender Mapping of Cambodia (2010)</w:t>
      </w:r>
      <w:r w:rsidRPr="00F35315">
        <w:rPr>
          <w:rStyle w:val="FootnoteReference"/>
          <w:vertAlign w:val="baseline"/>
        </w:rPr>
        <w:t xml:space="preserve"> </w:t>
      </w:r>
      <w:r w:rsidRPr="00F35315">
        <w:rPr>
          <w:rStyle w:val="FootnoteReference"/>
          <w:sz w:val="20"/>
          <w:szCs w:val="22"/>
          <w:vertAlign w:val="baseline"/>
        </w:rPr>
        <w:t xml:space="preserve">9 ILO Regional Office for Asia and the Pacific, Action-Oriented Research on Gender Equality and the Work. </w:t>
      </w:r>
    </w:p>
  </w:footnote>
  <w:footnote w:id="20">
    <w:p w14:paraId="448DB6B6" w14:textId="77777777" w:rsidR="002D56EB" w:rsidRPr="00F35315" w:rsidRDefault="002D56EB" w:rsidP="00F35315">
      <w:pPr>
        <w:pStyle w:val="FootnoteText"/>
        <w:spacing w:after="60"/>
        <w:rPr>
          <w:color w:val="000000" w:themeColor="text1"/>
          <w:sz w:val="22"/>
        </w:rPr>
      </w:pPr>
      <w:r w:rsidRPr="00F35315">
        <w:rPr>
          <w:rStyle w:val="FootnoteReference"/>
          <w:sz w:val="20"/>
          <w:vertAlign w:val="baseline"/>
        </w:rPr>
        <w:footnoteRef/>
      </w:r>
      <w:r w:rsidRPr="00F35315">
        <w:rPr>
          <w:sz w:val="20"/>
        </w:rPr>
        <w:t xml:space="preserve"> </w:t>
      </w:r>
      <w:r w:rsidRPr="00F35315">
        <w:rPr>
          <w:color w:val="000000" w:themeColor="text1"/>
          <w:sz w:val="20"/>
        </w:rPr>
        <w:t>Women and Gender Issues in Trade Unions in the Garment Industry in Cambodia (</w:t>
      </w:r>
      <w:proofErr w:type="spellStart"/>
      <w:r w:rsidRPr="00F35315">
        <w:rPr>
          <w:color w:val="000000" w:themeColor="text1"/>
          <w:sz w:val="20"/>
        </w:rPr>
        <w:t>Nuon</w:t>
      </w:r>
      <w:proofErr w:type="spellEnd"/>
      <w:r w:rsidRPr="00F35315">
        <w:rPr>
          <w:color w:val="000000" w:themeColor="text1"/>
          <w:sz w:val="20"/>
        </w:rPr>
        <w:t xml:space="preserve">, Serrano, </w:t>
      </w:r>
      <w:proofErr w:type="spellStart"/>
      <w:r w:rsidRPr="00F35315">
        <w:rPr>
          <w:color w:val="000000" w:themeColor="text1"/>
          <w:sz w:val="20"/>
        </w:rPr>
        <w:t>Chafa</w:t>
      </w:r>
      <w:proofErr w:type="spellEnd"/>
      <w:r w:rsidRPr="00F35315">
        <w:rPr>
          <w:color w:val="000000" w:themeColor="text1"/>
          <w:sz w:val="20"/>
        </w:rPr>
        <w:t xml:space="preserve"> ILO (2011)) </w:t>
      </w:r>
      <w:r w:rsidRPr="00F35315">
        <w:rPr>
          <w:sz w:val="20"/>
        </w:rPr>
        <w:t>A woman respondent from the factory level had this to share: “Women can be easily intimidated by other unions or the employer. In addition, most women do not receive support from their family for leadership positions.”</w:t>
      </w:r>
    </w:p>
  </w:footnote>
  <w:footnote w:id="21">
    <w:p w14:paraId="3DA04731" w14:textId="77777777" w:rsidR="002D56EB" w:rsidRDefault="002D56EB" w:rsidP="00F35315">
      <w:pPr>
        <w:pStyle w:val="FootnoteText"/>
        <w:spacing w:after="60"/>
        <w:jc w:val="left"/>
      </w:pPr>
      <w:r w:rsidRPr="00F35315">
        <w:rPr>
          <w:sz w:val="20"/>
          <w:szCs w:val="22"/>
        </w:rPr>
        <w:footnoteRef/>
      </w:r>
      <w:r w:rsidRPr="00F35315">
        <w:rPr>
          <w:sz w:val="20"/>
          <w:szCs w:val="22"/>
        </w:rPr>
        <w:t xml:space="preserve"> </w:t>
      </w:r>
      <w:proofErr w:type="spellStart"/>
      <w:r w:rsidRPr="00F35315">
        <w:rPr>
          <w:sz w:val="20"/>
          <w:szCs w:val="22"/>
        </w:rPr>
        <w:t>Nuppun</w:t>
      </w:r>
      <w:proofErr w:type="spellEnd"/>
      <w:r w:rsidRPr="00F35315">
        <w:rPr>
          <w:sz w:val="20"/>
          <w:szCs w:val="22"/>
        </w:rPr>
        <w:t xml:space="preserve"> GBV Report (2017), at 6.</w:t>
      </w:r>
    </w:p>
  </w:footnote>
  <w:footnote w:id="22">
    <w:p w14:paraId="48D7F8D1"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Cambodian Labor Law Articles 73, 183 167.</w:t>
      </w:r>
    </w:p>
  </w:footnote>
  <w:footnote w:id="23">
    <w:p w14:paraId="207157D9"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https://fairaction.se/wp-content/uploads/2015/09/A-Short-Term-Solution_Fair-Action.pdf</w:t>
      </w:r>
    </w:p>
  </w:footnote>
  <w:footnote w:id="24">
    <w:p w14:paraId="3743E537" w14:textId="77777777" w:rsidR="002D56EB" w:rsidRDefault="002D56EB" w:rsidP="00E1632D">
      <w:pPr>
        <w:pStyle w:val="FootnoteText"/>
        <w:spacing w:after="60"/>
        <w:jc w:val="left"/>
      </w:pPr>
      <w:r w:rsidRPr="00E1632D">
        <w:rPr>
          <w:rStyle w:val="FootnoteReference"/>
          <w:sz w:val="20"/>
          <w:szCs w:val="20"/>
          <w:vertAlign w:val="baseline"/>
        </w:rPr>
        <w:footnoteRef/>
      </w:r>
      <w:r w:rsidRPr="00E1632D">
        <w:rPr>
          <w:rStyle w:val="FootnoteReference"/>
          <w:sz w:val="20"/>
          <w:szCs w:val="20"/>
          <w:vertAlign w:val="baseline"/>
        </w:rPr>
        <w:t xml:space="preserve"> https://fairaction.se/wp-content/uploads/2015/09/A-Short-Term-Solution_Fair-Action.pdf</w:t>
      </w:r>
    </w:p>
  </w:footnote>
  <w:footnote w:id="25">
    <w:p w14:paraId="42BD5076" w14:textId="4717F5E4" w:rsidR="002D56EB" w:rsidRPr="00E1632D" w:rsidRDefault="002D56EB" w:rsidP="00E1632D">
      <w:pPr>
        <w:pStyle w:val="FootnoteText"/>
        <w:spacing w:after="60"/>
        <w:jc w:val="left"/>
        <w:rPr>
          <w:rStyle w:val="FootnoteReference"/>
          <w:sz w:val="20"/>
          <w:szCs w:val="20"/>
          <w:vertAlign w:val="baseline"/>
        </w:rPr>
      </w:pPr>
      <w:r>
        <w:rPr>
          <w:sz w:val="22"/>
          <w:szCs w:val="22"/>
        </w:rPr>
        <w:footnoteRef/>
      </w:r>
      <w:r>
        <w:rPr>
          <w:rStyle w:val="FootnoteReference"/>
          <w:sz w:val="20"/>
          <w:szCs w:val="20"/>
          <w:vertAlign w:val="baseline"/>
        </w:rPr>
        <w:t xml:space="preserve"> </w:t>
      </w:r>
      <w:hyperlink r:id="rId4" w:history="1">
        <w:r w:rsidRPr="00E1632D">
          <w:rPr>
            <w:rStyle w:val="FootnoteReference"/>
            <w:sz w:val="20"/>
            <w:szCs w:val="20"/>
            <w:vertAlign w:val="baseline"/>
          </w:rPr>
          <w:t>https://law.yale.edu/system/files/documents/pdf/Intellectual_Life/Cambodia_TearingApartattheSeams.pdf</w:t>
        </w:r>
      </w:hyperlink>
      <w:r w:rsidRPr="00E1632D">
        <w:rPr>
          <w:rStyle w:val="FootnoteReference"/>
          <w:sz w:val="20"/>
          <w:szCs w:val="20"/>
          <w:vertAlign w:val="baseline"/>
        </w:rPr>
        <w:t xml:space="preserve"> at p 58</w:t>
      </w:r>
    </w:p>
  </w:footnote>
  <w:footnote w:id="26">
    <w:p w14:paraId="73C4A4C4" w14:textId="7D40FE19"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Pr>
          <w:sz w:val="20"/>
          <w:szCs w:val="20"/>
        </w:rPr>
        <w:t xml:space="preserve"> </w:t>
      </w:r>
      <w:hyperlink r:id="rId5" w:history="1">
        <w:r w:rsidRPr="00E1632D">
          <w:rPr>
            <w:rStyle w:val="FootnoteReference"/>
            <w:sz w:val="20"/>
            <w:szCs w:val="20"/>
            <w:vertAlign w:val="baseline"/>
          </w:rPr>
          <w:t>https://law.yale.edu/system/files/documents/pdf/Intellectual_Life/Cambodia_TearingApartattheSeams.pdf</w:t>
        </w:r>
      </w:hyperlink>
      <w:r w:rsidRPr="00E1632D">
        <w:rPr>
          <w:rStyle w:val="FootnoteReference"/>
          <w:sz w:val="20"/>
          <w:szCs w:val="20"/>
          <w:vertAlign w:val="baseline"/>
        </w:rPr>
        <w:t xml:space="preserve"> at 62</w:t>
      </w:r>
    </w:p>
  </w:footnote>
  <w:footnote w:id="27">
    <w:p w14:paraId="3241AC76"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https://www.phnompenhpost.com/national-post-depth/how-short-term-contracts-are-putting-cambodias-pregnant-factory-workers</w:t>
      </w:r>
    </w:p>
  </w:footnote>
  <w:footnote w:id="28">
    <w:p w14:paraId="1C81EFA7"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w:t>
      </w:r>
      <w:hyperlink r:id="rId6" w:history="1">
        <w:r w:rsidRPr="00E1632D">
          <w:rPr>
            <w:rStyle w:val="FootnoteReference"/>
            <w:sz w:val="20"/>
            <w:szCs w:val="20"/>
            <w:vertAlign w:val="baseline"/>
          </w:rPr>
          <w:t>https://fairaction.se/wp-content/uploads/2015/09/A-Short-Term-Solution_Fair-Action.pdf</w:t>
        </w:r>
      </w:hyperlink>
      <w:r w:rsidRPr="00E1632D">
        <w:rPr>
          <w:rStyle w:val="FootnoteReference"/>
          <w:sz w:val="20"/>
          <w:szCs w:val="20"/>
          <w:vertAlign w:val="baseline"/>
        </w:rPr>
        <w:t xml:space="preserve"> citing ILO Report from 2013.</w:t>
      </w:r>
    </w:p>
  </w:footnote>
  <w:footnote w:id="29">
    <w:p w14:paraId="78A9A776"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Penal Code at Article 250. Available at: www.unodc.org/res/cld/document/khm/criminal_code_of_the_kingdom_of_cambodia_html/Cambodia_Criminal-Code-of-the-Kingdom-of-Cambodia-30-Nov-2009-Eng.pdf</w:t>
      </w:r>
    </w:p>
  </w:footnote>
  <w:footnote w:id="30">
    <w:p w14:paraId="1F8A555A"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file:///C:/Users/ztanz/Downloads/Toward-Gender-Equality-2017-18%20(4).</w:t>
      </w:r>
      <w:proofErr w:type="spellStart"/>
      <w:r w:rsidRPr="00E1632D">
        <w:rPr>
          <w:rStyle w:val="FootnoteReference"/>
          <w:sz w:val="20"/>
          <w:szCs w:val="20"/>
          <w:vertAlign w:val="baseline"/>
        </w:rPr>
        <w:t>pdf</w:t>
      </w:r>
      <w:proofErr w:type="spellEnd"/>
    </w:p>
  </w:footnote>
  <w:footnote w:id="31">
    <w:p w14:paraId="18F91E5C" w14:textId="3932BF93" w:rsidR="002D56EB" w:rsidRDefault="002D56EB" w:rsidP="00E1632D">
      <w:pPr>
        <w:pStyle w:val="FootnoteText"/>
        <w:spacing w:after="60"/>
        <w:jc w:val="left"/>
      </w:pPr>
      <w:r w:rsidRPr="00E1632D">
        <w:rPr>
          <w:rStyle w:val="FootnoteReference"/>
          <w:sz w:val="20"/>
          <w:szCs w:val="20"/>
          <w:vertAlign w:val="baseline"/>
        </w:rPr>
        <w:footnoteRef/>
      </w:r>
      <w:r>
        <w:rPr>
          <w:rStyle w:val="FootnoteReference"/>
          <w:sz w:val="20"/>
          <w:szCs w:val="20"/>
          <w:vertAlign w:val="baseline"/>
        </w:rPr>
        <w:t xml:space="preserve"> CARE International (2017)</w:t>
      </w:r>
      <w:r w:rsidRPr="00E1632D" w:rsidDel="00BD7670">
        <w:rPr>
          <w:rStyle w:val="FootnoteReference"/>
          <w:sz w:val="20"/>
          <w:szCs w:val="20"/>
          <w:vertAlign w:val="baseline"/>
        </w:rPr>
        <w:t xml:space="preserve"> </w:t>
      </w:r>
    </w:p>
  </w:footnote>
  <w:footnote w:id="32">
    <w:p w14:paraId="280E7FE6"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https://www.state.gov/documents/organization/277315.pdf</w:t>
      </w:r>
    </w:p>
  </w:footnote>
  <w:footnote w:id="33">
    <w:p w14:paraId="4F4D512D"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w:t>
      </w:r>
      <w:proofErr w:type="spellStart"/>
      <w:r w:rsidRPr="00E1632D">
        <w:rPr>
          <w:rStyle w:val="FootnoteReference"/>
          <w:sz w:val="20"/>
          <w:szCs w:val="20"/>
          <w:vertAlign w:val="baseline"/>
        </w:rPr>
        <w:t>ActionAid</w:t>
      </w:r>
      <w:proofErr w:type="spellEnd"/>
      <w:r w:rsidRPr="00E1632D">
        <w:rPr>
          <w:rStyle w:val="FootnoteReference"/>
          <w:sz w:val="20"/>
          <w:szCs w:val="20"/>
          <w:vertAlign w:val="baseline"/>
        </w:rPr>
        <w:t xml:space="preserve"> (2014) Safe Cities for Women: From Reality to Rights. </w:t>
      </w:r>
      <w:proofErr w:type="spellStart"/>
      <w:r w:rsidRPr="00E1632D">
        <w:rPr>
          <w:rStyle w:val="FootnoteReference"/>
          <w:sz w:val="20"/>
          <w:szCs w:val="20"/>
          <w:vertAlign w:val="baseline"/>
        </w:rPr>
        <w:t>ActionAid</w:t>
      </w:r>
      <w:proofErr w:type="spellEnd"/>
    </w:p>
  </w:footnote>
  <w:footnote w:id="34">
    <w:p w14:paraId="02C32A47" w14:textId="3D0ED9FC"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Solidarity Center Workshop (2018). ‘In the last two months a hiring official threw…’ In minutes of CEDAW Labor Rights Brainstorming Session on 29 August 2018 at Solidarity Center.</w:t>
      </w:r>
    </w:p>
  </w:footnote>
  <w:footnote w:id="35">
    <w:p w14:paraId="525DFB02" w14:textId="7B66C1F2" w:rsidR="002D56EB" w:rsidRPr="00E70A5D" w:rsidRDefault="002D56EB" w:rsidP="00E1632D">
      <w:pPr>
        <w:pStyle w:val="FootnoteText"/>
        <w:spacing w:after="60"/>
        <w:jc w:val="left"/>
        <w:rPr>
          <w:sz w:val="22"/>
          <w:szCs w:val="22"/>
        </w:rPr>
      </w:pPr>
      <w:r w:rsidRPr="00E1632D">
        <w:rPr>
          <w:rStyle w:val="FootnoteReference"/>
          <w:sz w:val="20"/>
          <w:szCs w:val="20"/>
          <w:vertAlign w:val="baseline"/>
        </w:rPr>
        <w:footnoteRef/>
      </w:r>
      <w:r w:rsidRPr="00E1632D">
        <w:rPr>
          <w:rStyle w:val="FootnoteReference"/>
          <w:sz w:val="20"/>
          <w:szCs w:val="20"/>
          <w:vertAlign w:val="baseline"/>
        </w:rPr>
        <w:t xml:space="preserve"> In Our Own Words - Women Workers Address Gender-Based Violence in Garment Factories in Cambodia. Refer to link: </w:t>
      </w:r>
      <w:hyperlink r:id="rId7" w:history="1">
        <w:r w:rsidRPr="00E1632D">
          <w:rPr>
            <w:rStyle w:val="FootnoteReference"/>
            <w:sz w:val="20"/>
            <w:szCs w:val="20"/>
            <w:vertAlign w:val="baseline"/>
          </w:rPr>
          <w:t>https://www.solidaritycenter.org/wp-content/uploads/2019/06/Gender.Cambodia-report.6.19.pdf</w:t>
        </w:r>
      </w:hyperlink>
    </w:p>
  </w:footnote>
  <w:footnote w:id="36">
    <w:p w14:paraId="3A857A53" w14:textId="77777777" w:rsidR="002D56EB" w:rsidRPr="00E1632D" w:rsidRDefault="002D56EB" w:rsidP="002D56EB">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Preamble to C190 </w:t>
      </w:r>
      <w:hyperlink r:id="rId8" w:history="1">
        <w:r w:rsidRPr="00E1632D">
          <w:rPr>
            <w:rStyle w:val="FootnoteReference"/>
            <w:sz w:val="20"/>
            <w:szCs w:val="20"/>
            <w:vertAlign w:val="baseline"/>
          </w:rPr>
          <w:t>https://www.ilo.org/dyn/normlex/en/f?p=NORMLEXPUB:12100:0::NO::P12100_ILO_CODE:C190</w:t>
        </w:r>
      </w:hyperlink>
    </w:p>
  </w:footnote>
  <w:footnote w:id="37">
    <w:p w14:paraId="2DB29A1F" w14:textId="77777777" w:rsidR="002D56EB" w:rsidRPr="00E1632D" w:rsidRDefault="002D56EB" w:rsidP="002D56EB">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Article 2 and 3 of C190.</w:t>
      </w:r>
    </w:p>
  </w:footnote>
  <w:footnote w:id="38">
    <w:p w14:paraId="37CF542E" w14:textId="77777777" w:rsidR="002D56EB" w:rsidRPr="00E1632D" w:rsidRDefault="002D56EB" w:rsidP="002D56EB">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Article 4 of C190.</w:t>
      </w:r>
    </w:p>
  </w:footnote>
  <w:footnote w:id="39">
    <w:p w14:paraId="28AABC95" w14:textId="5570C58E" w:rsidR="002D56EB" w:rsidRPr="00205034" w:rsidRDefault="002D56EB" w:rsidP="00E1632D">
      <w:pPr>
        <w:pStyle w:val="FootnoteText"/>
        <w:spacing w:after="60"/>
        <w:jc w:val="left"/>
        <w:rPr>
          <w:sz w:val="22"/>
          <w:szCs w:val="22"/>
          <w:highlight w:val="yellow"/>
          <w:lang w:val="en-AU"/>
        </w:rPr>
      </w:pPr>
      <w:r w:rsidRPr="00E1632D">
        <w:rPr>
          <w:rStyle w:val="FootnoteReference"/>
          <w:sz w:val="20"/>
          <w:szCs w:val="20"/>
          <w:vertAlign w:val="baseline"/>
        </w:rPr>
        <w:footnoteRef/>
      </w:r>
      <w:r w:rsidRPr="00E1632D">
        <w:rPr>
          <w:rStyle w:val="FootnoteReference"/>
          <w:sz w:val="20"/>
          <w:szCs w:val="20"/>
          <w:vertAlign w:val="baseline"/>
        </w:rPr>
        <w:t xml:space="preserve"> CARE International (2017). </w:t>
      </w:r>
    </w:p>
  </w:footnote>
  <w:footnote w:id="40">
    <w:p w14:paraId="39116510"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Article 2 and 3 of C190.</w:t>
      </w:r>
    </w:p>
  </w:footnote>
  <w:footnote w:id="41">
    <w:p w14:paraId="34E40119" w14:textId="4ECB5B23"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NSSF Report on Annual Achievement 2016 and Action Plans 2018 of Road Traffic Safety Team for Worker Prevention (RTSTWP), p. 3 </w:t>
      </w:r>
      <w:hyperlink r:id="rId9" w:history="1">
        <w:r w:rsidRPr="00E1632D">
          <w:rPr>
            <w:rStyle w:val="FootnoteReference"/>
            <w:sz w:val="20"/>
            <w:szCs w:val="20"/>
            <w:vertAlign w:val="baseline"/>
          </w:rPr>
          <w:t>http://www.nssf.gov.kh/default/wp-content/uploads/2018/01/Binder3.pdf</w:t>
        </w:r>
      </w:hyperlink>
    </w:p>
  </w:footnote>
  <w:footnote w:id="42">
    <w:p w14:paraId="2A0AF506" w14:textId="0E3E5532"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Horrific accident puts Cambodia’s poor travel conditions for garment workers in spotlight,</w:t>
      </w:r>
      <w:r>
        <w:rPr>
          <w:sz w:val="20"/>
          <w:szCs w:val="20"/>
        </w:rPr>
        <w:t xml:space="preserve"> </w:t>
      </w:r>
      <w:hyperlink r:id="rId10" w:history="1">
        <w:r w:rsidRPr="00E1632D">
          <w:rPr>
            <w:rStyle w:val="FootnoteReference"/>
            <w:sz w:val="20"/>
            <w:szCs w:val="20"/>
            <w:vertAlign w:val="baseline"/>
          </w:rPr>
          <w:t>https:</w:t>
        </w:r>
        <w:r w:rsidRPr="00E1632D">
          <w:rPr>
            <w:rStyle w:val="FootnoteReference"/>
            <w:sz w:val="20"/>
            <w:szCs w:val="20"/>
            <w:vertAlign w:val="baseline"/>
          </w:rPr>
          <w:t>/</w:t>
        </w:r>
        <w:r w:rsidRPr="00E1632D">
          <w:rPr>
            <w:rStyle w:val="FootnoteReference"/>
            <w:sz w:val="20"/>
            <w:szCs w:val="20"/>
            <w:vertAlign w:val="baseline"/>
          </w:rPr>
          <w:t>/www.scmp.com/lifestyle/article/3014826/horrific-accident-puts-cambodias-poor-travel-conditions-garment-workers</w:t>
        </w:r>
      </w:hyperlink>
    </w:p>
  </w:footnote>
  <w:footnote w:id="43">
    <w:p w14:paraId="602EFB67"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GIZ Report (2016), at 10.</w:t>
      </w:r>
    </w:p>
  </w:footnote>
  <w:footnote w:id="44">
    <w:p w14:paraId="5A3CCD2A" w14:textId="11390354" w:rsidR="002D56EB" w:rsidRDefault="002D56EB" w:rsidP="00E1632D">
      <w:pPr>
        <w:pStyle w:val="FootnoteText"/>
        <w:spacing w:after="60"/>
        <w:jc w:val="left"/>
      </w:pPr>
      <w:r w:rsidRPr="00E1632D">
        <w:rPr>
          <w:rStyle w:val="FootnoteReference"/>
          <w:sz w:val="20"/>
          <w:szCs w:val="20"/>
          <w:vertAlign w:val="baseline"/>
        </w:rPr>
        <w:footnoteRef/>
      </w:r>
      <w:r w:rsidRPr="00E1632D">
        <w:rPr>
          <w:rStyle w:val="FootnoteReference"/>
          <w:sz w:val="20"/>
          <w:szCs w:val="20"/>
          <w:vertAlign w:val="baseline"/>
        </w:rPr>
        <w:t xml:space="preserve"> Louise Goldman (2019), “The Perils of the Daily Commute for Cambodia’s Female Factory Workers: Is Phnom Penh's public transport system providing a safer option?”</w:t>
      </w:r>
      <w:r w:rsidRPr="00BD7670">
        <w:rPr>
          <w:sz w:val="22"/>
        </w:rPr>
        <w:t xml:space="preserve"> </w:t>
      </w:r>
    </w:p>
  </w:footnote>
  <w:footnote w:id="45">
    <w:p w14:paraId="5C70EFE4" w14:textId="11630AC4" w:rsidR="002D56EB" w:rsidRPr="00205034" w:rsidRDefault="002D56EB" w:rsidP="00E1632D">
      <w:pPr>
        <w:pStyle w:val="FootnoteText"/>
        <w:spacing w:after="60"/>
        <w:jc w:val="left"/>
        <w:rPr>
          <w:sz w:val="22"/>
          <w:szCs w:val="22"/>
          <w:highlight w:val="yellow"/>
          <w:lang w:val="en-AU"/>
        </w:rPr>
      </w:pPr>
      <w:r w:rsidRPr="00E1632D">
        <w:rPr>
          <w:rStyle w:val="FootnoteReference"/>
          <w:sz w:val="20"/>
          <w:szCs w:val="20"/>
          <w:vertAlign w:val="baseline"/>
        </w:rPr>
        <w:footnoteRef/>
      </w:r>
      <w:r w:rsidRPr="00E1632D">
        <w:rPr>
          <w:rStyle w:val="FootnoteReference"/>
          <w:sz w:val="20"/>
          <w:szCs w:val="20"/>
          <w:vertAlign w:val="baseline"/>
        </w:rPr>
        <w:t xml:space="preserve"> Better Factories Cambodia (2017) Towards gender equality-Lessons from factory compliance assessments; Better Factories Cambodia (2018) Gender Strategy 2017-2018. Phnom Penh.</w:t>
      </w:r>
    </w:p>
  </w:footnote>
  <w:footnote w:id="46">
    <w:p w14:paraId="73AFD831" w14:textId="7659A530"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Better Factories Cambodia (2017) Towards gender equality - Lessons from factory compliance assessments</w:t>
      </w:r>
    </w:p>
  </w:footnote>
  <w:footnote w:id="47">
    <w:p w14:paraId="2F0ED6E6" w14:textId="1EBCDF4B"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Makin, J. and </w:t>
      </w:r>
      <w:proofErr w:type="spellStart"/>
      <w:r w:rsidRPr="00E1632D">
        <w:rPr>
          <w:rStyle w:val="FootnoteReference"/>
          <w:sz w:val="20"/>
          <w:szCs w:val="20"/>
          <w:vertAlign w:val="baseline"/>
        </w:rPr>
        <w:t>Sakda</w:t>
      </w:r>
      <w:proofErr w:type="spellEnd"/>
      <w:r w:rsidRPr="00E1632D">
        <w:rPr>
          <w:rStyle w:val="FootnoteReference"/>
          <w:sz w:val="20"/>
          <w:szCs w:val="20"/>
          <w:vertAlign w:val="baseline"/>
        </w:rPr>
        <w:t>, P. (2006) Cambodia - Women and Work In the Garment Industry. Phnom Penh. Available at: http://documents.worldbank.org/curated/en/142891468239357709/Cambodia-Women-and-work-in-the-garment-industry</w:t>
      </w:r>
    </w:p>
  </w:footnote>
  <w:footnote w:id="48">
    <w:p w14:paraId="15451FA6" w14:textId="1CA62113"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w:t>
      </w:r>
      <w:hyperlink r:id="rId11" w:history="1">
        <w:r w:rsidRPr="00E1632D">
          <w:rPr>
            <w:rStyle w:val="FootnoteReference"/>
            <w:sz w:val="20"/>
            <w:szCs w:val="20"/>
            <w:vertAlign w:val="baseline"/>
          </w:rPr>
          <w:t>https://www.khmertimeskh.com/100871/chinese-smart-buses-bring-safe-comfortable-transport-cambodia/</w:t>
        </w:r>
      </w:hyperlink>
    </w:p>
  </w:footnote>
  <w:footnote w:id="49">
    <w:p w14:paraId="6340C32A" w14:textId="2032B3C7" w:rsidR="002D56EB" w:rsidRPr="002F05BE" w:rsidRDefault="002D56EB" w:rsidP="00E1632D">
      <w:pPr>
        <w:pStyle w:val="FootnoteText"/>
        <w:spacing w:after="60"/>
        <w:jc w:val="left"/>
        <w:rPr>
          <w:sz w:val="22"/>
          <w:szCs w:val="22"/>
        </w:rPr>
      </w:pPr>
      <w:r w:rsidRPr="00E1632D">
        <w:rPr>
          <w:rStyle w:val="FootnoteReference"/>
          <w:sz w:val="20"/>
          <w:szCs w:val="20"/>
          <w:vertAlign w:val="baseline"/>
        </w:rPr>
        <w:footnoteRef/>
      </w:r>
      <w:r w:rsidRPr="00E1632D">
        <w:rPr>
          <w:rStyle w:val="FootnoteReference"/>
          <w:sz w:val="20"/>
          <w:szCs w:val="20"/>
          <w:vertAlign w:val="baseline"/>
        </w:rPr>
        <w:t xml:space="preserve"> Louise Goldman (2019), “The Perils of the Daily Commute for Cambodia’s Female Factory Workers: Is Phnom Penh's public transport system providing a safer option?”</w:t>
      </w:r>
    </w:p>
  </w:footnote>
  <w:footnote w:id="50">
    <w:p w14:paraId="3C05C2E4" w14:textId="77777777" w:rsidR="002D56EB" w:rsidRDefault="002D56EB" w:rsidP="00E1632D">
      <w:pPr>
        <w:pStyle w:val="FootnoteText"/>
        <w:spacing w:after="60"/>
        <w:jc w:val="left"/>
      </w:pPr>
      <w:r w:rsidRPr="00E1632D">
        <w:rPr>
          <w:rStyle w:val="FootnoteReference"/>
          <w:sz w:val="20"/>
          <w:szCs w:val="20"/>
          <w:vertAlign w:val="baseline"/>
        </w:rPr>
        <w:footnoteRef/>
      </w:r>
      <w:r w:rsidRPr="00E1632D">
        <w:rPr>
          <w:rStyle w:val="FootnoteReference"/>
          <w:sz w:val="20"/>
          <w:szCs w:val="20"/>
          <w:vertAlign w:val="baseline"/>
        </w:rPr>
        <w:t xml:space="preserve"> CEDAW Article 4 (2).</w:t>
      </w:r>
    </w:p>
  </w:footnote>
  <w:footnote w:id="51">
    <w:p w14:paraId="44127EAB"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CEDAW Article 11 (2).</w:t>
      </w:r>
    </w:p>
  </w:footnote>
  <w:footnote w:id="52">
    <w:p w14:paraId="149237CC" w14:textId="5C28F56A" w:rsidR="002D56EB" w:rsidRPr="003D1B4A" w:rsidRDefault="002D56EB" w:rsidP="00E1632D">
      <w:pPr>
        <w:pStyle w:val="FootnoteText"/>
        <w:spacing w:after="60"/>
        <w:jc w:val="left"/>
        <w:rPr>
          <w:sz w:val="22"/>
          <w:szCs w:val="22"/>
        </w:rPr>
      </w:pPr>
      <w:r w:rsidRPr="00E1632D">
        <w:rPr>
          <w:rStyle w:val="FootnoteReference"/>
          <w:sz w:val="20"/>
          <w:szCs w:val="20"/>
          <w:vertAlign w:val="baseline"/>
        </w:rPr>
        <w:footnoteRef/>
      </w:r>
      <w:r w:rsidRPr="00E1632D">
        <w:rPr>
          <w:rStyle w:val="FootnoteReference"/>
          <w:sz w:val="20"/>
          <w:szCs w:val="20"/>
          <w:vertAlign w:val="baseline"/>
        </w:rPr>
        <w:t xml:space="preserve"> Article 6(8) of C183</w:t>
      </w:r>
    </w:p>
  </w:footnote>
  <w:footnote w:id="53">
    <w:p w14:paraId="5725CE54" w14:textId="2AC3AF2C"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w:t>
      </w:r>
      <w:hyperlink r:id="rId12" w:history="1">
        <w:r w:rsidRPr="00E1632D">
          <w:rPr>
            <w:rStyle w:val="FootnoteReference"/>
            <w:sz w:val="20"/>
            <w:szCs w:val="20"/>
            <w:vertAlign w:val="baseline"/>
          </w:rPr>
          <w:t>https://www.phnompenhpost.com/national-post-depth/how-short-term-contracts-are-putting-cambodias-pregnant-factory-workers</w:t>
        </w:r>
      </w:hyperlink>
    </w:p>
  </w:footnote>
  <w:footnote w:id="54">
    <w:p w14:paraId="58AE18BC" w14:textId="2646DDDF" w:rsidR="002D56EB" w:rsidRPr="00BF19E4" w:rsidRDefault="002D56EB" w:rsidP="00E1632D">
      <w:pPr>
        <w:pStyle w:val="FootnoteText"/>
        <w:spacing w:after="60"/>
        <w:jc w:val="left"/>
        <w:rPr>
          <w:sz w:val="22"/>
          <w:szCs w:val="22"/>
        </w:rPr>
      </w:pPr>
      <w:r w:rsidRPr="00E1632D">
        <w:rPr>
          <w:rStyle w:val="FootnoteReference"/>
          <w:sz w:val="20"/>
          <w:szCs w:val="20"/>
          <w:vertAlign w:val="baseline"/>
        </w:rPr>
        <w:footnoteRef/>
      </w:r>
      <w:r w:rsidRPr="00E1632D">
        <w:rPr>
          <w:rStyle w:val="FootnoteReference"/>
          <w:sz w:val="20"/>
          <w:szCs w:val="20"/>
          <w:vertAlign w:val="baseline"/>
        </w:rPr>
        <w:t xml:space="preserve"> Award 92/07 115/08 See; International Labor Organization, Practical Challenges for maternity protection in the Cambodian garment industry, 2012, at 25, available at </w:t>
      </w:r>
      <w:r w:rsidRPr="00E1632D">
        <w:rPr>
          <w:rStyle w:val="FootnoteReference"/>
          <w:sz w:val="20"/>
          <w:szCs w:val="20"/>
          <w:vertAlign w:val="baseline"/>
        </w:rPr>
        <w:fldChar w:fldCharType="begin"/>
      </w:r>
      <w:r w:rsidRPr="00E1632D">
        <w:rPr>
          <w:rStyle w:val="FootnoteReference"/>
          <w:sz w:val="20"/>
          <w:szCs w:val="20"/>
          <w:vertAlign w:val="baseline"/>
        </w:rPr>
        <w:instrText xml:space="preserve"> HYPERLINK "http://www.ilo.org/asia/whatwedo/publications/WCMS_203802/lang--en/index.htm" \t "_blank" </w:instrText>
      </w:r>
      <w:r w:rsidRPr="00E1632D">
        <w:rPr>
          <w:rStyle w:val="FootnoteReference"/>
          <w:sz w:val="20"/>
          <w:szCs w:val="20"/>
          <w:vertAlign w:val="baseline"/>
        </w:rPr>
        <w:fldChar w:fldCharType="separate"/>
      </w:r>
      <w:r w:rsidRPr="00E1632D">
        <w:rPr>
          <w:rStyle w:val="FootnoteReference"/>
          <w:sz w:val="20"/>
          <w:szCs w:val="20"/>
          <w:vertAlign w:val="baseline"/>
        </w:rPr>
        <w:t>http://www.ilo.org/asia/whatwedo/publications/WCMS_203802/lang--en/index.htm</w:t>
      </w:r>
      <w:r w:rsidRPr="00E1632D">
        <w:rPr>
          <w:rStyle w:val="FootnoteReference"/>
          <w:sz w:val="20"/>
          <w:szCs w:val="20"/>
          <w:vertAlign w:val="baseline"/>
        </w:rPr>
        <w:fldChar w:fldCharType="end"/>
      </w:r>
    </w:p>
  </w:footnote>
  <w:footnote w:id="55">
    <w:p w14:paraId="5744854D" w14:textId="77777777" w:rsidR="002D56EB" w:rsidRPr="00E1632D" w:rsidRDefault="002D56EB" w:rsidP="00E1632D">
      <w:pPr>
        <w:pStyle w:val="FootnoteText"/>
        <w:spacing w:after="60"/>
        <w:jc w:val="left"/>
        <w:rPr>
          <w:rStyle w:val="FootnoteReference"/>
          <w:sz w:val="20"/>
          <w:szCs w:val="20"/>
          <w:vertAlign w:val="baseline"/>
        </w:rPr>
      </w:pPr>
      <w:r w:rsidRPr="00E1632D">
        <w:rPr>
          <w:rStyle w:val="FootnoteReference"/>
          <w:sz w:val="20"/>
          <w:szCs w:val="20"/>
          <w:vertAlign w:val="baseline"/>
        </w:rPr>
        <w:footnoteRef/>
      </w:r>
      <w:r w:rsidRPr="00E1632D">
        <w:rPr>
          <w:rStyle w:val="FootnoteReference"/>
          <w:sz w:val="20"/>
          <w:szCs w:val="20"/>
          <w:vertAlign w:val="baseline"/>
        </w:rPr>
        <w:t xml:space="preserve"> Statement by CFSWF during UPR workshop on June 8, 2018.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5979C" w14:textId="77777777" w:rsidR="002D56EB" w:rsidRDefault="002D56EB">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20AA0"/>
    <w:multiLevelType w:val="hybridMultilevel"/>
    <w:tmpl w:val="2208DDD0"/>
    <w:numStyleLink w:val="ImportedStyle7"/>
  </w:abstractNum>
  <w:abstractNum w:abstractNumId="1">
    <w:nsid w:val="04F71A69"/>
    <w:multiLevelType w:val="hybridMultilevel"/>
    <w:tmpl w:val="B0089876"/>
    <w:styleLink w:val="Bullets"/>
    <w:lvl w:ilvl="0" w:tplc="73FAA39A">
      <w:start w:val="1"/>
      <w:numFmt w:val="bullet"/>
      <w:lvlText w:val="•"/>
      <w:lvlJc w:val="left"/>
      <w:pPr>
        <w:ind w:left="1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5AB870">
      <w:start w:val="1"/>
      <w:numFmt w:val="bullet"/>
      <w:lvlText w:val="•"/>
      <w:lvlJc w:val="left"/>
      <w:pPr>
        <w:ind w:left="7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96C894">
      <w:start w:val="1"/>
      <w:numFmt w:val="bullet"/>
      <w:lvlText w:val="•"/>
      <w:lvlJc w:val="left"/>
      <w:pPr>
        <w:ind w:left="13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9A0556">
      <w:start w:val="1"/>
      <w:numFmt w:val="bullet"/>
      <w:lvlText w:val="•"/>
      <w:lvlJc w:val="left"/>
      <w:pPr>
        <w:ind w:left="19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8ABCAC">
      <w:start w:val="1"/>
      <w:numFmt w:val="bullet"/>
      <w:lvlText w:val="•"/>
      <w:lvlJc w:val="left"/>
      <w:pPr>
        <w:ind w:left="25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0609DD4">
      <w:start w:val="1"/>
      <w:numFmt w:val="bullet"/>
      <w:lvlText w:val="•"/>
      <w:lvlJc w:val="left"/>
      <w:pPr>
        <w:ind w:left="31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00D6B6">
      <w:start w:val="1"/>
      <w:numFmt w:val="bullet"/>
      <w:lvlText w:val="•"/>
      <w:lvlJc w:val="left"/>
      <w:pPr>
        <w:ind w:left="37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2706FA6">
      <w:start w:val="1"/>
      <w:numFmt w:val="bullet"/>
      <w:lvlText w:val="•"/>
      <w:lvlJc w:val="left"/>
      <w:pPr>
        <w:ind w:left="43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C6C9B2">
      <w:start w:val="1"/>
      <w:numFmt w:val="bullet"/>
      <w:lvlText w:val="•"/>
      <w:lvlJc w:val="left"/>
      <w:pPr>
        <w:ind w:left="4989" w:hanging="18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9CE4248"/>
    <w:multiLevelType w:val="hybridMultilevel"/>
    <w:tmpl w:val="02AE1B44"/>
    <w:styleLink w:val="ImportedStyle11"/>
    <w:lvl w:ilvl="0" w:tplc="62106338">
      <w:start w:val="1"/>
      <w:numFmt w:val="lowerRoman"/>
      <w:lvlText w:val="(%1)"/>
      <w:lvlJc w:val="left"/>
      <w:pPr>
        <w:ind w:left="16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94B410">
      <w:start w:val="1"/>
      <w:numFmt w:val="lowerLetter"/>
      <w:lvlText w:val="%2."/>
      <w:lvlJc w:val="left"/>
      <w:pPr>
        <w:ind w:left="19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8A59F4">
      <w:start w:val="1"/>
      <w:numFmt w:val="lowerRoman"/>
      <w:lvlText w:val="%3."/>
      <w:lvlJc w:val="left"/>
      <w:pPr>
        <w:ind w:left="270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6F89E6C">
      <w:start w:val="1"/>
      <w:numFmt w:val="decimal"/>
      <w:lvlText w:val="%4."/>
      <w:lvlJc w:val="left"/>
      <w:pPr>
        <w:ind w:left="34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E22A64">
      <w:start w:val="1"/>
      <w:numFmt w:val="lowerLetter"/>
      <w:lvlText w:val="%5."/>
      <w:lvlJc w:val="left"/>
      <w:pPr>
        <w:ind w:left="41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0AE1E4">
      <w:start w:val="1"/>
      <w:numFmt w:val="lowerRoman"/>
      <w:lvlText w:val="%6."/>
      <w:lvlJc w:val="left"/>
      <w:pPr>
        <w:ind w:left="486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8802B4">
      <w:start w:val="1"/>
      <w:numFmt w:val="decimal"/>
      <w:lvlText w:val="%7."/>
      <w:lvlJc w:val="left"/>
      <w:pPr>
        <w:ind w:left="55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54630A">
      <w:start w:val="1"/>
      <w:numFmt w:val="lowerLetter"/>
      <w:lvlText w:val="%8."/>
      <w:lvlJc w:val="left"/>
      <w:pPr>
        <w:ind w:left="63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22CD62">
      <w:start w:val="1"/>
      <w:numFmt w:val="lowerRoman"/>
      <w:lvlText w:val="%9."/>
      <w:lvlJc w:val="left"/>
      <w:pPr>
        <w:ind w:left="70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0CA65D85"/>
    <w:multiLevelType w:val="hybridMultilevel"/>
    <w:tmpl w:val="FC469876"/>
    <w:numStyleLink w:val="ImportedStyle10"/>
  </w:abstractNum>
  <w:abstractNum w:abstractNumId="4">
    <w:nsid w:val="0E561DC7"/>
    <w:multiLevelType w:val="hybridMultilevel"/>
    <w:tmpl w:val="2208DDD0"/>
    <w:styleLink w:val="ImportedStyle7"/>
    <w:lvl w:ilvl="0" w:tplc="2208DDD0">
      <w:start w:val="1"/>
      <w:numFmt w:val="lowerRoman"/>
      <w:lvlText w:val="(%1)"/>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80AE9E">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2CE5DE">
      <w:start w:val="1"/>
      <w:numFmt w:val="lowerRoman"/>
      <w:lvlText w:val="%3."/>
      <w:lvlJc w:val="left"/>
      <w:pPr>
        <w:ind w:left="25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AC6862">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64A962">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5E65C8">
      <w:start w:val="1"/>
      <w:numFmt w:val="lowerRoman"/>
      <w:lvlText w:val="%6."/>
      <w:lvlJc w:val="left"/>
      <w:pPr>
        <w:ind w:left="46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7A1FDA">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268674">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72C9AC">
      <w:start w:val="1"/>
      <w:numFmt w:val="lowerRoman"/>
      <w:lvlText w:val="%9."/>
      <w:lvlJc w:val="left"/>
      <w:pPr>
        <w:ind w:left="684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11314781"/>
    <w:multiLevelType w:val="multilevel"/>
    <w:tmpl w:val="BFEC6B18"/>
    <w:numStyleLink w:val="ImportedStyle5"/>
  </w:abstractNum>
  <w:abstractNum w:abstractNumId="6">
    <w:nsid w:val="193C372C"/>
    <w:multiLevelType w:val="hybridMultilevel"/>
    <w:tmpl w:val="B0089876"/>
    <w:numStyleLink w:val="Bullets"/>
  </w:abstractNum>
  <w:abstractNum w:abstractNumId="7">
    <w:nsid w:val="1C85562D"/>
    <w:multiLevelType w:val="multilevel"/>
    <w:tmpl w:val="04A80AA4"/>
    <w:styleLink w:val="ImportedStyle1"/>
    <w:lvl w:ilvl="0">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78" w:hanging="82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836" w:hanging="93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4.%5."/>
      <w:lvlJc w:val="left"/>
      <w:pPr>
        <w:ind w:left="23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4.%5.%6."/>
      <w:lvlJc w:val="left"/>
      <w:pPr>
        <w:ind w:left="2844" w:hanging="122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4.%5.%6.%7."/>
      <w:lvlJc w:val="left"/>
      <w:pPr>
        <w:ind w:left="3348" w:hanging="136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4.%5.%6.%7.%8."/>
      <w:lvlJc w:val="left"/>
      <w:pPr>
        <w:ind w:left="3852" w:hanging="15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4.%5.%6.%7.%8.%9."/>
      <w:lvlJc w:val="left"/>
      <w:pPr>
        <w:ind w:left="4428" w:hanging="172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21FD17F4"/>
    <w:multiLevelType w:val="hybridMultilevel"/>
    <w:tmpl w:val="BFEA14A2"/>
    <w:numStyleLink w:val="ImportedStyle4"/>
  </w:abstractNum>
  <w:abstractNum w:abstractNumId="9">
    <w:nsid w:val="23BD4D20"/>
    <w:multiLevelType w:val="hybridMultilevel"/>
    <w:tmpl w:val="24949BB2"/>
    <w:numStyleLink w:val="ImportedStyle6"/>
  </w:abstractNum>
  <w:abstractNum w:abstractNumId="10">
    <w:nsid w:val="245502CC"/>
    <w:multiLevelType w:val="hybridMultilevel"/>
    <w:tmpl w:val="DD464D12"/>
    <w:styleLink w:val="ImportedStyle70"/>
    <w:lvl w:ilvl="0" w:tplc="11486E1A">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BEEB0E">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4A4F38">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36524A">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327600">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287AF8">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D662B8A">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DE608C">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6E6C84">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25100A44"/>
    <w:multiLevelType w:val="hybridMultilevel"/>
    <w:tmpl w:val="02AE1B44"/>
    <w:numStyleLink w:val="ImportedStyle11"/>
  </w:abstractNum>
  <w:abstractNum w:abstractNumId="12">
    <w:nsid w:val="29240CFE"/>
    <w:multiLevelType w:val="multilevel"/>
    <w:tmpl w:val="729AFE74"/>
    <w:styleLink w:val="Numbered"/>
    <w:lvl w:ilvl="0">
      <w:start w:val="1"/>
      <w:numFmt w:val="decimal"/>
      <w:lvlText w:val="%1."/>
      <w:lvlJc w:val="left"/>
      <w:pPr>
        <w:ind w:left="253" w:hanging="25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nsid w:val="2CD40996"/>
    <w:multiLevelType w:val="singleLevel"/>
    <w:tmpl w:val="0409001B"/>
    <w:lvl w:ilvl="0">
      <w:start w:val="1"/>
      <w:numFmt w:val="lowerRoman"/>
      <w:lvlText w:val="%1."/>
      <w:lvlJc w:val="right"/>
      <w:pPr>
        <w:ind w:left="108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31373D6B"/>
    <w:multiLevelType w:val="multilevel"/>
    <w:tmpl w:val="CBB2ECB0"/>
    <w:numStyleLink w:val="ImportedStyle100"/>
  </w:abstractNum>
  <w:abstractNum w:abstractNumId="15">
    <w:nsid w:val="34F84A4F"/>
    <w:multiLevelType w:val="hybridMultilevel"/>
    <w:tmpl w:val="EE8AABE6"/>
    <w:lvl w:ilvl="0" w:tplc="C7E08B7E">
      <w:start w:val="1"/>
      <w:numFmt w:val="lowerRoman"/>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5C4E5D"/>
    <w:multiLevelType w:val="hybridMultilevel"/>
    <w:tmpl w:val="FB548C0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BC3258"/>
    <w:multiLevelType w:val="hybridMultilevel"/>
    <w:tmpl w:val="1C58AC3A"/>
    <w:lvl w:ilvl="0" w:tplc="9DFA2EA4">
      <w:start w:val="1"/>
      <w:numFmt w:val="lowerRoman"/>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0134F2F"/>
    <w:multiLevelType w:val="hybridMultilevel"/>
    <w:tmpl w:val="FC469876"/>
    <w:styleLink w:val="ImportedStyle10"/>
    <w:lvl w:ilvl="0" w:tplc="CBC4D132">
      <w:start w:val="1"/>
      <w:numFmt w:val="lowerRoman"/>
      <w:lvlText w:val="(%1)"/>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62B2B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1C7AD8">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FE85E5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FE879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FEC6E4">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C6191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C05AD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4AF38C">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nsid w:val="47746A9E"/>
    <w:multiLevelType w:val="multilevel"/>
    <w:tmpl w:val="CBB2ECB0"/>
    <w:styleLink w:val="ImportedStyle100"/>
    <w:lvl w:ilvl="0">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78" w:hanging="82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836" w:hanging="93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4.%5."/>
      <w:lvlJc w:val="left"/>
      <w:pPr>
        <w:ind w:left="23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4.%5.%6."/>
      <w:lvlJc w:val="left"/>
      <w:pPr>
        <w:ind w:left="2844" w:hanging="122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4.%5.%6.%7."/>
      <w:lvlJc w:val="left"/>
      <w:pPr>
        <w:ind w:left="3348" w:hanging="136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4.%5.%6.%7.%8."/>
      <w:lvlJc w:val="left"/>
      <w:pPr>
        <w:ind w:left="3852" w:hanging="15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4.%5.%6.%7.%8.%9."/>
      <w:lvlJc w:val="left"/>
      <w:pPr>
        <w:ind w:left="4428" w:hanging="172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nsid w:val="54C67A9C"/>
    <w:multiLevelType w:val="hybridMultilevel"/>
    <w:tmpl w:val="24949BB2"/>
    <w:styleLink w:val="ImportedStyle6"/>
    <w:lvl w:ilvl="0" w:tplc="A906DE82">
      <w:start w:val="1"/>
      <w:numFmt w:val="bullet"/>
      <w:lvlText w:val="●"/>
      <w:lvlJc w:val="left"/>
      <w:pPr>
        <w:ind w:left="108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AA2FD8">
      <w:start w:val="1"/>
      <w:numFmt w:val="bullet"/>
      <w:lvlText w:val="○"/>
      <w:lvlJc w:val="left"/>
      <w:pPr>
        <w:ind w:left="180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0065F2">
      <w:start w:val="1"/>
      <w:numFmt w:val="bullet"/>
      <w:lvlText w:val="■"/>
      <w:lvlJc w:val="left"/>
      <w:pPr>
        <w:ind w:left="252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3ECC7A">
      <w:start w:val="1"/>
      <w:numFmt w:val="bullet"/>
      <w:lvlText w:val="●"/>
      <w:lvlJc w:val="left"/>
      <w:pPr>
        <w:ind w:left="324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D280E8">
      <w:start w:val="1"/>
      <w:numFmt w:val="bullet"/>
      <w:lvlText w:val="○"/>
      <w:lvlJc w:val="left"/>
      <w:pPr>
        <w:ind w:left="396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8AB318">
      <w:start w:val="1"/>
      <w:numFmt w:val="bullet"/>
      <w:lvlText w:val="■"/>
      <w:lvlJc w:val="left"/>
      <w:pPr>
        <w:ind w:left="468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C5A96F8">
      <w:start w:val="1"/>
      <w:numFmt w:val="bullet"/>
      <w:lvlText w:val="●"/>
      <w:lvlJc w:val="left"/>
      <w:pPr>
        <w:ind w:left="540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5CD674">
      <w:start w:val="1"/>
      <w:numFmt w:val="bullet"/>
      <w:lvlText w:val="○"/>
      <w:lvlJc w:val="left"/>
      <w:pPr>
        <w:ind w:left="612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E6D6EE">
      <w:start w:val="1"/>
      <w:numFmt w:val="bullet"/>
      <w:lvlText w:val="■"/>
      <w:lvlJc w:val="left"/>
      <w:pPr>
        <w:ind w:left="6840" w:hanging="360"/>
      </w:pPr>
      <w:rPr>
        <w:rFonts w:hAnsi="Arial Unicode MS"/>
        <w:i/>
        <w:i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5DC05CF1"/>
    <w:multiLevelType w:val="multilevel"/>
    <w:tmpl w:val="2208DDD0"/>
    <w:numStyleLink w:val="ImportedStyle7"/>
  </w:abstractNum>
  <w:abstractNum w:abstractNumId="22">
    <w:nsid w:val="5E2617E6"/>
    <w:multiLevelType w:val="hybridMultilevel"/>
    <w:tmpl w:val="1F72A88A"/>
    <w:lvl w:ilvl="0" w:tplc="0409001B">
      <w:start w:val="1"/>
      <w:numFmt w:val="lowerRoman"/>
      <w:lvlText w:val="%1."/>
      <w:lvlJc w:val="right"/>
      <w:pPr>
        <w:ind w:left="180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F727157"/>
    <w:multiLevelType w:val="hybridMultilevel"/>
    <w:tmpl w:val="DD464D12"/>
    <w:numStyleLink w:val="ImportedStyle70"/>
  </w:abstractNum>
  <w:abstractNum w:abstractNumId="24">
    <w:nsid w:val="69B16C9C"/>
    <w:multiLevelType w:val="hybridMultilevel"/>
    <w:tmpl w:val="D98A393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6A7022FF"/>
    <w:multiLevelType w:val="multilevel"/>
    <w:tmpl w:val="04A80AA4"/>
    <w:numStyleLink w:val="ImportedStyle1"/>
  </w:abstractNum>
  <w:abstractNum w:abstractNumId="26">
    <w:nsid w:val="6C566D49"/>
    <w:multiLevelType w:val="multilevel"/>
    <w:tmpl w:val="BFEC6B18"/>
    <w:styleLink w:val="ImportedStyle5"/>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72B54B80"/>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8C14AFB"/>
    <w:multiLevelType w:val="hybridMultilevel"/>
    <w:tmpl w:val="724C58A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757111"/>
    <w:multiLevelType w:val="hybridMultilevel"/>
    <w:tmpl w:val="BFEA14A2"/>
    <w:styleLink w:val="ImportedStyle4"/>
    <w:lvl w:ilvl="0" w:tplc="0B16C00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C2B6C4">
      <w:start w:val="1"/>
      <w:numFmt w:val="bullet"/>
      <w:lvlText w:val="○"/>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48F39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A2B14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62E0216">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6E256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866EAE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7844E8">
      <w:start w:val="1"/>
      <w:numFmt w:val="bullet"/>
      <w:lvlText w:val="○"/>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554B34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7FC16A42"/>
    <w:multiLevelType w:val="multilevel"/>
    <w:tmpl w:val="729AFE74"/>
    <w:numStyleLink w:val="Numbered"/>
  </w:abstractNum>
  <w:num w:numId="1">
    <w:abstractNumId w:val="7"/>
  </w:num>
  <w:num w:numId="2">
    <w:abstractNumId w:val="25"/>
    <w:lvlOverride w:ilvl="1">
      <w:lvl w:ilvl="1">
        <w:start w:val="1"/>
        <w:numFmt w:val="decimal"/>
        <w:lvlText w:val="%1.%2."/>
        <w:lvlJc w:val="left"/>
        <w:pPr>
          <w:ind w:left="720" w:hanging="720"/>
        </w:pPr>
        <w:rPr>
          <w:rFonts w:hAnsi="Arial Unicode MS"/>
          <w:b w:val="0"/>
          <w:bCs/>
          <w:i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abstractNumId w:val="19"/>
  </w:num>
  <w:num w:numId="4">
    <w:abstractNumId w:val="14"/>
    <w:lvlOverride w:ilvl="1">
      <w:lvl w:ilvl="1">
        <w:start w:val="1"/>
        <w:numFmt w:val="decimal"/>
        <w:lvlText w:val="%1.%2."/>
        <w:lvlJc w:val="left"/>
        <w:pPr>
          <w:ind w:left="720" w:hanging="720"/>
        </w:pPr>
        <w:rPr>
          <w:rFonts w:hAnsi="Arial Unicode MS"/>
          <w:b w:val="0"/>
          <w:bCs/>
          <w:i w:val="0"/>
          <w:caps w:val="0"/>
          <w:smallCaps w:val="0"/>
          <w:strike w:val="0"/>
          <w:dstrike w:val="0"/>
          <w:outline w:val="0"/>
          <w:emboss w:val="0"/>
          <w:imprint w:val="0"/>
          <w:color w:val="000000"/>
          <w:spacing w:val="0"/>
          <w:w w:val="100"/>
          <w:kern w:val="0"/>
          <w:position w:val="0"/>
          <w:highlight w:val="none"/>
          <w:vertAlign w:val="baseline"/>
        </w:rPr>
      </w:lvl>
    </w:lvlOverride>
  </w:num>
  <w:num w:numId="5">
    <w:abstractNumId w:val="14"/>
    <w:lvlOverride w:ilvl="0">
      <w:startOverride w:val="1"/>
      <w:lvl w:ilvl="0">
        <w:start w:val="1"/>
        <w:numFmt w:val="decimal"/>
        <w:lvlText w:val="%1."/>
        <w:lvlJc w:val="left"/>
        <w:pPr>
          <w:ind w:left="720" w:hanging="720"/>
        </w:pPr>
        <w:rPr>
          <w:rFonts w:hAnsi="Arial Unicode MS"/>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6">
    <w:abstractNumId w:val="12"/>
  </w:num>
  <w:num w:numId="7">
    <w:abstractNumId w:val="30"/>
  </w:num>
  <w:num w:numId="8">
    <w:abstractNumId w:val="30"/>
    <w:lvlOverride w:ilvl="0">
      <w:startOverride w:val="3"/>
    </w:lvlOverride>
  </w:num>
  <w:num w:numId="9">
    <w:abstractNumId w:val="30"/>
    <w:lvlOverride w:ilvl="0">
      <w:lvl w:ilvl="0">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4"/>
  </w:num>
  <w:num w:numId="11">
    <w:abstractNumId w:val="0"/>
  </w:num>
  <w:num w:numId="12">
    <w:abstractNumId w:val="30"/>
    <w:lvlOverride w:ilvl="0">
      <w:lvl w:ilvl="0">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97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ind w:left="18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ind w:left="26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ind w:left="34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ind w:left="42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ind w:left="50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ind w:left="58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ind w:left="66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29"/>
  </w:num>
  <w:num w:numId="14">
    <w:abstractNumId w:val="8"/>
  </w:num>
  <w:num w:numId="15">
    <w:abstractNumId w:val="30"/>
    <w:lvlOverride w:ilvl="0">
      <w:startOverride w:val="4"/>
    </w:lvlOverride>
  </w:num>
  <w:num w:numId="16">
    <w:abstractNumId w:val="18"/>
  </w:num>
  <w:num w:numId="17">
    <w:abstractNumId w:val="3"/>
  </w:num>
  <w:num w:numId="18">
    <w:abstractNumId w:val="20"/>
  </w:num>
  <w:num w:numId="19">
    <w:abstractNumId w:val="9"/>
  </w:num>
  <w:num w:numId="20">
    <w:abstractNumId w:val="9"/>
    <w:lvlOverride w:ilvl="0">
      <w:lvl w:ilvl="0" w:tplc="0ECC0C36">
        <w:start w:val="1"/>
        <w:numFmt w:val="bullet"/>
        <w:lvlText w:val="●"/>
        <w:lvlJc w:val="left"/>
        <w:pPr>
          <w:ind w:left="108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D8E213B6">
        <w:start w:val="1"/>
        <w:numFmt w:val="bullet"/>
        <w:lvlText w:val="○"/>
        <w:lvlJc w:val="left"/>
        <w:pPr>
          <w:ind w:left="180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9B467C66">
        <w:start w:val="1"/>
        <w:numFmt w:val="bullet"/>
        <w:lvlText w:val="■"/>
        <w:lvlJc w:val="left"/>
        <w:pPr>
          <w:ind w:left="252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F3189076">
        <w:start w:val="1"/>
        <w:numFmt w:val="bullet"/>
        <w:lvlText w:val="●"/>
        <w:lvlJc w:val="left"/>
        <w:pPr>
          <w:ind w:left="32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A524EF22">
        <w:start w:val="1"/>
        <w:numFmt w:val="bullet"/>
        <w:lvlText w:val="○"/>
        <w:lvlJc w:val="left"/>
        <w:pPr>
          <w:ind w:left="396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980EDC94">
        <w:start w:val="1"/>
        <w:numFmt w:val="bullet"/>
        <w:lvlText w:val="■"/>
        <w:lvlJc w:val="left"/>
        <w:pPr>
          <w:ind w:left="468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A4D034D0">
        <w:start w:val="1"/>
        <w:numFmt w:val="bullet"/>
        <w:lvlText w:val="●"/>
        <w:lvlJc w:val="left"/>
        <w:pPr>
          <w:ind w:left="540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5E3A4D9E">
        <w:start w:val="1"/>
        <w:numFmt w:val="bullet"/>
        <w:lvlText w:val="○"/>
        <w:lvlJc w:val="left"/>
        <w:pPr>
          <w:ind w:left="612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3D12348C">
        <w:start w:val="1"/>
        <w:numFmt w:val="bullet"/>
        <w:lvlText w:val="■"/>
        <w:lvlJc w:val="left"/>
        <w:pPr>
          <w:ind w:left="68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6"/>
  </w:num>
  <w:num w:numId="22">
    <w:abstractNumId w:val="5"/>
  </w:num>
  <w:num w:numId="23">
    <w:abstractNumId w:val="5"/>
    <w:lvlOverride w:ilvl="0">
      <w:startOverride w:val="5"/>
    </w:lvlOverride>
  </w:num>
  <w:num w:numId="24">
    <w:abstractNumId w:val="3"/>
    <w:lvlOverride w:ilvl="0">
      <w:startOverride w:val="1"/>
      <w:lvl w:ilvl="0" w:tplc="BE1253DE">
        <w:start w:val="1"/>
        <w:numFmt w:val="low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D468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6763D74">
        <w:start w:val="1"/>
        <w:numFmt w:val="lowerRoman"/>
        <w:lvlText w:val="%3."/>
        <w:lvlJc w:val="left"/>
        <w:pPr>
          <w:ind w:left="246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868C142">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EC8D90E">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13AF392">
        <w:start w:val="1"/>
        <w:numFmt w:val="lowerRoman"/>
        <w:lvlText w:val="%6."/>
        <w:lvlJc w:val="left"/>
        <w:pPr>
          <w:ind w:left="504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ACEC7C8">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7029868">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0B07426">
        <w:start w:val="1"/>
        <w:numFmt w:val="lowerRoman"/>
        <w:lvlText w:val="%9."/>
        <w:lvlJc w:val="left"/>
        <w:pPr>
          <w:ind w:left="72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5"/>
    <w:lvlOverride w:ilvl="1">
      <w:startOverride w:val="9"/>
    </w:lvlOverride>
  </w:num>
  <w:num w:numId="26">
    <w:abstractNumId w:val="1"/>
  </w:num>
  <w:num w:numId="27">
    <w:abstractNumId w:val="6"/>
  </w:num>
  <w:num w:numId="28">
    <w:abstractNumId w:val="5"/>
    <w:lvlOverride w:ilvl="0">
      <w:startOverride w:val="6"/>
    </w:lvlOverride>
  </w:num>
  <w:num w:numId="29">
    <w:abstractNumId w:val="3"/>
    <w:lvlOverride w:ilvl="2">
      <w:startOverride w:val="1"/>
    </w:lvlOverride>
  </w:num>
  <w:num w:numId="30">
    <w:abstractNumId w:val="2"/>
  </w:num>
  <w:num w:numId="31">
    <w:abstractNumId w:val="11"/>
  </w:num>
  <w:num w:numId="32">
    <w:abstractNumId w:val="5"/>
    <w:lvlOverride w:ilvl="0">
      <w:startOverride w:val="7"/>
      <w:lvl w:ilvl="0">
        <w:start w:val="7"/>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3">
    <w:abstractNumId w:val="3"/>
    <w:lvlOverride w:ilvl="2">
      <w:startOverride w:val="1"/>
    </w:lvlOverride>
  </w:num>
  <w:num w:numId="34">
    <w:abstractNumId w:val="10"/>
  </w:num>
  <w:num w:numId="35">
    <w:abstractNumId w:val="23"/>
  </w:num>
  <w:num w:numId="36">
    <w:abstractNumId w:val="21"/>
  </w:num>
  <w:num w:numId="37">
    <w:abstractNumId w:val="13"/>
  </w:num>
  <w:num w:numId="38">
    <w:abstractNumId w:val="16"/>
  </w:num>
  <w:num w:numId="39">
    <w:abstractNumId w:val="28"/>
  </w:num>
  <w:num w:numId="40">
    <w:abstractNumId w:val="17"/>
  </w:num>
  <w:num w:numId="41">
    <w:abstractNumId w:val="22"/>
  </w:num>
  <w:num w:numId="42">
    <w:abstractNumId w:val="24"/>
  </w:num>
  <w:num w:numId="43">
    <w:abstractNumId w:val="15"/>
  </w:num>
  <w:num w:numId="44">
    <w:abstractNumId w:val="27"/>
    <w:lvlOverride w:ilvl="0">
      <w:lvl w:ilvl="0">
        <w:start w:val="2"/>
        <w:numFmt w:val="decimal"/>
        <w:lvlText w:val="%1."/>
        <w:lvlJc w:val="left"/>
        <w:pPr>
          <w:tabs>
            <w:tab w:val="num" w:pos="720"/>
          </w:tabs>
          <w:ind w:left="720" w:hanging="360"/>
        </w:pPr>
      </w:lvl>
    </w:lvlOverride>
    <w:lvlOverride w:ilvl="1">
      <w:lvl w:ilvl="1">
        <w:numFmt w:val="decimal"/>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A65"/>
    <w:rsid w:val="000B3158"/>
    <w:rsid w:val="0014059F"/>
    <w:rsid w:val="00151897"/>
    <w:rsid w:val="001B1C7F"/>
    <w:rsid w:val="001F1A65"/>
    <w:rsid w:val="00205034"/>
    <w:rsid w:val="00257AC8"/>
    <w:rsid w:val="0027668F"/>
    <w:rsid w:val="002A1E02"/>
    <w:rsid w:val="002B392E"/>
    <w:rsid w:val="002D2C32"/>
    <w:rsid w:val="002D56EB"/>
    <w:rsid w:val="002F05BE"/>
    <w:rsid w:val="00300826"/>
    <w:rsid w:val="0035773C"/>
    <w:rsid w:val="00361B28"/>
    <w:rsid w:val="003875C2"/>
    <w:rsid w:val="003C31FF"/>
    <w:rsid w:val="003D1913"/>
    <w:rsid w:val="003D1B4A"/>
    <w:rsid w:val="003E6D52"/>
    <w:rsid w:val="00403433"/>
    <w:rsid w:val="0041719D"/>
    <w:rsid w:val="004247C0"/>
    <w:rsid w:val="004A6668"/>
    <w:rsid w:val="004A6739"/>
    <w:rsid w:val="004D2480"/>
    <w:rsid w:val="004F1A29"/>
    <w:rsid w:val="005228A4"/>
    <w:rsid w:val="005368FF"/>
    <w:rsid w:val="0055075B"/>
    <w:rsid w:val="00570E60"/>
    <w:rsid w:val="00597705"/>
    <w:rsid w:val="005C42F3"/>
    <w:rsid w:val="005D5567"/>
    <w:rsid w:val="005E1873"/>
    <w:rsid w:val="005F170B"/>
    <w:rsid w:val="00654E4D"/>
    <w:rsid w:val="0067355F"/>
    <w:rsid w:val="006E3751"/>
    <w:rsid w:val="007176B1"/>
    <w:rsid w:val="007306A9"/>
    <w:rsid w:val="007443E1"/>
    <w:rsid w:val="00773F82"/>
    <w:rsid w:val="00790482"/>
    <w:rsid w:val="007A62CF"/>
    <w:rsid w:val="007F6A02"/>
    <w:rsid w:val="00835C3D"/>
    <w:rsid w:val="008E4C3F"/>
    <w:rsid w:val="008E7610"/>
    <w:rsid w:val="009B7919"/>
    <w:rsid w:val="009D4CEB"/>
    <w:rsid w:val="00A12DB2"/>
    <w:rsid w:val="00AB55CF"/>
    <w:rsid w:val="00B36FCE"/>
    <w:rsid w:val="00B51F20"/>
    <w:rsid w:val="00B604FE"/>
    <w:rsid w:val="00B8784E"/>
    <w:rsid w:val="00BA16DC"/>
    <w:rsid w:val="00BA2B28"/>
    <w:rsid w:val="00BD7670"/>
    <w:rsid w:val="00BF1310"/>
    <w:rsid w:val="00BF19E4"/>
    <w:rsid w:val="00C232C6"/>
    <w:rsid w:val="00C3370F"/>
    <w:rsid w:val="00C44C84"/>
    <w:rsid w:val="00CB11B0"/>
    <w:rsid w:val="00CD4A18"/>
    <w:rsid w:val="00CE766D"/>
    <w:rsid w:val="00D2347B"/>
    <w:rsid w:val="00D67200"/>
    <w:rsid w:val="00DE19A3"/>
    <w:rsid w:val="00DE758F"/>
    <w:rsid w:val="00DF272A"/>
    <w:rsid w:val="00E030F7"/>
    <w:rsid w:val="00E1632D"/>
    <w:rsid w:val="00E70A5D"/>
    <w:rsid w:val="00EA7348"/>
    <w:rsid w:val="00EE69E0"/>
    <w:rsid w:val="00EF187C"/>
    <w:rsid w:val="00F35315"/>
    <w:rsid w:val="00F45221"/>
    <w:rsid w:val="00F643B5"/>
    <w:rsid w:val="00F83E55"/>
    <w:rsid w:val="00F868BB"/>
    <w:rsid w:val="00F9431D"/>
    <w:rsid w:val="00FE51F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0B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bidi="ar-SA"/>
    </w:rPr>
  </w:style>
  <w:style w:type="paragraph" w:styleId="Heading1">
    <w:name w:val="heading 1"/>
    <w:basedOn w:val="Normal"/>
    <w:next w:val="Normal"/>
    <w:link w:val="Heading1Char"/>
    <w:uiPriority w:val="9"/>
    <w:qFormat/>
    <w:rsid w:val="005C42F3"/>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jc w:val="both"/>
    </w:pPr>
    <w:rPr>
      <w:rFonts w:cs="Arial Unicode MS"/>
      <w:color w:val="000000"/>
      <w:sz w:val="24"/>
      <w:szCs w:val="24"/>
      <w:u w:color="000000"/>
    </w:rPr>
  </w:style>
  <w:style w:type="paragraph" w:customStyle="1" w:styleId="BodyA">
    <w:name w:val="Body A"/>
    <w:pPr>
      <w:jc w:val="both"/>
    </w:pPr>
    <w:rPr>
      <w:rFonts w:cs="Arial Unicode MS"/>
      <w:color w:val="000000"/>
      <w:sz w:val="24"/>
      <w:szCs w:val="24"/>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Heading">
    <w:name w:val="Heading"/>
    <w:next w:val="BodyA"/>
    <w:pPr>
      <w:keepNext/>
      <w:keepLines/>
      <w:spacing w:before="240" w:line="256" w:lineRule="auto"/>
      <w:jc w:val="center"/>
      <w:outlineLvl w:val="0"/>
    </w:pPr>
    <w:rPr>
      <w:rFonts w:ascii="Times" w:hAnsi="Times" w:cs="Arial Unicode MS"/>
      <w:b/>
      <w:bCs/>
      <w:smallCaps/>
      <w:color w:val="000000"/>
      <w:sz w:val="24"/>
      <w:szCs w:val="24"/>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character" w:styleId="FootnoteReference">
    <w:name w:val="footnote reference"/>
    <w:uiPriority w:val="99"/>
    <w:rPr>
      <w:vertAlign w:val="superscript"/>
    </w:rPr>
  </w:style>
  <w:style w:type="paragraph" w:styleId="FootnoteText">
    <w:name w:val="footnote text"/>
    <w:link w:val="FootnoteTextChar"/>
    <w:uiPriority w:val="99"/>
    <w:pPr>
      <w:jc w:val="both"/>
    </w:pPr>
    <w:rPr>
      <w:rFonts w:eastAsia="Times New Roman"/>
      <w:color w:val="000000"/>
      <w:sz w:val="24"/>
      <w:szCs w:val="24"/>
      <w:u w:color="000000"/>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ListParagraph">
    <w:name w:val="List Paragraph"/>
    <w:uiPriority w:val="34"/>
    <w:qFormat/>
    <w:pPr>
      <w:ind w:left="720"/>
      <w:jc w:val="both"/>
    </w:pPr>
    <w:rPr>
      <w:rFonts w:eastAsia="Times New Roman"/>
      <w:color w:val="000000"/>
      <w:sz w:val="24"/>
      <w:szCs w:val="24"/>
      <w:u w:color="000000"/>
    </w:rPr>
  </w:style>
  <w:style w:type="numbering" w:customStyle="1" w:styleId="ImportedStyle100">
    <w:name w:val="Imported Style 1.0"/>
    <w:pPr>
      <w:numPr>
        <w:numId w:val="3"/>
      </w:numPr>
    </w:pPr>
  </w:style>
  <w:style w:type="paragraph" w:customStyle="1" w:styleId="Heading21">
    <w:name w:val="Heading 21"/>
    <w:pPr>
      <w:keepNext/>
      <w:keepLines/>
      <w:spacing w:line="360" w:lineRule="auto"/>
      <w:jc w:val="center"/>
      <w:outlineLvl w:val="1"/>
    </w:pPr>
    <w:rPr>
      <w:rFonts w:ascii="Times" w:eastAsia="Times" w:hAnsi="Times" w:cs="Times"/>
      <w:b/>
      <w:bCs/>
      <w:color w:val="000000"/>
      <w:sz w:val="24"/>
      <w:szCs w:val="24"/>
      <w:u w:color="000000"/>
    </w:rPr>
  </w:style>
  <w:style w:type="numbering" w:customStyle="1" w:styleId="Numbered">
    <w:name w:val="Numbered"/>
    <w:pPr>
      <w:numPr>
        <w:numId w:val="6"/>
      </w:numPr>
    </w:pPr>
  </w:style>
  <w:style w:type="numbering" w:customStyle="1" w:styleId="ImportedStyle7">
    <w:name w:val="Imported Style 7"/>
    <w:pPr>
      <w:numPr>
        <w:numId w:val="10"/>
      </w:numPr>
    </w:pPr>
  </w:style>
  <w:style w:type="numbering" w:customStyle="1" w:styleId="ImportedStyle4">
    <w:name w:val="Imported Style 4"/>
    <w:pPr>
      <w:numPr>
        <w:numId w:val="13"/>
      </w:numPr>
    </w:pPr>
  </w:style>
  <w:style w:type="numbering" w:customStyle="1" w:styleId="ImportedStyle10">
    <w:name w:val="Imported Style 10"/>
    <w:pPr>
      <w:numPr>
        <w:numId w:val="16"/>
      </w:numPr>
    </w:pPr>
  </w:style>
  <w:style w:type="numbering" w:customStyle="1" w:styleId="ImportedStyle6">
    <w:name w:val="Imported Style 6"/>
    <w:pPr>
      <w:numPr>
        <w:numId w:val="18"/>
      </w:numPr>
    </w:pPr>
  </w:style>
  <w:style w:type="numbering" w:customStyle="1" w:styleId="ImportedStyle5">
    <w:name w:val="Imported Style 5"/>
    <w:pPr>
      <w:numPr>
        <w:numId w:val="21"/>
      </w:numPr>
    </w:p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Bullets">
    <w:name w:val="Bullets"/>
    <w:pPr>
      <w:numPr>
        <w:numId w:val="26"/>
      </w:numPr>
    </w:pPr>
  </w:style>
  <w:style w:type="numbering" w:customStyle="1" w:styleId="ImportedStyle11">
    <w:name w:val="Imported Style 11"/>
    <w:pPr>
      <w:numPr>
        <w:numId w:val="30"/>
      </w:numPr>
    </w:pPr>
  </w:style>
  <w:style w:type="numbering" w:customStyle="1" w:styleId="ImportedStyle70">
    <w:name w:val="Imported Style 7.0"/>
    <w:pPr>
      <w:numPr>
        <w:numId w:val="34"/>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bidi="ar-SA"/>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F18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87C"/>
    <w:rPr>
      <w:rFonts w:ascii="Segoe UI" w:hAnsi="Segoe UI" w:cs="Segoe UI"/>
      <w:sz w:val="18"/>
      <w:szCs w:val="18"/>
      <w:lang w:bidi="ar-SA"/>
    </w:rPr>
  </w:style>
  <w:style w:type="paragraph" w:styleId="CommentSubject">
    <w:name w:val="annotation subject"/>
    <w:basedOn w:val="CommentText"/>
    <w:next w:val="CommentText"/>
    <w:link w:val="CommentSubjectChar"/>
    <w:uiPriority w:val="99"/>
    <w:semiHidden/>
    <w:unhideWhenUsed/>
    <w:rsid w:val="00DE19A3"/>
    <w:rPr>
      <w:b/>
      <w:bCs/>
    </w:rPr>
  </w:style>
  <w:style w:type="character" w:customStyle="1" w:styleId="CommentSubjectChar">
    <w:name w:val="Comment Subject Char"/>
    <w:basedOn w:val="CommentTextChar"/>
    <w:link w:val="CommentSubject"/>
    <w:uiPriority w:val="99"/>
    <w:semiHidden/>
    <w:rsid w:val="00DE19A3"/>
    <w:rPr>
      <w:b/>
      <w:bCs/>
      <w:lang w:bidi="ar-SA"/>
    </w:rPr>
  </w:style>
  <w:style w:type="character" w:customStyle="1" w:styleId="Heading1Char">
    <w:name w:val="Heading 1 Char"/>
    <w:basedOn w:val="DefaultParagraphFont"/>
    <w:link w:val="Heading1"/>
    <w:uiPriority w:val="9"/>
    <w:rsid w:val="005C42F3"/>
    <w:rPr>
      <w:rFonts w:asciiTheme="majorHAnsi" w:eastAsiaTheme="majorEastAsia" w:hAnsiTheme="majorHAnsi" w:cstheme="majorBidi"/>
      <w:b/>
      <w:bCs/>
      <w:color w:val="2D4F8E" w:themeColor="accent1" w:themeShade="B5"/>
      <w:sz w:val="32"/>
      <w:szCs w:val="32"/>
      <w:lang w:bidi="ar-SA"/>
    </w:rPr>
  </w:style>
  <w:style w:type="character" w:styleId="FollowedHyperlink">
    <w:name w:val="FollowedHyperlink"/>
    <w:basedOn w:val="DefaultParagraphFont"/>
    <w:uiPriority w:val="99"/>
    <w:semiHidden/>
    <w:unhideWhenUsed/>
    <w:rsid w:val="002D2C32"/>
    <w:rPr>
      <w:color w:val="FF00FF" w:themeColor="followedHyperlink"/>
      <w:u w:val="single"/>
    </w:rPr>
  </w:style>
  <w:style w:type="character" w:customStyle="1" w:styleId="FootnoteTextChar">
    <w:name w:val="Footnote Text Char"/>
    <w:basedOn w:val="DefaultParagraphFont"/>
    <w:link w:val="FootnoteText"/>
    <w:uiPriority w:val="99"/>
    <w:rsid w:val="0067355F"/>
    <w:rPr>
      <w:rFonts w:eastAsia="Times New Roman"/>
      <w:color w:val="000000"/>
      <w:sz w:val="24"/>
      <w:szCs w:val="24"/>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bidi="ar-SA"/>
    </w:rPr>
  </w:style>
  <w:style w:type="paragraph" w:styleId="Heading1">
    <w:name w:val="heading 1"/>
    <w:basedOn w:val="Normal"/>
    <w:next w:val="Normal"/>
    <w:link w:val="Heading1Char"/>
    <w:uiPriority w:val="9"/>
    <w:qFormat/>
    <w:rsid w:val="005C42F3"/>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jc w:val="both"/>
    </w:pPr>
    <w:rPr>
      <w:rFonts w:cs="Arial Unicode MS"/>
      <w:color w:val="000000"/>
      <w:sz w:val="24"/>
      <w:szCs w:val="24"/>
      <w:u w:color="000000"/>
    </w:rPr>
  </w:style>
  <w:style w:type="paragraph" w:customStyle="1" w:styleId="BodyA">
    <w:name w:val="Body A"/>
    <w:pPr>
      <w:jc w:val="both"/>
    </w:pPr>
    <w:rPr>
      <w:rFonts w:cs="Arial Unicode MS"/>
      <w:color w:val="000000"/>
      <w:sz w:val="24"/>
      <w:szCs w:val="24"/>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Heading">
    <w:name w:val="Heading"/>
    <w:next w:val="BodyA"/>
    <w:pPr>
      <w:keepNext/>
      <w:keepLines/>
      <w:spacing w:before="240" w:line="256" w:lineRule="auto"/>
      <w:jc w:val="center"/>
      <w:outlineLvl w:val="0"/>
    </w:pPr>
    <w:rPr>
      <w:rFonts w:ascii="Times" w:hAnsi="Times" w:cs="Arial Unicode MS"/>
      <w:b/>
      <w:bCs/>
      <w:smallCaps/>
      <w:color w:val="000000"/>
      <w:sz w:val="24"/>
      <w:szCs w:val="24"/>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character" w:styleId="FootnoteReference">
    <w:name w:val="footnote reference"/>
    <w:uiPriority w:val="99"/>
    <w:rPr>
      <w:vertAlign w:val="superscript"/>
    </w:rPr>
  </w:style>
  <w:style w:type="paragraph" w:styleId="FootnoteText">
    <w:name w:val="footnote text"/>
    <w:link w:val="FootnoteTextChar"/>
    <w:uiPriority w:val="99"/>
    <w:pPr>
      <w:jc w:val="both"/>
    </w:pPr>
    <w:rPr>
      <w:rFonts w:eastAsia="Times New Roman"/>
      <w:color w:val="000000"/>
      <w:sz w:val="24"/>
      <w:szCs w:val="24"/>
      <w:u w:color="000000"/>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ListParagraph">
    <w:name w:val="List Paragraph"/>
    <w:uiPriority w:val="34"/>
    <w:qFormat/>
    <w:pPr>
      <w:ind w:left="720"/>
      <w:jc w:val="both"/>
    </w:pPr>
    <w:rPr>
      <w:rFonts w:eastAsia="Times New Roman"/>
      <w:color w:val="000000"/>
      <w:sz w:val="24"/>
      <w:szCs w:val="24"/>
      <w:u w:color="000000"/>
    </w:rPr>
  </w:style>
  <w:style w:type="numbering" w:customStyle="1" w:styleId="ImportedStyle100">
    <w:name w:val="Imported Style 1.0"/>
    <w:pPr>
      <w:numPr>
        <w:numId w:val="3"/>
      </w:numPr>
    </w:pPr>
  </w:style>
  <w:style w:type="paragraph" w:customStyle="1" w:styleId="Heading21">
    <w:name w:val="Heading 21"/>
    <w:pPr>
      <w:keepNext/>
      <w:keepLines/>
      <w:spacing w:line="360" w:lineRule="auto"/>
      <w:jc w:val="center"/>
      <w:outlineLvl w:val="1"/>
    </w:pPr>
    <w:rPr>
      <w:rFonts w:ascii="Times" w:eastAsia="Times" w:hAnsi="Times" w:cs="Times"/>
      <w:b/>
      <w:bCs/>
      <w:color w:val="000000"/>
      <w:sz w:val="24"/>
      <w:szCs w:val="24"/>
      <w:u w:color="000000"/>
    </w:rPr>
  </w:style>
  <w:style w:type="numbering" w:customStyle="1" w:styleId="Numbered">
    <w:name w:val="Numbered"/>
    <w:pPr>
      <w:numPr>
        <w:numId w:val="6"/>
      </w:numPr>
    </w:pPr>
  </w:style>
  <w:style w:type="numbering" w:customStyle="1" w:styleId="ImportedStyle7">
    <w:name w:val="Imported Style 7"/>
    <w:pPr>
      <w:numPr>
        <w:numId w:val="10"/>
      </w:numPr>
    </w:pPr>
  </w:style>
  <w:style w:type="numbering" w:customStyle="1" w:styleId="ImportedStyle4">
    <w:name w:val="Imported Style 4"/>
    <w:pPr>
      <w:numPr>
        <w:numId w:val="13"/>
      </w:numPr>
    </w:pPr>
  </w:style>
  <w:style w:type="numbering" w:customStyle="1" w:styleId="ImportedStyle10">
    <w:name w:val="Imported Style 10"/>
    <w:pPr>
      <w:numPr>
        <w:numId w:val="16"/>
      </w:numPr>
    </w:pPr>
  </w:style>
  <w:style w:type="numbering" w:customStyle="1" w:styleId="ImportedStyle6">
    <w:name w:val="Imported Style 6"/>
    <w:pPr>
      <w:numPr>
        <w:numId w:val="18"/>
      </w:numPr>
    </w:pPr>
  </w:style>
  <w:style w:type="numbering" w:customStyle="1" w:styleId="ImportedStyle5">
    <w:name w:val="Imported Style 5"/>
    <w:pPr>
      <w:numPr>
        <w:numId w:val="21"/>
      </w:numPr>
    </w:p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Bullets">
    <w:name w:val="Bullets"/>
    <w:pPr>
      <w:numPr>
        <w:numId w:val="26"/>
      </w:numPr>
    </w:pPr>
  </w:style>
  <w:style w:type="numbering" w:customStyle="1" w:styleId="ImportedStyle11">
    <w:name w:val="Imported Style 11"/>
    <w:pPr>
      <w:numPr>
        <w:numId w:val="30"/>
      </w:numPr>
    </w:pPr>
  </w:style>
  <w:style w:type="numbering" w:customStyle="1" w:styleId="ImportedStyle70">
    <w:name w:val="Imported Style 7.0"/>
    <w:pPr>
      <w:numPr>
        <w:numId w:val="34"/>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bidi="ar-SA"/>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F18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87C"/>
    <w:rPr>
      <w:rFonts w:ascii="Segoe UI" w:hAnsi="Segoe UI" w:cs="Segoe UI"/>
      <w:sz w:val="18"/>
      <w:szCs w:val="18"/>
      <w:lang w:bidi="ar-SA"/>
    </w:rPr>
  </w:style>
  <w:style w:type="paragraph" w:styleId="CommentSubject">
    <w:name w:val="annotation subject"/>
    <w:basedOn w:val="CommentText"/>
    <w:next w:val="CommentText"/>
    <w:link w:val="CommentSubjectChar"/>
    <w:uiPriority w:val="99"/>
    <w:semiHidden/>
    <w:unhideWhenUsed/>
    <w:rsid w:val="00DE19A3"/>
    <w:rPr>
      <w:b/>
      <w:bCs/>
    </w:rPr>
  </w:style>
  <w:style w:type="character" w:customStyle="1" w:styleId="CommentSubjectChar">
    <w:name w:val="Comment Subject Char"/>
    <w:basedOn w:val="CommentTextChar"/>
    <w:link w:val="CommentSubject"/>
    <w:uiPriority w:val="99"/>
    <w:semiHidden/>
    <w:rsid w:val="00DE19A3"/>
    <w:rPr>
      <w:b/>
      <w:bCs/>
      <w:lang w:bidi="ar-SA"/>
    </w:rPr>
  </w:style>
  <w:style w:type="character" w:customStyle="1" w:styleId="Heading1Char">
    <w:name w:val="Heading 1 Char"/>
    <w:basedOn w:val="DefaultParagraphFont"/>
    <w:link w:val="Heading1"/>
    <w:uiPriority w:val="9"/>
    <w:rsid w:val="005C42F3"/>
    <w:rPr>
      <w:rFonts w:asciiTheme="majorHAnsi" w:eastAsiaTheme="majorEastAsia" w:hAnsiTheme="majorHAnsi" w:cstheme="majorBidi"/>
      <w:b/>
      <w:bCs/>
      <w:color w:val="2D4F8E" w:themeColor="accent1" w:themeShade="B5"/>
      <w:sz w:val="32"/>
      <w:szCs w:val="32"/>
      <w:lang w:bidi="ar-SA"/>
    </w:rPr>
  </w:style>
  <w:style w:type="character" w:styleId="FollowedHyperlink">
    <w:name w:val="FollowedHyperlink"/>
    <w:basedOn w:val="DefaultParagraphFont"/>
    <w:uiPriority w:val="99"/>
    <w:semiHidden/>
    <w:unhideWhenUsed/>
    <w:rsid w:val="002D2C32"/>
    <w:rPr>
      <w:color w:val="FF00FF" w:themeColor="followedHyperlink"/>
      <w:u w:val="single"/>
    </w:rPr>
  </w:style>
  <w:style w:type="character" w:customStyle="1" w:styleId="FootnoteTextChar">
    <w:name w:val="Footnote Text Char"/>
    <w:basedOn w:val="DefaultParagraphFont"/>
    <w:link w:val="FootnoteText"/>
    <w:uiPriority w:val="99"/>
    <w:rsid w:val="0067355F"/>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0675">
      <w:bodyDiv w:val="1"/>
      <w:marLeft w:val="0"/>
      <w:marRight w:val="0"/>
      <w:marTop w:val="0"/>
      <w:marBottom w:val="0"/>
      <w:divBdr>
        <w:top w:val="none" w:sz="0" w:space="0" w:color="auto"/>
        <w:left w:val="none" w:sz="0" w:space="0" w:color="auto"/>
        <w:bottom w:val="none" w:sz="0" w:space="0" w:color="auto"/>
        <w:right w:val="none" w:sz="0" w:space="0" w:color="auto"/>
      </w:divBdr>
    </w:div>
    <w:div w:id="16855682">
      <w:bodyDiv w:val="1"/>
      <w:marLeft w:val="0"/>
      <w:marRight w:val="0"/>
      <w:marTop w:val="0"/>
      <w:marBottom w:val="0"/>
      <w:divBdr>
        <w:top w:val="none" w:sz="0" w:space="0" w:color="auto"/>
        <w:left w:val="none" w:sz="0" w:space="0" w:color="auto"/>
        <w:bottom w:val="none" w:sz="0" w:space="0" w:color="auto"/>
        <w:right w:val="none" w:sz="0" w:space="0" w:color="auto"/>
      </w:divBdr>
    </w:div>
    <w:div w:id="386146496">
      <w:bodyDiv w:val="1"/>
      <w:marLeft w:val="0"/>
      <w:marRight w:val="0"/>
      <w:marTop w:val="0"/>
      <w:marBottom w:val="0"/>
      <w:divBdr>
        <w:top w:val="none" w:sz="0" w:space="0" w:color="auto"/>
        <w:left w:val="none" w:sz="0" w:space="0" w:color="auto"/>
        <w:bottom w:val="none" w:sz="0" w:space="0" w:color="auto"/>
        <w:right w:val="none" w:sz="0" w:space="0" w:color="auto"/>
      </w:divBdr>
    </w:div>
    <w:div w:id="402872711">
      <w:bodyDiv w:val="1"/>
      <w:marLeft w:val="0"/>
      <w:marRight w:val="0"/>
      <w:marTop w:val="0"/>
      <w:marBottom w:val="0"/>
      <w:divBdr>
        <w:top w:val="none" w:sz="0" w:space="0" w:color="auto"/>
        <w:left w:val="none" w:sz="0" w:space="0" w:color="auto"/>
        <w:bottom w:val="none" w:sz="0" w:space="0" w:color="auto"/>
        <w:right w:val="none" w:sz="0" w:space="0" w:color="auto"/>
      </w:divBdr>
    </w:div>
    <w:div w:id="449058847">
      <w:bodyDiv w:val="1"/>
      <w:marLeft w:val="0"/>
      <w:marRight w:val="0"/>
      <w:marTop w:val="0"/>
      <w:marBottom w:val="0"/>
      <w:divBdr>
        <w:top w:val="none" w:sz="0" w:space="0" w:color="auto"/>
        <w:left w:val="none" w:sz="0" w:space="0" w:color="auto"/>
        <w:bottom w:val="none" w:sz="0" w:space="0" w:color="auto"/>
        <w:right w:val="none" w:sz="0" w:space="0" w:color="auto"/>
      </w:divBdr>
    </w:div>
    <w:div w:id="459542541">
      <w:bodyDiv w:val="1"/>
      <w:marLeft w:val="0"/>
      <w:marRight w:val="0"/>
      <w:marTop w:val="0"/>
      <w:marBottom w:val="0"/>
      <w:divBdr>
        <w:top w:val="none" w:sz="0" w:space="0" w:color="auto"/>
        <w:left w:val="none" w:sz="0" w:space="0" w:color="auto"/>
        <w:bottom w:val="none" w:sz="0" w:space="0" w:color="auto"/>
        <w:right w:val="none" w:sz="0" w:space="0" w:color="auto"/>
      </w:divBdr>
    </w:div>
    <w:div w:id="497813867">
      <w:bodyDiv w:val="1"/>
      <w:marLeft w:val="0"/>
      <w:marRight w:val="0"/>
      <w:marTop w:val="0"/>
      <w:marBottom w:val="0"/>
      <w:divBdr>
        <w:top w:val="none" w:sz="0" w:space="0" w:color="auto"/>
        <w:left w:val="none" w:sz="0" w:space="0" w:color="auto"/>
        <w:bottom w:val="none" w:sz="0" w:space="0" w:color="auto"/>
        <w:right w:val="none" w:sz="0" w:space="0" w:color="auto"/>
      </w:divBdr>
    </w:div>
    <w:div w:id="583951290">
      <w:bodyDiv w:val="1"/>
      <w:marLeft w:val="0"/>
      <w:marRight w:val="0"/>
      <w:marTop w:val="0"/>
      <w:marBottom w:val="0"/>
      <w:divBdr>
        <w:top w:val="none" w:sz="0" w:space="0" w:color="auto"/>
        <w:left w:val="none" w:sz="0" w:space="0" w:color="auto"/>
        <w:bottom w:val="none" w:sz="0" w:space="0" w:color="auto"/>
        <w:right w:val="none" w:sz="0" w:space="0" w:color="auto"/>
      </w:divBdr>
    </w:div>
    <w:div w:id="678192048">
      <w:bodyDiv w:val="1"/>
      <w:marLeft w:val="0"/>
      <w:marRight w:val="0"/>
      <w:marTop w:val="0"/>
      <w:marBottom w:val="0"/>
      <w:divBdr>
        <w:top w:val="none" w:sz="0" w:space="0" w:color="auto"/>
        <w:left w:val="none" w:sz="0" w:space="0" w:color="auto"/>
        <w:bottom w:val="none" w:sz="0" w:space="0" w:color="auto"/>
        <w:right w:val="none" w:sz="0" w:space="0" w:color="auto"/>
      </w:divBdr>
    </w:div>
    <w:div w:id="752506892">
      <w:bodyDiv w:val="1"/>
      <w:marLeft w:val="0"/>
      <w:marRight w:val="0"/>
      <w:marTop w:val="0"/>
      <w:marBottom w:val="0"/>
      <w:divBdr>
        <w:top w:val="none" w:sz="0" w:space="0" w:color="auto"/>
        <w:left w:val="none" w:sz="0" w:space="0" w:color="auto"/>
        <w:bottom w:val="none" w:sz="0" w:space="0" w:color="auto"/>
        <w:right w:val="none" w:sz="0" w:space="0" w:color="auto"/>
      </w:divBdr>
    </w:div>
    <w:div w:id="769279620">
      <w:bodyDiv w:val="1"/>
      <w:marLeft w:val="0"/>
      <w:marRight w:val="0"/>
      <w:marTop w:val="0"/>
      <w:marBottom w:val="0"/>
      <w:divBdr>
        <w:top w:val="none" w:sz="0" w:space="0" w:color="auto"/>
        <w:left w:val="none" w:sz="0" w:space="0" w:color="auto"/>
        <w:bottom w:val="none" w:sz="0" w:space="0" w:color="auto"/>
        <w:right w:val="none" w:sz="0" w:space="0" w:color="auto"/>
      </w:divBdr>
    </w:div>
    <w:div w:id="775517573">
      <w:bodyDiv w:val="1"/>
      <w:marLeft w:val="0"/>
      <w:marRight w:val="0"/>
      <w:marTop w:val="0"/>
      <w:marBottom w:val="0"/>
      <w:divBdr>
        <w:top w:val="none" w:sz="0" w:space="0" w:color="auto"/>
        <w:left w:val="none" w:sz="0" w:space="0" w:color="auto"/>
        <w:bottom w:val="none" w:sz="0" w:space="0" w:color="auto"/>
        <w:right w:val="none" w:sz="0" w:space="0" w:color="auto"/>
      </w:divBdr>
    </w:div>
    <w:div w:id="805590072">
      <w:bodyDiv w:val="1"/>
      <w:marLeft w:val="0"/>
      <w:marRight w:val="0"/>
      <w:marTop w:val="0"/>
      <w:marBottom w:val="0"/>
      <w:divBdr>
        <w:top w:val="none" w:sz="0" w:space="0" w:color="auto"/>
        <w:left w:val="none" w:sz="0" w:space="0" w:color="auto"/>
        <w:bottom w:val="none" w:sz="0" w:space="0" w:color="auto"/>
        <w:right w:val="none" w:sz="0" w:space="0" w:color="auto"/>
      </w:divBdr>
    </w:div>
    <w:div w:id="845442440">
      <w:bodyDiv w:val="1"/>
      <w:marLeft w:val="0"/>
      <w:marRight w:val="0"/>
      <w:marTop w:val="0"/>
      <w:marBottom w:val="0"/>
      <w:divBdr>
        <w:top w:val="none" w:sz="0" w:space="0" w:color="auto"/>
        <w:left w:val="none" w:sz="0" w:space="0" w:color="auto"/>
        <w:bottom w:val="none" w:sz="0" w:space="0" w:color="auto"/>
        <w:right w:val="none" w:sz="0" w:space="0" w:color="auto"/>
      </w:divBdr>
    </w:div>
    <w:div w:id="925269198">
      <w:bodyDiv w:val="1"/>
      <w:marLeft w:val="0"/>
      <w:marRight w:val="0"/>
      <w:marTop w:val="0"/>
      <w:marBottom w:val="0"/>
      <w:divBdr>
        <w:top w:val="none" w:sz="0" w:space="0" w:color="auto"/>
        <w:left w:val="none" w:sz="0" w:space="0" w:color="auto"/>
        <w:bottom w:val="none" w:sz="0" w:space="0" w:color="auto"/>
        <w:right w:val="none" w:sz="0" w:space="0" w:color="auto"/>
      </w:divBdr>
    </w:div>
    <w:div w:id="936016179">
      <w:bodyDiv w:val="1"/>
      <w:marLeft w:val="0"/>
      <w:marRight w:val="0"/>
      <w:marTop w:val="0"/>
      <w:marBottom w:val="0"/>
      <w:divBdr>
        <w:top w:val="none" w:sz="0" w:space="0" w:color="auto"/>
        <w:left w:val="none" w:sz="0" w:space="0" w:color="auto"/>
        <w:bottom w:val="none" w:sz="0" w:space="0" w:color="auto"/>
        <w:right w:val="none" w:sz="0" w:space="0" w:color="auto"/>
      </w:divBdr>
    </w:div>
    <w:div w:id="1143884728">
      <w:bodyDiv w:val="1"/>
      <w:marLeft w:val="0"/>
      <w:marRight w:val="0"/>
      <w:marTop w:val="0"/>
      <w:marBottom w:val="0"/>
      <w:divBdr>
        <w:top w:val="none" w:sz="0" w:space="0" w:color="auto"/>
        <w:left w:val="none" w:sz="0" w:space="0" w:color="auto"/>
        <w:bottom w:val="none" w:sz="0" w:space="0" w:color="auto"/>
        <w:right w:val="none" w:sz="0" w:space="0" w:color="auto"/>
      </w:divBdr>
    </w:div>
    <w:div w:id="1171532817">
      <w:bodyDiv w:val="1"/>
      <w:marLeft w:val="0"/>
      <w:marRight w:val="0"/>
      <w:marTop w:val="0"/>
      <w:marBottom w:val="0"/>
      <w:divBdr>
        <w:top w:val="none" w:sz="0" w:space="0" w:color="auto"/>
        <w:left w:val="none" w:sz="0" w:space="0" w:color="auto"/>
        <w:bottom w:val="none" w:sz="0" w:space="0" w:color="auto"/>
        <w:right w:val="none" w:sz="0" w:space="0" w:color="auto"/>
      </w:divBdr>
    </w:div>
    <w:div w:id="1262641615">
      <w:bodyDiv w:val="1"/>
      <w:marLeft w:val="0"/>
      <w:marRight w:val="0"/>
      <w:marTop w:val="0"/>
      <w:marBottom w:val="0"/>
      <w:divBdr>
        <w:top w:val="none" w:sz="0" w:space="0" w:color="auto"/>
        <w:left w:val="none" w:sz="0" w:space="0" w:color="auto"/>
        <w:bottom w:val="none" w:sz="0" w:space="0" w:color="auto"/>
        <w:right w:val="none" w:sz="0" w:space="0" w:color="auto"/>
      </w:divBdr>
    </w:div>
    <w:div w:id="1265840598">
      <w:bodyDiv w:val="1"/>
      <w:marLeft w:val="0"/>
      <w:marRight w:val="0"/>
      <w:marTop w:val="0"/>
      <w:marBottom w:val="0"/>
      <w:divBdr>
        <w:top w:val="none" w:sz="0" w:space="0" w:color="auto"/>
        <w:left w:val="none" w:sz="0" w:space="0" w:color="auto"/>
        <w:bottom w:val="none" w:sz="0" w:space="0" w:color="auto"/>
        <w:right w:val="none" w:sz="0" w:space="0" w:color="auto"/>
      </w:divBdr>
    </w:div>
    <w:div w:id="1293512032">
      <w:bodyDiv w:val="1"/>
      <w:marLeft w:val="0"/>
      <w:marRight w:val="0"/>
      <w:marTop w:val="0"/>
      <w:marBottom w:val="0"/>
      <w:divBdr>
        <w:top w:val="none" w:sz="0" w:space="0" w:color="auto"/>
        <w:left w:val="none" w:sz="0" w:space="0" w:color="auto"/>
        <w:bottom w:val="none" w:sz="0" w:space="0" w:color="auto"/>
        <w:right w:val="none" w:sz="0" w:space="0" w:color="auto"/>
      </w:divBdr>
    </w:div>
    <w:div w:id="1340813288">
      <w:bodyDiv w:val="1"/>
      <w:marLeft w:val="0"/>
      <w:marRight w:val="0"/>
      <w:marTop w:val="0"/>
      <w:marBottom w:val="0"/>
      <w:divBdr>
        <w:top w:val="none" w:sz="0" w:space="0" w:color="auto"/>
        <w:left w:val="none" w:sz="0" w:space="0" w:color="auto"/>
        <w:bottom w:val="none" w:sz="0" w:space="0" w:color="auto"/>
        <w:right w:val="none" w:sz="0" w:space="0" w:color="auto"/>
      </w:divBdr>
    </w:div>
    <w:div w:id="1362823815">
      <w:bodyDiv w:val="1"/>
      <w:marLeft w:val="0"/>
      <w:marRight w:val="0"/>
      <w:marTop w:val="0"/>
      <w:marBottom w:val="0"/>
      <w:divBdr>
        <w:top w:val="none" w:sz="0" w:space="0" w:color="auto"/>
        <w:left w:val="none" w:sz="0" w:space="0" w:color="auto"/>
        <w:bottom w:val="none" w:sz="0" w:space="0" w:color="auto"/>
        <w:right w:val="none" w:sz="0" w:space="0" w:color="auto"/>
      </w:divBdr>
    </w:div>
    <w:div w:id="1451974647">
      <w:bodyDiv w:val="1"/>
      <w:marLeft w:val="0"/>
      <w:marRight w:val="0"/>
      <w:marTop w:val="0"/>
      <w:marBottom w:val="0"/>
      <w:divBdr>
        <w:top w:val="none" w:sz="0" w:space="0" w:color="auto"/>
        <w:left w:val="none" w:sz="0" w:space="0" w:color="auto"/>
        <w:bottom w:val="none" w:sz="0" w:space="0" w:color="auto"/>
        <w:right w:val="none" w:sz="0" w:space="0" w:color="auto"/>
      </w:divBdr>
    </w:div>
    <w:div w:id="1662658023">
      <w:bodyDiv w:val="1"/>
      <w:marLeft w:val="0"/>
      <w:marRight w:val="0"/>
      <w:marTop w:val="0"/>
      <w:marBottom w:val="0"/>
      <w:divBdr>
        <w:top w:val="none" w:sz="0" w:space="0" w:color="auto"/>
        <w:left w:val="none" w:sz="0" w:space="0" w:color="auto"/>
        <w:bottom w:val="none" w:sz="0" w:space="0" w:color="auto"/>
        <w:right w:val="none" w:sz="0" w:space="0" w:color="auto"/>
      </w:divBdr>
      <w:divsChild>
        <w:div w:id="842667967">
          <w:marLeft w:val="0"/>
          <w:marRight w:val="0"/>
          <w:marTop w:val="0"/>
          <w:marBottom w:val="0"/>
          <w:divBdr>
            <w:top w:val="none" w:sz="0" w:space="0" w:color="auto"/>
            <w:left w:val="none" w:sz="0" w:space="0" w:color="auto"/>
            <w:bottom w:val="none" w:sz="0" w:space="0" w:color="auto"/>
            <w:right w:val="none" w:sz="0" w:space="0" w:color="auto"/>
          </w:divBdr>
        </w:div>
        <w:div w:id="2101221813">
          <w:marLeft w:val="0"/>
          <w:marRight w:val="0"/>
          <w:marTop w:val="0"/>
          <w:marBottom w:val="0"/>
          <w:divBdr>
            <w:top w:val="none" w:sz="0" w:space="0" w:color="auto"/>
            <w:left w:val="none" w:sz="0" w:space="0" w:color="auto"/>
            <w:bottom w:val="none" w:sz="0" w:space="0" w:color="auto"/>
            <w:right w:val="none" w:sz="0" w:space="0" w:color="auto"/>
          </w:divBdr>
        </w:div>
        <w:div w:id="1208571782">
          <w:marLeft w:val="0"/>
          <w:marRight w:val="0"/>
          <w:marTop w:val="0"/>
          <w:marBottom w:val="0"/>
          <w:divBdr>
            <w:top w:val="none" w:sz="0" w:space="0" w:color="auto"/>
            <w:left w:val="none" w:sz="0" w:space="0" w:color="auto"/>
            <w:bottom w:val="none" w:sz="0" w:space="0" w:color="auto"/>
            <w:right w:val="none" w:sz="0" w:space="0" w:color="auto"/>
          </w:divBdr>
        </w:div>
        <w:div w:id="1545865638">
          <w:marLeft w:val="0"/>
          <w:marRight w:val="0"/>
          <w:marTop w:val="0"/>
          <w:marBottom w:val="0"/>
          <w:divBdr>
            <w:top w:val="none" w:sz="0" w:space="0" w:color="auto"/>
            <w:left w:val="none" w:sz="0" w:space="0" w:color="auto"/>
            <w:bottom w:val="none" w:sz="0" w:space="0" w:color="auto"/>
            <w:right w:val="none" w:sz="0" w:space="0" w:color="auto"/>
          </w:divBdr>
        </w:div>
        <w:div w:id="934047984">
          <w:marLeft w:val="0"/>
          <w:marRight w:val="0"/>
          <w:marTop w:val="0"/>
          <w:marBottom w:val="0"/>
          <w:divBdr>
            <w:top w:val="none" w:sz="0" w:space="0" w:color="auto"/>
            <w:left w:val="none" w:sz="0" w:space="0" w:color="auto"/>
            <w:bottom w:val="none" w:sz="0" w:space="0" w:color="auto"/>
            <w:right w:val="none" w:sz="0" w:space="0" w:color="auto"/>
          </w:divBdr>
        </w:div>
        <w:div w:id="1486124276">
          <w:marLeft w:val="0"/>
          <w:marRight w:val="0"/>
          <w:marTop w:val="0"/>
          <w:marBottom w:val="0"/>
          <w:divBdr>
            <w:top w:val="none" w:sz="0" w:space="0" w:color="auto"/>
            <w:left w:val="none" w:sz="0" w:space="0" w:color="auto"/>
            <w:bottom w:val="none" w:sz="0" w:space="0" w:color="auto"/>
            <w:right w:val="none" w:sz="0" w:space="0" w:color="auto"/>
          </w:divBdr>
        </w:div>
        <w:div w:id="1369331869">
          <w:marLeft w:val="0"/>
          <w:marRight w:val="0"/>
          <w:marTop w:val="0"/>
          <w:marBottom w:val="0"/>
          <w:divBdr>
            <w:top w:val="none" w:sz="0" w:space="0" w:color="auto"/>
            <w:left w:val="none" w:sz="0" w:space="0" w:color="auto"/>
            <w:bottom w:val="none" w:sz="0" w:space="0" w:color="auto"/>
            <w:right w:val="none" w:sz="0" w:space="0" w:color="auto"/>
          </w:divBdr>
        </w:div>
        <w:div w:id="431315007">
          <w:marLeft w:val="0"/>
          <w:marRight w:val="0"/>
          <w:marTop w:val="0"/>
          <w:marBottom w:val="0"/>
          <w:divBdr>
            <w:top w:val="none" w:sz="0" w:space="0" w:color="auto"/>
            <w:left w:val="none" w:sz="0" w:space="0" w:color="auto"/>
            <w:bottom w:val="none" w:sz="0" w:space="0" w:color="auto"/>
            <w:right w:val="none" w:sz="0" w:space="0" w:color="auto"/>
          </w:divBdr>
        </w:div>
        <w:div w:id="245967611">
          <w:marLeft w:val="0"/>
          <w:marRight w:val="0"/>
          <w:marTop w:val="0"/>
          <w:marBottom w:val="0"/>
          <w:divBdr>
            <w:top w:val="none" w:sz="0" w:space="0" w:color="auto"/>
            <w:left w:val="none" w:sz="0" w:space="0" w:color="auto"/>
            <w:bottom w:val="none" w:sz="0" w:space="0" w:color="auto"/>
            <w:right w:val="none" w:sz="0" w:space="0" w:color="auto"/>
          </w:divBdr>
        </w:div>
      </w:divsChild>
    </w:div>
    <w:div w:id="1674331362">
      <w:bodyDiv w:val="1"/>
      <w:marLeft w:val="0"/>
      <w:marRight w:val="0"/>
      <w:marTop w:val="0"/>
      <w:marBottom w:val="0"/>
      <w:divBdr>
        <w:top w:val="none" w:sz="0" w:space="0" w:color="auto"/>
        <w:left w:val="none" w:sz="0" w:space="0" w:color="auto"/>
        <w:bottom w:val="none" w:sz="0" w:space="0" w:color="auto"/>
        <w:right w:val="none" w:sz="0" w:space="0" w:color="auto"/>
      </w:divBdr>
    </w:div>
    <w:div w:id="1676346121">
      <w:bodyDiv w:val="1"/>
      <w:marLeft w:val="0"/>
      <w:marRight w:val="0"/>
      <w:marTop w:val="0"/>
      <w:marBottom w:val="0"/>
      <w:divBdr>
        <w:top w:val="none" w:sz="0" w:space="0" w:color="auto"/>
        <w:left w:val="none" w:sz="0" w:space="0" w:color="auto"/>
        <w:bottom w:val="none" w:sz="0" w:space="0" w:color="auto"/>
        <w:right w:val="none" w:sz="0" w:space="0" w:color="auto"/>
      </w:divBdr>
    </w:div>
    <w:div w:id="1707750263">
      <w:bodyDiv w:val="1"/>
      <w:marLeft w:val="0"/>
      <w:marRight w:val="0"/>
      <w:marTop w:val="0"/>
      <w:marBottom w:val="0"/>
      <w:divBdr>
        <w:top w:val="none" w:sz="0" w:space="0" w:color="auto"/>
        <w:left w:val="none" w:sz="0" w:space="0" w:color="auto"/>
        <w:bottom w:val="none" w:sz="0" w:space="0" w:color="auto"/>
        <w:right w:val="none" w:sz="0" w:space="0" w:color="auto"/>
      </w:divBdr>
    </w:div>
    <w:div w:id="1818645518">
      <w:bodyDiv w:val="1"/>
      <w:marLeft w:val="0"/>
      <w:marRight w:val="0"/>
      <w:marTop w:val="0"/>
      <w:marBottom w:val="0"/>
      <w:divBdr>
        <w:top w:val="none" w:sz="0" w:space="0" w:color="auto"/>
        <w:left w:val="none" w:sz="0" w:space="0" w:color="auto"/>
        <w:bottom w:val="none" w:sz="0" w:space="0" w:color="auto"/>
        <w:right w:val="none" w:sz="0" w:space="0" w:color="auto"/>
      </w:divBdr>
    </w:div>
    <w:div w:id="1829010285">
      <w:bodyDiv w:val="1"/>
      <w:marLeft w:val="0"/>
      <w:marRight w:val="0"/>
      <w:marTop w:val="0"/>
      <w:marBottom w:val="0"/>
      <w:divBdr>
        <w:top w:val="none" w:sz="0" w:space="0" w:color="auto"/>
        <w:left w:val="none" w:sz="0" w:space="0" w:color="auto"/>
        <w:bottom w:val="none" w:sz="0" w:space="0" w:color="auto"/>
        <w:right w:val="none" w:sz="0" w:space="0" w:color="auto"/>
      </w:divBdr>
    </w:div>
    <w:div w:id="1875382980">
      <w:bodyDiv w:val="1"/>
      <w:marLeft w:val="0"/>
      <w:marRight w:val="0"/>
      <w:marTop w:val="0"/>
      <w:marBottom w:val="0"/>
      <w:divBdr>
        <w:top w:val="none" w:sz="0" w:space="0" w:color="auto"/>
        <w:left w:val="none" w:sz="0" w:space="0" w:color="auto"/>
        <w:bottom w:val="none" w:sz="0" w:space="0" w:color="auto"/>
        <w:right w:val="none" w:sz="0" w:space="0" w:color="auto"/>
      </w:divBdr>
    </w:div>
    <w:div w:id="1885865019">
      <w:bodyDiv w:val="1"/>
      <w:marLeft w:val="0"/>
      <w:marRight w:val="0"/>
      <w:marTop w:val="0"/>
      <w:marBottom w:val="0"/>
      <w:divBdr>
        <w:top w:val="none" w:sz="0" w:space="0" w:color="auto"/>
        <w:left w:val="none" w:sz="0" w:space="0" w:color="auto"/>
        <w:bottom w:val="none" w:sz="0" w:space="0" w:color="auto"/>
        <w:right w:val="none" w:sz="0" w:space="0" w:color="auto"/>
      </w:divBdr>
    </w:div>
    <w:div w:id="1942371190">
      <w:bodyDiv w:val="1"/>
      <w:marLeft w:val="0"/>
      <w:marRight w:val="0"/>
      <w:marTop w:val="0"/>
      <w:marBottom w:val="0"/>
      <w:divBdr>
        <w:top w:val="none" w:sz="0" w:space="0" w:color="auto"/>
        <w:left w:val="none" w:sz="0" w:space="0" w:color="auto"/>
        <w:bottom w:val="none" w:sz="0" w:space="0" w:color="auto"/>
        <w:right w:val="none" w:sz="0" w:space="0" w:color="auto"/>
      </w:divBdr>
    </w:div>
    <w:div w:id="1963344624">
      <w:bodyDiv w:val="1"/>
      <w:marLeft w:val="0"/>
      <w:marRight w:val="0"/>
      <w:marTop w:val="0"/>
      <w:marBottom w:val="0"/>
      <w:divBdr>
        <w:top w:val="none" w:sz="0" w:space="0" w:color="auto"/>
        <w:left w:val="none" w:sz="0" w:space="0" w:color="auto"/>
        <w:bottom w:val="none" w:sz="0" w:space="0" w:color="auto"/>
        <w:right w:val="none" w:sz="0" w:space="0" w:color="auto"/>
      </w:divBdr>
    </w:div>
    <w:div w:id="2013137897">
      <w:bodyDiv w:val="1"/>
      <w:marLeft w:val="0"/>
      <w:marRight w:val="0"/>
      <w:marTop w:val="0"/>
      <w:marBottom w:val="0"/>
      <w:divBdr>
        <w:top w:val="none" w:sz="0" w:space="0" w:color="auto"/>
        <w:left w:val="none" w:sz="0" w:space="0" w:color="auto"/>
        <w:bottom w:val="none" w:sz="0" w:space="0" w:color="auto"/>
        <w:right w:val="none" w:sz="0" w:space="0" w:color="auto"/>
      </w:divBdr>
    </w:div>
    <w:div w:id="2044592240">
      <w:bodyDiv w:val="1"/>
      <w:marLeft w:val="0"/>
      <w:marRight w:val="0"/>
      <w:marTop w:val="0"/>
      <w:marBottom w:val="0"/>
      <w:divBdr>
        <w:top w:val="none" w:sz="0" w:space="0" w:color="auto"/>
        <w:left w:val="none" w:sz="0" w:space="0" w:color="auto"/>
        <w:bottom w:val="none" w:sz="0" w:space="0" w:color="auto"/>
        <w:right w:val="none" w:sz="0" w:space="0" w:color="auto"/>
      </w:divBdr>
    </w:div>
    <w:div w:id="2059358947">
      <w:bodyDiv w:val="1"/>
      <w:marLeft w:val="0"/>
      <w:marRight w:val="0"/>
      <w:marTop w:val="0"/>
      <w:marBottom w:val="0"/>
      <w:divBdr>
        <w:top w:val="none" w:sz="0" w:space="0" w:color="auto"/>
        <w:left w:val="none" w:sz="0" w:space="0" w:color="auto"/>
        <w:bottom w:val="none" w:sz="0" w:space="0" w:color="auto"/>
        <w:right w:val="none" w:sz="0" w:space="0" w:color="auto"/>
      </w:divBdr>
    </w:div>
    <w:div w:id="214561498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14"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1" Type="http://schemas.openxmlformats.org/officeDocument/2006/relationships/hyperlink" Target="https://www.khmertimeskh.com/100871/chinese-smart-buses-bring-safe-comfortable-transport-cambodia/" TargetMode="External"/><Relationship Id="rId12" Type="http://schemas.openxmlformats.org/officeDocument/2006/relationships/hyperlink" Target="https://www.phnompenhpost.com/national-post-depth/how-short-term-contracts-are-putting-cambodias-pregnant-factory-workers" TargetMode="External"/><Relationship Id="rId1" Type="http://schemas.openxmlformats.org/officeDocument/2006/relationships/hyperlink" Target="https://www.adb.org/sites/default/files/linked-documents/cps-cam-2014-2018-ga.pdf" TargetMode="External"/><Relationship Id="rId2" Type="http://schemas.openxmlformats.org/officeDocument/2006/relationships/hyperlink" Target="https://www.care.at/wp-content/uploads/2017/07/CARE-Factsheet_V5-Low.pdf" TargetMode="External"/><Relationship Id="rId3" Type="http://schemas.openxmlformats.org/officeDocument/2006/relationships/hyperlink" Target="https://cchrcambodia.org/admin/media/report/report/english/Third%20Annual%20Report%20of%20the%20Cambodia%20Fundamental%20Freedoms%20Monitor%202018-2019_ENG.pdf" TargetMode="External"/><Relationship Id="rId4" Type="http://schemas.openxmlformats.org/officeDocument/2006/relationships/hyperlink" Target="https://law.yale.edu/system/files/documents/pdf/Intellectual_Life/Cambodia_TearingApartattheSeams.pdf" TargetMode="External"/><Relationship Id="rId5" Type="http://schemas.openxmlformats.org/officeDocument/2006/relationships/hyperlink" Target="https://law.yale.edu/system/files/documents/pdf/Intellectual_Life/Cambodia_TearingApartattheSeams.pdf" TargetMode="External"/><Relationship Id="rId6" Type="http://schemas.openxmlformats.org/officeDocument/2006/relationships/hyperlink" Target="https://fairaction.se/wp-content/uploads/2015/09/A-Short-Term-Solution_Fair-Action.pdf" TargetMode="External"/><Relationship Id="rId7" Type="http://schemas.openxmlformats.org/officeDocument/2006/relationships/hyperlink" Target="https://www.solidaritycenter.org/wp-content/uploads/2019/06/Gender.Cambodia-report.6.19.pdf" TargetMode="External"/><Relationship Id="rId8" Type="http://schemas.openxmlformats.org/officeDocument/2006/relationships/hyperlink" Target="https://www.ilo.org/dyn/normlex/en/f?p=NORMLEXPUB:12100:0::NO::P12100_ILO_CODE:C190" TargetMode="External"/><Relationship Id="rId9" Type="http://schemas.openxmlformats.org/officeDocument/2006/relationships/hyperlink" Target="http://www.nssf.gov.kh/default/wp-content/uploads/2018/01/Binder3.pdf" TargetMode="External"/><Relationship Id="rId10" Type="http://schemas.openxmlformats.org/officeDocument/2006/relationships/hyperlink" Target="https://www.scmp.com/lifestyle/article/3014826/horrific-accident-puts-cambodias-poor-travel-conditions-garment-worker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D0DDE-B7FB-934A-8FEB-56D7DB35DBFB}">
  <ds:schemaRefs>
    <ds:schemaRef ds:uri="http://schemas.openxmlformats.org/officeDocument/2006/bibliography"/>
  </ds:schemaRefs>
</ds:datastoreItem>
</file>

<file path=customXml/itemProps2.xml><?xml version="1.0" encoding="utf-8"?>
<ds:datastoreItem xmlns:ds="http://schemas.openxmlformats.org/officeDocument/2006/customXml" ds:itemID="{4E6A63AA-CDA1-480B-A0F1-07DD46AC8D79}"/>
</file>

<file path=customXml/itemProps3.xml><?xml version="1.0" encoding="utf-8"?>
<ds:datastoreItem xmlns:ds="http://schemas.openxmlformats.org/officeDocument/2006/customXml" ds:itemID="{595FC8A7-6A38-4631-B558-402AEA3929E7}"/>
</file>

<file path=customXml/itemProps4.xml><?xml version="1.0" encoding="utf-8"?>
<ds:datastoreItem xmlns:ds="http://schemas.openxmlformats.org/officeDocument/2006/customXml" ds:itemID="{F0765D65-E246-499B-A8F8-8592179C8D2F}"/>
</file>

<file path=docProps/app.xml><?xml version="1.0" encoding="utf-8"?>
<Properties xmlns="http://schemas.openxmlformats.org/officeDocument/2006/extended-properties" xmlns:vt="http://schemas.openxmlformats.org/officeDocument/2006/docPropsVTypes">
  <Template>Normal.dotm</Template>
  <TotalTime>27</TotalTime>
  <Pages>15</Pages>
  <Words>5134</Words>
  <Characters>28296</Characters>
  <Application>Microsoft Macintosh Word</Application>
  <DocSecurity>0</DocSecurity>
  <Lines>563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Ziona Tanzer</dc:creator>
  <cp:lastModifiedBy>Lou Goldman</cp:lastModifiedBy>
  <cp:revision>8</cp:revision>
  <dcterms:created xsi:type="dcterms:W3CDTF">2019-09-30T15:37:00Z</dcterms:created>
  <dcterms:modified xsi:type="dcterms:W3CDTF">2019-09-30T16:00:00Z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