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D23C4" w14:textId="77777777" w:rsidR="00E67BD9" w:rsidRDefault="00E67BD9" w:rsidP="00191133">
      <w:pPr>
        <w:spacing w:before="100" w:beforeAutospacing="1" w:after="100" w:afterAutospacing="1" w:line="276" w:lineRule="auto"/>
        <w:jc w:val="both"/>
        <w:outlineLvl w:val="0"/>
        <w:rPr>
          <w:rFonts w:ascii="Times New Roman" w:eastAsia="Times New Roman" w:hAnsi="Times New Roman" w:cs="Times New Roman"/>
          <w:b/>
          <w:bCs/>
          <w:kern w:val="36"/>
          <w:sz w:val="48"/>
          <w:szCs w:val="48"/>
          <w14:ligatures w14:val="none"/>
        </w:rPr>
      </w:pPr>
    </w:p>
    <w:p w14:paraId="6D14B7E9" w14:textId="3D6ADF81" w:rsidR="00E67BD9" w:rsidRPr="00E67BD9" w:rsidRDefault="00E67BD9" w:rsidP="00191133">
      <w:pPr>
        <w:spacing w:before="100" w:beforeAutospacing="1" w:after="100" w:afterAutospacing="1" w:line="276" w:lineRule="auto"/>
        <w:outlineLvl w:val="0"/>
        <w:rPr>
          <w:rFonts w:ascii="Times New Roman" w:eastAsia="Times New Roman" w:hAnsi="Times New Roman" w:cs="Times New Roman"/>
          <w:b/>
          <w:bCs/>
          <w:kern w:val="36"/>
          <w:sz w:val="48"/>
          <w:szCs w:val="48"/>
          <w14:ligatures w14:val="none"/>
        </w:rPr>
      </w:pPr>
      <w:r w:rsidRPr="00E67BD9">
        <w:rPr>
          <w:rFonts w:ascii="Times New Roman" w:eastAsia="Times New Roman" w:hAnsi="Times New Roman" w:cs="Times New Roman"/>
          <w:b/>
          <w:bCs/>
          <w:kern w:val="36"/>
          <w:sz w:val="48"/>
          <w:szCs w:val="48"/>
          <w14:ligatures w14:val="none"/>
        </w:rPr>
        <w:t>Committee Against Torture (CAT)</w:t>
      </w:r>
    </w:p>
    <w:p w14:paraId="4EE04793" w14:textId="77777777" w:rsidR="00E67BD9" w:rsidRPr="00E67BD9" w:rsidRDefault="00E67BD9" w:rsidP="00191133">
      <w:pPr>
        <w:spacing w:before="100" w:beforeAutospacing="1" w:after="100" w:afterAutospacing="1" w:line="276" w:lineRule="auto"/>
        <w:outlineLvl w:val="1"/>
        <w:rPr>
          <w:rFonts w:ascii="Times New Roman" w:eastAsia="Times New Roman" w:hAnsi="Times New Roman" w:cs="Times New Roman"/>
          <w:b/>
          <w:bCs/>
          <w:kern w:val="0"/>
          <w:sz w:val="36"/>
          <w:szCs w:val="36"/>
          <w14:ligatures w14:val="none"/>
        </w:rPr>
      </w:pPr>
      <w:r w:rsidRPr="00E67BD9">
        <w:rPr>
          <w:rFonts w:ascii="Times New Roman" w:eastAsia="Times New Roman" w:hAnsi="Times New Roman" w:cs="Times New Roman"/>
          <w:b/>
          <w:bCs/>
          <w:kern w:val="0"/>
          <w:sz w:val="36"/>
          <w:szCs w:val="36"/>
          <w14:ligatures w14:val="none"/>
        </w:rPr>
        <w:t>84th Session – Alternative Report for LOIPR</w:t>
      </w:r>
    </w:p>
    <w:p w14:paraId="0D26BBD4" w14:textId="77777777" w:rsidR="00E67BD9" w:rsidRPr="00191133" w:rsidRDefault="00E67BD9" w:rsidP="00191133">
      <w:pPr>
        <w:spacing w:before="100" w:beforeAutospacing="1" w:after="100" w:afterAutospacing="1" w:line="276" w:lineRule="auto"/>
        <w:outlineLvl w:val="2"/>
        <w:rPr>
          <w:rFonts w:ascii="Times New Roman" w:eastAsia="Times New Roman" w:hAnsi="Times New Roman" w:cs="Times New Roman"/>
          <w:b/>
          <w:bCs/>
          <w:kern w:val="0"/>
          <w:sz w:val="27"/>
          <w:szCs w:val="27"/>
          <w:lang w:val="fr-FR"/>
          <w14:ligatures w14:val="none"/>
        </w:rPr>
      </w:pPr>
      <w:r w:rsidRPr="00191133">
        <w:rPr>
          <w:rFonts w:ascii="Times New Roman" w:eastAsia="Times New Roman" w:hAnsi="Times New Roman" w:cs="Times New Roman"/>
          <w:b/>
          <w:bCs/>
          <w:kern w:val="0"/>
          <w:sz w:val="27"/>
          <w:szCs w:val="27"/>
          <w:lang w:val="fr-FR"/>
          <w14:ligatures w14:val="none"/>
        </w:rPr>
        <w:t>Switzerland</w:t>
      </w:r>
    </w:p>
    <w:p w14:paraId="3AA17BB2" w14:textId="77777777" w:rsidR="00E67BD9" w:rsidRPr="00191133" w:rsidRDefault="00E67BD9" w:rsidP="00191133">
      <w:pPr>
        <w:spacing w:before="100" w:beforeAutospacing="1" w:after="100" w:afterAutospacing="1" w:line="276" w:lineRule="auto"/>
        <w:rPr>
          <w:rFonts w:ascii="Times New Roman" w:eastAsia="Times New Roman" w:hAnsi="Times New Roman" w:cs="Times New Roman"/>
          <w:b/>
          <w:bCs/>
          <w:kern w:val="0"/>
          <w:sz w:val="24"/>
          <w:szCs w:val="24"/>
          <w:lang w:val="fr-FR"/>
          <w14:ligatures w14:val="none"/>
        </w:rPr>
      </w:pPr>
      <w:r w:rsidRPr="00191133">
        <w:rPr>
          <w:rFonts w:ascii="Times New Roman" w:eastAsia="Times New Roman" w:hAnsi="Times New Roman" w:cs="Times New Roman"/>
          <w:b/>
          <w:bCs/>
          <w:kern w:val="0"/>
          <w:sz w:val="24"/>
          <w:szCs w:val="24"/>
          <w:lang w:val="fr-FR"/>
          <w14:ligatures w14:val="none"/>
        </w:rPr>
        <w:t>Submitted by:</w:t>
      </w:r>
      <w:r w:rsidRPr="00191133">
        <w:rPr>
          <w:rFonts w:ascii="Times New Roman" w:eastAsia="Times New Roman" w:hAnsi="Times New Roman" w:cs="Times New Roman"/>
          <w:kern w:val="0"/>
          <w:sz w:val="24"/>
          <w:szCs w:val="24"/>
          <w:lang w:val="fr-FR"/>
          <w14:ligatures w14:val="none"/>
        </w:rPr>
        <w:br/>
      </w:r>
      <w:r w:rsidRPr="00191133">
        <w:rPr>
          <w:rFonts w:ascii="Times New Roman" w:eastAsia="Times New Roman" w:hAnsi="Times New Roman" w:cs="Times New Roman"/>
          <w:b/>
          <w:bCs/>
          <w:kern w:val="0"/>
          <w:sz w:val="24"/>
          <w:szCs w:val="24"/>
          <w:lang w:val="fr-FR"/>
          <w14:ligatures w14:val="none"/>
        </w:rPr>
        <w:t>Alliance internationale pour la défense des droits et des libertés (AIDL)</w:t>
      </w:r>
    </w:p>
    <w:p w14:paraId="5B9A32FC" w14:textId="1E40E518" w:rsidR="00E67BD9" w:rsidRPr="00E67BD9" w:rsidRDefault="00E67BD9" w:rsidP="00191133">
      <w:pPr>
        <w:spacing w:before="100" w:beforeAutospacing="1" w:after="100" w:afterAutospacing="1" w:line="276" w:lineRule="auto"/>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b/>
          <w:bCs/>
          <w:kern w:val="0"/>
          <w:sz w:val="24"/>
          <w:szCs w:val="24"/>
          <w14:ligatures w14:val="none"/>
        </w:rPr>
        <w:t>Contact:</w:t>
      </w:r>
      <w:r w:rsidRPr="00E67BD9">
        <w:rPr>
          <w:rFonts w:ascii="Times New Roman" w:eastAsia="Times New Roman" w:hAnsi="Times New Roman" w:cs="Times New Roman"/>
          <w:kern w:val="0"/>
          <w:sz w:val="24"/>
          <w:szCs w:val="24"/>
          <w14:ligatures w14:val="none"/>
        </w:rPr>
        <w:t xml:space="preserve"> </w:t>
      </w:r>
      <w:hyperlink r:id="rId7" w:history="1">
        <w:r w:rsidRPr="00E67BD9">
          <w:rPr>
            <w:rFonts w:ascii="Times New Roman" w:eastAsia="Times New Roman" w:hAnsi="Times New Roman" w:cs="Times New Roman"/>
            <w:color w:val="0000FF"/>
            <w:kern w:val="0"/>
            <w:sz w:val="24"/>
            <w:szCs w:val="24"/>
            <w:u w:val="single"/>
            <w14:ligatures w14:val="none"/>
          </w:rPr>
          <w:t>AIDL@AIDL.EU</w:t>
        </w:r>
      </w:hyperlink>
      <w:r w:rsidRPr="00E67BD9">
        <w:rPr>
          <w:rFonts w:ascii="Times New Roman" w:eastAsia="Times New Roman" w:hAnsi="Times New Roman" w:cs="Times New Roman"/>
          <w:kern w:val="0"/>
          <w:sz w:val="24"/>
          <w:szCs w:val="24"/>
          <w14:ligatures w14:val="none"/>
        </w:rPr>
        <w:t xml:space="preserve"> | </w:t>
      </w:r>
      <w:hyperlink r:id="rId8" w:history="1">
        <w:r w:rsidRPr="00E67BD9">
          <w:rPr>
            <w:rFonts w:ascii="Times New Roman" w:eastAsia="Times New Roman" w:hAnsi="Times New Roman" w:cs="Times New Roman"/>
            <w:color w:val="0000FF"/>
            <w:kern w:val="0"/>
            <w:sz w:val="24"/>
            <w:szCs w:val="24"/>
            <w:u w:val="single"/>
            <w14:ligatures w14:val="none"/>
          </w:rPr>
          <w:t>www.aidl.eu</w:t>
        </w:r>
      </w:hyperlink>
      <w:r w:rsidRPr="00E67BD9">
        <w:rPr>
          <w:rFonts w:ascii="Times New Roman" w:eastAsia="Times New Roman" w:hAnsi="Times New Roman" w:cs="Times New Roman"/>
          <w:kern w:val="0"/>
          <w:sz w:val="24"/>
          <w:szCs w:val="24"/>
          <w14:ligatures w14:val="none"/>
        </w:rPr>
        <w:br/>
      </w:r>
      <w:r w:rsidRPr="00E67BD9">
        <w:rPr>
          <w:rFonts w:ascii="Times New Roman" w:eastAsia="Times New Roman" w:hAnsi="Times New Roman" w:cs="Times New Roman"/>
          <w:b/>
          <w:bCs/>
          <w:kern w:val="0"/>
          <w:sz w:val="24"/>
          <w:szCs w:val="24"/>
          <w14:ligatures w14:val="none"/>
        </w:rPr>
        <w:t>Date:</w:t>
      </w:r>
      <w:r w:rsidRPr="00E67BD9">
        <w:rPr>
          <w:rFonts w:ascii="Times New Roman" w:eastAsia="Times New Roman" w:hAnsi="Times New Roman" w:cs="Times New Roman"/>
          <w:kern w:val="0"/>
          <w:sz w:val="24"/>
          <w:szCs w:val="24"/>
          <w14:ligatures w14:val="none"/>
        </w:rPr>
        <w:t xml:space="preserve"> January 2026</w:t>
      </w:r>
      <w:r w:rsidRPr="00E67BD9">
        <w:rPr>
          <w:rFonts w:ascii="Times New Roman" w:eastAsia="Times New Roman" w:hAnsi="Times New Roman" w:cs="Times New Roman"/>
          <w:kern w:val="0"/>
          <w:sz w:val="24"/>
          <w:szCs w:val="24"/>
          <w14:ligatures w14:val="none"/>
        </w:rPr>
        <w:br/>
      </w:r>
      <w:r w:rsidRPr="00E67BD9">
        <w:rPr>
          <w:rFonts w:ascii="Times New Roman" w:eastAsia="Times New Roman" w:hAnsi="Times New Roman" w:cs="Times New Roman"/>
          <w:b/>
          <w:bCs/>
          <w:kern w:val="0"/>
          <w:sz w:val="24"/>
          <w:szCs w:val="24"/>
          <w14:ligatures w14:val="none"/>
        </w:rPr>
        <w:t>Submission type:</w:t>
      </w:r>
      <w:r w:rsidRPr="00E67BD9">
        <w:rPr>
          <w:rFonts w:ascii="Times New Roman" w:eastAsia="Times New Roman" w:hAnsi="Times New Roman" w:cs="Times New Roman"/>
          <w:kern w:val="0"/>
          <w:sz w:val="24"/>
          <w:szCs w:val="24"/>
          <w14:ligatures w14:val="none"/>
        </w:rPr>
        <w:t xml:space="preserve"> Civil Society Alternative Report for LOIPR (Switzerland)</w:t>
      </w:r>
    </w:p>
    <w:p w14:paraId="45A2DC11" w14:textId="77777777" w:rsidR="00E67BD9" w:rsidRPr="00E67BD9" w:rsidRDefault="00E67BD9" w:rsidP="00191133">
      <w:pPr>
        <w:spacing w:before="100" w:beforeAutospacing="1" w:after="100" w:afterAutospacing="1" w:line="276" w:lineRule="auto"/>
        <w:jc w:val="both"/>
        <w:outlineLvl w:val="1"/>
        <w:rPr>
          <w:rFonts w:ascii="Times New Roman" w:eastAsia="Times New Roman" w:hAnsi="Times New Roman" w:cs="Times New Roman"/>
          <w:b/>
          <w:bCs/>
          <w:kern w:val="0"/>
          <w:sz w:val="36"/>
          <w:szCs w:val="36"/>
          <w14:ligatures w14:val="none"/>
        </w:rPr>
      </w:pPr>
      <w:r w:rsidRPr="00E67BD9">
        <w:rPr>
          <w:rFonts w:ascii="Times New Roman" w:eastAsia="Times New Roman" w:hAnsi="Times New Roman" w:cs="Times New Roman"/>
          <w:b/>
          <w:bCs/>
          <w:kern w:val="0"/>
          <w:sz w:val="36"/>
          <w:szCs w:val="36"/>
          <w14:ligatures w14:val="none"/>
        </w:rPr>
        <w:t>1. Executive Summary</w:t>
      </w:r>
    </w:p>
    <w:p w14:paraId="13E14EF2"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This alternative report is submitted to support the Committee Against Torture in the preparation of the List of Issues Prior to Reporting (LOIPR) for Switzerland.</w:t>
      </w:r>
    </w:p>
    <w:p w14:paraId="459E5A6D"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AIDL’s assessment is direct: Switzerland’s current detention, asylum, and removal practices reveal a persistent pattern of structural risk factors for cruel, inhuman or degrading treatment, and, in certain contexts, a heightened risk of ill-treatment, driven by inadequate safeguards, uneven cantonal implementation, insufficient independent oversight, and accountability gaps. These are not marginal issues, and they are not compatible with Switzerland’s obligations under the Convention against Torture.</w:t>
      </w:r>
    </w:p>
    <w:p w14:paraId="66FFF07F"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Of particular concern are:</w:t>
      </w:r>
    </w:p>
    <w:p w14:paraId="03BA1D5E" w14:textId="77777777" w:rsidR="00E67BD9" w:rsidRPr="00E67BD9" w:rsidRDefault="00E67BD9" w:rsidP="00191133">
      <w:pPr>
        <w:numPr>
          <w:ilvl w:val="0"/>
          <w:numId w:val="2"/>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Police ill-treatment risks and inconsistent safeguards at the earliest and most vulnerable stage of deprivation of liberty.</w:t>
      </w:r>
    </w:p>
    <w:p w14:paraId="160561D6" w14:textId="77777777" w:rsidR="00E67BD9" w:rsidRPr="00E67BD9" w:rsidRDefault="00E67BD9" w:rsidP="00191133">
      <w:pPr>
        <w:numPr>
          <w:ilvl w:val="0"/>
          <w:numId w:val="2"/>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Remand detention regimes that, in practice, replicate severe isolation for prolonged periods, including excessive time locked in cells and insufficient purposeful activities.</w:t>
      </w:r>
    </w:p>
    <w:p w14:paraId="67871B8B" w14:textId="77777777" w:rsidR="00E67BD9" w:rsidRPr="00E67BD9" w:rsidRDefault="00E67BD9" w:rsidP="00191133">
      <w:pPr>
        <w:numPr>
          <w:ilvl w:val="0"/>
          <w:numId w:val="2"/>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Overcrowding and substandard material conditions in certain detention settings.</w:t>
      </w:r>
    </w:p>
    <w:p w14:paraId="4538844E" w14:textId="77777777" w:rsidR="00E67BD9" w:rsidRPr="00E67BD9" w:rsidRDefault="00E67BD9" w:rsidP="00191133">
      <w:pPr>
        <w:numPr>
          <w:ilvl w:val="0"/>
          <w:numId w:val="2"/>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Immigration-related detention and an insufficient and inconsistent use of alternatives to detention, including in situations involving vulnerable persons.</w:t>
      </w:r>
    </w:p>
    <w:p w14:paraId="243871E4" w14:textId="77777777" w:rsidR="00E67BD9" w:rsidRPr="00E67BD9" w:rsidRDefault="00E67BD9" w:rsidP="00191133">
      <w:pPr>
        <w:numPr>
          <w:ilvl w:val="0"/>
          <w:numId w:val="2"/>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Conditions, safety, and protection deficits in federal asylum centres, including reported incidents of violence and sexualized violence, inadequate access to independent complaint mechanisms, and gaps in medical and mental health care.</w:t>
      </w:r>
    </w:p>
    <w:p w14:paraId="2475EB3B" w14:textId="77777777" w:rsidR="00E67BD9" w:rsidRDefault="00E67BD9" w:rsidP="00191133">
      <w:pPr>
        <w:numPr>
          <w:ilvl w:val="0"/>
          <w:numId w:val="2"/>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Forced removals involving restraints and use-of-force risks, coupled with a duty to ensure effective safeguards, accountability, and medical oversight.</w:t>
      </w:r>
    </w:p>
    <w:p w14:paraId="2DA3B49B" w14:textId="77777777" w:rsidR="00191133"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503E93B7" w14:textId="77777777" w:rsidR="00191133" w:rsidRPr="00E67BD9"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5ACE0123" w14:textId="77777777" w:rsidR="00E67BD9" w:rsidRPr="00E67BD9" w:rsidRDefault="00E67BD9" w:rsidP="00191133">
      <w:pPr>
        <w:numPr>
          <w:ilvl w:val="0"/>
          <w:numId w:val="2"/>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Non-refoulement concerns, including the effectiveness of procedural safeguards and remedies with suspensive effect where there is an arguable risk under article 3.</w:t>
      </w:r>
    </w:p>
    <w:p w14:paraId="3B71F7C5" w14:textId="7532B0B6" w:rsidR="00E67BD9" w:rsidRPr="00191133" w:rsidRDefault="00E67BD9" w:rsidP="00191133">
      <w:pPr>
        <w:numPr>
          <w:ilvl w:val="0"/>
          <w:numId w:val="2"/>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Fragmented oversight and uneven accountability that weaken prevention, investigation, and effective remedy.</w:t>
      </w:r>
    </w:p>
    <w:p w14:paraId="3064F403" w14:textId="5C11FDB8"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AIDL urges the Committee to adopt a LOIPR that is operational, measurable, and enforcement-oriented, requiring disaggregated data, clear legal references, independent oversight arrangements, and time-bound commitments.</w:t>
      </w:r>
    </w:p>
    <w:p w14:paraId="2BF1D150" w14:textId="77777777" w:rsidR="00E67BD9" w:rsidRPr="00E67BD9" w:rsidRDefault="00E67BD9" w:rsidP="00191133">
      <w:pPr>
        <w:spacing w:before="100" w:beforeAutospacing="1" w:after="100" w:afterAutospacing="1" w:line="276" w:lineRule="auto"/>
        <w:jc w:val="both"/>
        <w:outlineLvl w:val="1"/>
        <w:rPr>
          <w:rFonts w:ascii="Times New Roman" w:eastAsia="Times New Roman" w:hAnsi="Times New Roman" w:cs="Times New Roman"/>
          <w:b/>
          <w:bCs/>
          <w:kern w:val="0"/>
          <w:sz w:val="36"/>
          <w:szCs w:val="36"/>
          <w14:ligatures w14:val="none"/>
        </w:rPr>
      </w:pPr>
      <w:r w:rsidRPr="00E67BD9">
        <w:rPr>
          <w:rFonts w:ascii="Times New Roman" w:eastAsia="Times New Roman" w:hAnsi="Times New Roman" w:cs="Times New Roman"/>
          <w:b/>
          <w:bCs/>
          <w:kern w:val="0"/>
          <w:sz w:val="36"/>
          <w:szCs w:val="36"/>
          <w14:ligatures w14:val="none"/>
        </w:rPr>
        <w:t>2. Methodology and Standard of Proof</w:t>
      </w:r>
    </w:p>
    <w:p w14:paraId="76F7A2B5"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This submission is based on publicly available information, including reports and recommendations by international and regional monitoring bodies, UN treaty body documentation, and credible civil society reporting. Given the LOIPR context, AIDL uses a compliance and risk-based framework: where credible sources identify recurring concerns, the burden rests on the State party to demonstrate effective prevention, safeguards, investigation, and remedy in practice.</w:t>
      </w:r>
    </w:p>
    <w:p w14:paraId="027EAAC3" w14:textId="50D7A8F0"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Where AIDL refers to incidents or patterns reported by third parties, language reflects that status (reported, documented, alleged) and the LOIPR questions are formulated to compel Switzerland to produce verifiable data and evidence of corrective measures.</w:t>
      </w:r>
    </w:p>
    <w:p w14:paraId="50699D28" w14:textId="77777777" w:rsidR="00E67BD9" w:rsidRPr="00E67BD9" w:rsidRDefault="00E67BD9" w:rsidP="00191133">
      <w:pPr>
        <w:spacing w:before="100" w:beforeAutospacing="1" w:after="100" w:afterAutospacing="1" w:line="276" w:lineRule="auto"/>
        <w:jc w:val="both"/>
        <w:outlineLvl w:val="1"/>
        <w:rPr>
          <w:rFonts w:ascii="Times New Roman" w:eastAsia="Times New Roman" w:hAnsi="Times New Roman" w:cs="Times New Roman"/>
          <w:b/>
          <w:bCs/>
          <w:kern w:val="0"/>
          <w:sz w:val="36"/>
          <w:szCs w:val="36"/>
          <w14:ligatures w14:val="none"/>
        </w:rPr>
      </w:pPr>
      <w:r w:rsidRPr="00E67BD9">
        <w:rPr>
          <w:rFonts w:ascii="Times New Roman" w:eastAsia="Times New Roman" w:hAnsi="Times New Roman" w:cs="Times New Roman"/>
          <w:b/>
          <w:bCs/>
          <w:kern w:val="0"/>
          <w:sz w:val="36"/>
          <w:szCs w:val="36"/>
          <w14:ligatures w14:val="none"/>
        </w:rPr>
        <w:t>3. Switzerland’s Core Obligations Under CAT</w:t>
      </w:r>
    </w:p>
    <w:p w14:paraId="7EBEE8B6"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Switzerland must ensure, at all times and in all places under its jurisdiction:</w:t>
      </w:r>
    </w:p>
    <w:p w14:paraId="7CF29582" w14:textId="77777777" w:rsidR="00E67BD9" w:rsidRPr="00E67BD9" w:rsidRDefault="00E67BD9" w:rsidP="00191133">
      <w:pPr>
        <w:numPr>
          <w:ilvl w:val="0"/>
          <w:numId w:val="3"/>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Effective prevention of torture and ill-treatment through safeguards, supervision, training, and structural controls.</w:t>
      </w:r>
    </w:p>
    <w:p w14:paraId="015EA520" w14:textId="77777777" w:rsidR="00E67BD9" w:rsidRPr="00E67BD9" w:rsidRDefault="00E67BD9" w:rsidP="00191133">
      <w:pPr>
        <w:numPr>
          <w:ilvl w:val="0"/>
          <w:numId w:val="3"/>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Prompt, impartial, and effective investigations into allegations, with prosecution where warranted.</w:t>
      </w:r>
    </w:p>
    <w:p w14:paraId="26F16AB5" w14:textId="77777777" w:rsidR="00E67BD9" w:rsidRPr="00E67BD9" w:rsidRDefault="00E67BD9" w:rsidP="00191133">
      <w:pPr>
        <w:numPr>
          <w:ilvl w:val="0"/>
          <w:numId w:val="3"/>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Effective remedies, including redress and rehabilitation for victims.</w:t>
      </w:r>
    </w:p>
    <w:p w14:paraId="1697706F" w14:textId="77777777" w:rsidR="00E67BD9" w:rsidRPr="00E67BD9" w:rsidRDefault="00E67BD9" w:rsidP="00191133">
      <w:pPr>
        <w:numPr>
          <w:ilvl w:val="0"/>
          <w:numId w:val="3"/>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Strict compliance with the absolute prohibition of refoulement under article 3.</w:t>
      </w:r>
    </w:p>
    <w:p w14:paraId="4AC106A9" w14:textId="77777777" w:rsidR="00E67BD9" w:rsidRPr="00E67BD9" w:rsidRDefault="00E67BD9" w:rsidP="00191133">
      <w:pPr>
        <w:numPr>
          <w:ilvl w:val="0"/>
          <w:numId w:val="3"/>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Consistency of standards across cantons, without “cantonal divergence” becoming a de facto compliance loophole.</w:t>
      </w:r>
    </w:p>
    <w:p w14:paraId="51C73589" w14:textId="46F92760" w:rsid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AIDL underscores a decisive principle: a robust legal framework is not sufficient if practice is inconsistent, oversight is weak, and remedies are inaccessible.</w:t>
      </w:r>
    </w:p>
    <w:p w14:paraId="32342C79" w14:textId="77777777" w:rsidR="00191133"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50DC4D65" w14:textId="77777777" w:rsidR="00191133"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31400BAC" w14:textId="77777777" w:rsidR="00191133" w:rsidRPr="00E67BD9"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5C51A46F" w14:textId="77777777" w:rsidR="00191133" w:rsidRDefault="00191133" w:rsidP="00191133">
      <w:pPr>
        <w:spacing w:before="100" w:beforeAutospacing="1" w:after="100" w:afterAutospacing="1" w:line="276" w:lineRule="auto"/>
        <w:jc w:val="both"/>
        <w:outlineLvl w:val="1"/>
        <w:rPr>
          <w:rFonts w:ascii="Times New Roman" w:eastAsia="Times New Roman" w:hAnsi="Times New Roman" w:cs="Times New Roman"/>
          <w:b/>
          <w:bCs/>
          <w:kern w:val="0"/>
          <w:sz w:val="36"/>
          <w:szCs w:val="36"/>
          <w14:ligatures w14:val="none"/>
        </w:rPr>
      </w:pPr>
    </w:p>
    <w:p w14:paraId="625DAB00" w14:textId="010C9F8D" w:rsidR="00E67BD9" w:rsidRPr="00E67BD9" w:rsidRDefault="00E67BD9" w:rsidP="00191133">
      <w:pPr>
        <w:spacing w:before="100" w:beforeAutospacing="1" w:after="100" w:afterAutospacing="1" w:line="276" w:lineRule="auto"/>
        <w:jc w:val="both"/>
        <w:outlineLvl w:val="1"/>
        <w:rPr>
          <w:rFonts w:ascii="Times New Roman" w:eastAsia="Times New Roman" w:hAnsi="Times New Roman" w:cs="Times New Roman"/>
          <w:b/>
          <w:bCs/>
          <w:kern w:val="0"/>
          <w:sz w:val="36"/>
          <w:szCs w:val="36"/>
          <w14:ligatures w14:val="none"/>
        </w:rPr>
      </w:pPr>
      <w:r w:rsidRPr="00E67BD9">
        <w:rPr>
          <w:rFonts w:ascii="Times New Roman" w:eastAsia="Times New Roman" w:hAnsi="Times New Roman" w:cs="Times New Roman"/>
          <w:b/>
          <w:bCs/>
          <w:kern w:val="0"/>
          <w:sz w:val="36"/>
          <w:szCs w:val="36"/>
          <w14:ligatures w14:val="none"/>
        </w:rPr>
        <w:t>4. Key Areas of Concern Requiring LOIPR Scrutiny</w:t>
      </w:r>
    </w:p>
    <w:p w14:paraId="3E75FDDC"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A. Police Custody and Early-Stage Safeguards (Articles 2, 12, 13, 16)</w:t>
      </w:r>
    </w:p>
    <w:p w14:paraId="4F98B91D" w14:textId="77777777" w:rsid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The highest risk of coercion and ill-treatment is commonly concentrated at the earliest stages of deprivation of liberty. Switzerland must demonstrate that safeguards are immediate, effective, and consistent across cantons. Divergent cantonal practices and uneven documentation standards create predictable accountability deficits.</w:t>
      </w:r>
    </w:p>
    <w:p w14:paraId="31025F5C"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b/>
          <w:bCs/>
          <w:kern w:val="0"/>
          <w:sz w:val="24"/>
          <w:szCs w:val="24"/>
          <w14:ligatures w14:val="none"/>
        </w:rPr>
        <w:t>Core concerns include:</w:t>
      </w:r>
    </w:p>
    <w:p w14:paraId="43110D63" w14:textId="77777777" w:rsidR="00E67BD9" w:rsidRPr="00E67BD9" w:rsidRDefault="00E67BD9" w:rsidP="00191133">
      <w:pPr>
        <w:numPr>
          <w:ilvl w:val="0"/>
          <w:numId w:val="4"/>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Delayed or ineffective access to a lawyer.</w:t>
      </w:r>
    </w:p>
    <w:p w14:paraId="003B54F4" w14:textId="77777777" w:rsidR="00E67BD9" w:rsidRPr="00E67BD9" w:rsidRDefault="00E67BD9" w:rsidP="00191133">
      <w:pPr>
        <w:numPr>
          <w:ilvl w:val="0"/>
          <w:numId w:val="4"/>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Inconsistent medical examination practices and inadequate injury documentation.</w:t>
      </w:r>
    </w:p>
    <w:p w14:paraId="7F36BAC7" w14:textId="77777777" w:rsidR="00E67BD9" w:rsidRPr="00E67BD9" w:rsidRDefault="00E67BD9" w:rsidP="00191133">
      <w:pPr>
        <w:numPr>
          <w:ilvl w:val="0"/>
          <w:numId w:val="4"/>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Weak or non-independent complaint channels.</w:t>
      </w:r>
    </w:p>
    <w:p w14:paraId="71A84F97" w14:textId="77777777" w:rsidR="00E67BD9" w:rsidRPr="00E67BD9" w:rsidRDefault="00E67BD9" w:rsidP="00191133">
      <w:pPr>
        <w:numPr>
          <w:ilvl w:val="0"/>
          <w:numId w:val="4"/>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Risks of informal pressure, intimidation, or reprisals against complainants.</w:t>
      </w:r>
    </w:p>
    <w:p w14:paraId="2E68B757" w14:textId="2B7B63D2"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b/>
          <w:bCs/>
          <w:kern w:val="0"/>
          <w:sz w:val="24"/>
          <w:szCs w:val="24"/>
          <w14:ligatures w14:val="none"/>
        </w:rPr>
        <w:t>LOIPR must force Switzerland to prove effectiveness</w:t>
      </w:r>
      <w:r w:rsidRPr="00E67BD9">
        <w:rPr>
          <w:rFonts w:ascii="Times New Roman" w:eastAsia="Times New Roman" w:hAnsi="Times New Roman" w:cs="Times New Roman"/>
          <w:kern w:val="0"/>
          <w:sz w:val="24"/>
          <w:szCs w:val="24"/>
          <w14:ligatures w14:val="none"/>
        </w:rPr>
        <w:t>, not merely existence, of safeguards and investigations.</w:t>
      </w:r>
    </w:p>
    <w:p w14:paraId="024E4C64"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B. Remand Detention Regimes Resembling Severe Isolation (Articles 2 and 16)</w:t>
      </w:r>
    </w:p>
    <w:p w14:paraId="10D54C42"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AIDL considers that remand detention regimes that confine individuals for excessive periods in cells with minimal purposeful activity, limited human contact, and restricted access to the outside world may amount to severe isolation and can reach the threshold of cruel, inhuman, or degrading treatment depending on duration, conditions, and individual vulnerability.</w:t>
      </w:r>
    </w:p>
    <w:p w14:paraId="61DB2EBC"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This is a compliance failure when it becomes systemic rather than exceptional, and when oversight is not strict, individualized, and time-limited.</w:t>
      </w:r>
    </w:p>
    <w:p w14:paraId="309CB9F7"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b/>
          <w:bCs/>
          <w:kern w:val="0"/>
          <w:sz w:val="24"/>
          <w:szCs w:val="24"/>
          <w14:ligatures w14:val="none"/>
        </w:rPr>
        <w:t>Particular risks:</w:t>
      </w:r>
    </w:p>
    <w:p w14:paraId="07970024" w14:textId="77777777" w:rsidR="00E67BD9" w:rsidRPr="00E67BD9" w:rsidRDefault="00E67BD9" w:rsidP="00191133">
      <w:pPr>
        <w:numPr>
          <w:ilvl w:val="0"/>
          <w:numId w:val="5"/>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Routine “23-hour confinement” type schedules.</w:t>
      </w:r>
    </w:p>
    <w:p w14:paraId="46ED1C86" w14:textId="77777777" w:rsidR="00E67BD9" w:rsidRPr="00E67BD9" w:rsidRDefault="00E67BD9" w:rsidP="00191133">
      <w:pPr>
        <w:numPr>
          <w:ilvl w:val="0"/>
          <w:numId w:val="5"/>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Insufficient access to activities, education, exercise, and meaningful social interaction.</w:t>
      </w:r>
    </w:p>
    <w:p w14:paraId="116C2A68" w14:textId="77777777" w:rsidR="00E67BD9" w:rsidRPr="00E67BD9" w:rsidRDefault="00E67BD9" w:rsidP="00191133">
      <w:pPr>
        <w:numPr>
          <w:ilvl w:val="0"/>
          <w:numId w:val="5"/>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Inadequate mental health screening and support.</w:t>
      </w:r>
    </w:p>
    <w:p w14:paraId="07D44120" w14:textId="4D994904" w:rsidR="00E67BD9" w:rsidRDefault="00E67BD9" w:rsidP="00191133">
      <w:pPr>
        <w:numPr>
          <w:ilvl w:val="0"/>
          <w:numId w:val="5"/>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Overuse or weak regulation of solitary confinement (disciplinary or de facto).</w:t>
      </w:r>
    </w:p>
    <w:p w14:paraId="77332C4A" w14:textId="77777777" w:rsidR="00191133"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39BE7AE9" w14:textId="77777777" w:rsidR="00191133"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0F3A0FCC" w14:textId="77777777" w:rsidR="00191133"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6B62C5E6" w14:textId="77777777" w:rsidR="00191133" w:rsidRPr="00E67BD9"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74D31342"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C. Overcrowding, Material Conditions, and Health Access (Articles 2 and 16)</w:t>
      </w:r>
    </w:p>
    <w:p w14:paraId="6096B260"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Overcrowding and inadequate material conditions are not administrative inconveniences; they are structural drivers of degrading treatment. They also intensify risks of violence, self-harm, and insufficient access to medical care.</w:t>
      </w:r>
    </w:p>
    <w:p w14:paraId="10460031"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AIDL is concerned about:</w:t>
      </w:r>
    </w:p>
    <w:p w14:paraId="6882202E" w14:textId="77777777" w:rsidR="00E67BD9" w:rsidRPr="00E67BD9" w:rsidRDefault="00E67BD9" w:rsidP="00191133">
      <w:pPr>
        <w:numPr>
          <w:ilvl w:val="0"/>
          <w:numId w:val="6"/>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Persistent overcrowding in specific facilities or cantonal settings.</w:t>
      </w:r>
    </w:p>
    <w:p w14:paraId="63197062" w14:textId="77777777" w:rsidR="00E67BD9" w:rsidRPr="00E67BD9" w:rsidRDefault="00E67BD9" w:rsidP="00191133">
      <w:pPr>
        <w:numPr>
          <w:ilvl w:val="0"/>
          <w:numId w:val="6"/>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Insufficient sanitary conditions, ventilation, privacy, and out-of-cell time.</w:t>
      </w:r>
    </w:p>
    <w:p w14:paraId="3137548F" w14:textId="7E125357" w:rsidR="00E67BD9" w:rsidRDefault="00E67BD9" w:rsidP="00191133">
      <w:pPr>
        <w:numPr>
          <w:ilvl w:val="0"/>
          <w:numId w:val="6"/>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Barriers to timely medical and psychiatric care, including continuity of care.</w:t>
      </w:r>
    </w:p>
    <w:p w14:paraId="32B3CC9D"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D. Immigration Detention and Inconsistent Use of Alternatives (Articles 2 and 16)</w:t>
      </w:r>
    </w:p>
    <w:p w14:paraId="36BD74A2"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Immigration detention engages CAT obligations where detention is unnecessary, disproportionate, prolonged, or applied to vulnerable persons without robust safeguards and genuine alternatives.</w:t>
      </w:r>
    </w:p>
    <w:p w14:paraId="1D303D46"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AIDL is concerned that:</w:t>
      </w:r>
    </w:p>
    <w:p w14:paraId="5EAB78C6" w14:textId="77777777" w:rsidR="00E67BD9" w:rsidRPr="00E67BD9" w:rsidRDefault="00E67BD9" w:rsidP="00191133">
      <w:pPr>
        <w:numPr>
          <w:ilvl w:val="0"/>
          <w:numId w:val="7"/>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Alternatives to detention are available but inconsistently applied and insufficiently prioritized.</w:t>
      </w:r>
    </w:p>
    <w:p w14:paraId="734535AB" w14:textId="77777777" w:rsidR="00E67BD9" w:rsidRPr="00E67BD9" w:rsidRDefault="00E67BD9" w:rsidP="00191133">
      <w:pPr>
        <w:numPr>
          <w:ilvl w:val="0"/>
          <w:numId w:val="7"/>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Cantonal divergence produces unequal treatment and weak predictability.</w:t>
      </w:r>
    </w:p>
    <w:p w14:paraId="4128D6FC" w14:textId="77777777" w:rsidR="00E67BD9" w:rsidRPr="00E67BD9" w:rsidRDefault="00E67BD9" w:rsidP="00191133">
      <w:pPr>
        <w:numPr>
          <w:ilvl w:val="0"/>
          <w:numId w:val="7"/>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Vulnerability screening, mental health care, and access to legal assistance are not uniformly ensured.</w:t>
      </w:r>
    </w:p>
    <w:p w14:paraId="774288FF" w14:textId="4897F51A"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b/>
          <w:bCs/>
          <w:kern w:val="0"/>
          <w:sz w:val="24"/>
          <w:szCs w:val="24"/>
          <w14:ligatures w14:val="none"/>
        </w:rPr>
        <w:t>AIDL’s position is unequivocal:</w:t>
      </w:r>
      <w:r w:rsidRPr="00E67BD9">
        <w:rPr>
          <w:rFonts w:ascii="Times New Roman" w:eastAsia="Times New Roman" w:hAnsi="Times New Roman" w:cs="Times New Roman"/>
          <w:kern w:val="0"/>
          <w:sz w:val="24"/>
          <w:szCs w:val="24"/>
          <w14:ligatures w14:val="none"/>
        </w:rPr>
        <w:t xml:space="preserve"> immigration detention must be demonstrably a last resort, time-limited, and subject to independent review, with binding safeguards applied consistently.</w:t>
      </w:r>
    </w:p>
    <w:p w14:paraId="4E8EA821"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E. Federal Asylum Centres: Conditions, Safety, and Protection Failures (Articles 2 and 16)</w:t>
      </w:r>
    </w:p>
    <w:p w14:paraId="51D4DFD1"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AIDL considers the federal asylum centre system to be a high-risk environment for ill-treatment when protection frameworks are weak, complaint systems are not trusted, medical coverage is inadequate, and incidents of violence are not met with transparent accountability.</w:t>
      </w:r>
    </w:p>
    <w:p w14:paraId="6E9B28FE"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AIDL is particularly concerned by credible reporting of:</w:t>
      </w:r>
    </w:p>
    <w:p w14:paraId="518090D5" w14:textId="77777777" w:rsidR="00E67BD9" w:rsidRPr="00E67BD9" w:rsidRDefault="00E67BD9" w:rsidP="00191133">
      <w:pPr>
        <w:numPr>
          <w:ilvl w:val="0"/>
          <w:numId w:val="8"/>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Safety failures and intimidation within centres.</w:t>
      </w:r>
    </w:p>
    <w:p w14:paraId="4C411F42" w14:textId="77777777" w:rsidR="00E67BD9" w:rsidRPr="00E67BD9" w:rsidRDefault="00E67BD9" w:rsidP="00191133">
      <w:pPr>
        <w:numPr>
          <w:ilvl w:val="0"/>
          <w:numId w:val="8"/>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Reported incidents of violence and sexualized violence affecting asylum seekers.</w:t>
      </w:r>
    </w:p>
    <w:p w14:paraId="795905AF" w14:textId="77777777" w:rsidR="00E67BD9" w:rsidRPr="00E67BD9" w:rsidRDefault="00E67BD9" w:rsidP="00191133">
      <w:pPr>
        <w:numPr>
          <w:ilvl w:val="0"/>
          <w:numId w:val="8"/>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Barriers to confidential reporting and victim protection.</w:t>
      </w:r>
    </w:p>
    <w:p w14:paraId="673BFB30" w14:textId="77777777" w:rsidR="00E67BD9" w:rsidRDefault="00E67BD9" w:rsidP="00191133">
      <w:pPr>
        <w:numPr>
          <w:ilvl w:val="0"/>
          <w:numId w:val="8"/>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Gaps in physician coverage, mental health services, and trauma-informed care.</w:t>
      </w:r>
    </w:p>
    <w:p w14:paraId="3D35560D" w14:textId="77777777" w:rsidR="00191133"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3D1491DF" w14:textId="77777777" w:rsidR="00191133" w:rsidRPr="00E67BD9"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032060F2" w14:textId="77777777" w:rsidR="00E67BD9" w:rsidRPr="00E67BD9" w:rsidRDefault="00E67BD9" w:rsidP="00191133">
      <w:pPr>
        <w:numPr>
          <w:ilvl w:val="0"/>
          <w:numId w:val="8"/>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Limited access to independent legal assistance and external oversight.</w:t>
      </w:r>
    </w:p>
    <w:p w14:paraId="390F2935" w14:textId="65DFEBE4"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Switzerland must demonstrate that asylum reception conditions meet standards of dignity, safety, and effective protection, and that allegations are investigated promptly and independently.</w:t>
      </w:r>
    </w:p>
    <w:p w14:paraId="15AC969C"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F. Forced Removals: Restraints, Use of Force, and Accountability (Articles 2, 12, 13, 16)</w:t>
      </w:r>
    </w:p>
    <w:p w14:paraId="191AAA5A"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Forced removals are a recurrent high-risk context for ill-treatment. The Committee should scrutinize:</w:t>
      </w:r>
    </w:p>
    <w:p w14:paraId="2F0603B5" w14:textId="77777777" w:rsidR="00E67BD9" w:rsidRPr="00E67BD9" w:rsidRDefault="00E67BD9" w:rsidP="00191133">
      <w:pPr>
        <w:numPr>
          <w:ilvl w:val="0"/>
          <w:numId w:val="9"/>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The legal basis and operational protocols governing restraints and use of force.</w:t>
      </w:r>
    </w:p>
    <w:p w14:paraId="14C8F566" w14:textId="77777777" w:rsidR="00E67BD9" w:rsidRPr="00E67BD9" w:rsidRDefault="00E67BD9" w:rsidP="00191133">
      <w:pPr>
        <w:numPr>
          <w:ilvl w:val="0"/>
          <w:numId w:val="9"/>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Prohibitions of dangerous restraint methods and positional asphyxia risks.</w:t>
      </w:r>
    </w:p>
    <w:p w14:paraId="65E5FA9A" w14:textId="6A1B326B" w:rsidR="00E67BD9" w:rsidRPr="00191133" w:rsidRDefault="00E67BD9" w:rsidP="00191133">
      <w:pPr>
        <w:numPr>
          <w:ilvl w:val="0"/>
          <w:numId w:val="9"/>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Mandatory medical oversight before, during, and after removals.</w:t>
      </w:r>
    </w:p>
    <w:p w14:paraId="1482A5E9" w14:textId="77777777" w:rsidR="00E67BD9" w:rsidRPr="00E67BD9" w:rsidRDefault="00E67BD9" w:rsidP="00191133">
      <w:pPr>
        <w:numPr>
          <w:ilvl w:val="0"/>
          <w:numId w:val="9"/>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Independent monitoring and effective accountability where harm occurs.</w:t>
      </w:r>
    </w:p>
    <w:p w14:paraId="7323951D" w14:textId="77777777" w:rsidR="00E67BD9" w:rsidRPr="00E67BD9" w:rsidRDefault="00E67BD9" w:rsidP="00191133">
      <w:pPr>
        <w:numPr>
          <w:ilvl w:val="0"/>
          <w:numId w:val="9"/>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Transparent reporting of incidents, complaints, injuries, and outcomes.</w:t>
      </w:r>
    </w:p>
    <w:p w14:paraId="568BE69E" w14:textId="2088D12A"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AIDL emphasizes that “procedures” are not safeguards unless they produce verifiable accountability.</w:t>
      </w:r>
    </w:p>
    <w:p w14:paraId="501B0F2B"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G. Non-refoulement Under Article 3: Effectiveness in Practice (Article 3)</w:t>
      </w:r>
    </w:p>
    <w:p w14:paraId="3921C14F"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Non-refoulement is absolute. Switzerland must demonstrate that its procedures reliably prevent removals where there is a real risk of torture or ill-treatment.</w:t>
      </w:r>
    </w:p>
    <w:p w14:paraId="5F01C1A0"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The Committee should probe:</w:t>
      </w:r>
    </w:p>
    <w:p w14:paraId="616DED5E" w14:textId="77777777" w:rsidR="00E67BD9" w:rsidRPr="00E67BD9" w:rsidRDefault="00E67BD9" w:rsidP="00191133">
      <w:pPr>
        <w:numPr>
          <w:ilvl w:val="0"/>
          <w:numId w:val="10"/>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Whether risk assessments are individualized, evidence-based, and not perfunctory.</w:t>
      </w:r>
    </w:p>
    <w:p w14:paraId="51380B9C" w14:textId="77777777" w:rsidR="00E67BD9" w:rsidRPr="00E67BD9" w:rsidRDefault="00E67BD9" w:rsidP="00191133">
      <w:pPr>
        <w:numPr>
          <w:ilvl w:val="0"/>
          <w:numId w:val="10"/>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Whether legal aid is effective and timely.</w:t>
      </w:r>
    </w:p>
    <w:p w14:paraId="6E223F0E" w14:textId="77777777" w:rsidR="00E67BD9" w:rsidRPr="00E67BD9" w:rsidRDefault="00E67BD9" w:rsidP="00191133">
      <w:pPr>
        <w:numPr>
          <w:ilvl w:val="0"/>
          <w:numId w:val="10"/>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Whether remedies provide suspensive effect in practice when article 3 risks are credibly raised.</w:t>
      </w:r>
    </w:p>
    <w:p w14:paraId="32D9DEB1" w14:textId="77777777" w:rsidR="00E67BD9" w:rsidRPr="00E67BD9" w:rsidRDefault="00E67BD9" w:rsidP="00191133">
      <w:pPr>
        <w:numPr>
          <w:ilvl w:val="0"/>
          <w:numId w:val="10"/>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Whether detention and removal timelines undermine access to remedy.</w:t>
      </w:r>
    </w:p>
    <w:p w14:paraId="38CEE22A" w14:textId="413FA8AA"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AIDL’s position is clear: any procedural design that materially restricts access to an effective remedy creates refoulement risk and is incompatible with CAT.</w:t>
      </w:r>
    </w:p>
    <w:p w14:paraId="73C7391A"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H. Oversight, Investigations, Remedies, and Institutional Capacity (Articles 12, 13, 14)</w:t>
      </w:r>
    </w:p>
    <w:p w14:paraId="3CE67E1A" w14:textId="77777777" w:rsid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Prevention collapses where oversight is fragmented and investigations are not demonstrably independent, prompt, and effective.</w:t>
      </w:r>
    </w:p>
    <w:p w14:paraId="710EA16C" w14:textId="77777777" w:rsidR="00191133"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78842805" w14:textId="77777777" w:rsidR="00191133" w:rsidRPr="00E67BD9"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71807566"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AIDL is concerned about:</w:t>
      </w:r>
    </w:p>
    <w:p w14:paraId="6824AE9B" w14:textId="77777777" w:rsidR="00E67BD9" w:rsidRPr="00E67BD9" w:rsidRDefault="00E67BD9" w:rsidP="00191133">
      <w:pPr>
        <w:numPr>
          <w:ilvl w:val="0"/>
          <w:numId w:val="11"/>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Uneven independent oversight across cantons.</w:t>
      </w:r>
    </w:p>
    <w:p w14:paraId="624B6785" w14:textId="77777777" w:rsidR="00E67BD9" w:rsidRPr="00E67BD9" w:rsidRDefault="00E67BD9" w:rsidP="00191133">
      <w:pPr>
        <w:numPr>
          <w:ilvl w:val="0"/>
          <w:numId w:val="11"/>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Practical barriers to complaining, including fear of reprisals, lack of information, language barriers, and limited legal support.</w:t>
      </w:r>
    </w:p>
    <w:p w14:paraId="01CF32C9" w14:textId="77777777" w:rsidR="00E67BD9" w:rsidRPr="00E67BD9" w:rsidRDefault="00E67BD9" w:rsidP="00191133">
      <w:pPr>
        <w:numPr>
          <w:ilvl w:val="0"/>
          <w:numId w:val="11"/>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Low transparency on investigation outcomes and disciplinary or criminal accountability.</w:t>
      </w:r>
    </w:p>
    <w:p w14:paraId="04DBF7DB" w14:textId="77777777" w:rsidR="00E67BD9" w:rsidRPr="00E67BD9" w:rsidRDefault="00E67BD9" w:rsidP="00191133">
      <w:pPr>
        <w:numPr>
          <w:ilvl w:val="0"/>
          <w:numId w:val="11"/>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Inadequate resourcing of human rights oversight institutions undermining meaningful monitoring.</w:t>
      </w:r>
    </w:p>
    <w:p w14:paraId="6B9D7C1D" w14:textId="01003F8E" w:rsid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The Committee should insist on measurable indicators: complaint volumes, investigation timeframes, prosecution outcomes, sanctions, compensation, and rehabilitation access.</w:t>
      </w:r>
    </w:p>
    <w:p w14:paraId="136011D3" w14:textId="77777777" w:rsidR="00E67BD9" w:rsidRPr="00E67BD9" w:rsidRDefault="00E67BD9" w:rsidP="00191133">
      <w:pPr>
        <w:spacing w:before="100" w:beforeAutospacing="1" w:after="100" w:afterAutospacing="1" w:line="276" w:lineRule="auto"/>
        <w:jc w:val="both"/>
        <w:outlineLvl w:val="1"/>
        <w:rPr>
          <w:rFonts w:ascii="Times New Roman" w:eastAsia="Times New Roman" w:hAnsi="Times New Roman" w:cs="Times New Roman"/>
          <w:b/>
          <w:bCs/>
          <w:kern w:val="0"/>
          <w:sz w:val="36"/>
          <w:szCs w:val="36"/>
          <w14:ligatures w14:val="none"/>
        </w:rPr>
      </w:pPr>
      <w:r w:rsidRPr="00E67BD9">
        <w:rPr>
          <w:rFonts w:ascii="Times New Roman" w:eastAsia="Times New Roman" w:hAnsi="Times New Roman" w:cs="Times New Roman"/>
          <w:b/>
          <w:bCs/>
          <w:kern w:val="0"/>
          <w:sz w:val="36"/>
          <w:szCs w:val="36"/>
          <w14:ligatures w14:val="none"/>
        </w:rPr>
        <w:t>5. Proposed LOIPR Questions for Switzerland (High-Impact, Evidence-Forcing)</w:t>
      </w:r>
    </w:p>
    <w:p w14:paraId="679891B5"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5.1 Police custody safeguards and ill-treatment prevention</w:t>
      </w:r>
    </w:p>
    <w:p w14:paraId="631AC696" w14:textId="77777777" w:rsidR="00E67BD9" w:rsidRPr="00E67BD9" w:rsidRDefault="00E67BD9" w:rsidP="00191133">
      <w:pPr>
        <w:numPr>
          <w:ilvl w:val="0"/>
          <w:numId w:val="12"/>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Provide the binding safeguards applicable in all cantons to ensure immediate access to a lawyer from the outset of deprivation of liberty, confidentially and without delay. Provide compliance monitoring mechanisms and sanctions for non-compliance.</w:t>
      </w:r>
    </w:p>
    <w:p w14:paraId="15414FAC" w14:textId="77777777" w:rsidR="00E67BD9" w:rsidRPr="00E67BD9" w:rsidRDefault="00E67BD9" w:rsidP="00191133">
      <w:pPr>
        <w:numPr>
          <w:ilvl w:val="0"/>
          <w:numId w:val="12"/>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Provide disaggregated data (last 5 years, by canton) on: allegations of police ill-treatment, investigations opened, prosecutions initiated, disciplinary measures imposed, convictions (if any), and compensation or other redress granted.</w:t>
      </w:r>
    </w:p>
    <w:p w14:paraId="059A3189" w14:textId="77777777" w:rsidR="00E67BD9" w:rsidRPr="00E67BD9" w:rsidRDefault="00E67BD9" w:rsidP="00191133">
      <w:pPr>
        <w:numPr>
          <w:ilvl w:val="0"/>
          <w:numId w:val="12"/>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Describe the standards and practice for medical examinations in custody, including independence of medical staff, injury documentation protocols, and data on documented injuries and subsequent investigations.</w:t>
      </w:r>
    </w:p>
    <w:p w14:paraId="076B0327"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5.2 Remand detention, isolation-like regimes, and solitary confinement</w:t>
      </w:r>
    </w:p>
    <w:p w14:paraId="2F64B35B" w14:textId="77777777" w:rsidR="00E67BD9" w:rsidRPr="00E67BD9" w:rsidRDefault="00E67BD9" w:rsidP="00191133">
      <w:pPr>
        <w:numPr>
          <w:ilvl w:val="0"/>
          <w:numId w:val="13"/>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Provide disaggregated data (by facility and canton) on average daily time out of cell for remand detainees, access to activities, visits, phone calls, and meaningful human contact.</w:t>
      </w:r>
    </w:p>
    <w:p w14:paraId="454168C6" w14:textId="77777777" w:rsidR="00E67BD9" w:rsidRPr="00E67BD9" w:rsidRDefault="00E67BD9" w:rsidP="00191133">
      <w:pPr>
        <w:numPr>
          <w:ilvl w:val="0"/>
          <w:numId w:val="13"/>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Provide disaggregated data (last 5 years) on solitary confinement placements (disciplinary or other), maximum and average durations, medical review procedures, judicial oversight, and the legal basis governing time limits.</w:t>
      </w:r>
    </w:p>
    <w:p w14:paraId="795D4F0A" w14:textId="77777777" w:rsidR="00E67BD9" w:rsidRDefault="00E67BD9" w:rsidP="00191133">
      <w:pPr>
        <w:numPr>
          <w:ilvl w:val="0"/>
          <w:numId w:val="13"/>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Explain concrete reforms adopted to eliminate routine cell confinement regimes that replicate severe isolation for remand detainees, including measurable benchmarks and deadlines.</w:t>
      </w:r>
    </w:p>
    <w:p w14:paraId="7BE4CBE5" w14:textId="77777777" w:rsidR="00191133"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24FBD2AC" w14:textId="77777777" w:rsidR="00191133"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558F24BA" w14:textId="77777777" w:rsidR="00191133" w:rsidRPr="00E67BD9"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0BAE2E0B"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5.3 Overcrowding and detention material conditions</w:t>
      </w:r>
    </w:p>
    <w:p w14:paraId="342915C4" w14:textId="77777777" w:rsidR="00E67BD9" w:rsidRPr="00E67BD9" w:rsidRDefault="00E67BD9" w:rsidP="00191133">
      <w:pPr>
        <w:numPr>
          <w:ilvl w:val="0"/>
          <w:numId w:val="14"/>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Provide updated occupancy rates and certified capacity per facility and canton, including remand settings, and detail measures taken to reduce overcrowding, including legally grounded alternatives to detention and sentencing policy adjustments.</w:t>
      </w:r>
    </w:p>
    <w:p w14:paraId="2734DBC4" w14:textId="77777777" w:rsidR="00E67BD9" w:rsidRPr="00E67BD9" w:rsidRDefault="00E67BD9" w:rsidP="00191133">
      <w:pPr>
        <w:numPr>
          <w:ilvl w:val="0"/>
          <w:numId w:val="14"/>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Provide data on access to healthcare in detention, including waiting times for primary care and psychiatric care, staffing ratios, and continuity of care arrangements.</w:t>
      </w:r>
    </w:p>
    <w:p w14:paraId="31DFC6B2"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5.4 Federal asylum centres, violence prevention, and protection measures</w:t>
      </w:r>
    </w:p>
    <w:p w14:paraId="70D661FE" w14:textId="77777777" w:rsidR="00E67BD9" w:rsidRPr="00E67BD9" w:rsidRDefault="00E67BD9" w:rsidP="00191133">
      <w:pPr>
        <w:numPr>
          <w:ilvl w:val="0"/>
          <w:numId w:val="15"/>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Provide binding protection standards for federal asylum centres, including risk screening, safeguarding of women and vulnerable persons, confidential complaint channels, and protection against reprisals.</w:t>
      </w:r>
    </w:p>
    <w:p w14:paraId="6B7A4A7A" w14:textId="77777777" w:rsidR="00E67BD9" w:rsidRPr="00E67BD9" w:rsidRDefault="00E67BD9" w:rsidP="00191133">
      <w:pPr>
        <w:numPr>
          <w:ilvl w:val="0"/>
          <w:numId w:val="15"/>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Provide disaggregated data (last 5 years) on incidents of violence and sexualized violence reported in federal asylum centres, including investigations initiated, outcomes, sanctions, and victim support measures (medical, psychosocial, legal).</w:t>
      </w:r>
    </w:p>
    <w:p w14:paraId="4D88183D" w14:textId="77777777" w:rsidR="00E67BD9" w:rsidRDefault="00E67BD9" w:rsidP="00191133">
      <w:pPr>
        <w:numPr>
          <w:ilvl w:val="0"/>
          <w:numId w:val="15"/>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Provide staffing standards and actual staffing levels for medical and mental health services in federal asylum centres, including physician coverage, trauma-informed care capacity, and referral systems, and explain how language barriers are addressed.</w:t>
      </w:r>
    </w:p>
    <w:p w14:paraId="7916C7FB"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5.5 Immigration detention and alternatives</w:t>
      </w:r>
    </w:p>
    <w:p w14:paraId="7A02D0A1" w14:textId="77777777" w:rsidR="00E67BD9" w:rsidRPr="00E67BD9" w:rsidRDefault="00E67BD9" w:rsidP="00191133">
      <w:pPr>
        <w:numPr>
          <w:ilvl w:val="0"/>
          <w:numId w:val="16"/>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Provide disaggregated data (by canton) on immigration detention orders, grounds, average and maximum duration, and vulnerability profiles (including mental health, disability, pregnancy, and history of trauma).</w:t>
      </w:r>
    </w:p>
    <w:p w14:paraId="590AB8C8" w14:textId="77777777" w:rsidR="00E67BD9" w:rsidRPr="00E67BD9" w:rsidRDefault="00E67BD9" w:rsidP="00191133">
      <w:pPr>
        <w:numPr>
          <w:ilvl w:val="0"/>
          <w:numId w:val="16"/>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Explain how Switzerland ensures immigration detention is a last resort, including binding criteria for alternatives and mechanisms to prevent cantonal divergence. Provide data on the use of alternatives, with outcome evaluation.</w:t>
      </w:r>
    </w:p>
    <w:p w14:paraId="0B5FBA15"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5.6 Forced removals, restraints, and accountability</w:t>
      </w:r>
    </w:p>
    <w:p w14:paraId="727280E8" w14:textId="77777777" w:rsidR="00E67BD9" w:rsidRPr="00E67BD9" w:rsidRDefault="00E67BD9" w:rsidP="00191133">
      <w:pPr>
        <w:numPr>
          <w:ilvl w:val="0"/>
          <w:numId w:val="17"/>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Provide disaggregated data on forced removals (last 5 years), including use-of-force incidents, injuries, medical interventions, complaints, investigations, and outcomes.</w:t>
      </w:r>
    </w:p>
    <w:p w14:paraId="2DC836D9" w14:textId="77777777" w:rsidR="00E67BD9" w:rsidRDefault="00E67BD9" w:rsidP="00191133">
      <w:pPr>
        <w:numPr>
          <w:ilvl w:val="0"/>
          <w:numId w:val="17"/>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Identify prohibited restraint techniques and provide detailed operational protocols to prevent asphyxiation and other serious harm, including mandatory medical oversight and independent monitoring arrangements.</w:t>
      </w:r>
    </w:p>
    <w:p w14:paraId="3F9955AC" w14:textId="77777777" w:rsidR="00191133"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43031372" w14:textId="77777777" w:rsidR="00191133"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733AEBCE" w14:textId="77777777" w:rsidR="00191133"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470E4317" w14:textId="77777777" w:rsidR="00191133" w:rsidRPr="00E67BD9" w:rsidRDefault="00191133"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74ECF254"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5.7 Non-refoulement and effective remedies (Article 3)</w:t>
      </w:r>
    </w:p>
    <w:p w14:paraId="41197601" w14:textId="77777777" w:rsidR="00E67BD9" w:rsidRPr="00E67BD9" w:rsidRDefault="00E67BD9" w:rsidP="00191133">
      <w:pPr>
        <w:numPr>
          <w:ilvl w:val="0"/>
          <w:numId w:val="18"/>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Explain how Switzerland guarantees that remedies are effective in practice and provide suspensive effect where article 3 risks are credibly raised. Provide data on the number of removals suspended due to torture risk claims and the outcomes of such claims.</w:t>
      </w:r>
    </w:p>
    <w:p w14:paraId="08D0D703" w14:textId="77777777" w:rsidR="00E67BD9" w:rsidRPr="00E67BD9" w:rsidRDefault="00E67BD9" w:rsidP="00191133">
      <w:pPr>
        <w:numPr>
          <w:ilvl w:val="0"/>
          <w:numId w:val="18"/>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Provide information on legal aid access in asylum and removal proceedings, including timeframes, coverage, and measures ensuring effective representation for vulnerable persons.</w:t>
      </w:r>
    </w:p>
    <w:p w14:paraId="4ED54EFA" w14:textId="77777777" w:rsidR="00E67BD9" w:rsidRPr="00E67BD9" w:rsidRDefault="00E67BD9" w:rsidP="00191133">
      <w:pPr>
        <w:spacing w:before="100" w:beforeAutospacing="1" w:after="100" w:afterAutospacing="1" w:line="276" w:lineRule="auto"/>
        <w:jc w:val="both"/>
        <w:outlineLvl w:val="2"/>
        <w:rPr>
          <w:rFonts w:ascii="Times New Roman" w:eastAsia="Times New Roman" w:hAnsi="Times New Roman" w:cs="Times New Roman"/>
          <w:b/>
          <w:bCs/>
          <w:kern w:val="0"/>
          <w:sz w:val="27"/>
          <w:szCs w:val="27"/>
          <w14:ligatures w14:val="none"/>
        </w:rPr>
      </w:pPr>
      <w:r w:rsidRPr="00E67BD9">
        <w:rPr>
          <w:rFonts w:ascii="Times New Roman" w:eastAsia="Times New Roman" w:hAnsi="Times New Roman" w:cs="Times New Roman"/>
          <w:b/>
          <w:bCs/>
          <w:kern w:val="0"/>
          <w:sz w:val="27"/>
          <w:szCs w:val="27"/>
          <w14:ligatures w14:val="none"/>
        </w:rPr>
        <w:t>5.8 Oversight institutions, investigations, and redress</w:t>
      </w:r>
    </w:p>
    <w:p w14:paraId="6843B232" w14:textId="77777777" w:rsidR="00E67BD9" w:rsidRPr="00E67BD9" w:rsidRDefault="00E67BD9" w:rsidP="00191133">
      <w:pPr>
        <w:numPr>
          <w:ilvl w:val="0"/>
          <w:numId w:val="19"/>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Provide details on independent oversight structures applicable to police custody, prisons, immigration detention, and federal asylum centres, including mandates, independence safeguards, resources, and publication of findings.</w:t>
      </w:r>
    </w:p>
    <w:p w14:paraId="206FDFBB" w14:textId="2EA378D2" w:rsidR="00E67BD9" w:rsidRDefault="00E67BD9" w:rsidP="00191133">
      <w:pPr>
        <w:numPr>
          <w:ilvl w:val="0"/>
          <w:numId w:val="19"/>
        </w:num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Provide data on redress under article 14, including compensation, rehabilitation services, and accessibility for victims, including migrants and asylum seekers.</w:t>
      </w:r>
    </w:p>
    <w:p w14:paraId="2CB1C727" w14:textId="77777777" w:rsidR="00191133" w:rsidRPr="00E67BD9" w:rsidRDefault="00191133" w:rsidP="00191133">
      <w:pPr>
        <w:spacing w:before="100" w:beforeAutospacing="1" w:after="100" w:afterAutospacing="1" w:line="276" w:lineRule="auto"/>
        <w:ind w:left="720"/>
        <w:jc w:val="both"/>
        <w:rPr>
          <w:rFonts w:ascii="Times New Roman" w:eastAsia="Times New Roman" w:hAnsi="Times New Roman" w:cs="Times New Roman"/>
          <w:kern w:val="0"/>
          <w:sz w:val="24"/>
          <w:szCs w:val="24"/>
          <w14:ligatures w14:val="none"/>
        </w:rPr>
      </w:pPr>
    </w:p>
    <w:p w14:paraId="7EE6C420" w14:textId="77777777" w:rsidR="00E67BD9" w:rsidRPr="00E67BD9" w:rsidRDefault="00E67BD9" w:rsidP="00191133">
      <w:pPr>
        <w:spacing w:before="100" w:beforeAutospacing="1" w:after="100" w:afterAutospacing="1" w:line="276" w:lineRule="auto"/>
        <w:jc w:val="both"/>
        <w:outlineLvl w:val="1"/>
        <w:rPr>
          <w:rFonts w:ascii="Times New Roman" w:eastAsia="Times New Roman" w:hAnsi="Times New Roman" w:cs="Times New Roman"/>
          <w:b/>
          <w:bCs/>
          <w:kern w:val="0"/>
          <w:sz w:val="36"/>
          <w:szCs w:val="36"/>
          <w14:ligatures w14:val="none"/>
        </w:rPr>
      </w:pPr>
      <w:r w:rsidRPr="00E67BD9">
        <w:rPr>
          <w:rFonts w:ascii="Times New Roman" w:eastAsia="Times New Roman" w:hAnsi="Times New Roman" w:cs="Times New Roman"/>
          <w:b/>
          <w:bCs/>
          <w:kern w:val="0"/>
          <w:sz w:val="36"/>
          <w:szCs w:val="36"/>
          <w14:ligatures w14:val="none"/>
        </w:rPr>
        <w:t>6. Conclusion</w:t>
      </w:r>
    </w:p>
    <w:p w14:paraId="75FEEC7E" w14:textId="77777777" w:rsidR="00E67BD9"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Switzerland cannot rely on reputation to substitute for compliance. The Committee should treat the LOIPR as a precision accountability instrument and require Switzerland to demonstrate, with disaggregated data and verifiable measures, that it prevents ill-treatment in police custody, remand detention, prisons, immigration detention, federal asylum centres, and forced removals, and that it guarantees effective remedies and strict non-refoulement.</w:t>
      </w:r>
    </w:p>
    <w:p w14:paraId="5D58D89E" w14:textId="1E62EA02" w:rsidR="00027D5C" w:rsidRPr="00E67BD9" w:rsidRDefault="00E67BD9" w:rsidP="00191133">
      <w:pPr>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E67BD9">
        <w:rPr>
          <w:rFonts w:ascii="Times New Roman" w:eastAsia="Times New Roman" w:hAnsi="Times New Roman" w:cs="Times New Roman"/>
          <w:kern w:val="0"/>
          <w:sz w:val="24"/>
          <w:szCs w:val="24"/>
          <w14:ligatures w14:val="none"/>
        </w:rPr>
        <w:t>AIDL requests that the Committee adopt a LOIPR that is stringent, measurable, and time-bound, explicitly addressing asylum reception and immigration detention as core risk contexts under CAT.</w:t>
      </w:r>
    </w:p>
    <w:sectPr w:rsidR="00027D5C" w:rsidRPr="00E67BD9" w:rsidSect="00E67BD9">
      <w:headerReference w:type="default" r:id="rId9"/>
      <w:pgSz w:w="11906" w:h="16838" w:code="9"/>
      <w:pgMar w:top="1440" w:right="991"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CCC20" w14:textId="77777777" w:rsidR="00750DE9" w:rsidRDefault="00750DE9" w:rsidP="00F51A9C">
      <w:pPr>
        <w:spacing w:after="0" w:line="240" w:lineRule="auto"/>
      </w:pPr>
      <w:r>
        <w:separator/>
      </w:r>
    </w:p>
  </w:endnote>
  <w:endnote w:type="continuationSeparator" w:id="0">
    <w:p w14:paraId="6E237316" w14:textId="77777777" w:rsidR="00750DE9" w:rsidRDefault="00750DE9" w:rsidP="00F51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60950" w14:textId="77777777" w:rsidR="00750DE9" w:rsidRDefault="00750DE9" w:rsidP="00F51A9C">
      <w:pPr>
        <w:spacing w:after="0" w:line="240" w:lineRule="auto"/>
      </w:pPr>
      <w:r>
        <w:separator/>
      </w:r>
    </w:p>
  </w:footnote>
  <w:footnote w:type="continuationSeparator" w:id="0">
    <w:p w14:paraId="3F3961E1" w14:textId="77777777" w:rsidR="00750DE9" w:rsidRDefault="00750DE9" w:rsidP="00F51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B4959" w14:textId="720495A0" w:rsidR="00F51A9C" w:rsidRDefault="00F51A9C">
    <w:pPr>
      <w:pStyle w:val="Header"/>
    </w:pPr>
    <w:r>
      <w:rPr>
        <w:noProof/>
      </w:rPr>
      <w:drawing>
        <wp:anchor distT="0" distB="0" distL="114300" distR="114300" simplePos="0" relativeHeight="251658240" behindDoc="1" locked="0" layoutInCell="1" allowOverlap="1" wp14:anchorId="34ED1868" wp14:editId="1658123F">
          <wp:simplePos x="0" y="0"/>
          <wp:positionH relativeFrom="margin">
            <wp:posOffset>-882869</wp:posOffset>
          </wp:positionH>
          <wp:positionV relativeFrom="paragraph">
            <wp:posOffset>-425669</wp:posOffset>
          </wp:positionV>
          <wp:extent cx="7503160" cy="10641724"/>
          <wp:effectExtent l="0" t="0" r="2540" b="7620"/>
          <wp:wrapNone/>
          <wp:docPr id="865172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42095" cy="1069694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9364F"/>
    <w:multiLevelType w:val="multilevel"/>
    <w:tmpl w:val="6B18E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A0E75"/>
    <w:multiLevelType w:val="multilevel"/>
    <w:tmpl w:val="96085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DE79A6"/>
    <w:multiLevelType w:val="multilevel"/>
    <w:tmpl w:val="4AD2EF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774C9A"/>
    <w:multiLevelType w:val="multilevel"/>
    <w:tmpl w:val="072A2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ED601C"/>
    <w:multiLevelType w:val="multilevel"/>
    <w:tmpl w:val="DDC6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D93F87"/>
    <w:multiLevelType w:val="multilevel"/>
    <w:tmpl w:val="DD7A55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5552CF"/>
    <w:multiLevelType w:val="multilevel"/>
    <w:tmpl w:val="2236BDB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AD06EF"/>
    <w:multiLevelType w:val="multilevel"/>
    <w:tmpl w:val="40DE164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3C441D"/>
    <w:multiLevelType w:val="multilevel"/>
    <w:tmpl w:val="9F588A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391F45"/>
    <w:multiLevelType w:val="multilevel"/>
    <w:tmpl w:val="9A58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DE2C0D"/>
    <w:multiLevelType w:val="multilevel"/>
    <w:tmpl w:val="4D4CE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BC49B4"/>
    <w:multiLevelType w:val="multilevel"/>
    <w:tmpl w:val="8EC4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C63BC8"/>
    <w:multiLevelType w:val="multilevel"/>
    <w:tmpl w:val="23A61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005E03"/>
    <w:multiLevelType w:val="multilevel"/>
    <w:tmpl w:val="DB8E712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4C5383"/>
    <w:multiLevelType w:val="multilevel"/>
    <w:tmpl w:val="3E34B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073F70"/>
    <w:multiLevelType w:val="multilevel"/>
    <w:tmpl w:val="FCD4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C21485"/>
    <w:multiLevelType w:val="multilevel"/>
    <w:tmpl w:val="BC080B9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A16F06"/>
    <w:multiLevelType w:val="multilevel"/>
    <w:tmpl w:val="19F6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7D353D"/>
    <w:multiLevelType w:val="multilevel"/>
    <w:tmpl w:val="6C7EB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7665281"/>
    <w:multiLevelType w:val="multilevel"/>
    <w:tmpl w:val="ACF0D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9638590">
    <w:abstractNumId w:val="12"/>
  </w:num>
  <w:num w:numId="2" w16cid:durableId="2065516937">
    <w:abstractNumId w:val="10"/>
  </w:num>
  <w:num w:numId="3" w16cid:durableId="1045327936">
    <w:abstractNumId w:val="15"/>
  </w:num>
  <w:num w:numId="4" w16cid:durableId="1519469022">
    <w:abstractNumId w:val="4"/>
  </w:num>
  <w:num w:numId="5" w16cid:durableId="306596875">
    <w:abstractNumId w:val="9"/>
  </w:num>
  <w:num w:numId="6" w16cid:durableId="1708946107">
    <w:abstractNumId w:val="0"/>
  </w:num>
  <w:num w:numId="7" w16cid:durableId="1709330312">
    <w:abstractNumId w:val="14"/>
  </w:num>
  <w:num w:numId="8" w16cid:durableId="1339576508">
    <w:abstractNumId w:val="11"/>
  </w:num>
  <w:num w:numId="9" w16cid:durableId="2009937396">
    <w:abstractNumId w:val="1"/>
  </w:num>
  <w:num w:numId="10" w16cid:durableId="93332958">
    <w:abstractNumId w:val="3"/>
  </w:num>
  <w:num w:numId="11" w16cid:durableId="451243711">
    <w:abstractNumId w:val="17"/>
  </w:num>
  <w:num w:numId="12" w16cid:durableId="315375086">
    <w:abstractNumId w:val="19"/>
  </w:num>
  <w:num w:numId="13" w16cid:durableId="265187996">
    <w:abstractNumId w:val="5"/>
  </w:num>
  <w:num w:numId="14" w16cid:durableId="1725980681">
    <w:abstractNumId w:val="8"/>
  </w:num>
  <w:num w:numId="15" w16cid:durableId="194117815">
    <w:abstractNumId w:val="2"/>
  </w:num>
  <w:num w:numId="16" w16cid:durableId="280185874">
    <w:abstractNumId w:val="7"/>
  </w:num>
  <w:num w:numId="17" w16cid:durableId="1313219314">
    <w:abstractNumId w:val="6"/>
  </w:num>
  <w:num w:numId="18" w16cid:durableId="595288432">
    <w:abstractNumId w:val="16"/>
  </w:num>
  <w:num w:numId="19" w16cid:durableId="1864512274">
    <w:abstractNumId w:val="13"/>
  </w:num>
  <w:num w:numId="20" w16cid:durableId="154390406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A9C"/>
    <w:rsid w:val="000075B7"/>
    <w:rsid w:val="00025B14"/>
    <w:rsid w:val="00027D5C"/>
    <w:rsid w:val="000832F8"/>
    <w:rsid w:val="00123FE8"/>
    <w:rsid w:val="00191133"/>
    <w:rsid w:val="00272C4B"/>
    <w:rsid w:val="00283E96"/>
    <w:rsid w:val="002C6634"/>
    <w:rsid w:val="002D2692"/>
    <w:rsid w:val="00462F39"/>
    <w:rsid w:val="00507986"/>
    <w:rsid w:val="005616F8"/>
    <w:rsid w:val="00577A8E"/>
    <w:rsid w:val="005B080B"/>
    <w:rsid w:val="006239C3"/>
    <w:rsid w:val="00693CF5"/>
    <w:rsid w:val="0072324E"/>
    <w:rsid w:val="00741881"/>
    <w:rsid w:val="00750DE9"/>
    <w:rsid w:val="009A3A35"/>
    <w:rsid w:val="00A11038"/>
    <w:rsid w:val="00A24983"/>
    <w:rsid w:val="00B4515B"/>
    <w:rsid w:val="00BB0710"/>
    <w:rsid w:val="00C77676"/>
    <w:rsid w:val="00D855B3"/>
    <w:rsid w:val="00E67BD9"/>
    <w:rsid w:val="00F51A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BFC27"/>
  <w15:chartTrackingRefBased/>
  <w15:docId w15:val="{92B69F94-D2C0-4527-85A9-688F0332F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1A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A9C"/>
  </w:style>
  <w:style w:type="paragraph" w:styleId="Footer">
    <w:name w:val="footer"/>
    <w:basedOn w:val="Normal"/>
    <w:link w:val="FooterChar"/>
    <w:uiPriority w:val="99"/>
    <w:unhideWhenUsed/>
    <w:rsid w:val="00F51A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A9C"/>
  </w:style>
  <w:style w:type="paragraph" w:styleId="NormalWeb">
    <w:name w:val="Normal (Web)"/>
    <w:basedOn w:val="Normal"/>
    <w:uiPriority w:val="99"/>
    <w:unhideWhenUsed/>
    <w:rsid w:val="005616F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62F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idl.eu/"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AIDL@AIDL.EU"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2026-02-02T15:33:03+00:00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2026-02-02T15:33:03+00:00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2026-02-02T15:33:03+00:00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ACC0DE73-756D-45AB-90FF-F8608399BCAE}"/>
</file>

<file path=customXml/itemProps2.xml><?xml version="1.0" encoding="utf-8"?>
<ds:datastoreItem xmlns:ds="http://schemas.openxmlformats.org/officeDocument/2006/customXml" ds:itemID="{41051F64-15EA-4C15-B09E-F22786A79FBA}"/>
</file>

<file path=customXml/itemProps3.xml><?xml version="1.0" encoding="utf-8"?>
<ds:datastoreItem xmlns:ds="http://schemas.openxmlformats.org/officeDocument/2006/customXml" ds:itemID="{DE616635-EED2-4618-96D5-DAA7BD51526B}"/>
</file>

<file path=docMetadata/LabelInfo.xml><?xml version="1.0" encoding="utf-8"?>
<clbl:labelList xmlns:clbl="http://schemas.microsoft.com/office/2020/mipLabelMetadata">
  <clbl:label id="{7eb58d0f-f804-411f-a20e-09ebfae62b4c}"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2295</Words>
  <Characters>13083</Characters>
  <Application>Microsoft Office Word</Application>
  <DocSecurity>4</DocSecurity>
  <Lines>109</Lines>
  <Paragraphs>30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almufti ahmed</dc:creator>
  <cp:keywords/>
  <dc:description/>
  <cp:lastModifiedBy>Jack Pope</cp:lastModifiedBy>
  <cp:revision>2</cp:revision>
  <dcterms:created xsi:type="dcterms:W3CDTF">2026-02-02T13:11:00Z</dcterms:created>
  <dcterms:modified xsi:type="dcterms:W3CDTF">2026-02-02T13:11:00Z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