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CAF" w:rsidRPr="008A7CAF" w:rsidRDefault="008F6FAF" w:rsidP="008A7CAF">
      <w:pPr>
        <w:ind w:left="1701"/>
        <w:jc w:val="center"/>
        <w:rPr>
          <w:b/>
        </w:rPr>
      </w:pPr>
      <w:bookmarkStart w:id="0" w:name="_GoBack"/>
      <w:bookmarkEnd w:id="0"/>
      <w:r>
        <w:rPr>
          <w:noProof/>
          <w:lang w:eastAsia="en-GB"/>
        </w:rPr>
        <w:drawing>
          <wp:anchor distT="0" distB="0" distL="114300" distR="114300" simplePos="0" relativeHeight="251659264" behindDoc="1" locked="0" layoutInCell="1" allowOverlap="1" wp14:anchorId="2001A7BB" wp14:editId="7A8C6ED2">
            <wp:simplePos x="0" y="0"/>
            <wp:positionH relativeFrom="margin">
              <wp:align>center</wp:align>
            </wp:positionH>
            <wp:positionV relativeFrom="page">
              <wp:align>top</wp:align>
            </wp:positionV>
            <wp:extent cx="7420610" cy="10224135"/>
            <wp:effectExtent l="0" t="0" r="8890" b="5715"/>
            <wp:wrapNone/>
            <wp:docPr id="5" name="Picture 5" descr="ERT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RT Letterhead"/>
                    <pic:cNvPicPr>
                      <a:picLocks noChangeAspect="1" noChangeArrowheads="1"/>
                    </pic:cNvPicPr>
                  </pic:nvPicPr>
                  <pic:blipFill>
                    <a:blip r:embed="rId9" cstate="print">
                      <a:extLst>
                        <a:ext uri="{28A0092B-C50C-407E-A947-70E740481C1C}">
                          <a14:useLocalDpi xmlns:a14="http://schemas.microsoft.com/office/drawing/2010/main" val="0"/>
                        </a:ext>
                      </a:extLst>
                    </a:blip>
                    <a:srcRect b="2582"/>
                    <a:stretch>
                      <a:fillRect/>
                    </a:stretch>
                  </pic:blipFill>
                  <pic:spPr bwMode="auto">
                    <a:xfrm>
                      <a:off x="0" y="0"/>
                      <a:ext cx="7420610" cy="102241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7CAF" w:rsidRPr="008A7CAF" w:rsidRDefault="008A7CAF" w:rsidP="008A7CAF">
      <w:pPr>
        <w:ind w:left="1701"/>
        <w:jc w:val="center"/>
        <w:rPr>
          <w:b/>
        </w:rPr>
      </w:pPr>
    </w:p>
    <w:p w:rsidR="008A7CAF" w:rsidRPr="008A7CAF" w:rsidRDefault="008A7CAF" w:rsidP="008A7CAF">
      <w:pPr>
        <w:ind w:left="1701"/>
        <w:jc w:val="center"/>
        <w:rPr>
          <w:b/>
        </w:rPr>
      </w:pPr>
    </w:p>
    <w:p w:rsidR="008A7CAF" w:rsidRPr="008A7CAF" w:rsidRDefault="008A7CAF" w:rsidP="008A7CAF">
      <w:pPr>
        <w:ind w:left="1701"/>
        <w:jc w:val="center"/>
        <w:rPr>
          <w:b/>
        </w:rPr>
      </w:pPr>
    </w:p>
    <w:p w:rsidR="008A7CAF" w:rsidRPr="008A7CAF" w:rsidRDefault="008A7CAF" w:rsidP="008A7CAF">
      <w:pPr>
        <w:ind w:left="1701"/>
        <w:jc w:val="center"/>
        <w:rPr>
          <w:b/>
        </w:rPr>
      </w:pPr>
    </w:p>
    <w:p w:rsidR="008A7CAF" w:rsidRPr="008A7CAF" w:rsidRDefault="008A7CAF" w:rsidP="008A7CAF">
      <w:pPr>
        <w:ind w:left="1701"/>
        <w:jc w:val="center"/>
        <w:rPr>
          <w:b/>
        </w:rPr>
      </w:pPr>
    </w:p>
    <w:p w:rsidR="008A7CAF" w:rsidRPr="008A7CAF" w:rsidRDefault="008A7CAF" w:rsidP="008A7CAF">
      <w:pPr>
        <w:ind w:left="1701"/>
        <w:jc w:val="center"/>
        <w:rPr>
          <w:b/>
        </w:rPr>
      </w:pPr>
    </w:p>
    <w:p w:rsidR="008A7CAF" w:rsidRPr="0043396F" w:rsidRDefault="008A7CAF" w:rsidP="00EF63C4">
      <w:pPr>
        <w:jc w:val="center"/>
        <w:rPr>
          <w:b/>
        </w:rPr>
      </w:pPr>
      <w:r w:rsidRPr="0043396F">
        <w:rPr>
          <w:b/>
        </w:rPr>
        <w:t>Equal Rights Trust</w:t>
      </w:r>
    </w:p>
    <w:p w:rsidR="008A7CAF" w:rsidRPr="0043396F" w:rsidRDefault="008A7CAF" w:rsidP="00EF63C4">
      <w:pPr>
        <w:jc w:val="center"/>
      </w:pPr>
    </w:p>
    <w:p w:rsidR="00680544" w:rsidRDefault="00680544" w:rsidP="00680544">
      <w:pPr>
        <w:jc w:val="center"/>
      </w:pPr>
      <w:r>
        <w:t>Shadow Report submitted to the</w:t>
      </w:r>
    </w:p>
    <w:p w:rsidR="00680544" w:rsidRDefault="00680544" w:rsidP="00680544">
      <w:pPr>
        <w:jc w:val="center"/>
      </w:pPr>
      <w:r>
        <w:t>Committee on Economic, Social and Cultural Rights</w:t>
      </w:r>
    </w:p>
    <w:p w:rsidR="00680544" w:rsidRDefault="00680544" w:rsidP="00680544">
      <w:pPr>
        <w:jc w:val="center"/>
      </w:pPr>
      <w:r>
        <w:t>at its 56</w:t>
      </w:r>
      <w:r w:rsidRPr="00036592">
        <w:rPr>
          <w:vertAlign w:val="superscript"/>
        </w:rPr>
        <w:t>th</w:t>
      </w:r>
      <w:r>
        <w:t xml:space="preserve"> Session in relation to the combined</w:t>
      </w:r>
    </w:p>
    <w:p w:rsidR="00680544" w:rsidRDefault="00680544" w:rsidP="00680544">
      <w:pPr>
        <w:jc w:val="center"/>
      </w:pPr>
      <w:r>
        <w:t>in relation to the second to fourth periodic reports submitted by:</w:t>
      </w:r>
    </w:p>
    <w:p w:rsidR="008A7CAF" w:rsidRPr="0043396F" w:rsidRDefault="008A7CAF" w:rsidP="00EF63C4">
      <w:pPr>
        <w:jc w:val="center"/>
      </w:pPr>
    </w:p>
    <w:p w:rsidR="008A7CAF" w:rsidRPr="0043396F" w:rsidRDefault="008A7CAF" w:rsidP="00EF63C4">
      <w:pPr>
        <w:jc w:val="center"/>
        <w:rPr>
          <w:b/>
        </w:rPr>
      </w:pPr>
      <w:r w:rsidRPr="0043396F">
        <w:rPr>
          <w:b/>
        </w:rPr>
        <w:t>Guyana</w:t>
      </w:r>
    </w:p>
    <w:p w:rsidR="008A7CAF" w:rsidRPr="0043396F" w:rsidRDefault="008A7CAF" w:rsidP="00EF63C4"/>
    <w:p w:rsidR="008A7CAF" w:rsidRPr="0043396F" w:rsidRDefault="00680544" w:rsidP="00EF63C4">
      <w:pPr>
        <w:jc w:val="right"/>
        <w:rPr>
          <w:i/>
        </w:rPr>
      </w:pPr>
      <w:r>
        <w:rPr>
          <w:i/>
        </w:rPr>
        <w:t xml:space="preserve">August </w:t>
      </w:r>
      <w:r w:rsidR="008A7CAF" w:rsidRPr="0043396F">
        <w:rPr>
          <w:i/>
        </w:rPr>
        <w:t>2015</w:t>
      </w:r>
    </w:p>
    <w:p w:rsidR="008A7CAF" w:rsidRPr="0043396F" w:rsidRDefault="008A7CAF" w:rsidP="00EF63C4"/>
    <w:p w:rsidR="008A7CAF" w:rsidRPr="0043396F" w:rsidRDefault="008A7CAF" w:rsidP="00EF63C4">
      <w:pPr>
        <w:rPr>
          <w:b/>
          <w:u w:val="single"/>
        </w:rPr>
      </w:pPr>
      <w:r w:rsidRPr="0043396F">
        <w:rPr>
          <w:b/>
          <w:u w:val="single"/>
        </w:rPr>
        <w:t>Statement of Interest</w:t>
      </w:r>
    </w:p>
    <w:p w:rsidR="008A7CAF" w:rsidRPr="0043396F" w:rsidRDefault="008A7CAF" w:rsidP="00EF63C4"/>
    <w:p w:rsidR="008A7CAF" w:rsidRPr="0043396F" w:rsidRDefault="008A7CAF" w:rsidP="00EF63C4">
      <w:pPr>
        <w:pStyle w:val="ListParagraph"/>
        <w:numPr>
          <w:ilvl w:val="0"/>
          <w:numId w:val="1"/>
        </w:numPr>
        <w:ind w:left="567" w:hanging="567"/>
        <w:jc w:val="both"/>
      </w:pPr>
      <w:r w:rsidRPr="0043396F">
        <w:t xml:space="preserve">The Equal Rights Trust submits the following </w:t>
      </w:r>
      <w:r w:rsidR="00680544">
        <w:t>report to</w:t>
      </w:r>
      <w:r w:rsidRPr="0043396F">
        <w:t xml:space="preserve"> the Committee on Economic, Social and Cultural Rights (the Committee) </w:t>
      </w:r>
      <w:r w:rsidR="00680544">
        <w:t>commenting</w:t>
      </w:r>
      <w:r w:rsidRPr="0043396F">
        <w:t xml:space="preserve"> upon the combined second to fourth periodic reports submitted by Guyana at the Committee’s 5</w:t>
      </w:r>
      <w:r w:rsidR="00680544">
        <w:t>6</w:t>
      </w:r>
      <w:r w:rsidRPr="0043396F">
        <w:rPr>
          <w:vertAlign w:val="superscript"/>
        </w:rPr>
        <w:t>th</w:t>
      </w:r>
      <w:r w:rsidR="00680544">
        <w:t xml:space="preserve"> session.</w:t>
      </w:r>
    </w:p>
    <w:p w:rsidR="008A7CAF" w:rsidRPr="0043396F" w:rsidRDefault="008A7CAF" w:rsidP="00EF63C4">
      <w:pPr>
        <w:ind w:left="567" w:hanging="567"/>
      </w:pPr>
    </w:p>
    <w:p w:rsidR="008A7CAF" w:rsidRPr="0043396F" w:rsidRDefault="008A7CAF" w:rsidP="00EF63C4">
      <w:pPr>
        <w:pStyle w:val="ListParagraph"/>
        <w:numPr>
          <w:ilvl w:val="0"/>
          <w:numId w:val="1"/>
        </w:numPr>
        <w:ind w:left="567" w:hanging="567"/>
        <w:jc w:val="both"/>
      </w:pPr>
      <w:r w:rsidRPr="0043396F">
        <w:t xml:space="preserve">The Equal Rights Trust is an international non-governmental organisation whose purpose is to combat discrimination and promote equality as a fundamental human right and a basic principle of social justice. It focuses on the complex relationship between different types of discrimination and inequality, developing strategies for translating the principles of equality into practice. </w:t>
      </w:r>
    </w:p>
    <w:p w:rsidR="008A7CAF" w:rsidRPr="0043396F" w:rsidRDefault="008A7CAF" w:rsidP="00EF63C4">
      <w:pPr>
        <w:pStyle w:val="ListParagraph"/>
        <w:ind w:hanging="567"/>
        <w:jc w:val="both"/>
      </w:pPr>
    </w:p>
    <w:p w:rsidR="008A7CAF" w:rsidRPr="0043396F" w:rsidRDefault="008A7CAF" w:rsidP="00EF63C4">
      <w:pPr>
        <w:pStyle w:val="ListParagraph"/>
        <w:numPr>
          <w:ilvl w:val="0"/>
          <w:numId w:val="1"/>
        </w:numPr>
        <w:ind w:left="567" w:hanging="567"/>
        <w:jc w:val="both"/>
      </w:pPr>
      <w:r w:rsidRPr="0043396F">
        <w:t>The Equal Rights Trust has been actively involved in the promotion of improved protection from discrimination, including in respect of economic, social and cultural rights, in Guyana since 2011. Over this time, we have worked in partnership with the Society Against Sexual Orientation Discrimination and the Justice Institute of Guyana, on projects designed to combat discrimination and related human rights abuses.</w:t>
      </w:r>
    </w:p>
    <w:p w:rsidR="008A7CAF" w:rsidRPr="0043396F" w:rsidRDefault="008A7CAF" w:rsidP="00EF63C4">
      <w:pPr>
        <w:spacing w:line="276" w:lineRule="auto"/>
        <w:ind w:left="567" w:hanging="567"/>
        <w:contextualSpacing w:val="0"/>
      </w:pPr>
    </w:p>
    <w:p w:rsidR="008A7CAF" w:rsidRDefault="008A7CAF" w:rsidP="00EF63C4">
      <w:pPr>
        <w:pStyle w:val="ListParagraph"/>
        <w:numPr>
          <w:ilvl w:val="0"/>
          <w:numId w:val="1"/>
        </w:numPr>
        <w:ind w:left="567" w:hanging="567"/>
        <w:jc w:val="both"/>
      </w:pPr>
      <w:r w:rsidRPr="0043396F">
        <w:t xml:space="preserve">In the course of our work in Guyana, we have undertaken extensive research on equality and non-discrimination in the country, in preparation for the publication of </w:t>
      </w:r>
      <w:r w:rsidR="0043396F" w:rsidRPr="0043396F">
        <w:t>a</w:t>
      </w:r>
      <w:r w:rsidRPr="0043396F">
        <w:t xml:space="preserve"> comprehensive report on discriminatio</w:t>
      </w:r>
      <w:r w:rsidR="00FB5DEE">
        <w:t>n and inequality in Guyana</w:t>
      </w:r>
      <w:r w:rsidRPr="0043396F">
        <w:t xml:space="preserve">. </w:t>
      </w:r>
      <w:r w:rsidR="0043396F" w:rsidRPr="0043396F">
        <w:t>The Equal Rights Trust and its partners</w:t>
      </w:r>
      <w:r w:rsidR="0043396F">
        <w:t xml:space="preserve"> have</w:t>
      </w:r>
      <w:r w:rsidR="0043396F" w:rsidRPr="0043396F">
        <w:t xml:space="preserve"> undertaken</w:t>
      </w:r>
      <w:r w:rsidRPr="0043396F">
        <w:t xml:space="preserve"> field missions gathering direct testimony and documenting discrimination and other violations of the right to equality, </w:t>
      </w:r>
      <w:r w:rsidR="0043396F">
        <w:t xml:space="preserve">held </w:t>
      </w:r>
      <w:r w:rsidRPr="0043396F">
        <w:t>roundtable discussions, focus groups and interviews</w:t>
      </w:r>
      <w:r w:rsidR="00BC39F4">
        <w:t xml:space="preserve"> and</w:t>
      </w:r>
      <w:r w:rsidRPr="0043396F">
        <w:t xml:space="preserve"> review</w:t>
      </w:r>
      <w:r w:rsidR="00BC39F4">
        <w:t xml:space="preserve">ed and analysed the results of </w:t>
      </w:r>
      <w:r w:rsidR="00FB5DEE">
        <w:t>research conducted by others. We have</w:t>
      </w:r>
      <w:r w:rsidRPr="0043396F">
        <w:t xml:space="preserve"> also conducted a detailed analysis of Guyana’s laws and policies on equality and non-discrimination, in order to assess the extent to which </w:t>
      </w:r>
      <w:r w:rsidR="00BC39F4">
        <w:t xml:space="preserve">it </w:t>
      </w:r>
      <w:r w:rsidRPr="0043396F">
        <w:t>has a legal and policy framework in p</w:t>
      </w:r>
      <w:r w:rsidR="00FB5DEE">
        <w:t>l</w:t>
      </w:r>
      <w:r w:rsidRPr="0043396F">
        <w:t>ace which is adequate to meet its oblig</w:t>
      </w:r>
      <w:r w:rsidR="0043396F" w:rsidRPr="0043396F">
        <w:t>ations under international law.</w:t>
      </w:r>
    </w:p>
    <w:p w:rsidR="00680544" w:rsidRPr="0043396F" w:rsidRDefault="00680544" w:rsidP="00680544"/>
    <w:p w:rsidR="008A7CAF" w:rsidRPr="004513AA" w:rsidRDefault="008A7CAF" w:rsidP="008A7CAF">
      <w:pPr>
        <w:ind w:left="567" w:hanging="567"/>
        <w:rPr>
          <w:b/>
          <w:u w:val="single"/>
        </w:rPr>
      </w:pPr>
      <w:r w:rsidRPr="004513AA">
        <w:rPr>
          <w:b/>
          <w:u w:val="single"/>
        </w:rPr>
        <w:t>Introduction</w:t>
      </w:r>
    </w:p>
    <w:p w:rsidR="008A7CAF" w:rsidRPr="004513AA" w:rsidRDefault="008A7CAF" w:rsidP="008A7CAF">
      <w:pPr>
        <w:ind w:left="567" w:hanging="567"/>
      </w:pPr>
    </w:p>
    <w:p w:rsidR="008A7CAF" w:rsidRPr="004513AA" w:rsidRDefault="008A7CAF" w:rsidP="004513AA">
      <w:pPr>
        <w:pStyle w:val="ListParagraph"/>
        <w:numPr>
          <w:ilvl w:val="0"/>
          <w:numId w:val="1"/>
        </w:numPr>
        <w:ind w:left="567" w:hanging="425"/>
        <w:jc w:val="both"/>
      </w:pPr>
      <w:r w:rsidRPr="004513AA">
        <w:t xml:space="preserve">The findings of our research </w:t>
      </w:r>
      <w:r w:rsidR="00FB5DEE">
        <w:t>and consultations</w:t>
      </w:r>
      <w:r w:rsidRPr="004513AA">
        <w:t xml:space="preserve"> inform this s</w:t>
      </w:r>
      <w:r w:rsidR="00FB5DEE">
        <w:t>ubmission to the Committee. Our research has focused</w:t>
      </w:r>
      <w:r w:rsidRPr="004513AA">
        <w:t xml:space="preserve"> on the extent to which Guyana has met its obligations to respect, protect and fulfil the rights to non-discrimination and equality. Thus, this submission is primarily concerned with Guyana’s performance under Article 2(2) of the International </w:t>
      </w:r>
      <w:r w:rsidRPr="004513AA">
        <w:lastRenderedPageBreak/>
        <w:t xml:space="preserve">Covenant on Economic, Social and Cultural Rights (the Covenant). In assessing Guyana’s adherence to its obligations under Article 2(2), the submission relies on the interpretation of this Article which has been provided by the Committee in its </w:t>
      </w:r>
      <w:r w:rsidRPr="004513AA">
        <w:rPr>
          <w:i/>
        </w:rPr>
        <w:t>General Comment No. 20:  Non-discrimination in economic, social and cultural rights (art. 2, para. 2, of the International Covenant on Economic, Social and Cultural Rights)</w:t>
      </w:r>
      <w:r w:rsidRPr="004513AA">
        <w:t>.</w:t>
      </w:r>
      <w:r w:rsidRPr="004513AA">
        <w:rPr>
          <w:noProof/>
          <w:vertAlign w:val="superscript"/>
          <w:lang w:eastAsia="en-GB"/>
        </w:rPr>
        <w:footnoteReference w:id="1"/>
      </w:r>
      <w:r w:rsidRPr="004513AA">
        <w:t xml:space="preserve"> Thus, the submission reflects the importance which the Committee has placed on the need for effective protection from discrimination for the realisation of all other Covenant rights: </w:t>
      </w:r>
    </w:p>
    <w:p w:rsidR="008A7CAF" w:rsidRPr="004513AA" w:rsidRDefault="008A7CAF" w:rsidP="008A7CAF">
      <w:pPr>
        <w:pStyle w:val="Quote"/>
        <w:ind w:left="567" w:hanging="567"/>
        <w:rPr>
          <w:color w:val="auto"/>
        </w:rPr>
      </w:pPr>
    </w:p>
    <w:p w:rsidR="008A7CAF" w:rsidRPr="004513AA" w:rsidRDefault="008A7CAF" w:rsidP="00FB5DEE">
      <w:pPr>
        <w:pStyle w:val="Quote"/>
        <w:ind w:left="1559" w:right="1229"/>
        <w:rPr>
          <w:color w:val="auto"/>
        </w:rPr>
      </w:pPr>
      <w:r w:rsidRPr="004513AA">
        <w:rPr>
          <w:color w:val="auto"/>
        </w:rPr>
        <w:t>Discrimination undermines the fulfilment of economic, social and cultural rights for a significant proportion of the world’s population. Economic growth has not, in itself, led to sustainable development, and individuals and groups of individuals continue to face socio-economic inequality, often because of entrenched historical and contemporary forms of discrimination.</w:t>
      </w:r>
    </w:p>
    <w:p w:rsidR="004513AA" w:rsidRPr="004513AA" w:rsidRDefault="004513AA" w:rsidP="00FB5DEE">
      <w:pPr>
        <w:ind w:left="1559" w:right="1229"/>
      </w:pPr>
    </w:p>
    <w:p w:rsidR="008A7CAF" w:rsidRPr="004513AA" w:rsidRDefault="008A7CAF" w:rsidP="00FB5DEE">
      <w:pPr>
        <w:pStyle w:val="Quote"/>
        <w:ind w:left="1559" w:right="1229"/>
        <w:rPr>
          <w:i w:val="0"/>
          <w:color w:val="auto"/>
        </w:rPr>
      </w:pPr>
      <w:r w:rsidRPr="004513AA">
        <w:rPr>
          <w:color w:val="auto"/>
        </w:rPr>
        <w:t>Non-discrimination and equality are fundamental components of international human rights law and essential to the exercise and enjoyment of economic, social and cultural rights.</w:t>
      </w:r>
      <w:r w:rsidRPr="004513AA">
        <w:rPr>
          <w:i w:val="0"/>
          <w:noProof/>
          <w:color w:val="auto"/>
          <w:vertAlign w:val="superscript"/>
          <w:lang w:eastAsia="en-GB"/>
        </w:rPr>
        <w:footnoteReference w:id="2"/>
      </w:r>
    </w:p>
    <w:p w:rsidR="008A7CAF" w:rsidRPr="004513AA" w:rsidRDefault="008A7CAF" w:rsidP="008A7CAF">
      <w:pPr>
        <w:ind w:left="567" w:hanging="567"/>
      </w:pPr>
    </w:p>
    <w:p w:rsidR="008A7CAF" w:rsidRPr="004513AA" w:rsidRDefault="008A7CAF" w:rsidP="00F33432">
      <w:pPr>
        <w:pStyle w:val="ListParagraph"/>
        <w:numPr>
          <w:ilvl w:val="0"/>
          <w:numId w:val="1"/>
        </w:numPr>
        <w:ind w:left="567" w:hanging="425"/>
        <w:jc w:val="both"/>
      </w:pPr>
      <w:r w:rsidRPr="004513AA">
        <w:t>The submission also relies upon the Declaration of Principles on Equality,</w:t>
      </w:r>
      <w:r w:rsidRPr="00FB5DEE">
        <w:rPr>
          <w:vertAlign w:val="superscript"/>
        </w:rPr>
        <w:footnoteReference w:id="3"/>
      </w:r>
      <w:r w:rsidRPr="004513AA">
        <w:t xml:space="preserve"> a document of international best practice on equality. The Declaration was drafted and adopted in 2008 by 128 prominent human rights and equality advocates and experts, and has been described as “the current international understanding of Principles on Equality”.</w:t>
      </w:r>
      <w:r w:rsidRPr="00FB5DEE">
        <w:rPr>
          <w:vertAlign w:val="superscript"/>
        </w:rPr>
        <w:footnoteReference w:id="4"/>
      </w:r>
      <w:r w:rsidRPr="00FB5DEE">
        <w:rPr>
          <w:vertAlign w:val="superscript"/>
        </w:rPr>
        <w:t xml:space="preserve"> </w:t>
      </w:r>
      <w:r w:rsidRPr="004513AA">
        <w:t>It has also been endorsed by the Parliamentary Assembly of the Council of Europe.</w:t>
      </w:r>
      <w:r w:rsidRPr="00FB5DEE">
        <w:rPr>
          <w:vertAlign w:val="superscript"/>
        </w:rPr>
        <w:footnoteReference w:id="5"/>
      </w:r>
    </w:p>
    <w:p w:rsidR="008A7CAF" w:rsidRPr="004513AA" w:rsidRDefault="008A7CAF" w:rsidP="00F33432">
      <w:pPr>
        <w:ind w:left="567" w:hanging="425"/>
      </w:pPr>
    </w:p>
    <w:p w:rsidR="008A7CAF" w:rsidRPr="004513AA" w:rsidRDefault="008A7CAF" w:rsidP="00F33432">
      <w:pPr>
        <w:pStyle w:val="ListParagraph"/>
        <w:numPr>
          <w:ilvl w:val="0"/>
          <w:numId w:val="1"/>
        </w:numPr>
        <w:ind w:left="567" w:hanging="425"/>
        <w:jc w:val="both"/>
      </w:pPr>
      <w:r w:rsidRPr="004513AA">
        <w:t xml:space="preserve">Given the comprehensive nature of our research, this submission does not provide an exhaustive account of its findings. Instead, it focuses on providing the Committee with information on the impact which discrimination on different grounds has on the enjoyment of economic, social and cultural rights in Guyana. It identifies issues of concern and proposes </w:t>
      </w:r>
      <w:r w:rsidR="00680544">
        <w:t>recommendations</w:t>
      </w:r>
      <w:r w:rsidRPr="004513AA">
        <w:t xml:space="preserve"> which the </w:t>
      </w:r>
      <w:r w:rsidR="00BC39F4">
        <w:t xml:space="preserve">Trust urges the </w:t>
      </w:r>
      <w:r w:rsidRPr="004513AA">
        <w:t xml:space="preserve">Committee </w:t>
      </w:r>
      <w:r w:rsidR="00BC39F4">
        <w:t xml:space="preserve">to </w:t>
      </w:r>
      <w:r w:rsidR="00680544">
        <w:t>include in its Concluding Observations on</w:t>
      </w:r>
      <w:r w:rsidRPr="004513AA">
        <w:t xml:space="preserve"> Guyana’s implementation of the Covenant.</w:t>
      </w:r>
    </w:p>
    <w:p w:rsidR="00FB5DEE" w:rsidRPr="004513AA" w:rsidRDefault="00FB5DEE" w:rsidP="008A7CAF">
      <w:pPr>
        <w:pStyle w:val="ListParagraph"/>
        <w:ind w:hanging="567"/>
        <w:jc w:val="both"/>
      </w:pPr>
    </w:p>
    <w:p w:rsidR="008A7CAF" w:rsidRPr="004513AA" w:rsidRDefault="008A7CAF" w:rsidP="008A7CAF">
      <w:pPr>
        <w:ind w:left="567" w:hanging="567"/>
        <w:rPr>
          <w:b/>
          <w:u w:val="single"/>
        </w:rPr>
      </w:pPr>
      <w:r w:rsidRPr="004513AA">
        <w:rPr>
          <w:b/>
          <w:u w:val="single"/>
        </w:rPr>
        <w:t>Article 2(2): Enjoyment of Covenant Rights without Discrimination</w:t>
      </w:r>
    </w:p>
    <w:p w:rsidR="008A7CAF" w:rsidRPr="004513AA" w:rsidRDefault="008A7CAF" w:rsidP="008A7CAF">
      <w:pPr>
        <w:pStyle w:val="ListParagraph"/>
        <w:jc w:val="both"/>
      </w:pPr>
    </w:p>
    <w:p w:rsidR="008A7CAF" w:rsidRPr="004513AA" w:rsidRDefault="008A7CAF" w:rsidP="004513AA">
      <w:pPr>
        <w:pStyle w:val="ListParagraph"/>
        <w:numPr>
          <w:ilvl w:val="0"/>
          <w:numId w:val="1"/>
        </w:numPr>
        <w:ind w:left="567" w:hanging="425"/>
        <w:jc w:val="both"/>
      </w:pPr>
      <w:r w:rsidRPr="004513AA">
        <w:t>Under Article 2(2) of the Covenant, States Parties undertake:</w:t>
      </w:r>
    </w:p>
    <w:p w:rsidR="008A7CAF" w:rsidRPr="004513AA" w:rsidRDefault="008A7CAF" w:rsidP="008A7CAF">
      <w:pPr>
        <w:pStyle w:val="ListParagraph"/>
        <w:ind w:hanging="567"/>
        <w:jc w:val="both"/>
      </w:pPr>
    </w:p>
    <w:p w:rsidR="008A7CAF" w:rsidRPr="004513AA" w:rsidRDefault="008A7CAF" w:rsidP="008A7CAF">
      <w:pPr>
        <w:pStyle w:val="Quote"/>
        <w:ind w:left="1560" w:right="946"/>
        <w:rPr>
          <w:color w:val="auto"/>
        </w:rPr>
      </w:pPr>
      <w:r w:rsidRPr="004513AA">
        <w:rPr>
          <w:color w:val="auto"/>
        </w:rPr>
        <w:t>[T]o guarantee that the rights enunciated in the present Covenant will be exercised without discrimination of any kind as to race, colour, sex, language, religion, political or other opinion, national or social origin, property, birth or other status.</w:t>
      </w:r>
    </w:p>
    <w:p w:rsidR="008A7CAF" w:rsidRPr="004513AA" w:rsidRDefault="008A7CAF" w:rsidP="008A7CAF">
      <w:pPr>
        <w:ind w:left="567" w:hanging="567"/>
        <w:rPr>
          <w:b/>
          <w:u w:val="single"/>
        </w:rPr>
      </w:pPr>
    </w:p>
    <w:p w:rsidR="008A7CAF" w:rsidRPr="004513AA" w:rsidRDefault="00FB5DEE" w:rsidP="004513AA">
      <w:pPr>
        <w:pStyle w:val="ListParagraph"/>
        <w:numPr>
          <w:ilvl w:val="0"/>
          <w:numId w:val="1"/>
        </w:numPr>
        <w:ind w:left="567" w:hanging="425"/>
        <w:jc w:val="both"/>
      </w:pPr>
      <w:r>
        <w:lastRenderedPageBreak/>
        <w:t>Research undertaken in Guyana by the Equal Rights Trust has found</w:t>
      </w:r>
      <w:r w:rsidR="008A7CAF" w:rsidRPr="004513AA">
        <w:rPr>
          <w:rFonts w:eastAsia="Calibri" w:cs="Cambria"/>
          <w:bCs/>
          <w:iCs/>
          <w:lang w:eastAsia="en-GB"/>
        </w:rPr>
        <w:t xml:space="preserve"> evidence of discrimination and inequality on grounds of, </w:t>
      </w:r>
      <w:r w:rsidR="008A7CAF" w:rsidRPr="004513AA">
        <w:rPr>
          <w:rFonts w:eastAsia="Calibri" w:cs="Cambria"/>
          <w:bCs/>
          <w:i/>
          <w:iCs/>
          <w:lang w:eastAsia="en-GB"/>
        </w:rPr>
        <w:t>inter alia</w:t>
      </w:r>
      <w:r w:rsidR="008A7CAF" w:rsidRPr="004513AA">
        <w:rPr>
          <w:rFonts w:eastAsia="Calibri" w:cs="Cambria"/>
          <w:bCs/>
          <w:iCs/>
          <w:lang w:eastAsia="en-GB"/>
        </w:rPr>
        <w:t>,</w:t>
      </w:r>
      <w:r w:rsidR="008A7CAF" w:rsidRPr="004513AA">
        <w:rPr>
          <w:rFonts w:eastAsia="Calibri" w:cs="Cambria"/>
          <w:bCs/>
          <w:i/>
          <w:iCs/>
          <w:lang w:eastAsia="en-GB"/>
        </w:rPr>
        <w:t xml:space="preserve"> </w:t>
      </w:r>
      <w:r w:rsidR="008A7CAF" w:rsidRPr="004513AA">
        <w:rPr>
          <w:rFonts w:eastAsia="Calibri" w:cs="Cambria"/>
          <w:bCs/>
          <w:iCs/>
          <w:lang w:eastAsia="en-GB"/>
        </w:rPr>
        <w:t xml:space="preserve">race and ethnicity, </w:t>
      </w:r>
      <w:r>
        <w:rPr>
          <w:rFonts w:eastAsia="Calibri" w:cs="Cambria"/>
          <w:bCs/>
          <w:iCs/>
          <w:lang w:eastAsia="en-GB"/>
        </w:rPr>
        <w:t>sex</w:t>
      </w:r>
      <w:r w:rsidRPr="004513AA">
        <w:rPr>
          <w:rFonts w:eastAsia="Calibri" w:cs="Cambria"/>
          <w:bCs/>
          <w:iCs/>
          <w:lang w:eastAsia="en-GB"/>
        </w:rPr>
        <w:t xml:space="preserve">, </w:t>
      </w:r>
      <w:r w:rsidR="008A7CAF" w:rsidRPr="004513AA">
        <w:rPr>
          <w:rFonts w:eastAsia="Calibri" w:cs="Cambria"/>
          <w:bCs/>
          <w:iCs/>
          <w:lang w:eastAsia="en-GB"/>
        </w:rPr>
        <w:t>disability</w:t>
      </w:r>
      <w:r>
        <w:rPr>
          <w:rFonts w:eastAsia="Calibri" w:cs="Cambria"/>
          <w:bCs/>
          <w:iCs/>
          <w:lang w:eastAsia="en-GB"/>
        </w:rPr>
        <w:t>,</w:t>
      </w:r>
      <w:r w:rsidR="008A7CAF" w:rsidRPr="004513AA">
        <w:rPr>
          <w:rFonts w:eastAsia="Calibri" w:cs="Cambria"/>
          <w:bCs/>
          <w:iCs/>
          <w:lang w:eastAsia="en-GB"/>
        </w:rPr>
        <w:t xml:space="preserve"> </w:t>
      </w:r>
      <w:r>
        <w:rPr>
          <w:rFonts w:eastAsia="Calibri" w:cs="Cambria"/>
          <w:bCs/>
          <w:iCs/>
          <w:lang w:eastAsia="en-GB"/>
        </w:rPr>
        <w:t>sexual orientation</w:t>
      </w:r>
      <w:r w:rsidRPr="004513AA">
        <w:rPr>
          <w:rFonts w:eastAsia="Calibri" w:cs="Cambria"/>
          <w:bCs/>
          <w:iCs/>
          <w:lang w:eastAsia="en-GB"/>
        </w:rPr>
        <w:t xml:space="preserve"> </w:t>
      </w:r>
      <w:r>
        <w:rPr>
          <w:rFonts w:eastAsia="Calibri" w:cs="Cambria"/>
          <w:bCs/>
          <w:iCs/>
          <w:lang w:eastAsia="en-GB"/>
        </w:rPr>
        <w:t>and health status.</w:t>
      </w:r>
      <w:r w:rsidR="008A7CAF" w:rsidRPr="004513AA">
        <w:t xml:space="preserve"> </w:t>
      </w:r>
      <w:r>
        <w:t xml:space="preserve">We have found </w:t>
      </w:r>
      <w:r w:rsidR="008A7CAF" w:rsidRPr="004513AA">
        <w:t xml:space="preserve">that discrimination is a major factor in limiting the enjoyment of other human rights in Guyana – including economic, social and cultural rights. </w:t>
      </w:r>
    </w:p>
    <w:p w:rsidR="00F33432" w:rsidRPr="00F33432" w:rsidRDefault="00F33432" w:rsidP="00F33432">
      <w:pPr>
        <w:pStyle w:val="ListParagraph"/>
        <w:jc w:val="both"/>
      </w:pPr>
    </w:p>
    <w:p w:rsidR="00F33432" w:rsidRPr="00B66C15" w:rsidRDefault="00F33432" w:rsidP="00F33432">
      <w:pPr>
        <w:rPr>
          <w:b/>
          <w:i/>
        </w:rPr>
      </w:pPr>
      <w:r w:rsidRPr="00B66C15">
        <w:rPr>
          <w:b/>
          <w:i/>
        </w:rPr>
        <w:t xml:space="preserve">Race and </w:t>
      </w:r>
      <w:r>
        <w:rPr>
          <w:b/>
          <w:i/>
        </w:rPr>
        <w:t>E</w:t>
      </w:r>
      <w:r w:rsidRPr="00B66C15">
        <w:rPr>
          <w:b/>
          <w:i/>
        </w:rPr>
        <w:t>thnicity</w:t>
      </w:r>
    </w:p>
    <w:p w:rsidR="00F33432" w:rsidRPr="00F33432" w:rsidRDefault="00F33432" w:rsidP="00F33432">
      <w:pPr>
        <w:pStyle w:val="ListParagraph"/>
        <w:jc w:val="both"/>
      </w:pPr>
    </w:p>
    <w:p w:rsidR="00F33432" w:rsidRPr="00B66C15" w:rsidRDefault="00F33432" w:rsidP="00F33432">
      <w:pPr>
        <w:pStyle w:val="ListParagraph"/>
        <w:numPr>
          <w:ilvl w:val="0"/>
          <w:numId w:val="1"/>
        </w:numPr>
        <w:ind w:left="567" w:hanging="425"/>
        <w:jc w:val="both"/>
      </w:pPr>
      <w:r w:rsidRPr="00B66C15">
        <w:t>Article 2(2) explicitly requires states to ensure the exercise of Covenant rights without discr</w:t>
      </w:r>
      <w:r w:rsidR="00FB5DEE">
        <w:t>imination on the basis of race and colour</w:t>
      </w:r>
      <w:r w:rsidRPr="00B66C15">
        <w:t>. The Committee has recognised that race and colour, in the context of the Covenant, include “an individual’s ethnic origin”.</w:t>
      </w:r>
      <w:r w:rsidRPr="00B66C15">
        <w:rPr>
          <w:rStyle w:val="FootnoteReference"/>
        </w:rPr>
        <w:footnoteReference w:id="6"/>
      </w:r>
      <w:r w:rsidRPr="00B66C15">
        <w:t xml:space="preserve"> </w:t>
      </w:r>
    </w:p>
    <w:p w:rsidR="00F33432" w:rsidRPr="00EA01AC" w:rsidRDefault="00F33432" w:rsidP="00F33432">
      <w:pPr>
        <w:pStyle w:val="ListParagraph"/>
        <w:jc w:val="both"/>
      </w:pPr>
    </w:p>
    <w:p w:rsidR="00FB5DEE" w:rsidRPr="00FB5DEE" w:rsidRDefault="00F33432" w:rsidP="0058406F">
      <w:pPr>
        <w:pStyle w:val="ListParagraph"/>
        <w:numPr>
          <w:ilvl w:val="0"/>
          <w:numId w:val="1"/>
        </w:numPr>
        <w:ind w:left="567" w:hanging="425"/>
        <w:jc w:val="both"/>
      </w:pPr>
      <w:r w:rsidRPr="00FB5DEE">
        <w:rPr>
          <w:rFonts w:cs="Cambria"/>
        </w:rPr>
        <w:t>Guyana has twice been visited by special procedures of the Human Rights Council due to international concerns about the level of ethnic and racial discrimination</w:t>
      </w:r>
      <w:r w:rsidR="00FB5DEE" w:rsidRPr="00FB5DEE">
        <w:rPr>
          <w:rFonts w:cs="Cambria"/>
        </w:rPr>
        <w:t xml:space="preserve"> in the country</w:t>
      </w:r>
      <w:r w:rsidRPr="00FB5DEE">
        <w:rPr>
          <w:rFonts w:cs="Cambria"/>
        </w:rPr>
        <w:t>. In 2003, the Special Rapporteur on contemporary forms of racism, racial discrimination, xenophobia and related intolerance noted “the harsh reality of ethnic polarization among Guyanese of African, Hindu and Amerindian descent.”</w:t>
      </w:r>
      <w:r w:rsidRPr="00EA01AC">
        <w:rPr>
          <w:vertAlign w:val="superscript"/>
        </w:rPr>
        <w:footnoteReference w:id="7"/>
      </w:r>
      <w:r w:rsidR="00FB5DEE">
        <w:rPr>
          <w:rFonts w:cs="Cambria"/>
        </w:rPr>
        <w:t xml:space="preserve"> </w:t>
      </w:r>
      <w:r w:rsidR="00FB5DEE" w:rsidRPr="00FB5DEE">
        <w:rPr>
          <w:rFonts w:cs="Cambria"/>
        </w:rPr>
        <w:t>However, in t</w:t>
      </w:r>
      <w:r w:rsidRPr="00FB5DEE">
        <w:rPr>
          <w:rFonts w:cs="Cambria"/>
        </w:rPr>
        <w:t>he absence of recent, credible statistical data on the rel</w:t>
      </w:r>
      <w:r w:rsidR="00FB5DEE" w:rsidRPr="00FB5DEE">
        <w:rPr>
          <w:rFonts w:cs="Cambria"/>
        </w:rPr>
        <w:t>ative participation of Indo-Guyanese,</w:t>
      </w:r>
      <w:r w:rsidRPr="00FB5DEE">
        <w:rPr>
          <w:rFonts w:cs="Cambria"/>
        </w:rPr>
        <w:t xml:space="preserve"> Afro-Guyanese </w:t>
      </w:r>
      <w:r w:rsidR="00FB5DEE" w:rsidRPr="00FB5DEE">
        <w:rPr>
          <w:rFonts w:cs="Cambria"/>
        </w:rPr>
        <w:t xml:space="preserve">and Amerindian </w:t>
      </w:r>
      <w:r w:rsidRPr="00FB5DEE">
        <w:rPr>
          <w:rFonts w:cs="Cambria"/>
        </w:rPr>
        <w:t xml:space="preserve">persons in different areas of economic and social life much of the current debate on ethnic discrimination in Guyana takes place in an information vacuum, where allegations are difficult to substantiate or disprove. </w:t>
      </w:r>
    </w:p>
    <w:p w:rsidR="00FB5DEE" w:rsidRPr="00FB5DEE" w:rsidRDefault="00FB5DEE" w:rsidP="00FB5DEE">
      <w:pPr>
        <w:pStyle w:val="ListParagraph"/>
        <w:rPr>
          <w:rFonts w:cs="Cambria"/>
        </w:rPr>
      </w:pPr>
    </w:p>
    <w:p w:rsidR="00F33432" w:rsidRPr="00EA01AC" w:rsidRDefault="00F33432" w:rsidP="0058406F">
      <w:pPr>
        <w:pStyle w:val="ListParagraph"/>
        <w:numPr>
          <w:ilvl w:val="0"/>
          <w:numId w:val="1"/>
        </w:numPr>
        <w:ind w:left="567" w:hanging="425"/>
        <w:jc w:val="both"/>
      </w:pPr>
      <w:r w:rsidRPr="00FB5DEE">
        <w:rPr>
          <w:rFonts w:cs="Cambria"/>
        </w:rPr>
        <w:t xml:space="preserve">The Committee has clarified the obligation of state parties to monitor the effective implementation of measures to comply with </w:t>
      </w:r>
      <w:r w:rsidRPr="00EA01AC">
        <w:t xml:space="preserve">article </w:t>
      </w:r>
      <w:r w:rsidR="00A2253E">
        <w:t>2, paragraph 2, of the Covenant:</w:t>
      </w:r>
    </w:p>
    <w:p w:rsidR="00F33432" w:rsidRPr="00EA01AC" w:rsidRDefault="00F33432" w:rsidP="00F33432">
      <w:pPr>
        <w:pStyle w:val="ListParagraph"/>
        <w:jc w:val="both"/>
      </w:pPr>
    </w:p>
    <w:p w:rsidR="00F33432" w:rsidRPr="00EA01AC" w:rsidRDefault="00F33432" w:rsidP="00F33432">
      <w:pPr>
        <w:pStyle w:val="Quote"/>
        <w:ind w:left="1560" w:right="946"/>
        <w:rPr>
          <w:color w:val="auto"/>
        </w:rPr>
      </w:pPr>
      <w:r w:rsidRPr="00EA01AC">
        <w:rPr>
          <w:color w:val="auto"/>
        </w:rPr>
        <w:t>Monitoring should assess both the steps taken and the results achieved in the elimination of discrimination. National strategies, policies and plans should use appropriate indicators and benchmarks, disaggregated on the basis of the prohibited grounds of discrimination.</w:t>
      </w:r>
      <w:r w:rsidRPr="00EA01AC">
        <w:rPr>
          <w:rStyle w:val="FootnoteReference"/>
          <w:i w:val="0"/>
          <w:color w:val="auto"/>
        </w:rPr>
        <w:footnoteReference w:id="8"/>
      </w:r>
    </w:p>
    <w:p w:rsidR="00F33432" w:rsidRPr="00EA01AC" w:rsidRDefault="00F33432" w:rsidP="002D2038">
      <w:pPr>
        <w:pStyle w:val="ListParagraph"/>
        <w:jc w:val="both"/>
        <w:rPr>
          <w:rFonts w:cs="Cambria"/>
        </w:rPr>
      </w:pPr>
    </w:p>
    <w:p w:rsidR="00997603" w:rsidRPr="002D2038" w:rsidRDefault="00997603" w:rsidP="00997603">
      <w:pPr>
        <w:pStyle w:val="ListParagraph"/>
        <w:numPr>
          <w:ilvl w:val="0"/>
          <w:numId w:val="1"/>
        </w:numPr>
        <w:ind w:left="567" w:hanging="567"/>
        <w:jc w:val="both"/>
      </w:pPr>
      <w:r w:rsidRPr="002D2038">
        <w:rPr>
          <w:rFonts w:cs="Cambria"/>
        </w:rPr>
        <w:t xml:space="preserve">Guyana’s most recent </w:t>
      </w:r>
      <w:r>
        <w:rPr>
          <w:rFonts w:cs="Cambria"/>
        </w:rPr>
        <w:t>census – the Guyana Population and Housing Census 2012 –</w:t>
      </w:r>
      <w:r w:rsidRPr="002D2038">
        <w:rPr>
          <w:rFonts w:cs="Cambria"/>
        </w:rPr>
        <w:t xml:space="preserve"> was undertaken in August 2012, with the Preliminary Report published in June 2014.</w:t>
      </w:r>
      <w:r>
        <w:rPr>
          <w:rStyle w:val="FootnoteReference"/>
          <w:rFonts w:cs="Cambria"/>
        </w:rPr>
        <w:footnoteReference w:id="9"/>
      </w:r>
      <w:r w:rsidRPr="002D2038">
        <w:rPr>
          <w:rFonts w:cs="Cambria"/>
        </w:rPr>
        <w:t xml:space="preserve"> While the Individual </w:t>
      </w:r>
      <w:r>
        <w:rPr>
          <w:rFonts w:cs="Cambria"/>
        </w:rPr>
        <w:t>Census</w:t>
      </w:r>
      <w:r w:rsidRPr="002D2038">
        <w:rPr>
          <w:rFonts w:cs="Cambria"/>
        </w:rPr>
        <w:t xml:space="preserve"> Questionnaire used during the </w:t>
      </w:r>
      <w:r w:rsidR="00221162">
        <w:rPr>
          <w:rFonts w:cs="Cambria"/>
        </w:rPr>
        <w:t>c</w:t>
      </w:r>
      <w:r>
        <w:rPr>
          <w:rFonts w:cs="Cambria"/>
        </w:rPr>
        <w:t>ensus</w:t>
      </w:r>
      <w:r w:rsidRPr="002D2038">
        <w:rPr>
          <w:rFonts w:cs="Cambria"/>
        </w:rPr>
        <w:t xml:space="preserve"> included questions on respondents’ gender, ethnicity, religion, age, disability, marital status and other personal characteristics, the Preliminary Report does not </w:t>
      </w:r>
      <w:r>
        <w:rPr>
          <w:rFonts w:cs="Cambria"/>
        </w:rPr>
        <w:t xml:space="preserve">profile the population based on most of these characteristics, nor does it </w:t>
      </w:r>
      <w:r w:rsidRPr="002D2038">
        <w:rPr>
          <w:rFonts w:cs="Cambria"/>
        </w:rPr>
        <w:t xml:space="preserve">include </w:t>
      </w:r>
      <w:r>
        <w:rPr>
          <w:rFonts w:cs="Cambria"/>
        </w:rPr>
        <w:t xml:space="preserve">participation or outcome </w:t>
      </w:r>
      <w:r w:rsidRPr="002D2038">
        <w:rPr>
          <w:rFonts w:cs="Cambria"/>
        </w:rPr>
        <w:t>data disaggregated</w:t>
      </w:r>
      <w:r>
        <w:rPr>
          <w:rFonts w:cs="Cambria"/>
        </w:rPr>
        <w:t xml:space="preserve"> on the basis of any of the</w:t>
      </w:r>
      <w:r w:rsidRPr="002D2038">
        <w:rPr>
          <w:rFonts w:cs="Cambria"/>
        </w:rPr>
        <w:t xml:space="preserve"> characteristics. Rather, it presents data on the gender and regional distribution of the population, stating that “</w:t>
      </w:r>
      <w:r>
        <w:rPr>
          <w:rFonts w:cs="Cambria"/>
        </w:rPr>
        <w:t xml:space="preserve">[o]ther </w:t>
      </w:r>
      <w:r w:rsidRPr="002D2038">
        <w:rPr>
          <w:rFonts w:cs="Cambria"/>
        </w:rPr>
        <w:t>key profiles such as age distribution, education, fertility and mortality patterns, labour force</w:t>
      </w:r>
      <w:r>
        <w:rPr>
          <w:rFonts w:cs="Cambria"/>
        </w:rPr>
        <w:t xml:space="preserve"> </w:t>
      </w:r>
      <w:r w:rsidRPr="002D2038">
        <w:rPr>
          <w:rFonts w:cs="Cambria"/>
        </w:rPr>
        <w:t xml:space="preserve">participations, migration, disability, housing, etc. would follow in the Detailed </w:t>
      </w:r>
      <w:r>
        <w:rPr>
          <w:rFonts w:cs="Cambria"/>
        </w:rPr>
        <w:t>Census</w:t>
      </w:r>
      <w:r w:rsidRPr="002D2038">
        <w:rPr>
          <w:rFonts w:cs="Cambria"/>
        </w:rPr>
        <w:t xml:space="preserve"> Analysis</w:t>
      </w:r>
      <w:r>
        <w:rPr>
          <w:rFonts w:cs="Cambria"/>
        </w:rPr>
        <w:t>”.</w:t>
      </w:r>
      <w:r>
        <w:rPr>
          <w:rStyle w:val="FootnoteReference"/>
          <w:rFonts w:cs="Cambria"/>
        </w:rPr>
        <w:footnoteReference w:id="10"/>
      </w:r>
      <w:r>
        <w:rPr>
          <w:rFonts w:cs="Cambria"/>
        </w:rPr>
        <w:t xml:space="preserve"> </w:t>
      </w:r>
      <w:r w:rsidR="009561D7">
        <w:rPr>
          <w:rFonts w:cs="Cambria"/>
        </w:rPr>
        <w:t xml:space="preserve">As of August 2015, </w:t>
      </w:r>
      <w:r w:rsidR="009561D7">
        <w:rPr>
          <w:rFonts w:cs="Cambria"/>
        </w:rPr>
        <w:lastRenderedPageBreak/>
        <w:t xml:space="preserve">the Detailed Census Analysis has not been produced. </w:t>
      </w:r>
      <w:r>
        <w:rPr>
          <w:rFonts w:cs="Cambria"/>
        </w:rPr>
        <w:t>Thus, the most recent data on the racial and ethnic profile of the Guyanese population is presented in the report of the 2002 Population and Housing Census.</w:t>
      </w:r>
    </w:p>
    <w:p w:rsidR="00997603" w:rsidRPr="002D2038" w:rsidRDefault="00997603" w:rsidP="00997603">
      <w:pPr>
        <w:pStyle w:val="ListParagraph"/>
        <w:jc w:val="both"/>
      </w:pPr>
    </w:p>
    <w:p w:rsidR="00997603" w:rsidRPr="004749E9" w:rsidRDefault="00997603" w:rsidP="00997603">
      <w:pPr>
        <w:pStyle w:val="ListParagraph"/>
        <w:numPr>
          <w:ilvl w:val="0"/>
          <w:numId w:val="1"/>
        </w:numPr>
        <w:ind w:left="567" w:hanging="567"/>
        <w:jc w:val="both"/>
      </w:pPr>
      <w:r w:rsidRPr="002D2038">
        <w:rPr>
          <w:rFonts w:cs="Cambria"/>
        </w:rPr>
        <w:t xml:space="preserve">The 2002 Population and Housing </w:t>
      </w:r>
      <w:r>
        <w:rPr>
          <w:rFonts w:cs="Cambria"/>
        </w:rPr>
        <w:t>Census</w:t>
      </w:r>
      <w:r w:rsidRPr="002D2038">
        <w:rPr>
          <w:rFonts w:cs="Cambria"/>
        </w:rPr>
        <w:t xml:space="preserve"> collected data on respondents’ personal characteristics (gender, race, religion, disability, birthplace and place of residence) and on participation and outcomes in areas such as health, education, economic activity, housing.</w:t>
      </w:r>
      <w:r w:rsidRPr="00EA01AC">
        <w:rPr>
          <w:rStyle w:val="WW-FootnoteReference12345"/>
          <w:rFonts w:cs="Cambria"/>
        </w:rPr>
        <w:footnoteReference w:id="11"/>
      </w:r>
      <w:r w:rsidRPr="002D2038">
        <w:rPr>
          <w:rFonts w:cs="Cambria"/>
        </w:rPr>
        <w:t xml:space="preserve"> However, while the National Report on the </w:t>
      </w:r>
      <w:r w:rsidR="00221162">
        <w:rPr>
          <w:rFonts w:cs="Cambria"/>
        </w:rPr>
        <w:t>c</w:t>
      </w:r>
      <w:r>
        <w:rPr>
          <w:rFonts w:cs="Cambria"/>
        </w:rPr>
        <w:t>ensus</w:t>
      </w:r>
      <w:r w:rsidRPr="002D2038">
        <w:rPr>
          <w:rFonts w:cs="Cambria"/>
        </w:rPr>
        <w:t xml:space="preserve"> </w:t>
      </w:r>
      <w:r>
        <w:rPr>
          <w:rFonts w:cs="Cambria"/>
        </w:rPr>
        <w:t>provides participation and outcome data disaggregated</w:t>
      </w:r>
      <w:r w:rsidRPr="002D2038">
        <w:rPr>
          <w:rFonts w:cs="Cambria"/>
        </w:rPr>
        <w:t xml:space="preserve"> by sex, age, disability and region, it does not provide any information disaggregated by ethnicity.</w:t>
      </w:r>
      <w:r w:rsidRPr="00EA01AC">
        <w:rPr>
          <w:rStyle w:val="WW-FootnoteReference12345"/>
          <w:rFonts w:cs="Cambria"/>
        </w:rPr>
        <w:footnoteReference w:id="12"/>
      </w:r>
      <w:r w:rsidRPr="002D2038">
        <w:rPr>
          <w:rFonts w:cs="Cambria"/>
        </w:rPr>
        <w:t xml:space="preserve"> Given that both the Committee on the Elimination of Racial Discrimination</w:t>
      </w:r>
      <w:r w:rsidRPr="00EA01AC">
        <w:rPr>
          <w:rStyle w:val="WW-FootnoteReference12345"/>
          <w:rFonts w:eastAsia="Times New Roman" w:cs="Cambria"/>
        </w:rPr>
        <w:footnoteReference w:id="13"/>
      </w:r>
      <w:r w:rsidRPr="002D2038">
        <w:rPr>
          <w:rFonts w:cs="Cambria"/>
        </w:rPr>
        <w:t xml:space="preserve"> and the Independent Expert</w:t>
      </w:r>
      <w:r>
        <w:rPr>
          <w:rFonts w:cs="Cambria"/>
        </w:rPr>
        <w:t xml:space="preserve"> on minority issues</w:t>
      </w:r>
      <w:r w:rsidRPr="00EA01AC">
        <w:rPr>
          <w:rStyle w:val="WW-FootnoteReference123451"/>
          <w:rFonts w:cs="Cambria"/>
        </w:rPr>
        <w:footnoteReference w:id="14"/>
      </w:r>
      <w:r w:rsidRPr="002D2038">
        <w:rPr>
          <w:rFonts w:cs="Cambria"/>
        </w:rPr>
        <w:t xml:space="preserve"> have explicitly called on the government to make such data available, it is </w:t>
      </w:r>
      <w:r w:rsidR="009561D7">
        <w:rPr>
          <w:rFonts w:cs="Cambria"/>
        </w:rPr>
        <w:t xml:space="preserve">a matter </w:t>
      </w:r>
      <w:r w:rsidRPr="002D2038">
        <w:rPr>
          <w:rFonts w:cs="Cambria"/>
        </w:rPr>
        <w:t xml:space="preserve">of </w:t>
      </w:r>
      <w:r w:rsidR="009561D7">
        <w:rPr>
          <w:rFonts w:cs="Cambria"/>
        </w:rPr>
        <w:t xml:space="preserve">serious </w:t>
      </w:r>
      <w:r w:rsidRPr="002D2038">
        <w:rPr>
          <w:rFonts w:cs="Cambria"/>
        </w:rPr>
        <w:t xml:space="preserve">concern that the Bureau of Statistics </w:t>
      </w:r>
      <w:r>
        <w:rPr>
          <w:rFonts w:cs="Cambria"/>
        </w:rPr>
        <w:t>did</w:t>
      </w:r>
      <w:r w:rsidRPr="002D2038">
        <w:rPr>
          <w:rFonts w:cs="Cambria"/>
        </w:rPr>
        <w:t xml:space="preserve"> not undertake the necessary analysis and published the data. </w:t>
      </w:r>
      <w:r>
        <w:rPr>
          <w:rFonts w:cs="Cambria"/>
        </w:rPr>
        <w:t xml:space="preserve"> </w:t>
      </w:r>
    </w:p>
    <w:p w:rsidR="00997603" w:rsidRDefault="00997603" w:rsidP="00997603">
      <w:pPr>
        <w:pStyle w:val="ListParagraph"/>
        <w:jc w:val="both"/>
      </w:pPr>
    </w:p>
    <w:p w:rsidR="00997603" w:rsidRPr="004749E9" w:rsidRDefault="00997603" w:rsidP="00997603">
      <w:pPr>
        <w:rPr>
          <w:i/>
        </w:rPr>
      </w:pPr>
      <w:r>
        <w:rPr>
          <w:i/>
        </w:rPr>
        <w:t>Amerindian Persons</w:t>
      </w:r>
    </w:p>
    <w:p w:rsidR="00997603" w:rsidRPr="00EA01AC" w:rsidRDefault="00997603" w:rsidP="00997603"/>
    <w:p w:rsidR="00997603" w:rsidRPr="004749E9" w:rsidRDefault="00997603" w:rsidP="00997603">
      <w:pPr>
        <w:pStyle w:val="ListParagraph"/>
        <w:numPr>
          <w:ilvl w:val="0"/>
          <w:numId w:val="1"/>
        </w:numPr>
        <w:ind w:left="567" w:hanging="567"/>
        <w:jc w:val="both"/>
      </w:pPr>
      <w:r w:rsidRPr="004749E9">
        <w:rPr>
          <w:rFonts w:cs="Cambria"/>
        </w:rPr>
        <w:t xml:space="preserve">Research conducted by the Equal Rights Trust documented discrimination and disadvantage affecting the Amerindian community which affects their enjoyment of a number of Covenant rights. In the absence of </w:t>
      </w:r>
      <w:r w:rsidR="00221162">
        <w:rPr>
          <w:rFonts w:cs="Cambria"/>
        </w:rPr>
        <w:t>c</w:t>
      </w:r>
      <w:r w:rsidRPr="004749E9">
        <w:rPr>
          <w:rFonts w:cs="Cambria"/>
        </w:rPr>
        <w:t>ensus data disaggregated by race and ethnicity, the Trust has examined outcome and participation data by r</w:t>
      </w:r>
      <w:r w:rsidR="00221162">
        <w:rPr>
          <w:rFonts w:cs="Cambria"/>
        </w:rPr>
        <w:t>egion</w:t>
      </w:r>
      <w:r w:rsidRPr="004749E9">
        <w:rPr>
          <w:rFonts w:cs="Cambria"/>
        </w:rPr>
        <w:t xml:space="preserve">. </w:t>
      </w:r>
      <w:r w:rsidRPr="004749E9">
        <w:rPr>
          <w:rFonts w:cs="Cambria"/>
          <w:color w:val="000000"/>
        </w:rPr>
        <w:t>Guyana's Amerindian communities are concentrated in particular geographical regions, in particular in Regions 1, 8 and 9, where they constitute the majority of residents, and region 7, where they are the largest ethnic group.</w:t>
      </w:r>
      <w:r w:rsidRPr="00427879">
        <w:rPr>
          <w:rStyle w:val="WW-FootnoteReference12345"/>
          <w:rFonts w:eastAsia="Times New Roman" w:cs="Cambria"/>
        </w:rPr>
        <w:footnoteReference w:id="15"/>
      </w:r>
      <w:r w:rsidRPr="004749E9">
        <w:rPr>
          <w:rFonts w:cs="Cambria"/>
          <w:color w:val="000000"/>
        </w:rPr>
        <w:t xml:space="preserve"> As such, it is possible to compare data for those regions with the largest Amerindian populations with other regions</w:t>
      </w:r>
      <w:r w:rsidR="00221162">
        <w:rPr>
          <w:rFonts w:cs="Cambria"/>
          <w:color w:val="000000"/>
        </w:rPr>
        <w:t>,</w:t>
      </w:r>
      <w:r w:rsidRPr="004749E9">
        <w:rPr>
          <w:rFonts w:cs="Cambria"/>
          <w:color w:val="000000"/>
        </w:rPr>
        <w:t xml:space="preserve"> as a proxy for fully disaggregated data. </w:t>
      </w:r>
    </w:p>
    <w:p w:rsidR="00997603" w:rsidRPr="004749E9" w:rsidRDefault="00997603" w:rsidP="00997603">
      <w:pPr>
        <w:pStyle w:val="ListParagraph"/>
        <w:ind w:firstLine="0"/>
        <w:jc w:val="both"/>
      </w:pPr>
    </w:p>
    <w:p w:rsidR="00997603" w:rsidRDefault="00997603" w:rsidP="00997603">
      <w:pPr>
        <w:pStyle w:val="ListParagraph"/>
        <w:numPr>
          <w:ilvl w:val="0"/>
          <w:numId w:val="1"/>
        </w:numPr>
        <w:ind w:left="567" w:hanging="567"/>
        <w:jc w:val="both"/>
        <w:rPr>
          <w:rFonts w:cs="Cambria"/>
          <w:color w:val="000000"/>
        </w:rPr>
      </w:pPr>
      <w:r w:rsidRPr="004749E9">
        <w:rPr>
          <w:rFonts w:cs="Cambria"/>
          <w:color w:val="000000"/>
        </w:rPr>
        <w:t>According to the Bureau of Statistics</w:t>
      </w:r>
      <w:r>
        <w:rPr>
          <w:rFonts w:cs="Cambria"/>
          <w:color w:val="000000"/>
        </w:rPr>
        <w:t>,</w:t>
      </w:r>
      <w:r w:rsidRPr="004749E9">
        <w:rPr>
          <w:rFonts w:cs="Cambria"/>
          <w:color w:val="000000"/>
        </w:rPr>
        <w:t xml:space="preserve"> the regions in which Amerindian peoples are a majority are the most marginal in Guyana. Marginality measures the level of poverty on the basis of a number of variables including literacy, level of primary sector work, full-time schooling, piped water, sewerage, electricity and garbage disposal.</w:t>
      </w:r>
      <w:r w:rsidRPr="00427879">
        <w:rPr>
          <w:rStyle w:val="WW-FootnoteReference123451"/>
          <w:rFonts w:cs="Cambria"/>
          <w:color w:val="000000"/>
        </w:rPr>
        <w:footnoteReference w:id="16"/>
      </w:r>
      <w:r w:rsidRPr="004749E9">
        <w:rPr>
          <w:rFonts w:cs="Cambria"/>
          <w:color w:val="000000"/>
        </w:rPr>
        <w:t xml:space="preserve"> Region 1 is the most marginal area</w:t>
      </w:r>
      <w:r w:rsidR="00221162">
        <w:rPr>
          <w:rFonts w:cs="Cambria"/>
          <w:color w:val="000000"/>
        </w:rPr>
        <w:t>,</w:t>
      </w:r>
      <w:r w:rsidRPr="004749E9">
        <w:rPr>
          <w:rFonts w:cs="Cambria"/>
          <w:color w:val="000000"/>
        </w:rPr>
        <w:t xml:space="preserve"> followed by regions 8, 9, and 7.</w:t>
      </w:r>
      <w:r w:rsidRPr="00427879">
        <w:rPr>
          <w:rStyle w:val="WW-FootnoteReference123451"/>
          <w:rFonts w:cs="Cambria"/>
          <w:color w:val="000000"/>
        </w:rPr>
        <w:footnoteReference w:id="17"/>
      </w:r>
      <w:r w:rsidRPr="004749E9">
        <w:rPr>
          <w:rFonts w:cs="Cambria"/>
          <w:color w:val="000000"/>
        </w:rPr>
        <w:t xml:space="preserve"> </w:t>
      </w:r>
    </w:p>
    <w:p w:rsidR="00997603" w:rsidRDefault="00997603" w:rsidP="00997603">
      <w:pPr>
        <w:pStyle w:val="ListParagraph"/>
        <w:jc w:val="both"/>
        <w:rPr>
          <w:rFonts w:cs="Cambria"/>
          <w:color w:val="000000"/>
        </w:rPr>
      </w:pPr>
    </w:p>
    <w:p w:rsidR="00221162" w:rsidRDefault="00416F15" w:rsidP="00997603">
      <w:pPr>
        <w:pStyle w:val="ListParagraph"/>
        <w:numPr>
          <w:ilvl w:val="0"/>
          <w:numId w:val="1"/>
        </w:numPr>
        <w:ind w:left="567" w:hanging="567"/>
        <w:jc w:val="both"/>
        <w:rPr>
          <w:rFonts w:cs="Cambria"/>
          <w:color w:val="000000"/>
        </w:rPr>
      </w:pPr>
      <w:r>
        <w:rPr>
          <w:rFonts w:cs="Cambria"/>
          <w:color w:val="000000"/>
        </w:rPr>
        <w:t>Data f</w:t>
      </w:r>
      <w:r w:rsidR="00997603" w:rsidRPr="00A53DE7">
        <w:rPr>
          <w:rFonts w:cs="Cambria"/>
          <w:color w:val="000000"/>
        </w:rPr>
        <w:t>rom the 2002 census indicates that levels of school attendance at primary, secondary and tertiary age groups are below average in regions 1, 7 and 8, three of the four Amerindian majority regions.</w:t>
      </w:r>
      <w:r w:rsidR="00997603" w:rsidRPr="00427879">
        <w:rPr>
          <w:rStyle w:val="WW-FootnoteReference12345"/>
          <w:rFonts w:cs="Cambria"/>
        </w:rPr>
        <w:footnoteReference w:id="18"/>
      </w:r>
      <w:r w:rsidR="00997603" w:rsidRPr="00A53DE7">
        <w:rPr>
          <w:rFonts w:cs="Cambria"/>
          <w:color w:val="000000"/>
        </w:rPr>
        <w:t xml:space="preserve"> Other data, collected for the Multiple Indicator Survey developed by UNICEF, show high enrolment rates in primary school for all ethnic groups,</w:t>
      </w:r>
      <w:r w:rsidR="00997603" w:rsidRPr="00427879">
        <w:rPr>
          <w:rStyle w:val="WW-FootnoteReference12345"/>
          <w:rFonts w:cs="Cambria"/>
        </w:rPr>
        <w:footnoteReference w:id="19"/>
      </w:r>
      <w:r w:rsidR="00997603" w:rsidRPr="00A53DE7">
        <w:rPr>
          <w:rFonts w:cs="Cambria"/>
          <w:color w:val="000000"/>
        </w:rPr>
        <w:t xml:space="preserve"> but low enrolment rates for Amerindian people at secondary school level. Enrolment for Amerindian students into secondary education is at 56%, compared to 81.1% for Afro-Guyanese and 63.7% for Indo-Guyanese.</w:t>
      </w:r>
      <w:r w:rsidR="00997603" w:rsidRPr="00427879">
        <w:rPr>
          <w:rStyle w:val="WW-FootnoteReference12345"/>
          <w:rFonts w:cs="Cambria"/>
        </w:rPr>
        <w:footnoteReference w:id="20"/>
      </w:r>
      <w:r w:rsidR="00997603" w:rsidRPr="00A53DE7">
        <w:rPr>
          <w:rFonts w:cs="Cambria"/>
          <w:color w:val="000000"/>
        </w:rPr>
        <w:t xml:space="preserve"> </w:t>
      </w:r>
    </w:p>
    <w:p w:rsidR="00221162" w:rsidRPr="00221162" w:rsidRDefault="00221162" w:rsidP="00221162">
      <w:pPr>
        <w:pStyle w:val="ListParagraph"/>
        <w:rPr>
          <w:rFonts w:cs="Cambria"/>
          <w:color w:val="000000"/>
        </w:rPr>
      </w:pPr>
    </w:p>
    <w:p w:rsidR="00997603" w:rsidRPr="00A53DE7" w:rsidRDefault="00221162" w:rsidP="00997603">
      <w:pPr>
        <w:pStyle w:val="ListParagraph"/>
        <w:numPr>
          <w:ilvl w:val="0"/>
          <w:numId w:val="1"/>
        </w:numPr>
        <w:ind w:left="567" w:hanging="567"/>
        <w:jc w:val="both"/>
        <w:rPr>
          <w:rFonts w:cs="Cambria"/>
          <w:color w:val="000000"/>
        </w:rPr>
      </w:pPr>
      <w:r>
        <w:rPr>
          <w:rFonts w:cs="Cambria"/>
          <w:color w:val="000000"/>
        </w:rPr>
        <w:t xml:space="preserve">Quality of education provision in Amerindian areas is also an issue. </w:t>
      </w:r>
      <w:r w:rsidR="00997603" w:rsidRPr="00A53DE7">
        <w:rPr>
          <w:rFonts w:cs="Cambria"/>
          <w:color w:val="000000"/>
        </w:rPr>
        <w:t xml:space="preserve">Some of those interviewed </w:t>
      </w:r>
      <w:r>
        <w:rPr>
          <w:rFonts w:cs="Cambria"/>
          <w:color w:val="000000"/>
        </w:rPr>
        <w:t>by the Equal Rights Trust</w:t>
      </w:r>
      <w:r w:rsidR="00997603" w:rsidRPr="00A53DE7">
        <w:rPr>
          <w:rFonts w:cs="Cambria"/>
          <w:color w:val="000000"/>
        </w:rPr>
        <w:t xml:space="preserve"> gave a positive impression of the education system for Amerindian people: “w</w:t>
      </w:r>
      <w:r w:rsidR="00997603" w:rsidRPr="00A53DE7">
        <w:rPr>
          <w:rFonts w:cs="Cambria"/>
          <w:iCs/>
          <w:color w:val="000000"/>
        </w:rPr>
        <w:t>e are not cut off from educational access (…) the main schools we have are those by missionaries and the education they offer is very good”.</w:t>
      </w:r>
      <w:r w:rsidR="00997603" w:rsidRPr="002A541C">
        <w:rPr>
          <w:rStyle w:val="WW-FootnoteReference12345"/>
          <w:rFonts w:cs="Cambria"/>
        </w:rPr>
        <w:footnoteReference w:id="21"/>
      </w:r>
      <w:r w:rsidR="00997603" w:rsidRPr="00A53DE7">
        <w:rPr>
          <w:rFonts w:cs="Cambria"/>
          <w:color w:val="000000"/>
        </w:rPr>
        <w:t xml:space="preserve"> However, others have criticised the provision of education for the majority of Amerindians arguing that the schools are badly built with few teaching materials available. There are few teachers, many of whom have had little or no training or have few qualifications, supplemented by volunteers, often British students who have had no training or qualification at all and who have little or no sensitivity towards Amerindian culture.</w:t>
      </w:r>
    </w:p>
    <w:p w:rsidR="00997603" w:rsidRPr="00427879" w:rsidRDefault="00997603" w:rsidP="00997603">
      <w:pPr>
        <w:rPr>
          <w:rFonts w:cs="Cambria"/>
          <w:color w:val="000000"/>
        </w:rPr>
      </w:pPr>
    </w:p>
    <w:p w:rsidR="009561D7" w:rsidRDefault="00997603" w:rsidP="00997603">
      <w:pPr>
        <w:pStyle w:val="ListParagraph"/>
        <w:numPr>
          <w:ilvl w:val="0"/>
          <w:numId w:val="1"/>
        </w:numPr>
        <w:ind w:left="567" w:hanging="567"/>
        <w:jc w:val="both"/>
        <w:rPr>
          <w:rFonts w:cs="Cambria"/>
        </w:rPr>
      </w:pPr>
      <w:r w:rsidRPr="00A53DE7">
        <w:rPr>
          <w:rFonts w:cs="Cambria"/>
        </w:rPr>
        <w:t>Data from the 2002 census indicate that levels of employment in regions with majority Amerindian populations are not radically different to the national average. In all four regions, the proportion of the adult (15-64) population which was economically active, in the sense of being employed or seeking work, was higher than the national average of 55.8%.</w:t>
      </w:r>
      <w:r w:rsidRPr="00427879">
        <w:rPr>
          <w:rStyle w:val="WW-FootnoteReference12345"/>
          <w:rFonts w:cs="Cambria"/>
        </w:rPr>
        <w:footnoteReference w:id="22"/>
      </w:r>
      <w:r w:rsidRPr="00A53DE7">
        <w:rPr>
          <w:rFonts w:cs="Cambria"/>
        </w:rPr>
        <w:t xml:space="preserve"> However, </w:t>
      </w:r>
      <w:r>
        <w:rPr>
          <w:rFonts w:cs="Cambria"/>
        </w:rPr>
        <w:t>as the census report notes</w:t>
      </w:r>
      <w:r w:rsidR="009561D7">
        <w:rPr>
          <w:rFonts w:cs="Cambria"/>
        </w:rPr>
        <w:t>:</w:t>
      </w:r>
    </w:p>
    <w:p w:rsidR="009561D7" w:rsidRPr="009561D7" w:rsidRDefault="009561D7" w:rsidP="009561D7">
      <w:pPr>
        <w:pStyle w:val="ListParagraph"/>
        <w:rPr>
          <w:rFonts w:cs="Cambria"/>
        </w:rPr>
      </w:pPr>
    </w:p>
    <w:p w:rsidR="00997603" w:rsidRPr="009561D7" w:rsidRDefault="009561D7" w:rsidP="009561D7">
      <w:pPr>
        <w:pStyle w:val="ListParagraph"/>
        <w:ind w:left="1560" w:right="946" w:firstLine="0"/>
        <w:jc w:val="both"/>
        <w:rPr>
          <w:rFonts w:cs="Cambria"/>
        </w:rPr>
      </w:pPr>
      <w:r w:rsidRPr="009561D7">
        <w:rPr>
          <w:rFonts w:cs="Cambria"/>
          <w:i/>
        </w:rPr>
        <w:t>T</w:t>
      </w:r>
      <w:r w:rsidR="00997603" w:rsidRPr="009561D7">
        <w:rPr>
          <w:rFonts w:cs="Cambria"/>
          <w:i/>
        </w:rPr>
        <w:t>he higher rates in these regions could be because workers there are mostly self-employed unpaid family workers who may be engaged in small scale agricultural activities (…) as opposed to employment in non-agricultural industries in regions with urban cities whe</w:t>
      </w:r>
      <w:r w:rsidRPr="009561D7">
        <w:rPr>
          <w:rFonts w:cs="Cambria"/>
          <w:i/>
        </w:rPr>
        <w:t>re employees work for paid jobs</w:t>
      </w:r>
      <w:r w:rsidR="00997603" w:rsidRPr="009561D7">
        <w:rPr>
          <w:rFonts w:cs="Cambria"/>
        </w:rPr>
        <w:t>.</w:t>
      </w:r>
      <w:r w:rsidR="00997603" w:rsidRPr="00427879">
        <w:rPr>
          <w:rStyle w:val="WW-FootnoteReference12345"/>
          <w:rFonts w:cs="Cambria"/>
        </w:rPr>
        <w:footnoteReference w:id="23"/>
      </w:r>
      <w:r w:rsidR="00997603" w:rsidRPr="009561D7">
        <w:rPr>
          <w:rFonts w:cs="Cambria"/>
        </w:rPr>
        <w:t xml:space="preserve"> </w:t>
      </w:r>
    </w:p>
    <w:p w:rsidR="00997603" w:rsidRDefault="00997603" w:rsidP="00997603">
      <w:pPr>
        <w:pStyle w:val="ListParagraph"/>
        <w:ind w:firstLine="0"/>
        <w:jc w:val="both"/>
        <w:rPr>
          <w:rFonts w:cs="Cambria"/>
        </w:rPr>
      </w:pPr>
    </w:p>
    <w:p w:rsidR="00997603" w:rsidRDefault="00997603" w:rsidP="00997603">
      <w:pPr>
        <w:pStyle w:val="ListParagraph"/>
        <w:numPr>
          <w:ilvl w:val="0"/>
          <w:numId w:val="1"/>
        </w:numPr>
        <w:ind w:left="567" w:hanging="567"/>
        <w:jc w:val="both"/>
        <w:rPr>
          <w:rFonts w:cs="Cambria"/>
        </w:rPr>
      </w:pPr>
      <w:r w:rsidRPr="00195B87">
        <w:rPr>
          <w:rFonts w:cs="Cambria"/>
        </w:rPr>
        <w:t xml:space="preserve">Significant differences between the Amerindian </w:t>
      </w:r>
      <w:r w:rsidR="00221162">
        <w:rPr>
          <w:rFonts w:cs="Cambria"/>
        </w:rPr>
        <w:t xml:space="preserve">majority </w:t>
      </w:r>
      <w:r w:rsidRPr="00195B87">
        <w:rPr>
          <w:rFonts w:cs="Cambria"/>
        </w:rPr>
        <w:t>regions and the other regions of Guyana can also be identified in the area health. In the four Amerindian majority regions, infant and under-five mortality rates are high</w:t>
      </w:r>
      <w:r w:rsidR="00221162">
        <w:rPr>
          <w:rFonts w:cs="Cambria"/>
        </w:rPr>
        <w:t>,</w:t>
      </w:r>
      <w:r w:rsidRPr="00195B87">
        <w:rPr>
          <w:rFonts w:cs="Cambria"/>
        </w:rPr>
        <w:t xml:space="preserve"> at 47 and 60 per 1,000 live births respectively,</w:t>
      </w:r>
      <w:r w:rsidRPr="00003B9C">
        <w:rPr>
          <w:rStyle w:val="WW-FootnoteReference12345"/>
          <w:rFonts w:cs="Cambria"/>
        </w:rPr>
        <w:footnoteReference w:id="24"/>
      </w:r>
      <w:r w:rsidRPr="00195B87">
        <w:rPr>
          <w:rFonts w:cs="Cambria"/>
        </w:rPr>
        <w:t xml:space="preserve"> compared to the national average of 37 and 47 per 1,000 in the country as </w:t>
      </w:r>
      <w:r w:rsidRPr="00195B87">
        <w:rPr>
          <w:rFonts w:cs="Cambria"/>
        </w:rPr>
        <w:lastRenderedPageBreak/>
        <w:t>a whole.</w:t>
      </w:r>
      <w:r w:rsidRPr="00003B9C">
        <w:rPr>
          <w:rStyle w:val="WW-FootnoteReference12345"/>
          <w:rFonts w:cs="Cambria"/>
        </w:rPr>
        <w:footnoteReference w:id="25"/>
      </w:r>
      <w:r w:rsidRPr="00195B87">
        <w:rPr>
          <w:rFonts w:cs="Cambria"/>
        </w:rPr>
        <w:t xml:space="preserve"> According to the Multiple Indicator Cluster Survey (MICS), women’s access to healthcare in Amerindian communities is also low: only 53.4% of Amerindian women received antenatal care and only 49% gave birth with the assistance of skilled personal.</w:t>
      </w:r>
      <w:r w:rsidRPr="00003B9C">
        <w:rPr>
          <w:rStyle w:val="WW-FootnoteReference12345"/>
          <w:rFonts w:cs="Cambria"/>
        </w:rPr>
        <w:footnoteReference w:id="26"/>
      </w:r>
      <w:r w:rsidRPr="00195B87">
        <w:rPr>
          <w:rFonts w:cs="Cambria"/>
        </w:rPr>
        <w:t xml:space="preserve"> In contrast, 86.4% of Afro-Guyanese and 90.2% of Indo-Guyanese women had received antenatal care and over 90% of both groups had given birth with skilled assistance.</w:t>
      </w:r>
      <w:r w:rsidRPr="00003B9C">
        <w:rPr>
          <w:rStyle w:val="WW-FootnoteReference12345"/>
          <w:rFonts w:cs="Cambria"/>
        </w:rPr>
        <w:footnoteReference w:id="27"/>
      </w:r>
      <w:r w:rsidRPr="00195B87">
        <w:rPr>
          <w:rFonts w:cs="Cambria"/>
        </w:rPr>
        <w:t xml:space="preserve"> </w:t>
      </w:r>
    </w:p>
    <w:p w:rsidR="00997603" w:rsidRDefault="00997603" w:rsidP="00997603">
      <w:pPr>
        <w:rPr>
          <w:rFonts w:cs="Cambria"/>
        </w:rPr>
      </w:pPr>
    </w:p>
    <w:p w:rsidR="00997603" w:rsidRPr="00A53DE7" w:rsidRDefault="00997603" w:rsidP="00997603">
      <w:pPr>
        <w:rPr>
          <w:rFonts w:cs="Cambria"/>
          <w:i/>
        </w:rPr>
      </w:pPr>
      <w:r>
        <w:rPr>
          <w:rFonts w:cs="Cambria"/>
          <w:i/>
        </w:rPr>
        <w:t>Afro- and Indo-Guyanese Persons</w:t>
      </w:r>
    </w:p>
    <w:p w:rsidR="00997603" w:rsidRPr="00A53DE7" w:rsidRDefault="00997603" w:rsidP="00997603">
      <w:pPr>
        <w:rPr>
          <w:rFonts w:cs="Cambria"/>
        </w:rPr>
      </w:pPr>
    </w:p>
    <w:p w:rsidR="00997603" w:rsidRPr="004F0241" w:rsidRDefault="00997603" w:rsidP="00997603">
      <w:pPr>
        <w:pStyle w:val="ListParagraph"/>
        <w:numPr>
          <w:ilvl w:val="0"/>
          <w:numId w:val="1"/>
        </w:numPr>
        <w:ind w:left="567" w:hanging="567"/>
        <w:jc w:val="both"/>
        <w:rPr>
          <w:rFonts w:cs="Cambria"/>
          <w:color w:val="000000"/>
        </w:rPr>
      </w:pPr>
      <w:r w:rsidRPr="004F0241">
        <w:rPr>
          <w:rFonts w:cs="Cambria"/>
          <w:color w:val="000000"/>
        </w:rPr>
        <w:t xml:space="preserve">Reports that Afro-Guyanese persons suffer discrimination in employment are common. </w:t>
      </w:r>
      <w:r>
        <w:rPr>
          <w:rFonts w:cs="Cambria"/>
          <w:color w:val="000000"/>
        </w:rPr>
        <w:t>In 2009, t</w:t>
      </w:r>
      <w:r w:rsidRPr="004F0241">
        <w:rPr>
          <w:rFonts w:cs="Cambria"/>
          <w:color w:val="000000"/>
        </w:rPr>
        <w:t>he</w:t>
      </w:r>
      <w:r>
        <w:rPr>
          <w:rFonts w:cs="Cambria"/>
          <w:color w:val="000000"/>
        </w:rPr>
        <w:t xml:space="preserve"> UN</w:t>
      </w:r>
      <w:r w:rsidRPr="004F0241">
        <w:rPr>
          <w:rFonts w:cs="Cambria"/>
          <w:color w:val="000000"/>
        </w:rPr>
        <w:t xml:space="preserve"> Independent Expert</w:t>
      </w:r>
      <w:r>
        <w:rPr>
          <w:rFonts w:cs="Cambria"/>
          <w:color w:val="000000"/>
        </w:rPr>
        <w:t xml:space="preserve"> on minority issues</w:t>
      </w:r>
      <w:r w:rsidRPr="004F0241">
        <w:rPr>
          <w:rFonts w:cs="Cambria"/>
          <w:color w:val="000000"/>
        </w:rPr>
        <w:t xml:space="preserve"> noted that those interviewed during her visit believed discrimination against Afro-Guyanese in employment to be endemic.</w:t>
      </w:r>
      <w:r w:rsidRPr="00427879">
        <w:rPr>
          <w:rStyle w:val="WW-FootnoteReference12345"/>
          <w:rFonts w:cs="Cambria"/>
        </w:rPr>
        <w:footnoteReference w:id="28"/>
      </w:r>
      <w:r w:rsidRPr="004F0241">
        <w:rPr>
          <w:rFonts w:cs="Cambria"/>
          <w:color w:val="000000"/>
        </w:rPr>
        <w:t xml:space="preserve"> In addition, she noted that Afro-Guyanese were much more likely to be employed in the public sector</w:t>
      </w:r>
      <w:r w:rsidR="009561D7">
        <w:rPr>
          <w:rFonts w:cs="Cambria"/>
          <w:color w:val="000000"/>
        </w:rPr>
        <w:t>,</w:t>
      </w:r>
      <w:r w:rsidRPr="004F0241">
        <w:rPr>
          <w:rFonts w:cs="Cambria"/>
          <w:color w:val="000000"/>
        </w:rPr>
        <w:t xml:space="preserve"> which had been affected by substantial cuts in recent years.</w:t>
      </w:r>
      <w:r w:rsidRPr="00427879">
        <w:rPr>
          <w:rStyle w:val="WW-FootnoteReference12345"/>
          <w:rFonts w:cs="Cambria"/>
        </w:rPr>
        <w:footnoteReference w:id="29"/>
      </w:r>
      <w:r w:rsidRPr="004F0241">
        <w:rPr>
          <w:rFonts w:cs="Cambria"/>
          <w:color w:val="000000"/>
        </w:rPr>
        <w:t xml:space="preserve"> Afro-Guyanese also report</w:t>
      </w:r>
      <w:r>
        <w:rPr>
          <w:rFonts w:cs="Cambria"/>
          <w:color w:val="000000"/>
        </w:rPr>
        <w:t>ed</w:t>
      </w:r>
      <w:r w:rsidRPr="004F0241">
        <w:rPr>
          <w:rFonts w:cs="Cambria"/>
          <w:color w:val="000000"/>
        </w:rPr>
        <w:t xml:space="preserve"> difficulty</w:t>
      </w:r>
      <w:r w:rsidR="009561D7">
        <w:rPr>
          <w:rFonts w:cs="Cambria"/>
          <w:color w:val="000000"/>
        </w:rPr>
        <w:t xml:space="preserve"> securing</w:t>
      </w:r>
      <w:r w:rsidRPr="004F0241">
        <w:rPr>
          <w:rFonts w:cs="Cambria"/>
          <w:color w:val="000000"/>
        </w:rPr>
        <w:t xml:space="preserve"> employment in the private sector. As one person interviewed </w:t>
      </w:r>
      <w:r>
        <w:rPr>
          <w:rFonts w:cs="Cambria"/>
          <w:color w:val="000000"/>
        </w:rPr>
        <w:t>by the Equal Rights Trust</w:t>
      </w:r>
      <w:r w:rsidRPr="004F0241">
        <w:rPr>
          <w:rFonts w:cs="Cambria"/>
          <w:color w:val="000000"/>
        </w:rPr>
        <w:t xml:space="preserve"> recounted: </w:t>
      </w:r>
    </w:p>
    <w:p w:rsidR="00997603" w:rsidRPr="004F0241" w:rsidRDefault="00997603" w:rsidP="00997603">
      <w:pPr>
        <w:pStyle w:val="ListParagraph"/>
        <w:ind w:left="720" w:firstLine="0"/>
        <w:jc w:val="both"/>
        <w:rPr>
          <w:rFonts w:cs="Cambria"/>
          <w:color w:val="000000"/>
        </w:rPr>
      </w:pPr>
    </w:p>
    <w:p w:rsidR="00997603" w:rsidRPr="004F0241" w:rsidRDefault="00997603" w:rsidP="00997603">
      <w:pPr>
        <w:pStyle w:val="ListParagraph"/>
        <w:ind w:left="1560" w:right="992" w:firstLine="0"/>
        <w:jc w:val="both"/>
        <w:rPr>
          <w:rFonts w:cs="Cambria"/>
          <w:color w:val="000000"/>
        </w:rPr>
      </w:pPr>
      <w:r w:rsidRPr="004F0241">
        <w:rPr>
          <w:rFonts w:cs="Cambria"/>
          <w:i/>
          <w:iCs/>
          <w:color w:val="000000"/>
        </w:rPr>
        <w:t>A person whose name sounded Indian applied for a job and was told to show up on the coming Monday since th</w:t>
      </w:r>
      <w:r w:rsidR="009561D7">
        <w:rPr>
          <w:rFonts w:cs="Cambria"/>
          <w:i/>
          <w:iCs/>
          <w:color w:val="000000"/>
        </w:rPr>
        <w:t>eir qualifications were perfect. H</w:t>
      </w:r>
      <w:r w:rsidRPr="004F0241">
        <w:rPr>
          <w:rFonts w:cs="Cambria"/>
          <w:i/>
          <w:iCs/>
          <w:color w:val="000000"/>
        </w:rPr>
        <w:t>oweve</w:t>
      </w:r>
      <w:r w:rsidR="009561D7">
        <w:rPr>
          <w:rFonts w:cs="Cambria"/>
          <w:i/>
          <w:iCs/>
          <w:color w:val="000000"/>
        </w:rPr>
        <w:t xml:space="preserve">r when the individual turned up, </w:t>
      </w:r>
      <w:r w:rsidRPr="004F0241">
        <w:rPr>
          <w:rFonts w:cs="Cambria"/>
          <w:i/>
          <w:iCs/>
          <w:color w:val="000000"/>
        </w:rPr>
        <w:t xml:space="preserve">the employer realised the person was not Indian </w:t>
      </w:r>
      <w:r w:rsidR="009561D7">
        <w:rPr>
          <w:rFonts w:cs="Cambria"/>
          <w:i/>
          <w:iCs/>
          <w:color w:val="000000"/>
        </w:rPr>
        <w:t>and asked</w:t>
      </w:r>
      <w:r w:rsidRPr="004F0241">
        <w:rPr>
          <w:rFonts w:cs="Cambria"/>
          <w:i/>
          <w:iCs/>
          <w:color w:val="000000"/>
        </w:rPr>
        <w:t xml:space="preserve"> numerous times if the name mention</w:t>
      </w:r>
      <w:r w:rsidR="009561D7">
        <w:rPr>
          <w:rFonts w:cs="Cambria"/>
          <w:i/>
          <w:iCs/>
          <w:color w:val="000000"/>
        </w:rPr>
        <w:t>ed was indeed the individuals’. T</w:t>
      </w:r>
      <w:r w:rsidRPr="004F0241">
        <w:rPr>
          <w:rFonts w:cs="Cambria"/>
          <w:i/>
          <w:iCs/>
          <w:color w:val="000000"/>
        </w:rPr>
        <w:t>hereafter stating the vacancy was filled.</w:t>
      </w:r>
      <w:r w:rsidRPr="00427879">
        <w:rPr>
          <w:rStyle w:val="WW-FootnoteReference12345"/>
          <w:rFonts w:cs="Cambria"/>
        </w:rPr>
        <w:footnoteReference w:id="30"/>
      </w:r>
    </w:p>
    <w:p w:rsidR="00997603" w:rsidRPr="004F0241" w:rsidRDefault="00997603" w:rsidP="00997603">
      <w:pPr>
        <w:pStyle w:val="ListParagraph"/>
        <w:ind w:left="720" w:right="847" w:firstLine="0"/>
        <w:jc w:val="both"/>
        <w:rPr>
          <w:rFonts w:cs="Cambria"/>
          <w:color w:val="000000"/>
        </w:rPr>
      </w:pPr>
    </w:p>
    <w:p w:rsidR="008F6FAF" w:rsidRDefault="00997603" w:rsidP="008F6FAF">
      <w:pPr>
        <w:pStyle w:val="ListParagraph"/>
        <w:numPr>
          <w:ilvl w:val="0"/>
          <w:numId w:val="1"/>
        </w:numPr>
        <w:ind w:left="567" w:hanging="567"/>
        <w:jc w:val="both"/>
        <w:rPr>
          <w:rFonts w:cs="Cambria"/>
          <w:color w:val="000000"/>
        </w:rPr>
      </w:pPr>
      <w:r w:rsidRPr="00435C4A">
        <w:rPr>
          <w:rFonts w:cs="Cambria"/>
          <w:color w:val="000000"/>
        </w:rPr>
        <w:t xml:space="preserve">As noted above, census data on access to employment has not been disaggregated on the basis of race or ethnicity. </w:t>
      </w:r>
      <w:r>
        <w:rPr>
          <w:rFonts w:cs="Cambria"/>
          <w:color w:val="000000"/>
        </w:rPr>
        <w:t>As such, it is impossible to properly</w:t>
      </w:r>
      <w:r w:rsidR="008F6FAF">
        <w:rPr>
          <w:rFonts w:cs="Cambria"/>
          <w:color w:val="000000"/>
        </w:rPr>
        <w:t xml:space="preserve"> verify whether the statements m</w:t>
      </w:r>
      <w:r>
        <w:rPr>
          <w:rFonts w:cs="Cambria"/>
          <w:color w:val="000000"/>
        </w:rPr>
        <w:t xml:space="preserve">ade to the Independent Expert and to the Equal Rights Trust reflect a consistent pattern. </w:t>
      </w:r>
    </w:p>
    <w:p w:rsidR="008F6FAF" w:rsidRDefault="008F6FAF" w:rsidP="008F6FAF">
      <w:pPr>
        <w:pStyle w:val="ListParagraph"/>
        <w:ind w:firstLine="0"/>
        <w:jc w:val="both"/>
        <w:rPr>
          <w:rFonts w:cs="Cambria"/>
          <w:color w:val="000000"/>
        </w:rPr>
      </w:pPr>
    </w:p>
    <w:p w:rsidR="008F6FAF" w:rsidRPr="008F6FAF" w:rsidRDefault="008F6FAF" w:rsidP="00F23C2D">
      <w:pPr>
        <w:pStyle w:val="ListParagraph"/>
        <w:numPr>
          <w:ilvl w:val="0"/>
          <w:numId w:val="1"/>
        </w:numPr>
        <w:ind w:left="567" w:hanging="567"/>
        <w:jc w:val="both"/>
        <w:rPr>
          <w:rFonts w:cs="Cambria"/>
          <w:color w:val="000000"/>
        </w:rPr>
      </w:pPr>
      <w:r w:rsidRPr="008F6FAF">
        <w:rPr>
          <w:rFonts w:cs="Cambria"/>
          <w:color w:val="000000"/>
        </w:rPr>
        <w:t>However, a 2007 study undertaken for the Ethnic Relations Commission (ERC) on employment practices in the private and public sector in region 4 does provide some limited basis for assessment. While the independence of the Commission has been questioned, and the study only covers one region, it is nevertheless valuable in the absence of other data. Region 4 provides a good microcosm for Guyana as a whole: it is by far the most populous region, containing 41.3% of the national population at the 2002 census</w:t>
      </w:r>
      <w:r w:rsidRPr="008F6FAF">
        <w:rPr>
          <w:rFonts w:cs="Cambria"/>
          <w:color w:val="000000"/>
          <w:vertAlign w:val="superscript"/>
        </w:rPr>
        <w:footnoteReference w:id="31"/>
      </w:r>
      <w:r w:rsidRPr="008F6FAF">
        <w:rPr>
          <w:rFonts w:cs="Cambria"/>
          <w:color w:val="000000"/>
        </w:rPr>
        <w:t xml:space="preserve"> and has an ethnic balance which is relatively close to the national average </w:t>
      </w:r>
      <w:r w:rsidRPr="008F6FAF">
        <w:rPr>
          <w:rFonts w:cs="Cambria"/>
          <w:color w:val="000000"/>
        </w:rPr>
        <w:lastRenderedPageBreak/>
        <w:t>(41.67% Afro-Guyanese to 37.54% Indo-Guyanese).</w:t>
      </w:r>
      <w:r w:rsidRPr="008F6FAF">
        <w:rPr>
          <w:rFonts w:cs="Cambria"/>
          <w:color w:val="000000"/>
          <w:vertAlign w:val="superscript"/>
        </w:rPr>
        <w:footnoteReference w:id="32"/>
      </w:r>
      <w:r w:rsidRPr="008F6FAF">
        <w:rPr>
          <w:rFonts w:cs="Cambria"/>
          <w:color w:val="000000"/>
        </w:rPr>
        <w:t xml:space="preserve"> In total, fourteen organisations assessed for the study employed 1238 people, 59% of them Afro-Guyanese and 36% Indo-Guyanese, indicating that a disproportionate number of Afro-Guyanese persons were in employment.</w:t>
      </w:r>
      <w:r w:rsidRPr="008F6FAF">
        <w:rPr>
          <w:rFonts w:cs="Cambria"/>
          <w:color w:val="000000"/>
          <w:vertAlign w:val="superscript"/>
        </w:rPr>
        <w:footnoteReference w:id="33"/>
      </w:r>
      <w:r w:rsidRPr="008F6FAF">
        <w:rPr>
          <w:rFonts w:cs="Cambria"/>
          <w:color w:val="000000"/>
        </w:rPr>
        <w:t xml:space="preserve"> The study’s authors suggest that this is “not surprising” because Afro-Guyanese predominate in urban areas, and are more likely to be in salaried employment.</w:t>
      </w:r>
      <w:r w:rsidRPr="008F6FAF">
        <w:rPr>
          <w:rFonts w:cs="Cambria"/>
          <w:color w:val="000000"/>
          <w:vertAlign w:val="superscript"/>
        </w:rPr>
        <w:footnoteReference w:id="34"/>
      </w:r>
      <w:r w:rsidRPr="008F6FAF">
        <w:rPr>
          <w:rFonts w:cs="Cambria"/>
          <w:color w:val="000000"/>
        </w:rPr>
        <w:t xml:space="preserve"> In terms of seniority, the results for the Indo-Guyanese and Afro-Guyanese were remarkably similar across the four levels defined for the study.</w:t>
      </w:r>
      <w:r w:rsidRPr="008F6FAF">
        <w:rPr>
          <w:rFonts w:cs="Cambria"/>
          <w:color w:val="000000"/>
          <w:vertAlign w:val="superscript"/>
        </w:rPr>
        <w:footnoteReference w:id="35"/>
      </w:r>
      <w:r w:rsidRPr="008F6FAF">
        <w:rPr>
          <w:rFonts w:cs="Cambria"/>
          <w:color w:val="000000"/>
        </w:rPr>
        <w:t xml:space="preserve"> Examining employee intake, the report found that of 1321 people newly employed in the period, 665 (50.3%) were Indo-Guyanese and 621 (47.0%) were Afro-Guyanese,</w:t>
      </w:r>
      <w:r w:rsidRPr="008F6FAF">
        <w:rPr>
          <w:rFonts w:cs="Cambria"/>
          <w:color w:val="000000"/>
          <w:vertAlign w:val="superscript"/>
        </w:rPr>
        <w:footnoteReference w:id="36"/>
      </w:r>
      <w:r w:rsidRPr="008F6FAF">
        <w:rPr>
          <w:rFonts w:cs="Cambria"/>
          <w:color w:val="000000"/>
        </w:rPr>
        <w:t xml:space="preserve"> despite the fact that Afro-Guyanese constitute the majority population in the region. The report also identified a disparity between the two ethnic groups in respect of exit from employment. Of the 779 employees who exited the participating organisations in the study period, 483 (62%) were Afro-Guyanese, while 267 (34.3%) were Indo-Guyanese.</w:t>
      </w:r>
      <w:r w:rsidRPr="008F6FAF">
        <w:rPr>
          <w:rFonts w:cs="Cambria"/>
          <w:color w:val="000000"/>
          <w:vertAlign w:val="superscript"/>
        </w:rPr>
        <w:footnoteReference w:id="37"/>
      </w:r>
      <w:r w:rsidRPr="008F6FAF">
        <w:rPr>
          <w:rFonts w:cs="Cambria"/>
          <w:color w:val="000000"/>
        </w:rPr>
        <w:t xml:space="preserve"> Thus, based on this data, it was more likely than not that an employee leaving an organisation was Afro-Guyanese and more likely than not that their replacement would be Indo-Guyanese, despite the fact that the Afro-Guyanese are in a majority in the region as a whole.</w:t>
      </w:r>
    </w:p>
    <w:p w:rsidR="008F6FAF" w:rsidRPr="008F6FAF" w:rsidRDefault="008F6FAF" w:rsidP="008F6FAF">
      <w:pPr>
        <w:pStyle w:val="ListParagraph"/>
        <w:ind w:right="8" w:firstLine="0"/>
        <w:jc w:val="both"/>
        <w:rPr>
          <w:rFonts w:cs="Cambria"/>
          <w:color w:val="000000"/>
        </w:rPr>
      </w:pPr>
    </w:p>
    <w:p w:rsidR="00221162" w:rsidRDefault="008F6FAF" w:rsidP="008F6FAF">
      <w:pPr>
        <w:pStyle w:val="ListParagraph"/>
        <w:numPr>
          <w:ilvl w:val="0"/>
          <w:numId w:val="1"/>
        </w:numPr>
        <w:ind w:left="567" w:right="8" w:hanging="567"/>
        <w:jc w:val="both"/>
        <w:rPr>
          <w:rFonts w:cs="Cambria"/>
          <w:color w:val="000000"/>
        </w:rPr>
      </w:pPr>
      <w:r>
        <w:rPr>
          <w:rFonts w:cs="Cambria"/>
          <w:color w:val="000000"/>
        </w:rPr>
        <w:t xml:space="preserve">The fact that the only public statistical data on levels of participation in employment by Guyana’s major ethnic groups is an eight year old study with a sample of fewer than 1500 people in one region of the country is a matter for serious concern, particularly in light of individual testimony giving evidence of discrimination. </w:t>
      </w:r>
      <w:r w:rsidR="009561D7">
        <w:rPr>
          <w:rFonts w:cs="Cambria"/>
          <w:color w:val="000000"/>
        </w:rPr>
        <w:t>This underlines the need for fully disaggregated data to be published, if Guyana is to realise its obligation to ensure equal enjoyment of the right to work without discrimination on the basis of race and ethnicity</w:t>
      </w:r>
    </w:p>
    <w:p w:rsidR="00221162" w:rsidRPr="00435C4A" w:rsidRDefault="00221162" w:rsidP="00221162">
      <w:pPr>
        <w:pStyle w:val="ListParagraph"/>
        <w:ind w:right="8" w:firstLine="0"/>
        <w:jc w:val="both"/>
        <w:rPr>
          <w:rFonts w:cs="Cambria"/>
          <w:color w:val="000000"/>
        </w:rPr>
      </w:pPr>
    </w:p>
    <w:p w:rsidR="00997603" w:rsidRPr="00293372" w:rsidRDefault="00997603" w:rsidP="00592829">
      <w:pPr>
        <w:pBdr>
          <w:top w:val="single" w:sz="18" w:space="1" w:color="E8112D"/>
          <w:left w:val="single" w:sz="18" w:space="4" w:color="E8112D"/>
          <w:bottom w:val="single" w:sz="18" w:space="14" w:color="E8112D"/>
          <w:right w:val="single" w:sz="18" w:space="4" w:color="E8112D"/>
        </w:pBdr>
        <w:shd w:val="solid" w:color="FCD4D9" w:fill="E8112D"/>
        <w:ind w:left="567" w:hanging="567"/>
        <w:rPr>
          <w:b/>
        </w:rPr>
      </w:pPr>
      <w:r w:rsidRPr="00293372">
        <w:rPr>
          <w:b/>
        </w:rPr>
        <w:t xml:space="preserve">Suggested </w:t>
      </w:r>
      <w:r w:rsidR="008F6FAF">
        <w:rPr>
          <w:b/>
        </w:rPr>
        <w:t>Recommendations</w:t>
      </w:r>
    </w:p>
    <w:p w:rsidR="00997603" w:rsidRPr="00293372" w:rsidRDefault="00997603" w:rsidP="00592829">
      <w:pPr>
        <w:pBdr>
          <w:top w:val="single" w:sz="18" w:space="1" w:color="E8112D"/>
          <w:left w:val="single" w:sz="18" w:space="4" w:color="E8112D"/>
          <w:bottom w:val="single" w:sz="18" w:space="14" w:color="E8112D"/>
          <w:right w:val="single" w:sz="18" w:space="4" w:color="E8112D"/>
        </w:pBdr>
        <w:shd w:val="solid" w:color="FCD4D9" w:fill="E8112D"/>
        <w:ind w:left="567" w:hanging="567"/>
      </w:pPr>
    </w:p>
    <w:p w:rsidR="00221162" w:rsidRDefault="008F6FAF" w:rsidP="00592829">
      <w:pPr>
        <w:pStyle w:val="ListParagraph"/>
        <w:numPr>
          <w:ilvl w:val="0"/>
          <w:numId w:val="3"/>
        </w:numPr>
        <w:pBdr>
          <w:top w:val="single" w:sz="18" w:space="1" w:color="E8112D"/>
          <w:left w:val="single" w:sz="18" w:space="4" w:color="E8112D"/>
          <w:bottom w:val="single" w:sz="18" w:space="14" w:color="E8112D"/>
          <w:right w:val="single" w:sz="18" w:space="4" w:color="E8112D"/>
        </w:pBdr>
        <w:shd w:val="solid" w:color="FCD4D9" w:fill="E8112D"/>
        <w:ind w:left="567" w:hanging="567"/>
        <w:jc w:val="both"/>
      </w:pPr>
      <w:r>
        <w:t>Guyana should</w:t>
      </w:r>
      <w:r w:rsidR="00221162">
        <w:t xml:space="preserve"> ensure that data from the 2012 census on employment, education and healthcare are disaggregated and analysed on </w:t>
      </w:r>
      <w:r>
        <w:t>the basis of race and ethnicity.</w:t>
      </w:r>
    </w:p>
    <w:p w:rsidR="00221162" w:rsidRDefault="00221162" w:rsidP="00592829">
      <w:pPr>
        <w:pBdr>
          <w:top w:val="single" w:sz="18" w:space="1" w:color="E8112D"/>
          <w:left w:val="single" w:sz="18" w:space="4" w:color="E8112D"/>
          <w:bottom w:val="single" w:sz="18" w:space="14" w:color="E8112D"/>
          <w:right w:val="single" w:sz="18" w:space="4" w:color="E8112D"/>
        </w:pBdr>
        <w:shd w:val="solid" w:color="FCD4D9" w:fill="E8112D"/>
      </w:pPr>
    </w:p>
    <w:p w:rsidR="00997603" w:rsidRPr="00293372" w:rsidRDefault="008F6FAF" w:rsidP="00592829">
      <w:pPr>
        <w:pStyle w:val="ListParagraph"/>
        <w:numPr>
          <w:ilvl w:val="0"/>
          <w:numId w:val="3"/>
        </w:numPr>
        <w:pBdr>
          <w:top w:val="single" w:sz="18" w:space="1" w:color="E8112D"/>
          <w:left w:val="single" w:sz="18" w:space="4" w:color="E8112D"/>
          <w:bottom w:val="single" w:sz="18" w:space="14" w:color="E8112D"/>
          <w:right w:val="single" w:sz="18" w:space="4" w:color="E8112D"/>
        </w:pBdr>
        <w:shd w:val="solid" w:color="FCD4D9" w:fill="E8112D"/>
        <w:ind w:left="567" w:hanging="567"/>
        <w:jc w:val="both"/>
      </w:pPr>
      <w:r>
        <w:t>Guyana should</w:t>
      </w:r>
      <w:r w:rsidR="00997603" w:rsidRPr="00293372">
        <w:t xml:space="preserve"> monitor and promote </w:t>
      </w:r>
      <w:r w:rsidR="00997603">
        <w:t>the enjoyment of economic, social and cultural rights without discrimination on the basis of race and national origin</w:t>
      </w:r>
      <w:r>
        <w:t>.</w:t>
      </w:r>
    </w:p>
    <w:p w:rsidR="008F6FAF" w:rsidRDefault="008F6FAF" w:rsidP="00592829">
      <w:pPr>
        <w:pBdr>
          <w:top w:val="single" w:sz="18" w:space="1" w:color="E8112D"/>
          <w:left w:val="single" w:sz="18" w:space="4" w:color="E8112D"/>
          <w:bottom w:val="single" w:sz="18" w:space="14" w:color="E8112D"/>
          <w:right w:val="single" w:sz="18" w:space="4" w:color="E8112D"/>
        </w:pBdr>
        <w:shd w:val="solid" w:color="FCD4D9" w:fill="E8112D"/>
      </w:pPr>
    </w:p>
    <w:p w:rsidR="008F6FAF" w:rsidRDefault="008F6FAF" w:rsidP="00592829">
      <w:pPr>
        <w:pStyle w:val="ListParagraph"/>
        <w:numPr>
          <w:ilvl w:val="0"/>
          <w:numId w:val="3"/>
        </w:numPr>
        <w:pBdr>
          <w:top w:val="single" w:sz="18" w:space="1" w:color="E8112D"/>
          <w:left w:val="single" w:sz="18" w:space="4" w:color="E8112D"/>
          <w:bottom w:val="single" w:sz="18" w:space="14" w:color="E8112D"/>
          <w:right w:val="single" w:sz="18" w:space="4" w:color="E8112D"/>
        </w:pBdr>
        <w:shd w:val="solid" w:color="FCD4D9" w:fill="E8112D"/>
        <w:ind w:left="567" w:hanging="567"/>
        <w:jc w:val="both"/>
      </w:pPr>
      <w:r>
        <w:t>Guyana should take immediate measures to</w:t>
      </w:r>
      <w:r w:rsidRPr="00293372">
        <w:t xml:space="preserve"> </w:t>
      </w:r>
      <w:r w:rsidR="00011CE6">
        <w:t>ensure the equal enjoyment of the right to work by</w:t>
      </w:r>
      <w:r>
        <w:t xml:space="preserve"> the Amerindian</w:t>
      </w:r>
      <w:r w:rsidRPr="00293372">
        <w:t xml:space="preserve"> </w:t>
      </w:r>
      <w:r>
        <w:t>population.</w:t>
      </w:r>
    </w:p>
    <w:p w:rsidR="00997603" w:rsidRPr="00293372" w:rsidRDefault="00997603" w:rsidP="00592829">
      <w:pPr>
        <w:pBdr>
          <w:top w:val="single" w:sz="18" w:space="1" w:color="E8112D"/>
          <w:left w:val="single" w:sz="18" w:space="4" w:color="E8112D"/>
          <w:bottom w:val="single" w:sz="18" w:space="14" w:color="E8112D"/>
          <w:right w:val="single" w:sz="18" w:space="4" w:color="E8112D"/>
        </w:pBdr>
        <w:shd w:val="solid" w:color="FCD4D9" w:fill="E8112D"/>
      </w:pPr>
    </w:p>
    <w:p w:rsidR="00221162" w:rsidRDefault="008F6FAF" w:rsidP="00592829">
      <w:pPr>
        <w:pStyle w:val="ListParagraph"/>
        <w:numPr>
          <w:ilvl w:val="0"/>
          <w:numId w:val="3"/>
        </w:numPr>
        <w:pBdr>
          <w:top w:val="single" w:sz="18" w:space="1" w:color="E8112D"/>
          <w:left w:val="single" w:sz="18" w:space="4" w:color="E8112D"/>
          <w:bottom w:val="single" w:sz="18" w:space="14" w:color="E8112D"/>
          <w:right w:val="single" w:sz="18" w:space="4" w:color="E8112D"/>
        </w:pBdr>
        <w:shd w:val="solid" w:color="FCD4D9" w:fill="E8112D"/>
        <w:ind w:left="567" w:hanging="567"/>
        <w:jc w:val="both"/>
      </w:pPr>
      <w:r>
        <w:t>Guyana should take immediate measures to</w:t>
      </w:r>
      <w:r w:rsidR="00997603" w:rsidRPr="00293372">
        <w:t xml:space="preserve"> </w:t>
      </w:r>
      <w:r>
        <w:t xml:space="preserve">ensure the equal enjoyment of the right to the highest attainable standard of healthcare and to education by the </w:t>
      </w:r>
      <w:r w:rsidR="00011CE6">
        <w:t>Amerindian population</w:t>
      </w:r>
      <w:r w:rsidR="00592829">
        <w:t>.</w:t>
      </w:r>
    </w:p>
    <w:p w:rsidR="00825BF9" w:rsidRDefault="00825BF9" w:rsidP="00997603">
      <w:pPr>
        <w:rPr>
          <w:b/>
          <w:i/>
        </w:rPr>
      </w:pPr>
    </w:p>
    <w:p w:rsidR="00997603" w:rsidRPr="00293372" w:rsidRDefault="00997603" w:rsidP="00997603">
      <w:pPr>
        <w:rPr>
          <w:b/>
          <w:i/>
        </w:rPr>
      </w:pPr>
      <w:r w:rsidRPr="00293372">
        <w:rPr>
          <w:b/>
          <w:i/>
        </w:rPr>
        <w:t>Sex</w:t>
      </w:r>
    </w:p>
    <w:p w:rsidR="00997603" w:rsidRPr="00293372" w:rsidRDefault="00997603" w:rsidP="00997603">
      <w:pPr>
        <w:rPr>
          <w:b/>
          <w:i/>
        </w:rPr>
      </w:pPr>
    </w:p>
    <w:p w:rsidR="00997603" w:rsidRPr="00293372" w:rsidRDefault="00997603" w:rsidP="00997603">
      <w:pPr>
        <w:pStyle w:val="ListParagraph"/>
        <w:numPr>
          <w:ilvl w:val="0"/>
          <w:numId w:val="1"/>
        </w:numPr>
        <w:ind w:left="567" w:hanging="567"/>
        <w:jc w:val="both"/>
      </w:pPr>
      <w:r w:rsidRPr="00293372">
        <w:t xml:space="preserve">Under Article 2(2) of the Covenant, states are required to guarantee the exercise of Covenant rights without discrimination on the basis of sex. This obligation is reinforced by Article 3, under which states “undertake to ensure the equal right of men and women to the enjoyment of all economic, social and cultural rights set forth in the present Covenant”. </w:t>
      </w:r>
    </w:p>
    <w:p w:rsidR="00997603" w:rsidRPr="00293372" w:rsidRDefault="00997603" w:rsidP="00997603">
      <w:pPr>
        <w:pStyle w:val="ListParagraph"/>
        <w:ind w:firstLine="0"/>
        <w:jc w:val="both"/>
      </w:pPr>
    </w:p>
    <w:p w:rsidR="00997603" w:rsidRPr="00435C4A" w:rsidRDefault="00997603" w:rsidP="00997603">
      <w:pPr>
        <w:pStyle w:val="ListParagraph"/>
        <w:numPr>
          <w:ilvl w:val="0"/>
          <w:numId w:val="1"/>
        </w:numPr>
        <w:ind w:left="567" w:hanging="567"/>
        <w:jc w:val="both"/>
        <w:rPr>
          <w:rFonts w:cs="Cambria"/>
        </w:rPr>
      </w:pPr>
      <w:r w:rsidRPr="004F0241">
        <w:rPr>
          <w:rFonts w:cs="Cambria"/>
        </w:rPr>
        <w:t xml:space="preserve">Both statistical data and testimony collected </w:t>
      </w:r>
      <w:r>
        <w:rPr>
          <w:rFonts w:cs="Cambria"/>
        </w:rPr>
        <w:t>by the Equal Rights Trust</w:t>
      </w:r>
      <w:r w:rsidRPr="004F0241">
        <w:rPr>
          <w:rFonts w:cs="Cambria"/>
        </w:rPr>
        <w:t xml:space="preserve"> indicate that women </w:t>
      </w:r>
      <w:r w:rsidR="00011CE6">
        <w:rPr>
          <w:rFonts w:cs="Cambria"/>
        </w:rPr>
        <w:t xml:space="preserve">in Guyana </w:t>
      </w:r>
      <w:r w:rsidRPr="004F0241">
        <w:rPr>
          <w:rFonts w:cs="Cambria"/>
        </w:rPr>
        <w:t xml:space="preserve">experience discrimination and inequality in </w:t>
      </w:r>
      <w:r>
        <w:rPr>
          <w:rFonts w:cs="Cambria"/>
        </w:rPr>
        <w:t>employment, d</w:t>
      </w:r>
      <w:r w:rsidR="00011CE6">
        <w:rPr>
          <w:rFonts w:cs="Cambria"/>
        </w:rPr>
        <w:t>espite outperforming men</w:t>
      </w:r>
      <w:r w:rsidRPr="004F0241">
        <w:rPr>
          <w:rFonts w:cs="Cambria"/>
        </w:rPr>
        <w:t xml:space="preserve"> in attendance rates at almost all levels of educatio</w:t>
      </w:r>
      <w:r>
        <w:rPr>
          <w:rFonts w:cs="Cambria"/>
        </w:rPr>
        <w:t>n</w:t>
      </w:r>
      <w:r w:rsidRPr="00435C4A">
        <w:rPr>
          <w:rFonts w:cs="Cambria"/>
        </w:rPr>
        <w:t>. Statistics collected during the 2002 census reveal that only 34% of the female working-age population were economically active, compared with 78% of the male working-age population.</w:t>
      </w:r>
      <w:r w:rsidRPr="00435C4A">
        <w:rPr>
          <w:rStyle w:val="WW-FootnoteReference12345"/>
          <w:rFonts w:cs="Cambria"/>
        </w:rPr>
        <w:footnoteReference w:id="38"/>
      </w:r>
      <w:r w:rsidRPr="00435C4A">
        <w:rPr>
          <w:rFonts w:cs="Cambria"/>
        </w:rPr>
        <w:t xml:space="preserve"> A large proportion of those women not active in the formal economy were engaged in what was termed “home duties”: 50.7% of census respondents gave this as their principal activity for the last week, compared with only 28.4% who had worked and 5.1% who had either looked for or wanted work.</w:t>
      </w:r>
      <w:r w:rsidRPr="00435C4A">
        <w:rPr>
          <w:rStyle w:val="WW-FootnoteReference12345"/>
        </w:rPr>
        <w:footnoteReference w:id="39"/>
      </w:r>
      <w:r w:rsidRPr="00435C4A">
        <w:rPr>
          <w:rFonts w:cs="Cambria"/>
        </w:rPr>
        <w:t xml:space="preserve"> In addition, the census revealed that within the economically active group, unemployment was 15.1% for women – five percentage points higher than for men.</w:t>
      </w:r>
      <w:r w:rsidRPr="00435C4A">
        <w:rPr>
          <w:rStyle w:val="WW-FootnoteReference12345"/>
          <w:rFonts w:cs="Cambria"/>
        </w:rPr>
        <w:footnoteReference w:id="40"/>
      </w:r>
      <w:r w:rsidRPr="00435C4A">
        <w:rPr>
          <w:rFonts w:cs="Cambria"/>
        </w:rPr>
        <w:t xml:space="preserve"> More recent data, collected for the 2009 Demographic and Health Survey (DHS) indicates that a large disparity remains between the proportion of the male and female population in employment. The DHS found that among married respondents, only 35.6% of women had been employed at any time in the 12 months preceding the survey, compared with 98.4% of men.</w:t>
      </w:r>
      <w:r w:rsidRPr="00435C4A">
        <w:rPr>
          <w:rStyle w:val="FootnoteReference"/>
          <w:rFonts w:cs="Cambria"/>
        </w:rPr>
        <w:footnoteReference w:id="41"/>
      </w:r>
    </w:p>
    <w:p w:rsidR="00997603" w:rsidRPr="00435C4A" w:rsidRDefault="00997603" w:rsidP="00997603">
      <w:pPr>
        <w:pStyle w:val="ListParagraph"/>
        <w:jc w:val="both"/>
        <w:rPr>
          <w:rFonts w:cs="Cambria"/>
        </w:rPr>
      </w:pPr>
    </w:p>
    <w:p w:rsidR="00997603" w:rsidRPr="00435C4A" w:rsidRDefault="00997603" w:rsidP="00997603">
      <w:pPr>
        <w:pStyle w:val="ListParagraph"/>
        <w:numPr>
          <w:ilvl w:val="0"/>
          <w:numId w:val="1"/>
        </w:numPr>
        <w:ind w:left="567" w:hanging="567"/>
        <w:jc w:val="both"/>
        <w:rPr>
          <w:rFonts w:cs="Cambria"/>
        </w:rPr>
      </w:pPr>
      <w:r w:rsidRPr="00435C4A">
        <w:rPr>
          <w:rFonts w:cs="Cambria"/>
        </w:rPr>
        <w:t xml:space="preserve">Besides experiencing lower net rates of employment, </w:t>
      </w:r>
      <w:r w:rsidR="00221162">
        <w:rPr>
          <w:rFonts w:cs="Cambria"/>
        </w:rPr>
        <w:t>there is evidence of inequality in remuneration and gender segregation in the employment market</w:t>
      </w:r>
      <w:r w:rsidRPr="00435C4A">
        <w:rPr>
          <w:rFonts w:cs="Cambria"/>
        </w:rPr>
        <w:t xml:space="preserve">. </w:t>
      </w:r>
      <w:r w:rsidRPr="00435C4A">
        <w:t>Responses to the 2009 DHS indicate that women occupy lower paid jobs, or receive lower rates of pay for the same work. Of the 970 women indicating to the survey team that they had been in employment in the twelve months before the survey was conducted, 13.1% indicated that they earned more than their husband, compared with 62.4% stating the</w:t>
      </w:r>
      <w:r>
        <w:t>y</w:t>
      </w:r>
      <w:r w:rsidRPr="00435C4A">
        <w:t xml:space="preserve"> earned less and 20.2% indicating that earnings were “about the same”.</w:t>
      </w:r>
      <w:r w:rsidRPr="00435C4A">
        <w:rPr>
          <w:rStyle w:val="FootnoteReference"/>
        </w:rPr>
        <w:footnoteReference w:id="42"/>
      </w:r>
      <w:r w:rsidRPr="00435C4A">
        <w:t xml:space="preserve"> There is strong evidence of </w:t>
      </w:r>
      <w:r w:rsidRPr="00435C4A">
        <w:rPr>
          <w:i/>
        </w:rPr>
        <w:t>de facto</w:t>
      </w:r>
      <w:r w:rsidRPr="00435C4A">
        <w:t xml:space="preserve"> job segregation between jobs which are considered to be “men’s work” and “women’s work”. According to the census, women were significantly less likely to work in agriculture, utilities, transport or mining and quarrying, but much more likely to work in education, health services, personal (household) services or hospitality.</w:t>
      </w:r>
      <w:r w:rsidRPr="00435C4A">
        <w:rPr>
          <w:rStyle w:val="WW-FootnoteReference12345"/>
        </w:rPr>
        <w:footnoteReference w:id="43"/>
      </w:r>
    </w:p>
    <w:p w:rsidR="00997603" w:rsidRPr="004749E9" w:rsidRDefault="00997603" w:rsidP="00997603">
      <w:pPr>
        <w:pStyle w:val="ListParagraph"/>
        <w:ind w:firstLine="0"/>
        <w:jc w:val="both"/>
        <w:rPr>
          <w:rFonts w:cs="Cambria"/>
          <w:color w:val="000000"/>
        </w:rPr>
      </w:pPr>
    </w:p>
    <w:p w:rsidR="00997603" w:rsidRPr="004749E9" w:rsidRDefault="00997603" w:rsidP="00997603">
      <w:pPr>
        <w:pStyle w:val="ListParagraph"/>
        <w:numPr>
          <w:ilvl w:val="0"/>
          <w:numId w:val="1"/>
        </w:numPr>
        <w:ind w:left="567" w:hanging="567"/>
        <w:jc w:val="both"/>
        <w:rPr>
          <w:rFonts w:cs="Cambria"/>
          <w:color w:val="000000"/>
        </w:rPr>
      </w:pPr>
      <w:r w:rsidRPr="004749E9">
        <w:rPr>
          <w:rFonts w:cs="Cambria"/>
          <w:color w:val="000000"/>
        </w:rPr>
        <w:lastRenderedPageBreak/>
        <w:t>A lack of cases brought under Guyana’s anti-discrimination laws indicates that discriminatory treatment in the workplace may be continuing without an effective check. Thus, while sexual harassment is prohibited under the Prevention of Discrimination Act 1997,</w:t>
      </w:r>
      <w:r w:rsidRPr="00427879">
        <w:rPr>
          <w:rStyle w:val="WW-FootnoteReference12345"/>
        </w:rPr>
        <w:footnoteReference w:id="44"/>
      </w:r>
      <w:r>
        <w:rPr>
          <w:rFonts w:cs="Cambria"/>
          <w:color w:val="000000"/>
        </w:rPr>
        <w:t xml:space="preserve"> </w:t>
      </w:r>
      <w:r w:rsidRPr="004749E9">
        <w:rPr>
          <w:rFonts w:cs="Cambria"/>
          <w:color w:val="000000"/>
        </w:rPr>
        <w:t xml:space="preserve">Karen De Souza of </w:t>
      </w:r>
      <w:r>
        <w:rPr>
          <w:rFonts w:cs="Cambria"/>
          <w:color w:val="000000"/>
        </w:rPr>
        <w:t xml:space="preserve">the NGO </w:t>
      </w:r>
      <w:r w:rsidRPr="004749E9">
        <w:rPr>
          <w:rFonts w:cs="Cambria"/>
          <w:color w:val="000000"/>
        </w:rPr>
        <w:t xml:space="preserve">Red Thread </w:t>
      </w:r>
      <w:r>
        <w:rPr>
          <w:rFonts w:cs="Cambria"/>
          <w:color w:val="000000"/>
        </w:rPr>
        <w:t>informed the Equal Rights Trust that women face serious challenges in bringing claims of sexual harassment</w:t>
      </w:r>
      <w:r w:rsidRPr="004749E9">
        <w:rPr>
          <w:rFonts w:cs="Cambria"/>
          <w:color w:val="000000"/>
        </w:rPr>
        <w:t>:</w:t>
      </w:r>
    </w:p>
    <w:p w:rsidR="00997603" w:rsidRPr="004749E9" w:rsidRDefault="00997603" w:rsidP="00997603">
      <w:pPr>
        <w:pStyle w:val="ListParagraph"/>
        <w:ind w:firstLine="0"/>
        <w:jc w:val="both"/>
        <w:rPr>
          <w:rFonts w:cs="Cambria"/>
          <w:color w:val="000000"/>
        </w:rPr>
      </w:pPr>
    </w:p>
    <w:p w:rsidR="00997603" w:rsidRDefault="00997603" w:rsidP="00997603">
      <w:pPr>
        <w:pStyle w:val="ListParagraph"/>
        <w:ind w:left="1560" w:right="992" w:firstLine="0"/>
        <w:jc w:val="both"/>
        <w:rPr>
          <w:rFonts w:cs="Cambria"/>
        </w:rPr>
      </w:pPr>
      <w:r w:rsidRPr="004749E9">
        <w:rPr>
          <w:rFonts w:cs="Cambria"/>
          <w:i/>
        </w:rPr>
        <w:t>A woman who is trying to bring charges of sexual harassment against an employer is then treated with accusations of various kinds of wrongdoing and the system generally takes the part of the employer</w:t>
      </w:r>
      <w:r w:rsidRPr="004749E9">
        <w:rPr>
          <w:rFonts w:cs="Cambria"/>
        </w:rPr>
        <w:t>.</w:t>
      </w:r>
      <w:r w:rsidRPr="00427879">
        <w:rPr>
          <w:rStyle w:val="WW-FootnoteReference12345"/>
          <w:rFonts w:cs="Cambria"/>
        </w:rPr>
        <w:footnoteReference w:id="45"/>
      </w:r>
    </w:p>
    <w:p w:rsidR="00997603" w:rsidRPr="004749E9" w:rsidRDefault="00997603" w:rsidP="00997603">
      <w:pPr>
        <w:pStyle w:val="ListParagraph"/>
        <w:ind w:left="1560" w:right="992" w:firstLine="0"/>
        <w:jc w:val="both"/>
        <w:rPr>
          <w:rFonts w:cs="Cambria"/>
        </w:rPr>
      </w:pPr>
    </w:p>
    <w:p w:rsidR="00997603" w:rsidRPr="004749E9" w:rsidRDefault="00997603" w:rsidP="00997603">
      <w:pPr>
        <w:pStyle w:val="ListParagraph"/>
        <w:numPr>
          <w:ilvl w:val="0"/>
          <w:numId w:val="1"/>
        </w:numPr>
        <w:ind w:left="567" w:hanging="567"/>
        <w:jc w:val="both"/>
        <w:rPr>
          <w:rFonts w:cs="Cambria"/>
          <w:color w:val="000000"/>
        </w:rPr>
      </w:pPr>
      <w:r w:rsidRPr="004749E9">
        <w:rPr>
          <w:rFonts w:cs="Cambria"/>
          <w:color w:val="000000"/>
        </w:rPr>
        <w:t xml:space="preserve">Similarly, while female workers have a right to protection from discrimination on grounds of pregnancy or maternity, there are reports that within the private sector this is not strictly adhered to. As one women interviewed by </w:t>
      </w:r>
      <w:r>
        <w:rPr>
          <w:rFonts w:cs="Cambria"/>
          <w:color w:val="000000"/>
        </w:rPr>
        <w:t>Equal Rights Trust researchers</w:t>
      </w:r>
      <w:r w:rsidRPr="004749E9">
        <w:rPr>
          <w:rFonts w:cs="Cambria"/>
          <w:color w:val="000000"/>
        </w:rPr>
        <w:t xml:space="preserve"> stated:</w:t>
      </w:r>
    </w:p>
    <w:p w:rsidR="00997603" w:rsidRPr="004749E9" w:rsidRDefault="00997603" w:rsidP="00997603">
      <w:pPr>
        <w:pStyle w:val="ListParagraph"/>
        <w:ind w:firstLine="0"/>
        <w:jc w:val="both"/>
        <w:rPr>
          <w:rFonts w:cs="Cambria"/>
          <w:color w:val="000000"/>
        </w:rPr>
      </w:pPr>
    </w:p>
    <w:p w:rsidR="00997603" w:rsidRPr="004749E9" w:rsidRDefault="00997603" w:rsidP="00997603">
      <w:pPr>
        <w:pStyle w:val="ListParagraph"/>
        <w:ind w:left="1560" w:right="992" w:firstLine="0"/>
        <w:jc w:val="both"/>
        <w:rPr>
          <w:rFonts w:cs="Cambria"/>
          <w:i/>
          <w:iCs/>
          <w:color w:val="000000"/>
        </w:rPr>
      </w:pPr>
      <w:r w:rsidRPr="004749E9">
        <w:rPr>
          <w:rFonts w:cs="Cambria"/>
          <w:i/>
          <w:iCs/>
          <w:color w:val="000000"/>
        </w:rPr>
        <w:t>Persons do not want to hire them [pregnant women] when they are pregnant or find a way to get rid of them when they discover that they are because they feel that their work would not get done. They do not understand this because pregnancy is not a disease, and for everyone to have been born someone had to be pregnant.</w:t>
      </w:r>
      <w:r w:rsidRPr="00427879">
        <w:rPr>
          <w:rStyle w:val="WW-FootnoteReference12345"/>
          <w:rFonts w:cs="Cambria"/>
        </w:rPr>
        <w:footnoteReference w:id="46"/>
      </w:r>
    </w:p>
    <w:p w:rsidR="00997603" w:rsidRPr="00293372" w:rsidRDefault="00997603" w:rsidP="00997603">
      <w:pPr>
        <w:pStyle w:val="ListParagraph"/>
        <w:jc w:val="both"/>
        <w:rPr>
          <w:rFonts w:cs="Cambria"/>
        </w:rPr>
      </w:pPr>
    </w:p>
    <w:p w:rsidR="00997603" w:rsidRPr="00293372" w:rsidRDefault="00997603" w:rsidP="00997603">
      <w:pPr>
        <w:pBdr>
          <w:top w:val="single" w:sz="18" w:space="1" w:color="E8112D"/>
          <w:left w:val="single" w:sz="18" w:space="4" w:color="E8112D"/>
          <w:bottom w:val="single" w:sz="18" w:space="1" w:color="E8112D"/>
          <w:right w:val="single" w:sz="18" w:space="4" w:color="E8112D"/>
        </w:pBdr>
        <w:shd w:val="solid" w:color="FCD4D9" w:fill="E8112D"/>
        <w:ind w:left="567" w:hanging="567"/>
        <w:rPr>
          <w:b/>
        </w:rPr>
      </w:pPr>
      <w:r w:rsidRPr="00293372">
        <w:rPr>
          <w:b/>
        </w:rPr>
        <w:t xml:space="preserve">Suggested </w:t>
      </w:r>
      <w:r w:rsidR="00011CE6">
        <w:rPr>
          <w:b/>
        </w:rPr>
        <w:t>Recommendations</w:t>
      </w:r>
    </w:p>
    <w:p w:rsidR="00997603" w:rsidRPr="00293372" w:rsidRDefault="00997603" w:rsidP="00997603">
      <w:pPr>
        <w:pBdr>
          <w:top w:val="single" w:sz="18" w:space="1" w:color="E8112D"/>
          <w:left w:val="single" w:sz="18" w:space="4" w:color="E8112D"/>
          <w:bottom w:val="single" w:sz="18" w:space="1" w:color="E8112D"/>
          <w:right w:val="single" w:sz="18" w:space="4" w:color="E8112D"/>
        </w:pBdr>
        <w:shd w:val="solid" w:color="FCD4D9" w:fill="E8112D"/>
        <w:ind w:left="567" w:hanging="567"/>
      </w:pPr>
    </w:p>
    <w:p w:rsidR="00221162" w:rsidRDefault="00011CE6" w:rsidP="00997603">
      <w:pPr>
        <w:pStyle w:val="ListParagraph"/>
        <w:numPr>
          <w:ilvl w:val="0"/>
          <w:numId w:val="3"/>
        </w:numPr>
        <w:pBdr>
          <w:top w:val="single" w:sz="18" w:space="1" w:color="E8112D"/>
          <w:left w:val="single" w:sz="18" w:space="4" w:color="E8112D"/>
          <w:bottom w:val="single" w:sz="18" w:space="1" w:color="E8112D"/>
          <w:right w:val="single" w:sz="18" w:space="4" w:color="E8112D"/>
        </w:pBdr>
        <w:shd w:val="solid" w:color="FCD4D9" w:fill="E8112D"/>
        <w:ind w:left="567" w:hanging="567"/>
        <w:jc w:val="both"/>
      </w:pPr>
      <w:r>
        <w:t xml:space="preserve">Guyana should take steps to </w:t>
      </w:r>
      <w:r w:rsidR="00780D8D">
        <w:t xml:space="preserve">ensure that women are able to enjoy the right to work </w:t>
      </w:r>
      <w:r>
        <w:t xml:space="preserve">and the right to just and favourable conditions of work </w:t>
      </w:r>
      <w:r w:rsidR="00780D8D">
        <w:t xml:space="preserve">without </w:t>
      </w:r>
      <w:r>
        <w:t xml:space="preserve">discrimination on the basis </w:t>
      </w:r>
      <w:r w:rsidR="00592829">
        <w:t xml:space="preserve">of </w:t>
      </w:r>
      <w:r>
        <w:t>sex.</w:t>
      </w:r>
    </w:p>
    <w:p w:rsidR="00221162" w:rsidRDefault="00221162" w:rsidP="00221162">
      <w:pPr>
        <w:pBdr>
          <w:top w:val="single" w:sz="18" w:space="1" w:color="E8112D"/>
          <w:left w:val="single" w:sz="18" w:space="4" w:color="E8112D"/>
          <w:bottom w:val="single" w:sz="18" w:space="1" w:color="E8112D"/>
          <w:right w:val="single" w:sz="18" w:space="4" w:color="E8112D"/>
        </w:pBdr>
        <w:shd w:val="solid" w:color="FCD4D9" w:fill="E8112D"/>
      </w:pPr>
    </w:p>
    <w:p w:rsidR="00997603" w:rsidRDefault="00011CE6" w:rsidP="00997603">
      <w:pPr>
        <w:pStyle w:val="ListParagraph"/>
        <w:numPr>
          <w:ilvl w:val="0"/>
          <w:numId w:val="3"/>
        </w:numPr>
        <w:pBdr>
          <w:top w:val="single" w:sz="18" w:space="1" w:color="E8112D"/>
          <w:left w:val="single" w:sz="18" w:space="4" w:color="E8112D"/>
          <w:bottom w:val="single" w:sz="18" w:space="1" w:color="E8112D"/>
          <w:right w:val="single" w:sz="18" w:space="4" w:color="E8112D"/>
        </w:pBdr>
        <w:shd w:val="solid" w:color="FCD4D9" w:fill="E8112D"/>
        <w:ind w:left="567" w:hanging="567"/>
        <w:jc w:val="both"/>
      </w:pPr>
      <w:r>
        <w:t>Guyana should</w:t>
      </w:r>
      <w:r w:rsidR="00997603" w:rsidRPr="00293372">
        <w:t xml:space="preserve"> monitor the implementation and impact of </w:t>
      </w:r>
      <w:r>
        <w:t>legislation providing protection from sexual harassment and discrimination on the basis of sex</w:t>
      </w:r>
      <w:r w:rsidRPr="00293372">
        <w:t xml:space="preserve"> </w:t>
      </w:r>
      <w:r>
        <w:t xml:space="preserve">and other </w:t>
      </w:r>
      <w:r w:rsidR="00997603" w:rsidRPr="00293372">
        <w:t>measures adopted to increase women’s participation in the labour forc</w:t>
      </w:r>
      <w:r>
        <w:t>e.</w:t>
      </w:r>
    </w:p>
    <w:p w:rsidR="00997603" w:rsidRPr="00293372" w:rsidRDefault="00997603" w:rsidP="00997603">
      <w:pPr>
        <w:pBdr>
          <w:top w:val="single" w:sz="18" w:space="1" w:color="E8112D"/>
          <w:left w:val="single" w:sz="18" w:space="4" w:color="E8112D"/>
          <w:bottom w:val="single" w:sz="18" w:space="1" w:color="E8112D"/>
          <w:right w:val="single" w:sz="18" w:space="4" w:color="E8112D"/>
        </w:pBdr>
        <w:shd w:val="solid" w:color="FCD4D9" w:fill="E8112D"/>
      </w:pPr>
    </w:p>
    <w:p w:rsidR="00997603" w:rsidRPr="00293372" w:rsidRDefault="00011CE6" w:rsidP="003D29F9">
      <w:pPr>
        <w:pStyle w:val="ListParagraph"/>
        <w:numPr>
          <w:ilvl w:val="0"/>
          <w:numId w:val="3"/>
        </w:numPr>
        <w:pBdr>
          <w:top w:val="single" w:sz="18" w:space="1" w:color="E8112D"/>
          <w:left w:val="single" w:sz="18" w:space="4" w:color="E8112D"/>
          <w:bottom w:val="single" w:sz="18" w:space="1" w:color="E8112D"/>
          <w:right w:val="single" w:sz="18" w:space="4" w:color="E8112D"/>
        </w:pBdr>
        <w:shd w:val="solid" w:color="FCD4D9" w:fill="E8112D"/>
        <w:ind w:left="567" w:hanging="567"/>
        <w:jc w:val="both"/>
      </w:pPr>
      <w:r>
        <w:t>Guyana should ensure that data from the 2012 census on employment, education and healthcare are disaggregated and analysed on the basis of sex.</w:t>
      </w:r>
    </w:p>
    <w:p w:rsidR="00416F15" w:rsidRPr="00293372" w:rsidRDefault="00416F15" w:rsidP="00997603">
      <w:pPr>
        <w:rPr>
          <w:rFonts w:cs="Cambria"/>
        </w:rPr>
      </w:pPr>
    </w:p>
    <w:p w:rsidR="00997603" w:rsidRPr="00293372" w:rsidRDefault="00997603" w:rsidP="00997603">
      <w:pPr>
        <w:rPr>
          <w:b/>
          <w:i/>
        </w:rPr>
      </w:pPr>
      <w:r w:rsidRPr="00293372">
        <w:rPr>
          <w:b/>
          <w:i/>
        </w:rPr>
        <w:t xml:space="preserve"> Sexual Orientation</w:t>
      </w:r>
    </w:p>
    <w:p w:rsidR="00997603" w:rsidRPr="00293372" w:rsidRDefault="00997603" w:rsidP="00997603">
      <w:pPr>
        <w:rPr>
          <w:b/>
          <w:i/>
        </w:rPr>
      </w:pPr>
    </w:p>
    <w:p w:rsidR="00997603" w:rsidRPr="00293372" w:rsidRDefault="00997603" w:rsidP="00997603">
      <w:pPr>
        <w:pStyle w:val="ListParagraph"/>
        <w:numPr>
          <w:ilvl w:val="0"/>
          <w:numId w:val="1"/>
        </w:numPr>
        <w:ind w:left="567" w:hanging="567"/>
        <w:jc w:val="both"/>
      </w:pPr>
      <w:r w:rsidRPr="00293372">
        <w:t xml:space="preserve">The </w:t>
      </w:r>
      <w:r>
        <w:t>Committee has recognised that the term “other status” in A</w:t>
      </w:r>
      <w:r w:rsidRPr="00293372">
        <w:t>rticle 2</w:t>
      </w:r>
      <w:r>
        <w:t>(2)</w:t>
      </w:r>
      <w:r w:rsidRPr="00293372">
        <w:t xml:space="preserve"> includes </w:t>
      </w:r>
      <w:r>
        <w:t xml:space="preserve">both </w:t>
      </w:r>
      <w:r w:rsidRPr="00293372">
        <w:t>sexual orientation</w:t>
      </w:r>
      <w:r>
        <w:t xml:space="preserve"> and gender identity</w:t>
      </w:r>
      <w:r w:rsidRPr="00293372">
        <w:t>.</w:t>
      </w:r>
      <w:r w:rsidRPr="00293372">
        <w:rPr>
          <w:rStyle w:val="FootnoteReference"/>
        </w:rPr>
        <w:footnoteReference w:id="47"/>
      </w:r>
      <w:r w:rsidRPr="00293372">
        <w:t xml:space="preserve"> As such, states are required to guarantee the enjoyment of all Covenant rights without discrimination on the basis of sexual orientation</w:t>
      </w:r>
      <w:r>
        <w:t xml:space="preserve"> and gender identity</w:t>
      </w:r>
      <w:r w:rsidRPr="00293372">
        <w:t>.</w:t>
      </w:r>
    </w:p>
    <w:p w:rsidR="00997603" w:rsidRPr="00293372" w:rsidRDefault="00997603" w:rsidP="00997603">
      <w:pPr>
        <w:pStyle w:val="ListParagraph"/>
        <w:jc w:val="both"/>
      </w:pPr>
    </w:p>
    <w:p w:rsidR="00997603" w:rsidRPr="00195B87" w:rsidRDefault="00997603" w:rsidP="00997603">
      <w:pPr>
        <w:pStyle w:val="ListParagraph"/>
        <w:numPr>
          <w:ilvl w:val="0"/>
          <w:numId w:val="1"/>
        </w:numPr>
        <w:ind w:left="567" w:hanging="567"/>
        <w:jc w:val="both"/>
      </w:pPr>
      <w:r w:rsidRPr="00293372">
        <w:t>Research undertaken by the Equal Right</w:t>
      </w:r>
      <w:r>
        <w:t>s Trust found that lesbian, gay,</w:t>
      </w:r>
      <w:r w:rsidRPr="00293372">
        <w:t xml:space="preserve"> bisexual</w:t>
      </w:r>
      <w:r w:rsidR="00011CE6">
        <w:t xml:space="preserve"> and </w:t>
      </w:r>
      <w:r>
        <w:t xml:space="preserve">transgender </w:t>
      </w:r>
      <w:r w:rsidRPr="00293372">
        <w:t>(LGB</w:t>
      </w:r>
      <w:r w:rsidR="00011CE6">
        <w:t>T</w:t>
      </w:r>
      <w:r w:rsidRPr="00293372">
        <w:t xml:space="preserve">) persons in Guyana are at risk of – and experience – </w:t>
      </w:r>
      <w:r w:rsidRPr="004749E9">
        <w:t xml:space="preserve">discrimination and a range of other serious human rights abuses because of their sexual orientation and gender identity. Same-sex sexual activity between men and cross-dressing by men and women are explicitly criminalised respectively under sections 352-354 of the </w:t>
      </w:r>
      <w:r w:rsidRPr="004749E9">
        <w:rPr>
          <w:color w:val="000000"/>
        </w:rPr>
        <w:t xml:space="preserve">Criminal </w:t>
      </w:r>
      <w:r w:rsidRPr="004749E9">
        <w:rPr>
          <w:color w:val="000000"/>
        </w:rPr>
        <w:lastRenderedPageBreak/>
        <w:t xml:space="preserve">Law (Offences) Act 1894 and under </w:t>
      </w:r>
      <w:r w:rsidRPr="004749E9">
        <w:rPr>
          <w:rFonts w:cs="Cambria"/>
          <w:color w:val="000000"/>
        </w:rPr>
        <w:t xml:space="preserve">section 153 of the Summary </w:t>
      </w:r>
      <w:r w:rsidRPr="004749E9">
        <w:rPr>
          <w:color w:val="000000"/>
        </w:rPr>
        <w:t>Jurisdiction (Offences) Act 1894.</w:t>
      </w:r>
      <w:r w:rsidR="00780D8D">
        <w:rPr>
          <w:color w:val="000000"/>
        </w:rPr>
        <w:t xml:space="preserve"> The Equal Rights Trust is concerned that the continued criminalisation of gay and bisexual men and transgender persons, in addition to being a severe violation of their fundamental right to non-discrimination, constitutes a barrier to the effective enjoyment of economic and social rights. This concern is based on evidence gathered in the co</w:t>
      </w:r>
      <w:r w:rsidR="00011CE6">
        <w:rPr>
          <w:color w:val="000000"/>
        </w:rPr>
        <w:t xml:space="preserve">urse of our research with LGBT </w:t>
      </w:r>
      <w:r w:rsidR="00780D8D">
        <w:rPr>
          <w:color w:val="000000"/>
        </w:rPr>
        <w:t>Guyanese.</w:t>
      </w:r>
    </w:p>
    <w:p w:rsidR="00997603" w:rsidRPr="00195B87" w:rsidRDefault="00997603" w:rsidP="00997603">
      <w:pPr>
        <w:pStyle w:val="ListParagraph"/>
        <w:jc w:val="both"/>
        <w:rPr>
          <w:rFonts w:cs="Cambria"/>
          <w:color w:val="000000"/>
        </w:rPr>
      </w:pPr>
    </w:p>
    <w:p w:rsidR="00997603" w:rsidRPr="00195B87" w:rsidRDefault="00997603" w:rsidP="00997603">
      <w:pPr>
        <w:pStyle w:val="ListParagraph"/>
        <w:numPr>
          <w:ilvl w:val="0"/>
          <w:numId w:val="1"/>
        </w:numPr>
        <w:ind w:left="567" w:hanging="567"/>
        <w:jc w:val="both"/>
      </w:pPr>
      <w:r>
        <w:rPr>
          <w:rFonts w:cs="Cambria"/>
          <w:color w:val="000000"/>
        </w:rPr>
        <w:t xml:space="preserve">There is no accurate data on the enjoyment of economic and social rights for LGBT persons in Guyana. </w:t>
      </w:r>
      <w:r w:rsidRPr="00195B87">
        <w:rPr>
          <w:rFonts w:cs="Cambria"/>
          <w:color w:val="000000"/>
        </w:rPr>
        <w:t xml:space="preserve">However, in interview with </w:t>
      </w:r>
      <w:r>
        <w:rPr>
          <w:rFonts w:cs="Cambria"/>
          <w:color w:val="000000"/>
        </w:rPr>
        <w:t>our</w:t>
      </w:r>
      <w:r w:rsidR="00011CE6">
        <w:rPr>
          <w:rFonts w:cs="Cambria"/>
          <w:color w:val="000000"/>
        </w:rPr>
        <w:t xml:space="preserve"> research team, LGBT</w:t>
      </w:r>
      <w:r w:rsidRPr="00195B87">
        <w:rPr>
          <w:rFonts w:cs="Cambria"/>
          <w:color w:val="000000"/>
        </w:rPr>
        <w:t xml:space="preserve"> persons reported that they experienced discrimination in education, employment, health, access to public services and living standards.</w:t>
      </w:r>
    </w:p>
    <w:p w:rsidR="00997603" w:rsidRPr="00195B87" w:rsidRDefault="00997603" w:rsidP="00997603">
      <w:pPr>
        <w:pStyle w:val="ListParagraph"/>
        <w:jc w:val="both"/>
        <w:rPr>
          <w:rFonts w:cs="Cambria"/>
          <w:color w:val="000000"/>
        </w:rPr>
      </w:pPr>
    </w:p>
    <w:p w:rsidR="00997603" w:rsidRDefault="00011CE6" w:rsidP="00011CE6">
      <w:pPr>
        <w:pStyle w:val="ListParagraph"/>
        <w:numPr>
          <w:ilvl w:val="0"/>
          <w:numId w:val="1"/>
        </w:numPr>
        <w:ind w:left="567" w:hanging="567"/>
        <w:jc w:val="both"/>
        <w:rPr>
          <w:rFonts w:cs="Cambria"/>
          <w:color w:val="000000"/>
          <w:u w:val="single"/>
        </w:rPr>
      </w:pPr>
      <w:r w:rsidRPr="00427879">
        <w:rPr>
          <w:rFonts w:cs="Cambria"/>
          <w:color w:val="000000"/>
        </w:rPr>
        <w:t>LGBT persons experience prejudice, discrimination and harassment at the hands of both employers and fellow employees</w:t>
      </w:r>
      <w:r w:rsidR="00A733B8">
        <w:rPr>
          <w:rFonts w:cs="Cambria"/>
          <w:color w:val="000000"/>
        </w:rPr>
        <w:t xml:space="preserve"> which limit their enjoyment of the rights to work and to just and favourable conditions of work</w:t>
      </w:r>
      <w:r w:rsidRPr="00427879">
        <w:rPr>
          <w:rFonts w:cs="Cambria"/>
          <w:color w:val="000000"/>
        </w:rPr>
        <w:t>. LGBT persons are often closeted at work, and their career advancement is hindered where their sexual orientation is known.</w:t>
      </w:r>
      <w:r w:rsidRPr="00427879">
        <w:rPr>
          <w:rStyle w:val="WW-FootnoteReference12345"/>
          <w:rFonts w:cs="Cambria"/>
          <w:color w:val="000000"/>
        </w:rPr>
        <w:footnoteReference w:id="48"/>
      </w:r>
      <w:r w:rsidRPr="00427879">
        <w:rPr>
          <w:rFonts w:cs="Cambria"/>
          <w:color w:val="000000"/>
        </w:rPr>
        <w:t xml:space="preserve"> Those interviewed </w:t>
      </w:r>
      <w:r>
        <w:rPr>
          <w:rFonts w:cs="Cambria"/>
          <w:color w:val="000000"/>
        </w:rPr>
        <w:t>by the Equal Rights Trust</w:t>
      </w:r>
      <w:r w:rsidRPr="00427879">
        <w:rPr>
          <w:rFonts w:cs="Cambria"/>
          <w:color w:val="000000"/>
        </w:rPr>
        <w:t xml:space="preserve"> indicated that discrimination against openly gay, lesbian and transgender persons includes everything from refus</w:t>
      </w:r>
      <w:r>
        <w:rPr>
          <w:rFonts w:cs="Cambria"/>
          <w:color w:val="000000"/>
        </w:rPr>
        <w:t xml:space="preserve">ing to appoint qualified candidates </w:t>
      </w:r>
      <w:r w:rsidRPr="00427879">
        <w:rPr>
          <w:rFonts w:cs="Cambria"/>
          <w:color w:val="000000"/>
        </w:rPr>
        <w:t>through to problems with pay, unequal treatment and verbal abuse.</w:t>
      </w:r>
      <w:r>
        <w:rPr>
          <w:rFonts w:cs="Cambria"/>
          <w:color w:val="000000"/>
        </w:rPr>
        <w:t xml:space="preserve"> Testimony provided to the Trust also indicated</w:t>
      </w:r>
      <w:r w:rsidRPr="00427879">
        <w:rPr>
          <w:rFonts w:cs="Cambria"/>
          <w:color w:val="000000"/>
        </w:rPr>
        <w:t xml:space="preserve"> that gay, lesbian or transgender persons have been fired or made redundant because their sexual orientation or gender identity, previously hidden, had been disclosed. </w:t>
      </w:r>
      <w:r>
        <w:rPr>
          <w:rFonts w:cs="Cambria"/>
          <w:color w:val="000000"/>
        </w:rPr>
        <w:t xml:space="preserve">For example, </w:t>
      </w:r>
      <w:r w:rsidRPr="00427879">
        <w:rPr>
          <w:rFonts w:cs="Cambria"/>
          <w:color w:val="000000"/>
        </w:rPr>
        <w:t>R., a lesbian woman, stated that she had been employed to look after the children of a primary school teacher, but that after coming out to her “she let it be known that she didn’t want me to watch her kids anymore.”</w:t>
      </w:r>
      <w:r w:rsidRPr="00427879">
        <w:rPr>
          <w:rStyle w:val="WW-FootnoteReference12345"/>
          <w:rFonts w:cs="Cambria"/>
        </w:rPr>
        <w:footnoteReference w:id="49"/>
      </w:r>
      <w:r w:rsidRPr="00427879">
        <w:rPr>
          <w:rFonts w:cs="Cambria"/>
          <w:color w:val="000000"/>
          <w:u w:val="single"/>
        </w:rPr>
        <w:t xml:space="preserve"> </w:t>
      </w:r>
    </w:p>
    <w:p w:rsidR="00011CE6" w:rsidRPr="00011CE6" w:rsidRDefault="00011CE6" w:rsidP="00011CE6">
      <w:pPr>
        <w:rPr>
          <w:rFonts w:cs="Cambria"/>
          <w:color w:val="000000"/>
          <w:u w:val="single"/>
        </w:rPr>
      </w:pPr>
    </w:p>
    <w:p w:rsidR="00011CE6" w:rsidRPr="00195B87" w:rsidRDefault="00011CE6" w:rsidP="00011CE6">
      <w:pPr>
        <w:pStyle w:val="ListParagraph"/>
        <w:numPr>
          <w:ilvl w:val="0"/>
          <w:numId w:val="1"/>
        </w:numPr>
        <w:ind w:left="567" w:hanging="567"/>
        <w:jc w:val="both"/>
        <w:rPr>
          <w:rFonts w:cs="Cambria"/>
          <w:color w:val="000000"/>
        </w:rPr>
      </w:pPr>
      <w:r w:rsidRPr="00195B87">
        <w:rPr>
          <w:rFonts w:cs="Cambria"/>
          <w:color w:val="000000"/>
        </w:rPr>
        <w:t>Those interviewed by</w:t>
      </w:r>
      <w:r>
        <w:rPr>
          <w:rFonts w:cs="Cambria"/>
          <w:color w:val="000000"/>
        </w:rPr>
        <w:t xml:space="preserve"> the Equal Rights Trust</w:t>
      </w:r>
      <w:r w:rsidRPr="00195B87">
        <w:rPr>
          <w:rFonts w:cs="Cambria"/>
          <w:color w:val="000000"/>
        </w:rPr>
        <w:t xml:space="preserve"> also testified to discrimination and other problems preventing access to adequate housing</w:t>
      </w:r>
      <w:r w:rsidR="00A733B8">
        <w:rPr>
          <w:rFonts w:cs="Cambria"/>
          <w:color w:val="000000"/>
        </w:rPr>
        <w:t>, in violation of Article 11 of the Covenant</w:t>
      </w:r>
      <w:r w:rsidRPr="00195B87">
        <w:rPr>
          <w:rFonts w:cs="Cambria"/>
          <w:color w:val="000000"/>
        </w:rPr>
        <w:t xml:space="preserve">. A number of </w:t>
      </w:r>
      <w:r w:rsidR="00A733B8">
        <w:rPr>
          <w:rFonts w:cs="Cambria"/>
          <w:color w:val="000000"/>
        </w:rPr>
        <w:t>LGBT</w:t>
      </w:r>
      <w:r w:rsidRPr="00195B87">
        <w:rPr>
          <w:rFonts w:cs="Cambria"/>
          <w:color w:val="000000"/>
        </w:rPr>
        <w:t xml:space="preserve"> persons reported difficulty in finding accommodation, and </w:t>
      </w:r>
      <w:r w:rsidR="00A733B8">
        <w:rPr>
          <w:rFonts w:cs="Cambria"/>
          <w:color w:val="000000"/>
        </w:rPr>
        <w:t xml:space="preserve">stated </w:t>
      </w:r>
      <w:r w:rsidRPr="00195B87">
        <w:rPr>
          <w:rFonts w:cs="Cambria"/>
          <w:color w:val="000000"/>
        </w:rPr>
        <w:t>that where they succeeded, they were subjected to discriminatory treatment by landlords, as exemplified by the testimony of E. Richardson, a transgender person:</w:t>
      </w:r>
    </w:p>
    <w:p w:rsidR="00011CE6" w:rsidRPr="00195B87" w:rsidRDefault="00011CE6" w:rsidP="00011CE6">
      <w:pPr>
        <w:pStyle w:val="ListParagraph"/>
        <w:ind w:left="720" w:firstLine="0"/>
        <w:jc w:val="both"/>
        <w:rPr>
          <w:rFonts w:cs="Cambria"/>
          <w:color w:val="000000"/>
        </w:rPr>
      </w:pPr>
    </w:p>
    <w:p w:rsidR="00011CE6" w:rsidRPr="00195B87" w:rsidRDefault="00011CE6" w:rsidP="00011CE6">
      <w:pPr>
        <w:pStyle w:val="ListParagraph"/>
        <w:ind w:left="1560" w:right="946" w:firstLine="0"/>
        <w:jc w:val="both"/>
        <w:rPr>
          <w:rFonts w:cs="Cambria"/>
          <w:color w:val="000000"/>
        </w:rPr>
      </w:pPr>
      <w:r w:rsidRPr="00195B87">
        <w:rPr>
          <w:rFonts w:cs="Cambria"/>
          <w:i/>
          <w:iCs/>
          <w:color w:val="000000"/>
        </w:rPr>
        <w:t>It is extremely difficult to find a place to rent [...] and when I do, landlords tend to review their occupancy and financial agreements. When I moved to my present accommodation I was told that the apartment was available at a cost of $8000 + $2000 for electricity consumption. When I appeared, the woman informed me that the total cost was $13000 for a one room apartment with external latrine and bath. I was desperate and therefore agreed to the terms. I was not allowed to have visitors without her consent; no one could sleep over (except a relative) and if she did allow it there was an additional cost of $2000. There are only three reasonably good steps on a staircase of ten. I am desperate to move.</w:t>
      </w:r>
      <w:r w:rsidRPr="00427879">
        <w:rPr>
          <w:rStyle w:val="WW-FootnoteReference12345"/>
          <w:rFonts w:cs="Cambria"/>
        </w:rPr>
        <w:footnoteReference w:id="50"/>
      </w:r>
    </w:p>
    <w:p w:rsidR="00011CE6" w:rsidRPr="00011CE6" w:rsidRDefault="00011CE6" w:rsidP="00011CE6">
      <w:pPr>
        <w:pStyle w:val="ListParagraph"/>
        <w:rPr>
          <w:rFonts w:cs="Cambria"/>
          <w:color w:val="000000"/>
        </w:rPr>
      </w:pPr>
    </w:p>
    <w:p w:rsidR="00A733B8" w:rsidRDefault="00A733B8" w:rsidP="00A733B8">
      <w:pPr>
        <w:pStyle w:val="ListParagraph"/>
        <w:numPr>
          <w:ilvl w:val="0"/>
          <w:numId w:val="1"/>
        </w:numPr>
        <w:ind w:left="567" w:hanging="567"/>
        <w:jc w:val="both"/>
        <w:rPr>
          <w:rFonts w:cs="Cambria"/>
          <w:color w:val="000000"/>
        </w:rPr>
      </w:pPr>
      <w:r w:rsidRPr="00195B87">
        <w:rPr>
          <w:rFonts w:cs="Cambria"/>
          <w:color w:val="000000"/>
        </w:rPr>
        <w:t>There is also e</w:t>
      </w:r>
      <w:r>
        <w:rPr>
          <w:rFonts w:cs="Cambria"/>
          <w:color w:val="000000"/>
        </w:rPr>
        <w:t xml:space="preserve">vidence that LGBT persons </w:t>
      </w:r>
      <w:r w:rsidRPr="00195B87">
        <w:rPr>
          <w:rFonts w:cs="Cambria"/>
          <w:color w:val="000000"/>
        </w:rPr>
        <w:t xml:space="preserve">face discrimination in access to health services. </w:t>
      </w:r>
      <w:r>
        <w:rPr>
          <w:rFonts w:cs="Cambria"/>
          <w:color w:val="000000"/>
        </w:rPr>
        <w:t>The</w:t>
      </w:r>
      <w:r w:rsidRPr="00195B87">
        <w:rPr>
          <w:rFonts w:cs="Cambria"/>
          <w:color w:val="000000"/>
        </w:rPr>
        <w:t xml:space="preserve"> report </w:t>
      </w:r>
      <w:r w:rsidRPr="00195B87">
        <w:rPr>
          <w:rFonts w:cs="Cambria"/>
          <w:i/>
          <w:color w:val="000000"/>
        </w:rPr>
        <w:t>Collateral Damage: The social impact of laws affecting LGBTs in Guyana</w:t>
      </w:r>
      <w:r w:rsidRPr="00195B87">
        <w:rPr>
          <w:rFonts w:cs="Cambria"/>
          <w:color w:val="000000"/>
        </w:rPr>
        <w:t xml:space="preserve">, </w:t>
      </w:r>
      <w:r>
        <w:rPr>
          <w:rFonts w:cs="Cambria"/>
          <w:color w:val="000000"/>
        </w:rPr>
        <w:t>highlights</w:t>
      </w:r>
      <w:r w:rsidRPr="00195B87">
        <w:rPr>
          <w:rFonts w:cs="Cambria"/>
          <w:color w:val="000000"/>
        </w:rPr>
        <w:t xml:space="preserve"> the testimony of three different individuals who stated that they experienced discrimination or prejudice from health professionals, with one person stating “s</w:t>
      </w:r>
      <w:r w:rsidRPr="00195B87">
        <w:rPr>
          <w:rFonts w:cs="Cambria"/>
          <w:iCs/>
          <w:color w:val="000000"/>
        </w:rPr>
        <w:t xml:space="preserve">ome </w:t>
      </w:r>
      <w:r w:rsidRPr="00195B87">
        <w:rPr>
          <w:rFonts w:cs="Cambria"/>
          <w:iCs/>
          <w:color w:val="000000"/>
        </w:rPr>
        <w:lastRenderedPageBreak/>
        <w:t>doctors don’t want to look after me” and another that the “[h]ealth care system has policies, but still the individuals are ignorant”.</w:t>
      </w:r>
      <w:r w:rsidRPr="00427879">
        <w:rPr>
          <w:rStyle w:val="WW-FootnoteReference12345"/>
          <w:rFonts w:cs="Cambria"/>
        </w:rPr>
        <w:footnoteReference w:id="51"/>
      </w:r>
      <w:r w:rsidRPr="00195B87">
        <w:rPr>
          <w:rFonts w:cs="Cambria"/>
          <w:color w:val="000000"/>
        </w:rPr>
        <w:t xml:space="preserve"> </w:t>
      </w:r>
    </w:p>
    <w:p w:rsidR="00A733B8" w:rsidRPr="00195B87" w:rsidRDefault="00A733B8" w:rsidP="00A733B8">
      <w:pPr>
        <w:pStyle w:val="ListParagraph"/>
        <w:ind w:firstLine="0"/>
        <w:jc w:val="both"/>
        <w:rPr>
          <w:rFonts w:cs="Cambria"/>
          <w:color w:val="000000"/>
        </w:rPr>
      </w:pPr>
    </w:p>
    <w:p w:rsidR="00011CE6" w:rsidRPr="00195B87" w:rsidRDefault="00997603" w:rsidP="00011CE6">
      <w:pPr>
        <w:pStyle w:val="ListParagraph"/>
        <w:numPr>
          <w:ilvl w:val="0"/>
          <w:numId w:val="1"/>
        </w:numPr>
        <w:ind w:left="567" w:hanging="567"/>
        <w:jc w:val="both"/>
      </w:pPr>
      <w:r w:rsidRPr="00427879">
        <w:rPr>
          <w:rFonts w:cs="Cambria"/>
          <w:color w:val="000000"/>
        </w:rPr>
        <w:t xml:space="preserve">A similar pattern </w:t>
      </w:r>
      <w:r w:rsidR="00A733B8">
        <w:rPr>
          <w:rFonts w:cs="Cambria"/>
          <w:color w:val="000000"/>
        </w:rPr>
        <w:t>to that found in the workplace was</w:t>
      </w:r>
      <w:r w:rsidRPr="00427879">
        <w:rPr>
          <w:rFonts w:cs="Cambria"/>
          <w:color w:val="000000"/>
        </w:rPr>
        <w:t xml:space="preserve"> identified in </w:t>
      </w:r>
      <w:r w:rsidR="00A733B8">
        <w:rPr>
          <w:rFonts w:cs="Cambria"/>
          <w:color w:val="000000"/>
        </w:rPr>
        <w:t>education. A</w:t>
      </w:r>
      <w:r w:rsidR="00011CE6" w:rsidRPr="00195B87">
        <w:rPr>
          <w:rFonts w:cs="Cambria"/>
          <w:color w:val="000000"/>
        </w:rPr>
        <w:t xml:space="preserve"> number of interviewees reported a failure of educational authorities to investigate and prohibit mistreatment and harassment by other students.</w:t>
      </w:r>
      <w:r w:rsidR="00011CE6" w:rsidRPr="00427879">
        <w:rPr>
          <w:rStyle w:val="WW-FootnoteReference12345"/>
          <w:rFonts w:cs="Cambria"/>
        </w:rPr>
        <w:footnoteReference w:id="52"/>
      </w:r>
      <w:r w:rsidR="00011CE6" w:rsidRPr="00195B87">
        <w:rPr>
          <w:rFonts w:cs="Cambria"/>
          <w:color w:val="000000"/>
        </w:rPr>
        <w:t xml:space="preserve"> Indeed, as the testimony of Z., a lesbian interviewee, highlights, in s</w:t>
      </w:r>
      <w:r w:rsidR="00011CE6">
        <w:rPr>
          <w:rFonts w:cs="Cambria"/>
          <w:color w:val="000000"/>
        </w:rPr>
        <w:t>ome cases, teachers themselves we</w:t>
      </w:r>
      <w:r w:rsidR="00011CE6" w:rsidRPr="00195B87">
        <w:rPr>
          <w:rFonts w:cs="Cambria"/>
          <w:color w:val="000000"/>
        </w:rPr>
        <w:t>re directly responsible for discriminatory treatment:</w:t>
      </w:r>
    </w:p>
    <w:p w:rsidR="00011CE6" w:rsidRPr="00427879" w:rsidRDefault="00011CE6" w:rsidP="00011CE6">
      <w:pPr>
        <w:ind w:left="993" w:right="706"/>
        <w:rPr>
          <w:rFonts w:cs="Cambria"/>
          <w:color w:val="000000"/>
        </w:rPr>
      </w:pPr>
    </w:p>
    <w:p w:rsidR="00011CE6" w:rsidRPr="00427879" w:rsidRDefault="00011CE6" w:rsidP="00011CE6">
      <w:pPr>
        <w:ind w:left="1560" w:right="946"/>
        <w:rPr>
          <w:rFonts w:cs="Cambria"/>
          <w:color w:val="000000"/>
          <w:u w:val="single"/>
        </w:rPr>
      </w:pPr>
      <w:r w:rsidRPr="00427879">
        <w:rPr>
          <w:rFonts w:cs="Cambria"/>
          <w:i/>
          <w:iCs/>
          <w:color w:val="000000"/>
        </w:rPr>
        <w:t>Last year I had an issue at school. A teacher said she saw me kissing a girl in public during school sports. This was absolutely not true. I was with a female friend of mine in a shop, but we were not kissing. The teacher chastised me in front of the assembly, and stripped me of being a prefect. I got suspended for 3 days and the school threatened to expel me. This teacher was a favourite of the [Headteacher]. Other students, boys especially, behave far worse. They try to hit teachers with chairs etc, but nothing happens to them.</w:t>
      </w:r>
      <w:r w:rsidRPr="00427879">
        <w:rPr>
          <w:rStyle w:val="WW-FootnoteReference12345"/>
          <w:rFonts w:cs="Cambria"/>
        </w:rPr>
        <w:footnoteReference w:id="53"/>
      </w:r>
    </w:p>
    <w:p w:rsidR="00997603" w:rsidRPr="00293372" w:rsidRDefault="00997603" w:rsidP="00997603"/>
    <w:p w:rsidR="00997603" w:rsidRPr="00293372" w:rsidRDefault="00997603" w:rsidP="00997603">
      <w:pPr>
        <w:pBdr>
          <w:top w:val="single" w:sz="18" w:space="1" w:color="E8112D"/>
          <w:left w:val="single" w:sz="18" w:space="4" w:color="E8112D"/>
          <w:bottom w:val="single" w:sz="18" w:space="1" w:color="E8112D"/>
          <w:right w:val="single" w:sz="18" w:space="4" w:color="E8112D"/>
        </w:pBdr>
        <w:shd w:val="solid" w:color="FCD4D9" w:fill="E8112D"/>
        <w:ind w:left="567" w:hanging="567"/>
        <w:rPr>
          <w:b/>
        </w:rPr>
      </w:pPr>
      <w:r w:rsidRPr="00293372">
        <w:rPr>
          <w:b/>
        </w:rPr>
        <w:t xml:space="preserve">Suggested </w:t>
      </w:r>
      <w:r w:rsidR="00A733B8">
        <w:rPr>
          <w:b/>
        </w:rPr>
        <w:t>Recommendations</w:t>
      </w:r>
    </w:p>
    <w:p w:rsidR="00997603" w:rsidRPr="00293372" w:rsidRDefault="00997603" w:rsidP="00997603">
      <w:pPr>
        <w:pBdr>
          <w:top w:val="single" w:sz="18" w:space="1" w:color="E8112D"/>
          <w:left w:val="single" w:sz="18" w:space="4" w:color="E8112D"/>
          <w:bottom w:val="single" w:sz="18" w:space="1" w:color="E8112D"/>
          <w:right w:val="single" w:sz="18" w:space="4" w:color="E8112D"/>
        </w:pBdr>
        <w:shd w:val="solid" w:color="FCD4D9" w:fill="E8112D"/>
        <w:ind w:left="567" w:hanging="567"/>
      </w:pPr>
    </w:p>
    <w:p w:rsidR="00997603" w:rsidRPr="00293372" w:rsidRDefault="00A733B8" w:rsidP="00997603">
      <w:pPr>
        <w:pStyle w:val="ListParagraph"/>
        <w:numPr>
          <w:ilvl w:val="0"/>
          <w:numId w:val="3"/>
        </w:numPr>
        <w:pBdr>
          <w:top w:val="single" w:sz="18" w:space="1" w:color="E8112D"/>
          <w:left w:val="single" w:sz="18" w:space="4" w:color="E8112D"/>
          <w:bottom w:val="single" w:sz="18" w:space="1" w:color="E8112D"/>
          <w:right w:val="single" w:sz="18" w:space="4" w:color="E8112D"/>
        </w:pBdr>
        <w:shd w:val="solid" w:color="FCD4D9" w:fill="E8112D"/>
        <w:ind w:left="567" w:hanging="567"/>
        <w:jc w:val="both"/>
      </w:pPr>
      <w:r>
        <w:t>Guyana should repeal s</w:t>
      </w:r>
      <w:r w:rsidR="00997603" w:rsidRPr="00293372">
        <w:t>ections 352-354 of the Criminal Law (Offences) Act 1894 and of section 153 of the Summary Jurisdiction (Offences Act) 1894</w:t>
      </w:r>
      <w:r>
        <w:t xml:space="preserve"> which </w:t>
      </w:r>
      <w:r>
        <w:rPr>
          <w:i/>
        </w:rPr>
        <w:t xml:space="preserve">inter alia </w:t>
      </w:r>
      <w:r>
        <w:t xml:space="preserve">have the effect of limiting the enjoyment of economic and social rights by LGBT persons. </w:t>
      </w:r>
      <w:r w:rsidR="00997603" w:rsidRPr="00293372">
        <w:t xml:space="preserve"> </w:t>
      </w:r>
    </w:p>
    <w:p w:rsidR="00997603" w:rsidRPr="00293372" w:rsidRDefault="00997603" w:rsidP="00997603">
      <w:pPr>
        <w:pBdr>
          <w:top w:val="single" w:sz="18" w:space="1" w:color="E8112D"/>
          <w:left w:val="single" w:sz="18" w:space="4" w:color="E8112D"/>
          <w:bottom w:val="single" w:sz="18" w:space="1" w:color="E8112D"/>
          <w:right w:val="single" w:sz="18" w:space="4" w:color="E8112D"/>
        </w:pBdr>
        <w:shd w:val="solid" w:color="FCD4D9" w:fill="E8112D"/>
        <w:tabs>
          <w:tab w:val="left" w:pos="1617"/>
        </w:tabs>
      </w:pPr>
      <w:r w:rsidRPr="00293372">
        <w:t xml:space="preserve"> </w:t>
      </w:r>
      <w:r w:rsidRPr="00293372">
        <w:tab/>
      </w:r>
    </w:p>
    <w:p w:rsidR="00A733B8" w:rsidRDefault="00A733B8" w:rsidP="00A733B8">
      <w:pPr>
        <w:pStyle w:val="ListParagraph"/>
        <w:numPr>
          <w:ilvl w:val="0"/>
          <w:numId w:val="3"/>
        </w:numPr>
        <w:pBdr>
          <w:top w:val="single" w:sz="18" w:space="1" w:color="E8112D"/>
          <w:left w:val="single" w:sz="18" w:space="4" w:color="E8112D"/>
          <w:bottom w:val="single" w:sz="18" w:space="1" w:color="E8112D"/>
          <w:right w:val="single" w:sz="18" w:space="4" w:color="E8112D"/>
        </w:pBdr>
        <w:shd w:val="solid" w:color="FCD4D9" w:fill="E8112D"/>
        <w:ind w:left="567" w:hanging="567"/>
        <w:jc w:val="both"/>
      </w:pPr>
      <w:r>
        <w:t xml:space="preserve">Guyana should take steps to ensure that </w:t>
      </w:r>
      <w:r w:rsidR="003E776E">
        <w:t xml:space="preserve">LGBT </w:t>
      </w:r>
      <w:r>
        <w:t>persons are able to enjoy the right to work and the right to just and favourable conditions of work without discrimination.</w:t>
      </w:r>
    </w:p>
    <w:p w:rsidR="00780D8D" w:rsidRDefault="00780D8D" w:rsidP="00780D8D">
      <w:pPr>
        <w:pBdr>
          <w:top w:val="single" w:sz="18" w:space="1" w:color="E8112D"/>
          <w:left w:val="single" w:sz="18" w:space="4" w:color="E8112D"/>
          <w:bottom w:val="single" w:sz="18" w:space="1" w:color="E8112D"/>
          <w:right w:val="single" w:sz="18" w:space="4" w:color="E8112D"/>
        </w:pBdr>
        <w:shd w:val="solid" w:color="FCD4D9" w:fill="E8112D"/>
      </w:pPr>
    </w:p>
    <w:p w:rsidR="00997603" w:rsidRPr="00293372" w:rsidRDefault="00A733B8" w:rsidP="00382D22">
      <w:pPr>
        <w:pStyle w:val="ListParagraph"/>
        <w:numPr>
          <w:ilvl w:val="0"/>
          <w:numId w:val="3"/>
        </w:numPr>
        <w:pBdr>
          <w:top w:val="single" w:sz="18" w:space="1" w:color="E8112D"/>
          <w:left w:val="single" w:sz="18" w:space="4" w:color="E8112D"/>
          <w:bottom w:val="single" w:sz="18" w:space="1" w:color="E8112D"/>
          <w:right w:val="single" w:sz="18" w:space="4" w:color="E8112D"/>
        </w:pBdr>
        <w:shd w:val="solid" w:color="FCD4D9" w:fill="E8112D"/>
        <w:ind w:left="567" w:hanging="567"/>
        <w:jc w:val="both"/>
      </w:pPr>
      <w:r>
        <w:t xml:space="preserve">Guyana should take steps to ensure </w:t>
      </w:r>
      <w:r w:rsidR="003E776E">
        <w:t xml:space="preserve">that LGBT persons </w:t>
      </w:r>
      <w:r>
        <w:t>are able to enjoy the right to an adequate standard of living, the right to the highest attainable standard of health and the right to education without discrimination.</w:t>
      </w:r>
    </w:p>
    <w:p w:rsidR="00A733B8" w:rsidRDefault="00A733B8" w:rsidP="00997603">
      <w:pPr>
        <w:rPr>
          <w:b/>
          <w:i/>
        </w:rPr>
      </w:pPr>
    </w:p>
    <w:p w:rsidR="00997603" w:rsidRPr="00293372" w:rsidRDefault="00997603" w:rsidP="00997603">
      <w:r w:rsidRPr="00293372">
        <w:rPr>
          <w:b/>
          <w:i/>
        </w:rPr>
        <w:t>Disability</w:t>
      </w:r>
      <w:r w:rsidRPr="00293372">
        <w:t xml:space="preserve"> </w:t>
      </w:r>
    </w:p>
    <w:p w:rsidR="00997603" w:rsidRPr="00293372" w:rsidRDefault="00997603" w:rsidP="00997603"/>
    <w:p w:rsidR="00997603" w:rsidRPr="00293372" w:rsidRDefault="00997603" w:rsidP="00997603">
      <w:pPr>
        <w:pStyle w:val="ListParagraph"/>
        <w:numPr>
          <w:ilvl w:val="0"/>
          <w:numId w:val="1"/>
        </w:numPr>
        <w:ind w:left="567" w:hanging="567"/>
        <w:jc w:val="both"/>
      </w:pPr>
      <w:r w:rsidRPr="00293372">
        <w:t xml:space="preserve">While disability is not included in the list of specified characteristics provided in Article 2(2), the Committee has long recognised that disability is a form of “other status” within the meaning of Article 2(2). In its </w:t>
      </w:r>
      <w:r w:rsidRPr="00293372">
        <w:rPr>
          <w:i/>
        </w:rPr>
        <w:t>General Comment No. 5: Persons with disabilities,</w:t>
      </w:r>
      <w:r w:rsidRPr="00293372">
        <w:t xml:space="preserve"> the  Committee concluded that: </w:t>
      </w:r>
    </w:p>
    <w:p w:rsidR="00997603" w:rsidRPr="00293372" w:rsidRDefault="00997603" w:rsidP="00997603"/>
    <w:p w:rsidR="00997603" w:rsidRPr="00293372" w:rsidRDefault="00997603" w:rsidP="00997603">
      <w:pPr>
        <w:ind w:left="1560" w:right="946"/>
        <w:rPr>
          <w:i/>
        </w:rPr>
      </w:pPr>
      <w:r w:rsidRPr="00293372">
        <w:rPr>
          <w:i/>
        </w:rPr>
        <w:t>[T]he requirement contained in article 2 (2) of the Covenant that the rights “enunciated (...) will be exercised without discrimination of any kind” based on certain specified grounds “or other status” clearly applies to discrimination on the grounds of disability.</w:t>
      </w:r>
      <w:r w:rsidRPr="00293372">
        <w:rPr>
          <w:rStyle w:val="FootnoteReference"/>
        </w:rPr>
        <w:footnoteReference w:id="54"/>
      </w:r>
    </w:p>
    <w:p w:rsidR="00997603" w:rsidRPr="00293372" w:rsidRDefault="00997603" w:rsidP="00997603">
      <w:pPr>
        <w:ind w:right="946"/>
      </w:pPr>
    </w:p>
    <w:p w:rsidR="00997603" w:rsidRPr="004749E9" w:rsidRDefault="00997603" w:rsidP="00997603">
      <w:pPr>
        <w:pStyle w:val="ListParagraph"/>
        <w:numPr>
          <w:ilvl w:val="0"/>
          <w:numId w:val="1"/>
        </w:numPr>
        <w:ind w:left="567" w:hanging="567"/>
        <w:jc w:val="both"/>
        <w:rPr>
          <w:rFonts w:cs="Cambria"/>
          <w:color w:val="000000"/>
        </w:rPr>
      </w:pPr>
      <w:r w:rsidRPr="004749E9">
        <w:rPr>
          <w:rFonts w:cs="Cambria"/>
          <w:color w:val="000000"/>
        </w:rPr>
        <w:lastRenderedPageBreak/>
        <w:t>Testimony collected by the Equal Rights Trust corroborates previously published research indicating that persons with disabilities</w:t>
      </w:r>
      <w:r w:rsidR="00A733B8">
        <w:rPr>
          <w:rFonts w:cs="Cambria"/>
          <w:color w:val="000000"/>
        </w:rPr>
        <w:t xml:space="preserve"> in Guyana</w:t>
      </w:r>
      <w:r w:rsidRPr="004749E9">
        <w:rPr>
          <w:rFonts w:cs="Cambria"/>
          <w:color w:val="000000"/>
        </w:rPr>
        <w:t xml:space="preserve"> suffer discrimination and inequality in </w:t>
      </w:r>
      <w:r w:rsidR="00780D8D">
        <w:rPr>
          <w:rFonts w:cs="Cambria"/>
          <w:color w:val="000000"/>
        </w:rPr>
        <w:t xml:space="preserve">respect of </w:t>
      </w:r>
      <w:r w:rsidRPr="004749E9">
        <w:rPr>
          <w:rFonts w:cs="Cambria"/>
          <w:color w:val="000000"/>
        </w:rPr>
        <w:t>a range of economic and social rights</w:t>
      </w:r>
      <w:r>
        <w:rPr>
          <w:rFonts w:cs="Cambria"/>
          <w:color w:val="000000"/>
        </w:rPr>
        <w:t xml:space="preserve">. </w:t>
      </w:r>
      <w:r w:rsidRPr="004749E9">
        <w:rPr>
          <w:rFonts w:cs="Cambria"/>
          <w:color w:val="000000"/>
        </w:rPr>
        <w:t>Data collected by the government of Guyana in the 2002 Census indicates that</w:t>
      </w:r>
      <w:r>
        <w:rPr>
          <w:rFonts w:cs="Cambria"/>
          <w:color w:val="000000"/>
        </w:rPr>
        <w:t xml:space="preserve"> many</w:t>
      </w:r>
      <w:r w:rsidRPr="004749E9">
        <w:rPr>
          <w:rFonts w:cs="Cambria"/>
          <w:color w:val="000000"/>
        </w:rPr>
        <w:t xml:space="preserve"> persons with disabilities lack access to employment and to basic education</w:t>
      </w:r>
      <w:r>
        <w:rPr>
          <w:rFonts w:cs="Cambria"/>
          <w:color w:val="000000"/>
        </w:rPr>
        <w:t xml:space="preserve"> and</w:t>
      </w:r>
      <w:r w:rsidRPr="004749E9">
        <w:rPr>
          <w:rFonts w:cs="Cambria"/>
          <w:color w:val="000000"/>
        </w:rPr>
        <w:t xml:space="preserve"> health </w:t>
      </w:r>
      <w:r>
        <w:rPr>
          <w:rFonts w:cs="Cambria"/>
          <w:color w:val="000000"/>
        </w:rPr>
        <w:t>services</w:t>
      </w:r>
      <w:r w:rsidRPr="004749E9">
        <w:rPr>
          <w:rFonts w:cs="Cambria"/>
          <w:color w:val="000000"/>
        </w:rPr>
        <w:t>.</w:t>
      </w:r>
      <w:r w:rsidRPr="00427879">
        <w:rPr>
          <w:rStyle w:val="WW-FootnoteReference12345"/>
          <w:rFonts w:cs="Cambria"/>
        </w:rPr>
        <w:footnoteReference w:id="55"/>
      </w:r>
      <w:r w:rsidRPr="004749E9">
        <w:rPr>
          <w:rFonts w:cs="Cambria"/>
          <w:color w:val="000000"/>
        </w:rPr>
        <w:t xml:space="preserve"> These findings are supplemented by a 2005 study, </w:t>
      </w:r>
      <w:r w:rsidRPr="004749E9">
        <w:rPr>
          <w:rFonts w:cs="Cambria"/>
          <w:i/>
          <w:color w:val="000000"/>
        </w:rPr>
        <w:t>Raising the Profile of Disability in Guyana: an Agenda for Action</w:t>
      </w:r>
      <w:r w:rsidRPr="004749E9">
        <w:rPr>
          <w:rFonts w:cs="Cambria"/>
          <w:color w:val="000000"/>
        </w:rPr>
        <w:t>, conducted by the National Commission on Disability (NCD), which involved a survey</w:t>
      </w:r>
      <w:r>
        <w:rPr>
          <w:rFonts w:cs="Cambria"/>
          <w:color w:val="000000"/>
        </w:rPr>
        <w:t xml:space="preserve"> of 1485 persons with disabilities</w:t>
      </w:r>
      <w:r w:rsidRPr="004749E9">
        <w:rPr>
          <w:rFonts w:cs="Cambria"/>
          <w:color w:val="000000"/>
        </w:rPr>
        <w:t xml:space="preserve"> from regions 4, 6, 7 and 9.</w:t>
      </w:r>
      <w:r w:rsidRPr="00427879">
        <w:rPr>
          <w:rStyle w:val="WW-FootnoteReference123451"/>
          <w:rFonts w:cs="Cambria"/>
          <w:color w:val="000000"/>
        </w:rPr>
        <w:footnoteReference w:id="56"/>
      </w:r>
    </w:p>
    <w:p w:rsidR="00997603" w:rsidRPr="00427879" w:rsidRDefault="00997603" w:rsidP="00997603">
      <w:pPr>
        <w:rPr>
          <w:rFonts w:cs="Cambria"/>
          <w:color w:val="000000"/>
        </w:rPr>
      </w:pPr>
    </w:p>
    <w:p w:rsidR="00A733B8" w:rsidRPr="004749E9" w:rsidRDefault="00A733B8" w:rsidP="00A733B8">
      <w:pPr>
        <w:pStyle w:val="ListParagraph"/>
        <w:numPr>
          <w:ilvl w:val="0"/>
          <w:numId w:val="1"/>
        </w:numPr>
        <w:ind w:left="567" w:hanging="567"/>
        <w:jc w:val="both"/>
        <w:rPr>
          <w:rFonts w:cs="Cambria"/>
          <w:color w:val="000000"/>
        </w:rPr>
      </w:pPr>
      <w:r w:rsidRPr="004749E9">
        <w:rPr>
          <w:rFonts w:cs="Cambria"/>
          <w:color w:val="000000"/>
        </w:rPr>
        <w:t>Both the NCD report and our interviews found significant problems affecting the ability of persons with disabilit</w:t>
      </w:r>
      <w:r>
        <w:rPr>
          <w:rFonts w:cs="Cambria"/>
          <w:color w:val="000000"/>
        </w:rPr>
        <w:t>ies</w:t>
      </w:r>
      <w:r w:rsidRPr="004749E9">
        <w:rPr>
          <w:rFonts w:cs="Cambria"/>
          <w:color w:val="000000"/>
        </w:rPr>
        <w:t xml:space="preserve"> to </w:t>
      </w:r>
      <w:r w:rsidR="003179E4">
        <w:rPr>
          <w:rFonts w:cs="Cambria"/>
          <w:color w:val="000000"/>
        </w:rPr>
        <w:t>enjoy the right to work on an equal basis with others</w:t>
      </w:r>
      <w:r w:rsidRPr="004749E9">
        <w:rPr>
          <w:rFonts w:cs="Cambria"/>
          <w:color w:val="000000"/>
        </w:rPr>
        <w:t>, with lack of education, lack of access and direct discrimination all acting as causal factors. The Equal Rights Trust conducted focus groups with a total of 41 people with disabilities in Georgetown, New Amsterdam, and McKenzie. Participants in Georgetown stated that “people with disabilities can rarely find jobs as no one is willing to hire them.”</w:t>
      </w:r>
      <w:r w:rsidRPr="00427879">
        <w:rPr>
          <w:rStyle w:val="WW-FootnoteReference12345"/>
          <w:rFonts w:cs="Cambria"/>
        </w:rPr>
        <w:footnoteReference w:id="57"/>
      </w:r>
      <w:r w:rsidRPr="004749E9">
        <w:rPr>
          <w:rFonts w:cs="Cambria"/>
          <w:color w:val="000000"/>
        </w:rPr>
        <w:t xml:space="preserve"> Of the 22 participants in focus groups held in New Amsterdam and Linden, only 8 were in work. Participants in New Am</w:t>
      </w:r>
      <w:r>
        <w:rPr>
          <w:rFonts w:cs="Cambria"/>
          <w:color w:val="000000"/>
        </w:rPr>
        <w:t>sterdam stated that businesses we</w:t>
      </w:r>
      <w:r w:rsidRPr="004749E9">
        <w:rPr>
          <w:rFonts w:cs="Cambria"/>
          <w:color w:val="000000"/>
        </w:rPr>
        <w:t>re not willing to hire persons with disabilities, and that poor education is a critical factor in these decisions. The NCD study found that only 17% of persons with disabilities were employed,</w:t>
      </w:r>
      <w:r w:rsidRPr="00427879">
        <w:rPr>
          <w:rStyle w:val="WW-FootnoteReference12345"/>
          <w:rFonts w:cs="Cambria"/>
        </w:rPr>
        <w:footnoteReference w:id="58"/>
      </w:r>
      <w:r w:rsidRPr="004749E9">
        <w:rPr>
          <w:rFonts w:cs="Cambria"/>
          <w:color w:val="000000"/>
        </w:rPr>
        <w:t xml:space="preserve"> while 39% reported that they were either not able or willing to work and 34% were willing to work but unable to find employment.</w:t>
      </w:r>
      <w:r w:rsidRPr="00427879">
        <w:rPr>
          <w:rStyle w:val="WW-FootnoteReference12345"/>
          <w:rFonts w:cs="Cambria"/>
        </w:rPr>
        <w:footnoteReference w:id="59"/>
      </w:r>
      <w:r w:rsidRPr="004749E9">
        <w:rPr>
          <w:rFonts w:cs="Cambria"/>
          <w:color w:val="000000"/>
        </w:rPr>
        <w:t xml:space="preserve"> The NCD study also highlighted the fact that many persons with disabilities lose their jobs when they acquire a disability. Of those unemployed, 40% were employed prior to acquiring their disability.</w:t>
      </w:r>
      <w:r w:rsidRPr="00427879">
        <w:rPr>
          <w:rStyle w:val="WW-FootnoteReference12345"/>
          <w:rFonts w:cs="Cambria"/>
        </w:rPr>
        <w:footnoteReference w:id="60"/>
      </w:r>
      <w:r w:rsidRPr="004749E9">
        <w:rPr>
          <w:rFonts w:cs="Cambria"/>
          <w:color w:val="000000"/>
        </w:rPr>
        <w:t xml:space="preserve"> </w:t>
      </w:r>
    </w:p>
    <w:p w:rsidR="00A733B8" w:rsidRPr="00427879" w:rsidRDefault="00A733B8" w:rsidP="00A733B8">
      <w:pPr>
        <w:rPr>
          <w:rFonts w:cs="Cambria"/>
          <w:color w:val="000000"/>
        </w:rPr>
      </w:pPr>
    </w:p>
    <w:p w:rsidR="00A733B8" w:rsidRPr="003E776E" w:rsidRDefault="003179E4" w:rsidP="003E776E">
      <w:pPr>
        <w:pStyle w:val="ListParagraph"/>
        <w:numPr>
          <w:ilvl w:val="0"/>
          <w:numId w:val="1"/>
        </w:numPr>
        <w:ind w:left="567" w:hanging="567"/>
        <w:jc w:val="both"/>
        <w:rPr>
          <w:rFonts w:cs="Cambria"/>
          <w:color w:val="000000"/>
        </w:rPr>
      </w:pPr>
      <w:r>
        <w:t>In the Committee’s</w:t>
      </w:r>
      <w:r w:rsidRPr="000C76FA">
        <w:t xml:space="preserve"> General Comment </w:t>
      </w:r>
      <w:r>
        <w:t>No. 18 the Committee has recognised that the right</w:t>
      </w:r>
      <w:r w:rsidR="003E776E">
        <w:t xml:space="preserve"> to work c</w:t>
      </w:r>
      <w:r>
        <w:t>reates an obligation to “</w:t>
      </w:r>
      <w:r w:rsidRPr="000C76FA">
        <w:t>assure individuals their right to freely chosen or accepted work”.</w:t>
      </w:r>
      <w:r>
        <w:rPr>
          <w:rStyle w:val="FootnoteReference"/>
        </w:rPr>
        <w:footnoteReference w:id="61"/>
      </w:r>
      <w:r w:rsidRPr="000C76FA">
        <w:t xml:space="preserve"> </w:t>
      </w:r>
      <w:r w:rsidR="003E776E">
        <w:rPr>
          <w:rFonts w:cs="Cambria"/>
          <w:color w:val="000000"/>
        </w:rPr>
        <w:t>Our research</w:t>
      </w:r>
      <w:r w:rsidR="00A733B8" w:rsidRPr="003E776E">
        <w:rPr>
          <w:rFonts w:cs="Cambria"/>
          <w:color w:val="000000"/>
        </w:rPr>
        <w:t xml:space="preserve"> identified discrimination in respect of types and levels of employment offered to persons with disabilities</w:t>
      </w:r>
      <w:r w:rsidR="003E776E">
        <w:rPr>
          <w:rFonts w:cs="Cambria"/>
          <w:color w:val="000000"/>
        </w:rPr>
        <w:t xml:space="preserve"> which indicates that these persons do not enjoy this aspect of the right to work</w:t>
      </w:r>
      <w:r w:rsidR="00A733B8" w:rsidRPr="003E776E">
        <w:rPr>
          <w:rFonts w:cs="Cambria"/>
          <w:color w:val="000000"/>
        </w:rPr>
        <w:t>. As one person interviewed by the Trust noted, persons with disabilities are “often only taken on to work in very low or demeaning positions when they are well able to have better.”</w:t>
      </w:r>
      <w:r w:rsidR="00A733B8" w:rsidRPr="00427879">
        <w:rPr>
          <w:rStyle w:val="WW-FootnoteReference12345"/>
          <w:rFonts w:cs="Cambria"/>
        </w:rPr>
        <w:footnoteReference w:id="62"/>
      </w:r>
      <w:r w:rsidR="00A733B8" w:rsidRPr="003E776E">
        <w:rPr>
          <w:rFonts w:cs="Cambria"/>
          <w:color w:val="000000"/>
        </w:rPr>
        <w:t xml:space="preserve"> Additionally, chances of promotion are minimal; one person with disabilities noted he had: “been working in the same position for five years and more and [had been] passed over by people who have worked </w:t>
      </w:r>
      <w:r w:rsidR="00A733B8" w:rsidRPr="003E776E">
        <w:rPr>
          <w:rFonts w:cs="Cambria"/>
          <w:color w:val="000000"/>
        </w:rPr>
        <w:lastRenderedPageBreak/>
        <w:t>for far less time.”</w:t>
      </w:r>
      <w:r w:rsidR="00A733B8" w:rsidRPr="00427879">
        <w:rPr>
          <w:rStyle w:val="WW-FootnoteReference12345"/>
          <w:rFonts w:cs="Cambria"/>
        </w:rPr>
        <w:footnoteReference w:id="63"/>
      </w:r>
      <w:r w:rsidR="00A733B8" w:rsidRPr="003E776E">
        <w:rPr>
          <w:rFonts w:cs="Cambria"/>
          <w:color w:val="000000"/>
        </w:rPr>
        <w:t xml:space="preserve"> Assessing types and levels of occupation, the NCD study found that a large proportion of persons with disabilities in employment were in unskilled or semi-skilled occupations and that “aspirations have been limited by attitudinal barriers”.</w:t>
      </w:r>
      <w:r w:rsidR="00A733B8" w:rsidRPr="00427879">
        <w:rPr>
          <w:rStyle w:val="WW-FootnoteReference123451"/>
          <w:rFonts w:cs="Cambria"/>
          <w:color w:val="000000"/>
        </w:rPr>
        <w:footnoteReference w:id="64"/>
      </w:r>
      <w:r w:rsidR="00A733B8" w:rsidRPr="003E776E">
        <w:rPr>
          <w:rFonts w:cs="Cambria"/>
          <w:color w:val="000000"/>
        </w:rPr>
        <w:t xml:space="preserve"> </w:t>
      </w:r>
    </w:p>
    <w:p w:rsidR="00A733B8" w:rsidRPr="00427879" w:rsidRDefault="00A733B8" w:rsidP="00A733B8">
      <w:pPr>
        <w:rPr>
          <w:rFonts w:cs="Cambria"/>
          <w:color w:val="000000"/>
        </w:rPr>
      </w:pPr>
    </w:p>
    <w:p w:rsidR="00A733B8" w:rsidRDefault="00A733B8" w:rsidP="00A733B8">
      <w:pPr>
        <w:pStyle w:val="ListParagraph"/>
        <w:numPr>
          <w:ilvl w:val="0"/>
          <w:numId w:val="1"/>
        </w:numPr>
        <w:ind w:left="567" w:hanging="567"/>
        <w:jc w:val="both"/>
        <w:rPr>
          <w:rFonts w:cs="Cambria"/>
          <w:color w:val="000000"/>
        </w:rPr>
      </w:pPr>
      <w:r w:rsidRPr="004749E9">
        <w:rPr>
          <w:rFonts w:cs="Cambria"/>
          <w:color w:val="000000"/>
        </w:rPr>
        <w:t>The Trust’s research also found that persons with disabilities experience discrimination in access to health care. In all of the four focus groups</w:t>
      </w:r>
      <w:r w:rsidR="003E776E">
        <w:rPr>
          <w:rFonts w:cs="Cambria"/>
          <w:color w:val="000000"/>
        </w:rPr>
        <w:t xml:space="preserve"> which we conducted</w:t>
      </w:r>
      <w:r w:rsidRPr="004749E9">
        <w:rPr>
          <w:rFonts w:cs="Cambria"/>
          <w:color w:val="000000"/>
        </w:rPr>
        <w:t>, persons with disabilities reported that health care workers were not willing to work with them and that people with disabilities are discouraged from visiting hospitals and clinics unless with a family member who is able to communicate with the health workers.</w:t>
      </w:r>
      <w:r w:rsidRPr="00427879">
        <w:rPr>
          <w:rStyle w:val="WW-FootnoteReference12345"/>
          <w:rFonts w:cs="Cambria"/>
        </w:rPr>
        <w:footnoteReference w:id="65"/>
      </w:r>
      <w:r w:rsidRPr="004749E9">
        <w:rPr>
          <w:rFonts w:cs="Cambria"/>
          <w:color w:val="000000"/>
        </w:rPr>
        <w:t xml:space="preserve"> Participants at</w:t>
      </w:r>
      <w:r>
        <w:rPr>
          <w:rFonts w:cs="Cambria"/>
          <w:color w:val="000000"/>
        </w:rPr>
        <w:t xml:space="preserve"> the Equal Rights Trust</w:t>
      </w:r>
      <w:r w:rsidRPr="004749E9">
        <w:rPr>
          <w:rFonts w:cs="Cambria"/>
          <w:color w:val="000000"/>
        </w:rPr>
        <w:t>’s New Amsterdam focus group expressed their concern about the impact which this approach had on their privacy, a concern echoed by those in Georgetown, who said that they did not like “the idea of always visiting a hospital or clinic with a family member or friend” as they did not want these people to know their health status.</w:t>
      </w:r>
      <w:r w:rsidRPr="00427879">
        <w:rPr>
          <w:rStyle w:val="WW-FootnoteReference123451"/>
          <w:rFonts w:cs="Cambria"/>
          <w:color w:val="000000"/>
        </w:rPr>
        <w:footnoteReference w:id="66"/>
      </w:r>
      <w:r w:rsidRPr="004749E9">
        <w:rPr>
          <w:rFonts w:cs="Cambria"/>
          <w:color w:val="000000"/>
        </w:rPr>
        <w:t xml:space="preserve"> In contrast, interviewees from</w:t>
      </w:r>
      <w:r w:rsidR="003E776E">
        <w:rPr>
          <w:rFonts w:cs="Cambria"/>
          <w:color w:val="000000"/>
        </w:rPr>
        <w:t xml:space="preserve"> the</w:t>
      </w:r>
      <w:r w:rsidRPr="004749E9">
        <w:rPr>
          <w:rFonts w:cs="Cambria"/>
          <w:color w:val="000000"/>
        </w:rPr>
        <w:t xml:space="preserve"> McKenzie</w:t>
      </w:r>
      <w:r w:rsidR="003E776E">
        <w:rPr>
          <w:rFonts w:cs="Cambria"/>
          <w:color w:val="000000"/>
        </w:rPr>
        <w:t xml:space="preserve"> area </w:t>
      </w:r>
      <w:r w:rsidRPr="004749E9">
        <w:rPr>
          <w:rFonts w:cs="Cambria"/>
          <w:color w:val="000000"/>
        </w:rPr>
        <w:t xml:space="preserve">stated that none of them had considered visiting a clinic alone, and that they would usually wait until a family member or friend could accompany them. </w:t>
      </w:r>
    </w:p>
    <w:p w:rsidR="00A733B8" w:rsidRPr="00A733B8" w:rsidRDefault="00A733B8" w:rsidP="00A733B8">
      <w:pPr>
        <w:rPr>
          <w:rFonts w:cs="Cambria"/>
          <w:color w:val="000000"/>
        </w:rPr>
      </w:pPr>
    </w:p>
    <w:p w:rsidR="00997603" w:rsidRPr="004749E9" w:rsidRDefault="003E776E" w:rsidP="00997603">
      <w:pPr>
        <w:pStyle w:val="ListParagraph"/>
        <w:numPr>
          <w:ilvl w:val="0"/>
          <w:numId w:val="1"/>
        </w:numPr>
        <w:ind w:left="567" w:hanging="567"/>
        <w:jc w:val="both"/>
        <w:rPr>
          <w:rFonts w:cs="Cambria"/>
          <w:color w:val="000000"/>
        </w:rPr>
      </w:pPr>
      <w:r>
        <w:rPr>
          <w:rFonts w:cs="Cambria"/>
          <w:color w:val="000000"/>
        </w:rPr>
        <w:t>Statistical data and interviews conducted for our report indicate that persons with disabilities cannot enjoy the right to education on an equal basis with others</w:t>
      </w:r>
      <w:r w:rsidR="00997603" w:rsidRPr="004749E9">
        <w:rPr>
          <w:rFonts w:cs="Cambria"/>
          <w:color w:val="000000"/>
        </w:rPr>
        <w:t>. The aforementioned NCD study found that approximately 15.4% of persons with disabilit</w:t>
      </w:r>
      <w:r w:rsidR="00997603">
        <w:rPr>
          <w:rFonts w:cs="Cambria"/>
          <w:color w:val="000000"/>
        </w:rPr>
        <w:t>ies</w:t>
      </w:r>
      <w:r w:rsidR="00997603" w:rsidRPr="004749E9">
        <w:rPr>
          <w:rFonts w:cs="Cambria"/>
          <w:color w:val="000000"/>
        </w:rPr>
        <w:t xml:space="preserve"> had not attended any level of schooling,</w:t>
      </w:r>
      <w:r w:rsidR="00997603" w:rsidRPr="00427879">
        <w:rPr>
          <w:rStyle w:val="WW-FootnoteReference12345"/>
          <w:rFonts w:cs="Cambria"/>
        </w:rPr>
        <w:footnoteReference w:id="67"/>
      </w:r>
      <w:r w:rsidR="00997603" w:rsidRPr="004749E9">
        <w:rPr>
          <w:rFonts w:cs="Cambria"/>
          <w:color w:val="000000"/>
        </w:rPr>
        <w:t xml:space="preserve"> while only 13.6% had attended a secondary school.</w:t>
      </w:r>
      <w:r w:rsidR="00997603" w:rsidRPr="00427879">
        <w:rPr>
          <w:rStyle w:val="WW-FootnoteReference12345"/>
          <w:rFonts w:cs="Cambria"/>
        </w:rPr>
        <w:footnoteReference w:id="68"/>
      </w:r>
      <w:r w:rsidR="00997603" w:rsidRPr="004749E9">
        <w:rPr>
          <w:rFonts w:cs="Cambria"/>
          <w:color w:val="000000"/>
        </w:rPr>
        <w:t xml:space="preserve"> The report found that only 58% of the respondents between the ages of 4 and 16</w:t>
      </w:r>
      <w:r>
        <w:rPr>
          <w:rFonts w:cs="Cambria"/>
          <w:color w:val="000000"/>
        </w:rPr>
        <w:t xml:space="preserve"> –</w:t>
      </w:r>
      <w:r w:rsidR="00997603" w:rsidRPr="004749E9">
        <w:rPr>
          <w:rFonts w:cs="Cambria"/>
          <w:color w:val="000000"/>
        </w:rPr>
        <w:t xml:space="preserve"> and therefore eligibl</w:t>
      </w:r>
      <w:r>
        <w:rPr>
          <w:rFonts w:cs="Cambria"/>
          <w:color w:val="000000"/>
        </w:rPr>
        <w:t xml:space="preserve">e to attend school or training – </w:t>
      </w:r>
      <w:r w:rsidR="00997603" w:rsidRPr="004749E9">
        <w:rPr>
          <w:rFonts w:cs="Cambria"/>
          <w:color w:val="000000"/>
        </w:rPr>
        <w:t>were in education of some sort.</w:t>
      </w:r>
      <w:r w:rsidR="00997603" w:rsidRPr="00427879">
        <w:rPr>
          <w:rStyle w:val="WW-FootnoteReference123451"/>
          <w:rFonts w:cs="Cambria"/>
          <w:color w:val="000000"/>
        </w:rPr>
        <w:footnoteReference w:id="69"/>
      </w:r>
      <w:r w:rsidR="00997603" w:rsidRPr="004749E9">
        <w:rPr>
          <w:rFonts w:cs="Cambria"/>
          <w:color w:val="000000"/>
        </w:rPr>
        <w:t xml:space="preserve"> When asked to identify problems affecting attendance at school, 54% reported experiencing some sort of problem, with financial and transport constraints being listed as the most common problems.</w:t>
      </w:r>
      <w:r w:rsidR="00997603" w:rsidRPr="00427879">
        <w:rPr>
          <w:rStyle w:val="WW-FootnoteReference123451"/>
          <w:rFonts w:cs="Cambria"/>
          <w:color w:val="000000"/>
        </w:rPr>
        <w:footnoteReference w:id="70"/>
      </w:r>
      <w:r w:rsidR="00997603" w:rsidRPr="004749E9">
        <w:rPr>
          <w:rFonts w:cs="Cambria"/>
          <w:color w:val="000000"/>
        </w:rPr>
        <w:t xml:space="preserve"> Persons interviewed by</w:t>
      </w:r>
      <w:r w:rsidR="00997603">
        <w:rPr>
          <w:rFonts w:cs="Cambria"/>
          <w:color w:val="000000"/>
        </w:rPr>
        <w:t xml:space="preserve"> the Equal Rights Trust</w:t>
      </w:r>
      <w:r w:rsidR="00997603" w:rsidRPr="004749E9">
        <w:rPr>
          <w:rFonts w:cs="Cambria"/>
          <w:color w:val="000000"/>
        </w:rPr>
        <w:t xml:space="preserve"> reflected that within schools</w:t>
      </w:r>
      <w:r w:rsidR="00A733B8">
        <w:rPr>
          <w:rFonts w:cs="Cambria"/>
          <w:color w:val="000000"/>
        </w:rPr>
        <w:t>,</w:t>
      </w:r>
      <w:r w:rsidR="00997603" w:rsidRPr="004749E9">
        <w:rPr>
          <w:rFonts w:cs="Cambria"/>
          <w:color w:val="000000"/>
        </w:rPr>
        <w:t xml:space="preserve"> prejudice and discrimination was also a problem affecting those trying to access education: </w:t>
      </w:r>
    </w:p>
    <w:p w:rsidR="00997603" w:rsidRPr="00427879" w:rsidRDefault="00997603" w:rsidP="00997603">
      <w:pPr>
        <w:rPr>
          <w:rFonts w:cs="Cambria"/>
          <w:color w:val="000000"/>
        </w:rPr>
      </w:pPr>
    </w:p>
    <w:p w:rsidR="00997603" w:rsidRPr="00427879" w:rsidRDefault="00997603" w:rsidP="00997603">
      <w:pPr>
        <w:ind w:left="1560" w:right="992"/>
        <w:rPr>
          <w:rFonts w:cs="Cambria"/>
          <w:color w:val="000000"/>
          <w:u w:val="single"/>
        </w:rPr>
      </w:pPr>
      <w:r w:rsidRPr="00427879">
        <w:rPr>
          <w:rFonts w:cs="Cambria"/>
          <w:i/>
          <w:color w:val="000000"/>
        </w:rPr>
        <w:t>I see [a] dismissive attitude in the education realm; where the teachers don’t seem to believe that the disabled person is worth the effort and so don’t do much of anything with them.</w:t>
      </w:r>
      <w:r w:rsidRPr="00427879">
        <w:rPr>
          <w:rStyle w:val="WW-FootnoteReference12345"/>
          <w:rFonts w:cs="Cambria"/>
        </w:rPr>
        <w:footnoteReference w:id="71"/>
      </w:r>
    </w:p>
    <w:p w:rsidR="00997603" w:rsidRDefault="00997603" w:rsidP="00997603">
      <w:pPr>
        <w:rPr>
          <w:rFonts w:cs="Cambria"/>
          <w:color w:val="000000"/>
          <w:u w:val="single"/>
        </w:rPr>
      </w:pPr>
    </w:p>
    <w:p w:rsidR="00997603" w:rsidRPr="000276AD" w:rsidRDefault="00997603" w:rsidP="00997603">
      <w:pPr>
        <w:ind w:firstLine="567"/>
        <w:rPr>
          <w:rFonts w:cs="Cambria"/>
          <w:color w:val="000000"/>
        </w:rPr>
      </w:pPr>
      <w:r w:rsidRPr="000276AD">
        <w:rPr>
          <w:rFonts w:cs="Cambria"/>
          <w:color w:val="000000"/>
        </w:rPr>
        <w:t>A</w:t>
      </w:r>
      <w:r>
        <w:rPr>
          <w:rFonts w:cs="Cambria"/>
          <w:color w:val="000000"/>
        </w:rPr>
        <w:t>nother person interviewed by the Equal Rights Trust</w:t>
      </w:r>
      <w:r w:rsidR="00780D8D">
        <w:rPr>
          <w:rFonts w:cs="Cambria"/>
          <w:color w:val="000000"/>
        </w:rPr>
        <w:t xml:space="preserve"> gave a similar account:</w:t>
      </w:r>
    </w:p>
    <w:p w:rsidR="00997603" w:rsidRDefault="00997603" w:rsidP="00997603">
      <w:pPr>
        <w:rPr>
          <w:rFonts w:cs="Cambria"/>
          <w:color w:val="000000"/>
          <w:u w:val="single"/>
        </w:rPr>
      </w:pPr>
    </w:p>
    <w:p w:rsidR="00997603" w:rsidRDefault="00997603" w:rsidP="00997603">
      <w:pPr>
        <w:ind w:left="1560" w:right="992"/>
        <w:rPr>
          <w:rFonts w:cs="Cambria"/>
          <w:i/>
          <w:color w:val="000000"/>
        </w:rPr>
      </w:pPr>
      <w:r w:rsidRPr="000276AD">
        <w:rPr>
          <w:rFonts w:cs="Cambria"/>
          <w:i/>
          <w:color w:val="000000"/>
        </w:rPr>
        <w:t>In secondary school, I didn’t have much Braille.</w:t>
      </w:r>
      <w:r>
        <w:rPr>
          <w:rFonts w:cs="Cambria"/>
          <w:i/>
          <w:color w:val="000000"/>
        </w:rPr>
        <w:t xml:space="preserve"> </w:t>
      </w:r>
      <w:r w:rsidRPr="000276AD">
        <w:rPr>
          <w:rFonts w:cs="Cambria"/>
          <w:i/>
          <w:color w:val="000000"/>
        </w:rPr>
        <w:t>The school had a lot of blind students but the teachers weren’t qualified to teach us.</w:t>
      </w:r>
      <w:r>
        <w:rPr>
          <w:rFonts w:cs="Cambria"/>
          <w:i/>
          <w:color w:val="000000"/>
        </w:rPr>
        <w:t xml:space="preserve"> </w:t>
      </w:r>
      <w:r w:rsidRPr="000276AD">
        <w:rPr>
          <w:rFonts w:cs="Cambria"/>
          <w:i/>
          <w:color w:val="000000"/>
        </w:rPr>
        <w:t>So the teachers would have us do what they thought was best for us.</w:t>
      </w:r>
      <w:r>
        <w:rPr>
          <w:rFonts w:cs="Cambria"/>
          <w:i/>
          <w:color w:val="000000"/>
        </w:rPr>
        <w:t xml:space="preserve"> </w:t>
      </w:r>
      <w:r w:rsidRPr="000276AD">
        <w:rPr>
          <w:rFonts w:cs="Cambria"/>
          <w:i/>
          <w:color w:val="000000"/>
        </w:rPr>
        <w:t>They taught us basic Braille</w:t>
      </w:r>
      <w:r>
        <w:rPr>
          <w:rFonts w:cs="Cambria"/>
          <w:i/>
          <w:color w:val="000000"/>
        </w:rPr>
        <w:t xml:space="preserve"> (…) </w:t>
      </w:r>
      <w:r w:rsidRPr="000276AD">
        <w:rPr>
          <w:rFonts w:cs="Cambria"/>
          <w:i/>
          <w:color w:val="000000"/>
        </w:rPr>
        <w:t>the teachers wouldn’t think that, maybe this child needs his notes taken down for him on a tape recorder or in Braille, or have one of his teachers sit down with him and pass him the information, so he can be at the same level as everyone else in the class.</w:t>
      </w:r>
      <w:r>
        <w:rPr>
          <w:rFonts w:cs="Cambria"/>
          <w:i/>
          <w:color w:val="000000"/>
        </w:rPr>
        <w:t xml:space="preserve"> </w:t>
      </w:r>
      <w:r w:rsidRPr="000276AD">
        <w:rPr>
          <w:rFonts w:cs="Cambria"/>
          <w:i/>
          <w:color w:val="000000"/>
        </w:rPr>
        <w:t>Even the headmistress of the blind unit would not pay much attention to what the other teachers wanted and probably had a much clearer idea of what was required and what these students should be doing.</w:t>
      </w:r>
      <w:r>
        <w:rPr>
          <w:rFonts w:cs="Cambria"/>
          <w:i/>
          <w:color w:val="000000"/>
        </w:rPr>
        <w:t xml:space="preserve"> </w:t>
      </w:r>
      <w:r w:rsidRPr="000276AD">
        <w:rPr>
          <w:rFonts w:cs="Cambria"/>
          <w:i/>
          <w:color w:val="000000"/>
        </w:rPr>
        <w:t>But the headmistress just didn’t seem to go along with what they had to say.</w:t>
      </w:r>
      <w:r>
        <w:rPr>
          <w:rFonts w:cs="Cambria"/>
          <w:i/>
          <w:color w:val="000000"/>
        </w:rPr>
        <w:t xml:space="preserve"> </w:t>
      </w:r>
      <w:r w:rsidRPr="000276AD">
        <w:rPr>
          <w:rFonts w:cs="Cambria"/>
          <w:i/>
          <w:color w:val="000000"/>
        </w:rPr>
        <w:t>A lot of time was wasted.</w:t>
      </w:r>
      <w:r w:rsidRPr="005F1F5B">
        <w:rPr>
          <w:rStyle w:val="FootnoteReference"/>
          <w:rFonts w:cs="Cambria"/>
          <w:color w:val="000000"/>
        </w:rPr>
        <w:footnoteReference w:id="72"/>
      </w:r>
    </w:p>
    <w:p w:rsidR="00997603" w:rsidRPr="00293372" w:rsidRDefault="00997603" w:rsidP="00997603">
      <w:pPr>
        <w:pStyle w:val="ListParagraph"/>
        <w:jc w:val="both"/>
        <w:rPr>
          <w:rFonts w:cs="Cambria"/>
          <w:color w:val="000000"/>
        </w:rPr>
      </w:pPr>
    </w:p>
    <w:p w:rsidR="00997603" w:rsidRPr="00293372" w:rsidRDefault="00997603" w:rsidP="00997603">
      <w:pPr>
        <w:pBdr>
          <w:top w:val="single" w:sz="18" w:space="1" w:color="E8112D"/>
          <w:left w:val="single" w:sz="18" w:space="4" w:color="E8112D"/>
          <w:bottom w:val="single" w:sz="18" w:space="1" w:color="E8112D"/>
          <w:right w:val="single" w:sz="18" w:space="4" w:color="E8112D"/>
        </w:pBdr>
        <w:shd w:val="solid" w:color="FCD4D9" w:fill="E8112D"/>
        <w:ind w:left="567" w:hanging="567"/>
        <w:rPr>
          <w:b/>
        </w:rPr>
      </w:pPr>
      <w:r w:rsidRPr="00293372">
        <w:rPr>
          <w:b/>
        </w:rPr>
        <w:t xml:space="preserve">Suggested </w:t>
      </w:r>
      <w:r w:rsidR="003E776E">
        <w:rPr>
          <w:b/>
        </w:rPr>
        <w:t>Recommendations</w:t>
      </w:r>
    </w:p>
    <w:p w:rsidR="00997603" w:rsidRPr="00293372" w:rsidRDefault="00997603" w:rsidP="00997603">
      <w:pPr>
        <w:pBdr>
          <w:top w:val="single" w:sz="18" w:space="1" w:color="E8112D"/>
          <w:left w:val="single" w:sz="18" w:space="4" w:color="E8112D"/>
          <w:bottom w:val="single" w:sz="18" w:space="1" w:color="E8112D"/>
          <w:right w:val="single" w:sz="18" w:space="4" w:color="E8112D"/>
        </w:pBdr>
        <w:shd w:val="solid" w:color="FCD4D9" w:fill="E8112D"/>
        <w:ind w:left="567" w:hanging="567"/>
      </w:pPr>
    </w:p>
    <w:p w:rsidR="00997603" w:rsidRPr="00293372" w:rsidRDefault="003E776E" w:rsidP="00997603">
      <w:pPr>
        <w:pStyle w:val="ListParagraph"/>
        <w:numPr>
          <w:ilvl w:val="0"/>
          <w:numId w:val="3"/>
        </w:numPr>
        <w:pBdr>
          <w:top w:val="single" w:sz="18" w:space="1" w:color="E8112D"/>
          <w:left w:val="single" w:sz="18" w:space="4" w:color="E8112D"/>
          <w:bottom w:val="single" w:sz="18" w:space="1" w:color="E8112D"/>
          <w:right w:val="single" w:sz="18" w:space="4" w:color="E8112D"/>
        </w:pBdr>
        <w:shd w:val="solid" w:color="FCD4D9" w:fill="E8112D"/>
        <w:ind w:left="567" w:hanging="567"/>
        <w:jc w:val="both"/>
      </w:pPr>
      <w:r>
        <w:t>Guyana should take steps to</w:t>
      </w:r>
      <w:r w:rsidR="00997603" w:rsidRPr="00293372">
        <w:t xml:space="preserve"> promote awareness and understanding of disability and to change the negative, stereotyping and pat</w:t>
      </w:r>
      <w:r>
        <w:t>ernalistic attitudes towards it.</w:t>
      </w:r>
    </w:p>
    <w:p w:rsidR="00997603" w:rsidRPr="00293372" w:rsidRDefault="00997603" w:rsidP="00997603">
      <w:pPr>
        <w:pBdr>
          <w:top w:val="single" w:sz="18" w:space="1" w:color="E8112D"/>
          <w:left w:val="single" w:sz="18" w:space="4" w:color="E8112D"/>
          <w:bottom w:val="single" w:sz="18" w:space="1" w:color="E8112D"/>
          <w:right w:val="single" w:sz="18" w:space="4" w:color="E8112D"/>
        </w:pBdr>
        <w:shd w:val="solid" w:color="FCD4D9" w:fill="E8112D"/>
      </w:pPr>
    </w:p>
    <w:p w:rsidR="003E776E" w:rsidRDefault="003E776E" w:rsidP="003E776E">
      <w:pPr>
        <w:pStyle w:val="ListParagraph"/>
        <w:numPr>
          <w:ilvl w:val="0"/>
          <w:numId w:val="3"/>
        </w:numPr>
        <w:pBdr>
          <w:top w:val="single" w:sz="18" w:space="1" w:color="E8112D"/>
          <w:left w:val="single" w:sz="18" w:space="4" w:color="E8112D"/>
          <w:bottom w:val="single" w:sz="18" w:space="1" w:color="E8112D"/>
          <w:right w:val="single" w:sz="18" w:space="4" w:color="E8112D"/>
        </w:pBdr>
        <w:shd w:val="solid" w:color="FCD4D9" w:fill="E8112D"/>
        <w:ind w:left="567" w:hanging="567"/>
        <w:jc w:val="both"/>
      </w:pPr>
      <w:r>
        <w:t>Guyana should take steps to ensure that persons</w:t>
      </w:r>
      <w:r w:rsidR="00E7328A">
        <w:t xml:space="preserve"> with disability</w:t>
      </w:r>
      <w:r>
        <w:t xml:space="preserve"> are able to enjoy the right to work and the right to just and favourable conditions of work without </w:t>
      </w:r>
      <w:r w:rsidR="00E7328A">
        <w:t>discrimination</w:t>
      </w:r>
      <w:r>
        <w:t>.</w:t>
      </w:r>
    </w:p>
    <w:p w:rsidR="003E776E" w:rsidRDefault="003E776E" w:rsidP="003E776E">
      <w:pPr>
        <w:pBdr>
          <w:top w:val="single" w:sz="18" w:space="1" w:color="E8112D"/>
          <w:left w:val="single" w:sz="18" w:space="4" w:color="E8112D"/>
          <w:bottom w:val="single" w:sz="18" w:space="1" w:color="E8112D"/>
          <w:right w:val="single" w:sz="18" w:space="4" w:color="E8112D"/>
        </w:pBdr>
        <w:shd w:val="solid" w:color="FCD4D9" w:fill="E8112D"/>
      </w:pPr>
    </w:p>
    <w:p w:rsidR="00997603" w:rsidRPr="00293372" w:rsidRDefault="003E776E" w:rsidP="002B5261">
      <w:pPr>
        <w:pStyle w:val="ListParagraph"/>
        <w:numPr>
          <w:ilvl w:val="0"/>
          <w:numId w:val="3"/>
        </w:numPr>
        <w:pBdr>
          <w:top w:val="single" w:sz="18" w:space="1" w:color="E8112D"/>
          <w:left w:val="single" w:sz="18" w:space="4" w:color="E8112D"/>
          <w:bottom w:val="single" w:sz="18" w:space="1" w:color="E8112D"/>
          <w:right w:val="single" w:sz="18" w:space="4" w:color="E8112D"/>
        </w:pBdr>
        <w:shd w:val="solid" w:color="FCD4D9" w:fill="E8112D"/>
        <w:ind w:left="567" w:hanging="567"/>
        <w:jc w:val="both"/>
      </w:pPr>
      <w:r>
        <w:t xml:space="preserve">Guyana should take steps to ensure that persons </w:t>
      </w:r>
      <w:r w:rsidR="00E7328A">
        <w:t>with disability</w:t>
      </w:r>
      <w:r>
        <w:t xml:space="preserve"> are able to enjoy the right to the highest attainable standard of health and the right to education without discrimination.</w:t>
      </w:r>
    </w:p>
    <w:p w:rsidR="00997603" w:rsidRPr="00293372" w:rsidRDefault="00997603" w:rsidP="00997603"/>
    <w:p w:rsidR="00997603" w:rsidRPr="00293372" w:rsidRDefault="00997603" w:rsidP="00997603">
      <w:pPr>
        <w:rPr>
          <w:b/>
          <w:i/>
        </w:rPr>
      </w:pPr>
      <w:r w:rsidRPr="00293372">
        <w:rPr>
          <w:b/>
          <w:i/>
        </w:rPr>
        <w:t>Health Status</w:t>
      </w:r>
    </w:p>
    <w:p w:rsidR="00997603" w:rsidRPr="00293372" w:rsidRDefault="00997603" w:rsidP="00997603">
      <w:pPr>
        <w:rPr>
          <w:b/>
          <w:i/>
        </w:rPr>
      </w:pPr>
    </w:p>
    <w:p w:rsidR="00997603" w:rsidRPr="00C7471D" w:rsidRDefault="00997603" w:rsidP="00997603">
      <w:pPr>
        <w:pStyle w:val="ListParagraph"/>
        <w:numPr>
          <w:ilvl w:val="0"/>
          <w:numId w:val="1"/>
        </w:numPr>
        <w:ind w:left="567" w:hanging="567"/>
        <w:jc w:val="both"/>
        <w:rPr>
          <w:b/>
          <w:i/>
        </w:rPr>
      </w:pPr>
      <w:r w:rsidRPr="00293372">
        <w:t>In its General Comment No. 20, the Committee recognised that “states parties should ensure that a person’s actual or perceived health status is not a barrier to realizing the rights under the Covenant”.</w:t>
      </w:r>
      <w:r w:rsidRPr="00293372">
        <w:rPr>
          <w:rStyle w:val="FootnoteReference"/>
        </w:rPr>
        <w:footnoteReference w:id="73"/>
      </w:r>
      <w:r w:rsidRPr="00293372">
        <w:t xml:space="preserve"> </w:t>
      </w:r>
    </w:p>
    <w:p w:rsidR="00997603" w:rsidRDefault="00997603" w:rsidP="00997603">
      <w:pPr>
        <w:rPr>
          <w:b/>
          <w:i/>
        </w:rPr>
      </w:pPr>
    </w:p>
    <w:p w:rsidR="00E7328A" w:rsidRPr="00E7328A" w:rsidRDefault="00997603" w:rsidP="00CF0DCE">
      <w:pPr>
        <w:pStyle w:val="ListParagraph"/>
        <w:numPr>
          <w:ilvl w:val="0"/>
          <w:numId w:val="1"/>
        </w:numPr>
        <w:ind w:left="567" w:hanging="567"/>
        <w:jc w:val="both"/>
        <w:rPr>
          <w:rFonts w:cs="Cambria"/>
          <w:color w:val="000000"/>
        </w:rPr>
      </w:pPr>
      <w:r w:rsidRPr="00E7328A">
        <w:rPr>
          <w:rFonts w:cs="Cambria"/>
          <w:color w:val="000000"/>
        </w:rPr>
        <w:t xml:space="preserve">Our research indicated that ignorance and misconceptions about HIV and AIDS remain prevalent, and persons living with HIV/AIDS suffer significant stigma and prejudice, leading some to withhold their health status for fear of the impact on their life. Prejudice and stigma are major factors in limiting participation in </w:t>
      </w:r>
      <w:r w:rsidR="00780D8D" w:rsidRPr="00E7328A">
        <w:rPr>
          <w:rFonts w:cs="Cambria"/>
          <w:color w:val="000000"/>
        </w:rPr>
        <w:t>limiting t</w:t>
      </w:r>
      <w:r w:rsidR="00E7328A" w:rsidRPr="00E7328A">
        <w:rPr>
          <w:rFonts w:cs="Cambria"/>
          <w:color w:val="000000"/>
        </w:rPr>
        <w:t>he enjoyment of Covenant rights</w:t>
      </w:r>
      <w:r w:rsidRPr="00E7328A">
        <w:rPr>
          <w:rFonts w:cs="Cambria"/>
          <w:color w:val="000000"/>
        </w:rPr>
        <w:t xml:space="preserve">. </w:t>
      </w:r>
      <w:r w:rsidR="00E7328A" w:rsidRPr="00E7328A">
        <w:rPr>
          <w:rFonts w:cs="Cambria"/>
          <w:color w:val="000000"/>
        </w:rPr>
        <w:t>A number of those interviewed reported significant discrimination in employment. One person told Equal Rights Trust researchers that she was fired when her HIV status became known to her employers:</w:t>
      </w:r>
    </w:p>
    <w:p w:rsidR="00E7328A" w:rsidRPr="00540ADE" w:rsidRDefault="00E7328A" w:rsidP="00E7328A">
      <w:pPr>
        <w:pStyle w:val="ListParagraph"/>
        <w:ind w:firstLine="0"/>
        <w:jc w:val="both"/>
        <w:rPr>
          <w:rFonts w:cs="Cambria"/>
          <w:i/>
          <w:color w:val="000000"/>
        </w:rPr>
      </w:pPr>
    </w:p>
    <w:p w:rsidR="00E7328A" w:rsidRPr="00540ADE" w:rsidRDefault="00E7328A" w:rsidP="00E7328A">
      <w:pPr>
        <w:pStyle w:val="ListParagraph"/>
        <w:ind w:left="1560" w:right="992" w:firstLine="0"/>
        <w:jc w:val="both"/>
        <w:rPr>
          <w:rFonts w:cs="Cambria"/>
          <w:color w:val="000000"/>
        </w:rPr>
      </w:pPr>
      <w:r w:rsidRPr="00540ADE">
        <w:rPr>
          <w:rFonts w:cs="Cambria"/>
          <w:i/>
          <w:color w:val="000000"/>
        </w:rPr>
        <w:t>I used to work in a store and my employer fired me when she found out I was HIV. I confided my status to a friend of mine who knew her. Since then so many people know and I am having difficulty finding a job.</w:t>
      </w:r>
      <w:r w:rsidRPr="00427879">
        <w:rPr>
          <w:rStyle w:val="WW-FootnoteReference12345"/>
          <w:rFonts w:cs="Cambria"/>
        </w:rPr>
        <w:footnoteReference w:id="74"/>
      </w:r>
      <w:r w:rsidRPr="00540ADE">
        <w:rPr>
          <w:rFonts w:cs="Cambria"/>
          <w:color w:val="000000"/>
        </w:rPr>
        <w:t xml:space="preserve"> </w:t>
      </w:r>
    </w:p>
    <w:p w:rsidR="00E7328A" w:rsidRPr="00540ADE" w:rsidRDefault="00E7328A" w:rsidP="00E7328A">
      <w:pPr>
        <w:pStyle w:val="ListParagraph"/>
        <w:ind w:firstLine="0"/>
        <w:jc w:val="both"/>
        <w:rPr>
          <w:rFonts w:cs="Cambria"/>
          <w:color w:val="000000"/>
        </w:rPr>
      </w:pPr>
    </w:p>
    <w:p w:rsidR="00E7328A" w:rsidRDefault="00E7328A" w:rsidP="00E7328A">
      <w:pPr>
        <w:pStyle w:val="ListParagraph"/>
        <w:numPr>
          <w:ilvl w:val="0"/>
          <w:numId w:val="1"/>
        </w:numPr>
        <w:ind w:left="567" w:hanging="567"/>
        <w:jc w:val="both"/>
        <w:rPr>
          <w:rFonts w:cs="Cambria"/>
          <w:color w:val="000000"/>
        </w:rPr>
      </w:pPr>
      <w:r>
        <w:rPr>
          <w:rFonts w:cs="Cambria"/>
          <w:color w:val="000000"/>
        </w:rPr>
        <w:t xml:space="preserve">Our </w:t>
      </w:r>
      <w:r w:rsidRPr="00540ADE">
        <w:rPr>
          <w:rFonts w:cs="Cambria"/>
          <w:color w:val="000000"/>
        </w:rPr>
        <w:t>research also identified evidence of self-stigmatisation and the internalisation of prejudice by those with HIV, limiting their willingness to undertake employment. One person stated that “many of us stopped working when we found out our status because we thought we needed to stay out of society and focus on ourselves and our health.”</w:t>
      </w:r>
      <w:r w:rsidRPr="00427879">
        <w:rPr>
          <w:rStyle w:val="WW-FootnoteReference12345"/>
          <w:rFonts w:cs="Cambria"/>
        </w:rPr>
        <w:footnoteReference w:id="75"/>
      </w:r>
    </w:p>
    <w:p w:rsidR="00E7328A" w:rsidRPr="00540ADE" w:rsidRDefault="00E7328A" w:rsidP="00E7328A">
      <w:pPr>
        <w:pStyle w:val="ListParagraph"/>
        <w:ind w:firstLine="0"/>
        <w:jc w:val="both"/>
        <w:rPr>
          <w:rFonts w:cs="Cambria"/>
          <w:color w:val="000000"/>
        </w:rPr>
      </w:pPr>
    </w:p>
    <w:p w:rsidR="00E7328A" w:rsidRPr="00540ADE" w:rsidRDefault="00E7328A" w:rsidP="00E7328A">
      <w:pPr>
        <w:pStyle w:val="ListParagraph"/>
        <w:numPr>
          <w:ilvl w:val="0"/>
          <w:numId w:val="1"/>
        </w:numPr>
        <w:ind w:left="567" w:hanging="567"/>
        <w:jc w:val="both"/>
        <w:rPr>
          <w:rFonts w:cs="Cambria"/>
          <w:color w:val="000000"/>
        </w:rPr>
      </w:pPr>
      <w:r w:rsidRPr="00540ADE">
        <w:rPr>
          <w:rFonts w:cs="Cambria"/>
          <w:color w:val="000000"/>
        </w:rPr>
        <w:t>Although Anti-Retroviral Treatment (ART) coverage is now 84%,</w:t>
      </w:r>
      <w:r w:rsidRPr="00427879">
        <w:rPr>
          <w:rStyle w:val="WW-FootnoteReference12345"/>
          <w:rFonts w:cs="Cambria"/>
        </w:rPr>
        <w:footnoteReference w:id="76"/>
      </w:r>
      <w:r w:rsidRPr="00540ADE">
        <w:rPr>
          <w:rFonts w:cs="Cambria"/>
          <w:color w:val="000000"/>
        </w:rPr>
        <w:t xml:space="preserve"> many of those interviewed </w:t>
      </w:r>
      <w:r>
        <w:rPr>
          <w:rFonts w:cs="Cambria"/>
          <w:color w:val="000000"/>
        </w:rPr>
        <w:t>for our report stated that they faced</w:t>
      </w:r>
      <w:r w:rsidRPr="00540ADE">
        <w:rPr>
          <w:rFonts w:cs="Cambria"/>
          <w:color w:val="000000"/>
        </w:rPr>
        <w:t xml:space="preserve"> discriminatory treatment when accessing health care. They spoke of fear that “health workers will disclose our status to others so many of us avoid clinics and hospitals.”</w:t>
      </w:r>
      <w:r w:rsidRPr="00427879">
        <w:rPr>
          <w:rStyle w:val="WW-FootnoteReference12345"/>
          <w:rFonts w:cs="Cambria"/>
        </w:rPr>
        <w:footnoteReference w:id="77"/>
      </w:r>
      <w:r w:rsidRPr="00540ADE">
        <w:rPr>
          <w:rFonts w:cs="Cambria"/>
          <w:color w:val="000000"/>
        </w:rPr>
        <w:t xml:space="preserve"> One person interviewed for the research felt that:</w:t>
      </w:r>
    </w:p>
    <w:p w:rsidR="00E7328A" w:rsidRPr="00540ADE" w:rsidRDefault="00E7328A" w:rsidP="00E7328A">
      <w:pPr>
        <w:pStyle w:val="ListParagraph"/>
        <w:ind w:firstLine="0"/>
        <w:jc w:val="both"/>
        <w:rPr>
          <w:rFonts w:cs="Cambria"/>
          <w:color w:val="000000"/>
        </w:rPr>
      </w:pPr>
    </w:p>
    <w:p w:rsidR="00E7328A" w:rsidRPr="00540ADE" w:rsidRDefault="00E7328A" w:rsidP="00E7328A">
      <w:pPr>
        <w:pStyle w:val="ListParagraph"/>
        <w:ind w:left="1560" w:right="992" w:firstLine="0"/>
        <w:jc w:val="both"/>
        <w:rPr>
          <w:rFonts w:cs="Cambria"/>
          <w:i/>
          <w:color w:val="000000"/>
        </w:rPr>
      </w:pPr>
      <w:r w:rsidRPr="00540ADE">
        <w:rPr>
          <w:rFonts w:cs="Cambria"/>
          <w:i/>
          <w:color w:val="000000"/>
        </w:rPr>
        <w:t>When people like us are dying they treat us like we are already dead and very little attention is paid to our care. In the public hospitals we are lumped together on beds and neglected for long periods of time.</w:t>
      </w:r>
      <w:r w:rsidRPr="00427879">
        <w:rPr>
          <w:rStyle w:val="WW-FootnoteReference12345"/>
          <w:rFonts w:cs="Cambria"/>
        </w:rPr>
        <w:footnoteReference w:id="78"/>
      </w:r>
      <w:r w:rsidRPr="00540ADE">
        <w:rPr>
          <w:rFonts w:cs="Cambria"/>
          <w:color w:val="000000"/>
        </w:rPr>
        <w:t xml:space="preserve"> </w:t>
      </w:r>
    </w:p>
    <w:p w:rsidR="00E7328A" w:rsidRPr="00540ADE" w:rsidRDefault="00E7328A" w:rsidP="00E7328A">
      <w:pPr>
        <w:pStyle w:val="ListParagraph"/>
        <w:ind w:firstLine="0"/>
        <w:jc w:val="both"/>
        <w:rPr>
          <w:rFonts w:cs="Cambria"/>
          <w:color w:val="000000"/>
        </w:rPr>
      </w:pPr>
    </w:p>
    <w:p w:rsidR="00997603" w:rsidRPr="00540ADE" w:rsidRDefault="00997603" w:rsidP="00997603">
      <w:pPr>
        <w:pStyle w:val="ListParagraph"/>
        <w:numPr>
          <w:ilvl w:val="0"/>
          <w:numId w:val="1"/>
        </w:numPr>
        <w:ind w:left="567" w:hanging="567"/>
        <w:jc w:val="both"/>
        <w:rPr>
          <w:rFonts w:cs="Cambria"/>
          <w:color w:val="000000"/>
        </w:rPr>
      </w:pPr>
      <w:r w:rsidRPr="00540ADE">
        <w:rPr>
          <w:rFonts w:cs="Cambria"/>
          <w:color w:val="000000"/>
        </w:rPr>
        <w:t xml:space="preserve">Persons living with HIV/AIDS told </w:t>
      </w:r>
      <w:r>
        <w:rPr>
          <w:rFonts w:cs="Cambria"/>
          <w:color w:val="000000"/>
        </w:rPr>
        <w:t>the Trust</w:t>
      </w:r>
      <w:r w:rsidRPr="00540ADE">
        <w:rPr>
          <w:rFonts w:cs="Cambria"/>
          <w:color w:val="000000"/>
        </w:rPr>
        <w:t xml:space="preserve"> that they hide their status in educational settings in an effort to avoid discrimination and harassment at the hands of teachers and students, and that once their status is disclosed, they are ostracised: </w:t>
      </w:r>
    </w:p>
    <w:p w:rsidR="00997603" w:rsidRPr="00540ADE" w:rsidRDefault="00997603" w:rsidP="00997603">
      <w:pPr>
        <w:pStyle w:val="ListParagraph"/>
        <w:ind w:right="706" w:firstLine="0"/>
        <w:jc w:val="both"/>
        <w:rPr>
          <w:rFonts w:cs="Cambria"/>
          <w:color w:val="000000"/>
        </w:rPr>
      </w:pPr>
    </w:p>
    <w:p w:rsidR="00997603" w:rsidRPr="00540ADE" w:rsidRDefault="00997603" w:rsidP="00997603">
      <w:pPr>
        <w:pStyle w:val="ListParagraph"/>
        <w:ind w:left="1560" w:right="992" w:firstLine="0"/>
        <w:jc w:val="both"/>
        <w:rPr>
          <w:rFonts w:cs="Cambria"/>
          <w:color w:val="000000"/>
          <w:u w:val="single"/>
        </w:rPr>
      </w:pPr>
      <w:r w:rsidRPr="00540ADE">
        <w:rPr>
          <w:rFonts w:cs="Cambria"/>
          <w:i/>
          <w:iCs/>
          <w:color w:val="000000"/>
        </w:rPr>
        <w:t>If people find out that we are infected, we are shunned by both students and teachers, but are not asked to leave the institution […], they treat us with scorn and ignore us. It frustrates us so we eventually leave the school.</w:t>
      </w:r>
      <w:r w:rsidRPr="00427879">
        <w:rPr>
          <w:rStyle w:val="WW-FootnoteReference12345"/>
          <w:rFonts w:cs="Cambria"/>
        </w:rPr>
        <w:footnoteReference w:id="79"/>
      </w:r>
    </w:p>
    <w:p w:rsidR="00997603" w:rsidRPr="00293372" w:rsidRDefault="00997603" w:rsidP="00997603">
      <w:pPr>
        <w:pStyle w:val="ListParagraph"/>
        <w:ind w:firstLine="0"/>
        <w:jc w:val="both"/>
      </w:pPr>
    </w:p>
    <w:p w:rsidR="00997603" w:rsidRPr="00293372" w:rsidRDefault="001B1F9D" w:rsidP="00997603">
      <w:pPr>
        <w:pBdr>
          <w:top w:val="single" w:sz="18" w:space="1" w:color="E8112D"/>
          <w:left w:val="single" w:sz="18" w:space="4" w:color="E8112D"/>
          <w:bottom w:val="single" w:sz="18" w:space="1" w:color="E8112D"/>
          <w:right w:val="single" w:sz="18" w:space="4" w:color="E8112D"/>
        </w:pBdr>
        <w:shd w:val="solid" w:color="FCD4D9" w:fill="E8112D"/>
        <w:ind w:left="567" w:hanging="567"/>
        <w:rPr>
          <w:b/>
        </w:rPr>
      </w:pPr>
      <w:r>
        <w:rPr>
          <w:b/>
        </w:rPr>
        <w:t>Suggested Recommendations</w:t>
      </w:r>
    </w:p>
    <w:p w:rsidR="00997603" w:rsidRPr="00293372" w:rsidRDefault="00997603" w:rsidP="00997603">
      <w:pPr>
        <w:pBdr>
          <w:top w:val="single" w:sz="18" w:space="1" w:color="E8112D"/>
          <w:left w:val="single" w:sz="18" w:space="4" w:color="E8112D"/>
          <w:bottom w:val="single" w:sz="18" w:space="1" w:color="E8112D"/>
          <w:right w:val="single" w:sz="18" w:space="4" w:color="E8112D"/>
        </w:pBdr>
        <w:shd w:val="solid" w:color="FCD4D9" w:fill="E8112D"/>
        <w:ind w:left="567" w:hanging="567"/>
      </w:pPr>
    </w:p>
    <w:p w:rsidR="00E7328A" w:rsidRDefault="00E7328A" w:rsidP="00E7328A">
      <w:pPr>
        <w:pStyle w:val="ListParagraph"/>
        <w:numPr>
          <w:ilvl w:val="0"/>
          <w:numId w:val="3"/>
        </w:numPr>
        <w:pBdr>
          <w:top w:val="single" w:sz="18" w:space="1" w:color="E8112D"/>
          <w:left w:val="single" w:sz="18" w:space="4" w:color="E8112D"/>
          <w:bottom w:val="single" w:sz="18" w:space="1" w:color="E8112D"/>
          <w:right w:val="single" w:sz="18" w:space="4" w:color="E8112D"/>
        </w:pBdr>
        <w:shd w:val="solid" w:color="FCD4D9" w:fill="E8112D"/>
        <w:ind w:left="567" w:hanging="567"/>
        <w:jc w:val="both"/>
      </w:pPr>
      <w:r>
        <w:t>Guyana should take steps to ensure that all persons in the country are able to enjoy the right to work and the right to just and favourable conditions of work without discrimination on the basis of health status.</w:t>
      </w:r>
    </w:p>
    <w:p w:rsidR="00E7328A" w:rsidRDefault="00E7328A" w:rsidP="00E7328A">
      <w:pPr>
        <w:pBdr>
          <w:top w:val="single" w:sz="18" w:space="1" w:color="E8112D"/>
          <w:left w:val="single" w:sz="18" w:space="4" w:color="E8112D"/>
          <w:bottom w:val="single" w:sz="18" w:space="1" w:color="E8112D"/>
          <w:right w:val="single" w:sz="18" w:space="4" w:color="E8112D"/>
        </w:pBdr>
        <w:shd w:val="solid" w:color="FCD4D9" w:fill="E8112D"/>
      </w:pPr>
    </w:p>
    <w:p w:rsidR="00997603" w:rsidRPr="00293372" w:rsidRDefault="00E7328A" w:rsidP="00B73094">
      <w:pPr>
        <w:pStyle w:val="ListParagraph"/>
        <w:numPr>
          <w:ilvl w:val="0"/>
          <w:numId w:val="3"/>
        </w:numPr>
        <w:pBdr>
          <w:top w:val="single" w:sz="18" w:space="1" w:color="E8112D"/>
          <w:left w:val="single" w:sz="18" w:space="4" w:color="E8112D"/>
          <w:bottom w:val="single" w:sz="18" w:space="1" w:color="E8112D"/>
          <w:right w:val="single" w:sz="18" w:space="4" w:color="E8112D"/>
        </w:pBdr>
        <w:shd w:val="solid" w:color="FCD4D9" w:fill="E8112D"/>
        <w:ind w:left="567" w:hanging="567"/>
        <w:jc w:val="both"/>
      </w:pPr>
      <w:r>
        <w:t>Guyana should take steps to ensure that all persons in the country are able to enjoy the right to the highest attainable standard of health and the right to education without discrimination on the basis of health status.</w:t>
      </w:r>
    </w:p>
    <w:p w:rsidR="00997603" w:rsidRPr="00293372" w:rsidRDefault="00997603" w:rsidP="00997603">
      <w:pPr>
        <w:pStyle w:val="ListParagraph"/>
        <w:jc w:val="both"/>
      </w:pPr>
    </w:p>
    <w:p w:rsidR="008A7CAF" w:rsidRPr="0010014C" w:rsidRDefault="008A7CAF" w:rsidP="00C72EBF"/>
    <w:sectPr w:rsidR="008A7CAF" w:rsidRPr="0010014C" w:rsidSect="0074648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334" w:rsidRDefault="00293334" w:rsidP="008A7CAF">
      <w:r>
        <w:separator/>
      </w:r>
    </w:p>
  </w:endnote>
  <w:endnote w:type="continuationSeparator" w:id="0">
    <w:p w:rsidR="00293334" w:rsidRDefault="00293334" w:rsidP="008A7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25585007"/>
      <w:docPartObj>
        <w:docPartGallery w:val="Page Numbers (Bottom of Page)"/>
        <w:docPartUnique/>
      </w:docPartObj>
    </w:sdtPr>
    <w:sdtEndPr/>
    <w:sdtContent>
      <w:p w:rsidR="0058406F" w:rsidRPr="004513AA" w:rsidRDefault="0058406F">
        <w:pPr>
          <w:pStyle w:val="Footer"/>
          <w:jc w:val="right"/>
          <w:rPr>
            <w:sz w:val="20"/>
            <w:szCs w:val="20"/>
          </w:rPr>
        </w:pPr>
        <w:r w:rsidRPr="004513AA">
          <w:rPr>
            <w:sz w:val="20"/>
            <w:szCs w:val="20"/>
          </w:rPr>
          <w:fldChar w:fldCharType="begin"/>
        </w:r>
        <w:r w:rsidRPr="004513AA">
          <w:rPr>
            <w:sz w:val="20"/>
            <w:szCs w:val="20"/>
          </w:rPr>
          <w:instrText xml:space="preserve"> PAGE   \* MERGEFORMAT </w:instrText>
        </w:r>
        <w:r w:rsidRPr="004513AA">
          <w:rPr>
            <w:sz w:val="20"/>
            <w:szCs w:val="20"/>
          </w:rPr>
          <w:fldChar w:fldCharType="separate"/>
        </w:r>
        <w:r w:rsidR="00FA2B76">
          <w:rPr>
            <w:noProof/>
            <w:sz w:val="20"/>
            <w:szCs w:val="20"/>
          </w:rPr>
          <w:t>1</w:t>
        </w:r>
        <w:r w:rsidRPr="004513AA">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334" w:rsidRDefault="00293334" w:rsidP="008A7CAF">
      <w:r>
        <w:separator/>
      </w:r>
    </w:p>
  </w:footnote>
  <w:footnote w:type="continuationSeparator" w:id="0">
    <w:p w:rsidR="00293334" w:rsidRDefault="00293334" w:rsidP="008A7CAF">
      <w:r>
        <w:continuationSeparator/>
      </w:r>
    </w:p>
  </w:footnote>
  <w:footnote w:id="1">
    <w:p w:rsidR="0058406F" w:rsidRPr="00AF61A1" w:rsidRDefault="0058406F" w:rsidP="00416F15">
      <w:pPr>
        <w:pStyle w:val="FootnoteText"/>
        <w:keepNext/>
        <w:keepLines/>
        <w:rPr>
          <w:rFonts w:ascii="Cambria" w:hAnsi="Cambria"/>
        </w:rPr>
      </w:pPr>
      <w:r w:rsidRPr="00AF61A1">
        <w:rPr>
          <w:rStyle w:val="FootnoteReference"/>
        </w:rPr>
        <w:footnoteRef/>
      </w:r>
      <w:r w:rsidRPr="00AF61A1">
        <w:rPr>
          <w:rFonts w:ascii="Cambria" w:hAnsi="Cambria"/>
        </w:rPr>
        <w:t xml:space="preserve"> Committee on Economic, Social and Cultural Rights, </w:t>
      </w:r>
      <w:r w:rsidRPr="00AF61A1">
        <w:rPr>
          <w:rFonts w:ascii="Cambria" w:hAnsi="Cambria"/>
          <w:i/>
        </w:rPr>
        <w:t>General Comment No. 20:  Non-discrimination in economic, social and cultural rights (art. 2, para. 2, of the International Covenant on Economic, Social and Cultural Rights)</w:t>
      </w:r>
      <w:r w:rsidRPr="00AF61A1">
        <w:rPr>
          <w:rFonts w:ascii="Cambria" w:hAnsi="Cambria"/>
        </w:rPr>
        <w:t>, UN Doc. E/C.12/GC/20, 2009.</w:t>
      </w:r>
    </w:p>
  </w:footnote>
  <w:footnote w:id="2">
    <w:p w:rsidR="0058406F" w:rsidRPr="00AF61A1" w:rsidRDefault="0058406F" w:rsidP="00416F15">
      <w:pPr>
        <w:pStyle w:val="FootnoteText"/>
        <w:keepNext/>
        <w:keepLines/>
        <w:rPr>
          <w:rFonts w:ascii="Cambria" w:hAnsi="Cambria"/>
        </w:rPr>
      </w:pPr>
    </w:p>
    <w:p w:rsidR="0058406F" w:rsidRPr="00AF61A1" w:rsidRDefault="0058406F" w:rsidP="00416F15">
      <w:pPr>
        <w:pStyle w:val="FootnoteText"/>
        <w:keepNext/>
        <w:keepLines/>
        <w:rPr>
          <w:rFonts w:ascii="Cambria" w:hAnsi="Cambria"/>
        </w:rPr>
      </w:pPr>
      <w:r w:rsidRPr="00AF61A1">
        <w:rPr>
          <w:rStyle w:val="FootnoteReference"/>
        </w:rPr>
        <w:footnoteRef/>
      </w:r>
      <w:r w:rsidRPr="00AF61A1">
        <w:rPr>
          <w:rFonts w:ascii="Cambria" w:hAnsi="Cambria"/>
        </w:rPr>
        <w:t xml:space="preserve"> </w:t>
      </w:r>
      <w:r w:rsidRPr="004513AA">
        <w:rPr>
          <w:rFonts w:ascii="Cambria" w:hAnsi="Cambria"/>
          <w:i/>
        </w:rPr>
        <w:t>Ibid</w:t>
      </w:r>
      <w:r>
        <w:rPr>
          <w:rFonts w:ascii="Cambria" w:hAnsi="Cambria"/>
        </w:rPr>
        <w:t xml:space="preserve">., </w:t>
      </w:r>
      <w:r w:rsidRPr="00AF61A1">
        <w:rPr>
          <w:rFonts w:ascii="Cambria" w:hAnsi="Cambria"/>
        </w:rPr>
        <w:t>Paras 1-2.</w:t>
      </w:r>
    </w:p>
    <w:p w:rsidR="0058406F" w:rsidRPr="00AF61A1" w:rsidRDefault="0058406F" w:rsidP="00416F15">
      <w:pPr>
        <w:pStyle w:val="FootnoteText"/>
        <w:keepNext/>
        <w:keepLines/>
        <w:rPr>
          <w:rFonts w:ascii="Cambria" w:hAnsi="Cambria"/>
        </w:rPr>
      </w:pPr>
    </w:p>
  </w:footnote>
  <w:footnote w:id="3">
    <w:p w:rsidR="0058406F" w:rsidRPr="00AF61A1" w:rsidRDefault="0058406F" w:rsidP="00416F15">
      <w:pPr>
        <w:pStyle w:val="FootnoteText"/>
        <w:keepNext/>
        <w:keepLines/>
        <w:rPr>
          <w:rFonts w:ascii="Cambria" w:hAnsi="Cambria"/>
        </w:rPr>
      </w:pPr>
      <w:r w:rsidRPr="00AF61A1">
        <w:rPr>
          <w:rStyle w:val="FootnoteReference"/>
        </w:rPr>
        <w:footnoteRef/>
      </w:r>
      <w:r w:rsidRPr="00AF61A1">
        <w:rPr>
          <w:rFonts w:ascii="Cambria" w:hAnsi="Cambria"/>
        </w:rPr>
        <w:t xml:space="preserve"> </w:t>
      </w:r>
      <w:r w:rsidRPr="00AF61A1">
        <w:rPr>
          <w:rFonts w:ascii="Cambria" w:hAnsi="Cambria"/>
          <w:i/>
        </w:rPr>
        <w:t>Declaration of Principles on Equality</w:t>
      </w:r>
      <w:r w:rsidRPr="00AF61A1">
        <w:rPr>
          <w:rFonts w:ascii="Cambria" w:hAnsi="Cambria"/>
        </w:rPr>
        <w:t>, Equal Rights Trust, London, 2008.</w:t>
      </w:r>
    </w:p>
    <w:p w:rsidR="0058406F" w:rsidRPr="00AF61A1" w:rsidRDefault="0058406F" w:rsidP="00416F15">
      <w:pPr>
        <w:pStyle w:val="FootnoteText"/>
        <w:keepNext/>
        <w:keepLines/>
        <w:rPr>
          <w:rFonts w:ascii="Cambria" w:hAnsi="Cambria"/>
        </w:rPr>
      </w:pPr>
    </w:p>
  </w:footnote>
  <w:footnote w:id="4">
    <w:p w:rsidR="0058406F" w:rsidRPr="00AF61A1" w:rsidRDefault="0058406F" w:rsidP="00416F15">
      <w:pPr>
        <w:pStyle w:val="FootnoteText"/>
        <w:keepNext/>
        <w:keepLines/>
        <w:rPr>
          <w:rFonts w:ascii="Cambria" w:hAnsi="Cambria"/>
        </w:rPr>
      </w:pPr>
      <w:r w:rsidRPr="00AF61A1">
        <w:rPr>
          <w:rStyle w:val="FootnoteReference"/>
        </w:rPr>
        <w:footnoteRef/>
      </w:r>
      <w:r w:rsidRPr="00AF61A1">
        <w:rPr>
          <w:rFonts w:ascii="Cambria" w:hAnsi="Cambria"/>
        </w:rPr>
        <w:t xml:space="preserve"> </w:t>
      </w:r>
      <w:r w:rsidRPr="00AF61A1">
        <w:rPr>
          <w:rFonts w:ascii="Cambria" w:hAnsi="Cambria"/>
          <w:i/>
        </w:rPr>
        <w:t>Naz Foundation v. Government of NCT of Delhi and Others</w:t>
      </w:r>
      <w:r w:rsidRPr="00AF61A1">
        <w:rPr>
          <w:rFonts w:ascii="Cambria" w:hAnsi="Cambria"/>
        </w:rPr>
        <w:t xml:space="preserve"> WP(C) No.7455/2001, Para 93.</w:t>
      </w:r>
    </w:p>
    <w:p w:rsidR="0058406F" w:rsidRPr="00AF61A1" w:rsidRDefault="0058406F" w:rsidP="00416F15">
      <w:pPr>
        <w:pStyle w:val="FootnoteText"/>
        <w:keepNext/>
        <w:keepLines/>
        <w:rPr>
          <w:rFonts w:ascii="Cambria" w:hAnsi="Cambria"/>
        </w:rPr>
      </w:pPr>
    </w:p>
  </w:footnote>
  <w:footnote w:id="5">
    <w:p w:rsidR="0058406F" w:rsidRPr="00AF61A1" w:rsidRDefault="0058406F" w:rsidP="00416F15">
      <w:pPr>
        <w:pStyle w:val="FootnoteText"/>
        <w:keepNext/>
        <w:keepLines/>
        <w:rPr>
          <w:rFonts w:ascii="Cambria" w:hAnsi="Cambria"/>
        </w:rPr>
      </w:pPr>
      <w:r w:rsidRPr="00AF61A1">
        <w:rPr>
          <w:rStyle w:val="FootnoteReference"/>
        </w:rPr>
        <w:footnoteRef/>
      </w:r>
      <w:r w:rsidRPr="00AF61A1">
        <w:rPr>
          <w:rFonts w:ascii="Cambria" w:hAnsi="Cambria"/>
        </w:rPr>
        <w:t xml:space="preserve"> Parliamentary Assembly of the Council of Europe, </w:t>
      </w:r>
      <w:r w:rsidRPr="00AF61A1">
        <w:rPr>
          <w:rFonts w:ascii="Cambria" w:hAnsi="Cambria"/>
          <w:i/>
        </w:rPr>
        <w:t>Resolution and Recommendation: The Declaration of Principles on Equality and activities of the Council of Europe</w:t>
      </w:r>
      <w:r w:rsidRPr="00AF61A1">
        <w:rPr>
          <w:rFonts w:ascii="Cambria" w:hAnsi="Cambria"/>
        </w:rPr>
        <w:t>, REC 1986 (2011), 25 November 2011, available at: http://assembly.coe.int/ASP/Doc/ATListingDetails_E.asp?ATID=11380.</w:t>
      </w:r>
    </w:p>
  </w:footnote>
  <w:footnote w:id="6">
    <w:p w:rsidR="0058406F" w:rsidRDefault="0058406F" w:rsidP="00416F15">
      <w:pPr>
        <w:pStyle w:val="FootnoteText"/>
        <w:keepNext/>
        <w:keepLines/>
        <w:rPr>
          <w:rFonts w:ascii="Cambria" w:hAnsi="Cambria"/>
        </w:rPr>
      </w:pPr>
      <w:r w:rsidRPr="00AF61A1">
        <w:rPr>
          <w:rStyle w:val="FootnoteReference"/>
        </w:rPr>
        <w:footnoteRef/>
      </w:r>
      <w:r w:rsidRPr="00AF61A1">
        <w:rPr>
          <w:rFonts w:ascii="Cambria" w:hAnsi="Cambria"/>
        </w:rPr>
        <w:t xml:space="preserve"> </w:t>
      </w:r>
      <w:r>
        <w:rPr>
          <w:rFonts w:ascii="Cambria" w:hAnsi="Cambria"/>
        </w:rPr>
        <w:t>See above, note 1</w:t>
      </w:r>
      <w:r w:rsidRPr="00AF61A1">
        <w:rPr>
          <w:rFonts w:ascii="Cambria" w:hAnsi="Cambria"/>
        </w:rPr>
        <w:t>, Para 19.</w:t>
      </w:r>
    </w:p>
    <w:p w:rsidR="0058406F" w:rsidRPr="00AF61A1" w:rsidRDefault="0058406F" w:rsidP="00416F15">
      <w:pPr>
        <w:pStyle w:val="FootnoteText"/>
        <w:keepNext/>
        <w:keepLines/>
        <w:rPr>
          <w:rFonts w:ascii="Cambria" w:hAnsi="Cambria"/>
        </w:rPr>
      </w:pPr>
    </w:p>
  </w:footnote>
  <w:footnote w:id="7">
    <w:p w:rsidR="0058406F" w:rsidRPr="00AF61A1" w:rsidRDefault="0058406F" w:rsidP="00416F15">
      <w:pPr>
        <w:keepNext/>
        <w:keepLines/>
        <w:jc w:val="left"/>
        <w:rPr>
          <w:rFonts w:eastAsia="Times New Roman"/>
          <w:sz w:val="20"/>
          <w:szCs w:val="20"/>
          <w:lang w:val="en-US"/>
        </w:rPr>
      </w:pPr>
      <w:r w:rsidRPr="00AF61A1">
        <w:rPr>
          <w:rStyle w:val="FootnoteCharacters"/>
          <w:sz w:val="20"/>
          <w:szCs w:val="20"/>
        </w:rPr>
        <w:footnoteRef/>
      </w:r>
      <w:r w:rsidRPr="00AF61A1">
        <w:rPr>
          <w:sz w:val="20"/>
          <w:szCs w:val="20"/>
        </w:rPr>
        <w:t xml:space="preserve"> </w:t>
      </w:r>
      <w:r w:rsidRPr="00AF61A1">
        <w:rPr>
          <w:rFonts w:eastAsia="Times New Roman"/>
          <w:sz w:val="20"/>
          <w:szCs w:val="20"/>
          <w:lang w:val="en-US"/>
        </w:rPr>
        <w:t xml:space="preserve">Diène, D., Special Rapporteur on contemporary forms of racism, racial discrimination, xenophobia and related intolerance, </w:t>
      </w:r>
      <w:r w:rsidRPr="00AF61A1">
        <w:rPr>
          <w:rFonts w:eastAsia="Times New Roman"/>
          <w:i/>
          <w:iCs/>
          <w:sz w:val="20"/>
          <w:szCs w:val="20"/>
          <w:lang w:val="en-US"/>
        </w:rPr>
        <w:t>Report: Mission to Guyana and Trinidad and Tobago</w:t>
      </w:r>
      <w:r w:rsidRPr="00AF61A1">
        <w:rPr>
          <w:rFonts w:eastAsia="Times New Roman"/>
          <w:sz w:val="20"/>
          <w:szCs w:val="20"/>
          <w:lang w:val="en-US"/>
        </w:rPr>
        <w:t>, UN Doc. E/CN.4/2004/18/Add.1, 2004, Para 38.</w:t>
      </w:r>
    </w:p>
    <w:p w:rsidR="0058406F" w:rsidRPr="00AF61A1" w:rsidRDefault="0058406F" w:rsidP="00416F15">
      <w:pPr>
        <w:keepNext/>
        <w:keepLines/>
        <w:jc w:val="left"/>
        <w:rPr>
          <w:rFonts w:eastAsia="Times New Roman"/>
          <w:sz w:val="20"/>
          <w:szCs w:val="20"/>
          <w:lang w:val="en-US"/>
        </w:rPr>
      </w:pPr>
    </w:p>
  </w:footnote>
  <w:footnote w:id="8">
    <w:p w:rsidR="0058406F" w:rsidRPr="00AF61A1" w:rsidRDefault="0058406F" w:rsidP="00416F15">
      <w:pPr>
        <w:pStyle w:val="FootnoteText"/>
        <w:keepNext/>
        <w:keepLines/>
        <w:rPr>
          <w:rFonts w:ascii="Cambria" w:hAnsi="Cambria"/>
        </w:rPr>
      </w:pPr>
      <w:r w:rsidRPr="00AF61A1">
        <w:rPr>
          <w:rStyle w:val="FootnoteReference"/>
        </w:rPr>
        <w:footnoteRef/>
      </w:r>
      <w:r w:rsidRPr="00AF61A1">
        <w:rPr>
          <w:rFonts w:ascii="Cambria" w:hAnsi="Cambria"/>
        </w:rPr>
        <w:t xml:space="preserve"> </w:t>
      </w:r>
      <w:r>
        <w:rPr>
          <w:rFonts w:ascii="Cambria" w:hAnsi="Cambria"/>
        </w:rPr>
        <w:t>See above, note 1, Para 41.</w:t>
      </w:r>
    </w:p>
    <w:p w:rsidR="0058406F" w:rsidRPr="00AF61A1" w:rsidRDefault="0058406F" w:rsidP="00416F15">
      <w:pPr>
        <w:pStyle w:val="FootnoteText"/>
        <w:keepNext/>
        <w:keepLines/>
        <w:rPr>
          <w:rFonts w:ascii="Cambria" w:hAnsi="Cambria"/>
        </w:rPr>
      </w:pPr>
    </w:p>
  </w:footnote>
  <w:footnote w:id="9">
    <w:p w:rsidR="00997603" w:rsidRDefault="00997603" w:rsidP="00416F15">
      <w:pPr>
        <w:pStyle w:val="FootnoteText"/>
      </w:pPr>
      <w:r>
        <w:rPr>
          <w:rStyle w:val="FootnoteReference"/>
        </w:rPr>
        <w:footnoteRef/>
      </w:r>
      <w:r>
        <w:t xml:space="preserve"> </w:t>
      </w:r>
      <w:r w:rsidRPr="00AF61A1">
        <w:t xml:space="preserve">Guyana Bureau of Statistics, </w:t>
      </w:r>
      <w:r>
        <w:rPr>
          <w:i/>
        </w:rPr>
        <w:t>Guyana</w:t>
      </w:r>
      <w:r w:rsidRPr="00AF61A1">
        <w:rPr>
          <w:i/>
        </w:rPr>
        <w:t xml:space="preserve"> Population and Housing </w:t>
      </w:r>
      <w:r>
        <w:rPr>
          <w:i/>
        </w:rPr>
        <w:t>Census</w:t>
      </w:r>
      <w:r w:rsidRPr="00AF61A1">
        <w:rPr>
          <w:i/>
        </w:rPr>
        <w:t xml:space="preserve"> </w:t>
      </w:r>
      <w:r>
        <w:rPr>
          <w:i/>
        </w:rPr>
        <w:t>2012: Preliminary Report</w:t>
      </w:r>
      <w:r w:rsidRPr="00AF61A1">
        <w:rPr>
          <w:i/>
        </w:rPr>
        <w:t xml:space="preserve">, </w:t>
      </w:r>
      <w:r w:rsidRPr="00AF61A1">
        <w:t>20</w:t>
      </w:r>
      <w:r>
        <w:t>14</w:t>
      </w:r>
      <w:r w:rsidRPr="00AF61A1">
        <w:t xml:space="preserve">, available at: </w:t>
      </w:r>
      <w:r w:rsidRPr="00997603">
        <w:t>http://www.statisticsguyana.gov.gy/census.html</w:t>
      </w:r>
      <w:r w:rsidRPr="00AF61A1">
        <w:t>.</w:t>
      </w:r>
    </w:p>
    <w:p w:rsidR="00997603" w:rsidRDefault="00997603" w:rsidP="00416F15">
      <w:pPr>
        <w:pStyle w:val="FootnoteText"/>
      </w:pPr>
    </w:p>
  </w:footnote>
  <w:footnote w:id="10">
    <w:p w:rsidR="00997603" w:rsidRPr="0090475D" w:rsidRDefault="00997603" w:rsidP="00416F15">
      <w:pPr>
        <w:pStyle w:val="FootnoteText"/>
      </w:pPr>
      <w:r>
        <w:rPr>
          <w:rStyle w:val="FootnoteReference"/>
        </w:rPr>
        <w:footnoteRef/>
      </w:r>
      <w:r>
        <w:t xml:space="preserve"> </w:t>
      </w:r>
      <w:r w:rsidR="0090475D">
        <w:rPr>
          <w:i/>
        </w:rPr>
        <w:t xml:space="preserve">Ibid., </w:t>
      </w:r>
      <w:r w:rsidR="0090475D">
        <w:t>p. 8.</w:t>
      </w:r>
    </w:p>
    <w:p w:rsidR="00997603" w:rsidRDefault="00997603" w:rsidP="00416F15">
      <w:pPr>
        <w:pStyle w:val="FootnoteText"/>
      </w:pPr>
    </w:p>
  </w:footnote>
  <w:footnote w:id="11">
    <w:p w:rsidR="00997603" w:rsidRDefault="00997603" w:rsidP="00416F15">
      <w:pPr>
        <w:keepNext/>
        <w:keepLines/>
        <w:jc w:val="left"/>
        <w:rPr>
          <w:sz w:val="20"/>
          <w:szCs w:val="20"/>
        </w:rPr>
      </w:pPr>
      <w:r w:rsidRPr="00AF61A1">
        <w:rPr>
          <w:rStyle w:val="FootnoteCharacters"/>
        </w:rPr>
        <w:footnoteRef/>
      </w:r>
      <w:r w:rsidRPr="00AF61A1">
        <w:rPr>
          <w:sz w:val="20"/>
          <w:szCs w:val="20"/>
        </w:rPr>
        <w:t xml:space="preserve"> Guyana Bureau of Statistics, </w:t>
      </w:r>
      <w:r w:rsidRPr="00AF61A1">
        <w:rPr>
          <w:i/>
          <w:sz w:val="20"/>
          <w:szCs w:val="20"/>
        </w:rPr>
        <w:t xml:space="preserve">2002 Population and Housing </w:t>
      </w:r>
      <w:r>
        <w:rPr>
          <w:i/>
          <w:sz w:val="20"/>
          <w:szCs w:val="20"/>
        </w:rPr>
        <w:t>Census</w:t>
      </w:r>
      <w:r w:rsidRPr="00AF61A1">
        <w:rPr>
          <w:i/>
          <w:sz w:val="20"/>
          <w:szCs w:val="20"/>
        </w:rPr>
        <w:t xml:space="preserve"> – Individual Questionnaire, </w:t>
      </w:r>
      <w:r w:rsidRPr="00AF61A1">
        <w:rPr>
          <w:sz w:val="20"/>
          <w:szCs w:val="20"/>
        </w:rPr>
        <w:t xml:space="preserve">2002, available at: </w:t>
      </w:r>
      <w:r w:rsidRPr="00E7328A">
        <w:rPr>
          <w:sz w:val="20"/>
          <w:szCs w:val="20"/>
        </w:rPr>
        <w:t>http://www.statisticsguyana.gov.gy/pubs/Form_B.pdf</w:t>
      </w:r>
      <w:r w:rsidRPr="00AF61A1">
        <w:rPr>
          <w:sz w:val="20"/>
          <w:szCs w:val="20"/>
        </w:rPr>
        <w:t>.</w:t>
      </w:r>
    </w:p>
    <w:p w:rsidR="00997603" w:rsidRPr="00AF61A1" w:rsidRDefault="00997603" w:rsidP="00416F15">
      <w:pPr>
        <w:keepNext/>
        <w:keepLines/>
        <w:jc w:val="left"/>
        <w:rPr>
          <w:rFonts w:eastAsia="Times New Roman"/>
          <w:sz w:val="20"/>
          <w:szCs w:val="20"/>
          <w:lang w:val="en-US"/>
        </w:rPr>
      </w:pPr>
    </w:p>
  </w:footnote>
  <w:footnote w:id="12">
    <w:p w:rsidR="00997603" w:rsidRPr="00AF61A1" w:rsidRDefault="00997603" w:rsidP="00416F15">
      <w:pPr>
        <w:keepNext/>
        <w:keepLines/>
        <w:jc w:val="left"/>
        <w:rPr>
          <w:sz w:val="20"/>
          <w:szCs w:val="20"/>
        </w:rPr>
      </w:pPr>
      <w:r w:rsidRPr="00AF61A1">
        <w:rPr>
          <w:rStyle w:val="FootnoteCharacters"/>
        </w:rPr>
        <w:footnoteRef/>
      </w:r>
      <w:r w:rsidRPr="00AF61A1">
        <w:rPr>
          <w:rFonts w:eastAsia="Times New Roman"/>
          <w:color w:val="000080"/>
          <w:sz w:val="20"/>
          <w:szCs w:val="20"/>
        </w:rPr>
        <w:t xml:space="preserve"> </w:t>
      </w:r>
      <w:r w:rsidRPr="00AF61A1">
        <w:rPr>
          <w:rFonts w:eastAsia="Times New Roman"/>
          <w:color w:val="000000"/>
          <w:sz w:val="20"/>
          <w:szCs w:val="20"/>
        </w:rPr>
        <w:t xml:space="preserve">Guyana Bureau of Statistics, </w:t>
      </w:r>
      <w:r w:rsidRPr="00AF61A1">
        <w:rPr>
          <w:rFonts w:eastAsia="Times New Roman"/>
          <w:i/>
          <w:color w:val="000000"/>
          <w:sz w:val="20"/>
          <w:szCs w:val="20"/>
        </w:rPr>
        <w:t xml:space="preserve">Housing and Population </w:t>
      </w:r>
      <w:r>
        <w:rPr>
          <w:rFonts w:eastAsia="Times New Roman"/>
          <w:i/>
          <w:color w:val="000000"/>
          <w:sz w:val="20"/>
          <w:szCs w:val="20"/>
        </w:rPr>
        <w:t>Census</w:t>
      </w:r>
      <w:r w:rsidRPr="00AF61A1">
        <w:rPr>
          <w:rFonts w:eastAsia="Times New Roman"/>
          <w:i/>
          <w:color w:val="000000"/>
          <w:sz w:val="20"/>
          <w:szCs w:val="20"/>
        </w:rPr>
        <w:t xml:space="preserve"> 2002 National Report – Chapter 6 Economic Activity, </w:t>
      </w:r>
      <w:r w:rsidRPr="00AF61A1">
        <w:rPr>
          <w:rFonts w:eastAsia="Times New Roman"/>
          <w:color w:val="000000"/>
          <w:sz w:val="20"/>
          <w:szCs w:val="20"/>
        </w:rPr>
        <w:t xml:space="preserve">2002, available at: </w:t>
      </w:r>
      <w:r w:rsidRPr="00AF61A1">
        <w:rPr>
          <w:sz w:val="20"/>
          <w:szCs w:val="20"/>
        </w:rPr>
        <w:t>http://www.statisticsguyana.gov.gy/pubs/Chapter6_Economic_Activity.pdf.</w:t>
      </w:r>
    </w:p>
    <w:p w:rsidR="00997603" w:rsidRPr="00AF61A1" w:rsidRDefault="00997603" w:rsidP="00416F15">
      <w:pPr>
        <w:keepNext/>
        <w:keepLines/>
        <w:jc w:val="left"/>
        <w:rPr>
          <w:rFonts w:eastAsia="Times New Roman"/>
          <w:sz w:val="20"/>
          <w:szCs w:val="20"/>
          <w:lang w:val="en-US"/>
        </w:rPr>
      </w:pPr>
    </w:p>
  </w:footnote>
  <w:footnote w:id="13">
    <w:p w:rsidR="00997603" w:rsidRPr="00AF61A1" w:rsidRDefault="00997603" w:rsidP="00416F15">
      <w:pPr>
        <w:keepNext/>
        <w:keepLines/>
        <w:jc w:val="left"/>
        <w:rPr>
          <w:rFonts w:eastAsia="Times New Roman"/>
          <w:sz w:val="20"/>
          <w:szCs w:val="20"/>
        </w:rPr>
      </w:pPr>
      <w:r w:rsidRPr="00AF61A1">
        <w:rPr>
          <w:rStyle w:val="FootnoteCharacters"/>
        </w:rPr>
        <w:footnoteRef/>
      </w:r>
      <w:r w:rsidRPr="00AF61A1">
        <w:rPr>
          <w:sz w:val="20"/>
          <w:szCs w:val="20"/>
        </w:rPr>
        <w:t xml:space="preserve"> Committee on the Elimination of Racial Discrimination, </w:t>
      </w:r>
      <w:r w:rsidRPr="00AF61A1">
        <w:rPr>
          <w:i/>
          <w:sz w:val="20"/>
          <w:szCs w:val="20"/>
        </w:rPr>
        <w:t>Concluding Observations on Guyana</w:t>
      </w:r>
      <w:r w:rsidRPr="00AF61A1">
        <w:rPr>
          <w:sz w:val="20"/>
          <w:szCs w:val="20"/>
        </w:rPr>
        <w:t xml:space="preserve">, UN Doc. </w:t>
      </w:r>
      <w:r w:rsidRPr="00AF61A1">
        <w:rPr>
          <w:rFonts w:eastAsia="Times New Roman"/>
          <w:sz w:val="20"/>
          <w:szCs w:val="20"/>
        </w:rPr>
        <w:t>CERD/C/GUY/CO/14, 2006, Paras 8 and 13.</w:t>
      </w:r>
    </w:p>
    <w:p w:rsidR="00997603" w:rsidRPr="00AF61A1" w:rsidRDefault="00997603" w:rsidP="00416F15">
      <w:pPr>
        <w:keepNext/>
        <w:keepLines/>
        <w:jc w:val="left"/>
        <w:rPr>
          <w:rFonts w:eastAsia="Times New Roman"/>
          <w:sz w:val="20"/>
          <w:szCs w:val="20"/>
          <w:lang w:val="en-US"/>
        </w:rPr>
      </w:pPr>
      <w:r w:rsidRPr="00AF61A1">
        <w:rPr>
          <w:rFonts w:eastAsia="Times New Roman"/>
          <w:sz w:val="20"/>
          <w:szCs w:val="20"/>
          <w:lang w:val="en-US"/>
        </w:rPr>
        <w:tab/>
        <w:t xml:space="preserve"> </w:t>
      </w:r>
    </w:p>
  </w:footnote>
  <w:footnote w:id="14">
    <w:p w:rsidR="00997603" w:rsidRDefault="00997603" w:rsidP="00416F15">
      <w:pPr>
        <w:keepNext/>
        <w:keepLines/>
        <w:jc w:val="left"/>
        <w:rPr>
          <w:rFonts w:eastAsia="Times New Roman"/>
          <w:sz w:val="20"/>
          <w:szCs w:val="20"/>
          <w:lang w:val="en-US"/>
        </w:rPr>
      </w:pPr>
      <w:r w:rsidRPr="00AF61A1">
        <w:rPr>
          <w:rStyle w:val="FootnoteCharacters"/>
        </w:rPr>
        <w:footnoteRef/>
      </w:r>
      <w:r w:rsidRPr="00AF61A1">
        <w:rPr>
          <w:sz w:val="20"/>
          <w:szCs w:val="20"/>
        </w:rPr>
        <w:t xml:space="preserve"> McDougall, G., In</w:t>
      </w:r>
      <w:r w:rsidRPr="00AF61A1">
        <w:rPr>
          <w:rFonts w:eastAsia="Times New Roman"/>
          <w:sz w:val="20"/>
          <w:szCs w:val="20"/>
          <w:lang w:val="en-US"/>
        </w:rPr>
        <w:t xml:space="preserve">dependent Expert on minority issues, </w:t>
      </w:r>
      <w:r w:rsidRPr="00AF61A1">
        <w:rPr>
          <w:rFonts w:eastAsia="Times New Roman"/>
          <w:i/>
          <w:sz w:val="20"/>
          <w:szCs w:val="20"/>
          <w:lang w:val="en-US"/>
        </w:rPr>
        <w:t xml:space="preserve">Report: Mission to Guyana, </w:t>
      </w:r>
      <w:r w:rsidRPr="00AF61A1">
        <w:rPr>
          <w:rFonts w:eastAsia="Times New Roman"/>
          <w:sz w:val="20"/>
          <w:szCs w:val="20"/>
          <w:lang w:val="en-US"/>
        </w:rPr>
        <w:t>UN Doc. A/HRC/10/11/Add.2, 2009, Para 96.</w:t>
      </w:r>
    </w:p>
    <w:p w:rsidR="00997603" w:rsidRPr="00AF61A1" w:rsidRDefault="00997603" w:rsidP="00416F15">
      <w:pPr>
        <w:keepNext/>
        <w:keepLines/>
        <w:jc w:val="left"/>
        <w:rPr>
          <w:rFonts w:eastAsia="Times New Roman"/>
          <w:sz w:val="20"/>
          <w:szCs w:val="20"/>
          <w:lang w:val="en-US"/>
        </w:rPr>
      </w:pPr>
    </w:p>
  </w:footnote>
  <w:footnote w:id="15">
    <w:p w:rsidR="00997603" w:rsidRDefault="00997603" w:rsidP="00416F15">
      <w:pPr>
        <w:jc w:val="left"/>
        <w:rPr>
          <w:rFonts w:asciiTheme="majorHAnsi" w:eastAsia="Times New Roman" w:hAnsiTheme="majorHAnsi"/>
          <w:sz w:val="20"/>
          <w:szCs w:val="20"/>
          <w:lang w:val="en-US"/>
        </w:rPr>
      </w:pPr>
      <w:r w:rsidRPr="009C1284">
        <w:rPr>
          <w:rStyle w:val="FootnoteCharacters"/>
          <w:rFonts w:asciiTheme="majorHAnsi" w:hAnsiTheme="majorHAnsi"/>
          <w:sz w:val="20"/>
          <w:szCs w:val="20"/>
        </w:rPr>
        <w:footnoteRef/>
      </w:r>
      <w:r w:rsidRPr="009C1284">
        <w:rPr>
          <w:rFonts w:asciiTheme="majorHAnsi" w:hAnsiTheme="majorHAnsi"/>
          <w:sz w:val="20"/>
          <w:szCs w:val="20"/>
        </w:rPr>
        <w:t xml:space="preserve"> Indigenous persons are: </w:t>
      </w:r>
      <w:r w:rsidRPr="009C1284">
        <w:rPr>
          <w:rFonts w:asciiTheme="majorHAnsi" w:eastAsia="Times New Roman" w:hAnsiTheme="majorHAnsi"/>
          <w:sz w:val="20"/>
          <w:szCs w:val="20"/>
          <w:lang w:val="en-US"/>
        </w:rPr>
        <w:t>Region 1: 62.24%; Region 8: 75.91%; Region 9: 89.20%; and Region 7: 41.69%. See</w:t>
      </w:r>
      <w:r>
        <w:rPr>
          <w:rFonts w:asciiTheme="majorHAnsi" w:eastAsia="Times New Roman" w:hAnsiTheme="majorHAnsi"/>
          <w:sz w:val="20"/>
          <w:szCs w:val="20"/>
          <w:lang w:val="en-US"/>
        </w:rPr>
        <w:t xml:space="preserve"> </w:t>
      </w:r>
      <w:r w:rsidRPr="009C1284">
        <w:rPr>
          <w:rFonts w:asciiTheme="majorHAnsi" w:hAnsiTheme="majorHAnsi"/>
          <w:bCs/>
          <w:sz w:val="20"/>
          <w:szCs w:val="20"/>
          <w:lang w:val="en-US"/>
        </w:rPr>
        <w:t xml:space="preserve">Guyana Bureau of Statistics, </w:t>
      </w:r>
      <w:r w:rsidRPr="009C1284">
        <w:rPr>
          <w:rFonts w:asciiTheme="majorHAnsi" w:hAnsiTheme="majorHAnsi"/>
          <w:bCs/>
          <w:i/>
          <w:sz w:val="20"/>
          <w:szCs w:val="20"/>
          <w:lang w:val="en-US"/>
        </w:rPr>
        <w:t>Population and Housing Census 2002 National Census Report</w:t>
      </w:r>
      <w:r w:rsidRPr="009C1284">
        <w:rPr>
          <w:rFonts w:asciiTheme="majorHAnsi" w:hAnsiTheme="majorHAnsi"/>
          <w:bCs/>
          <w:sz w:val="20"/>
          <w:szCs w:val="20"/>
          <w:lang w:val="en-US"/>
        </w:rPr>
        <w:t>, 2002, Chapter</w:t>
      </w:r>
      <w:r w:rsidRPr="009C1284">
        <w:rPr>
          <w:rFonts w:asciiTheme="majorHAnsi" w:eastAsia="Times New Roman" w:hAnsiTheme="majorHAnsi"/>
          <w:sz w:val="20"/>
          <w:szCs w:val="20"/>
          <w:lang w:val="en-US"/>
        </w:rPr>
        <w:t xml:space="preserve"> 2 – Population Composition, p. 31, Table 2.3, available at: </w:t>
      </w:r>
      <w:r w:rsidRPr="00E7328A">
        <w:rPr>
          <w:rFonts w:asciiTheme="majorHAnsi" w:hAnsiTheme="majorHAnsi"/>
          <w:sz w:val="20"/>
          <w:szCs w:val="20"/>
        </w:rPr>
        <w:t>http://www.statisticsguyana.gov.gy/pubs/Chapter2_Population_Composition.pdf</w:t>
      </w:r>
      <w:r w:rsidRPr="009C1284">
        <w:rPr>
          <w:rFonts w:asciiTheme="majorHAnsi" w:eastAsia="Times New Roman" w:hAnsiTheme="majorHAnsi"/>
          <w:sz w:val="20"/>
          <w:szCs w:val="20"/>
          <w:lang w:val="en-US"/>
        </w:rPr>
        <w:t>.</w:t>
      </w:r>
    </w:p>
    <w:p w:rsidR="00997603" w:rsidRPr="009C1284" w:rsidRDefault="00997603" w:rsidP="00416F15">
      <w:pPr>
        <w:jc w:val="left"/>
        <w:rPr>
          <w:rFonts w:asciiTheme="majorHAnsi" w:eastAsia="Times New Roman" w:hAnsiTheme="majorHAnsi"/>
          <w:sz w:val="20"/>
          <w:szCs w:val="20"/>
          <w:lang w:val="en-US"/>
        </w:rPr>
      </w:pPr>
    </w:p>
  </w:footnote>
  <w:footnote w:id="16">
    <w:p w:rsidR="00997603" w:rsidRPr="009C1284" w:rsidRDefault="00997603" w:rsidP="00416F15">
      <w:pPr>
        <w:pStyle w:val="FootnoteText"/>
      </w:pPr>
      <w:r w:rsidRPr="009C1284">
        <w:rPr>
          <w:rStyle w:val="FootnoteCharacters"/>
        </w:rPr>
        <w:footnoteRef/>
      </w:r>
      <w:r w:rsidRPr="009C1284">
        <w:t xml:space="preserve"> Guyana Bureau of Statistics, </w:t>
      </w:r>
      <w:r w:rsidRPr="009C1284">
        <w:rPr>
          <w:i/>
        </w:rPr>
        <w:t>Population And Housing Census 2002: Marginality (Poverty Status) By Region</w:t>
      </w:r>
      <w:r w:rsidRPr="009C1284">
        <w:t xml:space="preserve">, 2002, available at: </w:t>
      </w:r>
      <w:r w:rsidR="00E7328A" w:rsidRPr="00E7328A">
        <w:t>http://www.statisticsguyana.gov.gy/pubs/Poverty_Map</w:t>
      </w:r>
      <w:r w:rsidR="00E7328A">
        <w:t xml:space="preserve"> </w:t>
      </w:r>
      <w:r w:rsidRPr="009C1284">
        <w:t>(Region).pdf.</w:t>
      </w:r>
    </w:p>
    <w:p w:rsidR="00997603" w:rsidRPr="009C1284" w:rsidRDefault="00997603" w:rsidP="00416F15">
      <w:pPr>
        <w:pStyle w:val="FootnoteText"/>
      </w:pPr>
    </w:p>
  </w:footnote>
  <w:footnote w:id="17">
    <w:p w:rsidR="00997603" w:rsidRPr="009C1284" w:rsidRDefault="00997603" w:rsidP="00416F15">
      <w:pPr>
        <w:pStyle w:val="FootnoteText"/>
      </w:pPr>
      <w:r w:rsidRPr="009C1284">
        <w:rPr>
          <w:rStyle w:val="FootnoteCharacters"/>
        </w:rPr>
        <w:footnoteRef/>
      </w:r>
      <w:r w:rsidRPr="009C1284">
        <w:t xml:space="preserve"> </w:t>
      </w:r>
      <w:r w:rsidRPr="009C1284">
        <w:rPr>
          <w:i/>
        </w:rPr>
        <w:t>Ibid</w:t>
      </w:r>
      <w:r w:rsidRPr="009C1284">
        <w:t>.</w:t>
      </w:r>
    </w:p>
    <w:p w:rsidR="00997603" w:rsidRPr="009C1284" w:rsidRDefault="00997603" w:rsidP="00416F15">
      <w:pPr>
        <w:pStyle w:val="FootnoteText"/>
      </w:pPr>
    </w:p>
  </w:footnote>
  <w:footnote w:id="18">
    <w:p w:rsidR="00997603" w:rsidRPr="009C1284" w:rsidRDefault="00997603" w:rsidP="00416F15">
      <w:pPr>
        <w:jc w:val="left"/>
        <w:rPr>
          <w:rFonts w:asciiTheme="majorHAnsi" w:eastAsia="Times New Roman" w:hAnsiTheme="majorHAnsi"/>
          <w:sz w:val="20"/>
          <w:szCs w:val="20"/>
          <w:lang w:val="en-US"/>
        </w:rPr>
      </w:pPr>
      <w:r w:rsidRPr="009C1284">
        <w:rPr>
          <w:rStyle w:val="FootnoteCharacters"/>
          <w:rFonts w:asciiTheme="majorHAnsi" w:hAnsiTheme="majorHAnsi"/>
          <w:sz w:val="20"/>
          <w:szCs w:val="20"/>
        </w:rPr>
        <w:footnoteRef/>
      </w:r>
      <w:r w:rsidRPr="009C1284">
        <w:rPr>
          <w:rFonts w:asciiTheme="majorHAnsi" w:eastAsia="Times New Roman" w:hAnsiTheme="majorHAnsi"/>
          <w:sz w:val="20"/>
          <w:szCs w:val="20"/>
          <w:lang w:val="en-US"/>
        </w:rPr>
        <w:t xml:space="preserve"> </w:t>
      </w:r>
      <w:r w:rsidRPr="009C1284">
        <w:rPr>
          <w:rFonts w:asciiTheme="majorHAnsi" w:hAnsiTheme="majorHAnsi"/>
          <w:bCs/>
          <w:sz w:val="20"/>
          <w:szCs w:val="20"/>
          <w:lang w:val="en-US"/>
        </w:rPr>
        <w:t xml:space="preserve">Guyana Bureau of Statistics, </w:t>
      </w:r>
      <w:r w:rsidRPr="009C1284">
        <w:rPr>
          <w:rFonts w:asciiTheme="majorHAnsi" w:hAnsiTheme="majorHAnsi"/>
          <w:bCs/>
          <w:i/>
          <w:sz w:val="20"/>
          <w:szCs w:val="20"/>
          <w:lang w:val="en-US"/>
        </w:rPr>
        <w:t>Population and Housing Census 2002 National Census Report</w:t>
      </w:r>
      <w:r w:rsidRPr="009C1284">
        <w:rPr>
          <w:rFonts w:asciiTheme="majorHAnsi" w:hAnsiTheme="majorHAnsi"/>
          <w:bCs/>
          <w:sz w:val="20"/>
          <w:szCs w:val="20"/>
          <w:lang w:val="en-US"/>
        </w:rPr>
        <w:t>, 2002, Chapter</w:t>
      </w:r>
      <w:r w:rsidRPr="009C1284">
        <w:rPr>
          <w:rFonts w:asciiTheme="majorHAnsi" w:eastAsia="Times New Roman" w:hAnsiTheme="majorHAnsi"/>
          <w:sz w:val="20"/>
          <w:szCs w:val="20"/>
          <w:lang w:val="en-US"/>
        </w:rPr>
        <w:t xml:space="preserve"> 5 – Education and Training, p. 79, Table 5.5, available at: </w:t>
      </w:r>
      <w:r w:rsidRPr="009C1284">
        <w:rPr>
          <w:rFonts w:asciiTheme="majorHAnsi" w:hAnsiTheme="majorHAnsi"/>
          <w:sz w:val="20"/>
          <w:szCs w:val="20"/>
        </w:rPr>
        <w:t>http://www.statisticsguyana.gov.gy/pubs/Chapter5_Education_Training.pdf</w:t>
      </w:r>
      <w:r w:rsidRPr="009C1284">
        <w:rPr>
          <w:rFonts w:asciiTheme="majorHAnsi" w:eastAsia="Times New Roman" w:hAnsiTheme="majorHAnsi"/>
          <w:sz w:val="20"/>
          <w:szCs w:val="20"/>
          <w:lang w:val="en-US"/>
        </w:rPr>
        <w:t>.</w:t>
      </w:r>
    </w:p>
    <w:p w:rsidR="00997603" w:rsidRPr="009C1284" w:rsidRDefault="00997603" w:rsidP="00416F15">
      <w:pPr>
        <w:jc w:val="left"/>
        <w:rPr>
          <w:rFonts w:asciiTheme="majorHAnsi" w:eastAsia="Times New Roman" w:hAnsiTheme="majorHAnsi"/>
          <w:sz w:val="20"/>
          <w:szCs w:val="20"/>
          <w:lang w:val="en-US"/>
        </w:rPr>
      </w:pPr>
    </w:p>
  </w:footnote>
  <w:footnote w:id="19">
    <w:p w:rsidR="00997603" w:rsidRPr="009C1284" w:rsidRDefault="00997603" w:rsidP="00416F15">
      <w:pPr>
        <w:jc w:val="left"/>
        <w:rPr>
          <w:rFonts w:asciiTheme="majorHAnsi" w:eastAsia="Times New Roman" w:hAnsiTheme="majorHAnsi"/>
          <w:sz w:val="20"/>
          <w:szCs w:val="20"/>
          <w:lang w:val="en-US"/>
        </w:rPr>
      </w:pPr>
      <w:r w:rsidRPr="009C1284">
        <w:rPr>
          <w:rStyle w:val="FootnoteCharacters"/>
          <w:rFonts w:asciiTheme="majorHAnsi" w:hAnsiTheme="majorHAnsi"/>
          <w:sz w:val="20"/>
          <w:szCs w:val="20"/>
        </w:rPr>
        <w:footnoteRef/>
      </w:r>
      <w:r w:rsidRPr="009C1284">
        <w:rPr>
          <w:rFonts w:asciiTheme="majorHAnsi" w:eastAsia="Times New Roman" w:hAnsiTheme="majorHAnsi"/>
          <w:sz w:val="20"/>
          <w:szCs w:val="20"/>
          <w:lang w:val="en-US"/>
        </w:rPr>
        <w:t xml:space="preserve"> Guyana</w:t>
      </w:r>
      <w:r w:rsidRPr="009C1284">
        <w:rPr>
          <w:rFonts w:asciiTheme="majorHAnsi" w:hAnsiTheme="majorHAnsi"/>
          <w:sz w:val="20"/>
          <w:szCs w:val="20"/>
        </w:rPr>
        <w:t xml:space="preserve"> Bureau of Statistics and UNICEF, </w:t>
      </w:r>
      <w:r w:rsidRPr="009C1284">
        <w:rPr>
          <w:rFonts w:asciiTheme="majorHAnsi" w:hAnsiTheme="majorHAnsi"/>
          <w:i/>
          <w:sz w:val="20"/>
          <w:szCs w:val="20"/>
        </w:rPr>
        <w:t>Multiple Indicator Cluster Survey: Technical Report,</w:t>
      </w:r>
      <w:r w:rsidRPr="009C1284">
        <w:rPr>
          <w:rFonts w:asciiTheme="majorHAnsi" w:hAnsiTheme="majorHAnsi"/>
          <w:sz w:val="20"/>
          <w:szCs w:val="20"/>
        </w:rPr>
        <w:t xml:space="preserve"> 2006, </w:t>
      </w:r>
      <w:r w:rsidRPr="009C1284">
        <w:rPr>
          <w:rFonts w:asciiTheme="majorHAnsi" w:eastAsia="Times New Roman" w:hAnsiTheme="majorHAnsi"/>
          <w:sz w:val="20"/>
          <w:szCs w:val="20"/>
          <w:lang w:val="en-US"/>
        </w:rPr>
        <w:t xml:space="preserve">p. 120, Table ED.3, available at: </w:t>
      </w:r>
      <w:r w:rsidRPr="009C1284">
        <w:rPr>
          <w:rFonts w:asciiTheme="majorHAnsi" w:hAnsiTheme="majorHAnsi"/>
          <w:sz w:val="20"/>
          <w:szCs w:val="20"/>
        </w:rPr>
        <w:t>http://www.statisticsguyana.gov.gy/pubs/Guyana_MICS_Technical_Report_2006.pdf</w:t>
      </w:r>
      <w:r w:rsidRPr="009C1284">
        <w:rPr>
          <w:rFonts w:asciiTheme="majorHAnsi" w:eastAsia="Times New Roman" w:hAnsiTheme="majorHAnsi"/>
          <w:sz w:val="20"/>
          <w:szCs w:val="20"/>
          <w:lang w:val="en-US"/>
        </w:rPr>
        <w:t>.</w:t>
      </w:r>
    </w:p>
    <w:p w:rsidR="00997603" w:rsidRPr="009C1284" w:rsidRDefault="00997603" w:rsidP="00416F15">
      <w:pPr>
        <w:jc w:val="left"/>
        <w:rPr>
          <w:rFonts w:asciiTheme="majorHAnsi" w:eastAsia="Times New Roman" w:hAnsiTheme="majorHAnsi"/>
          <w:sz w:val="20"/>
          <w:szCs w:val="20"/>
          <w:lang w:val="en-US"/>
        </w:rPr>
      </w:pPr>
    </w:p>
  </w:footnote>
  <w:footnote w:id="20">
    <w:p w:rsidR="00997603" w:rsidRPr="009C1284" w:rsidRDefault="00997603" w:rsidP="00416F15">
      <w:pPr>
        <w:jc w:val="left"/>
        <w:rPr>
          <w:rFonts w:asciiTheme="majorHAnsi" w:eastAsia="Times New Roman" w:hAnsiTheme="majorHAnsi"/>
          <w:sz w:val="20"/>
          <w:szCs w:val="20"/>
          <w:lang w:val="en-US"/>
        </w:rPr>
      </w:pPr>
      <w:r w:rsidRPr="009C1284">
        <w:rPr>
          <w:rStyle w:val="FootnoteCharacters"/>
          <w:rFonts w:asciiTheme="majorHAnsi" w:hAnsiTheme="majorHAnsi"/>
          <w:sz w:val="20"/>
          <w:szCs w:val="20"/>
        </w:rPr>
        <w:footnoteRef/>
      </w:r>
      <w:r w:rsidRPr="009C1284">
        <w:rPr>
          <w:rFonts w:asciiTheme="majorHAnsi" w:eastAsia="Times New Roman" w:hAnsiTheme="majorHAnsi"/>
          <w:sz w:val="20"/>
          <w:szCs w:val="20"/>
          <w:lang w:val="en-US"/>
        </w:rPr>
        <w:t xml:space="preserve"> </w:t>
      </w:r>
      <w:r w:rsidR="00416F15">
        <w:rPr>
          <w:rFonts w:asciiTheme="majorHAnsi" w:eastAsia="Times New Roman" w:hAnsiTheme="majorHAnsi"/>
          <w:i/>
          <w:sz w:val="20"/>
          <w:szCs w:val="20"/>
          <w:lang w:val="en-US"/>
        </w:rPr>
        <w:t>Ibid.,</w:t>
      </w:r>
      <w:r w:rsidRPr="009C1284">
        <w:rPr>
          <w:rFonts w:asciiTheme="majorHAnsi" w:hAnsiTheme="majorHAnsi"/>
          <w:sz w:val="20"/>
          <w:szCs w:val="20"/>
        </w:rPr>
        <w:t xml:space="preserve">, </w:t>
      </w:r>
      <w:r w:rsidR="00416F15">
        <w:rPr>
          <w:rFonts w:asciiTheme="majorHAnsi" w:eastAsia="Times New Roman" w:hAnsiTheme="majorHAnsi"/>
          <w:sz w:val="20"/>
          <w:szCs w:val="20"/>
          <w:lang w:val="en-US"/>
        </w:rPr>
        <w:t>p. 12</w:t>
      </w:r>
      <w:r w:rsidRPr="009C1284">
        <w:rPr>
          <w:rFonts w:asciiTheme="majorHAnsi" w:eastAsia="Times New Roman" w:hAnsiTheme="majorHAnsi"/>
          <w:sz w:val="20"/>
          <w:szCs w:val="20"/>
          <w:lang w:val="en-US"/>
        </w:rPr>
        <w:t>.</w:t>
      </w:r>
    </w:p>
    <w:p w:rsidR="00997603" w:rsidRPr="009C1284" w:rsidRDefault="00997603" w:rsidP="00416F15">
      <w:pPr>
        <w:jc w:val="left"/>
        <w:rPr>
          <w:rFonts w:asciiTheme="majorHAnsi" w:eastAsia="Times New Roman" w:hAnsiTheme="majorHAnsi"/>
          <w:sz w:val="20"/>
          <w:szCs w:val="20"/>
          <w:lang w:val="en-US"/>
        </w:rPr>
      </w:pPr>
    </w:p>
  </w:footnote>
  <w:footnote w:id="21">
    <w:p w:rsidR="00997603" w:rsidRDefault="00997603" w:rsidP="00416F15">
      <w:pPr>
        <w:jc w:val="left"/>
        <w:rPr>
          <w:rFonts w:asciiTheme="majorHAnsi" w:hAnsiTheme="majorHAnsi"/>
          <w:sz w:val="20"/>
          <w:szCs w:val="20"/>
        </w:rPr>
      </w:pPr>
      <w:r w:rsidRPr="009C1284">
        <w:rPr>
          <w:rStyle w:val="FootnoteCharacters"/>
          <w:rFonts w:asciiTheme="majorHAnsi" w:hAnsiTheme="majorHAnsi"/>
          <w:sz w:val="20"/>
          <w:szCs w:val="20"/>
        </w:rPr>
        <w:footnoteRef/>
      </w:r>
      <w:r w:rsidR="00416F15">
        <w:rPr>
          <w:rFonts w:asciiTheme="majorHAnsi" w:hAnsiTheme="majorHAnsi"/>
          <w:sz w:val="20"/>
          <w:szCs w:val="20"/>
        </w:rPr>
        <w:t xml:space="preserve"> </w:t>
      </w:r>
      <w:r>
        <w:rPr>
          <w:rFonts w:asciiTheme="majorHAnsi" w:hAnsiTheme="majorHAnsi"/>
          <w:sz w:val="20"/>
          <w:szCs w:val="20"/>
        </w:rPr>
        <w:t>Equal Rights Trust</w:t>
      </w:r>
      <w:r w:rsidR="00416F15">
        <w:rPr>
          <w:rFonts w:asciiTheme="majorHAnsi" w:hAnsiTheme="majorHAnsi"/>
          <w:sz w:val="20"/>
          <w:szCs w:val="20"/>
        </w:rPr>
        <w:t>, Focus Group</w:t>
      </w:r>
      <w:r w:rsidRPr="009C1284">
        <w:rPr>
          <w:rFonts w:asciiTheme="majorHAnsi" w:hAnsiTheme="majorHAnsi"/>
          <w:sz w:val="20"/>
          <w:szCs w:val="20"/>
        </w:rPr>
        <w:t xml:space="preserve"> with 45 indigenous participants in region 4, Guyana, September 2011.</w:t>
      </w:r>
    </w:p>
    <w:p w:rsidR="00416F15" w:rsidRPr="009C1284" w:rsidRDefault="00416F15" w:rsidP="00416F15">
      <w:pPr>
        <w:jc w:val="left"/>
        <w:rPr>
          <w:rFonts w:asciiTheme="majorHAnsi" w:hAnsiTheme="majorHAnsi"/>
          <w:sz w:val="20"/>
          <w:szCs w:val="20"/>
        </w:rPr>
      </w:pPr>
    </w:p>
  </w:footnote>
  <w:footnote w:id="22">
    <w:p w:rsidR="00997603" w:rsidRPr="009C1284" w:rsidRDefault="00997603" w:rsidP="00416F15">
      <w:pPr>
        <w:jc w:val="left"/>
        <w:rPr>
          <w:rFonts w:asciiTheme="majorHAnsi" w:hAnsiTheme="majorHAnsi"/>
          <w:sz w:val="20"/>
          <w:szCs w:val="20"/>
        </w:rPr>
      </w:pPr>
      <w:r w:rsidRPr="009C1284">
        <w:rPr>
          <w:rStyle w:val="FootnoteCharacters"/>
          <w:rFonts w:asciiTheme="majorHAnsi" w:hAnsiTheme="majorHAnsi"/>
          <w:sz w:val="20"/>
          <w:szCs w:val="20"/>
        </w:rPr>
        <w:footnoteRef/>
      </w:r>
      <w:r w:rsidRPr="009C1284">
        <w:rPr>
          <w:rFonts w:asciiTheme="majorHAnsi" w:eastAsia="Times New Roman" w:hAnsiTheme="majorHAnsi"/>
          <w:sz w:val="20"/>
          <w:szCs w:val="20"/>
          <w:lang w:val="en-US"/>
        </w:rPr>
        <w:t xml:space="preserve"> </w:t>
      </w:r>
      <w:r w:rsidR="00416F15">
        <w:rPr>
          <w:rFonts w:asciiTheme="majorHAnsi" w:hAnsiTheme="majorHAnsi"/>
          <w:bCs/>
          <w:sz w:val="20"/>
          <w:szCs w:val="20"/>
          <w:lang w:val="en-US"/>
        </w:rPr>
        <w:t>See above, note 12</w:t>
      </w:r>
      <w:r w:rsidRPr="009C1284">
        <w:rPr>
          <w:rFonts w:asciiTheme="majorHAnsi" w:eastAsia="Times New Roman" w:hAnsiTheme="majorHAnsi"/>
          <w:sz w:val="20"/>
          <w:szCs w:val="20"/>
          <w:lang w:val="en-US"/>
        </w:rPr>
        <w:t>, p. 98</w:t>
      </w:r>
      <w:r w:rsidR="00416F15">
        <w:rPr>
          <w:rFonts w:asciiTheme="majorHAnsi" w:eastAsia="Times New Roman" w:hAnsiTheme="majorHAnsi"/>
          <w:sz w:val="20"/>
          <w:szCs w:val="20"/>
          <w:lang w:val="en-US"/>
        </w:rPr>
        <w:t>, Table 6.4.</w:t>
      </w:r>
    </w:p>
    <w:p w:rsidR="00997603" w:rsidRPr="009C1284" w:rsidRDefault="00997603" w:rsidP="00416F15">
      <w:pPr>
        <w:jc w:val="left"/>
        <w:rPr>
          <w:rFonts w:asciiTheme="majorHAnsi" w:hAnsiTheme="majorHAnsi"/>
          <w:sz w:val="20"/>
          <w:szCs w:val="20"/>
        </w:rPr>
      </w:pPr>
    </w:p>
  </w:footnote>
  <w:footnote w:id="23">
    <w:p w:rsidR="00997603" w:rsidRPr="009C1284" w:rsidRDefault="00997603" w:rsidP="00416F15">
      <w:pPr>
        <w:jc w:val="left"/>
        <w:rPr>
          <w:rFonts w:asciiTheme="majorHAnsi" w:eastAsia="Times New Roman" w:hAnsiTheme="majorHAnsi"/>
          <w:sz w:val="20"/>
          <w:szCs w:val="20"/>
          <w:lang w:val="en-US"/>
        </w:rPr>
      </w:pPr>
      <w:r w:rsidRPr="009C1284">
        <w:rPr>
          <w:rStyle w:val="FootnoteCharacters"/>
          <w:rFonts w:asciiTheme="majorHAnsi" w:hAnsiTheme="majorHAnsi"/>
          <w:sz w:val="20"/>
          <w:szCs w:val="20"/>
        </w:rPr>
        <w:footnoteRef/>
      </w:r>
      <w:r w:rsidRPr="009C1284">
        <w:rPr>
          <w:rFonts w:asciiTheme="majorHAnsi" w:eastAsia="Times New Roman" w:hAnsiTheme="majorHAnsi"/>
          <w:sz w:val="20"/>
          <w:szCs w:val="20"/>
          <w:lang w:val="en-US"/>
        </w:rPr>
        <w:t xml:space="preserve"> </w:t>
      </w:r>
      <w:r w:rsidR="00416F15">
        <w:rPr>
          <w:rFonts w:asciiTheme="majorHAnsi" w:hAnsiTheme="majorHAnsi"/>
          <w:bCs/>
          <w:i/>
          <w:sz w:val="20"/>
          <w:szCs w:val="20"/>
          <w:lang w:val="en-US"/>
        </w:rPr>
        <w:t>Ibid.</w:t>
      </w:r>
      <w:r w:rsidR="00416F15">
        <w:rPr>
          <w:rFonts w:asciiTheme="majorHAnsi" w:eastAsia="Times New Roman" w:hAnsiTheme="majorHAnsi"/>
          <w:sz w:val="20"/>
          <w:szCs w:val="20"/>
          <w:lang w:val="en-US"/>
        </w:rPr>
        <w:t>, p. 97</w:t>
      </w:r>
      <w:r w:rsidRPr="009C1284">
        <w:rPr>
          <w:rFonts w:asciiTheme="majorHAnsi" w:eastAsia="Times New Roman" w:hAnsiTheme="majorHAnsi"/>
          <w:sz w:val="20"/>
          <w:szCs w:val="20"/>
          <w:lang w:val="en-US"/>
        </w:rPr>
        <w:t>.</w:t>
      </w:r>
    </w:p>
    <w:p w:rsidR="00997603" w:rsidRPr="009C1284" w:rsidRDefault="00997603" w:rsidP="00416F15">
      <w:pPr>
        <w:jc w:val="left"/>
        <w:rPr>
          <w:rFonts w:asciiTheme="majorHAnsi" w:eastAsia="Times New Roman" w:hAnsiTheme="majorHAnsi"/>
          <w:sz w:val="20"/>
          <w:szCs w:val="20"/>
          <w:lang w:val="en-US"/>
        </w:rPr>
      </w:pPr>
    </w:p>
  </w:footnote>
  <w:footnote w:id="24">
    <w:p w:rsidR="00997603" w:rsidRPr="009C1284" w:rsidRDefault="00997603" w:rsidP="00416F15">
      <w:pPr>
        <w:jc w:val="left"/>
        <w:rPr>
          <w:rFonts w:asciiTheme="majorHAnsi" w:eastAsia="Times New Roman" w:hAnsiTheme="majorHAnsi"/>
          <w:sz w:val="20"/>
          <w:szCs w:val="20"/>
          <w:lang w:val="en-US"/>
        </w:rPr>
      </w:pPr>
      <w:r w:rsidRPr="009C1284">
        <w:rPr>
          <w:rStyle w:val="FootnoteCharacters"/>
          <w:rFonts w:asciiTheme="majorHAnsi" w:hAnsiTheme="majorHAnsi"/>
          <w:sz w:val="20"/>
          <w:szCs w:val="20"/>
        </w:rPr>
        <w:footnoteRef/>
      </w:r>
      <w:r w:rsidRPr="009C1284">
        <w:rPr>
          <w:rFonts w:asciiTheme="majorHAnsi" w:eastAsia="Times New Roman" w:hAnsiTheme="majorHAnsi"/>
          <w:sz w:val="20"/>
          <w:szCs w:val="20"/>
          <w:lang w:val="en-US"/>
        </w:rPr>
        <w:t xml:space="preserve"> </w:t>
      </w:r>
      <w:r w:rsidR="00416F15">
        <w:rPr>
          <w:rFonts w:asciiTheme="majorHAnsi" w:eastAsia="Times New Roman" w:hAnsiTheme="majorHAnsi"/>
          <w:sz w:val="20"/>
          <w:szCs w:val="20"/>
          <w:lang w:val="en-US"/>
        </w:rPr>
        <w:t>See above, note 19,</w:t>
      </w:r>
      <w:r w:rsidRPr="009C1284">
        <w:rPr>
          <w:rFonts w:asciiTheme="majorHAnsi" w:hAnsiTheme="majorHAnsi"/>
          <w:sz w:val="20"/>
          <w:szCs w:val="20"/>
        </w:rPr>
        <w:t xml:space="preserve"> </w:t>
      </w:r>
      <w:r w:rsidRPr="009C1284">
        <w:rPr>
          <w:rFonts w:asciiTheme="majorHAnsi" w:eastAsia="Times New Roman" w:hAnsiTheme="majorHAnsi"/>
          <w:sz w:val="20"/>
          <w:szCs w:val="20"/>
          <w:lang w:val="en-US"/>
        </w:rPr>
        <w:t>p. 79, Table CM.1</w:t>
      </w:r>
      <w:r w:rsidR="00416F15">
        <w:rPr>
          <w:rFonts w:asciiTheme="majorHAnsi" w:eastAsia="Times New Roman" w:hAnsiTheme="majorHAnsi"/>
          <w:sz w:val="20"/>
          <w:szCs w:val="20"/>
          <w:lang w:val="en-US"/>
        </w:rPr>
        <w:t>.</w:t>
      </w:r>
    </w:p>
    <w:p w:rsidR="00997603" w:rsidRPr="009C1284" w:rsidRDefault="00997603" w:rsidP="00416F15">
      <w:pPr>
        <w:jc w:val="left"/>
        <w:rPr>
          <w:rFonts w:asciiTheme="majorHAnsi" w:eastAsia="Times New Roman" w:hAnsiTheme="majorHAnsi"/>
          <w:sz w:val="20"/>
          <w:szCs w:val="20"/>
          <w:lang w:val="en-US"/>
        </w:rPr>
      </w:pPr>
    </w:p>
  </w:footnote>
  <w:footnote w:id="25">
    <w:p w:rsidR="00997603" w:rsidRPr="00416F15" w:rsidRDefault="00997603" w:rsidP="00416F15">
      <w:pPr>
        <w:jc w:val="left"/>
        <w:rPr>
          <w:rFonts w:asciiTheme="majorHAnsi" w:eastAsia="Times New Roman" w:hAnsiTheme="majorHAnsi"/>
          <w:i/>
          <w:sz w:val="20"/>
          <w:szCs w:val="20"/>
          <w:lang w:val="en-US"/>
        </w:rPr>
      </w:pPr>
      <w:r w:rsidRPr="009C1284">
        <w:rPr>
          <w:rStyle w:val="FootnoteCharacters"/>
          <w:rFonts w:asciiTheme="majorHAnsi" w:hAnsiTheme="majorHAnsi"/>
          <w:sz w:val="20"/>
          <w:szCs w:val="20"/>
        </w:rPr>
        <w:footnoteRef/>
      </w:r>
      <w:r w:rsidRPr="009C1284">
        <w:rPr>
          <w:rFonts w:asciiTheme="majorHAnsi" w:hAnsiTheme="majorHAnsi"/>
          <w:sz w:val="20"/>
          <w:szCs w:val="20"/>
        </w:rPr>
        <w:t xml:space="preserve"> </w:t>
      </w:r>
      <w:r w:rsidR="00416F15">
        <w:rPr>
          <w:rFonts w:asciiTheme="majorHAnsi" w:eastAsia="Times New Roman" w:hAnsiTheme="majorHAnsi"/>
          <w:i/>
          <w:sz w:val="20"/>
          <w:szCs w:val="20"/>
          <w:lang w:val="en-US"/>
        </w:rPr>
        <w:t>Ibid.</w:t>
      </w:r>
    </w:p>
    <w:p w:rsidR="00997603" w:rsidRPr="009C1284" w:rsidRDefault="00997603" w:rsidP="00416F15">
      <w:pPr>
        <w:jc w:val="left"/>
        <w:rPr>
          <w:rFonts w:asciiTheme="majorHAnsi" w:eastAsia="Times New Roman" w:hAnsiTheme="majorHAnsi"/>
          <w:sz w:val="20"/>
          <w:szCs w:val="20"/>
          <w:lang w:val="en-US"/>
        </w:rPr>
      </w:pPr>
    </w:p>
  </w:footnote>
  <w:footnote w:id="26">
    <w:p w:rsidR="00997603" w:rsidRPr="009C1284" w:rsidRDefault="00997603" w:rsidP="00416F15">
      <w:pPr>
        <w:jc w:val="left"/>
        <w:rPr>
          <w:rFonts w:asciiTheme="majorHAnsi" w:eastAsia="Times New Roman" w:hAnsiTheme="majorHAnsi"/>
          <w:sz w:val="20"/>
          <w:szCs w:val="20"/>
          <w:lang w:val="en-US"/>
        </w:rPr>
      </w:pPr>
      <w:r w:rsidRPr="009C1284">
        <w:rPr>
          <w:rStyle w:val="FootnoteCharacters"/>
          <w:rFonts w:asciiTheme="majorHAnsi" w:hAnsiTheme="majorHAnsi"/>
          <w:sz w:val="20"/>
          <w:szCs w:val="20"/>
        </w:rPr>
        <w:footnoteRef/>
      </w:r>
      <w:r w:rsidRPr="009C1284">
        <w:rPr>
          <w:rFonts w:asciiTheme="majorHAnsi" w:hAnsiTheme="majorHAnsi"/>
          <w:sz w:val="20"/>
          <w:szCs w:val="20"/>
        </w:rPr>
        <w:t xml:space="preserve"> </w:t>
      </w:r>
      <w:r w:rsidR="00416F15">
        <w:rPr>
          <w:rFonts w:asciiTheme="majorHAnsi" w:eastAsia="Times New Roman" w:hAnsiTheme="majorHAnsi"/>
          <w:i/>
          <w:sz w:val="20"/>
          <w:szCs w:val="20"/>
          <w:lang w:val="en-US"/>
        </w:rPr>
        <w:t>Ibid.</w:t>
      </w:r>
      <w:r w:rsidRPr="009C1284">
        <w:rPr>
          <w:rFonts w:asciiTheme="majorHAnsi" w:hAnsiTheme="majorHAnsi"/>
          <w:sz w:val="20"/>
          <w:szCs w:val="20"/>
        </w:rPr>
        <w:t xml:space="preserve">, </w:t>
      </w:r>
      <w:r w:rsidRPr="009C1284">
        <w:rPr>
          <w:rFonts w:asciiTheme="majorHAnsi" w:eastAsia="Times New Roman" w:hAnsiTheme="majorHAnsi"/>
          <w:sz w:val="20"/>
          <w:szCs w:val="20"/>
          <w:lang w:val="en-US"/>
        </w:rPr>
        <w:t>p. 110, Table RH.3, and p. 113, RH.5</w:t>
      </w:r>
      <w:r w:rsidR="00416F15">
        <w:rPr>
          <w:rFonts w:asciiTheme="majorHAnsi" w:eastAsia="Times New Roman" w:hAnsiTheme="majorHAnsi"/>
          <w:sz w:val="20"/>
          <w:szCs w:val="20"/>
          <w:lang w:val="en-US"/>
        </w:rPr>
        <w:t>.</w:t>
      </w:r>
    </w:p>
    <w:p w:rsidR="00997603" w:rsidRPr="009C1284" w:rsidRDefault="00997603" w:rsidP="00416F15">
      <w:pPr>
        <w:jc w:val="left"/>
        <w:rPr>
          <w:rFonts w:asciiTheme="majorHAnsi" w:eastAsia="Times New Roman" w:hAnsiTheme="majorHAnsi"/>
          <w:sz w:val="20"/>
          <w:szCs w:val="20"/>
          <w:lang w:val="en-US"/>
        </w:rPr>
      </w:pPr>
    </w:p>
  </w:footnote>
  <w:footnote w:id="27">
    <w:p w:rsidR="00997603" w:rsidRDefault="00997603" w:rsidP="00416F15">
      <w:pPr>
        <w:jc w:val="left"/>
        <w:rPr>
          <w:rFonts w:asciiTheme="majorHAnsi" w:eastAsia="Times New Roman" w:hAnsiTheme="majorHAnsi"/>
          <w:sz w:val="20"/>
          <w:szCs w:val="20"/>
          <w:lang w:val="en-US"/>
        </w:rPr>
      </w:pPr>
      <w:r w:rsidRPr="009C1284">
        <w:rPr>
          <w:rStyle w:val="FootnoteCharacters"/>
          <w:rFonts w:asciiTheme="majorHAnsi" w:hAnsiTheme="majorHAnsi"/>
          <w:sz w:val="20"/>
          <w:szCs w:val="20"/>
        </w:rPr>
        <w:footnoteRef/>
      </w:r>
      <w:r w:rsidRPr="009C1284">
        <w:rPr>
          <w:rFonts w:asciiTheme="majorHAnsi" w:eastAsia="Times New Roman" w:hAnsiTheme="majorHAnsi"/>
          <w:sz w:val="20"/>
          <w:szCs w:val="20"/>
          <w:lang w:val="en-US"/>
        </w:rPr>
        <w:t xml:space="preserve"> </w:t>
      </w:r>
      <w:r w:rsidR="00416F15">
        <w:rPr>
          <w:rFonts w:asciiTheme="majorHAnsi" w:eastAsia="Times New Roman" w:hAnsiTheme="majorHAnsi"/>
          <w:i/>
          <w:sz w:val="20"/>
          <w:szCs w:val="20"/>
          <w:lang w:val="en-US"/>
        </w:rPr>
        <w:t>Ibid.</w:t>
      </w:r>
    </w:p>
    <w:p w:rsidR="00997603" w:rsidRPr="009C1284" w:rsidRDefault="00997603" w:rsidP="00416F15">
      <w:pPr>
        <w:jc w:val="left"/>
        <w:rPr>
          <w:rFonts w:asciiTheme="majorHAnsi" w:eastAsia="Times New Roman" w:hAnsiTheme="majorHAnsi"/>
          <w:sz w:val="20"/>
          <w:szCs w:val="20"/>
          <w:lang w:val="en-US"/>
        </w:rPr>
      </w:pPr>
    </w:p>
  </w:footnote>
  <w:footnote w:id="28">
    <w:p w:rsidR="00997603" w:rsidRPr="009C1284" w:rsidRDefault="00997603" w:rsidP="00416F15">
      <w:pPr>
        <w:jc w:val="left"/>
        <w:rPr>
          <w:rFonts w:asciiTheme="majorHAnsi" w:eastAsia="Times New Roman" w:hAnsiTheme="majorHAnsi"/>
          <w:sz w:val="20"/>
          <w:szCs w:val="20"/>
          <w:lang w:val="en-US"/>
        </w:rPr>
      </w:pPr>
      <w:r w:rsidRPr="009C1284">
        <w:rPr>
          <w:rStyle w:val="FootnoteCharacters"/>
          <w:rFonts w:asciiTheme="majorHAnsi" w:hAnsiTheme="majorHAnsi"/>
          <w:sz w:val="20"/>
          <w:szCs w:val="20"/>
        </w:rPr>
        <w:footnoteRef/>
      </w:r>
      <w:r w:rsidRPr="009C1284">
        <w:rPr>
          <w:rFonts w:asciiTheme="majorHAnsi" w:eastAsia="Times New Roman" w:hAnsiTheme="majorHAnsi"/>
          <w:sz w:val="20"/>
          <w:szCs w:val="20"/>
          <w:lang w:val="en-US"/>
        </w:rPr>
        <w:t xml:space="preserve"> </w:t>
      </w:r>
      <w:r w:rsidR="00416F15">
        <w:rPr>
          <w:rFonts w:asciiTheme="majorHAnsi" w:hAnsiTheme="majorHAnsi"/>
          <w:sz w:val="20"/>
          <w:szCs w:val="20"/>
        </w:rPr>
        <w:t>See above, note 14</w:t>
      </w:r>
      <w:r w:rsidR="00416F15" w:rsidRPr="009C1284">
        <w:rPr>
          <w:rFonts w:asciiTheme="majorHAnsi" w:eastAsia="Times New Roman" w:hAnsiTheme="majorHAnsi"/>
          <w:sz w:val="20"/>
          <w:szCs w:val="20"/>
          <w:lang w:val="en-US"/>
        </w:rPr>
        <w:t xml:space="preserve">, </w:t>
      </w:r>
      <w:r w:rsidRPr="009C1284">
        <w:rPr>
          <w:rFonts w:asciiTheme="majorHAnsi" w:eastAsia="Times New Roman" w:hAnsiTheme="majorHAnsi"/>
          <w:sz w:val="20"/>
          <w:szCs w:val="20"/>
          <w:lang w:val="en-US"/>
        </w:rPr>
        <w:t>Para 35.</w:t>
      </w:r>
    </w:p>
    <w:p w:rsidR="00997603" w:rsidRPr="009C1284" w:rsidRDefault="00997603" w:rsidP="00416F15">
      <w:pPr>
        <w:jc w:val="left"/>
        <w:rPr>
          <w:rFonts w:asciiTheme="majorHAnsi" w:eastAsia="Times New Roman" w:hAnsiTheme="majorHAnsi"/>
          <w:sz w:val="20"/>
          <w:szCs w:val="20"/>
          <w:lang w:val="en-US"/>
        </w:rPr>
      </w:pPr>
    </w:p>
  </w:footnote>
  <w:footnote w:id="29">
    <w:p w:rsidR="00997603" w:rsidRPr="00416F15" w:rsidRDefault="00997603" w:rsidP="00416F15">
      <w:pPr>
        <w:jc w:val="left"/>
        <w:rPr>
          <w:rFonts w:asciiTheme="majorHAnsi" w:hAnsiTheme="majorHAnsi"/>
          <w:i/>
          <w:sz w:val="20"/>
          <w:szCs w:val="20"/>
        </w:rPr>
      </w:pPr>
      <w:r w:rsidRPr="009C1284">
        <w:rPr>
          <w:rStyle w:val="FootnoteCharacters"/>
          <w:rFonts w:asciiTheme="majorHAnsi" w:hAnsiTheme="majorHAnsi"/>
          <w:sz w:val="20"/>
          <w:szCs w:val="20"/>
        </w:rPr>
        <w:footnoteRef/>
      </w:r>
      <w:r w:rsidRPr="009C1284">
        <w:rPr>
          <w:rFonts w:asciiTheme="majorHAnsi" w:hAnsiTheme="majorHAnsi"/>
          <w:sz w:val="20"/>
          <w:szCs w:val="20"/>
        </w:rPr>
        <w:t xml:space="preserve"> </w:t>
      </w:r>
      <w:r w:rsidR="00416F15">
        <w:rPr>
          <w:rFonts w:asciiTheme="majorHAnsi" w:hAnsiTheme="majorHAnsi"/>
          <w:i/>
          <w:sz w:val="20"/>
          <w:szCs w:val="20"/>
        </w:rPr>
        <w:t>Ibid.</w:t>
      </w:r>
    </w:p>
    <w:p w:rsidR="00997603" w:rsidRPr="009C1284" w:rsidRDefault="00997603" w:rsidP="00416F15">
      <w:pPr>
        <w:jc w:val="left"/>
        <w:rPr>
          <w:rFonts w:asciiTheme="majorHAnsi" w:eastAsia="Times New Roman" w:hAnsiTheme="majorHAnsi"/>
          <w:sz w:val="20"/>
          <w:szCs w:val="20"/>
          <w:lang w:val="en-US"/>
        </w:rPr>
      </w:pPr>
    </w:p>
  </w:footnote>
  <w:footnote w:id="30">
    <w:p w:rsidR="00997603" w:rsidRDefault="00997603" w:rsidP="00416F15">
      <w:pPr>
        <w:jc w:val="left"/>
        <w:rPr>
          <w:rFonts w:asciiTheme="majorHAnsi" w:hAnsiTheme="majorHAnsi"/>
          <w:sz w:val="20"/>
          <w:szCs w:val="20"/>
        </w:rPr>
      </w:pPr>
      <w:r w:rsidRPr="009C1284">
        <w:rPr>
          <w:rStyle w:val="FootnoteCharacters"/>
          <w:rFonts w:asciiTheme="majorHAnsi" w:hAnsiTheme="majorHAnsi"/>
          <w:sz w:val="20"/>
          <w:szCs w:val="20"/>
        </w:rPr>
        <w:footnoteRef/>
      </w:r>
      <w:r w:rsidRPr="009C1284">
        <w:rPr>
          <w:rFonts w:asciiTheme="majorHAnsi" w:eastAsia="Times New Roman" w:hAnsiTheme="majorHAnsi"/>
          <w:sz w:val="20"/>
          <w:szCs w:val="20"/>
          <w:lang w:val="en-US"/>
        </w:rPr>
        <w:t xml:space="preserve"> </w:t>
      </w:r>
      <w:r w:rsidR="00416F15">
        <w:rPr>
          <w:rFonts w:asciiTheme="majorHAnsi" w:hAnsiTheme="majorHAnsi"/>
          <w:sz w:val="20"/>
          <w:szCs w:val="20"/>
        </w:rPr>
        <w:t>Equal Rights Trust,</w:t>
      </w:r>
      <w:r w:rsidR="00416F15" w:rsidRPr="009C1284">
        <w:rPr>
          <w:rFonts w:asciiTheme="majorHAnsi" w:hAnsiTheme="majorHAnsi"/>
          <w:sz w:val="20"/>
          <w:szCs w:val="20"/>
        </w:rPr>
        <w:t xml:space="preserve"> </w:t>
      </w:r>
      <w:r w:rsidRPr="009C1284">
        <w:rPr>
          <w:rFonts w:asciiTheme="majorHAnsi" w:hAnsiTheme="majorHAnsi"/>
          <w:sz w:val="20"/>
          <w:szCs w:val="20"/>
        </w:rPr>
        <w:t>Focus Groups with 36 y</w:t>
      </w:r>
      <w:r w:rsidRPr="009C1284">
        <w:rPr>
          <w:rFonts w:asciiTheme="majorHAnsi" w:eastAsia="Times New Roman" w:hAnsiTheme="majorHAnsi"/>
          <w:sz w:val="20"/>
          <w:szCs w:val="20"/>
          <w:lang w:val="en-US"/>
        </w:rPr>
        <w:t xml:space="preserve">oung people </w:t>
      </w:r>
      <w:r w:rsidRPr="009C1284">
        <w:rPr>
          <w:rFonts w:asciiTheme="majorHAnsi" w:hAnsiTheme="majorHAnsi"/>
          <w:sz w:val="20"/>
          <w:szCs w:val="20"/>
        </w:rPr>
        <w:t>in Alexander Village, West Ruimveldt, and Kitty, Guyana, September 2011.</w:t>
      </w:r>
    </w:p>
    <w:p w:rsidR="008F6FAF" w:rsidRPr="009C1284" w:rsidRDefault="008F6FAF" w:rsidP="00416F15">
      <w:pPr>
        <w:jc w:val="left"/>
        <w:rPr>
          <w:rFonts w:asciiTheme="majorHAnsi" w:hAnsiTheme="majorHAnsi"/>
          <w:sz w:val="20"/>
          <w:szCs w:val="20"/>
        </w:rPr>
      </w:pPr>
    </w:p>
  </w:footnote>
  <w:footnote w:id="31">
    <w:p w:rsidR="008F6FAF" w:rsidRPr="009C1284" w:rsidRDefault="008F6FAF" w:rsidP="008F6FAF">
      <w:pPr>
        <w:jc w:val="left"/>
        <w:rPr>
          <w:rFonts w:asciiTheme="majorHAnsi" w:hAnsiTheme="majorHAnsi"/>
          <w:sz w:val="20"/>
          <w:szCs w:val="20"/>
        </w:rPr>
      </w:pPr>
      <w:r w:rsidRPr="008F6FAF">
        <w:rPr>
          <w:rFonts w:asciiTheme="majorHAnsi" w:hAnsiTheme="majorHAnsi"/>
          <w:sz w:val="20"/>
          <w:szCs w:val="20"/>
          <w:vertAlign w:val="superscript"/>
        </w:rPr>
        <w:footnoteRef/>
      </w:r>
      <w:r w:rsidRPr="009C1284">
        <w:rPr>
          <w:rFonts w:asciiTheme="majorHAnsi" w:hAnsiTheme="majorHAnsi"/>
          <w:sz w:val="20"/>
          <w:szCs w:val="20"/>
        </w:rPr>
        <w:t xml:space="preserve"> </w:t>
      </w:r>
      <w:r w:rsidRPr="009C1284">
        <w:rPr>
          <w:rFonts w:asciiTheme="majorHAnsi" w:hAnsiTheme="majorHAnsi"/>
          <w:bCs/>
          <w:sz w:val="20"/>
          <w:szCs w:val="20"/>
          <w:lang w:val="en-US"/>
        </w:rPr>
        <w:t xml:space="preserve">Guyana Bureau of Statistics, </w:t>
      </w:r>
      <w:r w:rsidRPr="009C1284">
        <w:rPr>
          <w:rFonts w:asciiTheme="majorHAnsi" w:hAnsiTheme="majorHAnsi"/>
          <w:bCs/>
          <w:i/>
          <w:sz w:val="20"/>
          <w:szCs w:val="20"/>
          <w:lang w:val="en-US"/>
        </w:rPr>
        <w:t>Population and Housing Census 2002 National Census Report</w:t>
      </w:r>
      <w:r w:rsidRPr="009C1284">
        <w:rPr>
          <w:rFonts w:asciiTheme="majorHAnsi" w:hAnsiTheme="majorHAnsi"/>
          <w:bCs/>
          <w:sz w:val="20"/>
          <w:szCs w:val="20"/>
          <w:lang w:val="en-US"/>
        </w:rPr>
        <w:t>, 2002, Chapter</w:t>
      </w:r>
      <w:r w:rsidRPr="009C1284">
        <w:rPr>
          <w:rFonts w:asciiTheme="majorHAnsi" w:eastAsia="Times New Roman" w:hAnsiTheme="majorHAnsi"/>
          <w:sz w:val="20"/>
          <w:szCs w:val="20"/>
          <w:lang w:val="en-US"/>
        </w:rPr>
        <w:t xml:space="preserve"> 3 - Population Redistribution and Internal Migration, p. 51, Table 3.2, available at: </w:t>
      </w:r>
      <w:hyperlink r:id="rId1" w:history="1"/>
      <w:r w:rsidRPr="009C1284">
        <w:rPr>
          <w:rFonts w:asciiTheme="majorHAnsi" w:eastAsia="Times New Roman" w:hAnsiTheme="majorHAnsi"/>
          <w:sz w:val="20"/>
          <w:szCs w:val="20"/>
          <w:lang w:val="en-US"/>
        </w:rPr>
        <w:t xml:space="preserve"> </w:t>
      </w:r>
      <w:r w:rsidRPr="009C1284">
        <w:rPr>
          <w:rFonts w:asciiTheme="majorHAnsi" w:hAnsiTheme="majorHAnsi"/>
          <w:sz w:val="20"/>
          <w:szCs w:val="20"/>
        </w:rPr>
        <w:t>http://www.statisticsguyana.gov.gy/pubs/Chapter3_Population_Redistribution_Internal_Migration.pdf.</w:t>
      </w:r>
    </w:p>
    <w:p w:rsidR="008F6FAF" w:rsidRPr="009C1284" w:rsidRDefault="008F6FAF" w:rsidP="008F6FAF">
      <w:pPr>
        <w:jc w:val="left"/>
        <w:rPr>
          <w:rFonts w:asciiTheme="majorHAnsi" w:hAnsiTheme="majorHAnsi"/>
          <w:sz w:val="20"/>
          <w:szCs w:val="20"/>
        </w:rPr>
      </w:pPr>
    </w:p>
  </w:footnote>
  <w:footnote w:id="32">
    <w:p w:rsidR="008F6FAF" w:rsidRPr="009C1284" w:rsidRDefault="008F6FAF" w:rsidP="008F6FAF">
      <w:pPr>
        <w:jc w:val="left"/>
        <w:rPr>
          <w:rFonts w:asciiTheme="majorHAnsi" w:eastAsia="Times New Roman" w:hAnsiTheme="majorHAnsi"/>
          <w:sz w:val="20"/>
          <w:szCs w:val="20"/>
          <w:lang w:val="en-US"/>
        </w:rPr>
      </w:pPr>
      <w:r w:rsidRPr="008F6FAF">
        <w:rPr>
          <w:rFonts w:asciiTheme="majorHAnsi" w:hAnsiTheme="majorHAnsi"/>
          <w:sz w:val="20"/>
          <w:szCs w:val="20"/>
          <w:vertAlign w:val="superscript"/>
        </w:rPr>
        <w:footnoteRef/>
      </w:r>
      <w:r w:rsidRPr="009C1284">
        <w:rPr>
          <w:rFonts w:asciiTheme="majorHAnsi" w:hAnsiTheme="majorHAnsi"/>
          <w:sz w:val="20"/>
          <w:szCs w:val="20"/>
        </w:rPr>
        <w:t xml:space="preserve"> </w:t>
      </w:r>
      <w:r w:rsidRPr="009C1284">
        <w:rPr>
          <w:rFonts w:asciiTheme="majorHAnsi" w:hAnsiTheme="majorHAnsi"/>
          <w:bCs/>
          <w:sz w:val="20"/>
          <w:szCs w:val="20"/>
          <w:lang w:val="en-US"/>
        </w:rPr>
        <w:t xml:space="preserve">Guyana Bureau of Statistics, </w:t>
      </w:r>
      <w:r w:rsidRPr="009C1284">
        <w:rPr>
          <w:rFonts w:asciiTheme="majorHAnsi" w:hAnsiTheme="majorHAnsi"/>
          <w:bCs/>
          <w:i/>
          <w:sz w:val="20"/>
          <w:szCs w:val="20"/>
          <w:lang w:val="en-US"/>
        </w:rPr>
        <w:t>Population and Housing Census 2002 National Census Report</w:t>
      </w:r>
      <w:r w:rsidRPr="009C1284">
        <w:rPr>
          <w:rFonts w:asciiTheme="majorHAnsi" w:hAnsiTheme="majorHAnsi"/>
          <w:bCs/>
          <w:sz w:val="20"/>
          <w:szCs w:val="20"/>
          <w:lang w:val="en-US"/>
        </w:rPr>
        <w:t>, 2002, Chapter</w:t>
      </w:r>
      <w:r w:rsidRPr="009C1284">
        <w:rPr>
          <w:rFonts w:asciiTheme="majorHAnsi" w:eastAsia="Times New Roman" w:hAnsiTheme="majorHAnsi"/>
          <w:sz w:val="20"/>
          <w:szCs w:val="20"/>
          <w:lang w:val="en-US"/>
        </w:rPr>
        <w:t xml:space="preserve"> 2 – Population Composition, p. 31 Table 2.3, available at: </w:t>
      </w:r>
      <w:r w:rsidRPr="009C1284">
        <w:rPr>
          <w:rFonts w:asciiTheme="majorHAnsi" w:hAnsiTheme="majorHAnsi"/>
          <w:sz w:val="20"/>
          <w:szCs w:val="20"/>
        </w:rPr>
        <w:t>http://www.statisticsguyana.gov.gy/pubs/Chapter2_Population_Composition.pdf</w:t>
      </w:r>
      <w:r w:rsidRPr="009C1284">
        <w:rPr>
          <w:rFonts w:asciiTheme="majorHAnsi" w:eastAsia="Times New Roman" w:hAnsiTheme="majorHAnsi"/>
          <w:sz w:val="20"/>
          <w:szCs w:val="20"/>
          <w:lang w:val="en-US"/>
        </w:rPr>
        <w:t>.</w:t>
      </w:r>
    </w:p>
  </w:footnote>
  <w:footnote w:id="33">
    <w:p w:rsidR="008F6FAF" w:rsidRPr="009C1284" w:rsidRDefault="008F6FAF" w:rsidP="008F6FAF">
      <w:pPr>
        <w:jc w:val="left"/>
        <w:rPr>
          <w:rFonts w:asciiTheme="majorHAnsi" w:eastAsia="Times New Roman" w:hAnsiTheme="majorHAnsi"/>
          <w:sz w:val="20"/>
          <w:szCs w:val="20"/>
          <w:lang w:val="en-US"/>
        </w:rPr>
      </w:pPr>
      <w:r w:rsidRPr="009C1284">
        <w:rPr>
          <w:rFonts w:asciiTheme="majorHAnsi" w:hAnsiTheme="majorHAnsi"/>
          <w:sz w:val="20"/>
          <w:szCs w:val="20"/>
        </w:rPr>
        <w:footnoteRef/>
      </w:r>
      <w:r w:rsidRPr="009C1284">
        <w:rPr>
          <w:rFonts w:asciiTheme="majorHAnsi" w:hAnsiTheme="majorHAnsi"/>
          <w:sz w:val="20"/>
          <w:szCs w:val="20"/>
        </w:rPr>
        <w:t xml:space="preserve"> </w:t>
      </w:r>
      <w:r w:rsidRPr="009C1284">
        <w:rPr>
          <w:rFonts w:asciiTheme="majorHAnsi" w:eastAsia="Times New Roman" w:hAnsiTheme="majorHAnsi"/>
          <w:sz w:val="20"/>
          <w:szCs w:val="20"/>
          <w:lang w:val="en-US"/>
        </w:rPr>
        <w:t xml:space="preserve">Ethnic Relations Commission, </w:t>
      </w:r>
      <w:r w:rsidRPr="009C1284">
        <w:rPr>
          <w:rFonts w:asciiTheme="majorHAnsi" w:eastAsia="Times New Roman" w:hAnsiTheme="majorHAnsi"/>
          <w:i/>
          <w:sz w:val="20"/>
          <w:szCs w:val="20"/>
          <w:lang w:val="en-US"/>
        </w:rPr>
        <w:t>An Investigation and Review of Employment Practices in the Public and Private Sectors in Region Four</w:t>
      </w:r>
      <w:r w:rsidRPr="009C1284">
        <w:rPr>
          <w:rFonts w:asciiTheme="majorHAnsi" w:eastAsia="Times New Roman" w:hAnsiTheme="majorHAnsi"/>
          <w:sz w:val="20"/>
          <w:szCs w:val="20"/>
          <w:lang w:val="en-US"/>
        </w:rPr>
        <w:t xml:space="preserve">, 2007, p. 73, Table 4.1D, available at: </w:t>
      </w:r>
      <w:r w:rsidRPr="009C1284">
        <w:rPr>
          <w:rFonts w:asciiTheme="majorHAnsi" w:hAnsiTheme="majorHAnsi"/>
          <w:sz w:val="20"/>
          <w:szCs w:val="20"/>
        </w:rPr>
        <w:t>http://www.ethnicrelations.org.gy/publications/reports/employment-practices.pdf</w:t>
      </w:r>
      <w:r w:rsidRPr="009C1284">
        <w:rPr>
          <w:rFonts w:asciiTheme="majorHAnsi" w:eastAsia="Times New Roman" w:hAnsiTheme="majorHAnsi"/>
          <w:sz w:val="20"/>
          <w:szCs w:val="20"/>
          <w:lang w:val="en-US"/>
        </w:rPr>
        <w:t>.</w:t>
      </w:r>
    </w:p>
    <w:p w:rsidR="008F6FAF" w:rsidRPr="009C1284" w:rsidRDefault="008F6FAF" w:rsidP="008F6FAF">
      <w:pPr>
        <w:jc w:val="left"/>
        <w:rPr>
          <w:rFonts w:asciiTheme="majorHAnsi" w:eastAsia="Times New Roman" w:hAnsiTheme="majorHAnsi"/>
          <w:sz w:val="20"/>
          <w:szCs w:val="20"/>
          <w:lang w:val="en-US"/>
        </w:rPr>
      </w:pPr>
    </w:p>
  </w:footnote>
  <w:footnote w:id="34">
    <w:p w:rsidR="008F6FAF" w:rsidRPr="009C1284" w:rsidRDefault="008F6FAF" w:rsidP="008F6FAF">
      <w:pPr>
        <w:jc w:val="left"/>
        <w:rPr>
          <w:rFonts w:asciiTheme="majorHAnsi" w:eastAsia="Times New Roman" w:hAnsiTheme="majorHAnsi"/>
          <w:sz w:val="20"/>
          <w:szCs w:val="20"/>
          <w:lang w:val="en-US"/>
        </w:rPr>
      </w:pPr>
      <w:r w:rsidRPr="009C1284">
        <w:rPr>
          <w:rFonts w:asciiTheme="majorHAnsi" w:hAnsiTheme="majorHAnsi"/>
          <w:sz w:val="20"/>
          <w:szCs w:val="20"/>
        </w:rPr>
        <w:footnoteRef/>
      </w:r>
      <w:r w:rsidRPr="009C1284">
        <w:rPr>
          <w:rFonts w:asciiTheme="majorHAnsi" w:hAnsiTheme="majorHAnsi"/>
          <w:sz w:val="20"/>
          <w:szCs w:val="20"/>
        </w:rPr>
        <w:t xml:space="preserve"> </w:t>
      </w:r>
      <w:r w:rsidR="00825BF9">
        <w:rPr>
          <w:rFonts w:asciiTheme="majorHAnsi" w:eastAsia="Times New Roman" w:hAnsiTheme="majorHAnsi"/>
          <w:i/>
          <w:sz w:val="20"/>
          <w:szCs w:val="20"/>
          <w:lang w:val="en-US"/>
        </w:rPr>
        <w:t>Ibid.</w:t>
      </w:r>
      <w:r w:rsidRPr="009C1284">
        <w:rPr>
          <w:rFonts w:asciiTheme="majorHAnsi" w:eastAsia="Times New Roman" w:hAnsiTheme="majorHAnsi"/>
          <w:sz w:val="20"/>
          <w:szCs w:val="20"/>
          <w:lang w:val="en-US"/>
        </w:rPr>
        <w:t>, p. 74.</w:t>
      </w:r>
    </w:p>
    <w:p w:rsidR="008F6FAF" w:rsidRPr="009C1284" w:rsidRDefault="008F6FAF" w:rsidP="008F6FAF">
      <w:pPr>
        <w:jc w:val="left"/>
        <w:rPr>
          <w:rFonts w:asciiTheme="majorHAnsi" w:eastAsia="Times New Roman" w:hAnsiTheme="majorHAnsi"/>
          <w:sz w:val="20"/>
          <w:szCs w:val="20"/>
          <w:lang w:val="en-US"/>
        </w:rPr>
      </w:pPr>
    </w:p>
  </w:footnote>
  <w:footnote w:id="35">
    <w:p w:rsidR="008F6FAF" w:rsidRPr="009C1284" w:rsidRDefault="008F6FAF" w:rsidP="008F6FAF">
      <w:pPr>
        <w:jc w:val="left"/>
        <w:rPr>
          <w:rFonts w:asciiTheme="majorHAnsi" w:eastAsia="Times New Roman" w:hAnsiTheme="majorHAnsi"/>
          <w:sz w:val="20"/>
          <w:szCs w:val="20"/>
          <w:lang w:val="en-US"/>
        </w:rPr>
      </w:pPr>
      <w:r w:rsidRPr="009C1284">
        <w:rPr>
          <w:rFonts w:asciiTheme="majorHAnsi" w:hAnsiTheme="majorHAnsi"/>
          <w:sz w:val="20"/>
          <w:szCs w:val="20"/>
        </w:rPr>
        <w:footnoteRef/>
      </w:r>
      <w:r w:rsidRPr="009C1284">
        <w:rPr>
          <w:rFonts w:asciiTheme="majorHAnsi" w:eastAsia="Times New Roman" w:hAnsiTheme="majorHAnsi"/>
          <w:sz w:val="20"/>
          <w:szCs w:val="20"/>
          <w:lang w:val="en-US"/>
        </w:rPr>
        <w:t xml:space="preserve"> </w:t>
      </w:r>
      <w:r w:rsidR="00825BF9">
        <w:rPr>
          <w:rFonts w:asciiTheme="majorHAnsi" w:eastAsia="Times New Roman" w:hAnsiTheme="majorHAnsi"/>
          <w:i/>
          <w:sz w:val="20"/>
          <w:szCs w:val="20"/>
          <w:lang w:val="en-US"/>
        </w:rPr>
        <w:t xml:space="preserve">Ibid., </w:t>
      </w:r>
      <w:r w:rsidR="00825BF9" w:rsidRPr="009C1284">
        <w:rPr>
          <w:rFonts w:asciiTheme="majorHAnsi" w:eastAsia="Times New Roman" w:hAnsiTheme="majorHAnsi"/>
          <w:sz w:val="20"/>
          <w:szCs w:val="20"/>
          <w:lang w:val="en-US"/>
        </w:rPr>
        <w:t>p. 73, Table 4.1D</w:t>
      </w:r>
      <w:r w:rsidR="00825BF9">
        <w:rPr>
          <w:rFonts w:asciiTheme="majorHAnsi" w:eastAsia="Times New Roman" w:hAnsiTheme="majorHAnsi"/>
          <w:sz w:val="20"/>
          <w:szCs w:val="20"/>
          <w:lang w:val="en-US"/>
        </w:rPr>
        <w:t>.</w:t>
      </w:r>
    </w:p>
    <w:p w:rsidR="008F6FAF" w:rsidRPr="009C1284" w:rsidRDefault="008F6FAF" w:rsidP="008F6FAF">
      <w:pPr>
        <w:jc w:val="left"/>
        <w:rPr>
          <w:rFonts w:asciiTheme="majorHAnsi" w:eastAsia="Times New Roman" w:hAnsiTheme="majorHAnsi"/>
          <w:sz w:val="20"/>
          <w:szCs w:val="20"/>
          <w:lang w:val="en-US"/>
        </w:rPr>
      </w:pPr>
    </w:p>
  </w:footnote>
  <w:footnote w:id="36">
    <w:p w:rsidR="008F6FAF" w:rsidRPr="009C1284" w:rsidRDefault="008F6FAF" w:rsidP="008F6FAF">
      <w:pPr>
        <w:pStyle w:val="FootnoteText"/>
        <w:rPr>
          <w:lang w:val="en-US"/>
        </w:rPr>
      </w:pPr>
      <w:r w:rsidRPr="009C1284">
        <w:footnoteRef/>
      </w:r>
      <w:r w:rsidRPr="009C1284">
        <w:t xml:space="preserve"> </w:t>
      </w:r>
      <w:r w:rsidR="00825BF9">
        <w:rPr>
          <w:i/>
          <w:lang w:val="en-US"/>
        </w:rPr>
        <w:t>Ibid.</w:t>
      </w:r>
      <w:r w:rsidRPr="009C1284">
        <w:rPr>
          <w:lang w:val="en-US"/>
        </w:rPr>
        <w:t>, p.79.</w:t>
      </w:r>
    </w:p>
    <w:p w:rsidR="008F6FAF" w:rsidRPr="009C1284" w:rsidRDefault="008F6FAF" w:rsidP="008F6FAF">
      <w:pPr>
        <w:pStyle w:val="FootnoteText"/>
        <w:rPr>
          <w:lang w:val="en-US"/>
        </w:rPr>
      </w:pPr>
    </w:p>
  </w:footnote>
  <w:footnote w:id="37">
    <w:p w:rsidR="008F6FAF" w:rsidRPr="009C1284" w:rsidRDefault="008F6FAF" w:rsidP="008F6FAF">
      <w:pPr>
        <w:jc w:val="left"/>
        <w:rPr>
          <w:rFonts w:asciiTheme="majorHAnsi" w:eastAsia="Times New Roman" w:hAnsiTheme="majorHAnsi"/>
          <w:sz w:val="20"/>
          <w:szCs w:val="20"/>
          <w:lang w:val="en-US"/>
        </w:rPr>
      </w:pPr>
      <w:r w:rsidRPr="009C1284">
        <w:rPr>
          <w:rFonts w:asciiTheme="majorHAnsi" w:hAnsiTheme="majorHAnsi"/>
          <w:sz w:val="20"/>
          <w:szCs w:val="20"/>
        </w:rPr>
        <w:footnoteRef/>
      </w:r>
      <w:r w:rsidRPr="009C1284">
        <w:rPr>
          <w:rFonts w:asciiTheme="majorHAnsi" w:hAnsiTheme="majorHAnsi"/>
          <w:sz w:val="20"/>
          <w:szCs w:val="20"/>
        </w:rPr>
        <w:t xml:space="preserve"> </w:t>
      </w:r>
      <w:r w:rsidR="00825BF9">
        <w:rPr>
          <w:rFonts w:asciiTheme="majorHAnsi" w:eastAsia="Times New Roman" w:hAnsiTheme="majorHAnsi"/>
          <w:i/>
          <w:sz w:val="20"/>
          <w:szCs w:val="20"/>
          <w:lang w:val="en-US"/>
        </w:rPr>
        <w:t>Ibid.</w:t>
      </w:r>
      <w:r w:rsidRPr="009C1284">
        <w:rPr>
          <w:rFonts w:asciiTheme="majorHAnsi" w:eastAsia="Times New Roman" w:hAnsiTheme="majorHAnsi"/>
          <w:sz w:val="20"/>
          <w:szCs w:val="20"/>
          <w:lang w:val="en-US"/>
        </w:rPr>
        <w:t>, p. 81, Table 4.3.</w:t>
      </w:r>
    </w:p>
    <w:p w:rsidR="008F6FAF" w:rsidRPr="009C1284" w:rsidRDefault="008F6FAF" w:rsidP="008F6FAF">
      <w:pPr>
        <w:jc w:val="left"/>
        <w:rPr>
          <w:rFonts w:asciiTheme="majorHAnsi" w:eastAsia="Times New Roman" w:hAnsiTheme="majorHAnsi"/>
          <w:sz w:val="20"/>
          <w:szCs w:val="20"/>
          <w:lang w:val="en-US"/>
        </w:rPr>
      </w:pPr>
    </w:p>
  </w:footnote>
  <w:footnote w:id="38">
    <w:p w:rsidR="00221162" w:rsidRDefault="00221162" w:rsidP="00416F15">
      <w:pPr>
        <w:jc w:val="left"/>
        <w:rPr>
          <w:rFonts w:asciiTheme="majorHAnsi" w:eastAsia="Times New Roman" w:hAnsiTheme="majorHAnsi"/>
          <w:sz w:val="20"/>
          <w:szCs w:val="20"/>
          <w:lang w:val="en-US"/>
        </w:rPr>
      </w:pPr>
    </w:p>
    <w:p w:rsidR="00997603" w:rsidRDefault="00997603" w:rsidP="00416F15">
      <w:pPr>
        <w:jc w:val="left"/>
        <w:rPr>
          <w:rFonts w:asciiTheme="majorHAnsi" w:eastAsia="Times New Roman" w:hAnsiTheme="majorHAnsi"/>
          <w:sz w:val="20"/>
          <w:szCs w:val="20"/>
        </w:rPr>
      </w:pPr>
      <w:r w:rsidRPr="009C1284">
        <w:rPr>
          <w:rStyle w:val="FootnoteCharacters"/>
          <w:rFonts w:asciiTheme="majorHAnsi" w:hAnsiTheme="majorHAnsi"/>
          <w:sz w:val="20"/>
          <w:szCs w:val="20"/>
        </w:rPr>
        <w:footnoteRef/>
      </w:r>
      <w:r w:rsidRPr="009C1284">
        <w:rPr>
          <w:rFonts w:asciiTheme="majorHAnsi" w:eastAsia="Times New Roman" w:hAnsiTheme="majorHAnsi"/>
          <w:sz w:val="20"/>
          <w:szCs w:val="20"/>
          <w:lang w:val="en-US"/>
        </w:rPr>
        <w:t xml:space="preserve"> </w:t>
      </w:r>
      <w:r w:rsidR="00416F15">
        <w:rPr>
          <w:rFonts w:asciiTheme="majorHAnsi" w:hAnsiTheme="majorHAnsi"/>
          <w:bCs/>
          <w:sz w:val="20"/>
          <w:szCs w:val="20"/>
          <w:lang w:val="en-US"/>
        </w:rPr>
        <w:t>See above, note 12</w:t>
      </w:r>
      <w:r w:rsidRPr="009C1284">
        <w:rPr>
          <w:rFonts w:asciiTheme="majorHAnsi" w:eastAsia="Times New Roman" w:hAnsiTheme="majorHAnsi"/>
          <w:sz w:val="20"/>
          <w:szCs w:val="20"/>
          <w:lang w:val="en-US"/>
        </w:rPr>
        <w:t>, p. 92, Table 6.1</w:t>
      </w:r>
      <w:r w:rsidRPr="009C1284">
        <w:rPr>
          <w:rFonts w:asciiTheme="majorHAnsi" w:eastAsia="Times New Roman" w:hAnsiTheme="majorHAnsi"/>
          <w:sz w:val="20"/>
          <w:szCs w:val="20"/>
        </w:rPr>
        <w:t>.</w:t>
      </w:r>
    </w:p>
    <w:p w:rsidR="00997603" w:rsidRPr="009C1284" w:rsidRDefault="00997603" w:rsidP="00416F15">
      <w:pPr>
        <w:jc w:val="left"/>
        <w:rPr>
          <w:rFonts w:asciiTheme="majorHAnsi" w:eastAsia="Times New Roman" w:hAnsiTheme="majorHAnsi"/>
          <w:sz w:val="20"/>
          <w:szCs w:val="20"/>
        </w:rPr>
      </w:pPr>
    </w:p>
  </w:footnote>
  <w:footnote w:id="39">
    <w:p w:rsidR="00997603" w:rsidRPr="009C1284" w:rsidRDefault="00997603" w:rsidP="00416F15">
      <w:pPr>
        <w:jc w:val="left"/>
        <w:rPr>
          <w:rFonts w:asciiTheme="majorHAnsi" w:eastAsia="Times New Roman" w:hAnsiTheme="majorHAnsi"/>
          <w:sz w:val="20"/>
          <w:szCs w:val="20"/>
          <w:lang w:val="en-US"/>
        </w:rPr>
      </w:pPr>
      <w:r w:rsidRPr="009C1284">
        <w:rPr>
          <w:rStyle w:val="FootnoteCharacters"/>
          <w:rFonts w:asciiTheme="majorHAnsi" w:hAnsiTheme="majorHAnsi"/>
          <w:sz w:val="20"/>
          <w:szCs w:val="20"/>
        </w:rPr>
        <w:footnoteRef/>
      </w:r>
      <w:r w:rsidRPr="009C1284">
        <w:rPr>
          <w:rFonts w:asciiTheme="majorHAnsi" w:eastAsia="Times New Roman" w:hAnsiTheme="majorHAnsi"/>
          <w:sz w:val="20"/>
          <w:szCs w:val="20"/>
          <w:lang w:val="en-US"/>
        </w:rPr>
        <w:t xml:space="preserve"> </w:t>
      </w:r>
      <w:r w:rsidRPr="009C1284">
        <w:rPr>
          <w:rFonts w:asciiTheme="majorHAnsi" w:hAnsiTheme="majorHAnsi"/>
          <w:bCs/>
          <w:sz w:val="20"/>
          <w:szCs w:val="20"/>
          <w:lang w:val="en-US"/>
        </w:rPr>
        <w:t xml:space="preserve">Guyana Bureau of Statistics, </w:t>
      </w:r>
      <w:r w:rsidRPr="009C1284">
        <w:rPr>
          <w:rFonts w:asciiTheme="majorHAnsi" w:hAnsiTheme="majorHAnsi"/>
          <w:bCs/>
          <w:i/>
          <w:sz w:val="20"/>
          <w:szCs w:val="20"/>
          <w:lang w:val="en-US"/>
        </w:rPr>
        <w:t xml:space="preserve">Population and Housing </w:t>
      </w:r>
      <w:r>
        <w:rPr>
          <w:rFonts w:asciiTheme="majorHAnsi" w:hAnsiTheme="majorHAnsi"/>
          <w:bCs/>
          <w:i/>
          <w:sz w:val="20"/>
          <w:szCs w:val="20"/>
          <w:lang w:val="en-US"/>
        </w:rPr>
        <w:t>Census</w:t>
      </w:r>
      <w:r w:rsidRPr="009C1284">
        <w:rPr>
          <w:rFonts w:asciiTheme="majorHAnsi" w:hAnsiTheme="majorHAnsi"/>
          <w:bCs/>
          <w:i/>
          <w:sz w:val="20"/>
          <w:szCs w:val="20"/>
          <w:lang w:val="en-US"/>
        </w:rPr>
        <w:t xml:space="preserve"> 2002 National </w:t>
      </w:r>
      <w:r>
        <w:rPr>
          <w:rFonts w:asciiTheme="majorHAnsi" w:hAnsiTheme="majorHAnsi"/>
          <w:bCs/>
          <w:i/>
          <w:sz w:val="20"/>
          <w:szCs w:val="20"/>
          <w:lang w:val="en-US"/>
        </w:rPr>
        <w:t>Census</w:t>
      </w:r>
      <w:r w:rsidRPr="009C1284">
        <w:rPr>
          <w:rFonts w:asciiTheme="majorHAnsi" w:hAnsiTheme="majorHAnsi"/>
          <w:bCs/>
          <w:i/>
          <w:sz w:val="20"/>
          <w:szCs w:val="20"/>
          <w:lang w:val="en-US"/>
        </w:rPr>
        <w:t xml:space="preserve"> Report</w:t>
      </w:r>
      <w:r w:rsidRPr="009C1284">
        <w:rPr>
          <w:rFonts w:asciiTheme="majorHAnsi" w:hAnsiTheme="majorHAnsi"/>
          <w:bCs/>
          <w:sz w:val="20"/>
          <w:szCs w:val="20"/>
          <w:lang w:val="en-US"/>
        </w:rPr>
        <w:t>, 2002, Chapter</w:t>
      </w:r>
      <w:r w:rsidRPr="009C1284">
        <w:rPr>
          <w:rFonts w:asciiTheme="majorHAnsi" w:eastAsia="Times New Roman" w:hAnsiTheme="majorHAnsi"/>
          <w:sz w:val="20"/>
          <w:szCs w:val="20"/>
          <w:lang w:val="en-US"/>
        </w:rPr>
        <w:t xml:space="preserve"> 11 – Gender Development Issues, p. 184, Table 11.3, available at: </w:t>
      </w:r>
      <w:r w:rsidRPr="009C1284">
        <w:rPr>
          <w:rFonts w:asciiTheme="majorHAnsi" w:hAnsiTheme="majorHAnsi"/>
          <w:sz w:val="20"/>
          <w:szCs w:val="20"/>
        </w:rPr>
        <w:t>http://www.statisticsguyana.gov.gy/pubs/Chapter11_Gender_Development_Issues.pdf</w:t>
      </w:r>
      <w:r w:rsidRPr="009C1284">
        <w:rPr>
          <w:rFonts w:asciiTheme="majorHAnsi" w:eastAsia="Times New Roman" w:hAnsiTheme="majorHAnsi"/>
          <w:sz w:val="20"/>
          <w:szCs w:val="20"/>
          <w:lang w:val="en-US"/>
        </w:rPr>
        <w:t>.</w:t>
      </w:r>
    </w:p>
    <w:p w:rsidR="00997603" w:rsidRPr="009C1284" w:rsidRDefault="00997603" w:rsidP="00416F15">
      <w:pPr>
        <w:jc w:val="left"/>
        <w:rPr>
          <w:rFonts w:asciiTheme="majorHAnsi" w:eastAsia="Times New Roman" w:hAnsiTheme="majorHAnsi"/>
          <w:sz w:val="20"/>
          <w:szCs w:val="20"/>
          <w:lang w:val="en-US"/>
        </w:rPr>
      </w:pPr>
    </w:p>
  </w:footnote>
  <w:footnote w:id="40">
    <w:p w:rsidR="00997603" w:rsidRPr="009C1284" w:rsidRDefault="00997603" w:rsidP="00416F15">
      <w:pPr>
        <w:jc w:val="left"/>
        <w:rPr>
          <w:rFonts w:asciiTheme="majorHAnsi" w:eastAsia="Times New Roman" w:hAnsiTheme="majorHAnsi"/>
          <w:sz w:val="20"/>
          <w:szCs w:val="20"/>
        </w:rPr>
      </w:pPr>
      <w:r w:rsidRPr="009C1284">
        <w:rPr>
          <w:rStyle w:val="FootnoteCharacters"/>
          <w:rFonts w:asciiTheme="majorHAnsi" w:hAnsiTheme="majorHAnsi"/>
          <w:sz w:val="20"/>
          <w:szCs w:val="20"/>
        </w:rPr>
        <w:footnoteRef/>
      </w:r>
      <w:r w:rsidRPr="009C1284">
        <w:rPr>
          <w:rFonts w:asciiTheme="majorHAnsi" w:eastAsia="Times New Roman" w:hAnsiTheme="majorHAnsi"/>
          <w:sz w:val="20"/>
          <w:szCs w:val="20"/>
          <w:lang w:val="en-US"/>
        </w:rPr>
        <w:t xml:space="preserve"> </w:t>
      </w:r>
      <w:r w:rsidR="00416F15">
        <w:rPr>
          <w:rFonts w:asciiTheme="majorHAnsi" w:hAnsiTheme="majorHAnsi"/>
          <w:bCs/>
          <w:sz w:val="20"/>
          <w:szCs w:val="20"/>
          <w:lang w:val="en-US"/>
        </w:rPr>
        <w:t>See above, note 12</w:t>
      </w:r>
      <w:r w:rsidRPr="009C1284">
        <w:rPr>
          <w:rFonts w:asciiTheme="majorHAnsi" w:eastAsia="Times New Roman" w:hAnsiTheme="majorHAnsi"/>
          <w:sz w:val="20"/>
          <w:szCs w:val="20"/>
          <w:lang w:val="en-US"/>
        </w:rPr>
        <w:t>, p. 97, Table 6.3</w:t>
      </w:r>
      <w:r w:rsidRPr="009C1284">
        <w:rPr>
          <w:rFonts w:asciiTheme="majorHAnsi" w:eastAsia="Times New Roman" w:hAnsiTheme="majorHAnsi"/>
          <w:sz w:val="20"/>
          <w:szCs w:val="20"/>
        </w:rPr>
        <w:t>.</w:t>
      </w:r>
    </w:p>
    <w:p w:rsidR="00997603" w:rsidRPr="009C1284" w:rsidRDefault="00997603" w:rsidP="00416F15">
      <w:pPr>
        <w:jc w:val="left"/>
        <w:rPr>
          <w:rFonts w:asciiTheme="majorHAnsi" w:eastAsia="Times New Roman" w:hAnsiTheme="majorHAnsi"/>
          <w:sz w:val="20"/>
          <w:szCs w:val="20"/>
        </w:rPr>
      </w:pPr>
    </w:p>
  </w:footnote>
  <w:footnote w:id="41">
    <w:p w:rsidR="00997603" w:rsidRPr="009C1284" w:rsidRDefault="00997603" w:rsidP="00416F15">
      <w:pPr>
        <w:pStyle w:val="FootnoteText"/>
      </w:pPr>
      <w:r w:rsidRPr="009C1284">
        <w:rPr>
          <w:rStyle w:val="FootnoteReference"/>
        </w:rPr>
        <w:footnoteRef/>
      </w:r>
      <w:r w:rsidRPr="009C1284">
        <w:t xml:space="preserve"> Guyana Ministry of Health, Guyana Bureau of Statistics and ICF Macro, </w:t>
      </w:r>
      <w:r w:rsidRPr="009C1284">
        <w:rPr>
          <w:i/>
        </w:rPr>
        <w:t>Guyana Demographic and Health Survey 2009</w:t>
      </w:r>
      <w:r w:rsidRPr="009C1284">
        <w:t>, 2010, Table 14.1, p. 252, available at: http://www.measuredhs.com/pubs/pdf/FR232/FR232.pdf.</w:t>
      </w:r>
    </w:p>
    <w:p w:rsidR="00997603" w:rsidRPr="009C1284" w:rsidRDefault="00997603" w:rsidP="00416F15">
      <w:pPr>
        <w:pStyle w:val="FootnoteText"/>
      </w:pPr>
    </w:p>
  </w:footnote>
  <w:footnote w:id="42">
    <w:p w:rsidR="00997603" w:rsidRPr="009C1284" w:rsidRDefault="00997603" w:rsidP="00416F15">
      <w:pPr>
        <w:pStyle w:val="FootnoteText"/>
      </w:pPr>
      <w:r w:rsidRPr="009C1284">
        <w:rPr>
          <w:rStyle w:val="FootnoteReference"/>
        </w:rPr>
        <w:footnoteRef/>
      </w:r>
      <w:r w:rsidRPr="009C1284">
        <w:t xml:space="preserve"> </w:t>
      </w:r>
      <w:r w:rsidR="00416F15">
        <w:rPr>
          <w:i/>
        </w:rPr>
        <w:t>Ibid.</w:t>
      </w:r>
    </w:p>
    <w:p w:rsidR="00997603" w:rsidRPr="009C1284" w:rsidRDefault="00997603" w:rsidP="00416F15">
      <w:pPr>
        <w:pStyle w:val="FootnoteText"/>
      </w:pPr>
    </w:p>
  </w:footnote>
  <w:footnote w:id="43">
    <w:p w:rsidR="00997603" w:rsidRPr="009C1284" w:rsidRDefault="00997603" w:rsidP="00416F15">
      <w:pPr>
        <w:jc w:val="left"/>
        <w:rPr>
          <w:rFonts w:asciiTheme="majorHAnsi" w:eastAsia="Times New Roman" w:hAnsiTheme="majorHAnsi"/>
          <w:sz w:val="20"/>
          <w:szCs w:val="20"/>
        </w:rPr>
      </w:pPr>
      <w:r w:rsidRPr="009C1284">
        <w:rPr>
          <w:rStyle w:val="FootnoteCharacters"/>
          <w:rFonts w:asciiTheme="majorHAnsi" w:hAnsiTheme="majorHAnsi"/>
          <w:sz w:val="20"/>
          <w:szCs w:val="20"/>
        </w:rPr>
        <w:footnoteRef/>
      </w:r>
      <w:r w:rsidRPr="009C1284">
        <w:rPr>
          <w:rFonts w:asciiTheme="majorHAnsi" w:hAnsiTheme="majorHAnsi"/>
          <w:bCs/>
          <w:sz w:val="20"/>
          <w:szCs w:val="20"/>
          <w:lang w:val="en-US"/>
        </w:rPr>
        <w:t xml:space="preserve"> </w:t>
      </w:r>
      <w:r w:rsidR="00416F15">
        <w:rPr>
          <w:rFonts w:asciiTheme="majorHAnsi" w:hAnsiTheme="majorHAnsi"/>
          <w:bCs/>
          <w:sz w:val="20"/>
          <w:szCs w:val="20"/>
          <w:lang w:val="en-US"/>
        </w:rPr>
        <w:t>See above, note 12</w:t>
      </w:r>
      <w:r w:rsidRPr="009C1284">
        <w:rPr>
          <w:rFonts w:asciiTheme="majorHAnsi" w:eastAsia="Times New Roman" w:hAnsiTheme="majorHAnsi"/>
          <w:sz w:val="20"/>
          <w:szCs w:val="20"/>
          <w:lang w:val="en-US"/>
        </w:rPr>
        <w:t>, p</w:t>
      </w:r>
      <w:r w:rsidR="00416F15">
        <w:rPr>
          <w:rFonts w:asciiTheme="majorHAnsi" w:eastAsia="Times New Roman" w:hAnsiTheme="majorHAnsi"/>
          <w:sz w:val="20"/>
          <w:szCs w:val="20"/>
          <w:lang w:val="en-US"/>
        </w:rPr>
        <w:t>. 105, Table 6.8</w:t>
      </w:r>
      <w:r w:rsidRPr="009C1284">
        <w:rPr>
          <w:rFonts w:asciiTheme="majorHAnsi" w:eastAsia="Times New Roman" w:hAnsiTheme="majorHAnsi"/>
          <w:sz w:val="20"/>
          <w:szCs w:val="20"/>
        </w:rPr>
        <w:t>.</w:t>
      </w:r>
    </w:p>
    <w:p w:rsidR="00997603" w:rsidRPr="009C1284" w:rsidRDefault="00997603" w:rsidP="00416F15">
      <w:pPr>
        <w:jc w:val="left"/>
        <w:rPr>
          <w:rFonts w:asciiTheme="majorHAnsi" w:eastAsia="Times New Roman" w:hAnsiTheme="majorHAnsi"/>
          <w:sz w:val="20"/>
          <w:szCs w:val="20"/>
        </w:rPr>
      </w:pPr>
    </w:p>
  </w:footnote>
  <w:footnote w:id="44">
    <w:p w:rsidR="00997603" w:rsidRDefault="00997603" w:rsidP="00416F15">
      <w:pPr>
        <w:jc w:val="left"/>
        <w:rPr>
          <w:rFonts w:asciiTheme="majorHAnsi" w:eastAsia="Times New Roman" w:hAnsiTheme="majorHAnsi"/>
          <w:sz w:val="20"/>
          <w:szCs w:val="20"/>
          <w:lang w:val="en-US"/>
        </w:rPr>
      </w:pPr>
      <w:r w:rsidRPr="009C1284">
        <w:rPr>
          <w:rStyle w:val="FootnoteCharacters"/>
          <w:rFonts w:asciiTheme="majorHAnsi" w:hAnsiTheme="majorHAnsi"/>
          <w:sz w:val="20"/>
          <w:szCs w:val="20"/>
        </w:rPr>
        <w:footnoteRef/>
      </w:r>
      <w:r w:rsidRPr="009C1284">
        <w:rPr>
          <w:rFonts w:asciiTheme="majorHAnsi" w:eastAsia="Times New Roman" w:hAnsiTheme="majorHAnsi"/>
          <w:sz w:val="20"/>
          <w:szCs w:val="20"/>
          <w:lang w:val="en-US"/>
        </w:rPr>
        <w:t xml:space="preserve"> Prevention of Disc</w:t>
      </w:r>
      <w:r>
        <w:rPr>
          <w:rFonts w:asciiTheme="majorHAnsi" w:eastAsia="Times New Roman" w:hAnsiTheme="majorHAnsi"/>
          <w:sz w:val="20"/>
          <w:szCs w:val="20"/>
          <w:lang w:val="en-US"/>
        </w:rPr>
        <w:t>rimination Act 1997, Section 8.</w:t>
      </w:r>
    </w:p>
    <w:p w:rsidR="00997603" w:rsidRPr="009C1284" w:rsidRDefault="00997603" w:rsidP="00416F15">
      <w:pPr>
        <w:jc w:val="left"/>
        <w:rPr>
          <w:rFonts w:asciiTheme="majorHAnsi" w:eastAsia="Times New Roman" w:hAnsiTheme="majorHAnsi"/>
          <w:sz w:val="20"/>
          <w:szCs w:val="20"/>
          <w:lang w:val="en-US"/>
        </w:rPr>
      </w:pPr>
    </w:p>
  </w:footnote>
  <w:footnote w:id="45">
    <w:p w:rsidR="00997603" w:rsidRPr="009C1284" w:rsidRDefault="00997603" w:rsidP="00416F15">
      <w:pPr>
        <w:pStyle w:val="FootnoteText"/>
      </w:pPr>
      <w:r w:rsidRPr="009C1284">
        <w:rPr>
          <w:rStyle w:val="FootnoteCharacters"/>
        </w:rPr>
        <w:footnoteRef/>
      </w:r>
      <w:r w:rsidR="00416F15">
        <w:t xml:space="preserve"> Equal Rights Trust,</w:t>
      </w:r>
      <w:r w:rsidRPr="009C1284">
        <w:t xml:space="preserve"> Interview with Karen De Souza of Red Thread, via Skype, March 2012.</w:t>
      </w:r>
    </w:p>
    <w:p w:rsidR="00997603" w:rsidRPr="009C1284" w:rsidRDefault="00997603" w:rsidP="00416F15">
      <w:pPr>
        <w:pStyle w:val="FootnoteText"/>
      </w:pPr>
    </w:p>
  </w:footnote>
  <w:footnote w:id="46">
    <w:p w:rsidR="00997603" w:rsidRPr="009C1284" w:rsidRDefault="00997603" w:rsidP="00416F15">
      <w:pPr>
        <w:jc w:val="left"/>
        <w:rPr>
          <w:rFonts w:asciiTheme="majorHAnsi" w:eastAsia="Times New Roman" w:hAnsiTheme="majorHAnsi"/>
          <w:sz w:val="20"/>
          <w:szCs w:val="20"/>
          <w:lang w:val="en-US"/>
        </w:rPr>
      </w:pPr>
      <w:r w:rsidRPr="009C1284">
        <w:rPr>
          <w:rStyle w:val="FootnoteCharacters"/>
          <w:rFonts w:asciiTheme="majorHAnsi" w:hAnsiTheme="majorHAnsi"/>
          <w:sz w:val="20"/>
          <w:szCs w:val="20"/>
        </w:rPr>
        <w:footnoteRef/>
      </w:r>
      <w:r w:rsidRPr="009C1284">
        <w:rPr>
          <w:rFonts w:asciiTheme="majorHAnsi" w:eastAsia="Times New Roman" w:hAnsiTheme="majorHAnsi"/>
          <w:sz w:val="20"/>
          <w:szCs w:val="20"/>
          <w:lang w:val="en-US"/>
        </w:rPr>
        <w:t xml:space="preserve"> </w:t>
      </w:r>
      <w:r w:rsidR="00416F15">
        <w:rPr>
          <w:rFonts w:asciiTheme="majorHAnsi" w:eastAsia="Times New Roman" w:hAnsiTheme="majorHAnsi"/>
          <w:sz w:val="20"/>
          <w:szCs w:val="20"/>
          <w:lang w:val="en-US"/>
        </w:rPr>
        <w:t xml:space="preserve">Equal Rights Trust, </w:t>
      </w:r>
      <w:r w:rsidRPr="009C1284">
        <w:rPr>
          <w:rFonts w:asciiTheme="majorHAnsi" w:eastAsia="Times New Roman" w:hAnsiTheme="majorHAnsi"/>
          <w:sz w:val="20"/>
          <w:szCs w:val="20"/>
          <w:lang w:val="en-US"/>
        </w:rPr>
        <w:t xml:space="preserve">Focus Groups </w:t>
      </w:r>
      <w:r w:rsidR="00416F15">
        <w:rPr>
          <w:rFonts w:asciiTheme="majorHAnsi" w:eastAsia="Times New Roman" w:hAnsiTheme="majorHAnsi"/>
          <w:sz w:val="20"/>
          <w:szCs w:val="20"/>
          <w:lang w:val="en-US"/>
        </w:rPr>
        <w:t>w</w:t>
      </w:r>
      <w:r w:rsidRPr="009C1284">
        <w:rPr>
          <w:rFonts w:asciiTheme="majorHAnsi" w:eastAsia="Times New Roman" w:hAnsiTheme="majorHAnsi"/>
          <w:sz w:val="20"/>
          <w:szCs w:val="20"/>
          <w:lang w:val="en-US"/>
        </w:rPr>
        <w:t>ith 45 women in Georgetown, Guyana, September 2011.</w:t>
      </w:r>
    </w:p>
    <w:p w:rsidR="00997603" w:rsidRPr="009C1284" w:rsidRDefault="00997603" w:rsidP="00416F15">
      <w:pPr>
        <w:jc w:val="left"/>
        <w:rPr>
          <w:rFonts w:asciiTheme="majorHAnsi" w:eastAsia="Times New Roman" w:hAnsiTheme="majorHAnsi"/>
          <w:sz w:val="20"/>
          <w:szCs w:val="20"/>
          <w:lang w:val="en-US"/>
        </w:rPr>
      </w:pPr>
    </w:p>
  </w:footnote>
  <w:footnote w:id="47">
    <w:p w:rsidR="00997603" w:rsidRPr="00AF61A1" w:rsidRDefault="00997603" w:rsidP="00416F15">
      <w:pPr>
        <w:pStyle w:val="FootnoteText"/>
        <w:rPr>
          <w:rFonts w:ascii="Cambria" w:hAnsi="Cambria"/>
        </w:rPr>
      </w:pPr>
      <w:r w:rsidRPr="00AF61A1">
        <w:rPr>
          <w:rStyle w:val="FootnoteReference"/>
        </w:rPr>
        <w:footnoteRef/>
      </w:r>
      <w:r w:rsidRPr="00AF61A1">
        <w:rPr>
          <w:rFonts w:ascii="Cambria" w:hAnsi="Cambria"/>
        </w:rPr>
        <w:t xml:space="preserve"> </w:t>
      </w:r>
      <w:r w:rsidR="00416F15">
        <w:rPr>
          <w:rFonts w:ascii="Cambria" w:hAnsi="Cambria"/>
        </w:rPr>
        <w:t>See above, note 1</w:t>
      </w:r>
      <w:r w:rsidRPr="00AF61A1">
        <w:rPr>
          <w:rFonts w:ascii="Cambria" w:hAnsi="Cambria"/>
        </w:rPr>
        <w:t>, Para 32.</w:t>
      </w:r>
    </w:p>
    <w:p w:rsidR="00997603" w:rsidRPr="00AF61A1" w:rsidRDefault="00997603" w:rsidP="00416F15">
      <w:pPr>
        <w:pStyle w:val="FootnoteText"/>
        <w:rPr>
          <w:rFonts w:ascii="Cambria" w:hAnsi="Cambria"/>
        </w:rPr>
      </w:pPr>
    </w:p>
  </w:footnote>
  <w:footnote w:id="48">
    <w:p w:rsidR="00011CE6" w:rsidRDefault="00011CE6" w:rsidP="00011CE6">
      <w:pPr>
        <w:jc w:val="left"/>
        <w:rPr>
          <w:rFonts w:asciiTheme="majorHAnsi" w:eastAsia="Times New Roman" w:hAnsiTheme="majorHAnsi"/>
          <w:color w:val="000000"/>
          <w:sz w:val="20"/>
          <w:szCs w:val="20"/>
          <w:lang w:val="en-US"/>
        </w:rPr>
      </w:pPr>
      <w:r w:rsidRPr="009C1284">
        <w:rPr>
          <w:rStyle w:val="FootnoteCharacters"/>
          <w:rFonts w:asciiTheme="majorHAnsi" w:hAnsiTheme="majorHAnsi"/>
          <w:sz w:val="20"/>
          <w:szCs w:val="20"/>
        </w:rPr>
        <w:footnoteRef/>
      </w:r>
      <w:r w:rsidRPr="009C1284">
        <w:rPr>
          <w:rFonts w:asciiTheme="majorHAnsi" w:hAnsiTheme="majorHAnsi"/>
          <w:sz w:val="20"/>
          <w:szCs w:val="20"/>
        </w:rPr>
        <w:t xml:space="preserve"> </w:t>
      </w:r>
      <w:r w:rsidRPr="009C1284">
        <w:rPr>
          <w:rFonts w:asciiTheme="majorHAnsi" w:eastAsia="Times New Roman" w:hAnsiTheme="majorHAnsi"/>
          <w:color w:val="000000"/>
          <w:sz w:val="20"/>
          <w:szCs w:val="20"/>
          <w:lang w:val="en-US"/>
        </w:rPr>
        <w:t xml:space="preserve">Carrico, C., </w:t>
      </w:r>
      <w:r w:rsidRPr="009C1284">
        <w:rPr>
          <w:rFonts w:asciiTheme="majorHAnsi" w:eastAsia="Times New Roman" w:hAnsiTheme="majorHAnsi"/>
          <w:i/>
          <w:color w:val="000000"/>
          <w:sz w:val="20"/>
          <w:szCs w:val="20"/>
          <w:lang w:val="en-US"/>
        </w:rPr>
        <w:t>Collateral Damage: The social impact of laws affecting LGBTs in Guyana</w:t>
      </w:r>
      <w:r w:rsidRPr="009C1284">
        <w:rPr>
          <w:rFonts w:asciiTheme="majorHAnsi" w:eastAsia="Times New Roman" w:hAnsiTheme="majorHAnsi"/>
          <w:color w:val="000000"/>
          <w:sz w:val="20"/>
          <w:szCs w:val="20"/>
          <w:lang w:val="en-US"/>
        </w:rPr>
        <w:t xml:space="preserve">, </w:t>
      </w:r>
      <w:r>
        <w:rPr>
          <w:rFonts w:asciiTheme="majorHAnsi" w:eastAsia="Times New Roman" w:hAnsiTheme="majorHAnsi"/>
          <w:color w:val="000000"/>
          <w:sz w:val="20"/>
          <w:szCs w:val="20"/>
          <w:lang w:val="en-US"/>
        </w:rPr>
        <w:t>2</w:t>
      </w:r>
      <w:r w:rsidRPr="009C1284">
        <w:rPr>
          <w:rFonts w:asciiTheme="majorHAnsi" w:eastAsia="Times New Roman" w:hAnsiTheme="majorHAnsi"/>
          <w:color w:val="000000"/>
          <w:sz w:val="20"/>
          <w:szCs w:val="20"/>
          <w:lang w:val="en-US"/>
        </w:rPr>
        <w:t>012, p. 16.</w:t>
      </w:r>
    </w:p>
    <w:p w:rsidR="00011CE6" w:rsidRPr="009C1284" w:rsidRDefault="00011CE6" w:rsidP="00011CE6">
      <w:pPr>
        <w:jc w:val="left"/>
        <w:rPr>
          <w:rFonts w:asciiTheme="majorHAnsi" w:eastAsia="Times New Roman" w:hAnsiTheme="majorHAnsi"/>
          <w:color w:val="000000"/>
          <w:sz w:val="20"/>
          <w:szCs w:val="20"/>
          <w:lang w:val="en-US"/>
        </w:rPr>
      </w:pPr>
    </w:p>
  </w:footnote>
  <w:footnote w:id="49">
    <w:p w:rsidR="00011CE6" w:rsidRDefault="00011CE6" w:rsidP="00011CE6">
      <w:pPr>
        <w:jc w:val="left"/>
        <w:rPr>
          <w:rFonts w:asciiTheme="majorHAnsi" w:eastAsia="Times New Roman" w:hAnsiTheme="majorHAnsi"/>
          <w:sz w:val="20"/>
          <w:szCs w:val="20"/>
          <w:lang w:val="en-US"/>
        </w:rPr>
      </w:pPr>
      <w:r w:rsidRPr="009C1284">
        <w:rPr>
          <w:rStyle w:val="FootnoteCharacters"/>
          <w:rFonts w:asciiTheme="majorHAnsi" w:hAnsiTheme="majorHAnsi"/>
          <w:sz w:val="20"/>
          <w:szCs w:val="20"/>
        </w:rPr>
        <w:footnoteRef/>
      </w:r>
      <w:r w:rsidRPr="009C1284">
        <w:rPr>
          <w:rFonts w:asciiTheme="majorHAnsi" w:hAnsiTheme="majorHAnsi"/>
          <w:sz w:val="20"/>
          <w:szCs w:val="20"/>
        </w:rPr>
        <w:t xml:space="preserve"> </w:t>
      </w:r>
      <w:r>
        <w:rPr>
          <w:rFonts w:asciiTheme="majorHAnsi" w:eastAsia="Times New Roman" w:hAnsiTheme="majorHAnsi"/>
          <w:sz w:val="20"/>
          <w:szCs w:val="20"/>
          <w:lang w:val="en-US"/>
        </w:rPr>
        <w:t xml:space="preserve">Equal Rights Trust, </w:t>
      </w:r>
      <w:r w:rsidRPr="009C1284">
        <w:rPr>
          <w:rFonts w:asciiTheme="majorHAnsi" w:eastAsia="Times New Roman" w:hAnsiTheme="majorHAnsi"/>
          <w:sz w:val="20"/>
          <w:szCs w:val="20"/>
          <w:lang w:val="en-US"/>
        </w:rPr>
        <w:t xml:space="preserve">Interview with </w:t>
      </w:r>
      <w:r>
        <w:rPr>
          <w:rFonts w:asciiTheme="majorHAnsi" w:eastAsia="Times New Roman" w:hAnsiTheme="majorHAnsi"/>
          <w:sz w:val="20"/>
          <w:szCs w:val="20"/>
          <w:lang w:val="en-US"/>
        </w:rPr>
        <w:t xml:space="preserve">R., </w:t>
      </w:r>
      <w:r w:rsidRPr="009C1284">
        <w:rPr>
          <w:rFonts w:asciiTheme="majorHAnsi" w:eastAsia="Times New Roman" w:hAnsiTheme="majorHAnsi"/>
          <w:sz w:val="20"/>
          <w:szCs w:val="20"/>
          <w:lang w:val="en-US"/>
        </w:rPr>
        <w:t>Georgetown, Guyana, September 2011.</w:t>
      </w:r>
    </w:p>
    <w:p w:rsidR="00011CE6" w:rsidRPr="009C1284" w:rsidRDefault="00011CE6" w:rsidP="00011CE6">
      <w:pPr>
        <w:jc w:val="left"/>
        <w:rPr>
          <w:rFonts w:asciiTheme="majorHAnsi" w:eastAsia="Times New Roman" w:hAnsiTheme="majorHAnsi"/>
          <w:sz w:val="20"/>
          <w:szCs w:val="20"/>
          <w:lang w:val="en-US"/>
        </w:rPr>
      </w:pPr>
    </w:p>
  </w:footnote>
  <w:footnote w:id="50">
    <w:p w:rsidR="00011CE6" w:rsidRDefault="00011CE6" w:rsidP="00011CE6">
      <w:pPr>
        <w:jc w:val="left"/>
        <w:rPr>
          <w:rFonts w:asciiTheme="majorHAnsi" w:eastAsia="Times New Roman" w:hAnsiTheme="majorHAnsi"/>
          <w:sz w:val="20"/>
          <w:szCs w:val="20"/>
          <w:lang w:val="en-US"/>
        </w:rPr>
      </w:pPr>
      <w:r w:rsidRPr="009C1284">
        <w:rPr>
          <w:rStyle w:val="FootnoteCharacters"/>
          <w:rFonts w:asciiTheme="majorHAnsi" w:hAnsiTheme="majorHAnsi"/>
          <w:sz w:val="20"/>
          <w:szCs w:val="20"/>
        </w:rPr>
        <w:footnoteRef/>
      </w:r>
      <w:r w:rsidRPr="009C1284">
        <w:rPr>
          <w:rFonts w:asciiTheme="majorHAnsi" w:hAnsiTheme="majorHAnsi"/>
          <w:sz w:val="20"/>
          <w:szCs w:val="20"/>
        </w:rPr>
        <w:t xml:space="preserve"> </w:t>
      </w:r>
      <w:r>
        <w:rPr>
          <w:rFonts w:asciiTheme="majorHAnsi" w:eastAsia="Times New Roman" w:hAnsiTheme="majorHAnsi"/>
          <w:sz w:val="20"/>
          <w:szCs w:val="20"/>
          <w:lang w:val="en-US"/>
        </w:rPr>
        <w:t xml:space="preserve">Equal Rights Trust, </w:t>
      </w:r>
      <w:r w:rsidRPr="009C1284">
        <w:rPr>
          <w:rFonts w:asciiTheme="majorHAnsi" w:eastAsia="Times New Roman" w:hAnsiTheme="majorHAnsi"/>
          <w:sz w:val="20"/>
          <w:szCs w:val="20"/>
          <w:lang w:val="en-US"/>
        </w:rPr>
        <w:t xml:space="preserve">Interview with </w:t>
      </w:r>
      <w:r w:rsidRPr="009C1284">
        <w:rPr>
          <w:rFonts w:asciiTheme="majorHAnsi" w:eastAsia="Times New Roman" w:hAnsiTheme="majorHAnsi"/>
          <w:sz w:val="20"/>
          <w:szCs w:val="20"/>
        </w:rPr>
        <w:t>E. Richardson</w:t>
      </w:r>
      <w:r>
        <w:rPr>
          <w:rFonts w:asciiTheme="majorHAnsi" w:eastAsia="Times New Roman" w:hAnsiTheme="majorHAnsi"/>
          <w:sz w:val="20"/>
          <w:szCs w:val="20"/>
          <w:lang w:val="en-US"/>
        </w:rPr>
        <w:t>,</w:t>
      </w:r>
      <w:r w:rsidRPr="009C1284">
        <w:rPr>
          <w:rFonts w:asciiTheme="majorHAnsi" w:eastAsia="Times New Roman" w:hAnsiTheme="majorHAnsi"/>
          <w:sz w:val="20"/>
          <w:szCs w:val="20"/>
          <w:lang w:val="en-US"/>
        </w:rPr>
        <w:t xml:space="preserve"> Georgetown, Guyana, September 2011.</w:t>
      </w:r>
    </w:p>
    <w:p w:rsidR="00011CE6" w:rsidRPr="009C1284" w:rsidRDefault="00011CE6" w:rsidP="00011CE6">
      <w:pPr>
        <w:jc w:val="left"/>
        <w:rPr>
          <w:rFonts w:asciiTheme="majorHAnsi" w:eastAsia="Times New Roman" w:hAnsiTheme="majorHAnsi"/>
          <w:sz w:val="20"/>
          <w:szCs w:val="20"/>
          <w:lang w:val="en-US"/>
        </w:rPr>
      </w:pPr>
    </w:p>
  </w:footnote>
  <w:footnote w:id="51">
    <w:p w:rsidR="00A733B8" w:rsidRDefault="00A733B8" w:rsidP="00A733B8">
      <w:pPr>
        <w:jc w:val="left"/>
        <w:rPr>
          <w:rFonts w:asciiTheme="majorHAnsi" w:eastAsia="Times New Roman" w:hAnsiTheme="majorHAnsi"/>
          <w:color w:val="000000"/>
          <w:sz w:val="20"/>
          <w:szCs w:val="20"/>
          <w:lang w:val="en-US"/>
        </w:rPr>
      </w:pPr>
      <w:r w:rsidRPr="009C1284">
        <w:rPr>
          <w:rStyle w:val="FootnoteCharacters"/>
          <w:rFonts w:asciiTheme="majorHAnsi" w:hAnsiTheme="majorHAnsi"/>
          <w:sz w:val="20"/>
          <w:szCs w:val="20"/>
        </w:rPr>
        <w:footnoteRef/>
      </w:r>
      <w:r w:rsidRPr="009C1284">
        <w:rPr>
          <w:rFonts w:asciiTheme="majorHAnsi" w:hAnsiTheme="majorHAnsi"/>
          <w:sz w:val="20"/>
          <w:szCs w:val="20"/>
        </w:rPr>
        <w:t xml:space="preserve"> Testimony from D. And M. quoted in, </w:t>
      </w:r>
      <w:r>
        <w:rPr>
          <w:rFonts w:asciiTheme="majorHAnsi" w:eastAsia="Times New Roman" w:hAnsiTheme="majorHAnsi"/>
          <w:color w:val="000000"/>
          <w:sz w:val="20"/>
          <w:szCs w:val="20"/>
          <w:lang w:val="en-US"/>
        </w:rPr>
        <w:t>Carrico, C., above, note 4</w:t>
      </w:r>
      <w:r w:rsidR="00825BF9">
        <w:rPr>
          <w:rFonts w:asciiTheme="majorHAnsi" w:eastAsia="Times New Roman" w:hAnsiTheme="majorHAnsi"/>
          <w:color w:val="000000"/>
          <w:sz w:val="20"/>
          <w:szCs w:val="20"/>
          <w:lang w:val="en-US"/>
        </w:rPr>
        <w:t>8</w:t>
      </w:r>
      <w:r w:rsidRPr="009C1284">
        <w:rPr>
          <w:rFonts w:asciiTheme="majorHAnsi" w:eastAsia="Times New Roman" w:hAnsiTheme="majorHAnsi"/>
          <w:color w:val="000000"/>
          <w:sz w:val="20"/>
          <w:szCs w:val="20"/>
          <w:lang w:val="en-US"/>
        </w:rPr>
        <w:t>.</w:t>
      </w:r>
    </w:p>
    <w:p w:rsidR="00A733B8" w:rsidRPr="009C1284" w:rsidRDefault="00A733B8" w:rsidP="00A733B8">
      <w:pPr>
        <w:jc w:val="left"/>
        <w:rPr>
          <w:rFonts w:asciiTheme="majorHAnsi" w:eastAsia="Times New Roman" w:hAnsiTheme="majorHAnsi"/>
          <w:color w:val="000000"/>
          <w:sz w:val="20"/>
          <w:szCs w:val="20"/>
          <w:lang w:val="en-US"/>
        </w:rPr>
      </w:pPr>
    </w:p>
  </w:footnote>
  <w:footnote w:id="52">
    <w:p w:rsidR="00011CE6" w:rsidRDefault="00011CE6" w:rsidP="00011CE6">
      <w:pPr>
        <w:jc w:val="left"/>
        <w:rPr>
          <w:rFonts w:asciiTheme="majorHAnsi" w:eastAsia="Times New Roman" w:hAnsiTheme="majorHAnsi"/>
          <w:sz w:val="20"/>
          <w:szCs w:val="20"/>
          <w:lang w:val="en-US"/>
        </w:rPr>
      </w:pPr>
      <w:r w:rsidRPr="009C1284">
        <w:rPr>
          <w:rStyle w:val="FootnoteCharacters"/>
          <w:rFonts w:asciiTheme="majorHAnsi" w:hAnsiTheme="majorHAnsi"/>
          <w:sz w:val="20"/>
          <w:szCs w:val="20"/>
        </w:rPr>
        <w:footnoteRef/>
      </w:r>
      <w:r w:rsidR="00825BF9">
        <w:rPr>
          <w:rFonts w:asciiTheme="majorHAnsi" w:eastAsia="Times New Roman" w:hAnsiTheme="majorHAnsi"/>
          <w:sz w:val="20"/>
          <w:szCs w:val="20"/>
          <w:lang w:val="en-US"/>
        </w:rPr>
        <w:t xml:space="preserve"> </w:t>
      </w:r>
      <w:r>
        <w:rPr>
          <w:rFonts w:asciiTheme="majorHAnsi" w:eastAsia="Times New Roman" w:hAnsiTheme="majorHAnsi"/>
          <w:sz w:val="20"/>
          <w:szCs w:val="20"/>
          <w:lang w:val="en-US"/>
        </w:rPr>
        <w:t xml:space="preserve">Equal Rights Trust, </w:t>
      </w:r>
      <w:r w:rsidRPr="009C1284">
        <w:rPr>
          <w:rFonts w:asciiTheme="majorHAnsi" w:eastAsia="Times New Roman" w:hAnsiTheme="majorHAnsi"/>
          <w:sz w:val="20"/>
          <w:szCs w:val="20"/>
          <w:lang w:val="en-US"/>
        </w:rPr>
        <w:t>Interview with H</w:t>
      </w:r>
      <w:r w:rsidR="00825BF9">
        <w:rPr>
          <w:rFonts w:asciiTheme="majorHAnsi" w:eastAsia="Times New Roman" w:hAnsiTheme="majorHAnsi"/>
          <w:sz w:val="20"/>
          <w:szCs w:val="20"/>
          <w:lang w:val="en-US"/>
        </w:rPr>
        <w:t>.</w:t>
      </w:r>
      <w:r w:rsidRPr="009C1284">
        <w:rPr>
          <w:rFonts w:asciiTheme="majorHAnsi" w:eastAsia="Times New Roman" w:hAnsiTheme="majorHAnsi"/>
          <w:sz w:val="20"/>
          <w:szCs w:val="20"/>
          <w:lang w:val="en-US"/>
        </w:rPr>
        <w:t xml:space="preserve">, B. and </w:t>
      </w:r>
      <w:r w:rsidR="00825BF9">
        <w:rPr>
          <w:rFonts w:asciiTheme="majorHAnsi" w:eastAsia="Times New Roman" w:hAnsiTheme="majorHAnsi"/>
          <w:sz w:val="20"/>
          <w:szCs w:val="20"/>
          <w:lang w:val="en-US"/>
        </w:rPr>
        <w:t>J.</w:t>
      </w:r>
      <w:r>
        <w:rPr>
          <w:rFonts w:asciiTheme="majorHAnsi" w:eastAsia="Times New Roman" w:hAnsiTheme="majorHAnsi"/>
          <w:sz w:val="20"/>
          <w:szCs w:val="20"/>
          <w:lang w:val="en-US"/>
        </w:rPr>
        <w:t>,</w:t>
      </w:r>
      <w:r w:rsidRPr="009C1284">
        <w:rPr>
          <w:rFonts w:asciiTheme="majorHAnsi" w:eastAsia="Times New Roman" w:hAnsiTheme="majorHAnsi"/>
          <w:sz w:val="20"/>
          <w:szCs w:val="20"/>
          <w:lang w:val="en-US"/>
        </w:rPr>
        <w:t xml:space="preserve"> Georgetown, Guyana, September 2011.</w:t>
      </w:r>
    </w:p>
    <w:p w:rsidR="00011CE6" w:rsidRPr="009C1284" w:rsidRDefault="00011CE6" w:rsidP="00011CE6">
      <w:pPr>
        <w:jc w:val="left"/>
        <w:rPr>
          <w:rFonts w:asciiTheme="majorHAnsi" w:eastAsia="Times New Roman" w:hAnsiTheme="majorHAnsi"/>
          <w:sz w:val="20"/>
          <w:szCs w:val="20"/>
          <w:lang w:val="en-US"/>
        </w:rPr>
      </w:pPr>
    </w:p>
  </w:footnote>
  <w:footnote w:id="53">
    <w:p w:rsidR="00011CE6" w:rsidRDefault="00011CE6" w:rsidP="00011CE6">
      <w:pPr>
        <w:jc w:val="left"/>
        <w:rPr>
          <w:rFonts w:asciiTheme="majorHAnsi" w:eastAsia="Times New Roman" w:hAnsiTheme="majorHAnsi"/>
          <w:sz w:val="20"/>
          <w:szCs w:val="20"/>
          <w:lang w:val="en-US"/>
        </w:rPr>
      </w:pPr>
      <w:r w:rsidRPr="009C1284">
        <w:rPr>
          <w:rStyle w:val="FootnoteCharacters"/>
          <w:rFonts w:asciiTheme="majorHAnsi" w:hAnsiTheme="majorHAnsi"/>
          <w:sz w:val="20"/>
          <w:szCs w:val="20"/>
        </w:rPr>
        <w:footnoteRef/>
      </w:r>
      <w:r w:rsidRPr="009C1284">
        <w:rPr>
          <w:rFonts w:asciiTheme="majorHAnsi" w:hAnsiTheme="majorHAnsi"/>
          <w:sz w:val="20"/>
          <w:szCs w:val="20"/>
        </w:rPr>
        <w:t xml:space="preserve"> </w:t>
      </w:r>
      <w:r>
        <w:rPr>
          <w:rFonts w:asciiTheme="majorHAnsi" w:eastAsia="Times New Roman" w:hAnsiTheme="majorHAnsi"/>
          <w:sz w:val="20"/>
          <w:szCs w:val="20"/>
          <w:lang w:val="en-US"/>
        </w:rPr>
        <w:t xml:space="preserve">Equal Rights Trust, </w:t>
      </w:r>
      <w:r w:rsidRPr="009C1284">
        <w:rPr>
          <w:rFonts w:asciiTheme="majorHAnsi" w:eastAsia="Times New Roman" w:hAnsiTheme="majorHAnsi"/>
          <w:sz w:val="20"/>
          <w:szCs w:val="20"/>
          <w:lang w:val="en-US"/>
        </w:rPr>
        <w:t xml:space="preserve">Interview with </w:t>
      </w:r>
      <w:r>
        <w:rPr>
          <w:rFonts w:asciiTheme="majorHAnsi" w:eastAsia="Times New Roman" w:hAnsiTheme="majorHAnsi"/>
          <w:sz w:val="20"/>
          <w:szCs w:val="20"/>
          <w:lang w:val="en-US"/>
        </w:rPr>
        <w:t>Z.,</w:t>
      </w:r>
      <w:r w:rsidRPr="009C1284">
        <w:rPr>
          <w:rFonts w:asciiTheme="majorHAnsi" w:eastAsia="Times New Roman" w:hAnsiTheme="majorHAnsi"/>
          <w:sz w:val="20"/>
          <w:szCs w:val="20"/>
          <w:lang w:val="en-US"/>
        </w:rPr>
        <w:t xml:space="preserve"> Georgetown, Guyana, September 2011.</w:t>
      </w:r>
    </w:p>
    <w:p w:rsidR="00011CE6" w:rsidRPr="009C1284" w:rsidRDefault="00011CE6" w:rsidP="00011CE6">
      <w:pPr>
        <w:jc w:val="left"/>
        <w:rPr>
          <w:rFonts w:asciiTheme="majorHAnsi" w:eastAsia="Times New Roman" w:hAnsiTheme="majorHAnsi"/>
          <w:sz w:val="20"/>
          <w:szCs w:val="20"/>
          <w:lang w:val="en-US"/>
        </w:rPr>
      </w:pPr>
    </w:p>
  </w:footnote>
  <w:footnote w:id="54">
    <w:p w:rsidR="00997603" w:rsidRPr="00AF61A1" w:rsidRDefault="00997603" w:rsidP="00416F15">
      <w:pPr>
        <w:pStyle w:val="FootnoteText"/>
        <w:rPr>
          <w:rFonts w:ascii="Cambria" w:hAnsi="Cambria"/>
        </w:rPr>
      </w:pPr>
      <w:r w:rsidRPr="00AF61A1">
        <w:rPr>
          <w:rStyle w:val="FootnoteReference"/>
        </w:rPr>
        <w:footnoteRef/>
      </w:r>
      <w:r w:rsidRPr="00AF61A1">
        <w:rPr>
          <w:rFonts w:ascii="Cambria" w:hAnsi="Cambria"/>
        </w:rPr>
        <w:t xml:space="preserve"> Committee on Economic, Social and Cultural Rights, </w:t>
      </w:r>
      <w:bookmarkStart w:id="1" w:name="_Toc481083345"/>
      <w:bookmarkStart w:id="2" w:name="_Toc481084127"/>
      <w:bookmarkStart w:id="3" w:name="_Toc70388942"/>
      <w:bookmarkStart w:id="4" w:name="_Toc70516942"/>
      <w:bookmarkStart w:id="5" w:name="_Toc200433438"/>
      <w:bookmarkStart w:id="6" w:name="_Toc200441323"/>
      <w:bookmarkStart w:id="7" w:name="_Toc200785202"/>
      <w:r w:rsidRPr="00AF61A1">
        <w:rPr>
          <w:rFonts w:ascii="Cambria" w:hAnsi="Cambria"/>
          <w:i/>
        </w:rPr>
        <w:t xml:space="preserve">General comment No. 5:  </w:t>
      </w:r>
      <w:bookmarkEnd w:id="1"/>
      <w:bookmarkEnd w:id="2"/>
      <w:bookmarkEnd w:id="3"/>
      <w:bookmarkEnd w:id="4"/>
      <w:bookmarkEnd w:id="5"/>
      <w:bookmarkEnd w:id="6"/>
      <w:bookmarkEnd w:id="7"/>
      <w:r w:rsidRPr="00AF61A1">
        <w:rPr>
          <w:rFonts w:ascii="Cambria" w:hAnsi="Cambria"/>
          <w:i/>
        </w:rPr>
        <w:t>Persons with disabilities</w:t>
      </w:r>
      <w:r w:rsidRPr="00AF61A1">
        <w:rPr>
          <w:rFonts w:ascii="Cambria" w:hAnsi="Cambria"/>
        </w:rPr>
        <w:t>, 1994, UN Doc. E/1995/22 at 19, 1995, Para 5.</w:t>
      </w:r>
    </w:p>
    <w:p w:rsidR="00997603" w:rsidRPr="00AF61A1" w:rsidRDefault="00997603" w:rsidP="00416F15">
      <w:pPr>
        <w:pStyle w:val="FootnoteText"/>
        <w:rPr>
          <w:rFonts w:ascii="Cambria" w:hAnsi="Cambria"/>
        </w:rPr>
      </w:pPr>
    </w:p>
  </w:footnote>
  <w:footnote w:id="55">
    <w:p w:rsidR="00997603" w:rsidRDefault="00997603" w:rsidP="00416F15">
      <w:pPr>
        <w:jc w:val="left"/>
        <w:rPr>
          <w:rFonts w:asciiTheme="majorHAnsi" w:eastAsia="Times New Roman" w:hAnsiTheme="majorHAnsi"/>
          <w:sz w:val="20"/>
          <w:szCs w:val="20"/>
          <w:lang w:val="en-US"/>
        </w:rPr>
      </w:pPr>
      <w:r w:rsidRPr="009C1284">
        <w:rPr>
          <w:rStyle w:val="FootnoteCharacters"/>
          <w:rFonts w:asciiTheme="majorHAnsi" w:hAnsiTheme="majorHAnsi"/>
          <w:sz w:val="20"/>
          <w:szCs w:val="20"/>
        </w:rPr>
        <w:footnoteRef/>
      </w:r>
      <w:r w:rsidRPr="009C1284">
        <w:rPr>
          <w:rFonts w:asciiTheme="majorHAnsi" w:hAnsiTheme="majorHAnsi"/>
          <w:sz w:val="20"/>
          <w:szCs w:val="20"/>
        </w:rPr>
        <w:t xml:space="preserve"> </w:t>
      </w:r>
      <w:r w:rsidRPr="009C1284">
        <w:rPr>
          <w:rFonts w:asciiTheme="majorHAnsi" w:hAnsiTheme="majorHAnsi"/>
          <w:bCs/>
          <w:sz w:val="20"/>
          <w:szCs w:val="20"/>
          <w:lang w:val="en-US"/>
        </w:rPr>
        <w:t xml:space="preserve">Guyana Bureau of Statistics, </w:t>
      </w:r>
      <w:r w:rsidRPr="009C1284">
        <w:rPr>
          <w:rFonts w:asciiTheme="majorHAnsi" w:hAnsiTheme="majorHAnsi"/>
          <w:bCs/>
          <w:i/>
          <w:sz w:val="20"/>
          <w:szCs w:val="20"/>
          <w:lang w:val="en-US"/>
        </w:rPr>
        <w:t>Population and Housing Census 2002 National Census Report</w:t>
      </w:r>
      <w:r w:rsidRPr="009C1284">
        <w:rPr>
          <w:rFonts w:asciiTheme="majorHAnsi" w:hAnsiTheme="majorHAnsi"/>
          <w:bCs/>
          <w:sz w:val="20"/>
          <w:szCs w:val="20"/>
          <w:lang w:val="en-US"/>
        </w:rPr>
        <w:t>, 2002, Chapter</w:t>
      </w:r>
      <w:r w:rsidRPr="009C1284">
        <w:rPr>
          <w:rFonts w:asciiTheme="majorHAnsi" w:eastAsia="Times New Roman" w:hAnsiTheme="majorHAnsi"/>
          <w:sz w:val="20"/>
          <w:szCs w:val="20"/>
          <w:lang w:val="en-US"/>
        </w:rPr>
        <w:t xml:space="preserve"> 8 – Disability and Health, pp. 149-154, available at: </w:t>
      </w:r>
      <w:r w:rsidRPr="00B069D7">
        <w:rPr>
          <w:rFonts w:asciiTheme="majorHAnsi" w:hAnsiTheme="majorHAnsi"/>
          <w:sz w:val="20"/>
          <w:szCs w:val="20"/>
        </w:rPr>
        <w:t>http://www.statisticsguyana.gov.gy/pubs/Chapter8_Disability_Health.pdf</w:t>
      </w:r>
      <w:r w:rsidRPr="009C1284">
        <w:rPr>
          <w:rFonts w:asciiTheme="majorHAnsi" w:hAnsiTheme="majorHAnsi"/>
          <w:sz w:val="20"/>
          <w:szCs w:val="20"/>
        </w:rPr>
        <w:t>.</w:t>
      </w:r>
      <w:r w:rsidRPr="009C1284">
        <w:rPr>
          <w:rFonts w:asciiTheme="majorHAnsi" w:eastAsia="Times New Roman" w:hAnsiTheme="majorHAnsi"/>
          <w:sz w:val="20"/>
          <w:szCs w:val="20"/>
          <w:lang w:val="en-US"/>
        </w:rPr>
        <w:t xml:space="preserve"> </w:t>
      </w:r>
    </w:p>
    <w:p w:rsidR="00997603" w:rsidRPr="009C1284" w:rsidRDefault="00997603" w:rsidP="00416F15">
      <w:pPr>
        <w:jc w:val="left"/>
        <w:rPr>
          <w:rFonts w:asciiTheme="majorHAnsi" w:eastAsia="Times New Roman" w:hAnsiTheme="majorHAnsi"/>
          <w:sz w:val="20"/>
          <w:szCs w:val="20"/>
          <w:lang w:val="en-US"/>
        </w:rPr>
      </w:pPr>
    </w:p>
  </w:footnote>
  <w:footnote w:id="56">
    <w:p w:rsidR="00997603" w:rsidRDefault="00997603" w:rsidP="00416F15">
      <w:pPr>
        <w:pStyle w:val="FootnoteText"/>
      </w:pPr>
      <w:r w:rsidRPr="009C1284">
        <w:rPr>
          <w:rStyle w:val="FootnoteCharacters"/>
        </w:rPr>
        <w:footnoteRef/>
      </w:r>
      <w:r w:rsidRPr="009C1284">
        <w:t xml:space="preserve"> National Commission on Disability, </w:t>
      </w:r>
      <w:r w:rsidRPr="009C1284">
        <w:rPr>
          <w:i/>
        </w:rPr>
        <w:t>Raising the Profile of Disability in Guyana</w:t>
      </w:r>
      <w:r w:rsidRPr="009C1284">
        <w:t>, 2005, available at:</w:t>
      </w:r>
      <w:r>
        <w:t xml:space="preserve"> </w:t>
      </w:r>
      <w:r w:rsidRPr="00B069D7">
        <w:t>http://www.statisticsguyana.gov.gy/pubs/Disability_Guyana.pdf</w:t>
      </w:r>
      <w:r w:rsidRPr="009C1284">
        <w:t xml:space="preserve">. </w:t>
      </w:r>
    </w:p>
    <w:p w:rsidR="00997603" w:rsidRPr="009C1284" w:rsidRDefault="00997603" w:rsidP="00416F15">
      <w:pPr>
        <w:pStyle w:val="FootnoteText"/>
      </w:pPr>
    </w:p>
  </w:footnote>
  <w:footnote w:id="57">
    <w:p w:rsidR="00A733B8" w:rsidRPr="00416F15" w:rsidRDefault="00A733B8" w:rsidP="00A733B8">
      <w:pPr>
        <w:jc w:val="left"/>
        <w:rPr>
          <w:rFonts w:asciiTheme="majorHAnsi" w:eastAsia="Times New Roman" w:hAnsiTheme="majorHAnsi"/>
          <w:sz w:val="20"/>
          <w:szCs w:val="20"/>
          <w:lang w:val="en-US"/>
        </w:rPr>
      </w:pPr>
      <w:r w:rsidRPr="00416F15">
        <w:rPr>
          <w:rStyle w:val="FootnoteCharacters"/>
          <w:rFonts w:asciiTheme="majorHAnsi" w:hAnsiTheme="majorHAnsi"/>
          <w:sz w:val="20"/>
          <w:szCs w:val="20"/>
        </w:rPr>
        <w:footnoteRef/>
      </w:r>
      <w:r w:rsidRPr="00416F15">
        <w:rPr>
          <w:rFonts w:asciiTheme="majorHAnsi" w:eastAsia="Times New Roman" w:hAnsiTheme="majorHAnsi"/>
          <w:sz w:val="20"/>
          <w:szCs w:val="20"/>
          <w:lang w:val="en-US"/>
        </w:rPr>
        <w:t xml:space="preserve"> Equal Rights Trust, </w:t>
      </w:r>
      <w:r w:rsidRPr="00416F15">
        <w:rPr>
          <w:rFonts w:asciiTheme="majorHAnsi" w:hAnsiTheme="majorHAnsi"/>
          <w:sz w:val="20"/>
          <w:szCs w:val="20"/>
        </w:rPr>
        <w:t xml:space="preserve">Focus Group </w:t>
      </w:r>
      <w:r w:rsidRPr="00416F15">
        <w:rPr>
          <w:rFonts w:asciiTheme="majorHAnsi" w:eastAsia="Times New Roman" w:hAnsiTheme="majorHAnsi"/>
          <w:sz w:val="20"/>
          <w:szCs w:val="20"/>
          <w:lang w:val="en-US"/>
        </w:rPr>
        <w:t>with 19 persons with disabilities, Georgetown, Guyana, September 2011.</w:t>
      </w:r>
    </w:p>
    <w:p w:rsidR="00A733B8" w:rsidRPr="00416F15" w:rsidRDefault="00A733B8" w:rsidP="00A733B8">
      <w:pPr>
        <w:jc w:val="left"/>
        <w:rPr>
          <w:rFonts w:asciiTheme="majorHAnsi" w:eastAsia="Times New Roman" w:hAnsiTheme="majorHAnsi"/>
          <w:sz w:val="20"/>
          <w:szCs w:val="20"/>
          <w:lang w:val="en-US"/>
        </w:rPr>
      </w:pPr>
    </w:p>
  </w:footnote>
  <w:footnote w:id="58">
    <w:p w:rsidR="00A733B8" w:rsidRPr="00416F15" w:rsidRDefault="00A733B8" w:rsidP="00A733B8">
      <w:pPr>
        <w:jc w:val="left"/>
        <w:rPr>
          <w:rFonts w:asciiTheme="majorHAnsi" w:eastAsia="Times New Roman" w:hAnsiTheme="majorHAnsi"/>
          <w:sz w:val="20"/>
          <w:szCs w:val="20"/>
          <w:lang w:val="en-US"/>
        </w:rPr>
      </w:pPr>
      <w:r w:rsidRPr="00416F15">
        <w:rPr>
          <w:rStyle w:val="FootnoteCharacters"/>
          <w:rFonts w:asciiTheme="majorHAnsi" w:hAnsiTheme="majorHAnsi"/>
          <w:sz w:val="20"/>
          <w:szCs w:val="20"/>
        </w:rPr>
        <w:footnoteRef/>
      </w:r>
      <w:r w:rsidRPr="00416F15">
        <w:rPr>
          <w:rFonts w:asciiTheme="majorHAnsi" w:eastAsia="Times New Roman" w:hAnsiTheme="majorHAnsi"/>
          <w:sz w:val="20"/>
          <w:szCs w:val="20"/>
          <w:lang w:val="en-US"/>
        </w:rPr>
        <w:t xml:space="preserve"> </w:t>
      </w:r>
      <w:r w:rsidRPr="00416F15">
        <w:rPr>
          <w:rFonts w:asciiTheme="majorHAnsi" w:hAnsiTheme="majorHAnsi"/>
          <w:sz w:val="20"/>
          <w:szCs w:val="20"/>
        </w:rPr>
        <w:t xml:space="preserve">See above, note </w:t>
      </w:r>
      <w:r w:rsidR="00825BF9">
        <w:rPr>
          <w:rFonts w:asciiTheme="majorHAnsi" w:hAnsiTheme="majorHAnsi"/>
          <w:sz w:val="20"/>
          <w:szCs w:val="20"/>
        </w:rPr>
        <w:t>56</w:t>
      </w:r>
      <w:r w:rsidRPr="00416F15">
        <w:rPr>
          <w:rFonts w:asciiTheme="majorHAnsi" w:hAnsiTheme="majorHAnsi"/>
          <w:sz w:val="20"/>
          <w:szCs w:val="20"/>
        </w:rPr>
        <w:t>, p. 41, Table 7.</w:t>
      </w:r>
      <w:r w:rsidRPr="00416F15">
        <w:rPr>
          <w:rFonts w:asciiTheme="majorHAnsi" w:eastAsia="Times New Roman" w:hAnsiTheme="majorHAnsi"/>
          <w:sz w:val="20"/>
          <w:szCs w:val="20"/>
          <w:lang w:val="en-US"/>
        </w:rPr>
        <w:t xml:space="preserve"> </w:t>
      </w:r>
    </w:p>
    <w:p w:rsidR="00A733B8" w:rsidRPr="00416F15" w:rsidRDefault="00A733B8" w:rsidP="00A733B8">
      <w:pPr>
        <w:jc w:val="left"/>
        <w:rPr>
          <w:rFonts w:asciiTheme="majorHAnsi" w:eastAsia="Times New Roman" w:hAnsiTheme="majorHAnsi"/>
          <w:sz w:val="20"/>
          <w:szCs w:val="20"/>
          <w:lang w:val="en-US"/>
        </w:rPr>
      </w:pPr>
    </w:p>
  </w:footnote>
  <w:footnote w:id="59">
    <w:p w:rsidR="00A733B8" w:rsidRPr="00416F15" w:rsidRDefault="00A733B8" w:rsidP="00A733B8">
      <w:pPr>
        <w:jc w:val="left"/>
        <w:rPr>
          <w:rFonts w:asciiTheme="majorHAnsi" w:eastAsia="Times New Roman" w:hAnsiTheme="majorHAnsi"/>
          <w:sz w:val="20"/>
          <w:szCs w:val="20"/>
          <w:lang w:val="en-US"/>
        </w:rPr>
      </w:pPr>
      <w:r w:rsidRPr="00416F15">
        <w:rPr>
          <w:rStyle w:val="FootnoteCharacters"/>
          <w:rFonts w:asciiTheme="majorHAnsi" w:hAnsiTheme="majorHAnsi"/>
          <w:sz w:val="20"/>
          <w:szCs w:val="20"/>
        </w:rPr>
        <w:footnoteRef/>
      </w:r>
      <w:r w:rsidRPr="00416F15">
        <w:rPr>
          <w:rFonts w:asciiTheme="majorHAnsi" w:eastAsia="Times New Roman" w:hAnsiTheme="majorHAnsi"/>
          <w:sz w:val="20"/>
          <w:szCs w:val="20"/>
          <w:lang w:val="en-US"/>
        </w:rPr>
        <w:t xml:space="preserve"> </w:t>
      </w:r>
      <w:r w:rsidRPr="00416F15">
        <w:rPr>
          <w:rFonts w:asciiTheme="majorHAnsi" w:hAnsiTheme="majorHAnsi"/>
          <w:i/>
          <w:sz w:val="20"/>
          <w:szCs w:val="20"/>
        </w:rPr>
        <w:t>Ibid.</w:t>
      </w:r>
    </w:p>
    <w:p w:rsidR="00A733B8" w:rsidRPr="00416F15" w:rsidRDefault="00A733B8" w:rsidP="00A733B8">
      <w:pPr>
        <w:jc w:val="left"/>
        <w:rPr>
          <w:rFonts w:asciiTheme="majorHAnsi" w:eastAsia="Times New Roman" w:hAnsiTheme="majorHAnsi"/>
          <w:sz w:val="20"/>
          <w:szCs w:val="20"/>
          <w:lang w:val="en-US"/>
        </w:rPr>
      </w:pPr>
    </w:p>
  </w:footnote>
  <w:footnote w:id="60">
    <w:p w:rsidR="00A733B8" w:rsidRPr="00416F15" w:rsidRDefault="00A733B8" w:rsidP="00A733B8">
      <w:pPr>
        <w:jc w:val="left"/>
        <w:rPr>
          <w:rFonts w:asciiTheme="majorHAnsi" w:eastAsia="Times New Roman" w:hAnsiTheme="majorHAnsi"/>
          <w:sz w:val="20"/>
          <w:szCs w:val="20"/>
          <w:lang w:val="en-US"/>
        </w:rPr>
      </w:pPr>
      <w:r w:rsidRPr="00416F15">
        <w:rPr>
          <w:rStyle w:val="FootnoteCharacters"/>
          <w:rFonts w:asciiTheme="majorHAnsi" w:hAnsiTheme="majorHAnsi"/>
          <w:sz w:val="20"/>
          <w:szCs w:val="20"/>
        </w:rPr>
        <w:footnoteRef/>
      </w:r>
      <w:r w:rsidRPr="00416F15">
        <w:rPr>
          <w:rFonts w:asciiTheme="majorHAnsi" w:hAnsiTheme="majorHAnsi"/>
          <w:sz w:val="20"/>
          <w:szCs w:val="20"/>
        </w:rPr>
        <w:t xml:space="preserve"> </w:t>
      </w:r>
      <w:r w:rsidRPr="00416F15">
        <w:rPr>
          <w:rFonts w:asciiTheme="majorHAnsi" w:hAnsiTheme="majorHAnsi"/>
          <w:i/>
          <w:sz w:val="20"/>
          <w:szCs w:val="20"/>
        </w:rPr>
        <w:t>Ibid.</w:t>
      </w:r>
      <w:r w:rsidRPr="00416F15">
        <w:rPr>
          <w:rFonts w:asciiTheme="majorHAnsi" w:hAnsiTheme="majorHAnsi"/>
          <w:sz w:val="20"/>
          <w:szCs w:val="20"/>
        </w:rPr>
        <w:t>, p. 43</w:t>
      </w:r>
      <w:r w:rsidRPr="00416F15">
        <w:rPr>
          <w:rFonts w:asciiTheme="majorHAnsi" w:eastAsia="Times New Roman" w:hAnsiTheme="majorHAnsi"/>
          <w:sz w:val="20"/>
          <w:szCs w:val="20"/>
          <w:lang w:val="en-US"/>
        </w:rPr>
        <w:t xml:space="preserve">. </w:t>
      </w:r>
    </w:p>
    <w:p w:rsidR="00A733B8" w:rsidRPr="00416F15" w:rsidRDefault="00A733B8" w:rsidP="00A733B8">
      <w:pPr>
        <w:jc w:val="left"/>
        <w:rPr>
          <w:rFonts w:asciiTheme="majorHAnsi" w:eastAsia="Times New Roman" w:hAnsiTheme="majorHAnsi"/>
          <w:sz w:val="20"/>
          <w:szCs w:val="20"/>
          <w:lang w:val="en-US"/>
        </w:rPr>
      </w:pPr>
    </w:p>
  </w:footnote>
  <w:footnote w:id="61">
    <w:p w:rsidR="003179E4" w:rsidRPr="00342077" w:rsidRDefault="003179E4" w:rsidP="003179E4">
      <w:pPr>
        <w:pStyle w:val="FootnoteText"/>
        <w:keepNext/>
        <w:keepLines/>
        <w:rPr>
          <w:b/>
        </w:rPr>
      </w:pPr>
      <w:r w:rsidRPr="00342077">
        <w:rPr>
          <w:rStyle w:val="FootnoteReference"/>
        </w:rPr>
        <w:footnoteRef/>
      </w:r>
      <w:r w:rsidRPr="00342077">
        <w:t xml:space="preserve"> Committee on Economic, Social and Cultural Rights, </w:t>
      </w:r>
      <w:r w:rsidRPr="00342077">
        <w:rPr>
          <w:i/>
        </w:rPr>
        <w:t>General Comment No. 18: Article 6: the equal right of men and women to the enjoyment of all economic, social and cultural rights</w:t>
      </w:r>
      <w:r w:rsidRPr="00342077">
        <w:t xml:space="preserve">, UN Doc. E/C.12/GC/18, 2006, Para </w:t>
      </w:r>
      <w:r>
        <w:t>4</w:t>
      </w:r>
      <w:r w:rsidRPr="00342077">
        <w:t>.</w:t>
      </w:r>
    </w:p>
    <w:p w:rsidR="003179E4" w:rsidRDefault="003179E4" w:rsidP="003179E4">
      <w:pPr>
        <w:pStyle w:val="FootnoteText"/>
        <w:keepNext/>
        <w:keepLines/>
      </w:pPr>
    </w:p>
  </w:footnote>
  <w:footnote w:id="62">
    <w:p w:rsidR="00A733B8" w:rsidRPr="00416F15" w:rsidRDefault="00A733B8" w:rsidP="00A733B8">
      <w:pPr>
        <w:jc w:val="left"/>
        <w:rPr>
          <w:rFonts w:asciiTheme="majorHAnsi" w:eastAsia="Times New Roman" w:hAnsiTheme="majorHAnsi"/>
          <w:sz w:val="20"/>
          <w:szCs w:val="20"/>
          <w:lang w:val="en-US"/>
        </w:rPr>
      </w:pPr>
      <w:r w:rsidRPr="00416F15">
        <w:rPr>
          <w:rStyle w:val="FootnoteCharacters"/>
          <w:rFonts w:asciiTheme="majorHAnsi" w:hAnsiTheme="majorHAnsi"/>
          <w:sz w:val="20"/>
          <w:szCs w:val="20"/>
        </w:rPr>
        <w:footnoteRef/>
      </w:r>
      <w:r w:rsidRPr="00416F15">
        <w:rPr>
          <w:rFonts w:asciiTheme="majorHAnsi" w:eastAsia="Times New Roman" w:hAnsiTheme="majorHAnsi"/>
          <w:sz w:val="20"/>
          <w:szCs w:val="20"/>
          <w:lang w:val="en-US"/>
        </w:rPr>
        <w:t xml:space="preserve"> </w:t>
      </w:r>
      <w:r w:rsidR="005F1F5B">
        <w:rPr>
          <w:rFonts w:asciiTheme="majorHAnsi" w:hAnsiTheme="majorHAnsi"/>
          <w:sz w:val="20"/>
          <w:szCs w:val="20"/>
        </w:rPr>
        <w:t>See above, note 57</w:t>
      </w:r>
      <w:r w:rsidRPr="00416F15">
        <w:rPr>
          <w:rFonts w:asciiTheme="majorHAnsi" w:hAnsiTheme="majorHAnsi"/>
          <w:sz w:val="20"/>
          <w:szCs w:val="20"/>
        </w:rPr>
        <w:t>.</w:t>
      </w:r>
    </w:p>
    <w:p w:rsidR="00A733B8" w:rsidRPr="009C1284" w:rsidRDefault="00A733B8" w:rsidP="00A733B8">
      <w:pPr>
        <w:jc w:val="left"/>
        <w:rPr>
          <w:rFonts w:asciiTheme="majorHAnsi" w:eastAsia="Times New Roman" w:hAnsiTheme="majorHAnsi"/>
          <w:sz w:val="20"/>
          <w:szCs w:val="20"/>
          <w:lang w:val="en-US"/>
        </w:rPr>
      </w:pPr>
    </w:p>
  </w:footnote>
  <w:footnote w:id="63">
    <w:p w:rsidR="00A733B8" w:rsidRDefault="00A733B8" w:rsidP="00A733B8">
      <w:pPr>
        <w:jc w:val="left"/>
        <w:rPr>
          <w:rFonts w:asciiTheme="majorHAnsi" w:eastAsia="Times New Roman" w:hAnsiTheme="majorHAnsi"/>
          <w:sz w:val="20"/>
          <w:szCs w:val="20"/>
          <w:lang w:val="en-US"/>
        </w:rPr>
      </w:pPr>
      <w:r w:rsidRPr="009C1284">
        <w:rPr>
          <w:rStyle w:val="FootnoteCharacters"/>
          <w:rFonts w:asciiTheme="majorHAnsi" w:hAnsiTheme="majorHAnsi"/>
          <w:sz w:val="20"/>
          <w:szCs w:val="20"/>
        </w:rPr>
        <w:footnoteRef/>
      </w:r>
      <w:r w:rsidRPr="009C1284">
        <w:rPr>
          <w:rFonts w:asciiTheme="majorHAnsi" w:eastAsia="Times New Roman" w:hAnsiTheme="majorHAnsi"/>
          <w:sz w:val="20"/>
          <w:szCs w:val="20"/>
          <w:lang w:val="en-US"/>
        </w:rPr>
        <w:t xml:space="preserve"> </w:t>
      </w:r>
      <w:r w:rsidR="005F1F5B">
        <w:rPr>
          <w:rFonts w:asciiTheme="majorHAnsi" w:eastAsia="Times New Roman" w:hAnsiTheme="majorHAnsi"/>
          <w:sz w:val="20"/>
          <w:szCs w:val="20"/>
          <w:lang w:val="en-US"/>
        </w:rPr>
        <w:t>Equal Rights Trust,</w:t>
      </w:r>
      <w:r w:rsidR="005F1F5B" w:rsidRPr="009C1284">
        <w:rPr>
          <w:rFonts w:asciiTheme="majorHAnsi" w:eastAsia="Times New Roman" w:hAnsiTheme="majorHAnsi"/>
          <w:sz w:val="20"/>
          <w:szCs w:val="20"/>
          <w:lang w:val="en-US"/>
        </w:rPr>
        <w:t xml:space="preserve"> </w:t>
      </w:r>
      <w:r w:rsidR="005F1F5B" w:rsidRPr="009C1284">
        <w:rPr>
          <w:rFonts w:asciiTheme="majorHAnsi" w:hAnsiTheme="majorHAnsi"/>
          <w:sz w:val="20"/>
          <w:szCs w:val="20"/>
        </w:rPr>
        <w:t xml:space="preserve">Focus Groups </w:t>
      </w:r>
      <w:r w:rsidR="005F1F5B" w:rsidRPr="009C1284">
        <w:rPr>
          <w:rFonts w:asciiTheme="majorHAnsi" w:eastAsia="Times New Roman" w:hAnsiTheme="majorHAnsi"/>
          <w:sz w:val="20"/>
          <w:szCs w:val="20"/>
          <w:lang w:val="en-US"/>
        </w:rPr>
        <w:t>with 41 persons with disabilities and the Guyana Deaf Mission in Georgetown, New Amsterdam and McKenzie Guyana, September 2011</w:t>
      </w:r>
      <w:r>
        <w:rPr>
          <w:rFonts w:asciiTheme="majorHAnsi" w:eastAsia="Times New Roman" w:hAnsiTheme="majorHAnsi"/>
          <w:sz w:val="20"/>
          <w:szCs w:val="20"/>
          <w:lang w:val="en-US"/>
        </w:rPr>
        <w:t>.</w:t>
      </w:r>
    </w:p>
    <w:p w:rsidR="00A733B8" w:rsidRPr="009C1284" w:rsidRDefault="00A733B8" w:rsidP="00A733B8">
      <w:pPr>
        <w:jc w:val="left"/>
        <w:rPr>
          <w:rFonts w:asciiTheme="majorHAnsi" w:eastAsia="Times New Roman" w:hAnsiTheme="majorHAnsi"/>
          <w:sz w:val="20"/>
          <w:szCs w:val="20"/>
          <w:lang w:val="en-US"/>
        </w:rPr>
      </w:pPr>
    </w:p>
  </w:footnote>
  <w:footnote w:id="64">
    <w:p w:rsidR="00A733B8" w:rsidRDefault="00A733B8" w:rsidP="00A733B8">
      <w:pPr>
        <w:pStyle w:val="FootnoteText"/>
      </w:pPr>
      <w:r w:rsidRPr="009C1284">
        <w:rPr>
          <w:rStyle w:val="FootnoteCharacters"/>
        </w:rPr>
        <w:footnoteRef/>
      </w:r>
      <w:r>
        <w:t xml:space="preserve"> See above, note </w:t>
      </w:r>
      <w:r w:rsidR="005F1F5B">
        <w:t>56</w:t>
      </w:r>
      <w:r>
        <w:t>, p. 42.</w:t>
      </w:r>
    </w:p>
    <w:p w:rsidR="00A733B8" w:rsidRPr="009C1284" w:rsidRDefault="00A733B8" w:rsidP="00A733B8">
      <w:pPr>
        <w:pStyle w:val="FootnoteText"/>
        <w:rPr>
          <w:lang w:val="en-US"/>
        </w:rPr>
      </w:pPr>
    </w:p>
  </w:footnote>
  <w:footnote w:id="65">
    <w:p w:rsidR="00A733B8" w:rsidRDefault="00A733B8" w:rsidP="00A733B8">
      <w:pPr>
        <w:jc w:val="left"/>
        <w:rPr>
          <w:rFonts w:asciiTheme="majorHAnsi" w:eastAsia="Times New Roman" w:hAnsiTheme="majorHAnsi"/>
          <w:sz w:val="20"/>
          <w:szCs w:val="20"/>
          <w:lang w:val="en-US"/>
        </w:rPr>
      </w:pPr>
      <w:r w:rsidRPr="009C1284">
        <w:rPr>
          <w:rStyle w:val="FootnoteCharacters"/>
          <w:rFonts w:asciiTheme="majorHAnsi" w:hAnsiTheme="majorHAnsi"/>
          <w:sz w:val="20"/>
          <w:szCs w:val="20"/>
        </w:rPr>
        <w:footnoteRef/>
      </w:r>
      <w:r>
        <w:rPr>
          <w:rFonts w:asciiTheme="majorHAnsi" w:eastAsia="Times New Roman" w:hAnsiTheme="majorHAnsi"/>
          <w:sz w:val="20"/>
          <w:szCs w:val="20"/>
          <w:lang w:val="en-US"/>
        </w:rPr>
        <w:t xml:space="preserve"> </w:t>
      </w:r>
      <w:r w:rsidR="005F1F5B">
        <w:rPr>
          <w:rFonts w:asciiTheme="majorHAnsi" w:eastAsia="Times New Roman" w:hAnsiTheme="majorHAnsi"/>
          <w:sz w:val="20"/>
          <w:szCs w:val="20"/>
          <w:lang w:val="en-US"/>
        </w:rPr>
        <w:t>See above, note 63</w:t>
      </w:r>
      <w:r w:rsidRPr="009C1284">
        <w:rPr>
          <w:rFonts w:asciiTheme="majorHAnsi" w:eastAsia="Times New Roman" w:hAnsiTheme="majorHAnsi"/>
          <w:sz w:val="20"/>
          <w:szCs w:val="20"/>
          <w:lang w:val="en-US"/>
        </w:rPr>
        <w:t>.</w:t>
      </w:r>
    </w:p>
    <w:p w:rsidR="00A733B8" w:rsidRPr="00B069D7" w:rsidRDefault="00A733B8" w:rsidP="00A733B8">
      <w:pPr>
        <w:jc w:val="left"/>
        <w:rPr>
          <w:rFonts w:asciiTheme="majorHAnsi" w:hAnsiTheme="majorHAnsi"/>
          <w:sz w:val="20"/>
          <w:szCs w:val="20"/>
        </w:rPr>
      </w:pPr>
    </w:p>
  </w:footnote>
  <w:footnote w:id="66">
    <w:p w:rsidR="00A733B8" w:rsidRPr="00416F15" w:rsidRDefault="00A733B8" w:rsidP="00A733B8">
      <w:pPr>
        <w:pStyle w:val="FootnoteText"/>
        <w:rPr>
          <w:i/>
          <w:lang w:val="en-US"/>
        </w:rPr>
      </w:pPr>
      <w:r w:rsidRPr="009C1284">
        <w:rPr>
          <w:rStyle w:val="FootnoteCharacters"/>
        </w:rPr>
        <w:footnoteRef/>
      </w:r>
      <w:r w:rsidRPr="009C1284">
        <w:t xml:space="preserve"> </w:t>
      </w:r>
      <w:r>
        <w:rPr>
          <w:i/>
        </w:rPr>
        <w:t>Ibid.</w:t>
      </w:r>
    </w:p>
    <w:p w:rsidR="00A733B8" w:rsidRPr="009C1284" w:rsidRDefault="00A733B8" w:rsidP="00A733B8">
      <w:pPr>
        <w:pStyle w:val="FootnoteText"/>
        <w:rPr>
          <w:lang w:val="en-US"/>
        </w:rPr>
      </w:pPr>
    </w:p>
  </w:footnote>
  <w:footnote w:id="67">
    <w:p w:rsidR="00997603" w:rsidRPr="00416F15" w:rsidRDefault="00997603" w:rsidP="00416F15">
      <w:pPr>
        <w:jc w:val="left"/>
        <w:rPr>
          <w:rFonts w:asciiTheme="majorHAnsi" w:eastAsia="Times New Roman" w:hAnsiTheme="majorHAnsi"/>
          <w:sz w:val="20"/>
          <w:szCs w:val="20"/>
          <w:lang w:val="en-US"/>
        </w:rPr>
      </w:pPr>
      <w:r w:rsidRPr="009C1284">
        <w:rPr>
          <w:rStyle w:val="FootnoteCharacters"/>
          <w:rFonts w:asciiTheme="majorHAnsi" w:hAnsiTheme="majorHAnsi"/>
          <w:sz w:val="20"/>
          <w:szCs w:val="20"/>
        </w:rPr>
        <w:footnoteRef/>
      </w:r>
      <w:r w:rsidRPr="009C1284">
        <w:rPr>
          <w:rFonts w:asciiTheme="majorHAnsi" w:eastAsia="Times New Roman" w:hAnsiTheme="majorHAnsi"/>
          <w:sz w:val="20"/>
          <w:szCs w:val="20"/>
          <w:lang w:val="en-US"/>
        </w:rPr>
        <w:t xml:space="preserve"> </w:t>
      </w:r>
      <w:r w:rsidR="005F1F5B">
        <w:rPr>
          <w:rFonts w:asciiTheme="majorHAnsi" w:hAnsiTheme="majorHAnsi"/>
          <w:sz w:val="20"/>
          <w:szCs w:val="20"/>
        </w:rPr>
        <w:t>See above, note 56</w:t>
      </w:r>
      <w:r w:rsidR="00416F15">
        <w:rPr>
          <w:rFonts w:asciiTheme="majorHAnsi" w:hAnsiTheme="majorHAnsi"/>
          <w:i/>
          <w:sz w:val="20"/>
          <w:szCs w:val="20"/>
        </w:rPr>
        <w:t xml:space="preserve">., </w:t>
      </w:r>
      <w:r w:rsidR="00416F15">
        <w:rPr>
          <w:rFonts w:asciiTheme="majorHAnsi" w:hAnsiTheme="majorHAnsi"/>
          <w:sz w:val="20"/>
          <w:szCs w:val="20"/>
        </w:rPr>
        <w:t>p.20</w:t>
      </w:r>
    </w:p>
    <w:p w:rsidR="00997603" w:rsidRPr="009C1284" w:rsidRDefault="00997603" w:rsidP="00416F15">
      <w:pPr>
        <w:jc w:val="left"/>
        <w:rPr>
          <w:rFonts w:asciiTheme="majorHAnsi" w:eastAsia="Times New Roman" w:hAnsiTheme="majorHAnsi"/>
          <w:sz w:val="20"/>
          <w:szCs w:val="20"/>
          <w:lang w:val="en-US"/>
        </w:rPr>
      </w:pPr>
    </w:p>
  </w:footnote>
  <w:footnote w:id="68">
    <w:p w:rsidR="00997603" w:rsidRDefault="00997603" w:rsidP="00416F15">
      <w:pPr>
        <w:jc w:val="left"/>
        <w:rPr>
          <w:rFonts w:asciiTheme="majorHAnsi" w:eastAsia="Times New Roman" w:hAnsiTheme="majorHAnsi"/>
          <w:sz w:val="20"/>
          <w:szCs w:val="20"/>
          <w:lang w:val="en-US"/>
        </w:rPr>
      </w:pPr>
      <w:r w:rsidRPr="009C1284">
        <w:rPr>
          <w:rStyle w:val="FootnoteCharacters"/>
          <w:rFonts w:asciiTheme="majorHAnsi" w:hAnsiTheme="majorHAnsi"/>
          <w:sz w:val="20"/>
          <w:szCs w:val="20"/>
        </w:rPr>
        <w:footnoteRef/>
      </w:r>
      <w:r w:rsidR="00416F15">
        <w:rPr>
          <w:rFonts w:asciiTheme="majorHAnsi" w:hAnsiTheme="majorHAnsi"/>
          <w:i/>
          <w:sz w:val="20"/>
          <w:szCs w:val="20"/>
        </w:rPr>
        <w:t xml:space="preserve"> Ibid.</w:t>
      </w:r>
      <w:r w:rsidRPr="009C1284">
        <w:rPr>
          <w:rFonts w:asciiTheme="majorHAnsi" w:eastAsia="Times New Roman" w:hAnsiTheme="majorHAnsi"/>
          <w:sz w:val="20"/>
          <w:szCs w:val="20"/>
          <w:lang w:val="en-US"/>
        </w:rPr>
        <w:t xml:space="preserve"> </w:t>
      </w:r>
    </w:p>
    <w:p w:rsidR="00997603" w:rsidRPr="009C1284" w:rsidRDefault="00997603" w:rsidP="00416F15">
      <w:pPr>
        <w:jc w:val="left"/>
        <w:rPr>
          <w:rFonts w:asciiTheme="majorHAnsi" w:eastAsia="Times New Roman" w:hAnsiTheme="majorHAnsi"/>
          <w:sz w:val="20"/>
          <w:szCs w:val="20"/>
          <w:lang w:val="en-US"/>
        </w:rPr>
      </w:pPr>
    </w:p>
  </w:footnote>
  <w:footnote w:id="69">
    <w:p w:rsidR="00997603" w:rsidRDefault="00997603" w:rsidP="00416F15">
      <w:pPr>
        <w:pStyle w:val="FootnoteText"/>
        <w:rPr>
          <w:lang w:val="en-US"/>
        </w:rPr>
      </w:pPr>
      <w:r w:rsidRPr="009C1284">
        <w:rPr>
          <w:rStyle w:val="FootnoteCharacters"/>
        </w:rPr>
        <w:footnoteRef/>
      </w:r>
      <w:r w:rsidRPr="009C1284">
        <w:t xml:space="preserve"> </w:t>
      </w:r>
      <w:r w:rsidR="00416F15">
        <w:rPr>
          <w:i/>
        </w:rPr>
        <w:t>Ibid.,</w:t>
      </w:r>
      <w:r w:rsidR="00416F15" w:rsidRPr="009C1284">
        <w:t xml:space="preserve"> p. 25</w:t>
      </w:r>
      <w:r w:rsidR="00416F15">
        <w:t>.</w:t>
      </w:r>
    </w:p>
    <w:p w:rsidR="00997603" w:rsidRPr="009C1284" w:rsidRDefault="00997603" w:rsidP="00416F15">
      <w:pPr>
        <w:pStyle w:val="FootnoteText"/>
        <w:rPr>
          <w:lang w:val="en-US"/>
        </w:rPr>
      </w:pPr>
    </w:p>
  </w:footnote>
  <w:footnote w:id="70">
    <w:p w:rsidR="00997603" w:rsidRPr="00416F15" w:rsidRDefault="00997603" w:rsidP="00416F15">
      <w:pPr>
        <w:pStyle w:val="FootnoteText"/>
        <w:rPr>
          <w:lang w:val="en-US"/>
        </w:rPr>
      </w:pPr>
      <w:r w:rsidRPr="009C1284">
        <w:rPr>
          <w:rStyle w:val="FootnoteCharacters"/>
        </w:rPr>
        <w:footnoteRef/>
      </w:r>
      <w:r w:rsidRPr="009C1284">
        <w:t xml:space="preserve"> </w:t>
      </w:r>
      <w:r w:rsidR="00416F15">
        <w:rPr>
          <w:i/>
        </w:rPr>
        <w:t>Ibid.,</w:t>
      </w:r>
      <w:r w:rsidR="00416F15">
        <w:t xml:space="preserve"> p. 26.</w:t>
      </w:r>
    </w:p>
    <w:p w:rsidR="00997603" w:rsidRPr="00416F15" w:rsidRDefault="00997603" w:rsidP="00416F15">
      <w:pPr>
        <w:pStyle w:val="FootnoteText"/>
        <w:rPr>
          <w:lang w:val="en-US"/>
        </w:rPr>
      </w:pPr>
    </w:p>
  </w:footnote>
  <w:footnote w:id="71">
    <w:p w:rsidR="00997603" w:rsidRPr="00416F15" w:rsidRDefault="00997603" w:rsidP="00416F15">
      <w:pPr>
        <w:jc w:val="left"/>
        <w:rPr>
          <w:rFonts w:asciiTheme="majorHAnsi" w:eastAsia="Times New Roman" w:hAnsiTheme="majorHAnsi"/>
          <w:sz w:val="20"/>
          <w:szCs w:val="20"/>
          <w:lang w:val="en-US"/>
        </w:rPr>
      </w:pPr>
      <w:r w:rsidRPr="00416F15">
        <w:rPr>
          <w:rStyle w:val="FootnoteCharacters"/>
          <w:rFonts w:asciiTheme="majorHAnsi" w:hAnsiTheme="majorHAnsi"/>
          <w:sz w:val="20"/>
          <w:szCs w:val="20"/>
        </w:rPr>
        <w:footnoteRef/>
      </w:r>
      <w:r w:rsidRPr="00416F15">
        <w:rPr>
          <w:rFonts w:asciiTheme="majorHAnsi" w:eastAsia="Times New Roman" w:hAnsiTheme="majorHAnsi"/>
          <w:sz w:val="20"/>
          <w:szCs w:val="20"/>
          <w:lang w:val="en-US"/>
        </w:rPr>
        <w:t xml:space="preserve"> </w:t>
      </w:r>
      <w:r w:rsidR="00416F15" w:rsidRPr="00416F15">
        <w:rPr>
          <w:sz w:val="20"/>
          <w:szCs w:val="20"/>
        </w:rPr>
        <w:t xml:space="preserve">Equal Rights Trust, Interview </w:t>
      </w:r>
      <w:r w:rsidRPr="00416F15">
        <w:rPr>
          <w:rFonts w:asciiTheme="majorHAnsi" w:eastAsia="Times New Roman" w:hAnsiTheme="majorHAnsi"/>
          <w:sz w:val="20"/>
          <w:szCs w:val="20"/>
          <w:lang w:val="en-US"/>
        </w:rPr>
        <w:t>with the Guyana Deaf Mission, Georgetown, Guyana, September 2011.</w:t>
      </w:r>
    </w:p>
    <w:p w:rsidR="00416F15" w:rsidRPr="00416F15" w:rsidRDefault="00416F15" w:rsidP="00416F15">
      <w:pPr>
        <w:jc w:val="left"/>
        <w:rPr>
          <w:rFonts w:asciiTheme="majorHAnsi" w:eastAsia="Times New Roman" w:hAnsiTheme="majorHAnsi"/>
          <w:sz w:val="20"/>
          <w:szCs w:val="20"/>
          <w:lang w:val="en-US"/>
        </w:rPr>
      </w:pPr>
    </w:p>
  </w:footnote>
  <w:footnote w:id="72">
    <w:p w:rsidR="00997603" w:rsidRPr="00416F15" w:rsidRDefault="00997603" w:rsidP="00416F15">
      <w:pPr>
        <w:pStyle w:val="FootnoteText"/>
        <w:rPr>
          <w:rFonts w:eastAsia="Times New Roman"/>
          <w:lang w:val="en-US"/>
        </w:rPr>
      </w:pPr>
      <w:r w:rsidRPr="00416F15">
        <w:rPr>
          <w:rStyle w:val="FootnoteReference"/>
        </w:rPr>
        <w:footnoteRef/>
      </w:r>
      <w:r w:rsidRPr="00416F15">
        <w:t xml:space="preserve"> </w:t>
      </w:r>
      <w:r w:rsidR="00416F15" w:rsidRPr="00416F15">
        <w:rPr>
          <w:rFonts w:eastAsia="Times New Roman"/>
          <w:lang w:val="en-US"/>
        </w:rPr>
        <w:t>Equal Rights Trust, Interview</w:t>
      </w:r>
      <w:r w:rsidRPr="00416F15">
        <w:rPr>
          <w:rFonts w:eastAsia="Times New Roman"/>
          <w:lang w:val="en-US"/>
        </w:rPr>
        <w:t xml:space="preserve"> with Leroy Philips,</w:t>
      </w:r>
      <w:r w:rsidR="00416F15" w:rsidRPr="00416F15">
        <w:rPr>
          <w:rFonts w:eastAsia="Times New Roman"/>
          <w:lang w:val="en-US"/>
        </w:rPr>
        <w:t xml:space="preserve"> Georgetown, Guyana,</w:t>
      </w:r>
      <w:r w:rsidRPr="00416F15">
        <w:rPr>
          <w:rFonts w:eastAsia="Times New Roman"/>
          <w:lang w:val="en-US"/>
        </w:rPr>
        <w:t xml:space="preserve"> </w:t>
      </w:r>
      <w:r w:rsidR="00416F15" w:rsidRPr="00416F15">
        <w:rPr>
          <w:rFonts w:eastAsia="Times New Roman"/>
          <w:lang w:val="en-US"/>
        </w:rPr>
        <w:t>June 2012</w:t>
      </w:r>
      <w:r w:rsidRPr="00416F15">
        <w:rPr>
          <w:rFonts w:eastAsia="Times New Roman"/>
          <w:lang w:val="en-US"/>
        </w:rPr>
        <w:t>.</w:t>
      </w:r>
    </w:p>
    <w:p w:rsidR="00997603" w:rsidRPr="00416F15" w:rsidRDefault="00997603" w:rsidP="00416F15">
      <w:pPr>
        <w:pStyle w:val="FootnoteText"/>
      </w:pPr>
    </w:p>
  </w:footnote>
  <w:footnote w:id="73">
    <w:p w:rsidR="00997603" w:rsidRPr="00AF61A1" w:rsidRDefault="00997603" w:rsidP="00416F15">
      <w:pPr>
        <w:pStyle w:val="FootnoteText"/>
        <w:rPr>
          <w:rFonts w:ascii="Cambria" w:hAnsi="Cambria"/>
        </w:rPr>
      </w:pPr>
      <w:r w:rsidRPr="00AF61A1">
        <w:rPr>
          <w:rStyle w:val="FootnoteReference"/>
        </w:rPr>
        <w:footnoteRef/>
      </w:r>
      <w:r w:rsidRPr="00AF61A1">
        <w:rPr>
          <w:rFonts w:ascii="Cambria" w:hAnsi="Cambria"/>
        </w:rPr>
        <w:t xml:space="preserve"> </w:t>
      </w:r>
      <w:r w:rsidR="00416F15">
        <w:rPr>
          <w:rFonts w:ascii="Cambria" w:hAnsi="Cambria"/>
        </w:rPr>
        <w:t>See above, note 1,</w:t>
      </w:r>
      <w:r w:rsidRPr="00AF61A1">
        <w:rPr>
          <w:rFonts w:ascii="Cambria" w:hAnsi="Cambria"/>
          <w:i/>
        </w:rPr>
        <w:t xml:space="preserve"> </w:t>
      </w:r>
      <w:r w:rsidRPr="00AF61A1">
        <w:rPr>
          <w:rFonts w:ascii="Cambria" w:hAnsi="Cambria"/>
        </w:rPr>
        <w:t>Para 33.</w:t>
      </w:r>
    </w:p>
    <w:p w:rsidR="00997603" w:rsidRPr="00AF61A1" w:rsidRDefault="00997603" w:rsidP="00416F15">
      <w:pPr>
        <w:pStyle w:val="FootnoteText"/>
        <w:rPr>
          <w:rFonts w:ascii="Cambria" w:hAnsi="Cambria"/>
        </w:rPr>
      </w:pPr>
    </w:p>
  </w:footnote>
  <w:footnote w:id="74">
    <w:p w:rsidR="00E7328A" w:rsidRPr="00416F15" w:rsidRDefault="00E7328A" w:rsidP="00E7328A">
      <w:pPr>
        <w:jc w:val="left"/>
        <w:rPr>
          <w:rFonts w:asciiTheme="majorHAnsi" w:hAnsiTheme="majorHAnsi"/>
          <w:i/>
          <w:sz w:val="20"/>
          <w:szCs w:val="20"/>
        </w:rPr>
      </w:pPr>
      <w:r w:rsidRPr="009C1284">
        <w:rPr>
          <w:rStyle w:val="FootnoteCharacters"/>
          <w:rFonts w:asciiTheme="majorHAnsi" w:hAnsiTheme="majorHAnsi"/>
          <w:sz w:val="20"/>
          <w:szCs w:val="20"/>
        </w:rPr>
        <w:footnoteRef/>
      </w:r>
      <w:r>
        <w:rPr>
          <w:rFonts w:asciiTheme="majorHAnsi" w:hAnsiTheme="majorHAnsi"/>
          <w:sz w:val="20"/>
          <w:szCs w:val="20"/>
        </w:rPr>
        <w:t xml:space="preserve"> </w:t>
      </w:r>
      <w:r w:rsidR="005F1F5B">
        <w:rPr>
          <w:rFonts w:asciiTheme="majorHAnsi" w:hAnsiTheme="majorHAnsi"/>
          <w:sz w:val="20"/>
          <w:szCs w:val="20"/>
        </w:rPr>
        <w:t xml:space="preserve">Equal Rights Trust, </w:t>
      </w:r>
      <w:r w:rsidR="005F1F5B" w:rsidRPr="009C1284">
        <w:rPr>
          <w:rFonts w:asciiTheme="majorHAnsi" w:hAnsiTheme="majorHAnsi"/>
          <w:sz w:val="20"/>
          <w:szCs w:val="20"/>
        </w:rPr>
        <w:t xml:space="preserve">Focus Group </w:t>
      </w:r>
      <w:r w:rsidR="005F1F5B" w:rsidRPr="009C1284">
        <w:rPr>
          <w:rFonts w:asciiTheme="majorHAnsi" w:eastAsia="Times New Roman" w:hAnsiTheme="majorHAnsi"/>
          <w:sz w:val="20"/>
          <w:szCs w:val="20"/>
          <w:lang w:val="en-US"/>
        </w:rPr>
        <w:t>with 15 women living with HIV/AIDS in region 4, Guyana, September 2011.</w:t>
      </w:r>
    </w:p>
    <w:p w:rsidR="00E7328A" w:rsidRPr="009C1284" w:rsidRDefault="00E7328A" w:rsidP="00E7328A">
      <w:pPr>
        <w:jc w:val="left"/>
        <w:rPr>
          <w:rFonts w:asciiTheme="majorHAnsi" w:eastAsia="Times New Roman" w:hAnsiTheme="majorHAnsi"/>
          <w:sz w:val="20"/>
          <w:szCs w:val="20"/>
          <w:lang w:val="en-US"/>
        </w:rPr>
      </w:pPr>
    </w:p>
  </w:footnote>
  <w:footnote w:id="75">
    <w:p w:rsidR="00E7328A" w:rsidRDefault="00E7328A" w:rsidP="00E7328A">
      <w:pPr>
        <w:jc w:val="left"/>
        <w:rPr>
          <w:rFonts w:asciiTheme="majorHAnsi" w:eastAsia="Times New Roman" w:hAnsiTheme="majorHAnsi"/>
          <w:sz w:val="20"/>
          <w:szCs w:val="20"/>
          <w:lang w:val="en-US"/>
        </w:rPr>
      </w:pPr>
      <w:r w:rsidRPr="009C1284">
        <w:rPr>
          <w:rStyle w:val="FootnoteCharacters"/>
          <w:rFonts w:asciiTheme="majorHAnsi" w:hAnsiTheme="majorHAnsi"/>
          <w:sz w:val="20"/>
          <w:szCs w:val="20"/>
        </w:rPr>
        <w:footnoteRef/>
      </w:r>
      <w:r w:rsidRPr="009C1284">
        <w:rPr>
          <w:rFonts w:asciiTheme="majorHAnsi" w:eastAsia="Times New Roman" w:hAnsiTheme="majorHAnsi"/>
          <w:sz w:val="20"/>
          <w:szCs w:val="20"/>
          <w:lang w:val="en-US"/>
        </w:rPr>
        <w:t xml:space="preserve"> </w:t>
      </w:r>
      <w:r>
        <w:rPr>
          <w:rFonts w:asciiTheme="majorHAnsi" w:hAnsiTheme="majorHAnsi"/>
          <w:i/>
          <w:sz w:val="20"/>
          <w:szCs w:val="20"/>
        </w:rPr>
        <w:t>Ibid.</w:t>
      </w:r>
    </w:p>
    <w:p w:rsidR="00E7328A" w:rsidRPr="009C1284" w:rsidRDefault="00E7328A" w:rsidP="00E7328A">
      <w:pPr>
        <w:jc w:val="left"/>
        <w:rPr>
          <w:rFonts w:asciiTheme="majorHAnsi" w:eastAsia="Times New Roman" w:hAnsiTheme="majorHAnsi"/>
          <w:sz w:val="20"/>
          <w:szCs w:val="20"/>
          <w:lang w:val="en-US"/>
        </w:rPr>
      </w:pPr>
    </w:p>
  </w:footnote>
  <w:footnote w:id="76">
    <w:p w:rsidR="00E7328A" w:rsidRDefault="00E7328A" w:rsidP="00E7328A">
      <w:pPr>
        <w:jc w:val="left"/>
        <w:rPr>
          <w:rFonts w:asciiTheme="majorHAnsi" w:hAnsiTheme="majorHAnsi"/>
          <w:sz w:val="20"/>
          <w:szCs w:val="20"/>
        </w:rPr>
      </w:pPr>
      <w:r w:rsidRPr="009C1284">
        <w:rPr>
          <w:rStyle w:val="FootnoteCharacters"/>
          <w:rFonts w:asciiTheme="majorHAnsi" w:hAnsiTheme="majorHAnsi"/>
          <w:sz w:val="20"/>
          <w:szCs w:val="20"/>
        </w:rPr>
        <w:footnoteRef/>
      </w:r>
      <w:r w:rsidRPr="009C1284">
        <w:rPr>
          <w:rFonts w:asciiTheme="majorHAnsi" w:hAnsiTheme="majorHAnsi"/>
          <w:sz w:val="20"/>
          <w:szCs w:val="20"/>
        </w:rPr>
        <w:t xml:space="preserve"> UN AIDS, </w:t>
      </w:r>
      <w:r w:rsidRPr="009C1284">
        <w:rPr>
          <w:rFonts w:asciiTheme="majorHAnsi" w:hAnsiTheme="majorHAnsi"/>
          <w:i/>
          <w:sz w:val="20"/>
          <w:szCs w:val="20"/>
        </w:rPr>
        <w:t xml:space="preserve">Country Fact Sheet, </w:t>
      </w:r>
      <w:r w:rsidRPr="009C1284">
        <w:rPr>
          <w:rFonts w:asciiTheme="majorHAnsi" w:hAnsiTheme="majorHAnsi"/>
          <w:sz w:val="20"/>
          <w:szCs w:val="20"/>
        </w:rPr>
        <w:t>2009, available at:</w:t>
      </w:r>
      <w:r>
        <w:rPr>
          <w:rFonts w:asciiTheme="majorHAnsi" w:hAnsiTheme="majorHAnsi"/>
          <w:sz w:val="20"/>
          <w:szCs w:val="20"/>
        </w:rPr>
        <w:t xml:space="preserve"> </w:t>
      </w:r>
      <w:r w:rsidRPr="00B069D7">
        <w:rPr>
          <w:rFonts w:asciiTheme="majorHAnsi" w:hAnsiTheme="majorHAnsi"/>
          <w:sz w:val="20"/>
          <w:szCs w:val="20"/>
        </w:rPr>
        <w:t>http://www.unaids.org/en/regionscountries/countries/guyana/</w:t>
      </w:r>
      <w:r w:rsidRPr="009C1284">
        <w:rPr>
          <w:rFonts w:asciiTheme="majorHAnsi" w:hAnsiTheme="majorHAnsi"/>
          <w:sz w:val="20"/>
          <w:szCs w:val="20"/>
        </w:rPr>
        <w:t xml:space="preserve">. </w:t>
      </w:r>
    </w:p>
    <w:p w:rsidR="00E7328A" w:rsidRPr="009C1284" w:rsidRDefault="00E7328A" w:rsidP="00E7328A">
      <w:pPr>
        <w:jc w:val="left"/>
        <w:rPr>
          <w:rFonts w:asciiTheme="majorHAnsi" w:hAnsiTheme="majorHAnsi"/>
          <w:sz w:val="20"/>
          <w:szCs w:val="20"/>
        </w:rPr>
      </w:pPr>
    </w:p>
  </w:footnote>
  <w:footnote w:id="77">
    <w:p w:rsidR="00E7328A" w:rsidRDefault="00E7328A" w:rsidP="00E7328A">
      <w:pPr>
        <w:jc w:val="left"/>
        <w:rPr>
          <w:rFonts w:asciiTheme="majorHAnsi" w:eastAsia="Times New Roman" w:hAnsiTheme="majorHAnsi"/>
          <w:sz w:val="20"/>
          <w:szCs w:val="20"/>
          <w:lang w:val="en-US"/>
        </w:rPr>
      </w:pPr>
      <w:r w:rsidRPr="009C1284">
        <w:rPr>
          <w:rStyle w:val="FootnoteCharacters"/>
          <w:rFonts w:asciiTheme="majorHAnsi" w:hAnsiTheme="majorHAnsi"/>
          <w:sz w:val="20"/>
          <w:szCs w:val="20"/>
        </w:rPr>
        <w:footnoteRef/>
      </w:r>
      <w:r w:rsidRPr="009C1284">
        <w:rPr>
          <w:rFonts w:asciiTheme="majorHAnsi" w:hAnsiTheme="majorHAnsi"/>
          <w:sz w:val="20"/>
          <w:szCs w:val="20"/>
        </w:rPr>
        <w:t xml:space="preserve"> </w:t>
      </w:r>
      <w:r>
        <w:rPr>
          <w:rFonts w:asciiTheme="majorHAnsi" w:hAnsiTheme="majorHAnsi"/>
          <w:sz w:val="20"/>
          <w:szCs w:val="20"/>
        </w:rPr>
        <w:t xml:space="preserve">See above, note </w:t>
      </w:r>
      <w:r w:rsidR="005F1F5B">
        <w:rPr>
          <w:rFonts w:asciiTheme="majorHAnsi" w:hAnsiTheme="majorHAnsi"/>
          <w:sz w:val="20"/>
          <w:szCs w:val="20"/>
        </w:rPr>
        <w:t>74</w:t>
      </w:r>
      <w:r>
        <w:rPr>
          <w:rFonts w:asciiTheme="majorHAnsi" w:hAnsiTheme="majorHAnsi"/>
          <w:sz w:val="20"/>
          <w:szCs w:val="20"/>
        </w:rPr>
        <w:t>.</w:t>
      </w:r>
    </w:p>
    <w:p w:rsidR="00E7328A" w:rsidRPr="009C1284" w:rsidRDefault="00E7328A" w:rsidP="00E7328A">
      <w:pPr>
        <w:jc w:val="left"/>
        <w:rPr>
          <w:rFonts w:asciiTheme="majorHAnsi" w:eastAsia="Times New Roman" w:hAnsiTheme="majorHAnsi"/>
          <w:sz w:val="20"/>
          <w:szCs w:val="20"/>
          <w:lang w:val="en-US"/>
        </w:rPr>
      </w:pPr>
    </w:p>
  </w:footnote>
  <w:footnote w:id="78">
    <w:p w:rsidR="00E7328A" w:rsidRDefault="00E7328A" w:rsidP="00E7328A">
      <w:pPr>
        <w:jc w:val="left"/>
        <w:rPr>
          <w:rFonts w:asciiTheme="majorHAnsi" w:eastAsia="Times New Roman" w:hAnsiTheme="majorHAnsi"/>
          <w:sz w:val="20"/>
          <w:szCs w:val="20"/>
          <w:lang w:val="en-US"/>
        </w:rPr>
      </w:pPr>
      <w:r w:rsidRPr="009C1284">
        <w:rPr>
          <w:rStyle w:val="FootnoteCharacters"/>
          <w:rFonts w:asciiTheme="majorHAnsi" w:hAnsiTheme="majorHAnsi"/>
          <w:sz w:val="20"/>
          <w:szCs w:val="20"/>
        </w:rPr>
        <w:footnoteRef/>
      </w:r>
      <w:r w:rsidRPr="009C1284">
        <w:rPr>
          <w:rFonts w:asciiTheme="majorHAnsi" w:hAnsiTheme="majorHAnsi"/>
          <w:sz w:val="20"/>
          <w:szCs w:val="20"/>
        </w:rPr>
        <w:t xml:space="preserve"> </w:t>
      </w:r>
      <w:r>
        <w:rPr>
          <w:rFonts w:asciiTheme="majorHAnsi" w:hAnsiTheme="majorHAnsi"/>
          <w:i/>
          <w:sz w:val="20"/>
          <w:szCs w:val="20"/>
        </w:rPr>
        <w:t>Ibid.</w:t>
      </w:r>
    </w:p>
    <w:p w:rsidR="00E7328A" w:rsidRPr="009C1284" w:rsidRDefault="00E7328A" w:rsidP="00E7328A">
      <w:pPr>
        <w:jc w:val="left"/>
        <w:rPr>
          <w:rFonts w:asciiTheme="majorHAnsi" w:eastAsia="Times New Roman" w:hAnsiTheme="majorHAnsi"/>
          <w:sz w:val="20"/>
          <w:szCs w:val="20"/>
          <w:lang w:val="en-US"/>
        </w:rPr>
      </w:pPr>
    </w:p>
  </w:footnote>
  <w:footnote w:id="79">
    <w:p w:rsidR="00997603" w:rsidRPr="005F1F5B" w:rsidRDefault="00997603" w:rsidP="00416F15">
      <w:pPr>
        <w:jc w:val="left"/>
        <w:rPr>
          <w:rFonts w:asciiTheme="majorHAnsi" w:eastAsia="Times New Roman" w:hAnsiTheme="majorHAnsi"/>
          <w:i/>
          <w:sz w:val="20"/>
          <w:szCs w:val="20"/>
          <w:lang w:val="en-US"/>
        </w:rPr>
      </w:pPr>
      <w:r w:rsidRPr="009C1284">
        <w:rPr>
          <w:rStyle w:val="FootnoteCharacters"/>
          <w:rFonts w:asciiTheme="majorHAnsi" w:hAnsiTheme="majorHAnsi"/>
          <w:sz w:val="20"/>
          <w:szCs w:val="20"/>
        </w:rPr>
        <w:footnoteRef/>
      </w:r>
      <w:r w:rsidRPr="009C1284">
        <w:rPr>
          <w:rFonts w:asciiTheme="majorHAnsi" w:hAnsiTheme="majorHAnsi"/>
          <w:sz w:val="20"/>
          <w:szCs w:val="20"/>
        </w:rPr>
        <w:t xml:space="preserve"> </w:t>
      </w:r>
      <w:r w:rsidR="005F1F5B">
        <w:rPr>
          <w:rFonts w:asciiTheme="majorHAnsi" w:hAnsiTheme="majorHAnsi"/>
          <w:i/>
          <w:sz w:val="20"/>
          <w:szCs w:val="20"/>
        </w:rPr>
        <w:t>Ibid.</w:t>
      </w:r>
    </w:p>
    <w:p w:rsidR="00416F15" w:rsidRPr="009C1284" w:rsidRDefault="00416F15" w:rsidP="00416F15">
      <w:pPr>
        <w:jc w:val="left"/>
        <w:rPr>
          <w:rFonts w:asciiTheme="majorHAnsi" w:eastAsia="Times New Roman" w:hAnsiTheme="majorHAnsi"/>
          <w:sz w:val="20"/>
          <w:szCs w:val="20"/>
          <w:lang w:val="en-U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pStyle w:val="Heading5"/>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D"/>
    <w:multiLevelType w:val="singleLevel"/>
    <w:tmpl w:val="0000000D"/>
    <w:name w:val="WW8Num15"/>
    <w:lvl w:ilvl="0">
      <w:start w:val="1"/>
      <w:numFmt w:val="decimal"/>
      <w:lvlText w:val="(%1)"/>
      <w:lvlJc w:val="left"/>
      <w:pPr>
        <w:tabs>
          <w:tab w:val="num" w:pos="0"/>
        </w:tabs>
        <w:ind w:left="720" w:hanging="360"/>
      </w:pPr>
    </w:lvl>
  </w:abstractNum>
  <w:abstractNum w:abstractNumId="2">
    <w:nsid w:val="031164A8"/>
    <w:multiLevelType w:val="hybridMultilevel"/>
    <w:tmpl w:val="9B3E45EC"/>
    <w:lvl w:ilvl="0" w:tplc="B41C15DC">
      <w:numFmt w:val="bullet"/>
      <w:lvlText w:val="•"/>
      <w:lvlJc w:val="left"/>
      <w:pPr>
        <w:ind w:left="1440" w:hanging="720"/>
      </w:pPr>
      <w:rPr>
        <w:rFonts w:ascii="Cambria" w:eastAsiaTheme="minorHAnsi" w:hAnsi="Cambri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1DF27AAB"/>
    <w:multiLevelType w:val="hybridMultilevel"/>
    <w:tmpl w:val="A1B64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0081871"/>
    <w:multiLevelType w:val="hybridMultilevel"/>
    <w:tmpl w:val="0A8AC41C"/>
    <w:lvl w:ilvl="0" w:tplc="7B02631E">
      <w:start w:val="15"/>
      <w:numFmt w:val="decimal"/>
      <w:lvlText w:val="%1."/>
      <w:lvlJc w:val="left"/>
      <w:pPr>
        <w:ind w:left="360" w:hanging="360"/>
      </w:pPr>
      <w:rPr>
        <w:rFonts w:hint="default"/>
        <w:color w:val="00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54EB7243"/>
    <w:multiLevelType w:val="hybridMultilevel"/>
    <w:tmpl w:val="A036E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24475B3"/>
    <w:multiLevelType w:val="hybridMultilevel"/>
    <w:tmpl w:val="044C136E"/>
    <w:lvl w:ilvl="0" w:tplc="BFBAE718">
      <w:start w:val="1"/>
      <w:numFmt w:val="decimal"/>
      <w:lvlText w:val="%1."/>
      <w:lvlJc w:val="left"/>
      <w:pPr>
        <w:ind w:left="862" w:hanging="720"/>
      </w:pPr>
      <w:rPr>
        <w:rFonts w:ascii="Cambria" w:hAnsi="Cambria" w:hint="default"/>
        <w:b w:val="0"/>
        <w:i w:val="0"/>
      </w:rPr>
    </w:lvl>
    <w:lvl w:ilvl="1" w:tplc="CA1C2668">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4"/>
  </w:num>
  <w:num w:numId="3">
    <w:abstractNumId w:val="2"/>
  </w:num>
  <w:num w:numId="4">
    <w:abstractNumId w:val="3"/>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1CE"/>
    <w:rsid w:val="00011CE6"/>
    <w:rsid w:val="00021038"/>
    <w:rsid w:val="00027700"/>
    <w:rsid w:val="00054F59"/>
    <w:rsid w:val="0010014C"/>
    <w:rsid w:val="00134035"/>
    <w:rsid w:val="001B1F9D"/>
    <w:rsid w:val="00221162"/>
    <w:rsid w:val="00293334"/>
    <w:rsid w:val="0029622A"/>
    <w:rsid w:val="002B7606"/>
    <w:rsid w:val="002D2038"/>
    <w:rsid w:val="003179E4"/>
    <w:rsid w:val="003463EF"/>
    <w:rsid w:val="003A7093"/>
    <w:rsid w:val="003E008F"/>
    <w:rsid w:val="003E776E"/>
    <w:rsid w:val="00406F7A"/>
    <w:rsid w:val="00416F15"/>
    <w:rsid w:val="0043396F"/>
    <w:rsid w:val="00433E28"/>
    <w:rsid w:val="004513AA"/>
    <w:rsid w:val="00472F6B"/>
    <w:rsid w:val="004B0EA4"/>
    <w:rsid w:val="004B7735"/>
    <w:rsid w:val="004E0936"/>
    <w:rsid w:val="0058406F"/>
    <w:rsid w:val="00592829"/>
    <w:rsid w:val="005C4755"/>
    <w:rsid w:val="005E5F41"/>
    <w:rsid w:val="005F1F5B"/>
    <w:rsid w:val="00680544"/>
    <w:rsid w:val="0073336B"/>
    <w:rsid w:val="00737FD8"/>
    <w:rsid w:val="00746486"/>
    <w:rsid w:val="00780D8D"/>
    <w:rsid w:val="00784DBB"/>
    <w:rsid w:val="007F5714"/>
    <w:rsid w:val="00801A63"/>
    <w:rsid w:val="00825BF9"/>
    <w:rsid w:val="008A0050"/>
    <w:rsid w:val="008A7CAF"/>
    <w:rsid w:val="008D0F32"/>
    <w:rsid w:val="008F6FAF"/>
    <w:rsid w:val="0090475D"/>
    <w:rsid w:val="009561D7"/>
    <w:rsid w:val="00997603"/>
    <w:rsid w:val="009A3D0C"/>
    <w:rsid w:val="009A44A9"/>
    <w:rsid w:val="00A2253E"/>
    <w:rsid w:val="00A733B8"/>
    <w:rsid w:val="00AA481D"/>
    <w:rsid w:val="00AD5AB1"/>
    <w:rsid w:val="00B05957"/>
    <w:rsid w:val="00B11F55"/>
    <w:rsid w:val="00B258D4"/>
    <w:rsid w:val="00B405B9"/>
    <w:rsid w:val="00B46C3E"/>
    <w:rsid w:val="00B66C15"/>
    <w:rsid w:val="00BC39F4"/>
    <w:rsid w:val="00BF5C36"/>
    <w:rsid w:val="00C43320"/>
    <w:rsid w:val="00C705B3"/>
    <w:rsid w:val="00C72EBF"/>
    <w:rsid w:val="00C90414"/>
    <w:rsid w:val="00CD41CE"/>
    <w:rsid w:val="00D10240"/>
    <w:rsid w:val="00D45D37"/>
    <w:rsid w:val="00DA0453"/>
    <w:rsid w:val="00DB723A"/>
    <w:rsid w:val="00E60441"/>
    <w:rsid w:val="00E70C4B"/>
    <w:rsid w:val="00E7328A"/>
    <w:rsid w:val="00E9093E"/>
    <w:rsid w:val="00EA01AC"/>
    <w:rsid w:val="00EC2CB5"/>
    <w:rsid w:val="00EC5BFB"/>
    <w:rsid w:val="00EF63C4"/>
    <w:rsid w:val="00F33432"/>
    <w:rsid w:val="00F410F4"/>
    <w:rsid w:val="00FA2B76"/>
    <w:rsid w:val="00FB285A"/>
    <w:rsid w:val="00FB5DEE"/>
    <w:rsid w:val="00FD5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3" w:unhideWhenUsed="0" w:qFormat="1"/>
    <w:lsdException w:name="heading 2" w:uiPriority="9" w:qFormat="1"/>
    <w:lsdException w:name="heading 3" w:uiPriority="9" w:qFormat="1"/>
    <w:lsdException w:name="heading 4" w:uiPriority="9"/>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01A63"/>
    <w:pPr>
      <w:spacing w:line="240" w:lineRule="auto"/>
      <w:contextualSpacing/>
      <w:jc w:val="both"/>
    </w:pPr>
    <w:rPr>
      <w:rFonts w:ascii="Cambria" w:hAnsi="Cambria"/>
    </w:rPr>
  </w:style>
  <w:style w:type="paragraph" w:styleId="Heading1">
    <w:name w:val="heading 1"/>
    <w:basedOn w:val="Normal"/>
    <w:next w:val="Normal"/>
    <w:link w:val="Heading1Char"/>
    <w:uiPriority w:val="3"/>
    <w:qFormat/>
    <w:rsid w:val="002B7606"/>
    <w:pPr>
      <w:keepNext/>
      <w:keepLines/>
      <w:outlineLvl w:val="0"/>
    </w:pPr>
    <w:rPr>
      <w:rFonts w:asciiTheme="majorHAnsi" w:eastAsiaTheme="majorEastAsia" w:hAnsiTheme="majorHAnsi" w:cstheme="majorBidi"/>
      <w:b/>
      <w:bCs/>
      <w:szCs w:val="28"/>
    </w:rPr>
  </w:style>
  <w:style w:type="paragraph" w:styleId="Heading2">
    <w:name w:val="heading 2"/>
    <w:basedOn w:val="Normal"/>
    <w:next w:val="Normal"/>
    <w:link w:val="Heading2Char"/>
    <w:uiPriority w:val="9"/>
    <w:unhideWhenUsed/>
    <w:qFormat/>
    <w:rsid w:val="002B7606"/>
    <w:pPr>
      <w:keepNext/>
      <w:keepLines/>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uiPriority w:val="9"/>
    <w:unhideWhenUsed/>
    <w:qFormat/>
    <w:rsid w:val="002B7606"/>
    <w:pPr>
      <w:keepNext/>
      <w:keepLines/>
      <w:outlineLvl w:val="2"/>
    </w:pPr>
    <w:rPr>
      <w:rFonts w:asciiTheme="majorHAnsi" w:eastAsiaTheme="majorEastAsia" w:hAnsiTheme="majorHAnsi" w:cstheme="majorBidi"/>
      <w:b/>
      <w:bCs/>
    </w:rPr>
  </w:style>
  <w:style w:type="paragraph" w:styleId="Heading5">
    <w:name w:val="heading 5"/>
    <w:basedOn w:val="Normal"/>
    <w:next w:val="Normal"/>
    <w:link w:val="Heading5Char"/>
    <w:qFormat/>
    <w:rsid w:val="00780D8D"/>
    <w:pPr>
      <w:keepNext/>
      <w:keepLines/>
      <w:widowControl w:val="0"/>
      <w:numPr>
        <w:numId w:val="6"/>
      </w:numPr>
      <w:suppressAutoHyphens/>
      <w:overflowPunct w:val="0"/>
      <w:spacing w:before="200"/>
      <w:contextualSpacing w:val="0"/>
      <w:jc w:val="left"/>
      <w:outlineLvl w:val="4"/>
    </w:pPr>
    <w:rPr>
      <w:rFonts w:eastAsia="Times New Roman" w:cs="Calibri"/>
      <w:color w:val="243F60"/>
      <w:kern w:val="1"/>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Char,Footnote Text Char1 Char,Footnote Text Char Char1 Char,Footnote Text Char1 Char Char Char,Footnote Text Char Char1 Char Char Char,Footnote Text Char Char2 Char,Footnote Text Char1 Char1,Footnote Text Char Char1 Char1,Char,fn"/>
    <w:basedOn w:val="Normal"/>
    <w:link w:val="FootnoteTextChar"/>
    <w:uiPriority w:val="99"/>
    <w:qFormat/>
    <w:rsid w:val="002B7606"/>
    <w:pPr>
      <w:jc w:val="left"/>
    </w:pPr>
    <w:rPr>
      <w:rFonts w:asciiTheme="majorHAnsi" w:hAnsiTheme="majorHAnsi"/>
      <w:sz w:val="20"/>
      <w:szCs w:val="20"/>
    </w:rPr>
  </w:style>
  <w:style w:type="character" w:customStyle="1" w:styleId="FootnoteTextChar">
    <w:name w:val="Footnote Text Char"/>
    <w:aliases w:val="Footnote Char, Char Char,Footnote Text Char1 Char Char,Footnote Text Char Char1 Char Char,Footnote Text Char1 Char Char Char Char,Footnote Text Char Char1 Char Char Char Char,Footnote Text Char Char2 Char Char,Char Char,fn Char"/>
    <w:basedOn w:val="DefaultParagraphFont"/>
    <w:link w:val="FootnoteText"/>
    <w:uiPriority w:val="99"/>
    <w:rsid w:val="002B7606"/>
    <w:rPr>
      <w:rFonts w:asciiTheme="majorHAnsi" w:hAnsiTheme="majorHAnsi"/>
      <w:sz w:val="20"/>
      <w:szCs w:val="20"/>
    </w:rPr>
  </w:style>
  <w:style w:type="paragraph" w:styleId="Quote">
    <w:name w:val="Quote"/>
    <w:basedOn w:val="Normal"/>
    <w:next w:val="Normal"/>
    <w:link w:val="QuoteChar"/>
    <w:uiPriority w:val="2"/>
    <w:qFormat/>
    <w:rsid w:val="00801A63"/>
    <w:pPr>
      <w:ind w:left="992" w:right="992"/>
    </w:pPr>
    <w:rPr>
      <w:i/>
      <w:iCs/>
      <w:color w:val="000000" w:themeColor="text1"/>
    </w:rPr>
  </w:style>
  <w:style w:type="character" w:customStyle="1" w:styleId="QuoteChar">
    <w:name w:val="Quote Char"/>
    <w:basedOn w:val="DefaultParagraphFont"/>
    <w:link w:val="Quote"/>
    <w:uiPriority w:val="2"/>
    <w:rsid w:val="00801A63"/>
    <w:rPr>
      <w:rFonts w:ascii="Cambria" w:hAnsi="Cambria"/>
      <w:i/>
      <w:iCs/>
      <w:color w:val="000000" w:themeColor="text1"/>
    </w:rPr>
  </w:style>
  <w:style w:type="character" w:customStyle="1" w:styleId="Heading1Char">
    <w:name w:val="Heading 1 Char"/>
    <w:basedOn w:val="DefaultParagraphFont"/>
    <w:link w:val="Heading1"/>
    <w:uiPriority w:val="3"/>
    <w:rsid w:val="002B7606"/>
    <w:rPr>
      <w:rFonts w:asciiTheme="majorHAnsi" w:eastAsiaTheme="majorEastAsia" w:hAnsiTheme="majorHAnsi" w:cstheme="majorBidi"/>
      <w:b/>
      <w:bCs/>
      <w:szCs w:val="28"/>
    </w:rPr>
  </w:style>
  <w:style w:type="paragraph" w:styleId="BalloonText">
    <w:name w:val="Balloon Text"/>
    <w:basedOn w:val="Normal"/>
    <w:link w:val="BalloonTextChar"/>
    <w:uiPriority w:val="99"/>
    <w:semiHidden/>
    <w:unhideWhenUsed/>
    <w:rsid w:val="004B0EA4"/>
    <w:rPr>
      <w:rFonts w:ascii="Tahoma" w:hAnsi="Tahoma" w:cs="Tahoma"/>
      <w:sz w:val="16"/>
      <w:szCs w:val="16"/>
    </w:rPr>
  </w:style>
  <w:style w:type="character" w:customStyle="1" w:styleId="BalloonTextChar">
    <w:name w:val="Balloon Text Char"/>
    <w:basedOn w:val="DefaultParagraphFont"/>
    <w:link w:val="BalloonText"/>
    <w:uiPriority w:val="99"/>
    <w:semiHidden/>
    <w:rsid w:val="004B0EA4"/>
    <w:rPr>
      <w:rFonts w:ascii="Tahoma" w:hAnsi="Tahoma" w:cs="Tahoma"/>
      <w:sz w:val="16"/>
      <w:szCs w:val="16"/>
    </w:rPr>
  </w:style>
  <w:style w:type="character" w:customStyle="1" w:styleId="Heading2Char">
    <w:name w:val="Heading 2 Char"/>
    <w:basedOn w:val="DefaultParagraphFont"/>
    <w:link w:val="Heading2"/>
    <w:uiPriority w:val="9"/>
    <w:rsid w:val="002B7606"/>
    <w:rPr>
      <w:rFonts w:asciiTheme="majorHAnsi" w:eastAsiaTheme="majorEastAsia" w:hAnsiTheme="majorHAnsi" w:cstheme="majorBidi"/>
      <w:b/>
      <w:bCs/>
      <w:szCs w:val="26"/>
    </w:rPr>
  </w:style>
  <w:style w:type="character" w:customStyle="1" w:styleId="Heading3Char">
    <w:name w:val="Heading 3 Char"/>
    <w:basedOn w:val="DefaultParagraphFont"/>
    <w:link w:val="Heading3"/>
    <w:uiPriority w:val="9"/>
    <w:rsid w:val="002B7606"/>
    <w:rPr>
      <w:rFonts w:asciiTheme="majorHAnsi" w:eastAsiaTheme="majorEastAsia" w:hAnsiTheme="majorHAnsi" w:cstheme="majorBidi"/>
      <w:b/>
      <w:bCs/>
    </w:rPr>
  </w:style>
  <w:style w:type="paragraph" w:styleId="ListParagraph">
    <w:name w:val="List Paragraph"/>
    <w:basedOn w:val="Normal"/>
    <w:uiPriority w:val="34"/>
    <w:qFormat/>
    <w:rsid w:val="00AA481D"/>
    <w:pPr>
      <w:ind w:left="567" w:hanging="425"/>
      <w:jc w:val="left"/>
    </w:pPr>
  </w:style>
  <w:style w:type="character" w:styleId="FootnoteReference">
    <w:name w:val="footnote reference"/>
    <w:aliases w:val="4_G,Texto de nota al pie,f,Footnotes refss,Rimando nota a piè di pagina,Marque note bas de page,Appel note de bas de page,Footnote number,referencia nota al pie,BVI fnr,16 Point,Superscript 6 Point,Texto nota al pie,Footnote text"/>
    <w:basedOn w:val="DefaultParagraphFont"/>
    <w:link w:val="4GCharChar"/>
    <w:uiPriority w:val="99"/>
    <w:unhideWhenUsed/>
    <w:qFormat/>
    <w:rsid w:val="008A7CAF"/>
    <w:rPr>
      <w:vertAlign w:val="superscript"/>
    </w:rPr>
  </w:style>
  <w:style w:type="character" w:customStyle="1" w:styleId="FootnoteCharacters">
    <w:name w:val="Footnote Characters"/>
    <w:rsid w:val="008A7CAF"/>
    <w:rPr>
      <w:vertAlign w:val="superscript"/>
    </w:rPr>
  </w:style>
  <w:style w:type="character" w:customStyle="1" w:styleId="FootnoteReference3">
    <w:name w:val="Footnote Reference3"/>
    <w:rsid w:val="008A7CAF"/>
    <w:rPr>
      <w:vertAlign w:val="superscript"/>
    </w:rPr>
  </w:style>
  <w:style w:type="character" w:customStyle="1" w:styleId="WW-FootnoteReference12345">
    <w:name w:val="WW-Footnote Reference12345"/>
    <w:rsid w:val="008A7CAF"/>
    <w:rPr>
      <w:vertAlign w:val="superscript"/>
    </w:rPr>
  </w:style>
  <w:style w:type="character" w:customStyle="1" w:styleId="WW-FootnoteReference123451">
    <w:name w:val="WW-Footnote Reference123451"/>
    <w:rsid w:val="008A7CAF"/>
    <w:rPr>
      <w:vertAlign w:val="superscript"/>
    </w:rPr>
  </w:style>
  <w:style w:type="character" w:styleId="Hyperlink">
    <w:name w:val="Hyperlink"/>
    <w:basedOn w:val="DefaultParagraphFont"/>
    <w:uiPriority w:val="99"/>
    <w:unhideWhenUsed/>
    <w:rsid w:val="008A7CAF"/>
    <w:rPr>
      <w:color w:val="0000FF" w:themeColor="hyperlink"/>
      <w:u w:val="single"/>
    </w:rPr>
  </w:style>
  <w:style w:type="character" w:customStyle="1" w:styleId="apple-converted-space">
    <w:name w:val="apple-converted-space"/>
    <w:basedOn w:val="DefaultParagraphFont"/>
    <w:rsid w:val="008A7CAF"/>
  </w:style>
  <w:style w:type="paragraph" w:styleId="Header">
    <w:name w:val="header"/>
    <w:basedOn w:val="Normal"/>
    <w:link w:val="HeaderChar"/>
    <w:uiPriority w:val="99"/>
    <w:semiHidden/>
    <w:unhideWhenUsed/>
    <w:rsid w:val="004513AA"/>
    <w:pPr>
      <w:tabs>
        <w:tab w:val="center" w:pos="4513"/>
        <w:tab w:val="right" w:pos="9026"/>
      </w:tabs>
    </w:pPr>
  </w:style>
  <w:style w:type="character" w:customStyle="1" w:styleId="HeaderChar">
    <w:name w:val="Header Char"/>
    <w:basedOn w:val="DefaultParagraphFont"/>
    <w:link w:val="Header"/>
    <w:uiPriority w:val="99"/>
    <w:semiHidden/>
    <w:rsid w:val="004513AA"/>
    <w:rPr>
      <w:rFonts w:ascii="Cambria" w:hAnsi="Cambria"/>
    </w:rPr>
  </w:style>
  <w:style w:type="paragraph" w:styleId="Footer">
    <w:name w:val="footer"/>
    <w:basedOn w:val="Normal"/>
    <w:link w:val="FooterChar"/>
    <w:uiPriority w:val="99"/>
    <w:unhideWhenUsed/>
    <w:rsid w:val="004513AA"/>
    <w:pPr>
      <w:tabs>
        <w:tab w:val="center" w:pos="4513"/>
        <w:tab w:val="right" w:pos="9026"/>
      </w:tabs>
    </w:pPr>
  </w:style>
  <w:style w:type="character" w:customStyle="1" w:styleId="FooterChar">
    <w:name w:val="Footer Char"/>
    <w:basedOn w:val="DefaultParagraphFont"/>
    <w:link w:val="Footer"/>
    <w:uiPriority w:val="99"/>
    <w:rsid w:val="004513AA"/>
    <w:rPr>
      <w:rFonts w:ascii="Cambria" w:hAnsi="Cambria"/>
    </w:rPr>
  </w:style>
  <w:style w:type="character" w:styleId="CommentReference">
    <w:name w:val="annotation reference"/>
    <w:basedOn w:val="DefaultParagraphFont"/>
    <w:uiPriority w:val="99"/>
    <w:semiHidden/>
    <w:unhideWhenUsed/>
    <w:rsid w:val="00997603"/>
    <w:rPr>
      <w:sz w:val="16"/>
      <w:szCs w:val="16"/>
    </w:rPr>
  </w:style>
  <w:style w:type="character" w:customStyle="1" w:styleId="WW-FootnoteReference1234">
    <w:name w:val="WW-Footnote Reference1234"/>
    <w:rsid w:val="00997603"/>
    <w:rPr>
      <w:vertAlign w:val="superscript"/>
    </w:rPr>
  </w:style>
  <w:style w:type="paragraph" w:styleId="CommentText">
    <w:name w:val="annotation text"/>
    <w:basedOn w:val="Normal"/>
    <w:link w:val="CommentTextChar"/>
    <w:uiPriority w:val="99"/>
    <w:semiHidden/>
    <w:unhideWhenUsed/>
    <w:rsid w:val="00221162"/>
    <w:rPr>
      <w:sz w:val="20"/>
      <w:szCs w:val="20"/>
    </w:rPr>
  </w:style>
  <w:style w:type="character" w:customStyle="1" w:styleId="CommentTextChar">
    <w:name w:val="Comment Text Char"/>
    <w:basedOn w:val="DefaultParagraphFont"/>
    <w:link w:val="CommentText"/>
    <w:uiPriority w:val="99"/>
    <w:semiHidden/>
    <w:rsid w:val="00221162"/>
    <w:rPr>
      <w:rFonts w:ascii="Cambria" w:hAnsi="Cambria"/>
      <w:sz w:val="20"/>
      <w:szCs w:val="20"/>
    </w:rPr>
  </w:style>
  <w:style w:type="paragraph" w:styleId="CommentSubject">
    <w:name w:val="annotation subject"/>
    <w:basedOn w:val="CommentText"/>
    <w:next w:val="CommentText"/>
    <w:link w:val="CommentSubjectChar"/>
    <w:uiPriority w:val="99"/>
    <w:semiHidden/>
    <w:unhideWhenUsed/>
    <w:rsid w:val="00221162"/>
    <w:rPr>
      <w:b/>
      <w:bCs/>
    </w:rPr>
  </w:style>
  <w:style w:type="character" w:customStyle="1" w:styleId="CommentSubjectChar">
    <w:name w:val="Comment Subject Char"/>
    <w:basedOn w:val="CommentTextChar"/>
    <w:link w:val="CommentSubject"/>
    <w:uiPriority w:val="99"/>
    <w:semiHidden/>
    <w:rsid w:val="00221162"/>
    <w:rPr>
      <w:rFonts w:ascii="Cambria" w:hAnsi="Cambria"/>
      <w:b/>
      <w:bCs/>
      <w:sz w:val="20"/>
      <w:szCs w:val="20"/>
    </w:rPr>
  </w:style>
  <w:style w:type="character" w:customStyle="1" w:styleId="Heading5Char">
    <w:name w:val="Heading 5 Char"/>
    <w:basedOn w:val="DefaultParagraphFont"/>
    <w:link w:val="Heading5"/>
    <w:rsid w:val="00780D8D"/>
    <w:rPr>
      <w:rFonts w:ascii="Cambria" w:eastAsia="Times New Roman" w:hAnsi="Cambria" w:cs="Calibri"/>
      <w:color w:val="243F60"/>
      <w:kern w:val="1"/>
      <w:lang w:eastAsia="ar-SA"/>
    </w:rPr>
  </w:style>
  <w:style w:type="character" w:customStyle="1" w:styleId="WW8Num28z1">
    <w:name w:val="WW8Num28z1"/>
    <w:rsid w:val="00780D8D"/>
    <w:rPr>
      <w:rFonts w:ascii="OpenSymbol" w:hAnsi="OpenSymbol" w:cs="OpenSymbol"/>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uiPriority w:val="99"/>
    <w:rsid w:val="003179E4"/>
    <w:pPr>
      <w:autoSpaceDE w:val="0"/>
      <w:autoSpaceDN w:val="0"/>
      <w:spacing w:after="160" w:line="240" w:lineRule="exact"/>
      <w:contextualSpacing w:val="0"/>
    </w:pPr>
    <w:rPr>
      <w:rFonts w:asciiTheme="minorHAnsi" w:hAnsiTheme="minorHAnsi"/>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3" w:unhideWhenUsed="0" w:qFormat="1"/>
    <w:lsdException w:name="heading 2" w:uiPriority="9" w:qFormat="1"/>
    <w:lsdException w:name="heading 3" w:uiPriority="9" w:qFormat="1"/>
    <w:lsdException w:name="heading 4" w:uiPriority="9"/>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01A63"/>
    <w:pPr>
      <w:spacing w:line="240" w:lineRule="auto"/>
      <w:contextualSpacing/>
      <w:jc w:val="both"/>
    </w:pPr>
    <w:rPr>
      <w:rFonts w:ascii="Cambria" w:hAnsi="Cambria"/>
    </w:rPr>
  </w:style>
  <w:style w:type="paragraph" w:styleId="Heading1">
    <w:name w:val="heading 1"/>
    <w:basedOn w:val="Normal"/>
    <w:next w:val="Normal"/>
    <w:link w:val="Heading1Char"/>
    <w:uiPriority w:val="3"/>
    <w:qFormat/>
    <w:rsid w:val="002B7606"/>
    <w:pPr>
      <w:keepNext/>
      <w:keepLines/>
      <w:outlineLvl w:val="0"/>
    </w:pPr>
    <w:rPr>
      <w:rFonts w:asciiTheme="majorHAnsi" w:eastAsiaTheme="majorEastAsia" w:hAnsiTheme="majorHAnsi" w:cstheme="majorBidi"/>
      <w:b/>
      <w:bCs/>
      <w:szCs w:val="28"/>
    </w:rPr>
  </w:style>
  <w:style w:type="paragraph" w:styleId="Heading2">
    <w:name w:val="heading 2"/>
    <w:basedOn w:val="Normal"/>
    <w:next w:val="Normal"/>
    <w:link w:val="Heading2Char"/>
    <w:uiPriority w:val="9"/>
    <w:unhideWhenUsed/>
    <w:qFormat/>
    <w:rsid w:val="002B7606"/>
    <w:pPr>
      <w:keepNext/>
      <w:keepLines/>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uiPriority w:val="9"/>
    <w:unhideWhenUsed/>
    <w:qFormat/>
    <w:rsid w:val="002B7606"/>
    <w:pPr>
      <w:keepNext/>
      <w:keepLines/>
      <w:outlineLvl w:val="2"/>
    </w:pPr>
    <w:rPr>
      <w:rFonts w:asciiTheme="majorHAnsi" w:eastAsiaTheme="majorEastAsia" w:hAnsiTheme="majorHAnsi" w:cstheme="majorBidi"/>
      <w:b/>
      <w:bCs/>
    </w:rPr>
  </w:style>
  <w:style w:type="paragraph" w:styleId="Heading5">
    <w:name w:val="heading 5"/>
    <w:basedOn w:val="Normal"/>
    <w:next w:val="Normal"/>
    <w:link w:val="Heading5Char"/>
    <w:qFormat/>
    <w:rsid w:val="00780D8D"/>
    <w:pPr>
      <w:keepNext/>
      <w:keepLines/>
      <w:widowControl w:val="0"/>
      <w:numPr>
        <w:numId w:val="6"/>
      </w:numPr>
      <w:suppressAutoHyphens/>
      <w:overflowPunct w:val="0"/>
      <w:spacing w:before="200"/>
      <w:contextualSpacing w:val="0"/>
      <w:jc w:val="left"/>
      <w:outlineLvl w:val="4"/>
    </w:pPr>
    <w:rPr>
      <w:rFonts w:eastAsia="Times New Roman" w:cs="Calibri"/>
      <w:color w:val="243F60"/>
      <w:kern w:val="1"/>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Char,Footnote Text Char1 Char,Footnote Text Char Char1 Char,Footnote Text Char1 Char Char Char,Footnote Text Char Char1 Char Char Char,Footnote Text Char Char2 Char,Footnote Text Char1 Char1,Footnote Text Char Char1 Char1,Char,fn"/>
    <w:basedOn w:val="Normal"/>
    <w:link w:val="FootnoteTextChar"/>
    <w:uiPriority w:val="99"/>
    <w:qFormat/>
    <w:rsid w:val="002B7606"/>
    <w:pPr>
      <w:jc w:val="left"/>
    </w:pPr>
    <w:rPr>
      <w:rFonts w:asciiTheme="majorHAnsi" w:hAnsiTheme="majorHAnsi"/>
      <w:sz w:val="20"/>
      <w:szCs w:val="20"/>
    </w:rPr>
  </w:style>
  <w:style w:type="character" w:customStyle="1" w:styleId="FootnoteTextChar">
    <w:name w:val="Footnote Text Char"/>
    <w:aliases w:val="Footnote Char, Char Char,Footnote Text Char1 Char Char,Footnote Text Char Char1 Char Char,Footnote Text Char1 Char Char Char Char,Footnote Text Char Char1 Char Char Char Char,Footnote Text Char Char2 Char Char,Char Char,fn Char"/>
    <w:basedOn w:val="DefaultParagraphFont"/>
    <w:link w:val="FootnoteText"/>
    <w:uiPriority w:val="99"/>
    <w:rsid w:val="002B7606"/>
    <w:rPr>
      <w:rFonts w:asciiTheme="majorHAnsi" w:hAnsiTheme="majorHAnsi"/>
      <w:sz w:val="20"/>
      <w:szCs w:val="20"/>
    </w:rPr>
  </w:style>
  <w:style w:type="paragraph" w:styleId="Quote">
    <w:name w:val="Quote"/>
    <w:basedOn w:val="Normal"/>
    <w:next w:val="Normal"/>
    <w:link w:val="QuoteChar"/>
    <w:uiPriority w:val="2"/>
    <w:qFormat/>
    <w:rsid w:val="00801A63"/>
    <w:pPr>
      <w:ind w:left="992" w:right="992"/>
    </w:pPr>
    <w:rPr>
      <w:i/>
      <w:iCs/>
      <w:color w:val="000000" w:themeColor="text1"/>
    </w:rPr>
  </w:style>
  <w:style w:type="character" w:customStyle="1" w:styleId="QuoteChar">
    <w:name w:val="Quote Char"/>
    <w:basedOn w:val="DefaultParagraphFont"/>
    <w:link w:val="Quote"/>
    <w:uiPriority w:val="2"/>
    <w:rsid w:val="00801A63"/>
    <w:rPr>
      <w:rFonts w:ascii="Cambria" w:hAnsi="Cambria"/>
      <w:i/>
      <w:iCs/>
      <w:color w:val="000000" w:themeColor="text1"/>
    </w:rPr>
  </w:style>
  <w:style w:type="character" w:customStyle="1" w:styleId="Heading1Char">
    <w:name w:val="Heading 1 Char"/>
    <w:basedOn w:val="DefaultParagraphFont"/>
    <w:link w:val="Heading1"/>
    <w:uiPriority w:val="3"/>
    <w:rsid w:val="002B7606"/>
    <w:rPr>
      <w:rFonts w:asciiTheme="majorHAnsi" w:eastAsiaTheme="majorEastAsia" w:hAnsiTheme="majorHAnsi" w:cstheme="majorBidi"/>
      <w:b/>
      <w:bCs/>
      <w:szCs w:val="28"/>
    </w:rPr>
  </w:style>
  <w:style w:type="paragraph" w:styleId="BalloonText">
    <w:name w:val="Balloon Text"/>
    <w:basedOn w:val="Normal"/>
    <w:link w:val="BalloonTextChar"/>
    <w:uiPriority w:val="99"/>
    <w:semiHidden/>
    <w:unhideWhenUsed/>
    <w:rsid w:val="004B0EA4"/>
    <w:rPr>
      <w:rFonts w:ascii="Tahoma" w:hAnsi="Tahoma" w:cs="Tahoma"/>
      <w:sz w:val="16"/>
      <w:szCs w:val="16"/>
    </w:rPr>
  </w:style>
  <w:style w:type="character" w:customStyle="1" w:styleId="BalloonTextChar">
    <w:name w:val="Balloon Text Char"/>
    <w:basedOn w:val="DefaultParagraphFont"/>
    <w:link w:val="BalloonText"/>
    <w:uiPriority w:val="99"/>
    <w:semiHidden/>
    <w:rsid w:val="004B0EA4"/>
    <w:rPr>
      <w:rFonts w:ascii="Tahoma" w:hAnsi="Tahoma" w:cs="Tahoma"/>
      <w:sz w:val="16"/>
      <w:szCs w:val="16"/>
    </w:rPr>
  </w:style>
  <w:style w:type="character" w:customStyle="1" w:styleId="Heading2Char">
    <w:name w:val="Heading 2 Char"/>
    <w:basedOn w:val="DefaultParagraphFont"/>
    <w:link w:val="Heading2"/>
    <w:uiPriority w:val="9"/>
    <w:rsid w:val="002B7606"/>
    <w:rPr>
      <w:rFonts w:asciiTheme="majorHAnsi" w:eastAsiaTheme="majorEastAsia" w:hAnsiTheme="majorHAnsi" w:cstheme="majorBidi"/>
      <w:b/>
      <w:bCs/>
      <w:szCs w:val="26"/>
    </w:rPr>
  </w:style>
  <w:style w:type="character" w:customStyle="1" w:styleId="Heading3Char">
    <w:name w:val="Heading 3 Char"/>
    <w:basedOn w:val="DefaultParagraphFont"/>
    <w:link w:val="Heading3"/>
    <w:uiPriority w:val="9"/>
    <w:rsid w:val="002B7606"/>
    <w:rPr>
      <w:rFonts w:asciiTheme="majorHAnsi" w:eastAsiaTheme="majorEastAsia" w:hAnsiTheme="majorHAnsi" w:cstheme="majorBidi"/>
      <w:b/>
      <w:bCs/>
    </w:rPr>
  </w:style>
  <w:style w:type="paragraph" w:styleId="ListParagraph">
    <w:name w:val="List Paragraph"/>
    <w:basedOn w:val="Normal"/>
    <w:uiPriority w:val="34"/>
    <w:qFormat/>
    <w:rsid w:val="00AA481D"/>
    <w:pPr>
      <w:ind w:left="567" w:hanging="425"/>
      <w:jc w:val="left"/>
    </w:pPr>
  </w:style>
  <w:style w:type="character" w:styleId="FootnoteReference">
    <w:name w:val="footnote reference"/>
    <w:aliases w:val="4_G,Texto de nota al pie,f,Footnotes refss,Rimando nota a piè di pagina,Marque note bas de page,Appel note de bas de page,Footnote number,referencia nota al pie,BVI fnr,16 Point,Superscript 6 Point,Texto nota al pie,Footnote text"/>
    <w:basedOn w:val="DefaultParagraphFont"/>
    <w:link w:val="4GCharChar"/>
    <w:uiPriority w:val="99"/>
    <w:unhideWhenUsed/>
    <w:qFormat/>
    <w:rsid w:val="008A7CAF"/>
    <w:rPr>
      <w:vertAlign w:val="superscript"/>
    </w:rPr>
  </w:style>
  <w:style w:type="character" w:customStyle="1" w:styleId="FootnoteCharacters">
    <w:name w:val="Footnote Characters"/>
    <w:rsid w:val="008A7CAF"/>
    <w:rPr>
      <w:vertAlign w:val="superscript"/>
    </w:rPr>
  </w:style>
  <w:style w:type="character" w:customStyle="1" w:styleId="FootnoteReference3">
    <w:name w:val="Footnote Reference3"/>
    <w:rsid w:val="008A7CAF"/>
    <w:rPr>
      <w:vertAlign w:val="superscript"/>
    </w:rPr>
  </w:style>
  <w:style w:type="character" w:customStyle="1" w:styleId="WW-FootnoteReference12345">
    <w:name w:val="WW-Footnote Reference12345"/>
    <w:rsid w:val="008A7CAF"/>
    <w:rPr>
      <w:vertAlign w:val="superscript"/>
    </w:rPr>
  </w:style>
  <w:style w:type="character" w:customStyle="1" w:styleId="WW-FootnoteReference123451">
    <w:name w:val="WW-Footnote Reference123451"/>
    <w:rsid w:val="008A7CAF"/>
    <w:rPr>
      <w:vertAlign w:val="superscript"/>
    </w:rPr>
  </w:style>
  <w:style w:type="character" w:styleId="Hyperlink">
    <w:name w:val="Hyperlink"/>
    <w:basedOn w:val="DefaultParagraphFont"/>
    <w:uiPriority w:val="99"/>
    <w:unhideWhenUsed/>
    <w:rsid w:val="008A7CAF"/>
    <w:rPr>
      <w:color w:val="0000FF" w:themeColor="hyperlink"/>
      <w:u w:val="single"/>
    </w:rPr>
  </w:style>
  <w:style w:type="character" w:customStyle="1" w:styleId="apple-converted-space">
    <w:name w:val="apple-converted-space"/>
    <w:basedOn w:val="DefaultParagraphFont"/>
    <w:rsid w:val="008A7CAF"/>
  </w:style>
  <w:style w:type="paragraph" w:styleId="Header">
    <w:name w:val="header"/>
    <w:basedOn w:val="Normal"/>
    <w:link w:val="HeaderChar"/>
    <w:uiPriority w:val="99"/>
    <w:semiHidden/>
    <w:unhideWhenUsed/>
    <w:rsid w:val="004513AA"/>
    <w:pPr>
      <w:tabs>
        <w:tab w:val="center" w:pos="4513"/>
        <w:tab w:val="right" w:pos="9026"/>
      </w:tabs>
    </w:pPr>
  </w:style>
  <w:style w:type="character" w:customStyle="1" w:styleId="HeaderChar">
    <w:name w:val="Header Char"/>
    <w:basedOn w:val="DefaultParagraphFont"/>
    <w:link w:val="Header"/>
    <w:uiPriority w:val="99"/>
    <w:semiHidden/>
    <w:rsid w:val="004513AA"/>
    <w:rPr>
      <w:rFonts w:ascii="Cambria" w:hAnsi="Cambria"/>
    </w:rPr>
  </w:style>
  <w:style w:type="paragraph" w:styleId="Footer">
    <w:name w:val="footer"/>
    <w:basedOn w:val="Normal"/>
    <w:link w:val="FooterChar"/>
    <w:uiPriority w:val="99"/>
    <w:unhideWhenUsed/>
    <w:rsid w:val="004513AA"/>
    <w:pPr>
      <w:tabs>
        <w:tab w:val="center" w:pos="4513"/>
        <w:tab w:val="right" w:pos="9026"/>
      </w:tabs>
    </w:pPr>
  </w:style>
  <w:style w:type="character" w:customStyle="1" w:styleId="FooterChar">
    <w:name w:val="Footer Char"/>
    <w:basedOn w:val="DefaultParagraphFont"/>
    <w:link w:val="Footer"/>
    <w:uiPriority w:val="99"/>
    <w:rsid w:val="004513AA"/>
    <w:rPr>
      <w:rFonts w:ascii="Cambria" w:hAnsi="Cambria"/>
    </w:rPr>
  </w:style>
  <w:style w:type="character" w:styleId="CommentReference">
    <w:name w:val="annotation reference"/>
    <w:basedOn w:val="DefaultParagraphFont"/>
    <w:uiPriority w:val="99"/>
    <w:semiHidden/>
    <w:unhideWhenUsed/>
    <w:rsid w:val="00997603"/>
    <w:rPr>
      <w:sz w:val="16"/>
      <w:szCs w:val="16"/>
    </w:rPr>
  </w:style>
  <w:style w:type="character" w:customStyle="1" w:styleId="WW-FootnoteReference1234">
    <w:name w:val="WW-Footnote Reference1234"/>
    <w:rsid w:val="00997603"/>
    <w:rPr>
      <w:vertAlign w:val="superscript"/>
    </w:rPr>
  </w:style>
  <w:style w:type="paragraph" w:styleId="CommentText">
    <w:name w:val="annotation text"/>
    <w:basedOn w:val="Normal"/>
    <w:link w:val="CommentTextChar"/>
    <w:uiPriority w:val="99"/>
    <w:semiHidden/>
    <w:unhideWhenUsed/>
    <w:rsid w:val="00221162"/>
    <w:rPr>
      <w:sz w:val="20"/>
      <w:szCs w:val="20"/>
    </w:rPr>
  </w:style>
  <w:style w:type="character" w:customStyle="1" w:styleId="CommentTextChar">
    <w:name w:val="Comment Text Char"/>
    <w:basedOn w:val="DefaultParagraphFont"/>
    <w:link w:val="CommentText"/>
    <w:uiPriority w:val="99"/>
    <w:semiHidden/>
    <w:rsid w:val="00221162"/>
    <w:rPr>
      <w:rFonts w:ascii="Cambria" w:hAnsi="Cambria"/>
      <w:sz w:val="20"/>
      <w:szCs w:val="20"/>
    </w:rPr>
  </w:style>
  <w:style w:type="paragraph" w:styleId="CommentSubject">
    <w:name w:val="annotation subject"/>
    <w:basedOn w:val="CommentText"/>
    <w:next w:val="CommentText"/>
    <w:link w:val="CommentSubjectChar"/>
    <w:uiPriority w:val="99"/>
    <w:semiHidden/>
    <w:unhideWhenUsed/>
    <w:rsid w:val="00221162"/>
    <w:rPr>
      <w:b/>
      <w:bCs/>
    </w:rPr>
  </w:style>
  <w:style w:type="character" w:customStyle="1" w:styleId="CommentSubjectChar">
    <w:name w:val="Comment Subject Char"/>
    <w:basedOn w:val="CommentTextChar"/>
    <w:link w:val="CommentSubject"/>
    <w:uiPriority w:val="99"/>
    <w:semiHidden/>
    <w:rsid w:val="00221162"/>
    <w:rPr>
      <w:rFonts w:ascii="Cambria" w:hAnsi="Cambria"/>
      <w:b/>
      <w:bCs/>
      <w:sz w:val="20"/>
      <w:szCs w:val="20"/>
    </w:rPr>
  </w:style>
  <w:style w:type="character" w:customStyle="1" w:styleId="Heading5Char">
    <w:name w:val="Heading 5 Char"/>
    <w:basedOn w:val="DefaultParagraphFont"/>
    <w:link w:val="Heading5"/>
    <w:rsid w:val="00780D8D"/>
    <w:rPr>
      <w:rFonts w:ascii="Cambria" w:eastAsia="Times New Roman" w:hAnsi="Cambria" w:cs="Calibri"/>
      <w:color w:val="243F60"/>
      <w:kern w:val="1"/>
      <w:lang w:eastAsia="ar-SA"/>
    </w:rPr>
  </w:style>
  <w:style w:type="character" w:customStyle="1" w:styleId="WW8Num28z1">
    <w:name w:val="WW8Num28z1"/>
    <w:rsid w:val="00780D8D"/>
    <w:rPr>
      <w:rFonts w:ascii="OpenSymbol" w:hAnsi="OpenSymbol" w:cs="OpenSymbol"/>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uiPriority w:val="99"/>
    <w:rsid w:val="003179E4"/>
    <w:pPr>
      <w:autoSpaceDE w:val="0"/>
      <w:autoSpaceDN w:val="0"/>
      <w:spacing w:after="160" w:line="240" w:lineRule="exact"/>
      <w:contextualSpacing w:val="0"/>
    </w:pPr>
    <w:rPr>
      <w:rFonts w:asciiTheme="minorHAnsi" w:hAnsiTheme="minorHAnsi"/>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www.statisticsguyana.gov.gy/pubs/Chapter2_Population_Composi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2008"/>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081D87-0CED-4020-96E4-0CAB6CF1555B}"/>
</file>

<file path=customXml/itemProps2.xml><?xml version="1.0" encoding="utf-8"?>
<ds:datastoreItem xmlns:ds="http://schemas.openxmlformats.org/officeDocument/2006/customXml" ds:itemID="{08806286-663C-48DE-83CA-0EA9CA12BEC9}"/>
</file>

<file path=customXml/itemProps3.xml><?xml version="1.0" encoding="utf-8"?>
<ds:datastoreItem xmlns:ds="http://schemas.openxmlformats.org/officeDocument/2006/customXml" ds:itemID="{39F51800-4FF5-425F-83E3-5A1767120BCD}"/>
</file>

<file path=customXml/itemProps4.xml><?xml version="1.0" encoding="utf-8"?>
<ds:datastoreItem xmlns:ds="http://schemas.openxmlformats.org/officeDocument/2006/customXml" ds:itemID="{F3003885-78EF-43F5-B1C0-051DFCABDDF9}"/>
</file>

<file path=docProps/app.xml><?xml version="1.0" encoding="utf-8"?>
<Properties xmlns="http://schemas.openxmlformats.org/officeDocument/2006/extended-properties" xmlns:vt="http://schemas.openxmlformats.org/officeDocument/2006/docPropsVTypes">
  <Template>Normal</Template>
  <TotalTime>1</TotalTime>
  <Pages>13</Pages>
  <Words>5507</Words>
  <Characters>31393</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36827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Wingfield</dc:creator>
  <cp:lastModifiedBy>CESCR Intern2 OHCHR</cp:lastModifiedBy>
  <cp:revision>2</cp:revision>
  <dcterms:created xsi:type="dcterms:W3CDTF">2015-09-01T08:05:00Z</dcterms:created>
  <dcterms:modified xsi:type="dcterms:W3CDTF">2015-09-01T08:05:00Z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