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widowControl w:val="0"/>
        <w:shd w:fill="ffffff" w:val="clear"/>
        <w:spacing w:line="240" w:lineRule="auto"/>
        <w:jc w:val="both"/>
        <w:rPr>
          <w:color w:val="3c4043"/>
          <w:sz w:val="20"/>
          <w:szCs w:val="20"/>
        </w:rPr>
      </w:pPr>
      <w:r w:rsidDel="00000000" w:rsidR="00000000" w:rsidRPr="00000000">
        <w:rPr>
          <w:rtl w:val="0"/>
        </w:rPr>
      </w:r>
    </w:p>
    <w:p w:rsidR="00000000" w:rsidDel="00000000" w:rsidP="00000000" w:rsidRDefault="00000000" w:rsidRPr="00000000" w14:paraId="00000002">
      <w:pPr>
        <w:keepNext w:val="1"/>
        <w:widowControl w:val="0"/>
        <w:spacing w:line="240" w:lineRule="auto"/>
        <w:jc w:val="center"/>
        <w:rPr>
          <w:color w:val="3c4043"/>
          <w:sz w:val="20"/>
          <w:szCs w:val="20"/>
        </w:rPr>
      </w:pPr>
      <w:r w:rsidDel="00000000" w:rsidR="00000000" w:rsidRPr="00000000">
        <w:rPr>
          <w:b w:val="1"/>
          <w:sz w:val="20"/>
          <w:szCs w:val="20"/>
        </w:rPr>
        <w:drawing>
          <wp:inline distB="0" distT="0" distL="0" distR="0">
            <wp:extent cx="1231900" cy="1231900"/>
            <wp:effectExtent b="0" l="0" r="0" t="0"/>
            <wp:docPr descr="https://lh6.googleusercontent.com/ws4MJ0Uc9i5SZJWL5yUFVKhln62jgCVkqjksOiL6OCU4aQjEZLkYvaewdUMYvPmORNRU5k7J_ZPXl6peQ814GORt_5OxxmSlbjXxFSt88QjHDrIawZHXxXdP4gSifOy0tLkHp3s=s1600" id="3" name="image1.png"/>
            <a:graphic>
              <a:graphicData uri="http://schemas.openxmlformats.org/drawingml/2006/picture">
                <pic:pic>
                  <pic:nvPicPr>
                    <pic:cNvPr descr="https://lh6.googleusercontent.com/ws4MJ0Uc9i5SZJWL5yUFVKhln62jgCVkqjksOiL6OCU4aQjEZLkYvaewdUMYvPmORNRU5k7J_ZPXl6peQ814GORt_5OxxmSlbjXxFSt88QjHDrIawZHXxXdP4gSifOy0tLkHp3s=s1600" id="0" name="image1.png"/>
                    <pic:cNvPicPr preferRelativeResize="0"/>
                  </pic:nvPicPr>
                  <pic:blipFill>
                    <a:blip r:embed="rId8"/>
                    <a:srcRect b="0" l="0" r="0" t="0"/>
                    <a:stretch>
                      <a:fillRect/>
                    </a:stretch>
                  </pic:blipFill>
                  <pic:spPr>
                    <a:xfrm>
                      <a:off x="0" y="0"/>
                      <a:ext cx="1231900" cy="12319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1"/>
        <w:widowControl w:val="0"/>
        <w:pBdr>
          <w:bottom w:color="000000" w:space="1" w:sz="4" w:val="single"/>
        </w:pBdr>
        <w:shd w:fill="ffffff" w:val="clear"/>
        <w:spacing w:line="240" w:lineRule="auto"/>
        <w:jc w:val="center"/>
        <w:rPr>
          <w:b w:val="1"/>
          <w:sz w:val="20"/>
          <w:szCs w:val="20"/>
        </w:rPr>
      </w:pPr>
      <w:r w:rsidDel="00000000" w:rsidR="00000000" w:rsidRPr="00000000">
        <w:rPr>
          <w:b w:val="1"/>
          <w:sz w:val="20"/>
          <w:szCs w:val="20"/>
          <w:rtl w:val="0"/>
        </w:rPr>
        <w:t xml:space="preserve">COMMISSION ON HUMAN RIGHTS OF THE PHILIPPINES (CHRP)</w:t>
      </w:r>
    </w:p>
    <w:p w:rsidR="00000000" w:rsidDel="00000000" w:rsidP="00000000" w:rsidRDefault="00000000" w:rsidRPr="00000000" w14:paraId="00000004">
      <w:pPr>
        <w:keepNext w:val="1"/>
        <w:widowControl w:val="0"/>
        <w:pBdr>
          <w:bottom w:color="000000" w:space="1" w:sz="4" w:val="single"/>
        </w:pBdr>
        <w:shd w:fill="ffffff" w:val="clear"/>
        <w:spacing w:line="240" w:lineRule="auto"/>
        <w:jc w:val="center"/>
        <w:rPr>
          <w:b w:val="1"/>
          <w:sz w:val="20"/>
          <w:szCs w:val="20"/>
        </w:rPr>
      </w:pPr>
      <w:r w:rsidDel="00000000" w:rsidR="00000000" w:rsidRPr="00000000">
        <w:rPr>
          <w:b w:val="1"/>
          <w:sz w:val="20"/>
          <w:szCs w:val="20"/>
          <w:rtl w:val="0"/>
        </w:rPr>
        <w:t xml:space="preserve">SUBMISSION TO THE CEDAW COMMITTEE ON OCCASION OF THE</w:t>
      </w:r>
    </w:p>
    <w:p w:rsidR="00000000" w:rsidDel="00000000" w:rsidP="00000000" w:rsidRDefault="00000000" w:rsidRPr="00000000" w14:paraId="00000005">
      <w:pPr>
        <w:keepNext w:val="1"/>
        <w:widowControl w:val="0"/>
        <w:pBdr>
          <w:bottom w:color="000000" w:space="1" w:sz="4" w:val="single"/>
        </w:pBdr>
        <w:shd w:fill="ffffff" w:val="clear"/>
        <w:spacing w:line="240" w:lineRule="auto"/>
        <w:jc w:val="center"/>
        <w:rPr>
          <w:b w:val="1"/>
          <w:sz w:val="20"/>
          <w:szCs w:val="20"/>
        </w:rPr>
      </w:pPr>
      <w:r w:rsidDel="00000000" w:rsidR="00000000" w:rsidRPr="00000000">
        <w:rPr>
          <w:b w:val="1"/>
          <w:sz w:val="20"/>
          <w:szCs w:val="20"/>
          <w:rtl w:val="0"/>
        </w:rPr>
        <w:t xml:space="preserve">84TH PRE-SESSIONAL WORKING GROUP</w:t>
      </w:r>
    </w:p>
    <w:p w:rsidR="00000000" w:rsidDel="00000000" w:rsidP="00000000" w:rsidRDefault="00000000" w:rsidRPr="00000000" w14:paraId="00000006">
      <w:pPr>
        <w:keepNext w:val="1"/>
        <w:widowControl w:val="0"/>
        <w:pBdr>
          <w:bottom w:color="000000" w:space="1" w:sz="4" w:val="single"/>
        </w:pBdr>
        <w:shd w:fill="ffffff" w:val="clear"/>
        <w:spacing w:line="240" w:lineRule="auto"/>
        <w:jc w:val="center"/>
        <w:rPr>
          <w:b w:val="1"/>
          <w:sz w:val="20"/>
          <w:szCs w:val="20"/>
        </w:rPr>
      </w:pPr>
      <w:r w:rsidDel="00000000" w:rsidR="00000000" w:rsidRPr="00000000">
        <w:rPr>
          <w:b w:val="1"/>
          <w:sz w:val="20"/>
          <w:szCs w:val="20"/>
          <w:rtl w:val="0"/>
        </w:rPr>
        <w:t xml:space="preserve"> JULY 2022</w:t>
      </w:r>
    </w:p>
    <w:p w:rsidR="00000000" w:rsidDel="00000000" w:rsidP="00000000" w:rsidRDefault="00000000" w:rsidRPr="00000000" w14:paraId="00000007">
      <w:pPr>
        <w:keepNext w:val="1"/>
        <w:widowControl w:val="0"/>
        <w:spacing w:line="240" w:lineRule="auto"/>
        <w:jc w:val="both"/>
        <w:rPr>
          <w:b w:val="1"/>
          <w:sz w:val="20"/>
          <w:szCs w:val="20"/>
        </w:rPr>
      </w:pPr>
      <w:r w:rsidDel="00000000" w:rsidR="00000000" w:rsidRPr="00000000">
        <w:rPr>
          <w:rtl w:val="0"/>
        </w:rPr>
      </w:r>
    </w:p>
    <w:p w:rsidR="00000000" w:rsidDel="00000000" w:rsidP="00000000" w:rsidRDefault="00000000" w:rsidRPr="00000000" w14:paraId="00000008">
      <w:pPr>
        <w:keepNext w:val="1"/>
        <w:widowControl w:val="0"/>
        <w:numPr>
          <w:ilvl w:val="0"/>
          <w:numId w:val="2"/>
        </w:numPr>
        <w:spacing w:line="240" w:lineRule="auto"/>
        <w:ind w:left="720" w:hanging="360"/>
        <w:jc w:val="both"/>
        <w:rPr>
          <w:sz w:val="20"/>
          <w:szCs w:val="20"/>
        </w:rPr>
      </w:pPr>
      <w:bookmarkStart w:colFirst="0" w:colLast="0" w:name="_heading=h.gjdgxs" w:id="0"/>
      <w:bookmarkEnd w:id="0"/>
      <w:r w:rsidDel="00000000" w:rsidR="00000000" w:rsidRPr="00000000">
        <w:rPr>
          <w:sz w:val="20"/>
          <w:szCs w:val="20"/>
          <w:rtl w:val="0"/>
        </w:rPr>
        <w:t xml:space="preserve">The Commission on Human Rights of the Philippines (hereinafter “CHRP” or “Commission”) submits its parallel report to the Committee on the Elimination of All Forms of Discrimination Against Women (“CEDAW Committee”) on the occasion of the 9th periodic review of the Philippines.</w:t>
      </w:r>
      <w:r w:rsidDel="00000000" w:rsidR="00000000" w:rsidRPr="00000000">
        <w:rPr>
          <w:sz w:val="20"/>
          <w:szCs w:val="20"/>
          <w:vertAlign w:val="superscript"/>
        </w:rPr>
        <w:footnoteReference w:customMarkFollows="0" w:id="0"/>
      </w:r>
      <w:r w:rsidDel="00000000" w:rsidR="00000000" w:rsidRPr="00000000">
        <w:rPr>
          <w:sz w:val="20"/>
          <w:szCs w:val="20"/>
          <w:rtl w:val="0"/>
        </w:rPr>
        <w:t xml:space="preserve"> </w:t>
      </w:r>
    </w:p>
    <w:p w:rsidR="00000000" w:rsidDel="00000000" w:rsidP="00000000" w:rsidRDefault="00000000" w:rsidRPr="00000000" w14:paraId="00000009">
      <w:pPr>
        <w:keepNext w:val="1"/>
        <w:widowControl w:val="0"/>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0A">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The report provides updates on the Philippine government’s progress in the implementation of CEDAW from 2016-2020.</w:t>
      </w:r>
      <w:r w:rsidDel="00000000" w:rsidR="00000000" w:rsidRPr="00000000">
        <w:rPr>
          <w:sz w:val="20"/>
          <w:szCs w:val="20"/>
          <w:vertAlign w:val="superscript"/>
        </w:rPr>
        <w:footnoteReference w:customMarkFollows="0" w:id="1"/>
      </w:r>
      <w:r w:rsidDel="00000000" w:rsidR="00000000" w:rsidRPr="00000000">
        <w:rPr>
          <w:sz w:val="20"/>
          <w:szCs w:val="20"/>
          <w:rtl w:val="0"/>
        </w:rPr>
        <w:t xml:space="preserve"> </w:t>
      </w:r>
    </w:p>
    <w:p w:rsidR="00000000" w:rsidDel="00000000" w:rsidP="00000000" w:rsidRDefault="00000000" w:rsidRPr="00000000" w14:paraId="0000000B">
      <w:pPr>
        <w:keepNext w:val="1"/>
        <w:widowControl w:val="0"/>
        <w:spacing w:line="240" w:lineRule="auto"/>
        <w:jc w:val="both"/>
        <w:rPr>
          <w:sz w:val="20"/>
          <w:szCs w:val="20"/>
        </w:rPr>
      </w:pPr>
      <w:r w:rsidDel="00000000" w:rsidR="00000000" w:rsidRPr="00000000">
        <w:rPr>
          <w:rtl w:val="0"/>
        </w:rPr>
      </w:r>
    </w:p>
    <w:p w:rsidR="00000000" w:rsidDel="00000000" w:rsidP="00000000" w:rsidRDefault="00000000" w:rsidRPr="00000000" w14:paraId="0000000C">
      <w:pPr>
        <w:keepNext w:val="1"/>
        <w:widowControl w:val="0"/>
        <w:spacing w:line="240" w:lineRule="auto"/>
        <w:jc w:val="both"/>
        <w:rPr>
          <w:b w:val="1"/>
          <w:sz w:val="20"/>
          <w:szCs w:val="20"/>
        </w:rPr>
      </w:pPr>
      <w:r w:rsidDel="00000000" w:rsidR="00000000" w:rsidRPr="00000000">
        <w:rPr>
          <w:b w:val="1"/>
          <w:sz w:val="20"/>
          <w:szCs w:val="20"/>
          <w:rtl w:val="0"/>
        </w:rPr>
        <w:t xml:space="preserve">Positive Aspects</w:t>
      </w:r>
    </w:p>
    <w:p w:rsidR="00000000" w:rsidDel="00000000" w:rsidP="00000000" w:rsidRDefault="00000000" w:rsidRPr="00000000" w14:paraId="0000000D">
      <w:pPr>
        <w:keepNext w:val="1"/>
        <w:widowControl w:val="0"/>
        <w:shd w:fill="ffffff" w:val="clear"/>
        <w:spacing w:line="240" w:lineRule="auto"/>
        <w:jc w:val="both"/>
        <w:rPr>
          <w:b w:val="1"/>
          <w:sz w:val="20"/>
          <w:szCs w:val="20"/>
        </w:rPr>
      </w:pPr>
      <w:r w:rsidDel="00000000" w:rsidR="00000000" w:rsidRPr="00000000">
        <w:rPr>
          <w:rtl w:val="0"/>
        </w:rPr>
      </w:r>
    </w:p>
    <w:p w:rsidR="00000000" w:rsidDel="00000000" w:rsidP="00000000" w:rsidRDefault="00000000" w:rsidRPr="00000000" w14:paraId="0000000E">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Since 2016, the Philippines has made significant progress in the area of legislative reform. CHRP has observed strong advocacy and support for the enactment of policies for the protection and promotion of women and girls’ rights. This include:</w:t>
      </w:r>
    </w:p>
    <w:p w:rsidR="00000000" w:rsidDel="00000000" w:rsidP="00000000" w:rsidRDefault="00000000" w:rsidRPr="00000000" w14:paraId="0000000F">
      <w:pPr>
        <w:keepNext w:val="1"/>
        <w:widowControl w:val="0"/>
        <w:spacing w:line="240" w:lineRule="auto"/>
        <w:jc w:val="both"/>
        <w:rPr>
          <w:sz w:val="20"/>
          <w:szCs w:val="20"/>
        </w:rPr>
      </w:pPr>
      <w:r w:rsidDel="00000000" w:rsidR="00000000" w:rsidRPr="00000000">
        <w:rPr>
          <w:rtl w:val="0"/>
        </w:rPr>
      </w:r>
    </w:p>
    <w:p w:rsidR="00000000" w:rsidDel="00000000" w:rsidP="00000000" w:rsidRDefault="00000000" w:rsidRPr="00000000" w14:paraId="00000010">
      <w:pPr>
        <w:keepNext w:val="1"/>
        <w:widowControl w:val="0"/>
        <w:numPr>
          <w:ilvl w:val="1"/>
          <w:numId w:val="4"/>
        </w:numPr>
        <w:spacing w:line="240" w:lineRule="auto"/>
        <w:ind w:left="1440" w:hanging="360"/>
        <w:jc w:val="both"/>
        <w:rPr>
          <w:sz w:val="20"/>
          <w:szCs w:val="20"/>
        </w:rPr>
      </w:pPr>
      <w:r w:rsidDel="00000000" w:rsidR="00000000" w:rsidRPr="00000000">
        <w:rPr>
          <w:sz w:val="20"/>
          <w:szCs w:val="20"/>
          <w:rtl w:val="0"/>
        </w:rPr>
        <w:t xml:space="preserve">Republic Act (RA) 11313: Safe Spaces Act of 2019,</w:t>
      </w:r>
      <w:r w:rsidDel="00000000" w:rsidR="00000000" w:rsidRPr="00000000">
        <w:rPr>
          <w:sz w:val="20"/>
          <w:szCs w:val="20"/>
          <w:vertAlign w:val="superscript"/>
        </w:rPr>
        <w:footnoteReference w:customMarkFollows="0" w:id="2"/>
      </w:r>
      <w:r w:rsidDel="00000000" w:rsidR="00000000" w:rsidRPr="00000000">
        <w:rPr>
          <w:sz w:val="20"/>
          <w:szCs w:val="20"/>
          <w:rtl w:val="0"/>
        </w:rPr>
        <w:t xml:space="preserve"> RA 11210: The Expanded Maternity Leave Law of 2019</w:t>
      </w:r>
      <w:r w:rsidDel="00000000" w:rsidR="00000000" w:rsidRPr="00000000">
        <w:rPr>
          <w:sz w:val="20"/>
          <w:szCs w:val="20"/>
          <w:vertAlign w:val="superscript"/>
          <w:rtl w:val="0"/>
        </w:rPr>
        <w:t xml:space="preserve"> </w:t>
      </w:r>
      <w:r w:rsidDel="00000000" w:rsidR="00000000" w:rsidRPr="00000000">
        <w:rPr>
          <w:sz w:val="20"/>
          <w:szCs w:val="20"/>
          <w:vertAlign w:val="superscript"/>
        </w:rPr>
        <w:footnoteReference w:customMarkFollows="0" w:id="3"/>
      </w:r>
      <w:r w:rsidDel="00000000" w:rsidR="00000000" w:rsidRPr="00000000">
        <w:rPr>
          <w:sz w:val="20"/>
          <w:szCs w:val="20"/>
          <w:rtl w:val="0"/>
        </w:rPr>
        <w:t xml:space="preserve"> </w:t>
      </w:r>
    </w:p>
    <w:p w:rsidR="00000000" w:rsidDel="00000000" w:rsidP="00000000" w:rsidRDefault="00000000" w:rsidRPr="00000000" w14:paraId="00000011">
      <w:pPr>
        <w:keepNext w:val="1"/>
        <w:widowControl w:val="0"/>
        <w:numPr>
          <w:ilvl w:val="1"/>
          <w:numId w:val="4"/>
        </w:numPr>
        <w:spacing w:line="240" w:lineRule="auto"/>
        <w:ind w:left="1440" w:hanging="360"/>
        <w:jc w:val="both"/>
        <w:rPr>
          <w:sz w:val="20"/>
          <w:szCs w:val="20"/>
        </w:rPr>
      </w:pPr>
      <w:r w:rsidDel="00000000" w:rsidR="00000000" w:rsidRPr="00000000">
        <w:rPr>
          <w:sz w:val="20"/>
          <w:szCs w:val="20"/>
          <w:rtl w:val="0"/>
        </w:rPr>
        <w:t xml:space="preserve">RA 11166: the Philippine HIV and AIDS Policy Act</w:t>
      </w:r>
      <w:r w:rsidDel="00000000" w:rsidR="00000000" w:rsidRPr="00000000">
        <w:rPr>
          <w:sz w:val="20"/>
          <w:szCs w:val="20"/>
          <w:vertAlign w:val="superscript"/>
        </w:rPr>
        <w:footnoteReference w:customMarkFollows="0" w:id="4"/>
      </w:r>
      <w:r w:rsidDel="00000000" w:rsidR="00000000" w:rsidRPr="00000000">
        <w:rPr>
          <w:rtl w:val="0"/>
        </w:rPr>
      </w:r>
    </w:p>
    <w:p w:rsidR="00000000" w:rsidDel="00000000" w:rsidP="00000000" w:rsidRDefault="00000000" w:rsidRPr="00000000" w14:paraId="00000012">
      <w:pPr>
        <w:keepNext w:val="1"/>
        <w:widowControl w:val="0"/>
        <w:numPr>
          <w:ilvl w:val="1"/>
          <w:numId w:val="4"/>
        </w:numPr>
        <w:spacing w:line="240" w:lineRule="auto"/>
        <w:ind w:left="1440" w:hanging="360"/>
        <w:jc w:val="both"/>
        <w:rPr>
          <w:sz w:val="20"/>
          <w:szCs w:val="20"/>
        </w:rPr>
      </w:pPr>
      <w:r w:rsidDel="00000000" w:rsidR="00000000" w:rsidRPr="00000000">
        <w:rPr>
          <w:sz w:val="20"/>
          <w:szCs w:val="20"/>
          <w:rtl w:val="0"/>
        </w:rPr>
        <w:t xml:space="preserve">RA 11596: An Act Prohibiting the Practice of Child Marriage and Imposing Penalties For Violations Thereof.</w:t>
      </w:r>
      <w:r w:rsidDel="00000000" w:rsidR="00000000" w:rsidRPr="00000000">
        <w:rPr>
          <w:sz w:val="20"/>
          <w:szCs w:val="20"/>
          <w:vertAlign w:val="superscript"/>
        </w:rPr>
        <w:footnoteReference w:customMarkFollows="0" w:id="5"/>
      </w:r>
      <w:r w:rsidDel="00000000" w:rsidR="00000000" w:rsidRPr="00000000">
        <w:rPr>
          <w:rtl w:val="0"/>
        </w:rPr>
      </w:r>
    </w:p>
    <w:p w:rsidR="00000000" w:rsidDel="00000000" w:rsidP="00000000" w:rsidRDefault="00000000" w:rsidRPr="00000000" w14:paraId="00000013">
      <w:pPr>
        <w:keepNext w:val="1"/>
        <w:widowControl w:val="0"/>
        <w:numPr>
          <w:ilvl w:val="1"/>
          <w:numId w:val="4"/>
        </w:numPr>
        <w:spacing w:line="240" w:lineRule="auto"/>
        <w:ind w:left="1440" w:hanging="360"/>
        <w:jc w:val="both"/>
        <w:rPr>
          <w:sz w:val="20"/>
          <w:szCs w:val="20"/>
        </w:rPr>
      </w:pPr>
      <w:r w:rsidDel="00000000" w:rsidR="00000000" w:rsidRPr="00000000">
        <w:rPr>
          <w:sz w:val="20"/>
          <w:szCs w:val="20"/>
          <w:rtl w:val="0"/>
        </w:rPr>
        <w:t xml:space="preserve">RA 116481: An act Providing for Stronger Protection Against Rape and Sexual Exploitation and Abuse, Increasing the Age for Determining the Commission of Statutory Rape.</w:t>
      </w:r>
      <w:r w:rsidDel="00000000" w:rsidR="00000000" w:rsidRPr="00000000">
        <w:rPr>
          <w:sz w:val="20"/>
          <w:szCs w:val="20"/>
          <w:vertAlign w:val="superscript"/>
        </w:rPr>
        <w:footnoteReference w:customMarkFollows="0" w:id="6"/>
      </w:r>
      <w:r w:rsidDel="00000000" w:rsidR="00000000" w:rsidRPr="00000000">
        <w:rPr>
          <w:rtl w:val="0"/>
        </w:rPr>
      </w:r>
    </w:p>
    <w:p w:rsidR="00000000" w:rsidDel="00000000" w:rsidP="00000000" w:rsidRDefault="00000000" w:rsidRPr="00000000" w14:paraId="00000014">
      <w:pPr>
        <w:keepNext w:val="1"/>
        <w:widowControl w:val="0"/>
        <w:spacing w:line="240" w:lineRule="auto"/>
        <w:jc w:val="both"/>
        <w:rPr>
          <w:sz w:val="20"/>
          <w:szCs w:val="20"/>
        </w:rPr>
      </w:pPr>
      <w:r w:rsidDel="00000000" w:rsidR="00000000" w:rsidRPr="00000000">
        <w:rPr>
          <w:rtl w:val="0"/>
        </w:rPr>
      </w:r>
    </w:p>
    <w:p w:rsidR="00000000" w:rsidDel="00000000" w:rsidP="00000000" w:rsidRDefault="00000000" w:rsidRPr="00000000" w14:paraId="00000015">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Gaps persist despite remarkable advancements in legislation. Several bills necessary to strengthen the implementation of RA 9710 or the Magna Carta of Women (MCW)</w:t>
      </w:r>
      <w:r w:rsidDel="00000000" w:rsidR="00000000" w:rsidRPr="00000000">
        <w:rPr>
          <w:sz w:val="20"/>
          <w:szCs w:val="20"/>
          <w:vertAlign w:val="superscript"/>
        </w:rPr>
        <w:footnoteReference w:customMarkFollows="0" w:id="7"/>
      </w:r>
      <w:r w:rsidDel="00000000" w:rsidR="00000000" w:rsidRPr="00000000">
        <w:rPr>
          <w:sz w:val="20"/>
          <w:szCs w:val="20"/>
          <w:rtl w:val="0"/>
        </w:rPr>
        <w:t xml:space="preserve"> and CEDAW remain protractedly pending before Congress. The SOGIE Equality bill has been pending in Congress for 22 years.</w:t>
      </w:r>
      <w:r w:rsidDel="00000000" w:rsidR="00000000" w:rsidRPr="00000000">
        <w:rPr>
          <w:sz w:val="20"/>
          <w:szCs w:val="20"/>
          <w:vertAlign w:val="superscript"/>
        </w:rPr>
        <w:footnoteReference w:customMarkFollows="0" w:id="8"/>
      </w:r>
      <w:r w:rsidDel="00000000" w:rsidR="00000000" w:rsidRPr="00000000">
        <w:rPr>
          <w:sz w:val="20"/>
          <w:szCs w:val="20"/>
          <w:rtl w:val="0"/>
        </w:rPr>
        <w:t xml:space="preserve"> There is continued delay in the enactment of legislative measures to abolish discriminatory provisions in the Family Code</w:t>
      </w:r>
      <w:r w:rsidDel="00000000" w:rsidR="00000000" w:rsidRPr="00000000">
        <w:rPr>
          <w:sz w:val="20"/>
          <w:szCs w:val="20"/>
          <w:vertAlign w:val="superscript"/>
        </w:rPr>
        <w:footnoteReference w:customMarkFollows="0" w:id="9"/>
      </w:r>
      <w:r w:rsidDel="00000000" w:rsidR="00000000" w:rsidRPr="00000000">
        <w:rPr>
          <w:sz w:val="20"/>
          <w:szCs w:val="20"/>
          <w:vertAlign w:val="superscript"/>
        </w:rPr>
        <w:footnoteReference w:customMarkFollows="0" w:id="10"/>
      </w:r>
      <w:r w:rsidDel="00000000" w:rsidR="00000000" w:rsidRPr="00000000">
        <w:rPr>
          <w:sz w:val="20"/>
          <w:szCs w:val="20"/>
          <w:vertAlign w:val="superscript"/>
        </w:rPr>
        <w:footnoteReference w:customMarkFollows="0" w:id="11"/>
      </w:r>
      <w:r w:rsidDel="00000000" w:rsidR="00000000" w:rsidRPr="00000000">
        <w:rPr>
          <w:sz w:val="20"/>
          <w:szCs w:val="20"/>
          <w:rtl w:val="0"/>
        </w:rPr>
        <w:t xml:space="preserve"> and some provisions of the criminal code.</w:t>
      </w:r>
      <w:r w:rsidDel="00000000" w:rsidR="00000000" w:rsidRPr="00000000">
        <w:rPr>
          <w:sz w:val="20"/>
          <w:szCs w:val="20"/>
          <w:vertAlign w:val="superscript"/>
        </w:rPr>
        <w:footnoteReference w:customMarkFollows="0" w:id="12"/>
      </w:r>
      <w:r w:rsidDel="00000000" w:rsidR="00000000" w:rsidRPr="00000000">
        <w:rPr>
          <w:rtl w:val="0"/>
        </w:rPr>
      </w:r>
    </w:p>
    <w:p w:rsidR="00000000" w:rsidDel="00000000" w:rsidP="00000000" w:rsidRDefault="00000000" w:rsidRPr="00000000" w14:paraId="00000016">
      <w:pPr>
        <w:keepNext w:val="1"/>
        <w:widowControl w:val="0"/>
        <w:spacing w:line="240" w:lineRule="auto"/>
        <w:jc w:val="both"/>
        <w:rPr>
          <w:sz w:val="20"/>
          <w:szCs w:val="20"/>
        </w:rPr>
      </w:pPr>
      <w:r w:rsidDel="00000000" w:rsidR="00000000" w:rsidRPr="00000000">
        <w:rPr>
          <w:rtl w:val="0"/>
        </w:rPr>
      </w:r>
    </w:p>
    <w:p w:rsidR="00000000" w:rsidDel="00000000" w:rsidP="00000000" w:rsidRDefault="00000000" w:rsidRPr="00000000" w14:paraId="00000017">
      <w:pPr>
        <w:keepNext w:val="1"/>
        <w:widowControl w:val="0"/>
        <w:spacing w:line="240" w:lineRule="auto"/>
        <w:jc w:val="both"/>
        <w:rPr>
          <w:sz w:val="20"/>
          <w:szCs w:val="20"/>
        </w:rPr>
      </w:pPr>
      <w:r w:rsidDel="00000000" w:rsidR="00000000" w:rsidRPr="00000000">
        <w:rPr>
          <w:sz w:val="20"/>
          <w:szCs w:val="20"/>
          <w:rtl w:val="0"/>
        </w:rPr>
        <w:tab/>
      </w:r>
      <w:r w:rsidDel="00000000" w:rsidR="00000000" w:rsidRPr="00000000">
        <w:rPr>
          <w:b w:val="1"/>
          <w:sz w:val="20"/>
          <w:szCs w:val="20"/>
          <w:rtl w:val="0"/>
        </w:rPr>
        <w:t xml:space="preserve">B. General context</w:t>
      </w:r>
      <w:r w:rsidDel="00000000" w:rsidR="00000000" w:rsidRPr="00000000">
        <w:rPr>
          <w:rtl w:val="0"/>
        </w:rPr>
      </w:r>
    </w:p>
    <w:p w:rsidR="00000000" w:rsidDel="00000000" w:rsidP="00000000" w:rsidRDefault="00000000" w:rsidRPr="00000000" w14:paraId="00000018">
      <w:pPr>
        <w:keepNext w:val="1"/>
        <w:widowControl w:val="0"/>
        <w:spacing w:line="240" w:lineRule="auto"/>
        <w:jc w:val="both"/>
        <w:rPr>
          <w:sz w:val="20"/>
          <w:szCs w:val="20"/>
        </w:rPr>
      </w:pPr>
      <w:r w:rsidDel="00000000" w:rsidR="00000000" w:rsidRPr="00000000">
        <w:rPr>
          <w:rtl w:val="0"/>
        </w:rPr>
      </w:r>
    </w:p>
    <w:p w:rsidR="00000000" w:rsidDel="00000000" w:rsidP="00000000" w:rsidRDefault="00000000" w:rsidRPr="00000000" w14:paraId="00000019">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From 8th place, it fell to 17th place in 2021 with lower scores in women empowerment. This major drawback in closing the gender gap is attributed to the lesser number of women in parliament and even fewer women ministers.</w:t>
      </w:r>
      <w:r w:rsidDel="00000000" w:rsidR="00000000" w:rsidRPr="00000000">
        <w:rPr>
          <w:sz w:val="20"/>
          <w:szCs w:val="20"/>
          <w:vertAlign w:val="superscript"/>
        </w:rPr>
        <w:footnoteReference w:customMarkFollows="0" w:id="13"/>
      </w:r>
      <w:r w:rsidDel="00000000" w:rsidR="00000000" w:rsidRPr="00000000">
        <w:rPr>
          <w:sz w:val="20"/>
          <w:szCs w:val="20"/>
          <w:rtl w:val="0"/>
        </w:rPr>
        <w:t xml:space="preserve"> The continuing disparity in income and wage is another area of concern.</w:t>
      </w:r>
      <w:r w:rsidDel="00000000" w:rsidR="00000000" w:rsidRPr="00000000">
        <w:rPr>
          <w:sz w:val="20"/>
          <w:szCs w:val="20"/>
          <w:vertAlign w:val="superscript"/>
        </w:rPr>
        <w:footnoteReference w:customMarkFollows="0" w:id="14"/>
      </w:r>
      <w:r w:rsidDel="00000000" w:rsidR="00000000" w:rsidRPr="00000000">
        <w:rPr>
          <w:rtl w:val="0"/>
        </w:rPr>
      </w:r>
    </w:p>
    <w:p w:rsidR="00000000" w:rsidDel="00000000" w:rsidP="00000000" w:rsidRDefault="00000000" w:rsidRPr="00000000" w14:paraId="0000001A">
      <w:pPr>
        <w:keepNext w:val="1"/>
        <w:widowControl w:val="0"/>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1B">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The past six years of the Duterte administration have been a great challenge for women human rights defenders (WHRDs). It has been marked by increasing gender-based violence (GBV) against women, especially in public life,  as seen in the administration’s war on drugs, red-tagging of WHRDs, attacks on women journalists and women in the opposition and the rising misogyny and sexism. The situation has been further exacerbated with the passage of the Anti-Terror Law, with the risk it poses to guaranteed rights.</w:t>
      </w:r>
      <w:r w:rsidDel="00000000" w:rsidR="00000000" w:rsidRPr="00000000">
        <w:rPr>
          <w:sz w:val="20"/>
          <w:szCs w:val="20"/>
          <w:vertAlign w:val="superscript"/>
        </w:rPr>
        <w:footnoteReference w:customMarkFollows="0" w:id="15"/>
      </w:r>
      <w:r w:rsidDel="00000000" w:rsidR="00000000" w:rsidRPr="00000000">
        <w:rPr>
          <w:sz w:val="20"/>
          <w:szCs w:val="20"/>
          <w:rtl w:val="0"/>
        </w:rPr>
        <w:t xml:space="preserve"> </w:t>
      </w:r>
    </w:p>
    <w:p w:rsidR="00000000" w:rsidDel="00000000" w:rsidP="00000000" w:rsidRDefault="00000000" w:rsidRPr="00000000" w14:paraId="0000001C">
      <w:pPr>
        <w:keepNext w:val="1"/>
        <w:widowControl w:val="0"/>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1D">
      <w:pPr>
        <w:keepNext w:val="1"/>
        <w:widowControl w:val="0"/>
        <w:numPr>
          <w:ilvl w:val="0"/>
          <w:numId w:val="2"/>
        </w:numPr>
        <w:spacing w:line="240" w:lineRule="auto"/>
        <w:ind w:left="720" w:hanging="360"/>
        <w:jc w:val="both"/>
        <w:rPr>
          <w:sz w:val="20"/>
          <w:szCs w:val="20"/>
        </w:rPr>
      </w:pPr>
      <w:r w:rsidDel="00000000" w:rsidR="00000000" w:rsidRPr="00000000">
        <w:rPr>
          <w:sz w:val="20"/>
          <w:szCs w:val="20"/>
          <w:rtl w:val="0"/>
        </w:rPr>
        <w:t xml:space="preserve">The government’s </w:t>
      </w:r>
      <w:r w:rsidDel="00000000" w:rsidR="00000000" w:rsidRPr="00000000">
        <w:rPr>
          <w:i w:val="1"/>
          <w:sz w:val="20"/>
          <w:szCs w:val="20"/>
          <w:rtl w:val="0"/>
        </w:rPr>
        <w:t xml:space="preserve">war on drugs</w:t>
      </w:r>
      <w:r w:rsidDel="00000000" w:rsidR="00000000" w:rsidRPr="00000000">
        <w:rPr>
          <w:sz w:val="20"/>
          <w:szCs w:val="20"/>
          <w:rtl w:val="0"/>
        </w:rPr>
        <w:t xml:space="preserve"> remains a serious human rights concern as records reveal a percentage of victims among women and children, typically from poor and marginalized communities.</w:t>
      </w:r>
      <w:r w:rsidDel="00000000" w:rsidR="00000000" w:rsidRPr="00000000">
        <w:rPr>
          <w:sz w:val="20"/>
          <w:szCs w:val="20"/>
          <w:vertAlign w:val="superscript"/>
        </w:rPr>
        <w:footnoteReference w:customMarkFollows="0" w:id="16"/>
      </w:r>
      <w:r w:rsidDel="00000000" w:rsidR="00000000" w:rsidRPr="00000000">
        <w:rPr>
          <w:sz w:val="20"/>
          <w:szCs w:val="20"/>
          <w:rtl w:val="0"/>
        </w:rPr>
        <w:t xml:space="preserve"> This drug war policy has affected women in communities who are forced to support and single-handedly raise a family when confronted with the loss of fathers, sons, or brothers due to alleged extrajudicial killings (EJK)  or detention.</w:t>
      </w:r>
      <w:r w:rsidDel="00000000" w:rsidR="00000000" w:rsidRPr="00000000">
        <w:rPr>
          <w:sz w:val="20"/>
          <w:szCs w:val="20"/>
          <w:vertAlign w:val="superscript"/>
        </w:rPr>
        <w:footnoteReference w:customMarkFollows="0" w:id="17"/>
      </w:r>
      <w:r w:rsidDel="00000000" w:rsidR="00000000" w:rsidRPr="00000000">
        <w:rPr>
          <w:rtl w:val="0"/>
        </w:rPr>
      </w:r>
    </w:p>
    <w:p w:rsidR="00000000" w:rsidDel="00000000" w:rsidP="00000000" w:rsidRDefault="00000000" w:rsidRPr="00000000" w14:paraId="0000001E">
      <w:pPr>
        <w:keepNext w:val="1"/>
        <w:widowControl w:val="0"/>
        <w:shd w:fill="ffffff" w:val="clea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1F">
      <w:pPr>
        <w:keepNext w:val="1"/>
        <w:widowControl w:val="0"/>
        <w:numPr>
          <w:ilvl w:val="0"/>
          <w:numId w:val="1"/>
        </w:numPr>
        <w:shd w:fill="ffffff" w:val="clear"/>
        <w:spacing w:line="240" w:lineRule="auto"/>
        <w:ind w:left="720" w:hanging="360"/>
        <w:jc w:val="both"/>
        <w:rPr>
          <w:sz w:val="20"/>
          <w:szCs w:val="20"/>
        </w:rPr>
      </w:pPr>
      <w:r w:rsidDel="00000000" w:rsidR="00000000" w:rsidRPr="00000000">
        <w:rPr>
          <w:sz w:val="20"/>
          <w:szCs w:val="20"/>
          <w:rtl w:val="0"/>
        </w:rPr>
        <w:t xml:space="preserve">Women continue to bear the brunt of misogynistic remarks and are often subjects of rape jokes, sexism, catcalling and other forms of harassment online and in the streets. This is compounded by the prevalent sexist and misogynistic culture manifested by high-ranking public officials and gender-stereotyping and victim-blaming by some posts from law enforcement agencies</w:t>
      </w:r>
      <w:r w:rsidDel="00000000" w:rsidR="00000000" w:rsidRPr="00000000">
        <w:rPr>
          <w:sz w:val="20"/>
          <w:szCs w:val="20"/>
          <w:vertAlign w:val="superscript"/>
        </w:rPr>
        <w:footnoteReference w:customMarkFollows="0" w:id="18"/>
      </w:r>
      <w:r w:rsidDel="00000000" w:rsidR="00000000" w:rsidRPr="00000000">
        <w:rPr>
          <w:sz w:val="20"/>
          <w:szCs w:val="20"/>
          <w:highlight w:val="yellow"/>
          <w:rtl w:val="0"/>
        </w:rPr>
        <w:t xml:space="preserve"> </w:t>
      </w:r>
      <w:r w:rsidDel="00000000" w:rsidR="00000000" w:rsidRPr="00000000">
        <w:rPr>
          <w:rtl w:val="0"/>
        </w:rPr>
      </w:r>
    </w:p>
    <w:p w:rsidR="00000000" w:rsidDel="00000000" w:rsidP="00000000" w:rsidRDefault="00000000" w:rsidRPr="00000000" w14:paraId="00000020">
      <w:pPr>
        <w:keepNext w:val="1"/>
        <w:widowControl w:val="0"/>
        <w:shd w:fill="ffffff" w:val="clea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21">
      <w:pPr>
        <w:keepNext w:val="1"/>
        <w:widowControl w:val="0"/>
        <w:numPr>
          <w:ilvl w:val="0"/>
          <w:numId w:val="1"/>
        </w:numPr>
        <w:shd w:fill="ffffff" w:val="clear"/>
        <w:spacing w:line="240" w:lineRule="auto"/>
        <w:ind w:left="720" w:hanging="360"/>
        <w:jc w:val="both"/>
        <w:rPr>
          <w:sz w:val="20"/>
          <w:szCs w:val="20"/>
        </w:rPr>
      </w:pPr>
      <w:r w:rsidDel="00000000" w:rsidR="00000000" w:rsidRPr="00000000">
        <w:rPr>
          <w:sz w:val="20"/>
          <w:szCs w:val="20"/>
          <w:rtl w:val="0"/>
        </w:rPr>
        <w:t xml:space="preserve">The crisis brought about by the COVID-19 pandemic exacerbates existing gender inequalities and increases risks of GBV and sexual exploitation and abuse. With the COVID-19 pandemic and resulting containment measures, women struggled with a greater risk of slipping into food and shelter insecurity, poverty and reduced income, and unemployment.</w:t>
      </w:r>
      <w:r w:rsidDel="00000000" w:rsidR="00000000" w:rsidRPr="00000000">
        <w:rPr>
          <w:sz w:val="20"/>
          <w:szCs w:val="20"/>
          <w:vertAlign w:val="superscript"/>
        </w:rPr>
        <w:footnoteReference w:customMarkFollows="0" w:id="19"/>
      </w:r>
      <w:r w:rsidDel="00000000" w:rsidR="00000000" w:rsidRPr="00000000">
        <w:rPr>
          <w:rtl w:val="0"/>
        </w:rPr>
      </w:r>
    </w:p>
    <w:p w:rsidR="00000000" w:rsidDel="00000000" w:rsidP="00000000" w:rsidRDefault="00000000" w:rsidRPr="00000000" w14:paraId="00000022">
      <w:pPr>
        <w:keepNext w:val="1"/>
        <w:widowControl w:val="0"/>
        <w:shd w:fill="ffffff" w:val="clea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23">
      <w:pPr>
        <w:keepNext w:val="1"/>
        <w:widowControl w:val="0"/>
        <w:numPr>
          <w:ilvl w:val="0"/>
          <w:numId w:val="1"/>
        </w:numPr>
        <w:shd w:fill="ffffff" w:val="clear"/>
        <w:spacing w:line="240" w:lineRule="auto"/>
        <w:ind w:left="720" w:hanging="360"/>
        <w:jc w:val="both"/>
        <w:rPr>
          <w:sz w:val="20"/>
          <w:szCs w:val="20"/>
        </w:rPr>
      </w:pPr>
      <w:r w:rsidDel="00000000" w:rsidR="00000000" w:rsidRPr="00000000">
        <w:rPr>
          <w:i w:val="1"/>
          <w:sz w:val="20"/>
          <w:szCs w:val="20"/>
          <w:rtl w:val="0"/>
        </w:rPr>
        <w:t xml:space="preserve">Climate change and natural disasters</w:t>
      </w:r>
      <w:r w:rsidDel="00000000" w:rsidR="00000000" w:rsidRPr="00000000">
        <w:rPr>
          <w:sz w:val="20"/>
          <w:szCs w:val="20"/>
          <w:rtl w:val="0"/>
        </w:rPr>
        <w:t xml:space="preserve"> remain an issue as women and girls experience the greatest impacts of climate change, which amplifies existing gender inequalities and poses unique threats to their livelihoods, health, and safety.</w:t>
      </w:r>
    </w:p>
    <w:p w:rsidR="00000000" w:rsidDel="00000000" w:rsidP="00000000" w:rsidRDefault="00000000" w:rsidRPr="00000000" w14:paraId="00000024">
      <w:pPr>
        <w:keepNext w:val="1"/>
        <w:widowControl w:val="0"/>
        <w:shd w:fill="ffffff" w:val="clear"/>
        <w:spacing w:line="240" w:lineRule="auto"/>
        <w:jc w:val="both"/>
        <w:rPr>
          <w:i w:val="1"/>
          <w:sz w:val="20"/>
          <w:szCs w:val="20"/>
        </w:rPr>
      </w:pPr>
      <w:r w:rsidDel="00000000" w:rsidR="00000000" w:rsidRPr="00000000">
        <w:rPr>
          <w:rtl w:val="0"/>
        </w:rPr>
      </w:r>
    </w:p>
    <w:p w:rsidR="00000000" w:rsidDel="00000000" w:rsidP="00000000" w:rsidRDefault="00000000" w:rsidRPr="00000000" w14:paraId="00000025">
      <w:pPr>
        <w:keepNext w:val="1"/>
        <w:widowControl w:val="0"/>
        <w:shd w:fill="ffffff" w:val="clear"/>
        <w:spacing w:line="240" w:lineRule="auto"/>
        <w:jc w:val="both"/>
        <w:rPr>
          <w:b w:val="1"/>
          <w:sz w:val="20"/>
          <w:szCs w:val="20"/>
          <w:highlight w:val="white"/>
        </w:rPr>
      </w:pPr>
      <w:r w:rsidDel="00000000" w:rsidR="00000000" w:rsidRPr="00000000">
        <w:rPr>
          <w:b w:val="1"/>
          <w:sz w:val="20"/>
          <w:szCs w:val="20"/>
          <w:highlight w:val="white"/>
          <w:rtl w:val="0"/>
        </w:rPr>
        <w:t xml:space="preserve">C. </w:t>
      </w:r>
      <w:r w:rsidDel="00000000" w:rsidR="00000000" w:rsidRPr="00000000">
        <w:rPr>
          <w:b w:val="1"/>
          <w:sz w:val="20"/>
          <w:szCs w:val="20"/>
          <w:rtl w:val="0"/>
        </w:rPr>
        <w:t xml:space="preserve">Principal areas of concern and recommendations</w:t>
      </w:r>
      <w:r w:rsidDel="00000000" w:rsidR="00000000" w:rsidRPr="00000000">
        <w:rPr>
          <w:rtl w:val="0"/>
        </w:rPr>
      </w:r>
    </w:p>
    <w:p w:rsidR="00000000" w:rsidDel="00000000" w:rsidP="00000000" w:rsidRDefault="00000000" w:rsidRPr="00000000" w14:paraId="00000026">
      <w:pPr>
        <w:keepNext w:val="1"/>
        <w:widowControl w:val="0"/>
        <w:shd w:fill="ffffff" w:val="clear"/>
        <w:spacing w:line="240" w:lineRule="auto"/>
        <w:jc w:val="both"/>
        <w:rPr>
          <w:b w:val="1"/>
          <w:sz w:val="20"/>
          <w:szCs w:val="20"/>
        </w:rPr>
      </w:pPr>
      <w:r w:rsidDel="00000000" w:rsidR="00000000" w:rsidRPr="00000000">
        <w:rPr>
          <w:b w:val="1"/>
          <w:sz w:val="20"/>
          <w:szCs w:val="20"/>
          <w:rtl w:val="0"/>
        </w:rPr>
        <w:t xml:space="preserve">Women Human Rights Defenders (WHRDs)</w:t>
      </w:r>
    </w:p>
    <w:p w:rsidR="00000000" w:rsidDel="00000000" w:rsidP="00000000" w:rsidRDefault="00000000" w:rsidRPr="00000000" w14:paraId="00000027">
      <w:pPr>
        <w:keepNext w:val="1"/>
        <w:widowControl w:val="0"/>
        <w:shd w:fill="ffffff" w:val="clear"/>
        <w:spacing w:line="240" w:lineRule="auto"/>
        <w:jc w:val="both"/>
        <w:rPr>
          <w:b w:val="1"/>
          <w:sz w:val="20"/>
          <w:szCs w:val="20"/>
        </w:rPr>
      </w:pPr>
      <w:r w:rsidDel="00000000" w:rsidR="00000000" w:rsidRPr="00000000">
        <w:rPr>
          <w:rtl w:val="0"/>
        </w:rPr>
      </w:r>
    </w:p>
    <w:p w:rsidR="00000000" w:rsidDel="00000000" w:rsidP="00000000" w:rsidRDefault="00000000" w:rsidRPr="00000000" w14:paraId="00000028">
      <w:pPr>
        <w:keepNext w:val="1"/>
        <w:widowControl w:val="0"/>
        <w:numPr>
          <w:ilvl w:val="0"/>
          <w:numId w:val="1"/>
        </w:numPr>
        <w:shd w:fill="ffffff" w:val="clear"/>
        <w:spacing w:line="240" w:lineRule="auto"/>
        <w:ind w:left="720" w:hanging="360"/>
        <w:jc w:val="both"/>
        <w:rPr>
          <w:sz w:val="20"/>
          <w:szCs w:val="20"/>
        </w:rPr>
      </w:pPr>
      <w:r w:rsidDel="00000000" w:rsidR="00000000" w:rsidRPr="00000000">
        <w:rPr>
          <w:sz w:val="20"/>
          <w:szCs w:val="20"/>
          <w:rtl w:val="0"/>
        </w:rPr>
        <w:t xml:space="preserve">In 2020, CHRP launched an inquiry</w:t>
      </w:r>
      <w:r w:rsidDel="00000000" w:rsidR="00000000" w:rsidRPr="00000000">
        <w:rPr>
          <w:sz w:val="20"/>
          <w:szCs w:val="20"/>
          <w:vertAlign w:val="superscript"/>
        </w:rPr>
        <w:footnoteReference w:customMarkFollows="0" w:id="20"/>
      </w:r>
      <w:r w:rsidDel="00000000" w:rsidR="00000000" w:rsidRPr="00000000">
        <w:rPr>
          <w:sz w:val="20"/>
          <w:szCs w:val="20"/>
          <w:rtl w:val="0"/>
        </w:rPr>
        <w:t xml:space="preserve"> on the situation of HRDs. The inquiry reported on the pattern of violence enabled by the weaponization of laws against dissidents, which occurs within an overall climate of impunity. Reprisals and killings have extended to journalists and media workers, HRDs, and critics of the administration.</w:t>
      </w:r>
      <w:r w:rsidDel="00000000" w:rsidR="00000000" w:rsidRPr="00000000">
        <w:rPr>
          <w:sz w:val="20"/>
          <w:szCs w:val="20"/>
          <w:vertAlign w:val="superscript"/>
        </w:rPr>
        <w:footnoteReference w:customMarkFollows="0" w:id="21"/>
      </w:r>
      <w:r w:rsidDel="00000000" w:rsidR="00000000" w:rsidRPr="00000000">
        <w:rPr>
          <w:sz w:val="20"/>
          <w:szCs w:val="20"/>
          <w:rtl w:val="0"/>
        </w:rPr>
        <w:t xml:space="preserve"> The continued incarceration of  a well-known female Senator</w:t>
      </w:r>
      <w:r w:rsidDel="00000000" w:rsidR="00000000" w:rsidRPr="00000000">
        <w:rPr>
          <w:sz w:val="20"/>
          <w:szCs w:val="20"/>
          <w:vertAlign w:val="superscript"/>
        </w:rPr>
        <w:footnoteReference w:customMarkFollows="0" w:id="22"/>
      </w:r>
      <w:r w:rsidDel="00000000" w:rsidR="00000000" w:rsidRPr="00000000">
        <w:rPr>
          <w:sz w:val="20"/>
          <w:szCs w:val="20"/>
          <w:rtl w:val="0"/>
        </w:rPr>
        <w:t xml:space="preserve"> as well as the arrest and detention of WHRDs “Ms. SU”,</w:t>
      </w:r>
      <w:r w:rsidDel="00000000" w:rsidR="00000000" w:rsidRPr="00000000">
        <w:rPr>
          <w:sz w:val="20"/>
          <w:szCs w:val="20"/>
          <w:vertAlign w:val="superscript"/>
        </w:rPr>
        <w:footnoteReference w:customMarkFollows="0" w:id="23"/>
      </w:r>
      <w:r w:rsidDel="00000000" w:rsidR="00000000" w:rsidRPr="00000000">
        <w:rPr>
          <w:sz w:val="20"/>
          <w:szCs w:val="20"/>
          <w:rtl w:val="0"/>
        </w:rPr>
        <w:t xml:space="preserve"> “Dr. NC”,</w:t>
      </w:r>
      <w:r w:rsidDel="00000000" w:rsidR="00000000" w:rsidRPr="00000000">
        <w:rPr>
          <w:sz w:val="20"/>
          <w:szCs w:val="20"/>
          <w:vertAlign w:val="superscript"/>
        </w:rPr>
        <w:footnoteReference w:customMarkFollows="0" w:id="24"/>
      </w:r>
      <w:r w:rsidDel="00000000" w:rsidR="00000000" w:rsidRPr="00000000">
        <w:rPr>
          <w:sz w:val="20"/>
          <w:szCs w:val="20"/>
          <w:vertAlign w:val="superscript"/>
          <w:rtl w:val="0"/>
        </w:rPr>
        <w:t xml:space="preserve"> </w:t>
      </w:r>
      <w:r w:rsidDel="00000000" w:rsidR="00000000" w:rsidRPr="00000000">
        <w:rPr>
          <w:sz w:val="20"/>
          <w:szCs w:val="20"/>
          <w:rtl w:val="0"/>
        </w:rPr>
        <w:t xml:space="preserve">and “journalist MR” are emblematic.</w:t>
      </w:r>
      <w:r w:rsidDel="00000000" w:rsidR="00000000" w:rsidRPr="00000000">
        <w:rPr>
          <w:sz w:val="20"/>
          <w:szCs w:val="20"/>
          <w:vertAlign w:val="superscript"/>
        </w:rPr>
        <w:footnoteReference w:customMarkFollows="0" w:id="25"/>
      </w:r>
      <w:r w:rsidDel="00000000" w:rsidR="00000000" w:rsidRPr="00000000">
        <w:rPr>
          <w:sz w:val="20"/>
          <w:szCs w:val="20"/>
          <w:vertAlign w:val="superscript"/>
          <w:rtl w:val="0"/>
        </w:rPr>
        <w:t xml:space="preserve"> </w:t>
      </w:r>
      <w:r w:rsidDel="00000000" w:rsidR="00000000" w:rsidRPr="00000000">
        <w:rPr>
          <w:sz w:val="20"/>
          <w:szCs w:val="20"/>
          <w:rtl w:val="0"/>
        </w:rPr>
        <w:t xml:space="preserve">Acts of intimidation against diplomatic actors, donor organizations and international organizations supportive of human rights advocacy initiatives in the Philippines are also reported.</w:t>
      </w:r>
      <w:r w:rsidDel="00000000" w:rsidR="00000000" w:rsidRPr="00000000">
        <w:rPr>
          <w:sz w:val="20"/>
          <w:szCs w:val="20"/>
          <w:vertAlign w:val="superscript"/>
        </w:rPr>
        <w:footnoteReference w:customMarkFollows="0" w:id="26"/>
      </w:r>
      <w:r w:rsidDel="00000000" w:rsidR="00000000" w:rsidRPr="00000000">
        <w:rPr>
          <w:rtl w:val="0"/>
        </w:rPr>
      </w:r>
    </w:p>
    <w:p w:rsidR="00000000" w:rsidDel="00000000" w:rsidP="00000000" w:rsidRDefault="00000000" w:rsidRPr="00000000" w14:paraId="00000029">
      <w:pPr>
        <w:keepNext w:val="1"/>
        <w:widowControl w:val="0"/>
        <w:shd w:fill="ffffff" w:val="clea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2A">
      <w:pPr>
        <w:keepNext w:val="1"/>
        <w:widowControl w:val="0"/>
        <w:numPr>
          <w:ilvl w:val="0"/>
          <w:numId w:val="1"/>
        </w:numPr>
        <w:spacing w:line="240" w:lineRule="auto"/>
        <w:ind w:left="720" w:hanging="360"/>
        <w:jc w:val="both"/>
        <w:rPr>
          <w:sz w:val="20"/>
          <w:szCs w:val="20"/>
        </w:rPr>
      </w:pPr>
      <w:r w:rsidDel="00000000" w:rsidR="00000000" w:rsidRPr="00000000">
        <w:rPr>
          <w:sz w:val="20"/>
          <w:szCs w:val="20"/>
          <w:rtl w:val="0"/>
        </w:rPr>
        <w:t xml:space="preserve">At the onset of the pandemic, some individuals have taken to organizing community pantries to help alleviate the food security problem during lockdown. Some of these community pantries had to be shut down due to red-tagging from the government authorities.</w:t>
      </w:r>
      <w:r w:rsidDel="00000000" w:rsidR="00000000" w:rsidRPr="00000000">
        <w:rPr>
          <w:sz w:val="20"/>
          <w:szCs w:val="20"/>
          <w:vertAlign w:val="superscript"/>
        </w:rPr>
        <w:footnoteReference w:customMarkFollows="0" w:id="27"/>
      </w:r>
      <w:r w:rsidDel="00000000" w:rsidR="00000000" w:rsidRPr="00000000">
        <w:rPr>
          <w:sz w:val="20"/>
          <w:szCs w:val="20"/>
          <w:rtl w:val="0"/>
        </w:rPr>
        <w:t xml:space="preserve"> The pantries</w:t>
      </w:r>
      <w:r w:rsidDel="00000000" w:rsidR="00000000" w:rsidRPr="00000000">
        <w:rPr>
          <w:i w:val="1"/>
          <w:sz w:val="20"/>
          <w:szCs w:val="20"/>
          <w:vertAlign w:val="superscript"/>
        </w:rPr>
        <w:footnoteReference w:customMarkFollows="0" w:id="28"/>
      </w:r>
      <w:r w:rsidDel="00000000" w:rsidR="00000000" w:rsidRPr="00000000">
        <w:rPr>
          <w:sz w:val="20"/>
          <w:szCs w:val="20"/>
          <w:rtl w:val="0"/>
        </w:rPr>
        <w:t xml:space="preserve"> were labeled as a </w:t>
      </w:r>
      <w:r w:rsidDel="00000000" w:rsidR="00000000" w:rsidRPr="00000000">
        <w:rPr>
          <w:i w:val="1"/>
          <w:sz w:val="20"/>
          <w:szCs w:val="20"/>
          <w:rtl w:val="0"/>
        </w:rPr>
        <w:t xml:space="preserve">“weapon of the communists to recruit members” </w:t>
      </w:r>
      <w:r w:rsidDel="00000000" w:rsidR="00000000" w:rsidRPr="00000000">
        <w:rPr>
          <w:sz w:val="20"/>
          <w:szCs w:val="20"/>
          <w:rtl w:val="0"/>
        </w:rPr>
        <w:t xml:space="preserve">and </w:t>
      </w:r>
      <w:r w:rsidDel="00000000" w:rsidR="00000000" w:rsidRPr="00000000">
        <w:rPr>
          <w:i w:val="1"/>
          <w:sz w:val="20"/>
          <w:szCs w:val="20"/>
          <w:rtl w:val="0"/>
        </w:rPr>
        <w:t xml:space="preserve">“a front of the Communist Party of the Philippines.”</w:t>
      </w:r>
      <w:r w:rsidDel="00000000" w:rsidR="00000000" w:rsidRPr="00000000">
        <w:rPr>
          <w:sz w:val="20"/>
          <w:szCs w:val="20"/>
          <w:vertAlign w:val="superscript"/>
        </w:rPr>
        <w:footnoteReference w:customMarkFollows="0" w:id="29"/>
      </w:r>
      <w:r w:rsidDel="00000000" w:rsidR="00000000" w:rsidRPr="00000000">
        <w:rPr>
          <w:sz w:val="20"/>
          <w:szCs w:val="20"/>
          <w:rtl w:val="0"/>
        </w:rPr>
        <w:t xml:space="preserve"> </w:t>
      </w:r>
    </w:p>
    <w:p w:rsidR="00000000" w:rsidDel="00000000" w:rsidP="00000000" w:rsidRDefault="00000000" w:rsidRPr="00000000" w14:paraId="0000002B">
      <w:pPr>
        <w:keepNext w:val="1"/>
        <w:widowControl w:val="0"/>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2C">
      <w:pPr>
        <w:keepNext w:val="1"/>
        <w:widowControl w:val="0"/>
        <w:numPr>
          <w:ilvl w:val="0"/>
          <w:numId w:val="1"/>
        </w:numPr>
        <w:shd w:fill="ffffff" w:val="clear"/>
        <w:spacing w:line="240" w:lineRule="auto"/>
        <w:ind w:left="720" w:hanging="360"/>
        <w:jc w:val="both"/>
        <w:rPr>
          <w:sz w:val="20"/>
          <w:szCs w:val="20"/>
        </w:rPr>
      </w:pPr>
      <w:r w:rsidDel="00000000" w:rsidR="00000000" w:rsidRPr="00000000">
        <w:rPr>
          <w:sz w:val="20"/>
          <w:szCs w:val="20"/>
          <w:highlight w:val="white"/>
          <w:rtl w:val="0"/>
        </w:rPr>
        <w:t xml:space="preserve">Misogyny and disinformation, especially on social media mark the attacks used to discredit, shame, persecute, and harass WHRDs. This has created a disabling environment for WHRDs.</w:t>
      </w:r>
      <w:r w:rsidDel="00000000" w:rsidR="00000000" w:rsidRPr="00000000">
        <w:rPr>
          <w:sz w:val="20"/>
          <w:szCs w:val="20"/>
          <w:highlight w:val="white"/>
          <w:vertAlign w:val="superscript"/>
        </w:rPr>
        <w:footnoteReference w:customMarkFollows="0" w:id="30"/>
      </w:r>
      <w:r w:rsidDel="00000000" w:rsidR="00000000" w:rsidRPr="00000000">
        <w:rPr>
          <w:sz w:val="20"/>
          <w:szCs w:val="20"/>
          <w:highlight w:val="white"/>
          <w:vertAlign w:val="superscript"/>
          <w:rtl w:val="0"/>
        </w:rPr>
        <w:t xml:space="preserve">    </w:t>
      </w:r>
      <w:r w:rsidDel="00000000" w:rsidR="00000000" w:rsidRPr="00000000">
        <w:rPr>
          <w:rtl w:val="0"/>
        </w:rPr>
      </w:r>
    </w:p>
    <w:p w:rsidR="00000000" w:rsidDel="00000000" w:rsidP="00000000" w:rsidRDefault="00000000" w:rsidRPr="00000000" w14:paraId="0000002D">
      <w:pPr>
        <w:keepNext w:val="1"/>
        <w:widowControl w:val="0"/>
        <w:shd w:fill="ffffff" w:val="clear"/>
        <w:spacing w:line="240" w:lineRule="auto"/>
        <w:jc w:val="both"/>
        <w:rPr>
          <w:sz w:val="20"/>
          <w:szCs w:val="20"/>
          <w:highlight w:val="white"/>
          <w:vertAlign w:val="superscript"/>
        </w:rPr>
      </w:pPr>
      <w:r w:rsidDel="00000000" w:rsidR="00000000" w:rsidRPr="00000000">
        <w:rPr>
          <w:rtl w:val="0"/>
        </w:rPr>
      </w:r>
    </w:p>
    <w:p w:rsidR="00000000" w:rsidDel="00000000" w:rsidP="00000000" w:rsidRDefault="00000000" w:rsidRPr="00000000" w14:paraId="0000002E">
      <w:pPr>
        <w:keepNext w:val="1"/>
        <w:numPr>
          <w:ilvl w:val="0"/>
          <w:numId w:val="1"/>
        </w:numPr>
        <w:spacing w:line="240" w:lineRule="auto"/>
        <w:ind w:left="720" w:hanging="360"/>
        <w:jc w:val="both"/>
        <w:rPr>
          <w:sz w:val="20"/>
          <w:szCs w:val="20"/>
        </w:rPr>
      </w:pPr>
      <w:r w:rsidDel="00000000" w:rsidR="00000000" w:rsidRPr="00000000">
        <w:rPr>
          <w:sz w:val="20"/>
          <w:szCs w:val="20"/>
          <w:rtl w:val="0"/>
        </w:rPr>
        <w:t xml:space="preserve">WHRDs continue to oppose the recently enacted Anti-Terror Law.</w:t>
      </w:r>
      <w:r w:rsidDel="00000000" w:rsidR="00000000" w:rsidRPr="00000000">
        <w:rPr>
          <w:sz w:val="20"/>
          <w:szCs w:val="20"/>
          <w:vertAlign w:val="superscript"/>
        </w:rPr>
        <w:footnoteReference w:customMarkFollows="0" w:id="31"/>
      </w:r>
      <w:r w:rsidDel="00000000" w:rsidR="00000000" w:rsidRPr="00000000">
        <w:rPr>
          <w:sz w:val="20"/>
          <w:szCs w:val="20"/>
          <w:rtl w:val="0"/>
        </w:rPr>
        <w:t xml:space="preserve"> In several webinars organized by CHRP</w:t>
      </w:r>
      <w:r w:rsidDel="00000000" w:rsidR="00000000" w:rsidRPr="00000000">
        <w:rPr>
          <w:sz w:val="20"/>
          <w:szCs w:val="20"/>
          <w:vertAlign w:val="superscript"/>
        </w:rPr>
        <w:footnoteReference w:customMarkFollows="0" w:id="32"/>
      </w:r>
      <w:r w:rsidDel="00000000" w:rsidR="00000000" w:rsidRPr="00000000">
        <w:rPr>
          <w:sz w:val="20"/>
          <w:szCs w:val="20"/>
          <w:rtl w:val="0"/>
        </w:rPr>
        <w:t xml:space="preserve"> organizations consistently raised concerns on how the law is weaponized  to target human rights organizations and community organizers; many are women.</w:t>
      </w:r>
      <w:r w:rsidDel="00000000" w:rsidR="00000000" w:rsidRPr="00000000">
        <w:rPr>
          <w:sz w:val="20"/>
          <w:szCs w:val="20"/>
          <w:vertAlign w:val="superscript"/>
        </w:rPr>
        <w:footnoteReference w:customMarkFollows="0" w:id="33"/>
      </w:r>
      <w:r w:rsidDel="00000000" w:rsidR="00000000" w:rsidRPr="00000000">
        <w:rPr>
          <w:rtl w:val="0"/>
        </w:rPr>
      </w:r>
    </w:p>
    <w:p w:rsidR="00000000" w:rsidDel="00000000" w:rsidP="00000000" w:rsidRDefault="00000000" w:rsidRPr="00000000" w14:paraId="0000002F">
      <w:pPr>
        <w:keepNext w:val="1"/>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30">
      <w:pPr>
        <w:keepNext w:val="1"/>
        <w:numPr>
          <w:ilvl w:val="0"/>
          <w:numId w:val="1"/>
        </w:numPr>
        <w:spacing w:line="240" w:lineRule="auto"/>
        <w:ind w:left="720" w:hanging="360"/>
        <w:jc w:val="both"/>
        <w:rPr>
          <w:b w:val="1"/>
          <w:sz w:val="20"/>
          <w:szCs w:val="20"/>
        </w:rPr>
      </w:pPr>
      <w:r w:rsidDel="00000000" w:rsidR="00000000" w:rsidRPr="00000000">
        <w:rPr>
          <w:b w:val="1"/>
          <w:i w:val="1"/>
          <w:sz w:val="20"/>
          <w:szCs w:val="20"/>
          <w:rtl w:val="0"/>
        </w:rPr>
        <w:t xml:space="preserve">We request the Committee to urge the State to:</w:t>
      </w:r>
      <w:r w:rsidDel="00000000" w:rsidR="00000000" w:rsidRPr="00000000">
        <w:rPr>
          <w:rtl w:val="0"/>
        </w:rPr>
      </w:r>
    </w:p>
    <w:p w:rsidR="00000000" w:rsidDel="00000000" w:rsidP="00000000" w:rsidRDefault="00000000" w:rsidRPr="00000000" w14:paraId="00000031">
      <w:pPr>
        <w:keepNext w:val="1"/>
        <w:numPr>
          <w:ilvl w:val="1"/>
          <w:numId w:val="1"/>
        </w:numPr>
        <w:spacing w:line="240" w:lineRule="auto"/>
        <w:ind w:left="1440" w:hanging="360"/>
        <w:jc w:val="both"/>
        <w:rPr>
          <w:b w:val="1"/>
          <w:i w:val="1"/>
          <w:sz w:val="20"/>
          <w:szCs w:val="20"/>
        </w:rPr>
      </w:pPr>
      <w:r w:rsidDel="00000000" w:rsidR="00000000" w:rsidRPr="00000000">
        <w:rPr>
          <w:b w:val="1"/>
          <w:i w:val="1"/>
          <w:sz w:val="20"/>
          <w:szCs w:val="20"/>
          <w:rtl w:val="0"/>
        </w:rPr>
        <w:t xml:space="preserve">Immediately call for the release of the detained Sentaor on the basis of recent retractions and seriously consider dropping the charges. </w:t>
      </w:r>
    </w:p>
    <w:p w:rsidR="00000000" w:rsidDel="00000000" w:rsidP="00000000" w:rsidRDefault="00000000" w:rsidRPr="00000000" w14:paraId="00000032">
      <w:pPr>
        <w:keepNext w:val="1"/>
        <w:numPr>
          <w:ilvl w:val="1"/>
          <w:numId w:val="1"/>
        </w:numPr>
        <w:spacing w:line="240" w:lineRule="auto"/>
        <w:ind w:left="1440" w:hanging="360"/>
        <w:jc w:val="both"/>
        <w:rPr>
          <w:b w:val="1"/>
          <w:i w:val="1"/>
          <w:sz w:val="20"/>
          <w:szCs w:val="20"/>
        </w:rPr>
      </w:pPr>
      <w:r w:rsidDel="00000000" w:rsidR="00000000" w:rsidRPr="00000000">
        <w:rPr>
          <w:b w:val="1"/>
          <w:i w:val="1"/>
          <w:sz w:val="20"/>
          <w:szCs w:val="20"/>
          <w:rtl w:val="0"/>
        </w:rPr>
        <w:t xml:space="preserve">Review cases of WHRDs and their continued detention. </w:t>
      </w:r>
    </w:p>
    <w:p w:rsidR="00000000" w:rsidDel="00000000" w:rsidP="00000000" w:rsidRDefault="00000000" w:rsidRPr="00000000" w14:paraId="00000033">
      <w:pPr>
        <w:keepNext w:val="1"/>
        <w:numPr>
          <w:ilvl w:val="1"/>
          <w:numId w:val="1"/>
        </w:numPr>
        <w:spacing w:line="240" w:lineRule="auto"/>
        <w:ind w:left="1440" w:hanging="360"/>
        <w:jc w:val="both"/>
        <w:rPr>
          <w:b w:val="1"/>
          <w:i w:val="1"/>
          <w:sz w:val="20"/>
          <w:szCs w:val="20"/>
        </w:rPr>
      </w:pPr>
      <w:r w:rsidDel="00000000" w:rsidR="00000000" w:rsidRPr="00000000">
        <w:rPr>
          <w:b w:val="1"/>
          <w:i w:val="1"/>
          <w:sz w:val="20"/>
          <w:szCs w:val="20"/>
          <w:rtl w:val="0"/>
        </w:rPr>
        <w:t xml:space="preserve">Desist from all forms of red-tagging, and respect women and girls’ freedom of expression and association and the right to be protected from all forms of abuse; </w:t>
      </w:r>
    </w:p>
    <w:p w:rsidR="00000000" w:rsidDel="00000000" w:rsidP="00000000" w:rsidRDefault="00000000" w:rsidRPr="00000000" w14:paraId="00000034">
      <w:pPr>
        <w:keepNext w:val="1"/>
        <w:numPr>
          <w:ilvl w:val="1"/>
          <w:numId w:val="1"/>
        </w:numPr>
        <w:spacing w:line="240" w:lineRule="auto"/>
        <w:ind w:left="1440" w:hanging="360"/>
        <w:jc w:val="both"/>
        <w:rPr>
          <w:b w:val="1"/>
          <w:i w:val="1"/>
          <w:sz w:val="20"/>
          <w:szCs w:val="20"/>
        </w:rPr>
      </w:pPr>
      <w:r w:rsidDel="00000000" w:rsidR="00000000" w:rsidRPr="00000000">
        <w:rPr>
          <w:b w:val="1"/>
          <w:i w:val="1"/>
          <w:sz w:val="20"/>
          <w:szCs w:val="20"/>
          <w:rtl w:val="0"/>
        </w:rPr>
        <w:t xml:space="preserve">Expedite the passage of the Human Rights Defenders Bill.</w:t>
      </w:r>
    </w:p>
    <w:p w:rsidR="00000000" w:rsidDel="00000000" w:rsidP="00000000" w:rsidRDefault="00000000" w:rsidRPr="00000000" w14:paraId="00000035">
      <w:pPr>
        <w:keepNext w:val="1"/>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36">
      <w:pPr>
        <w:keepNext w:val="1"/>
        <w:widowControl w:val="0"/>
        <w:shd w:fill="ffffff" w:val="clear"/>
        <w:spacing w:line="240" w:lineRule="auto"/>
        <w:jc w:val="both"/>
        <w:rPr>
          <w:sz w:val="20"/>
          <w:szCs w:val="20"/>
        </w:rPr>
      </w:pPr>
      <w:r w:rsidDel="00000000" w:rsidR="00000000" w:rsidRPr="00000000">
        <w:rPr>
          <w:b w:val="1"/>
          <w:sz w:val="20"/>
          <w:szCs w:val="20"/>
          <w:highlight w:val="white"/>
          <w:rtl w:val="0"/>
        </w:rPr>
        <w:t xml:space="preserve">Access to Justice</w:t>
      </w:r>
      <w:r w:rsidDel="00000000" w:rsidR="00000000" w:rsidRPr="00000000">
        <w:rPr>
          <w:rtl w:val="0"/>
        </w:rPr>
      </w:r>
    </w:p>
    <w:p w:rsidR="00000000" w:rsidDel="00000000" w:rsidP="00000000" w:rsidRDefault="00000000" w:rsidRPr="00000000" w14:paraId="00000037">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sz w:val="20"/>
          <w:szCs w:val="20"/>
          <w:rtl w:val="0"/>
        </w:rPr>
        <w:t xml:space="preserve"> Effective remedies, particularly the grant of compensation, have not been awarded to authors of Communications No. 18/2008 (Vertido vs. the Philippines) and No. 34/2011 (R.P.B v. the Philippines). The amendment of the current rape law to reflect ‘lack of consent’ has also not progressed in Congress. Implementation of the Committee’s views in CEDAW/C/OP.8/PHL/1, the inquiry in Manila, has also remained wanting. Lastly, efforts to disseminate the Committee’s views in these cases to the country’s bar and bench and relevant government agencies have not been systematically conducted.</w:t>
      </w:r>
      <w:r w:rsidDel="00000000" w:rsidR="00000000" w:rsidRPr="00000000">
        <w:rPr>
          <w:rtl w:val="0"/>
        </w:rPr>
      </w:r>
    </w:p>
    <w:p w:rsidR="00000000" w:rsidDel="00000000" w:rsidP="00000000" w:rsidRDefault="00000000" w:rsidRPr="00000000" w14:paraId="00000038">
      <w:pPr>
        <w:keepNext w:val="1"/>
        <w:widowControl w:val="0"/>
        <w:shd w:fill="ffffff" w:val="clear"/>
        <w:spacing w:line="240" w:lineRule="auto"/>
        <w:ind w:left="720" w:firstLine="0"/>
        <w:jc w:val="both"/>
        <w:rPr>
          <w:sz w:val="20"/>
          <w:szCs w:val="20"/>
          <w:highlight w:val="white"/>
        </w:rPr>
      </w:pPr>
      <w:r w:rsidDel="00000000" w:rsidR="00000000" w:rsidRPr="00000000">
        <w:rPr>
          <w:rtl w:val="0"/>
        </w:rPr>
      </w:r>
    </w:p>
    <w:p w:rsidR="00000000" w:rsidDel="00000000" w:rsidP="00000000" w:rsidRDefault="00000000" w:rsidRPr="00000000" w14:paraId="00000039">
      <w:pPr>
        <w:keepNext w:val="1"/>
        <w:widowControl w:val="0"/>
        <w:numPr>
          <w:ilvl w:val="0"/>
          <w:numId w:val="1"/>
        </w:numPr>
        <w:shd w:fill="ffffff" w:val="clear"/>
        <w:spacing w:line="240" w:lineRule="auto"/>
        <w:ind w:left="720" w:hanging="360"/>
        <w:jc w:val="both"/>
        <w:rPr>
          <w:b w:val="1"/>
          <w:sz w:val="20"/>
          <w:szCs w:val="20"/>
          <w:highlight w:val="white"/>
        </w:rPr>
      </w:pPr>
      <w:r w:rsidDel="00000000" w:rsidR="00000000" w:rsidRPr="00000000">
        <w:rPr>
          <w:b w:val="1"/>
          <w:i w:val="1"/>
          <w:sz w:val="20"/>
          <w:szCs w:val="20"/>
          <w:rtl w:val="0"/>
        </w:rPr>
        <w:t xml:space="preserve">The CHRP recommends that the Committee seek an update on the State’s implementation of its views, including its dissemination, the continuous conduct of training for judges and lawyers, Public Attorney’s Office and Prosecution service; the continuous training on SRHR, the establishment of monitoring systems for local government units to ensure compliance, the provision of high-quality post-abortion care, and the implementation of age-appropriate SRHR education, among others.</w:t>
      </w: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1"/>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3B">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sz w:val="20"/>
          <w:szCs w:val="20"/>
          <w:rtl w:val="0"/>
        </w:rPr>
        <w:t xml:space="preserve">In 2016, the CHRP issued a resolution</w:t>
      </w:r>
      <w:r w:rsidDel="00000000" w:rsidR="00000000" w:rsidRPr="00000000">
        <w:rPr>
          <w:sz w:val="20"/>
          <w:szCs w:val="20"/>
          <w:vertAlign w:val="superscript"/>
        </w:rPr>
        <w:footnoteReference w:customMarkFollows="0" w:id="34"/>
      </w:r>
      <w:r w:rsidDel="00000000" w:rsidR="00000000" w:rsidRPr="00000000">
        <w:rPr>
          <w:sz w:val="20"/>
          <w:szCs w:val="20"/>
          <w:rtl w:val="0"/>
        </w:rPr>
        <w:t xml:space="preserve"> finding violation of women’s human rights in the rape joke of a leading Presidential Candidate in 2016. CHRP recommendations included the inclusion of gender sensitivity in the curriculum of the Department of Education and the Commission on Higher Education; the establishment by the Commission on Election of a Code of Conduct of candidates to include gender-sensitive language and conduct during campaigns. Nevertheless, the campaign period of 2019 and even 2022 were still marked with gender-insensitive language and actions by candidates.</w:t>
      </w:r>
      <w:r w:rsidDel="00000000" w:rsidR="00000000" w:rsidRPr="00000000">
        <w:rPr>
          <w:sz w:val="20"/>
          <w:szCs w:val="20"/>
          <w:vertAlign w:val="superscript"/>
        </w:rPr>
        <w:footnoteReference w:customMarkFollows="0" w:id="35"/>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3D">
      <w:pPr>
        <w:keepNext w:val="1"/>
        <w:widowControl w:val="0"/>
        <w:numPr>
          <w:ilvl w:val="0"/>
          <w:numId w:val="1"/>
        </w:numPr>
        <w:shd w:fill="ffffff" w:val="clear"/>
        <w:spacing w:line="240" w:lineRule="auto"/>
        <w:ind w:left="720" w:hanging="360"/>
        <w:jc w:val="both"/>
        <w:rPr>
          <w:b w:val="1"/>
          <w:sz w:val="20"/>
          <w:szCs w:val="20"/>
          <w:highlight w:val="white"/>
        </w:rPr>
      </w:pPr>
      <w:r w:rsidDel="00000000" w:rsidR="00000000" w:rsidRPr="00000000">
        <w:rPr>
          <w:b w:val="1"/>
          <w:i w:val="1"/>
          <w:sz w:val="20"/>
          <w:szCs w:val="20"/>
          <w:rtl w:val="0"/>
        </w:rPr>
        <w:t xml:space="preserve">The CHRP requests the Committee seek updates on the State’s implementation of CHRP’s recommendations and actions to ensure the elimination of sexism and misogyny during elections and in public spaces. </w:t>
      </w:r>
      <w:r w:rsidDel="00000000" w:rsidR="00000000" w:rsidRPr="00000000">
        <w:rPr>
          <w:rtl w:val="0"/>
        </w:rPr>
      </w:r>
    </w:p>
    <w:p w:rsidR="00000000" w:rsidDel="00000000" w:rsidP="00000000" w:rsidRDefault="00000000" w:rsidRPr="00000000" w14:paraId="0000003E">
      <w:pPr>
        <w:keepNext w:val="1"/>
        <w:widowControl w:val="0"/>
        <w:shd w:fill="ffffff" w:val="clear"/>
        <w:spacing w:line="240" w:lineRule="auto"/>
        <w:ind w:left="720" w:firstLine="0"/>
        <w:jc w:val="both"/>
        <w:rPr>
          <w:b w:val="1"/>
          <w:sz w:val="20"/>
          <w:szCs w:val="20"/>
          <w:highlight w:val="white"/>
        </w:rPr>
      </w:pPr>
      <w:r w:rsidDel="00000000" w:rsidR="00000000" w:rsidRPr="00000000">
        <w:rPr>
          <w:rtl w:val="0"/>
        </w:rPr>
      </w:r>
    </w:p>
    <w:p w:rsidR="00000000" w:rsidDel="00000000" w:rsidP="00000000" w:rsidRDefault="00000000" w:rsidRPr="00000000" w14:paraId="0000003F">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sz w:val="20"/>
          <w:szCs w:val="20"/>
          <w:rtl w:val="0"/>
        </w:rPr>
        <w:t xml:space="preserve">The war on drugs is a continuing human rights violation against women and girls. CHRP’s 2019 report on the</w:t>
      </w:r>
      <w:r w:rsidDel="00000000" w:rsidR="00000000" w:rsidRPr="00000000">
        <w:rPr>
          <w:i w:val="1"/>
          <w:sz w:val="20"/>
          <w:szCs w:val="20"/>
          <w:rtl w:val="0"/>
        </w:rPr>
        <w:t xml:space="preserve"> impact of the war on drugs</w:t>
      </w:r>
      <w:r w:rsidDel="00000000" w:rsidR="00000000" w:rsidRPr="00000000">
        <w:rPr>
          <w:sz w:val="20"/>
          <w:szCs w:val="20"/>
          <w:vertAlign w:val="superscript"/>
        </w:rPr>
        <w:footnoteReference w:customMarkFollows="0" w:id="36"/>
      </w:r>
      <w:r w:rsidDel="00000000" w:rsidR="00000000" w:rsidRPr="00000000">
        <w:rPr>
          <w:sz w:val="20"/>
          <w:szCs w:val="20"/>
          <w:rtl w:val="0"/>
        </w:rPr>
        <w:t xml:space="preserve"> revealed that women and children faced psychological, emotional and practical difficulties brought about by the loss of relatives who are often breadwinners. Aside from the loss or limitation of financial capacity to provide basic household needs, women expressed fears over the safety of relatives and their community. Due to this, only a small percentage of women have pursued legal action on EJK.</w:t>
      </w:r>
      <w:r w:rsidDel="00000000" w:rsidR="00000000" w:rsidRPr="00000000">
        <w:rPr>
          <w:sz w:val="20"/>
          <w:szCs w:val="20"/>
          <w:vertAlign w:val="superscript"/>
        </w:rPr>
        <w:footnoteReference w:customMarkFollows="0" w:id="37"/>
      </w:r>
      <w:r w:rsidDel="00000000" w:rsidR="00000000" w:rsidRPr="00000000">
        <w:rPr>
          <w:sz w:val="20"/>
          <w:szCs w:val="20"/>
          <w:rtl w:val="0"/>
        </w:rPr>
        <w:t xml:space="preserve"> Women and girls are also victims of EJK; the CHRP has investigated 31 cases of killings of women and 7 cases of killings of children in relation to the war on drugs.</w:t>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41">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sz w:val="20"/>
          <w:szCs w:val="20"/>
          <w:rtl w:val="0"/>
        </w:rPr>
        <w:t xml:space="preserve">An overlooked effect of the drug war is the State of detention places. As the number of detention places for females is lesser than those for males, congestion remains a grave concern. In the CHRP’s situation report</w:t>
      </w:r>
      <w:r w:rsidDel="00000000" w:rsidR="00000000" w:rsidRPr="00000000">
        <w:rPr>
          <w:sz w:val="20"/>
          <w:szCs w:val="20"/>
          <w:vertAlign w:val="superscript"/>
        </w:rPr>
        <w:footnoteReference w:customMarkFollows="0" w:id="38"/>
      </w:r>
      <w:r w:rsidDel="00000000" w:rsidR="00000000" w:rsidRPr="00000000">
        <w:rPr>
          <w:sz w:val="20"/>
          <w:szCs w:val="20"/>
          <w:rtl w:val="0"/>
        </w:rPr>
        <w:t xml:space="preserve"> on women in detention, the war on drugs is identified as the leading cause of congestion, with many women complaining of the slow progress in cases, congestion, and limited provisions for gender-specific needs of women.</w:t>
      </w: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43">
      <w:pPr>
        <w:keepNext w:val="1"/>
        <w:widowControl w:val="0"/>
        <w:numPr>
          <w:ilvl w:val="0"/>
          <w:numId w:val="1"/>
        </w:numPr>
        <w:shd w:fill="ffffff" w:val="clear"/>
        <w:spacing w:line="240" w:lineRule="auto"/>
        <w:ind w:left="720" w:hanging="360"/>
        <w:jc w:val="both"/>
        <w:rPr>
          <w:i w:val="1"/>
          <w:sz w:val="20"/>
          <w:szCs w:val="20"/>
        </w:rPr>
      </w:pPr>
      <w:r w:rsidDel="00000000" w:rsidR="00000000" w:rsidRPr="00000000">
        <w:rPr>
          <w:b w:val="1"/>
          <w:i w:val="1"/>
          <w:sz w:val="20"/>
          <w:szCs w:val="20"/>
          <w:rtl w:val="0"/>
        </w:rPr>
        <w:t xml:space="preserve">CHRP requests the Committee to require the State to provide information on the status of investigations, programs, and provisions for women and children left behind by the war on drugs. The CHRP further recommends that the State be required to provide information on how it has implemented Bangkok Rules in places of detention.</w:t>
      </w:r>
      <w:r w:rsidDel="00000000" w:rsidR="00000000" w:rsidRPr="00000000">
        <w:rPr>
          <w:i w:val="1"/>
          <w:sz w:val="20"/>
          <w:szCs w:val="20"/>
          <w:rtl w:val="0"/>
        </w:rPr>
        <w:t xml:space="preserve">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5">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i w:val="1"/>
          <w:color w:val="000000"/>
          <w:sz w:val="20"/>
          <w:szCs w:val="20"/>
          <w:rtl w:val="0"/>
        </w:rPr>
        <w:t xml:space="preserve">Migrant women </w:t>
      </w:r>
      <w:r w:rsidDel="00000000" w:rsidR="00000000" w:rsidRPr="00000000">
        <w:rPr>
          <w:color w:val="000000"/>
          <w:sz w:val="20"/>
          <w:szCs w:val="20"/>
          <w:rtl w:val="0"/>
        </w:rPr>
        <w:t xml:space="preserve">are</w:t>
      </w:r>
      <w:r w:rsidDel="00000000" w:rsidR="00000000" w:rsidRPr="00000000">
        <w:rPr>
          <w:sz w:val="20"/>
          <w:szCs w:val="20"/>
          <w:rtl w:val="0"/>
        </w:rPr>
        <w:t xml:space="preserve"> </w:t>
      </w:r>
      <w:r w:rsidDel="00000000" w:rsidR="00000000" w:rsidRPr="00000000">
        <w:rPr>
          <w:color w:val="000000"/>
          <w:sz w:val="20"/>
          <w:szCs w:val="20"/>
          <w:rtl w:val="0"/>
        </w:rPr>
        <w:t xml:space="preserve">exposed to greater risk of violence with very limited access to justice.</w:t>
      </w:r>
      <w:r w:rsidDel="00000000" w:rsidR="00000000" w:rsidRPr="00000000">
        <w:rPr>
          <w:color w:val="000000"/>
          <w:sz w:val="20"/>
          <w:szCs w:val="20"/>
          <w:vertAlign w:val="superscript"/>
        </w:rPr>
        <w:footnoteReference w:customMarkFollows="0" w:id="39"/>
      </w:r>
      <w:r w:rsidDel="00000000" w:rsidR="00000000" w:rsidRPr="00000000">
        <w:rPr>
          <w:color w:val="000000"/>
          <w:sz w:val="20"/>
          <w:szCs w:val="20"/>
          <w:rtl w:val="0"/>
        </w:rPr>
        <w:t xml:space="preserve"> The COVID-19 pandemic has exposed migrant workers to increased risk of violence, </w:t>
      </w:r>
      <w:r w:rsidDel="00000000" w:rsidR="00000000" w:rsidRPr="00000000">
        <w:rPr>
          <w:sz w:val="20"/>
          <w:szCs w:val="20"/>
          <w:rtl w:val="0"/>
        </w:rPr>
        <w:t xml:space="preserve">loss of employment and non-payment of wages. Repatriated migrant workers face lack of employment, become locally stranded individuals, and are excluded from the benefits provided by the local government unit.</w:t>
      </w:r>
      <w:r w:rsidDel="00000000" w:rsidR="00000000" w:rsidRPr="00000000">
        <w:rPr>
          <w:sz w:val="20"/>
          <w:szCs w:val="20"/>
          <w:vertAlign w:val="superscript"/>
        </w:rPr>
        <w:footnoteReference w:customMarkFollows="0" w:id="40"/>
      </w:r>
      <w:r w:rsidDel="00000000" w:rsidR="00000000" w:rsidRPr="00000000">
        <w:rPr>
          <w:sz w:val="20"/>
          <w:szCs w:val="20"/>
          <w:rtl w:val="0"/>
        </w:rPr>
        <w:t xml:space="preserve"> There have been accounts of women OFWs facing trial and in detention abroad; emblematic is the case of MJV. </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47">
      <w:pPr>
        <w:numPr>
          <w:ilvl w:val="0"/>
          <w:numId w:val="1"/>
        </w:numPr>
        <w:spacing w:line="240" w:lineRule="auto"/>
        <w:ind w:left="720" w:hanging="360"/>
        <w:jc w:val="both"/>
        <w:rPr>
          <w:sz w:val="20"/>
          <w:szCs w:val="20"/>
        </w:rPr>
      </w:pPr>
      <w:r w:rsidDel="00000000" w:rsidR="00000000" w:rsidRPr="00000000">
        <w:rPr>
          <w:sz w:val="20"/>
          <w:szCs w:val="20"/>
          <w:rtl w:val="0"/>
        </w:rPr>
        <w:t xml:space="preserve"> CHRP’s 2019 National Inquiry Report on Reproductive Health of Women with Disabilities (WWDs)</w:t>
      </w:r>
      <w:r w:rsidDel="00000000" w:rsidR="00000000" w:rsidRPr="00000000">
        <w:rPr>
          <w:sz w:val="20"/>
          <w:szCs w:val="20"/>
          <w:vertAlign w:val="superscript"/>
        </w:rPr>
        <w:footnoteReference w:customMarkFollows="0" w:id="41"/>
      </w:r>
      <w:r w:rsidDel="00000000" w:rsidR="00000000" w:rsidRPr="00000000">
        <w:rPr>
          <w:sz w:val="20"/>
          <w:szCs w:val="20"/>
          <w:rtl w:val="0"/>
        </w:rPr>
        <w:t xml:space="preserve"> revealed how the absence of sign language interpreters (SLIs) and the lack of disability and gender sensitivity training impact access to justice for WWDs. Despite the passage of the Filipino Sign Language Law (FSL),</w:t>
      </w:r>
      <w:r w:rsidDel="00000000" w:rsidR="00000000" w:rsidRPr="00000000">
        <w:rPr>
          <w:sz w:val="20"/>
          <w:szCs w:val="20"/>
          <w:vertAlign w:val="superscript"/>
        </w:rPr>
        <w:footnoteReference w:customMarkFollows="0" w:id="42"/>
      </w:r>
      <w:r w:rsidDel="00000000" w:rsidR="00000000" w:rsidRPr="00000000">
        <w:rPr>
          <w:sz w:val="20"/>
          <w:szCs w:val="20"/>
          <w:rtl w:val="0"/>
        </w:rPr>
        <w:t xml:space="preserve"> many government agencies do not provide sign language interpreters. The limited availability of SLIs and the absence of relay sign interpreters for unschooled deaf persons pose continuing barriers and challenges in courts</w:t>
      </w:r>
    </w:p>
    <w:p w:rsidR="00000000" w:rsidDel="00000000" w:rsidP="00000000" w:rsidRDefault="00000000" w:rsidRPr="00000000" w14:paraId="00000048">
      <w:pP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49">
      <w:pPr>
        <w:numPr>
          <w:ilvl w:val="0"/>
          <w:numId w:val="1"/>
        </w:numPr>
        <w:spacing w:line="240" w:lineRule="auto"/>
        <w:ind w:left="720" w:hanging="360"/>
        <w:jc w:val="both"/>
        <w:rPr>
          <w:b w:val="1"/>
          <w:sz w:val="20"/>
          <w:szCs w:val="20"/>
        </w:rPr>
      </w:pPr>
      <w:r w:rsidDel="00000000" w:rsidR="00000000" w:rsidRPr="00000000">
        <w:rPr>
          <w:b w:val="1"/>
          <w:i w:val="1"/>
          <w:sz w:val="20"/>
          <w:szCs w:val="20"/>
          <w:highlight w:val="white"/>
          <w:rtl w:val="0"/>
        </w:rPr>
        <w:t xml:space="preserve">We urge the Committee to recommend that the State Party </w:t>
      </w:r>
      <w:r w:rsidDel="00000000" w:rsidR="00000000" w:rsidRPr="00000000">
        <w:rPr>
          <w:b w:val="1"/>
          <w:i w:val="1"/>
          <w:sz w:val="20"/>
          <w:szCs w:val="20"/>
          <w:rtl w:val="0"/>
        </w:rPr>
        <w:t xml:space="preserve">ensure effective and accessible remedies for women and girls facing multiple and intersecting forms of discrimination. We urge the Committee to require the State to provide information on policies and programs specifically adopted to address barriers faced by marginalized women. In relation to the FSL law, we request for progress of the State’s implementation in the justice and health systems.</w:t>
      </w:r>
      <w:r w:rsidDel="00000000" w:rsidR="00000000" w:rsidRPr="00000000">
        <w:rPr>
          <w:rtl w:val="0"/>
        </w:rPr>
      </w:r>
    </w:p>
    <w:p w:rsidR="00000000" w:rsidDel="00000000" w:rsidP="00000000" w:rsidRDefault="00000000" w:rsidRPr="00000000" w14:paraId="0000004A">
      <w:pPr>
        <w:spacing w:line="240" w:lineRule="auto"/>
        <w:ind w:left="720" w:firstLine="0"/>
        <w:jc w:val="both"/>
        <w:rPr>
          <w:i w:val="1"/>
          <w:sz w:val="20"/>
          <w:szCs w:val="20"/>
        </w:rPr>
      </w:pPr>
      <w:r w:rsidDel="00000000" w:rsidR="00000000" w:rsidRPr="00000000">
        <w:rPr>
          <w:rtl w:val="0"/>
        </w:rPr>
      </w:r>
    </w:p>
    <w:p w:rsidR="00000000" w:rsidDel="00000000" w:rsidP="00000000" w:rsidRDefault="00000000" w:rsidRPr="00000000" w14:paraId="0000004B">
      <w:pPr>
        <w:spacing w:line="240" w:lineRule="auto"/>
        <w:ind w:left="720" w:firstLine="0"/>
        <w:jc w:val="both"/>
        <w:rPr>
          <w:i w:val="1"/>
          <w:sz w:val="20"/>
          <w:szCs w:val="20"/>
        </w:rPr>
      </w:pPr>
      <w:r w:rsidDel="00000000" w:rsidR="00000000" w:rsidRPr="00000000">
        <w:rPr>
          <w:rtl w:val="0"/>
        </w:rPr>
      </w:r>
    </w:p>
    <w:p w:rsidR="00000000" w:rsidDel="00000000" w:rsidP="00000000" w:rsidRDefault="00000000" w:rsidRPr="00000000" w14:paraId="0000004C">
      <w:pPr>
        <w:spacing w:line="240" w:lineRule="auto"/>
        <w:jc w:val="both"/>
        <w:rPr>
          <w:b w:val="1"/>
          <w:sz w:val="20"/>
          <w:szCs w:val="20"/>
          <w:highlight w:val="white"/>
        </w:rPr>
      </w:pPr>
      <w:r w:rsidDel="00000000" w:rsidR="00000000" w:rsidRPr="00000000">
        <w:rPr>
          <w:b w:val="1"/>
          <w:sz w:val="20"/>
          <w:szCs w:val="20"/>
          <w:highlight w:val="white"/>
          <w:rtl w:val="0"/>
        </w:rPr>
        <w:t xml:space="preserve">Stereotypes and harmful practices</w:t>
      </w:r>
    </w:p>
    <w:p w:rsidR="00000000" w:rsidDel="00000000" w:rsidP="00000000" w:rsidRDefault="00000000" w:rsidRPr="00000000" w14:paraId="0000004D">
      <w:pPr>
        <w:spacing w:line="240" w:lineRule="auto"/>
        <w:jc w:val="both"/>
        <w:rPr>
          <w:b w:val="1"/>
          <w:sz w:val="20"/>
          <w:szCs w:val="20"/>
          <w:highlight w:val="white"/>
        </w:rPr>
      </w:pPr>
      <w:r w:rsidDel="00000000" w:rsidR="00000000" w:rsidRPr="00000000">
        <w:rPr>
          <w:rtl w:val="0"/>
        </w:rPr>
      </w:r>
    </w:p>
    <w:p w:rsidR="00000000" w:rsidDel="00000000" w:rsidP="00000000" w:rsidRDefault="00000000" w:rsidRPr="00000000" w14:paraId="0000004E">
      <w:pPr>
        <w:numPr>
          <w:ilvl w:val="0"/>
          <w:numId w:val="1"/>
        </w:numPr>
        <w:spacing w:line="240" w:lineRule="auto"/>
        <w:ind w:left="720" w:hanging="360"/>
        <w:jc w:val="both"/>
        <w:rPr>
          <w:sz w:val="20"/>
          <w:szCs w:val="20"/>
          <w:highlight w:val="white"/>
        </w:rPr>
      </w:pPr>
      <w:r w:rsidDel="00000000" w:rsidR="00000000" w:rsidRPr="00000000">
        <w:rPr>
          <w:sz w:val="20"/>
          <w:szCs w:val="20"/>
          <w:highlight w:val="white"/>
          <w:rtl w:val="0"/>
        </w:rPr>
        <w:t xml:space="preserve">The CHRP welcomes the enactment of the Safe Spaces Act 2019</w:t>
      </w:r>
      <w:r w:rsidDel="00000000" w:rsidR="00000000" w:rsidRPr="00000000">
        <w:rPr>
          <w:sz w:val="20"/>
          <w:szCs w:val="20"/>
          <w:highlight w:val="white"/>
          <w:vertAlign w:val="superscript"/>
        </w:rPr>
        <w:footnoteReference w:customMarkFollows="0" w:id="43"/>
      </w:r>
      <w:r w:rsidDel="00000000" w:rsidR="00000000" w:rsidRPr="00000000">
        <w:rPr>
          <w:sz w:val="20"/>
          <w:szCs w:val="20"/>
          <w:highlight w:val="white"/>
          <w:rtl w:val="0"/>
        </w:rPr>
        <w:t xml:space="preserve">  and the law prohibiting child marriage.</w:t>
      </w:r>
      <w:r w:rsidDel="00000000" w:rsidR="00000000" w:rsidRPr="00000000">
        <w:rPr>
          <w:sz w:val="20"/>
          <w:szCs w:val="20"/>
          <w:highlight w:val="white"/>
          <w:vertAlign w:val="superscript"/>
        </w:rPr>
        <w:footnoteReference w:customMarkFollows="0" w:id="44"/>
      </w:r>
      <w:r w:rsidDel="00000000" w:rsidR="00000000" w:rsidRPr="00000000">
        <w:rPr>
          <w:sz w:val="20"/>
          <w:szCs w:val="20"/>
          <w:highlight w:val="white"/>
          <w:rtl w:val="0"/>
        </w:rPr>
        <w:t xml:space="preserve"> However, the localization of the Safe Spaces Act and the development of needed protocols to implement the law remain lacking. CHRP has only documented 3 local government units with corresponding local ordinances on Safe Spaces.</w:t>
      </w:r>
      <w:r w:rsidDel="00000000" w:rsidR="00000000" w:rsidRPr="00000000">
        <w:rPr>
          <w:sz w:val="20"/>
          <w:szCs w:val="20"/>
          <w:highlight w:val="white"/>
          <w:vertAlign w:val="superscript"/>
        </w:rPr>
        <w:footnoteReference w:customMarkFollows="0" w:id="45"/>
      </w:r>
      <w:r w:rsidDel="00000000" w:rsidR="00000000" w:rsidRPr="00000000">
        <w:rPr>
          <w:sz w:val="20"/>
          <w:szCs w:val="20"/>
          <w:highlight w:val="white"/>
          <w:rtl w:val="0"/>
        </w:rPr>
        <w:t xml:space="preserve"> The CHRP is concerned with the resistance coming from some members of the Bangsamoro Transition Authority, claiming that the ban on child marriage conflicts with “cultural practices.”</w:t>
      </w:r>
      <w:r w:rsidDel="00000000" w:rsidR="00000000" w:rsidRPr="00000000">
        <w:rPr>
          <w:sz w:val="20"/>
          <w:szCs w:val="20"/>
          <w:highlight w:val="white"/>
          <w:vertAlign w:val="superscript"/>
        </w:rPr>
        <w:footnoteReference w:customMarkFollows="0" w:id="46"/>
      </w:r>
      <w:r w:rsidDel="00000000" w:rsidR="00000000" w:rsidRPr="00000000">
        <w:rPr>
          <w:rtl w:val="0"/>
        </w:rPr>
      </w:r>
    </w:p>
    <w:p w:rsidR="00000000" w:rsidDel="00000000" w:rsidP="00000000" w:rsidRDefault="00000000" w:rsidRPr="00000000" w14:paraId="0000004F">
      <w:pPr>
        <w:spacing w:line="240" w:lineRule="auto"/>
        <w:ind w:left="720" w:firstLine="0"/>
        <w:jc w:val="both"/>
        <w:rPr>
          <w:sz w:val="20"/>
          <w:szCs w:val="20"/>
          <w:highlight w:val="white"/>
        </w:rPr>
      </w:pPr>
      <w:r w:rsidDel="00000000" w:rsidR="00000000" w:rsidRPr="00000000">
        <w:rPr>
          <w:rtl w:val="0"/>
        </w:rPr>
      </w:r>
    </w:p>
    <w:p w:rsidR="00000000" w:rsidDel="00000000" w:rsidP="00000000" w:rsidRDefault="00000000" w:rsidRPr="00000000" w14:paraId="00000050">
      <w:pPr>
        <w:numPr>
          <w:ilvl w:val="0"/>
          <w:numId w:val="1"/>
        </w:numPr>
        <w:spacing w:line="240" w:lineRule="auto"/>
        <w:ind w:left="720" w:hanging="360"/>
        <w:jc w:val="both"/>
        <w:rPr>
          <w:sz w:val="20"/>
          <w:szCs w:val="20"/>
          <w:highlight w:val="white"/>
        </w:rPr>
      </w:pPr>
      <w:r w:rsidDel="00000000" w:rsidR="00000000" w:rsidRPr="00000000">
        <w:rPr>
          <w:sz w:val="20"/>
          <w:szCs w:val="20"/>
          <w:highlight w:val="white"/>
          <w:rtl w:val="0"/>
        </w:rPr>
        <w:t xml:space="preserve">Some advisories issued by the Philippines National Police</w:t>
      </w:r>
      <w:r w:rsidDel="00000000" w:rsidR="00000000" w:rsidRPr="00000000">
        <w:rPr>
          <w:sz w:val="20"/>
          <w:szCs w:val="20"/>
          <w:highlight w:val="white"/>
          <w:vertAlign w:val="superscript"/>
        </w:rPr>
        <w:footnoteReference w:customMarkFollows="0" w:id="47"/>
      </w:r>
      <w:r w:rsidDel="00000000" w:rsidR="00000000" w:rsidRPr="00000000">
        <w:rPr>
          <w:sz w:val="20"/>
          <w:szCs w:val="20"/>
          <w:highlight w:val="white"/>
          <w:rtl w:val="0"/>
        </w:rPr>
        <w:t xml:space="preserve"> reek of victim-blaming and misogyny, purporting to advise women and girls on what to wear and how to behave to avoid rape.</w:t>
      </w:r>
      <w:r w:rsidDel="00000000" w:rsidR="00000000" w:rsidRPr="00000000">
        <w:rPr>
          <w:sz w:val="20"/>
          <w:szCs w:val="20"/>
          <w:highlight w:val="white"/>
          <w:vertAlign w:val="superscript"/>
        </w:rPr>
        <w:footnoteReference w:customMarkFollows="0" w:id="48"/>
      </w:r>
      <w:r w:rsidDel="00000000" w:rsidR="00000000" w:rsidRPr="00000000">
        <w:rPr>
          <w:sz w:val="20"/>
          <w:szCs w:val="20"/>
          <w:highlight w:val="white"/>
          <w:rtl w:val="0"/>
        </w:rPr>
        <w:t xml:space="preserve"> These reveals continuing and deep-seated harmful stereotypes even among duty bearers which impact women and girls’ access to remedies and services. </w:t>
      </w:r>
    </w:p>
    <w:p w:rsidR="00000000" w:rsidDel="00000000" w:rsidP="00000000" w:rsidRDefault="00000000" w:rsidRPr="00000000" w14:paraId="00000051">
      <w:pPr>
        <w:spacing w:line="240" w:lineRule="auto"/>
        <w:ind w:left="720" w:firstLine="0"/>
        <w:jc w:val="both"/>
        <w:rPr>
          <w:b w:val="1"/>
          <w:sz w:val="20"/>
          <w:szCs w:val="20"/>
          <w:highlight w:val="white"/>
        </w:rPr>
      </w:pPr>
      <w:r w:rsidDel="00000000" w:rsidR="00000000" w:rsidRPr="00000000">
        <w:rPr>
          <w:rtl w:val="0"/>
        </w:rPr>
      </w:r>
    </w:p>
    <w:p w:rsidR="00000000" w:rsidDel="00000000" w:rsidP="00000000" w:rsidRDefault="00000000" w:rsidRPr="00000000" w14:paraId="00000052">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b w:val="1"/>
          <w:color w:val="000000"/>
          <w:sz w:val="20"/>
          <w:szCs w:val="20"/>
          <w:highlight w:val="white"/>
        </w:rPr>
      </w:pPr>
      <w:r w:rsidDel="00000000" w:rsidR="00000000" w:rsidRPr="00000000">
        <w:rPr>
          <w:b w:val="1"/>
          <w:i w:val="1"/>
          <w:sz w:val="20"/>
          <w:szCs w:val="20"/>
          <w:highlight w:val="white"/>
          <w:rtl w:val="0"/>
        </w:rPr>
        <w:t xml:space="preserve">CHRP  requests the Committee to urge the State Party to:</w:t>
      </w:r>
      <w:r w:rsidDel="00000000" w:rsidR="00000000" w:rsidRPr="00000000">
        <w:rPr>
          <w:rtl w:val="0"/>
        </w:rPr>
      </w:r>
    </w:p>
    <w:p w:rsidR="00000000" w:rsidDel="00000000" w:rsidP="00000000" w:rsidRDefault="00000000" w:rsidRPr="00000000" w14:paraId="00000053">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color w:val="000000"/>
          <w:sz w:val="20"/>
          <w:szCs w:val="20"/>
          <w:highlight w:val="white"/>
        </w:rPr>
      </w:pPr>
      <w:r w:rsidDel="00000000" w:rsidR="00000000" w:rsidRPr="00000000">
        <w:rPr>
          <w:b w:val="1"/>
          <w:i w:val="1"/>
          <w:sz w:val="20"/>
          <w:szCs w:val="20"/>
          <w:highlight w:val="white"/>
          <w:rtl w:val="0"/>
        </w:rPr>
        <w:t xml:space="preserve">Provide concrete measures to eliminate stereotypes and harmful practices, including those perpetuated by service providers;</w:t>
      </w:r>
      <w:r w:rsidDel="00000000" w:rsidR="00000000" w:rsidRPr="00000000">
        <w:rPr>
          <w:rtl w:val="0"/>
        </w:rPr>
      </w:r>
    </w:p>
    <w:p w:rsidR="00000000" w:rsidDel="00000000" w:rsidP="00000000" w:rsidRDefault="00000000" w:rsidRPr="00000000" w14:paraId="00000054">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color w:val="000000"/>
          <w:sz w:val="20"/>
          <w:szCs w:val="20"/>
          <w:highlight w:val="white"/>
        </w:rPr>
      </w:pPr>
      <w:r w:rsidDel="00000000" w:rsidR="00000000" w:rsidRPr="00000000">
        <w:rPr>
          <w:b w:val="1"/>
          <w:i w:val="1"/>
          <w:sz w:val="20"/>
          <w:szCs w:val="20"/>
          <w:highlight w:val="white"/>
          <w:rtl w:val="0"/>
        </w:rPr>
        <w:t xml:space="preserve"> Ensure full and effective implementation of the Safe Spaces Act of 2019 and the law prohibiting child marriage;</w:t>
      </w:r>
      <w:r w:rsidDel="00000000" w:rsidR="00000000" w:rsidRPr="00000000">
        <w:rPr>
          <w:rtl w:val="0"/>
        </w:rPr>
      </w:r>
    </w:p>
    <w:p w:rsidR="00000000" w:rsidDel="00000000" w:rsidP="00000000" w:rsidRDefault="00000000" w:rsidRPr="00000000" w14:paraId="00000055">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color w:val="000000"/>
          <w:sz w:val="20"/>
          <w:szCs w:val="20"/>
          <w:highlight w:val="white"/>
        </w:rPr>
      </w:pPr>
      <w:r w:rsidDel="00000000" w:rsidR="00000000" w:rsidRPr="00000000">
        <w:rPr>
          <w:b w:val="1"/>
          <w:i w:val="1"/>
          <w:sz w:val="20"/>
          <w:szCs w:val="20"/>
          <w:highlight w:val="white"/>
          <w:rtl w:val="0"/>
        </w:rPr>
        <w:t xml:space="preserve">Strengthen  accountability measures against perpetrators of misogynistic and sexist attacks in both online and offline spaces</w:t>
      </w:r>
      <w:r w:rsidDel="00000000" w:rsidR="00000000" w:rsidRPr="00000000">
        <w:rPr>
          <w:rtl w:val="0"/>
        </w:rPr>
      </w:r>
    </w:p>
    <w:p w:rsidR="00000000" w:rsidDel="00000000" w:rsidP="00000000" w:rsidRDefault="00000000" w:rsidRPr="00000000" w14:paraId="00000056">
      <w:pPr>
        <w:keepNext w:val="1"/>
        <w:widowControl w:val="0"/>
        <w:pBdr>
          <w:top w:space="0" w:sz="0" w:val="nil"/>
          <w:left w:space="0" w:sz="0" w:val="nil"/>
          <w:bottom w:space="0" w:sz="0" w:val="nil"/>
          <w:right w:space="0" w:sz="0" w:val="nil"/>
          <w:between w:space="0" w:sz="0" w:val="nil"/>
        </w:pBdr>
        <w:shd w:fill="ffffff" w:val="clear"/>
        <w:spacing w:line="240" w:lineRule="auto"/>
        <w:ind w:left="1440" w:firstLine="0"/>
        <w:jc w:val="both"/>
        <w:rPr>
          <w:b w:val="1"/>
          <w:color w:val="000000"/>
          <w:sz w:val="20"/>
          <w:szCs w:val="20"/>
          <w:highlight w:val="white"/>
        </w:rPr>
      </w:pPr>
      <w:r w:rsidDel="00000000" w:rsidR="00000000" w:rsidRPr="00000000">
        <w:rPr>
          <w:rtl w:val="0"/>
        </w:rPr>
      </w:r>
    </w:p>
    <w:p w:rsidR="00000000" w:rsidDel="00000000" w:rsidP="00000000" w:rsidRDefault="00000000" w:rsidRPr="00000000" w14:paraId="00000057">
      <w:pPr>
        <w:keepNext w:val="1"/>
        <w:widowControl w:val="0"/>
        <w:pBdr>
          <w:top w:space="0" w:sz="0" w:val="nil"/>
          <w:left w:space="0" w:sz="0" w:val="nil"/>
          <w:bottom w:space="0" w:sz="0" w:val="nil"/>
          <w:right w:space="0" w:sz="0" w:val="nil"/>
          <w:between w:space="0" w:sz="0" w:val="nil"/>
        </w:pBdr>
        <w:shd w:fill="ffffff" w:val="clear"/>
        <w:spacing w:line="240" w:lineRule="auto"/>
        <w:jc w:val="both"/>
        <w:rPr>
          <w:b w:val="1"/>
          <w:sz w:val="20"/>
          <w:szCs w:val="20"/>
          <w:highlight w:val="white"/>
        </w:rPr>
      </w:pPr>
      <w:r w:rsidDel="00000000" w:rsidR="00000000" w:rsidRPr="00000000">
        <w:rPr>
          <w:b w:val="1"/>
          <w:sz w:val="20"/>
          <w:szCs w:val="20"/>
          <w:highlight w:val="white"/>
          <w:rtl w:val="0"/>
        </w:rPr>
        <w:t xml:space="preserve">Gender-Based Violence</w:t>
      </w:r>
    </w:p>
    <w:p w:rsidR="00000000" w:rsidDel="00000000" w:rsidP="00000000" w:rsidRDefault="00000000" w:rsidRPr="00000000" w14:paraId="00000058">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highlight w:val="white"/>
          <w:rtl w:val="0"/>
        </w:rPr>
        <w:t xml:space="preserve">In </w:t>
      </w:r>
      <w:r w:rsidDel="00000000" w:rsidR="00000000" w:rsidRPr="00000000">
        <w:rPr>
          <w:sz w:val="20"/>
          <w:szCs w:val="20"/>
          <w:rtl w:val="0"/>
        </w:rPr>
        <w:t xml:space="preserve">2016, CHRP highlighted the need to address GBV against women facing multiple and intersecting forms of discrimination. In 2019, the CHRP’s Mapping of GBV Legal Referral Mechanisms</w:t>
      </w:r>
      <w:r w:rsidDel="00000000" w:rsidR="00000000" w:rsidRPr="00000000">
        <w:rPr>
          <w:sz w:val="20"/>
          <w:szCs w:val="20"/>
          <w:vertAlign w:val="superscript"/>
        </w:rPr>
        <w:footnoteReference w:customMarkFollows="0" w:id="49"/>
      </w:r>
      <w:r w:rsidDel="00000000" w:rsidR="00000000" w:rsidRPr="00000000">
        <w:rPr>
          <w:sz w:val="20"/>
          <w:szCs w:val="20"/>
          <w:rtl w:val="0"/>
        </w:rPr>
        <w:t xml:space="preserve"> continue to document gaps in services, particularly in the provision of sign language interpreters, psychosocial and livelihood services, and adequate financial and legal assistance for survivors.</w:t>
      </w:r>
      <w:r w:rsidDel="00000000" w:rsidR="00000000" w:rsidRPr="00000000">
        <w:rPr>
          <w:sz w:val="20"/>
          <w:szCs w:val="20"/>
          <w:vertAlign w:val="superscript"/>
        </w:rPr>
        <w:footnoteReference w:customMarkFollows="0" w:id="50"/>
      </w:r>
      <w:r w:rsidDel="00000000" w:rsidR="00000000" w:rsidRPr="00000000">
        <w:rPr>
          <w:sz w:val="20"/>
          <w:szCs w:val="20"/>
          <w:rtl w:val="0"/>
        </w:rPr>
        <w:t xml:space="preserve"> Health crises compound existing gender inequalities and increase risks of GBV, sexual exploitation and abuse.</w:t>
      </w:r>
      <w:r w:rsidDel="00000000" w:rsidR="00000000" w:rsidRPr="00000000">
        <w:rPr>
          <w:sz w:val="20"/>
          <w:szCs w:val="20"/>
          <w:vertAlign w:val="superscript"/>
        </w:rPr>
        <w:footnoteReference w:customMarkFollows="0" w:id="51"/>
      </w:r>
      <w:r w:rsidDel="00000000" w:rsidR="00000000" w:rsidRPr="00000000">
        <w:rPr>
          <w:sz w:val="20"/>
          <w:szCs w:val="20"/>
          <w:rtl w:val="0"/>
        </w:rPr>
        <w:t xml:space="preserve"> The pressure to respond to COVID-19 disrupted care and support for GBV survivors.</w:t>
      </w:r>
      <w:r w:rsidDel="00000000" w:rsidR="00000000" w:rsidRPr="00000000">
        <w:rPr>
          <w:sz w:val="20"/>
          <w:szCs w:val="20"/>
          <w:vertAlign w:val="superscript"/>
        </w:rPr>
        <w:footnoteReference w:customMarkFollows="0" w:id="52"/>
      </w:r>
      <w:r w:rsidDel="00000000" w:rsidR="00000000" w:rsidRPr="00000000">
        <w:rPr>
          <w:sz w:val="20"/>
          <w:szCs w:val="20"/>
          <w:rtl w:val="0"/>
        </w:rPr>
        <w:t xml:space="preserve"> During the pandemic, CHRP received several reports of breakdown of referral mechanisms. The tragic case of “FP”</w:t>
      </w:r>
      <w:r w:rsidDel="00000000" w:rsidR="00000000" w:rsidRPr="00000000">
        <w:rPr>
          <w:sz w:val="20"/>
          <w:szCs w:val="20"/>
          <w:vertAlign w:val="superscript"/>
        </w:rPr>
        <w:footnoteReference w:customMarkFollows="0" w:id="53"/>
      </w:r>
      <w:r w:rsidDel="00000000" w:rsidR="00000000" w:rsidRPr="00000000">
        <w:rPr>
          <w:sz w:val="20"/>
          <w:szCs w:val="20"/>
          <w:rtl w:val="0"/>
        </w:rPr>
        <w:t xml:space="preserve"> and “RN”</w:t>
      </w:r>
      <w:r w:rsidDel="00000000" w:rsidR="00000000" w:rsidRPr="00000000">
        <w:rPr>
          <w:sz w:val="20"/>
          <w:szCs w:val="20"/>
          <w:vertAlign w:val="superscript"/>
        </w:rPr>
        <w:footnoteReference w:customMarkFollows="0" w:id="54"/>
      </w:r>
      <w:r w:rsidDel="00000000" w:rsidR="00000000" w:rsidRPr="00000000">
        <w:rPr>
          <w:sz w:val="20"/>
          <w:szCs w:val="20"/>
          <w:rtl w:val="0"/>
        </w:rPr>
        <w:t xml:space="preserve">  are stark examples of the breakdown of referral mechanisms and the failure to provide protection for survivors of GBV. Both women reported cases of GBV committed by law enforcement officers; both sought protection but ended up being killed subsequent to reporting.</w:t>
      </w:r>
      <w:r w:rsidDel="00000000" w:rsidR="00000000" w:rsidRPr="00000000">
        <w:rPr>
          <w:rtl w:val="0"/>
        </w:rPr>
      </w:r>
    </w:p>
    <w:p w:rsidR="00000000" w:rsidDel="00000000" w:rsidP="00000000" w:rsidRDefault="00000000" w:rsidRPr="00000000" w14:paraId="00000059">
      <w:pPr>
        <w:keepNext w:val="1"/>
        <w:widowControl w:val="0"/>
        <w:pBdr>
          <w:top w:space="0" w:sz="0" w:val="nil"/>
          <w:left w:space="0" w:sz="0" w:val="nil"/>
          <w:bottom w:space="0" w:sz="0" w:val="nil"/>
          <w:right w:space="0" w:sz="0" w:val="nil"/>
          <w:between w:space="0" w:sz="0" w:val="nil"/>
        </w:pBdr>
        <w:shd w:fill="ffffff" w:val="clear"/>
        <w:spacing w:line="240" w:lineRule="auto"/>
        <w:ind w:left="720" w:firstLine="0"/>
        <w:jc w:val="both"/>
        <w:rPr>
          <w:i w:val="1"/>
          <w:sz w:val="20"/>
          <w:szCs w:val="20"/>
          <w:highlight w:val="white"/>
        </w:rPr>
      </w:pPr>
      <w:r w:rsidDel="00000000" w:rsidR="00000000" w:rsidRPr="00000000">
        <w:rPr>
          <w:rtl w:val="0"/>
        </w:rPr>
      </w:r>
    </w:p>
    <w:p w:rsidR="00000000" w:rsidDel="00000000" w:rsidP="00000000" w:rsidRDefault="00000000" w:rsidRPr="00000000" w14:paraId="0000005A">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rtl w:val="0"/>
        </w:rPr>
        <w:t xml:space="preserve">The Commission investigated discriminatory penalties for curfew violations committed against members of the LGBTQI+ community. Several individuals forcibly shaved the heads of perceived members of the LGBTQI+ community in Mindanao.</w:t>
      </w:r>
      <w:r w:rsidDel="00000000" w:rsidR="00000000" w:rsidRPr="00000000">
        <w:rPr>
          <w:sz w:val="20"/>
          <w:szCs w:val="20"/>
          <w:vertAlign w:val="superscript"/>
        </w:rPr>
        <w:footnoteReference w:customMarkFollows="0" w:id="55"/>
      </w:r>
      <w:r w:rsidDel="00000000" w:rsidR="00000000" w:rsidRPr="00000000">
        <w:rPr>
          <w:sz w:val="20"/>
          <w:szCs w:val="20"/>
          <w:rtl w:val="0"/>
        </w:rPr>
        <w:t xml:space="preserve"> Reportedly, the perpetrators, who are residents of Ampatuan town in Mindanao, committed the acts due to their conviction that being gay or lesbian is against Islam.</w:t>
      </w:r>
      <w:r w:rsidDel="00000000" w:rsidR="00000000" w:rsidRPr="00000000">
        <w:rPr>
          <w:rtl w:val="0"/>
        </w:rPr>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5C">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i w:val="1"/>
          <w:sz w:val="20"/>
          <w:szCs w:val="20"/>
          <w:rtl w:val="0"/>
        </w:rPr>
        <w:t xml:space="preserve">Indigenous women and girls. </w:t>
      </w:r>
      <w:r w:rsidDel="00000000" w:rsidR="00000000" w:rsidRPr="00000000">
        <w:rPr>
          <w:sz w:val="20"/>
          <w:szCs w:val="20"/>
          <w:rtl w:val="0"/>
        </w:rPr>
        <w:t xml:space="preserve">CHRP, with NGO partner Lilak Purple Action for Women’s Human Rights, documented how the pandemic exacerbated pre-existing inequalities that indigenous women and girls face. This is evidenced by their increased food insecurity,</w:t>
      </w:r>
      <w:r w:rsidDel="00000000" w:rsidR="00000000" w:rsidRPr="00000000">
        <w:rPr>
          <w:sz w:val="20"/>
          <w:szCs w:val="20"/>
          <w:vertAlign w:val="superscript"/>
        </w:rPr>
        <w:footnoteReference w:customMarkFollows="0" w:id="56"/>
      </w:r>
      <w:r w:rsidDel="00000000" w:rsidR="00000000" w:rsidRPr="00000000">
        <w:rPr>
          <w:sz w:val="20"/>
          <w:szCs w:val="20"/>
          <w:rtl w:val="0"/>
        </w:rPr>
        <w:t xml:space="preserve"> </w:t>
      </w:r>
      <w:r w:rsidDel="00000000" w:rsidR="00000000" w:rsidRPr="00000000">
        <w:rPr>
          <w:sz w:val="20"/>
          <w:szCs w:val="20"/>
          <w:vertAlign w:val="superscript"/>
        </w:rPr>
        <w:footnoteReference w:customMarkFollows="0" w:id="57"/>
      </w:r>
      <w:r w:rsidDel="00000000" w:rsidR="00000000" w:rsidRPr="00000000">
        <w:rPr>
          <w:sz w:val="20"/>
          <w:szCs w:val="20"/>
          <w:rtl w:val="0"/>
        </w:rPr>
        <w:t xml:space="preserve"> their limited access to health services and information, the impact of lockdowns on livelihood and their ability to sustain their families, and the burden brought about by distance or e-learning.</w:t>
      </w:r>
      <w:r w:rsidDel="00000000" w:rsidR="00000000" w:rsidRPr="00000000">
        <w:rPr>
          <w:sz w:val="20"/>
          <w:szCs w:val="20"/>
          <w:vertAlign w:val="superscript"/>
        </w:rPr>
        <w:footnoteReference w:customMarkFollows="0" w:id="58"/>
      </w:r>
      <w:r w:rsidDel="00000000" w:rsidR="00000000" w:rsidRPr="00000000">
        <w:rPr>
          <w:sz w:val="20"/>
          <w:szCs w:val="20"/>
          <w:rtl w:val="0"/>
        </w:rPr>
        <w:t xml:space="preserve"> Lockdowns have prevented them from reporting to work or from selling their products.</w:t>
      </w:r>
      <w:r w:rsidDel="00000000" w:rsidR="00000000" w:rsidRPr="00000000">
        <w:rPr>
          <w:sz w:val="20"/>
          <w:szCs w:val="20"/>
          <w:vertAlign w:val="superscript"/>
        </w:rPr>
        <w:footnoteReference w:customMarkFollows="0" w:id="59"/>
      </w:r>
      <w:r w:rsidDel="00000000" w:rsidR="00000000" w:rsidRPr="00000000">
        <w:rPr>
          <w:sz w:val="20"/>
          <w:szCs w:val="20"/>
          <w:rtl w:val="0"/>
        </w:rPr>
        <w:t xml:space="preserve"> Members of indigenous communities also faced different forms of red-tagging.</w:t>
      </w:r>
      <w:r w:rsidDel="00000000" w:rsidR="00000000" w:rsidRPr="00000000">
        <w:rPr>
          <w:sz w:val="20"/>
          <w:szCs w:val="20"/>
          <w:vertAlign w:val="superscript"/>
        </w:rPr>
        <w:footnoteReference w:customMarkFollows="0" w:id="60"/>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5E">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rtl w:val="0"/>
        </w:rPr>
        <w:t xml:space="preserve">In 2021, the CHRP partnered with three organizations to document the situation of women and girls survivors of trafficking. The situationers reveal direct links between trafficking and poverty and the continuing gaps in the provision of needed services.</w:t>
      </w:r>
      <w:r w:rsidDel="00000000" w:rsidR="00000000" w:rsidRPr="00000000">
        <w:rPr>
          <w:sz w:val="20"/>
          <w:szCs w:val="20"/>
          <w:vertAlign w:val="superscript"/>
        </w:rPr>
        <w:footnoteReference w:customMarkFollows="0" w:id="61"/>
      </w:r>
      <w:r w:rsidDel="00000000" w:rsidR="00000000" w:rsidRPr="00000000">
        <w:rPr>
          <w:sz w:val="20"/>
          <w:szCs w:val="20"/>
          <w:rtl w:val="0"/>
        </w:rPr>
        <w:t xml:space="preserve"> Most of the victim-survivors of trafficking would not report their situation. Unreported, and often due to poverty, trafficked women and children transition to prostitution to raise money and plan their own escape.</w:t>
      </w:r>
      <w:r w:rsidDel="00000000" w:rsidR="00000000" w:rsidRPr="00000000">
        <w:rPr>
          <w:sz w:val="20"/>
          <w:szCs w:val="20"/>
          <w:vertAlign w:val="superscript"/>
        </w:rPr>
        <w:footnoteReference w:customMarkFollows="0" w:id="62"/>
      </w:r>
      <w:r w:rsidDel="00000000" w:rsidR="00000000" w:rsidRPr="00000000">
        <w:rPr>
          <w:sz w:val="20"/>
          <w:szCs w:val="20"/>
          <w:rtl w:val="0"/>
        </w:rPr>
        <w:t xml:space="preserve"> </w:t>
      </w:r>
      <w:r w:rsidDel="00000000" w:rsidR="00000000" w:rsidRPr="00000000">
        <w:rPr>
          <w:sz w:val="20"/>
          <w:szCs w:val="20"/>
          <w:vertAlign w:val="superscript"/>
        </w:rPr>
        <w:footnoteReference w:customMarkFollows="0" w:id="63"/>
      </w:r>
      <w:r w:rsidDel="00000000" w:rsidR="00000000" w:rsidRPr="00000000">
        <w:rPr>
          <w:sz w:val="20"/>
          <w:szCs w:val="20"/>
          <w:rtl w:val="0"/>
        </w:rPr>
        <w:t xml:space="preserve"> The limited financial support for trafficking survivors, the failure to fully mainstream survivor-centered approaches, and the failure to ensure the participation of survivors in the planning and development of programs were also raised.</w:t>
      </w:r>
      <w:r w:rsidDel="00000000" w:rsidR="00000000" w:rsidRPr="00000000">
        <w:rPr>
          <w:sz w:val="20"/>
          <w:szCs w:val="20"/>
          <w:vertAlign w:val="superscript"/>
        </w:rPr>
        <w:footnoteReference w:customMarkFollows="0" w:id="64"/>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60">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b w:val="1"/>
          <w:i w:val="1"/>
          <w:sz w:val="20"/>
          <w:szCs w:val="20"/>
          <w:highlight w:val="white"/>
        </w:rPr>
      </w:pPr>
      <w:r w:rsidDel="00000000" w:rsidR="00000000" w:rsidRPr="00000000">
        <w:rPr>
          <w:b w:val="1"/>
          <w:i w:val="1"/>
          <w:sz w:val="20"/>
          <w:szCs w:val="20"/>
          <w:rtl w:val="0"/>
        </w:rPr>
        <w:t xml:space="preserve">The Commission requests the Committee to urge the State Party to:</w:t>
      </w:r>
      <w:r w:rsidDel="00000000" w:rsidR="00000000" w:rsidRPr="00000000">
        <w:rPr>
          <w:rtl w:val="0"/>
        </w:rPr>
      </w:r>
    </w:p>
    <w:p w:rsidR="00000000" w:rsidDel="00000000" w:rsidP="00000000" w:rsidRDefault="00000000" w:rsidRPr="00000000" w14:paraId="00000061">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i w:val="1"/>
          <w:sz w:val="20"/>
          <w:szCs w:val="20"/>
          <w:highlight w:val="white"/>
        </w:rPr>
      </w:pPr>
      <w:r w:rsidDel="00000000" w:rsidR="00000000" w:rsidRPr="00000000">
        <w:rPr>
          <w:b w:val="1"/>
          <w:i w:val="1"/>
          <w:sz w:val="20"/>
          <w:szCs w:val="20"/>
          <w:rtl w:val="0"/>
        </w:rPr>
        <w:t xml:space="preserve">To pursue  the passage of a comprehensive anti-discrimination legislation;</w:t>
      </w:r>
      <w:r w:rsidDel="00000000" w:rsidR="00000000" w:rsidRPr="00000000">
        <w:rPr>
          <w:rtl w:val="0"/>
        </w:rPr>
      </w:r>
    </w:p>
    <w:p w:rsidR="00000000" w:rsidDel="00000000" w:rsidP="00000000" w:rsidRDefault="00000000" w:rsidRPr="00000000" w14:paraId="00000062">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i w:val="1"/>
          <w:sz w:val="20"/>
          <w:szCs w:val="20"/>
          <w:highlight w:val="white"/>
        </w:rPr>
      </w:pPr>
      <w:r w:rsidDel="00000000" w:rsidR="00000000" w:rsidRPr="00000000">
        <w:rPr>
          <w:b w:val="1"/>
          <w:i w:val="1"/>
          <w:sz w:val="20"/>
          <w:szCs w:val="20"/>
          <w:highlight w:val="white"/>
          <w:rtl w:val="0"/>
        </w:rPr>
        <w:t xml:space="preserve">Pass the law calling for Gender Responsive Disaster and Crisis response to ensure mainstreaming of gender and intersectional responses in government interventions (including affirmative action measures) in humanitarian crises including the COVID-19 Pandemic </w:t>
      </w:r>
    </w:p>
    <w:p w:rsidR="00000000" w:rsidDel="00000000" w:rsidP="00000000" w:rsidRDefault="00000000" w:rsidRPr="00000000" w14:paraId="00000063">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b w:val="1"/>
          <w:i w:val="1"/>
          <w:sz w:val="20"/>
          <w:szCs w:val="20"/>
          <w:highlight w:val="white"/>
        </w:rPr>
      </w:pPr>
      <w:r w:rsidDel="00000000" w:rsidR="00000000" w:rsidRPr="00000000">
        <w:rPr>
          <w:b w:val="1"/>
          <w:i w:val="1"/>
          <w:sz w:val="20"/>
          <w:szCs w:val="20"/>
          <w:highlight w:val="white"/>
          <w:rtl w:val="0"/>
        </w:rPr>
        <w:t xml:space="preserve">Ensure participation of women, LGBTQI+ and other marginalized groups in developing response, rehabilitation and recovery plans; </w:t>
      </w:r>
    </w:p>
    <w:p w:rsidR="00000000" w:rsidDel="00000000" w:rsidP="00000000" w:rsidRDefault="00000000" w:rsidRPr="00000000" w14:paraId="00000064">
      <w:pPr>
        <w:keepNext w:val="1"/>
        <w:widowControl w:val="0"/>
        <w:numPr>
          <w:ilvl w:val="1"/>
          <w:numId w:val="1"/>
        </w:numPr>
        <w:pBdr>
          <w:top w:space="0" w:sz="0" w:val="nil"/>
          <w:left w:space="0" w:sz="0" w:val="nil"/>
          <w:bottom w:space="0" w:sz="0" w:val="nil"/>
          <w:right w:space="0" w:sz="0" w:val="nil"/>
          <w:between w:space="0" w:sz="0" w:val="nil"/>
        </w:pBdr>
        <w:shd w:fill="ffffff" w:val="clear"/>
        <w:spacing w:line="240" w:lineRule="auto"/>
        <w:ind w:left="1440" w:hanging="360"/>
        <w:jc w:val="both"/>
        <w:rPr>
          <w:i w:val="1"/>
          <w:sz w:val="20"/>
          <w:szCs w:val="20"/>
          <w:highlight w:val="white"/>
        </w:rPr>
      </w:pPr>
      <w:r w:rsidDel="00000000" w:rsidR="00000000" w:rsidRPr="00000000">
        <w:rPr>
          <w:b w:val="1"/>
          <w:i w:val="1"/>
          <w:sz w:val="20"/>
          <w:szCs w:val="20"/>
          <w:highlight w:val="white"/>
          <w:rtl w:val="0"/>
        </w:rPr>
        <w:t xml:space="preserve">Ensure survivor-centered, multidisciplinary approaches to survivors of trafficking and take immediate measures to ensure participation of survivors in the planning and development of rehabilitation programs;</w:t>
      </w:r>
      <w:r w:rsidDel="00000000" w:rsidR="00000000" w:rsidRPr="00000000">
        <w:rPr>
          <w:i w:val="1"/>
          <w:sz w:val="20"/>
          <w:szCs w:val="20"/>
          <w:highlight w:val="white"/>
          <w:rtl w:val="0"/>
        </w:rPr>
        <w:t xml:space="preserve"> </w:t>
      </w:r>
    </w:p>
    <w:p w:rsidR="00000000" w:rsidDel="00000000" w:rsidP="00000000" w:rsidRDefault="00000000" w:rsidRPr="00000000" w14:paraId="00000065">
      <w:pPr>
        <w:keepNext w:val="1"/>
        <w:widowControl w:val="0"/>
        <w:pBdr>
          <w:top w:space="0" w:sz="0" w:val="nil"/>
          <w:left w:space="0" w:sz="0" w:val="nil"/>
          <w:bottom w:space="0" w:sz="0" w:val="nil"/>
          <w:right w:space="0" w:sz="0" w:val="nil"/>
          <w:between w:space="0" w:sz="0" w:val="nil"/>
        </w:pBdr>
        <w:shd w:fill="ffffff" w:val="clear"/>
        <w:spacing w:line="240" w:lineRule="auto"/>
        <w:jc w:val="both"/>
        <w:rPr>
          <w:b w:val="1"/>
          <w:i w:val="1"/>
          <w:sz w:val="20"/>
          <w:szCs w:val="20"/>
        </w:rPr>
      </w:pPr>
      <w:r w:rsidDel="00000000" w:rsidR="00000000" w:rsidRPr="00000000">
        <w:rPr>
          <w:b w:val="1"/>
          <w:i w:val="1"/>
          <w:sz w:val="20"/>
          <w:szCs w:val="20"/>
          <w:rtl w:val="0"/>
        </w:rPr>
        <w:t xml:space="preserve">Education</w:t>
      </w:r>
    </w:p>
    <w:p w:rsidR="00000000" w:rsidDel="00000000" w:rsidP="00000000" w:rsidRDefault="00000000" w:rsidRPr="00000000" w14:paraId="00000066">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rtl w:val="0"/>
        </w:rPr>
        <w:t xml:space="preserve">A year into the crisis, women continue to bear the burden of unpaid care work at home. Employment and current educational arrangements remained remote -straddling women with the burden of taking care of the family, attending to paid employment remotely, and assisting children with their modules or taking care of the ill or the elderly. </w:t>
      </w:r>
      <w:r w:rsidDel="00000000" w:rsidR="00000000" w:rsidRPr="00000000">
        <w:rPr>
          <w:sz w:val="20"/>
          <w:szCs w:val="20"/>
          <w:vertAlign w:val="superscript"/>
        </w:rPr>
        <w:footnoteReference w:customMarkFollows="0" w:id="65"/>
      </w:r>
      <w:r w:rsidDel="00000000" w:rsidR="00000000" w:rsidRPr="00000000">
        <w:rPr>
          <w:rtl w:val="0"/>
        </w:rPr>
      </w:r>
    </w:p>
    <w:p w:rsidR="00000000" w:rsidDel="00000000" w:rsidP="00000000" w:rsidRDefault="00000000" w:rsidRPr="00000000" w14:paraId="00000067">
      <w:pPr>
        <w:keepNext w:val="1"/>
        <w:widowControl w:val="0"/>
        <w:pBdr>
          <w:top w:space="0" w:sz="0" w:val="nil"/>
          <w:left w:space="0" w:sz="0" w:val="nil"/>
          <w:bottom w:space="0" w:sz="0" w:val="nil"/>
          <w:right w:space="0" w:sz="0" w:val="nil"/>
          <w:between w:space="0" w:sz="0" w:val="nil"/>
        </w:pBdr>
        <w:shd w:fill="ffffff" w:val="clear"/>
        <w:spacing w:line="240" w:lineRule="auto"/>
        <w:ind w:left="720" w:firstLine="0"/>
        <w:jc w:val="both"/>
        <w:rPr>
          <w:i w:val="1"/>
          <w:sz w:val="20"/>
          <w:szCs w:val="20"/>
          <w:highlight w:val="white"/>
        </w:rPr>
      </w:pPr>
      <w:r w:rsidDel="00000000" w:rsidR="00000000" w:rsidRPr="00000000">
        <w:rPr>
          <w:rtl w:val="0"/>
        </w:rPr>
      </w:r>
    </w:p>
    <w:p w:rsidR="00000000" w:rsidDel="00000000" w:rsidP="00000000" w:rsidRDefault="00000000" w:rsidRPr="00000000" w14:paraId="00000068">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rtl w:val="0"/>
        </w:rPr>
        <w:t xml:space="preserve">The implementing rules and regulations of the Safe Spaces Act of 2019 mandate that the Committee on Decorum and Investigation (CODI) and its by-laws of all educational institutions shall be updated to address gender-based sexual harassment and online sexual harassment. However, CHRP notes that compliance is inconsistent.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6A">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b w:val="1"/>
          <w:i w:val="1"/>
          <w:sz w:val="20"/>
          <w:szCs w:val="20"/>
          <w:rtl w:val="0"/>
        </w:rPr>
        <w:t xml:space="preserve">We request the Committee to urge the State Party to ensure the full implementation of the Safe Spaces Act and to closely monitor the provisions on the updating of the CODI and its by-laws. Efforts should also be undertaken to address the digital divide, especially for women and girls in the marginalized sectors.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1"/>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6C">
      <w:pPr>
        <w:keepNext w:val="1"/>
        <w:widowControl w:val="0"/>
        <w:pBdr>
          <w:top w:space="0" w:sz="0" w:val="nil"/>
          <w:left w:space="0" w:sz="0" w:val="nil"/>
          <w:bottom w:space="0" w:sz="0" w:val="nil"/>
          <w:right w:space="0" w:sz="0" w:val="nil"/>
          <w:between w:space="0" w:sz="0" w:val="nil"/>
        </w:pBdr>
        <w:shd w:fill="ffffff" w:val="clear"/>
        <w:spacing w:line="240" w:lineRule="auto"/>
        <w:jc w:val="both"/>
        <w:rPr>
          <w:b w:val="1"/>
          <w:i w:val="1"/>
          <w:sz w:val="20"/>
          <w:szCs w:val="20"/>
        </w:rPr>
      </w:pPr>
      <w:r w:rsidDel="00000000" w:rsidR="00000000" w:rsidRPr="00000000">
        <w:rPr>
          <w:b w:val="1"/>
          <w:i w:val="1"/>
          <w:sz w:val="20"/>
          <w:szCs w:val="20"/>
          <w:rtl w:val="0"/>
        </w:rPr>
        <w:t xml:space="preserve">Employment</w:t>
      </w:r>
    </w:p>
    <w:p w:rsidR="00000000" w:rsidDel="00000000" w:rsidP="00000000" w:rsidRDefault="00000000" w:rsidRPr="00000000" w14:paraId="0000006D">
      <w:pPr>
        <w:keepNext w:val="1"/>
        <w:widowControl w:val="0"/>
        <w:numPr>
          <w:ilvl w:val="0"/>
          <w:numId w:val="1"/>
        </w:numPr>
        <w:pBdr>
          <w:top w:space="0" w:sz="0" w:val="nil"/>
          <w:left w:space="0" w:sz="0" w:val="nil"/>
          <w:bottom w:space="0" w:sz="0" w:val="nil"/>
          <w:right w:space="0" w:sz="0" w:val="nil"/>
          <w:between w:space="0" w:sz="0" w:val="nil"/>
        </w:pBdr>
        <w:shd w:fill="ffffff" w:val="clear"/>
        <w:spacing w:line="240" w:lineRule="auto"/>
        <w:ind w:left="720" w:hanging="360"/>
        <w:jc w:val="both"/>
        <w:rPr>
          <w:i w:val="1"/>
          <w:sz w:val="20"/>
          <w:szCs w:val="20"/>
          <w:highlight w:val="white"/>
        </w:rPr>
      </w:pPr>
      <w:r w:rsidDel="00000000" w:rsidR="00000000" w:rsidRPr="00000000">
        <w:rPr>
          <w:sz w:val="20"/>
          <w:szCs w:val="20"/>
          <w:rtl w:val="0"/>
        </w:rPr>
        <w:t xml:space="preserve">CHRP monitoring with women in the informal sector found that the multiple responsibility/burden of taking care of the children and the elderly and of maintaining the households has pushed women further to informality which locates many women having lesser pay, more precarious employment, and rendering an absence of social protection.</w:t>
      </w:r>
      <w:r w:rsidDel="00000000" w:rsidR="00000000" w:rsidRPr="00000000">
        <w:rPr>
          <w:sz w:val="20"/>
          <w:szCs w:val="20"/>
          <w:vertAlign w:val="superscript"/>
        </w:rPr>
        <w:footnoteReference w:customMarkFollows="0" w:id="66"/>
      </w:r>
      <w:r w:rsidDel="00000000" w:rsidR="00000000" w:rsidRPr="00000000">
        <w:rPr>
          <w:sz w:val="20"/>
          <w:szCs w:val="20"/>
          <w:rtl w:val="0"/>
        </w:rPr>
        <w:t xml:space="preserve">This was further exacerbated by the pandemic, where those most affected were low-wage earners and informal workers.</w:t>
      </w:r>
      <w:r w:rsidDel="00000000" w:rsidR="00000000" w:rsidRPr="00000000">
        <w:rPr>
          <w:rtl w:val="0"/>
        </w:rPr>
      </w:r>
    </w:p>
    <w:p w:rsidR="00000000" w:rsidDel="00000000" w:rsidP="00000000" w:rsidRDefault="00000000" w:rsidRPr="00000000" w14:paraId="0000006E">
      <w:pPr>
        <w:keepNext w:val="1"/>
        <w:widowControl w:val="0"/>
        <w:pBdr>
          <w:top w:space="0" w:sz="0" w:val="nil"/>
          <w:left w:space="0" w:sz="0" w:val="nil"/>
          <w:bottom w:space="0" w:sz="0" w:val="nil"/>
          <w:right w:space="0" w:sz="0" w:val="nil"/>
          <w:between w:space="0" w:sz="0" w:val="nil"/>
        </w:pBdr>
        <w:shd w:fill="ffffff" w:val="clear"/>
        <w:spacing w:line="240" w:lineRule="auto"/>
        <w:ind w:left="720" w:firstLine="0"/>
        <w:jc w:val="both"/>
        <w:rPr>
          <w:i w:val="1"/>
          <w:sz w:val="20"/>
          <w:szCs w:val="20"/>
          <w:highlight w:val="white"/>
        </w:rPr>
      </w:pPr>
      <w:r w:rsidDel="00000000" w:rsidR="00000000" w:rsidRPr="00000000">
        <w:rPr>
          <w:rtl w:val="0"/>
        </w:rPr>
      </w:r>
    </w:p>
    <w:p w:rsidR="00000000" w:rsidDel="00000000" w:rsidP="00000000" w:rsidRDefault="00000000" w:rsidRPr="00000000" w14:paraId="0000006F">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i w:val="1"/>
          <w:sz w:val="20"/>
          <w:szCs w:val="20"/>
          <w:highlight w:val="white"/>
          <w:rtl w:val="0"/>
        </w:rPr>
        <w:t xml:space="preserve">Urban poor women </w:t>
      </w:r>
      <w:r w:rsidDel="00000000" w:rsidR="00000000" w:rsidRPr="00000000">
        <w:rPr>
          <w:sz w:val="20"/>
          <w:szCs w:val="20"/>
          <w:rtl w:val="0"/>
        </w:rPr>
        <w:t xml:space="preserve">face constraints in exercising their political rights, accessing social and labor protections, adequate living conditions, and enjoying the same levels of inclusion as the rest of the urban population.</w:t>
      </w:r>
      <w:r w:rsidDel="00000000" w:rsidR="00000000" w:rsidRPr="00000000">
        <w:rPr>
          <w:sz w:val="20"/>
          <w:szCs w:val="20"/>
          <w:vertAlign w:val="superscript"/>
        </w:rPr>
        <w:footnoteReference w:customMarkFollows="0" w:id="67"/>
      </w:r>
      <w:r w:rsidDel="00000000" w:rsidR="00000000" w:rsidRPr="00000000">
        <w:rPr>
          <w:sz w:val="20"/>
          <w:szCs w:val="20"/>
          <w:vertAlign w:val="superscript"/>
          <w:rtl w:val="0"/>
        </w:rPr>
        <w:t xml:space="preserve"> </w:t>
      </w:r>
      <w:r w:rsidDel="00000000" w:rsidR="00000000" w:rsidRPr="00000000">
        <w:rPr>
          <w:sz w:val="20"/>
          <w:szCs w:val="20"/>
          <w:rtl w:val="0"/>
        </w:rPr>
        <w:t xml:space="preserve">In the context of the COVID-19 pandemic, CHRP noted accounts of urban poor women experiencing heightened food insecurity due to loss of income sources/employment and heightened threats of violence from State forces due to containment measures.</w:t>
      </w:r>
      <w:r w:rsidDel="00000000" w:rsidR="00000000" w:rsidRPr="00000000">
        <w:rPr>
          <w:sz w:val="20"/>
          <w:szCs w:val="20"/>
          <w:vertAlign w:val="superscript"/>
        </w:rPr>
        <w:footnoteReference w:customMarkFollows="0" w:id="68"/>
      </w:r>
      <w:r w:rsidDel="00000000" w:rsidR="00000000" w:rsidRPr="00000000">
        <w:rPr>
          <w:rtl w:val="0"/>
        </w:rPr>
      </w:r>
    </w:p>
    <w:p w:rsidR="00000000" w:rsidDel="00000000" w:rsidP="00000000" w:rsidRDefault="00000000" w:rsidRPr="00000000" w14:paraId="00000070">
      <w:pPr>
        <w:keepNext w:val="1"/>
        <w:widowControl w:val="0"/>
        <w:shd w:fill="ffffff" w:val="clear"/>
        <w:spacing w:line="240" w:lineRule="auto"/>
        <w:ind w:left="720" w:firstLine="0"/>
        <w:jc w:val="both"/>
        <w:rPr>
          <w:sz w:val="20"/>
          <w:szCs w:val="20"/>
        </w:rPr>
      </w:pPr>
      <w:r w:rsidDel="00000000" w:rsidR="00000000" w:rsidRPr="00000000">
        <w:rPr>
          <w:rtl w:val="0"/>
        </w:rPr>
      </w:r>
    </w:p>
    <w:p w:rsidR="00000000" w:rsidDel="00000000" w:rsidP="00000000" w:rsidRDefault="00000000" w:rsidRPr="00000000" w14:paraId="00000071">
      <w:pPr>
        <w:keepNext w:val="1"/>
        <w:widowControl w:val="0"/>
        <w:numPr>
          <w:ilvl w:val="0"/>
          <w:numId w:val="1"/>
        </w:numPr>
        <w:shd w:fill="ffffff" w:val="clear"/>
        <w:spacing w:line="240" w:lineRule="auto"/>
        <w:ind w:left="720" w:hanging="360"/>
        <w:jc w:val="both"/>
        <w:rPr>
          <w:b w:val="1"/>
          <w:sz w:val="20"/>
          <w:szCs w:val="20"/>
          <w:highlight w:val="white"/>
        </w:rPr>
      </w:pPr>
      <w:r w:rsidDel="00000000" w:rsidR="00000000" w:rsidRPr="00000000">
        <w:rPr>
          <w:b w:val="1"/>
          <w:i w:val="1"/>
          <w:sz w:val="20"/>
          <w:szCs w:val="20"/>
          <w:highlight w:val="white"/>
          <w:rtl w:val="0"/>
        </w:rPr>
        <w:t xml:space="preserve">The Commission requests the Committee to urge the State Party to:</w:t>
      </w:r>
      <w:r w:rsidDel="00000000" w:rsidR="00000000" w:rsidRPr="00000000">
        <w:rPr>
          <w:rtl w:val="0"/>
        </w:rPr>
      </w:r>
    </w:p>
    <w:p w:rsidR="00000000" w:rsidDel="00000000" w:rsidP="00000000" w:rsidRDefault="00000000" w:rsidRPr="00000000" w14:paraId="00000072">
      <w:pPr>
        <w:keepNext w:val="1"/>
        <w:widowControl w:val="0"/>
        <w:numPr>
          <w:ilvl w:val="1"/>
          <w:numId w:val="1"/>
        </w:numPr>
        <w:shd w:fill="ffffff" w:val="clear"/>
        <w:spacing w:line="240" w:lineRule="auto"/>
        <w:ind w:left="1440" w:hanging="360"/>
        <w:jc w:val="both"/>
        <w:rPr>
          <w:b w:val="1"/>
          <w:sz w:val="20"/>
          <w:szCs w:val="20"/>
          <w:highlight w:val="white"/>
        </w:rPr>
      </w:pPr>
      <w:r w:rsidDel="00000000" w:rsidR="00000000" w:rsidRPr="00000000">
        <w:rPr>
          <w:b w:val="1"/>
          <w:i w:val="1"/>
          <w:sz w:val="20"/>
          <w:szCs w:val="20"/>
          <w:highlight w:val="white"/>
          <w:rtl w:val="0"/>
        </w:rPr>
        <w:t xml:space="preserve">Ensure implementation of MCW protections for women in the marginalized sectors; </w:t>
      </w:r>
      <w:r w:rsidDel="00000000" w:rsidR="00000000" w:rsidRPr="00000000">
        <w:rPr>
          <w:rtl w:val="0"/>
        </w:rPr>
      </w:r>
    </w:p>
    <w:p w:rsidR="00000000" w:rsidDel="00000000" w:rsidP="00000000" w:rsidRDefault="00000000" w:rsidRPr="00000000" w14:paraId="00000073">
      <w:pPr>
        <w:keepNext w:val="1"/>
        <w:widowControl w:val="0"/>
        <w:numPr>
          <w:ilvl w:val="1"/>
          <w:numId w:val="1"/>
        </w:numPr>
        <w:shd w:fill="ffffff" w:val="clear"/>
        <w:spacing w:line="240" w:lineRule="auto"/>
        <w:ind w:left="1440" w:hanging="360"/>
        <w:jc w:val="both"/>
        <w:rPr>
          <w:b w:val="1"/>
          <w:sz w:val="20"/>
          <w:szCs w:val="20"/>
          <w:highlight w:val="white"/>
        </w:rPr>
      </w:pPr>
      <w:r w:rsidDel="00000000" w:rsidR="00000000" w:rsidRPr="00000000">
        <w:rPr>
          <w:b w:val="1"/>
          <w:i w:val="1"/>
          <w:sz w:val="20"/>
          <w:szCs w:val="20"/>
          <w:rtl w:val="0"/>
        </w:rPr>
        <w:t xml:space="preserve">Pass the Magna Carta of Informal Sector and ensure access to social protection, resources, capital, and assistance in the transition to formality; and</w:t>
      </w:r>
      <w:r w:rsidDel="00000000" w:rsidR="00000000" w:rsidRPr="00000000">
        <w:rPr>
          <w:rtl w:val="0"/>
        </w:rPr>
      </w:r>
    </w:p>
    <w:p w:rsidR="00000000" w:rsidDel="00000000" w:rsidP="00000000" w:rsidRDefault="00000000" w:rsidRPr="00000000" w14:paraId="00000074">
      <w:pPr>
        <w:keepNext w:val="1"/>
        <w:widowControl w:val="0"/>
        <w:numPr>
          <w:ilvl w:val="1"/>
          <w:numId w:val="1"/>
        </w:numPr>
        <w:shd w:fill="ffffff" w:val="clear"/>
        <w:spacing w:line="240" w:lineRule="auto"/>
        <w:ind w:left="1440" w:hanging="360"/>
        <w:jc w:val="both"/>
        <w:rPr>
          <w:b w:val="1"/>
          <w:i w:val="1"/>
          <w:sz w:val="20"/>
          <w:szCs w:val="20"/>
        </w:rPr>
      </w:pPr>
      <w:r w:rsidDel="00000000" w:rsidR="00000000" w:rsidRPr="00000000">
        <w:rPr>
          <w:b w:val="1"/>
          <w:i w:val="1"/>
          <w:sz w:val="20"/>
          <w:szCs w:val="20"/>
          <w:rtl w:val="0"/>
        </w:rPr>
        <w:t xml:space="preserve">Provide information on programs and policies adopted to recognize, reduce, and redistribute unpaid care work.</w:t>
      </w:r>
    </w:p>
    <w:p w:rsidR="00000000" w:rsidDel="00000000" w:rsidP="00000000" w:rsidRDefault="00000000" w:rsidRPr="00000000" w14:paraId="00000075">
      <w:pPr>
        <w:keepNext w:val="1"/>
        <w:widowControl w:val="0"/>
        <w:shd w:fill="ffffff" w:val="clear"/>
        <w:spacing w:line="240" w:lineRule="auto"/>
        <w:jc w:val="both"/>
        <w:rPr>
          <w:sz w:val="20"/>
          <w:szCs w:val="20"/>
          <w:vertAlign w:val="superscript"/>
        </w:rPr>
      </w:pPr>
      <w:r w:rsidDel="00000000" w:rsidR="00000000" w:rsidRPr="00000000">
        <w:rPr>
          <w:b w:val="1"/>
          <w:i w:val="1"/>
          <w:sz w:val="20"/>
          <w:szCs w:val="20"/>
          <w:rtl w:val="0"/>
        </w:rPr>
        <w:t xml:space="preserve">Health</w:t>
      </w:r>
      <w:r w:rsidDel="00000000" w:rsidR="00000000" w:rsidRPr="00000000">
        <w:rPr>
          <w:rtl w:val="0"/>
        </w:rPr>
      </w:r>
    </w:p>
    <w:p w:rsidR="00000000" w:rsidDel="00000000" w:rsidP="00000000" w:rsidRDefault="00000000" w:rsidRPr="00000000" w14:paraId="00000076">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sz w:val="20"/>
          <w:szCs w:val="20"/>
          <w:rtl w:val="0"/>
        </w:rPr>
        <w:t xml:space="preserve">CHRP’s national inquiries on sexual and reproductive health</w:t>
      </w:r>
      <w:r w:rsidDel="00000000" w:rsidR="00000000" w:rsidRPr="00000000">
        <w:rPr>
          <w:sz w:val="20"/>
          <w:szCs w:val="20"/>
          <w:vertAlign w:val="superscript"/>
        </w:rPr>
        <w:footnoteReference w:customMarkFollows="0" w:id="69"/>
      </w:r>
      <w:r w:rsidDel="00000000" w:rsidR="00000000" w:rsidRPr="00000000">
        <w:rPr>
          <w:sz w:val="20"/>
          <w:szCs w:val="20"/>
          <w:rtl w:val="0"/>
        </w:rPr>
        <w:t xml:space="preserve"> revealed uneven local government implementation and support.</w:t>
      </w:r>
      <w:r w:rsidDel="00000000" w:rsidR="00000000" w:rsidRPr="00000000">
        <w:rPr>
          <w:sz w:val="20"/>
          <w:szCs w:val="20"/>
          <w:vertAlign w:val="superscript"/>
        </w:rPr>
        <w:footnoteReference w:customMarkFollows="0" w:id="70"/>
      </w:r>
      <w:r w:rsidDel="00000000" w:rsidR="00000000" w:rsidRPr="00000000">
        <w:rPr>
          <w:sz w:val="20"/>
          <w:szCs w:val="20"/>
          <w:rtl w:val="0"/>
        </w:rPr>
        <w:t xml:space="preserve"> The RH  inquiry with WWDs reported lack of disability inclusiveness in the implementation of the RH Law, absence of specific policies and programs directed towards the reproductive health of women with disabilities, absence of relevant data, and very limited good practices. </w:t>
      </w:r>
      <w:r w:rsidDel="00000000" w:rsidR="00000000" w:rsidRPr="00000000">
        <w:rPr>
          <w:rtl w:val="0"/>
        </w:rPr>
      </w:r>
    </w:p>
    <w:p w:rsidR="00000000" w:rsidDel="00000000" w:rsidP="00000000" w:rsidRDefault="00000000" w:rsidRPr="00000000" w14:paraId="00000077">
      <w:pPr>
        <w:keepNext w:val="1"/>
        <w:widowControl w:val="0"/>
        <w:shd w:fill="ffffff" w:val="clear"/>
        <w:spacing w:line="240" w:lineRule="auto"/>
        <w:ind w:left="720" w:firstLine="0"/>
        <w:jc w:val="both"/>
        <w:rPr>
          <w:sz w:val="20"/>
          <w:szCs w:val="20"/>
          <w:highlight w:val="white"/>
        </w:rPr>
      </w:pPr>
      <w:r w:rsidDel="00000000" w:rsidR="00000000" w:rsidRPr="00000000">
        <w:rPr>
          <w:rtl w:val="0"/>
        </w:rPr>
      </w:r>
    </w:p>
    <w:p w:rsidR="00000000" w:rsidDel="00000000" w:rsidP="00000000" w:rsidRDefault="00000000" w:rsidRPr="00000000" w14:paraId="00000078">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i w:val="1"/>
          <w:sz w:val="20"/>
          <w:szCs w:val="20"/>
          <w:rtl w:val="0"/>
        </w:rPr>
        <w:t xml:space="preserve">In the context of COVID-19, </w:t>
      </w:r>
      <w:r w:rsidDel="00000000" w:rsidR="00000000" w:rsidRPr="00000000">
        <w:rPr>
          <w:sz w:val="20"/>
          <w:szCs w:val="20"/>
          <w:rtl w:val="0"/>
        </w:rPr>
        <w:t xml:space="preserve">CHRP monitoring reflected the failure of initial responses to mainstream gender into the government’s response to COVID-19. This is observed in the provision of relief goods and assistance to families</w:t>
      </w:r>
      <w:r w:rsidDel="00000000" w:rsidR="00000000" w:rsidRPr="00000000">
        <w:rPr>
          <w:sz w:val="20"/>
          <w:szCs w:val="20"/>
          <w:vertAlign w:val="superscript"/>
        </w:rPr>
        <w:footnoteReference w:customMarkFollows="0" w:id="71"/>
      </w:r>
      <w:r w:rsidDel="00000000" w:rsidR="00000000" w:rsidRPr="00000000">
        <w:rPr>
          <w:sz w:val="20"/>
          <w:szCs w:val="20"/>
          <w:rtl w:val="0"/>
        </w:rPr>
        <w:t xml:space="preserve"> and the interruption of needed sexual and reproductive health (SRH) services and commodities, including maternal health. </w:t>
      </w: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7A">
      <w:pPr>
        <w:keepNext w:val="1"/>
        <w:widowControl w:val="0"/>
        <w:numPr>
          <w:ilvl w:val="0"/>
          <w:numId w:val="1"/>
        </w:numPr>
        <w:shd w:fill="ffffff" w:val="clear"/>
        <w:spacing w:line="240" w:lineRule="auto"/>
        <w:ind w:left="720" w:hanging="360"/>
        <w:jc w:val="both"/>
        <w:rPr>
          <w:sz w:val="20"/>
          <w:szCs w:val="20"/>
          <w:highlight w:val="white"/>
        </w:rPr>
      </w:pPr>
      <w:r w:rsidDel="00000000" w:rsidR="00000000" w:rsidRPr="00000000">
        <w:rPr>
          <w:i w:val="1"/>
          <w:sz w:val="20"/>
          <w:szCs w:val="20"/>
          <w:rtl w:val="0"/>
        </w:rPr>
        <w:t xml:space="preserve">Women medical frontliners</w:t>
      </w:r>
      <w:r w:rsidDel="00000000" w:rsidR="00000000" w:rsidRPr="00000000">
        <w:rPr>
          <w:sz w:val="20"/>
          <w:szCs w:val="20"/>
          <w:rtl w:val="0"/>
        </w:rPr>
        <w:t xml:space="preserve"> make up almost 70% of the healthcare workforce.</w:t>
      </w:r>
      <w:r w:rsidDel="00000000" w:rsidR="00000000" w:rsidRPr="00000000">
        <w:rPr>
          <w:sz w:val="20"/>
          <w:szCs w:val="20"/>
          <w:vertAlign w:val="superscript"/>
        </w:rPr>
        <w:footnoteReference w:customMarkFollows="0" w:id="72"/>
      </w:r>
      <w:r w:rsidDel="00000000" w:rsidR="00000000" w:rsidRPr="00000000">
        <w:rPr>
          <w:sz w:val="20"/>
          <w:szCs w:val="20"/>
          <w:rtl w:val="0"/>
        </w:rPr>
        <w:t xml:space="preserve"> They bear multiple burdens - taking care of patients, their community, and their family. During the height of the crisis, they bewailed about the scarcity of protective equipment, acts of harassment and stigma,  long work hours and absence and/or delay of hazard pay. One woman nurse died without having received her hazard pay, and while many others threatened a strike to emphasize their point.</w:t>
      </w:r>
      <w:r w:rsidDel="00000000" w:rsidR="00000000" w:rsidRPr="00000000">
        <w:rPr>
          <w:sz w:val="20"/>
          <w:szCs w:val="20"/>
          <w:vertAlign w:val="superscript"/>
        </w:rPr>
        <w:footnoteReference w:customMarkFollows="0" w:id="73"/>
      </w:r>
      <w:r w:rsidDel="00000000" w:rsidR="00000000" w:rsidRPr="00000000">
        <w:rPr>
          <w:sz w:val="20"/>
          <w:szCs w:val="20"/>
          <w:rtl w:val="0"/>
        </w:rPr>
        <w:t xml:space="preserve"> </w:t>
      </w:r>
      <w:r w:rsidDel="00000000" w:rsidR="00000000" w:rsidRPr="00000000">
        <w:rPr>
          <w:b w:val="1"/>
          <w:i w:val="1"/>
          <w:sz w:val="20"/>
          <w:szCs w:val="20"/>
          <w:rtl w:val="0"/>
        </w:rPr>
        <w:t xml:space="preserve">The Commission requests the Committee to urge the State Party to strengthen the policy implementation and accountability systems with regard to the Magna Carta of Women and RH Law. The passage of the Magna Carta of Health Workers is recommended, and the due recognition and protection for women medical frontline workers. </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7C">
      <w:pPr>
        <w:keepNext w:val="1"/>
        <w:widowControl w:val="0"/>
        <w:shd w:fill="ffffff" w:val="clear"/>
        <w:spacing w:line="240" w:lineRule="auto"/>
        <w:ind w:left="720" w:firstLine="0"/>
        <w:jc w:val="both"/>
        <w:rPr>
          <w:sz w:val="20"/>
          <w:szCs w:val="20"/>
          <w:highlight w:val="white"/>
        </w:rPr>
      </w:pPr>
      <w:r w:rsidDel="00000000" w:rsidR="00000000" w:rsidRPr="00000000">
        <w:rPr>
          <w:rtl w:val="0"/>
        </w:rPr>
      </w:r>
    </w:p>
    <w:p w:rsidR="00000000" w:rsidDel="00000000" w:rsidP="00000000" w:rsidRDefault="00000000" w:rsidRPr="00000000" w14:paraId="0000007D">
      <w:pPr>
        <w:keepNext w:val="1"/>
        <w:widowControl w:val="0"/>
        <w:spacing w:line="240" w:lineRule="auto"/>
        <w:jc w:val="both"/>
        <w:rPr>
          <w:b w:val="1"/>
          <w:sz w:val="20"/>
          <w:szCs w:val="20"/>
        </w:rPr>
      </w:pPr>
      <w:r w:rsidDel="00000000" w:rsidR="00000000" w:rsidRPr="00000000">
        <w:rPr>
          <w:b w:val="1"/>
          <w:sz w:val="20"/>
          <w:szCs w:val="20"/>
          <w:rtl w:val="0"/>
        </w:rPr>
        <w:t xml:space="preserve">Natural disasters and climate change</w:t>
      </w:r>
    </w:p>
    <w:p w:rsidR="00000000" w:rsidDel="00000000" w:rsidP="00000000" w:rsidRDefault="00000000" w:rsidRPr="00000000" w14:paraId="0000007E">
      <w:pPr>
        <w:keepNext w:val="1"/>
        <w:widowControl w:val="0"/>
        <w:spacing w:line="240" w:lineRule="auto"/>
        <w:jc w:val="both"/>
        <w:rPr>
          <w:b w:val="1"/>
          <w:sz w:val="20"/>
          <w:szCs w:val="20"/>
        </w:rPr>
      </w:pPr>
      <w:r w:rsidDel="00000000" w:rsidR="00000000" w:rsidRPr="00000000">
        <w:rPr>
          <w:rtl w:val="0"/>
        </w:rPr>
      </w:r>
    </w:p>
    <w:p w:rsidR="00000000" w:rsidDel="00000000" w:rsidP="00000000" w:rsidRDefault="00000000" w:rsidRPr="00000000" w14:paraId="0000007F">
      <w:pPr>
        <w:keepNext w:val="1"/>
        <w:widowControl w:val="0"/>
        <w:numPr>
          <w:ilvl w:val="0"/>
          <w:numId w:val="3"/>
        </w:numPr>
        <w:spacing w:line="240" w:lineRule="auto"/>
        <w:ind w:left="720" w:hanging="360"/>
        <w:jc w:val="both"/>
        <w:rPr>
          <w:sz w:val="20"/>
          <w:szCs w:val="20"/>
        </w:rPr>
      </w:pPr>
      <w:r w:rsidDel="00000000" w:rsidR="00000000" w:rsidRPr="00000000">
        <w:rPr>
          <w:sz w:val="20"/>
          <w:szCs w:val="20"/>
          <w:rtl w:val="0"/>
        </w:rPr>
        <w:t xml:space="preserve">Past disasters have shown the disproportionate impact of climate change on women - the aftermath of typhoons has increased women’s risk of gender-based violence, affected women’s access to sexual and reproductive health services, and increased women’s unpaid care work. </w:t>
      </w:r>
    </w:p>
    <w:p w:rsidR="00000000" w:rsidDel="00000000" w:rsidP="00000000" w:rsidRDefault="00000000" w:rsidRPr="00000000" w14:paraId="00000080">
      <w:pPr>
        <w:keepNext w:val="1"/>
        <w:widowControl w:val="0"/>
        <w:spacing w:line="240" w:lineRule="auto"/>
        <w:ind w:left="720" w:firstLine="0"/>
        <w:jc w:val="both"/>
        <w:rPr>
          <w:b w:val="1"/>
          <w:sz w:val="20"/>
          <w:szCs w:val="20"/>
        </w:rPr>
      </w:pPr>
      <w:r w:rsidDel="00000000" w:rsidR="00000000" w:rsidRPr="00000000">
        <w:rPr>
          <w:rtl w:val="0"/>
        </w:rPr>
      </w:r>
    </w:p>
    <w:p w:rsidR="00000000" w:rsidDel="00000000" w:rsidP="00000000" w:rsidRDefault="00000000" w:rsidRPr="00000000" w14:paraId="00000081">
      <w:pPr>
        <w:keepNext w:val="1"/>
        <w:widowControl w:val="0"/>
        <w:numPr>
          <w:ilvl w:val="0"/>
          <w:numId w:val="3"/>
        </w:numPr>
        <w:spacing w:line="240" w:lineRule="auto"/>
        <w:ind w:left="720" w:hanging="360"/>
        <w:jc w:val="both"/>
        <w:rPr>
          <w:sz w:val="20"/>
          <w:szCs w:val="20"/>
          <w:highlight w:val="white"/>
        </w:rPr>
      </w:pPr>
      <w:r w:rsidDel="00000000" w:rsidR="00000000" w:rsidRPr="00000000">
        <w:rPr>
          <w:b w:val="1"/>
          <w:i w:val="1"/>
          <w:sz w:val="20"/>
          <w:szCs w:val="20"/>
          <w:highlight w:val="white"/>
          <w:rtl w:val="0"/>
        </w:rPr>
        <w:t xml:space="preserve">CHRP requests the Committee to urge the State Party to establish a clear and comprehensive government plan of action to adapt to the changing climate, ensuring the participation of women and girls and taking into account their gender-specific needs. </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Arial" w:cs="Arial" w:eastAsia="Arial" w:hAnsi="Arial"/>
          <w:b w:val="0"/>
          <w:i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83">
      <w:pPr>
        <w:keepNext w:val="1"/>
        <w:widowControl w:val="0"/>
        <w:jc w:val="both"/>
        <w:rPr>
          <w:b w:val="1"/>
          <w:i w:val="1"/>
          <w:highlight w:val="white"/>
        </w:rPr>
      </w:pPr>
      <w:r w:rsidDel="00000000" w:rsidR="00000000" w:rsidRPr="00000000">
        <w:rPr>
          <w:b w:val="1"/>
          <w:i w:val="1"/>
          <w:highlight w:val="white"/>
          <w:rtl w:val="0"/>
        </w:rPr>
        <w:t xml:space="preserve">Adapting Government Auditing and Procurement Processes to respond to the COVID-19 Crisis</w:t>
      </w:r>
    </w:p>
    <w:p w:rsidR="00000000" w:rsidDel="00000000" w:rsidP="00000000" w:rsidRDefault="00000000" w:rsidRPr="00000000" w14:paraId="00000084">
      <w:pPr>
        <w:keepNext w:val="1"/>
        <w:widowControl w:val="0"/>
        <w:jc w:val="both"/>
        <w:rPr>
          <w:highlight w:val="white"/>
        </w:rPr>
      </w:pPr>
      <w:r w:rsidDel="00000000" w:rsidR="00000000" w:rsidRPr="00000000">
        <w:rPr>
          <w:highlight w:val="white"/>
          <w:rtl w:val="0"/>
        </w:rPr>
        <w:tab/>
      </w:r>
    </w:p>
    <w:p w:rsidR="00000000" w:rsidDel="00000000" w:rsidP="00000000" w:rsidRDefault="00000000" w:rsidRPr="00000000" w14:paraId="00000085">
      <w:pPr>
        <w:keepNext w:val="1"/>
        <w:widowControl w:val="0"/>
        <w:numPr>
          <w:ilvl w:val="0"/>
          <w:numId w:val="3"/>
        </w:numPr>
        <w:ind w:left="720" w:hanging="360"/>
        <w:jc w:val="both"/>
        <w:rPr>
          <w:highlight w:val="white"/>
        </w:rPr>
      </w:pPr>
      <w:r w:rsidDel="00000000" w:rsidR="00000000" w:rsidRPr="00000000">
        <w:rPr>
          <w:highlight w:val="white"/>
          <w:rtl w:val="0"/>
        </w:rPr>
        <w:t xml:space="preserve">As a last note, the CHRP notes that while the State has adjusted auditing and procurement procedures to meet the challenges brought about by the pandemic,</w:t>
      </w:r>
      <w:r w:rsidDel="00000000" w:rsidR="00000000" w:rsidRPr="00000000">
        <w:rPr>
          <w:highlight w:val="white"/>
          <w:vertAlign w:val="superscript"/>
        </w:rPr>
        <w:footnoteReference w:customMarkFollows="0" w:id="74"/>
      </w:r>
      <w:r w:rsidDel="00000000" w:rsidR="00000000" w:rsidRPr="00000000">
        <w:rPr>
          <w:highlight w:val="white"/>
          <w:rtl w:val="0"/>
        </w:rPr>
        <w:t xml:space="preserve"> stringent application of some rules as imposed on the CHRP and its programs has contributed to the exclusion and non-participation of women in the marginalized sector in monitoring and capacity building activities. Currently, the Commission on Audit rules as imposed in the CHRPs programs allow only the provision of PhP100 (USD 2) of communication allowance for one-day participation of participants in webinars, zoom consultations, and webinars, a maximum of PhP 300 (USD 6) for the entire month. Reimbursement of transportation and meal expenses of indigenous women, especially in the absence of receipt, has been impossible to undertake. More recently, rules as to honorarium for speakers anchored on educational attainment and equivalent salary grades in government have been strictly applied.</w:t>
      </w:r>
      <w:r w:rsidDel="00000000" w:rsidR="00000000" w:rsidRPr="00000000">
        <w:rPr>
          <w:highlight w:val="white"/>
          <w:vertAlign w:val="superscript"/>
        </w:rPr>
        <w:footnoteReference w:customMarkFollows="0" w:id="75"/>
      </w:r>
      <w:r w:rsidDel="00000000" w:rsidR="00000000" w:rsidRPr="00000000">
        <w:rPr>
          <w:highlight w:val="white"/>
          <w:rtl w:val="0"/>
        </w:rPr>
        <w:t xml:space="preserve"> This renders it more difficult for CHRP to provide an honorarium for speakers from the marginalized sectors invited to dialogues and consultations.  </w:t>
      </w:r>
    </w:p>
    <w:p w:rsidR="00000000" w:rsidDel="00000000" w:rsidP="00000000" w:rsidRDefault="00000000" w:rsidRPr="00000000" w14:paraId="00000086">
      <w:pPr>
        <w:keepNext w:val="1"/>
        <w:widowControl w:val="0"/>
        <w:spacing w:line="240" w:lineRule="auto"/>
        <w:jc w:val="both"/>
        <w:rPr>
          <w:sz w:val="20"/>
          <w:szCs w:val="20"/>
          <w:highlight w:val="white"/>
        </w:rPr>
      </w:pPr>
      <w:r w:rsidDel="00000000" w:rsidR="00000000" w:rsidRPr="00000000">
        <w:rPr>
          <w:rtl w:val="0"/>
        </w:rPr>
      </w:r>
    </w:p>
    <w:p w:rsidR="00000000" w:rsidDel="00000000" w:rsidP="00000000" w:rsidRDefault="00000000" w:rsidRPr="00000000" w14:paraId="00000087">
      <w:pPr>
        <w:keepNext w:val="1"/>
        <w:widowControl w:val="0"/>
        <w:numPr>
          <w:ilvl w:val="0"/>
          <w:numId w:val="3"/>
        </w:numPr>
        <w:spacing w:line="240" w:lineRule="auto"/>
        <w:ind w:left="720" w:hanging="360"/>
        <w:jc w:val="both"/>
        <w:rPr>
          <w:b w:val="1"/>
          <w:i w:val="1"/>
          <w:sz w:val="20"/>
          <w:szCs w:val="20"/>
          <w:highlight w:val="white"/>
        </w:rPr>
      </w:pPr>
      <w:r w:rsidDel="00000000" w:rsidR="00000000" w:rsidRPr="00000000">
        <w:rPr>
          <w:b w:val="1"/>
          <w:i w:val="1"/>
          <w:sz w:val="20"/>
          <w:szCs w:val="20"/>
          <w:highlight w:val="white"/>
          <w:rtl w:val="0"/>
        </w:rPr>
        <w:t xml:space="preserve">The CHRP requests the Committee to urge the State to create enabling environment for the active and meaningful participation of women in the marginalized sector; this includes the adoption of affirmative actions and policies that recognize their need for support, including communication and transportation allowances, and recognition of their expertise as community leaders and human rights defenders even in the absence of formal education. Auditing and procurement rules should take into consideration the need to engage and ensure the participation of those in the marginalized sector; to hold otherwise is to further support their exclusion and marginalization.</w:t>
      </w:r>
    </w:p>
    <w:sectPr>
      <w:headerReference r:id="rId9" w:type="default"/>
      <w:footerReference r:id="rId10" w:type="default"/>
      <w:pgSz w:h="16838" w:w="11906"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C">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88">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Philippines ratified the Convention on the Elimination of All Forms of Discrimination Against Women (“CEDAW” or “the Convention”) on 5 August 1981. In compliance with its obligations, the Philippines submitted its initial State report to the CEDAW Committee in 1984 and has submitted six (6) State reports over the last two (2) decades. </w:t>
      </w:r>
    </w:p>
  </w:footnote>
  <w:footnote w:id="1">
    <w:p w:rsidR="00000000" w:rsidDel="00000000" w:rsidP="00000000" w:rsidRDefault="00000000" w:rsidRPr="00000000" w14:paraId="00000089">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Information provided in this submission was generated through the Commission’s conduct of consultations, workshops, inquiries, meetings and other relevant activities participated by and/or organized with partners from civil society organizations (CSOs) and government agencies. This submission considers national and international policies as well as local and international reports previously submitted.</w:t>
      </w:r>
    </w:p>
  </w:footnote>
  <w:footnote w:id="2">
    <w:p w:rsidR="00000000" w:rsidDel="00000000" w:rsidP="00000000" w:rsidRDefault="00000000" w:rsidRPr="00000000" w14:paraId="0000008A">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This law increased the maternity leave period to 105 days for female workers, with an option to extend for an additional period of thirty (30) days albeit without pay. The law grants an extension of fifteen (15) days for solo mothers. It also entitles the female worker to allocate up to seven (7) days of benefits to the child’s father, regardless of marital status.</w:t>
      </w:r>
    </w:p>
  </w:footnote>
  <w:footnote w:id="3">
    <w:p w:rsidR="00000000" w:rsidDel="00000000" w:rsidP="00000000" w:rsidRDefault="00000000" w:rsidRPr="00000000" w14:paraId="0000008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Philippine Commission on Women, Availment of the 105-Day Expanded Maternity Leave under Republic Act 11210, </w:t>
      </w:r>
      <w:r w:rsidDel="00000000" w:rsidR="00000000" w:rsidRPr="00000000">
        <w:rPr>
          <w:rFonts w:ascii="Calibri" w:cs="Calibri" w:eastAsia="Calibri" w:hAnsi="Calibri"/>
          <w:i w:val="1"/>
          <w:sz w:val="18"/>
          <w:szCs w:val="18"/>
          <w:rtl w:val="0"/>
        </w:rPr>
        <w:t xml:space="preserve">available at: </w:t>
      </w:r>
      <w:hyperlink r:id="rId1">
        <w:r w:rsidDel="00000000" w:rsidR="00000000" w:rsidRPr="00000000">
          <w:rPr>
            <w:rFonts w:ascii="Calibri" w:cs="Calibri" w:eastAsia="Calibri" w:hAnsi="Calibri"/>
            <w:i w:val="1"/>
            <w:color w:val="0563c1"/>
            <w:sz w:val="18"/>
            <w:szCs w:val="18"/>
            <w:u w:val="single"/>
            <w:rtl w:val="0"/>
          </w:rPr>
          <w:t xml:space="preserve">https://pcw.gov.ph/availment-of-the-105-day-expanded-maternity-leave-under-republic-act-11210-faqs/</w:t>
        </w:r>
      </w:hyperlink>
      <w:r w:rsidDel="00000000" w:rsidR="00000000" w:rsidRPr="00000000">
        <w:rPr>
          <w:rFonts w:ascii="Calibri" w:cs="Calibri" w:eastAsia="Calibri" w:hAnsi="Calibri"/>
          <w:i w:val="1"/>
          <w:sz w:val="18"/>
          <w:szCs w:val="18"/>
          <w:rtl w:val="0"/>
        </w:rPr>
        <w:t xml:space="preserve"> (</w:t>
      </w:r>
      <w:r w:rsidDel="00000000" w:rsidR="00000000" w:rsidRPr="00000000">
        <w:rPr>
          <w:rFonts w:ascii="Calibri" w:cs="Calibri" w:eastAsia="Calibri" w:hAnsi="Calibri"/>
          <w:sz w:val="18"/>
          <w:szCs w:val="18"/>
          <w:rtl w:val="0"/>
        </w:rPr>
        <w:t xml:space="preserve">last accessed October 24, 2021). </w:t>
      </w:r>
    </w:p>
    <w:p w:rsidR="00000000" w:rsidDel="00000000" w:rsidP="00000000" w:rsidRDefault="00000000" w:rsidRPr="00000000" w14:paraId="0000008C">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w:t>
      </w:r>
      <w:hyperlink r:id="rId2">
        <w:r w:rsidDel="00000000" w:rsidR="00000000" w:rsidRPr="00000000">
          <w:rPr>
            <w:rFonts w:ascii="Calibri" w:cs="Calibri" w:eastAsia="Calibri" w:hAnsi="Calibri"/>
            <w:color w:val="1155cc"/>
            <w:sz w:val="18"/>
            <w:szCs w:val="18"/>
            <w:u w:val="single"/>
            <w:rtl w:val="0"/>
          </w:rPr>
          <w:t xml:space="preserve">https://www.officialgazette.gov.ph/downloads/2019/02feb/20190220-RA-11210-RRD.pdf</w:t>
        </w:r>
      </w:hyperlink>
      <w:r w:rsidDel="00000000" w:rsidR="00000000" w:rsidRPr="00000000">
        <w:rPr>
          <w:rFonts w:ascii="Calibri" w:cs="Calibri" w:eastAsia="Calibri" w:hAnsi="Calibri"/>
          <w:sz w:val="18"/>
          <w:szCs w:val="18"/>
          <w:rtl w:val="0"/>
        </w:rPr>
        <w:t xml:space="preserve"> </w:t>
      </w:r>
    </w:p>
  </w:footnote>
  <w:footnote w:id="4">
    <w:p w:rsidR="00000000" w:rsidDel="00000000" w:rsidP="00000000" w:rsidRDefault="00000000" w:rsidRPr="00000000" w14:paraId="0000008D">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This provides for the strengthening of the Philippine comprehensive policy on HIV and AIDS prevention, treatment, care, and support that is anchored on human rights principles.</w:t>
      </w:r>
      <w:r w:rsidDel="00000000" w:rsidR="00000000" w:rsidRPr="00000000">
        <w:rPr>
          <w:rFonts w:ascii="Calibri" w:cs="Calibri" w:eastAsia="Calibri" w:hAnsi="Calibri"/>
          <w:sz w:val="18"/>
          <w:szCs w:val="18"/>
          <w:vertAlign w:val="superscript"/>
          <w:rtl w:val="0"/>
        </w:rPr>
        <w:t xml:space="preserve">#</w:t>
      </w:r>
      <w:r w:rsidDel="00000000" w:rsidR="00000000" w:rsidRPr="00000000">
        <w:rPr>
          <w:rFonts w:ascii="Calibri" w:cs="Calibri" w:eastAsia="Calibri" w:hAnsi="Calibri"/>
          <w:sz w:val="18"/>
          <w:szCs w:val="18"/>
          <w:rtl w:val="0"/>
        </w:rPr>
        <w:t xml:space="preserve"> The Act prohibits discrimination on the actual or perceived status and establishes programs and services that uphold principles of human rights and gender responsiveness.</w:t>
      </w:r>
    </w:p>
    <w:p w:rsidR="00000000" w:rsidDel="00000000" w:rsidP="00000000" w:rsidRDefault="00000000" w:rsidRPr="00000000" w14:paraId="0000008E">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w:t>
      </w:r>
      <w:hyperlink r:id="rId3">
        <w:r w:rsidDel="00000000" w:rsidR="00000000" w:rsidRPr="00000000">
          <w:rPr>
            <w:rFonts w:ascii="Calibri" w:cs="Calibri" w:eastAsia="Calibri" w:hAnsi="Calibri"/>
            <w:color w:val="1155cc"/>
            <w:sz w:val="18"/>
            <w:szCs w:val="18"/>
            <w:u w:val="single"/>
            <w:rtl w:val="0"/>
          </w:rPr>
          <w:t xml:space="preserve">https://lawphil.net/statutes/repacts/ra2018/ra_11166_2018.html</w:t>
        </w:r>
      </w:hyperlink>
      <w:r w:rsidDel="00000000" w:rsidR="00000000" w:rsidRPr="00000000">
        <w:rPr>
          <w:rFonts w:ascii="Calibri" w:cs="Calibri" w:eastAsia="Calibri" w:hAnsi="Calibri"/>
          <w:sz w:val="18"/>
          <w:szCs w:val="18"/>
          <w:rtl w:val="0"/>
        </w:rPr>
        <w:t xml:space="preserve"> </w:t>
      </w:r>
    </w:p>
  </w:footnote>
  <w:footnote w:id="5">
    <w:p w:rsidR="00000000" w:rsidDel="00000000" w:rsidP="00000000" w:rsidRDefault="00000000" w:rsidRPr="00000000" w14:paraId="0000008F">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Passed into law last December 2021, The Act defines child marriage as the formal marriage between children under 18 years of age, or between an adult and a child.</w:t>
      </w:r>
      <w:r w:rsidDel="00000000" w:rsidR="00000000" w:rsidRPr="00000000">
        <w:rPr>
          <w:rFonts w:ascii="Calibri" w:cs="Calibri" w:eastAsia="Calibri" w:hAnsi="Calibri"/>
          <w:b w:val="1"/>
          <w:sz w:val="18"/>
          <w:szCs w:val="18"/>
          <w:rtl w:val="0"/>
        </w:rPr>
        <w:t xml:space="preserve"> </w:t>
      </w:r>
      <w:r w:rsidDel="00000000" w:rsidR="00000000" w:rsidRPr="00000000">
        <w:rPr>
          <w:rFonts w:ascii="Calibri" w:cs="Calibri" w:eastAsia="Calibri" w:hAnsi="Calibri"/>
          <w:sz w:val="18"/>
          <w:szCs w:val="18"/>
          <w:rtl w:val="0"/>
        </w:rPr>
        <w:t xml:space="preserve">The measure aims to raise awareness about the negative impact of child marriage. It also declares the facilitation of child marriage, solemnization of child marriage, and cohabitation of an adult with a child outside wedlock as unlawful and punishable acts. </w:t>
      </w:r>
    </w:p>
    <w:p w:rsidR="00000000" w:rsidDel="00000000" w:rsidP="00000000" w:rsidRDefault="00000000" w:rsidRPr="00000000" w14:paraId="00000090">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w:t>
      </w:r>
      <w:hyperlink r:id="rId4">
        <w:r w:rsidDel="00000000" w:rsidR="00000000" w:rsidRPr="00000000">
          <w:rPr>
            <w:rFonts w:ascii="Calibri" w:cs="Calibri" w:eastAsia="Calibri" w:hAnsi="Calibri"/>
            <w:color w:val="1155cc"/>
            <w:sz w:val="18"/>
            <w:szCs w:val="18"/>
            <w:u w:val="single"/>
            <w:rtl w:val="0"/>
          </w:rPr>
          <w:t xml:space="preserve">https://pcw.gov.ph/republic-act-11596-an-act-prohibiting-the-practice-of-child-marriage-and-imposing-penalties-for-violations-thereof/</w:t>
        </w:r>
      </w:hyperlink>
      <w:r w:rsidDel="00000000" w:rsidR="00000000" w:rsidRPr="00000000">
        <w:rPr>
          <w:rFonts w:ascii="Calibri" w:cs="Calibri" w:eastAsia="Calibri" w:hAnsi="Calibri"/>
          <w:sz w:val="18"/>
          <w:szCs w:val="18"/>
          <w:rtl w:val="0"/>
        </w:rPr>
        <w:t xml:space="preserve"> </w:t>
      </w:r>
    </w:p>
  </w:footnote>
  <w:footnote w:id="6">
    <w:p w:rsidR="00000000" w:rsidDel="00000000" w:rsidP="00000000" w:rsidRDefault="00000000" w:rsidRPr="00000000" w14:paraId="00000091">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Passed into law last 7 March 2022, the Act raises age of sexual consent to 16, which means that any adult who engages in sexual activity with a minor aged below 16 is automatically guilty of rape. Previous to the enactment of the said law, the minimum age for sexual consent in the Philippines was 12 years old – the lowest in South East Asia and one of the lowest in the world. The law,l in effect be amends the provisions of the 23-year old Anti-Rape Law of 1997 and the Philippine Revised Penal Code (RPC).</w:t>
      </w:r>
    </w:p>
    <w:p w:rsidR="00000000" w:rsidDel="00000000" w:rsidP="00000000" w:rsidRDefault="00000000" w:rsidRPr="00000000" w14:paraId="00000092">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w:t>
      </w:r>
      <w:hyperlink r:id="rId5">
        <w:r w:rsidDel="00000000" w:rsidR="00000000" w:rsidRPr="00000000">
          <w:rPr>
            <w:rFonts w:ascii="Calibri" w:cs="Calibri" w:eastAsia="Calibri" w:hAnsi="Calibri"/>
            <w:color w:val="1155cc"/>
            <w:sz w:val="18"/>
            <w:szCs w:val="18"/>
            <w:u w:val="single"/>
            <w:rtl w:val="0"/>
          </w:rPr>
          <w:t xml:space="preserve">https://www.officialgazette.gov.ph/2022/03/04/republic-act-no-11647-2/</w:t>
        </w:r>
      </w:hyperlink>
      <w:r w:rsidDel="00000000" w:rsidR="00000000" w:rsidRPr="00000000">
        <w:rPr>
          <w:rFonts w:ascii="Calibri" w:cs="Calibri" w:eastAsia="Calibri" w:hAnsi="Calibri"/>
          <w:sz w:val="18"/>
          <w:szCs w:val="18"/>
          <w:rtl w:val="0"/>
        </w:rPr>
        <w:t xml:space="preserve"> </w:t>
      </w:r>
    </w:p>
  </w:footnote>
  <w:footnote w:id="7">
    <w:p w:rsidR="00000000" w:rsidDel="00000000" w:rsidP="00000000" w:rsidRDefault="00000000" w:rsidRPr="00000000" w14:paraId="00000093">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Republic Act 9710, The Magna Carta of Women, enacted in 2009 </w:t>
      </w:r>
      <w:hyperlink r:id="rId6">
        <w:r w:rsidDel="00000000" w:rsidR="00000000" w:rsidRPr="00000000">
          <w:rPr>
            <w:rFonts w:ascii="Calibri" w:cs="Calibri" w:eastAsia="Calibri" w:hAnsi="Calibri"/>
            <w:color w:val="1155cc"/>
            <w:sz w:val="18"/>
            <w:szCs w:val="18"/>
            <w:u w:val="single"/>
            <w:rtl w:val="0"/>
          </w:rPr>
          <w:t xml:space="preserve">https://pcw.gov.ph/republic-act-9710-magna-carta-of-women/#:~:text=The%20Magna%20Carta%20of%20Women,marginalized%20sectors%20of%20the%20society</w:t>
        </w:r>
      </w:hyperlink>
      <w:r w:rsidDel="00000000" w:rsidR="00000000" w:rsidRPr="00000000">
        <w:rPr>
          <w:rFonts w:ascii="Calibri" w:cs="Calibri" w:eastAsia="Calibri" w:hAnsi="Calibri"/>
          <w:sz w:val="18"/>
          <w:szCs w:val="18"/>
          <w:rtl w:val="0"/>
        </w:rPr>
        <w:t xml:space="preserve">. </w:t>
      </w:r>
    </w:p>
  </w:footnote>
  <w:footnote w:id="8">
    <w:p w:rsidR="00000000" w:rsidDel="00000000" w:rsidP="00000000" w:rsidRDefault="00000000" w:rsidRPr="00000000" w14:paraId="00000094">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Initially filed by the late Miriam Defensor-Santiago and former Akbayan party-list Representative Etta Rosales in 2000. See: </w:t>
      </w:r>
      <w:hyperlink r:id="rId7">
        <w:r w:rsidDel="00000000" w:rsidR="00000000" w:rsidRPr="00000000">
          <w:rPr>
            <w:rFonts w:ascii="Calibri" w:cs="Calibri" w:eastAsia="Calibri" w:hAnsi="Calibri"/>
            <w:color w:val="1155cc"/>
            <w:sz w:val="18"/>
            <w:szCs w:val="18"/>
            <w:u w:val="single"/>
            <w:rtl w:val="0"/>
          </w:rPr>
          <w:t xml:space="preserve">https://www.tatlerasia.com/culture/arts/pride-month-2021-sogie-equality-bill-timeline</w:t>
        </w:r>
      </w:hyperlink>
      <w:r w:rsidDel="00000000" w:rsidR="00000000" w:rsidRPr="00000000">
        <w:rPr>
          <w:rFonts w:ascii="Calibri" w:cs="Calibri" w:eastAsia="Calibri" w:hAnsi="Calibri"/>
          <w:sz w:val="18"/>
          <w:szCs w:val="18"/>
          <w:rtl w:val="0"/>
        </w:rPr>
        <w:t xml:space="preserve"> </w:t>
      </w:r>
    </w:p>
  </w:footnote>
  <w:footnote w:id="9">
    <w:p w:rsidR="00000000" w:rsidDel="00000000" w:rsidP="00000000" w:rsidRDefault="00000000" w:rsidRPr="00000000" w14:paraId="00000095">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Philippines’ law criminalizes adultery and concubinage. Both are deemed “crimes against chastity” under the Revised  Penal Code of the Philippines and are treated as sexual infidelity in the Family Code. Article 55 Title II of the Fmaily Code speaks of sexual infidelity or perversion as a ground for a valid petition for legal separation. </w:t>
      </w:r>
    </w:p>
  </w:footnote>
  <w:footnote w:id="10">
    <w:p w:rsidR="00000000" w:rsidDel="00000000" w:rsidP="00000000" w:rsidRDefault="00000000" w:rsidRPr="00000000" w14:paraId="00000096">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Article 96 of the FCP contains the provision that gives husbands legal advantage over his wife regarding property disputes. It upholds the decision of the husband as prevailing in property disputes with his wife. The FCP article contains the phrase that states that “in case of disagreement, the husband’s decision will prevail, su ,m ct to the recourse to the court by the wife for proper remedy” in the joint administration and enjoyment of community property. See: Solons seek removal of ’discriminatory’ Family Code provisions. (2015, January 3). Manila Bulletin. </w:t>
      </w:r>
      <w:hyperlink r:id="rId8">
        <w:r w:rsidDel="00000000" w:rsidR="00000000" w:rsidRPr="00000000">
          <w:rPr>
            <w:rFonts w:ascii="Calibri" w:cs="Calibri" w:eastAsia="Calibri" w:hAnsi="Calibri"/>
            <w:color w:val="1155cc"/>
            <w:sz w:val="18"/>
            <w:szCs w:val="18"/>
            <w:u w:val="single"/>
            <w:rtl w:val="0"/>
          </w:rPr>
          <w:t xml:space="preserve">https://ph.news.yahoo.com/solons-seek-removal-discriminatory-family-code-provisions-190129138.html</w:t>
        </w:r>
      </w:hyperlink>
      <w:r w:rsidDel="00000000" w:rsidR="00000000" w:rsidRPr="00000000">
        <w:rPr>
          <w:rFonts w:ascii="Calibri" w:cs="Calibri" w:eastAsia="Calibri" w:hAnsi="Calibri"/>
          <w:sz w:val="18"/>
          <w:szCs w:val="18"/>
          <w:rtl w:val="0"/>
        </w:rPr>
        <w:t xml:space="preserve"> </w:t>
      </w:r>
    </w:p>
  </w:footnote>
  <w:footnote w:id="11">
    <w:p w:rsidR="00000000" w:rsidDel="00000000" w:rsidP="00000000" w:rsidRDefault="00000000" w:rsidRPr="00000000" w14:paraId="00000097">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Article 124 of the FCP that gives the husband the preference over unresolved property issues reflects the antiquated view that the husband’s wisdom prevails in all family matters. The wife in this situation is necessitated to hire a lawyer and to sue her husband, straining their marriage. See: Solons seek removal of ’discriminatory’ Family Code provisions. (2015, January 3). Manila Bulletin. </w:t>
      </w:r>
      <w:hyperlink r:id="rId9">
        <w:r w:rsidDel="00000000" w:rsidR="00000000" w:rsidRPr="00000000">
          <w:rPr>
            <w:rFonts w:ascii="Calibri" w:cs="Calibri" w:eastAsia="Calibri" w:hAnsi="Calibri"/>
            <w:color w:val="1155cc"/>
            <w:sz w:val="18"/>
            <w:szCs w:val="18"/>
            <w:u w:val="single"/>
            <w:rtl w:val="0"/>
          </w:rPr>
          <w:t xml:space="preserve">https://ph.news.yahoo.com/solons-seek-removal-discriminatory-family-code-provisions-190129138.html</w:t>
        </w:r>
      </w:hyperlink>
      <w:r w:rsidDel="00000000" w:rsidR="00000000" w:rsidRPr="00000000">
        <w:rPr>
          <w:rFonts w:ascii="Calibri" w:cs="Calibri" w:eastAsia="Calibri" w:hAnsi="Calibri"/>
          <w:sz w:val="18"/>
          <w:szCs w:val="18"/>
          <w:rtl w:val="0"/>
        </w:rPr>
        <w:t xml:space="preserve"> </w:t>
      </w:r>
    </w:p>
  </w:footnote>
  <w:footnote w:id="12">
    <w:p w:rsidR="00000000" w:rsidDel="00000000" w:rsidP="00000000" w:rsidRDefault="00000000" w:rsidRPr="00000000" w14:paraId="00000098">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Although adultery and concubinage are of the same nature, there is a higher burden put on wives than on husbands. The crime of adultery is easier to prove as the husband must only prove that his wife had sexual intercourse with a man other than him. For concubinage, the wife has to prove first that her husband has committed either one or all of the following: (1) had kept a mistress in the conjugal dwelling; (2) had sexual intercourse under scandalous circumstances; and/or (3) had lived together with his mistress in any other place. In adultery, the penalty is imprisonment for a maximum period of 6 years but in concubinage, the penalty is lower by one degree which is imprisonment for a maximum period of 4 years and 1 day only, while his concubine is given a separate penalty which is “destierro” or banishment and not imprisonment. See: Eliminating Discrimination Against Women in the Revised Penal Code (RPC): Decriminalizing Adultery and Concubinage. (2020, March 18). Philippine Commission on Women. Retrieved June 2, 2022, from </w:t>
      </w:r>
      <w:hyperlink r:id="rId10">
        <w:r w:rsidDel="00000000" w:rsidR="00000000" w:rsidRPr="00000000">
          <w:rPr>
            <w:rFonts w:ascii="Calibri" w:cs="Calibri" w:eastAsia="Calibri" w:hAnsi="Calibri"/>
            <w:color w:val="1155cc"/>
            <w:sz w:val="18"/>
            <w:szCs w:val="18"/>
            <w:u w:val="single"/>
            <w:rtl w:val="0"/>
          </w:rPr>
          <w:t xml:space="preserve">https://pcw.gov.ph/eliminating-discrimination-against-women-in-the-revised-penal-code-rpc-decriminalizing-adultery-and-concubinage/</w:t>
        </w:r>
      </w:hyperlink>
      <w:r w:rsidDel="00000000" w:rsidR="00000000" w:rsidRPr="00000000">
        <w:rPr>
          <w:rFonts w:ascii="Calibri" w:cs="Calibri" w:eastAsia="Calibri" w:hAnsi="Calibri"/>
          <w:sz w:val="18"/>
          <w:szCs w:val="18"/>
          <w:rtl w:val="0"/>
        </w:rPr>
        <w:t xml:space="preserve"> </w:t>
      </w:r>
    </w:p>
  </w:footnote>
  <w:footnote w:id="13">
    <w:p w:rsidR="00000000" w:rsidDel="00000000" w:rsidP="00000000" w:rsidRDefault="00000000" w:rsidRPr="00000000" w14:paraId="00000099">
      <w:pPr>
        <w:spacing w:line="240" w:lineRule="auto"/>
        <w:jc w:val="both"/>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See: Global Gender Gap Report 2021 </w:t>
      </w:r>
      <w:hyperlink r:id="rId11">
        <w:r w:rsidDel="00000000" w:rsidR="00000000" w:rsidRPr="00000000">
          <w:rPr>
            <w:rFonts w:ascii="Calibri" w:cs="Calibri" w:eastAsia="Calibri" w:hAnsi="Calibri"/>
            <w:color w:val="1155cc"/>
            <w:sz w:val="18"/>
            <w:szCs w:val="18"/>
            <w:u w:val="single"/>
            <w:rtl w:val="0"/>
          </w:rPr>
          <w:t xml:space="preserve">https://www.weforum.org/reports/global-gender-gap-report-2021/</w:t>
        </w:r>
      </w:hyperlink>
      <w:r w:rsidDel="00000000" w:rsidR="00000000" w:rsidRPr="00000000">
        <w:rPr>
          <w:rFonts w:ascii="Calibri" w:cs="Calibri" w:eastAsia="Calibri" w:hAnsi="Calibri"/>
          <w:sz w:val="18"/>
          <w:szCs w:val="18"/>
          <w:rtl w:val="0"/>
        </w:rPr>
        <w:t xml:space="preserve"> Manila Bulletin, PH drops to No. 17 in Gender Gap Report 2021, </w:t>
      </w:r>
      <w:r w:rsidDel="00000000" w:rsidR="00000000" w:rsidRPr="00000000">
        <w:rPr>
          <w:rFonts w:ascii="Calibri" w:cs="Calibri" w:eastAsia="Calibri" w:hAnsi="Calibri"/>
          <w:i w:val="1"/>
          <w:sz w:val="18"/>
          <w:szCs w:val="18"/>
          <w:rtl w:val="0"/>
        </w:rPr>
        <w:t xml:space="preserve">available at </w:t>
      </w:r>
      <w:hyperlink r:id="rId12">
        <w:r w:rsidDel="00000000" w:rsidR="00000000" w:rsidRPr="00000000">
          <w:rPr>
            <w:rFonts w:ascii="Calibri" w:cs="Calibri" w:eastAsia="Calibri" w:hAnsi="Calibri"/>
            <w:i w:val="1"/>
            <w:color w:val="1155cc"/>
            <w:sz w:val="18"/>
            <w:szCs w:val="18"/>
            <w:u w:val="single"/>
            <w:rtl w:val="0"/>
          </w:rPr>
          <w:t xml:space="preserve">https://mb.com.ph/2021/04/29/ph-drops-to-no-17-in-gender-gap-report-2021/</w:t>
        </w:r>
      </w:hyperlink>
      <w:r w:rsidDel="00000000" w:rsidR="00000000" w:rsidRPr="00000000">
        <w:rPr>
          <w:rFonts w:ascii="Calibri" w:cs="Calibri" w:eastAsia="Calibri" w:hAnsi="Calibri"/>
          <w:i w:val="1"/>
          <w:sz w:val="18"/>
          <w:szCs w:val="18"/>
          <w:rtl w:val="0"/>
        </w:rPr>
        <w:t xml:space="preserve"> </w:t>
      </w:r>
    </w:p>
  </w:footnote>
  <w:footnote w:id="14">
    <w:p w:rsidR="00000000" w:rsidDel="00000000" w:rsidP="00000000" w:rsidRDefault="00000000" w:rsidRPr="00000000" w14:paraId="0000009A">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Manila Bulletin, PH drops to No. 17 in Gender Gap Report 2021, 29 April 2021,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13">
        <w:r w:rsidDel="00000000" w:rsidR="00000000" w:rsidRPr="00000000">
          <w:rPr>
            <w:rFonts w:ascii="Calibri" w:cs="Calibri" w:eastAsia="Calibri" w:hAnsi="Calibri"/>
            <w:color w:val="1155cc"/>
            <w:sz w:val="18"/>
            <w:szCs w:val="18"/>
            <w:u w:val="single"/>
            <w:rtl w:val="0"/>
          </w:rPr>
          <w:t xml:space="preserve">https://mb.com.ph/2021/04/29/ph-drops-to-no-17-in-gender-gap-report-2021/</w:t>
        </w:r>
      </w:hyperlink>
      <w:r w:rsidDel="00000000" w:rsidR="00000000" w:rsidRPr="00000000">
        <w:rPr>
          <w:rFonts w:ascii="Calibri" w:cs="Calibri" w:eastAsia="Calibri" w:hAnsi="Calibri"/>
          <w:sz w:val="18"/>
          <w:szCs w:val="18"/>
          <w:rtl w:val="0"/>
        </w:rPr>
        <w:t xml:space="preserve"> </w:t>
      </w:r>
    </w:p>
  </w:footnote>
  <w:footnote w:id="15">
    <w:p w:rsidR="00000000" w:rsidDel="00000000" w:rsidP="00000000" w:rsidRDefault="00000000" w:rsidRPr="00000000" w14:paraId="0000009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w:t>
      </w:r>
      <w:r w:rsidDel="00000000" w:rsidR="00000000" w:rsidRPr="00000000">
        <w:rPr>
          <w:rFonts w:ascii="Calibri" w:cs="Calibri" w:eastAsia="Calibri" w:hAnsi="Calibri"/>
          <w:i w:val="1"/>
          <w:sz w:val="18"/>
          <w:szCs w:val="18"/>
          <w:rtl w:val="0"/>
        </w:rPr>
        <w:t xml:space="preserve">Statement of CHR Spokesperson, Atty Jacqueline Ann de Guia, on the passage of the Anti-Terrorism Law, </w:t>
      </w:r>
      <w:r w:rsidDel="00000000" w:rsidR="00000000" w:rsidRPr="00000000">
        <w:rPr>
          <w:rFonts w:ascii="Calibri" w:cs="Calibri" w:eastAsia="Calibri" w:hAnsi="Calibri"/>
          <w:sz w:val="18"/>
          <w:szCs w:val="18"/>
          <w:rtl w:val="0"/>
        </w:rPr>
        <w:t xml:space="preserve">4 June 2020, </w:t>
      </w:r>
      <w:r w:rsidDel="00000000" w:rsidR="00000000" w:rsidRPr="00000000">
        <w:rPr>
          <w:rFonts w:ascii="Calibri" w:cs="Calibri" w:eastAsia="Calibri" w:hAnsi="Calibri"/>
          <w:i w:val="1"/>
          <w:sz w:val="18"/>
          <w:szCs w:val="18"/>
          <w:rtl w:val="0"/>
        </w:rPr>
        <w:t xml:space="preserve">available at </w:t>
      </w:r>
      <w:hyperlink r:id="rId14">
        <w:r w:rsidDel="00000000" w:rsidR="00000000" w:rsidRPr="00000000">
          <w:rPr>
            <w:rFonts w:ascii="Calibri" w:cs="Calibri" w:eastAsia="Calibri" w:hAnsi="Calibri"/>
            <w:color w:val="1155cc"/>
            <w:sz w:val="18"/>
            <w:szCs w:val="18"/>
            <w:u w:val="single"/>
            <w:rtl w:val="0"/>
          </w:rPr>
          <w:t xml:space="preserve">https://chr.gov.ph/statement-of-chr-spokesperson-atty-jacqueline-ann-de-guia-on-the-passage-of-the-anti-terrorism-law/</w:t>
        </w:r>
      </w:hyperlink>
      <w:r w:rsidDel="00000000" w:rsidR="00000000" w:rsidRPr="00000000">
        <w:rPr>
          <w:rFonts w:ascii="Calibri" w:cs="Calibri" w:eastAsia="Calibri" w:hAnsi="Calibri"/>
          <w:sz w:val="18"/>
          <w:szCs w:val="18"/>
          <w:rtl w:val="0"/>
        </w:rPr>
        <w:t xml:space="preserve"> </w:t>
      </w:r>
    </w:p>
  </w:footnote>
  <w:footnote w:id="16">
    <w:p w:rsidR="00000000" w:rsidDel="00000000" w:rsidP="00000000" w:rsidRDefault="00000000" w:rsidRPr="00000000" w14:paraId="0000009C">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Commission documented a total of 102 Cases of ExtraJudicial Killings Involving Female as Victims from 2016 to May 2022. The figures do not reflect the total number of HRV/pending cases being investigated and monitored/referred to the appropriate agencies in the Philippines. Such figures only pertain to cases culled from the CHR central database (ICMS) and may not yet include those directly received; taken cognizance; and/or has yet to be inputted by CHR Regional Offices in the said database.</w:t>
      </w:r>
    </w:p>
  </w:footnote>
  <w:footnote w:id="17">
    <w:p w:rsidR="00000000" w:rsidDel="00000000" w:rsidP="00000000" w:rsidRDefault="00000000" w:rsidRPr="00000000" w14:paraId="0000009D">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In the report by the Commission, many of the respondents reported seeing their husbands, sons, neighbors, and friends being gunned down within their own homes, sometimes even in front of the elderly and children. Mothers live in constant fear that their sons would soon become victims despite having no involvement in drugs. When their relatives die, the women take on the extra burden of supporting the financial needs of their families. </w:t>
      </w:r>
    </w:p>
  </w:footnote>
  <w:footnote w:id="18">
    <w:p w:rsidR="00000000" w:rsidDel="00000000" w:rsidP="00000000" w:rsidRDefault="00000000" w:rsidRPr="00000000" w14:paraId="0000009E">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A Facebook post by Lucban Municipal Police Station which warned women against wearing skimpy clothes to avoid cases of sexual harassment has concerned and alarmed netizens, media personalities, and the CHRP. See: Ratziel, J. (2020, June 13). PNP to probe 'victim-blaming' social media posts among its ranks. Philippine Star. </w:t>
      </w:r>
      <w:hyperlink r:id="rId15">
        <w:r w:rsidDel="00000000" w:rsidR="00000000" w:rsidRPr="00000000">
          <w:rPr>
            <w:rFonts w:ascii="Calibri" w:cs="Calibri" w:eastAsia="Calibri" w:hAnsi="Calibri"/>
            <w:color w:val="1155cc"/>
            <w:sz w:val="18"/>
            <w:szCs w:val="18"/>
            <w:u w:val="single"/>
            <w:rtl w:val="0"/>
          </w:rPr>
          <w:t xml:space="preserve">https://www.philstar.com/headlines/2020/06/13/2020639/pnp-probe-victim-blaming-social-media-posts-among-its-ranks</w:t>
        </w:r>
      </w:hyperlink>
      <w:r w:rsidDel="00000000" w:rsidR="00000000" w:rsidRPr="00000000">
        <w:rPr>
          <w:rFonts w:ascii="Calibri" w:cs="Calibri" w:eastAsia="Calibri" w:hAnsi="Calibri"/>
          <w:sz w:val="18"/>
          <w:szCs w:val="18"/>
          <w:rtl w:val="0"/>
        </w:rPr>
        <w:t xml:space="preserve"> </w:t>
      </w:r>
    </w:p>
  </w:footnote>
  <w:footnote w:id="19">
    <w:p w:rsidR="00000000" w:rsidDel="00000000" w:rsidP="00000000" w:rsidRDefault="00000000" w:rsidRPr="00000000" w14:paraId="0000009F">
      <w:pPr>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of the Philippines, Gender Ombud Situationer for 3rd and 4th Quarter: Gendered impact of the Pandemic and the need for gendered and intersectional responses, </w:t>
      </w:r>
      <w:r w:rsidDel="00000000" w:rsidR="00000000" w:rsidRPr="00000000">
        <w:rPr>
          <w:rFonts w:ascii="Calibri" w:cs="Calibri" w:eastAsia="Calibri" w:hAnsi="Calibri"/>
          <w:i w:val="1"/>
          <w:sz w:val="18"/>
          <w:szCs w:val="18"/>
          <w:rtl w:val="0"/>
        </w:rPr>
        <w:t xml:space="preserve">available at </w:t>
      </w:r>
      <w:hyperlink r:id="rId16">
        <w:r w:rsidDel="00000000" w:rsidR="00000000" w:rsidRPr="00000000">
          <w:rPr>
            <w:rFonts w:ascii="Calibri" w:cs="Calibri" w:eastAsia="Calibri" w:hAnsi="Calibri"/>
            <w:i w:val="1"/>
            <w:color w:val="1155cc"/>
            <w:sz w:val="18"/>
            <w:szCs w:val="18"/>
            <w:u w:val="single"/>
            <w:rtl w:val="0"/>
          </w:rPr>
          <w:t xml:space="preserve">https://chr.gov.ph/wp-content/uploads/2022/01/CHR-V-No.POL2021-001-3rd-and-4th-Q-Gender-Ombud-Situationer-Gendered-Impact-of-the-Pandemic-and-the-need-for-gendered-and-intersectional-responses.pdf</w:t>
        </w:r>
      </w:hyperlink>
      <w:r w:rsidDel="00000000" w:rsidR="00000000" w:rsidRPr="00000000">
        <w:rPr>
          <w:rFonts w:ascii="Calibri" w:cs="Calibri" w:eastAsia="Calibri" w:hAnsi="Calibri"/>
          <w:i w:val="1"/>
          <w:sz w:val="18"/>
          <w:szCs w:val="18"/>
          <w:rtl w:val="0"/>
        </w:rPr>
        <w:t xml:space="preserve"> </w:t>
      </w:r>
      <w:r w:rsidDel="00000000" w:rsidR="00000000" w:rsidRPr="00000000">
        <w:rPr>
          <w:rtl w:val="0"/>
        </w:rPr>
      </w:r>
    </w:p>
  </w:footnote>
  <w:footnote w:id="20">
    <w:p w:rsidR="00000000" w:rsidDel="00000000" w:rsidP="00000000" w:rsidRDefault="00000000" w:rsidRPr="00000000" w14:paraId="000000A0">
      <w:pPr>
        <w:spacing w:line="240" w:lineRule="auto"/>
        <w:jc w:val="both"/>
        <w:rPr>
          <w:rFonts w:ascii="Calibri" w:cs="Calibri" w:eastAsia="Calibri" w:hAnsi="Calibri"/>
          <w:color w:val="0563c1"/>
          <w:sz w:val="18"/>
          <w:szCs w:val="18"/>
          <w:u w:val="singl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Commission on Human Rights of the Philippines Report on the Situation of Human Rights Defenders in the Philippines, July 2020, available at:</w:t>
      </w:r>
      <w:hyperlink r:id="rId17">
        <w:r w:rsidDel="00000000" w:rsidR="00000000" w:rsidRPr="00000000">
          <w:rPr>
            <w:rFonts w:ascii="Calibri" w:cs="Calibri" w:eastAsia="Calibri" w:hAnsi="Calibri"/>
            <w:sz w:val="18"/>
            <w:szCs w:val="18"/>
            <w:rtl w:val="0"/>
          </w:rPr>
          <w:t xml:space="preserve"> </w:t>
        </w:r>
      </w:hyperlink>
      <w:hyperlink r:id="rId18">
        <w:r w:rsidDel="00000000" w:rsidR="00000000" w:rsidRPr="00000000">
          <w:rPr>
            <w:rFonts w:ascii="Calibri" w:cs="Calibri" w:eastAsia="Calibri" w:hAnsi="Calibri"/>
            <w:color w:val="0563c1"/>
            <w:sz w:val="18"/>
            <w:szCs w:val="18"/>
            <w:u w:val="single"/>
            <w:rtl w:val="0"/>
          </w:rPr>
          <w:t xml:space="preserve">http://chr.gov.ph/wp-content/uploads/2020/07/CHRP-2020-Report-on-the-Situation-of-Human-Rights-Defenders.pdf</w:t>
        </w:r>
      </w:hyperlink>
      <w:r w:rsidDel="00000000" w:rsidR="00000000" w:rsidRPr="00000000">
        <w:rPr>
          <w:rFonts w:ascii="Calibri" w:cs="Calibri" w:eastAsia="Calibri" w:hAnsi="Calibri"/>
          <w:color w:val="0563c1"/>
          <w:sz w:val="18"/>
          <w:szCs w:val="18"/>
          <w:u w:val="single"/>
          <w:rtl w:val="0"/>
        </w:rPr>
        <w:t xml:space="preserve">;</w:t>
      </w:r>
    </w:p>
    <w:p w:rsidR="00000000" w:rsidDel="00000000" w:rsidP="00000000" w:rsidRDefault="00000000" w:rsidRPr="00000000" w14:paraId="000000A1">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The Inquiry revealed various forms of violations and abuses experienced by WHRDs which include Distortion of the concept of human rights, public vilification, red-tagging, profiling and surveillance, militarization of the government, weaponization of the law, shrinking civic space, and an increased climate of impunity</w:t>
      </w:r>
    </w:p>
  </w:footnote>
  <w:footnote w:id="21">
    <w:p w:rsidR="00000000" w:rsidDel="00000000" w:rsidP="00000000" w:rsidRDefault="00000000" w:rsidRPr="00000000" w14:paraId="000000A2">
      <w:pPr>
        <w:keepNext w:val="1"/>
        <w:keepLines w:val="1"/>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See: </w:t>
      </w:r>
      <w:r w:rsidDel="00000000" w:rsidR="00000000" w:rsidRPr="00000000">
        <w:rPr>
          <w:rFonts w:ascii="Calibri" w:cs="Calibri" w:eastAsia="Calibri" w:hAnsi="Calibri"/>
          <w:b w:val="1"/>
          <w:sz w:val="18"/>
          <w:szCs w:val="18"/>
          <w:rtl w:val="0"/>
        </w:rPr>
        <w:t xml:space="preserve">Bloody Sunday</w:t>
      </w:r>
      <w:r w:rsidDel="00000000" w:rsidR="00000000" w:rsidRPr="00000000">
        <w:rPr>
          <w:rFonts w:ascii="Calibri" w:cs="Calibri" w:eastAsia="Calibri" w:hAnsi="Calibri"/>
          <w:sz w:val="18"/>
          <w:szCs w:val="18"/>
          <w:rtl w:val="0"/>
        </w:rPr>
        <w:t xml:space="preserve">: </w:t>
      </w:r>
      <w:hyperlink r:id="rId19">
        <w:r w:rsidDel="00000000" w:rsidR="00000000" w:rsidRPr="00000000">
          <w:rPr>
            <w:rFonts w:ascii="Calibri" w:cs="Calibri" w:eastAsia="Calibri" w:hAnsi="Calibri"/>
            <w:sz w:val="18"/>
            <w:szCs w:val="18"/>
            <w:rtl w:val="0"/>
          </w:rPr>
          <w:t xml:space="preserve"> </w:t>
        </w:r>
      </w:hyperlink>
      <w:hyperlink r:id="rId20">
        <w:r w:rsidDel="00000000" w:rsidR="00000000" w:rsidRPr="00000000">
          <w:rPr>
            <w:rFonts w:ascii="Calibri" w:cs="Calibri" w:eastAsia="Calibri" w:hAnsi="Calibri"/>
            <w:color w:val="1155cc"/>
            <w:sz w:val="18"/>
            <w:szCs w:val="18"/>
            <w:u w:val="single"/>
            <w:rtl w:val="0"/>
          </w:rPr>
          <w:t xml:space="preserve">Statement of CHR welcoming the DOJ’s preliminary investigation on the Batangas couple killed on ‘Bloody Sunday’ raids</w:t>
        </w:r>
      </w:hyperlink>
      <w:r w:rsidDel="00000000" w:rsidR="00000000" w:rsidRPr="00000000">
        <w:rPr>
          <w:rFonts w:ascii="Calibri" w:cs="Calibri" w:eastAsia="Calibri" w:hAnsi="Calibri"/>
          <w:color w:val="1f1f1f"/>
          <w:sz w:val="18"/>
          <w:szCs w:val="18"/>
          <w:rtl w:val="0"/>
        </w:rPr>
        <w:t xml:space="preserve">. 02 Mar 2022; </w:t>
      </w:r>
      <w:r w:rsidDel="00000000" w:rsidR="00000000" w:rsidRPr="00000000">
        <w:rPr>
          <w:rFonts w:ascii="Calibri" w:cs="Calibri" w:eastAsia="Calibri" w:hAnsi="Calibri"/>
          <w:b w:val="1"/>
          <w:color w:val="1f1f1f"/>
          <w:sz w:val="18"/>
          <w:szCs w:val="18"/>
          <w:rtl w:val="0"/>
        </w:rPr>
        <w:t xml:space="preserve">Killing of Spanish national:</w:t>
      </w:r>
      <w:hyperlink r:id="rId21">
        <w:r w:rsidDel="00000000" w:rsidR="00000000" w:rsidRPr="00000000">
          <w:rPr>
            <w:rFonts w:ascii="Calibri" w:cs="Calibri" w:eastAsia="Calibri" w:hAnsi="Calibri"/>
            <w:color w:val="1155cc"/>
            <w:sz w:val="18"/>
            <w:szCs w:val="18"/>
            <w:u w:val="single"/>
            <w:rtl w:val="0"/>
          </w:rPr>
          <w:t xml:space="preserve"> Statement of CHR on the killing of a Spanish surfer and businessman; Statement on the arrest of a health worker during an alleged police drug operation in Siargao</w:t>
        </w:r>
      </w:hyperlink>
      <w:r w:rsidDel="00000000" w:rsidR="00000000" w:rsidRPr="00000000">
        <w:rPr>
          <w:rFonts w:ascii="Calibri" w:cs="Calibri" w:eastAsia="Calibri" w:hAnsi="Calibri"/>
          <w:color w:val="1f1f1f"/>
          <w:sz w:val="18"/>
          <w:szCs w:val="18"/>
          <w:rtl w:val="0"/>
        </w:rPr>
        <w:t xml:space="preserve">. 10 Jan 2020;</w:t>
      </w:r>
      <w:hyperlink r:id="rId22">
        <w:r w:rsidDel="00000000" w:rsidR="00000000" w:rsidRPr="00000000">
          <w:rPr>
            <w:rFonts w:ascii="Calibri" w:cs="Calibri" w:eastAsia="Calibri" w:hAnsi="Calibri"/>
            <w:color w:val="1f1f1f"/>
            <w:sz w:val="18"/>
            <w:szCs w:val="18"/>
            <w:rtl w:val="0"/>
          </w:rPr>
          <w:t xml:space="preserve"> </w:t>
        </w:r>
      </w:hyperlink>
      <w:hyperlink r:id="rId23">
        <w:r w:rsidDel="00000000" w:rsidR="00000000" w:rsidRPr="00000000">
          <w:rPr>
            <w:rFonts w:ascii="Calibri" w:cs="Calibri" w:eastAsia="Calibri" w:hAnsi="Calibri"/>
            <w:color w:val="1155cc"/>
            <w:sz w:val="18"/>
            <w:szCs w:val="18"/>
            <w:u w:val="single"/>
            <w:rtl w:val="0"/>
          </w:rPr>
          <w:t xml:space="preserve">Statement on the DOJ’s filing of charges of murder and planting of evidence against cops on the death of Spanish national in Siargao</w:t>
        </w:r>
      </w:hyperlink>
      <w:r w:rsidDel="00000000" w:rsidR="00000000" w:rsidRPr="00000000">
        <w:rPr>
          <w:rFonts w:ascii="Calibri" w:cs="Calibri" w:eastAsia="Calibri" w:hAnsi="Calibri"/>
          <w:color w:val="1f1f1f"/>
          <w:sz w:val="18"/>
          <w:szCs w:val="18"/>
          <w:rtl w:val="0"/>
        </w:rPr>
        <w:t xml:space="preserve">. 08 Mar 2022. </w:t>
      </w:r>
      <w:r w:rsidDel="00000000" w:rsidR="00000000" w:rsidRPr="00000000">
        <w:rPr>
          <w:rtl w:val="0"/>
        </w:rPr>
      </w:r>
    </w:p>
  </w:footnote>
  <w:footnote w:id="22">
    <w:p w:rsidR="00000000" w:rsidDel="00000000" w:rsidP="00000000" w:rsidRDefault="00000000" w:rsidRPr="00000000" w14:paraId="000000A3">
      <w:pPr>
        <w:spacing w:line="240" w:lineRule="auto"/>
        <w:jc w:val="both"/>
        <w:rPr>
          <w:rFonts w:ascii="Calibri" w:cs="Calibri" w:eastAsia="Calibri" w:hAnsi="Calibri"/>
          <w:color w:val="1155cc"/>
          <w:sz w:val="18"/>
          <w:szCs w:val="18"/>
          <w:u w:val="single"/>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sz w:val="18"/>
          <w:szCs w:val="18"/>
          <w:highlight w:val="white"/>
          <w:rtl w:val="0"/>
        </w:rPr>
        <w:t xml:space="preserve">PDEA and PNP, ICAD Conference, 08 November 2019. See:</w:t>
      </w:r>
      <w:hyperlink r:id="rId24">
        <w:r w:rsidDel="00000000" w:rsidR="00000000" w:rsidRPr="00000000">
          <w:rPr>
            <w:rFonts w:ascii="Calibri" w:cs="Calibri" w:eastAsia="Calibri" w:hAnsi="Calibri"/>
            <w:color w:val="1155cc"/>
            <w:sz w:val="18"/>
            <w:szCs w:val="18"/>
            <w:u w:val="single"/>
            <w:rtl w:val="0"/>
          </w:rPr>
          <w:t xml:space="preserve"> ICAD, Co-Chairperson’s Report, 2019.</w:t>
        </w:r>
      </w:hyperlink>
      <w:r w:rsidDel="00000000" w:rsidR="00000000" w:rsidRPr="00000000">
        <w:rPr>
          <w:rtl w:val="0"/>
        </w:rPr>
      </w:r>
    </w:p>
    <w:p w:rsidR="00000000" w:rsidDel="00000000" w:rsidP="00000000" w:rsidRDefault="00000000" w:rsidRPr="00000000" w14:paraId="000000A4">
      <w:pPr>
        <w:spacing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A5">
      <w:pPr>
        <w:spacing w:line="240"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Update on the Case of Senator LDL: </w:t>
      </w:r>
      <w:r w:rsidDel="00000000" w:rsidR="00000000" w:rsidRPr="00000000">
        <w:rPr>
          <w:rFonts w:ascii="Calibri" w:cs="Calibri" w:eastAsia="Calibri" w:hAnsi="Calibri"/>
          <w:sz w:val="18"/>
          <w:szCs w:val="18"/>
          <w:rtl w:val="0"/>
        </w:rPr>
        <w:t xml:space="preserve">Last 1 June 2022, a fourth witness retracted his statement against a detained Senator who has been imprisoned since 2017. In a four-page affidavit dated 24 May 2022, one of the material witnesses who previously testified against the Senator stated that he was coerced into implicating her. Three other witnesses have earlier retracted their testimonies implicating the Senator in the illegal drug trade. They all claimed to have been coerced by government officials into falsely accusing her.  </w:t>
      </w:r>
    </w:p>
    <w:p w:rsidR="00000000" w:rsidDel="00000000" w:rsidP="00000000" w:rsidRDefault="00000000" w:rsidRPr="00000000" w14:paraId="000000A6">
      <w:pPr>
        <w:spacing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A7">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Senate of the Philippines, Press Release, 'Justice will still be served, no matter how late', 2 May 2022,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25">
        <w:r w:rsidDel="00000000" w:rsidR="00000000" w:rsidRPr="00000000">
          <w:rPr>
            <w:rFonts w:ascii="Calibri" w:cs="Calibri" w:eastAsia="Calibri" w:hAnsi="Calibri"/>
            <w:color w:val="0000ff"/>
            <w:sz w:val="18"/>
            <w:szCs w:val="18"/>
            <w:u w:val="single"/>
            <w:rtl w:val="0"/>
          </w:rPr>
          <w:t xml:space="preserve">https://legacy.senate.gov.ph/press_release/2022/0502_delima1.asp</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A8">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Human Rights Watch, Philippines: Witnesses Retract Testimony Against Duterte Critic, 4 May 2022,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26">
        <w:r w:rsidDel="00000000" w:rsidR="00000000" w:rsidRPr="00000000">
          <w:rPr>
            <w:rFonts w:ascii="Calibri" w:cs="Calibri" w:eastAsia="Calibri" w:hAnsi="Calibri"/>
            <w:color w:val="0000ff"/>
            <w:sz w:val="18"/>
            <w:szCs w:val="18"/>
            <w:u w:val="single"/>
            <w:rtl w:val="0"/>
          </w:rPr>
          <w:t xml:space="preserve">https://www.hrw.org/news/2022/05/04/philippines-witnesses-retract-testimony-against-duterte-critic</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A9">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Amnesty International, Philippines: Government witnesses retract testimony: Senator LDL, 24 May 2022, </w:t>
      </w:r>
      <w:r w:rsidDel="00000000" w:rsidR="00000000" w:rsidRPr="00000000">
        <w:rPr>
          <w:rFonts w:ascii="Calibri" w:cs="Calibri" w:eastAsia="Calibri" w:hAnsi="Calibri"/>
          <w:i w:val="1"/>
          <w:sz w:val="18"/>
          <w:szCs w:val="18"/>
          <w:rtl w:val="0"/>
        </w:rPr>
        <w:t xml:space="preserve">available at: </w:t>
      </w:r>
      <w:r w:rsidDel="00000000" w:rsidR="00000000" w:rsidRPr="00000000">
        <w:rPr>
          <w:rFonts w:ascii="Calibri" w:cs="Calibri" w:eastAsia="Calibri" w:hAnsi="Calibri"/>
          <w:sz w:val="18"/>
          <w:szCs w:val="18"/>
          <w:rtl w:val="0"/>
        </w:rPr>
        <w:t xml:space="preserve"> </w:t>
      </w:r>
      <w:hyperlink r:id="rId27">
        <w:r w:rsidDel="00000000" w:rsidR="00000000" w:rsidRPr="00000000">
          <w:rPr>
            <w:rFonts w:ascii="Calibri" w:cs="Calibri" w:eastAsia="Calibri" w:hAnsi="Calibri"/>
            <w:color w:val="0000ff"/>
            <w:sz w:val="18"/>
            <w:szCs w:val="18"/>
            <w:u w:val="single"/>
            <w:rtl w:val="0"/>
          </w:rPr>
          <w:t xml:space="preserve">https://www.amnesty.org/en/documents/asa35/5647/2022/en/</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AA">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Senate of the Philippines, Press Release, Senator’s camp welcomes another witness recantation on drug trade, urges DOJ to review and dismiss her remaining cases, 2 June 2022, </w:t>
      </w:r>
      <w:r w:rsidDel="00000000" w:rsidR="00000000" w:rsidRPr="00000000">
        <w:rPr>
          <w:rFonts w:ascii="Calibri" w:cs="Calibri" w:eastAsia="Calibri" w:hAnsi="Calibri"/>
          <w:i w:val="1"/>
          <w:sz w:val="18"/>
          <w:szCs w:val="18"/>
          <w:rtl w:val="0"/>
        </w:rPr>
        <w:t xml:space="preserve">available at: </w:t>
      </w:r>
      <w:hyperlink r:id="rId28">
        <w:r w:rsidDel="00000000" w:rsidR="00000000" w:rsidRPr="00000000">
          <w:rPr>
            <w:rFonts w:ascii="Calibri" w:cs="Calibri" w:eastAsia="Calibri" w:hAnsi="Calibri"/>
            <w:color w:val="0000ff"/>
            <w:sz w:val="18"/>
            <w:szCs w:val="18"/>
            <w:u w:val="single"/>
            <w:rtl w:val="0"/>
          </w:rPr>
          <w:t xml:space="preserve">https://legacy.senate.gov.ph/press_release/2022/0602_delima1.asp</w:t>
        </w:r>
      </w:hyperlink>
      <w:r w:rsidDel="00000000" w:rsidR="00000000" w:rsidRPr="00000000">
        <w:rPr>
          <w:rFonts w:ascii="Calibri" w:cs="Calibri" w:eastAsia="Calibri" w:hAnsi="Calibri"/>
          <w:sz w:val="18"/>
          <w:szCs w:val="18"/>
          <w:rtl w:val="0"/>
        </w:rPr>
        <w:t xml:space="preserve"> </w:t>
      </w:r>
    </w:p>
  </w:footnote>
  <w:footnote w:id="23">
    <w:p w:rsidR="00000000" w:rsidDel="00000000" w:rsidP="00000000" w:rsidRDefault="00000000" w:rsidRPr="00000000" w14:paraId="000000AB">
      <w:pPr>
        <w:spacing w:line="240" w:lineRule="auto"/>
        <w:jc w:val="both"/>
        <w:rPr>
          <w:rFonts w:ascii="Calibri" w:cs="Calibri" w:eastAsia="Calibri" w:hAnsi="Calibri"/>
          <w:sz w:val="18"/>
          <w:szCs w:val="1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vertAlign w:val="superscript"/>
          <w:rtl w:val="0"/>
        </w:rPr>
        <w:t xml:space="preserve"> </w:t>
      </w:r>
      <w:hyperlink r:id="rId29">
        <w:r w:rsidDel="00000000" w:rsidR="00000000" w:rsidRPr="00000000">
          <w:rPr>
            <w:rFonts w:ascii="Calibri" w:cs="Calibri" w:eastAsia="Calibri" w:hAnsi="Calibri"/>
            <w:color w:val="1155cc"/>
            <w:sz w:val="18"/>
            <w:szCs w:val="18"/>
            <w:u w:val="single"/>
            <w:rtl w:val="0"/>
          </w:rPr>
          <w:t xml:space="preserve">Statement of CHR Commissioner Karen Gomez-Dumpit, Focal Commissioner on Women’s Rights on the arrest</w:t>
        </w:r>
      </w:hyperlink>
      <w:r w:rsidDel="00000000" w:rsidR="00000000" w:rsidRPr="00000000">
        <w:rPr>
          <w:rFonts w:ascii="Calibri" w:cs="Calibri" w:eastAsia="Calibri" w:hAnsi="Calibri"/>
          <w:sz w:val="18"/>
          <w:szCs w:val="18"/>
          <w:rtl w:val="0"/>
        </w:rPr>
        <w:t xml:space="preserve">, 16 Nov 2021.;</w:t>
      </w:r>
      <w:r w:rsidDel="00000000" w:rsidR="00000000" w:rsidRPr="00000000">
        <w:rPr>
          <w:rtl w:val="0"/>
        </w:rPr>
      </w:r>
    </w:p>
  </w:footnote>
  <w:footnote w:id="24">
    <w:p w:rsidR="00000000" w:rsidDel="00000000" w:rsidP="00000000" w:rsidRDefault="00000000" w:rsidRPr="00000000" w14:paraId="000000AC">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vertAlign w:val="superscript"/>
          <w:rtl w:val="0"/>
        </w:rPr>
        <w:t xml:space="preserve"> </w:t>
      </w:r>
      <w:hyperlink r:id="rId30">
        <w:r w:rsidDel="00000000" w:rsidR="00000000" w:rsidRPr="00000000">
          <w:rPr>
            <w:rFonts w:ascii="Calibri" w:cs="Calibri" w:eastAsia="Calibri" w:hAnsi="Calibri"/>
            <w:color w:val="1155cc"/>
            <w:sz w:val="18"/>
            <w:szCs w:val="18"/>
            <w:u w:val="single"/>
            <w:rtl w:val="0"/>
          </w:rPr>
          <w:t xml:space="preserve">Statement on the arrest of health worker </w:t>
        </w:r>
      </w:hyperlink>
      <w:r w:rsidDel="00000000" w:rsidR="00000000" w:rsidRPr="00000000">
        <w:rPr>
          <w:rFonts w:ascii="Calibri" w:cs="Calibri" w:eastAsia="Calibri" w:hAnsi="Calibri"/>
          <w:sz w:val="18"/>
          <w:szCs w:val="18"/>
          <w:rtl w:val="0"/>
        </w:rPr>
        <w:t xml:space="preserve">, 21 Feb 2022.</w:t>
      </w:r>
    </w:p>
    <w:p w:rsidR="00000000" w:rsidDel="00000000" w:rsidP="00000000" w:rsidRDefault="00000000" w:rsidRPr="00000000" w14:paraId="000000AD">
      <w:pPr>
        <w:spacing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AE">
      <w:pPr>
        <w:spacing w:line="240" w:lineRule="auto"/>
        <w:jc w:val="both"/>
        <w:rPr>
          <w:rFonts w:ascii="Calibri" w:cs="Calibri" w:eastAsia="Calibri" w:hAnsi="Calibri"/>
          <w:sz w:val="18"/>
          <w:szCs w:val="18"/>
        </w:rPr>
      </w:pPr>
      <w:r w:rsidDel="00000000" w:rsidR="00000000" w:rsidRPr="00000000">
        <w:rPr>
          <w:rFonts w:ascii="Calibri" w:cs="Calibri" w:eastAsia="Calibri" w:hAnsi="Calibri"/>
          <w:b w:val="1"/>
          <w:sz w:val="18"/>
          <w:szCs w:val="18"/>
          <w:rtl w:val="0"/>
        </w:rPr>
        <w:t xml:space="preserve">Update on the case of WHRD Health worker Dr. NC: </w:t>
      </w:r>
      <w:r w:rsidDel="00000000" w:rsidR="00000000" w:rsidRPr="00000000">
        <w:rPr>
          <w:rFonts w:ascii="Calibri" w:cs="Calibri" w:eastAsia="Calibri" w:hAnsi="Calibri"/>
          <w:sz w:val="18"/>
          <w:szCs w:val="18"/>
          <w:rtl w:val="0"/>
        </w:rPr>
        <w:t xml:space="preserve">Last May 31, 2022, the Free Legal Assistance Group  (FLAG) lauded the decision of the regional trial court (RTC) of Bayugan, Agusan del Sur to dismiss the charges against the WHRD  healthworker, DR. NC for kidnapping and serious illegal detention. The statement was issued following the judgment of the trial court dismissing the charges against the doctor upon finding that there was “denial of substantive right to due process” and “for lack of jurisdiction over the person accused”. The doctor  was released on Wednesday, March 30, 2022, after over a month of detention over kidnapping and illegal detention charges. </w:t>
      </w:r>
    </w:p>
    <w:p w:rsidR="00000000" w:rsidDel="00000000" w:rsidP="00000000" w:rsidRDefault="00000000" w:rsidRPr="00000000" w14:paraId="000000AF">
      <w:pPr>
        <w:spacing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B0">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Dr. NC was </w:t>
      </w:r>
      <w:hyperlink r:id="rId31">
        <w:r w:rsidDel="00000000" w:rsidR="00000000" w:rsidRPr="00000000">
          <w:rPr>
            <w:rFonts w:ascii="Calibri" w:cs="Calibri" w:eastAsia="Calibri" w:hAnsi="Calibri"/>
            <w:color w:val="0000ff"/>
            <w:sz w:val="18"/>
            <w:szCs w:val="18"/>
            <w:u w:val="single"/>
            <w:rtl w:val="0"/>
          </w:rPr>
          <w:t xml:space="preserve">forcibly and arbitrarily arrested</w:t>
        </w:r>
      </w:hyperlink>
      <w:r w:rsidDel="00000000" w:rsidR="00000000" w:rsidRPr="00000000">
        <w:rPr>
          <w:rFonts w:ascii="Calibri" w:cs="Calibri" w:eastAsia="Calibri" w:hAnsi="Calibri"/>
          <w:sz w:val="18"/>
          <w:szCs w:val="18"/>
          <w:rtl w:val="0"/>
        </w:rPr>
        <w:t xml:space="preserve"> last February 2022 at her home on charges of kidnapping and serious illegal detention. She was also accused of membership in the Communist Party of the Philippines, in charge of health services in the New People's Army, the party's military wing.</w:t>
      </w:r>
    </w:p>
    <w:p w:rsidR="00000000" w:rsidDel="00000000" w:rsidP="00000000" w:rsidRDefault="00000000" w:rsidRPr="00000000" w14:paraId="000000B1">
      <w:pPr>
        <w:spacing w:line="240" w:lineRule="auto"/>
        <w:jc w:val="both"/>
        <w:rPr>
          <w:rFonts w:ascii="Calibri" w:cs="Calibri" w:eastAsia="Calibri" w:hAnsi="Calibri"/>
          <w:sz w:val="18"/>
          <w:szCs w:val="18"/>
        </w:rPr>
      </w:pPr>
      <w:r w:rsidDel="00000000" w:rsidR="00000000" w:rsidRPr="00000000">
        <w:rPr>
          <w:rtl w:val="0"/>
        </w:rPr>
      </w:r>
    </w:p>
    <w:p w:rsidR="00000000" w:rsidDel="00000000" w:rsidP="00000000" w:rsidRDefault="00000000" w:rsidRPr="00000000" w14:paraId="000000B2">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SunStar Manila, healthworker released from prison, 31 March 2022,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32">
        <w:r w:rsidDel="00000000" w:rsidR="00000000" w:rsidRPr="00000000">
          <w:rPr>
            <w:rFonts w:ascii="Calibri" w:cs="Calibri" w:eastAsia="Calibri" w:hAnsi="Calibri"/>
            <w:color w:val="0000ff"/>
            <w:sz w:val="18"/>
            <w:szCs w:val="18"/>
            <w:u w:val="single"/>
            <w:rtl w:val="0"/>
          </w:rPr>
          <w:t xml:space="preserve">https://www.sunstar.com.ph/article/1925179/manila/local-news/doc-naty-castro-released-from-prison</w:t>
        </w:r>
      </w:hyperlink>
      <w:r w:rsidDel="00000000" w:rsidR="00000000" w:rsidRPr="00000000">
        <w:rPr>
          <w:rFonts w:ascii="Calibri" w:cs="Calibri" w:eastAsia="Calibri" w:hAnsi="Calibri"/>
          <w:sz w:val="18"/>
          <w:szCs w:val="18"/>
          <w:rtl w:val="0"/>
        </w:rPr>
        <w:t xml:space="preserve"> </w:t>
      </w:r>
    </w:p>
    <w:p w:rsidR="00000000" w:rsidDel="00000000" w:rsidP="00000000" w:rsidRDefault="00000000" w:rsidRPr="00000000" w14:paraId="000000B3">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Manila Bulletin, FLAG lauds junking of cases,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33">
        <w:r w:rsidDel="00000000" w:rsidR="00000000" w:rsidRPr="00000000">
          <w:rPr>
            <w:rFonts w:ascii="Calibri" w:cs="Calibri" w:eastAsia="Calibri" w:hAnsi="Calibri"/>
            <w:color w:val="0000ff"/>
            <w:sz w:val="18"/>
            <w:szCs w:val="18"/>
            <w:u w:val="single"/>
            <w:rtl w:val="0"/>
          </w:rPr>
          <w:t xml:space="preserve">https://mb.com.ph/2022/03/31/flag-lauds-junking-of-dr-naty-castros-cases/</w:t>
        </w:r>
      </w:hyperlink>
      <w:r w:rsidDel="00000000" w:rsidR="00000000" w:rsidRPr="00000000">
        <w:rPr>
          <w:rFonts w:ascii="Calibri" w:cs="Calibri" w:eastAsia="Calibri" w:hAnsi="Calibri"/>
          <w:sz w:val="18"/>
          <w:szCs w:val="18"/>
          <w:rtl w:val="0"/>
        </w:rPr>
        <w:t xml:space="preserve"> </w:t>
      </w:r>
    </w:p>
  </w:footnote>
  <w:footnote w:id="25">
    <w:p w:rsidR="00000000" w:rsidDel="00000000" w:rsidP="00000000" w:rsidRDefault="00000000" w:rsidRPr="00000000" w14:paraId="000000B4">
      <w:pPr>
        <w:spacing w:line="240" w:lineRule="auto"/>
        <w:jc w:val="both"/>
        <w:rPr>
          <w:rFonts w:ascii="Calibri" w:cs="Calibri" w:eastAsia="Calibri" w:hAnsi="Calibri"/>
          <w:sz w:val="18"/>
          <w:szCs w:val="1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vertAlign w:val="superscript"/>
          <w:rtl w:val="0"/>
        </w:rPr>
        <w:t xml:space="preserve"> </w:t>
      </w:r>
      <w:hyperlink r:id="rId34">
        <w:r w:rsidDel="00000000" w:rsidR="00000000" w:rsidRPr="00000000">
          <w:rPr>
            <w:rFonts w:ascii="Calibri" w:cs="Calibri" w:eastAsia="Calibri" w:hAnsi="Calibri"/>
            <w:color w:val="1155cc"/>
            <w:sz w:val="18"/>
            <w:szCs w:val="18"/>
            <w:u w:val="single"/>
            <w:rtl w:val="0"/>
          </w:rPr>
          <w:t xml:space="preserve"> Statement on the arrest of Rappler CEO </w:t>
        </w:r>
      </w:hyperlink>
      <w:r w:rsidDel="00000000" w:rsidR="00000000" w:rsidRPr="00000000">
        <w:rPr>
          <w:rFonts w:ascii="Calibri" w:cs="Calibri" w:eastAsia="Calibri" w:hAnsi="Calibri"/>
          <w:sz w:val="18"/>
          <w:szCs w:val="18"/>
          <w:rtl w:val="0"/>
        </w:rPr>
        <w:t xml:space="preserve">, 14 Feb 2019.;</w:t>
      </w:r>
      <w:hyperlink r:id="rId35">
        <w:r w:rsidDel="00000000" w:rsidR="00000000" w:rsidRPr="00000000">
          <w:rPr>
            <w:rFonts w:ascii="Calibri" w:cs="Calibri" w:eastAsia="Calibri" w:hAnsi="Calibri"/>
            <w:color w:val="1155cc"/>
            <w:sz w:val="18"/>
            <w:szCs w:val="18"/>
            <w:u w:val="single"/>
            <w:rtl w:val="0"/>
          </w:rPr>
          <w:t xml:space="preserve"> Statement on the court's guilty verdict on the cyber libel case against MR</w:t>
        </w:r>
      </w:hyperlink>
      <w:r w:rsidDel="00000000" w:rsidR="00000000" w:rsidRPr="00000000">
        <w:rPr>
          <w:rFonts w:ascii="Calibri" w:cs="Calibri" w:eastAsia="Calibri" w:hAnsi="Calibri"/>
          <w:sz w:val="18"/>
          <w:szCs w:val="18"/>
          <w:rtl w:val="0"/>
        </w:rPr>
        <w:t xml:space="preserve">, 17 Jun 2020.</w:t>
      </w:r>
      <w:r w:rsidDel="00000000" w:rsidR="00000000" w:rsidRPr="00000000">
        <w:rPr>
          <w:rtl w:val="0"/>
        </w:rPr>
      </w:r>
    </w:p>
  </w:footnote>
  <w:footnote w:id="26">
    <w:p w:rsidR="00000000" w:rsidDel="00000000" w:rsidP="00000000" w:rsidRDefault="00000000" w:rsidRPr="00000000" w14:paraId="000000B5">
      <w:pPr>
        <w:spacing w:line="240" w:lineRule="auto"/>
        <w:jc w:val="both"/>
        <w:rPr>
          <w:rFonts w:ascii="Calibri" w:cs="Calibri" w:eastAsia="Calibri" w:hAnsi="Calibri"/>
          <w:sz w:val="18"/>
          <w:szCs w:val="18"/>
          <w:vertAlign w:val="superscript"/>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vertAlign w:val="superscript"/>
          <w:rtl w:val="0"/>
        </w:rPr>
        <w:t xml:space="preserve"> </w:t>
      </w:r>
      <w:r w:rsidDel="00000000" w:rsidR="00000000" w:rsidRPr="00000000">
        <w:rPr>
          <w:rFonts w:ascii="Calibri" w:cs="Calibri" w:eastAsia="Calibri" w:hAnsi="Calibri"/>
          <w:sz w:val="18"/>
          <w:szCs w:val="18"/>
          <w:rtl w:val="0"/>
        </w:rPr>
        <w:t xml:space="preserve"> </w:t>
      </w:r>
      <w:hyperlink r:id="rId36">
        <w:r w:rsidDel="00000000" w:rsidR="00000000" w:rsidRPr="00000000">
          <w:rPr>
            <w:rFonts w:ascii="Calibri" w:cs="Calibri" w:eastAsia="Calibri" w:hAnsi="Calibri"/>
            <w:color w:val="1155cc"/>
            <w:sz w:val="18"/>
            <w:szCs w:val="18"/>
            <w:u w:val="single"/>
            <w:rtl w:val="0"/>
          </w:rPr>
          <w:t xml:space="preserve">https://www.bbc.com/news/world-asia-41600434</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footnote>
  <w:footnote w:id="27">
    <w:p w:rsidR="00000000" w:rsidDel="00000000" w:rsidP="00000000" w:rsidRDefault="00000000" w:rsidRPr="00000000" w14:paraId="000000B6">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An example of which would be the one located in Maginhawa, a street in Quezon City; Iya Gozum, </w:t>
      </w:r>
      <w:r w:rsidDel="00000000" w:rsidR="00000000" w:rsidRPr="00000000">
        <w:rPr>
          <w:rFonts w:ascii="Calibri" w:cs="Calibri" w:eastAsia="Calibri" w:hAnsi="Calibri"/>
          <w:i w:val="1"/>
          <w:sz w:val="18"/>
          <w:szCs w:val="18"/>
          <w:rtl w:val="0"/>
        </w:rPr>
        <w:t xml:space="preserve">Red-tagging of community pantry sparks uproar online</w:t>
      </w:r>
      <w:r w:rsidDel="00000000" w:rsidR="00000000" w:rsidRPr="00000000">
        <w:rPr>
          <w:rFonts w:ascii="Calibri" w:cs="Calibri" w:eastAsia="Calibri" w:hAnsi="Calibri"/>
          <w:sz w:val="18"/>
          <w:szCs w:val="18"/>
          <w:rtl w:val="0"/>
        </w:rPr>
        <w:t xml:space="preserve">, Rappler, April 20, 2021, available at: </w:t>
      </w:r>
      <w:hyperlink r:id="rId37">
        <w:r w:rsidDel="00000000" w:rsidR="00000000" w:rsidRPr="00000000">
          <w:rPr>
            <w:rFonts w:ascii="Calibri" w:cs="Calibri" w:eastAsia="Calibri" w:hAnsi="Calibri"/>
            <w:color w:val="1155cc"/>
            <w:sz w:val="18"/>
            <w:szCs w:val="18"/>
            <w:u w:val="single"/>
            <w:rtl w:val="0"/>
          </w:rPr>
          <w:t xml:space="preserve">https://www.rappler.com/moveph/philippine-government-red-tagging-community-pantry-sparks-uproar-online</w:t>
        </w:r>
      </w:hyperlink>
      <w:r w:rsidDel="00000000" w:rsidR="00000000" w:rsidRPr="00000000">
        <w:rPr>
          <w:rFonts w:ascii="Calibri" w:cs="Calibri" w:eastAsia="Calibri" w:hAnsi="Calibri"/>
          <w:sz w:val="18"/>
          <w:szCs w:val="18"/>
          <w:rtl w:val="0"/>
        </w:rPr>
        <w:t xml:space="preserve"> (last accessed on August 6, 2021). </w:t>
      </w:r>
    </w:p>
  </w:footnote>
  <w:footnote w:id="28">
    <w:p w:rsidR="00000000" w:rsidDel="00000000" w:rsidP="00000000" w:rsidRDefault="00000000" w:rsidRPr="00000000" w14:paraId="000000B7">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Jairo Bolledo, </w:t>
      </w:r>
      <w:r w:rsidDel="00000000" w:rsidR="00000000" w:rsidRPr="00000000">
        <w:rPr>
          <w:rFonts w:ascii="Calibri" w:cs="Calibri" w:eastAsia="Calibri" w:hAnsi="Calibri"/>
          <w:i w:val="1"/>
          <w:sz w:val="18"/>
          <w:szCs w:val="18"/>
          <w:rtl w:val="0"/>
        </w:rPr>
        <w:t xml:space="preserve">Only days into operation, community pantries now face red-tagging, </w:t>
      </w:r>
      <w:r w:rsidDel="00000000" w:rsidR="00000000" w:rsidRPr="00000000">
        <w:rPr>
          <w:rFonts w:ascii="Calibri" w:cs="Calibri" w:eastAsia="Calibri" w:hAnsi="Calibri"/>
          <w:sz w:val="18"/>
          <w:szCs w:val="18"/>
          <w:rtl w:val="0"/>
        </w:rPr>
        <w:t xml:space="preserve">Rappler, April 20, 2021, available at: </w:t>
      </w:r>
      <w:hyperlink r:id="rId38">
        <w:r w:rsidDel="00000000" w:rsidR="00000000" w:rsidRPr="00000000">
          <w:rPr>
            <w:rFonts w:ascii="Calibri" w:cs="Calibri" w:eastAsia="Calibri" w:hAnsi="Calibri"/>
            <w:color w:val="1155cc"/>
            <w:sz w:val="18"/>
            <w:szCs w:val="18"/>
            <w:u w:val="single"/>
            <w:rtl w:val="0"/>
          </w:rPr>
          <w:t xml:space="preserve">https://www.rappler.com/nation/community-pantries-face-red-tagging-april-2021</w:t>
        </w:r>
      </w:hyperlink>
      <w:r w:rsidDel="00000000" w:rsidR="00000000" w:rsidRPr="00000000">
        <w:rPr>
          <w:rFonts w:ascii="Calibri" w:cs="Calibri" w:eastAsia="Calibri" w:hAnsi="Calibri"/>
          <w:sz w:val="18"/>
          <w:szCs w:val="18"/>
          <w:rtl w:val="0"/>
        </w:rPr>
        <w:t xml:space="preserve"> (last accessed on August 6, 2021). </w:t>
      </w:r>
    </w:p>
  </w:footnote>
  <w:footnote w:id="29">
    <w:p w:rsidR="00000000" w:rsidDel="00000000" w:rsidP="00000000" w:rsidRDefault="00000000" w:rsidRPr="00000000" w14:paraId="000000B8">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A statement was released by Vincent Calanoga, chief of the PNP’s human rights affairs office, apologizing to those who were affected by the profiling or red-tagging and saying that the officers were merely doing their job to monitor the situation within their areas of responsibility;  Edu Punay, </w:t>
      </w:r>
      <w:r w:rsidDel="00000000" w:rsidR="00000000" w:rsidRPr="00000000">
        <w:rPr>
          <w:rFonts w:ascii="Calibri" w:cs="Calibri" w:eastAsia="Calibri" w:hAnsi="Calibri"/>
          <w:i w:val="1"/>
          <w:sz w:val="18"/>
          <w:szCs w:val="18"/>
          <w:rtl w:val="0"/>
        </w:rPr>
        <w:t xml:space="preserve">PNP apologizes for community pantry red-tagging, </w:t>
      </w:r>
      <w:r w:rsidDel="00000000" w:rsidR="00000000" w:rsidRPr="00000000">
        <w:rPr>
          <w:rFonts w:ascii="Calibri" w:cs="Calibri" w:eastAsia="Calibri" w:hAnsi="Calibri"/>
          <w:sz w:val="18"/>
          <w:szCs w:val="18"/>
          <w:rtl w:val="0"/>
        </w:rPr>
        <w:t xml:space="preserve">PhilStar Global, available at: </w:t>
      </w:r>
      <w:hyperlink r:id="rId39">
        <w:r w:rsidDel="00000000" w:rsidR="00000000" w:rsidRPr="00000000">
          <w:rPr>
            <w:rFonts w:ascii="Calibri" w:cs="Calibri" w:eastAsia="Calibri" w:hAnsi="Calibri"/>
            <w:color w:val="1155cc"/>
            <w:sz w:val="18"/>
            <w:szCs w:val="18"/>
            <w:u w:val="single"/>
            <w:rtl w:val="0"/>
          </w:rPr>
          <w:t xml:space="preserve">https://www.philstar.com/headlines/2021/05/20/2099517/pnp-apologizes-community-pantry-red-tagging</w:t>
        </w:r>
      </w:hyperlink>
      <w:r w:rsidDel="00000000" w:rsidR="00000000" w:rsidRPr="00000000">
        <w:rPr>
          <w:rFonts w:ascii="Calibri" w:cs="Calibri" w:eastAsia="Calibri" w:hAnsi="Calibri"/>
          <w:sz w:val="18"/>
          <w:szCs w:val="18"/>
          <w:rtl w:val="0"/>
        </w:rPr>
        <w:t xml:space="preserve"> (last accessed on August 6, 2021)</w:t>
      </w:r>
    </w:p>
  </w:footnote>
  <w:footnote w:id="30">
    <w:p w:rsidR="00000000" w:rsidDel="00000000" w:rsidP="00000000" w:rsidRDefault="00000000" w:rsidRPr="00000000" w14:paraId="000000B9">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8"/>
          <w:szCs w:val="18"/>
          <w:rtl w:val="0"/>
        </w:rPr>
        <w:t xml:space="preserve"> Commission on Human Rights of the Philippines, Statement of CHR spokesperson Atty. Jacqueline Ann de Guia on allegations of attacks against women activists and progressive groups, 9 February 2019, </w:t>
      </w:r>
      <w:hyperlink r:id="rId40">
        <w:r w:rsidDel="00000000" w:rsidR="00000000" w:rsidRPr="00000000">
          <w:rPr>
            <w:rFonts w:ascii="Calibri" w:cs="Calibri" w:eastAsia="Calibri" w:hAnsi="Calibri"/>
            <w:color w:val="1155cc"/>
            <w:sz w:val="18"/>
            <w:szCs w:val="18"/>
            <w:u w:val="single"/>
            <w:rtl w:val="0"/>
          </w:rPr>
          <w:t xml:space="preserve">http://chr.gov.ph/statement-of-chr-spokesperson-atty-jacqueline-ann-de-guia-on-allegations-of-attacks-against-women-activists-and-progressive-groups/</w:t>
        </w:r>
      </w:hyperlink>
      <w:r w:rsidDel="00000000" w:rsidR="00000000" w:rsidRPr="00000000">
        <w:rPr>
          <w:rFonts w:ascii="Calibri" w:cs="Calibri" w:eastAsia="Calibri" w:hAnsi="Calibri"/>
          <w:sz w:val="18"/>
          <w:szCs w:val="18"/>
          <w:rtl w:val="0"/>
        </w:rPr>
        <w:t xml:space="preserve"> </w:t>
      </w:r>
    </w:p>
  </w:footnote>
  <w:footnote w:id="31">
    <w:p w:rsidR="00000000" w:rsidDel="00000000" w:rsidP="00000000" w:rsidRDefault="00000000" w:rsidRPr="00000000" w14:paraId="000000BA">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Anti-Terrorism Act of 2020, </w:t>
      </w:r>
      <w:r w:rsidDel="00000000" w:rsidR="00000000" w:rsidRPr="00000000">
        <w:rPr>
          <w:rFonts w:ascii="Calibri" w:cs="Calibri" w:eastAsia="Calibri" w:hAnsi="Calibri"/>
          <w:i w:val="1"/>
          <w:sz w:val="18"/>
          <w:szCs w:val="18"/>
          <w:rtl w:val="0"/>
        </w:rPr>
        <w:t xml:space="preserve">available at </w:t>
      </w:r>
      <w:hyperlink r:id="rId41">
        <w:r w:rsidDel="00000000" w:rsidR="00000000" w:rsidRPr="00000000">
          <w:rPr>
            <w:rFonts w:ascii="Calibri" w:cs="Calibri" w:eastAsia="Calibri" w:hAnsi="Calibri"/>
            <w:i w:val="1"/>
            <w:color w:val="1155cc"/>
            <w:sz w:val="18"/>
            <w:szCs w:val="18"/>
            <w:u w:val="single"/>
            <w:rtl w:val="0"/>
          </w:rPr>
          <w:t xml:space="preserve">https://lawphil.net/statutes/repacts/ra2020/pdf/ra_11479_2020.pdf</w:t>
        </w:r>
      </w:hyperlink>
      <w:r w:rsidDel="00000000" w:rsidR="00000000" w:rsidRPr="00000000">
        <w:rPr>
          <w:rFonts w:ascii="Calibri" w:cs="Calibri" w:eastAsia="Calibri" w:hAnsi="Calibri"/>
          <w:i w:val="1"/>
          <w:sz w:val="18"/>
          <w:szCs w:val="18"/>
          <w:rtl w:val="0"/>
        </w:rPr>
        <w:t xml:space="preserve"> ; </w:t>
      </w:r>
      <w:r w:rsidDel="00000000" w:rsidR="00000000" w:rsidRPr="00000000">
        <w:rPr>
          <w:rFonts w:ascii="Calibri" w:cs="Calibri" w:eastAsia="Calibri" w:hAnsi="Calibri"/>
          <w:sz w:val="18"/>
          <w:szCs w:val="18"/>
          <w:rtl w:val="0"/>
        </w:rPr>
        <w:t xml:space="preserve"> Under the law, persons who propose, incite, conspire, and participate in the planning, training, and facilitation an offence under the act, as well as those who provide support to ‘terrorists’ as defined under the act, or recruit members of a ‘terrorist organisation’, could face life imprisonment without parole. The law also allows suspects to be detained without a judicial warrant of arrest for 14 days and can be extended by 10 more days, and placed under surveillance for 60 days, that can also be extended by up to 30 days, by the police or military.</w:t>
      </w:r>
    </w:p>
  </w:footnote>
  <w:footnote w:id="32">
    <w:p w:rsidR="00000000" w:rsidDel="00000000" w:rsidP="00000000" w:rsidRDefault="00000000" w:rsidRPr="00000000" w14:paraId="000000B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during the 18 day campaign to end VAW in 2020, and in women’s month in 2021</w:t>
      </w:r>
    </w:p>
  </w:footnote>
  <w:footnote w:id="33">
    <w:p w:rsidR="00000000" w:rsidDel="00000000" w:rsidP="00000000" w:rsidRDefault="00000000" w:rsidRPr="00000000" w14:paraId="000000BC">
      <w:pPr>
        <w:spacing w:line="240" w:lineRule="auto"/>
        <w:jc w:val="both"/>
        <w:rPr>
          <w:rFonts w:ascii="Calibri" w:cs="Calibri" w:eastAsia="Calibri" w:hAnsi="Calibri"/>
          <w:i w:val="1"/>
          <w:color w:val="ff0000"/>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1st Semester Gender Ombud Report, January to June 2021</w:t>
      </w:r>
      <w:r w:rsidDel="00000000" w:rsidR="00000000" w:rsidRPr="00000000">
        <w:rPr>
          <w:rFonts w:ascii="Calibri" w:cs="Calibri" w:eastAsia="Calibri" w:hAnsi="Calibri"/>
          <w:color w:val="1f1f1f"/>
          <w:sz w:val="18"/>
          <w:szCs w:val="18"/>
          <w:rtl w:val="0"/>
        </w:rPr>
        <w:t xml:space="preserve">,</w:t>
      </w:r>
      <w:r w:rsidDel="00000000" w:rsidR="00000000" w:rsidRPr="00000000">
        <w:rPr>
          <w:rFonts w:ascii="Calibri" w:cs="Calibri" w:eastAsia="Calibri" w:hAnsi="Calibri"/>
          <w:color w:val="ff0000"/>
          <w:sz w:val="18"/>
          <w:szCs w:val="18"/>
          <w:rtl w:val="0"/>
        </w:rPr>
        <w:t xml:space="preserve"> </w:t>
      </w:r>
      <w:hyperlink r:id="rId42">
        <w:r w:rsidDel="00000000" w:rsidR="00000000" w:rsidRPr="00000000">
          <w:rPr>
            <w:rFonts w:ascii="Calibri" w:cs="Calibri" w:eastAsia="Calibri" w:hAnsi="Calibri"/>
            <w:color w:val="1155cc"/>
            <w:sz w:val="18"/>
            <w:szCs w:val="18"/>
            <w:u w:val="single"/>
            <w:rtl w:val="0"/>
          </w:rPr>
          <w:t xml:space="preserve">Gender Ombud 1stQ Sit 2021 • Page 1 • Commission on Human Rights (uwazi.io)</w:t>
        </w:r>
      </w:hyperlink>
      <w:r w:rsidDel="00000000" w:rsidR="00000000" w:rsidRPr="00000000">
        <w:rPr>
          <w:rFonts w:ascii="Calibri" w:cs="Calibri" w:eastAsia="Calibri" w:hAnsi="Calibri"/>
          <w:i w:val="1"/>
          <w:color w:val="ff0000"/>
          <w:sz w:val="18"/>
          <w:szCs w:val="18"/>
          <w:rtl w:val="0"/>
        </w:rPr>
        <w:t xml:space="preserve"> </w:t>
      </w:r>
    </w:p>
  </w:footnote>
  <w:footnote w:id="34">
    <w:p w:rsidR="00000000" w:rsidDel="00000000" w:rsidP="00000000" w:rsidRDefault="00000000" w:rsidRPr="00000000" w14:paraId="000000BD">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See: </w:t>
      </w:r>
      <w:hyperlink r:id="rId43">
        <w:r w:rsidDel="00000000" w:rsidR="00000000" w:rsidRPr="00000000">
          <w:rPr>
            <w:rFonts w:ascii="Calibri" w:cs="Calibri" w:eastAsia="Calibri" w:hAnsi="Calibri"/>
            <w:color w:val="1155cc"/>
            <w:sz w:val="18"/>
            <w:szCs w:val="18"/>
            <w:u w:val="single"/>
            <w:rtl w:val="0"/>
          </w:rPr>
          <w:t xml:space="preserve">https://chr.gov.ph/wp-content/uploads/2018/01/25-May-2016-CHR-issues-resolution-on-Rape-Joke-case.pdf</w:t>
        </w:r>
      </w:hyperlink>
      <w:r w:rsidDel="00000000" w:rsidR="00000000" w:rsidRPr="00000000">
        <w:rPr>
          <w:rFonts w:ascii="Calibri" w:cs="Calibri" w:eastAsia="Calibri" w:hAnsi="Calibri"/>
          <w:sz w:val="18"/>
          <w:szCs w:val="18"/>
          <w:rtl w:val="0"/>
        </w:rPr>
        <w:t xml:space="preserve"> </w:t>
      </w:r>
    </w:p>
  </w:footnote>
  <w:footnote w:id="35">
    <w:p w:rsidR="00000000" w:rsidDel="00000000" w:rsidP="00000000" w:rsidRDefault="00000000" w:rsidRPr="00000000" w14:paraId="000000BE">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Commission on Human Rights, CHR calls for end to ‘sexist, misogynistic’ campaigning, 26 April 2022, </w:t>
      </w:r>
      <w:r w:rsidDel="00000000" w:rsidR="00000000" w:rsidRPr="00000000">
        <w:rPr>
          <w:rFonts w:ascii="Calibri" w:cs="Calibri" w:eastAsia="Calibri" w:hAnsi="Calibri"/>
          <w:i w:val="1"/>
          <w:sz w:val="18"/>
          <w:szCs w:val="18"/>
          <w:rtl w:val="0"/>
        </w:rPr>
        <w:t xml:space="preserve">available at </w:t>
      </w:r>
      <w:hyperlink r:id="rId44">
        <w:r w:rsidDel="00000000" w:rsidR="00000000" w:rsidRPr="00000000">
          <w:rPr>
            <w:rFonts w:ascii="Calibri" w:cs="Calibri" w:eastAsia="Calibri" w:hAnsi="Calibri"/>
            <w:color w:val="1155cc"/>
            <w:sz w:val="18"/>
            <w:szCs w:val="18"/>
            <w:u w:val="single"/>
            <w:rtl w:val="0"/>
          </w:rPr>
          <w:t xml:space="preserve">https://ptvnews.ph/chr-calls-for-end-to-sexist-misogynistic-campaigning/</w:t>
        </w:r>
      </w:hyperlink>
      <w:r w:rsidDel="00000000" w:rsidR="00000000" w:rsidRPr="00000000">
        <w:rPr>
          <w:rFonts w:ascii="Calibri" w:cs="Calibri" w:eastAsia="Calibri" w:hAnsi="Calibri"/>
          <w:sz w:val="18"/>
          <w:szCs w:val="18"/>
          <w:rtl w:val="0"/>
        </w:rPr>
        <w:t xml:space="preserve"> </w:t>
      </w:r>
    </w:p>
  </w:footnote>
  <w:footnote w:id="36">
    <w:p w:rsidR="00000000" w:rsidDel="00000000" w:rsidP="00000000" w:rsidRDefault="00000000" w:rsidRPr="00000000" w14:paraId="000000BF">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Panaghoy: the war on drugs from the perspective of women and children, 2021, </w:t>
      </w:r>
      <w:hyperlink r:id="rId45">
        <w:r w:rsidDel="00000000" w:rsidR="00000000" w:rsidRPr="00000000">
          <w:rPr>
            <w:rFonts w:ascii="Calibri" w:cs="Calibri" w:eastAsia="Calibri" w:hAnsi="Calibri"/>
            <w:color w:val="1155cc"/>
            <w:sz w:val="18"/>
            <w:szCs w:val="18"/>
            <w:u w:val="single"/>
            <w:rtl w:val="0"/>
          </w:rPr>
          <w:t xml:space="preserve">https://chr-observatories.uwazi.io/en/entity/o8sar1wwby</w:t>
        </w:r>
      </w:hyperlink>
      <w:r w:rsidDel="00000000" w:rsidR="00000000" w:rsidRPr="00000000">
        <w:rPr>
          <w:rFonts w:ascii="Calibri" w:cs="Calibri" w:eastAsia="Calibri" w:hAnsi="Calibri"/>
          <w:sz w:val="18"/>
          <w:szCs w:val="18"/>
          <w:rtl w:val="0"/>
        </w:rPr>
        <w:t xml:space="preserve">  </w:t>
      </w:r>
    </w:p>
  </w:footnote>
  <w:footnote w:id="37">
    <w:p w:rsidR="00000000" w:rsidDel="00000000" w:rsidP="00000000" w:rsidRDefault="00000000" w:rsidRPr="00000000" w14:paraId="000000C0">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Id. pg 59</w:t>
      </w:r>
    </w:p>
    <w:p w:rsidR="00000000" w:rsidDel="00000000" w:rsidP="00000000" w:rsidRDefault="00000000" w:rsidRPr="00000000" w14:paraId="000000C1">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also: Situation of human rights in the Philippines: Report of the United Nations HIgh Commissioner for Human Rights, 2020  A/HRC/40/37 </w:t>
      </w:r>
      <w:hyperlink r:id="rId46">
        <w:r w:rsidDel="00000000" w:rsidR="00000000" w:rsidRPr="00000000">
          <w:rPr>
            <w:rFonts w:ascii="Calibri" w:cs="Calibri" w:eastAsia="Calibri" w:hAnsi="Calibri"/>
            <w:color w:val="1155cc"/>
            <w:sz w:val="18"/>
            <w:szCs w:val="18"/>
            <w:u w:val="single"/>
            <w:rtl w:val="0"/>
          </w:rPr>
          <w:t xml:space="preserve">https://www.ohchr.org/sites/default/files/HRBodies/HRC/RegularSessions/Session44/Documents/A_HRC_44-22.docx</w:t>
        </w:r>
      </w:hyperlink>
      <w:r w:rsidDel="00000000" w:rsidR="00000000" w:rsidRPr="00000000">
        <w:rPr>
          <w:rFonts w:ascii="Calibri" w:cs="Calibri" w:eastAsia="Calibri" w:hAnsi="Calibri"/>
          <w:sz w:val="18"/>
          <w:szCs w:val="18"/>
          <w:rtl w:val="0"/>
        </w:rPr>
        <w:t xml:space="preserve"> </w:t>
      </w:r>
    </w:p>
  </w:footnote>
  <w:footnote w:id="38">
    <w:p w:rsidR="00000000" w:rsidDel="00000000" w:rsidP="00000000" w:rsidRDefault="00000000" w:rsidRPr="00000000" w14:paraId="000000C2">
      <w:pPr>
        <w:spacing w:line="240" w:lineRule="auto"/>
        <w:jc w:val="both"/>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Commission on Human Rights, Inside Stories – A Report on the Situation of Women Deprived of Liberty from Select Detention Facilities, </w:t>
      </w:r>
      <w:r w:rsidDel="00000000" w:rsidR="00000000" w:rsidRPr="00000000">
        <w:rPr>
          <w:rFonts w:ascii="Calibri" w:cs="Calibri" w:eastAsia="Calibri" w:hAnsi="Calibri"/>
          <w:i w:val="1"/>
          <w:sz w:val="18"/>
          <w:szCs w:val="18"/>
          <w:rtl w:val="0"/>
        </w:rPr>
        <w:t xml:space="preserve">available at </w:t>
      </w:r>
      <w:hyperlink r:id="rId47">
        <w:r w:rsidDel="00000000" w:rsidR="00000000" w:rsidRPr="00000000">
          <w:rPr>
            <w:rFonts w:ascii="Calibri" w:cs="Calibri" w:eastAsia="Calibri" w:hAnsi="Calibri"/>
            <w:i w:val="1"/>
            <w:color w:val="1155cc"/>
            <w:sz w:val="18"/>
            <w:szCs w:val="18"/>
            <w:u w:val="single"/>
            <w:rtl w:val="0"/>
          </w:rPr>
          <w:t xml:space="preserve">https://chr.gov.ph/wp-content/uploads/2022/01/Inside-Stories-A-Report-on-the-Situation-of-Women-Deprived-of-Liberty-from-Select-Detention-Facilities.pdf</w:t>
        </w:r>
      </w:hyperlink>
      <w:r w:rsidDel="00000000" w:rsidR="00000000" w:rsidRPr="00000000">
        <w:rPr>
          <w:rFonts w:ascii="Calibri" w:cs="Calibri" w:eastAsia="Calibri" w:hAnsi="Calibri"/>
          <w:i w:val="1"/>
          <w:sz w:val="18"/>
          <w:szCs w:val="18"/>
          <w:rtl w:val="0"/>
        </w:rPr>
        <w:t xml:space="preserve"> </w:t>
      </w:r>
    </w:p>
  </w:footnote>
  <w:footnote w:id="39">
    <w:p w:rsidR="00000000" w:rsidDel="00000000" w:rsidP="00000000" w:rsidRDefault="00000000" w:rsidRPr="00000000" w14:paraId="000000C3">
      <w:pPr>
        <w:spacing w:line="240" w:lineRule="auto"/>
        <w:jc w:val="both"/>
        <w:rPr>
          <w:rFonts w:ascii="Calibri" w:cs="Calibri" w:eastAsia="Calibri" w:hAnsi="Calibri"/>
          <w:color w:val="0563c1"/>
          <w:sz w:val="18"/>
          <w:szCs w:val="18"/>
          <w:u w:val="single"/>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color w:val="0563c1"/>
          <w:sz w:val="18"/>
          <w:szCs w:val="18"/>
          <w:u w:val="single"/>
          <w:rtl w:val="0"/>
        </w:rPr>
        <w:t xml:space="preserve">C</w:t>
      </w:r>
      <w:hyperlink r:id="rId48">
        <w:r w:rsidDel="00000000" w:rsidR="00000000" w:rsidRPr="00000000">
          <w:rPr>
            <w:rFonts w:ascii="Calibri" w:cs="Calibri" w:eastAsia="Calibri" w:hAnsi="Calibri"/>
            <w:color w:val="0563c1"/>
            <w:sz w:val="18"/>
            <w:szCs w:val="18"/>
            <w:u w:val="single"/>
            <w:rtl w:val="0"/>
          </w:rPr>
          <w:t xml:space="preserve">ommission on Human Rights</w:t>
        </w:r>
      </w:hyperlink>
      <w:hyperlink r:id="rId49">
        <w:r w:rsidDel="00000000" w:rsidR="00000000" w:rsidRPr="00000000">
          <w:rPr>
            <w:rFonts w:ascii="Calibri" w:cs="Calibri" w:eastAsia="Calibri" w:hAnsi="Calibri"/>
            <w:i w:val="1"/>
            <w:color w:val="0563c1"/>
            <w:sz w:val="18"/>
            <w:szCs w:val="18"/>
            <w:u w:val="single"/>
            <w:rtl w:val="0"/>
          </w:rPr>
          <w:t xml:space="preserve">.Gender Ombud Advisory: Comments of the Commission on Human Rights to the CEDAW Committee Draft on General Recommendation 19 (1992): Accelerating elimination of gender-based violence against women. </w:t>
        </w:r>
      </w:hyperlink>
      <w:hyperlink r:id="rId50">
        <w:r w:rsidDel="00000000" w:rsidR="00000000" w:rsidRPr="00000000">
          <w:rPr>
            <w:rFonts w:ascii="Calibri" w:cs="Calibri" w:eastAsia="Calibri" w:hAnsi="Calibri"/>
            <w:color w:val="0563c1"/>
            <w:sz w:val="18"/>
            <w:szCs w:val="18"/>
            <w:u w:val="single"/>
            <w:rtl w:val="0"/>
          </w:rPr>
          <w:t xml:space="preserve">2015.</w:t>
        </w:r>
      </w:hyperlink>
      <w:r w:rsidDel="00000000" w:rsidR="00000000" w:rsidRPr="00000000">
        <w:rPr>
          <w:rtl w:val="0"/>
        </w:rPr>
      </w:r>
    </w:p>
  </w:footnote>
  <w:footnote w:id="40">
    <w:p w:rsidR="00000000" w:rsidDel="00000000" w:rsidP="00000000" w:rsidRDefault="00000000" w:rsidRPr="00000000" w14:paraId="000000C4">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Gender Ombud Situationer  2020, </w:t>
      </w:r>
      <w:r w:rsidDel="00000000" w:rsidR="00000000" w:rsidRPr="00000000">
        <w:rPr>
          <w:rFonts w:ascii="Calibri" w:cs="Calibri" w:eastAsia="Calibri" w:hAnsi="Calibri"/>
          <w:i w:val="1"/>
          <w:sz w:val="18"/>
          <w:szCs w:val="18"/>
          <w:rtl w:val="0"/>
        </w:rPr>
        <w:t xml:space="preserve">available at </w:t>
      </w:r>
      <w:hyperlink r:id="rId51">
        <w:r w:rsidDel="00000000" w:rsidR="00000000" w:rsidRPr="00000000">
          <w:rPr>
            <w:rFonts w:ascii="Calibri" w:cs="Calibri" w:eastAsia="Calibri" w:hAnsi="Calibri"/>
            <w:i w:val="1"/>
            <w:color w:val="1155cc"/>
            <w:sz w:val="18"/>
            <w:szCs w:val="18"/>
            <w:u w:val="single"/>
            <w:rtl w:val="0"/>
          </w:rPr>
          <w:t xml:space="preserve">https://chr.gov.ph/wp-content/uploads/2022/06/2020.-Gender-Ombud-Situationer.pdf</w:t>
        </w:r>
      </w:hyperlink>
      <w:r w:rsidDel="00000000" w:rsidR="00000000" w:rsidRPr="00000000">
        <w:rPr>
          <w:rFonts w:ascii="Calibri" w:cs="Calibri" w:eastAsia="Calibri" w:hAnsi="Calibri"/>
          <w:i w:val="1"/>
          <w:sz w:val="18"/>
          <w:szCs w:val="18"/>
          <w:rtl w:val="0"/>
        </w:rPr>
        <w:t xml:space="preserve"> </w:t>
      </w:r>
      <w:r w:rsidDel="00000000" w:rsidR="00000000" w:rsidRPr="00000000">
        <w:rPr>
          <w:rtl w:val="0"/>
        </w:rPr>
      </w:r>
    </w:p>
  </w:footnote>
  <w:footnote w:id="41">
    <w:p w:rsidR="00000000" w:rsidDel="00000000" w:rsidP="00000000" w:rsidRDefault="00000000" w:rsidRPr="00000000" w14:paraId="000000C5">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Telling our Own Stories, Report on the CHR National Inquity on Reproductive Health and Rights of Women, </w:t>
      </w:r>
      <w:r w:rsidDel="00000000" w:rsidR="00000000" w:rsidRPr="00000000">
        <w:rPr>
          <w:rFonts w:ascii="Calibri" w:cs="Calibri" w:eastAsia="Calibri" w:hAnsi="Calibri"/>
          <w:i w:val="1"/>
          <w:sz w:val="18"/>
          <w:szCs w:val="18"/>
          <w:rtl w:val="0"/>
        </w:rPr>
        <w:t xml:space="preserve">available at </w:t>
      </w:r>
      <w:hyperlink r:id="rId52">
        <w:r w:rsidDel="00000000" w:rsidR="00000000" w:rsidRPr="00000000">
          <w:rPr>
            <w:rFonts w:ascii="Calibri" w:cs="Calibri" w:eastAsia="Calibri" w:hAnsi="Calibri"/>
            <w:color w:val="1155cc"/>
            <w:sz w:val="18"/>
            <w:szCs w:val="18"/>
            <w:u w:val="single"/>
            <w:rtl w:val="0"/>
          </w:rPr>
          <w:t xml:space="preserve">https://chr.gov.ph/wp-content/uploads/2022/01/Telling-our-Own-Stories-Report-on-the-CHR-National-Inquiry-on-the-Reproductive-Health-and-Rights-of-Women-with-Disabilities.pdf</w:t>
        </w:r>
      </w:hyperlink>
      <w:r w:rsidDel="00000000" w:rsidR="00000000" w:rsidRPr="00000000">
        <w:rPr>
          <w:rFonts w:ascii="Calibri" w:cs="Calibri" w:eastAsia="Calibri" w:hAnsi="Calibri"/>
          <w:sz w:val="18"/>
          <w:szCs w:val="18"/>
          <w:rtl w:val="0"/>
        </w:rPr>
        <w:t xml:space="preserve"> </w:t>
      </w:r>
    </w:p>
  </w:footnote>
  <w:footnote w:id="42">
    <w:p w:rsidR="00000000" w:rsidDel="00000000" w:rsidP="00000000" w:rsidRDefault="00000000" w:rsidRPr="00000000" w14:paraId="000000C6">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RA An Act Declaring Filipino Sign Language as the Official Sign Language of the Government. July 2018. Section 6 provides for FSL in the justice system and section 9 provides for FSL in the health systems. Both provisions task the state to ensure access to sign language interpreters and the development of specific programs to be adopted pursuant to the law. See here: </w:t>
      </w:r>
      <w:hyperlink r:id="rId53">
        <w:r w:rsidDel="00000000" w:rsidR="00000000" w:rsidRPr="00000000">
          <w:rPr>
            <w:rFonts w:ascii="Calibri" w:cs="Calibri" w:eastAsia="Calibri" w:hAnsi="Calibri"/>
            <w:color w:val="1155cc"/>
            <w:sz w:val="18"/>
            <w:szCs w:val="18"/>
            <w:u w:val="single"/>
            <w:rtl w:val="0"/>
          </w:rPr>
          <w:t xml:space="preserve">https://www.ncda.gov.ph/disability-laws/republic-acts/ra-11106/</w:t>
        </w:r>
      </w:hyperlink>
      <w:r w:rsidDel="00000000" w:rsidR="00000000" w:rsidRPr="00000000">
        <w:rPr>
          <w:rtl w:val="0"/>
        </w:rPr>
      </w:r>
    </w:p>
  </w:footnote>
  <w:footnote w:id="43">
    <w:p w:rsidR="00000000" w:rsidDel="00000000" w:rsidP="00000000" w:rsidRDefault="00000000" w:rsidRPr="00000000" w14:paraId="000000C7">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RA 11313, An Act Defining Gender-Based Sexual Harassment in Sterets, Public Spaces, Online, Workplaces, and Educational or Training Institutions, Providing Protective Measures and Prescribing Penalties Therefor, </w:t>
      </w:r>
      <w:r w:rsidDel="00000000" w:rsidR="00000000" w:rsidRPr="00000000">
        <w:rPr>
          <w:rFonts w:ascii="Calibri" w:cs="Calibri" w:eastAsia="Calibri" w:hAnsi="Calibri"/>
          <w:i w:val="1"/>
          <w:sz w:val="18"/>
          <w:szCs w:val="18"/>
          <w:rtl w:val="0"/>
        </w:rPr>
        <w:t xml:space="preserve">available at </w:t>
      </w:r>
      <w:r w:rsidDel="00000000" w:rsidR="00000000" w:rsidRPr="00000000">
        <w:rPr>
          <w:rtl w:val="0"/>
        </w:rPr>
      </w:r>
    </w:p>
    <w:p w:rsidR="00000000" w:rsidDel="00000000" w:rsidP="00000000" w:rsidRDefault="00000000" w:rsidRPr="00000000" w14:paraId="000000C8">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 </w:t>
      </w:r>
      <w:hyperlink r:id="rId54">
        <w:r w:rsidDel="00000000" w:rsidR="00000000" w:rsidRPr="00000000">
          <w:rPr>
            <w:rFonts w:ascii="Calibri" w:cs="Calibri" w:eastAsia="Calibri" w:hAnsi="Calibri"/>
            <w:color w:val="1155cc"/>
            <w:sz w:val="18"/>
            <w:szCs w:val="18"/>
            <w:u w:val="single"/>
            <w:rtl w:val="0"/>
          </w:rPr>
          <w:t xml:space="preserve">https://www.officialgazette.gov.ph/2019/04/17/republic-act-no-11313/</w:t>
        </w:r>
      </w:hyperlink>
      <w:r w:rsidDel="00000000" w:rsidR="00000000" w:rsidRPr="00000000">
        <w:rPr>
          <w:rFonts w:ascii="Calibri" w:cs="Calibri" w:eastAsia="Calibri" w:hAnsi="Calibri"/>
          <w:sz w:val="18"/>
          <w:szCs w:val="18"/>
          <w:rtl w:val="0"/>
        </w:rPr>
        <w:t xml:space="preserve"> </w:t>
      </w:r>
    </w:p>
  </w:footnote>
  <w:footnote w:id="44">
    <w:p w:rsidR="00000000" w:rsidDel="00000000" w:rsidP="00000000" w:rsidRDefault="00000000" w:rsidRPr="00000000" w14:paraId="000000C9">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RA 11596 An Act prohibiting the practice of child marriage and imposing penalties for the violations thereof. 2022. Accessed a</w:t>
      </w:r>
      <w:hyperlink r:id="rId55">
        <w:r w:rsidDel="00000000" w:rsidR="00000000" w:rsidRPr="00000000">
          <w:rPr>
            <w:rFonts w:ascii="Calibri" w:cs="Calibri" w:eastAsia="Calibri" w:hAnsi="Calibri"/>
            <w:color w:val="1155cc"/>
            <w:sz w:val="18"/>
            <w:szCs w:val="18"/>
            <w:u w:val="single"/>
            <w:rtl w:val="0"/>
          </w:rPr>
          <w:t xml:space="preserve">t:https://pcw.gov.ph/republic-act-11596-an-act-prohibiting-the-practice-of-child-marriage-and-imposing-penalties-for-violations-thereof/ </w:t>
        </w:r>
      </w:hyperlink>
      <w:r w:rsidDel="00000000" w:rsidR="00000000" w:rsidRPr="00000000">
        <w:rPr>
          <w:rtl w:val="0"/>
        </w:rPr>
      </w:r>
    </w:p>
  </w:footnote>
  <w:footnote w:id="45">
    <w:p w:rsidR="00000000" w:rsidDel="00000000" w:rsidP="00000000" w:rsidRDefault="00000000" w:rsidRPr="00000000" w14:paraId="000000CA">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T</w:t>
      </w:r>
      <w:r w:rsidDel="00000000" w:rsidR="00000000" w:rsidRPr="00000000">
        <w:rPr>
          <w:rFonts w:ascii="Calibri" w:cs="Calibri" w:eastAsia="Calibri" w:hAnsi="Calibri"/>
          <w:sz w:val="18"/>
          <w:szCs w:val="18"/>
          <w:rtl w:val="0"/>
        </w:rPr>
        <w:t xml:space="preserve">he Safe Spaces Act (RA 11313) tasks local government units to adopt local ordinances to implement the law. </w:t>
      </w:r>
    </w:p>
  </w:footnote>
  <w:footnote w:id="46">
    <w:p w:rsidR="00000000" w:rsidDel="00000000" w:rsidP="00000000" w:rsidRDefault="00000000" w:rsidRPr="00000000" w14:paraId="000000C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Statement of the CHR Center for Gender Equality and Women’s Human Rights - Gender Ombud Celebrates law against child marriage; alarmed of BTA members’ plea for veto. 27 January 2022. Accessed at </w:t>
      </w:r>
      <w:hyperlink r:id="rId56">
        <w:r w:rsidDel="00000000" w:rsidR="00000000" w:rsidRPr="00000000">
          <w:rPr>
            <w:rFonts w:ascii="Calibri" w:cs="Calibri" w:eastAsia="Calibri" w:hAnsi="Calibri"/>
            <w:color w:val="1155cc"/>
            <w:sz w:val="18"/>
            <w:szCs w:val="18"/>
            <w:u w:val="single"/>
            <w:rtl w:val="0"/>
          </w:rPr>
          <w:t xml:space="preserve">https://chr.gov.ph/statement-of-the-chr-center-for-gender-equality-and-womens-human-rights-gender-ombud-celebrates-law-against-child-marriage-alarmed-of-bta-members-plea-for-veto/</w:t>
        </w:r>
      </w:hyperlink>
      <w:r w:rsidDel="00000000" w:rsidR="00000000" w:rsidRPr="00000000">
        <w:rPr>
          <w:rtl w:val="0"/>
        </w:rPr>
      </w:r>
    </w:p>
  </w:footnote>
  <w:footnote w:id="47">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i w:val="0"/>
          <w:smallCaps w:val="0"/>
          <w:strike w:val="0"/>
          <w:color w:val="000000"/>
          <w:sz w:val="18"/>
          <w:szCs w:val="18"/>
          <w:u w:val="none"/>
          <w:shd w:fill="auto" w:val="clear"/>
          <w:vertAlign w:val="baseline"/>
          <w:rtl w:val="0"/>
        </w:rPr>
        <w:t xml:space="preserve"> </w:t>
      </w:r>
      <w:r w:rsidDel="00000000" w:rsidR="00000000" w:rsidRPr="00000000">
        <w:rPr>
          <w:rFonts w:ascii="Calibri" w:cs="Calibri" w:eastAsia="Calibri" w:hAnsi="Calibri"/>
          <w:i w:val="0"/>
          <w:smallCaps w:val="0"/>
          <w:strike w:val="0"/>
          <w:color w:val="000000"/>
          <w:sz w:val="18"/>
          <w:szCs w:val="18"/>
          <w:highlight w:val="white"/>
          <w:u w:val="none"/>
          <w:vertAlign w:val="baseline"/>
          <w:rtl w:val="0"/>
        </w:rPr>
        <w:t xml:space="preserve">Lucban, Quezon, Police Station, Region IV</w:t>
      </w:r>
      <w:r w:rsidDel="00000000" w:rsidR="00000000" w:rsidRPr="00000000">
        <w:rPr>
          <w:rtl w:val="0"/>
        </w:rPr>
      </w:r>
    </w:p>
  </w:footnote>
  <w:footnote w:id="48">
    <w:p w:rsidR="00000000" w:rsidDel="00000000" w:rsidP="00000000" w:rsidRDefault="00000000" w:rsidRPr="00000000" w14:paraId="000000CD">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Supra Note 19</w:t>
      </w:r>
    </w:p>
  </w:footnote>
  <w:footnote w:id="49">
    <w:p w:rsidR="00000000" w:rsidDel="00000000" w:rsidP="00000000" w:rsidRDefault="00000000" w:rsidRPr="00000000" w14:paraId="000000CE">
      <w:pPr>
        <w:spacing w:line="240" w:lineRule="auto"/>
        <w:jc w:val="both"/>
        <w:rPr>
          <w:rFonts w:ascii="Calibri" w:cs="Calibri" w:eastAsia="Calibri" w:hAnsi="Calibri"/>
          <w:color w:val="ff0000"/>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CHRP. Making Data Work for Women. Report of 2019  Regional Mapping of GBV Legal Referral Mechanisms. </w:t>
      </w:r>
      <w:hyperlink r:id="rId57">
        <w:r w:rsidDel="00000000" w:rsidR="00000000" w:rsidRPr="00000000">
          <w:rPr>
            <w:rFonts w:ascii="Calibri" w:cs="Calibri" w:eastAsia="Calibri" w:hAnsi="Calibri"/>
            <w:color w:val="1155cc"/>
            <w:sz w:val="18"/>
            <w:szCs w:val="18"/>
            <w:u w:val="single"/>
            <w:rtl w:val="0"/>
          </w:rPr>
          <w:t xml:space="preserve">https://chr-observatories.uwazi.io/en/entity/7z8z6medgjg</w:t>
        </w:r>
      </w:hyperlink>
      <w:r w:rsidDel="00000000" w:rsidR="00000000" w:rsidRPr="00000000">
        <w:rPr>
          <w:rtl w:val="0"/>
        </w:rPr>
      </w:r>
    </w:p>
  </w:footnote>
  <w:footnote w:id="50">
    <w:p w:rsidR="00000000" w:rsidDel="00000000" w:rsidP="00000000" w:rsidRDefault="00000000" w:rsidRPr="00000000" w14:paraId="000000CF">
      <w:pPr>
        <w:spacing w:line="240" w:lineRule="auto"/>
        <w:jc w:val="both"/>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r w:rsidDel="00000000" w:rsidR="00000000" w:rsidRPr="00000000">
        <w:rPr>
          <w:rFonts w:ascii="Calibri" w:cs="Calibri" w:eastAsia="Calibri" w:hAnsi="Calibri"/>
          <w:i w:val="1"/>
          <w:sz w:val="18"/>
          <w:szCs w:val="18"/>
          <w:rtl w:val="0"/>
        </w:rPr>
        <w:t xml:space="preserve">Id. </w:t>
      </w:r>
    </w:p>
  </w:footnote>
  <w:footnote w:id="51">
    <w:p w:rsidR="00000000" w:rsidDel="00000000" w:rsidP="00000000" w:rsidRDefault="00000000" w:rsidRPr="00000000" w14:paraId="000000D0">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Supra Note 15</w:t>
      </w:r>
    </w:p>
  </w:footnote>
  <w:footnote w:id="52">
    <w:p w:rsidR="00000000" w:rsidDel="00000000" w:rsidP="00000000" w:rsidRDefault="00000000" w:rsidRPr="00000000" w14:paraId="000000D1">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Guidance 'COVID-19: How to Include Marginalized and Vulnerable People in Risk Communication and Community Engagement' March 2020. </w:t>
      </w:r>
      <w:hyperlink r:id="rId58">
        <w:r w:rsidDel="00000000" w:rsidR="00000000" w:rsidRPr="00000000">
          <w:rPr>
            <w:rFonts w:ascii="Calibri" w:cs="Calibri" w:eastAsia="Calibri" w:hAnsi="Calibri"/>
            <w:color w:val="1155cc"/>
            <w:sz w:val="18"/>
            <w:szCs w:val="18"/>
            <w:u w:val="single"/>
            <w:rtl w:val="0"/>
          </w:rPr>
          <w:t xml:space="preserve">https://www.humanitarianresponse.info/ru/operations/ukraine/document/rcce-guidance-covid-19-how-include-marginalized-and-vulnerable-people</w:t>
        </w:r>
      </w:hyperlink>
      <w:r w:rsidDel="00000000" w:rsidR="00000000" w:rsidRPr="00000000">
        <w:rPr>
          <w:rFonts w:ascii="Calibri" w:cs="Calibri" w:eastAsia="Calibri" w:hAnsi="Calibri"/>
          <w:sz w:val="18"/>
          <w:szCs w:val="18"/>
          <w:rtl w:val="0"/>
        </w:rPr>
        <w:t xml:space="preserve">  as cited in Gender Ombud Situationer 2020, </w:t>
      </w:r>
      <w:r w:rsidDel="00000000" w:rsidR="00000000" w:rsidRPr="00000000">
        <w:rPr>
          <w:rFonts w:ascii="Calibri" w:cs="Calibri" w:eastAsia="Calibri" w:hAnsi="Calibri"/>
          <w:i w:val="1"/>
          <w:sz w:val="18"/>
          <w:szCs w:val="18"/>
          <w:rtl w:val="0"/>
        </w:rPr>
        <w:t xml:space="preserve">available at </w:t>
      </w:r>
      <w:r w:rsidDel="00000000" w:rsidR="00000000" w:rsidRPr="00000000">
        <w:rPr>
          <w:rFonts w:ascii="Calibri" w:cs="Calibri" w:eastAsia="Calibri" w:hAnsi="Calibri"/>
          <w:sz w:val="18"/>
          <w:szCs w:val="18"/>
          <w:rtl w:val="0"/>
        </w:rPr>
        <w:t xml:space="preserve">Commission on Human Rights, </w:t>
      </w:r>
      <w:hyperlink r:id="rId59">
        <w:r w:rsidDel="00000000" w:rsidR="00000000" w:rsidRPr="00000000">
          <w:rPr>
            <w:rFonts w:ascii="Calibri" w:cs="Calibri" w:eastAsia="Calibri" w:hAnsi="Calibri"/>
            <w:i w:val="1"/>
            <w:color w:val="1155cc"/>
            <w:sz w:val="18"/>
            <w:szCs w:val="18"/>
            <w:u w:val="single"/>
            <w:rtl w:val="0"/>
          </w:rPr>
          <w:t xml:space="preserve">https://chr.gov.ph/wp-content/uploads/2022/06/2020.-Gender-Ombud-Situationer.pdf</w:t>
        </w:r>
      </w:hyperlink>
      <w:r w:rsidDel="00000000" w:rsidR="00000000" w:rsidRPr="00000000">
        <w:rPr>
          <w:rFonts w:ascii="Calibri" w:cs="Calibri" w:eastAsia="Calibri" w:hAnsi="Calibri"/>
          <w:i w:val="1"/>
          <w:sz w:val="18"/>
          <w:szCs w:val="18"/>
          <w:rtl w:val="0"/>
        </w:rPr>
        <w:t xml:space="preserve"> </w:t>
      </w:r>
      <w:r w:rsidDel="00000000" w:rsidR="00000000" w:rsidRPr="00000000">
        <w:rPr>
          <w:rtl w:val="0"/>
        </w:rPr>
      </w:r>
    </w:p>
  </w:footnote>
  <w:footnote w:id="53">
    <w:p w:rsidR="00000000" w:rsidDel="00000000" w:rsidP="00000000" w:rsidRDefault="00000000" w:rsidRPr="00000000" w14:paraId="000000D2">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CHRP.</w:t>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Gender Ombud Situationer 2020, p. 23 </w:t>
      </w:r>
      <w:r w:rsidDel="00000000" w:rsidR="00000000" w:rsidRPr="00000000">
        <w:rPr>
          <w:rFonts w:ascii="Calibri" w:cs="Calibri" w:eastAsia="Calibri" w:hAnsi="Calibri"/>
          <w:i w:val="1"/>
          <w:sz w:val="18"/>
          <w:szCs w:val="18"/>
          <w:rtl w:val="0"/>
        </w:rPr>
        <w:t xml:space="preserve">available at </w:t>
      </w:r>
      <w:r w:rsidDel="00000000" w:rsidR="00000000" w:rsidRPr="00000000">
        <w:rPr>
          <w:rFonts w:ascii="Calibri" w:cs="Calibri" w:eastAsia="Calibri" w:hAnsi="Calibri"/>
          <w:sz w:val="18"/>
          <w:szCs w:val="18"/>
          <w:rtl w:val="0"/>
        </w:rPr>
        <w:t xml:space="preserve">Commission on Human Rights, </w:t>
      </w:r>
      <w:hyperlink r:id="rId60">
        <w:r w:rsidDel="00000000" w:rsidR="00000000" w:rsidRPr="00000000">
          <w:rPr>
            <w:rFonts w:ascii="Calibri" w:cs="Calibri" w:eastAsia="Calibri" w:hAnsi="Calibri"/>
            <w:i w:val="1"/>
            <w:color w:val="1155cc"/>
            <w:sz w:val="18"/>
            <w:szCs w:val="18"/>
            <w:u w:val="single"/>
            <w:rtl w:val="0"/>
          </w:rPr>
          <w:t xml:space="preserve">https://chr.gov.ph/wp-content/uploads/2022/06/2020.-Gender-Ombud-Situationer.pdf</w:t>
        </w:r>
      </w:hyperlink>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 Halili, Nadine. Everything you need to know about the Fabel Pineda case. Preen. 6 July 2020. https://preen.ph/113200/fabel-pineda-case</w:t>
      </w:r>
    </w:p>
  </w:footnote>
  <w:footnote w:id="54">
    <w:p w:rsidR="00000000" w:rsidDel="00000000" w:rsidP="00000000" w:rsidRDefault="00000000" w:rsidRPr="00000000" w14:paraId="000000D3">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CHRP.</w:t>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 Gender Ombud Situationer 1st Sem 2021, p. 10, accessed at: </w:t>
      </w:r>
      <w:hyperlink r:id="rId61">
        <w:r w:rsidDel="00000000" w:rsidR="00000000" w:rsidRPr="00000000">
          <w:rPr>
            <w:rFonts w:ascii="Calibri" w:cs="Calibri" w:eastAsia="Calibri" w:hAnsi="Calibri"/>
            <w:i w:val="1"/>
            <w:color w:val="1155cc"/>
            <w:sz w:val="18"/>
            <w:szCs w:val="18"/>
            <w:u w:val="single"/>
            <w:rtl w:val="0"/>
          </w:rPr>
          <w:t xml:space="preserve">https://chr.gov.ph/wp-content/uploads/2022/06/2021.Gender-Ombud-1stQ-Sit-2021.pdf</w:t>
        </w:r>
      </w:hyperlink>
      <w:r w:rsidDel="00000000" w:rsidR="00000000" w:rsidRPr="00000000">
        <w:rPr>
          <w:sz w:val="20"/>
          <w:szCs w:val="20"/>
          <w:rtl w:val="0"/>
        </w:rPr>
        <w:t xml:space="preserve"> ; </w:t>
      </w:r>
      <w:r w:rsidDel="00000000" w:rsidR="00000000" w:rsidRPr="00000000">
        <w:rPr>
          <w:rFonts w:ascii="Calibri" w:cs="Calibri" w:eastAsia="Calibri" w:hAnsi="Calibri"/>
          <w:sz w:val="18"/>
          <w:szCs w:val="18"/>
          <w:rtl w:val="0"/>
        </w:rPr>
        <w:t xml:space="preserve">Woman who accused Cebu City Cops of Torture, rape, shot dead. Rappler. 19 April 2021 </w:t>
      </w:r>
      <w:hyperlink r:id="rId62">
        <w:r w:rsidDel="00000000" w:rsidR="00000000" w:rsidRPr="00000000">
          <w:rPr>
            <w:rFonts w:ascii="Calibri" w:cs="Calibri" w:eastAsia="Calibri" w:hAnsi="Calibri"/>
            <w:color w:val="1155cc"/>
            <w:sz w:val="18"/>
            <w:szCs w:val="18"/>
            <w:u w:val="single"/>
            <w:rtl w:val="0"/>
          </w:rPr>
          <w:t xml:space="preserve">https://www.rappler.com/nation/woman-accused-cops-rape-torture-shot-dead-cebu-city-april-2021 </w:t>
        </w:r>
      </w:hyperlink>
      <w:r w:rsidDel="00000000" w:rsidR="00000000" w:rsidRPr="00000000">
        <w:rPr>
          <w:rtl w:val="0"/>
        </w:rPr>
      </w:r>
    </w:p>
  </w:footnote>
  <w:footnote w:id="55">
    <w:p w:rsidR="00000000" w:rsidDel="00000000" w:rsidP="00000000" w:rsidRDefault="00000000" w:rsidRPr="00000000" w14:paraId="000000D4">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Rappler.com, Joven Jacolbia,  Protection under law pushed after group forcibly shaved their heads of LGBTQ+ in Mindanao, </w:t>
      </w:r>
      <w:hyperlink r:id="rId63">
        <w:r w:rsidDel="00000000" w:rsidR="00000000" w:rsidRPr="00000000">
          <w:rPr>
            <w:rFonts w:ascii="Calibri" w:cs="Calibri" w:eastAsia="Calibri" w:hAnsi="Calibri"/>
            <w:color w:val="1155cc"/>
            <w:sz w:val="18"/>
            <w:szCs w:val="18"/>
            <w:u w:val="single"/>
            <w:rtl w:val="0"/>
          </w:rPr>
          <w:t xml:space="preserve">https://www.rappler.com/moveph/groups-push-protection-law-lgbtq-mindanaoans-forcibly-shaved</w:t>
        </w:r>
      </w:hyperlink>
      <w:r w:rsidDel="00000000" w:rsidR="00000000" w:rsidRPr="00000000">
        <w:rPr>
          <w:rFonts w:ascii="Calibri" w:cs="Calibri" w:eastAsia="Calibri" w:hAnsi="Calibri"/>
          <w:sz w:val="18"/>
          <w:szCs w:val="18"/>
          <w:rtl w:val="0"/>
        </w:rPr>
        <w:t xml:space="preserve"> (last accessed November 2, 2021). </w:t>
      </w:r>
    </w:p>
  </w:footnote>
  <w:footnote w:id="56">
    <w:p w:rsidR="00000000" w:rsidDel="00000000" w:rsidP="00000000" w:rsidRDefault="00000000" w:rsidRPr="00000000" w14:paraId="000000D5">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CHRP and Lilak Purple Action for Women’s Rights. Sectoral Monitoring on the Situation of Indigenous Women and Girls during COVID-19 Pandemic. April 2022. </w:t>
      </w:r>
      <w:hyperlink r:id="rId64">
        <w:r w:rsidDel="00000000" w:rsidR="00000000" w:rsidRPr="00000000">
          <w:rPr>
            <w:rFonts w:ascii="Calibri" w:cs="Calibri" w:eastAsia="Calibri" w:hAnsi="Calibri"/>
            <w:color w:val="1155cc"/>
            <w:sz w:val="18"/>
            <w:szCs w:val="18"/>
            <w:u w:val="single"/>
            <w:rtl w:val="0"/>
          </w:rPr>
          <w:t xml:space="preserve">https://chr.gov.ph/wp-content/uploads/2022/06/2022.-Sectoral-Monitoring-on-the-Situation-of-Indigenous-Women-and-Girls-During-the-Pandemic.docx</w:t>
        </w:r>
      </w:hyperlink>
      <w:r w:rsidDel="00000000" w:rsidR="00000000" w:rsidRPr="00000000">
        <w:rPr>
          <w:rtl w:val="0"/>
        </w:rPr>
      </w:r>
    </w:p>
  </w:footnote>
  <w:footnote w:id="57">
    <w:p w:rsidR="00000000" w:rsidDel="00000000" w:rsidP="00000000" w:rsidRDefault="00000000" w:rsidRPr="00000000" w14:paraId="000000D6">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highlight w:val="white"/>
          <w:rtl w:val="0"/>
        </w:rPr>
        <w:t xml:space="preserve"> Commission on Human Rights of the Philippines, </w:t>
      </w:r>
      <w:r w:rsidDel="00000000" w:rsidR="00000000" w:rsidRPr="00000000">
        <w:rPr>
          <w:rFonts w:ascii="Calibri" w:cs="Calibri" w:eastAsia="Calibri" w:hAnsi="Calibri"/>
          <w:i w:val="1"/>
          <w:sz w:val="18"/>
          <w:szCs w:val="18"/>
          <w:highlight w:val="white"/>
          <w:rtl w:val="0"/>
        </w:rPr>
        <w:t xml:space="preserve">Human Rights Advisory on Indigenous Communities/Indigenous Peoples, (ICCs/IPs) Amid the COVID-19 Pandemic (CHR (V) A2020-006.  Available at </w:t>
      </w:r>
      <w:hyperlink r:id="rId65">
        <w:r w:rsidDel="00000000" w:rsidR="00000000" w:rsidRPr="00000000">
          <w:rPr>
            <w:rFonts w:ascii="Calibri" w:cs="Calibri" w:eastAsia="Calibri" w:hAnsi="Calibri"/>
            <w:i w:val="1"/>
            <w:color w:val="1155cc"/>
            <w:sz w:val="18"/>
            <w:szCs w:val="18"/>
            <w:highlight w:val="white"/>
            <w:u w:val="single"/>
            <w:rtl w:val="0"/>
          </w:rPr>
          <w:t xml:space="preserve">http://chr.gov.ph/wp-content/uploads/2020/04/Human-Rights-Advisory-on-Indigenous-Cultural-Communities-Indigenous-Peoples-ICCsIps-Amidst-the-COVID-19-Pandemic-CHR-V-A2020-006.pdf</w:t>
        </w:r>
      </w:hyperlink>
      <w:r w:rsidDel="00000000" w:rsidR="00000000" w:rsidRPr="00000000">
        <w:rPr>
          <w:rFonts w:ascii="Calibri" w:cs="Calibri" w:eastAsia="Calibri" w:hAnsi="Calibri"/>
          <w:sz w:val="18"/>
          <w:szCs w:val="18"/>
          <w:highlight w:val="white"/>
          <w:rtl w:val="0"/>
        </w:rPr>
        <w:t xml:space="preserve">, (last accessed June 18, 2021).</w:t>
      </w:r>
      <w:r w:rsidDel="00000000" w:rsidR="00000000" w:rsidRPr="00000000">
        <w:rPr>
          <w:rtl w:val="0"/>
        </w:rPr>
      </w:r>
    </w:p>
  </w:footnote>
  <w:footnote w:id="58">
    <w:p w:rsidR="00000000" w:rsidDel="00000000" w:rsidP="00000000" w:rsidRDefault="00000000" w:rsidRPr="00000000" w14:paraId="000000D7">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Supra note 65</w:t>
      </w:r>
    </w:p>
  </w:footnote>
  <w:footnote w:id="59">
    <w:p w:rsidR="00000000" w:rsidDel="00000000" w:rsidP="00000000" w:rsidRDefault="00000000" w:rsidRPr="00000000" w14:paraId="000000D8">
      <w:pPr>
        <w:spacing w:line="240" w:lineRule="auto"/>
        <w:jc w:val="both"/>
        <w:rPr>
          <w:rFonts w:ascii="Calibri" w:cs="Calibri" w:eastAsia="Calibri" w:hAnsi="Calibri"/>
          <w:color w:val="ff0000"/>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18"/>
          <w:szCs w:val="18"/>
          <w:rtl w:val="0"/>
        </w:rPr>
        <w:t xml:space="preserve">Commission on Human Rights, Sectoral Monitoring on the Situation of Indigenous Women and Girls During the Pandemic, </w:t>
      </w:r>
      <w:r w:rsidDel="00000000" w:rsidR="00000000" w:rsidRPr="00000000">
        <w:rPr>
          <w:rFonts w:ascii="Calibri" w:cs="Calibri" w:eastAsia="Calibri" w:hAnsi="Calibri"/>
          <w:i w:val="1"/>
          <w:sz w:val="18"/>
          <w:szCs w:val="18"/>
          <w:rtl w:val="0"/>
        </w:rPr>
        <w:t xml:space="preserve">available at </w:t>
      </w:r>
      <w:hyperlink r:id="rId66">
        <w:r w:rsidDel="00000000" w:rsidR="00000000" w:rsidRPr="00000000">
          <w:rPr>
            <w:rFonts w:ascii="Calibri" w:cs="Calibri" w:eastAsia="Calibri" w:hAnsi="Calibri"/>
            <w:color w:val="1155cc"/>
            <w:sz w:val="18"/>
            <w:szCs w:val="18"/>
            <w:u w:val="single"/>
            <w:rtl w:val="0"/>
          </w:rPr>
          <w:t xml:space="preserve">https://chr.gov.ph/wp-content/uploads/2022/06/2022.-Sectoral-Monitoring-on-the-Situation-of-Indigenous-Women-and-Girls-During-the-Pandemic.docx</w:t>
        </w:r>
      </w:hyperlink>
      <w:r w:rsidDel="00000000" w:rsidR="00000000" w:rsidRPr="00000000">
        <w:rPr>
          <w:rFonts w:ascii="Calibri" w:cs="Calibri" w:eastAsia="Calibri" w:hAnsi="Calibri"/>
          <w:color w:val="ff0000"/>
          <w:sz w:val="18"/>
          <w:szCs w:val="18"/>
          <w:rtl w:val="0"/>
        </w:rPr>
        <w:t xml:space="preserve"> </w:t>
      </w:r>
    </w:p>
  </w:footnote>
  <w:footnote w:id="60">
    <w:p w:rsidR="00000000" w:rsidDel="00000000" w:rsidP="00000000" w:rsidRDefault="00000000" w:rsidRPr="00000000" w14:paraId="000000D9">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In 17 March-17 April 2020, the Center for Gender Equality and Women’s Human Rights, through its Sectoral Monitoring Program undertook a Community Based Peer Monitoring on the situation of women with disabilities amidst the COVID Pandemic and Enhanced Community Quarantine. The peer monitoring is conducted in partnership with WDARE (Women who Dare to take Action on their reproductive health) and other women with disabilities.</w:t>
      </w:r>
    </w:p>
  </w:footnote>
  <w:footnote w:id="61">
    <w:p w:rsidR="00000000" w:rsidDel="00000000" w:rsidP="00000000" w:rsidRDefault="00000000" w:rsidRPr="00000000" w14:paraId="000000DA">
      <w:pPr>
        <w:spacing w:line="240" w:lineRule="auto"/>
        <w:jc w:val="both"/>
        <w:rPr>
          <w:color w:val="000099"/>
          <w:sz w:val="20"/>
          <w:szCs w:val="20"/>
        </w:rPr>
      </w:pPr>
      <w:r w:rsidDel="00000000" w:rsidR="00000000" w:rsidRPr="00000000">
        <w:rPr>
          <w:rStyle w:val="FootnoteReference"/>
          <w:vertAlign w:val="superscript"/>
        </w:rPr>
        <w:footnoteRef/>
      </w:r>
      <w:r w:rsidDel="00000000" w:rsidR="00000000" w:rsidRPr="00000000">
        <w:rPr>
          <w:color w:val="ff0000"/>
          <w:sz w:val="20"/>
          <w:szCs w:val="20"/>
          <w:rtl w:val="0"/>
        </w:rPr>
        <w:t xml:space="preserve"> </w:t>
      </w:r>
      <w:r w:rsidDel="00000000" w:rsidR="00000000" w:rsidRPr="00000000">
        <w:rPr>
          <w:rFonts w:ascii="Calibri" w:cs="Calibri" w:eastAsia="Calibri" w:hAnsi="Calibri"/>
          <w:sz w:val="18"/>
          <w:szCs w:val="18"/>
          <w:rtl w:val="0"/>
        </w:rPr>
        <w:t xml:space="preserve">Campaign on Preventing Trafficking of Women: Situationer Reports from Talikala, Children’s Legal and Human Rights Bureau, and Coalition Against Trafficking in Asia and the Pacific- Philippines, (2022.), accessed in </w:t>
      </w:r>
      <w:hyperlink r:id="rId67">
        <w:r w:rsidDel="00000000" w:rsidR="00000000" w:rsidRPr="00000000">
          <w:rPr>
            <w:rFonts w:ascii="Calibri" w:cs="Calibri" w:eastAsia="Calibri" w:hAnsi="Calibri"/>
            <w:color w:val="000099"/>
            <w:sz w:val="18"/>
            <w:szCs w:val="18"/>
            <w:u w:val="single"/>
            <w:rtl w:val="0"/>
          </w:rPr>
          <w:t xml:space="preserve">https://chr-observatories.uwazi.io/en/entity/09b4ponfj2rp?searchTerm=trafficking</w:t>
        </w:r>
      </w:hyperlink>
      <w:r w:rsidDel="00000000" w:rsidR="00000000" w:rsidRPr="00000000">
        <w:rPr>
          <w:rFonts w:ascii="Calibri" w:cs="Calibri" w:eastAsia="Calibri" w:hAnsi="Calibri"/>
          <w:color w:val="000099"/>
          <w:sz w:val="18"/>
          <w:szCs w:val="18"/>
          <w:rtl w:val="0"/>
        </w:rPr>
        <w:t xml:space="preserve"> </w:t>
      </w:r>
      <w:r w:rsidDel="00000000" w:rsidR="00000000" w:rsidRPr="00000000">
        <w:rPr>
          <w:rtl w:val="0"/>
        </w:rPr>
      </w:r>
    </w:p>
  </w:footnote>
  <w:footnote w:id="62">
    <w:p w:rsidR="00000000" w:rsidDel="00000000" w:rsidP="00000000" w:rsidRDefault="00000000" w:rsidRPr="00000000" w14:paraId="000000DB">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Id.</w:t>
      </w:r>
    </w:p>
  </w:footnote>
  <w:footnote w:id="63">
    <w:p w:rsidR="00000000" w:rsidDel="00000000" w:rsidP="00000000" w:rsidRDefault="00000000" w:rsidRPr="00000000" w14:paraId="000000DC">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2018 UN Office of Drugs and Crime report states that women and girls account for 72% trafficking victims detected globally. Most women and girls are trafficked for the purpose of sexual exploitation. The Commission has been continuously conducting capacity building and advocacy campaigns against trafficking of women and girls. Legal assistance and other protection services are also available in cases where cases are filed with the Commission. Recognizing, however, the remaining gap in the Commission’s work on trafficking, focus group discussions (FGD) or key informant interviews (KII) were conducted in 2020 to surface the issues of trafficking and violence in fisherfolk communities. Moreover, despite the conduct of FGDs and KII in these areas, another persistent gap is the very minimal data on trafficking.</w:t>
      </w:r>
    </w:p>
    <w:p w:rsidR="00000000" w:rsidDel="00000000" w:rsidP="00000000" w:rsidRDefault="00000000" w:rsidRPr="00000000" w14:paraId="000000DD">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See: UN Women. Facts and Figures Ending Violence Against Women. </w:t>
      </w:r>
      <w:hyperlink r:id="rId68">
        <w:r w:rsidDel="00000000" w:rsidR="00000000" w:rsidRPr="00000000">
          <w:rPr>
            <w:rFonts w:ascii="Calibri" w:cs="Calibri" w:eastAsia="Calibri" w:hAnsi="Calibri"/>
            <w:color w:val="1155cc"/>
            <w:sz w:val="18"/>
            <w:szCs w:val="18"/>
            <w:u w:val="single"/>
            <w:rtl w:val="0"/>
          </w:rPr>
          <w:t xml:space="preserve">https://www.unwomen.org/en/what-we-do/ending-violence-against-women/facts-and-figures</w:t>
        </w:r>
      </w:hyperlink>
      <w:r w:rsidDel="00000000" w:rsidR="00000000" w:rsidRPr="00000000">
        <w:rPr>
          <w:rFonts w:ascii="Calibri" w:cs="Calibri" w:eastAsia="Calibri" w:hAnsi="Calibri"/>
          <w:sz w:val="18"/>
          <w:szCs w:val="18"/>
          <w:rtl w:val="0"/>
        </w:rPr>
        <w:t xml:space="preserve"> as cited in CATWAP Situationer Report: Cases of Trafficking for Sexual Exploitation.</w:t>
      </w:r>
    </w:p>
  </w:footnote>
  <w:footnote w:id="64">
    <w:p w:rsidR="00000000" w:rsidDel="00000000" w:rsidP="00000000" w:rsidRDefault="00000000" w:rsidRPr="00000000" w14:paraId="000000DE">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Supra note 73</w:t>
      </w:r>
    </w:p>
  </w:footnote>
  <w:footnote w:id="65">
    <w:p w:rsidR="00000000" w:rsidDel="00000000" w:rsidP="00000000" w:rsidRDefault="00000000" w:rsidRPr="00000000" w14:paraId="000000DF">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CHRP.</w:t>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 Gender Ombud Situationer 1st Sem 2021, p. 4, accessed at: </w:t>
      </w:r>
      <w:hyperlink r:id="rId69">
        <w:r w:rsidDel="00000000" w:rsidR="00000000" w:rsidRPr="00000000">
          <w:rPr>
            <w:rFonts w:ascii="Calibri" w:cs="Calibri" w:eastAsia="Calibri" w:hAnsi="Calibri"/>
            <w:i w:val="1"/>
            <w:color w:val="1155cc"/>
            <w:sz w:val="18"/>
            <w:szCs w:val="18"/>
            <w:u w:val="single"/>
            <w:rtl w:val="0"/>
          </w:rPr>
          <w:t xml:space="preserve">https://chr.gov.ph/wp-content/uploads/2022/06/2021.Gender-Ombud-1stQ-Sit-2021.pdf</w:t>
        </w:r>
      </w:hyperlink>
      <w:r w:rsidDel="00000000" w:rsidR="00000000" w:rsidRPr="00000000">
        <w:rPr>
          <w:rtl w:val="0"/>
        </w:rPr>
      </w:r>
    </w:p>
  </w:footnote>
  <w:footnote w:id="66">
    <w:p w:rsidR="00000000" w:rsidDel="00000000" w:rsidP="00000000" w:rsidRDefault="00000000" w:rsidRPr="00000000" w14:paraId="000000E0">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CHRP. Gender and Informality: A Situation Report on Women in the Informal Sector. </w:t>
      </w:r>
      <w:hyperlink r:id="rId70">
        <w:r w:rsidDel="00000000" w:rsidR="00000000" w:rsidRPr="00000000">
          <w:rPr>
            <w:rFonts w:ascii="Calibri" w:cs="Calibri" w:eastAsia="Calibri" w:hAnsi="Calibri"/>
            <w:color w:val="1155cc"/>
            <w:sz w:val="18"/>
            <w:szCs w:val="18"/>
            <w:u w:val="single"/>
            <w:rtl w:val="0"/>
          </w:rPr>
          <w:t xml:space="preserve">https://chr.gov.ph/wp-content/uploads/2022/01/CHR-V-No.POL2022-004-A-Situation-Report-on-Women-in-the-Informal-Sector.pdf</w:t>
        </w:r>
      </w:hyperlink>
      <w:r w:rsidDel="00000000" w:rsidR="00000000" w:rsidRPr="00000000">
        <w:rPr>
          <w:rtl w:val="0"/>
        </w:rPr>
      </w:r>
    </w:p>
  </w:footnote>
  <w:footnote w:id="67">
    <w:p w:rsidR="00000000" w:rsidDel="00000000" w:rsidP="00000000" w:rsidRDefault="00000000" w:rsidRPr="00000000" w14:paraId="000000E1">
      <w:pPr>
        <w:spacing w:line="240" w:lineRule="auto"/>
        <w:jc w:val="both"/>
        <w:rPr>
          <w:rFonts w:ascii="Calibri" w:cs="Calibri" w:eastAsia="Calibri" w:hAnsi="Calibri"/>
          <w:color w:val="0563c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Commission on Human Rights GEWHRC, An Initial Situationer of Urban Poor Women Focusing on Violence, Social Protection, and Housing, </w:t>
      </w:r>
      <w:r w:rsidDel="00000000" w:rsidR="00000000" w:rsidRPr="00000000">
        <w:rPr>
          <w:rFonts w:ascii="Calibri" w:cs="Calibri" w:eastAsia="Calibri" w:hAnsi="Calibri"/>
          <w:i w:val="1"/>
          <w:sz w:val="18"/>
          <w:szCs w:val="18"/>
          <w:rtl w:val="0"/>
        </w:rPr>
        <w:t xml:space="preserve">available at</w:t>
      </w:r>
      <w:r w:rsidDel="00000000" w:rsidR="00000000" w:rsidRPr="00000000">
        <w:rPr>
          <w:rFonts w:ascii="Calibri" w:cs="Calibri" w:eastAsia="Calibri" w:hAnsi="Calibri"/>
          <w:sz w:val="18"/>
          <w:szCs w:val="18"/>
          <w:rtl w:val="0"/>
        </w:rPr>
        <w:t xml:space="preserve"> </w:t>
      </w:r>
      <w:hyperlink r:id="rId71">
        <w:r w:rsidDel="00000000" w:rsidR="00000000" w:rsidRPr="00000000">
          <w:rPr>
            <w:rFonts w:ascii="Calibri" w:cs="Calibri" w:eastAsia="Calibri" w:hAnsi="Calibri"/>
            <w:color w:val="0563c1"/>
            <w:sz w:val="18"/>
            <w:szCs w:val="18"/>
            <w:u w:val="single"/>
            <w:rtl w:val="0"/>
          </w:rPr>
          <w:t xml:space="preserve">https://chr.gov.ph/wp-content/uploads/2022/01/An-Initial-Situationer-of-Urban-Poor-Women-Focusing-on-Violence-Social-Protection-and-Housing_January-February-2019.pdf</w:t>
        </w:r>
      </w:hyperlink>
      <w:r w:rsidDel="00000000" w:rsidR="00000000" w:rsidRPr="00000000">
        <w:rPr>
          <w:rFonts w:ascii="Calibri" w:cs="Calibri" w:eastAsia="Calibri" w:hAnsi="Calibri"/>
          <w:color w:val="0563c1"/>
          <w:sz w:val="18"/>
          <w:szCs w:val="18"/>
          <w:rtl w:val="0"/>
        </w:rPr>
        <w:t xml:space="preserve">  </w:t>
      </w:r>
    </w:p>
  </w:footnote>
  <w:footnote w:id="68">
    <w:p w:rsidR="00000000" w:rsidDel="00000000" w:rsidP="00000000" w:rsidRDefault="00000000" w:rsidRPr="00000000" w14:paraId="000000E2">
      <w:pPr>
        <w:spacing w:line="240" w:lineRule="auto"/>
        <w:jc w:val="both"/>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i w:val="1"/>
          <w:sz w:val="18"/>
          <w:szCs w:val="18"/>
          <w:rtl w:val="0"/>
        </w:rPr>
        <w:t xml:space="preserve"> Id.</w:t>
      </w:r>
    </w:p>
  </w:footnote>
  <w:footnote w:id="69">
    <w:p w:rsidR="00000000" w:rsidDel="00000000" w:rsidP="00000000" w:rsidRDefault="00000000" w:rsidRPr="00000000" w14:paraId="000000E3">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Commission conducted two national inquiries on SRHR, one in  2016 and another in 2019, focusing solely on the </w:t>
      </w:r>
      <w:hyperlink r:id="rId72">
        <w:r w:rsidDel="00000000" w:rsidR="00000000" w:rsidRPr="00000000">
          <w:rPr>
            <w:rFonts w:ascii="Calibri" w:cs="Calibri" w:eastAsia="Calibri" w:hAnsi="Calibri"/>
            <w:color w:val="1155cc"/>
            <w:sz w:val="18"/>
            <w:szCs w:val="18"/>
            <w:u w:val="single"/>
            <w:rtl w:val="0"/>
          </w:rPr>
          <w:t xml:space="preserve">SRHR of Women with Disabilitie</w:t>
        </w:r>
      </w:hyperlink>
      <w:r w:rsidDel="00000000" w:rsidR="00000000" w:rsidRPr="00000000">
        <w:rPr>
          <w:rFonts w:ascii="Calibri" w:cs="Calibri" w:eastAsia="Calibri" w:hAnsi="Calibri"/>
          <w:sz w:val="18"/>
          <w:szCs w:val="18"/>
          <w:rtl w:val="0"/>
        </w:rPr>
        <w:t xml:space="preserve">s. In 2016,</w:t>
      </w:r>
      <w:hyperlink r:id="rId73">
        <w:r w:rsidDel="00000000" w:rsidR="00000000" w:rsidRPr="00000000">
          <w:rPr>
            <w:rFonts w:ascii="Calibri" w:cs="Calibri" w:eastAsia="Calibri" w:hAnsi="Calibri"/>
            <w:color w:val="0563c1"/>
            <w:sz w:val="18"/>
            <w:szCs w:val="18"/>
            <w:u w:val="single"/>
            <w:rtl w:val="0"/>
          </w:rPr>
          <w:t xml:space="preserve"> National Inquiry on the Reproductive Health and Reproductive Rights </w:t>
        </w:r>
      </w:hyperlink>
      <w:r w:rsidDel="00000000" w:rsidR="00000000" w:rsidRPr="00000000">
        <w:rPr>
          <w:rFonts w:ascii="Calibri" w:cs="Calibri" w:eastAsia="Calibri" w:hAnsi="Calibri"/>
          <w:sz w:val="18"/>
          <w:szCs w:val="18"/>
          <w:rtl w:val="0"/>
        </w:rPr>
        <w:t xml:space="preserve">aimed to document related experiences of women, communities, health service providers, health centers, local governments, civil society organizations, and other stakeholders to surface issues on reproductive health and reproductive rights that still need to be addressed. The 2016 National Inquiry consisted of 5 public hearings, 5 fact-finding missions, and 15 regional consultations. It was able to reach out to 1,263 individuals, with a visit to 29 government offices. </w:t>
      </w:r>
    </w:p>
  </w:footnote>
  <w:footnote w:id="70">
    <w:p w:rsidR="00000000" w:rsidDel="00000000" w:rsidP="00000000" w:rsidRDefault="00000000" w:rsidRPr="00000000" w14:paraId="000000E4">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The inquiry found that government and private health service providers continue to face challenges, including policy and legal barriers, in the implementation of the RPRH and that women from marginalized sectors continue to complain of different barriers in accessing RH services and information as responses remain lacking or inadequate, and unable to give due consideration to the intersectional vulnerabilities of women from marginalized sectors and in specific vulnerable situations</w:t>
      </w:r>
    </w:p>
  </w:footnote>
  <w:footnote w:id="71">
    <w:p w:rsidR="00000000" w:rsidDel="00000000" w:rsidP="00000000" w:rsidRDefault="00000000" w:rsidRPr="00000000" w14:paraId="000000E5">
      <w:pPr>
        <w:spacing w:line="240" w:lineRule="auto"/>
        <w:jc w:val="both"/>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Women with Disabilities Peer Monitoring by CHR-GEWHRC, 17 March-17 April 2020 See: Commission on HUman Rights, Telling our Own Stories, Report on the CHR National Inquity on Reproductive Health and Rights of Women, </w:t>
      </w:r>
      <w:r w:rsidDel="00000000" w:rsidR="00000000" w:rsidRPr="00000000">
        <w:rPr>
          <w:rFonts w:ascii="Calibri" w:cs="Calibri" w:eastAsia="Calibri" w:hAnsi="Calibri"/>
          <w:i w:val="1"/>
          <w:sz w:val="18"/>
          <w:szCs w:val="18"/>
          <w:rtl w:val="0"/>
        </w:rPr>
        <w:t xml:space="preserve">available at </w:t>
      </w:r>
      <w:hyperlink r:id="rId74">
        <w:r w:rsidDel="00000000" w:rsidR="00000000" w:rsidRPr="00000000">
          <w:rPr>
            <w:rFonts w:ascii="Calibri" w:cs="Calibri" w:eastAsia="Calibri" w:hAnsi="Calibri"/>
            <w:color w:val="1155cc"/>
            <w:sz w:val="18"/>
            <w:szCs w:val="18"/>
            <w:u w:val="single"/>
            <w:rtl w:val="0"/>
          </w:rPr>
          <w:t xml:space="preserve">https://chr.gov.ph/wp-content/uploads/2022/01/Telling-our-Own-Stories-Report-on-the-CHR-National-Inquiry-on-the-Reproductive-Health-and-Rights-of-Women-with-Disabilities.pdf</w:t>
        </w:r>
      </w:hyperlink>
      <w:r w:rsidDel="00000000" w:rsidR="00000000" w:rsidRPr="00000000">
        <w:rPr>
          <w:rFonts w:ascii="Calibri" w:cs="Calibri" w:eastAsia="Calibri" w:hAnsi="Calibri"/>
          <w:sz w:val="18"/>
          <w:szCs w:val="18"/>
          <w:rtl w:val="0"/>
        </w:rPr>
        <w:t xml:space="preserve"> </w:t>
      </w:r>
      <w:r w:rsidDel="00000000" w:rsidR="00000000" w:rsidRPr="00000000">
        <w:rPr>
          <w:rtl w:val="0"/>
        </w:rPr>
      </w:r>
    </w:p>
    <w:p w:rsidR="00000000" w:rsidDel="00000000" w:rsidP="00000000" w:rsidRDefault="00000000" w:rsidRPr="00000000" w14:paraId="000000E6">
      <w:pPr>
        <w:spacing w:line="240" w:lineRule="auto"/>
        <w:jc w:val="both"/>
        <w:rPr>
          <w:rFonts w:ascii="Calibri" w:cs="Calibri" w:eastAsia="Calibri" w:hAnsi="Calibri"/>
          <w:sz w:val="18"/>
          <w:szCs w:val="18"/>
        </w:rPr>
      </w:pPr>
      <w:r w:rsidDel="00000000" w:rsidR="00000000" w:rsidRPr="00000000">
        <w:rPr>
          <w:rFonts w:ascii="Calibri" w:cs="Calibri" w:eastAsia="Calibri" w:hAnsi="Calibri"/>
          <w:sz w:val="18"/>
          <w:szCs w:val="18"/>
          <w:rtl w:val="0"/>
        </w:rPr>
        <w:t xml:space="preserve">On the provision of relief goods and assistance, initial monitoring revealed limited inclusion, if not exclusion of much needed hygiene and menstrual kits in government provided relief packages. For women with disability and older persons, the lack of provision for maintenance medicines has been repeatedly complained of and in one instance, CHRP has intervened and referred requests for medication for a child with disability to the Department of Health.  Disruption of SRH services have also been raised including access to information on pre and post-natal care, maternal health services, and access to family planning commodities.</w:t>
      </w:r>
    </w:p>
  </w:footnote>
  <w:footnote w:id="72">
    <w:p w:rsidR="00000000" w:rsidDel="00000000" w:rsidP="00000000" w:rsidRDefault="00000000" w:rsidRPr="00000000" w14:paraId="000000E7">
      <w:pPr>
        <w:spacing w:line="240" w:lineRule="auto"/>
        <w:jc w:val="both"/>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PIDS. Human Resource for Health in the Time of the COVID-19 Pandemic: Does the Philippines Have Enough?. PIDS. 18 August 2020. </w:t>
      </w:r>
      <w:hyperlink r:id="rId75">
        <w:r w:rsidDel="00000000" w:rsidR="00000000" w:rsidRPr="00000000">
          <w:rPr>
            <w:rFonts w:ascii="Calibri" w:cs="Calibri" w:eastAsia="Calibri" w:hAnsi="Calibri"/>
            <w:color w:val="1155cc"/>
            <w:sz w:val="18"/>
            <w:szCs w:val="18"/>
            <w:u w:val="single"/>
            <w:rtl w:val="0"/>
          </w:rPr>
          <w:t xml:space="preserve">https://www.uppi.upd.edu.ph/research/covid-19/rb8</w:t>
        </w:r>
      </w:hyperlink>
      <w:r w:rsidDel="00000000" w:rsidR="00000000" w:rsidRPr="00000000">
        <w:rPr>
          <w:rFonts w:ascii="Calibri" w:cs="Calibri" w:eastAsia="Calibri" w:hAnsi="Calibri"/>
          <w:sz w:val="18"/>
          <w:szCs w:val="18"/>
          <w:rtl w:val="0"/>
        </w:rPr>
        <w:t xml:space="preserve">  (accessed 31 August 2021)</w:t>
      </w:r>
    </w:p>
  </w:footnote>
  <w:footnote w:id="73">
    <w:p w:rsidR="00000000" w:rsidDel="00000000" w:rsidP="00000000" w:rsidRDefault="00000000" w:rsidRPr="00000000" w14:paraId="000000E8">
      <w:pPr>
        <w:spacing w:line="240" w:lineRule="auto"/>
        <w:jc w:val="both"/>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8"/>
          <w:szCs w:val="18"/>
          <w:rtl w:val="0"/>
        </w:rPr>
        <w:t xml:space="preserve">CHRP.</w:t>
      </w:r>
      <w:r w:rsidDel="00000000" w:rsidR="00000000" w:rsidRPr="00000000">
        <w:rPr>
          <w:sz w:val="20"/>
          <w:szCs w:val="20"/>
          <w:rtl w:val="0"/>
        </w:rPr>
        <w:t xml:space="preserve"> </w:t>
      </w:r>
      <w:r w:rsidDel="00000000" w:rsidR="00000000" w:rsidRPr="00000000">
        <w:rPr>
          <w:rFonts w:ascii="Calibri" w:cs="Calibri" w:eastAsia="Calibri" w:hAnsi="Calibri"/>
          <w:i w:val="1"/>
          <w:sz w:val="18"/>
          <w:szCs w:val="18"/>
          <w:rtl w:val="0"/>
        </w:rPr>
        <w:t xml:space="preserve"> Gender Ombud Situationer 1st Sem 2021, p. 5-6, accessed at: </w:t>
      </w:r>
      <w:hyperlink r:id="rId76">
        <w:r w:rsidDel="00000000" w:rsidR="00000000" w:rsidRPr="00000000">
          <w:rPr>
            <w:rFonts w:ascii="Calibri" w:cs="Calibri" w:eastAsia="Calibri" w:hAnsi="Calibri"/>
            <w:i w:val="1"/>
            <w:color w:val="1155cc"/>
            <w:sz w:val="18"/>
            <w:szCs w:val="18"/>
            <w:u w:val="single"/>
            <w:rtl w:val="0"/>
          </w:rPr>
          <w:t xml:space="preserve">https://chr.gov.ph/wp-content/uploads/2022/06/2021.Gender-Ombud-1stQ-Sit-2021.pdf</w:t>
        </w:r>
      </w:hyperlink>
      <w:r w:rsidDel="00000000" w:rsidR="00000000" w:rsidRPr="00000000">
        <w:rPr>
          <w:rtl w:val="0"/>
        </w:rPr>
      </w:r>
    </w:p>
  </w:footnote>
  <w:footnote w:id="74">
    <w:p w:rsidR="00000000" w:rsidDel="00000000" w:rsidP="00000000" w:rsidRDefault="00000000" w:rsidRPr="00000000" w14:paraId="000000E9">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JMC No. 1 Emergency Procurement by the Government During a State of Public Emergency. 26 March 2020. Accessed here: </w:t>
      </w:r>
      <w:hyperlink r:id="rId77">
        <w:r w:rsidDel="00000000" w:rsidR="00000000" w:rsidRPr="00000000">
          <w:rPr>
            <w:rFonts w:ascii="Calibri" w:cs="Calibri" w:eastAsia="Calibri" w:hAnsi="Calibri"/>
            <w:color w:val="1155cc"/>
            <w:sz w:val="18"/>
            <w:szCs w:val="18"/>
            <w:u w:val="single"/>
            <w:rtl w:val="0"/>
          </w:rPr>
          <w:t xml:space="preserve">http://city.eacomm.com/UserFiles/League_of_Cities/file/COAGPPB_JMC_01.pdf</w:t>
        </w:r>
      </w:hyperlink>
      <w:r w:rsidDel="00000000" w:rsidR="00000000" w:rsidRPr="00000000">
        <w:rPr>
          <w:rtl w:val="0"/>
        </w:rPr>
      </w:r>
    </w:p>
  </w:footnote>
  <w:footnote w:id="75">
    <w:p w:rsidR="00000000" w:rsidDel="00000000" w:rsidP="00000000" w:rsidRDefault="00000000" w:rsidRPr="00000000" w14:paraId="000000EA">
      <w:pPr>
        <w:spacing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DBM. DBM Circular 2007-1:</w:t>
      </w:r>
      <w:r w:rsidDel="00000000" w:rsidR="00000000" w:rsidRPr="00000000">
        <w:rPr>
          <w:sz w:val="20"/>
          <w:szCs w:val="20"/>
          <w:rtl w:val="0"/>
        </w:rPr>
        <w:t xml:space="preserve"> </w:t>
      </w:r>
      <w:r w:rsidDel="00000000" w:rsidR="00000000" w:rsidRPr="00000000">
        <w:rPr>
          <w:rFonts w:ascii="Calibri" w:cs="Calibri" w:eastAsia="Calibri" w:hAnsi="Calibri"/>
          <w:sz w:val="16"/>
          <w:szCs w:val="16"/>
          <w:rtl w:val="0"/>
        </w:rPr>
        <w:t xml:space="preserve">Guidelines on the Grant of Honoraria to Lecturers, Resource Persons, Coordinators and Facilitators. </w:t>
      </w:r>
      <w:hyperlink r:id="rId78">
        <w:r w:rsidDel="00000000" w:rsidR="00000000" w:rsidRPr="00000000">
          <w:rPr>
            <w:rFonts w:ascii="Calibri" w:cs="Calibri" w:eastAsia="Calibri" w:hAnsi="Calibri"/>
            <w:color w:val="1155cc"/>
            <w:sz w:val="16"/>
            <w:szCs w:val="16"/>
            <w:u w:val="single"/>
            <w:rtl w:val="0"/>
          </w:rPr>
          <w:t xml:space="preserve">https://www.dbm.gov.ph/wp-content/uploads/2012/03/BC-2007-1.pdf</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9"/>
      <w:numFmt w:val="decimal"/>
      <w:lvlText w:val="%1."/>
      <w:lvlJc w:val="left"/>
      <w:pPr>
        <w:ind w:left="720" w:hanging="360"/>
      </w:pPr>
      <w:rPr>
        <w:b w:val="0"/>
        <w:i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b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33"/>
      <w:numFmt w:val="decimal"/>
      <w:lvlText w:val="%1."/>
      <w:lvlJc w:val="left"/>
      <w:pPr>
        <w:ind w:left="720" w:hanging="360"/>
      </w:pPr>
      <w:rPr>
        <w:b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b w:val="0"/>
        <w:sz w:val="22"/>
        <w:szCs w:val="22"/>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NormalWeb">
    <w:name w:val="Normal (Web)"/>
    <w:basedOn w:val="Normal"/>
    <w:uiPriority w:val="99"/>
    <w:unhideWhenUsed w:val="1"/>
    <w:rsid w:val="00D20C06"/>
    <w:pPr>
      <w:spacing w:after="100" w:afterAutospacing="1" w:before="100" w:beforeAutospacing="1" w:line="240" w:lineRule="auto"/>
    </w:pPr>
    <w:rPr>
      <w:rFonts w:ascii="Times New Roman" w:cs="Times New Roman" w:eastAsia="Times New Roman" w:hAnsi="Times New Roman"/>
      <w:sz w:val="24"/>
      <w:szCs w:val="24"/>
      <w:lang w:val="en-US"/>
    </w:rPr>
  </w:style>
  <w:style w:type="paragraph" w:styleId="FootnoteText">
    <w:name w:val="footnote text"/>
    <w:basedOn w:val="Normal"/>
    <w:link w:val="FootnoteTextChar"/>
    <w:uiPriority w:val="99"/>
    <w:semiHidden w:val="1"/>
    <w:unhideWhenUsed w:val="1"/>
    <w:rsid w:val="00D20C06"/>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D20C06"/>
    <w:rPr>
      <w:sz w:val="20"/>
      <w:szCs w:val="20"/>
    </w:rPr>
  </w:style>
  <w:style w:type="character" w:styleId="FootnoteReference">
    <w:name w:val="footnote reference"/>
    <w:basedOn w:val="DefaultParagraphFont"/>
    <w:uiPriority w:val="99"/>
    <w:semiHidden w:val="1"/>
    <w:unhideWhenUsed w:val="1"/>
    <w:rsid w:val="00D20C06"/>
    <w:rPr>
      <w:vertAlign w:val="superscript"/>
    </w:rPr>
  </w:style>
  <w:style w:type="paragraph" w:styleId="ListParagraph">
    <w:name w:val="List Paragraph"/>
    <w:basedOn w:val="Normal"/>
    <w:uiPriority w:val="34"/>
    <w:qFormat w:val="1"/>
    <w:rsid w:val="00FC1F88"/>
    <w:pPr>
      <w:ind w:left="720"/>
      <w:contextualSpacing w:val="1"/>
    </w:pPr>
  </w:style>
  <w:style w:type="character" w:styleId="Hyperlink">
    <w:name w:val="Hyperlink"/>
    <w:basedOn w:val="DefaultParagraphFont"/>
    <w:uiPriority w:val="99"/>
    <w:unhideWhenUsed w:val="1"/>
    <w:rsid w:val="00FC1F88"/>
    <w:rPr>
      <w:color w:val="0000ff"/>
      <w:u w:val="single"/>
    </w:rPr>
  </w:style>
  <w:style w:type="character" w:styleId="UnresolvedMention">
    <w:name w:val="Unresolved Mention"/>
    <w:basedOn w:val="DefaultParagraphFont"/>
    <w:uiPriority w:val="99"/>
    <w:semiHidden w:val="1"/>
    <w:unhideWhenUsed w:val="1"/>
    <w:rsid w:val="00FC1F88"/>
    <w:rPr>
      <w:color w:val="605e5c"/>
      <w:shd w:color="auto" w:fill="e1dfdd" w:val="clear"/>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BalloonText">
    <w:name w:val="Balloon Text"/>
    <w:basedOn w:val="Normal"/>
    <w:link w:val="BalloonTextChar"/>
    <w:uiPriority w:val="99"/>
    <w:semiHidden w:val="1"/>
    <w:unhideWhenUsed w:val="1"/>
    <w:rsid w:val="00577EBC"/>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577EBC"/>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customXml" Target="../customXML/item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40" Type="http://schemas.openxmlformats.org/officeDocument/2006/relationships/hyperlink" Target="http://chr.gov.ph/statement-of-chr-spokesperson-atty-jacqueline-ann-de-guia-on-allegations-of-attacks-against-women-activists-and-progressive-groups/" TargetMode="External"/><Relationship Id="rId42" Type="http://schemas.openxmlformats.org/officeDocument/2006/relationships/hyperlink" Target="https://chr-observatories.uwazi.io/en/entity/xxnth23soes" TargetMode="External"/><Relationship Id="rId41" Type="http://schemas.openxmlformats.org/officeDocument/2006/relationships/hyperlink" Target="https://lawphil.net/statutes/repacts/ra2020/pdf/ra_11479_2020.pdf" TargetMode="External"/><Relationship Id="rId44" Type="http://schemas.openxmlformats.org/officeDocument/2006/relationships/hyperlink" Target="https://ptvnews.ph/chr-calls-for-end-to-sexist-misogynistic-campaigning/" TargetMode="External"/><Relationship Id="rId43" Type="http://schemas.openxmlformats.org/officeDocument/2006/relationships/hyperlink" Target="https://chr.gov.ph/wp-content/uploads/2018/01/25-May-2016-CHR-issues-resolution-on-Rape-Joke-case.pdf" TargetMode="External"/><Relationship Id="rId46" Type="http://schemas.openxmlformats.org/officeDocument/2006/relationships/hyperlink" Target="https://www.ohchr.org/sites/default/files/HRBodies/HRC/RegularSessions/Session44/Documents/A_HRC_44-22.docx" TargetMode="External"/><Relationship Id="rId45" Type="http://schemas.openxmlformats.org/officeDocument/2006/relationships/hyperlink" Target="https://chr-observatories.uwazi.io/en/entity/o8sar1wwby" TargetMode="External"/><Relationship Id="rId1" Type="http://schemas.openxmlformats.org/officeDocument/2006/relationships/hyperlink" Target="https://pcw.gov.ph/availment-of-the-105-day-expanded-maternity-leave-under-republic-act-11210-faqs/" TargetMode="External"/><Relationship Id="rId2" Type="http://schemas.openxmlformats.org/officeDocument/2006/relationships/hyperlink" Target="https://www.officialgazette.gov.ph/downloads/2019/02feb/20190220-RA-11210-RRD.pdf" TargetMode="External"/><Relationship Id="rId3" Type="http://schemas.openxmlformats.org/officeDocument/2006/relationships/hyperlink" Target="https://lawphil.net/statutes/repacts/ra2018/ra_11166_2018.html" TargetMode="External"/><Relationship Id="rId4" Type="http://schemas.openxmlformats.org/officeDocument/2006/relationships/hyperlink" Target="https://pcw.gov.ph/republic-act-11596-an-act-prohibiting-the-practice-of-child-marriage-and-imposing-penalties-for-violations-thereof/" TargetMode="External"/><Relationship Id="rId9" Type="http://schemas.openxmlformats.org/officeDocument/2006/relationships/hyperlink" Target="https://ph.news.yahoo.com/solons-seek-removal-discriminatory-family-code-provisions-190129138.html" TargetMode="External"/><Relationship Id="rId48" Type="http://schemas.openxmlformats.org/officeDocument/2006/relationships/hyperlink" Target="https://drive.google.com/open?id=1t3K2W9EdyMru25_cNfVojvz80uzAoO_d" TargetMode="External"/><Relationship Id="rId47" Type="http://schemas.openxmlformats.org/officeDocument/2006/relationships/hyperlink" Target="https://chr.gov.ph/wp-content/uploads/2022/01/Inside-Stories-A-Report-on-the-Situation-of-Women-Deprived-of-Liberty-from-Select-Detention-Facilities.pdf" TargetMode="External"/><Relationship Id="rId49" Type="http://schemas.openxmlformats.org/officeDocument/2006/relationships/hyperlink" Target="https://drive.google.com/open?id=1t3K2W9EdyMru25_cNfVojvz80uzAoO_d" TargetMode="External"/><Relationship Id="rId5" Type="http://schemas.openxmlformats.org/officeDocument/2006/relationships/hyperlink" Target="https://www.officialgazette.gov.ph/2022/03/04/republic-act-no-11647-2/" TargetMode="External"/><Relationship Id="rId6" Type="http://schemas.openxmlformats.org/officeDocument/2006/relationships/hyperlink" Target="https://pcw.gov.ph/republic-act-9710-magna-carta-of-women/#:~:text=The%20Magna%20Carta%20of%20Women,marginalized%20sectors%20of%20the%20society" TargetMode="External"/><Relationship Id="rId7" Type="http://schemas.openxmlformats.org/officeDocument/2006/relationships/hyperlink" Target="https://www.tatlerasia.com/culture/arts/pride-month-2021-sogie-equality-bill-timeline" TargetMode="External"/><Relationship Id="rId8" Type="http://schemas.openxmlformats.org/officeDocument/2006/relationships/hyperlink" Target="https://ph.news.yahoo.com/solons-seek-removal-discriminatory-family-code-provisions-190129138.html" TargetMode="External"/><Relationship Id="rId73" Type="http://schemas.openxmlformats.org/officeDocument/2006/relationships/hyperlink" Target="https://chr-observatories.uwazi.io/en/entity/kx4ih8ipdw" TargetMode="External"/><Relationship Id="rId72" Type="http://schemas.openxmlformats.org/officeDocument/2006/relationships/hyperlink" Target="https://chr.gov.ph/wp-content/uploads/2022/01/Telling-our-Own-Stories-Report-on-the-CHR-National-Inquiry-on-the-Reproductive-Health-and-Rights-of-Women-with-Disabilities.pdf" TargetMode="External"/><Relationship Id="rId31" Type="http://schemas.openxmlformats.org/officeDocument/2006/relationships/hyperlink" Target="https://www.fidh.org/en/issues/human-rights-defenders/philippines-arbitrary-detention-of-rights-defender-and-health" TargetMode="External"/><Relationship Id="rId75" Type="http://schemas.openxmlformats.org/officeDocument/2006/relationships/hyperlink" Target="https://www.uppi.upd.edu.ph/research/covid-19/rb8" TargetMode="External"/><Relationship Id="rId30" Type="http://schemas.openxmlformats.org/officeDocument/2006/relationships/hyperlink" Target="https://chr.gov.ph/statement-of-the-commission-on-human-rights-on-the-arrest-of-health-worker-dr-natividad-naty-castro-2/" TargetMode="External"/><Relationship Id="rId74" Type="http://schemas.openxmlformats.org/officeDocument/2006/relationships/hyperlink" Target="https://chr.gov.ph/wp-content/uploads/2022/01/Telling-our-Own-Stories-Report-on-the-CHR-National-Inquiry-on-the-Reproductive-Health-and-Rights-of-Women-with-Disabilities.pdf" TargetMode="External"/><Relationship Id="rId33" Type="http://schemas.openxmlformats.org/officeDocument/2006/relationships/hyperlink" Target="https://mb.com.ph/2022/03/31/flag-lauds-junking-of-dr-naty-castros-cases/" TargetMode="External"/><Relationship Id="rId77" Type="http://schemas.openxmlformats.org/officeDocument/2006/relationships/hyperlink" Target="http://city.eacomm.com/UserFiles/League_of_Cities/file/COAGPPB_JMC_01.pdf" TargetMode="External"/><Relationship Id="rId32" Type="http://schemas.openxmlformats.org/officeDocument/2006/relationships/hyperlink" Target="https://www.sunstar.com.ph/article/1925179/manila/local-news/doc-naty-castro-released-from-prison" TargetMode="External"/><Relationship Id="rId76" Type="http://schemas.openxmlformats.org/officeDocument/2006/relationships/hyperlink" Target="https://chr.gov.ph/wp-content/uploads/2022/06/2021.Gender-Ombud-1stQ-Sit-2021.pdf" TargetMode="External"/><Relationship Id="rId35" Type="http://schemas.openxmlformats.org/officeDocument/2006/relationships/hyperlink" Target="https://chr.gov.ph/statement-of-the-commission-on-human-rights-on-the-courts-guilty-verdict-on-the-cyber-libel-case-against-maria-ressa/" TargetMode="External"/><Relationship Id="rId34" Type="http://schemas.openxmlformats.org/officeDocument/2006/relationships/hyperlink" Target="https://chr.gov.ph/statement-of-chr-spokesperson-atty-jacqueline-ann-de-guia-on-the-arrest-of-rappler-ceo-maria-ressa/" TargetMode="External"/><Relationship Id="rId78" Type="http://schemas.openxmlformats.org/officeDocument/2006/relationships/hyperlink" Target="https://www.dbm.gov.ph/wp-content/uploads/2012/03/BC-2007-1.pdf" TargetMode="External"/><Relationship Id="rId71" Type="http://schemas.openxmlformats.org/officeDocument/2006/relationships/hyperlink" Target="https://chr.gov.ph/wp-content/uploads/2022/01/An-Initial-Situationer-of-Urban-Poor-Women-Focusing-on-Violence-Social-Protection-and-Housing_January-February-2019.pdf" TargetMode="External"/><Relationship Id="rId70" Type="http://schemas.openxmlformats.org/officeDocument/2006/relationships/hyperlink" Target="https://chr.gov.ph/wp-content/uploads/2022/01/CHR-V-No.POL2022-004-A-Situation-Report-on-Women-in-the-Informal-Sector.pdf" TargetMode="External"/><Relationship Id="rId37" Type="http://schemas.openxmlformats.org/officeDocument/2006/relationships/hyperlink" Target="https://www.rappler.com/moveph/philippine-government-red-tagging-community-pantry-sparks-uproar-online" TargetMode="External"/><Relationship Id="rId36" Type="http://schemas.openxmlformats.org/officeDocument/2006/relationships/hyperlink" Target="https://www.bbc.com/news/world-asia-41600434" TargetMode="External"/><Relationship Id="rId39" Type="http://schemas.openxmlformats.org/officeDocument/2006/relationships/hyperlink" Target="https://www.philstar.com/headlines/2021/05/20/2099517/pnp-apologizes-community-pantry-red-tagging" TargetMode="External"/><Relationship Id="rId38" Type="http://schemas.openxmlformats.org/officeDocument/2006/relationships/hyperlink" Target="https://www.rappler.com/nation/community-pantries-face-red-tagging-april-2021" TargetMode="External"/><Relationship Id="rId62" Type="http://schemas.openxmlformats.org/officeDocument/2006/relationships/hyperlink" Target="https://www.rappler.com/nation/woman-accused-cops-rape-torture-shot-dead-cebu-city-april-2021" TargetMode="External"/><Relationship Id="rId61" Type="http://schemas.openxmlformats.org/officeDocument/2006/relationships/hyperlink" Target="https://chr.gov.ph/wp-content/uploads/2022/06/2021.Gender-Ombud-1stQ-Sit-2021.pdf" TargetMode="External"/><Relationship Id="rId20" Type="http://schemas.openxmlformats.org/officeDocument/2006/relationships/hyperlink" Target="https://chr.gov.ph/statement-of-chr-spokesperson-atty-jacqueline-ann-de-guia-welcoming-the-dojs-preliminary-investigation-on-the-batangas-couple-killed-on-bloody-sunday-raids/" TargetMode="External"/><Relationship Id="rId64" Type="http://schemas.openxmlformats.org/officeDocument/2006/relationships/hyperlink" Target="https://chr.gov.ph/wp-content/uploads/2022/06/2022.-Sectoral-Monitoring-on-the-Situation-of-Indigenous-Women-and-Girls-During-the-Pandemic.docx" TargetMode="External"/><Relationship Id="rId63" Type="http://schemas.openxmlformats.org/officeDocument/2006/relationships/hyperlink" Target="https://www.rappler.com/moveph/groups-push-protection-law-lgbtq-mindanaoans-forcibly-shaved" TargetMode="External"/><Relationship Id="rId22" Type="http://schemas.openxmlformats.org/officeDocument/2006/relationships/hyperlink" Target="https://chr.gov.ph/statement-of-chr-spokesperson-atty-jacqueline-ann-de-guia-welcoming-the-dojs-preliminary-investigation-on-the-batangas-couple-killed-on-bloody-sunday-raids/" TargetMode="External"/><Relationship Id="rId66" Type="http://schemas.openxmlformats.org/officeDocument/2006/relationships/hyperlink" Target="https://chr.gov.ph/wp-content/uploads/2022/06/2022.-Sectoral-Monitoring-on-the-Situation-of-Indigenous-Women-and-Girls-During-the-Pandemic.docx" TargetMode="External"/><Relationship Id="rId21" Type="http://schemas.openxmlformats.org/officeDocument/2006/relationships/hyperlink" Target="https://chr.gov.ph/statement-of-chr-spokesperson-atty-jacqueline-ann-de-guia-on-the-killing-of-spanish-surfer-and-businessman-diego-bello-lafuente-during-an-alleged-police-drug-operation-in-siargao/" TargetMode="External"/><Relationship Id="rId65" Type="http://schemas.openxmlformats.org/officeDocument/2006/relationships/hyperlink" Target="http://chr.gov.ph/wp-content/uploads/2020/04/Human-Rights-Advisory-on-Indigenous-Cultural-Communities-Indigenous-Peoples-ICCsIps-Amidst-the-COVID-19-Pandemic-CHR-V-A2020-006.pdf" TargetMode="External"/><Relationship Id="rId24" Type="http://schemas.openxmlformats.org/officeDocument/2006/relationships/hyperlink" Target="https://ovp.gov.ph/storage/app/uploads/public/61f/12b/34e/61f12b34e76e5876914125.pdf" TargetMode="External"/><Relationship Id="rId68" Type="http://schemas.openxmlformats.org/officeDocument/2006/relationships/hyperlink" Target="https://www.unwomen.org/en/what-we-do/ending-violence-against-women/facts-and-figures" TargetMode="External"/><Relationship Id="rId23" Type="http://schemas.openxmlformats.org/officeDocument/2006/relationships/hyperlink" Target="https://chr.gov.ph/statement-of-chr-spokesperson-atty-jacqueline-ann-de-guia-welcoming-the-dojs-preliminary-investigation-on-the-batangas-couple-killed-on-bloody-sunday-raids/" TargetMode="External"/><Relationship Id="rId67" Type="http://schemas.openxmlformats.org/officeDocument/2006/relationships/hyperlink" Target="https://chr-observatories.uwazi.io/en/entity/09b4ponfj2rp?searchTerm=trafficking" TargetMode="External"/><Relationship Id="rId60" Type="http://schemas.openxmlformats.org/officeDocument/2006/relationships/hyperlink" Target="https://chr.gov.ph/wp-content/uploads/2022/06/2020.-Gender-Ombud-Situationer.pdf" TargetMode="External"/><Relationship Id="rId26" Type="http://schemas.openxmlformats.org/officeDocument/2006/relationships/hyperlink" Target="https://www.hrw.org/news/2022/05/04/philippines-witnesses-retract-testimony-against-duterte-critic" TargetMode="External"/><Relationship Id="rId25" Type="http://schemas.openxmlformats.org/officeDocument/2006/relationships/hyperlink" Target="https://legacy.senate.gov.ph/press_release/2022/0502_delima1.asp" TargetMode="External"/><Relationship Id="rId69" Type="http://schemas.openxmlformats.org/officeDocument/2006/relationships/hyperlink" Target="https://chr.gov.ph/wp-content/uploads/2022/06/2021.Gender-Ombud-1stQ-Sit-2021.pdf" TargetMode="External"/><Relationship Id="rId28" Type="http://schemas.openxmlformats.org/officeDocument/2006/relationships/hyperlink" Target="https://legacy.senate.gov.ph/press_release/2022/0602_delima1.asp" TargetMode="External"/><Relationship Id="rId27" Type="http://schemas.openxmlformats.org/officeDocument/2006/relationships/hyperlink" Target="https://www.amnesty.org/en/documents/asa35/5647/2022/en/" TargetMode="External"/><Relationship Id="rId29" Type="http://schemas.openxmlformats.org/officeDocument/2006/relationships/hyperlink" Target="https://chr.gov.ph/statement-of-chr-commissioner-karen-gomez-dumpit-focal-commissioner-on-womens-rights-on-the-arrest-of-maria-salome-sally-crisostomo-ujano/" TargetMode="External"/><Relationship Id="rId51" Type="http://schemas.openxmlformats.org/officeDocument/2006/relationships/hyperlink" Target="https://chr.gov.ph/wp-content/uploads/2022/06/2020.-Gender-Ombud-Situationer.pdf" TargetMode="External"/><Relationship Id="rId50" Type="http://schemas.openxmlformats.org/officeDocument/2006/relationships/hyperlink" Target="https://drive.google.com/open?id=1t3K2W9EdyMru25_cNfVojvz80uzAoO_d" TargetMode="External"/><Relationship Id="rId53" Type="http://schemas.openxmlformats.org/officeDocument/2006/relationships/hyperlink" Target="https://www.ncda.gov.ph/disability-laws/republic-acts/ra-11106/" TargetMode="External"/><Relationship Id="rId52" Type="http://schemas.openxmlformats.org/officeDocument/2006/relationships/hyperlink" Target="https://chr.gov.ph/wp-content/uploads/2022/01/Telling-our-Own-Stories-Report-on-the-CHR-National-Inquiry-on-the-Reproductive-Health-and-Rights-of-Women-with-Disabilities.pdf" TargetMode="External"/><Relationship Id="rId11" Type="http://schemas.openxmlformats.org/officeDocument/2006/relationships/hyperlink" Target="https://www.weforum.org/reports/global-gender-gap-report-2021/" TargetMode="External"/><Relationship Id="rId55" Type="http://schemas.openxmlformats.org/officeDocument/2006/relationships/hyperlink" Target="https://pcw.gov.ph/republic-act-11596-an-act-prohibiting-the-practice-of-child-marriage-and-imposing-penalties-for-violations-thereof/" TargetMode="External"/><Relationship Id="rId10" Type="http://schemas.openxmlformats.org/officeDocument/2006/relationships/hyperlink" Target="https://pcw.gov.ph/eliminating-discrimination-against-women-in-the-revised-penal-code-rpc-decriminalizing-adultery-and-concubinage/" TargetMode="External"/><Relationship Id="rId54" Type="http://schemas.openxmlformats.org/officeDocument/2006/relationships/hyperlink" Target="https://www.officialgazette.gov.ph/2019/04/17/republic-act-no-11313/" TargetMode="External"/><Relationship Id="rId13" Type="http://schemas.openxmlformats.org/officeDocument/2006/relationships/hyperlink" Target="https://mb.com.ph/2021/04/29/ph-drops-to-no-17-in-gender-gap-report-2021/" TargetMode="External"/><Relationship Id="rId57" Type="http://schemas.openxmlformats.org/officeDocument/2006/relationships/hyperlink" Target="https://chr-observatories.uwazi.io/en/entity/7z8z6medgjg" TargetMode="External"/><Relationship Id="rId12" Type="http://schemas.openxmlformats.org/officeDocument/2006/relationships/hyperlink" Target="https://mb.com.ph/2021/04/29/ph-drops-to-no-17-in-gender-gap-report-2021/" TargetMode="External"/><Relationship Id="rId56" Type="http://schemas.openxmlformats.org/officeDocument/2006/relationships/hyperlink" Target="https://chr.gov.ph/statement-of-the-chr-center-for-gender-equality-and-womens-human-rights-gender-ombud-celebrates-law-against-child-marriage-alarmed-of-bta-members-plea-for-veto/" TargetMode="External"/><Relationship Id="rId15" Type="http://schemas.openxmlformats.org/officeDocument/2006/relationships/hyperlink" Target="https://www.philstar.com/headlines/2020/06/13/2020639/pnp-probe-victim-blaming-social-media-posts-among-its-ranks" TargetMode="External"/><Relationship Id="rId59" Type="http://schemas.openxmlformats.org/officeDocument/2006/relationships/hyperlink" Target="https://chr.gov.ph/wp-content/uploads/2022/06/2020.-Gender-Ombud-Situationer.pdf" TargetMode="External"/><Relationship Id="rId14" Type="http://schemas.openxmlformats.org/officeDocument/2006/relationships/hyperlink" Target="https://chr.gov.ph/statement-of-chr-spokesperson-atty-jacqueline-ann-de-guia-on-the-passage-of-the-anti-terrorism-law/" TargetMode="External"/><Relationship Id="rId58" Type="http://schemas.openxmlformats.org/officeDocument/2006/relationships/hyperlink" Target="https://www.humanitarianresponse.info/ru/operations/ukraine/document/rcce-guidance-covid-19-how-include-marginalized-and-vulnerable-people" TargetMode="External"/><Relationship Id="rId17" Type="http://schemas.openxmlformats.org/officeDocument/2006/relationships/hyperlink" Target="http://chr.gov.ph/wp-content/uploads/2020/07/CHRP-2020-Report-on-the-Situation-of-Human-Rights-Defenders.pdf" TargetMode="External"/><Relationship Id="rId16" Type="http://schemas.openxmlformats.org/officeDocument/2006/relationships/hyperlink" Target="https://chr.gov.ph/wp-content/uploads/2022/01/CHR-V-No.POL2021-001-3rd-and-4th-Q-Gender-Ombud-Situationer-Gendered-Impact-of-the-Pandemic-and-the-need-for-gendered-and-intersectional-responses.pdf" TargetMode="External"/><Relationship Id="rId19" Type="http://schemas.openxmlformats.org/officeDocument/2006/relationships/hyperlink" Target="https://chr.gov.ph/statement-of-chr-spokesperson-atty-jacqueline-ann-de-guia-welcoming-the-dojs-preliminary-investigation-on-the-batangas-couple-killed-on-bloody-sunday-raids/" TargetMode="External"/><Relationship Id="rId18" Type="http://schemas.openxmlformats.org/officeDocument/2006/relationships/hyperlink" Target="http://chr.gov.ph/wp-content/uploads/2020/07/CHRP-2020-Report-on-the-Situation-of-Human-Rights-Defende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1KIsco3PolIDOCLPPWOh5TQN6lg==">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437C897-F3DC-4596-A644-C1789898FCC1}"/>
</file>

<file path=customXML/itemProps3.xml><?xml version="1.0" encoding="utf-8"?>
<ds:datastoreItem xmlns:ds="http://schemas.openxmlformats.org/officeDocument/2006/customXml" ds:itemID="{4A8ADD1C-3DBE-4214-81E4-624E81039F42}"/>
</file>

<file path=customXML/itemProps4.xml><?xml version="1.0" encoding="utf-8"?>
<ds:datastoreItem xmlns:ds="http://schemas.openxmlformats.org/officeDocument/2006/customXml" ds:itemID="{65268892-233D-4D45-B705-7595A7E25424}"/>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christa balonkita</dc:creator>
  <dcterms:created xsi:type="dcterms:W3CDTF">2022-06-06T16:31:00Z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