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830F5A" w14:textId="77777777" w:rsidR="00E9610D" w:rsidRPr="002A6A49" w:rsidRDefault="00E9610D" w:rsidP="00EF76A0">
      <w:pPr>
        <w:pStyle w:val="NoSpacing"/>
        <w:jc w:val="center"/>
        <w:rPr>
          <w:rFonts w:ascii="Times New Roman" w:hAnsi="Times New Roman"/>
          <w:b/>
          <w:sz w:val="24"/>
          <w:szCs w:val="24"/>
        </w:rPr>
      </w:pPr>
    </w:p>
    <w:p w14:paraId="56F0E721" w14:textId="77777777" w:rsidR="00E9610D" w:rsidRPr="002A6A49" w:rsidRDefault="00E9610D" w:rsidP="00EF76A0">
      <w:pPr>
        <w:pStyle w:val="NoSpacing"/>
        <w:jc w:val="center"/>
        <w:rPr>
          <w:rFonts w:ascii="Times New Roman" w:hAnsi="Times New Roman"/>
          <w:b/>
          <w:sz w:val="24"/>
          <w:szCs w:val="24"/>
        </w:rPr>
      </w:pPr>
    </w:p>
    <w:p w14:paraId="72DFCB81" w14:textId="77777777" w:rsidR="00D02404" w:rsidRDefault="0011694A" w:rsidP="00EF76A0">
      <w:pPr>
        <w:pStyle w:val="NoSpacing"/>
        <w:jc w:val="center"/>
        <w:rPr>
          <w:rFonts w:ascii="Times New Roman" w:hAnsi="Times New Roman"/>
          <w:b/>
          <w:sz w:val="24"/>
          <w:szCs w:val="24"/>
        </w:rPr>
      </w:pPr>
      <w:r w:rsidRPr="002A6A49">
        <w:rPr>
          <w:rFonts w:ascii="Times New Roman" w:hAnsi="Times New Roman"/>
          <w:b/>
          <w:sz w:val="24"/>
          <w:szCs w:val="24"/>
        </w:rPr>
        <w:t>Human Rights Committee</w:t>
      </w:r>
    </w:p>
    <w:p w14:paraId="0E8F10FF" w14:textId="77777777" w:rsidR="00EF76A0" w:rsidRPr="002A6A49" w:rsidRDefault="000133E7" w:rsidP="00EF76A0">
      <w:pPr>
        <w:pStyle w:val="NoSpacing"/>
        <w:jc w:val="center"/>
        <w:rPr>
          <w:rFonts w:ascii="Times New Roman" w:hAnsi="Times New Roman"/>
          <w:b/>
          <w:sz w:val="24"/>
          <w:szCs w:val="24"/>
        </w:rPr>
      </w:pPr>
      <w:r w:rsidRPr="000133E7">
        <w:rPr>
          <w:rFonts w:ascii="Times New Roman" w:hAnsi="Times New Roman"/>
          <w:b/>
          <w:sz w:val="24"/>
          <w:szCs w:val="24"/>
        </w:rPr>
        <w:t>118th</w:t>
      </w:r>
      <w:r w:rsidR="00EF76A0" w:rsidRPr="002A6A49">
        <w:rPr>
          <w:rFonts w:ascii="Times New Roman" w:hAnsi="Times New Roman"/>
          <w:b/>
          <w:sz w:val="24"/>
          <w:szCs w:val="24"/>
        </w:rPr>
        <w:t xml:space="preserve"> session</w:t>
      </w:r>
    </w:p>
    <w:p w14:paraId="218BC74D" w14:textId="77777777" w:rsidR="00EF76A0" w:rsidRPr="002A6A49" w:rsidRDefault="00D02404" w:rsidP="00EF76A0">
      <w:pPr>
        <w:pStyle w:val="NoSpacing"/>
        <w:jc w:val="center"/>
        <w:rPr>
          <w:rFonts w:ascii="Times New Roman" w:hAnsi="Times New Roman"/>
          <w:b/>
          <w:sz w:val="24"/>
          <w:szCs w:val="24"/>
        </w:rPr>
      </w:pPr>
      <w:r>
        <w:rPr>
          <w:rFonts w:ascii="Times New Roman" w:hAnsi="Times New Roman"/>
          <w:b/>
          <w:sz w:val="24"/>
          <w:szCs w:val="24"/>
        </w:rPr>
        <w:t>R</w:t>
      </w:r>
      <w:r w:rsidR="00EF76A0" w:rsidRPr="002A6A49">
        <w:rPr>
          <w:rFonts w:ascii="Times New Roman" w:hAnsi="Times New Roman"/>
          <w:b/>
          <w:sz w:val="24"/>
          <w:szCs w:val="24"/>
        </w:rPr>
        <w:t>eview of Slovakia</w:t>
      </w:r>
      <w:r>
        <w:rPr>
          <w:rFonts w:ascii="Times New Roman" w:hAnsi="Times New Roman"/>
          <w:b/>
          <w:sz w:val="24"/>
          <w:szCs w:val="24"/>
        </w:rPr>
        <w:t xml:space="preserve">’s </w:t>
      </w:r>
      <w:r w:rsidR="000133E7">
        <w:rPr>
          <w:rFonts w:ascii="Times New Roman" w:hAnsi="Times New Roman"/>
          <w:b/>
          <w:sz w:val="24"/>
          <w:szCs w:val="24"/>
        </w:rPr>
        <w:t>4th</w:t>
      </w:r>
      <w:r>
        <w:rPr>
          <w:rFonts w:ascii="Times New Roman" w:hAnsi="Times New Roman"/>
          <w:b/>
          <w:sz w:val="24"/>
          <w:szCs w:val="24"/>
        </w:rPr>
        <w:t xml:space="preserve"> Periodic Report under the ICCPR </w:t>
      </w:r>
    </w:p>
    <w:p w14:paraId="0A69A573" w14:textId="77777777" w:rsidR="00AC5E86" w:rsidRPr="002A6A49" w:rsidRDefault="00121240" w:rsidP="00EF76A0">
      <w:pPr>
        <w:pStyle w:val="NoSpacing"/>
        <w:jc w:val="center"/>
        <w:rPr>
          <w:rFonts w:ascii="Times New Roman" w:hAnsi="Times New Roman"/>
          <w:b/>
          <w:sz w:val="24"/>
          <w:szCs w:val="24"/>
        </w:rPr>
      </w:pPr>
      <w:r>
        <w:rPr>
          <w:rFonts w:ascii="Times New Roman" w:hAnsi="Times New Roman"/>
          <w:b/>
          <w:sz w:val="24"/>
          <w:szCs w:val="24"/>
        </w:rPr>
        <w:t>17 - 18</w:t>
      </w:r>
      <w:r w:rsidR="001163D3">
        <w:rPr>
          <w:rFonts w:ascii="Times New Roman" w:hAnsi="Times New Roman"/>
          <w:b/>
          <w:sz w:val="24"/>
          <w:szCs w:val="24"/>
        </w:rPr>
        <w:t xml:space="preserve"> </w:t>
      </w:r>
      <w:r w:rsidR="0011694A" w:rsidRPr="002A6A49">
        <w:rPr>
          <w:rFonts w:ascii="Times New Roman" w:hAnsi="Times New Roman"/>
          <w:b/>
          <w:sz w:val="24"/>
          <w:szCs w:val="24"/>
        </w:rPr>
        <w:t>October 2016</w:t>
      </w:r>
    </w:p>
    <w:p w14:paraId="11FCE367" w14:textId="77777777" w:rsidR="00EF76A0" w:rsidRPr="002A6A49" w:rsidRDefault="00EF76A0" w:rsidP="00400A2C">
      <w:pPr>
        <w:jc w:val="both"/>
        <w:rPr>
          <w:rFonts w:ascii="Times New Roman" w:hAnsi="Times New Roman"/>
          <w:spacing w:val="1"/>
          <w:sz w:val="24"/>
          <w:szCs w:val="24"/>
        </w:rPr>
      </w:pPr>
    </w:p>
    <w:p w14:paraId="2DACA9DB" w14:textId="5A5A9140" w:rsidR="00EF76A0" w:rsidRPr="002A6A49" w:rsidRDefault="00EF76A0" w:rsidP="00985DBB">
      <w:pPr>
        <w:jc w:val="center"/>
        <w:rPr>
          <w:rFonts w:ascii="Times New Roman" w:hAnsi="Times New Roman"/>
          <w:b/>
          <w:i/>
          <w:spacing w:val="1"/>
          <w:sz w:val="24"/>
          <w:szCs w:val="24"/>
          <w:lang w:val="sk-SK"/>
        </w:rPr>
      </w:pPr>
      <w:r w:rsidRPr="002A6A49">
        <w:rPr>
          <w:rFonts w:ascii="Times New Roman" w:hAnsi="Times New Roman"/>
          <w:b/>
          <w:i/>
          <w:spacing w:val="1"/>
          <w:sz w:val="24"/>
          <w:szCs w:val="24"/>
        </w:rPr>
        <w:t>Joint submission by</w:t>
      </w:r>
      <w:r w:rsidR="00D02404">
        <w:rPr>
          <w:rFonts w:ascii="Times New Roman" w:hAnsi="Times New Roman"/>
          <w:b/>
          <w:i/>
          <w:spacing w:val="1"/>
          <w:sz w:val="24"/>
          <w:szCs w:val="24"/>
        </w:rPr>
        <w:t>:</w:t>
      </w:r>
      <w:r w:rsidRPr="002A6A49">
        <w:rPr>
          <w:rFonts w:ascii="Times New Roman" w:hAnsi="Times New Roman"/>
          <w:b/>
          <w:i/>
          <w:spacing w:val="1"/>
          <w:sz w:val="24"/>
          <w:szCs w:val="24"/>
        </w:rPr>
        <w:t xml:space="preserve"> Citizen, Democracy and Accountability, </w:t>
      </w:r>
      <w:r w:rsidR="00A91CF6">
        <w:rPr>
          <w:rFonts w:ascii="Times New Roman" w:hAnsi="Times New Roman"/>
          <w:b/>
          <w:i/>
          <w:spacing w:val="1"/>
          <w:sz w:val="24"/>
          <w:szCs w:val="24"/>
        </w:rPr>
        <w:t xml:space="preserve">the </w:t>
      </w:r>
      <w:r w:rsidR="007C156F">
        <w:rPr>
          <w:rFonts w:ascii="Times New Roman" w:hAnsi="Times New Roman"/>
          <w:b/>
          <w:i/>
          <w:spacing w:val="1"/>
          <w:sz w:val="24"/>
          <w:szCs w:val="24"/>
        </w:rPr>
        <w:t>Center for Civil and Human Rights</w:t>
      </w:r>
      <w:r w:rsidR="000D7306">
        <w:rPr>
          <w:rFonts w:ascii="Times New Roman" w:hAnsi="Times New Roman"/>
          <w:b/>
          <w:i/>
          <w:spacing w:val="1"/>
          <w:sz w:val="24"/>
          <w:szCs w:val="24"/>
        </w:rPr>
        <w:t xml:space="preserve"> </w:t>
      </w:r>
      <w:r w:rsidR="00A91CF6">
        <w:rPr>
          <w:rFonts w:ascii="Times New Roman" w:hAnsi="Times New Roman"/>
          <w:b/>
          <w:i/>
          <w:spacing w:val="1"/>
          <w:sz w:val="24"/>
          <w:szCs w:val="24"/>
        </w:rPr>
        <w:t>–</w:t>
      </w:r>
      <w:r w:rsidR="000D7306">
        <w:rPr>
          <w:rFonts w:ascii="Times New Roman" w:hAnsi="Times New Roman"/>
          <w:b/>
          <w:i/>
          <w:spacing w:val="1"/>
          <w:sz w:val="24"/>
          <w:szCs w:val="24"/>
        </w:rPr>
        <w:t xml:space="preserve"> </w:t>
      </w:r>
      <w:proofErr w:type="spellStart"/>
      <w:r w:rsidR="000D7306">
        <w:rPr>
          <w:rFonts w:ascii="Times New Roman" w:hAnsi="Times New Roman"/>
          <w:b/>
          <w:i/>
          <w:spacing w:val="1"/>
          <w:sz w:val="24"/>
          <w:szCs w:val="24"/>
        </w:rPr>
        <w:t>Poradňa</w:t>
      </w:r>
      <w:proofErr w:type="spellEnd"/>
      <w:r w:rsidR="00A91CF6">
        <w:rPr>
          <w:rFonts w:ascii="Times New Roman" w:hAnsi="Times New Roman"/>
          <w:b/>
          <w:i/>
          <w:spacing w:val="1"/>
          <w:sz w:val="24"/>
          <w:szCs w:val="24"/>
          <w:lang w:val="sk-SK"/>
        </w:rPr>
        <w:t xml:space="preserve">, </w:t>
      </w:r>
      <w:r w:rsidRPr="00066C19">
        <w:rPr>
          <w:rFonts w:ascii="Times New Roman" w:hAnsi="Times New Roman"/>
          <w:b/>
          <w:i/>
          <w:spacing w:val="1"/>
          <w:sz w:val="24"/>
          <w:szCs w:val="24"/>
        </w:rPr>
        <w:t>Women’s Circles</w:t>
      </w:r>
      <w:r w:rsidR="00A91CF6">
        <w:rPr>
          <w:rFonts w:ascii="Times New Roman" w:hAnsi="Times New Roman"/>
          <w:b/>
          <w:i/>
          <w:spacing w:val="1"/>
          <w:sz w:val="24"/>
          <w:szCs w:val="24"/>
        </w:rPr>
        <w:t xml:space="preserve"> and</w:t>
      </w:r>
      <w:r w:rsidR="00A91CF6" w:rsidRPr="00A91CF6">
        <w:rPr>
          <w:rFonts w:ascii="Times New Roman" w:hAnsi="Times New Roman"/>
          <w:b/>
          <w:i/>
          <w:spacing w:val="1"/>
          <w:sz w:val="24"/>
          <w:szCs w:val="24"/>
        </w:rPr>
        <w:t xml:space="preserve"> </w:t>
      </w:r>
      <w:r w:rsidR="00A91CF6" w:rsidRPr="002A6A49">
        <w:rPr>
          <w:rFonts w:ascii="Times New Roman" w:hAnsi="Times New Roman"/>
          <w:b/>
          <w:i/>
          <w:spacing w:val="1"/>
          <w:sz w:val="24"/>
          <w:szCs w:val="24"/>
        </w:rPr>
        <w:t>the Center for Reproductive Rights</w:t>
      </w:r>
    </w:p>
    <w:p w14:paraId="53FCFC51" w14:textId="77777777" w:rsidR="00EF76A0" w:rsidRPr="002A6A49" w:rsidRDefault="00EF76A0" w:rsidP="00C41B9C">
      <w:pPr>
        <w:pStyle w:val="Sinespaciado"/>
      </w:pPr>
    </w:p>
    <w:p w14:paraId="2B688D63" w14:textId="106B257A" w:rsidR="0011694A" w:rsidRPr="002A6A49" w:rsidRDefault="00EF76A0" w:rsidP="0011694A">
      <w:pPr>
        <w:spacing w:after="0" w:line="240" w:lineRule="auto"/>
        <w:jc w:val="both"/>
        <w:rPr>
          <w:rFonts w:ascii="Times New Roman" w:hAnsi="Times New Roman"/>
          <w:sz w:val="24"/>
          <w:szCs w:val="24"/>
        </w:rPr>
      </w:pPr>
      <w:r w:rsidRPr="000D7306">
        <w:rPr>
          <w:rFonts w:ascii="Times New Roman" w:hAnsi="Times New Roman"/>
          <w:i/>
          <w:spacing w:val="1"/>
          <w:sz w:val="24"/>
          <w:szCs w:val="24"/>
        </w:rPr>
        <w:t>Citizen, Democracy and Accountability</w:t>
      </w:r>
      <w:r w:rsidRPr="002A6A49">
        <w:rPr>
          <w:rFonts w:ascii="Times New Roman" w:hAnsi="Times New Roman"/>
          <w:spacing w:val="1"/>
          <w:sz w:val="24"/>
          <w:szCs w:val="24"/>
        </w:rPr>
        <w:t xml:space="preserve">, </w:t>
      </w:r>
      <w:r w:rsidR="00A91CF6">
        <w:rPr>
          <w:rFonts w:ascii="Times New Roman" w:hAnsi="Times New Roman"/>
          <w:spacing w:val="1"/>
          <w:sz w:val="24"/>
          <w:szCs w:val="24"/>
        </w:rPr>
        <w:t xml:space="preserve">the </w:t>
      </w:r>
      <w:r w:rsidR="007C156F" w:rsidRPr="000D7306">
        <w:rPr>
          <w:rFonts w:ascii="Times New Roman" w:hAnsi="Times New Roman"/>
          <w:i/>
          <w:spacing w:val="1"/>
          <w:sz w:val="24"/>
          <w:szCs w:val="24"/>
        </w:rPr>
        <w:t>Center for Civil and Human Rights</w:t>
      </w:r>
      <w:r w:rsidR="00957F33" w:rsidRPr="000D7306">
        <w:rPr>
          <w:rFonts w:ascii="Times New Roman" w:hAnsi="Times New Roman"/>
          <w:i/>
          <w:spacing w:val="1"/>
          <w:sz w:val="24"/>
          <w:szCs w:val="24"/>
        </w:rPr>
        <w:t xml:space="preserve"> </w:t>
      </w:r>
      <w:r w:rsidR="00A91CF6">
        <w:rPr>
          <w:rFonts w:ascii="Times New Roman" w:hAnsi="Times New Roman"/>
          <w:i/>
          <w:spacing w:val="1"/>
          <w:sz w:val="24"/>
          <w:szCs w:val="24"/>
        </w:rPr>
        <w:t>–</w:t>
      </w:r>
      <w:r w:rsidR="00957F33" w:rsidRPr="000D7306">
        <w:rPr>
          <w:rFonts w:ascii="Times New Roman" w:hAnsi="Times New Roman"/>
          <w:i/>
          <w:spacing w:val="1"/>
          <w:sz w:val="24"/>
          <w:szCs w:val="24"/>
        </w:rPr>
        <w:t xml:space="preserve"> </w:t>
      </w:r>
      <w:proofErr w:type="spellStart"/>
      <w:r w:rsidR="00957F33" w:rsidRPr="000D7306">
        <w:rPr>
          <w:rFonts w:ascii="Times New Roman" w:hAnsi="Times New Roman"/>
          <w:i/>
          <w:spacing w:val="1"/>
          <w:sz w:val="24"/>
          <w:szCs w:val="24"/>
        </w:rPr>
        <w:t>Poradňa</w:t>
      </w:r>
      <w:proofErr w:type="spellEnd"/>
      <w:r w:rsidR="00A91CF6">
        <w:rPr>
          <w:rFonts w:ascii="Times New Roman" w:hAnsi="Times New Roman"/>
          <w:i/>
          <w:spacing w:val="1"/>
          <w:sz w:val="24"/>
          <w:szCs w:val="24"/>
        </w:rPr>
        <w:t xml:space="preserve">, </w:t>
      </w:r>
      <w:r w:rsidRPr="00066C19">
        <w:rPr>
          <w:rFonts w:ascii="Times New Roman" w:hAnsi="Times New Roman"/>
          <w:i/>
          <w:spacing w:val="1"/>
          <w:sz w:val="24"/>
          <w:szCs w:val="24"/>
        </w:rPr>
        <w:t>Women’s Circles</w:t>
      </w:r>
      <w:r w:rsidR="00A91CF6">
        <w:rPr>
          <w:rFonts w:ascii="Times New Roman" w:hAnsi="Times New Roman"/>
          <w:i/>
          <w:spacing w:val="1"/>
          <w:sz w:val="24"/>
          <w:szCs w:val="24"/>
        </w:rPr>
        <w:t xml:space="preserve"> </w:t>
      </w:r>
      <w:r w:rsidR="00A91CF6" w:rsidRPr="009D2806">
        <w:rPr>
          <w:rFonts w:ascii="Times New Roman" w:hAnsi="Times New Roman"/>
          <w:spacing w:val="1"/>
          <w:sz w:val="24"/>
          <w:szCs w:val="24"/>
        </w:rPr>
        <w:t>and</w:t>
      </w:r>
      <w:r w:rsidR="00A91CF6">
        <w:rPr>
          <w:rFonts w:ascii="Times New Roman" w:hAnsi="Times New Roman"/>
          <w:i/>
          <w:spacing w:val="1"/>
          <w:sz w:val="24"/>
          <w:szCs w:val="24"/>
        </w:rPr>
        <w:t xml:space="preserve"> </w:t>
      </w:r>
      <w:r w:rsidR="00A91CF6">
        <w:rPr>
          <w:rFonts w:ascii="Times New Roman" w:hAnsi="Times New Roman"/>
          <w:spacing w:val="1"/>
          <w:sz w:val="24"/>
          <w:szCs w:val="24"/>
        </w:rPr>
        <w:t>t</w:t>
      </w:r>
      <w:r w:rsidR="00A91CF6" w:rsidRPr="002A6A49">
        <w:rPr>
          <w:rFonts w:ascii="Times New Roman" w:hAnsi="Times New Roman"/>
          <w:spacing w:val="1"/>
          <w:sz w:val="24"/>
          <w:szCs w:val="24"/>
        </w:rPr>
        <w:t xml:space="preserve">he </w:t>
      </w:r>
      <w:r w:rsidR="00A91CF6" w:rsidRPr="00957F33">
        <w:rPr>
          <w:rFonts w:ascii="Times New Roman" w:hAnsi="Times New Roman"/>
          <w:i/>
          <w:spacing w:val="1"/>
          <w:sz w:val="24"/>
          <w:szCs w:val="24"/>
        </w:rPr>
        <w:t xml:space="preserve">Center for Reproductive </w:t>
      </w:r>
      <w:proofErr w:type="gramStart"/>
      <w:r w:rsidR="00A91CF6" w:rsidRPr="00957F33">
        <w:rPr>
          <w:rFonts w:ascii="Times New Roman" w:hAnsi="Times New Roman"/>
          <w:i/>
          <w:spacing w:val="1"/>
          <w:sz w:val="24"/>
          <w:szCs w:val="24"/>
        </w:rPr>
        <w:t>Rights</w:t>
      </w:r>
      <w:r w:rsidR="00A91CF6" w:rsidRPr="002A6A49">
        <w:rPr>
          <w:rFonts w:ascii="Times New Roman" w:hAnsi="Times New Roman"/>
          <w:spacing w:val="1"/>
          <w:sz w:val="24"/>
          <w:szCs w:val="24"/>
        </w:rPr>
        <w:t xml:space="preserve"> </w:t>
      </w:r>
      <w:r w:rsidR="0022052F" w:rsidRPr="002A6A49">
        <w:rPr>
          <w:rFonts w:ascii="Times New Roman" w:hAnsi="Times New Roman"/>
          <w:spacing w:val="1"/>
          <w:sz w:val="24"/>
          <w:szCs w:val="24"/>
        </w:rPr>
        <w:t xml:space="preserve"> </w:t>
      </w:r>
      <w:r w:rsidR="00400A2C" w:rsidRPr="002A6A49">
        <w:rPr>
          <w:rFonts w:ascii="Times New Roman" w:hAnsi="Times New Roman"/>
          <w:spacing w:val="1"/>
          <w:sz w:val="24"/>
          <w:szCs w:val="24"/>
        </w:rPr>
        <w:t>present</w:t>
      </w:r>
      <w:proofErr w:type="gramEnd"/>
      <w:r w:rsidR="00400A2C" w:rsidRPr="002A6A49">
        <w:rPr>
          <w:rFonts w:ascii="Times New Roman" w:hAnsi="Times New Roman"/>
          <w:spacing w:val="1"/>
          <w:sz w:val="24"/>
          <w:szCs w:val="24"/>
        </w:rPr>
        <w:t xml:space="preserve"> this submission to the </w:t>
      </w:r>
      <w:r w:rsidR="0011694A" w:rsidRPr="002A6A49">
        <w:rPr>
          <w:rFonts w:ascii="Times New Roman" w:hAnsi="Times New Roman"/>
          <w:spacing w:val="1"/>
          <w:sz w:val="24"/>
          <w:szCs w:val="24"/>
        </w:rPr>
        <w:t xml:space="preserve">Human Rights Committee </w:t>
      </w:r>
      <w:r w:rsidR="00400A2C" w:rsidRPr="002A6A49">
        <w:rPr>
          <w:rFonts w:ascii="Times New Roman" w:hAnsi="Times New Roman"/>
          <w:spacing w:val="1"/>
          <w:sz w:val="24"/>
          <w:szCs w:val="24"/>
        </w:rPr>
        <w:t xml:space="preserve">for its consideration in the context of its examination of Slovakia’s </w:t>
      </w:r>
      <w:r w:rsidR="000133E7" w:rsidRPr="000133E7">
        <w:rPr>
          <w:rFonts w:ascii="Times New Roman" w:hAnsi="Times New Roman"/>
          <w:spacing w:val="1"/>
          <w:sz w:val="24"/>
          <w:szCs w:val="24"/>
        </w:rPr>
        <w:t>fourth</w:t>
      </w:r>
      <w:r w:rsidR="0011694A" w:rsidRPr="000133E7">
        <w:rPr>
          <w:rFonts w:ascii="Times New Roman" w:hAnsi="Times New Roman"/>
          <w:spacing w:val="1"/>
          <w:sz w:val="24"/>
          <w:szCs w:val="24"/>
        </w:rPr>
        <w:t xml:space="preserve"> p</w:t>
      </w:r>
      <w:r w:rsidR="0011694A" w:rsidRPr="002A6A49">
        <w:rPr>
          <w:rFonts w:ascii="Times New Roman" w:hAnsi="Times New Roman"/>
          <w:spacing w:val="1"/>
          <w:sz w:val="24"/>
          <w:szCs w:val="24"/>
        </w:rPr>
        <w:t>eriodic report</w:t>
      </w:r>
      <w:r w:rsidR="00400A2C" w:rsidRPr="002A6A49">
        <w:rPr>
          <w:rFonts w:ascii="Times New Roman" w:hAnsi="Times New Roman"/>
          <w:spacing w:val="1"/>
          <w:sz w:val="24"/>
          <w:szCs w:val="24"/>
        </w:rPr>
        <w:t xml:space="preserve"> on compliance with the </w:t>
      </w:r>
      <w:r w:rsidR="0011694A" w:rsidRPr="002A6A49">
        <w:rPr>
          <w:rFonts w:ascii="Times New Roman" w:hAnsi="Times New Roman"/>
          <w:spacing w:val="1"/>
          <w:sz w:val="24"/>
          <w:szCs w:val="24"/>
        </w:rPr>
        <w:t xml:space="preserve">International </w:t>
      </w:r>
      <w:r w:rsidR="00400A2C" w:rsidRPr="002A6A49">
        <w:rPr>
          <w:rFonts w:ascii="Times New Roman" w:hAnsi="Times New Roman"/>
          <w:spacing w:val="1"/>
          <w:sz w:val="24"/>
          <w:szCs w:val="24"/>
        </w:rPr>
        <w:t>Co</w:t>
      </w:r>
      <w:r w:rsidR="0011694A" w:rsidRPr="002A6A49">
        <w:rPr>
          <w:rFonts w:ascii="Times New Roman" w:hAnsi="Times New Roman"/>
          <w:spacing w:val="1"/>
          <w:sz w:val="24"/>
          <w:szCs w:val="24"/>
        </w:rPr>
        <w:t>venant on Civil and Political Rights (the Covenant</w:t>
      </w:r>
      <w:r w:rsidR="00400A2C" w:rsidRPr="002A6A49">
        <w:rPr>
          <w:rFonts w:ascii="Times New Roman" w:hAnsi="Times New Roman"/>
          <w:spacing w:val="1"/>
          <w:sz w:val="24"/>
          <w:szCs w:val="24"/>
        </w:rPr>
        <w:t>).</w:t>
      </w:r>
      <w:r w:rsidR="0011694A" w:rsidRPr="002A6A49">
        <w:rPr>
          <w:rFonts w:ascii="Times New Roman" w:hAnsi="Times New Roman"/>
          <w:spacing w:val="1"/>
          <w:sz w:val="24"/>
          <w:szCs w:val="24"/>
        </w:rPr>
        <w:t xml:space="preserve"> </w:t>
      </w:r>
    </w:p>
    <w:p w14:paraId="6504E043" w14:textId="77777777" w:rsidR="0011694A" w:rsidRPr="002A6A49" w:rsidRDefault="0011694A" w:rsidP="002A6A49">
      <w:pPr>
        <w:pStyle w:val="Sinespaciado"/>
      </w:pPr>
    </w:p>
    <w:p w14:paraId="071C4741" w14:textId="566F0EE4" w:rsidR="00587E13" w:rsidRDefault="00BA3503" w:rsidP="00587E13">
      <w:pPr>
        <w:pStyle w:val="Sinespaciado"/>
        <w:jc w:val="both"/>
      </w:pPr>
      <w:r w:rsidRPr="002A6A49">
        <w:rPr>
          <w:spacing w:val="1"/>
        </w:rPr>
        <w:t>Th</w:t>
      </w:r>
      <w:r w:rsidR="00D02404">
        <w:rPr>
          <w:spacing w:val="1"/>
        </w:rPr>
        <w:t>e</w:t>
      </w:r>
      <w:r w:rsidRPr="002A6A49">
        <w:rPr>
          <w:spacing w:val="1"/>
        </w:rPr>
        <w:t xml:space="preserve"> submission </w:t>
      </w:r>
      <w:r w:rsidR="0011694A" w:rsidRPr="002A6A49">
        <w:t xml:space="preserve">outlines </w:t>
      </w:r>
      <w:r w:rsidR="00D02404">
        <w:t>a number</w:t>
      </w:r>
      <w:r w:rsidR="00D02404" w:rsidRPr="002A6A49">
        <w:t xml:space="preserve"> </w:t>
      </w:r>
      <w:r w:rsidR="0011694A" w:rsidRPr="002A6A49">
        <w:t>of</w:t>
      </w:r>
      <w:r w:rsidR="00D02404">
        <w:t xml:space="preserve"> concerns regarding women’s enjoyment of Articles </w:t>
      </w:r>
      <w:r w:rsidR="00D02404" w:rsidRPr="00756464">
        <w:t>2, 3, 7, 17 and 26 of the Covenant as a result of</w:t>
      </w:r>
      <w:r w:rsidR="0011694A" w:rsidRPr="00756464">
        <w:t xml:space="preserve"> Slovak laws and practices </w:t>
      </w:r>
      <w:r w:rsidR="00D02404" w:rsidRPr="00756464">
        <w:t xml:space="preserve">concerning </w:t>
      </w:r>
      <w:r w:rsidR="0011694A" w:rsidRPr="00756464">
        <w:t>reproductive</w:t>
      </w:r>
      <w:r w:rsidR="0011694A" w:rsidRPr="002A6A49">
        <w:t xml:space="preserve"> rights</w:t>
      </w:r>
      <w:r w:rsidR="00D02404">
        <w:t xml:space="preserve">. </w:t>
      </w:r>
      <w:r w:rsidR="00FB171A">
        <w:t>As highlighted in Sections (</w:t>
      </w:r>
      <w:proofErr w:type="spellStart"/>
      <w:r w:rsidR="00FB171A">
        <w:t>i</w:t>
      </w:r>
      <w:proofErr w:type="spellEnd"/>
      <w:r w:rsidR="00FB171A">
        <w:t>) – (</w:t>
      </w:r>
      <w:r w:rsidR="001C43EE">
        <w:t>iv</w:t>
      </w:r>
      <w:r w:rsidR="00FB171A">
        <w:t xml:space="preserve">) below these </w:t>
      </w:r>
      <w:r w:rsidR="0011694A" w:rsidRPr="002A6A49">
        <w:t>include: (</w:t>
      </w:r>
      <w:proofErr w:type="spellStart"/>
      <w:r w:rsidR="00FB171A">
        <w:t>i</w:t>
      </w:r>
      <w:proofErr w:type="spellEnd"/>
      <w:r w:rsidR="0011694A" w:rsidRPr="002A6A49">
        <w:t>)</w:t>
      </w:r>
      <w:r w:rsidR="00D02404">
        <w:t xml:space="preserve"> discrimination against Roma women in reproductive health contexts;</w:t>
      </w:r>
      <w:r w:rsidR="00FB171A">
        <w:t xml:space="preserve"> (ii)</w:t>
      </w:r>
      <w:r w:rsidR="00D02404">
        <w:t xml:space="preserve"> </w:t>
      </w:r>
      <w:r w:rsidR="00FB171A">
        <w:t xml:space="preserve">discrimination and abuse in the course of childbirth; (iii) </w:t>
      </w:r>
      <w:r w:rsidR="0011694A" w:rsidRPr="002A6A49">
        <w:t>barriers in access to abortion service</w:t>
      </w:r>
      <w:r w:rsidR="001C43EE">
        <w:t>s; (iv) deficient regulation of medical practitioners</w:t>
      </w:r>
      <w:r w:rsidR="00A91CF6">
        <w:t>’</w:t>
      </w:r>
      <w:r w:rsidR="001C43EE">
        <w:t xml:space="preserve"> refusals of care on grounds of conscience.</w:t>
      </w:r>
      <w:r w:rsidR="00FB171A">
        <w:t xml:space="preserve"> </w:t>
      </w:r>
      <w:r w:rsidR="0011694A" w:rsidRPr="002A6A49">
        <w:t>A number of recommend</w:t>
      </w:r>
      <w:r w:rsidR="00FB171A">
        <w:t>ations for changes to Slovak law and practice</w:t>
      </w:r>
      <w:r w:rsidR="0011694A" w:rsidRPr="002A6A49">
        <w:t xml:space="preserve"> are outlined at the end of each </w:t>
      </w:r>
      <w:r w:rsidR="00FB171A">
        <w:t>S</w:t>
      </w:r>
      <w:r w:rsidR="0011694A" w:rsidRPr="002A6A49">
        <w:t>ection.</w:t>
      </w:r>
    </w:p>
    <w:p w14:paraId="62E64514" w14:textId="77777777" w:rsidR="00587E13" w:rsidRDefault="00587E13" w:rsidP="00587E13">
      <w:pPr>
        <w:pStyle w:val="Sinespaciado"/>
        <w:jc w:val="both"/>
      </w:pPr>
    </w:p>
    <w:p w14:paraId="36F50082" w14:textId="77777777" w:rsidR="009C58B6" w:rsidRDefault="00587E13" w:rsidP="00887A0B">
      <w:pPr>
        <w:pStyle w:val="Sinespaciado"/>
        <w:numPr>
          <w:ilvl w:val="0"/>
          <w:numId w:val="6"/>
        </w:numPr>
        <w:jc w:val="both"/>
      </w:pPr>
      <w:r w:rsidRPr="00587E13">
        <w:rPr>
          <w:b/>
        </w:rPr>
        <w:t>D</w:t>
      </w:r>
      <w:r>
        <w:rPr>
          <w:b/>
        </w:rPr>
        <w:t>iscrimination against Roma Women in Reproductive Health C</w:t>
      </w:r>
      <w:r w:rsidRPr="00587E13">
        <w:rPr>
          <w:b/>
        </w:rPr>
        <w:t xml:space="preserve">ontexts (Articles 2, 3, </w:t>
      </w:r>
      <w:r>
        <w:rPr>
          <w:b/>
        </w:rPr>
        <w:t>7, 17</w:t>
      </w:r>
      <w:r w:rsidRPr="00587E13">
        <w:rPr>
          <w:b/>
        </w:rPr>
        <w:t xml:space="preserve"> and 26 of the Covenant)</w:t>
      </w:r>
    </w:p>
    <w:p w14:paraId="702158CF" w14:textId="77777777" w:rsidR="00A56D78" w:rsidRDefault="00A56D78" w:rsidP="00A56D78">
      <w:pPr>
        <w:pStyle w:val="Sinespaciado"/>
        <w:rPr>
          <w:lang w:val="en-GB"/>
        </w:rPr>
      </w:pPr>
    </w:p>
    <w:p w14:paraId="4A58F862" w14:textId="755DA181" w:rsidR="00A56D78" w:rsidRDefault="00A56D78" w:rsidP="00A56D78">
      <w:pPr>
        <w:pStyle w:val="Sinespaciado"/>
        <w:jc w:val="both"/>
      </w:pPr>
      <w:r>
        <w:t xml:space="preserve">Throughout Slovakia Roma women continue to face serious forms of discrimination in the context of reproductive health care. Despite repeated recommendations and expressions of concern from international human rights mechanisms and judgements of the European Court of Human Rights, Roma women who were subjected to forced and coercive sterilization in the past are still awaiting effective remedies and reparation and the Slovak Government has persistently failed to ensure their access to justice. Meanwhile the State has failed to establish monitoring mechanisms that would oversee implementation of </w:t>
      </w:r>
      <w:r w:rsidR="001163D3">
        <w:t xml:space="preserve">current </w:t>
      </w:r>
      <w:r>
        <w:t xml:space="preserve">legislation on informed consent in the context of sterilization.     </w:t>
      </w:r>
    </w:p>
    <w:p w14:paraId="523D92C1" w14:textId="77777777" w:rsidR="00A56D78" w:rsidRDefault="00A56D78" w:rsidP="00A56D78">
      <w:pPr>
        <w:pStyle w:val="Sinespaciado"/>
        <w:jc w:val="both"/>
      </w:pPr>
    </w:p>
    <w:p w14:paraId="1F33D713" w14:textId="77777777" w:rsidR="00A56D78" w:rsidRPr="009E2EE3" w:rsidRDefault="00A56D78" w:rsidP="00A56D78">
      <w:pPr>
        <w:pStyle w:val="Sinespaciado"/>
        <w:ind w:left="720"/>
        <w:jc w:val="both"/>
        <w:rPr>
          <w:b/>
          <w:i/>
        </w:rPr>
      </w:pPr>
      <w:r w:rsidRPr="009E2EE3">
        <w:rPr>
          <w:b/>
          <w:i/>
        </w:rPr>
        <w:t xml:space="preserve">Failure to ensure effective remedies and reparation for survivors of </w:t>
      </w:r>
      <w:r>
        <w:rPr>
          <w:b/>
          <w:i/>
        </w:rPr>
        <w:t xml:space="preserve">forced and </w:t>
      </w:r>
      <w:r w:rsidRPr="009E2EE3">
        <w:rPr>
          <w:b/>
          <w:i/>
        </w:rPr>
        <w:t xml:space="preserve">coercive sterilization </w:t>
      </w:r>
    </w:p>
    <w:p w14:paraId="22CEA907" w14:textId="77777777" w:rsidR="00A56D78" w:rsidRPr="000B3526" w:rsidRDefault="00A56D78" w:rsidP="00A56D78">
      <w:pPr>
        <w:pStyle w:val="ListParagraph"/>
        <w:spacing w:after="0"/>
        <w:ind w:left="0"/>
        <w:jc w:val="both"/>
        <w:rPr>
          <w:rFonts w:ascii="Times New Roman" w:hAnsi="Times New Roman"/>
          <w:i/>
          <w:sz w:val="24"/>
          <w:szCs w:val="24"/>
        </w:rPr>
      </w:pPr>
    </w:p>
    <w:p w14:paraId="6D374310" w14:textId="6E709224" w:rsidR="00A56D78" w:rsidRDefault="00A56D78" w:rsidP="00A56D78">
      <w:pPr>
        <w:pStyle w:val="ListParagraph"/>
        <w:spacing w:after="0"/>
        <w:ind w:left="0"/>
        <w:jc w:val="both"/>
        <w:rPr>
          <w:rFonts w:ascii="Times New Roman" w:hAnsi="Times New Roman"/>
          <w:color w:val="1A171C"/>
          <w:sz w:val="24"/>
          <w:szCs w:val="24"/>
          <w:lang w:val="en-GB"/>
        </w:rPr>
      </w:pPr>
      <w:r>
        <w:rPr>
          <w:rFonts w:ascii="Times New Roman" w:hAnsi="Times New Roman"/>
          <w:color w:val="1A171C"/>
          <w:sz w:val="24"/>
          <w:szCs w:val="24"/>
        </w:rPr>
        <w:t>T</w:t>
      </w:r>
      <w:r w:rsidRPr="000B3526">
        <w:rPr>
          <w:rFonts w:ascii="Times New Roman" w:hAnsi="Times New Roman"/>
          <w:color w:val="1A171C"/>
          <w:sz w:val="24"/>
          <w:szCs w:val="24"/>
          <w:lang w:val="en-GB"/>
        </w:rPr>
        <w:t xml:space="preserve">he </w:t>
      </w:r>
      <w:r>
        <w:rPr>
          <w:rFonts w:ascii="Times New Roman" w:hAnsi="Times New Roman"/>
          <w:color w:val="1A171C"/>
          <w:sz w:val="24"/>
          <w:szCs w:val="24"/>
          <w:lang w:val="en-GB"/>
        </w:rPr>
        <w:t xml:space="preserve">widespread </w:t>
      </w:r>
      <w:r w:rsidRPr="000B3526">
        <w:rPr>
          <w:rFonts w:ascii="Times New Roman" w:hAnsi="Times New Roman"/>
          <w:color w:val="1A171C"/>
          <w:sz w:val="24"/>
          <w:szCs w:val="24"/>
          <w:lang w:val="en-GB"/>
        </w:rPr>
        <w:t xml:space="preserve">practice </w:t>
      </w:r>
      <w:r w:rsidRPr="00512F44">
        <w:rPr>
          <w:rFonts w:ascii="Times New Roman" w:hAnsi="Times New Roman"/>
          <w:color w:val="1A171C"/>
          <w:sz w:val="24"/>
          <w:szCs w:val="24"/>
          <w:lang w:val="en-GB"/>
        </w:rPr>
        <w:t>of forced and coercive steri</w:t>
      </w:r>
      <w:r w:rsidRPr="000B3526">
        <w:rPr>
          <w:rFonts w:ascii="Times New Roman" w:hAnsi="Times New Roman"/>
          <w:color w:val="1A171C"/>
          <w:sz w:val="24"/>
          <w:szCs w:val="24"/>
          <w:lang w:val="en-GB"/>
        </w:rPr>
        <w:t xml:space="preserve">lization of Roma women in Slovakia </w:t>
      </w:r>
      <w:r>
        <w:rPr>
          <w:rFonts w:ascii="Times New Roman" w:hAnsi="Times New Roman"/>
          <w:color w:val="1A171C"/>
          <w:sz w:val="24"/>
          <w:szCs w:val="24"/>
          <w:lang w:val="en-GB"/>
        </w:rPr>
        <w:t xml:space="preserve">was exposed </w:t>
      </w:r>
      <w:r w:rsidR="00324C1D" w:rsidRPr="00324C1D">
        <w:rPr>
          <w:rFonts w:ascii="Times New Roman" w:hAnsi="Times New Roman"/>
          <w:color w:val="1A171C"/>
          <w:sz w:val="24"/>
          <w:szCs w:val="24"/>
          <w:lang w:val="en-GB"/>
        </w:rPr>
        <w:t>in a</w:t>
      </w:r>
      <w:r w:rsidR="00C002EB" w:rsidRPr="00324C1D">
        <w:rPr>
          <w:rFonts w:ascii="Times New Roman" w:hAnsi="Times New Roman"/>
          <w:color w:val="1A171C"/>
          <w:sz w:val="24"/>
          <w:szCs w:val="24"/>
          <w:lang w:val="en-GB"/>
        </w:rPr>
        <w:t xml:space="preserve"> report </w:t>
      </w:r>
      <w:r w:rsidR="00324C1D" w:rsidRPr="00324C1D">
        <w:rPr>
          <w:rFonts w:ascii="Times New Roman" w:hAnsi="Times New Roman"/>
          <w:i/>
          <w:iCs/>
          <w:sz w:val="24"/>
          <w:szCs w:val="24"/>
        </w:rPr>
        <w:t>Body and Soul: Forced Sterilization and Other Assaults on Roma Reproductive Freedom in Slovakia</w:t>
      </w:r>
      <w:r w:rsidR="00324C1D">
        <w:rPr>
          <w:rFonts w:ascii="Times New Roman" w:hAnsi="Times New Roman"/>
          <w:color w:val="1A171C"/>
          <w:sz w:val="24"/>
          <w:szCs w:val="24"/>
          <w:lang w:val="en-GB"/>
        </w:rPr>
        <w:t xml:space="preserve"> </w:t>
      </w:r>
      <w:r w:rsidR="00C002EB">
        <w:rPr>
          <w:rFonts w:ascii="Times New Roman" w:hAnsi="Times New Roman"/>
          <w:color w:val="1A171C"/>
          <w:sz w:val="24"/>
          <w:szCs w:val="24"/>
          <w:lang w:val="en-GB"/>
        </w:rPr>
        <w:t xml:space="preserve">published by </w:t>
      </w:r>
      <w:proofErr w:type="spellStart"/>
      <w:r w:rsidR="00C002EB">
        <w:rPr>
          <w:rFonts w:ascii="Times New Roman" w:hAnsi="Times New Roman"/>
          <w:color w:val="1A171C"/>
          <w:sz w:val="24"/>
          <w:szCs w:val="24"/>
          <w:lang w:val="en-GB"/>
        </w:rPr>
        <w:t>Porad</w:t>
      </w:r>
      <w:proofErr w:type="spellEnd"/>
      <w:r w:rsidR="00C002EB">
        <w:rPr>
          <w:rFonts w:ascii="Times New Roman" w:hAnsi="Times New Roman"/>
          <w:color w:val="1A171C"/>
          <w:sz w:val="24"/>
          <w:szCs w:val="24"/>
          <w:lang w:val="sk-SK"/>
        </w:rPr>
        <w:t xml:space="preserve">ňa and the Center for Reproductive Rights </w:t>
      </w:r>
      <w:r w:rsidR="00C002EB">
        <w:rPr>
          <w:rFonts w:ascii="Times New Roman" w:hAnsi="Times New Roman"/>
          <w:color w:val="1A171C"/>
          <w:sz w:val="24"/>
          <w:szCs w:val="24"/>
          <w:lang w:val="sk-SK"/>
        </w:rPr>
        <w:lastRenderedPageBreak/>
        <w:t>in 2003</w:t>
      </w:r>
      <w:r>
        <w:rPr>
          <w:rFonts w:ascii="Times New Roman" w:hAnsi="Times New Roman"/>
          <w:color w:val="1A171C"/>
          <w:sz w:val="24"/>
          <w:szCs w:val="24"/>
          <w:lang w:val="en-GB"/>
        </w:rPr>
        <w:t>.</w:t>
      </w:r>
      <w:r w:rsidRPr="000B3526">
        <w:rPr>
          <w:rStyle w:val="EndnoteReference"/>
          <w:rFonts w:ascii="Times New Roman" w:hAnsi="Times New Roman"/>
          <w:color w:val="1A171C"/>
          <w:sz w:val="24"/>
          <w:szCs w:val="24"/>
          <w:lang w:val="en-GB"/>
        </w:rPr>
        <w:endnoteReference w:id="2"/>
      </w:r>
      <w:r w:rsidR="00D9102F">
        <w:rPr>
          <w:rFonts w:ascii="Times New Roman" w:hAnsi="Times New Roman"/>
          <w:color w:val="1A171C"/>
          <w:sz w:val="24"/>
          <w:szCs w:val="24"/>
          <w:lang w:val="en-GB"/>
        </w:rPr>
        <w:t xml:space="preserve"> </w:t>
      </w:r>
      <w:r w:rsidR="003E1357">
        <w:rPr>
          <w:rFonts w:ascii="Times New Roman" w:hAnsi="Times New Roman"/>
          <w:color w:val="1A171C"/>
          <w:sz w:val="24"/>
          <w:szCs w:val="24"/>
          <w:lang w:val="en-GB"/>
        </w:rPr>
        <w:t xml:space="preserve">The report </w:t>
      </w:r>
      <w:r w:rsidR="00BC6667">
        <w:rPr>
          <w:rFonts w:ascii="Times New Roman" w:hAnsi="Times New Roman"/>
          <w:color w:val="1A171C"/>
          <w:sz w:val="24"/>
          <w:szCs w:val="24"/>
          <w:lang w:val="en-GB"/>
        </w:rPr>
        <w:t>indicated that there was evidence to suggest that significant proportions of</w:t>
      </w:r>
      <w:r w:rsidR="003E1357">
        <w:rPr>
          <w:rFonts w:ascii="Times New Roman" w:hAnsi="Times New Roman"/>
          <w:color w:val="1A171C"/>
          <w:sz w:val="24"/>
          <w:szCs w:val="24"/>
          <w:lang w:val="en-GB"/>
        </w:rPr>
        <w:t xml:space="preserve"> Roma women </w:t>
      </w:r>
      <w:r w:rsidR="00BC6667">
        <w:rPr>
          <w:rFonts w:ascii="Times New Roman" w:hAnsi="Times New Roman"/>
          <w:color w:val="1A171C"/>
          <w:sz w:val="24"/>
          <w:szCs w:val="24"/>
          <w:lang w:val="en-GB"/>
        </w:rPr>
        <w:t xml:space="preserve">in Slovakia </w:t>
      </w:r>
      <w:r w:rsidR="00DE0681" w:rsidRPr="00DE0681">
        <w:rPr>
          <w:rFonts w:ascii="Times New Roman" w:hAnsi="Times New Roman"/>
          <w:color w:val="1A171C"/>
          <w:sz w:val="24"/>
          <w:szCs w:val="24"/>
          <w:lang w:val="en-GB"/>
        </w:rPr>
        <w:t xml:space="preserve">had </w:t>
      </w:r>
      <w:r w:rsidR="00BC6667">
        <w:rPr>
          <w:rFonts w:ascii="Times New Roman" w:hAnsi="Times New Roman"/>
          <w:color w:val="1A171C"/>
          <w:sz w:val="24"/>
          <w:szCs w:val="24"/>
          <w:lang w:val="en-GB"/>
        </w:rPr>
        <w:t>been subject to forced and coercive</w:t>
      </w:r>
      <w:r w:rsidR="00DE0681" w:rsidRPr="00DE0681">
        <w:rPr>
          <w:rFonts w:ascii="Times New Roman" w:hAnsi="Times New Roman"/>
          <w:color w:val="1A171C"/>
          <w:sz w:val="24"/>
          <w:szCs w:val="24"/>
          <w:lang w:val="en-GB"/>
        </w:rPr>
        <w:t xml:space="preserve"> steriliz</w:t>
      </w:r>
      <w:r w:rsidR="00BC6667">
        <w:rPr>
          <w:rFonts w:ascii="Times New Roman" w:hAnsi="Times New Roman"/>
          <w:color w:val="1A171C"/>
          <w:sz w:val="24"/>
          <w:szCs w:val="24"/>
          <w:lang w:val="en-GB"/>
        </w:rPr>
        <w:t>ation</w:t>
      </w:r>
      <w:r w:rsidR="003E1357">
        <w:rPr>
          <w:rFonts w:ascii="Times New Roman" w:hAnsi="Times New Roman"/>
          <w:color w:val="1A171C"/>
          <w:sz w:val="24"/>
          <w:szCs w:val="24"/>
          <w:lang w:val="en-GB"/>
        </w:rPr>
        <w:t>.</w:t>
      </w:r>
      <w:r w:rsidR="003E1357">
        <w:rPr>
          <w:rStyle w:val="EndnoteReference"/>
          <w:rFonts w:ascii="Times New Roman" w:hAnsi="Times New Roman"/>
          <w:color w:val="1A171C"/>
          <w:sz w:val="24"/>
          <w:szCs w:val="24"/>
          <w:lang w:val="en-GB"/>
        </w:rPr>
        <w:endnoteReference w:id="3"/>
      </w:r>
      <w:r w:rsidR="003E1357">
        <w:rPr>
          <w:rFonts w:ascii="Times New Roman" w:hAnsi="Times New Roman"/>
          <w:color w:val="1A171C"/>
          <w:sz w:val="24"/>
          <w:szCs w:val="24"/>
          <w:lang w:val="en-GB"/>
        </w:rPr>
        <w:t xml:space="preserve"> </w:t>
      </w:r>
      <w:r>
        <w:rPr>
          <w:rFonts w:ascii="Times New Roman" w:hAnsi="Times New Roman"/>
          <w:color w:val="1A171C"/>
          <w:sz w:val="24"/>
          <w:szCs w:val="24"/>
          <w:lang w:val="en-GB"/>
        </w:rPr>
        <w:t xml:space="preserve">Since then the practice has been the subject of </w:t>
      </w:r>
      <w:proofErr w:type="spellStart"/>
      <w:r>
        <w:rPr>
          <w:rFonts w:ascii="Times New Roman" w:hAnsi="Times New Roman"/>
          <w:color w:val="1A171C"/>
          <w:sz w:val="24"/>
          <w:szCs w:val="24"/>
          <w:lang w:val="en-GB"/>
        </w:rPr>
        <w:t>repated</w:t>
      </w:r>
      <w:proofErr w:type="spellEnd"/>
      <w:r>
        <w:rPr>
          <w:rFonts w:ascii="Times New Roman" w:hAnsi="Times New Roman"/>
          <w:color w:val="1A171C"/>
          <w:sz w:val="24"/>
          <w:szCs w:val="24"/>
          <w:lang w:val="en-GB"/>
        </w:rPr>
        <w:t xml:space="preserve"> condemnation by international human rights mechanisms and in judgements of the European Court of Human Rights (ECtHR).</w:t>
      </w:r>
      <w:r>
        <w:rPr>
          <w:rStyle w:val="EndnoteReference"/>
          <w:rFonts w:ascii="Times New Roman" w:hAnsi="Times New Roman"/>
          <w:color w:val="1A171C"/>
          <w:sz w:val="24"/>
          <w:szCs w:val="24"/>
          <w:lang w:val="en-GB"/>
        </w:rPr>
        <w:endnoteReference w:id="4"/>
      </w:r>
      <w:r>
        <w:rPr>
          <w:rFonts w:ascii="Times New Roman" w:hAnsi="Times New Roman"/>
          <w:color w:val="1A171C"/>
          <w:sz w:val="24"/>
          <w:szCs w:val="24"/>
          <w:lang w:val="en-GB"/>
        </w:rPr>
        <w:t xml:space="preserve"> Time and again the Slovak Government has been called upon to provide effective remedies, including reparation, for the human rights violations involved.</w:t>
      </w:r>
      <w:r w:rsidR="003E1357">
        <w:rPr>
          <w:rStyle w:val="EndnoteReference"/>
          <w:rFonts w:ascii="Times New Roman" w:hAnsi="Times New Roman"/>
          <w:color w:val="1A171C"/>
          <w:sz w:val="24"/>
          <w:szCs w:val="24"/>
          <w:lang w:val="en-GB"/>
        </w:rPr>
        <w:endnoteReference w:id="5"/>
      </w:r>
      <w:r>
        <w:rPr>
          <w:rFonts w:ascii="Times New Roman" w:hAnsi="Times New Roman"/>
          <w:color w:val="1A171C"/>
          <w:sz w:val="24"/>
          <w:szCs w:val="24"/>
          <w:lang w:val="en-GB"/>
        </w:rPr>
        <w:t xml:space="preserve"> However, the State has continuously failed to conduct an effective investigation, to establish an accessible and appropriate reparations programme, to provide compensation and satisfaction to the </w:t>
      </w:r>
      <w:r w:rsidR="00FC4C60">
        <w:rPr>
          <w:rFonts w:ascii="Times New Roman" w:hAnsi="Times New Roman"/>
          <w:color w:val="1A171C"/>
          <w:sz w:val="24"/>
          <w:szCs w:val="24"/>
          <w:lang w:val="en-GB"/>
        </w:rPr>
        <w:t>survivors</w:t>
      </w:r>
      <w:r>
        <w:rPr>
          <w:rFonts w:ascii="Times New Roman" w:hAnsi="Times New Roman"/>
          <w:color w:val="1A171C"/>
          <w:sz w:val="24"/>
          <w:szCs w:val="24"/>
          <w:lang w:val="en-GB"/>
        </w:rPr>
        <w:t xml:space="preserve">, including through an apology and acknowledgment of responsibility. </w:t>
      </w:r>
    </w:p>
    <w:p w14:paraId="7C14AEA0" w14:textId="77777777" w:rsidR="00A56D78" w:rsidRPr="000B3526" w:rsidRDefault="00A56D78" w:rsidP="00A56D78">
      <w:pPr>
        <w:pStyle w:val="ListParagraph"/>
        <w:spacing w:after="0"/>
        <w:ind w:left="0"/>
        <w:jc w:val="both"/>
        <w:rPr>
          <w:rFonts w:ascii="Times New Roman" w:hAnsi="Times New Roman"/>
          <w:color w:val="1A171C"/>
          <w:sz w:val="24"/>
          <w:szCs w:val="24"/>
          <w:lang w:val="en-GB"/>
        </w:rPr>
      </w:pPr>
    </w:p>
    <w:p w14:paraId="407C2D08" w14:textId="57C07124" w:rsidR="00A56D78" w:rsidRPr="000B3526" w:rsidRDefault="00A56D78" w:rsidP="00A56D78">
      <w:pPr>
        <w:pStyle w:val="ListParagraph"/>
        <w:spacing w:after="0"/>
        <w:ind w:left="0"/>
        <w:jc w:val="both"/>
        <w:rPr>
          <w:rFonts w:ascii="Times New Roman" w:hAnsi="Times New Roman"/>
          <w:color w:val="1A171C"/>
          <w:sz w:val="24"/>
          <w:szCs w:val="24"/>
          <w:lang w:val="en-GB"/>
        </w:rPr>
      </w:pPr>
      <w:r w:rsidRPr="00512F44">
        <w:rPr>
          <w:rFonts w:ascii="Times New Roman" w:hAnsi="Times New Roman"/>
          <w:color w:val="1A171C"/>
          <w:sz w:val="24"/>
          <w:szCs w:val="24"/>
          <w:lang w:val="en-GB"/>
        </w:rPr>
        <w:t xml:space="preserve">In </w:t>
      </w:r>
      <w:r>
        <w:rPr>
          <w:rFonts w:ascii="Times New Roman" w:hAnsi="Times New Roman"/>
          <w:color w:val="1A171C"/>
          <w:sz w:val="24"/>
          <w:szCs w:val="24"/>
          <w:lang w:val="en-GB"/>
        </w:rPr>
        <w:t xml:space="preserve">January </w:t>
      </w:r>
      <w:r w:rsidRPr="00512F44">
        <w:rPr>
          <w:rFonts w:ascii="Times New Roman" w:hAnsi="Times New Roman"/>
          <w:color w:val="1A171C"/>
          <w:sz w:val="24"/>
          <w:szCs w:val="24"/>
          <w:lang w:val="en-GB"/>
        </w:rPr>
        <w:t>2003 Slovak</w:t>
      </w:r>
      <w:r>
        <w:rPr>
          <w:rFonts w:ascii="Times New Roman" w:hAnsi="Times New Roman"/>
          <w:color w:val="1A171C"/>
          <w:sz w:val="24"/>
          <w:szCs w:val="24"/>
          <w:lang w:val="en-GB"/>
        </w:rPr>
        <w:t xml:space="preserve"> authorities initiated a criminal investigation into </w:t>
      </w:r>
      <w:proofErr w:type="spellStart"/>
      <w:r>
        <w:rPr>
          <w:rFonts w:ascii="Times New Roman" w:hAnsi="Times New Roman"/>
          <w:color w:val="1A171C"/>
          <w:sz w:val="24"/>
          <w:szCs w:val="24"/>
          <w:lang w:val="en-GB"/>
        </w:rPr>
        <w:t>alledged</w:t>
      </w:r>
      <w:proofErr w:type="spellEnd"/>
      <w:r>
        <w:rPr>
          <w:rFonts w:ascii="Times New Roman" w:hAnsi="Times New Roman"/>
          <w:color w:val="1A171C"/>
          <w:sz w:val="24"/>
          <w:szCs w:val="24"/>
          <w:lang w:val="en-GB"/>
        </w:rPr>
        <w:t xml:space="preserve"> practices of </w:t>
      </w:r>
      <w:r w:rsidRPr="00512F44">
        <w:rPr>
          <w:rFonts w:ascii="Times New Roman" w:hAnsi="Times New Roman"/>
          <w:color w:val="1A171C"/>
          <w:sz w:val="24"/>
          <w:szCs w:val="24"/>
          <w:lang w:val="en-GB"/>
        </w:rPr>
        <w:t>forced and coercive sterilization of Roma women</w:t>
      </w:r>
      <w:r>
        <w:rPr>
          <w:rFonts w:ascii="Times New Roman" w:hAnsi="Times New Roman"/>
          <w:color w:val="1A171C"/>
          <w:sz w:val="24"/>
          <w:szCs w:val="24"/>
          <w:lang w:val="en-GB"/>
        </w:rPr>
        <w:t xml:space="preserve">. </w:t>
      </w:r>
      <w:r w:rsidR="00707C73">
        <w:rPr>
          <w:rFonts w:ascii="Times New Roman" w:hAnsi="Times New Roman"/>
          <w:color w:val="1A171C"/>
          <w:sz w:val="24"/>
          <w:szCs w:val="24"/>
          <w:lang w:val="en-GB"/>
        </w:rPr>
        <w:t xml:space="preserve">In October 2003 the investigation was discontinued with the authorities </w:t>
      </w:r>
      <w:r w:rsidR="00707C73" w:rsidRPr="00707C73">
        <w:rPr>
          <w:rFonts w:ascii="Times New Roman" w:hAnsi="Times New Roman"/>
          <w:color w:val="1A171C"/>
          <w:sz w:val="24"/>
          <w:szCs w:val="24"/>
          <w:lang w:val="en-GB"/>
        </w:rPr>
        <w:t>finding that the alleged events underlying the investigation had not occurred and that nothing indicated that any offence</w:t>
      </w:r>
      <w:r w:rsidR="00707C73">
        <w:rPr>
          <w:rFonts w:ascii="Times New Roman" w:hAnsi="Times New Roman"/>
          <w:color w:val="1A171C"/>
          <w:sz w:val="24"/>
          <w:szCs w:val="24"/>
          <w:lang w:val="en-GB"/>
        </w:rPr>
        <w:t xml:space="preserve"> had occurred. Subsequently</w:t>
      </w:r>
      <w:r w:rsidR="003F7B3A">
        <w:rPr>
          <w:rFonts w:ascii="Times New Roman" w:hAnsi="Times New Roman"/>
          <w:color w:val="1A171C"/>
          <w:sz w:val="24"/>
          <w:szCs w:val="24"/>
          <w:lang w:val="en-GB"/>
        </w:rPr>
        <w:t>,</w:t>
      </w:r>
      <w:r w:rsidR="00707C73">
        <w:rPr>
          <w:rFonts w:ascii="Times New Roman" w:hAnsi="Times New Roman"/>
          <w:color w:val="1A171C"/>
          <w:sz w:val="24"/>
          <w:szCs w:val="24"/>
          <w:lang w:val="en-GB"/>
        </w:rPr>
        <w:t xml:space="preserve"> following repeated complaints from Roma women who had been </w:t>
      </w:r>
      <w:r w:rsidR="003F7B3A">
        <w:rPr>
          <w:rFonts w:ascii="Times New Roman" w:hAnsi="Times New Roman"/>
          <w:color w:val="1A171C"/>
          <w:sz w:val="24"/>
          <w:szCs w:val="24"/>
          <w:lang w:val="en-GB"/>
        </w:rPr>
        <w:t>a</w:t>
      </w:r>
      <w:r w:rsidR="00707C73">
        <w:rPr>
          <w:rFonts w:ascii="Times New Roman" w:hAnsi="Times New Roman"/>
          <w:color w:val="1A171C"/>
          <w:sz w:val="24"/>
          <w:szCs w:val="24"/>
          <w:lang w:val="en-GB"/>
        </w:rPr>
        <w:t xml:space="preserve">ffected by forced </w:t>
      </w:r>
      <w:r w:rsidR="003E1357">
        <w:rPr>
          <w:rFonts w:ascii="Times New Roman" w:hAnsi="Times New Roman"/>
          <w:color w:val="1A171C"/>
          <w:sz w:val="24"/>
          <w:szCs w:val="24"/>
          <w:lang w:val="en-GB"/>
        </w:rPr>
        <w:t xml:space="preserve">and coercive </w:t>
      </w:r>
      <w:r w:rsidR="00707C73">
        <w:rPr>
          <w:rFonts w:ascii="Times New Roman" w:hAnsi="Times New Roman"/>
          <w:color w:val="1A171C"/>
          <w:sz w:val="24"/>
          <w:szCs w:val="24"/>
          <w:lang w:val="en-GB"/>
        </w:rPr>
        <w:t>sterilization</w:t>
      </w:r>
      <w:r w:rsidR="003F7B3A">
        <w:rPr>
          <w:rFonts w:ascii="Times New Roman" w:hAnsi="Times New Roman"/>
          <w:color w:val="1A171C"/>
          <w:sz w:val="24"/>
          <w:szCs w:val="24"/>
          <w:lang w:val="en-GB"/>
        </w:rPr>
        <w:t>,</w:t>
      </w:r>
      <w:r w:rsidR="00707C73">
        <w:rPr>
          <w:rFonts w:ascii="Times New Roman" w:hAnsi="Times New Roman"/>
          <w:color w:val="1A171C"/>
          <w:sz w:val="24"/>
          <w:szCs w:val="24"/>
          <w:lang w:val="en-GB"/>
        </w:rPr>
        <w:t xml:space="preserve"> the investigation was eventually reopened in February 2007. Once again,</w:t>
      </w:r>
      <w:r>
        <w:rPr>
          <w:rFonts w:ascii="Times New Roman" w:hAnsi="Times New Roman"/>
          <w:color w:val="1A171C"/>
          <w:sz w:val="24"/>
          <w:szCs w:val="24"/>
          <w:lang w:val="en-GB"/>
        </w:rPr>
        <w:t xml:space="preserve"> in </w:t>
      </w:r>
      <w:r w:rsidR="00707C73">
        <w:rPr>
          <w:rFonts w:ascii="Times New Roman" w:hAnsi="Times New Roman"/>
          <w:color w:val="1A171C"/>
          <w:sz w:val="24"/>
          <w:szCs w:val="24"/>
          <w:lang w:val="en-GB"/>
        </w:rPr>
        <w:t xml:space="preserve">December </w:t>
      </w:r>
      <w:r w:rsidRPr="00512F44">
        <w:rPr>
          <w:rFonts w:ascii="Times New Roman" w:hAnsi="Times New Roman"/>
          <w:color w:val="1A171C"/>
          <w:sz w:val="24"/>
          <w:szCs w:val="24"/>
          <w:lang w:val="en-GB"/>
        </w:rPr>
        <w:t>20</w:t>
      </w:r>
      <w:r>
        <w:rPr>
          <w:rFonts w:ascii="Times New Roman" w:hAnsi="Times New Roman"/>
          <w:color w:val="1A171C"/>
          <w:sz w:val="24"/>
          <w:szCs w:val="24"/>
          <w:lang w:val="en-GB"/>
        </w:rPr>
        <w:t>07</w:t>
      </w:r>
      <w:r w:rsidR="00707C73">
        <w:rPr>
          <w:rFonts w:ascii="Times New Roman" w:hAnsi="Times New Roman"/>
          <w:color w:val="1A171C"/>
          <w:sz w:val="24"/>
          <w:szCs w:val="24"/>
          <w:lang w:val="en-GB"/>
        </w:rPr>
        <w:t>,</w:t>
      </w:r>
      <w:r>
        <w:rPr>
          <w:rFonts w:ascii="Times New Roman" w:hAnsi="Times New Roman"/>
          <w:color w:val="1A171C"/>
          <w:sz w:val="24"/>
          <w:szCs w:val="24"/>
          <w:lang w:val="en-GB"/>
        </w:rPr>
        <w:t xml:space="preserve"> the </w:t>
      </w:r>
      <w:r w:rsidRPr="000B3526">
        <w:rPr>
          <w:rFonts w:ascii="Times New Roman" w:hAnsi="Times New Roman"/>
          <w:color w:val="1A171C"/>
          <w:sz w:val="24"/>
          <w:szCs w:val="24"/>
          <w:lang w:val="en-GB"/>
        </w:rPr>
        <w:t>investigation</w:t>
      </w:r>
      <w:r>
        <w:rPr>
          <w:rFonts w:ascii="Times New Roman" w:hAnsi="Times New Roman"/>
          <w:color w:val="1A171C"/>
          <w:sz w:val="24"/>
          <w:szCs w:val="24"/>
          <w:lang w:val="en-GB"/>
        </w:rPr>
        <w:t xml:space="preserve"> was terminated and Slovak authorities</w:t>
      </w:r>
      <w:r w:rsidRPr="000B3526">
        <w:rPr>
          <w:rFonts w:ascii="Times New Roman" w:hAnsi="Times New Roman"/>
          <w:color w:val="1A171C"/>
          <w:sz w:val="24"/>
          <w:szCs w:val="24"/>
          <w:lang w:val="en-GB"/>
        </w:rPr>
        <w:t xml:space="preserve"> </w:t>
      </w:r>
      <w:r>
        <w:rPr>
          <w:rFonts w:ascii="Times New Roman" w:hAnsi="Times New Roman"/>
          <w:color w:val="1A171C"/>
          <w:sz w:val="24"/>
          <w:szCs w:val="24"/>
          <w:lang w:val="en-GB"/>
        </w:rPr>
        <w:t xml:space="preserve">concluded that </w:t>
      </w:r>
      <w:r w:rsidRPr="000B3526">
        <w:rPr>
          <w:rFonts w:ascii="Times New Roman" w:hAnsi="Times New Roman"/>
          <w:color w:val="1A171C"/>
          <w:sz w:val="24"/>
          <w:szCs w:val="24"/>
          <w:lang w:val="en-GB"/>
        </w:rPr>
        <w:t>no crime</w:t>
      </w:r>
      <w:r w:rsidR="002D218A">
        <w:rPr>
          <w:rFonts w:ascii="Times New Roman" w:hAnsi="Times New Roman"/>
          <w:color w:val="1A171C"/>
          <w:sz w:val="24"/>
          <w:szCs w:val="24"/>
          <w:lang w:val="en-GB"/>
        </w:rPr>
        <w:t>s</w:t>
      </w:r>
      <w:r w:rsidRPr="000B3526">
        <w:rPr>
          <w:rFonts w:ascii="Times New Roman" w:hAnsi="Times New Roman"/>
          <w:color w:val="1A171C"/>
          <w:sz w:val="24"/>
          <w:szCs w:val="24"/>
          <w:lang w:val="en-GB"/>
        </w:rPr>
        <w:t xml:space="preserve"> ha</w:t>
      </w:r>
      <w:r>
        <w:rPr>
          <w:rFonts w:ascii="Times New Roman" w:hAnsi="Times New Roman"/>
          <w:color w:val="1A171C"/>
          <w:sz w:val="24"/>
          <w:szCs w:val="24"/>
          <w:lang w:val="en-GB"/>
        </w:rPr>
        <w:t>d</w:t>
      </w:r>
      <w:r w:rsidRPr="000B3526">
        <w:rPr>
          <w:rFonts w:ascii="Times New Roman" w:hAnsi="Times New Roman"/>
          <w:color w:val="1A171C"/>
          <w:sz w:val="24"/>
          <w:szCs w:val="24"/>
          <w:lang w:val="en-GB"/>
        </w:rPr>
        <w:t xml:space="preserve"> been committed.</w:t>
      </w:r>
      <w:r w:rsidR="00427DC4" w:rsidRPr="000B3526" w:rsidDel="00427DC4">
        <w:rPr>
          <w:rStyle w:val="EndnoteReference"/>
          <w:rFonts w:ascii="Times New Roman" w:hAnsi="Times New Roman"/>
          <w:color w:val="1A171C"/>
          <w:sz w:val="24"/>
          <w:szCs w:val="24"/>
          <w:lang w:val="en-GB"/>
        </w:rPr>
        <w:t xml:space="preserve"> </w:t>
      </w:r>
      <w:r w:rsidR="00707C73">
        <w:rPr>
          <w:rFonts w:ascii="Times New Roman" w:hAnsi="Times New Roman"/>
          <w:color w:val="1A171C"/>
          <w:sz w:val="24"/>
          <w:szCs w:val="24"/>
          <w:lang w:val="en-GB"/>
        </w:rPr>
        <w:t>S</w:t>
      </w:r>
      <w:r>
        <w:rPr>
          <w:rFonts w:ascii="Times New Roman" w:hAnsi="Times New Roman"/>
          <w:color w:val="1A171C"/>
          <w:sz w:val="24"/>
          <w:szCs w:val="24"/>
          <w:lang w:val="en-GB"/>
        </w:rPr>
        <w:t xml:space="preserve">ince then no other official investigation has been initiated. Nor has the State established a reparations scheme or acknowledged </w:t>
      </w:r>
      <w:r w:rsidR="00707C73">
        <w:rPr>
          <w:rFonts w:ascii="Times New Roman" w:hAnsi="Times New Roman"/>
          <w:color w:val="1A171C"/>
          <w:sz w:val="24"/>
          <w:szCs w:val="24"/>
          <w:lang w:val="en-GB"/>
        </w:rPr>
        <w:t xml:space="preserve">any </w:t>
      </w:r>
      <w:r>
        <w:rPr>
          <w:rFonts w:ascii="Times New Roman" w:hAnsi="Times New Roman"/>
          <w:color w:val="1A171C"/>
          <w:sz w:val="24"/>
          <w:szCs w:val="24"/>
          <w:lang w:val="en-GB"/>
        </w:rPr>
        <w:t xml:space="preserve">responsibility for the violations suffered.  </w:t>
      </w:r>
      <w:r w:rsidR="00A91CF6">
        <w:rPr>
          <w:rFonts w:ascii="Times New Roman" w:hAnsi="Times New Roman"/>
          <w:color w:val="1A171C"/>
          <w:sz w:val="24"/>
          <w:szCs w:val="24"/>
          <w:lang w:val="en-GB"/>
        </w:rPr>
        <w:t>Detailed information on the serious shortcomings in the investigation</w:t>
      </w:r>
      <w:r w:rsidR="00794DDF">
        <w:rPr>
          <w:rFonts w:ascii="Times New Roman" w:hAnsi="Times New Roman"/>
          <w:color w:val="1A171C"/>
          <w:sz w:val="24"/>
          <w:szCs w:val="24"/>
          <w:lang w:val="en-GB"/>
        </w:rPr>
        <w:t>s</w:t>
      </w:r>
      <w:r w:rsidR="00A91CF6">
        <w:rPr>
          <w:rFonts w:ascii="Times New Roman" w:hAnsi="Times New Roman"/>
          <w:color w:val="1A171C"/>
          <w:sz w:val="24"/>
          <w:szCs w:val="24"/>
          <w:lang w:val="en-GB"/>
        </w:rPr>
        <w:t xml:space="preserve"> </w:t>
      </w:r>
      <w:r w:rsidR="00794DDF">
        <w:rPr>
          <w:rFonts w:ascii="Times New Roman" w:hAnsi="Times New Roman"/>
          <w:color w:val="1A171C"/>
          <w:sz w:val="24"/>
          <w:szCs w:val="24"/>
          <w:lang w:val="en-GB"/>
        </w:rPr>
        <w:t>were</w:t>
      </w:r>
      <w:r w:rsidR="00A91CF6">
        <w:rPr>
          <w:rFonts w:ascii="Times New Roman" w:hAnsi="Times New Roman"/>
          <w:color w:val="1A171C"/>
          <w:sz w:val="24"/>
          <w:szCs w:val="24"/>
          <w:lang w:val="en-GB"/>
        </w:rPr>
        <w:t xml:space="preserve"> outlined in </w:t>
      </w:r>
      <w:proofErr w:type="spellStart"/>
      <w:r w:rsidR="00A91CF6">
        <w:rPr>
          <w:rFonts w:ascii="Times New Roman" w:hAnsi="Times New Roman"/>
          <w:color w:val="1A171C"/>
          <w:sz w:val="24"/>
          <w:szCs w:val="24"/>
          <w:lang w:val="en-GB"/>
        </w:rPr>
        <w:t>Porad</w:t>
      </w:r>
      <w:r w:rsidR="009D2806">
        <w:rPr>
          <w:rFonts w:ascii="Times New Roman" w:hAnsi="Times New Roman"/>
          <w:color w:val="1A171C"/>
          <w:sz w:val="24"/>
          <w:szCs w:val="24"/>
          <w:lang w:val="en-GB"/>
        </w:rPr>
        <w:t>ň</w:t>
      </w:r>
      <w:r w:rsidR="00A91CF6">
        <w:rPr>
          <w:rFonts w:ascii="Times New Roman" w:hAnsi="Times New Roman"/>
          <w:color w:val="1A171C"/>
          <w:sz w:val="24"/>
          <w:szCs w:val="24"/>
          <w:lang w:val="en-GB"/>
        </w:rPr>
        <w:t>a’s</w:t>
      </w:r>
      <w:proofErr w:type="spellEnd"/>
      <w:r w:rsidR="00A91CF6">
        <w:rPr>
          <w:rFonts w:ascii="Times New Roman" w:hAnsi="Times New Roman"/>
          <w:color w:val="1A171C"/>
          <w:sz w:val="24"/>
          <w:szCs w:val="24"/>
          <w:lang w:val="en-GB"/>
        </w:rPr>
        <w:t xml:space="preserve"> submission to </w:t>
      </w:r>
      <w:r w:rsidR="00794DDF">
        <w:rPr>
          <w:rFonts w:ascii="Times New Roman" w:hAnsi="Times New Roman"/>
          <w:color w:val="1A171C"/>
          <w:sz w:val="24"/>
          <w:szCs w:val="24"/>
          <w:lang w:val="en-GB"/>
        </w:rPr>
        <w:t>the Committee in 2010 concerning Slovakia’s third periodic report under the Covenant</w:t>
      </w:r>
      <w:r w:rsidR="00A91CF6">
        <w:rPr>
          <w:rFonts w:ascii="Times New Roman" w:hAnsi="Times New Roman"/>
          <w:color w:val="1A171C"/>
          <w:sz w:val="24"/>
          <w:szCs w:val="24"/>
          <w:lang w:val="en-GB"/>
        </w:rPr>
        <w:t>.</w:t>
      </w:r>
      <w:r w:rsidR="00A91CF6">
        <w:rPr>
          <w:rStyle w:val="EndnoteReference"/>
          <w:rFonts w:ascii="Times New Roman" w:hAnsi="Times New Roman"/>
          <w:color w:val="1A171C"/>
          <w:sz w:val="24"/>
          <w:szCs w:val="24"/>
          <w:lang w:val="en-GB"/>
        </w:rPr>
        <w:endnoteReference w:id="6"/>
      </w:r>
    </w:p>
    <w:p w14:paraId="76D85DF3" w14:textId="77777777" w:rsidR="00A56D78" w:rsidRPr="000B3526" w:rsidRDefault="00A56D78" w:rsidP="00A56D78">
      <w:pPr>
        <w:pStyle w:val="ListParagraph"/>
        <w:spacing w:after="0"/>
        <w:ind w:left="0"/>
        <w:jc w:val="both"/>
        <w:rPr>
          <w:rFonts w:ascii="Times New Roman" w:hAnsi="Times New Roman"/>
          <w:color w:val="1A171C"/>
          <w:sz w:val="24"/>
          <w:szCs w:val="24"/>
          <w:lang w:val="en-GB"/>
        </w:rPr>
      </w:pPr>
    </w:p>
    <w:p w14:paraId="65992F82" w14:textId="557EB710" w:rsidR="00A56D78" w:rsidRPr="009E2EE3" w:rsidRDefault="00A56D78" w:rsidP="00A56D78">
      <w:pPr>
        <w:pStyle w:val="ListParagraph"/>
        <w:spacing w:after="0"/>
        <w:ind w:left="0"/>
        <w:jc w:val="both"/>
        <w:rPr>
          <w:rFonts w:ascii="Times New Roman" w:hAnsi="Times New Roman"/>
          <w:sz w:val="24"/>
          <w:szCs w:val="24"/>
          <w:lang w:val="en-GB"/>
        </w:rPr>
      </w:pPr>
      <w:r w:rsidRPr="009E2EE3">
        <w:rPr>
          <w:rFonts w:ascii="Times New Roman" w:hAnsi="Times New Roman"/>
          <w:color w:val="1A171C"/>
          <w:sz w:val="24"/>
          <w:szCs w:val="24"/>
          <w:lang w:val="en-GB"/>
        </w:rPr>
        <w:t>As a result</w:t>
      </w:r>
      <w:r w:rsidR="00A91CF6">
        <w:rPr>
          <w:rFonts w:ascii="Times New Roman" w:hAnsi="Times New Roman"/>
          <w:color w:val="1A171C"/>
          <w:sz w:val="24"/>
          <w:szCs w:val="24"/>
          <w:lang w:val="en-GB"/>
        </w:rPr>
        <w:t xml:space="preserve"> </w:t>
      </w:r>
      <w:r w:rsidR="00794DDF">
        <w:rPr>
          <w:rFonts w:ascii="Times New Roman" w:hAnsi="Times New Roman"/>
          <w:color w:val="1A171C"/>
          <w:sz w:val="24"/>
          <w:szCs w:val="24"/>
          <w:lang w:val="en-GB"/>
        </w:rPr>
        <w:t>of Slovakia’s failure to conduct an effective investigation and establish an accessible and appropriate reparations programme</w:t>
      </w:r>
      <w:r w:rsidRPr="009E2EE3">
        <w:rPr>
          <w:rFonts w:ascii="Times New Roman" w:hAnsi="Times New Roman"/>
          <w:color w:val="1A171C"/>
          <w:sz w:val="24"/>
          <w:szCs w:val="24"/>
          <w:lang w:val="en-GB"/>
        </w:rPr>
        <w:t>, Roma women seeking remedies and recognition of harm suffered have had no other option but to initiate and pursue individual civil claims</w:t>
      </w:r>
      <w:r w:rsidR="00707C73">
        <w:rPr>
          <w:rFonts w:ascii="Times New Roman" w:hAnsi="Times New Roman"/>
          <w:color w:val="1A171C"/>
          <w:sz w:val="24"/>
          <w:szCs w:val="24"/>
          <w:lang w:val="en-GB"/>
        </w:rPr>
        <w:t>. However</w:t>
      </w:r>
      <w:r w:rsidR="00022561">
        <w:rPr>
          <w:rFonts w:ascii="Times New Roman" w:hAnsi="Times New Roman"/>
          <w:color w:val="1A171C"/>
          <w:sz w:val="24"/>
          <w:szCs w:val="24"/>
          <w:lang w:val="en-GB"/>
        </w:rPr>
        <w:t>,</w:t>
      </w:r>
      <w:r w:rsidR="00707C73">
        <w:rPr>
          <w:rFonts w:ascii="Times New Roman" w:hAnsi="Times New Roman"/>
          <w:color w:val="1A171C"/>
          <w:sz w:val="24"/>
          <w:szCs w:val="24"/>
          <w:lang w:val="en-GB"/>
        </w:rPr>
        <w:t xml:space="preserve"> </w:t>
      </w:r>
      <w:r w:rsidR="00D9102F">
        <w:rPr>
          <w:rFonts w:ascii="Times New Roman" w:hAnsi="Times New Roman"/>
          <w:color w:val="1A171C"/>
          <w:sz w:val="24"/>
          <w:szCs w:val="24"/>
          <w:lang w:val="en-GB"/>
        </w:rPr>
        <w:t>the deficiencies of such claims as an effective and appropriate avenue to justice is exemplified by the small number of claims filed by Roma women relative to the very large numbers of women effected by forced sterilization.</w:t>
      </w:r>
      <w:r w:rsidRPr="009E2EE3">
        <w:rPr>
          <w:rFonts w:ascii="Times New Roman" w:hAnsi="Times New Roman"/>
          <w:color w:val="1A171C"/>
          <w:sz w:val="24"/>
          <w:szCs w:val="24"/>
          <w:lang w:val="en-GB"/>
        </w:rPr>
        <w:t xml:space="preserve"> </w:t>
      </w:r>
      <w:r w:rsidR="00D9102F">
        <w:rPr>
          <w:rFonts w:ascii="Times New Roman" w:hAnsi="Times New Roman"/>
          <w:color w:val="1A171C"/>
          <w:sz w:val="24"/>
          <w:szCs w:val="24"/>
          <w:lang w:val="en-GB"/>
        </w:rPr>
        <w:t>S</w:t>
      </w:r>
      <w:r w:rsidRPr="005D4CD7">
        <w:rPr>
          <w:rFonts w:ascii="Times New Roman" w:hAnsi="Times New Roman"/>
          <w:color w:val="1A171C"/>
          <w:sz w:val="24"/>
          <w:szCs w:val="24"/>
          <w:lang w:val="en-GB"/>
        </w:rPr>
        <w:t>ince 2003, 8 civil</w:t>
      </w:r>
      <w:r w:rsidRPr="009E2EE3">
        <w:rPr>
          <w:rFonts w:ascii="Times New Roman" w:hAnsi="Times New Roman"/>
          <w:color w:val="1A171C"/>
          <w:sz w:val="24"/>
          <w:szCs w:val="24"/>
          <w:lang w:val="en-GB"/>
        </w:rPr>
        <w:t xml:space="preserve"> complaints have been filed by Roma women who were subjected to </w:t>
      </w:r>
      <w:r w:rsidR="009B15B8">
        <w:rPr>
          <w:rFonts w:ascii="Times New Roman" w:hAnsi="Times New Roman"/>
          <w:color w:val="1A171C"/>
          <w:sz w:val="24"/>
          <w:szCs w:val="24"/>
          <w:lang w:val="en-GB"/>
        </w:rPr>
        <w:t xml:space="preserve">forced and </w:t>
      </w:r>
      <w:r w:rsidRPr="009E2EE3">
        <w:rPr>
          <w:rFonts w:ascii="Times New Roman" w:hAnsi="Times New Roman"/>
          <w:color w:val="1A171C"/>
          <w:sz w:val="24"/>
          <w:szCs w:val="24"/>
          <w:lang w:val="en-GB"/>
        </w:rPr>
        <w:t xml:space="preserve">coercive sterilization. </w:t>
      </w:r>
      <w:proofErr w:type="spellStart"/>
      <w:r>
        <w:rPr>
          <w:rFonts w:ascii="Times New Roman" w:hAnsi="Times New Roman"/>
          <w:color w:val="1A171C"/>
          <w:sz w:val="24"/>
          <w:szCs w:val="24"/>
          <w:lang w:val="en-GB"/>
        </w:rPr>
        <w:t>Poradňa</w:t>
      </w:r>
      <w:proofErr w:type="spellEnd"/>
      <w:r>
        <w:rPr>
          <w:rFonts w:ascii="Times New Roman" w:hAnsi="Times New Roman"/>
          <w:color w:val="1A171C"/>
          <w:sz w:val="24"/>
          <w:szCs w:val="24"/>
          <w:lang w:val="en-GB"/>
        </w:rPr>
        <w:t xml:space="preserve"> </w:t>
      </w:r>
      <w:r w:rsidR="002D218A">
        <w:rPr>
          <w:rFonts w:ascii="Times New Roman" w:hAnsi="Times New Roman"/>
          <w:color w:val="1A171C"/>
          <w:sz w:val="24"/>
          <w:szCs w:val="24"/>
          <w:lang w:val="en-GB"/>
        </w:rPr>
        <w:t xml:space="preserve">represented these </w:t>
      </w:r>
      <w:r>
        <w:rPr>
          <w:rFonts w:ascii="Times New Roman" w:hAnsi="Times New Roman"/>
          <w:color w:val="1A171C"/>
          <w:sz w:val="24"/>
          <w:szCs w:val="24"/>
          <w:lang w:val="en-GB"/>
        </w:rPr>
        <w:t>women in court</w:t>
      </w:r>
      <w:r w:rsidR="002D218A">
        <w:rPr>
          <w:rFonts w:ascii="Times New Roman" w:hAnsi="Times New Roman"/>
          <w:color w:val="1A171C"/>
          <w:sz w:val="24"/>
          <w:szCs w:val="24"/>
          <w:lang w:val="en-GB"/>
        </w:rPr>
        <w:t xml:space="preserve"> and throughout the legal</w:t>
      </w:r>
      <w:r>
        <w:rPr>
          <w:rFonts w:ascii="Times New Roman" w:hAnsi="Times New Roman"/>
          <w:color w:val="1A171C"/>
          <w:sz w:val="24"/>
          <w:szCs w:val="24"/>
          <w:lang w:val="en-GB"/>
        </w:rPr>
        <w:t xml:space="preserve"> proceedings. </w:t>
      </w:r>
      <w:r w:rsidR="0086523A">
        <w:rPr>
          <w:rFonts w:ascii="Times New Roman" w:hAnsi="Times New Roman"/>
          <w:color w:val="1A171C"/>
          <w:sz w:val="24"/>
          <w:szCs w:val="24"/>
          <w:lang w:val="en-GB"/>
        </w:rPr>
        <w:t>Although</w:t>
      </w:r>
      <w:r w:rsidR="0086523A" w:rsidRPr="009E2EE3">
        <w:rPr>
          <w:rFonts w:ascii="Times New Roman" w:hAnsi="Times New Roman"/>
          <w:color w:val="1A171C"/>
          <w:sz w:val="24"/>
          <w:szCs w:val="24"/>
          <w:lang w:val="en-GB"/>
        </w:rPr>
        <w:t xml:space="preserve"> </w:t>
      </w:r>
      <w:r w:rsidRPr="009E2EE3">
        <w:rPr>
          <w:rFonts w:ascii="Times New Roman" w:hAnsi="Times New Roman"/>
          <w:color w:val="1A171C"/>
          <w:sz w:val="24"/>
          <w:szCs w:val="24"/>
          <w:lang w:val="en-GB"/>
        </w:rPr>
        <w:t>in a small number of these cases Slovak courts have found violations</w:t>
      </w:r>
      <w:r w:rsidR="002D218A">
        <w:rPr>
          <w:rFonts w:ascii="Times New Roman" w:hAnsi="Times New Roman"/>
          <w:color w:val="1A171C"/>
          <w:sz w:val="24"/>
          <w:szCs w:val="24"/>
          <w:lang w:val="en-GB"/>
        </w:rPr>
        <w:t xml:space="preserve"> of the women’s rights under Slovak law</w:t>
      </w:r>
      <w:r w:rsidRPr="009E2EE3">
        <w:rPr>
          <w:rFonts w:ascii="Times New Roman" w:hAnsi="Times New Roman"/>
          <w:color w:val="1A171C"/>
          <w:sz w:val="24"/>
          <w:szCs w:val="24"/>
          <w:lang w:val="en-GB"/>
        </w:rPr>
        <w:t xml:space="preserve"> and awarded financial compensation to the</w:t>
      </w:r>
      <w:r w:rsidR="00986D6A">
        <w:rPr>
          <w:rFonts w:ascii="Times New Roman" w:hAnsi="Times New Roman"/>
          <w:color w:val="1A171C"/>
          <w:sz w:val="24"/>
          <w:szCs w:val="24"/>
          <w:lang w:val="en-GB"/>
        </w:rPr>
        <w:t xml:space="preserve"> survivors</w:t>
      </w:r>
      <w:r w:rsidRPr="009E2EE3">
        <w:rPr>
          <w:rFonts w:ascii="Times New Roman" w:hAnsi="Times New Roman"/>
          <w:color w:val="1A171C"/>
          <w:sz w:val="24"/>
          <w:szCs w:val="24"/>
          <w:lang w:val="en-GB"/>
        </w:rPr>
        <w:t>, in large part these proceedings have not resulted in effective remedies. Often the l</w:t>
      </w:r>
      <w:r w:rsidRPr="009E2EE3">
        <w:rPr>
          <w:rFonts w:ascii="Times New Roman" w:hAnsi="Times New Roman"/>
          <w:sz w:val="24"/>
          <w:szCs w:val="24"/>
          <w:lang w:val="en-GB"/>
        </w:rPr>
        <w:t>ength of the proceedings</w:t>
      </w:r>
      <w:r w:rsidR="002D218A" w:rsidRPr="00066C19">
        <w:rPr>
          <w:rFonts w:ascii="Times New Roman" w:hAnsi="Times New Roman"/>
          <w:sz w:val="24"/>
          <w:szCs w:val="24"/>
          <w:lang w:val="en-GB"/>
        </w:rPr>
        <w:t xml:space="preserve">, which </w:t>
      </w:r>
      <w:r w:rsidR="006C4A52" w:rsidRPr="00066C19">
        <w:rPr>
          <w:rFonts w:ascii="Times New Roman" w:hAnsi="Times New Roman"/>
          <w:sz w:val="24"/>
          <w:szCs w:val="24"/>
          <w:lang w:val="en-GB"/>
        </w:rPr>
        <w:t xml:space="preserve">in some cases </w:t>
      </w:r>
      <w:r w:rsidR="002D218A" w:rsidRPr="00066C19">
        <w:rPr>
          <w:rFonts w:ascii="Times New Roman" w:hAnsi="Times New Roman"/>
          <w:sz w:val="24"/>
          <w:szCs w:val="24"/>
          <w:lang w:val="en-GB"/>
        </w:rPr>
        <w:t>ha</w:t>
      </w:r>
      <w:r w:rsidR="0073325F" w:rsidRPr="00066C19">
        <w:rPr>
          <w:rFonts w:ascii="Times New Roman" w:hAnsi="Times New Roman"/>
          <w:sz w:val="24"/>
          <w:szCs w:val="24"/>
          <w:lang w:val="en-GB"/>
        </w:rPr>
        <w:t>ve</w:t>
      </w:r>
      <w:r w:rsidR="002D218A" w:rsidRPr="00066C19">
        <w:rPr>
          <w:rFonts w:ascii="Times New Roman" w:hAnsi="Times New Roman"/>
          <w:sz w:val="24"/>
          <w:szCs w:val="24"/>
          <w:lang w:val="en-GB"/>
        </w:rPr>
        <w:t xml:space="preserve"> </w:t>
      </w:r>
      <w:r w:rsidR="006C4A52" w:rsidRPr="00066C19">
        <w:rPr>
          <w:rFonts w:ascii="Times New Roman" w:hAnsi="Times New Roman"/>
          <w:sz w:val="24"/>
          <w:szCs w:val="24"/>
          <w:lang w:val="en-GB"/>
        </w:rPr>
        <w:t>spanned</w:t>
      </w:r>
      <w:r w:rsidRPr="00066C19">
        <w:rPr>
          <w:rFonts w:ascii="Times New Roman" w:hAnsi="Times New Roman"/>
          <w:sz w:val="24"/>
          <w:szCs w:val="24"/>
          <w:lang w:val="en-GB"/>
        </w:rPr>
        <w:t xml:space="preserve"> 11</w:t>
      </w:r>
      <w:r w:rsidR="006C4A52" w:rsidRPr="00066C19">
        <w:rPr>
          <w:rFonts w:ascii="Times New Roman" w:hAnsi="Times New Roman"/>
          <w:sz w:val="24"/>
          <w:szCs w:val="24"/>
          <w:lang w:val="en-GB"/>
        </w:rPr>
        <w:t xml:space="preserve"> </w:t>
      </w:r>
      <w:r w:rsidRPr="00066C19">
        <w:rPr>
          <w:rFonts w:ascii="Times New Roman" w:hAnsi="Times New Roman"/>
          <w:sz w:val="24"/>
          <w:szCs w:val="24"/>
          <w:lang w:val="en-GB"/>
        </w:rPr>
        <w:t>years</w:t>
      </w:r>
      <w:r w:rsidR="002D218A" w:rsidRPr="00066C19">
        <w:rPr>
          <w:rFonts w:ascii="Times New Roman" w:hAnsi="Times New Roman"/>
          <w:sz w:val="24"/>
          <w:szCs w:val="24"/>
          <w:lang w:val="en-GB"/>
        </w:rPr>
        <w:t>,</w:t>
      </w:r>
      <w:r w:rsidRPr="00066C19">
        <w:rPr>
          <w:rFonts w:ascii="Times New Roman" w:hAnsi="Times New Roman"/>
          <w:sz w:val="24"/>
          <w:szCs w:val="24"/>
          <w:lang w:val="en-GB"/>
        </w:rPr>
        <w:t xml:space="preserve"> renders</w:t>
      </w:r>
      <w:r w:rsidRPr="005D4CD7">
        <w:rPr>
          <w:rFonts w:ascii="Times New Roman" w:hAnsi="Times New Roman"/>
          <w:sz w:val="24"/>
          <w:szCs w:val="24"/>
          <w:lang w:val="en-GB"/>
        </w:rPr>
        <w:t xml:space="preserve"> the process ineffective. For example, two cases filed in 2005</w:t>
      </w:r>
      <w:r w:rsidR="005D4CD7">
        <w:rPr>
          <w:rFonts w:ascii="Times New Roman" w:hAnsi="Times New Roman"/>
          <w:sz w:val="24"/>
          <w:szCs w:val="24"/>
          <w:lang w:val="en-GB"/>
        </w:rPr>
        <w:t xml:space="preserve"> </w:t>
      </w:r>
      <w:r w:rsidRPr="005D4CD7">
        <w:rPr>
          <w:rFonts w:ascii="Times New Roman" w:hAnsi="Times New Roman"/>
          <w:sz w:val="24"/>
          <w:szCs w:val="24"/>
          <w:lang w:val="en-GB"/>
        </w:rPr>
        <w:t>are still pending before</w:t>
      </w:r>
      <w:r w:rsidRPr="009E2EE3">
        <w:rPr>
          <w:rFonts w:ascii="Times New Roman" w:hAnsi="Times New Roman"/>
          <w:sz w:val="24"/>
          <w:szCs w:val="24"/>
          <w:lang w:val="en-GB"/>
        </w:rPr>
        <w:t xml:space="preserve"> domestic courts. In some cases domestic courts have failed to find a substantive violation in accordance with international human rights law and international medical standards, finding instead that a sterilization was performed as a </w:t>
      </w:r>
      <w:proofErr w:type="spellStart"/>
      <w:r w:rsidRPr="009E2EE3">
        <w:rPr>
          <w:rFonts w:ascii="Times New Roman" w:hAnsi="Times New Roman"/>
          <w:sz w:val="24"/>
          <w:szCs w:val="24"/>
          <w:lang w:val="en-GB"/>
        </w:rPr>
        <w:t>life saving</w:t>
      </w:r>
      <w:proofErr w:type="spellEnd"/>
      <w:r w:rsidRPr="009E2EE3">
        <w:rPr>
          <w:rFonts w:ascii="Times New Roman" w:hAnsi="Times New Roman"/>
          <w:sz w:val="24"/>
          <w:szCs w:val="24"/>
          <w:lang w:val="en-GB"/>
        </w:rPr>
        <w:t xml:space="preserve"> procedure</w:t>
      </w:r>
      <w:r w:rsidR="00484CD5">
        <w:rPr>
          <w:rFonts w:ascii="Times New Roman" w:hAnsi="Times New Roman"/>
          <w:sz w:val="24"/>
          <w:szCs w:val="24"/>
          <w:lang w:val="en-GB"/>
        </w:rPr>
        <w:t xml:space="preserve">, which is </w:t>
      </w:r>
      <w:r w:rsidR="002E0D53">
        <w:rPr>
          <w:rFonts w:ascii="Times New Roman" w:hAnsi="Times New Roman"/>
          <w:sz w:val="24"/>
          <w:szCs w:val="24"/>
          <w:lang w:val="en-GB"/>
        </w:rPr>
        <w:t>medically inaccurate</w:t>
      </w:r>
      <w:r w:rsidRPr="009E2EE3">
        <w:rPr>
          <w:rFonts w:ascii="Times New Roman" w:hAnsi="Times New Roman"/>
          <w:sz w:val="24"/>
          <w:szCs w:val="24"/>
          <w:lang w:val="en-GB"/>
        </w:rPr>
        <w:t xml:space="preserve">. In a number of cases domestic courts </w:t>
      </w:r>
      <w:r w:rsidRPr="009E2EE3">
        <w:rPr>
          <w:rFonts w:ascii="Times New Roman" w:hAnsi="Times New Roman"/>
          <w:color w:val="1A171C"/>
          <w:sz w:val="24"/>
          <w:szCs w:val="24"/>
          <w:lang w:val="en-GB"/>
        </w:rPr>
        <w:t xml:space="preserve">have dismissed </w:t>
      </w:r>
      <w:r>
        <w:rPr>
          <w:rFonts w:ascii="Times New Roman" w:hAnsi="Times New Roman"/>
          <w:color w:val="1A171C"/>
          <w:sz w:val="24"/>
          <w:szCs w:val="24"/>
          <w:lang w:val="en-GB"/>
        </w:rPr>
        <w:t xml:space="preserve">financial </w:t>
      </w:r>
      <w:proofErr w:type="gramStart"/>
      <w:r>
        <w:rPr>
          <w:rFonts w:ascii="Times New Roman" w:hAnsi="Times New Roman"/>
          <w:color w:val="1A171C"/>
          <w:sz w:val="24"/>
          <w:szCs w:val="24"/>
          <w:lang w:val="en-GB"/>
        </w:rPr>
        <w:t xml:space="preserve">compensation </w:t>
      </w:r>
      <w:r w:rsidRPr="009E2EE3">
        <w:rPr>
          <w:rFonts w:ascii="Times New Roman" w:hAnsi="Times New Roman"/>
          <w:color w:val="1A171C"/>
          <w:sz w:val="24"/>
          <w:szCs w:val="24"/>
          <w:lang w:val="en-GB"/>
        </w:rPr>
        <w:t xml:space="preserve"> due</w:t>
      </w:r>
      <w:proofErr w:type="gramEnd"/>
      <w:r w:rsidRPr="009E2EE3">
        <w:rPr>
          <w:rFonts w:ascii="Times New Roman" w:hAnsi="Times New Roman"/>
          <w:color w:val="1A171C"/>
          <w:sz w:val="24"/>
          <w:szCs w:val="24"/>
          <w:lang w:val="en-GB"/>
        </w:rPr>
        <w:t xml:space="preserve"> to </w:t>
      </w:r>
      <w:r>
        <w:rPr>
          <w:rFonts w:ascii="Times New Roman" w:hAnsi="Times New Roman"/>
          <w:color w:val="1A171C"/>
          <w:sz w:val="24"/>
          <w:szCs w:val="24"/>
          <w:lang w:val="en-GB"/>
        </w:rPr>
        <w:t>3</w:t>
      </w:r>
      <w:r w:rsidRPr="009E2EE3">
        <w:rPr>
          <w:rFonts w:ascii="Times New Roman" w:hAnsi="Times New Roman"/>
          <w:color w:val="1A171C"/>
          <w:sz w:val="24"/>
          <w:szCs w:val="24"/>
          <w:lang w:val="en-GB"/>
        </w:rPr>
        <w:t>-years statute of limitation. Meanwhile,</w:t>
      </w:r>
      <w:r w:rsidRPr="009E2EE3">
        <w:rPr>
          <w:rFonts w:ascii="Times New Roman" w:hAnsi="Times New Roman"/>
          <w:sz w:val="24"/>
          <w:szCs w:val="24"/>
          <w:lang w:val="en-GB"/>
        </w:rPr>
        <w:t xml:space="preserve"> even in cases where domestic courts have found violations of Roma women’s rights, they have often awarded very low compensation amounts (max. 1500 Euros).</w:t>
      </w:r>
      <w:r w:rsidRPr="009E2EE3">
        <w:rPr>
          <w:rStyle w:val="EndnoteReference"/>
          <w:rFonts w:ascii="Times New Roman" w:hAnsi="Times New Roman"/>
          <w:color w:val="1A171C"/>
          <w:sz w:val="24"/>
          <w:szCs w:val="24"/>
          <w:lang w:val="en-GB"/>
        </w:rPr>
        <w:endnoteReference w:id="7"/>
      </w:r>
      <w:r w:rsidRPr="009E2EE3">
        <w:rPr>
          <w:rFonts w:ascii="Times New Roman" w:hAnsi="Times New Roman"/>
          <w:sz w:val="24"/>
          <w:szCs w:val="24"/>
          <w:lang w:val="en-GB"/>
        </w:rPr>
        <w:t xml:space="preserve"> There is only one example of </w:t>
      </w:r>
      <w:r w:rsidRPr="00512F44">
        <w:rPr>
          <w:rFonts w:ascii="Times New Roman" w:hAnsi="Times New Roman"/>
          <w:sz w:val="24"/>
          <w:szCs w:val="24"/>
          <w:lang w:val="en-GB"/>
        </w:rPr>
        <w:t xml:space="preserve">a case in which a </w:t>
      </w:r>
      <w:r w:rsidR="002E1F10">
        <w:rPr>
          <w:rFonts w:ascii="Times New Roman" w:hAnsi="Times New Roman"/>
          <w:sz w:val="24"/>
          <w:szCs w:val="24"/>
          <w:lang w:val="en-GB"/>
        </w:rPr>
        <w:t xml:space="preserve">domestic </w:t>
      </w:r>
      <w:r w:rsidRPr="00512F44">
        <w:rPr>
          <w:rFonts w:ascii="Times New Roman" w:hAnsi="Times New Roman"/>
          <w:sz w:val="24"/>
          <w:szCs w:val="24"/>
          <w:lang w:val="en-GB"/>
        </w:rPr>
        <w:t xml:space="preserve">court, referring to </w:t>
      </w:r>
      <w:r w:rsidRPr="00512F44">
        <w:rPr>
          <w:rFonts w:ascii="Times New Roman" w:hAnsi="Times New Roman"/>
          <w:sz w:val="24"/>
          <w:szCs w:val="24"/>
          <w:lang w:val="en-GB"/>
        </w:rPr>
        <w:lastRenderedPageBreak/>
        <w:t>the jurisprudence of the ECtHR,</w:t>
      </w:r>
      <w:r w:rsidRPr="00512F44" w:rsidDel="000133E7">
        <w:rPr>
          <w:rFonts w:ascii="Times New Roman" w:hAnsi="Times New Roman"/>
          <w:sz w:val="24"/>
          <w:szCs w:val="24"/>
          <w:lang w:val="en-GB"/>
        </w:rPr>
        <w:t xml:space="preserve"> </w:t>
      </w:r>
      <w:r w:rsidRPr="00512F44">
        <w:rPr>
          <w:rFonts w:ascii="Times New Roman" w:hAnsi="Times New Roman"/>
          <w:sz w:val="24"/>
          <w:szCs w:val="24"/>
          <w:lang w:val="en-GB"/>
        </w:rPr>
        <w:t>awarded an appropriate compensation amount</w:t>
      </w:r>
      <w:r w:rsidR="006C56B2">
        <w:rPr>
          <w:rFonts w:ascii="Times New Roman" w:hAnsi="Times New Roman"/>
          <w:sz w:val="24"/>
          <w:szCs w:val="24"/>
          <w:lang w:val="en-GB"/>
        </w:rPr>
        <w:t xml:space="preserve">, but it took more than 10 years to </w:t>
      </w:r>
      <w:r w:rsidR="00794DDF">
        <w:rPr>
          <w:rFonts w:ascii="Times New Roman" w:hAnsi="Times New Roman"/>
          <w:sz w:val="24"/>
          <w:szCs w:val="24"/>
          <w:lang w:val="en-GB"/>
        </w:rPr>
        <w:t>obtain</w:t>
      </w:r>
      <w:r w:rsidR="006C56B2">
        <w:rPr>
          <w:rFonts w:ascii="Times New Roman" w:hAnsi="Times New Roman"/>
          <w:sz w:val="24"/>
          <w:szCs w:val="24"/>
          <w:lang w:val="en-GB"/>
        </w:rPr>
        <w:t xml:space="preserve"> </w:t>
      </w:r>
      <w:r w:rsidR="0081249A">
        <w:rPr>
          <w:rFonts w:ascii="Times New Roman" w:hAnsi="Times New Roman"/>
          <w:sz w:val="24"/>
          <w:szCs w:val="24"/>
          <w:lang w:val="en-GB"/>
        </w:rPr>
        <w:t xml:space="preserve">this </w:t>
      </w:r>
      <w:r w:rsidR="006C56B2">
        <w:rPr>
          <w:rFonts w:ascii="Times New Roman" w:hAnsi="Times New Roman"/>
          <w:sz w:val="24"/>
          <w:szCs w:val="24"/>
          <w:lang w:val="en-GB"/>
        </w:rPr>
        <w:t xml:space="preserve">decision, and it is not </w:t>
      </w:r>
      <w:r w:rsidR="00794DDF">
        <w:rPr>
          <w:rFonts w:ascii="Times New Roman" w:hAnsi="Times New Roman"/>
          <w:sz w:val="24"/>
          <w:szCs w:val="24"/>
          <w:lang w:val="en-GB"/>
        </w:rPr>
        <w:t xml:space="preserve">yet </w:t>
      </w:r>
      <w:r w:rsidR="006C56B2">
        <w:rPr>
          <w:rFonts w:ascii="Times New Roman" w:hAnsi="Times New Roman"/>
          <w:sz w:val="24"/>
          <w:szCs w:val="24"/>
          <w:lang w:val="en-GB"/>
        </w:rPr>
        <w:t>final</w:t>
      </w:r>
      <w:r w:rsidR="00794DDF">
        <w:rPr>
          <w:rFonts w:ascii="Times New Roman" w:hAnsi="Times New Roman"/>
          <w:sz w:val="24"/>
          <w:szCs w:val="24"/>
          <w:lang w:val="en-GB"/>
        </w:rPr>
        <w:t>.</w:t>
      </w:r>
      <w:r w:rsidRPr="00512F44">
        <w:rPr>
          <w:rStyle w:val="EndnoteReference"/>
          <w:rFonts w:ascii="Times New Roman" w:hAnsi="Times New Roman"/>
          <w:color w:val="1A171C"/>
          <w:sz w:val="24"/>
          <w:szCs w:val="24"/>
          <w:lang w:val="en-GB"/>
        </w:rPr>
        <w:endnoteReference w:id="8"/>
      </w:r>
    </w:p>
    <w:p w14:paraId="40C06E5C" w14:textId="77777777" w:rsidR="00670839" w:rsidRDefault="00670839" w:rsidP="003E1357">
      <w:pPr>
        <w:pStyle w:val="Sinespaciado"/>
        <w:jc w:val="both"/>
        <w:rPr>
          <w:color w:val="000000"/>
          <w:lang w:val="en-GB"/>
        </w:rPr>
      </w:pPr>
    </w:p>
    <w:p w14:paraId="31569AFC" w14:textId="77777777" w:rsidR="003E1357" w:rsidRDefault="0086523A" w:rsidP="003E1357">
      <w:pPr>
        <w:pStyle w:val="Sinespaciado"/>
        <w:jc w:val="both"/>
        <w:rPr>
          <w:color w:val="000000"/>
          <w:lang w:val="en-GB"/>
        </w:rPr>
      </w:pPr>
      <w:r>
        <w:rPr>
          <w:color w:val="000000"/>
          <w:lang w:val="en-GB"/>
        </w:rPr>
        <w:t>I</w:t>
      </w:r>
      <w:r w:rsidR="00FB6F2E">
        <w:rPr>
          <w:color w:val="000000"/>
          <w:lang w:val="en-GB"/>
        </w:rPr>
        <w:t>n 2015</w:t>
      </w:r>
      <w:r>
        <w:rPr>
          <w:color w:val="000000"/>
          <w:lang w:val="en-GB"/>
        </w:rPr>
        <w:t>, in his</w:t>
      </w:r>
      <w:r w:rsidR="00FB6F2E">
        <w:rPr>
          <w:color w:val="000000"/>
          <w:lang w:val="en-GB"/>
        </w:rPr>
        <w:t xml:space="preserve"> country report</w:t>
      </w:r>
      <w:r>
        <w:rPr>
          <w:color w:val="000000"/>
          <w:lang w:val="en-GB"/>
        </w:rPr>
        <w:t xml:space="preserve"> on Slovakia, the Council of Europe Commissioner for Human Rights stated that </w:t>
      </w:r>
      <w:r w:rsidR="00022448">
        <w:rPr>
          <w:color w:val="000000"/>
          <w:lang w:val="en-GB"/>
        </w:rPr>
        <w:t>Slovak authorities “</w:t>
      </w:r>
      <w:r w:rsidR="00022448" w:rsidRPr="00022448">
        <w:rPr>
          <w:color w:val="000000"/>
          <w:lang w:val="en-GB"/>
        </w:rPr>
        <w:t>have not taken responsibility for unlawful sterilisations committed in the past.</w:t>
      </w:r>
      <w:r w:rsidR="00022448">
        <w:rPr>
          <w:color w:val="000000"/>
          <w:lang w:val="en-GB"/>
        </w:rPr>
        <w:t>”</w:t>
      </w:r>
      <w:r w:rsidR="00022448">
        <w:rPr>
          <w:rStyle w:val="EndnoteReference"/>
          <w:color w:val="000000"/>
          <w:lang w:val="en-GB"/>
        </w:rPr>
        <w:endnoteReference w:id="9"/>
      </w:r>
      <w:r w:rsidR="00FB6F2E">
        <w:rPr>
          <w:color w:val="000000"/>
          <w:lang w:val="en-GB"/>
        </w:rPr>
        <w:t xml:space="preserve"> </w:t>
      </w:r>
      <w:r>
        <w:rPr>
          <w:color w:val="000000"/>
          <w:lang w:val="en-GB"/>
        </w:rPr>
        <w:t>In an earlier report t</w:t>
      </w:r>
      <w:r w:rsidR="00FB6F2E">
        <w:rPr>
          <w:color w:val="000000"/>
          <w:lang w:val="en-GB"/>
        </w:rPr>
        <w:t xml:space="preserve">he Commissioner recommended </w:t>
      </w:r>
      <w:r>
        <w:rPr>
          <w:color w:val="000000"/>
          <w:lang w:val="en-GB"/>
        </w:rPr>
        <w:t xml:space="preserve">that </w:t>
      </w:r>
      <w:r w:rsidR="00FB6F2E">
        <w:rPr>
          <w:color w:val="000000"/>
          <w:lang w:val="en-GB"/>
        </w:rPr>
        <w:t>the Government</w:t>
      </w:r>
      <w:r>
        <w:rPr>
          <w:color w:val="000000"/>
          <w:lang w:val="en-GB"/>
        </w:rPr>
        <w:t xml:space="preserve">, </w:t>
      </w:r>
      <w:r w:rsidR="00FB6F2E">
        <w:rPr>
          <w:color w:val="000000"/>
          <w:lang w:val="en-GB"/>
        </w:rPr>
        <w:t>“</w:t>
      </w:r>
      <w:r w:rsidR="00FB6F2E" w:rsidRPr="00FB6F2E">
        <w:rPr>
          <w:color w:val="000000"/>
          <w:lang w:val="en-GB"/>
        </w:rPr>
        <w:t>accept clearly its objective responsibility for failing to ensure that no sterilisations were performed without free and informed consent</w:t>
      </w:r>
      <w:r w:rsidR="00D03D16">
        <w:rPr>
          <w:color w:val="000000"/>
          <w:lang w:val="en-GB"/>
        </w:rPr>
        <w:t xml:space="preserve"> [and to]</w:t>
      </w:r>
      <w:r w:rsidR="00FB6F2E" w:rsidRPr="00FB6F2E">
        <w:rPr>
          <w:color w:val="000000"/>
          <w:lang w:val="en-GB"/>
        </w:rPr>
        <w:t xml:space="preserve"> consequently, undertake to offer a speedy, fair, efficient and just redress.</w:t>
      </w:r>
      <w:r w:rsidR="00D03D16">
        <w:rPr>
          <w:color w:val="000000"/>
          <w:lang w:val="en-GB"/>
        </w:rPr>
        <w:t>”</w:t>
      </w:r>
      <w:r w:rsidR="00385A0A">
        <w:rPr>
          <w:rStyle w:val="EndnoteReference"/>
          <w:color w:val="000000"/>
          <w:lang w:val="en-GB"/>
        </w:rPr>
        <w:endnoteReference w:id="10"/>
      </w:r>
    </w:p>
    <w:p w14:paraId="62848E09" w14:textId="77777777" w:rsidR="00A56D78" w:rsidRPr="000B3526" w:rsidRDefault="00A56D78" w:rsidP="00A56D78">
      <w:pPr>
        <w:pStyle w:val="ListParagraph"/>
        <w:spacing w:after="0"/>
        <w:ind w:left="0"/>
        <w:jc w:val="both"/>
        <w:rPr>
          <w:rFonts w:ascii="Times New Roman" w:hAnsi="Times New Roman"/>
          <w:color w:val="000000"/>
          <w:sz w:val="24"/>
          <w:szCs w:val="24"/>
          <w:lang w:val="en-GB"/>
        </w:rPr>
      </w:pPr>
    </w:p>
    <w:p w14:paraId="1249DCF8" w14:textId="6D66BCD0" w:rsidR="00A56D78" w:rsidRDefault="00A56D78" w:rsidP="00A56D78">
      <w:pPr>
        <w:pStyle w:val="Sinespaciado"/>
        <w:jc w:val="both"/>
        <w:rPr>
          <w:color w:val="1A171C"/>
          <w:lang w:val="en-GB"/>
        </w:rPr>
      </w:pPr>
      <w:r>
        <w:rPr>
          <w:color w:val="000000"/>
          <w:lang w:val="en-GB"/>
        </w:rPr>
        <w:t xml:space="preserve">In order to ensure Roma women who were subjected to forced and coercive </w:t>
      </w:r>
      <w:r>
        <w:rPr>
          <w:color w:val="1A171C"/>
          <w:lang w:val="en-GB"/>
        </w:rPr>
        <w:t xml:space="preserve">sterilization have access to effective remedies, including reparation, </w:t>
      </w:r>
      <w:r w:rsidR="003E1357">
        <w:rPr>
          <w:color w:val="1A171C"/>
          <w:lang w:val="en-GB"/>
        </w:rPr>
        <w:t xml:space="preserve">and to </w:t>
      </w:r>
      <w:r w:rsidR="0086523A">
        <w:rPr>
          <w:color w:val="1A171C"/>
          <w:lang w:val="en-GB"/>
        </w:rPr>
        <w:t>identify</w:t>
      </w:r>
      <w:r w:rsidR="003E1357">
        <w:rPr>
          <w:color w:val="1A171C"/>
          <w:lang w:val="en-GB"/>
        </w:rPr>
        <w:t xml:space="preserve"> the full extent of this practi</w:t>
      </w:r>
      <w:r w:rsidR="0086523A">
        <w:rPr>
          <w:color w:val="1A171C"/>
          <w:lang w:val="en-GB"/>
        </w:rPr>
        <w:t>c</w:t>
      </w:r>
      <w:r w:rsidR="003E1357">
        <w:rPr>
          <w:color w:val="1A171C"/>
          <w:lang w:val="en-GB"/>
        </w:rPr>
        <w:t xml:space="preserve">e, </w:t>
      </w:r>
      <w:r>
        <w:rPr>
          <w:color w:val="1A171C"/>
          <w:lang w:val="en-GB"/>
        </w:rPr>
        <w:t>urgent Government action is required</w:t>
      </w:r>
      <w:r w:rsidRPr="000B3526">
        <w:rPr>
          <w:color w:val="1A171C"/>
          <w:lang w:val="en-GB"/>
        </w:rPr>
        <w:t>.</w:t>
      </w:r>
      <w:r w:rsidR="00D9102F">
        <w:rPr>
          <w:color w:val="1A171C"/>
          <w:lang w:val="en-GB"/>
        </w:rPr>
        <w:t xml:space="preserve"> </w:t>
      </w:r>
      <w:r w:rsidRPr="000B3526">
        <w:rPr>
          <w:color w:val="1A171C"/>
          <w:lang w:val="en-GB"/>
        </w:rPr>
        <w:t xml:space="preserve">At this point, the most effective solution </w:t>
      </w:r>
      <w:r>
        <w:rPr>
          <w:color w:val="1A171C"/>
          <w:lang w:val="en-GB"/>
        </w:rPr>
        <w:t xml:space="preserve">may </w:t>
      </w:r>
      <w:r w:rsidR="00484CD5">
        <w:rPr>
          <w:color w:val="1A171C"/>
          <w:lang w:val="en-GB"/>
        </w:rPr>
        <w:t>be</w:t>
      </w:r>
      <w:r w:rsidR="00484CD5" w:rsidRPr="000B3526">
        <w:rPr>
          <w:color w:val="1A171C"/>
          <w:lang w:val="en-GB"/>
        </w:rPr>
        <w:t xml:space="preserve"> </w:t>
      </w:r>
      <w:r w:rsidRPr="000B3526">
        <w:rPr>
          <w:color w:val="1A171C"/>
          <w:lang w:val="en-GB"/>
        </w:rPr>
        <w:t xml:space="preserve">the establishment of </w:t>
      </w:r>
      <w:r>
        <w:rPr>
          <w:color w:val="1A171C"/>
          <w:lang w:val="en-GB"/>
        </w:rPr>
        <w:t xml:space="preserve">an </w:t>
      </w:r>
      <w:r w:rsidRPr="000B3526">
        <w:rPr>
          <w:i/>
          <w:color w:val="1A171C"/>
          <w:lang w:val="en-GB"/>
        </w:rPr>
        <w:t>ad hoc</w:t>
      </w:r>
      <w:r w:rsidRPr="000B3526">
        <w:rPr>
          <w:color w:val="1A171C"/>
          <w:lang w:val="en-GB"/>
        </w:rPr>
        <w:t xml:space="preserve"> independent commission </w:t>
      </w:r>
      <w:r w:rsidR="00484CD5">
        <w:rPr>
          <w:color w:val="1A171C"/>
          <w:lang w:val="en-GB"/>
        </w:rPr>
        <w:t>with</w:t>
      </w:r>
      <w:r>
        <w:rPr>
          <w:color w:val="1A171C"/>
          <w:lang w:val="en-GB"/>
        </w:rPr>
        <w:t xml:space="preserve"> a mandate to investigate the practice and award adequate financial and other reparation</w:t>
      </w:r>
      <w:r w:rsidRPr="000B3526">
        <w:rPr>
          <w:color w:val="1A171C"/>
          <w:lang w:val="en-GB"/>
        </w:rPr>
        <w:t xml:space="preserve">. </w:t>
      </w:r>
      <w:r>
        <w:rPr>
          <w:color w:val="1A171C"/>
          <w:lang w:val="en-GB"/>
        </w:rPr>
        <w:t xml:space="preserve">Similar procedures have been successfully used in </w:t>
      </w:r>
      <w:r w:rsidRPr="000B3526">
        <w:rPr>
          <w:color w:val="1A171C"/>
          <w:lang w:val="en-GB"/>
        </w:rPr>
        <w:t xml:space="preserve">other </w:t>
      </w:r>
      <w:r>
        <w:rPr>
          <w:color w:val="1A171C"/>
          <w:lang w:val="en-GB"/>
        </w:rPr>
        <w:t xml:space="preserve">European </w:t>
      </w:r>
      <w:r w:rsidRPr="000B3526">
        <w:rPr>
          <w:color w:val="1A171C"/>
          <w:lang w:val="en-GB"/>
        </w:rPr>
        <w:t xml:space="preserve">countries such as </w:t>
      </w:r>
      <w:r>
        <w:rPr>
          <w:color w:val="1A171C"/>
          <w:lang w:val="en-GB"/>
        </w:rPr>
        <w:t xml:space="preserve">Norway, </w:t>
      </w:r>
      <w:r w:rsidRPr="000B3526">
        <w:rPr>
          <w:color w:val="1A171C"/>
          <w:lang w:val="en-GB"/>
        </w:rPr>
        <w:t xml:space="preserve">Sweden, </w:t>
      </w:r>
      <w:r>
        <w:rPr>
          <w:color w:val="1A171C"/>
          <w:lang w:val="en-GB"/>
        </w:rPr>
        <w:t xml:space="preserve">and </w:t>
      </w:r>
      <w:r w:rsidRPr="000B3526">
        <w:rPr>
          <w:color w:val="1A171C"/>
          <w:lang w:val="en-GB"/>
        </w:rPr>
        <w:t>Switzerland.</w:t>
      </w:r>
    </w:p>
    <w:p w14:paraId="36AEC693" w14:textId="77777777" w:rsidR="00A56D78" w:rsidRDefault="00A56D78" w:rsidP="00A56D78">
      <w:pPr>
        <w:pStyle w:val="Sinespaciado"/>
        <w:jc w:val="both"/>
        <w:rPr>
          <w:color w:val="1A171C"/>
          <w:lang w:val="en-GB"/>
        </w:rPr>
      </w:pPr>
    </w:p>
    <w:p w14:paraId="6A04BCE2" w14:textId="77777777" w:rsidR="00A56D78" w:rsidRPr="00F86D02" w:rsidRDefault="00A56D78" w:rsidP="00A56D78">
      <w:pPr>
        <w:pStyle w:val="Sinespaciado"/>
        <w:ind w:left="720"/>
        <w:jc w:val="both"/>
        <w:rPr>
          <w:i/>
          <w:color w:val="1A171C"/>
          <w:lang w:val="en-GB"/>
        </w:rPr>
      </w:pPr>
      <w:r>
        <w:rPr>
          <w:b/>
          <w:i/>
          <w:color w:val="1A171C"/>
        </w:rPr>
        <w:t xml:space="preserve">Failure to monitor the implementation of new </w:t>
      </w:r>
      <w:r w:rsidRPr="00F86D02">
        <w:rPr>
          <w:rFonts w:eastAsia="Calibri"/>
          <w:b/>
          <w:i/>
          <w:lang w:val="en-GB"/>
        </w:rPr>
        <w:t xml:space="preserve">informed consent </w:t>
      </w:r>
      <w:r>
        <w:rPr>
          <w:rFonts w:eastAsia="Calibri"/>
          <w:b/>
          <w:i/>
          <w:lang w:val="en-GB"/>
        </w:rPr>
        <w:t xml:space="preserve">laws </w:t>
      </w:r>
      <w:r w:rsidRPr="00F86D02">
        <w:rPr>
          <w:rFonts w:eastAsia="Calibri"/>
          <w:b/>
          <w:i/>
          <w:lang w:val="en-GB"/>
        </w:rPr>
        <w:t xml:space="preserve"> </w:t>
      </w:r>
    </w:p>
    <w:p w14:paraId="52CF0EE1" w14:textId="77777777" w:rsidR="00A56D78" w:rsidRPr="000B3526" w:rsidRDefault="00A56D78" w:rsidP="00A56D78">
      <w:pPr>
        <w:spacing w:after="0"/>
        <w:rPr>
          <w:rFonts w:ascii="Times New Roman" w:hAnsi="Times New Roman"/>
          <w:i/>
          <w:sz w:val="24"/>
          <w:szCs w:val="24"/>
          <w:lang w:val="en-GB"/>
        </w:rPr>
      </w:pPr>
    </w:p>
    <w:p w14:paraId="6C7AB357" w14:textId="46CC4E20" w:rsidR="00A56D78" w:rsidRDefault="00A56D78" w:rsidP="00A56D78">
      <w:pPr>
        <w:spacing w:after="0"/>
        <w:jc w:val="both"/>
        <w:rPr>
          <w:rFonts w:ascii="Times New Roman" w:hAnsi="Times New Roman"/>
          <w:color w:val="1A171C"/>
          <w:sz w:val="24"/>
          <w:szCs w:val="24"/>
          <w:lang w:val="en-GB"/>
        </w:rPr>
      </w:pPr>
      <w:r>
        <w:rPr>
          <w:rFonts w:ascii="Times New Roman" w:hAnsi="Times New Roman"/>
          <w:color w:val="1A171C"/>
          <w:sz w:val="24"/>
          <w:szCs w:val="24"/>
          <w:lang w:val="en-GB"/>
        </w:rPr>
        <w:t>In its Replies to the List of Issues, t</w:t>
      </w:r>
      <w:r w:rsidRPr="000B3526">
        <w:rPr>
          <w:rFonts w:ascii="Times New Roman" w:hAnsi="Times New Roman"/>
          <w:color w:val="1A171C"/>
          <w:sz w:val="24"/>
          <w:szCs w:val="24"/>
          <w:lang w:val="en-GB"/>
        </w:rPr>
        <w:t xml:space="preserve">he Government </w:t>
      </w:r>
      <w:r>
        <w:rPr>
          <w:rFonts w:ascii="Times New Roman" w:hAnsi="Times New Roman"/>
          <w:color w:val="1A171C"/>
          <w:sz w:val="24"/>
          <w:szCs w:val="24"/>
          <w:lang w:val="en-GB"/>
        </w:rPr>
        <w:t>outlines</w:t>
      </w:r>
      <w:r w:rsidRPr="000B3526">
        <w:rPr>
          <w:rFonts w:ascii="Times New Roman" w:hAnsi="Times New Roman"/>
          <w:color w:val="1A171C"/>
          <w:sz w:val="24"/>
          <w:szCs w:val="24"/>
          <w:lang w:val="en-GB"/>
        </w:rPr>
        <w:t xml:space="preserve"> </w:t>
      </w:r>
      <w:r>
        <w:rPr>
          <w:rFonts w:ascii="Times New Roman" w:hAnsi="Times New Roman"/>
          <w:color w:val="1A171C"/>
          <w:sz w:val="24"/>
          <w:szCs w:val="24"/>
          <w:lang w:val="en-GB"/>
        </w:rPr>
        <w:t xml:space="preserve">a list </w:t>
      </w:r>
      <w:r w:rsidRPr="000B3526">
        <w:rPr>
          <w:rFonts w:ascii="Times New Roman" w:hAnsi="Times New Roman"/>
          <w:color w:val="1A171C"/>
          <w:sz w:val="24"/>
          <w:szCs w:val="24"/>
          <w:lang w:val="en-GB"/>
        </w:rPr>
        <w:t>of regulations</w:t>
      </w:r>
      <w:r>
        <w:rPr>
          <w:rFonts w:ascii="Times New Roman" w:hAnsi="Times New Roman"/>
          <w:color w:val="1A171C"/>
          <w:sz w:val="24"/>
          <w:szCs w:val="24"/>
          <w:lang w:val="en-GB"/>
        </w:rPr>
        <w:t xml:space="preserve"> </w:t>
      </w:r>
      <w:r w:rsidRPr="000B3526">
        <w:rPr>
          <w:rFonts w:ascii="Times New Roman" w:hAnsi="Times New Roman"/>
          <w:color w:val="1A171C"/>
          <w:sz w:val="24"/>
          <w:szCs w:val="24"/>
          <w:lang w:val="en-GB"/>
        </w:rPr>
        <w:t xml:space="preserve">on informed consent </w:t>
      </w:r>
      <w:r>
        <w:rPr>
          <w:rFonts w:ascii="Times New Roman" w:hAnsi="Times New Roman"/>
          <w:color w:val="1A171C"/>
          <w:sz w:val="24"/>
          <w:szCs w:val="24"/>
          <w:lang w:val="en-GB"/>
        </w:rPr>
        <w:t>in the context of</w:t>
      </w:r>
      <w:r w:rsidRPr="000B3526">
        <w:rPr>
          <w:rFonts w:ascii="Times New Roman" w:hAnsi="Times New Roman"/>
          <w:color w:val="1A171C"/>
          <w:sz w:val="24"/>
          <w:szCs w:val="24"/>
          <w:lang w:val="en-GB"/>
        </w:rPr>
        <w:t xml:space="preserve"> sterilization</w:t>
      </w:r>
      <w:r>
        <w:rPr>
          <w:rFonts w:ascii="Times New Roman" w:hAnsi="Times New Roman"/>
          <w:color w:val="1A171C"/>
          <w:sz w:val="24"/>
          <w:szCs w:val="24"/>
          <w:lang w:val="en-GB"/>
        </w:rPr>
        <w:t xml:space="preserve"> that</w:t>
      </w:r>
      <w:r w:rsidRPr="000B3526">
        <w:rPr>
          <w:rFonts w:ascii="Times New Roman" w:hAnsi="Times New Roman"/>
          <w:color w:val="1A171C"/>
          <w:sz w:val="24"/>
          <w:szCs w:val="24"/>
          <w:lang w:val="en-GB"/>
        </w:rPr>
        <w:t xml:space="preserve"> have been adopted </w:t>
      </w:r>
      <w:r>
        <w:rPr>
          <w:rFonts w:ascii="Times New Roman" w:hAnsi="Times New Roman"/>
          <w:color w:val="1A171C"/>
          <w:sz w:val="24"/>
          <w:szCs w:val="24"/>
          <w:lang w:val="en-GB"/>
        </w:rPr>
        <w:t>since 2004</w:t>
      </w:r>
      <w:r w:rsidRPr="000B3526">
        <w:rPr>
          <w:rFonts w:ascii="Times New Roman" w:hAnsi="Times New Roman"/>
          <w:color w:val="1A171C"/>
          <w:sz w:val="24"/>
          <w:szCs w:val="24"/>
          <w:lang w:val="en-GB"/>
        </w:rPr>
        <w:t>.</w:t>
      </w:r>
      <w:r>
        <w:rPr>
          <w:rStyle w:val="EndnoteReference"/>
          <w:rFonts w:ascii="Times New Roman" w:hAnsi="Times New Roman"/>
          <w:color w:val="1A171C"/>
          <w:sz w:val="24"/>
          <w:szCs w:val="24"/>
          <w:lang w:val="en-GB"/>
        </w:rPr>
        <w:endnoteReference w:id="11"/>
      </w:r>
      <w:r w:rsidRPr="000B3526">
        <w:rPr>
          <w:rFonts w:ascii="Times New Roman" w:hAnsi="Times New Roman"/>
          <w:color w:val="1A171C"/>
          <w:sz w:val="24"/>
          <w:szCs w:val="24"/>
          <w:lang w:val="en-GB"/>
        </w:rPr>
        <w:t xml:space="preserve"> </w:t>
      </w:r>
      <w:r>
        <w:rPr>
          <w:rFonts w:ascii="Times New Roman" w:hAnsi="Times New Roman"/>
          <w:color w:val="1A171C"/>
          <w:sz w:val="24"/>
          <w:szCs w:val="24"/>
          <w:lang w:val="en-GB"/>
        </w:rPr>
        <w:t xml:space="preserve">However, although the terms of the current </w:t>
      </w:r>
      <w:r w:rsidRPr="000B3526">
        <w:rPr>
          <w:rFonts w:ascii="Times New Roman" w:hAnsi="Times New Roman"/>
          <w:color w:val="1A171C"/>
          <w:sz w:val="24"/>
          <w:szCs w:val="24"/>
          <w:lang w:val="en-GB"/>
        </w:rPr>
        <w:t>legal framework in this area formally provides sufficient legal safeguards</w:t>
      </w:r>
      <w:r w:rsidR="00E93E44">
        <w:rPr>
          <w:rFonts w:ascii="Times New Roman" w:hAnsi="Times New Roman"/>
          <w:color w:val="1A171C"/>
          <w:sz w:val="24"/>
          <w:szCs w:val="24"/>
          <w:lang w:val="en-GB"/>
        </w:rPr>
        <w:t>,</w:t>
      </w:r>
      <w:r>
        <w:rPr>
          <w:rFonts w:ascii="Times New Roman" w:hAnsi="Times New Roman"/>
          <w:color w:val="1A171C"/>
          <w:sz w:val="24"/>
          <w:szCs w:val="24"/>
          <w:lang w:val="en-GB"/>
        </w:rPr>
        <w:t xml:space="preserve"> t</w:t>
      </w:r>
      <w:r w:rsidRPr="000B3526">
        <w:rPr>
          <w:rFonts w:ascii="Times New Roman" w:hAnsi="Times New Roman"/>
          <w:color w:val="1A171C"/>
          <w:sz w:val="24"/>
          <w:szCs w:val="24"/>
          <w:lang w:val="en-GB"/>
        </w:rPr>
        <w:t xml:space="preserve">he </w:t>
      </w:r>
      <w:r>
        <w:rPr>
          <w:rFonts w:ascii="Times New Roman" w:hAnsi="Times New Roman"/>
          <w:color w:val="1A171C"/>
          <w:sz w:val="24"/>
          <w:szCs w:val="24"/>
          <w:lang w:val="en-GB"/>
        </w:rPr>
        <w:t>State does not monitor the implementation of this legislation by</w:t>
      </w:r>
      <w:r w:rsidRPr="000B3526">
        <w:rPr>
          <w:rFonts w:ascii="Times New Roman" w:hAnsi="Times New Roman"/>
          <w:color w:val="1A171C"/>
          <w:sz w:val="24"/>
          <w:szCs w:val="24"/>
          <w:lang w:val="en-GB"/>
        </w:rPr>
        <w:t xml:space="preserve"> medical practitioners </w:t>
      </w:r>
      <w:r>
        <w:rPr>
          <w:rFonts w:ascii="Times New Roman" w:hAnsi="Times New Roman"/>
          <w:color w:val="1A171C"/>
          <w:sz w:val="24"/>
          <w:szCs w:val="24"/>
          <w:lang w:val="en-GB"/>
        </w:rPr>
        <w:t xml:space="preserve">and thus any </w:t>
      </w:r>
      <w:r w:rsidRPr="000B3526">
        <w:rPr>
          <w:rFonts w:ascii="Times New Roman" w:hAnsi="Times New Roman"/>
          <w:color w:val="1A171C"/>
          <w:sz w:val="24"/>
          <w:szCs w:val="24"/>
          <w:lang w:val="en-GB"/>
        </w:rPr>
        <w:t>fail</w:t>
      </w:r>
      <w:r>
        <w:rPr>
          <w:rFonts w:ascii="Times New Roman" w:hAnsi="Times New Roman"/>
          <w:color w:val="1A171C"/>
          <w:sz w:val="24"/>
          <w:szCs w:val="24"/>
          <w:lang w:val="en-GB"/>
        </w:rPr>
        <w:t xml:space="preserve">ures in implementation </w:t>
      </w:r>
      <w:r w:rsidRPr="000B3526">
        <w:rPr>
          <w:rFonts w:ascii="Times New Roman" w:hAnsi="Times New Roman"/>
          <w:color w:val="1A171C"/>
          <w:sz w:val="24"/>
          <w:szCs w:val="24"/>
          <w:lang w:val="en-GB"/>
        </w:rPr>
        <w:t xml:space="preserve">go </w:t>
      </w:r>
      <w:r>
        <w:rPr>
          <w:rFonts w:ascii="Times New Roman" w:hAnsi="Times New Roman"/>
          <w:color w:val="1A171C"/>
          <w:sz w:val="24"/>
          <w:szCs w:val="24"/>
          <w:lang w:val="en-GB"/>
        </w:rPr>
        <w:t xml:space="preserve">largely </w:t>
      </w:r>
      <w:r w:rsidRPr="000B3526">
        <w:rPr>
          <w:rFonts w:ascii="Times New Roman" w:hAnsi="Times New Roman"/>
          <w:color w:val="1A171C"/>
          <w:sz w:val="24"/>
          <w:szCs w:val="24"/>
          <w:lang w:val="en-GB"/>
        </w:rPr>
        <w:t xml:space="preserve">undetected. </w:t>
      </w:r>
    </w:p>
    <w:p w14:paraId="3A3EF622" w14:textId="77777777" w:rsidR="00A56D78" w:rsidRDefault="00A56D78" w:rsidP="00A56D78">
      <w:pPr>
        <w:spacing w:after="0"/>
        <w:jc w:val="both"/>
        <w:rPr>
          <w:rFonts w:ascii="Times New Roman" w:hAnsi="Times New Roman"/>
          <w:color w:val="1A171C"/>
          <w:sz w:val="24"/>
          <w:szCs w:val="24"/>
          <w:lang w:val="en-GB"/>
        </w:rPr>
      </w:pPr>
    </w:p>
    <w:p w14:paraId="1C7554FD" w14:textId="77777777" w:rsidR="00484CD5" w:rsidRDefault="00A56D78" w:rsidP="00A56D78">
      <w:pPr>
        <w:spacing w:after="0"/>
        <w:jc w:val="both"/>
        <w:rPr>
          <w:rFonts w:ascii="Times New Roman" w:hAnsi="Times New Roman"/>
          <w:color w:val="1A171C"/>
          <w:sz w:val="24"/>
          <w:szCs w:val="24"/>
          <w:lang w:val="en-GB"/>
        </w:rPr>
      </w:pPr>
      <w:r>
        <w:rPr>
          <w:rFonts w:ascii="Times New Roman" w:hAnsi="Times New Roman"/>
          <w:color w:val="000000"/>
          <w:sz w:val="24"/>
          <w:szCs w:val="24"/>
          <w:lang w:val="en-GB"/>
        </w:rPr>
        <w:t>Obtaining informed consent is a process which not only requires a patient’s</w:t>
      </w:r>
      <w:r w:rsidRPr="000B3526">
        <w:rPr>
          <w:rFonts w:ascii="Times New Roman" w:hAnsi="Times New Roman"/>
          <w:color w:val="000000"/>
          <w:sz w:val="24"/>
          <w:szCs w:val="24"/>
          <w:lang w:val="en-GB"/>
        </w:rPr>
        <w:t xml:space="preserve"> signature on a form, but </w:t>
      </w:r>
      <w:r>
        <w:rPr>
          <w:rFonts w:ascii="Times New Roman" w:hAnsi="Times New Roman"/>
          <w:color w:val="000000"/>
          <w:sz w:val="24"/>
          <w:szCs w:val="24"/>
          <w:lang w:val="en-GB"/>
        </w:rPr>
        <w:t>also necessitates</w:t>
      </w:r>
      <w:r w:rsidRPr="000B3526">
        <w:rPr>
          <w:rFonts w:ascii="Times New Roman" w:hAnsi="Times New Roman"/>
          <w:color w:val="000000"/>
          <w:sz w:val="24"/>
          <w:szCs w:val="24"/>
          <w:lang w:val="en-GB"/>
        </w:rPr>
        <w:t xml:space="preserve"> interactive communication between </w:t>
      </w:r>
      <w:r>
        <w:rPr>
          <w:rFonts w:ascii="Times New Roman" w:hAnsi="Times New Roman"/>
          <w:color w:val="000000"/>
          <w:sz w:val="24"/>
          <w:szCs w:val="24"/>
          <w:lang w:val="en-GB"/>
        </w:rPr>
        <w:t>healthcare providers and their</w:t>
      </w:r>
      <w:r w:rsidRPr="000B3526">
        <w:rPr>
          <w:rFonts w:ascii="Times New Roman" w:hAnsi="Times New Roman"/>
          <w:color w:val="000000"/>
          <w:sz w:val="24"/>
          <w:szCs w:val="24"/>
          <w:lang w:val="en-GB"/>
        </w:rPr>
        <w:t xml:space="preserve"> patient</w:t>
      </w:r>
      <w:r>
        <w:rPr>
          <w:rFonts w:ascii="Times New Roman" w:hAnsi="Times New Roman"/>
          <w:color w:val="000000"/>
          <w:sz w:val="24"/>
          <w:szCs w:val="24"/>
          <w:lang w:val="en-GB"/>
        </w:rPr>
        <w:t>s in a manner that takes account of</w:t>
      </w:r>
      <w:r w:rsidRPr="000B3526">
        <w:rPr>
          <w:rFonts w:ascii="Times New Roman" w:hAnsi="Times New Roman"/>
          <w:color w:val="000000"/>
          <w:sz w:val="24"/>
          <w:szCs w:val="24"/>
          <w:lang w:val="en-GB"/>
        </w:rPr>
        <w:t xml:space="preserve"> the individual circumstances of each case. </w:t>
      </w:r>
      <w:r>
        <w:rPr>
          <w:rFonts w:ascii="Times New Roman" w:hAnsi="Times New Roman"/>
          <w:color w:val="000000"/>
          <w:sz w:val="24"/>
          <w:szCs w:val="24"/>
          <w:lang w:val="en-GB"/>
        </w:rPr>
        <w:t>Among other things, medical</w:t>
      </w:r>
      <w:r w:rsidRPr="000B3526">
        <w:rPr>
          <w:rFonts w:ascii="Times New Roman" w:hAnsi="Times New Roman"/>
          <w:color w:val="000000"/>
          <w:sz w:val="24"/>
          <w:szCs w:val="24"/>
          <w:lang w:val="en-GB"/>
        </w:rPr>
        <w:t xml:space="preserve"> staff </w:t>
      </w:r>
      <w:r>
        <w:rPr>
          <w:rFonts w:ascii="Times New Roman" w:hAnsi="Times New Roman"/>
          <w:color w:val="000000"/>
          <w:sz w:val="24"/>
          <w:szCs w:val="24"/>
          <w:lang w:val="en-GB"/>
        </w:rPr>
        <w:t xml:space="preserve">must </w:t>
      </w:r>
      <w:r w:rsidRPr="000B3526">
        <w:rPr>
          <w:rFonts w:ascii="Times New Roman" w:hAnsi="Times New Roman"/>
          <w:color w:val="000000"/>
          <w:sz w:val="24"/>
          <w:szCs w:val="24"/>
          <w:lang w:val="en-GB"/>
        </w:rPr>
        <w:t xml:space="preserve">take into consideration </w:t>
      </w:r>
      <w:r>
        <w:rPr>
          <w:rFonts w:ascii="Times New Roman" w:hAnsi="Times New Roman"/>
          <w:color w:val="000000"/>
          <w:sz w:val="24"/>
          <w:szCs w:val="24"/>
          <w:lang w:val="en-GB"/>
        </w:rPr>
        <w:t xml:space="preserve">the </w:t>
      </w:r>
      <w:r w:rsidRPr="000B3526">
        <w:rPr>
          <w:rFonts w:ascii="Times New Roman" w:hAnsi="Times New Roman"/>
          <w:color w:val="000000"/>
          <w:sz w:val="24"/>
          <w:szCs w:val="24"/>
          <w:lang w:val="en-GB"/>
        </w:rPr>
        <w:t xml:space="preserve">cognitive and language abilities of a particular patient and adequately explain the nature of the medical intervention to them. </w:t>
      </w:r>
      <w:r>
        <w:rPr>
          <w:rFonts w:ascii="Times New Roman" w:hAnsi="Times New Roman"/>
          <w:color w:val="1A171C"/>
          <w:sz w:val="24"/>
          <w:szCs w:val="24"/>
          <w:lang w:val="en-GB"/>
        </w:rPr>
        <w:t>In this context the importance of</w:t>
      </w:r>
      <w:r w:rsidRPr="000B3526">
        <w:rPr>
          <w:rFonts w:ascii="Times New Roman" w:hAnsi="Times New Roman"/>
          <w:color w:val="1A171C"/>
          <w:sz w:val="24"/>
          <w:szCs w:val="24"/>
          <w:lang w:val="en-GB"/>
        </w:rPr>
        <w:t xml:space="preserve"> </w:t>
      </w:r>
      <w:r>
        <w:rPr>
          <w:rFonts w:ascii="Times New Roman" w:hAnsi="Times New Roman"/>
          <w:color w:val="1A171C"/>
          <w:sz w:val="24"/>
          <w:szCs w:val="24"/>
          <w:lang w:val="en-GB"/>
        </w:rPr>
        <w:t xml:space="preserve">systematically </w:t>
      </w:r>
      <w:r w:rsidRPr="000B3526">
        <w:rPr>
          <w:rFonts w:ascii="Times New Roman" w:hAnsi="Times New Roman"/>
          <w:color w:val="1A171C"/>
          <w:sz w:val="24"/>
          <w:szCs w:val="24"/>
          <w:lang w:val="en-GB"/>
        </w:rPr>
        <w:t>monitor</w:t>
      </w:r>
      <w:r>
        <w:rPr>
          <w:rFonts w:ascii="Times New Roman" w:hAnsi="Times New Roman"/>
          <w:color w:val="1A171C"/>
          <w:sz w:val="24"/>
          <w:szCs w:val="24"/>
          <w:lang w:val="en-GB"/>
        </w:rPr>
        <w:t>ing</w:t>
      </w:r>
      <w:r w:rsidRPr="000B3526">
        <w:rPr>
          <w:rFonts w:ascii="Times New Roman" w:hAnsi="Times New Roman"/>
          <w:color w:val="1A171C"/>
          <w:sz w:val="24"/>
          <w:szCs w:val="24"/>
          <w:lang w:val="en-GB"/>
        </w:rPr>
        <w:t xml:space="preserve"> </w:t>
      </w:r>
      <w:r>
        <w:rPr>
          <w:rFonts w:ascii="Times New Roman" w:hAnsi="Times New Roman"/>
          <w:color w:val="1A171C"/>
          <w:sz w:val="24"/>
          <w:szCs w:val="24"/>
          <w:lang w:val="en-GB"/>
        </w:rPr>
        <w:t xml:space="preserve">how informed consent is obtained in practice </w:t>
      </w:r>
      <w:r w:rsidRPr="000B3526">
        <w:rPr>
          <w:rFonts w:ascii="Times New Roman" w:hAnsi="Times New Roman"/>
          <w:color w:val="1A171C"/>
          <w:sz w:val="24"/>
          <w:szCs w:val="24"/>
          <w:lang w:val="en-GB"/>
        </w:rPr>
        <w:t>and ensur</w:t>
      </w:r>
      <w:r>
        <w:rPr>
          <w:rFonts w:ascii="Times New Roman" w:hAnsi="Times New Roman"/>
          <w:color w:val="1A171C"/>
          <w:sz w:val="24"/>
          <w:szCs w:val="24"/>
          <w:lang w:val="en-GB"/>
        </w:rPr>
        <w:t>ing</w:t>
      </w:r>
      <w:r w:rsidRPr="000B3526">
        <w:rPr>
          <w:rFonts w:ascii="Times New Roman" w:hAnsi="Times New Roman"/>
          <w:color w:val="1A171C"/>
          <w:sz w:val="24"/>
          <w:szCs w:val="24"/>
          <w:lang w:val="en-GB"/>
        </w:rPr>
        <w:t xml:space="preserve"> that </w:t>
      </w:r>
      <w:r w:rsidRPr="000B3526">
        <w:rPr>
          <w:rFonts w:ascii="Times New Roman" w:hAnsi="Times New Roman"/>
          <w:color w:val="000000"/>
          <w:sz w:val="24"/>
          <w:szCs w:val="24"/>
          <w:lang w:val="en-GB"/>
        </w:rPr>
        <w:t xml:space="preserve">medical personnel </w:t>
      </w:r>
      <w:r>
        <w:rPr>
          <w:rFonts w:ascii="Times New Roman" w:hAnsi="Times New Roman"/>
          <w:color w:val="000000"/>
          <w:sz w:val="24"/>
          <w:szCs w:val="24"/>
          <w:lang w:val="en-GB"/>
        </w:rPr>
        <w:t xml:space="preserve">fully </w:t>
      </w:r>
      <w:r w:rsidRPr="000B3526">
        <w:rPr>
          <w:rFonts w:ascii="Times New Roman" w:hAnsi="Times New Roman"/>
          <w:color w:val="000000"/>
          <w:sz w:val="24"/>
          <w:szCs w:val="24"/>
          <w:lang w:val="en-GB"/>
        </w:rPr>
        <w:t xml:space="preserve">understand the concept </w:t>
      </w:r>
      <w:r>
        <w:rPr>
          <w:rFonts w:ascii="Times New Roman" w:hAnsi="Times New Roman"/>
          <w:color w:val="000000"/>
          <w:sz w:val="24"/>
          <w:szCs w:val="24"/>
          <w:lang w:val="en-GB"/>
        </w:rPr>
        <w:t xml:space="preserve">and what it entails, cannot be underestimated. It </w:t>
      </w:r>
      <w:r w:rsidRPr="000B3526">
        <w:rPr>
          <w:rFonts w:ascii="Times New Roman" w:hAnsi="Times New Roman"/>
          <w:color w:val="1A171C"/>
          <w:sz w:val="24"/>
          <w:szCs w:val="24"/>
          <w:lang w:val="en-GB"/>
        </w:rPr>
        <w:t xml:space="preserve">must go hand in hand </w:t>
      </w:r>
      <w:r>
        <w:rPr>
          <w:rFonts w:ascii="Times New Roman" w:hAnsi="Times New Roman"/>
          <w:color w:val="1A171C"/>
          <w:sz w:val="24"/>
          <w:szCs w:val="24"/>
          <w:lang w:val="en-GB"/>
        </w:rPr>
        <w:t xml:space="preserve">with </w:t>
      </w:r>
      <w:r w:rsidRPr="000B3526">
        <w:rPr>
          <w:rFonts w:ascii="Times New Roman" w:hAnsi="Times New Roman"/>
          <w:color w:val="1A171C"/>
          <w:sz w:val="24"/>
          <w:szCs w:val="24"/>
          <w:lang w:val="en-GB"/>
        </w:rPr>
        <w:t>awareness raising</w:t>
      </w:r>
      <w:r>
        <w:rPr>
          <w:rFonts w:ascii="Times New Roman" w:hAnsi="Times New Roman"/>
          <w:color w:val="1A171C"/>
          <w:sz w:val="24"/>
          <w:szCs w:val="24"/>
          <w:lang w:val="en-GB"/>
        </w:rPr>
        <w:t xml:space="preserve"> and dissemination of information</w:t>
      </w:r>
      <w:r w:rsidRPr="000B3526">
        <w:rPr>
          <w:rFonts w:ascii="Times New Roman" w:hAnsi="Times New Roman"/>
          <w:color w:val="1A171C"/>
          <w:sz w:val="24"/>
          <w:szCs w:val="24"/>
          <w:lang w:val="en-GB"/>
        </w:rPr>
        <w:t xml:space="preserve"> </w:t>
      </w:r>
      <w:r>
        <w:rPr>
          <w:rFonts w:ascii="Times New Roman" w:hAnsi="Times New Roman"/>
          <w:color w:val="1A171C"/>
          <w:sz w:val="24"/>
          <w:szCs w:val="24"/>
          <w:lang w:val="en-GB"/>
        </w:rPr>
        <w:t xml:space="preserve">on informed consent and </w:t>
      </w:r>
      <w:proofErr w:type="spellStart"/>
      <w:r>
        <w:rPr>
          <w:rFonts w:ascii="Times New Roman" w:hAnsi="Times New Roman"/>
          <w:color w:val="1A171C"/>
          <w:sz w:val="24"/>
          <w:szCs w:val="24"/>
          <w:lang w:val="en-GB"/>
        </w:rPr>
        <w:t>patients rights</w:t>
      </w:r>
      <w:proofErr w:type="spellEnd"/>
      <w:r>
        <w:rPr>
          <w:rFonts w:ascii="Times New Roman" w:hAnsi="Times New Roman"/>
          <w:color w:val="1A171C"/>
          <w:sz w:val="24"/>
          <w:szCs w:val="24"/>
          <w:lang w:val="en-GB"/>
        </w:rPr>
        <w:t xml:space="preserve"> among </w:t>
      </w:r>
      <w:r w:rsidRPr="000B3526">
        <w:rPr>
          <w:rFonts w:ascii="Times New Roman" w:hAnsi="Times New Roman"/>
          <w:color w:val="1A171C"/>
          <w:sz w:val="24"/>
          <w:szCs w:val="24"/>
          <w:lang w:val="en-GB"/>
        </w:rPr>
        <w:t>Roma communities</w:t>
      </w:r>
      <w:r>
        <w:rPr>
          <w:rFonts w:ascii="Times New Roman" w:hAnsi="Times New Roman"/>
          <w:color w:val="1A171C"/>
          <w:sz w:val="24"/>
          <w:szCs w:val="24"/>
          <w:lang w:val="en-GB"/>
        </w:rPr>
        <w:t xml:space="preserve"> as well as among the broader public</w:t>
      </w:r>
      <w:r w:rsidRPr="000B3526">
        <w:rPr>
          <w:rFonts w:ascii="Times New Roman" w:hAnsi="Times New Roman"/>
          <w:color w:val="1A171C"/>
          <w:sz w:val="24"/>
          <w:szCs w:val="24"/>
          <w:lang w:val="en-GB"/>
        </w:rPr>
        <w:t>.</w:t>
      </w:r>
      <w:r>
        <w:rPr>
          <w:rFonts w:ascii="Times New Roman" w:hAnsi="Times New Roman"/>
          <w:color w:val="1A171C"/>
          <w:sz w:val="24"/>
          <w:szCs w:val="24"/>
          <w:lang w:val="en-GB"/>
        </w:rPr>
        <w:t xml:space="preserve"> </w:t>
      </w:r>
    </w:p>
    <w:p w14:paraId="5C4A3132" w14:textId="77777777" w:rsidR="00484CD5" w:rsidRDefault="00484CD5" w:rsidP="00A56D78">
      <w:pPr>
        <w:spacing w:after="0"/>
        <w:jc w:val="both"/>
        <w:rPr>
          <w:rFonts w:ascii="Times New Roman" w:hAnsi="Times New Roman"/>
          <w:color w:val="1A171C"/>
          <w:sz w:val="24"/>
          <w:szCs w:val="24"/>
          <w:lang w:val="en-GB"/>
        </w:rPr>
      </w:pPr>
    </w:p>
    <w:p w14:paraId="254E295A" w14:textId="77777777" w:rsidR="00A56D78" w:rsidRPr="00F86D02" w:rsidRDefault="00A56D78" w:rsidP="00A56D78">
      <w:pPr>
        <w:spacing w:after="0"/>
        <w:jc w:val="both"/>
        <w:rPr>
          <w:rFonts w:ascii="Times New Roman" w:hAnsi="Times New Roman"/>
          <w:color w:val="000000"/>
          <w:sz w:val="24"/>
          <w:szCs w:val="24"/>
          <w:lang w:val="en-GB"/>
        </w:rPr>
      </w:pPr>
      <w:r>
        <w:rPr>
          <w:rFonts w:ascii="Times New Roman" w:hAnsi="Times New Roman"/>
          <w:color w:val="1A171C"/>
          <w:sz w:val="24"/>
          <w:szCs w:val="24"/>
          <w:lang w:val="en-GB"/>
        </w:rPr>
        <w:t xml:space="preserve">Yet the Government has not taken steps to ensure medical staff </w:t>
      </w:r>
      <w:r w:rsidR="00484CD5">
        <w:rPr>
          <w:rFonts w:ascii="Times New Roman" w:hAnsi="Times New Roman"/>
          <w:color w:val="1A171C"/>
          <w:sz w:val="24"/>
          <w:szCs w:val="24"/>
          <w:lang w:val="en-GB"/>
        </w:rPr>
        <w:t xml:space="preserve">are </w:t>
      </w:r>
      <w:r>
        <w:rPr>
          <w:rFonts w:ascii="Times New Roman" w:hAnsi="Times New Roman"/>
          <w:color w:val="1A171C"/>
          <w:sz w:val="24"/>
          <w:szCs w:val="24"/>
          <w:lang w:val="en-GB"/>
        </w:rPr>
        <w:t xml:space="preserve">properly trained about informed consent and what it entails, nor does it systematically monitor </w:t>
      </w:r>
      <w:r w:rsidR="00484CD5">
        <w:rPr>
          <w:rFonts w:ascii="Times New Roman" w:hAnsi="Times New Roman"/>
          <w:color w:val="1A171C"/>
          <w:sz w:val="24"/>
          <w:szCs w:val="24"/>
          <w:lang w:val="en-GB"/>
        </w:rPr>
        <w:t xml:space="preserve">compliance with </w:t>
      </w:r>
      <w:r>
        <w:rPr>
          <w:rFonts w:ascii="Times New Roman" w:hAnsi="Times New Roman"/>
          <w:color w:val="1A171C"/>
          <w:sz w:val="24"/>
          <w:szCs w:val="24"/>
          <w:lang w:val="en-GB"/>
        </w:rPr>
        <w:t xml:space="preserve">informed consent legislation in practice </w:t>
      </w:r>
      <w:r w:rsidR="00484CD5">
        <w:rPr>
          <w:rFonts w:ascii="Times New Roman" w:hAnsi="Times New Roman"/>
          <w:color w:val="1A171C"/>
          <w:sz w:val="24"/>
          <w:szCs w:val="24"/>
          <w:lang w:val="en-GB"/>
        </w:rPr>
        <w:t xml:space="preserve">or </w:t>
      </w:r>
      <w:r>
        <w:rPr>
          <w:rFonts w:ascii="Times New Roman" w:hAnsi="Times New Roman"/>
          <w:color w:val="1A171C"/>
          <w:sz w:val="24"/>
          <w:szCs w:val="24"/>
          <w:lang w:val="en-GB"/>
        </w:rPr>
        <w:t xml:space="preserve">organize </w:t>
      </w:r>
      <w:r w:rsidR="00484CD5">
        <w:rPr>
          <w:rFonts w:ascii="Times New Roman" w:hAnsi="Times New Roman"/>
          <w:color w:val="1A171C"/>
          <w:sz w:val="24"/>
          <w:szCs w:val="24"/>
          <w:lang w:val="en-GB"/>
        </w:rPr>
        <w:t xml:space="preserve">appropriate </w:t>
      </w:r>
      <w:r>
        <w:rPr>
          <w:rFonts w:ascii="Times New Roman" w:hAnsi="Times New Roman"/>
          <w:color w:val="1A171C"/>
          <w:sz w:val="24"/>
          <w:szCs w:val="24"/>
          <w:lang w:val="en-GB"/>
        </w:rPr>
        <w:t xml:space="preserve">awareness raising campaigns. </w:t>
      </w:r>
      <w:r w:rsidRPr="000B3526">
        <w:rPr>
          <w:rFonts w:ascii="Times New Roman" w:hAnsi="Times New Roman"/>
          <w:color w:val="1A171C"/>
          <w:sz w:val="24"/>
          <w:szCs w:val="24"/>
          <w:lang w:val="en-GB"/>
        </w:rPr>
        <w:t xml:space="preserve"> </w:t>
      </w:r>
    </w:p>
    <w:p w14:paraId="42952189" w14:textId="77777777" w:rsidR="00A56D78" w:rsidRPr="000133E7" w:rsidRDefault="00A56D78" w:rsidP="00A56D78">
      <w:pPr>
        <w:pStyle w:val="Sinespaciado"/>
        <w:jc w:val="both"/>
      </w:pPr>
    </w:p>
    <w:p w14:paraId="6E345551" w14:textId="77777777" w:rsidR="00A56D78" w:rsidRPr="008F1475" w:rsidRDefault="00A56D78" w:rsidP="00A56D78">
      <w:pPr>
        <w:pStyle w:val="Sinespaciado"/>
        <w:ind w:left="720"/>
        <w:jc w:val="both"/>
      </w:pPr>
      <w:r w:rsidRPr="008F1475">
        <w:rPr>
          <w:i/>
          <w:spacing w:val="1"/>
        </w:rPr>
        <w:t>International Human Rights Law and Standards</w:t>
      </w:r>
    </w:p>
    <w:p w14:paraId="68B9E861" w14:textId="77777777" w:rsidR="00A56D78" w:rsidRDefault="00A56D78" w:rsidP="00A56D78">
      <w:pPr>
        <w:pStyle w:val="NoSpacing"/>
      </w:pPr>
    </w:p>
    <w:p w14:paraId="3F14B711" w14:textId="77777777" w:rsidR="00A56D78" w:rsidRDefault="00A56D78" w:rsidP="00A56D78">
      <w:pPr>
        <w:pStyle w:val="NoSpacing"/>
        <w:jc w:val="both"/>
        <w:rPr>
          <w:rFonts w:ascii="Times New Roman" w:hAnsi="Times New Roman"/>
          <w:sz w:val="24"/>
          <w:szCs w:val="24"/>
        </w:rPr>
      </w:pPr>
      <w:r>
        <w:rPr>
          <w:rFonts w:ascii="Times New Roman" w:hAnsi="Times New Roman"/>
          <w:sz w:val="24"/>
          <w:szCs w:val="24"/>
        </w:rPr>
        <w:t>This Committee and other i</w:t>
      </w:r>
      <w:r w:rsidRPr="009C58B6">
        <w:rPr>
          <w:rFonts w:ascii="Times New Roman" w:hAnsi="Times New Roman"/>
          <w:sz w:val="24"/>
          <w:szCs w:val="24"/>
        </w:rPr>
        <w:t xml:space="preserve">nternational human rights mechanisms have </w:t>
      </w:r>
      <w:r>
        <w:rPr>
          <w:rFonts w:ascii="Times New Roman" w:hAnsi="Times New Roman"/>
          <w:sz w:val="24"/>
          <w:szCs w:val="24"/>
        </w:rPr>
        <w:t xml:space="preserve">repeatedly </w:t>
      </w:r>
      <w:r w:rsidRPr="009C58B6">
        <w:rPr>
          <w:rFonts w:ascii="Times New Roman" w:hAnsi="Times New Roman"/>
          <w:sz w:val="24"/>
          <w:szCs w:val="24"/>
        </w:rPr>
        <w:t xml:space="preserve">affirmed that forced and coercive sterilization violates the prohibition of torture </w:t>
      </w:r>
      <w:r w:rsidR="00484CD5">
        <w:rPr>
          <w:rFonts w:ascii="Times New Roman" w:hAnsi="Times New Roman"/>
          <w:sz w:val="24"/>
          <w:szCs w:val="24"/>
        </w:rPr>
        <w:t>or</w:t>
      </w:r>
      <w:r w:rsidR="00484CD5" w:rsidRPr="009C58B6">
        <w:rPr>
          <w:rFonts w:ascii="Times New Roman" w:hAnsi="Times New Roman"/>
          <w:sz w:val="24"/>
          <w:szCs w:val="24"/>
        </w:rPr>
        <w:t xml:space="preserve"> </w:t>
      </w:r>
      <w:r w:rsidRPr="009C58B6">
        <w:rPr>
          <w:rFonts w:ascii="Times New Roman" w:hAnsi="Times New Roman"/>
          <w:sz w:val="24"/>
          <w:szCs w:val="24"/>
        </w:rPr>
        <w:t>cruel, inhuman or degrading treatment</w:t>
      </w:r>
      <w:r>
        <w:rPr>
          <w:rFonts w:ascii="Times New Roman" w:hAnsi="Times New Roman"/>
          <w:sz w:val="24"/>
          <w:szCs w:val="24"/>
        </w:rPr>
        <w:t>.</w:t>
      </w:r>
      <w:r w:rsidRPr="009C58B6">
        <w:rPr>
          <w:rStyle w:val="EndnoteReference"/>
          <w:rFonts w:ascii="Times New Roman" w:hAnsi="Times New Roman"/>
          <w:sz w:val="24"/>
          <w:szCs w:val="24"/>
        </w:rPr>
        <w:endnoteReference w:id="12"/>
      </w:r>
      <w:r>
        <w:rPr>
          <w:rFonts w:ascii="Times New Roman" w:hAnsi="Times New Roman"/>
          <w:sz w:val="24"/>
          <w:szCs w:val="24"/>
        </w:rPr>
        <w:t xml:space="preserve"> They </w:t>
      </w:r>
      <w:r w:rsidRPr="009C58B6">
        <w:rPr>
          <w:rFonts w:ascii="Times New Roman" w:hAnsi="Times New Roman"/>
          <w:sz w:val="24"/>
          <w:szCs w:val="24"/>
        </w:rPr>
        <w:t>have also specified that forced</w:t>
      </w:r>
      <w:r>
        <w:rPr>
          <w:rFonts w:ascii="Times New Roman" w:hAnsi="Times New Roman"/>
          <w:sz w:val="24"/>
          <w:szCs w:val="24"/>
        </w:rPr>
        <w:t xml:space="preserve"> and coercive</w:t>
      </w:r>
      <w:r w:rsidRPr="009C58B6">
        <w:rPr>
          <w:rFonts w:ascii="Times New Roman" w:hAnsi="Times New Roman"/>
          <w:sz w:val="24"/>
          <w:szCs w:val="24"/>
        </w:rPr>
        <w:t xml:space="preserve"> sterilization is a form of </w:t>
      </w:r>
      <w:r w:rsidRPr="009C58B6">
        <w:rPr>
          <w:rFonts w:ascii="Times New Roman" w:hAnsi="Times New Roman"/>
          <w:sz w:val="24"/>
          <w:szCs w:val="24"/>
        </w:rPr>
        <w:lastRenderedPageBreak/>
        <w:t>violence against women</w:t>
      </w:r>
      <w:r w:rsidRPr="009C58B6">
        <w:rPr>
          <w:rStyle w:val="EndnoteReference"/>
          <w:rFonts w:ascii="Times New Roman" w:hAnsi="Times New Roman"/>
          <w:sz w:val="24"/>
          <w:szCs w:val="24"/>
        </w:rPr>
        <w:endnoteReference w:id="13"/>
      </w:r>
      <w:r w:rsidRPr="009C58B6">
        <w:rPr>
          <w:rFonts w:ascii="Times New Roman" w:hAnsi="Times New Roman"/>
          <w:sz w:val="24"/>
          <w:szCs w:val="24"/>
        </w:rPr>
        <w:t xml:space="preserve"> </w:t>
      </w:r>
      <w:r>
        <w:rPr>
          <w:rFonts w:ascii="Times New Roman" w:hAnsi="Times New Roman"/>
          <w:sz w:val="24"/>
          <w:szCs w:val="24"/>
        </w:rPr>
        <w:t>and violates</w:t>
      </w:r>
      <w:r w:rsidRPr="009C58B6">
        <w:rPr>
          <w:rFonts w:ascii="Times New Roman" w:hAnsi="Times New Roman"/>
          <w:sz w:val="24"/>
          <w:szCs w:val="24"/>
        </w:rPr>
        <w:t xml:space="preserve"> a woman’s right to decide on the number and spacing of children.</w:t>
      </w:r>
      <w:r w:rsidRPr="009C58B6">
        <w:rPr>
          <w:rStyle w:val="EndnoteReference"/>
          <w:rFonts w:ascii="Times New Roman" w:hAnsi="Times New Roman"/>
          <w:sz w:val="24"/>
          <w:szCs w:val="24"/>
        </w:rPr>
        <w:endnoteReference w:id="14"/>
      </w:r>
      <w:r>
        <w:rPr>
          <w:rFonts w:ascii="Times New Roman" w:hAnsi="Times New Roman"/>
          <w:sz w:val="24"/>
          <w:szCs w:val="24"/>
        </w:rPr>
        <w:t xml:space="preserve"> </w:t>
      </w:r>
    </w:p>
    <w:p w14:paraId="18BFDB40" w14:textId="77777777" w:rsidR="00A56D78" w:rsidRDefault="00A56D78" w:rsidP="00A56D78">
      <w:pPr>
        <w:pStyle w:val="NoSpacing"/>
        <w:jc w:val="both"/>
        <w:rPr>
          <w:rFonts w:ascii="Times New Roman" w:hAnsi="Times New Roman"/>
          <w:sz w:val="24"/>
          <w:szCs w:val="24"/>
        </w:rPr>
      </w:pPr>
    </w:p>
    <w:p w14:paraId="134AD216" w14:textId="77777777" w:rsidR="00A56D78" w:rsidRPr="009C58B6" w:rsidRDefault="00A56D78" w:rsidP="00A56D78">
      <w:pPr>
        <w:pStyle w:val="NoSpacing"/>
        <w:jc w:val="both"/>
        <w:rPr>
          <w:rFonts w:ascii="Times New Roman" w:hAnsi="Times New Roman"/>
          <w:sz w:val="24"/>
          <w:szCs w:val="24"/>
        </w:rPr>
      </w:pPr>
      <w:r w:rsidRPr="009C58B6">
        <w:rPr>
          <w:rFonts w:ascii="Times New Roman" w:hAnsi="Times New Roman"/>
          <w:sz w:val="24"/>
          <w:szCs w:val="24"/>
        </w:rPr>
        <w:t>In a series of cases</w:t>
      </w:r>
      <w:r>
        <w:rPr>
          <w:rFonts w:ascii="Times New Roman" w:hAnsi="Times New Roman"/>
          <w:sz w:val="24"/>
          <w:szCs w:val="24"/>
        </w:rPr>
        <w:t xml:space="preserve"> against Slovakia</w:t>
      </w:r>
      <w:r w:rsidRPr="009C58B6">
        <w:rPr>
          <w:rFonts w:ascii="Times New Roman" w:hAnsi="Times New Roman"/>
          <w:sz w:val="24"/>
          <w:szCs w:val="24"/>
        </w:rPr>
        <w:t xml:space="preserve">, the </w:t>
      </w:r>
      <w:r w:rsidR="00D733D8">
        <w:rPr>
          <w:rFonts w:ascii="Times New Roman" w:hAnsi="Times New Roman"/>
          <w:sz w:val="24"/>
          <w:szCs w:val="24"/>
        </w:rPr>
        <w:t>ECtHR</w:t>
      </w:r>
      <w:r w:rsidRPr="009C58B6">
        <w:rPr>
          <w:rFonts w:ascii="Times New Roman" w:hAnsi="Times New Roman"/>
          <w:sz w:val="24"/>
          <w:szCs w:val="24"/>
        </w:rPr>
        <w:t xml:space="preserve"> has </w:t>
      </w:r>
      <w:r w:rsidR="00484CD5">
        <w:rPr>
          <w:rFonts w:ascii="Times New Roman" w:hAnsi="Times New Roman"/>
          <w:sz w:val="24"/>
          <w:szCs w:val="24"/>
        </w:rPr>
        <w:t xml:space="preserve">also </w:t>
      </w:r>
      <w:r w:rsidRPr="009C58B6">
        <w:rPr>
          <w:rFonts w:ascii="Times New Roman" w:hAnsi="Times New Roman"/>
          <w:sz w:val="24"/>
          <w:szCs w:val="24"/>
        </w:rPr>
        <w:t>found that permanently depriving women of their reproductive capacity through sterilization without their free and informed consent violates their right to freedom from inhuman and degrading treatment</w:t>
      </w:r>
      <w:r>
        <w:rPr>
          <w:rFonts w:ascii="Times New Roman" w:hAnsi="Times New Roman"/>
          <w:sz w:val="24"/>
          <w:szCs w:val="24"/>
        </w:rPr>
        <w:t xml:space="preserve">, and </w:t>
      </w:r>
      <w:r w:rsidRPr="00E55B14">
        <w:rPr>
          <w:rFonts w:ascii="Times New Roman" w:hAnsi="Times New Roman"/>
          <w:sz w:val="24"/>
          <w:szCs w:val="24"/>
        </w:rPr>
        <w:t>their right to respect for private and family life.</w:t>
      </w:r>
      <w:r w:rsidRPr="00E55B14">
        <w:rPr>
          <w:rStyle w:val="EndnoteReference"/>
          <w:rFonts w:ascii="Times New Roman" w:hAnsi="Times New Roman"/>
          <w:sz w:val="24"/>
          <w:szCs w:val="24"/>
        </w:rPr>
        <w:endnoteReference w:id="15"/>
      </w:r>
      <w:r w:rsidRPr="009C58B6">
        <w:rPr>
          <w:rFonts w:ascii="Times New Roman" w:hAnsi="Times New Roman"/>
          <w:sz w:val="24"/>
          <w:szCs w:val="24"/>
        </w:rPr>
        <w:t xml:space="preserve"> </w:t>
      </w:r>
      <w:r>
        <w:rPr>
          <w:rFonts w:ascii="Times New Roman" w:hAnsi="Times New Roman"/>
          <w:color w:val="FF0000"/>
          <w:sz w:val="24"/>
          <w:szCs w:val="24"/>
        </w:rPr>
        <w:t xml:space="preserve"> </w:t>
      </w:r>
    </w:p>
    <w:p w14:paraId="386A536F" w14:textId="77777777" w:rsidR="00A56D78" w:rsidRDefault="00A56D78" w:rsidP="00A56D78">
      <w:pPr>
        <w:pStyle w:val="NoSpacing"/>
        <w:jc w:val="both"/>
        <w:rPr>
          <w:rFonts w:ascii="Times New Roman" w:hAnsi="Times New Roman"/>
          <w:sz w:val="24"/>
          <w:szCs w:val="24"/>
        </w:rPr>
      </w:pPr>
    </w:p>
    <w:p w14:paraId="48F0B027" w14:textId="77777777" w:rsidR="00794DDF" w:rsidRDefault="00D9102F" w:rsidP="00A56D78">
      <w:pPr>
        <w:pStyle w:val="ListParagraph"/>
        <w:spacing w:after="0"/>
        <w:ind w:left="0"/>
        <w:jc w:val="both"/>
        <w:rPr>
          <w:rFonts w:ascii="Times New Roman" w:hAnsi="Times New Roman"/>
          <w:bCs/>
          <w:color w:val="1A171C"/>
          <w:sz w:val="24"/>
          <w:szCs w:val="24"/>
        </w:rPr>
      </w:pPr>
      <w:r>
        <w:rPr>
          <w:rFonts w:ascii="Times New Roman" w:hAnsi="Times New Roman"/>
          <w:bCs/>
          <w:color w:val="1A171C"/>
          <w:sz w:val="24"/>
          <w:szCs w:val="24"/>
        </w:rPr>
        <w:t xml:space="preserve">In this context, this </w:t>
      </w:r>
      <w:r w:rsidR="00A56D78">
        <w:rPr>
          <w:rFonts w:ascii="Times New Roman" w:hAnsi="Times New Roman"/>
          <w:bCs/>
          <w:color w:val="1A171C"/>
          <w:sz w:val="24"/>
          <w:szCs w:val="24"/>
        </w:rPr>
        <w:t>Committee and other Treaty Monitoring Bodies have repeatedly expressed concerns regarding Slovakia’s failures to undertake an effective investigation into allegations of widespread forced and coercive sterilization of Roma women and to ensure Roma women who were subjected to forced and coercive sterilization are provided with effective remedies, including adequate compensation and other forms of reparation. They have also lamented the lack of monitoring by State authorities to ensure new informed consent standards are applied uniformly in practice.</w:t>
      </w:r>
      <w:r w:rsidR="00A56D78">
        <w:rPr>
          <w:rStyle w:val="EndnoteReference"/>
          <w:rFonts w:ascii="Times New Roman" w:hAnsi="Times New Roman"/>
          <w:bCs/>
          <w:color w:val="1A171C"/>
          <w:sz w:val="24"/>
          <w:szCs w:val="24"/>
        </w:rPr>
        <w:endnoteReference w:id="16"/>
      </w:r>
      <w:r w:rsidR="00A56D78">
        <w:rPr>
          <w:rFonts w:ascii="Times New Roman" w:hAnsi="Times New Roman"/>
          <w:bCs/>
          <w:color w:val="1A171C"/>
          <w:sz w:val="24"/>
          <w:szCs w:val="24"/>
        </w:rPr>
        <w:t xml:space="preserve"> </w:t>
      </w:r>
    </w:p>
    <w:p w14:paraId="7EB23272" w14:textId="77777777" w:rsidR="00794DDF" w:rsidRDefault="00794DDF" w:rsidP="00A56D78">
      <w:pPr>
        <w:pStyle w:val="ListParagraph"/>
        <w:spacing w:after="0"/>
        <w:ind w:left="0"/>
        <w:jc w:val="both"/>
        <w:rPr>
          <w:rFonts w:ascii="Times New Roman" w:hAnsi="Times New Roman"/>
          <w:bCs/>
          <w:color w:val="1A171C"/>
          <w:sz w:val="24"/>
          <w:szCs w:val="24"/>
        </w:rPr>
      </w:pPr>
    </w:p>
    <w:p w14:paraId="620FA110" w14:textId="0C2ED9A0" w:rsidR="00A56D78" w:rsidRPr="000B3526" w:rsidRDefault="0086523A" w:rsidP="00A56D78">
      <w:pPr>
        <w:pStyle w:val="ListParagraph"/>
        <w:spacing w:after="0"/>
        <w:ind w:left="0"/>
        <w:jc w:val="both"/>
        <w:rPr>
          <w:rFonts w:ascii="Times New Roman" w:hAnsi="Times New Roman"/>
          <w:sz w:val="24"/>
          <w:szCs w:val="24"/>
          <w:lang w:val="en-GB"/>
        </w:rPr>
      </w:pPr>
      <w:r>
        <w:rPr>
          <w:rFonts w:ascii="Times New Roman" w:hAnsi="Times New Roman"/>
          <w:bCs/>
          <w:color w:val="1A171C"/>
          <w:sz w:val="24"/>
          <w:szCs w:val="24"/>
        </w:rPr>
        <w:t>As noted above</w:t>
      </w:r>
      <w:r w:rsidR="00427DC4">
        <w:rPr>
          <w:rFonts w:ascii="Times New Roman" w:hAnsi="Times New Roman"/>
          <w:bCs/>
          <w:color w:val="1A171C"/>
          <w:sz w:val="24"/>
          <w:szCs w:val="24"/>
        </w:rPr>
        <w:t>,</w:t>
      </w:r>
      <w:r>
        <w:rPr>
          <w:rFonts w:ascii="Times New Roman" w:hAnsi="Times New Roman"/>
          <w:bCs/>
          <w:color w:val="1A171C"/>
          <w:sz w:val="24"/>
          <w:szCs w:val="24"/>
        </w:rPr>
        <w:t xml:space="preserve"> in 2015 the Council of Europe Commissioner </w:t>
      </w:r>
      <w:r w:rsidR="005126C3">
        <w:rPr>
          <w:rFonts w:ascii="Times New Roman" w:hAnsi="Times New Roman"/>
          <w:bCs/>
          <w:color w:val="1A171C"/>
          <w:sz w:val="24"/>
          <w:szCs w:val="24"/>
        </w:rPr>
        <w:t>for</w:t>
      </w:r>
      <w:r>
        <w:rPr>
          <w:rFonts w:ascii="Times New Roman" w:hAnsi="Times New Roman"/>
          <w:bCs/>
          <w:color w:val="1A171C"/>
          <w:sz w:val="24"/>
          <w:szCs w:val="24"/>
        </w:rPr>
        <w:t xml:space="preserve"> Human Rights specified that the State has still not taken responsibility for the past practice of forced sterilizations </w:t>
      </w:r>
      <w:r>
        <w:rPr>
          <w:rFonts w:ascii="Times New Roman" w:hAnsi="Times New Roman"/>
          <w:sz w:val="24"/>
          <w:szCs w:val="24"/>
          <w:lang w:val="en-GB"/>
        </w:rPr>
        <w:t>and m</w:t>
      </w:r>
      <w:r w:rsidR="00A56D78">
        <w:rPr>
          <w:rFonts w:ascii="Times New Roman" w:hAnsi="Times New Roman"/>
          <w:sz w:val="24"/>
          <w:szCs w:val="24"/>
          <w:lang w:val="en-GB"/>
        </w:rPr>
        <w:t xml:space="preserve">ost recently, in July 2016, the Committee on the Rights of the Child (CRC) </w:t>
      </w:r>
      <w:r>
        <w:rPr>
          <w:rFonts w:ascii="Times New Roman" w:hAnsi="Times New Roman"/>
          <w:sz w:val="24"/>
          <w:szCs w:val="24"/>
          <w:lang w:val="en-GB"/>
        </w:rPr>
        <w:t xml:space="preserve">also </w:t>
      </w:r>
      <w:r w:rsidR="00A56D78">
        <w:rPr>
          <w:rFonts w:ascii="Times New Roman" w:hAnsi="Times New Roman"/>
          <w:sz w:val="24"/>
          <w:szCs w:val="24"/>
          <w:lang w:val="en-GB"/>
        </w:rPr>
        <w:t>expressed concern that “</w:t>
      </w:r>
      <w:r w:rsidR="00A56D78" w:rsidRPr="00BD5E06">
        <w:rPr>
          <w:rFonts w:ascii="Times New Roman" w:hAnsi="Times New Roman"/>
          <w:sz w:val="24"/>
          <w:szCs w:val="24"/>
          <w:lang w:val="en-GB"/>
        </w:rPr>
        <w:t>the State party has not acknowledged any responsibility for the past systematic practice of forced sterilization of Roma women and girls, nor has it provided compensation for the victims or adopted uniform standards concerning the obtaining of free and informed consent in cases of sterilization.</w:t>
      </w:r>
      <w:r w:rsidR="00A56D78">
        <w:rPr>
          <w:rFonts w:ascii="Times New Roman" w:hAnsi="Times New Roman"/>
          <w:sz w:val="24"/>
          <w:szCs w:val="24"/>
          <w:lang w:val="en-GB"/>
        </w:rPr>
        <w:t>”</w:t>
      </w:r>
      <w:r w:rsidR="00A56D78">
        <w:rPr>
          <w:rStyle w:val="EndnoteReference"/>
          <w:rFonts w:ascii="Times New Roman" w:hAnsi="Times New Roman"/>
          <w:sz w:val="24"/>
          <w:szCs w:val="24"/>
          <w:lang w:val="en-GB"/>
        </w:rPr>
        <w:endnoteReference w:id="17"/>
      </w:r>
      <w:r w:rsidR="00A56D78">
        <w:rPr>
          <w:rFonts w:ascii="Times New Roman" w:hAnsi="Times New Roman"/>
          <w:sz w:val="24"/>
          <w:szCs w:val="24"/>
          <w:lang w:val="en-GB"/>
        </w:rPr>
        <w:t xml:space="preserve"> The CRC Committee called upon Slovakia to “</w:t>
      </w:r>
      <w:r w:rsidR="00A56D78" w:rsidRPr="00BD5E06">
        <w:rPr>
          <w:rFonts w:ascii="Times New Roman" w:hAnsi="Times New Roman"/>
          <w:sz w:val="24"/>
          <w:szCs w:val="24"/>
          <w:lang w:val="en-GB"/>
        </w:rPr>
        <w:t>investigate the full extent of the practice of forced sterilization of women and girls in the communist and post-communist period in the State party and to provide financial and other reparations to the victims.</w:t>
      </w:r>
      <w:r w:rsidR="00A56D78">
        <w:rPr>
          <w:rFonts w:ascii="Times New Roman" w:hAnsi="Times New Roman"/>
          <w:sz w:val="24"/>
          <w:szCs w:val="24"/>
          <w:lang w:val="en-GB"/>
        </w:rPr>
        <w:t>”</w:t>
      </w:r>
      <w:r w:rsidR="00A56D78">
        <w:rPr>
          <w:rStyle w:val="EndnoteReference"/>
          <w:rFonts w:ascii="Times New Roman" w:hAnsi="Times New Roman"/>
          <w:sz w:val="24"/>
          <w:szCs w:val="24"/>
          <w:lang w:val="en-GB"/>
        </w:rPr>
        <w:endnoteReference w:id="18"/>
      </w:r>
      <w:r w:rsidR="00A56D78">
        <w:rPr>
          <w:rFonts w:ascii="Times New Roman" w:hAnsi="Times New Roman"/>
          <w:sz w:val="24"/>
          <w:szCs w:val="24"/>
          <w:lang w:val="en-GB"/>
        </w:rPr>
        <w:t xml:space="preserve"> </w:t>
      </w:r>
    </w:p>
    <w:p w14:paraId="0CA2D78E" w14:textId="77777777" w:rsidR="00A56D78" w:rsidRPr="00195546" w:rsidRDefault="00A56D78" w:rsidP="00A56D78">
      <w:pPr>
        <w:pStyle w:val="NoSpacing"/>
        <w:jc w:val="both"/>
        <w:rPr>
          <w:rFonts w:ascii="Times New Roman" w:hAnsi="Times New Roman"/>
          <w:sz w:val="24"/>
          <w:szCs w:val="24"/>
          <w:lang w:val="en-GB"/>
        </w:rPr>
      </w:pPr>
    </w:p>
    <w:p w14:paraId="5E3415E9" w14:textId="77777777" w:rsidR="00A56D78" w:rsidRPr="00E34EEB" w:rsidRDefault="00A56D78" w:rsidP="00A56D78">
      <w:pPr>
        <w:pStyle w:val="NoSpacing"/>
        <w:rPr>
          <w:rFonts w:ascii="Times New Roman" w:hAnsi="Times New Roman"/>
          <w:b/>
          <w:i/>
          <w:sz w:val="24"/>
          <w:szCs w:val="24"/>
        </w:rPr>
      </w:pPr>
      <w:r w:rsidRPr="00E34EEB">
        <w:rPr>
          <w:rFonts w:ascii="Times New Roman" w:hAnsi="Times New Roman"/>
          <w:b/>
          <w:i/>
          <w:sz w:val="24"/>
          <w:szCs w:val="24"/>
        </w:rPr>
        <w:t>Recommendations</w:t>
      </w:r>
    </w:p>
    <w:p w14:paraId="0F3975BF" w14:textId="505125C2" w:rsidR="00A56D78" w:rsidRPr="00E34EEB" w:rsidRDefault="00A56D78" w:rsidP="00986D6A">
      <w:pPr>
        <w:pStyle w:val="ListParagraph"/>
        <w:numPr>
          <w:ilvl w:val="0"/>
          <w:numId w:val="7"/>
        </w:numPr>
        <w:spacing w:after="0" w:line="276" w:lineRule="auto"/>
        <w:jc w:val="both"/>
        <w:rPr>
          <w:rFonts w:ascii="Times New Roman" w:hAnsi="Times New Roman"/>
          <w:color w:val="1A171C"/>
          <w:sz w:val="24"/>
          <w:szCs w:val="24"/>
          <w:lang w:val="en-GB"/>
        </w:rPr>
      </w:pPr>
      <w:r>
        <w:rPr>
          <w:rFonts w:ascii="Times New Roman" w:hAnsi="Times New Roman"/>
          <w:color w:val="1A171C"/>
          <w:sz w:val="24"/>
          <w:szCs w:val="24"/>
        </w:rPr>
        <w:t>E</w:t>
      </w:r>
      <w:r w:rsidRPr="00E34EEB">
        <w:rPr>
          <w:rFonts w:ascii="Times New Roman" w:hAnsi="Times New Roman"/>
          <w:color w:val="1A171C"/>
          <w:sz w:val="24"/>
          <w:szCs w:val="24"/>
          <w:lang w:val="en-GB"/>
        </w:rPr>
        <w:t xml:space="preserve">stablish an </w:t>
      </w:r>
      <w:r w:rsidRPr="00E34EEB">
        <w:rPr>
          <w:rFonts w:ascii="Times New Roman" w:hAnsi="Times New Roman"/>
          <w:i/>
          <w:color w:val="1A171C"/>
          <w:sz w:val="24"/>
          <w:szCs w:val="24"/>
          <w:lang w:val="en-GB"/>
        </w:rPr>
        <w:t>ad hoc</w:t>
      </w:r>
      <w:r w:rsidRPr="00E34EEB">
        <w:rPr>
          <w:rFonts w:ascii="Times New Roman" w:hAnsi="Times New Roman"/>
          <w:color w:val="1A171C"/>
          <w:sz w:val="24"/>
          <w:szCs w:val="24"/>
          <w:lang w:val="en-GB"/>
        </w:rPr>
        <w:t xml:space="preserve"> independent commission to investigate the full extent of the practice of sterili</w:t>
      </w:r>
      <w:r w:rsidR="00427DC4">
        <w:rPr>
          <w:rFonts w:ascii="Times New Roman" w:hAnsi="Times New Roman"/>
          <w:color w:val="1A171C"/>
          <w:sz w:val="24"/>
          <w:szCs w:val="24"/>
          <w:lang w:val="en-GB"/>
        </w:rPr>
        <w:t>z</w:t>
      </w:r>
      <w:r w:rsidRPr="00E34EEB">
        <w:rPr>
          <w:rFonts w:ascii="Times New Roman" w:hAnsi="Times New Roman"/>
          <w:color w:val="1A171C"/>
          <w:sz w:val="24"/>
          <w:szCs w:val="24"/>
          <w:lang w:val="en-GB"/>
        </w:rPr>
        <w:t xml:space="preserve">ation without informed consent in the communist and post-communist period in Slovakia and </w:t>
      </w:r>
      <w:r w:rsidR="00986D6A" w:rsidRPr="00986D6A">
        <w:rPr>
          <w:rFonts w:ascii="Times New Roman" w:hAnsi="Times New Roman"/>
          <w:color w:val="1A171C"/>
          <w:sz w:val="24"/>
          <w:szCs w:val="24"/>
          <w:lang w:val="en-GB"/>
        </w:rPr>
        <w:t xml:space="preserve">to award financial and other reparations for survivors through an </w:t>
      </w:r>
      <w:r w:rsidR="00986D6A" w:rsidRPr="00986D6A">
        <w:rPr>
          <w:rFonts w:ascii="Times New Roman" w:hAnsi="Times New Roman"/>
          <w:i/>
          <w:color w:val="1A171C"/>
          <w:sz w:val="24"/>
          <w:szCs w:val="24"/>
          <w:lang w:val="en-GB"/>
        </w:rPr>
        <w:t>ex-gratia</w:t>
      </w:r>
      <w:r w:rsidR="00986D6A" w:rsidRPr="00986D6A">
        <w:rPr>
          <w:rFonts w:ascii="Times New Roman" w:hAnsi="Times New Roman"/>
          <w:color w:val="1A171C"/>
          <w:sz w:val="24"/>
          <w:szCs w:val="24"/>
          <w:lang w:val="en-GB"/>
        </w:rPr>
        <w:t xml:space="preserve"> compensation procedure for individuals steri</w:t>
      </w:r>
      <w:r w:rsidR="000675E4">
        <w:rPr>
          <w:rFonts w:ascii="Times New Roman" w:hAnsi="Times New Roman"/>
          <w:color w:val="1A171C"/>
          <w:sz w:val="24"/>
          <w:szCs w:val="24"/>
          <w:lang w:val="en-GB"/>
        </w:rPr>
        <w:t>lized without informed consent.</w:t>
      </w:r>
      <w:bookmarkStart w:id="0" w:name="_GoBack"/>
      <w:bookmarkEnd w:id="0"/>
      <w:r w:rsidR="00986D6A" w:rsidRPr="00986D6A">
        <w:rPr>
          <w:rFonts w:ascii="Times New Roman" w:hAnsi="Times New Roman"/>
          <w:color w:val="1A171C"/>
          <w:sz w:val="24"/>
          <w:szCs w:val="24"/>
          <w:lang w:val="en-GB"/>
        </w:rPr>
        <w:t xml:space="preserve"> </w:t>
      </w:r>
    </w:p>
    <w:p w14:paraId="47058982" w14:textId="5F4B49B0" w:rsidR="00A56D78" w:rsidRPr="00E34EEB" w:rsidRDefault="00A56D78" w:rsidP="00887A0B">
      <w:pPr>
        <w:pStyle w:val="ListParagraph"/>
        <w:numPr>
          <w:ilvl w:val="0"/>
          <w:numId w:val="7"/>
        </w:numPr>
        <w:spacing w:after="0" w:line="276" w:lineRule="auto"/>
        <w:jc w:val="both"/>
        <w:rPr>
          <w:rFonts w:ascii="Times New Roman" w:hAnsi="Times New Roman"/>
          <w:color w:val="1A171C"/>
          <w:sz w:val="24"/>
          <w:szCs w:val="24"/>
          <w:lang w:val="en-GB"/>
        </w:rPr>
      </w:pPr>
      <w:r>
        <w:rPr>
          <w:rFonts w:ascii="Times New Roman" w:hAnsi="Times New Roman"/>
          <w:color w:val="1A171C"/>
          <w:sz w:val="24"/>
          <w:szCs w:val="24"/>
          <w:lang w:val="en-GB"/>
        </w:rPr>
        <w:t>M</w:t>
      </w:r>
      <w:r w:rsidRPr="00E34EEB">
        <w:rPr>
          <w:rFonts w:ascii="Times New Roman" w:hAnsi="Times New Roman"/>
          <w:color w:val="1A171C"/>
          <w:sz w:val="24"/>
          <w:szCs w:val="24"/>
          <w:lang w:val="en-GB"/>
        </w:rPr>
        <w:t xml:space="preserve">onitor </w:t>
      </w:r>
      <w:r w:rsidR="00817D05">
        <w:rPr>
          <w:rFonts w:ascii="Times New Roman" w:hAnsi="Times New Roman"/>
          <w:color w:val="1A171C"/>
          <w:sz w:val="24"/>
          <w:szCs w:val="24"/>
          <w:lang w:val="en-GB"/>
        </w:rPr>
        <w:t>health</w:t>
      </w:r>
      <w:r>
        <w:rPr>
          <w:rFonts w:ascii="Times New Roman" w:hAnsi="Times New Roman"/>
          <w:color w:val="1A171C"/>
          <w:sz w:val="24"/>
          <w:szCs w:val="24"/>
          <w:lang w:val="en-GB"/>
        </w:rPr>
        <w:t>care providers’</w:t>
      </w:r>
      <w:r w:rsidRPr="00E34EEB">
        <w:rPr>
          <w:rFonts w:ascii="Times New Roman" w:hAnsi="Times New Roman"/>
          <w:color w:val="1A171C"/>
          <w:sz w:val="24"/>
          <w:szCs w:val="24"/>
          <w:lang w:val="en-GB"/>
        </w:rPr>
        <w:t xml:space="preserve"> implementation of </w:t>
      </w:r>
      <w:r>
        <w:rPr>
          <w:rFonts w:ascii="Times New Roman" w:hAnsi="Times New Roman"/>
          <w:color w:val="1A171C"/>
          <w:sz w:val="24"/>
          <w:szCs w:val="24"/>
          <w:lang w:val="en-GB"/>
        </w:rPr>
        <w:t>Slovak</w:t>
      </w:r>
      <w:r w:rsidRPr="00E34EEB">
        <w:rPr>
          <w:rFonts w:ascii="Times New Roman" w:hAnsi="Times New Roman"/>
          <w:color w:val="1A171C"/>
          <w:sz w:val="24"/>
          <w:szCs w:val="24"/>
          <w:lang w:val="en-GB"/>
        </w:rPr>
        <w:t xml:space="preserve"> legislation on informed consent </w:t>
      </w:r>
      <w:r>
        <w:rPr>
          <w:rFonts w:ascii="Times New Roman" w:hAnsi="Times New Roman"/>
          <w:color w:val="1A171C"/>
          <w:sz w:val="24"/>
          <w:szCs w:val="24"/>
          <w:lang w:val="en-GB"/>
        </w:rPr>
        <w:t>in situations of sterilization</w:t>
      </w:r>
      <w:r w:rsidRPr="00E34EEB">
        <w:rPr>
          <w:rFonts w:ascii="Times New Roman" w:hAnsi="Times New Roman"/>
          <w:color w:val="1A171C"/>
          <w:sz w:val="24"/>
          <w:szCs w:val="24"/>
          <w:lang w:val="en-GB"/>
        </w:rPr>
        <w:t xml:space="preserve"> and </w:t>
      </w:r>
      <w:r>
        <w:rPr>
          <w:rFonts w:ascii="Times New Roman" w:hAnsi="Times New Roman"/>
          <w:color w:val="1A171C"/>
          <w:sz w:val="24"/>
          <w:szCs w:val="24"/>
          <w:lang w:val="en-GB"/>
        </w:rPr>
        <w:t>ensure</w:t>
      </w:r>
      <w:r w:rsidRPr="00E34EEB">
        <w:rPr>
          <w:rFonts w:ascii="Times New Roman" w:hAnsi="Times New Roman"/>
          <w:color w:val="1A171C"/>
          <w:sz w:val="24"/>
          <w:szCs w:val="24"/>
          <w:lang w:val="en-GB"/>
        </w:rPr>
        <w:t xml:space="preserve"> </w:t>
      </w:r>
      <w:r>
        <w:rPr>
          <w:rFonts w:ascii="Times New Roman" w:hAnsi="Times New Roman"/>
          <w:color w:val="1A171C"/>
          <w:sz w:val="24"/>
          <w:szCs w:val="24"/>
          <w:lang w:val="en-GB"/>
        </w:rPr>
        <w:t>appropriate</w:t>
      </w:r>
      <w:r w:rsidRPr="00E34EEB">
        <w:rPr>
          <w:rFonts w:ascii="Times New Roman" w:hAnsi="Times New Roman"/>
          <w:color w:val="1A171C"/>
          <w:sz w:val="24"/>
          <w:szCs w:val="24"/>
          <w:lang w:val="en-GB"/>
        </w:rPr>
        <w:t xml:space="preserve"> sanctions</w:t>
      </w:r>
      <w:r>
        <w:rPr>
          <w:rFonts w:ascii="Times New Roman" w:hAnsi="Times New Roman"/>
          <w:color w:val="1A171C"/>
          <w:sz w:val="24"/>
          <w:szCs w:val="24"/>
          <w:lang w:val="en-GB"/>
        </w:rPr>
        <w:t xml:space="preserve"> are applied</w:t>
      </w:r>
      <w:r w:rsidRPr="00E34EEB">
        <w:rPr>
          <w:rFonts w:ascii="Times New Roman" w:hAnsi="Times New Roman"/>
          <w:color w:val="1A171C"/>
          <w:sz w:val="24"/>
          <w:szCs w:val="24"/>
          <w:lang w:val="en-GB"/>
        </w:rPr>
        <w:t xml:space="preserve"> if </w:t>
      </w:r>
      <w:r>
        <w:rPr>
          <w:rFonts w:ascii="Times New Roman" w:hAnsi="Times New Roman"/>
          <w:color w:val="1A171C"/>
          <w:sz w:val="24"/>
          <w:szCs w:val="24"/>
          <w:lang w:val="en-GB"/>
        </w:rPr>
        <w:t>breaches</w:t>
      </w:r>
      <w:r w:rsidRPr="00E34EEB">
        <w:rPr>
          <w:rFonts w:ascii="Times New Roman" w:hAnsi="Times New Roman"/>
          <w:color w:val="1A171C"/>
          <w:sz w:val="24"/>
          <w:szCs w:val="24"/>
          <w:lang w:val="en-GB"/>
        </w:rPr>
        <w:t xml:space="preserve"> occur</w:t>
      </w:r>
      <w:r w:rsidRPr="00E34EEB">
        <w:rPr>
          <w:rFonts w:ascii="Times New Roman" w:hAnsi="Times New Roman"/>
          <w:color w:val="1A171C"/>
          <w:sz w:val="24"/>
          <w:szCs w:val="24"/>
        </w:rPr>
        <w:t xml:space="preserve">. </w:t>
      </w:r>
    </w:p>
    <w:p w14:paraId="3A791306" w14:textId="2DB8923A" w:rsidR="00E34EEB" w:rsidRPr="00A56D78" w:rsidRDefault="00A56D78" w:rsidP="00887A0B">
      <w:pPr>
        <w:pStyle w:val="ListParagraph"/>
        <w:numPr>
          <w:ilvl w:val="0"/>
          <w:numId w:val="7"/>
        </w:numPr>
        <w:spacing w:after="0" w:line="276" w:lineRule="auto"/>
        <w:jc w:val="both"/>
        <w:rPr>
          <w:lang w:val="en-GB"/>
        </w:rPr>
      </w:pPr>
      <w:r w:rsidRPr="00A56D78">
        <w:rPr>
          <w:rFonts w:ascii="Times New Roman" w:hAnsi="Times New Roman"/>
          <w:color w:val="1A171C"/>
          <w:sz w:val="24"/>
          <w:szCs w:val="24"/>
          <w:lang w:val="en-GB"/>
        </w:rPr>
        <w:t>Introduce clear guidelines for medical staff on informed consent and provide ongoing and</w:t>
      </w:r>
      <w:r w:rsidR="00817D05">
        <w:rPr>
          <w:rFonts w:ascii="Times New Roman" w:hAnsi="Times New Roman"/>
          <w:color w:val="1A171C"/>
          <w:sz w:val="24"/>
          <w:szCs w:val="24"/>
          <w:lang w:val="en-GB"/>
        </w:rPr>
        <w:t xml:space="preserve"> systematic training for health</w:t>
      </w:r>
      <w:r w:rsidRPr="00A56D78">
        <w:rPr>
          <w:rFonts w:ascii="Times New Roman" w:hAnsi="Times New Roman"/>
          <w:color w:val="1A171C"/>
          <w:sz w:val="24"/>
          <w:szCs w:val="24"/>
          <w:lang w:val="en-GB"/>
        </w:rPr>
        <w:t xml:space="preserve">care personnel on how to ensure informed consent is obtained. </w:t>
      </w:r>
      <w:r w:rsidR="00E34EEB" w:rsidRPr="00A56D78">
        <w:rPr>
          <w:lang w:val="en-GB"/>
        </w:rPr>
        <w:t xml:space="preserve"> </w:t>
      </w:r>
    </w:p>
    <w:p w14:paraId="51DB9C01" w14:textId="77777777" w:rsidR="00E34EEB" w:rsidRPr="00E34EEB" w:rsidRDefault="00E34EEB" w:rsidP="009C58B6">
      <w:pPr>
        <w:pStyle w:val="NoSpacing"/>
        <w:rPr>
          <w:lang w:val="en-GB"/>
        </w:rPr>
      </w:pPr>
    </w:p>
    <w:p w14:paraId="70FCAF7F" w14:textId="7008D98F" w:rsidR="00587E13" w:rsidRPr="00587E13" w:rsidRDefault="00587E13" w:rsidP="00887A0B">
      <w:pPr>
        <w:pStyle w:val="Sinespaciado"/>
        <w:numPr>
          <w:ilvl w:val="0"/>
          <w:numId w:val="6"/>
        </w:numPr>
        <w:jc w:val="both"/>
      </w:pPr>
      <w:r w:rsidRPr="00587E13">
        <w:rPr>
          <w:b/>
        </w:rPr>
        <w:t xml:space="preserve">Discrimination and Abuse </w:t>
      </w:r>
      <w:r w:rsidR="009D2806">
        <w:rPr>
          <w:b/>
        </w:rPr>
        <w:t xml:space="preserve">in the Course of </w:t>
      </w:r>
      <w:r w:rsidRPr="00587E13">
        <w:rPr>
          <w:b/>
        </w:rPr>
        <w:t>Childbirth (Articles 2</w:t>
      </w:r>
      <w:r w:rsidR="00B33697">
        <w:rPr>
          <w:b/>
        </w:rPr>
        <w:t>(1)</w:t>
      </w:r>
      <w:r w:rsidRPr="00587E13">
        <w:rPr>
          <w:b/>
        </w:rPr>
        <w:t xml:space="preserve">, 3, 7 and 17 of the Covenant) </w:t>
      </w:r>
    </w:p>
    <w:p w14:paraId="28E592E0" w14:textId="77777777" w:rsidR="00587E13" w:rsidRPr="002A6A49" w:rsidRDefault="00587E13" w:rsidP="00587E13">
      <w:pPr>
        <w:pStyle w:val="Sinespaciado"/>
        <w:jc w:val="both"/>
      </w:pPr>
    </w:p>
    <w:p w14:paraId="0A40590B" w14:textId="1E8F2D33" w:rsidR="00587E13" w:rsidRPr="002A6A49" w:rsidRDefault="00587E13" w:rsidP="00587E13">
      <w:pPr>
        <w:pStyle w:val="Sinespaciado"/>
        <w:jc w:val="both"/>
      </w:pPr>
      <w:r>
        <w:t xml:space="preserve">For a number of reasons, in most instances </w:t>
      </w:r>
      <w:r w:rsidRPr="002A6A49">
        <w:t xml:space="preserve">childbirth in Slovakia takes place in hospitals </w:t>
      </w:r>
      <w:r w:rsidR="001A3F07">
        <w:t>under the care of</w:t>
      </w:r>
      <w:r w:rsidR="001A3F07" w:rsidRPr="002A6A49">
        <w:t xml:space="preserve"> </w:t>
      </w:r>
      <w:r w:rsidRPr="002A6A49">
        <w:t xml:space="preserve">doctors, with the assistance of midwives. </w:t>
      </w:r>
      <w:r w:rsidR="001A3F07">
        <w:t>R</w:t>
      </w:r>
      <w:r>
        <w:t>ecent research and documentation</w:t>
      </w:r>
      <w:r w:rsidR="001A3F07">
        <w:t xml:space="preserve"> has exposed</w:t>
      </w:r>
      <w:r>
        <w:t xml:space="preserve"> serious concerns as to the treatment of women during childbirth in Slovak </w:t>
      </w:r>
      <w:r w:rsidR="00FE5A8E">
        <w:t>hospitals</w:t>
      </w:r>
      <w:r w:rsidR="00FE5A8E">
        <w:rPr>
          <w:rStyle w:val="EndnoteReference"/>
        </w:rPr>
        <w:endnoteReference w:id="19"/>
      </w:r>
      <w:r>
        <w:t xml:space="preserve"> </w:t>
      </w:r>
      <w:r>
        <w:lastRenderedPageBreak/>
        <w:t xml:space="preserve">and the results point to widespread forms of discrimination and abuse that </w:t>
      </w:r>
      <w:proofErr w:type="spellStart"/>
      <w:r>
        <w:t>jeopardise</w:t>
      </w:r>
      <w:proofErr w:type="spellEnd"/>
      <w:r>
        <w:t xml:space="preserve"> women’s enjoyment of their rights under Articles 2</w:t>
      </w:r>
      <w:r w:rsidR="00B33697">
        <w:t>(1)</w:t>
      </w:r>
      <w:r>
        <w:t xml:space="preserve">, 3, 7 and 17 of the Covenant.  </w:t>
      </w:r>
    </w:p>
    <w:p w14:paraId="61A4C147" w14:textId="77777777" w:rsidR="00587E13" w:rsidRDefault="00587E13" w:rsidP="00587E13">
      <w:pPr>
        <w:pStyle w:val="Sinespaciado"/>
        <w:jc w:val="both"/>
        <w:rPr>
          <w:spacing w:val="1"/>
        </w:rPr>
      </w:pPr>
    </w:p>
    <w:p w14:paraId="0897A92C" w14:textId="1C6A4BA6" w:rsidR="00587E13" w:rsidRDefault="00587E13" w:rsidP="00587E13">
      <w:pPr>
        <w:pStyle w:val="Sinespaciado"/>
        <w:jc w:val="both"/>
        <w:rPr>
          <w:spacing w:val="1"/>
        </w:rPr>
      </w:pPr>
      <w:proofErr w:type="spellStart"/>
      <w:r>
        <w:rPr>
          <w:spacing w:val="1"/>
        </w:rPr>
        <w:t>Indepth</w:t>
      </w:r>
      <w:proofErr w:type="spellEnd"/>
      <w:r>
        <w:rPr>
          <w:spacing w:val="1"/>
        </w:rPr>
        <w:t xml:space="preserve"> research into the </w:t>
      </w:r>
      <w:r w:rsidRPr="002A6A49">
        <w:rPr>
          <w:spacing w:val="1"/>
        </w:rPr>
        <w:t>treatment of women in maternity hospitals</w:t>
      </w:r>
      <w:r>
        <w:rPr>
          <w:spacing w:val="1"/>
        </w:rPr>
        <w:t xml:space="preserve"> </w:t>
      </w:r>
      <w:r>
        <w:t xml:space="preserve">recently conducted by </w:t>
      </w:r>
      <w:r w:rsidRPr="002A6A49">
        <w:rPr>
          <w:spacing w:val="1"/>
        </w:rPr>
        <w:t xml:space="preserve">Citizen, Democracy and Accountability and Women’s Circles </w:t>
      </w:r>
      <w:r>
        <w:rPr>
          <w:spacing w:val="1"/>
        </w:rPr>
        <w:t>has revealed serious concerns regarding</w:t>
      </w:r>
      <w:r w:rsidRPr="002A6A49">
        <w:rPr>
          <w:spacing w:val="1"/>
        </w:rPr>
        <w:t xml:space="preserve"> the provision of obstetric care in Slovak </w:t>
      </w:r>
      <w:r w:rsidR="00FE5A8E">
        <w:rPr>
          <w:spacing w:val="1"/>
        </w:rPr>
        <w:t>maternity hospitals</w:t>
      </w:r>
      <w:r>
        <w:rPr>
          <w:spacing w:val="1"/>
        </w:rPr>
        <w:t xml:space="preserve"> and respect for women’s human rights during childbirth</w:t>
      </w:r>
      <w:r w:rsidRPr="002A6A49">
        <w:rPr>
          <w:spacing w:val="1"/>
        </w:rPr>
        <w:t>.</w:t>
      </w:r>
      <w:r w:rsidRPr="002A6A49">
        <w:rPr>
          <w:rStyle w:val="EndnoteReference"/>
          <w:spacing w:val="1"/>
        </w:rPr>
        <w:endnoteReference w:id="20"/>
      </w:r>
      <w:r w:rsidRPr="002A6A49">
        <w:rPr>
          <w:spacing w:val="1"/>
        </w:rPr>
        <w:t xml:space="preserve"> </w:t>
      </w:r>
      <w:r w:rsidR="001A3F07">
        <w:rPr>
          <w:spacing w:val="1"/>
        </w:rPr>
        <w:t>The findings are captured and outlined in detail in the 2015 Report:</w:t>
      </w:r>
      <w:r w:rsidR="00324C1D">
        <w:rPr>
          <w:spacing w:val="1"/>
        </w:rPr>
        <w:t xml:space="preserve"> </w:t>
      </w:r>
      <w:r w:rsidR="00324C1D" w:rsidRPr="002A6A49">
        <w:rPr>
          <w:i/>
          <w:spacing w:val="1"/>
        </w:rPr>
        <w:t>Women – Mothers – Bodies: Women’s Human Rights in Obstetric Care in Healthcare Facilities in Slovakia</w:t>
      </w:r>
      <w:r w:rsidR="001A3F07">
        <w:rPr>
          <w:spacing w:val="1"/>
        </w:rPr>
        <w:t>.</w:t>
      </w:r>
      <w:r w:rsidR="00324C1D">
        <w:rPr>
          <w:rStyle w:val="EndnoteReference"/>
          <w:spacing w:val="1"/>
        </w:rPr>
        <w:endnoteReference w:id="21"/>
      </w:r>
      <w:r w:rsidR="001A3F07">
        <w:rPr>
          <w:spacing w:val="1"/>
        </w:rPr>
        <w:t xml:space="preserve"> </w:t>
      </w:r>
      <w:r w:rsidRPr="00CA66D6">
        <w:rPr>
          <w:spacing w:val="1"/>
        </w:rPr>
        <w:t>Although the reported practices differ extensively in form and gravity, they raise concerns regarding respect for women’s dignity, autonomy and personal and bodily integrity in maternity care contexts and medical decision-making related to childbirth.</w:t>
      </w:r>
      <w:r>
        <w:rPr>
          <w:spacing w:val="1"/>
        </w:rPr>
        <w:t xml:space="preserve"> Research indicates that common practices include:</w:t>
      </w:r>
    </w:p>
    <w:p w14:paraId="3D41B16F" w14:textId="77777777" w:rsidR="00587E13" w:rsidRDefault="00587E13" w:rsidP="00587E13">
      <w:pPr>
        <w:pStyle w:val="Sinespaciado"/>
        <w:jc w:val="both"/>
        <w:rPr>
          <w:spacing w:val="1"/>
        </w:rPr>
      </w:pPr>
    </w:p>
    <w:p w14:paraId="28240D4C" w14:textId="4D653158" w:rsidR="00FE5A8E" w:rsidRPr="00FE5A8E" w:rsidRDefault="00FE5A8E" w:rsidP="00754105">
      <w:pPr>
        <w:pStyle w:val="ListParagraph"/>
        <w:numPr>
          <w:ilvl w:val="0"/>
          <w:numId w:val="4"/>
        </w:numPr>
        <w:jc w:val="both"/>
        <w:rPr>
          <w:spacing w:val="1"/>
        </w:rPr>
      </w:pPr>
      <w:r w:rsidRPr="00FE5A8E">
        <w:rPr>
          <w:rFonts w:ascii="Times New Roman" w:hAnsi="Times New Roman"/>
          <w:sz w:val="24"/>
          <w:szCs w:val="24"/>
          <w:lang w:val="en-GB"/>
        </w:rPr>
        <w:t>Failure</w:t>
      </w:r>
      <w:r w:rsidR="00794DDF">
        <w:rPr>
          <w:rFonts w:ascii="Times New Roman" w:hAnsi="Times New Roman"/>
          <w:sz w:val="24"/>
          <w:szCs w:val="24"/>
          <w:lang w:val="en-GB"/>
        </w:rPr>
        <w:t xml:space="preserve"> </w:t>
      </w:r>
      <w:r w:rsidRPr="00FE5A8E">
        <w:rPr>
          <w:rFonts w:ascii="Times New Roman" w:hAnsi="Times New Roman"/>
          <w:sz w:val="24"/>
          <w:szCs w:val="24"/>
          <w:lang w:val="en-GB"/>
        </w:rPr>
        <w:t>to obtain full and informed consent for medical interventions during childbirth</w:t>
      </w:r>
      <w:r w:rsidRPr="00FE5A8E">
        <w:rPr>
          <w:spacing w:val="1"/>
        </w:rPr>
        <w:t>.</w:t>
      </w:r>
      <w:r w:rsidRPr="00D733D8">
        <w:rPr>
          <w:rStyle w:val="EndnoteReference"/>
          <w:rFonts w:ascii="Times New Roman" w:hAnsi="Times New Roman"/>
          <w:spacing w:val="1"/>
          <w:sz w:val="24"/>
          <w:szCs w:val="24"/>
        </w:rPr>
        <w:endnoteReference w:id="22"/>
      </w:r>
      <w:r w:rsidRPr="00FE5A8E">
        <w:rPr>
          <w:rFonts w:ascii="Times New Roman" w:hAnsi="Times New Roman"/>
          <w:spacing w:val="1"/>
          <w:sz w:val="24"/>
          <w:szCs w:val="24"/>
        </w:rPr>
        <w:t xml:space="preserve">  </w:t>
      </w:r>
    </w:p>
    <w:p w14:paraId="5281DBEF" w14:textId="3FC60992" w:rsidR="00FE5A8E" w:rsidRPr="00FE5A8E" w:rsidRDefault="00FE5A8E" w:rsidP="00FE5A8E">
      <w:pPr>
        <w:pStyle w:val="ListParagraph"/>
        <w:numPr>
          <w:ilvl w:val="0"/>
          <w:numId w:val="4"/>
        </w:numPr>
        <w:rPr>
          <w:rFonts w:ascii="Times New Roman" w:hAnsi="Times New Roman"/>
          <w:sz w:val="24"/>
          <w:szCs w:val="24"/>
          <w:lang w:val="en-GB"/>
        </w:rPr>
      </w:pPr>
      <w:r w:rsidRPr="00FE2142">
        <w:rPr>
          <w:rFonts w:ascii="Times New Roman" w:hAnsi="Times New Roman"/>
          <w:spacing w:val="1"/>
          <w:sz w:val="24"/>
          <w:szCs w:val="24"/>
        </w:rPr>
        <w:t>Mental or emotional abuse</w:t>
      </w:r>
      <w:r w:rsidR="00F96F7C">
        <w:rPr>
          <w:rFonts w:ascii="Times New Roman" w:hAnsi="Times New Roman"/>
          <w:spacing w:val="1"/>
          <w:sz w:val="24"/>
          <w:szCs w:val="24"/>
        </w:rPr>
        <w:t xml:space="preserve"> and</w:t>
      </w:r>
      <w:r>
        <w:rPr>
          <w:rFonts w:ascii="Times New Roman" w:hAnsi="Times New Roman"/>
          <w:spacing w:val="1"/>
          <w:sz w:val="24"/>
          <w:szCs w:val="24"/>
        </w:rPr>
        <w:t xml:space="preserve"> harassment.</w:t>
      </w:r>
      <w:r w:rsidRPr="00FE2142">
        <w:rPr>
          <w:rStyle w:val="EndnoteReference"/>
          <w:rFonts w:ascii="Times New Roman" w:hAnsi="Times New Roman"/>
          <w:spacing w:val="1"/>
          <w:sz w:val="24"/>
          <w:szCs w:val="24"/>
        </w:rPr>
        <w:endnoteReference w:id="23"/>
      </w:r>
      <w:r w:rsidRPr="00FE2142">
        <w:rPr>
          <w:rFonts w:ascii="Times New Roman" w:hAnsi="Times New Roman"/>
          <w:spacing w:val="1"/>
          <w:sz w:val="24"/>
          <w:szCs w:val="24"/>
        </w:rPr>
        <w:t xml:space="preserve"> </w:t>
      </w:r>
    </w:p>
    <w:p w14:paraId="13722E87" w14:textId="58FF3BB9" w:rsidR="00FE5A8E" w:rsidRPr="00FE5A8E" w:rsidRDefault="00FE5A8E" w:rsidP="00754105">
      <w:pPr>
        <w:pStyle w:val="ListParagraph"/>
        <w:numPr>
          <w:ilvl w:val="0"/>
          <w:numId w:val="4"/>
        </w:numPr>
        <w:spacing w:after="0"/>
        <w:jc w:val="both"/>
        <w:rPr>
          <w:spacing w:val="1"/>
        </w:rPr>
      </w:pPr>
      <w:r w:rsidRPr="00FE5A8E">
        <w:rPr>
          <w:rFonts w:ascii="Times New Roman" w:hAnsi="Times New Roman"/>
          <w:sz w:val="24"/>
          <w:szCs w:val="24"/>
          <w:lang w:val="en-GB"/>
        </w:rPr>
        <w:t xml:space="preserve">Practices that prevent women from moving freely and choosing </w:t>
      </w:r>
      <w:r w:rsidR="00F96F7C">
        <w:rPr>
          <w:rFonts w:ascii="Times New Roman" w:hAnsi="Times New Roman"/>
          <w:sz w:val="24"/>
          <w:szCs w:val="24"/>
          <w:lang w:val="en-GB"/>
        </w:rPr>
        <w:t>a</w:t>
      </w:r>
      <w:r w:rsidR="00F96F7C" w:rsidRPr="00FE5A8E">
        <w:rPr>
          <w:rFonts w:ascii="Times New Roman" w:hAnsi="Times New Roman"/>
          <w:sz w:val="24"/>
          <w:szCs w:val="24"/>
          <w:lang w:val="en-GB"/>
        </w:rPr>
        <w:t xml:space="preserve"> </w:t>
      </w:r>
      <w:r w:rsidRPr="00FE5A8E">
        <w:rPr>
          <w:rFonts w:ascii="Times New Roman" w:hAnsi="Times New Roman"/>
          <w:sz w:val="24"/>
          <w:szCs w:val="24"/>
          <w:lang w:val="en-GB"/>
        </w:rPr>
        <w:t xml:space="preserve">birthing position and </w:t>
      </w:r>
      <w:r w:rsidR="00F96F7C">
        <w:rPr>
          <w:rFonts w:ascii="Times New Roman" w:hAnsi="Times New Roman"/>
          <w:sz w:val="24"/>
          <w:szCs w:val="24"/>
          <w:lang w:val="en-GB"/>
        </w:rPr>
        <w:t>instead</w:t>
      </w:r>
      <w:r w:rsidR="00F96F7C" w:rsidRPr="00FE5A8E">
        <w:rPr>
          <w:rFonts w:ascii="Times New Roman" w:hAnsi="Times New Roman"/>
          <w:sz w:val="24"/>
          <w:szCs w:val="24"/>
          <w:lang w:val="en-GB"/>
        </w:rPr>
        <w:t xml:space="preserve"> </w:t>
      </w:r>
      <w:r w:rsidRPr="00FE5A8E">
        <w:rPr>
          <w:rFonts w:ascii="Times New Roman" w:hAnsi="Times New Roman"/>
          <w:sz w:val="24"/>
          <w:szCs w:val="24"/>
          <w:lang w:val="en-GB"/>
        </w:rPr>
        <w:t xml:space="preserve">confine them to lie </w:t>
      </w:r>
      <w:r w:rsidR="00F96F7C">
        <w:rPr>
          <w:rFonts w:ascii="Times New Roman" w:hAnsi="Times New Roman"/>
          <w:sz w:val="24"/>
          <w:szCs w:val="24"/>
          <w:lang w:val="en-GB"/>
        </w:rPr>
        <w:t xml:space="preserve">down </w:t>
      </w:r>
      <w:r w:rsidRPr="00FE5A8E">
        <w:rPr>
          <w:rFonts w:ascii="Times New Roman" w:hAnsi="Times New Roman"/>
          <w:sz w:val="24"/>
          <w:szCs w:val="24"/>
          <w:lang w:val="en-GB"/>
        </w:rPr>
        <w:t>while giving birth.</w:t>
      </w:r>
      <w:r>
        <w:rPr>
          <w:rStyle w:val="EndnoteReference"/>
          <w:rFonts w:ascii="Times New Roman" w:hAnsi="Times New Roman"/>
          <w:sz w:val="24"/>
          <w:szCs w:val="24"/>
          <w:lang w:val="en-GB"/>
        </w:rPr>
        <w:endnoteReference w:id="24"/>
      </w:r>
      <w:r w:rsidRPr="00FE5A8E">
        <w:rPr>
          <w:rFonts w:ascii="Times New Roman" w:hAnsi="Times New Roman"/>
          <w:sz w:val="24"/>
          <w:szCs w:val="24"/>
          <w:lang w:val="en-GB"/>
        </w:rPr>
        <w:t xml:space="preserve"> </w:t>
      </w:r>
    </w:p>
    <w:p w14:paraId="742FB5CB" w14:textId="77777777" w:rsidR="00FE5A8E" w:rsidRPr="00FE5A8E" w:rsidRDefault="00587E13" w:rsidP="00754105">
      <w:pPr>
        <w:pStyle w:val="ListParagraph"/>
        <w:numPr>
          <w:ilvl w:val="0"/>
          <w:numId w:val="4"/>
        </w:numPr>
        <w:jc w:val="both"/>
        <w:rPr>
          <w:rFonts w:ascii="Times New Roman" w:hAnsi="Times New Roman"/>
          <w:spacing w:val="1"/>
          <w:sz w:val="24"/>
          <w:szCs w:val="24"/>
        </w:rPr>
      </w:pPr>
      <w:r w:rsidRPr="00FE5A8E">
        <w:rPr>
          <w:rFonts w:ascii="Times New Roman" w:hAnsi="Times New Roman"/>
          <w:spacing w:val="1"/>
          <w:sz w:val="24"/>
          <w:szCs w:val="24"/>
        </w:rPr>
        <w:t>The exertion of extreme physical pressure by healthcare personnel on women’s abdomens during the pushing stage</w:t>
      </w:r>
      <w:r w:rsidR="001A3F07" w:rsidRPr="00FE5A8E">
        <w:rPr>
          <w:rFonts w:ascii="Times New Roman" w:hAnsi="Times New Roman"/>
          <w:spacing w:val="1"/>
          <w:sz w:val="24"/>
          <w:szCs w:val="24"/>
        </w:rPr>
        <w:t xml:space="preserve"> of </w:t>
      </w:r>
      <w:proofErr w:type="spellStart"/>
      <w:r w:rsidR="001A3F07" w:rsidRPr="00FE5A8E">
        <w:rPr>
          <w:rFonts w:ascii="Times New Roman" w:hAnsi="Times New Roman"/>
          <w:spacing w:val="1"/>
          <w:sz w:val="24"/>
          <w:szCs w:val="24"/>
        </w:rPr>
        <w:t>labour</w:t>
      </w:r>
      <w:proofErr w:type="spellEnd"/>
      <w:r w:rsidRPr="00FE5A8E">
        <w:rPr>
          <w:rFonts w:ascii="Times New Roman" w:hAnsi="Times New Roman"/>
          <w:spacing w:val="1"/>
          <w:sz w:val="24"/>
          <w:szCs w:val="24"/>
        </w:rPr>
        <w:t xml:space="preserve"> (known also as the </w:t>
      </w:r>
      <w:proofErr w:type="spellStart"/>
      <w:r w:rsidRPr="00FE5A8E">
        <w:rPr>
          <w:rFonts w:ascii="Times New Roman" w:hAnsi="Times New Roman"/>
          <w:spacing w:val="1"/>
          <w:sz w:val="24"/>
          <w:szCs w:val="24"/>
        </w:rPr>
        <w:t>Kristeller</w:t>
      </w:r>
      <w:proofErr w:type="spellEnd"/>
      <w:r w:rsidRPr="00FE5A8E">
        <w:rPr>
          <w:rFonts w:ascii="Times New Roman" w:hAnsi="Times New Roman"/>
          <w:spacing w:val="1"/>
          <w:sz w:val="24"/>
          <w:szCs w:val="24"/>
        </w:rPr>
        <w:t xml:space="preserve"> Maneuver).</w:t>
      </w:r>
      <w:r w:rsidRPr="00FE5A8E">
        <w:rPr>
          <w:rStyle w:val="EndnoteReference"/>
          <w:rFonts w:ascii="Times New Roman" w:hAnsi="Times New Roman"/>
          <w:spacing w:val="1"/>
          <w:sz w:val="24"/>
          <w:szCs w:val="24"/>
        </w:rPr>
        <w:endnoteReference w:id="25"/>
      </w:r>
      <w:r w:rsidRPr="00FE5A8E">
        <w:rPr>
          <w:rFonts w:ascii="Times New Roman" w:hAnsi="Times New Roman"/>
          <w:spacing w:val="1"/>
          <w:sz w:val="24"/>
          <w:szCs w:val="24"/>
        </w:rPr>
        <w:t xml:space="preserve"> </w:t>
      </w:r>
    </w:p>
    <w:p w14:paraId="7D4C9819" w14:textId="6443B169" w:rsidR="00587E13" w:rsidRDefault="00587E13" w:rsidP="00FE5A8E">
      <w:pPr>
        <w:pStyle w:val="ListParagraph"/>
        <w:numPr>
          <w:ilvl w:val="0"/>
          <w:numId w:val="4"/>
        </w:numPr>
        <w:jc w:val="both"/>
        <w:rPr>
          <w:rFonts w:ascii="Times New Roman" w:hAnsi="Times New Roman"/>
          <w:spacing w:val="1"/>
          <w:sz w:val="24"/>
          <w:szCs w:val="24"/>
        </w:rPr>
      </w:pPr>
      <w:r w:rsidRPr="00FE5A8E">
        <w:rPr>
          <w:rFonts w:ascii="Times New Roman" w:hAnsi="Times New Roman"/>
          <w:spacing w:val="1"/>
          <w:sz w:val="24"/>
          <w:szCs w:val="24"/>
        </w:rPr>
        <w:t>Suturing without, or with insufficient, anesthesia.</w:t>
      </w:r>
      <w:r w:rsidRPr="00FE5A8E">
        <w:rPr>
          <w:rStyle w:val="EndnoteReference"/>
          <w:rFonts w:ascii="Times New Roman" w:hAnsi="Times New Roman"/>
          <w:spacing w:val="1"/>
          <w:sz w:val="24"/>
          <w:szCs w:val="24"/>
        </w:rPr>
        <w:endnoteReference w:id="26"/>
      </w:r>
      <w:r w:rsidRPr="00FE5A8E">
        <w:rPr>
          <w:rFonts w:ascii="Times New Roman" w:hAnsi="Times New Roman"/>
          <w:spacing w:val="1"/>
          <w:sz w:val="24"/>
          <w:szCs w:val="24"/>
        </w:rPr>
        <w:t xml:space="preserve"> Many women reported that this procedure was extremely painful for them.</w:t>
      </w:r>
      <w:r w:rsidRPr="00FE5A8E">
        <w:rPr>
          <w:rStyle w:val="EndnoteReference"/>
          <w:rFonts w:ascii="Times New Roman" w:hAnsi="Times New Roman"/>
          <w:spacing w:val="1"/>
          <w:sz w:val="24"/>
          <w:szCs w:val="24"/>
        </w:rPr>
        <w:endnoteReference w:id="27"/>
      </w:r>
      <w:r w:rsidRPr="00FE5A8E">
        <w:rPr>
          <w:rFonts w:ascii="Times New Roman" w:hAnsi="Times New Roman"/>
          <w:spacing w:val="1"/>
          <w:sz w:val="24"/>
          <w:szCs w:val="24"/>
        </w:rPr>
        <w:t xml:space="preserve"> In 14% of births that were followed by suturing no anesthesia was applied.</w:t>
      </w:r>
      <w:r w:rsidRPr="00FE5A8E">
        <w:rPr>
          <w:rStyle w:val="EndnoteReference"/>
          <w:rFonts w:ascii="Times New Roman" w:hAnsi="Times New Roman"/>
          <w:spacing w:val="1"/>
          <w:sz w:val="24"/>
          <w:szCs w:val="24"/>
        </w:rPr>
        <w:endnoteReference w:id="28"/>
      </w:r>
      <w:r w:rsidR="00FE5A8E" w:rsidRPr="00FE5A8E">
        <w:rPr>
          <w:rFonts w:ascii="Times New Roman" w:hAnsi="Times New Roman"/>
          <w:spacing w:val="1"/>
          <w:sz w:val="24"/>
          <w:szCs w:val="24"/>
        </w:rPr>
        <w:t xml:space="preserve"> Of more than 1000 instances where women show</w:t>
      </w:r>
      <w:r w:rsidR="00F96F7C">
        <w:rPr>
          <w:rFonts w:ascii="Times New Roman" w:hAnsi="Times New Roman"/>
          <w:spacing w:val="1"/>
          <w:sz w:val="24"/>
          <w:szCs w:val="24"/>
        </w:rPr>
        <w:t>ed</w:t>
      </w:r>
      <w:r w:rsidR="00FE5A8E" w:rsidRPr="00FE5A8E">
        <w:rPr>
          <w:rFonts w:ascii="Times New Roman" w:hAnsi="Times New Roman"/>
          <w:spacing w:val="1"/>
          <w:sz w:val="24"/>
          <w:szCs w:val="24"/>
        </w:rPr>
        <w:t xml:space="preserve"> signs of pain </w:t>
      </w:r>
      <w:r w:rsidR="00F96F7C">
        <w:rPr>
          <w:rFonts w:ascii="Times New Roman" w:hAnsi="Times New Roman"/>
          <w:spacing w:val="1"/>
          <w:sz w:val="24"/>
          <w:szCs w:val="24"/>
        </w:rPr>
        <w:t xml:space="preserve">as a </w:t>
      </w:r>
      <w:r w:rsidR="00FE5A8E" w:rsidRPr="00FE5A8E">
        <w:rPr>
          <w:rFonts w:ascii="Times New Roman" w:hAnsi="Times New Roman"/>
          <w:spacing w:val="1"/>
          <w:sz w:val="24"/>
          <w:szCs w:val="24"/>
        </w:rPr>
        <w:t xml:space="preserve">result </w:t>
      </w:r>
      <w:r w:rsidR="00F96F7C">
        <w:rPr>
          <w:rFonts w:ascii="Times New Roman" w:hAnsi="Times New Roman"/>
          <w:spacing w:val="1"/>
          <w:sz w:val="24"/>
          <w:szCs w:val="24"/>
        </w:rPr>
        <w:t>of</w:t>
      </w:r>
      <w:r w:rsidR="00F96F7C" w:rsidRPr="00FE5A8E">
        <w:rPr>
          <w:rFonts w:ascii="Times New Roman" w:hAnsi="Times New Roman"/>
          <w:spacing w:val="1"/>
          <w:sz w:val="24"/>
          <w:szCs w:val="24"/>
        </w:rPr>
        <w:t xml:space="preserve"> </w:t>
      </w:r>
      <w:r w:rsidR="00FE5A8E" w:rsidRPr="00FE5A8E">
        <w:rPr>
          <w:rFonts w:ascii="Times New Roman" w:hAnsi="Times New Roman"/>
          <w:spacing w:val="1"/>
          <w:sz w:val="24"/>
          <w:szCs w:val="24"/>
        </w:rPr>
        <w:t xml:space="preserve">suturing, there were only </w:t>
      </w:r>
      <w:r w:rsidR="00F96F7C">
        <w:rPr>
          <w:rFonts w:ascii="Times New Roman" w:hAnsi="Times New Roman"/>
          <w:spacing w:val="1"/>
          <w:sz w:val="24"/>
          <w:szCs w:val="24"/>
        </w:rPr>
        <w:t>approximately</w:t>
      </w:r>
      <w:r w:rsidR="00F96F7C" w:rsidRPr="00FE5A8E">
        <w:rPr>
          <w:rFonts w:ascii="Times New Roman" w:hAnsi="Times New Roman"/>
          <w:spacing w:val="1"/>
          <w:sz w:val="24"/>
          <w:szCs w:val="24"/>
        </w:rPr>
        <w:t xml:space="preserve"> </w:t>
      </w:r>
      <w:r w:rsidR="00FE5A8E" w:rsidRPr="00FE5A8E">
        <w:rPr>
          <w:rFonts w:ascii="Times New Roman" w:hAnsi="Times New Roman"/>
          <w:spacing w:val="1"/>
          <w:sz w:val="24"/>
          <w:szCs w:val="24"/>
        </w:rPr>
        <w:t>250 instances where anesthesia was applied repeatedly</w:t>
      </w:r>
      <w:r w:rsidR="00A27B95">
        <w:rPr>
          <w:rFonts w:ascii="Times New Roman" w:hAnsi="Times New Roman"/>
          <w:spacing w:val="1"/>
          <w:sz w:val="24"/>
          <w:szCs w:val="24"/>
        </w:rPr>
        <w:t>, and in more than 600 instances, no repeated anesthesia was given</w:t>
      </w:r>
      <w:r w:rsidR="00FE5A8E" w:rsidRPr="00FE5A8E">
        <w:rPr>
          <w:rFonts w:ascii="Times New Roman" w:hAnsi="Times New Roman"/>
          <w:spacing w:val="1"/>
          <w:sz w:val="24"/>
          <w:szCs w:val="24"/>
        </w:rPr>
        <w:t>.</w:t>
      </w:r>
      <w:r w:rsidR="00FE5A8E" w:rsidRPr="00FE5A8E">
        <w:rPr>
          <w:rStyle w:val="EndnoteReference"/>
          <w:rFonts w:ascii="Times New Roman" w:hAnsi="Times New Roman"/>
          <w:spacing w:val="1"/>
          <w:sz w:val="24"/>
          <w:szCs w:val="24"/>
        </w:rPr>
        <w:endnoteReference w:id="29"/>
      </w:r>
    </w:p>
    <w:p w14:paraId="0A8E1C5E" w14:textId="77777777" w:rsidR="00AD2ABD" w:rsidRPr="00FE2142" w:rsidRDefault="00AD2ABD" w:rsidP="00AD2ABD">
      <w:pPr>
        <w:pStyle w:val="ListParagraph"/>
        <w:numPr>
          <w:ilvl w:val="0"/>
          <w:numId w:val="4"/>
        </w:numPr>
        <w:rPr>
          <w:rFonts w:ascii="Times New Roman" w:hAnsi="Times New Roman"/>
          <w:sz w:val="24"/>
          <w:szCs w:val="24"/>
          <w:lang w:val="en-GB"/>
        </w:rPr>
      </w:pPr>
      <w:r>
        <w:rPr>
          <w:rFonts w:ascii="Times New Roman" w:hAnsi="Times New Roman"/>
          <w:spacing w:val="1"/>
          <w:sz w:val="24"/>
          <w:szCs w:val="24"/>
        </w:rPr>
        <w:t>P</w:t>
      </w:r>
      <w:r w:rsidRPr="00FE2142">
        <w:rPr>
          <w:rFonts w:ascii="Times New Roman" w:hAnsi="Times New Roman"/>
          <w:spacing w:val="1"/>
          <w:sz w:val="24"/>
          <w:szCs w:val="24"/>
        </w:rPr>
        <w:t>ractices that prevent women from eati</w:t>
      </w:r>
      <w:r>
        <w:rPr>
          <w:rFonts w:ascii="Times New Roman" w:hAnsi="Times New Roman"/>
          <w:spacing w:val="1"/>
          <w:sz w:val="24"/>
          <w:szCs w:val="24"/>
        </w:rPr>
        <w:t xml:space="preserve">ng and drinking during </w:t>
      </w:r>
      <w:proofErr w:type="spellStart"/>
      <w:r>
        <w:rPr>
          <w:rFonts w:ascii="Times New Roman" w:hAnsi="Times New Roman"/>
          <w:spacing w:val="1"/>
          <w:sz w:val="24"/>
          <w:szCs w:val="24"/>
        </w:rPr>
        <w:t>labour</w:t>
      </w:r>
      <w:proofErr w:type="spellEnd"/>
      <w:r>
        <w:rPr>
          <w:rFonts w:ascii="Times New Roman" w:hAnsi="Times New Roman"/>
          <w:spacing w:val="1"/>
          <w:sz w:val="24"/>
          <w:szCs w:val="24"/>
        </w:rPr>
        <w:t>.</w:t>
      </w:r>
      <w:r w:rsidRPr="00FE2142">
        <w:rPr>
          <w:rStyle w:val="EndnoteReference"/>
          <w:rFonts w:ascii="Times New Roman" w:hAnsi="Times New Roman"/>
          <w:spacing w:val="1"/>
          <w:sz w:val="24"/>
          <w:szCs w:val="24"/>
        </w:rPr>
        <w:endnoteReference w:id="30"/>
      </w:r>
    </w:p>
    <w:p w14:paraId="313648A8" w14:textId="62E1879F" w:rsidR="00AD2ABD" w:rsidRPr="00AD2ABD" w:rsidRDefault="00AD2ABD" w:rsidP="005A4F72">
      <w:pPr>
        <w:pStyle w:val="ListParagraph"/>
        <w:numPr>
          <w:ilvl w:val="0"/>
          <w:numId w:val="4"/>
        </w:numPr>
        <w:jc w:val="both"/>
        <w:rPr>
          <w:rFonts w:ascii="Times New Roman" w:hAnsi="Times New Roman"/>
          <w:spacing w:val="1"/>
          <w:sz w:val="24"/>
          <w:szCs w:val="24"/>
        </w:rPr>
      </w:pPr>
      <w:r w:rsidRPr="00AD2ABD">
        <w:rPr>
          <w:rFonts w:ascii="Times New Roman" w:hAnsi="Times New Roman"/>
          <w:sz w:val="24"/>
          <w:szCs w:val="24"/>
          <w:lang w:val="en-GB"/>
        </w:rPr>
        <w:t xml:space="preserve">Spatial arrangements and </w:t>
      </w:r>
      <w:proofErr w:type="spellStart"/>
      <w:r w:rsidRPr="00AD2ABD">
        <w:rPr>
          <w:rFonts w:ascii="Times New Roman" w:hAnsi="Times New Roman"/>
          <w:sz w:val="24"/>
          <w:szCs w:val="24"/>
          <w:lang w:val="en-GB"/>
        </w:rPr>
        <w:t>behavior</w:t>
      </w:r>
      <w:proofErr w:type="spellEnd"/>
      <w:r w:rsidRPr="00AD2ABD">
        <w:rPr>
          <w:rFonts w:ascii="Times New Roman" w:hAnsi="Times New Roman"/>
          <w:sz w:val="24"/>
          <w:szCs w:val="24"/>
          <w:lang w:val="en-GB"/>
        </w:rPr>
        <w:t xml:space="preserve"> of hospital staff that heavily impede women’s privacy, intimacy and confidentiality of care.</w:t>
      </w:r>
      <w:r w:rsidRPr="007F071F">
        <w:rPr>
          <w:rStyle w:val="EndnoteReference"/>
          <w:rFonts w:ascii="Times New Roman" w:hAnsi="Times New Roman"/>
          <w:spacing w:val="1"/>
        </w:rPr>
        <w:endnoteReference w:id="31"/>
      </w:r>
    </w:p>
    <w:p w14:paraId="642B3FF9" w14:textId="77777777" w:rsidR="00587E13" w:rsidRPr="00A50E4D" w:rsidRDefault="007F6BCB" w:rsidP="00587E13">
      <w:pPr>
        <w:pStyle w:val="Sinespaciado"/>
        <w:ind w:left="780"/>
        <w:jc w:val="both"/>
        <w:rPr>
          <w:i/>
          <w:spacing w:val="1"/>
        </w:rPr>
      </w:pPr>
      <w:r>
        <w:rPr>
          <w:i/>
          <w:spacing w:val="1"/>
        </w:rPr>
        <w:t>International Medical Guidelines and International Human Rights Law and S</w:t>
      </w:r>
      <w:r w:rsidR="00587E13" w:rsidRPr="00A50E4D">
        <w:rPr>
          <w:i/>
          <w:spacing w:val="1"/>
        </w:rPr>
        <w:t xml:space="preserve">tandards </w:t>
      </w:r>
    </w:p>
    <w:p w14:paraId="6A422F89" w14:textId="77777777" w:rsidR="00587E13" w:rsidRDefault="00587E13" w:rsidP="00587E13">
      <w:pPr>
        <w:pStyle w:val="Sinespaciado"/>
        <w:ind w:left="780"/>
        <w:jc w:val="both"/>
        <w:rPr>
          <w:spacing w:val="1"/>
        </w:rPr>
      </w:pPr>
    </w:p>
    <w:p w14:paraId="0826932F" w14:textId="0873B76D" w:rsidR="00587E13" w:rsidRDefault="00587E13" w:rsidP="00587E13">
      <w:pPr>
        <w:pStyle w:val="Sinespaciado"/>
        <w:jc w:val="both"/>
      </w:pPr>
      <w:r w:rsidRPr="00E94052">
        <w:t>These practices</w:t>
      </w:r>
      <w:r>
        <w:t xml:space="preserve"> give rise to serious concerns that maternal health care in Slovakia does not comply with international medical guidelines, </w:t>
      </w:r>
      <w:r w:rsidRPr="00E94052">
        <w:t>scientific evidence and international standards of care</w:t>
      </w:r>
      <w:r>
        <w:t>.</w:t>
      </w:r>
      <w:r w:rsidRPr="00E94052">
        <w:rPr>
          <w:rStyle w:val="EndnoteReference"/>
          <w:spacing w:val="1"/>
        </w:rPr>
        <w:endnoteReference w:id="32"/>
      </w:r>
      <w:r w:rsidRPr="00E94052">
        <w:t xml:space="preserve"> </w:t>
      </w:r>
      <w:r w:rsidR="00001B26">
        <w:t xml:space="preserve">For </w:t>
      </w:r>
      <w:r w:rsidR="00143295">
        <w:t>example</w:t>
      </w:r>
      <w:r w:rsidR="00001B26">
        <w:t xml:space="preserve">, </w:t>
      </w:r>
      <w:r w:rsidR="00754105">
        <w:t>the World Health Organization (WHO) has spe</w:t>
      </w:r>
      <w:r w:rsidR="00DE410B">
        <w:t>cified</w:t>
      </w:r>
      <w:r w:rsidR="00603C52">
        <w:t xml:space="preserve"> </w:t>
      </w:r>
      <w:r w:rsidR="00754105">
        <w:t>that</w:t>
      </w:r>
      <w:r w:rsidR="00F96F7C">
        <w:t xml:space="preserve"> women’s freedom to ch</w:t>
      </w:r>
      <w:r w:rsidR="000830D1">
        <w:t>oose</w:t>
      </w:r>
      <w:r w:rsidR="00F96F7C">
        <w:t xml:space="preserve"> positions and </w:t>
      </w:r>
      <w:r w:rsidR="00754105">
        <w:t xml:space="preserve">assume </w:t>
      </w:r>
      <w:r w:rsidR="00F96F7C">
        <w:t xml:space="preserve">a variety of </w:t>
      </w:r>
      <w:r w:rsidR="00754105">
        <w:t>position</w:t>
      </w:r>
      <w:r w:rsidR="00F96F7C">
        <w:t>s</w:t>
      </w:r>
      <w:r w:rsidR="00754105">
        <w:t xml:space="preserve"> during the course of </w:t>
      </w:r>
      <w:proofErr w:type="spellStart"/>
      <w:r w:rsidR="00754105">
        <w:t>labour</w:t>
      </w:r>
      <w:proofErr w:type="spellEnd"/>
      <w:r w:rsidR="00754105">
        <w:t xml:space="preserve"> </w:t>
      </w:r>
      <w:r w:rsidR="00754105" w:rsidRPr="00F47D66">
        <w:t>alleviate</w:t>
      </w:r>
      <w:r w:rsidR="00F96F7C">
        <w:t>s</w:t>
      </w:r>
      <w:r w:rsidR="00754105" w:rsidRPr="00F47D66">
        <w:t xml:space="preserve"> </w:t>
      </w:r>
      <w:proofErr w:type="spellStart"/>
      <w:r w:rsidR="00754105" w:rsidRPr="00F47D66">
        <w:t>labour</w:t>
      </w:r>
      <w:proofErr w:type="spellEnd"/>
      <w:r w:rsidR="00754105" w:rsidRPr="00F47D66">
        <w:t xml:space="preserve"> pain</w:t>
      </w:r>
      <w:r w:rsidR="00754105">
        <w:t xml:space="preserve"> and that women should not be restricted to bed</w:t>
      </w:r>
      <w:r w:rsidR="00F96F7C">
        <w:t xml:space="preserve"> and </w:t>
      </w:r>
      <w:r w:rsidR="00754105">
        <w:t>the supine position.</w:t>
      </w:r>
      <w:r w:rsidR="00754105" w:rsidRPr="00AA538F">
        <w:rPr>
          <w:rStyle w:val="EndnoteReference"/>
        </w:rPr>
        <w:endnoteReference w:id="33"/>
      </w:r>
      <w:r w:rsidR="00224B1F">
        <w:t xml:space="preserve"> With regard </w:t>
      </w:r>
      <w:r w:rsidR="00001B26">
        <w:t xml:space="preserve">to </w:t>
      </w:r>
      <w:r w:rsidR="00143295">
        <w:t xml:space="preserve">the </w:t>
      </w:r>
      <w:proofErr w:type="spellStart"/>
      <w:r w:rsidR="00001B26">
        <w:t>Kristeller</w:t>
      </w:r>
      <w:proofErr w:type="spellEnd"/>
      <w:r w:rsidR="00001B26">
        <w:t xml:space="preserve"> maneuver</w:t>
      </w:r>
      <w:r w:rsidR="00754105">
        <w:t>,</w:t>
      </w:r>
      <w:r w:rsidR="00001B26">
        <w:t xml:space="preserve"> the </w:t>
      </w:r>
      <w:r w:rsidR="00D733D8">
        <w:t>W</w:t>
      </w:r>
      <w:r w:rsidR="00001B26">
        <w:t xml:space="preserve">HO has </w:t>
      </w:r>
      <w:r w:rsidR="00F96F7C">
        <w:t xml:space="preserve">advised against </w:t>
      </w:r>
      <w:r w:rsidR="00E30B2B">
        <w:t xml:space="preserve">its </w:t>
      </w:r>
      <w:r w:rsidR="00F96F7C">
        <w:t xml:space="preserve">use and </w:t>
      </w:r>
      <w:r w:rsidR="00001B26">
        <w:t xml:space="preserve">outlined that </w:t>
      </w:r>
      <w:r w:rsidR="00001B26" w:rsidRPr="00512F44">
        <w:t>“[a]part from the issue of increased maternal discomfort, there is suspicion that the practice may be harmful for the uterus, the perineum and the fetus.”</w:t>
      </w:r>
      <w:r w:rsidR="00001B26" w:rsidRPr="00AA538F">
        <w:rPr>
          <w:rStyle w:val="EndnoteReference"/>
        </w:rPr>
        <w:endnoteReference w:id="34"/>
      </w:r>
      <w:r w:rsidR="00001B26">
        <w:t xml:space="preserve"> </w:t>
      </w:r>
      <w:r w:rsidR="00143295">
        <w:t>Meanwhile</w:t>
      </w:r>
      <w:r w:rsidR="00001B26">
        <w:t xml:space="preserve"> </w:t>
      </w:r>
      <w:r w:rsidR="00D733D8">
        <w:t xml:space="preserve">the </w:t>
      </w:r>
      <w:r w:rsidR="00D733D8" w:rsidRPr="00C24837">
        <w:t>International Federation of Gynecology and Obstetrics (</w:t>
      </w:r>
      <w:r w:rsidR="00001B26" w:rsidRPr="00C24837">
        <w:rPr>
          <w:lang w:val="en-GB"/>
        </w:rPr>
        <w:t>FIGO</w:t>
      </w:r>
      <w:r w:rsidR="00D733D8" w:rsidRPr="00C24837">
        <w:rPr>
          <w:lang w:val="en-GB"/>
        </w:rPr>
        <w:t>)</w:t>
      </w:r>
      <w:r w:rsidR="00001B26" w:rsidRPr="00C24837">
        <w:rPr>
          <w:lang w:val="en-GB"/>
        </w:rPr>
        <w:t xml:space="preserve"> has stressed that</w:t>
      </w:r>
      <w:r w:rsidR="00143295" w:rsidRPr="00C24837">
        <w:rPr>
          <w:lang w:val="en-GB"/>
        </w:rPr>
        <w:t xml:space="preserve"> suturing</w:t>
      </w:r>
      <w:r w:rsidR="00001B26" w:rsidRPr="00C24837">
        <w:rPr>
          <w:lang w:val="en-GB"/>
        </w:rPr>
        <w:t xml:space="preserve"> </w:t>
      </w:r>
      <w:r w:rsidR="00143295" w:rsidRPr="00C24837">
        <w:rPr>
          <w:lang w:val="en-GB"/>
        </w:rPr>
        <w:t xml:space="preserve">must </w:t>
      </w:r>
      <w:r w:rsidR="00001B26" w:rsidRPr="00C24837">
        <w:rPr>
          <w:lang w:val="en-GB"/>
        </w:rPr>
        <w:t>al</w:t>
      </w:r>
      <w:r w:rsidR="00001B26" w:rsidRPr="00512F44">
        <w:rPr>
          <w:lang w:val="en-GB"/>
        </w:rPr>
        <w:t xml:space="preserve">ways be performed under adequate perineal </w:t>
      </w:r>
      <w:proofErr w:type="spellStart"/>
      <w:r w:rsidR="00001B26" w:rsidRPr="00512F44">
        <w:rPr>
          <w:lang w:val="en-GB"/>
        </w:rPr>
        <w:t>anesthesia</w:t>
      </w:r>
      <w:proofErr w:type="spellEnd"/>
      <w:r w:rsidR="00324C1D">
        <w:rPr>
          <w:rStyle w:val="EndnoteReference"/>
          <w:lang w:val="en-GB"/>
        </w:rPr>
        <w:endnoteReference w:id="35"/>
      </w:r>
      <w:r w:rsidR="00143295">
        <w:rPr>
          <w:lang w:val="en-GB"/>
        </w:rPr>
        <w:t xml:space="preserve"> and pain </w:t>
      </w:r>
      <w:proofErr w:type="spellStart"/>
      <w:r w:rsidR="00143295">
        <w:rPr>
          <w:lang w:val="en-GB"/>
        </w:rPr>
        <w:t>allieviation</w:t>
      </w:r>
      <w:proofErr w:type="spellEnd"/>
      <w:r w:rsidR="00143295">
        <w:rPr>
          <w:lang w:val="en-GB"/>
        </w:rPr>
        <w:t xml:space="preserve"> during suturing is standard practice in European jurisdictions</w:t>
      </w:r>
      <w:r w:rsidR="00001B26" w:rsidRPr="00512F44">
        <w:rPr>
          <w:lang w:val="en-GB"/>
        </w:rPr>
        <w:t>.</w:t>
      </w:r>
      <w:r w:rsidR="00324C1D" w:rsidDel="00324C1D">
        <w:rPr>
          <w:rStyle w:val="EndnoteReference"/>
          <w:lang w:val="en-GB"/>
        </w:rPr>
        <w:t xml:space="preserve"> </w:t>
      </w:r>
    </w:p>
    <w:p w14:paraId="4AE92194" w14:textId="77777777" w:rsidR="00587E13" w:rsidRDefault="00587E13" w:rsidP="00587E13">
      <w:pPr>
        <w:pStyle w:val="Sinespaciado"/>
        <w:jc w:val="both"/>
      </w:pPr>
    </w:p>
    <w:p w14:paraId="6CBA0ABF" w14:textId="77777777" w:rsidR="00890A2C" w:rsidRDefault="00587E13" w:rsidP="00587E13">
      <w:pPr>
        <w:pStyle w:val="Sinespaciado"/>
        <w:jc w:val="both"/>
      </w:pPr>
      <w:r>
        <w:t>These practices</w:t>
      </w:r>
      <w:r w:rsidR="00C31A00">
        <w:t xml:space="preserve"> also</w:t>
      </w:r>
      <w:r>
        <w:t xml:space="preserve"> indicate that </w:t>
      </w:r>
      <w:r w:rsidR="00143295">
        <w:t xml:space="preserve">Slovak </w:t>
      </w:r>
      <w:r>
        <w:t>authorities are failing to respect and ensure the protection of women’s human rights during childbirth</w:t>
      </w:r>
      <w:r w:rsidR="00890A2C">
        <w:t xml:space="preserve"> and give rise to specific concerns in relation to Article 2(1), 3, 7 and 17 under the Covenant. </w:t>
      </w:r>
    </w:p>
    <w:p w14:paraId="383B3560" w14:textId="77777777" w:rsidR="00890A2C" w:rsidRDefault="00890A2C" w:rsidP="00587E13">
      <w:pPr>
        <w:pStyle w:val="Sinespaciado"/>
        <w:jc w:val="both"/>
      </w:pPr>
    </w:p>
    <w:p w14:paraId="527B849B" w14:textId="2A7FD0AB" w:rsidR="00640D9A" w:rsidRDefault="00526A4D" w:rsidP="00587E13">
      <w:pPr>
        <w:pStyle w:val="Sinespaciado"/>
        <w:jc w:val="both"/>
      </w:pPr>
      <w:r>
        <w:t xml:space="preserve">Articles 2(1) and 3 of the Covenant </w:t>
      </w:r>
      <w:r w:rsidR="00375938">
        <w:t>require</w:t>
      </w:r>
      <w:r w:rsidR="00DE2EBD">
        <w:t xml:space="preserve"> State</w:t>
      </w:r>
      <w:r w:rsidR="00DE2EBD" w:rsidRPr="00BE20D2">
        <w:t xml:space="preserve"> parties to ensure </w:t>
      </w:r>
      <w:r w:rsidR="00375938">
        <w:t>women</w:t>
      </w:r>
      <w:r w:rsidR="00373540">
        <w:t>’s</w:t>
      </w:r>
      <w:r w:rsidR="00375938">
        <w:t xml:space="preserve"> </w:t>
      </w:r>
      <w:r w:rsidR="00DE2EBD" w:rsidRPr="00BE20D2">
        <w:t>enjoy</w:t>
      </w:r>
      <w:r w:rsidR="00373540">
        <w:t>ment of</w:t>
      </w:r>
      <w:r w:rsidR="00DE2EBD" w:rsidRPr="00BE20D2">
        <w:t xml:space="preserve"> </w:t>
      </w:r>
      <w:r w:rsidR="00375938">
        <w:t>the rights enshrined in the Covenant on a basis of equality and free from</w:t>
      </w:r>
      <w:r w:rsidR="00DE2EBD" w:rsidRPr="00BE20D2">
        <w:t xml:space="preserve"> discrimination on ground</w:t>
      </w:r>
      <w:r w:rsidR="00375938">
        <w:t>s</w:t>
      </w:r>
      <w:r w:rsidR="00DE2EBD" w:rsidRPr="00BE20D2">
        <w:t xml:space="preserve"> of sex.</w:t>
      </w:r>
      <w:r w:rsidR="00373540" w:rsidRPr="00BE20D2">
        <w:rPr>
          <w:rStyle w:val="EndnoteReference"/>
        </w:rPr>
        <w:endnoteReference w:id="36"/>
      </w:r>
      <w:r w:rsidR="00373540">
        <w:t xml:space="preserve"> T</w:t>
      </w:r>
      <w:r w:rsidR="00890A2C">
        <w:t xml:space="preserve">he </w:t>
      </w:r>
      <w:r w:rsidR="00D733D8">
        <w:t>Committee on the Elimination of Discrimination against Women (C</w:t>
      </w:r>
      <w:r w:rsidR="00890A2C">
        <w:t>EDAW</w:t>
      </w:r>
      <w:r w:rsidR="00D733D8">
        <w:t>)</w:t>
      </w:r>
      <w:r w:rsidR="00890A2C">
        <w:t xml:space="preserve"> has </w:t>
      </w:r>
      <w:r w:rsidR="00373540">
        <w:t>confirmed</w:t>
      </w:r>
      <w:r w:rsidR="00890A2C">
        <w:t xml:space="preserve"> that abuse and </w:t>
      </w:r>
      <w:r w:rsidR="00373540">
        <w:t xml:space="preserve">mistreatment </w:t>
      </w:r>
      <w:r w:rsidR="00890A2C">
        <w:t>during childbirth in maternity hospitals amount</w:t>
      </w:r>
      <w:r w:rsidR="00373540">
        <w:t>s</w:t>
      </w:r>
      <w:r w:rsidR="00890A2C">
        <w:t xml:space="preserve"> to discrimination against women in </w:t>
      </w:r>
      <w:r w:rsidR="00373540">
        <w:t xml:space="preserve">the </w:t>
      </w:r>
      <w:r w:rsidR="00890A2C">
        <w:t xml:space="preserve">enjoyment of their human rights. </w:t>
      </w:r>
      <w:r w:rsidR="00373540">
        <w:t>It has</w:t>
      </w:r>
      <w:r w:rsidR="00756464">
        <w:t xml:space="preserve"> urged S</w:t>
      </w:r>
      <w:r w:rsidR="001F3AA7">
        <w:t xml:space="preserve">tate parties to improve standards of care with regard to childbirth and </w:t>
      </w:r>
      <w:r w:rsidR="00756464">
        <w:t xml:space="preserve">to </w:t>
      </w:r>
      <w:r w:rsidR="001F3AA7">
        <w:t xml:space="preserve">ensure that all interventions are performed only with a woman’s full, prior and informed consent, and </w:t>
      </w:r>
      <w:r w:rsidR="00C24837">
        <w:t xml:space="preserve">that </w:t>
      </w:r>
      <w:r w:rsidR="001F3AA7">
        <w:t>health</w:t>
      </w:r>
      <w:r w:rsidR="00756464">
        <w:t xml:space="preserve">care professionals are </w:t>
      </w:r>
      <w:r w:rsidR="001F3AA7">
        <w:t xml:space="preserve">trained on </w:t>
      </w:r>
      <w:proofErr w:type="spellStart"/>
      <w:proofErr w:type="gramStart"/>
      <w:r w:rsidR="001F3AA7">
        <w:t>patients</w:t>
      </w:r>
      <w:proofErr w:type="gramEnd"/>
      <w:r w:rsidR="001F3AA7">
        <w:t xml:space="preserve"> rights</w:t>
      </w:r>
      <w:proofErr w:type="spellEnd"/>
      <w:r w:rsidR="001F3AA7">
        <w:t xml:space="preserve"> and ethical standards.</w:t>
      </w:r>
      <w:r w:rsidR="00C24837">
        <w:rPr>
          <w:rStyle w:val="EndnoteReference"/>
        </w:rPr>
        <w:endnoteReference w:id="37"/>
      </w:r>
      <w:r w:rsidR="00C24837">
        <w:t xml:space="preserve"> </w:t>
      </w:r>
      <w:r w:rsidR="00373540">
        <w:t>Specifically, w</w:t>
      </w:r>
      <w:r w:rsidR="00640D9A">
        <w:t>it</w:t>
      </w:r>
      <w:r w:rsidR="00756464">
        <w:t xml:space="preserve">h respect to Slovakia, </w:t>
      </w:r>
      <w:r w:rsidR="00640D9A">
        <w:t xml:space="preserve">CEDAW </w:t>
      </w:r>
      <w:r w:rsidR="00640D9A" w:rsidRPr="00886ABB">
        <w:t xml:space="preserve">has </w:t>
      </w:r>
      <w:r w:rsidR="00640D9A">
        <w:t>expressed concerns that “[o]</w:t>
      </w:r>
      <w:proofErr w:type="spellStart"/>
      <w:r w:rsidR="00640D9A" w:rsidRPr="002C1545">
        <w:t>versight</w:t>
      </w:r>
      <w:proofErr w:type="spellEnd"/>
      <w:r w:rsidR="00640D9A" w:rsidRPr="002C1545">
        <w:t xml:space="preserve"> procedures and mechanisms for ensuring adequate standards of care and the respect for women’s rights, dignity and autonomy during deliveries are lacking, and options for giving birt</w:t>
      </w:r>
      <w:r w:rsidR="00640D9A">
        <w:t xml:space="preserve">h outside hospitals are limited”, and </w:t>
      </w:r>
      <w:r w:rsidR="00640D9A" w:rsidRPr="00886ABB">
        <w:t xml:space="preserve">called upon </w:t>
      </w:r>
      <w:r w:rsidR="00640D9A">
        <w:t>the G</w:t>
      </w:r>
      <w:r w:rsidR="00640D9A" w:rsidRPr="00886ABB">
        <w:t>overnment to “[p]</w:t>
      </w:r>
      <w:proofErr w:type="spellStart"/>
      <w:r w:rsidR="00640D9A" w:rsidRPr="00886ABB">
        <w:t>ut</w:t>
      </w:r>
      <w:proofErr w:type="spellEnd"/>
      <w:r w:rsidR="00640D9A" w:rsidRPr="00886ABB">
        <w:t xml:space="preserve"> in place adequate safeguards to ensure that women have access to appropriate and safe child birth procedures which are in line with adequate standards of care, respect for women’s autonomy and the requirement of free, prior, informed consent.”</w:t>
      </w:r>
      <w:r w:rsidR="00640D9A">
        <w:rPr>
          <w:rStyle w:val="EndnoteReference"/>
        </w:rPr>
        <w:endnoteReference w:id="38"/>
      </w:r>
      <w:r w:rsidR="00640D9A" w:rsidRPr="00E94052">
        <w:t xml:space="preserve"> </w:t>
      </w:r>
      <w:r w:rsidR="003F08E2">
        <w:t xml:space="preserve">The Council of Europe Commissioner </w:t>
      </w:r>
      <w:r w:rsidR="005126C3">
        <w:t>for</w:t>
      </w:r>
      <w:r w:rsidR="003F08E2">
        <w:t xml:space="preserve"> Human Rights has also recently expressed concerns regarding the treatment of women during childbirth in Slovakia</w:t>
      </w:r>
      <w:r w:rsidR="00424A34">
        <w:t xml:space="preserve"> and echoed CEDAW’s recommendation that States “</w:t>
      </w:r>
      <w:r w:rsidR="00D06059" w:rsidRPr="00D06059">
        <w:t>put in place adequate safeguards, including oversight procedures and mechanisms, to ensure that women have access to appropriate and safe child birth procedures which are in line with adequate standards of care, respect women’s autonomy and the requirement of free, prior and informed consent</w:t>
      </w:r>
      <w:r w:rsidR="00D06059">
        <w:t>.</w:t>
      </w:r>
      <w:r w:rsidR="00424A34">
        <w:t>”</w:t>
      </w:r>
      <w:r w:rsidR="003831D6">
        <w:rPr>
          <w:rStyle w:val="EndnoteReference"/>
        </w:rPr>
        <w:endnoteReference w:id="39"/>
      </w:r>
    </w:p>
    <w:p w14:paraId="679B1B41" w14:textId="77777777" w:rsidR="00143295" w:rsidRDefault="00143295" w:rsidP="00587E13">
      <w:pPr>
        <w:pStyle w:val="Sinespaciado"/>
        <w:jc w:val="both"/>
      </w:pPr>
    </w:p>
    <w:p w14:paraId="44716A80" w14:textId="3EFCA0B9" w:rsidR="009C58B6" w:rsidRPr="009C58B6" w:rsidRDefault="00DE2EBD" w:rsidP="00324C1D">
      <w:pPr>
        <w:pStyle w:val="Sinespaciado"/>
        <w:jc w:val="both"/>
      </w:pPr>
      <w:r>
        <w:t>A</w:t>
      </w:r>
      <w:r w:rsidR="00373540">
        <w:t>s the Committee has repeatedly outlined</w:t>
      </w:r>
      <w:r w:rsidR="00EC4886">
        <w:t>,</w:t>
      </w:r>
      <w:r w:rsidR="00373540">
        <w:t xml:space="preserve"> </w:t>
      </w:r>
      <w:r w:rsidR="00E27C8A" w:rsidRPr="00E27C8A">
        <w:t>women’s</w:t>
      </w:r>
      <w:r w:rsidR="00373540">
        <w:t xml:space="preserve"> personal and bodily integrity and</w:t>
      </w:r>
      <w:r w:rsidR="00E27C8A" w:rsidRPr="00E27C8A">
        <w:t xml:space="preserve"> reproductive autonomy </w:t>
      </w:r>
      <w:r w:rsidR="00373540">
        <w:t>fall within</w:t>
      </w:r>
      <w:r w:rsidR="00E27C8A" w:rsidRPr="00E27C8A">
        <w:t xml:space="preserve"> the right to privacy</w:t>
      </w:r>
      <w:r w:rsidR="00373540">
        <w:t xml:space="preserve"> as enshrined in Article 17</w:t>
      </w:r>
      <w:r w:rsidR="00EC4886">
        <w:t xml:space="preserve"> of the Covenant</w:t>
      </w:r>
      <w:r w:rsidR="00E27C8A" w:rsidRPr="00E27C8A">
        <w:t>.</w:t>
      </w:r>
      <w:r>
        <w:rPr>
          <w:rStyle w:val="EndnoteReference"/>
        </w:rPr>
        <w:endnoteReference w:id="40"/>
      </w:r>
      <w:r>
        <w:t xml:space="preserve"> </w:t>
      </w:r>
      <w:r w:rsidR="00373540">
        <w:t xml:space="preserve">Respect for the principle of </w:t>
      </w:r>
      <w:r w:rsidR="00C24837">
        <w:t xml:space="preserve">informed consent </w:t>
      </w:r>
      <w:r w:rsidR="00373540">
        <w:t xml:space="preserve">in relation to medical decision making is also required by </w:t>
      </w:r>
      <w:r w:rsidR="00C24837">
        <w:t>the right to privacy.</w:t>
      </w:r>
      <w:r w:rsidR="00C24837">
        <w:rPr>
          <w:rStyle w:val="EndnoteReference"/>
        </w:rPr>
        <w:endnoteReference w:id="41"/>
      </w:r>
      <w:r>
        <w:t xml:space="preserve"> </w:t>
      </w:r>
      <w:r w:rsidR="00890A2C">
        <w:t xml:space="preserve">The </w:t>
      </w:r>
      <w:r>
        <w:t>ECtHR</w:t>
      </w:r>
      <w:r w:rsidR="0035239F">
        <w:t xml:space="preserve"> </w:t>
      </w:r>
      <w:r w:rsidR="009C58B6" w:rsidRPr="009C58B6">
        <w:t xml:space="preserve">has </w:t>
      </w:r>
      <w:r w:rsidR="00526A4D">
        <w:t xml:space="preserve">determined that </w:t>
      </w:r>
      <w:r w:rsidR="00526A4D" w:rsidRPr="009C58B6">
        <w:t xml:space="preserve">women’s </w:t>
      </w:r>
      <w:r w:rsidR="00526A4D">
        <w:t xml:space="preserve">ability to make </w:t>
      </w:r>
      <w:proofErr w:type="gramStart"/>
      <w:r w:rsidR="00526A4D" w:rsidRPr="009C58B6">
        <w:t>decision</w:t>
      </w:r>
      <w:r w:rsidR="00526A4D">
        <w:t>’s</w:t>
      </w:r>
      <w:proofErr w:type="gramEnd"/>
      <w:r w:rsidR="00526A4D" w:rsidRPr="009C58B6">
        <w:t xml:space="preserve"> during and after childbirth </w:t>
      </w:r>
      <w:r w:rsidR="00526A4D">
        <w:t xml:space="preserve">falls </w:t>
      </w:r>
      <w:r w:rsidR="00526A4D" w:rsidRPr="009C58B6">
        <w:t>within the framework of the right to privacy</w:t>
      </w:r>
      <w:r w:rsidR="00526A4D">
        <w:t xml:space="preserve"> as enshrined in Article 8 of the European Convention of Human Rights and that the practices of medical providers and state authorities in relation to childbirth may give rise to violations of the right</w:t>
      </w:r>
      <w:r w:rsidR="00526A4D" w:rsidRPr="009C58B6">
        <w:t>. For example</w:t>
      </w:r>
      <w:r>
        <w:t>,</w:t>
      </w:r>
      <w:r w:rsidR="00526A4D">
        <w:t xml:space="preserve"> </w:t>
      </w:r>
      <w:r w:rsidR="009C58B6" w:rsidRPr="009C58B6">
        <w:t xml:space="preserve">the Court </w:t>
      </w:r>
      <w:r w:rsidR="00526A4D">
        <w:t xml:space="preserve">has </w:t>
      </w:r>
      <w:r w:rsidR="009C58B6" w:rsidRPr="009C58B6">
        <w:t xml:space="preserve">found that </w:t>
      </w:r>
      <w:r w:rsidR="00526A4D">
        <w:t>where</w:t>
      </w:r>
      <w:r w:rsidR="00526A4D" w:rsidRPr="009C58B6">
        <w:t xml:space="preserve"> </w:t>
      </w:r>
      <w:r w:rsidR="009C58B6" w:rsidRPr="009C58B6">
        <w:t>a woman</w:t>
      </w:r>
      <w:r w:rsidR="00526A4D">
        <w:t xml:space="preserve"> gave </w:t>
      </w:r>
      <w:r w:rsidR="009C58B6" w:rsidRPr="009C58B6">
        <w:t xml:space="preserve">birth in front of medical students in the absence of any safeguards for her privacy </w:t>
      </w:r>
      <w:r w:rsidR="00526A4D">
        <w:t xml:space="preserve">and without her informed consent and against her will this </w:t>
      </w:r>
      <w:r w:rsidR="009C58B6" w:rsidRPr="009C58B6">
        <w:t>violated her right to respect for private life.</w:t>
      </w:r>
      <w:r w:rsidR="009C58B6" w:rsidRPr="009C58B6">
        <w:rPr>
          <w:rStyle w:val="EndnoteReference"/>
        </w:rPr>
        <w:endnoteReference w:id="42"/>
      </w:r>
      <w:r w:rsidR="009C58B6" w:rsidRPr="009C58B6">
        <w:t xml:space="preserve"> </w:t>
      </w:r>
      <w:r w:rsidR="00526A4D">
        <w:t>It has held</w:t>
      </w:r>
      <w:r w:rsidR="00526A4D" w:rsidRPr="00526A4D">
        <w:t xml:space="preserve"> </w:t>
      </w:r>
      <w:r w:rsidR="00526A4D">
        <w:t xml:space="preserve">that women’s </w:t>
      </w:r>
      <w:r w:rsidR="00526A4D" w:rsidRPr="009C58B6">
        <w:t xml:space="preserve">ability to determine the circumstances </w:t>
      </w:r>
      <w:r w:rsidR="00526A4D">
        <w:t>in which they give</w:t>
      </w:r>
      <w:r w:rsidR="00526A4D" w:rsidRPr="009C58B6">
        <w:t xml:space="preserve"> birth </w:t>
      </w:r>
      <w:r w:rsidR="00526A4D">
        <w:t>falls within the scope of the right to</w:t>
      </w:r>
      <w:r w:rsidR="00526A4D" w:rsidRPr="009C58B6">
        <w:t xml:space="preserve"> </w:t>
      </w:r>
      <w:r w:rsidR="0021698E">
        <w:t xml:space="preserve">respect for </w:t>
      </w:r>
      <w:r w:rsidR="00526A4D" w:rsidRPr="009C58B6">
        <w:t xml:space="preserve">private life and that </w:t>
      </w:r>
      <w:r w:rsidR="00526A4D">
        <w:t>restrictions on</w:t>
      </w:r>
      <w:r w:rsidR="00526A4D" w:rsidRPr="009C58B6">
        <w:t xml:space="preserve"> women’s autonomy to </w:t>
      </w:r>
      <w:r w:rsidR="00526A4D">
        <w:t>determine</w:t>
      </w:r>
      <w:r w:rsidR="00526A4D" w:rsidRPr="009C58B6">
        <w:t xml:space="preserve"> these circumstances</w:t>
      </w:r>
      <w:r w:rsidR="00526A4D">
        <w:t xml:space="preserve"> can violate the</w:t>
      </w:r>
      <w:r w:rsidR="00526A4D" w:rsidRPr="009C58B6">
        <w:t xml:space="preserve"> right.</w:t>
      </w:r>
      <w:r w:rsidR="00526A4D" w:rsidRPr="009C58B6">
        <w:rPr>
          <w:rStyle w:val="EndnoteReference"/>
        </w:rPr>
        <w:endnoteReference w:id="43"/>
      </w:r>
      <w:r w:rsidR="00526A4D" w:rsidRPr="009C58B6">
        <w:t xml:space="preserve"> </w:t>
      </w:r>
    </w:p>
    <w:p w14:paraId="4E0F7AD4" w14:textId="77777777" w:rsidR="009C58B6" w:rsidRDefault="009C58B6" w:rsidP="00587E13">
      <w:pPr>
        <w:pStyle w:val="Sinespaciado"/>
        <w:jc w:val="both"/>
      </w:pPr>
    </w:p>
    <w:p w14:paraId="42E7F80C" w14:textId="62B55FEC" w:rsidR="00011571" w:rsidRDefault="000D2F67" w:rsidP="00640D9A">
      <w:pPr>
        <w:pStyle w:val="Sinespaciado"/>
        <w:jc w:val="both"/>
      </w:pPr>
      <w:r>
        <w:t>Th</w:t>
      </w:r>
      <w:r w:rsidR="003F08E2">
        <w:t>e</w:t>
      </w:r>
      <w:r w:rsidRPr="00BE20D2">
        <w:t xml:space="preserve"> Committee </w:t>
      </w:r>
      <w:r>
        <w:t>has clarified that t</w:t>
      </w:r>
      <w:r w:rsidR="00DE2EBD">
        <w:t>he prohibition in A</w:t>
      </w:r>
      <w:r w:rsidRPr="00BE20D2">
        <w:t xml:space="preserve">rticle 7 </w:t>
      </w:r>
      <w:r w:rsidR="00DE2EBD">
        <w:t xml:space="preserve">of the Covenant </w:t>
      </w:r>
      <w:r w:rsidRPr="00BE20D2">
        <w:t xml:space="preserve">relates </w:t>
      </w:r>
      <w:r>
        <w:t xml:space="preserve">to </w:t>
      </w:r>
      <w:r w:rsidRPr="00BE20D2">
        <w:t xml:space="preserve">acts that cause physical pain </w:t>
      </w:r>
      <w:r>
        <w:t xml:space="preserve">as well as </w:t>
      </w:r>
      <w:r w:rsidRPr="00BE20D2">
        <w:t>to acts that cause mental suffering</w:t>
      </w:r>
      <w:r>
        <w:t>,</w:t>
      </w:r>
      <w:r w:rsidRPr="00BE20D2">
        <w:rPr>
          <w:vertAlign w:val="superscript"/>
        </w:rPr>
        <w:endnoteReference w:id="44"/>
      </w:r>
      <w:r w:rsidRPr="00BE20D2">
        <w:t xml:space="preserve"> </w:t>
      </w:r>
      <w:r>
        <w:t xml:space="preserve">and that </w:t>
      </w:r>
      <w:r w:rsidR="00DE2EBD">
        <w:t xml:space="preserve">cruel, inhuman or degrading treatment </w:t>
      </w:r>
      <w:r w:rsidRPr="000D2F67">
        <w:t>takes multiple, varied forms and depends on all the circumstances of the case.</w:t>
      </w:r>
      <w:r>
        <w:rPr>
          <w:rStyle w:val="EndnoteReference"/>
        </w:rPr>
        <w:endnoteReference w:id="45"/>
      </w:r>
      <w:r w:rsidRPr="000D2F67">
        <w:t xml:space="preserve"> </w:t>
      </w:r>
      <w:r w:rsidR="003F08E2">
        <w:t xml:space="preserve">International human rights mechanisms, including the Committee, have specified that the treatment of women during childbirth and in the course of maternal health care can give rise to concerns of </w:t>
      </w:r>
      <w:proofErr w:type="spellStart"/>
      <w:r w:rsidR="003F08E2">
        <w:t>illtreatment</w:t>
      </w:r>
      <w:proofErr w:type="spellEnd"/>
      <w:r w:rsidR="003F08E2">
        <w:t xml:space="preserve"> under Article 7.</w:t>
      </w:r>
      <w:r w:rsidR="003F08E2" w:rsidRPr="002A57AB">
        <w:rPr>
          <w:rStyle w:val="EndnoteReference"/>
        </w:rPr>
        <w:endnoteReference w:id="46"/>
      </w:r>
      <w:r w:rsidR="003F08E2">
        <w:t xml:space="preserve"> For example</w:t>
      </w:r>
      <w:r w:rsidR="003831D6">
        <w:t>,</w:t>
      </w:r>
      <w:r w:rsidR="003F08E2">
        <w:t xml:space="preserve"> the Special Rapporteur on torture has also observed that women may be exposed to severe pain and suffering when seeking maternal health care, </w:t>
      </w:r>
      <w:r w:rsidR="003F08E2" w:rsidRPr="00640D9A">
        <w:t>particularly immediate</w:t>
      </w:r>
      <w:r w:rsidR="003F08E2">
        <w:t>ly before and after childbirth, as a result of abuses such as “</w:t>
      </w:r>
      <w:r w:rsidR="003F08E2" w:rsidRPr="00640D9A">
        <w:t xml:space="preserve">extended delays in the provision of medical care, such as stitching after delivery to the absence of </w:t>
      </w:r>
      <w:proofErr w:type="spellStart"/>
      <w:r w:rsidR="003F08E2" w:rsidRPr="00640D9A">
        <w:t>anaesthesia</w:t>
      </w:r>
      <w:proofErr w:type="spellEnd"/>
      <w:r w:rsidR="003F08E2" w:rsidRPr="00640D9A">
        <w:t>.</w:t>
      </w:r>
      <w:r w:rsidR="003F08E2">
        <w:t>”</w:t>
      </w:r>
      <w:r w:rsidR="003F08E2">
        <w:rPr>
          <w:rStyle w:val="EndnoteReference"/>
        </w:rPr>
        <w:endnoteReference w:id="47"/>
      </w:r>
      <w:r w:rsidR="003F08E2">
        <w:t xml:space="preserve"> He has noted that “[s]</w:t>
      </w:r>
      <w:proofErr w:type="spellStart"/>
      <w:r w:rsidR="003F08E2" w:rsidRPr="00A75584">
        <w:t>uch</w:t>
      </w:r>
      <w:proofErr w:type="spellEnd"/>
      <w:r w:rsidR="003F08E2" w:rsidRPr="00A75584">
        <w:t xml:space="preserve"> mistreatment is often motivated by stereotypes </w:t>
      </w:r>
      <w:r w:rsidR="003F08E2" w:rsidRPr="00A75584">
        <w:lastRenderedPageBreak/>
        <w:t>regarding women’s childbearing roles and inflicts physical and psychological suffering that can amount to ill-treatment.</w:t>
      </w:r>
      <w:r w:rsidR="003F08E2">
        <w:t>”</w:t>
      </w:r>
      <w:r w:rsidR="003F08E2">
        <w:rPr>
          <w:rStyle w:val="EndnoteReference"/>
        </w:rPr>
        <w:endnoteReference w:id="48"/>
      </w:r>
      <w:r w:rsidR="003F08E2" w:rsidRPr="00A75584">
        <w:t xml:space="preserve"> </w:t>
      </w:r>
      <w:r w:rsidR="00011571">
        <w:t>The E</w:t>
      </w:r>
      <w:r w:rsidR="00DE2EBD">
        <w:t>CtHR</w:t>
      </w:r>
      <w:r w:rsidR="00011571">
        <w:t xml:space="preserve">, </w:t>
      </w:r>
      <w:r w:rsidR="003F08E2">
        <w:t>when addressing a case of</w:t>
      </w:r>
      <w:r w:rsidR="00011571">
        <w:t xml:space="preserve"> sterilization without informed consent</w:t>
      </w:r>
      <w:r>
        <w:t xml:space="preserve"> during childbirth</w:t>
      </w:r>
      <w:r w:rsidR="00011571">
        <w:t xml:space="preserve">, held </w:t>
      </w:r>
      <w:r w:rsidR="003F08E2">
        <w:t xml:space="preserve">that even where medical staff have no intention of </w:t>
      </w:r>
      <w:proofErr w:type="spellStart"/>
      <w:r w:rsidR="003F08E2">
        <w:t>ill treating</w:t>
      </w:r>
      <w:proofErr w:type="spellEnd"/>
      <w:r w:rsidR="003F08E2">
        <w:t xml:space="preserve"> a patient the </w:t>
      </w:r>
      <w:r w:rsidR="003F08E2" w:rsidRPr="00011571">
        <w:t xml:space="preserve">gross disregard for </w:t>
      </w:r>
      <w:r w:rsidR="003F08E2">
        <w:t>a woman’s</w:t>
      </w:r>
      <w:r w:rsidR="003F08E2" w:rsidRPr="00011571">
        <w:t xml:space="preserve"> human freedom, including the right to freely decide </w:t>
      </w:r>
      <w:r w:rsidR="003F08E2">
        <w:t>wh</w:t>
      </w:r>
      <w:r w:rsidR="003F08E2" w:rsidRPr="00011571">
        <w:t xml:space="preserve">ether </w:t>
      </w:r>
      <w:r w:rsidR="003F08E2">
        <w:t xml:space="preserve">to consent to a serious medical </w:t>
      </w:r>
      <w:r w:rsidR="003F08E2" w:rsidRPr="00011571">
        <w:t>procedure</w:t>
      </w:r>
      <w:r w:rsidR="003F08E2">
        <w:t>, can amount to ill treatment.</w:t>
      </w:r>
      <w:r w:rsidR="003831D6">
        <w:rPr>
          <w:rStyle w:val="CommentReference"/>
          <w:rFonts w:ascii="Calibri" w:eastAsia="Calibri" w:hAnsi="Calibri"/>
        </w:rPr>
        <w:t xml:space="preserve"> </w:t>
      </w:r>
      <w:r w:rsidR="003F08E2">
        <w:rPr>
          <w:rStyle w:val="EndnoteReference"/>
        </w:rPr>
        <w:endnoteReference w:id="49"/>
      </w:r>
      <w:r w:rsidR="00011571">
        <w:t xml:space="preserve"> </w:t>
      </w:r>
    </w:p>
    <w:p w14:paraId="5823C6D0" w14:textId="77777777" w:rsidR="00587E13" w:rsidRPr="002A6A49" w:rsidRDefault="00587E13" w:rsidP="00587E13">
      <w:pPr>
        <w:pStyle w:val="Sinespaciado"/>
        <w:jc w:val="both"/>
        <w:rPr>
          <w:spacing w:val="1"/>
        </w:rPr>
      </w:pPr>
      <w:r w:rsidRPr="002A6A49">
        <w:rPr>
          <w:spacing w:val="1"/>
        </w:rPr>
        <w:t xml:space="preserve">    </w:t>
      </w:r>
    </w:p>
    <w:p w14:paraId="6F8F0D53" w14:textId="77777777" w:rsidR="00587E13" w:rsidRPr="002A6A49" w:rsidRDefault="00587E13" w:rsidP="00587E13">
      <w:pPr>
        <w:pStyle w:val="Sinespaciado"/>
        <w:jc w:val="both"/>
        <w:rPr>
          <w:rFonts w:eastAsia="ヒラギノ角ゴ Pro W3"/>
          <w:b/>
          <w:i/>
          <w:color w:val="000000"/>
        </w:rPr>
      </w:pPr>
      <w:r w:rsidRPr="002A6A49">
        <w:rPr>
          <w:rFonts w:eastAsia="ヒラギノ角ゴ Pro W3"/>
          <w:b/>
          <w:i/>
          <w:color w:val="000000"/>
        </w:rPr>
        <w:t>Recommendations</w:t>
      </w:r>
    </w:p>
    <w:p w14:paraId="5DFF1B57" w14:textId="77777777" w:rsidR="00A75584" w:rsidRPr="000369B1" w:rsidRDefault="00A75584" w:rsidP="00887A0B">
      <w:pPr>
        <w:pStyle w:val="Sinespaciado"/>
        <w:numPr>
          <w:ilvl w:val="0"/>
          <w:numId w:val="3"/>
        </w:numPr>
        <w:jc w:val="both"/>
      </w:pPr>
      <w:r>
        <w:t xml:space="preserve">Put </w:t>
      </w:r>
      <w:r w:rsidRPr="00886ABB">
        <w:t>in place adequate safeguards to ensure that women have acces</w:t>
      </w:r>
      <w:r>
        <w:t>s to appropriate and safe child</w:t>
      </w:r>
      <w:r w:rsidRPr="00886ABB">
        <w:t xml:space="preserve">birth procedures which are in line with adequate standards of care, respect for women’s autonomy and </w:t>
      </w:r>
      <w:r>
        <w:t xml:space="preserve">human rights and </w:t>
      </w:r>
      <w:r w:rsidRPr="00886ABB">
        <w:t xml:space="preserve">the requirement of free, prior, </w:t>
      </w:r>
      <w:proofErr w:type="gramStart"/>
      <w:r w:rsidRPr="00886ABB">
        <w:t>informed</w:t>
      </w:r>
      <w:proofErr w:type="gramEnd"/>
      <w:r w:rsidRPr="00886ABB">
        <w:t xml:space="preserve"> consent.</w:t>
      </w:r>
    </w:p>
    <w:p w14:paraId="1EC8D1EB" w14:textId="77777777" w:rsidR="00587E13" w:rsidRPr="00587E13" w:rsidRDefault="00587E13" w:rsidP="00887A0B">
      <w:pPr>
        <w:pStyle w:val="ListParagraph"/>
        <w:numPr>
          <w:ilvl w:val="0"/>
          <w:numId w:val="3"/>
        </w:numPr>
        <w:jc w:val="both"/>
        <w:rPr>
          <w:rFonts w:ascii="Times New Roman" w:hAnsi="Times New Roman"/>
          <w:sz w:val="24"/>
          <w:szCs w:val="24"/>
        </w:rPr>
      </w:pPr>
      <w:r w:rsidRPr="00587E13">
        <w:rPr>
          <w:rFonts w:ascii="Times New Roman" w:hAnsi="Times New Roman"/>
          <w:sz w:val="24"/>
          <w:szCs w:val="24"/>
        </w:rPr>
        <w:t>Establish effective mechanisms, including those operating on an ex-officio basis, to monitor and oversee respect for women’s rights in childbirth.</w:t>
      </w:r>
    </w:p>
    <w:p w14:paraId="1929DAC6" w14:textId="75C5C6E1" w:rsidR="00FB171A" w:rsidRPr="00587E13" w:rsidRDefault="00DB7577" w:rsidP="00887A0B">
      <w:pPr>
        <w:pStyle w:val="Sinespaciado"/>
        <w:numPr>
          <w:ilvl w:val="0"/>
          <w:numId w:val="6"/>
        </w:numPr>
        <w:rPr>
          <w:b/>
        </w:rPr>
      </w:pPr>
      <w:r w:rsidRPr="00587E13">
        <w:rPr>
          <w:b/>
        </w:rPr>
        <w:t xml:space="preserve">Barriers in </w:t>
      </w:r>
      <w:r w:rsidR="00FB171A" w:rsidRPr="00587E13">
        <w:rPr>
          <w:b/>
        </w:rPr>
        <w:t>A</w:t>
      </w:r>
      <w:r w:rsidRPr="00587E13">
        <w:rPr>
          <w:b/>
        </w:rPr>
        <w:t xml:space="preserve">ccess to </w:t>
      </w:r>
      <w:r w:rsidR="00FB171A" w:rsidRPr="00587E13">
        <w:rPr>
          <w:b/>
        </w:rPr>
        <w:t>A</w:t>
      </w:r>
      <w:r w:rsidR="001A7DF2" w:rsidRPr="00587E13">
        <w:rPr>
          <w:b/>
        </w:rPr>
        <w:t xml:space="preserve">bortion </w:t>
      </w:r>
      <w:r w:rsidR="00FB171A" w:rsidRPr="00587E13">
        <w:rPr>
          <w:b/>
        </w:rPr>
        <w:t>S</w:t>
      </w:r>
      <w:r w:rsidR="001A7DF2" w:rsidRPr="00587E13">
        <w:rPr>
          <w:b/>
        </w:rPr>
        <w:t>ervices</w:t>
      </w:r>
      <w:r w:rsidR="00FB171A" w:rsidRPr="00587E13">
        <w:rPr>
          <w:b/>
        </w:rPr>
        <w:t xml:space="preserve"> (Articles 2</w:t>
      </w:r>
      <w:r w:rsidR="00B33697">
        <w:rPr>
          <w:b/>
        </w:rPr>
        <w:t>(1)</w:t>
      </w:r>
      <w:r w:rsidR="00FB171A" w:rsidRPr="00587E13">
        <w:rPr>
          <w:b/>
        </w:rPr>
        <w:t>, 3, 17 and 26 of the Covenant)</w:t>
      </w:r>
    </w:p>
    <w:p w14:paraId="75BA8C75" w14:textId="77777777" w:rsidR="00587E13" w:rsidRDefault="00587E13" w:rsidP="001A7DF2">
      <w:pPr>
        <w:pStyle w:val="Sinespaciado"/>
        <w:jc w:val="both"/>
      </w:pPr>
    </w:p>
    <w:p w14:paraId="10AB5CFE" w14:textId="2EC38496" w:rsidR="008E7A73" w:rsidRDefault="001A7DF2" w:rsidP="001A7DF2">
      <w:pPr>
        <w:pStyle w:val="Sinespaciado"/>
        <w:jc w:val="both"/>
      </w:pPr>
      <w:r w:rsidRPr="002A6A49">
        <w:t>S</w:t>
      </w:r>
      <w:r w:rsidR="001C43EE">
        <w:t xml:space="preserve">ince </w:t>
      </w:r>
      <w:r w:rsidR="00670854">
        <w:t>1986</w:t>
      </w:r>
      <w:r w:rsidR="001C43EE">
        <w:t xml:space="preserve"> S</w:t>
      </w:r>
      <w:r w:rsidRPr="002A6A49">
        <w:t xml:space="preserve">lovak law </w:t>
      </w:r>
      <w:r w:rsidR="001C43EE">
        <w:t xml:space="preserve">has </w:t>
      </w:r>
      <w:r w:rsidRPr="002A6A49">
        <w:t>permi</w:t>
      </w:r>
      <w:r w:rsidR="001C43EE">
        <w:t>tted</w:t>
      </w:r>
      <w:r w:rsidRPr="002A6A49">
        <w:t xml:space="preserve"> abortion on request up to 12 weeks of pregnancy, and thereafter, if </w:t>
      </w:r>
      <w:r w:rsidR="00981D16" w:rsidRPr="002A6A49">
        <w:t xml:space="preserve">a </w:t>
      </w:r>
      <w:r w:rsidRPr="002A6A49">
        <w:t>woman’s life</w:t>
      </w:r>
      <w:r w:rsidR="00981D16" w:rsidRPr="002A6A49">
        <w:t xml:space="preserve"> </w:t>
      </w:r>
      <w:r w:rsidRPr="002A6A49">
        <w:t>is in danger or in cases of fetal impairment.</w:t>
      </w:r>
      <w:r w:rsidRPr="002A6A49">
        <w:rPr>
          <w:rStyle w:val="EndnoteReference"/>
        </w:rPr>
        <w:endnoteReference w:id="50"/>
      </w:r>
      <w:r w:rsidRPr="002A6A49">
        <w:t xml:space="preserve"> </w:t>
      </w:r>
      <w:r w:rsidR="008E7A73">
        <w:t>However</w:t>
      </w:r>
      <w:r w:rsidR="00587E13">
        <w:t>,</w:t>
      </w:r>
      <w:r w:rsidR="008E7A73">
        <w:t xml:space="preserve"> a range of </w:t>
      </w:r>
      <w:r w:rsidR="00C31A00">
        <w:t xml:space="preserve">new retrogressive </w:t>
      </w:r>
      <w:r w:rsidR="008E7A73">
        <w:t>legal</w:t>
      </w:r>
      <w:r w:rsidR="00C31A00">
        <w:t xml:space="preserve"> barriers</w:t>
      </w:r>
      <w:r w:rsidR="008E7A73">
        <w:t xml:space="preserve"> and</w:t>
      </w:r>
      <w:r w:rsidR="00C31A00">
        <w:t xml:space="preserve"> ongoing</w:t>
      </w:r>
      <w:r w:rsidR="008E7A73">
        <w:t xml:space="preserve"> financial</w:t>
      </w:r>
      <w:r w:rsidR="00C31A00" w:rsidRPr="00C31A00">
        <w:t xml:space="preserve"> </w:t>
      </w:r>
      <w:r w:rsidR="00C31A00">
        <w:t>barriers</w:t>
      </w:r>
      <w:r w:rsidR="00C31A00">
        <w:rPr>
          <w:rStyle w:val="EndnoteReference"/>
        </w:rPr>
        <w:t xml:space="preserve"> </w:t>
      </w:r>
      <w:r w:rsidR="008E7A73">
        <w:t xml:space="preserve">can make it difficult for many women </w:t>
      </w:r>
      <w:r w:rsidR="00587E13">
        <w:t xml:space="preserve">in Slovakia </w:t>
      </w:r>
      <w:r w:rsidR="008E7A73">
        <w:t xml:space="preserve">to access safe abortion services in a timely fashion. </w:t>
      </w:r>
    </w:p>
    <w:p w14:paraId="191B32C0" w14:textId="50AC1EBF" w:rsidR="008E7A73" w:rsidRDefault="008E7A73" w:rsidP="001A7DF2">
      <w:pPr>
        <w:pStyle w:val="Sinespaciado"/>
        <w:jc w:val="both"/>
      </w:pPr>
      <w:r>
        <w:br/>
      </w:r>
      <w:r w:rsidRPr="00670854">
        <w:rPr>
          <w:b/>
        </w:rPr>
        <w:t>Ret</w:t>
      </w:r>
      <w:r w:rsidR="0081611F">
        <w:rPr>
          <w:b/>
        </w:rPr>
        <w:t>r</w:t>
      </w:r>
      <w:r w:rsidRPr="00670854">
        <w:rPr>
          <w:b/>
        </w:rPr>
        <w:t>ogressive legislative barriers:</w:t>
      </w:r>
      <w:r>
        <w:t xml:space="preserve"> In</w:t>
      </w:r>
      <w:r w:rsidR="001C43EE">
        <w:t xml:space="preserve"> </w:t>
      </w:r>
      <w:r w:rsidR="00C31A00">
        <w:t>2009</w:t>
      </w:r>
      <w:r w:rsidR="001C43EE">
        <w:t xml:space="preserve"> retrogressive </w:t>
      </w:r>
      <w:r>
        <w:t xml:space="preserve">legal </w:t>
      </w:r>
      <w:r w:rsidR="001A7DF2" w:rsidRPr="002A6A49">
        <w:t>barriers</w:t>
      </w:r>
      <w:r>
        <w:t xml:space="preserve"> to abortion</w:t>
      </w:r>
      <w:r w:rsidR="001C43EE">
        <w:t xml:space="preserve"> </w:t>
      </w:r>
      <w:r w:rsidR="00C31A00">
        <w:t xml:space="preserve">were </w:t>
      </w:r>
      <w:r w:rsidR="001C43EE">
        <w:t xml:space="preserve">introduced into </w:t>
      </w:r>
      <w:r w:rsidR="00C31A00">
        <w:t>Slovak</w:t>
      </w:r>
      <w:r w:rsidR="001C43EE">
        <w:t xml:space="preserve"> law with the purpose of deterring women fr</w:t>
      </w:r>
      <w:r>
        <w:t>om accessing abortion services</w:t>
      </w:r>
      <w:r w:rsidR="00756464">
        <w:t>.</w:t>
      </w:r>
      <w:r w:rsidR="004A1F73">
        <w:rPr>
          <w:rStyle w:val="EndnoteReference"/>
        </w:rPr>
        <w:endnoteReference w:id="51"/>
      </w:r>
      <w:r w:rsidR="00756464">
        <w:t xml:space="preserve"> Those include</w:t>
      </w:r>
      <w:r>
        <w:t>:</w:t>
      </w:r>
    </w:p>
    <w:p w14:paraId="4376A540" w14:textId="17D74FE4" w:rsidR="008E7A73" w:rsidRDefault="008E7A73" w:rsidP="00887A0B">
      <w:pPr>
        <w:pStyle w:val="Sinespaciado"/>
        <w:numPr>
          <w:ilvl w:val="0"/>
          <w:numId w:val="5"/>
        </w:numPr>
        <w:jc w:val="both"/>
      </w:pPr>
      <w:r w:rsidRPr="002A6A49">
        <w:rPr>
          <w:b/>
        </w:rPr>
        <w:t>Mandatory waiting periods:</w:t>
      </w:r>
      <w:r w:rsidRPr="002A6A49">
        <w:t xml:space="preserve"> In 2009</w:t>
      </w:r>
      <w:r>
        <w:t>, the Slovak Parliament adopted</w:t>
      </w:r>
      <w:r w:rsidRPr="002A6A49">
        <w:t xml:space="preserve"> a legislative amendment to the Healthcare Act introduc</w:t>
      </w:r>
      <w:r w:rsidR="00C31A00">
        <w:t>ing</w:t>
      </w:r>
      <w:r w:rsidRPr="002A6A49">
        <w:t xml:space="preserve"> a </w:t>
      </w:r>
      <w:r>
        <w:t xml:space="preserve">48-hour </w:t>
      </w:r>
      <w:r w:rsidRPr="002A6A49">
        <w:t>mandatory waiting period prior to abortion into Slovak law for the first time. The new mandatory waiting period applies to abortions on request.</w:t>
      </w:r>
      <w:r w:rsidRPr="002A6A49">
        <w:rPr>
          <w:rStyle w:val="EndnoteReference"/>
        </w:rPr>
        <w:endnoteReference w:id="52"/>
      </w:r>
      <w:r w:rsidRPr="002A6A49">
        <w:t xml:space="preserve"> Previously women </w:t>
      </w:r>
      <w:r>
        <w:t xml:space="preserve">in Slovakia </w:t>
      </w:r>
      <w:r w:rsidRPr="002A6A49">
        <w:t xml:space="preserve">seeking abortion on request did not have to observe a mandatory waiting period and as such </w:t>
      </w:r>
      <w:r w:rsidR="00B200D2">
        <w:t>this</w:t>
      </w:r>
      <w:r w:rsidRPr="002A6A49">
        <w:t xml:space="preserve"> new precondition and restriction on women’s access to </w:t>
      </w:r>
      <w:r w:rsidR="00B200D2">
        <w:t xml:space="preserve">legal </w:t>
      </w:r>
      <w:r w:rsidRPr="002A6A49">
        <w:t>reproductive health services</w:t>
      </w:r>
      <w:r w:rsidR="00B200D2">
        <w:t xml:space="preserve"> is </w:t>
      </w:r>
      <w:r w:rsidRPr="002A6A49">
        <w:t>retrogressi</w:t>
      </w:r>
      <w:r w:rsidR="00B200D2">
        <w:t>ve in nature</w:t>
      </w:r>
      <w:r w:rsidRPr="002A6A49">
        <w:t>.</w:t>
      </w:r>
      <w:r w:rsidR="000375D4">
        <w:rPr>
          <w:rStyle w:val="EndnoteReference"/>
        </w:rPr>
        <w:endnoteReference w:id="53"/>
      </w:r>
    </w:p>
    <w:p w14:paraId="39AE5640" w14:textId="77777777" w:rsidR="008E7A73" w:rsidRDefault="00B200D2" w:rsidP="00887A0B">
      <w:pPr>
        <w:pStyle w:val="NoSpacing"/>
        <w:numPr>
          <w:ilvl w:val="0"/>
          <w:numId w:val="5"/>
        </w:numPr>
        <w:jc w:val="both"/>
      </w:pPr>
      <w:r w:rsidRPr="00587E13">
        <w:rPr>
          <w:rFonts w:ascii="Times New Roman" w:hAnsi="Times New Roman"/>
          <w:b/>
          <w:sz w:val="24"/>
          <w:szCs w:val="24"/>
        </w:rPr>
        <w:t>Biased information requirements:</w:t>
      </w:r>
      <w:r w:rsidRPr="002A6A49">
        <w:rPr>
          <w:rFonts w:ascii="Times New Roman" w:hAnsi="Times New Roman"/>
          <w:sz w:val="24"/>
          <w:szCs w:val="24"/>
        </w:rPr>
        <w:t xml:space="preserve"> The 2009 amendment also requires that women receive information outlining the: “physical and psychological risks,” associated with abortion;</w:t>
      </w:r>
      <w:r w:rsidRPr="002A6A49">
        <w:rPr>
          <w:rStyle w:val="EndnoteReference"/>
          <w:rFonts w:ascii="Times New Roman" w:hAnsi="Times New Roman"/>
          <w:sz w:val="24"/>
          <w:szCs w:val="24"/>
        </w:rPr>
        <w:endnoteReference w:id="54"/>
      </w:r>
      <w:r w:rsidRPr="002A6A49">
        <w:rPr>
          <w:rFonts w:ascii="Times New Roman" w:hAnsi="Times New Roman"/>
          <w:sz w:val="24"/>
          <w:szCs w:val="24"/>
        </w:rPr>
        <w:t xml:space="preserve"> “the current development stage of the embryo or fetus,” and “alternatives to abortion” such as adoption, and support in pregnancy from civic and religious organizations.</w:t>
      </w:r>
      <w:r w:rsidRPr="002A6A49">
        <w:rPr>
          <w:rStyle w:val="EndnoteReference"/>
          <w:rFonts w:ascii="Times New Roman" w:hAnsi="Times New Roman"/>
          <w:sz w:val="24"/>
          <w:szCs w:val="24"/>
        </w:rPr>
        <w:endnoteReference w:id="55"/>
      </w:r>
      <w:r w:rsidRPr="002A6A49">
        <w:rPr>
          <w:rFonts w:ascii="Times New Roman" w:hAnsi="Times New Roman"/>
          <w:sz w:val="24"/>
          <w:szCs w:val="24"/>
        </w:rPr>
        <w:t xml:space="preserve"> This information must be provided to all women prior to abortion and they are not able to refuse </w:t>
      </w:r>
      <w:r w:rsidR="00C31A00">
        <w:rPr>
          <w:rFonts w:ascii="Times New Roman" w:hAnsi="Times New Roman"/>
          <w:sz w:val="24"/>
          <w:szCs w:val="24"/>
        </w:rPr>
        <w:t>it</w:t>
      </w:r>
      <w:r w:rsidRPr="002A6A49">
        <w:rPr>
          <w:rFonts w:ascii="Times New Roman" w:hAnsi="Times New Roman"/>
          <w:sz w:val="24"/>
          <w:szCs w:val="24"/>
        </w:rPr>
        <w:t>.</w:t>
      </w:r>
      <w:r w:rsidRPr="002A6A49">
        <w:rPr>
          <w:rStyle w:val="EndnoteReference"/>
          <w:rFonts w:ascii="Times New Roman" w:hAnsi="Times New Roman"/>
          <w:sz w:val="24"/>
          <w:szCs w:val="24"/>
        </w:rPr>
        <w:endnoteReference w:id="56"/>
      </w:r>
      <w:r w:rsidRPr="002A6A49">
        <w:rPr>
          <w:rFonts w:ascii="Times New Roman" w:hAnsi="Times New Roman"/>
          <w:sz w:val="24"/>
          <w:szCs w:val="24"/>
        </w:rPr>
        <w:t xml:space="preserve"> These new requirements were introduced with the </w:t>
      </w:r>
      <w:r w:rsidR="00C31A00">
        <w:rPr>
          <w:rFonts w:ascii="Times New Roman" w:hAnsi="Times New Roman"/>
          <w:sz w:val="24"/>
          <w:szCs w:val="24"/>
        </w:rPr>
        <w:t>explicit</w:t>
      </w:r>
      <w:r w:rsidRPr="002A6A49">
        <w:rPr>
          <w:rFonts w:ascii="Times New Roman" w:hAnsi="Times New Roman"/>
          <w:sz w:val="24"/>
          <w:szCs w:val="24"/>
        </w:rPr>
        <w:t xml:space="preserve"> goal of dissuading women from obtaining abortion services, “in favor of the life of an unborn child.”</w:t>
      </w:r>
      <w:r w:rsidRPr="002A6A49">
        <w:rPr>
          <w:rStyle w:val="EndnoteReference"/>
          <w:rFonts w:ascii="Times New Roman" w:hAnsi="Times New Roman"/>
          <w:sz w:val="24"/>
          <w:szCs w:val="24"/>
        </w:rPr>
        <w:endnoteReference w:id="57"/>
      </w:r>
      <w:r w:rsidRPr="002A6A49">
        <w:rPr>
          <w:rFonts w:ascii="Times New Roman" w:hAnsi="Times New Roman"/>
          <w:sz w:val="24"/>
          <w:szCs w:val="24"/>
        </w:rPr>
        <w:t xml:space="preserve"> </w:t>
      </w:r>
    </w:p>
    <w:p w14:paraId="702FB275" w14:textId="77777777" w:rsidR="008E7A73" w:rsidRDefault="008E7A73" w:rsidP="001A7DF2">
      <w:pPr>
        <w:pStyle w:val="Sinespaciado"/>
        <w:jc w:val="both"/>
      </w:pPr>
    </w:p>
    <w:p w14:paraId="70DE3134" w14:textId="77777777" w:rsidR="00307B1E" w:rsidRDefault="007116A9" w:rsidP="001A7DF2">
      <w:pPr>
        <w:pStyle w:val="Sinespaciado"/>
        <w:jc w:val="both"/>
      </w:pPr>
      <w:r w:rsidRPr="000375D4">
        <w:rPr>
          <w:b/>
        </w:rPr>
        <w:t xml:space="preserve">Financial barriers: </w:t>
      </w:r>
      <w:r w:rsidR="00307B1E">
        <w:t>Meanwhile, a</w:t>
      </w:r>
      <w:r w:rsidR="00307B1E" w:rsidRPr="002A6A49">
        <w:t>bortion on request is not covered by public health insurance.</w:t>
      </w:r>
      <w:r w:rsidR="00307B1E" w:rsidRPr="002A6A49">
        <w:rPr>
          <w:rStyle w:val="EndnoteReference"/>
        </w:rPr>
        <w:endnoteReference w:id="58"/>
      </w:r>
      <w:r w:rsidR="00307B1E">
        <w:t xml:space="preserve"> </w:t>
      </w:r>
      <w:r w:rsidR="00307B1E" w:rsidRPr="00307B1E">
        <w:t>It costs between 240-370 EUR, which in 201</w:t>
      </w:r>
      <w:r w:rsidR="00756464">
        <w:t>4</w:t>
      </w:r>
      <w:r w:rsidR="00307B1E" w:rsidRPr="00307B1E">
        <w:t xml:space="preserve"> represented approximately </w:t>
      </w:r>
      <w:r w:rsidR="00756464" w:rsidRPr="0048397A">
        <w:t>3</w:t>
      </w:r>
      <w:r w:rsidR="0048397A" w:rsidRPr="0048397A">
        <w:t>5</w:t>
      </w:r>
      <w:r w:rsidR="00307B1E" w:rsidRPr="0048397A">
        <w:t xml:space="preserve">% to </w:t>
      </w:r>
      <w:r w:rsidR="00756464" w:rsidRPr="0048397A">
        <w:t>54</w:t>
      </w:r>
      <w:r w:rsidR="00307B1E" w:rsidRPr="0048397A">
        <w:t>%</w:t>
      </w:r>
      <w:r w:rsidR="00307B1E" w:rsidRPr="00307B1E">
        <w:t xml:space="preserve"> of the median monthly income for women in Slovakia.</w:t>
      </w:r>
      <w:r w:rsidR="00307B1E">
        <w:rPr>
          <w:rStyle w:val="EndnoteReference"/>
        </w:rPr>
        <w:endnoteReference w:id="59"/>
      </w:r>
      <w:r w:rsidR="00307B1E" w:rsidRPr="00307B1E">
        <w:t xml:space="preserve"> As a result, for many of those women who have to cover the cost of abortion services themselves the cost is prohibitive. </w:t>
      </w:r>
    </w:p>
    <w:p w14:paraId="17129E17" w14:textId="77777777" w:rsidR="00307B1E" w:rsidRDefault="00307B1E" w:rsidP="001A7DF2">
      <w:pPr>
        <w:pStyle w:val="Sinespaciado"/>
        <w:jc w:val="both"/>
      </w:pPr>
    </w:p>
    <w:p w14:paraId="4047981F" w14:textId="77777777" w:rsidR="00B200D2" w:rsidRPr="00670854" w:rsidRDefault="00B200D2" w:rsidP="00670854">
      <w:pPr>
        <w:pStyle w:val="Sinespaciado"/>
        <w:ind w:firstLine="720"/>
        <w:jc w:val="both"/>
        <w:rPr>
          <w:i/>
        </w:rPr>
      </w:pPr>
      <w:r w:rsidRPr="00670854">
        <w:rPr>
          <w:i/>
        </w:rPr>
        <w:t>In</w:t>
      </w:r>
      <w:r w:rsidR="007F6BCB">
        <w:rPr>
          <w:i/>
        </w:rPr>
        <w:t>ternational Medical Guidelines and</w:t>
      </w:r>
      <w:r w:rsidRPr="00670854">
        <w:rPr>
          <w:i/>
        </w:rPr>
        <w:t xml:space="preserve"> International Human Rights </w:t>
      </w:r>
      <w:r w:rsidR="007F6BCB">
        <w:rPr>
          <w:i/>
        </w:rPr>
        <w:t xml:space="preserve">Law and </w:t>
      </w:r>
      <w:r w:rsidRPr="00670854">
        <w:rPr>
          <w:i/>
        </w:rPr>
        <w:t xml:space="preserve">Standards </w:t>
      </w:r>
    </w:p>
    <w:p w14:paraId="15A3A6D8" w14:textId="77777777" w:rsidR="00B200D2" w:rsidRDefault="00B200D2" w:rsidP="001A7DF2">
      <w:pPr>
        <w:pStyle w:val="Sinespaciado"/>
        <w:jc w:val="both"/>
      </w:pPr>
    </w:p>
    <w:p w14:paraId="42446E2E" w14:textId="77777777" w:rsidR="00163D69" w:rsidRDefault="007116A9" w:rsidP="00C01D6F">
      <w:pPr>
        <w:pStyle w:val="Sinespaciado"/>
        <w:jc w:val="both"/>
      </w:pPr>
      <w:r>
        <w:lastRenderedPageBreak/>
        <w:t>T</w:t>
      </w:r>
      <w:r w:rsidR="00B200D2">
        <w:t>hese</w:t>
      </w:r>
      <w:r w:rsidR="008E7A73">
        <w:t xml:space="preserve"> legal</w:t>
      </w:r>
      <w:r>
        <w:t xml:space="preserve"> and financial</w:t>
      </w:r>
      <w:r w:rsidR="008E7A73">
        <w:t xml:space="preserve"> barriers </w:t>
      </w:r>
      <w:r>
        <w:t xml:space="preserve">can </w:t>
      </w:r>
      <w:r w:rsidR="008E7A73">
        <w:t>impact women’s ability to access safe and legal abortion services in practice</w:t>
      </w:r>
      <w:r w:rsidR="00B200D2">
        <w:t xml:space="preserve"> and in a timely fashion.</w:t>
      </w:r>
      <w:r w:rsidR="00163D69">
        <w:t xml:space="preserve"> They contravene international medical guidelines and</w:t>
      </w:r>
      <w:r w:rsidR="00B200D2">
        <w:t xml:space="preserve"> </w:t>
      </w:r>
      <w:r w:rsidR="00163D69">
        <w:t xml:space="preserve">undermine Slovakia’s compliance with its obligations under the Covenant, and other international human rights instruments. </w:t>
      </w:r>
    </w:p>
    <w:p w14:paraId="5643C003" w14:textId="77777777" w:rsidR="00C01D6F" w:rsidRDefault="00C01D6F" w:rsidP="00C01D6F">
      <w:pPr>
        <w:pStyle w:val="Sinespaciado"/>
        <w:jc w:val="both"/>
      </w:pPr>
    </w:p>
    <w:p w14:paraId="002A231D" w14:textId="5CDF105E" w:rsidR="008416BB" w:rsidRPr="00620B99" w:rsidDel="00887AB4" w:rsidRDefault="008416BB" w:rsidP="008416BB">
      <w:pPr>
        <w:pStyle w:val="NoSpacing"/>
        <w:jc w:val="both"/>
        <w:rPr>
          <w:rFonts w:ascii="Times New Roman" w:hAnsi="Times New Roman"/>
          <w:sz w:val="24"/>
          <w:szCs w:val="24"/>
        </w:rPr>
      </w:pPr>
      <w:r w:rsidRPr="00307B1E">
        <w:rPr>
          <w:rFonts w:ascii="Times New Roman" w:hAnsi="Times New Roman"/>
          <w:sz w:val="24"/>
          <w:szCs w:val="24"/>
        </w:rPr>
        <w:t>As the WHO has outlined:</w:t>
      </w:r>
      <w:r w:rsidRPr="008416BB">
        <w:rPr>
          <w:rFonts w:ascii="Times New Roman" w:hAnsi="Times New Roman"/>
          <w:sz w:val="24"/>
          <w:szCs w:val="24"/>
        </w:rPr>
        <w:t xml:space="preserve"> </w:t>
      </w:r>
      <w:r w:rsidRPr="00620B99">
        <w:rPr>
          <w:rFonts w:ascii="Times New Roman" w:hAnsi="Times New Roman"/>
          <w:sz w:val="24"/>
          <w:szCs w:val="24"/>
        </w:rPr>
        <w:t>“[</w:t>
      </w:r>
      <w:r w:rsidRPr="00620B99">
        <w:rPr>
          <w:rFonts w:ascii="Times New Roman" w:eastAsia="HelveticaNeueLTStd-Roman" w:hAnsi="Times New Roman"/>
          <w:sz w:val="24"/>
          <w:szCs w:val="24"/>
        </w:rPr>
        <w:t>m]</w:t>
      </w:r>
      <w:proofErr w:type="spellStart"/>
      <w:r w:rsidRPr="00620B99">
        <w:rPr>
          <w:rFonts w:ascii="Times New Roman" w:eastAsia="HelveticaNeueLTStd-Roman" w:hAnsi="Times New Roman"/>
          <w:sz w:val="24"/>
          <w:szCs w:val="24"/>
        </w:rPr>
        <w:t>andatory</w:t>
      </w:r>
      <w:proofErr w:type="spellEnd"/>
      <w:r w:rsidRPr="00620B99">
        <w:rPr>
          <w:rFonts w:ascii="Times New Roman" w:eastAsia="HelveticaNeueLTStd-Roman" w:hAnsi="Times New Roman"/>
          <w:sz w:val="24"/>
          <w:szCs w:val="24"/>
        </w:rPr>
        <w:t xml:space="preserve"> waiting periods can have the effect of delaying care, which can jeopardize women’s ability to access safe, legal abortion services.”</w:t>
      </w:r>
      <w:r w:rsidRPr="00620B99">
        <w:rPr>
          <w:rStyle w:val="EndnoteReference"/>
          <w:rFonts w:ascii="Times New Roman" w:eastAsia="HelveticaNeueLTStd-Roman" w:hAnsi="Times New Roman"/>
          <w:sz w:val="24"/>
          <w:szCs w:val="24"/>
        </w:rPr>
        <w:endnoteReference w:id="60"/>
      </w:r>
      <w:r w:rsidRPr="00620B99">
        <w:rPr>
          <w:rFonts w:ascii="Times New Roman" w:eastAsia="HelveticaNeueLTStd-Roman" w:hAnsi="Times New Roman"/>
          <w:sz w:val="24"/>
          <w:szCs w:val="24"/>
        </w:rPr>
        <w:t xml:space="preserve"> </w:t>
      </w:r>
      <w:r w:rsidRPr="00620B99">
        <w:rPr>
          <w:rFonts w:ascii="Times New Roman" w:hAnsi="Times New Roman"/>
          <w:sz w:val="24"/>
          <w:szCs w:val="24"/>
        </w:rPr>
        <w:t>As a result of these concerns, the WHO indicates that mandatory waiting periods should not apply to abortion services.</w:t>
      </w:r>
      <w:r w:rsidRPr="00620B99">
        <w:rPr>
          <w:rStyle w:val="EndnoteReference"/>
          <w:rFonts w:ascii="Times New Roman" w:hAnsi="Times New Roman"/>
          <w:sz w:val="24"/>
          <w:szCs w:val="24"/>
        </w:rPr>
        <w:endnoteReference w:id="61"/>
      </w:r>
      <w:r w:rsidRPr="00620B99">
        <w:rPr>
          <w:rFonts w:ascii="Times New Roman" w:hAnsi="Times New Roman"/>
          <w:sz w:val="24"/>
          <w:szCs w:val="24"/>
        </w:rPr>
        <w:t xml:space="preserve"> </w:t>
      </w:r>
      <w:r w:rsidRPr="00620B99">
        <w:rPr>
          <w:rFonts w:ascii="Times New Roman" w:eastAsia="HelveticaNeueLTStd-Roman" w:hAnsi="Times New Roman"/>
          <w:sz w:val="24"/>
          <w:szCs w:val="24"/>
        </w:rPr>
        <w:t xml:space="preserve">It has underlined </w:t>
      </w:r>
      <w:r w:rsidRPr="00620B99">
        <w:rPr>
          <w:rFonts w:ascii="Times New Roman" w:hAnsi="Times New Roman"/>
          <w:sz w:val="24"/>
          <w:szCs w:val="24"/>
        </w:rPr>
        <w:t>that “[o]</w:t>
      </w:r>
      <w:proofErr w:type="spellStart"/>
      <w:r w:rsidRPr="00620B99">
        <w:rPr>
          <w:rFonts w:ascii="Times New Roman" w:hAnsi="Times New Roman"/>
          <w:sz w:val="24"/>
          <w:szCs w:val="24"/>
        </w:rPr>
        <w:t>nce</w:t>
      </w:r>
      <w:proofErr w:type="spellEnd"/>
      <w:r w:rsidRPr="00620B99">
        <w:rPr>
          <w:rFonts w:ascii="Times New Roman" w:hAnsi="Times New Roman"/>
          <w:sz w:val="24"/>
          <w:szCs w:val="24"/>
        </w:rPr>
        <w:t xml:space="preserve"> the decision [to have an abortion] is made by the woman, abortion should be provided as soon as is possible”</w:t>
      </w:r>
      <w:r w:rsidRPr="00620B99">
        <w:rPr>
          <w:rStyle w:val="EndnoteReference"/>
          <w:rFonts w:ascii="Times New Roman" w:hAnsi="Times New Roman"/>
          <w:sz w:val="24"/>
          <w:szCs w:val="24"/>
        </w:rPr>
        <w:endnoteReference w:id="62"/>
      </w:r>
      <w:r w:rsidRPr="00620B99">
        <w:rPr>
          <w:rFonts w:ascii="Times New Roman" w:hAnsi="Times New Roman"/>
          <w:sz w:val="24"/>
          <w:szCs w:val="24"/>
        </w:rPr>
        <w:t xml:space="preserve"> and without delay.</w:t>
      </w:r>
      <w:r w:rsidRPr="00620B99">
        <w:rPr>
          <w:rStyle w:val="EndnoteReference"/>
          <w:rFonts w:ascii="Times New Roman" w:eastAsia="HelveticaNeueLTStd-Roman" w:hAnsi="Times New Roman"/>
          <w:sz w:val="24"/>
          <w:szCs w:val="24"/>
        </w:rPr>
        <w:endnoteReference w:id="63"/>
      </w:r>
      <w:r w:rsidRPr="00620B99">
        <w:rPr>
          <w:rFonts w:ascii="Times New Roman" w:hAnsi="Times New Roman"/>
          <w:sz w:val="24"/>
          <w:szCs w:val="24"/>
        </w:rPr>
        <w:t xml:space="preserve"> </w:t>
      </w:r>
      <w:r>
        <w:rPr>
          <w:rFonts w:ascii="Times New Roman" w:hAnsi="Times New Roman"/>
          <w:sz w:val="24"/>
          <w:szCs w:val="24"/>
        </w:rPr>
        <w:t>The WHO has also specified that information and counseling provided to women prior to abortion should always be evidence-based</w:t>
      </w:r>
      <w:r w:rsidR="00307B1E">
        <w:rPr>
          <w:rFonts w:ascii="Times New Roman" w:hAnsi="Times New Roman"/>
          <w:sz w:val="24"/>
          <w:szCs w:val="24"/>
        </w:rPr>
        <w:t xml:space="preserve">, </w:t>
      </w:r>
      <w:r>
        <w:rPr>
          <w:rFonts w:ascii="Times New Roman" w:hAnsi="Times New Roman"/>
          <w:sz w:val="24"/>
          <w:szCs w:val="24"/>
        </w:rPr>
        <w:t>non-directive</w:t>
      </w:r>
      <w:r w:rsidR="0048397A">
        <w:rPr>
          <w:rFonts w:ascii="Times New Roman" w:hAnsi="Times New Roman"/>
          <w:sz w:val="24"/>
          <w:szCs w:val="24"/>
        </w:rPr>
        <w:t>,</w:t>
      </w:r>
      <w:r w:rsidR="00307B1E">
        <w:rPr>
          <w:rFonts w:ascii="Times New Roman" w:hAnsi="Times New Roman"/>
          <w:sz w:val="24"/>
          <w:szCs w:val="24"/>
        </w:rPr>
        <w:t xml:space="preserve"> and voluntary.</w:t>
      </w:r>
      <w:r w:rsidR="00307B1E">
        <w:rPr>
          <w:rStyle w:val="EndnoteReference"/>
          <w:rFonts w:ascii="Times New Roman" w:hAnsi="Times New Roman"/>
          <w:sz w:val="24"/>
          <w:szCs w:val="24"/>
        </w:rPr>
        <w:endnoteReference w:id="64"/>
      </w:r>
      <w:r>
        <w:rPr>
          <w:rFonts w:ascii="Times New Roman" w:hAnsi="Times New Roman"/>
          <w:sz w:val="24"/>
          <w:szCs w:val="24"/>
        </w:rPr>
        <w:t xml:space="preserve"> The WHO also observes that financial barriers can impede women’s access to safe abortion services</w:t>
      </w:r>
      <w:r w:rsidR="0048397A">
        <w:rPr>
          <w:rFonts w:ascii="Times New Roman" w:hAnsi="Times New Roman"/>
          <w:sz w:val="24"/>
          <w:szCs w:val="24"/>
        </w:rPr>
        <w:t xml:space="preserve">, and </w:t>
      </w:r>
      <w:r>
        <w:rPr>
          <w:rFonts w:ascii="Times New Roman" w:hAnsi="Times New Roman"/>
          <w:sz w:val="24"/>
          <w:szCs w:val="24"/>
        </w:rPr>
        <w:t xml:space="preserve">specifies that systems must be put in place to enable </w:t>
      </w:r>
      <w:r w:rsidRPr="008416BB">
        <w:rPr>
          <w:rFonts w:ascii="Times New Roman" w:hAnsi="Times New Roman"/>
          <w:sz w:val="24"/>
          <w:szCs w:val="24"/>
        </w:rPr>
        <w:t xml:space="preserve">women </w:t>
      </w:r>
      <w:r>
        <w:rPr>
          <w:rFonts w:ascii="Times New Roman" w:hAnsi="Times New Roman"/>
          <w:sz w:val="24"/>
          <w:szCs w:val="24"/>
        </w:rPr>
        <w:t>to</w:t>
      </w:r>
      <w:r w:rsidRPr="008416BB">
        <w:rPr>
          <w:rFonts w:ascii="Times New Roman" w:hAnsi="Times New Roman"/>
          <w:sz w:val="24"/>
          <w:szCs w:val="24"/>
        </w:rPr>
        <w:t xml:space="preserve"> access legal abortion services regardless of their ability to pa</w:t>
      </w:r>
      <w:r>
        <w:rPr>
          <w:rFonts w:ascii="Times New Roman" w:hAnsi="Times New Roman"/>
          <w:sz w:val="24"/>
          <w:szCs w:val="24"/>
        </w:rPr>
        <w:t>y</w:t>
      </w:r>
      <w:r w:rsidR="0048397A">
        <w:rPr>
          <w:rFonts w:ascii="Times New Roman" w:hAnsi="Times New Roman"/>
          <w:sz w:val="24"/>
          <w:szCs w:val="24"/>
        </w:rPr>
        <w:t>.</w:t>
      </w:r>
      <w:r w:rsidR="00741D7C">
        <w:rPr>
          <w:rStyle w:val="EndnoteReference"/>
          <w:rFonts w:ascii="Times New Roman" w:hAnsi="Times New Roman"/>
          <w:sz w:val="24"/>
          <w:szCs w:val="24"/>
        </w:rPr>
        <w:endnoteReference w:id="65"/>
      </w:r>
    </w:p>
    <w:p w14:paraId="6B91B1DA" w14:textId="77777777" w:rsidR="009C6717" w:rsidRPr="00C01D6F" w:rsidRDefault="007116A9" w:rsidP="001A7DF2">
      <w:pPr>
        <w:pStyle w:val="Sinespaciado"/>
        <w:jc w:val="both"/>
      </w:pPr>
      <w:r>
        <w:t xml:space="preserve"> </w:t>
      </w:r>
    </w:p>
    <w:p w14:paraId="4F60D961" w14:textId="77777777" w:rsidR="007116A9" w:rsidRDefault="00B02A6D" w:rsidP="00FA4F44">
      <w:pPr>
        <w:pStyle w:val="NoSpacing"/>
        <w:jc w:val="both"/>
        <w:rPr>
          <w:rFonts w:ascii="Times New Roman" w:hAnsi="Times New Roman"/>
          <w:sz w:val="24"/>
          <w:szCs w:val="24"/>
        </w:rPr>
      </w:pPr>
      <w:r w:rsidRPr="00FA4F44">
        <w:rPr>
          <w:rFonts w:ascii="Times New Roman" w:hAnsi="Times New Roman"/>
          <w:sz w:val="24"/>
          <w:szCs w:val="24"/>
        </w:rPr>
        <w:t>As this Committee has</w:t>
      </w:r>
      <w:r w:rsidR="007116A9">
        <w:rPr>
          <w:rFonts w:ascii="Times New Roman" w:hAnsi="Times New Roman"/>
          <w:sz w:val="24"/>
          <w:szCs w:val="24"/>
        </w:rPr>
        <w:t xml:space="preserve"> previously</w:t>
      </w:r>
      <w:r w:rsidRPr="00FA4F44">
        <w:rPr>
          <w:rFonts w:ascii="Times New Roman" w:hAnsi="Times New Roman"/>
          <w:sz w:val="24"/>
          <w:szCs w:val="24"/>
        </w:rPr>
        <w:t xml:space="preserve"> </w:t>
      </w:r>
      <w:r w:rsidR="00FA4F44" w:rsidRPr="00FA4F44">
        <w:rPr>
          <w:rFonts w:ascii="Times New Roman" w:hAnsi="Times New Roman"/>
          <w:sz w:val="24"/>
          <w:szCs w:val="24"/>
        </w:rPr>
        <w:t xml:space="preserve">outlined, “in cases where </w:t>
      </w:r>
      <w:r w:rsidR="00FA4F44" w:rsidRPr="00FA4F44">
        <w:rPr>
          <w:rStyle w:val="highlight"/>
          <w:rFonts w:ascii="Times New Roman" w:hAnsi="Times New Roman"/>
          <w:sz w:val="24"/>
          <w:szCs w:val="24"/>
        </w:rPr>
        <w:t>abortion</w:t>
      </w:r>
      <w:r w:rsidR="00FA4F44" w:rsidRPr="00FA4F44">
        <w:rPr>
          <w:rFonts w:ascii="Times New Roman" w:hAnsi="Times New Roman"/>
          <w:sz w:val="24"/>
          <w:szCs w:val="24"/>
        </w:rPr>
        <w:t xml:space="preserve"> procedures may lawfully be performed, all obstacles to obtaining them should be removed.”</w:t>
      </w:r>
      <w:r w:rsidR="00FA4F44" w:rsidRPr="00FA4F44">
        <w:rPr>
          <w:rStyle w:val="EndnoteReference"/>
          <w:rFonts w:ascii="Times New Roman" w:hAnsi="Times New Roman"/>
          <w:sz w:val="24"/>
          <w:szCs w:val="24"/>
        </w:rPr>
        <w:endnoteReference w:id="66"/>
      </w:r>
      <w:r w:rsidR="00FA4F44" w:rsidRPr="00FA4F44">
        <w:rPr>
          <w:rFonts w:ascii="Times New Roman" w:hAnsi="Times New Roman"/>
          <w:sz w:val="24"/>
          <w:szCs w:val="24"/>
        </w:rPr>
        <w:t xml:space="preserve"> The Committee has </w:t>
      </w:r>
      <w:r w:rsidR="0081611F">
        <w:rPr>
          <w:rFonts w:ascii="Times New Roman" w:hAnsi="Times New Roman"/>
          <w:sz w:val="24"/>
          <w:szCs w:val="24"/>
        </w:rPr>
        <w:t xml:space="preserve">expressed concerns about </w:t>
      </w:r>
      <w:r w:rsidR="007116A9">
        <w:rPr>
          <w:rFonts w:ascii="Times New Roman" w:hAnsi="Times New Roman"/>
          <w:sz w:val="24"/>
          <w:szCs w:val="24"/>
        </w:rPr>
        <w:t xml:space="preserve">the </w:t>
      </w:r>
      <w:proofErr w:type="spellStart"/>
      <w:r w:rsidR="007116A9">
        <w:rPr>
          <w:rFonts w:ascii="Times New Roman" w:hAnsi="Times New Roman"/>
          <w:sz w:val="24"/>
          <w:szCs w:val="24"/>
        </w:rPr>
        <w:t>retrogessive</w:t>
      </w:r>
      <w:proofErr w:type="spellEnd"/>
      <w:r w:rsidR="007116A9">
        <w:rPr>
          <w:rFonts w:ascii="Times New Roman" w:hAnsi="Times New Roman"/>
          <w:sz w:val="24"/>
          <w:szCs w:val="24"/>
        </w:rPr>
        <w:t xml:space="preserve"> </w:t>
      </w:r>
      <w:r w:rsidR="0020775D">
        <w:rPr>
          <w:rFonts w:ascii="Times New Roman" w:hAnsi="Times New Roman"/>
          <w:sz w:val="24"/>
          <w:szCs w:val="24"/>
        </w:rPr>
        <w:t>introduc</w:t>
      </w:r>
      <w:r w:rsidR="007116A9">
        <w:rPr>
          <w:rFonts w:ascii="Times New Roman" w:hAnsi="Times New Roman"/>
          <w:sz w:val="24"/>
          <w:szCs w:val="24"/>
        </w:rPr>
        <w:t>tion of</w:t>
      </w:r>
      <w:r w:rsidR="0020775D">
        <w:rPr>
          <w:rFonts w:ascii="Times New Roman" w:hAnsi="Times New Roman"/>
          <w:sz w:val="24"/>
          <w:szCs w:val="24"/>
        </w:rPr>
        <w:t xml:space="preserve"> mandatory waiting period</w:t>
      </w:r>
      <w:r w:rsidR="007116A9">
        <w:rPr>
          <w:rFonts w:ascii="Times New Roman" w:hAnsi="Times New Roman"/>
          <w:sz w:val="24"/>
          <w:szCs w:val="24"/>
        </w:rPr>
        <w:t>s</w:t>
      </w:r>
      <w:r w:rsidR="0020775D">
        <w:rPr>
          <w:rFonts w:ascii="Times New Roman" w:hAnsi="Times New Roman"/>
          <w:sz w:val="24"/>
          <w:szCs w:val="24"/>
        </w:rPr>
        <w:t xml:space="preserve"> and biased counseling requirements </w:t>
      </w:r>
      <w:r w:rsidR="00105A6D">
        <w:rPr>
          <w:rFonts w:ascii="Times New Roman" w:hAnsi="Times New Roman"/>
          <w:sz w:val="24"/>
          <w:szCs w:val="24"/>
        </w:rPr>
        <w:t>and</w:t>
      </w:r>
      <w:r w:rsidR="007116A9">
        <w:rPr>
          <w:rFonts w:ascii="Times New Roman" w:hAnsi="Times New Roman"/>
          <w:sz w:val="24"/>
          <w:szCs w:val="24"/>
        </w:rPr>
        <w:t xml:space="preserve"> in that context it has</w:t>
      </w:r>
      <w:r w:rsidR="00105A6D">
        <w:rPr>
          <w:rFonts w:ascii="Times New Roman" w:hAnsi="Times New Roman"/>
          <w:sz w:val="24"/>
          <w:szCs w:val="24"/>
        </w:rPr>
        <w:t xml:space="preserve"> called upon a S</w:t>
      </w:r>
      <w:r w:rsidR="0081611F">
        <w:rPr>
          <w:rFonts w:ascii="Times New Roman" w:hAnsi="Times New Roman"/>
          <w:sz w:val="24"/>
          <w:szCs w:val="24"/>
        </w:rPr>
        <w:t xml:space="preserve">tate party </w:t>
      </w:r>
      <w:r w:rsidR="00FA4F44" w:rsidRPr="00FA4F44">
        <w:rPr>
          <w:rFonts w:ascii="Times New Roman" w:hAnsi="Times New Roman"/>
          <w:sz w:val="24"/>
          <w:szCs w:val="24"/>
        </w:rPr>
        <w:t>“to eliminate all procedural barriers that would lead women to resort to illegal abortions that could put their lives and health at risk.”</w:t>
      </w:r>
      <w:r w:rsidR="00FA4F44" w:rsidRPr="00FA4F44">
        <w:rPr>
          <w:rStyle w:val="EndnoteReference"/>
          <w:rFonts w:ascii="Times New Roman" w:hAnsi="Times New Roman"/>
          <w:sz w:val="24"/>
          <w:szCs w:val="24"/>
        </w:rPr>
        <w:endnoteReference w:id="67"/>
      </w:r>
      <w:r w:rsidR="00FA4F44" w:rsidRPr="00FA4F44">
        <w:rPr>
          <w:rFonts w:ascii="Times New Roman" w:hAnsi="Times New Roman"/>
          <w:sz w:val="24"/>
          <w:szCs w:val="24"/>
        </w:rPr>
        <w:t xml:space="preserve"> </w:t>
      </w:r>
    </w:p>
    <w:p w14:paraId="518036BA" w14:textId="77777777" w:rsidR="007116A9" w:rsidRDefault="007116A9" w:rsidP="00FA4F44">
      <w:pPr>
        <w:pStyle w:val="NoSpacing"/>
        <w:jc w:val="both"/>
        <w:rPr>
          <w:rFonts w:ascii="Times New Roman" w:hAnsi="Times New Roman"/>
          <w:sz w:val="24"/>
          <w:szCs w:val="24"/>
        </w:rPr>
      </w:pPr>
    </w:p>
    <w:p w14:paraId="3EC06B44" w14:textId="68AC7688" w:rsidR="00307B1E" w:rsidRPr="000375D4" w:rsidRDefault="00B02A6D" w:rsidP="00307B1E">
      <w:pPr>
        <w:pStyle w:val="Sinespaciado"/>
        <w:jc w:val="both"/>
        <w:rPr>
          <w:b/>
        </w:rPr>
      </w:pPr>
      <w:r w:rsidRPr="00FA4F44">
        <w:t>Other Treaty Monitoring Bodies</w:t>
      </w:r>
      <w:r w:rsidR="00FA4F44" w:rsidRPr="00FA4F44">
        <w:t xml:space="preserve"> </w:t>
      </w:r>
      <w:r w:rsidRPr="00FA4F44">
        <w:t>h</w:t>
      </w:r>
      <w:r w:rsidR="00FA4F44" w:rsidRPr="00FA4F44">
        <w:t xml:space="preserve">ave made similar </w:t>
      </w:r>
      <w:proofErr w:type="spellStart"/>
      <w:r w:rsidR="00FA4F44" w:rsidRPr="00FA4F44">
        <w:t>pronoucements</w:t>
      </w:r>
      <w:proofErr w:type="spellEnd"/>
      <w:r w:rsidR="00FA4F44" w:rsidRPr="00FA4F44">
        <w:t xml:space="preserve">. For instance, CEDAW </w:t>
      </w:r>
      <w:r w:rsidR="00307B1E">
        <w:t xml:space="preserve">and </w:t>
      </w:r>
      <w:r w:rsidR="005126C3">
        <w:t xml:space="preserve">the </w:t>
      </w:r>
      <w:r w:rsidR="00307B1E">
        <w:t>C</w:t>
      </w:r>
      <w:r w:rsidR="005126C3">
        <w:t xml:space="preserve">ommittee on </w:t>
      </w:r>
      <w:r w:rsidR="00307B1E">
        <w:t>E</w:t>
      </w:r>
      <w:r w:rsidR="005126C3">
        <w:t xml:space="preserve">conomic, </w:t>
      </w:r>
      <w:r w:rsidR="00307B1E">
        <w:t>S</w:t>
      </w:r>
      <w:r w:rsidR="005126C3">
        <w:t xml:space="preserve">ocial and </w:t>
      </w:r>
      <w:r w:rsidR="00307B1E">
        <w:t>C</w:t>
      </w:r>
      <w:r w:rsidR="005126C3">
        <w:t xml:space="preserve">ultural </w:t>
      </w:r>
      <w:r w:rsidR="00307B1E">
        <w:t>R</w:t>
      </w:r>
      <w:r w:rsidR="005126C3">
        <w:t>ights</w:t>
      </w:r>
      <w:r w:rsidR="00620B99">
        <w:t xml:space="preserve"> have </w:t>
      </w:r>
      <w:r w:rsidR="00FA4F44" w:rsidRPr="00FA4F44">
        <w:t xml:space="preserve">urged </w:t>
      </w:r>
      <w:r w:rsidR="00710545">
        <w:t>S</w:t>
      </w:r>
      <w:r w:rsidR="009C58B6">
        <w:t xml:space="preserve">tate parties to eliminate </w:t>
      </w:r>
      <w:r w:rsidR="00620B99">
        <w:t xml:space="preserve">and refrain from adopting </w:t>
      </w:r>
      <w:r w:rsidR="009C58B6">
        <w:t xml:space="preserve">mandatory counselling and </w:t>
      </w:r>
      <w:r w:rsidR="00FA4F44" w:rsidRPr="00FA4F44">
        <w:t>medically unnecessary waiting period</w:t>
      </w:r>
      <w:r w:rsidR="009C58B6">
        <w:t>s require</w:t>
      </w:r>
      <w:r w:rsidR="0035239F">
        <w:t xml:space="preserve">ments </w:t>
      </w:r>
      <w:r w:rsidR="009C58B6">
        <w:t>prior to abortion</w:t>
      </w:r>
      <w:r w:rsidR="007116A9">
        <w:t>.</w:t>
      </w:r>
      <w:r w:rsidR="00FA4F44" w:rsidRPr="00FA4F44">
        <w:rPr>
          <w:rStyle w:val="EndnoteReference"/>
        </w:rPr>
        <w:endnoteReference w:id="68"/>
      </w:r>
      <w:r w:rsidR="0081611F">
        <w:t xml:space="preserve"> </w:t>
      </w:r>
      <w:r w:rsidR="007116A9" w:rsidRPr="00670854">
        <w:t>Indeed</w:t>
      </w:r>
      <w:r w:rsidR="007116A9">
        <w:t>,</w:t>
      </w:r>
      <w:r w:rsidR="007116A9" w:rsidRPr="00670854">
        <w:t xml:space="preserve"> </w:t>
      </w:r>
      <w:r w:rsidR="00C01D6F">
        <w:t xml:space="preserve">both CEDAW and </w:t>
      </w:r>
      <w:r w:rsidR="00707FF0">
        <w:t xml:space="preserve">the </w:t>
      </w:r>
      <w:r w:rsidR="007116A9">
        <w:t>CRC expressed concern regarding the retrogressive introduction of mandatory waiting periods and biased information requirements in Slovakia. CEDAW called upon the</w:t>
      </w:r>
      <w:r w:rsidR="007116A9" w:rsidRPr="002A6A49">
        <w:t xml:space="preserve"> </w:t>
      </w:r>
      <w:r w:rsidR="008403B8">
        <w:t>Government</w:t>
      </w:r>
      <w:r w:rsidR="007116A9" w:rsidRPr="002A6A49">
        <w:t xml:space="preserve"> to </w:t>
      </w:r>
      <w:r w:rsidR="007116A9">
        <w:t>remove the mandatory waiting period and biased counseling requirements from the law in order to ensure access to safe abortion.</w:t>
      </w:r>
      <w:r w:rsidR="007116A9" w:rsidRPr="002A6A49">
        <w:t xml:space="preserve"> </w:t>
      </w:r>
      <w:r w:rsidR="008403B8">
        <w:t xml:space="preserve">Similarly, the CRC </w:t>
      </w:r>
      <w:r w:rsidR="007116A9">
        <w:t>urged Slovakia to remove the mandatory waiting period and to ensure that “</w:t>
      </w:r>
      <w:r w:rsidR="007116A9" w:rsidRPr="00CD4270">
        <w:t>health care professionals provide medically accurate and non-stigm</w:t>
      </w:r>
      <w:r w:rsidR="007116A9">
        <w:t>atizing information on abortion.”</w:t>
      </w:r>
      <w:r w:rsidR="007116A9" w:rsidRPr="002A6A49">
        <w:rPr>
          <w:rStyle w:val="EndnoteReference"/>
        </w:rPr>
        <w:endnoteReference w:id="69"/>
      </w:r>
      <w:r w:rsidR="007116A9" w:rsidRPr="002A6A49">
        <w:rPr>
          <w:rFonts w:eastAsia="HelveticaNeueLTStd-Roman"/>
        </w:rPr>
        <w:t xml:space="preserve"> </w:t>
      </w:r>
      <w:r w:rsidR="008416BB">
        <w:rPr>
          <w:rFonts w:eastAsia="HelveticaNeueLTStd-Roman"/>
        </w:rPr>
        <w:t>Additionally</w:t>
      </w:r>
      <w:r w:rsidR="00307B1E">
        <w:rPr>
          <w:rFonts w:eastAsia="HelveticaNeueLTStd-Roman"/>
        </w:rPr>
        <w:t>,</w:t>
      </w:r>
      <w:r w:rsidR="008416BB">
        <w:rPr>
          <w:rFonts w:eastAsia="HelveticaNeueLTStd-Roman"/>
        </w:rPr>
        <w:t xml:space="preserve"> C</w:t>
      </w:r>
      <w:r w:rsidR="00307B1E">
        <w:rPr>
          <w:rFonts w:eastAsia="HelveticaNeueLTStd-Roman"/>
        </w:rPr>
        <w:t>EDAW</w:t>
      </w:r>
      <w:r w:rsidR="008416BB">
        <w:rPr>
          <w:rFonts w:eastAsia="HelveticaNeueLTStd-Roman"/>
        </w:rPr>
        <w:t xml:space="preserve"> has called on the Slovak authorities </w:t>
      </w:r>
      <w:r w:rsidR="00307B1E" w:rsidRPr="00307B1E">
        <w:t>to “ensure universal coverage by the public health insurance of all costs related to legal abortion, including abortion on request</w:t>
      </w:r>
      <w:r w:rsidR="00307B1E">
        <w:t>…</w:t>
      </w:r>
      <w:r w:rsidR="00307B1E" w:rsidRPr="00307B1E">
        <w:t>.”</w:t>
      </w:r>
      <w:r w:rsidR="00307B1E">
        <w:rPr>
          <w:rStyle w:val="EndnoteReference"/>
        </w:rPr>
        <w:endnoteReference w:id="70"/>
      </w:r>
    </w:p>
    <w:p w14:paraId="76DFE68B" w14:textId="77777777" w:rsidR="007116A9" w:rsidRPr="002A6A49" w:rsidRDefault="007116A9" w:rsidP="007116A9">
      <w:pPr>
        <w:pStyle w:val="Sinespaciado"/>
        <w:jc w:val="both"/>
      </w:pPr>
    </w:p>
    <w:p w14:paraId="069C5058" w14:textId="77777777" w:rsidR="00620B99" w:rsidRDefault="00FA4F44" w:rsidP="00FA4F44">
      <w:pPr>
        <w:pStyle w:val="NoSpacing"/>
        <w:jc w:val="both"/>
        <w:rPr>
          <w:rFonts w:ascii="Times New Roman" w:hAnsi="Times New Roman"/>
          <w:sz w:val="24"/>
          <w:szCs w:val="24"/>
        </w:rPr>
      </w:pPr>
      <w:r w:rsidRPr="0020775D">
        <w:rPr>
          <w:rStyle w:val="sb8d990e2"/>
          <w:rFonts w:ascii="Times New Roman" w:hAnsi="Times New Roman"/>
          <w:sz w:val="24"/>
          <w:szCs w:val="24"/>
        </w:rPr>
        <w:t xml:space="preserve">European </w:t>
      </w:r>
      <w:r w:rsidR="007116A9">
        <w:rPr>
          <w:rStyle w:val="sb8d990e2"/>
          <w:rFonts w:ascii="Times New Roman" w:hAnsi="Times New Roman"/>
          <w:sz w:val="24"/>
          <w:szCs w:val="24"/>
        </w:rPr>
        <w:t xml:space="preserve">human rights mechanisms </w:t>
      </w:r>
      <w:r w:rsidR="008416BB">
        <w:rPr>
          <w:rStyle w:val="sb8d990e2"/>
          <w:rFonts w:ascii="Times New Roman" w:hAnsi="Times New Roman"/>
          <w:sz w:val="24"/>
          <w:szCs w:val="24"/>
        </w:rPr>
        <w:t xml:space="preserve">and political bodies </w:t>
      </w:r>
      <w:r w:rsidRPr="0020775D">
        <w:rPr>
          <w:rStyle w:val="sb8d990e2"/>
          <w:rFonts w:ascii="Times New Roman" w:hAnsi="Times New Roman"/>
          <w:sz w:val="24"/>
          <w:szCs w:val="24"/>
        </w:rPr>
        <w:t xml:space="preserve">have </w:t>
      </w:r>
      <w:r w:rsidR="0020775D" w:rsidRPr="0020775D">
        <w:rPr>
          <w:rStyle w:val="sb8d990e2"/>
          <w:rFonts w:ascii="Times New Roman" w:hAnsi="Times New Roman"/>
          <w:sz w:val="24"/>
          <w:szCs w:val="24"/>
        </w:rPr>
        <w:t xml:space="preserve">also </w:t>
      </w:r>
      <w:r w:rsidRPr="0020775D">
        <w:rPr>
          <w:rStyle w:val="sb8d990e2"/>
          <w:rFonts w:ascii="Times New Roman" w:hAnsi="Times New Roman"/>
          <w:sz w:val="24"/>
          <w:szCs w:val="24"/>
        </w:rPr>
        <w:t xml:space="preserve">made it clear that states should ensure access to </w:t>
      </w:r>
      <w:r w:rsidR="0020775D" w:rsidRPr="0020775D">
        <w:rPr>
          <w:rStyle w:val="sb8d990e2"/>
          <w:rFonts w:ascii="Times New Roman" w:hAnsi="Times New Roman"/>
          <w:sz w:val="24"/>
          <w:szCs w:val="24"/>
        </w:rPr>
        <w:t xml:space="preserve">legal </w:t>
      </w:r>
      <w:r w:rsidRPr="0020775D">
        <w:rPr>
          <w:rStyle w:val="sb8d990e2"/>
          <w:rFonts w:ascii="Times New Roman" w:hAnsi="Times New Roman"/>
          <w:sz w:val="24"/>
          <w:szCs w:val="24"/>
        </w:rPr>
        <w:t xml:space="preserve">abortion services without </w:t>
      </w:r>
      <w:r w:rsidR="0020775D" w:rsidRPr="0020775D">
        <w:rPr>
          <w:rStyle w:val="sb8d990e2"/>
          <w:rFonts w:ascii="Times New Roman" w:hAnsi="Times New Roman"/>
          <w:sz w:val="24"/>
          <w:szCs w:val="24"/>
        </w:rPr>
        <w:t xml:space="preserve">imposing </w:t>
      </w:r>
      <w:r w:rsidR="00105A6D">
        <w:rPr>
          <w:rStyle w:val="sb8d990e2"/>
          <w:rFonts w:ascii="Times New Roman" w:hAnsi="Times New Roman"/>
          <w:sz w:val="24"/>
          <w:szCs w:val="24"/>
        </w:rPr>
        <w:t xml:space="preserve">procedural </w:t>
      </w:r>
      <w:r w:rsidR="0020775D" w:rsidRPr="0020775D">
        <w:rPr>
          <w:rStyle w:val="sb8d990e2"/>
          <w:rFonts w:ascii="Times New Roman" w:hAnsi="Times New Roman"/>
          <w:sz w:val="24"/>
          <w:szCs w:val="24"/>
        </w:rPr>
        <w:t>restrictions</w:t>
      </w:r>
      <w:r w:rsidRPr="0020775D">
        <w:rPr>
          <w:rStyle w:val="sb8d990e2"/>
          <w:rFonts w:ascii="Times New Roman" w:hAnsi="Times New Roman"/>
          <w:sz w:val="24"/>
          <w:szCs w:val="24"/>
        </w:rPr>
        <w:t xml:space="preserve">. </w:t>
      </w:r>
      <w:r w:rsidR="008416BB">
        <w:rPr>
          <w:rStyle w:val="sb8d990e2"/>
          <w:rFonts w:ascii="Times New Roman" w:hAnsi="Times New Roman"/>
          <w:sz w:val="24"/>
          <w:szCs w:val="24"/>
        </w:rPr>
        <w:t>For example</w:t>
      </w:r>
      <w:r w:rsidR="00307B1E">
        <w:rPr>
          <w:rStyle w:val="sb8d990e2"/>
          <w:rFonts w:ascii="Times New Roman" w:hAnsi="Times New Roman"/>
          <w:sz w:val="24"/>
          <w:szCs w:val="24"/>
        </w:rPr>
        <w:t>,</w:t>
      </w:r>
      <w:r w:rsidR="008416BB">
        <w:rPr>
          <w:rStyle w:val="sb8d990e2"/>
          <w:rFonts w:ascii="Times New Roman" w:hAnsi="Times New Roman"/>
          <w:sz w:val="24"/>
          <w:szCs w:val="24"/>
        </w:rPr>
        <w:t xml:space="preserve"> t</w:t>
      </w:r>
      <w:r w:rsidRPr="0020775D">
        <w:rPr>
          <w:rStyle w:val="sb8d990e2"/>
          <w:rFonts w:ascii="Times New Roman" w:hAnsi="Times New Roman"/>
          <w:sz w:val="24"/>
          <w:szCs w:val="24"/>
        </w:rPr>
        <w:t xml:space="preserve">he </w:t>
      </w:r>
      <w:r w:rsidR="00F135A0">
        <w:rPr>
          <w:rStyle w:val="sb8d990e2"/>
          <w:rFonts w:ascii="Times New Roman" w:hAnsi="Times New Roman"/>
          <w:sz w:val="24"/>
          <w:szCs w:val="24"/>
        </w:rPr>
        <w:t>ECtHR</w:t>
      </w:r>
      <w:r w:rsidR="009C58B6">
        <w:rPr>
          <w:rStyle w:val="sb8d990e2"/>
          <w:rFonts w:ascii="Times New Roman" w:hAnsi="Times New Roman"/>
          <w:sz w:val="24"/>
          <w:szCs w:val="24"/>
        </w:rPr>
        <w:t xml:space="preserve"> </w:t>
      </w:r>
      <w:r w:rsidRPr="0020775D">
        <w:rPr>
          <w:rStyle w:val="sb8d990e2"/>
          <w:rFonts w:ascii="Times New Roman" w:hAnsi="Times New Roman"/>
          <w:sz w:val="24"/>
          <w:szCs w:val="24"/>
        </w:rPr>
        <w:t>has held that “[o]</w:t>
      </w:r>
      <w:proofErr w:type="spellStart"/>
      <w:r w:rsidRPr="0020775D">
        <w:rPr>
          <w:rStyle w:val="sb8d990e2"/>
          <w:rFonts w:ascii="Times New Roman" w:hAnsi="Times New Roman"/>
          <w:sz w:val="24"/>
          <w:szCs w:val="24"/>
        </w:rPr>
        <w:t>nce</w:t>
      </w:r>
      <w:proofErr w:type="spellEnd"/>
      <w:r w:rsidRPr="0020775D">
        <w:rPr>
          <w:rStyle w:val="sb8d990e2"/>
          <w:rFonts w:ascii="Times New Roman" w:hAnsi="Times New Roman"/>
          <w:sz w:val="24"/>
          <w:szCs w:val="24"/>
        </w:rPr>
        <w:t xml:space="preserve"> the legislature decides to allow abortion, it must not structure its legal framework in a way which would limit real possibilities to obtain it”</w:t>
      </w:r>
      <w:r w:rsidRPr="0020775D">
        <w:rPr>
          <w:rStyle w:val="EndnoteReference"/>
          <w:rFonts w:ascii="Times New Roman" w:hAnsi="Times New Roman"/>
          <w:sz w:val="24"/>
          <w:szCs w:val="24"/>
        </w:rPr>
        <w:endnoteReference w:id="71"/>
      </w:r>
      <w:r w:rsidRPr="0020775D">
        <w:rPr>
          <w:rStyle w:val="sb8d990e2"/>
          <w:rFonts w:ascii="Times New Roman" w:hAnsi="Times New Roman"/>
          <w:sz w:val="24"/>
          <w:szCs w:val="24"/>
        </w:rPr>
        <w:t xml:space="preserve"> and has underscored that European </w:t>
      </w:r>
      <w:r w:rsidRPr="0020775D">
        <w:rPr>
          <w:rFonts w:ascii="Times New Roman" w:hAnsi="Times New Roman"/>
          <w:sz w:val="24"/>
          <w:szCs w:val="24"/>
        </w:rPr>
        <w:t>states have</w:t>
      </w:r>
      <w:r w:rsidRPr="0020775D">
        <w:rPr>
          <w:rStyle w:val="sb8d990e2"/>
          <w:rFonts w:ascii="Times New Roman" w:hAnsi="Times New Roman"/>
          <w:sz w:val="24"/>
          <w:szCs w:val="24"/>
        </w:rPr>
        <w:t xml:space="preserve"> “a positive obligation to create a procedural framework enabling a pregnant woman to exercise her right of access to lawful abortion.”</w:t>
      </w:r>
      <w:r w:rsidRPr="0020775D">
        <w:rPr>
          <w:rStyle w:val="EndnoteReference"/>
          <w:rFonts w:ascii="Times New Roman" w:hAnsi="Times New Roman"/>
          <w:sz w:val="24"/>
          <w:szCs w:val="24"/>
        </w:rPr>
        <w:endnoteReference w:id="72"/>
      </w:r>
      <w:r w:rsidRPr="0020775D">
        <w:rPr>
          <w:rStyle w:val="sb8d990e2"/>
          <w:rFonts w:ascii="Times New Roman" w:hAnsi="Times New Roman"/>
          <w:sz w:val="24"/>
          <w:szCs w:val="24"/>
        </w:rPr>
        <w:t xml:space="preserve"> </w:t>
      </w:r>
      <w:r w:rsidRPr="0020775D">
        <w:rPr>
          <w:rFonts w:ascii="Times New Roman" w:hAnsi="Times New Roman"/>
          <w:sz w:val="24"/>
          <w:szCs w:val="24"/>
        </w:rPr>
        <w:t>The Parliamentary Assembly of the Council of Europe (PACE) has found that mandatory waiting periods and requirements for repeated medical consultations prior to abortion can hinder access to safe abortion care, or make it impossible altogether.</w:t>
      </w:r>
      <w:r w:rsidRPr="0020775D">
        <w:rPr>
          <w:rStyle w:val="EndnoteReference"/>
          <w:rFonts w:ascii="Times New Roman" w:hAnsi="Times New Roman"/>
          <w:sz w:val="24"/>
          <w:szCs w:val="24"/>
        </w:rPr>
        <w:endnoteReference w:id="73"/>
      </w:r>
      <w:r w:rsidRPr="0020775D">
        <w:rPr>
          <w:rFonts w:ascii="Times New Roman" w:hAnsi="Times New Roman"/>
          <w:sz w:val="24"/>
          <w:szCs w:val="24"/>
        </w:rPr>
        <w:t xml:space="preserve"> </w:t>
      </w:r>
      <w:r w:rsidR="007116A9">
        <w:rPr>
          <w:rFonts w:ascii="Times New Roman" w:hAnsi="Times New Roman"/>
          <w:sz w:val="24"/>
          <w:szCs w:val="24"/>
        </w:rPr>
        <w:t>It has</w:t>
      </w:r>
      <w:r w:rsidRPr="0020775D">
        <w:rPr>
          <w:rFonts w:ascii="Times New Roman" w:hAnsi="Times New Roman"/>
          <w:sz w:val="24"/>
          <w:szCs w:val="24"/>
        </w:rPr>
        <w:t xml:space="preserve"> called on Council of Europe member states to “guarantee women’s effective exercise of their right of access to a safe and </w:t>
      </w:r>
      <w:r w:rsidRPr="0020775D">
        <w:rPr>
          <w:rFonts w:ascii="Times New Roman" w:hAnsi="Times New Roman"/>
          <w:sz w:val="24"/>
          <w:szCs w:val="24"/>
        </w:rPr>
        <w:lastRenderedPageBreak/>
        <w:t xml:space="preserve">legal abortion,” and to “lift restrictions which hinder, </w:t>
      </w:r>
      <w:r w:rsidRPr="0020775D">
        <w:rPr>
          <w:rFonts w:ascii="Times New Roman" w:hAnsi="Times New Roman"/>
          <w:iCs/>
          <w:sz w:val="24"/>
          <w:szCs w:val="24"/>
        </w:rPr>
        <w:t>de jure</w:t>
      </w:r>
      <w:r w:rsidRPr="0020775D">
        <w:rPr>
          <w:rFonts w:ascii="Times New Roman" w:hAnsi="Times New Roman"/>
          <w:sz w:val="24"/>
          <w:szCs w:val="24"/>
        </w:rPr>
        <w:t xml:space="preserve"> or de facto, access to safe abortion.”</w:t>
      </w:r>
      <w:r w:rsidRPr="0020775D">
        <w:rPr>
          <w:rStyle w:val="EndnoteReference"/>
          <w:rFonts w:ascii="Times New Roman" w:hAnsi="Times New Roman"/>
          <w:sz w:val="24"/>
          <w:szCs w:val="24"/>
        </w:rPr>
        <w:endnoteReference w:id="74"/>
      </w:r>
      <w:r w:rsidRPr="0020775D">
        <w:rPr>
          <w:rFonts w:ascii="Times New Roman" w:hAnsi="Times New Roman"/>
          <w:sz w:val="24"/>
          <w:szCs w:val="24"/>
        </w:rPr>
        <w:t xml:space="preserve"> </w:t>
      </w:r>
    </w:p>
    <w:p w14:paraId="35C2FE89" w14:textId="77777777" w:rsidR="00B02A6D" w:rsidRDefault="00B02A6D" w:rsidP="001A7DF2">
      <w:pPr>
        <w:pStyle w:val="Sinespaciado"/>
        <w:jc w:val="both"/>
        <w:rPr>
          <w:u w:val="single"/>
        </w:rPr>
      </w:pPr>
    </w:p>
    <w:p w14:paraId="14AB9AF3" w14:textId="77777777" w:rsidR="00B200D2" w:rsidRPr="00307B1E" w:rsidRDefault="00163D69" w:rsidP="002C6D41">
      <w:pPr>
        <w:pStyle w:val="Sinespaciado"/>
        <w:jc w:val="both"/>
      </w:pPr>
      <w:r w:rsidRPr="00307B1E">
        <w:t xml:space="preserve">The recent retrogressive introduction of mandatory waiting periods and biased </w:t>
      </w:r>
      <w:r w:rsidR="00307B1E" w:rsidRPr="00307B1E">
        <w:t>information</w:t>
      </w:r>
      <w:r w:rsidRPr="00307B1E">
        <w:t xml:space="preserve"> requirements in Slovakia gives rise to particular concerns with regard to Article 17 of the Covenant, and Articles 2(1), 3 and 26: </w:t>
      </w:r>
    </w:p>
    <w:p w14:paraId="16641334" w14:textId="77777777" w:rsidR="00163D69" w:rsidRPr="00307B1E" w:rsidRDefault="00163D69" w:rsidP="002C6D41">
      <w:pPr>
        <w:pStyle w:val="Sinespaciado"/>
        <w:jc w:val="both"/>
      </w:pPr>
    </w:p>
    <w:p w14:paraId="2FF28139" w14:textId="77777777" w:rsidR="00707FF0" w:rsidRPr="00707FF0" w:rsidRDefault="00163D69" w:rsidP="00887A0B">
      <w:pPr>
        <w:pStyle w:val="ListParagraph"/>
        <w:numPr>
          <w:ilvl w:val="0"/>
          <w:numId w:val="3"/>
        </w:numPr>
        <w:spacing w:after="0" w:line="240" w:lineRule="auto"/>
        <w:jc w:val="both"/>
        <w:rPr>
          <w:rFonts w:ascii="Times New Roman" w:hAnsi="Times New Roman"/>
          <w:color w:val="000000" w:themeColor="text1"/>
          <w:sz w:val="24"/>
          <w:szCs w:val="24"/>
        </w:rPr>
      </w:pPr>
      <w:r w:rsidRPr="00307B1E">
        <w:rPr>
          <w:rFonts w:ascii="Times New Roman" w:hAnsi="Times New Roman"/>
          <w:b/>
          <w:sz w:val="24"/>
          <w:szCs w:val="24"/>
        </w:rPr>
        <w:t>Article 17, Right to privacy and principle of informed consent</w:t>
      </w:r>
      <w:r w:rsidRPr="0003443D">
        <w:rPr>
          <w:rFonts w:ascii="Times New Roman" w:hAnsi="Times New Roman"/>
          <w:b/>
          <w:sz w:val="24"/>
          <w:szCs w:val="24"/>
        </w:rPr>
        <w:t>:</w:t>
      </w:r>
      <w:r w:rsidRPr="0003443D">
        <w:rPr>
          <w:rFonts w:ascii="Times New Roman" w:hAnsi="Times New Roman"/>
          <w:sz w:val="24"/>
          <w:szCs w:val="24"/>
        </w:rPr>
        <w:t xml:space="preserve"> </w:t>
      </w:r>
      <w:r w:rsidR="008D74DB" w:rsidRPr="0003443D">
        <w:rPr>
          <w:rFonts w:ascii="Times New Roman" w:hAnsi="Times New Roman"/>
          <w:sz w:val="24"/>
          <w:szCs w:val="24"/>
        </w:rPr>
        <w:t>This Committee and other international human rights mechanisms have consistently held</w:t>
      </w:r>
      <w:r w:rsidR="008D74DB" w:rsidRPr="00307B1E">
        <w:rPr>
          <w:rFonts w:ascii="Times New Roman" w:hAnsi="Times New Roman"/>
          <w:sz w:val="24"/>
          <w:szCs w:val="24"/>
        </w:rPr>
        <w:t xml:space="preserve"> that a woman’s decision whether or not to continue a pregnancy falls within the sphere of the right to privacy, and where states’ laws, policies or practices restrict women from terminating their pregnancies, they give rise to interferences in the enjoyment of that right which must thus be shown to be in accordance with the law, to pursue a legitimate aim and to be necessary and proportionate.</w:t>
      </w:r>
      <w:r w:rsidR="008D74DB" w:rsidRPr="00307B1E">
        <w:rPr>
          <w:rStyle w:val="EndnoteReference"/>
          <w:rFonts w:ascii="Times New Roman" w:hAnsi="Times New Roman"/>
          <w:sz w:val="24"/>
          <w:szCs w:val="24"/>
        </w:rPr>
        <w:endnoteReference w:id="75"/>
      </w:r>
      <w:r w:rsidR="008D74DB" w:rsidRPr="00307B1E">
        <w:rPr>
          <w:rFonts w:ascii="Times New Roman" w:hAnsi="Times New Roman"/>
          <w:sz w:val="24"/>
          <w:szCs w:val="24"/>
        </w:rPr>
        <w:t xml:space="preserve"> Additionally ensuring compliance in medical contexts </w:t>
      </w:r>
      <w:r w:rsidR="008D74DB" w:rsidRPr="0003443D">
        <w:rPr>
          <w:rFonts w:ascii="Times New Roman" w:hAnsi="Times New Roman"/>
          <w:sz w:val="24"/>
          <w:szCs w:val="24"/>
        </w:rPr>
        <w:t xml:space="preserve">with </w:t>
      </w:r>
      <w:r w:rsidR="0003443D" w:rsidRPr="0003443D">
        <w:rPr>
          <w:rFonts w:ascii="Times New Roman" w:hAnsi="Times New Roman"/>
          <w:sz w:val="24"/>
          <w:szCs w:val="24"/>
        </w:rPr>
        <w:t>t</w:t>
      </w:r>
      <w:r w:rsidRPr="0003443D">
        <w:rPr>
          <w:rFonts w:ascii="Times New Roman" w:hAnsi="Times New Roman"/>
          <w:sz w:val="24"/>
          <w:szCs w:val="24"/>
        </w:rPr>
        <w:t>he</w:t>
      </w:r>
      <w:r w:rsidRPr="00307B1E">
        <w:rPr>
          <w:rFonts w:ascii="Times New Roman" w:hAnsi="Times New Roman"/>
          <w:sz w:val="24"/>
          <w:szCs w:val="24"/>
        </w:rPr>
        <w:t xml:space="preserve"> principle of full and informed consent is an integral component of the right to privacy.</w:t>
      </w:r>
      <w:r w:rsidRPr="00307B1E">
        <w:rPr>
          <w:rStyle w:val="EndnoteReference"/>
          <w:rFonts w:ascii="Times New Roman" w:hAnsi="Times New Roman"/>
          <w:sz w:val="24"/>
          <w:szCs w:val="24"/>
        </w:rPr>
        <w:endnoteReference w:id="76"/>
      </w:r>
      <w:r w:rsidRPr="008D74DB">
        <w:rPr>
          <w:rFonts w:ascii="Times New Roman" w:hAnsi="Times New Roman"/>
          <w:sz w:val="24"/>
          <w:szCs w:val="24"/>
        </w:rPr>
        <w:t xml:space="preserve"> Informed consent requires that a patient’s medical decision-making be free of threat or inducement, and that a patient’s consent to a medical procedure, including abortion, be given freely and voluntarily after receipt of understandable, adequate, accurate, and evidence-based information on the procedure.</w:t>
      </w:r>
      <w:r w:rsidRPr="002A6A49">
        <w:rPr>
          <w:rStyle w:val="EndnoteReference"/>
          <w:rFonts w:ascii="Times New Roman" w:hAnsi="Times New Roman"/>
          <w:sz w:val="24"/>
          <w:szCs w:val="24"/>
        </w:rPr>
        <w:endnoteReference w:id="77"/>
      </w:r>
      <w:r w:rsidRPr="008D74DB">
        <w:rPr>
          <w:rFonts w:ascii="Times New Roman" w:hAnsi="Times New Roman"/>
          <w:sz w:val="24"/>
          <w:szCs w:val="24"/>
        </w:rPr>
        <w:t xml:space="preserve"> It is implicit in the principle of informed consent that patients must also be entitled to refuse such information yet still undergo the requested procedure.</w:t>
      </w:r>
      <w:r w:rsidRPr="002A6A49">
        <w:rPr>
          <w:rStyle w:val="EndnoteReference"/>
          <w:rFonts w:ascii="Times New Roman" w:hAnsi="Times New Roman"/>
          <w:sz w:val="24"/>
          <w:szCs w:val="24"/>
        </w:rPr>
        <w:endnoteReference w:id="78"/>
      </w:r>
      <w:r>
        <w:t xml:space="preserve"> </w:t>
      </w:r>
    </w:p>
    <w:p w14:paraId="0B8BD33C" w14:textId="77777777" w:rsidR="00707FF0" w:rsidRDefault="00707FF0" w:rsidP="00707FF0">
      <w:pPr>
        <w:pStyle w:val="ListParagraph"/>
        <w:spacing w:after="0" w:line="240" w:lineRule="auto"/>
        <w:jc w:val="both"/>
        <w:rPr>
          <w:rFonts w:ascii="Times New Roman" w:hAnsi="Times New Roman"/>
          <w:b/>
          <w:sz w:val="24"/>
          <w:szCs w:val="24"/>
        </w:rPr>
      </w:pPr>
    </w:p>
    <w:p w14:paraId="18416AD7" w14:textId="4CD73659" w:rsidR="00163D69" w:rsidRDefault="00163D69" w:rsidP="00707FF0">
      <w:pPr>
        <w:pStyle w:val="ListParagraph"/>
        <w:spacing w:after="0" w:line="240" w:lineRule="auto"/>
        <w:jc w:val="both"/>
        <w:rPr>
          <w:rFonts w:ascii="Times New Roman" w:eastAsia="HelveticaNeueLTStd-Roman" w:hAnsi="Times New Roman"/>
          <w:sz w:val="24"/>
          <w:szCs w:val="24"/>
        </w:rPr>
      </w:pPr>
      <w:r w:rsidRPr="0003443D">
        <w:rPr>
          <w:rFonts w:ascii="Times New Roman" w:hAnsi="Times New Roman"/>
          <w:sz w:val="24"/>
          <w:szCs w:val="24"/>
        </w:rPr>
        <w:t>Mandatory waiting periods and biased counseling or information requirements</w:t>
      </w:r>
      <w:r w:rsidR="008D74DB" w:rsidRPr="0003443D">
        <w:rPr>
          <w:rFonts w:ascii="Times New Roman" w:hAnsi="Times New Roman"/>
          <w:sz w:val="24"/>
          <w:szCs w:val="24"/>
        </w:rPr>
        <w:t xml:space="preserve"> interfere with women’s right to privacy and</w:t>
      </w:r>
      <w:r w:rsidRPr="0003443D">
        <w:rPr>
          <w:rFonts w:ascii="Times New Roman" w:hAnsi="Times New Roman"/>
          <w:sz w:val="24"/>
          <w:szCs w:val="24"/>
        </w:rPr>
        <w:t xml:space="preserve"> contradict the principle of informed consent. </w:t>
      </w:r>
      <w:r w:rsidR="008D74DB" w:rsidRPr="0003443D">
        <w:rPr>
          <w:rFonts w:ascii="Times New Roman" w:hAnsi="Times New Roman"/>
          <w:sz w:val="24"/>
          <w:szCs w:val="24"/>
        </w:rPr>
        <w:t>B</w:t>
      </w:r>
      <w:r w:rsidRPr="0003443D">
        <w:rPr>
          <w:rFonts w:ascii="Times New Roman" w:hAnsi="Times New Roman"/>
          <w:sz w:val="24"/>
          <w:szCs w:val="24"/>
        </w:rPr>
        <w:t>y imposing</w:t>
      </w:r>
      <w:r w:rsidRPr="0003443D">
        <w:rPr>
          <w:rFonts w:ascii="Times New Roman" w:hAnsi="Times New Roman"/>
          <w:color w:val="000000" w:themeColor="text1"/>
          <w:sz w:val="24"/>
          <w:szCs w:val="24"/>
        </w:rPr>
        <w:t xml:space="preserve"> certain information on women as a precondition to abortion,</w:t>
      </w:r>
      <w:r w:rsidRPr="0003443D">
        <w:rPr>
          <w:rFonts w:ascii="Times New Roman" w:hAnsi="Times New Roman"/>
          <w:sz w:val="24"/>
          <w:szCs w:val="24"/>
        </w:rPr>
        <w:t xml:space="preserve"> </w:t>
      </w:r>
      <w:r w:rsidR="008D74DB" w:rsidRPr="0003443D">
        <w:rPr>
          <w:rFonts w:ascii="Times New Roman" w:hAnsi="Times New Roman"/>
          <w:sz w:val="24"/>
          <w:szCs w:val="24"/>
        </w:rPr>
        <w:t>biased information requirements</w:t>
      </w:r>
      <w:r w:rsidRPr="0003443D">
        <w:rPr>
          <w:rFonts w:ascii="Times New Roman" w:hAnsi="Times New Roman"/>
          <w:sz w:val="24"/>
          <w:szCs w:val="24"/>
        </w:rPr>
        <w:t xml:space="preserve"> </w:t>
      </w:r>
      <w:r w:rsidRPr="0003443D">
        <w:rPr>
          <w:rFonts w:ascii="Times New Roman" w:hAnsi="Times New Roman"/>
          <w:color w:val="000000" w:themeColor="text1"/>
          <w:sz w:val="24"/>
          <w:szCs w:val="24"/>
        </w:rPr>
        <w:t xml:space="preserve">implicitly contradict </w:t>
      </w:r>
      <w:r w:rsidRPr="0003443D">
        <w:rPr>
          <w:rFonts w:ascii="Times New Roman" w:hAnsi="Times New Roman"/>
          <w:sz w:val="24"/>
          <w:szCs w:val="24"/>
        </w:rPr>
        <w:t>the</w:t>
      </w:r>
      <w:r w:rsidRPr="008D74DB">
        <w:rPr>
          <w:rFonts w:ascii="Times New Roman" w:hAnsi="Times New Roman"/>
          <w:sz w:val="24"/>
          <w:szCs w:val="24"/>
        </w:rPr>
        <w:t xml:space="preserve"> necessity that individuals be entitled to refuse information related to their health and proceed to treatment without it</w:t>
      </w:r>
      <w:r w:rsidRPr="008D74DB">
        <w:rPr>
          <w:rFonts w:ascii="Times New Roman" w:hAnsi="Times New Roman"/>
          <w:color w:val="000000" w:themeColor="text1"/>
          <w:sz w:val="24"/>
          <w:szCs w:val="24"/>
        </w:rPr>
        <w:t xml:space="preserve">. </w:t>
      </w:r>
      <w:r w:rsidR="008D74DB" w:rsidRPr="008D74DB">
        <w:rPr>
          <w:rFonts w:ascii="Times New Roman" w:hAnsi="Times New Roman"/>
          <w:color w:val="000000" w:themeColor="text1"/>
          <w:sz w:val="24"/>
          <w:szCs w:val="24"/>
        </w:rPr>
        <w:t>Biased information requirements also</w:t>
      </w:r>
      <w:r w:rsidRPr="008D74DB">
        <w:rPr>
          <w:rFonts w:ascii="Times New Roman" w:hAnsi="Times New Roman"/>
          <w:color w:val="000000" w:themeColor="text1"/>
          <w:sz w:val="24"/>
          <w:szCs w:val="24"/>
        </w:rPr>
        <w:t xml:space="preserve"> require health professionals to </w:t>
      </w:r>
      <w:r w:rsidR="008D74DB" w:rsidRPr="008D74DB">
        <w:rPr>
          <w:rFonts w:ascii="Times New Roman" w:hAnsi="Times New Roman"/>
          <w:color w:val="000000" w:themeColor="text1"/>
          <w:sz w:val="24"/>
          <w:szCs w:val="24"/>
        </w:rPr>
        <w:t xml:space="preserve">provide information to women the purpose of which is </w:t>
      </w:r>
      <w:r w:rsidRPr="008D74DB">
        <w:rPr>
          <w:rFonts w:ascii="Times New Roman" w:hAnsi="Times New Roman"/>
          <w:color w:val="000000" w:themeColor="text1"/>
          <w:sz w:val="24"/>
          <w:szCs w:val="24"/>
        </w:rPr>
        <w:t>to persuade women not to undergo abortion</w:t>
      </w:r>
      <w:r w:rsidR="008D74DB" w:rsidRPr="008D74DB">
        <w:rPr>
          <w:rFonts w:ascii="Times New Roman" w:hAnsi="Times New Roman"/>
          <w:color w:val="000000" w:themeColor="text1"/>
          <w:sz w:val="24"/>
          <w:szCs w:val="24"/>
        </w:rPr>
        <w:t>. This can</w:t>
      </w:r>
      <w:r w:rsidRPr="008D74DB">
        <w:rPr>
          <w:rFonts w:ascii="Times New Roman" w:hAnsi="Times New Roman"/>
          <w:color w:val="000000" w:themeColor="text1"/>
          <w:sz w:val="24"/>
          <w:szCs w:val="24"/>
        </w:rPr>
        <w:t xml:space="preserve"> in</w:t>
      </w:r>
      <w:r w:rsidR="008D74DB" w:rsidRPr="008D74DB">
        <w:rPr>
          <w:rFonts w:ascii="Times New Roman" w:hAnsi="Times New Roman"/>
          <w:color w:val="000000" w:themeColor="text1"/>
          <w:sz w:val="24"/>
          <w:szCs w:val="24"/>
        </w:rPr>
        <w:t>volve</w:t>
      </w:r>
      <w:r w:rsidRPr="008D74DB">
        <w:rPr>
          <w:rFonts w:ascii="Times New Roman" w:hAnsi="Times New Roman"/>
          <w:color w:val="000000" w:themeColor="text1"/>
          <w:sz w:val="24"/>
          <w:szCs w:val="24"/>
        </w:rPr>
        <w:t xml:space="preserve"> the provision of medically inaccurate, misleading, or stigmatizing information, </w:t>
      </w:r>
      <w:r w:rsidR="008D74DB" w:rsidRPr="008D74DB">
        <w:rPr>
          <w:rFonts w:ascii="Times New Roman" w:hAnsi="Times New Roman"/>
          <w:color w:val="000000" w:themeColor="text1"/>
          <w:sz w:val="24"/>
          <w:szCs w:val="24"/>
        </w:rPr>
        <w:t>which</w:t>
      </w:r>
      <w:r w:rsidRPr="008D74DB">
        <w:rPr>
          <w:rFonts w:ascii="Times New Roman" w:hAnsi="Times New Roman"/>
          <w:color w:val="000000" w:themeColor="text1"/>
          <w:sz w:val="24"/>
          <w:szCs w:val="24"/>
        </w:rPr>
        <w:t xml:space="preserve"> contravene</w:t>
      </w:r>
      <w:r w:rsidR="008D74DB" w:rsidRPr="008D74DB">
        <w:rPr>
          <w:rFonts w:ascii="Times New Roman" w:hAnsi="Times New Roman"/>
          <w:color w:val="000000" w:themeColor="text1"/>
          <w:sz w:val="24"/>
          <w:szCs w:val="24"/>
        </w:rPr>
        <w:t>s</w:t>
      </w:r>
      <w:r w:rsidRPr="008D74DB">
        <w:rPr>
          <w:rFonts w:ascii="Times New Roman" w:hAnsi="Times New Roman"/>
          <w:color w:val="000000" w:themeColor="text1"/>
          <w:sz w:val="24"/>
          <w:szCs w:val="24"/>
        </w:rPr>
        <w:t xml:space="preserve"> obligations to ensure that health-related information and counseling be relevant, </w:t>
      </w:r>
      <w:r w:rsidRPr="008D74DB">
        <w:rPr>
          <w:rFonts w:ascii="Times New Roman" w:hAnsi="Times New Roman"/>
          <w:sz w:val="24"/>
          <w:szCs w:val="24"/>
        </w:rPr>
        <w:t>accurate, evidence-based, and non-directive and that medical decision-making be free from inducement, coercion, or discrimination.</w:t>
      </w:r>
      <w:r w:rsidRPr="002A6A49">
        <w:rPr>
          <w:rStyle w:val="EndnoteReference"/>
          <w:rFonts w:ascii="Times New Roman" w:hAnsi="Times New Roman"/>
          <w:sz w:val="24"/>
          <w:szCs w:val="24"/>
        </w:rPr>
        <w:endnoteReference w:id="79"/>
      </w:r>
      <w:r w:rsidRPr="008D74DB">
        <w:rPr>
          <w:rFonts w:ascii="Times New Roman" w:hAnsi="Times New Roman"/>
          <w:color w:val="000000" w:themeColor="text1"/>
          <w:sz w:val="24"/>
          <w:szCs w:val="24"/>
        </w:rPr>
        <w:t xml:space="preserve"> </w:t>
      </w:r>
      <w:r w:rsidR="00741D7C" w:rsidRPr="00741D7C">
        <w:rPr>
          <w:rFonts w:ascii="Times New Roman" w:hAnsi="Times New Roman"/>
          <w:color w:val="000000" w:themeColor="text1"/>
          <w:sz w:val="24"/>
          <w:szCs w:val="24"/>
        </w:rPr>
        <w:t>M</w:t>
      </w:r>
      <w:r w:rsidR="00741D7C" w:rsidRPr="00741D7C">
        <w:rPr>
          <w:rFonts w:ascii="Times New Roman" w:hAnsi="Times New Roman"/>
          <w:sz w:val="24"/>
          <w:szCs w:val="24"/>
        </w:rPr>
        <w:t>andatory waiting periods prior to abortion undermine women’s agency and ability to make autonomous decisions about their bodies and their lives. T</w:t>
      </w:r>
      <w:r w:rsidR="00741D7C" w:rsidRPr="00741D7C">
        <w:rPr>
          <w:rFonts w:ascii="Times New Roman" w:eastAsia="HelveticaNeueLTStd-Roman" w:hAnsi="Times New Roman"/>
          <w:sz w:val="24"/>
          <w:szCs w:val="24"/>
        </w:rPr>
        <w:t>he WHO has recognized that mandatory waiting periods “</w:t>
      </w:r>
      <w:proofErr w:type="gramStart"/>
      <w:r w:rsidR="00741D7C" w:rsidRPr="00741D7C">
        <w:rPr>
          <w:rFonts w:ascii="Times New Roman" w:eastAsia="HelveticaNeueLTStd-Roman" w:hAnsi="Times New Roman"/>
          <w:sz w:val="24"/>
          <w:szCs w:val="24"/>
        </w:rPr>
        <w:t>demean[</w:t>
      </w:r>
      <w:proofErr w:type="gramEnd"/>
      <w:r w:rsidR="00741D7C" w:rsidRPr="00741D7C">
        <w:rPr>
          <w:rFonts w:ascii="Times New Roman" w:eastAsia="HelveticaNeueLTStd-Roman" w:hAnsi="Times New Roman"/>
          <w:sz w:val="24"/>
          <w:szCs w:val="24"/>
        </w:rPr>
        <w:t>] women as competent decision-makers,”</w:t>
      </w:r>
      <w:r w:rsidR="00741D7C" w:rsidRPr="00741D7C">
        <w:rPr>
          <w:rStyle w:val="EndnoteReference"/>
          <w:rFonts w:ascii="Times New Roman" w:eastAsia="HelveticaNeueLTStd-Roman" w:hAnsi="Times New Roman"/>
          <w:sz w:val="24"/>
          <w:szCs w:val="24"/>
        </w:rPr>
        <w:endnoteReference w:id="80"/>
      </w:r>
      <w:r w:rsidR="00741D7C" w:rsidRPr="00741D7C">
        <w:rPr>
          <w:rFonts w:ascii="Times New Roman" w:eastAsia="HelveticaNeueLTStd-Roman" w:hAnsi="Times New Roman"/>
          <w:sz w:val="24"/>
          <w:szCs w:val="24"/>
        </w:rPr>
        <w:t xml:space="preserve"> and has recommended that states eliminate </w:t>
      </w:r>
      <w:r w:rsidR="000740CD">
        <w:rPr>
          <w:rFonts w:ascii="Times New Roman" w:eastAsia="HelveticaNeueLTStd-Roman" w:hAnsi="Times New Roman"/>
          <w:sz w:val="24"/>
          <w:szCs w:val="24"/>
        </w:rPr>
        <w:t xml:space="preserve">medically unnecessary </w:t>
      </w:r>
      <w:r w:rsidR="00741D7C" w:rsidRPr="00741D7C">
        <w:rPr>
          <w:rFonts w:ascii="Times New Roman" w:eastAsia="HelveticaNeueLTStd-Roman" w:hAnsi="Times New Roman"/>
          <w:sz w:val="24"/>
          <w:szCs w:val="24"/>
        </w:rPr>
        <w:t>waiting periods so as to “ensure that abortion care is delivered in a manner that respects women as decision-makers.”</w:t>
      </w:r>
      <w:r w:rsidR="00741D7C" w:rsidRPr="00741D7C">
        <w:rPr>
          <w:rStyle w:val="EndnoteReference"/>
          <w:rFonts w:ascii="Times New Roman" w:eastAsia="HelveticaNeueLTStd-Roman" w:hAnsi="Times New Roman"/>
          <w:sz w:val="24"/>
          <w:szCs w:val="24"/>
        </w:rPr>
        <w:endnoteReference w:id="81"/>
      </w:r>
    </w:p>
    <w:p w14:paraId="69276007" w14:textId="77777777" w:rsidR="00707FF0" w:rsidRPr="00707FF0" w:rsidRDefault="00707FF0" w:rsidP="00707FF0">
      <w:pPr>
        <w:spacing w:after="0" w:line="240" w:lineRule="auto"/>
        <w:jc w:val="both"/>
        <w:rPr>
          <w:rFonts w:ascii="Times New Roman" w:hAnsi="Times New Roman"/>
          <w:color w:val="000000" w:themeColor="text1"/>
          <w:sz w:val="24"/>
          <w:szCs w:val="24"/>
        </w:rPr>
      </w:pPr>
    </w:p>
    <w:p w14:paraId="20AC6F62" w14:textId="1F056DE4" w:rsidR="008D74DB" w:rsidRPr="008D74DB" w:rsidRDefault="008D74DB" w:rsidP="00887A0B">
      <w:pPr>
        <w:pStyle w:val="ListParagraph"/>
        <w:numPr>
          <w:ilvl w:val="0"/>
          <w:numId w:val="3"/>
        </w:numPr>
        <w:spacing w:after="0" w:line="240" w:lineRule="auto"/>
        <w:jc w:val="both"/>
        <w:rPr>
          <w:rFonts w:ascii="Times New Roman" w:hAnsi="Times New Roman"/>
          <w:sz w:val="24"/>
          <w:szCs w:val="24"/>
        </w:rPr>
      </w:pPr>
      <w:r w:rsidRPr="002C6D41">
        <w:rPr>
          <w:rFonts w:ascii="Times New Roman" w:hAnsi="Times New Roman"/>
          <w:b/>
          <w:sz w:val="24"/>
          <w:szCs w:val="24"/>
        </w:rPr>
        <w:t>Articles 2(1), 3 and 26, Discrimination and Wrongful Gender Stereotypes</w:t>
      </w:r>
      <w:r>
        <w:rPr>
          <w:rFonts w:ascii="Times New Roman" w:hAnsi="Times New Roman"/>
          <w:sz w:val="24"/>
          <w:szCs w:val="24"/>
        </w:rPr>
        <w:t>: As noted above</w:t>
      </w:r>
      <w:r w:rsidR="0003443D">
        <w:rPr>
          <w:rFonts w:ascii="Times New Roman" w:hAnsi="Times New Roman"/>
          <w:sz w:val="24"/>
          <w:szCs w:val="24"/>
        </w:rPr>
        <w:t>,</w:t>
      </w:r>
      <w:r>
        <w:rPr>
          <w:rFonts w:ascii="Times New Roman" w:hAnsi="Times New Roman"/>
          <w:sz w:val="24"/>
          <w:szCs w:val="24"/>
        </w:rPr>
        <w:t xml:space="preserve"> CEDAW has repeatedly observed that ma</w:t>
      </w:r>
      <w:r w:rsidRPr="008D74DB">
        <w:rPr>
          <w:rFonts w:ascii="Times New Roman" w:hAnsi="Times New Roman"/>
          <w:sz w:val="24"/>
          <w:szCs w:val="24"/>
        </w:rPr>
        <w:t xml:space="preserve">ndatory waiting periods and biased information requirements </w:t>
      </w:r>
      <w:r>
        <w:rPr>
          <w:rFonts w:ascii="Times New Roman" w:hAnsi="Times New Roman"/>
          <w:sz w:val="24"/>
          <w:szCs w:val="24"/>
        </w:rPr>
        <w:t>discriminate against women in the enjoyment of their human rights</w:t>
      </w:r>
      <w:r w:rsidRPr="008D74DB">
        <w:rPr>
          <w:rFonts w:ascii="Times New Roman" w:hAnsi="Times New Roman"/>
          <w:sz w:val="24"/>
          <w:szCs w:val="24"/>
        </w:rPr>
        <w:t>.</w:t>
      </w:r>
      <w:r w:rsidR="0003443D">
        <w:rPr>
          <w:rStyle w:val="EndnoteReference"/>
          <w:rFonts w:ascii="Times New Roman" w:hAnsi="Times New Roman"/>
          <w:sz w:val="24"/>
          <w:szCs w:val="24"/>
        </w:rPr>
        <w:endnoteReference w:id="82"/>
      </w:r>
      <w:r w:rsidRPr="008D74DB">
        <w:rPr>
          <w:rFonts w:ascii="Times New Roman" w:hAnsi="Times New Roman"/>
          <w:sz w:val="24"/>
          <w:szCs w:val="24"/>
        </w:rPr>
        <w:t xml:space="preserve"> </w:t>
      </w:r>
      <w:r w:rsidR="002C6D41">
        <w:rPr>
          <w:rFonts w:ascii="Times New Roman" w:hAnsi="Times New Roman"/>
          <w:sz w:val="24"/>
          <w:szCs w:val="24"/>
        </w:rPr>
        <w:t>Moreover</w:t>
      </w:r>
      <w:r w:rsidR="0003443D">
        <w:rPr>
          <w:rFonts w:ascii="Times New Roman" w:hAnsi="Times New Roman"/>
          <w:sz w:val="24"/>
          <w:szCs w:val="24"/>
        </w:rPr>
        <w:t>,</w:t>
      </w:r>
      <w:r w:rsidRPr="008D74DB">
        <w:rPr>
          <w:rFonts w:ascii="Times New Roman" w:hAnsi="Times New Roman"/>
          <w:sz w:val="24"/>
          <w:szCs w:val="24"/>
        </w:rPr>
        <w:t xml:space="preserve"> the WHO and FIGO have specified </w:t>
      </w:r>
      <w:r w:rsidR="0003443D">
        <w:rPr>
          <w:rFonts w:ascii="Times New Roman" w:hAnsi="Times New Roman"/>
          <w:sz w:val="24"/>
          <w:szCs w:val="24"/>
        </w:rPr>
        <w:t xml:space="preserve">that </w:t>
      </w:r>
      <w:r w:rsidRPr="008D74DB">
        <w:rPr>
          <w:rFonts w:ascii="Times New Roman" w:hAnsi="Times New Roman"/>
          <w:sz w:val="24"/>
          <w:szCs w:val="24"/>
        </w:rPr>
        <w:t>mandatory waiting periods “demean[] women as competent decision-makers”</w:t>
      </w:r>
      <w:r w:rsidRPr="00670854">
        <w:rPr>
          <w:rStyle w:val="EndnoteReference"/>
          <w:rFonts w:ascii="Times New Roman" w:hAnsi="Times New Roman"/>
          <w:sz w:val="24"/>
          <w:szCs w:val="24"/>
        </w:rPr>
        <w:endnoteReference w:id="83"/>
      </w:r>
      <w:r w:rsidRPr="008D74DB">
        <w:rPr>
          <w:rFonts w:ascii="Times New Roman" w:hAnsi="Times New Roman"/>
          <w:sz w:val="24"/>
          <w:szCs w:val="24"/>
        </w:rPr>
        <w:t xml:space="preserve"> and reflect a range of discriminatory assumptions and harmful gender stereotypes including that women make fickle, changeable and impulsive decisions that they later regret.</w:t>
      </w:r>
      <w:r w:rsidRPr="00670854">
        <w:rPr>
          <w:rStyle w:val="EndnoteReference"/>
          <w:rFonts w:ascii="Times New Roman" w:hAnsi="Times New Roman"/>
          <w:sz w:val="24"/>
          <w:szCs w:val="24"/>
        </w:rPr>
        <w:endnoteReference w:id="84"/>
      </w:r>
      <w:r w:rsidRPr="008D74DB">
        <w:rPr>
          <w:rFonts w:ascii="Times New Roman" w:hAnsi="Times New Roman"/>
          <w:sz w:val="24"/>
          <w:szCs w:val="24"/>
        </w:rPr>
        <w:t xml:space="preserve"> </w:t>
      </w:r>
      <w:r w:rsidR="002C6D41">
        <w:rPr>
          <w:rFonts w:ascii="Times New Roman" w:hAnsi="Times New Roman"/>
          <w:sz w:val="24"/>
          <w:szCs w:val="24"/>
        </w:rPr>
        <w:t>Similarly</w:t>
      </w:r>
      <w:r w:rsidRPr="008D74DB">
        <w:rPr>
          <w:rFonts w:ascii="Times New Roman" w:hAnsi="Times New Roman"/>
          <w:sz w:val="24"/>
          <w:szCs w:val="24"/>
        </w:rPr>
        <w:t xml:space="preserve"> by seeking to </w:t>
      </w:r>
      <w:r w:rsidRPr="008D74DB">
        <w:rPr>
          <w:rFonts w:ascii="Times New Roman" w:hAnsi="Times New Roman"/>
          <w:sz w:val="24"/>
          <w:szCs w:val="24"/>
        </w:rPr>
        <w:lastRenderedPageBreak/>
        <w:t xml:space="preserve">persuade women to continue their pregnancies, biased information requirements reflect </w:t>
      </w:r>
      <w:r w:rsidR="002C6D41">
        <w:rPr>
          <w:rFonts w:ascii="Times New Roman" w:hAnsi="Times New Roman"/>
          <w:sz w:val="24"/>
          <w:szCs w:val="24"/>
        </w:rPr>
        <w:t>similar harmful gender stereotypes and assumptions and promote the view that a</w:t>
      </w:r>
      <w:r w:rsidRPr="008D74DB">
        <w:rPr>
          <w:rFonts w:ascii="Times New Roman" w:hAnsi="Times New Roman"/>
          <w:sz w:val="24"/>
          <w:szCs w:val="24"/>
        </w:rPr>
        <w:t xml:space="preserve"> woman’s decision to have an abortion is irrational and harmful.</w:t>
      </w:r>
      <w:r w:rsidRPr="009C6717">
        <w:rPr>
          <w:rStyle w:val="EndnoteReference"/>
          <w:rFonts w:ascii="Times New Roman" w:hAnsi="Times New Roman"/>
          <w:sz w:val="24"/>
          <w:szCs w:val="24"/>
        </w:rPr>
        <w:endnoteReference w:id="85"/>
      </w:r>
      <w:r w:rsidRPr="008D74DB">
        <w:rPr>
          <w:rFonts w:ascii="Times New Roman" w:hAnsi="Times New Roman"/>
          <w:sz w:val="24"/>
          <w:szCs w:val="24"/>
        </w:rPr>
        <w:t xml:space="preserve"> Biased counselling and information requirements often seek to pressure women into deciding against abortion by generating a sense of disapproval and shame and promoting a belief that women who terminate their pregnancies are doing something wrong.</w:t>
      </w:r>
      <w:r w:rsidRPr="008D74DB">
        <w:rPr>
          <w:rStyle w:val="EndnoteReference"/>
          <w:rFonts w:ascii="Times New Roman" w:hAnsi="Times New Roman"/>
          <w:sz w:val="24"/>
          <w:szCs w:val="24"/>
        </w:rPr>
        <w:t xml:space="preserve"> </w:t>
      </w:r>
      <w:r w:rsidRPr="008D74DB">
        <w:rPr>
          <w:rFonts w:ascii="Times New Roman" w:hAnsi="Times New Roman"/>
          <w:sz w:val="24"/>
          <w:szCs w:val="24"/>
        </w:rPr>
        <w:t>By generating and exacerbating stigma concerning abortion, biased and directive counselling and information can cause women trauma and suffering.</w:t>
      </w:r>
      <w:r w:rsidRPr="009C6717">
        <w:rPr>
          <w:rStyle w:val="EndnoteReference"/>
          <w:rFonts w:ascii="Times New Roman" w:hAnsi="Times New Roman"/>
          <w:sz w:val="24"/>
          <w:szCs w:val="24"/>
        </w:rPr>
        <w:endnoteReference w:id="86"/>
      </w:r>
    </w:p>
    <w:p w14:paraId="1239BBB3" w14:textId="77777777" w:rsidR="00163D69" w:rsidRPr="002C6D41" w:rsidRDefault="00163D69" w:rsidP="002C6D41">
      <w:pPr>
        <w:pStyle w:val="ListParagraph"/>
        <w:spacing w:after="0" w:line="240" w:lineRule="auto"/>
        <w:jc w:val="both"/>
        <w:rPr>
          <w:u w:val="single"/>
        </w:rPr>
      </w:pPr>
    </w:p>
    <w:p w14:paraId="4BE2853D" w14:textId="77777777" w:rsidR="00BA7B67" w:rsidRPr="002A6A49" w:rsidRDefault="00BA7B67" w:rsidP="00BA7B67">
      <w:pPr>
        <w:pStyle w:val="Sinespaciado"/>
        <w:jc w:val="both"/>
        <w:rPr>
          <w:rFonts w:eastAsia="ヒラギノ角ゴ Pro W3"/>
          <w:b/>
          <w:i/>
          <w:color w:val="000000"/>
        </w:rPr>
      </w:pPr>
      <w:r w:rsidRPr="002A6A49">
        <w:rPr>
          <w:rFonts w:eastAsia="ヒラギノ角ゴ Pro W3"/>
          <w:b/>
          <w:i/>
          <w:color w:val="000000"/>
        </w:rPr>
        <w:t xml:space="preserve">Recommendations </w:t>
      </w:r>
    </w:p>
    <w:p w14:paraId="2747B899" w14:textId="77777777" w:rsidR="00707FF0" w:rsidRDefault="00E46B17" w:rsidP="00887A0B">
      <w:pPr>
        <w:pStyle w:val="Sinespaciado"/>
        <w:numPr>
          <w:ilvl w:val="0"/>
          <w:numId w:val="1"/>
        </w:numPr>
        <w:jc w:val="both"/>
        <w:rPr>
          <w:rFonts w:eastAsia="ヒラギノ角ゴ Pro W3"/>
          <w:color w:val="000000"/>
        </w:rPr>
      </w:pPr>
      <w:r w:rsidRPr="002A6A49">
        <w:rPr>
          <w:rFonts w:eastAsia="ヒラギノ角ゴ Pro W3"/>
          <w:color w:val="000000"/>
        </w:rPr>
        <w:t>Take effective measures to e</w:t>
      </w:r>
      <w:r w:rsidR="00BA7B67" w:rsidRPr="002A6A49">
        <w:rPr>
          <w:rFonts w:eastAsia="ヒラギノ角ゴ Pro W3"/>
          <w:color w:val="000000"/>
        </w:rPr>
        <w:t xml:space="preserve">nsure women’s access to </w:t>
      </w:r>
      <w:r w:rsidRPr="002A6A49">
        <w:rPr>
          <w:rFonts w:eastAsia="ヒラギノ角ゴ Pro W3"/>
          <w:color w:val="000000"/>
        </w:rPr>
        <w:t xml:space="preserve">safe and legal </w:t>
      </w:r>
      <w:r w:rsidR="00BA7B67" w:rsidRPr="002A6A49">
        <w:rPr>
          <w:rFonts w:eastAsia="ヒラギノ角ゴ Pro W3"/>
          <w:color w:val="000000"/>
        </w:rPr>
        <w:t>abortion services</w:t>
      </w:r>
      <w:r w:rsidRPr="002A6A49">
        <w:rPr>
          <w:rFonts w:eastAsia="ヒラギノ角ゴ Pro W3"/>
          <w:color w:val="000000"/>
        </w:rPr>
        <w:t>, including by repealing</w:t>
      </w:r>
      <w:r w:rsidR="002C6D41">
        <w:rPr>
          <w:rFonts w:eastAsia="ヒラギノ角ゴ Pro W3"/>
          <w:color w:val="000000"/>
        </w:rPr>
        <w:t xml:space="preserve"> retrogressive</w:t>
      </w:r>
      <w:r w:rsidRPr="002A6A49">
        <w:rPr>
          <w:rFonts w:eastAsia="ヒラギノ角ゴ Pro W3"/>
          <w:color w:val="000000"/>
        </w:rPr>
        <w:t xml:space="preserve"> legislative provisions which </w:t>
      </w:r>
      <w:r w:rsidR="00BA7B67" w:rsidRPr="002A6A49">
        <w:rPr>
          <w:rFonts w:eastAsia="ヒラギノ角ゴ Pro W3"/>
          <w:color w:val="000000"/>
        </w:rPr>
        <w:t>subject them to mandatory waiting period</w:t>
      </w:r>
      <w:r w:rsidR="002C6D41">
        <w:rPr>
          <w:rFonts w:eastAsia="ヒラギノ角ゴ Pro W3"/>
          <w:color w:val="000000"/>
        </w:rPr>
        <w:t>s</w:t>
      </w:r>
      <w:r w:rsidR="00BB6F45" w:rsidRPr="002A6A49">
        <w:rPr>
          <w:rFonts w:eastAsia="ヒラギノ角ゴ Pro W3"/>
          <w:color w:val="000000"/>
        </w:rPr>
        <w:t xml:space="preserve"> and</w:t>
      </w:r>
      <w:r w:rsidRPr="002A6A49">
        <w:rPr>
          <w:rFonts w:eastAsia="ヒラギノ角ゴ Pro W3"/>
          <w:color w:val="000000"/>
        </w:rPr>
        <w:t xml:space="preserve"> biased information requirements</w:t>
      </w:r>
      <w:r w:rsidR="00BB6F45" w:rsidRPr="002A6A49">
        <w:rPr>
          <w:rFonts w:eastAsia="ヒラギノ角ゴ Pro W3"/>
          <w:color w:val="000000"/>
        </w:rPr>
        <w:t xml:space="preserve">. </w:t>
      </w:r>
    </w:p>
    <w:p w14:paraId="4C1E4C60" w14:textId="2112B834" w:rsidR="00BA7B67" w:rsidRDefault="00817D05" w:rsidP="00887A0B">
      <w:pPr>
        <w:pStyle w:val="Sinespaciado"/>
        <w:numPr>
          <w:ilvl w:val="0"/>
          <w:numId w:val="1"/>
        </w:numPr>
        <w:jc w:val="both"/>
        <w:rPr>
          <w:rFonts w:eastAsia="ヒラギノ角ゴ Pro W3"/>
          <w:color w:val="000000"/>
        </w:rPr>
      </w:pPr>
      <w:r>
        <w:rPr>
          <w:rFonts w:eastAsia="ヒラギノ角ゴ Pro W3"/>
          <w:color w:val="000000"/>
        </w:rPr>
        <w:t>Ensure that health</w:t>
      </w:r>
      <w:r w:rsidR="00BA7B67" w:rsidRPr="002A6A49">
        <w:rPr>
          <w:rFonts w:eastAsia="ヒラギノ角ゴ Pro W3"/>
          <w:color w:val="000000"/>
        </w:rPr>
        <w:t>care providers provide women with medically accurate and non-stigmatizing information on abortion</w:t>
      </w:r>
      <w:r w:rsidR="00BB6F45" w:rsidRPr="002A6A49">
        <w:rPr>
          <w:rFonts w:eastAsia="ヒラギノ角ゴ Pro W3"/>
          <w:color w:val="000000"/>
        </w:rPr>
        <w:t xml:space="preserve">. </w:t>
      </w:r>
    </w:p>
    <w:p w14:paraId="4164E933" w14:textId="77777777" w:rsidR="003831D6" w:rsidRPr="003831D6" w:rsidRDefault="003831D6" w:rsidP="003831D6">
      <w:pPr>
        <w:pStyle w:val="Sinespaciado"/>
        <w:numPr>
          <w:ilvl w:val="0"/>
          <w:numId w:val="1"/>
        </w:numPr>
        <w:jc w:val="both"/>
        <w:rPr>
          <w:rFonts w:eastAsia="ヒラギノ角ゴ Pro W3"/>
          <w:color w:val="000000"/>
        </w:rPr>
      </w:pPr>
      <w:r>
        <w:t>E</w:t>
      </w:r>
      <w:r w:rsidRPr="00307B1E">
        <w:t>nsure universal coverage by the public health insurance of all costs related to legal abortion, including abortion on request</w:t>
      </w:r>
      <w:r>
        <w:t>.</w:t>
      </w:r>
      <w:r w:rsidRPr="003831D6">
        <w:rPr>
          <w:rFonts w:eastAsia="ヒラギノ角ゴ Pro W3"/>
          <w:color w:val="000000"/>
          <w:sz w:val="22"/>
          <w:szCs w:val="22"/>
        </w:rPr>
        <w:t xml:space="preserve">  </w:t>
      </w:r>
    </w:p>
    <w:p w14:paraId="575319B3" w14:textId="77777777" w:rsidR="00BA7B67" w:rsidRPr="002A6A49" w:rsidRDefault="00BA7B67" w:rsidP="00A50E4D">
      <w:pPr>
        <w:pStyle w:val="Sinespaciado"/>
        <w:ind w:left="720"/>
        <w:jc w:val="both"/>
        <w:rPr>
          <w:rFonts w:eastAsia="ヒラギノ角ゴ Pro W3"/>
          <w:color w:val="000000"/>
        </w:rPr>
      </w:pPr>
      <w:r w:rsidRPr="002A6A49">
        <w:rPr>
          <w:rFonts w:eastAsia="ヒラギノ角ゴ Pro W3"/>
          <w:color w:val="000000"/>
        </w:rPr>
        <w:t xml:space="preserve">  </w:t>
      </w:r>
    </w:p>
    <w:p w14:paraId="2A0DCF81" w14:textId="5B1C9601" w:rsidR="001A7DF2" w:rsidRPr="00587E13" w:rsidRDefault="009D2806" w:rsidP="009D2806">
      <w:pPr>
        <w:pStyle w:val="ListParagraph"/>
        <w:numPr>
          <w:ilvl w:val="0"/>
          <w:numId w:val="6"/>
        </w:numPr>
        <w:spacing w:after="200" w:line="276" w:lineRule="auto"/>
        <w:jc w:val="both"/>
        <w:rPr>
          <w:rFonts w:ascii="Times New Roman" w:hAnsi="Times New Roman"/>
          <w:b/>
          <w:sz w:val="24"/>
          <w:szCs w:val="24"/>
        </w:rPr>
      </w:pPr>
      <w:r w:rsidRPr="009D2806">
        <w:t xml:space="preserve"> </w:t>
      </w:r>
      <w:r>
        <w:rPr>
          <w:rFonts w:ascii="Times New Roman" w:hAnsi="Times New Roman"/>
          <w:b/>
          <w:sz w:val="24"/>
          <w:szCs w:val="24"/>
        </w:rPr>
        <w:t>Deficient Regulation of Medical Practitioners’ Refusals of Care on Grounds of C</w:t>
      </w:r>
      <w:r w:rsidRPr="009D2806">
        <w:rPr>
          <w:rFonts w:ascii="Times New Roman" w:hAnsi="Times New Roman"/>
          <w:b/>
          <w:sz w:val="24"/>
          <w:szCs w:val="24"/>
        </w:rPr>
        <w:t>onscience</w:t>
      </w:r>
      <w:r w:rsidR="0048383A" w:rsidRPr="00587E13">
        <w:rPr>
          <w:rFonts w:ascii="Times New Roman" w:hAnsi="Times New Roman"/>
          <w:b/>
          <w:sz w:val="24"/>
          <w:szCs w:val="24"/>
        </w:rPr>
        <w:t xml:space="preserve"> </w:t>
      </w:r>
      <w:r w:rsidR="00D22559">
        <w:rPr>
          <w:rFonts w:ascii="Times New Roman" w:hAnsi="Times New Roman"/>
          <w:b/>
          <w:sz w:val="24"/>
          <w:szCs w:val="24"/>
        </w:rPr>
        <w:t xml:space="preserve">(Articles </w:t>
      </w:r>
      <w:r w:rsidR="006F16AD">
        <w:rPr>
          <w:rFonts w:ascii="Times New Roman" w:hAnsi="Times New Roman"/>
          <w:b/>
          <w:sz w:val="24"/>
          <w:szCs w:val="24"/>
        </w:rPr>
        <w:t xml:space="preserve">2(1), 3 and </w:t>
      </w:r>
      <w:r w:rsidR="00D22559">
        <w:rPr>
          <w:rFonts w:ascii="Times New Roman" w:hAnsi="Times New Roman"/>
          <w:b/>
          <w:sz w:val="24"/>
          <w:szCs w:val="24"/>
        </w:rPr>
        <w:t>17</w:t>
      </w:r>
      <w:r w:rsidR="00242A37" w:rsidRPr="00587E13">
        <w:rPr>
          <w:rFonts w:ascii="Times New Roman" w:hAnsi="Times New Roman"/>
          <w:b/>
          <w:sz w:val="24"/>
          <w:szCs w:val="24"/>
        </w:rPr>
        <w:t xml:space="preserve"> </w:t>
      </w:r>
      <w:r w:rsidR="00670854" w:rsidRPr="00587E13">
        <w:rPr>
          <w:rFonts w:ascii="Times New Roman" w:hAnsi="Times New Roman"/>
          <w:b/>
          <w:sz w:val="24"/>
          <w:szCs w:val="24"/>
        </w:rPr>
        <w:t>o</w:t>
      </w:r>
      <w:r w:rsidR="00242A37" w:rsidRPr="00587E13">
        <w:rPr>
          <w:rFonts w:ascii="Times New Roman" w:hAnsi="Times New Roman"/>
          <w:b/>
          <w:sz w:val="24"/>
          <w:szCs w:val="24"/>
        </w:rPr>
        <w:t xml:space="preserve">f the Covenant) </w:t>
      </w:r>
    </w:p>
    <w:p w14:paraId="6EDE5BC8" w14:textId="0E9FDC41" w:rsidR="002C6D41" w:rsidRDefault="00817D05" w:rsidP="00B1628B">
      <w:pPr>
        <w:pStyle w:val="Sinespaciado"/>
        <w:jc w:val="both"/>
      </w:pPr>
      <w:r>
        <w:t>Slovak law allows health</w:t>
      </w:r>
      <w:r w:rsidR="0048383A">
        <w:t xml:space="preserve">care providers to refuse to provide certain forms of reproductive health care on grounds of conscience and in practice it appears that </w:t>
      </w:r>
      <w:r w:rsidR="0048383A" w:rsidRPr="002A6A49">
        <w:t>refusals of care</w:t>
      </w:r>
      <w:r w:rsidR="0048383A">
        <w:t xml:space="preserve"> on grounds of conscience</w:t>
      </w:r>
      <w:r w:rsidR="0048383A" w:rsidRPr="002A6A49">
        <w:t xml:space="preserve"> have primarily occurred with regard to the provision of abortion and contraceptive services.</w:t>
      </w:r>
      <w:r w:rsidR="0048383A" w:rsidRPr="002A6A49">
        <w:rPr>
          <w:rStyle w:val="EndnoteReference"/>
        </w:rPr>
        <w:endnoteReference w:id="87"/>
      </w:r>
      <w:r w:rsidR="0048383A" w:rsidRPr="002A6A49">
        <w:t xml:space="preserve"> </w:t>
      </w:r>
    </w:p>
    <w:p w14:paraId="6373F247" w14:textId="77777777" w:rsidR="00324C1D" w:rsidRDefault="00324C1D" w:rsidP="00B1628B">
      <w:pPr>
        <w:pStyle w:val="Sinespaciado"/>
        <w:jc w:val="both"/>
      </w:pPr>
    </w:p>
    <w:p w14:paraId="722279E9" w14:textId="2E314320" w:rsidR="002C6D41" w:rsidRDefault="0048383A" w:rsidP="00B1628B">
      <w:pPr>
        <w:pStyle w:val="Sinespaciado"/>
        <w:jc w:val="both"/>
      </w:pPr>
      <w:r>
        <w:t>The matter is</w:t>
      </w:r>
      <w:r w:rsidR="00E378C6" w:rsidRPr="002A6A49">
        <w:t xml:space="preserve"> regulated in</w:t>
      </w:r>
      <w:r>
        <w:t xml:space="preserve"> both</w:t>
      </w:r>
      <w:r w:rsidR="00E378C6" w:rsidRPr="002A6A49">
        <w:t xml:space="preserve"> the Act on Healthcare and the</w:t>
      </w:r>
      <w:r w:rsidR="001A7DF2" w:rsidRPr="002A6A49">
        <w:t xml:space="preserve"> Code of Ethics of a Health Practitioner</w:t>
      </w:r>
      <w:r w:rsidR="00E378C6" w:rsidRPr="002A6A49">
        <w:t xml:space="preserve">. </w:t>
      </w:r>
      <w:r w:rsidR="00DB3EAD" w:rsidRPr="002A6A49">
        <w:t xml:space="preserve">Under the </w:t>
      </w:r>
      <w:r w:rsidR="009B23E7" w:rsidRPr="002A6A49">
        <w:t>Act</w:t>
      </w:r>
      <w:r w:rsidR="004614D3" w:rsidRPr="002A6A49">
        <w:t xml:space="preserve"> </w:t>
      </w:r>
      <w:r w:rsidR="00D22559">
        <w:t>on Healthcare, he</w:t>
      </w:r>
      <w:r w:rsidR="00817D05">
        <w:t>alth</w:t>
      </w:r>
      <w:r w:rsidR="00D22559">
        <w:t xml:space="preserve">care </w:t>
      </w:r>
      <w:r w:rsidR="00874266" w:rsidRPr="002A6A49">
        <w:t>provider</w:t>
      </w:r>
      <w:r w:rsidR="004614D3" w:rsidRPr="002A6A49">
        <w:t>s</w:t>
      </w:r>
      <w:r w:rsidR="00874266" w:rsidRPr="002A6A49">
        <w:t xml:space="preserve"> can refuse to </w:t>
      </w:r>
      <w:r w:rsidR="009B23E7" w:rsidRPr="002A6A49">
        <w:t>provide certain</w:t>
      </w:r>
      <w:r w:rsidR="00F20A52" w:rsidRPr="002A6A49">
        <w:t xml:space="preserve"> health services, namely abortion, sterilization, and</w:t>
      </w:r>
      <w:r w:rsidR="00874266" w:rsidRPr="002A6A49">
        <w:t xml:space="preserve"> </w:t>
      </w:r>
      <w:r w:rsidR="00F20A52" w:rsidRPr="002A6A49">
        <w:t>assisted reproduction,</w:t>
      </w:r>
      <w:r w:rsidR="00874266" w:rsidRPr="002A6A49">
        <w:t xml:space="preserve"> if</w:t>
      </w:r>
      <w:r w:rsidR="004D77EB" w:rsidRPr="002A6A49">
        <w:t xml:space="preserve"> the provision of</w:t>
      </w:r>
      <w:r w:rsidR="00874266" w:rsidRPr="002A6A49">
        <w:t xml:space="preserve"> those services </w:t>
      </w:r>
      <w:r w:rsidR="005A1C18" w:rsidRPr="002A6A49">
        <w:t>“</w:t>
      </w:r>
      <w:r w:rsidR="004D77EB" w:rsidRPr="002A6A49">
        <w:t>is impeded by</w:t>
      </w:r>
      <w:r w:rsidR="00874266" w:rsidRPr="002A6A49">
        <w:t xml:space="preserve"> </w:t>
      </w:r>
      <w:r w:rsidR="005A1C18" w:rsidRPr="002A6A49">
        <w:t>a personal belief</w:t>
      </w:r>
      <w:r w:rsidR="00874266" w:rsidRPr="002A6A49">
        <w:t xml:space="preserve"> </w:t>
      </w:r>
      <w:r w:rsidR="00FE757A" w:rsidRPr="002A6A49">
        <w:t xml:space="preserve">on the part </w:t>
      </w:r>
      <w:r w:rsidR="00874266" w:rsidRPr="002A6A49">
        <w:t xml:space="preserve">of </w:t>
      </w:r>
      <w:r w:rsidR="00F20A52" w:rsidRPr="002A6A49">
        <w:t>a</w:t>
      </w:r>
      <w:r w:rsidR="00874266" w:rsidRPr="002A6A49">
        <w:t xml:space="preserve"> health</w:t>
      </w:r>
      <w:r w:rsidR="00F20A52" w:rsidRPr="002A6A49">
        <w:t xml:space="preserve"> pr</w:t>
      </w:r>
      <w:r w:rsidR="005A1C18" w:rsidRPr="002A6A49">
        <w:t>actitioner</w:t>
      </w:r>
      <w:r w:rsidR="00F20A52" w:rsidRPr="002A6A49">
        <w:t xml:space="preserve"> who </w:t>
      </w:r>
      <w:r w:rsidR="005A1C18" w:rsidRPr="002A6A49">
        <w:t>is supposed to</w:t>
      </w:r>
      <w:r w:rsidR="00F20A52" w:rsidRPr="002A6A49">
        <w:t xml:space="preserve"> provid</w:t>
      </w:r>
      <w:r w:rsidR="00FE757A" w:rsidRPr="002A6A49">
        <w:t>e</w:t>
      </w:r>
      <w:r w:rsidR="00F20A52" w:rsidRPr="002A6A49">
        <w:t xml:space="preserve"> the service.</w:t>
      </w:r>
      <w:r w:rsidR="005A1C18" w:rsidRPr="002A6A49">
        <w:t>”</w:t>
      </w:r>
      <w:r w:rsidR="00F20A52" w:rsidRPr="002A6A49">
        <w:rPr>
          <w:rStyle w:val="EndnoteReference"/>
        </w:rPr>
        <w:endnoteReference w:id="88"/>
      </w:r>
      <w:r w:rsidR="00874266" w:rsidRPr="002A6A49">
        <w:t xml:space="preserve"> </w:t>
      </w:r>
      <w:r w:rsidR="001A5652">
        <w:t>T</w:t>
      </w:r>
      <w:r w:rsidR="00817D05">
        <w:t>he term “health</w:t>
      </w:r>
      <w:r w:rsidR="001A5652" w:rsidRPr="002A6A49">
        <w:t>care provider”</w:t>
      </w:r>
      <w:r w:rsidR="001A5652">
        <w:t xml:space="preserve"> in the Act on Healthcare</w:t>
      </w:r>
      <w:r w:rsidR="001A5652" w:rsidRPr="002A6A49">
        <w:t xml:space="preserve"> </w:t>
      </w:r>
      <w:r w:rsidR="001A5652">
        <w:t>refers</w:t>
      </w:r>
      <w:r w:rsidR="001A5652" w:rsidRPr="002A6A49">
        <w:t xml:space="preserve"> </w:t>
      </w:r>
      <w:r w:rsidR="001A5652">
        <w:t xml:space="preserve">both to individual </w:t>
      </w:r>
      <w:r w:rsidR="00B1628B">
        <w:t xml:space="preserve">health </w:t>
      </w:r>
      <w:r w:rsidR="001A5652">
        <w:t xml:space="preserve">practitioners as well as to </w:t>
      </w:r>
      <w:r w:rsidR="00817D05">
        <w:t>health</w:t>
      </w:r>
      <w:r w:rsidR="001A5652">
        <w:t xml:space="preserve">care </w:t>
      </w:r>
      <w:r w:rsidR="001A5652" w:rsidRPr="002A6A49">
        <w:t>facilities</w:t>
      </w:r>
      <w:r w:rsidR="001A5652" w:rsidRPr="002A6A49">
        <w:rPr>
          <w:rStyle w:val="EndnoteReference"/>
        </w:rPr>
        <w:endnoteReference w:id="89"/>
      </w:r>
      <w:r w:rsidR="001A5652">
        <w:t xml:space="preserve"> </w:t>
      </w:r>
      <w:r w:rsidR="002C6D41">
        <w:t>and as a result, both individual practitioners as well as en</w:t>
      </w:r>
      <w:r w:rsidR="00817D05">
        <w:t>tire hospitals and other health</w:t>
      </w:r>
      <w:r w:rsidR="002C6D41">
        <w:t>care institutions may refuse to provide services</w:t>
      </w:r>
      <w:r w:rsidR="001A5652" w:rsidRPr="002A6A49">
        <w:t>.</w:t>
      </w:r>
      <w:r w:rsidR="001A5652" w:rsidRPr="002A6A49">
        <w:rPr>
          <w:rStyle w:val="EndnoteReference"/>
        </w:rPr>
        <w:endnoteReference w:id="90"/>
      </w:r>
      <w:r w:rsidR="001A5652" w:rsidRPr="002A6A49">
        <w:t xml:space="preserve"> </w:t>
      </w:r>
    </w:p>
    <w:p w14:paraId="2FABE3F8" w14:textId="77777777" w:rsidR="002C6D41" w:rsidRDefault="002C6D41" w:rsidP="00B1628B">
      <w:pPr>
        <w:pStyle w:val="Sinespaciado"/>
        <w:jc w:val="both"/>
      </w:pPr>
    </w:p>
    <w:p w14:paraId="7055728A" w14:textId="7FEBBC0E" w:rsidR="00B1628B" w:rsidRDefault="00B1628B" w:rsidP="00B1628B">
      <w:pPr>
        <w:pStyle w:val="Sinespaciado"/>
        <w:jc w:val="both"/>
      </w:pPr>
      <w:r>
        <w:t>In addition</w:t>
      </w:r>
      <w:r w:rsidRPr="002A6A49">
        <w:t xml:space="preserve">, the Code of Ethics allows individual health </w:t>
      </w:r>
      <w:r w:rsidR="00AA538F">
        <w:t>practitioners</w:t>
      </w:r>
      <w:r w:rsidRPr="002A6A49">
        <w:t xml:space="preserve"> to refuse to provide </w:t>
      </w:r>
      <w:r w:rsidRPr="002A6A49">
        <w:rPr>
          <w:i/>
        </w:rPr>
        <w:t>any</w:t>
      </w:r>
      <w:r w:rsidRPr="002A6A49">
        <w:t xml:space="preserve"> medical service if performing the service “contradicts [their] conscience,” except in situations posing an immediate threat to the life or health of a person. </w:t>
      </w:r>
      <w:r>
        <w:t xml:space="preserve">Under the Code of Ethics </w:t>
      </w:r>
      <w:r w:rsidRPr="002A6A49">
        <w:t xml:space="preserve">health </w:t>
      </w:r>
      <w:r w:rsidR="00AA538F">
        <w:t>practitioners</w:t>
      </w:r>
      <w:r w:rsidRPr="002A6A49">
        <w:t xml:space="preserve"> are required to inform their employer as well as their patients that they are refusing to provide particular medical care.</w:t>
      </w:r>
      <w:r w:rsidRPr="002A6A49">
        <w:rPr>
          <w:vertAlign w:val="superscript"/>
        </w:rPr>
        <w:endnoteReference w:id="91"/>
      </w:r>
      <w:r>
        <w:t xml:space="preserve"> </w:t>
      </w:r>
    </w:p>
    <w:p w14:paraId="191802FC" w14:textId="77777777" w:rsidR="00B1628B" w:rsidRDefault="00B1628B" w:rsidP="00B1628B">
      <w:pPr>
        <w:pStyle w:val="Sinespaciado"/>
        <w:jc w:val="both"/>
      </w:pPr>
    </w:p>
    <w:p w14:paraId="493731EC" w14:textId="2D1C2A92" w:rsidR="00B1628B" w:rsidRDefault="002C6D41" w:rsidP="00B1628B">
      <w:pPr>
        <w:pStyle w:val="Sinespaciado"/>
        <w:jc w:val="both"/>
      </w:pPr>
      <w:r>
        <w:t>N</w:t>
      </w:r>
      <w:r w:rsidR="0048383A" w:rsidRPr="002A6A49">
        <w:t>either the Act nor the Code of Ethics impose an</w:t>
      </w:r>
      <w:r w:rsidR="0048383A">
        <w:t>y</w:t>
      </w:r>
      <w:r w:rsidR="0048383A" w:rsidRPr="002A6A49">
        <w:t xml:space="preserve"> obligation on </w:t>
      </w:r>
      <w:r w:rsidR="009B0CDE">
        <w:t xml:space="preserve">relevant </w:t>
      </w:r>
      <w:r w:rsidR="0048383A">
        <w:t>individual</w:t>
      </w:r>
      <w:r w:rsidR="009B0CDE">
        <w:t xml:space="preserve"> practitioners</w:t>
      </w:r>
      <w:r w:rsidR="0048383A">
        <w:t xml:space="preserve"> or insti</w:t>
      </w:r>
      <w:r w:rsidR="00670854">
        <w:t>t</w:t>
      </w:r>
      <w:r w:rsidR="0048383A">
        <w:t xml:space="preserve">utions </w:t>
      </w:r>
      <w:r w:rsidR="0048383A" w:rsidRPr="002A6A49">
        <w:t xml:space="preserve">to refer </w:t>
      </w:r>
      <w:r w:rsidR="0048383A">
        <w:t>women</w:t>
      </w:r>
      <w:r w:rsidR="0048383A" w:rsidRPr="002A6A49">
        <w:t xml:space="preserve"> to </w:t>
      </w:r>
      <w:r w:rsidR="0048383A">
        <w:t>other</w:t>
      </w:r>
      <w:r w:rsidR="0048383A" w:rsidRPr="002A6A49">
        <w:t xml:space="preserve"> </w:t>
      </w:r>
      <w:r w:rsidR="0048383A">
        <w:t>practitioners</w:t>
      </w:r>
      <w:r w:rsidR="0048383A" w:rsidRPr="002A6A49">
        <w:t xml:space="preserve"> who will provide care</w:t>
      </w:r>
      <w:r w:rsidR="00B1628B">
        <w:t xml:space="preserve"> in timely manner</w:t>
      </w:r>
      <w:r w:rsidR="0048383A" w:rsidRPr="002A6A49">
        <w:t>.</w:t>
      </w:r>
      <w:r w:rsidR="0048383A">
        <w:t xml:space="preserve"> </w:t>
      </w:r>
      <w:r w:rsidR="00B1628B">
        <w:t>Moreover, Slovakia’s</w:t>
      </w:r>
      <w:r w:rsidR="004B1F49">
        <w:t xml:space="preserve"> laws and</w:t>
      </w:r>
      <w:r w:rsidR="00817D05">
        <w:t xml:space="preserve"> policies do not require health</w:t>
      </w:r>
      <w:r w:rsidR="00B1628B">
        <w:t>care institutions to ensure</w:t>
      </w:r>
      <w:r w:rsidR="009B0CDE">
        <w:t xml:space="preserve"> that</w:t>
      </w:r>
      <w:r w:rsidR="00B1628B">
        <w:t xml:space="preserve"> a sufficient number of employees are in place who are willing to provide relevant services, and </w:t>
      </w:r>
      <w:r w:rsidR="00B1628B">
        <w:lastRenderedPageBreak/>
        <w:t xml:space="preserve">effective mechanisms to oversee and monitor the </w:t>
      </w:r>
      <w:r w:rsidR="009B0CDE">
        <w:t xml:space="preserve">extent of the </w:t>
      </w:r>
      <w:r w:rsidR="00B1628B">
        <w:t>practice</w:t>
      </w:r>
      <w:r w:rsidR="009B0CDE">
        <w:t xml:space="preserve"> and limit its impact on women’s access to service</w:t>
      </w:r>
      <w:r w:rsidR="00B1628B">
        <w:t xml:space="preserve"> are lacking. </w:t>
      </w:r>
    </w:p>
    <w:p w14:paraId="6583034C" w14:textId="77777777" w:rsidR="00242A37" w:rsidRDefault="00242A37" w:rsidP="00B1628B">
      <w:pPr>
        <w:pStyle w:val="Sinespaciado"/>
        <w:jc w:val="both"/>
      </w:pPr>
    </w:p>
    <w:p w14:paraId="6E226F45" w14:textId="77777777" w:rsidR="00242A37" w:rsidRPr="00242A37" w:rsidRDefault="00242A37" w:rsidP="00242A37">
      <w:pPr>
        <w:pStyle w:val="Sinespaciado"/>
        <w:ind w:firstLine="720"/>
        <w:jc w:val="both"/>
        <w:rPr>
          <w:i/>
        </w:rPr>
      </w:pPr>
      <w:r w:rsidRPr="00242A37">
        <w:rPr>
          <w:i/>
        </w:rPr>
        <w:t xml:space="preserve">International Human Rights Law and Standards </w:t>
      </w:r>
    </w:p>
    <w:p w14:paraId="3A13A327" w14:textId="77777777" w:rsidR="00E378C6" w:rsidRPr="002A6A49" w:rsidRDefault="00E378C6" w:rsidP="001A7DF2">
      <w:pPr>
        <w:pStyle w:val="Sinespaciado"/>
        <w:jc w:val="both"/>
      </w:pPr>
    </w:p>
    <w:p w14:paraId="1E66D707" w14:textId="77777777" w:rsidR="00242A37" w:rsidRDefault="00242A37" w:rsidP="001A7DF2">
      <w:pPr>
        <w:pStyle w:val="Sinespaciado"/>
        <w:jc w:val="both"/>
      </w:pPr>
      <w:r>
        <w:t xml:space="preserve">The manner in which Slovak law regulates refusals of care on grounds of conscience, and in particular the lack of a referral obligation on providers and the legality of institutional refusals of care, does not comply with international human rights law and standards and jeopardizes women’s enjoyment of their rights under </w:t>
      </w:r>
      <w:r w:rsidRPr="006F16AD">
        <w:t xml:space="preserve">Articles </w:t>
      </w:r>
      <w:r w:rsidR="009B0CDE" w:rsidRPr="006F16AD">
        <w:t xml:space="preserve">2(1), 3 </w:t>
      </w:r>
      <w:r w:rsidR="00D22559" w:rsidRPr="006F16AD">
        <w:t>and 17</w:t>
      </w:r>
      <w:r w:rsidRPr="006F16AD">
        <w:t xml:space="preserve"> of</w:t>
      </w:r>
      <w:r>
        <w:t xml:space="preserve"> the Covenant. </w:t>
      </w:r>
    </w:p>
    <w:p w14:paraId="6A53E26F" w14:textId="77777777" w:rsidR="00242A37" w:rsidRDefault="00242A37" w:rsidP="001A7DF2">
      <w:pPr>
        <w:pStyle w:val="Sinespaciado"/>
        <w:jc w:val="both"/>
      </w:pPr>
    </w:p>
    <w:p w14:paraId="2F22B3B0" w14:textId="77777777" w:rsidR="009B0CDE" w:rsidRDefault="009B0CDE" w:rsidP="001A7DF2">
      <w:pPr>
        <w:pStyle w:val="Sinespaciado"/>
        <w:jc w:val="both"/>
      </w:pPr>
      <w:r>
        <w:t xml:space="preserve">International human rights mechanisms have </w:t>
      </w:r>
      <w:r w:rsidR="00691731">
        <w:t xml:space="preserve">repeatedly expressed </w:t>
      </w:r>
      <w:r>
        <w:t xml:space="preserve">the view that </w:t>
      </w:r>
      <w:r w:rsidRPr="008A4A75">
        <w:t>where</w:t>
      </w:r>
      <w:r>
        <w:t xml:space="preserve"> domestic law allows</w:t>
      </w:r>
      <w:r w:rsidRPr="008A4A75">
        <w:t xml:space="preserve"> health</w:t>
      </w:r>
      <w:r>
        <w:t>care</w:t>
      </w:r>
      <w:r w:rsidRPr="008A4A75">
        <w:t xml:space="preserve"> practitioners to refuse to provide</w:t>
      </w:r>
      <w:r>
        <w:t xml:space="preserve"> legal</w:t>
      </w:r>
      <w:r w:rsidRPr="008A4A75">
        <w:t xml:space="preserve"> </w:t>
      </w:r>
      <w:r>
        <w:t>reproductive health</w:t>
      </w:r>
      <w:r w:rsidRPr="008A4A75">
        <w:t xml:space="preserve"> serv</w:t>
      </w:r>
      <w:r>
        <w:t xml:space="preserve">ices on grounds of conscience, </w:t>
      </w:r>
      <w:r w:rsidR="0075335A">
        <w:t>the right to privacy and principle of non-discrimi</w:t>
      </w:r>
      <w:r w:rsidR="006F16AD">
        <w:t>na</w:t>
      </w:r>
      <w:r w:rsidR="0075335A">
        <w:t xml:space="preserve">tion in women’s enjoyment of their human rights require that </w:t>
      </w:r>
      <w:r>
        <w:t>s</w:t>
      </w:r>
      <w:r w:rsidRPr="008A4A75">
        <w:t xml:space="preserve">tates </w:t>
      </w:r>
      <w:r>
        <w:t>put in place</w:t>
      </w:r>
      <w:r w:rsidRPr="008A4A75">
        <w:t xml:space="preserve"> a regulatory framework that </w:t>
      </w:r>
      <w:r>
        <w:t>will ensure</w:t>
      </w:r>
      <w:r w:rsidRPr="008A4A75">
        <w:t xml:space="preserve"> women’s access to </w:t>
      </w:r>
      <w:r>
        <w:t>those</w:t>
      </w:r>
      <w:r w:rsidRPr="008A4A75">
        <w:t xml:space="preserve"> services</w:t>
      </w:r>
      <w:r>
        <w:t xml:space="preserve"> is not undermined by the practice of refusals but is guaranteed in practice. </w:t>
      </w:r>
      <w:r w:rsidR="0075335A">
        <w:t>As outlined below</w:t>
      </w:r>
      <w:r w:rsidR="005C0E0D">
        <w:t>,</w:t>
      </w:r>
      <w:r w:rsidR="0075335A">
        <w:t xml:space="preserve"> they have specifically outlined that allowing institutional refusals of care and failing to place a referral obligation on providers who are refusing care contravene these obligations. </w:t>
      </w:r>
    </w:p>
    <w:p w14:paraId="615427F9" w14:textId="77777777" w:rsidR="009B0CDE" w:rsidRDefault="009B0CDE" w:rsidP="001A7DF2">
      <w:pPr>
        <w:pStyle w:val="Sinespaciado"/>
        <w:jc w:val="both"/>
      </w:pPr>
    </w:p>
    <w:p w14:paraId="748E6EC5" w14:textId="325EA239" w:rsidR="00D22559" w:rsidRDefault="009C58B6" w:rsidP="00D22559">
      <w:pPr>
        <w:pStyle w:val="Sinespaciado"/>
        <w:jc w:val="both"/>
      </w:pPr>
      <w:r w:rsidRPr="002A57AB">
        <w:t>The E</w:t>
      </w:r>
      <w:r w:rsidR="00D22559">
        <w:t>CtHR</w:t>
      </w:r>
      <w:r w:rsidRPr="002A57AB">
        <w:t xml:space="preserve"> has held that the right to privacy </w:t>
      </w:r>
      <w:r w:rsidR="0075335A">
        <w:t xml:space="preserve">under the European Convention </w:t>
      </w:r>
      <w:r w:rsidR="00F15FF9">
        <w:t xml:space="preserve">on Human Rights </w:t>
      </w:r>
      <w:r w:rsidRPr="002A57AB">
        <w:t xml:space="preserve">obliges </w:t>
      </w:r>
      <w:r w:rsidR="00C01D6F">
        <w:t>S</w:t>
      </w:r>
      <w:r w:rsidRPr="002A57AB">
        <w:t>tates</w:t>
      </w:r>
      <w:r w:rsidR="0075335A">
        <w:t xml:space="preserve"> parties</w:t>
      </w:r>
      <w:r w:rsidRPr="002A57AB">
        <w:t xml:space="preserve"> to ensure that where </w:t>
      </w:r>
      <w:r w:rsidR="0075335A">
        <w:t>their</w:t>
      </w:r>
      <w:r w:rsidRPr="002A57AB">
        <w:t xml:space="preserve"> domestic </w:t>
      </w:r>
      <w:r w:rsidR="0075335A">
        <w:t>laws</w:t>
      </w:r>
      <w:r w:rsidRPr="002A57AB">
        <w:t xml:space="preserve"> allow health professionals to refuse to provide care on grounds of personal conscience, such refusals must not impede women’s access to</w:t>
      </w:r>
      <w:r w:rsidR="0075335A">
        <w:t xml:space="preserve"> legal</w:t>
      </w:r>
      <w:r w:rsidRPr="002A57AB">
        <w:t xml:space="preserve"> reproductive health</w:t>
      </w:r>
      <w:r w:rsidR="0075335A">
        <w:t xml:space="preserve"> </w:t>
      </w:r>
      <w:r w:rsidRPr="002A57AB">
        <w:t>services, including abortion services.</w:t>
      </w:r>
      <w:r w:rsidRPr="002A57AB">
        <w:rPr>
          <w:rStyle w:val="EndnoteReference"/>
        </w:rPr>
        <w:endnoteReference w:id="92"/>
      </w:r>
      <w:r w:rsidR="00D22559">
        <w:t xml:space="preserve"> </w:t>
      </w:r>
      <w:r w:rsidR="00C21C41">
        <w:t>The Court has also refused to accept claims that the right to freedom of thought, conscience or religion encompasses any entitlement on medical professionals to refuse reproductive health care on grounds of conscience.</w:t>
      </w:r>
      <w:r w:rsidR="00C01D6F">
        <w:rPr>
          <w:rStyle w:val="EndnoteReference"/>
        </w:rPr>
        <w:endnoteReference w:id="93"/>
      </w:r>
      <w:r w:rsidR="00C21C41">
        <w:t xml:space="preserve"> </w:t>
      </w:r>
    </w:p>
    <w:p w14:paraId="173C6A50" w14:textId="77777777" w:rsidR="00D22559" w:rsidRDefault="00D22559" w:rsidP="00D22559">
      <w:pPr>
        <w:pStyle w:val="Sinespaciado"/>
        <w:jc w:val="both"/>
      </w:pPr>
    </w:p>
    <w:p w14:paraId="03C74486" w14:textId="1DB8CF10" w:rsidR="0075335A" w:rsidRDefault="008A4A75" w:rsidP="006D1D95">
      <w:pPr>
        <w:pStyle w:val="Sinespaciado"/>
        <w:jc w:val="both"/>
      </w:pPr>
      <w:r>
        <w:t xml:space="preserve">Treaty Monitoring Bodies </w:t>
      </w:r>
      <w:r w:rsidR="007F6BCB" w:rsidRPr="008A4A75">
        <w:t>have</w:t>
      </w:r>
      <w:r w:rsidR="00710545" w:rsidRPr="008A4A75">
        <w:t xml:space="preserve"> </w:t>
      </w:r>
      <w:r w:rsidR="0075335A">
        <w:t>reiterated the same requirement and</w:t>
      </w:r>
      <w:r w:rsidR="00707FF0">
        <w:t xml:space="preserve">, </w:t>
      </w:r>
      <w:r w:rsidR="005C0E0D">
        <w:t>among other</w:t>
      </w:r>
      <w:r w:rsidR="00707FF0">
        <w:t xml:space="preserve"> things, have</w:t>
      </w:r>
      <w:r w:rsidR="005C0E0D">
        <w:t xml:space="preserve"> </w:t>
      </w:r>
      <w:r w:rsidR="0075335A">
        <w:t xml:space="preserve">explicitly </w:t>
      </w:r>
      <w:r w:rsidR="00710545" w:rsidRPr="008A4A75">
        <w:t xml:space="preserve">specified </w:t>
      </w:r>
      <w:r w:rsidR="0075335A">
        <w:t>that the relevant</w:t>
      </w:r>
      <w:r w:rsidR="00710545" w:rsidRPr="008A4A75">
        <w:t xml:space="preserve"> regulatory framework </w:t>
      </w:r>
      <w:r w:rsidR="0075335A">
        <w:t>must ensure</w:t>
      </w:r>
      <w:r w:rsidR="007F6BCB" w:rsidRPr="008A4A75">
        <w:t xml:space="preserve"> a</w:t>
      </w:r>
      <w:r w:rsidR="0075335A">
        <w:t xml:space="preserve">n obligation on healthcare providers to </w:t>
      </w:r>
      <w:r w:rsidR="007F6BCB" w:rsidRPr="008A4A75">
        <w:t>refer</w:t>
      </w:r>
      <w:r w:rsidR="0075335A">
        <w:t xml:space="preserve"> women</w:t>
      </w:r>
      <w:r w:rsidR="007F6BCB" w:rsidRPr="008A4A75">
        <w:t xml:space="preserve"> to alternative </w:t>
      </w:r>
      <w:r w:rsidR="00741D7C">
        <w:t>health</w:t>
      </w:r>
      <w:r w:rsidRPr="008A4A75">
        <w:t xml:space="preserve"> </w:t>
      </w:r>
      <w:r w:rsidR="007F6BCB" w:rsidRPr="008A4A75">
        <w:t>providers</w:t>
      </w:r>
      <w:r w:rsidRPr="00710545">
        <w:rPr>
          <w:rStyle w:val="EndnoteReference"/>
        </w:rPr>
        <w:endnoteReference w:id="94"/>
      </w:r>
      <w:r w:rsidR="0075335A">
        <w:t xml:space="preserve"> and must not allow institutional refusals of care.</w:t>
      </w:r>
      <w:r w:rsidR="00C01D6F">
        <w:rPr>
          <w:rStyle w:val="EndnoteReference"/>
        </w:rPr>
        <w:endnoteReference w:id="95"/>
      </w:r>
      <w:r w:rsidR="0075335A">
        <w:t xml:space="preserve"> </w:t>
      </w:r>
      <w:r w:rsidR="005C0E0D">
        <w:t xml:space="preserve">States should also ensure </w:t>
      </w:r>
      <w:r>
        <w:t>that “</w:t>
      </w:r>
      <w:r w:rsidRPr="008A4A75">
        <w:t>adequate number of health-care providers willing and able to provide such services should be available at all times in both public and private facilities and within reasonable geographical reach.</w:t>
      </w:r>
      <w:r>
        <w:t>”</w:t>
      </w:r>
      <w:r>
        <w:rPr>
          <w:rStyle w:val="EndnoteReference"/>
        </w:rPr>
        <w:endnoteReference w:id="96"/>
      </w:r>
      <w:r w:rsidR="00D22559">
        <w:t xml:space="preserve"> </w:t>
      </w:r>
    </w:p>
    <w:p w14:paraId="0E9C8AC5" w14:textId="77777777" w:rsidR="0075335A" w:rsidRDefault="0075335A" w:rsidP="006D1D95">
      <w:pPr>
        <w:pStyle w:val="Sinespaciado"/>
        <w:jc w:val="both"/>
      </w:pPr>
    </w:p>
    <w:p w14:paraId="268462FD" w14:textId="4660C12E" w:rsidR="00C21C41" w:rsidRDefault="00C21C41" w:rsidP="006D1D95">
      <w:pPr>
        <w:pStyle w:val="Sinespaciado"/>
        <w:jc w:val="both"/>
      </w:pPr>
      <w:r w:rsidRPr="005C0E0D">
        <w:t xml:space="preserve">In 2008 and 2015 </w:t>
      </w:r>
      <w:r w:rsidR="00D22559" w:rsidRPr="005C0E0D">
        <w:t xml:space="preserve">CEDAW </w:t>
      </w:r>
      <w:r w:rsidR="006D1D95" w:rsidRPr="005C0E0D">
        <w:t xml:space="preserve">urged Slovakia to improve its regulation of </w:t>
      </w:r>
      <w:r w:rsidR="005C0E0D" w:rsidRPr="005C0E0D">
        <w:t xml:space="preserve">conscience-based refusals of care </w:t>
      </w:r>
      <w:r w:rsidR="005C0E0D">
        <w:t xml:space="preserve">so </w:t>
      </w:r>
      <w:r w:rsidR="005C0E0D" w:rsidRPr="005C0E0D">
        <w:t>as</w:t>
      </w:r>
      <w:r w:rsidR="006D1D95" w:rsidRPr="005C0E0D">
        <w:t xml:space="preserve"> to ensure that such refusals do not </w:t>
      </w:r>
      <w:r w:rsidR="005C0E0D" w:rsidRPr="005C0E0D">
        <w:t>impede</w:t>
      </w:r>
      <w:r w:rsidR="006D1D95" w:rsidRPr="005C0E0D">
        <w:t xml:space="preserve"> women’s timely access to reproductive health </w:t>
      </w:r>
      <w:r w:rsidR="005C0E0D">
        <w:t>services</w:t>
      </w:r>
      <w:r w:rsidR="006D1D95" w:rsidRPr="005C0E0D">
        <w:t>.</w:t>
      </w:r>
      <w:r w:rsidR="006D1D95" w:rsidRPr="002A6A49">
        <w:rPr>
          <w:rStyle w:val="EndnoteReference"/>
        </w:rPr>
        <w:endnoteReference w:id="97"/>
      </w:r>
      <w:r w:rsidR="006D1D95" w:rsidRPr="002A6A49">
        <w:t xml:space="preserve"> </w:t>
      </w:r>
      <w:r w:rsidR="006D1D95">
        <w:t>I</w:t>
      </w:r>
      <w:r w:rsidR="0081658C">
        <w:t>n particular, i</w:t>
      </w:r>
      <w:r w:rsidR="001A5652">
        <w:t xml:space="preserve">t </w:t>
      </w:r>
      <w:r w:rsidR="0081658C">
        <w:t>urged the G</w:t>
      </w:r>
      <w:r w:rsidR="006D1D95">
        <w:t>overnment to impose a referral obligation on providers who refuse services</w:t>
      </w:r>
      <w:r w:rsidR="001A5652">
        <w:t>.</w:t>
      </w:r>
      <w:r w:rsidR="001A5652">
        <w:rPr>
          <w:rStyle w:val="EndnoteReference"/>
        </w:rPr>
        <w:endnoteReference w:id="98"/>
      </w:r>
      <w:r w:rsidR="006D1D95">
        <w:t xml:space="preserve"> </w:t>
      </w:r>
      <w:r w:rsidR="001A5652">
        <w:t xml:space="preserve">In </w:t>
      </w:r>
      <w:r w:rsidR="0081658C">
        <w:t xml:space="preserve">July </w:t>
      </w:r>
      <w:r w:rsidR="001A5652">
        <w:t xml:space="preserve">2016, </w:t>
      </w:r>
      <w:r w:rsidR="006D1D95">
        <w:t>the CRC specified that Slovakia should “[a]</w:t>
      </w:r>
      <w:r w:rsidR="006D1D95" w:rsidRPr="00886ABB">
        <w:t>mend legislation to explicitly prohibit institutions from adopting institutional conscience-based refusal policies or practices and establish effective monitoring systems and mechanisms to enable the collection of comprehensive data on the extent of conscience-based refusals of care and the impact of the practice on girls’ access to legal reproductive health services</w:t>
      </w:r>
      <w:r w:rsidR="006D1D95">
        <w:t>.”</w:t>
      </w:r>
      <w:r w:rsidR="006D1D95">
        <w:rPr>
          <w:rStyle w:val="EndnoteReference"/>
        </w:rPr>
        <w:endnoteReference w:id="99"/>
      </w:r>
      <w:r w:rsidR="006D1D95">
        <w:t xml:space="preserve"> </w:t>
      </w:r>
    </w:p>
    <w:p w14:paraId="3FD638F6" w14:textId="77777777" w:rsidR="00C21C41" w:rsidRDefault="00C21C41" w:rsidP="006D1D95">
      <w:pPr>
        <w:pStyle w:val="Sinespaciado"/>
        <w:jc w:val="both"/>
      </w:pPr>
    </w:p>
    <w:p w14:paraId="1853FFEC" w14:textId="77777777" w:rsidR="006D1D95" w:rsidRPr="002A6A49" w:rsidRDefault="006D1D95" w:rsidP="006D1D95">
      <w:pPr>
        <w:pStyle w:val="Sinespaciado"/>
        <w:jc w:val="both"/>
      </w:pPr>
      <w:r>
        <w:t>T</w:t>
      </w:r>
      <w:r w:rsidRPr="002A6A49">
        <w:t>h</w:t>
      </w:r>
      <w:r>
        <w:t>us far th</w:t>
      </w:r>
      <w:r w:rsidR="0081658C">
        <w:t>e G</w:t>
      </w:r>
      <w:r w:rsidRPr="002A6A49">
        <w:t xml:space="preserve">overnment has not adopted measures to implement these recommendations. </w:t>
      </w:r>
    </w:p>
    <w:p w14:paraId="698DD04E" w14:textId="77777777" w:rsidR="00242A37" w:rsidRDefault="00242A37" w:rsidP="001A7DF2">
      <w:pPr>
        <w:pStyle w:val="Sinespaciado"/>
        <w:jc w:val="both"/>
      </w:pPr>
    </w:p>
    <w:p w14:paraId="007D3CCC" w14:textId="77777777" w:rsidR="00A242D5" w:rsidRPr="002A6A49" w:rsidRDefault="001A7DF2" w:rsidP="001A7DF2">
      <w:pPr>
        <w:pStyle w:val="Sinespaciado"/>
        <w:tabs>
          <w:tab w:val="right" w:pos="9360"/>
        </w:tabs>
        <w:jc w:val="both"/>
        <w:rPr>
          <w:rFonts w:eastAsia="ヒラギノ角ゴ Pro W3"/>
          <w:b/>
          <w:i/>
          <w:color w:val="000000"/>
        </w:rPr>
      </w:pPr>
      <w:r w:rsidRPr="002A6A49">
        <w:rPr>
          <w:rFonts w:eastAsia="ヒラギノ角ゴ Pro W3"/>
          <w:b/>
          <w:i/>
          <w:color w:val="000000"/>
        </w:rPr>
        <w:lastRenderedPageBreak/>
        <w:t>Recommendation</w:t>
      </w:r>
      <w:r w:rsidR="00A242D5" w:rsidRPr="002A6A49">
        <w:rPr>
          <w:rFonts w:eastAsia="ヒラギノ角ゴ Pro W3"/>
          <w:b/>
          <w:i/>
          <w:color w:val="000000"/>
        </w:rPr>
        <w:t>s</w:t>
      </w:r>
    </w:p>
    <w:p w14:paraId="5F920645" w14:textId="24583F2E" w:rsidR="00A242D5" w:rsidRPr="002A6A49" w:rsidRDefault="00EB3C9B" w:rsidP="00887A0B">
      <w:pPr>
        <w:pStyle w:val="NoSpacing"/>
        <w:numPr>
          <w:ilvl w:val="0"/>
          <w:numId w:val="2"/>
        </w:numPr>
        <w:jc w:val="both"/>
        <w:rPr>
          <w:rFonts w:ascii="Times New Roman" w:hAnsi="Times New Roman"/>
          <w:sz w:val="24"/>
          <w:szCs w:val="24"/>
        </w:rPr>
      </w:pPr>
      <w:r w:rsidRPr="002A6A49">
        <w:rPr>
          <w:rFonts w:ascii="Times New Roman" w:hAnsi="Times New Roman"/>
          <w:sz w:val="24"/>
          <w:szCs w:val="24"/>
        </w:rPr>
        <w:t xml:space="preserve">Take effective measures </w:t>
      </w:r>
      <w:r w:rsidR="00A242D5" w:rsidRPr="002A6A49">
        <w:rPr>
          <w:rFonts w:ascii="Times New Roman" w:hAnsi="Times New Roman"/>
          <w:sz w:val="24"/>
          <w:szCs w:val="24"/>
        </w:rPr>
        <w:t xml:space="preserve">to ensure that </w:t>
      </w:r>
      <w:r w:rsidRPr="002A6A49">
        <w:rPr>
          <w:rFonts w:ascii="Times New Roman" w:hAnsi="Times New Roman"/>
          <w:sz w:val="24"/>
          <w:szCs w:val="24"/>
        </w:rPr>
        <w:t>conscience-based refusals of care do</w:t>
      </w:r>
      <w:r w:rsidR="00A242D5" w:rsidRPr="002A6A49">
        <w:rPr>
          <w:rFonts w:ascii="Times New Roman" w:hAnsi="Times New Roman"/>
          <w:sz w:val="24"/>
          <w:szCs w:val="24"/>
        </w:rPr>
        <w:t xml:space="preserve"> not impede women’s access to reproductive health care services, including by </w:t>
      </w:r>
      <w:r w:rsidRPr="002A6A49">
        <w:rPr>
          <w:rFonts w:ascii="Times New Roman" w:hAnsi="Times New Roman"/>
          <w:sz w:val="24"/>
          <w:szCs w:val="24"/>
        </w:rPr>
        <w:t xml:space="preserve">amending legislation and introducing legal </w:t>
      </w:r>
      <w:r w:rsidR="00A242D5" w:rsidRPr="002A6A49">
        <w:rPr>
          <w:rFonts w:ascii="Times New Roman" w:hAnsi="Times New Roman"/>
          <w:sz w:val="24"/>
          <w:szCs w:val="24"/>
        </w:rPr>
        <w:t xml:space="preserve">provisions that would: </w:t>
      </w:r>
      <w:proofErr w:type="spellStart"/>
      <w:r w:rsidR="00A242D5" w:rsidRPr="002A6A49">
        <w:rPr>
          <w:rFonts w:ascii="Times New Roman" w:hAnsi="Times New Roman"/>
          <w:sz w:val="24"/>
          <w:szCs w:val="24"/>
        </w:rPr>
        <w:t>i</w:t>
      </w:r>
      <w:proofErr w:type="spellEnd"/>
      <w:r w:rsidR="00A242D5" w:rsidRPr="002A6A49">
        <w:rPr>
          <w:rFonts w:ascii="Times New Roman" w:hAnsi="Times New Roman"/>
          <w:sz w:val="24"/>
          <w:szCs w:val="24"/>
        </w:rPr>
        <w:t xml:space="preserve">) </w:t>
      </w:r>
      <w:r w:rsidR="000264A4" w:rsidRPr="002A6A49">
        <w:rPr>
          <w:rFonts w:ascii="Times New Roman" w:hAnsi="Times New Roman"/>
          <w:sz w:val="24"/>
          <w:szCs w:val="24"/>
        </w:rPr>
        <w:t xml:space="preserve">explicitly prohibit </w:t>
      </w:r>
      <w:r w:rsidR="003A334C">
        <w:rPr>
          <w:rFonts w:ascii="Times New Roman" w:hAnsi="Times New Roman"/>
          <w:sz w:val="24"/>
          <w:szCs w:val="24"/>
        </w:rPr>
        <w:t xml:space="preserve">medical </w:t>
      </w:r>
      <w:r w:rsidR="000264A4" w:rsidRPr="002A6A49">
        <w:rPr>
          <w:rFonts w:ascii="Times New Roman" w:hAnsi="Times New Roman"/>
          <w:sz w:val="24"/>
          <w:szCs w:val="24"/>
        </w:rPr>
        <w:t xml:space="preserve">institutions from adopting institutional refusal policies or practices; ii) </w:t>
      </w:r>
      <w:r w:rsidR="00A242D5" w:rsidRPr="002A6A49">
        <w:rPr>
          <w:rFonts w:ascii="Times New Roman" w:hAnsi="Times New Roman"/>
          <w:sz w:val="24"/>
          <w:szCs w:val="24"/>
        </w:rPr>
        <w:t>guarantee that women are promptly referred to alternati</w:t>
      </w:r>
      <w:r w:rsidR="00817D05">
        <w:rPr>
          <w:rFonts w:ascii="Times New Roman" w:hAnsi="Times New Roman"/>
          <w:sz w:val="24"/>
          <w:szCs w:val="24"/>
        </w:rPr>
        <w:t>ve and easily accessible health</w:t>
      </w:r>
      <w:r w:rsidR="00A242D5" w:rsidRPr="002A6A49">
        <w:rPr>
          <w:rFonts w:ascii="Times New Roman" w:hAnsi="Times New Roman"/>
          <w:sz w:val="24"/>
          <w:szCs w:val="24"/>
        </w:rPr>
        <w:t xml:space="preserve">care </w:t>
      </w:r>
      <w:r w:rsidR="002A6A49" w:rsidRPr="002A6A49">
        <w:rPr>
          <w:rFonts w:ascii="Times New Roman" w:hAnsi="Times New Roman"/>
          <w:sz w:val="24"/>
          <w:szCs w:val="24"/>
        </w:rPr>
        <w:t>provider</w:t>
      </w:r>
      <w:r w:rsidR="00A242D5" w:rsidRPr="002A6A49">
        <w:rPr>
          <w:rFonts w:ascii="Times New Roman" w:hAnsi="Times New Roman"/>
          <w:sz w:val="24"/>
          <w:szCs w:val="24"/>
        </w:rPr>
        <w:t xml:space="preserve">; </w:t>
      </w:r>
      <w:r w:rsidR="003A334C">
        <w:rPr>
          <w:rFonts w:ascii="Times New Roman" w:hAnsi="Times New Roman"/>
          <w:sz w:val="24"/>
          <w:szCs w:val="24"/>
        </w:rPr>
        <w:t>i</w:t>
      </w:r>
      <w:r w:rsidR="00862A92">
        <w:rPr>
          <w:rFonts w:ascii="Times New Roman" w:hAnsi="Times New Roman"/>
          <w:sz w:val="24"/>
          <w:szCs w:val="24"/>
        </w:rPr>
        <w:t>ii</w:t>
      </w:r>
      <w:r w:rsidR="003A334C">
        <w:rPr>
          <w:rFonts w:ascii="Times New Roman" w:hAnsi="Times New Roman"/>
          <w:sz w:val="24"/>
          <w:szCs w:val="24"/>
        </w:rPr>
        <w:t xml:space="preserve">) ensure that </w:t>
      </w:r>
      <w:r w:rsidR="00BD00F6">
        <w:rPr>
          <w:rFonts w:ascii="Times New Roman" w:hAnsi="Times New Roman"/>
          <w:sz w:val="24"/>
          <w:szCs w:val="24"/>
        </w:rPr>
        <w:t>medical institutions</w:t>
      </w:r>
      <w:r w:rsidR="003A334C">
        <w:rPr>
          <w:rFonts w:ascii="Times New Roman" w:hAnsi="Times New Roman"/>
          <w:sz w:val="24"/>
          <w:szCs w:val="24"/>
        </w:rPr>
        <w:t xml:space="preserve"> employ adequate number of </w:t>
      </w:r>
      <w:r w:rsidR="00862A92">
        <w:rPr>
          <w:rFonts w:ascii="Times New Roman" w:hAnsi="Times New Roman"/>
          <w:sz w:val="24"/>
          <w:szCs w:val="24"/>
        </w:rPr>
        <w:t xml:space="preserve">healthcare </w:t>
      </w:r>
      <w:r w:rsidR="003A334C">
        <w:rPr>
          <w:rFonts w:ascii="Times New Roman" w:hAnsi="Times New Roman"/>
          <w:sz w:val="24"/>
          <w:szCs w:val="24"/>
        </w:rPr>
        <w:t xml:space="preserve">providers willing to perform </w:t>
      </w:r>
      <w:proofErr w:type="spellStart"/>
      <w:r w:rsidR="003A334C">
        <w:rPr>
          <w:rFonts w:ascii="Times New Roman" w:hAnsi="Times New Roman"/>
          <w:sz w:val="24"/>
          <w:szCs w:val="24"/>
        </w:rPr>
        <w:t>abotions</w:t>
      </w:r>
      <w:proofErr w:type="spellEnd"/>
      <w:r w:rsidR="00862A92">
        <w:rPr>
          <w:rFonts w:ascii="Times New Roman" w:hAnsi="Times New Roman"/>
          <w:sz w:val="24"/>
          <w:szCs w:val="24"/>
        </w:rPr>
        <w:t>;</w:t>
      </w:r>
      <w:r w:rsidR="003A334C">
        <w:rPr>
          <w:rFonts w:ascii="Times New Roman" w:hAnsi="Times New Roman"/>
          <w:sz w:val="24"/>
          <w:szCs w:val="24"/>
        </w:rPr>
        <w:t xml:space="preserve"> </w:t>
      </w:r>
      <w:r w:rsidR="00862A92">
        <w:rPr>
          <w:rFonts w:ascii="Times New Roman" w:hAnsi="Times New Roman"/>
          <w:sz w:val="24"/>
          <w:szCs w:val="24"/>
        </w:rPr>
        <w:t>iv</w:t>
      </w:r>
      <w:r w:rsidR="00862A92" w:rsidRPr="002A6A49">
        <w:rPr>
          <w:rFonts w:ascii="Times New Roman" w:hAnsi="Times New Roman"/>
          <w:sz w:val="24"/>
          <w:szCs w:val="24"/>
        </w:rPr>
        <w:t>) establish a registry of health professionals who refuse</w:t>
      </w:r>
      <w:r w:rsidR="00862A92">
        <w:rPr>
          <w:rFonts w:ascii="Times New Roman" w:hAnsi="Times New Roman"/>
          <w:sz w:val="24"/>
          <w:szCs w:val="24"/>
        </w:rPr>
        <w:t xml:space="preserve"> to perform reproductive health</w:t>
      </w:r>
      <w:r w:rsidR="00862A92" w:rsidRPr="002A6A49">
        <w:rPr>
          <w:rFonts w:ascii="Times New Roman" w:hAnsi="Times New Roman"/>
          <w:sz w:val="24"/>
          <w:szCs w:val="24"/>
        </w:rPr>
        <w:t>care services for reasons of personal conscience</w:t>
      </w:r>
      <w:r w:rsidR="00862A92">
        <w:rPr>
          <w:rFonts w:ascii="Times New Roman" w:hAnsi="Times New Roman"/>
          <w:sz w:val="24"/>
          <w:szCs w:val="24"/>
        </w:rPr>
        <w:t>,</w:t>
      </w:r>
      <w:r w:rsidR="00862A92" w:rsidRPr="002A6A49">
        <w:rPr>
          <w:rFonts w:ascii="Times New Roman" w:hAnsi="Times New Roman"/>
          <w:sz w:val="24"/>
          <w:szCs w:val="24"/>
        </w:rPr>
        <w:t xml:space="preserve"> </w:t>
      </w:r>
      <w:r w:rsidR="003A334C">
        <w:rPr>
          <w:rFonts w:ascii="Times New Roman" w:hAnsi="Times New Roman"/>
          <w:sz w:val="24"/>
          <w:szCs w:val="24"/>
        </w:rPr>
        <w:t xml:space="preserve">and </w:t>
      </w:r>
      <w:r w:rsidR="00E12ED9" w:rsidRPr="002A6A49">
        <w:rPr>
          <w:rFonts w:ascii="Times New Roman" w:hAnsi="Times New Roman"/>
          <w:sz w:val="24"/>
          <w:szCs w:val="24"/>
        </w:rPr>
        <w:t xml:space="preserve">v) </w:t>
      </w:r>
      <w:r w:rsidRPr="002A6A49">
        <w:rPr>
          <w:rFonts w:ascii="Times New Roman" w:hAnsi="Times New Roman"/>
          <w:sz w:val="24"/>
          <w:szCs w:val="24"/>
        </w:rPr>
        <w:t xml:space="preserve">ensure </w:t>
      </w:r>
      <w:r w:rsidR="00E12ED9" w:rsidRPr="002A6A49">
        <w:rPr>
          <w:rFonts w:ascii="Times New Roman" w:hAnsi="Times New Roman"/>
          <w:sz w:val="24"/>
          <w:szCs w:val="24"/>
        </w:rPr>
        <w:t xml:space="preserve">effective </w:t>
      </w:r>
      <w:r w:rsidRPr="002A6A49">
        <w:rPr>
          <w:rFonts w:ascii="Times New Roman" w:hAnsi="Times New Roman"/>
          <w:sz w:val="24"/>
          <w:szCs w:val="24"/>
        </w:rPr>
        <w:t xml:space="preserve">oversight and </w:t>
      </w:r>
      <w:r w:rsidR="00E12ED9" w:rsidRPr="002A6A49">
        <w:rPr>
          <w:rFonts w:ascii="Times New Roman" w:hAnsi="Times New Roman"/>
          <w:sz w:val="24"/>
          <w:szCs w:val="24"/>
        </w:rPr>
        <w:t>implementation</w:t>
      </w:r>
      <w:r w:rsidR="00A242D5" w:rsidRPr="002A6A49">
        <w:rPr>
          <w:rFonts w:ascii="Times New Roman" w:hAnsi="Times New Roman"/>
          <w:sz w:val="24"/>
          <w:szCs w:val="24"/>
        </w:rPr>
        <w:t xml:space="preserve">.  </w:t>
      </w:r>
    </w:p>
    <w:p w14:paraId="00076CB3" w14:textId="77777777" w:rsidR="001A7DF2" w:rsidRPr="002A6A49" w:rsidRDefault="00A242D5" w:rsidP="00887A0B">
      <w:pPr>
        <w:pStyle w:val="NoSpacing"/>
        <w:numPr>
          <w:ilvl w:val="0"/>
          <w:numId w:val="2"/>
        </w:numPr>
        <w:jc w:val="both"/>
        <w:rPr>
          <w:rFonts w:ascii="Times New Roman" w:hAnsi="Times New Roman"/>
          <w:sz w:val="24"/>
          <w:szCs w:val="24"/>
        </w:rPr>
      </w:pPr>
      <w:r w:rsidRPr="002A6A49">
        <w:rPr>
          <w:rFonts w:ascii="Times New Roman" w:hAnsi="Times New Roman"/>
          <w:sz w:val="24"/>
          <w:szCs w:val="24"/>
        </w:rPr>
        <w:t xml:space="preserve">Establish </w:t>
      </w:r>
      <w:r w:rsidR="00EB3C9B" w:rsidRPr="002A6A49">
        <w:rPr>
          <w:rFonts w:ascii="Times New Roman" w:hAnsi="Times New Roman"/>
          <w:sz w:val="24"/>
          <w:szCs w:val="24"/>
        </w:rPr>
        <w:t xml:space="preserve">effective </w:t>
      </w:r>
      <w:r w:rsidRPr="002A6A49">
        <w:rPr>
          <w:rFonts w:ascii="Times New Roman" w:hAnsi="Times New Roman"/>
          <w:sz w:val="24"/>
          <w:szCs w:val="24"/>
        </w:rPr>
        <w:t>monitoring systems and mechanisms to</w:t>
      </w:r>
      <w:r w:rsidR="00EB3C9B" w:rsidRPr="002A6A49">
        <w:rPr>
          <w:rFonts w:ascii="Times New Roman" w:hAnsi="Times New Roman"/>
          <w:sz w:val="24"/>
          <w:szCs w:val="24"/>
        </w:rPr>
        <w:t xml:space="preserve"> enable the collection of</w:t>
      </w:r>
      <w:r w:rsidRPr="002A6A49">
        <w:rPr>
          <w:rFonts w:ascii="Times New Roman" w:hAnsi="Times New Roman"/>
          <w:sz w:val="24"/>
          <w:szCs w:val="24"/>
        </w:rPr>
        <w:t xml:space="preserve"> comprehensive</w:t>
      </w:r>
      <w:r w:rsidR="00EB3C9B" w:rsidRPr="002A6A49">
        <w:rPr>
          <w:rFonts w:ascii="Times New Roman" w:hAnsi="Times New Roman"/>
          <w:sz w:val="24"/>
          <w:szCs w:val="24"/>
        </w:rPr>
        <w:t xml:space="preserve"> data on</w:t>
      </w:r>
      <w:r w:rsidRPr="002A6A49">
        <w:rPr>
          <w:rFonts w:ascii="Times New Roman" w:hAnsi="Times New Roman"/>
          <w:sz w:val="24"/>
          <w:szCs w:val="24"/>
        </w:rPr>
        <w:t xml:space="preserve"> the extent of conscience-based refusals of care and the impact </w:t>
      </w:r>
      <w:r w:rsidR="00EB3C9B" w:rsidRPr="002A6A49">
        <w:rPr>
          <w:rFonts w:ascii="Times New Roman" w:hAnsi="Times New Roman"/>
          <w:sz w:val="24"/>
          <w:szCs w:val="24"/>
        </w:rPr>
        <w:t xml:space="preserve">of the practice </w:t>
      </w:r>
      <w:r w:rsidRPr="002A6A49">
        <w:rPr>
          <w:rFonts w:ascii="Times New Roman" w:hAnsi="Times New Roman"/>
          <w:sz w:val="24"/>
          <w:szCs w:val="24"/>
        </w:rPr>
        <w:t>on women’s access to legal reproductive health services.</w:t>
      </w:r>
      <w:r w:rsidR="001A7DF2" w:rsidRPr="002A6A49">
        <w:rPr>
          <w:rFonts w:ascii="Times New Roman" w:hAnsi="Times New Roman"/>
          <w:sz w:val="24"/>
          <w:szCs w:val="24"/>
        </w:rPr>
        <w:tab/>
      </w:r>
    </w:p>
    <w:p w14:paraId="37E1AF9F" w14:textId="77777777" w:rsidR="001A7DF2" w:rsidRPr="002A6A49" w:rsidRDefault="001A7DF2" w:rsidP="00A242D5">
      <w:pPr>
        <w:pStyle w:val="Sinespaciado"/>
        <w:jc w:val="both"/>
        <w:rPr>
          <w:b/>
        </w:rPr>
      </w:pPr>
    </w:p>
    <w:p w14:paraId="681B4120" w14:textId="77777777" w:rsidR="002A6A49" w:rsidRDefault="002A6A49" w:rsidP="00703660">
      <w:pPr>
        <w:jc w:val="both"/>
        <w:rPr>
          <w:rFonts w:ascii="Times New Roman" w:hAnsi="Times New Roman"/>
          <w:sz w:val="24"/>
          <w:szCs w:val="24"/>
          <w:u w:val="single"/>
        </w:rPr>
      </w:pPr>
    </w:p>
    <w:p w14:paraId="0877FFDD" w14:textId="77777777" w:rsidR="0074624A" w:rsidRDefault="0074624A" w:rsidP="00703660">
      <w:pPr>
        <w:jc w:val="both"/>
        <w:rPr>
          <w:rFonts w:ascii="Times New Roman" w:hAnsi="Times New Roman"/>
          <w:sz w:val="24"/>
          <w:szCs w:val="24"/>
          <w:u w:val="single"/>
        </w:rPr>
      </w:pPr>
    </w:p>
    <w:p w14:paraId="789E5258" w14:textId="3D00E190" w:rsidR="00EF76A0" w:rsidRPr="002A6A49" w:rsidRDefault="00EF76A0" w:rsidP="00703660">
      <w:pPr>
        <w:jc w:val="both"/>
        <w:rPr>
          <w:rFonts w:ascii="Times New Roman" w:hAnsi="Times New Roman"/>
          <w:i/>
          <w:spacing w:val="1"/>
          <w:sz w:val="24"/>
          <w:szCs w:val="24"/>
        </w:rPr>
      </w:pPr>
    </w:p>
    <w:sectPr w:rsidR="00EF76A0" w:rsidRPr="002A6A49" w:rsidSect="00E9610D">
      <w:footerReference w:type="default" r:id="rId15"/>
      <w:headerReference w:type="first" r:id="rId16"/>
      <w:endnotePr>
        <w:numFmt w:val="decimal"/>
      </w:endnotePr>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0ECB1F" w14:textId="77777777" w:rsidR="00E90E7A" w:rsidRDefault="00E90E7A" w:rsidP="000F2AB6">
      <w:pPr>
        <w:spacing w:after="0" w:line="240" w:lineRule="auto"/>
      </w:pPr>
      <w:r>
        <w:separator/>
      </w:r>
    </w:p>
  </w:endnote>
  <w:endnote w:type="continuationSeparator" w:id="0">
    <w:p w14:paraId="38C2EB28" w14:textId="77777777" w:rsidR="00E90E7A" w:rsidRDefault="00E90E7A" w:rsidP="000F2AB6">
      <w:pPr>
        <w:spacing w:after="0" w:line="240" w:lineRule="auto"/>
      </w:pPr>
      <w:r>
        <w:continuationSeparator/>
      </w:r>
    </w:p>
  </w:endnote>
  <w:endnote w:type="continuationNotice" w:id="1">
    <w:p w14:paraId="0BE039ED" w14:textId="77777777" w:rsidR="00E90E7A" w:rsidRDefault="00E90E7A">
      <w:pPr>
        <w:spacing w:after="0" w:line="240" w:lineRule="auto"/>
      </w:pPr>
    </w:p>
  </w:endnote>
  <w:endnote w:id="2">
    <w:p w14:paraId="494CB42B" w14:textId="012D7831" w:rsidR="00EB6BE1" w:rsidRPr="00D05A9C" w:rsidRDefault="00EB6BE1" w:rsidP="00A56D78">
      <w:pPr>
        <w:pStyle w:val="EndnoteText"/>
        <w:rPr>
          <w:lang w:val="en-US"/>
        </w:rPr>
      </w:pPr>
      <w:r w:rsidRPr="00D05A9C">
        <w:rPr>
          <w:rStyle w:val="EndnoteReference"/>
        </w:rPr>
        <w:endnoteRef/>
      </w:r>
      <w:r w:rsidRPr="00D05A9C">
        <w:t xml:space="preserve"> </w:t>
      </w:r>
      <w:r w:rsidRPr="00D05A9C">
        <w:rPr>
          <w:smallCaps/>
        </w:rPr>
        <w:t>Center for Reproductive Rights &amp; Poradňa pre občianske a ľudské práva</w:t>
      </w:r>
      <w:r w:rsidRPr="00D05A9C">
        <w:t xml:space="preserve">, </w:t>
      </w:r>
      <w:r w:rsidRPr="00D05A9C">
        <w:rPr>
          <w:i/>
          <w:iCs/>
        </w:rPr>
        <w:t>Body and Soul: Forced Sterilization and Other Assaults on Roma Reproductive Freedom in Slovakia</w:t>
      </w:r>
      <w:r w:rsidRPr="00D05A9C">
        <w:t xml:space="preserve"> (2003), </w:t>
      </w:r>
      <w:r w:rsidRPr="00D05A9C">
        <w:rPr>
          <w:i/>
        </w:rPr>
        <w:t>available at</w:t>
      </w:r>
      <w:r w:rsidRPr="00D05A9C">
        <w:t xml:space="preserve"> </w:t>
      </w:r>
      <w:hyperlink r:id="rId1" w:history="1">
        <w:r w:rsidRPr="00D05A9C">
          <w:rPr>
            <w:rStyle w:val="Hyperlink"/>
            <w:u w:val="none"/>
          </w:rPr>
          <w:t>https://www.poradna-prava.sk/en/documents/body-and-soul-forced-sterilization-and-other-assaults-on-roma-reproductive-freedom-in-slovakia/</w:t>
        </w:r>
      </w:hyperlink>
      <w:r w:rsidRPr="00D05A9C">
        <w:rPr>
          <w:rStyle w:val="Hyperlink"/>
          <w:u w:val="none"/>
        </w:rPr>
        <w:t xml:space="preserve"> [hereinafter </w:t>
      </w:r>
      <w:r w:rsidRPr="00D05A9C">
        <w:rPr>
          <w:i/>
          <w:iCs/>
        </w:rPr>
        <w:t>Body and Soul: Forced Sterilization and Other Assaults on Roma Reproductive Freedom in Slovakia</w:t>
      </w:r>
      <w:r w:rsidRPr="00D05A9C">
        <w:rPr>
          <w:iCs/>
        </w:rPr>
        <w:t>]</w:t>
      </w:r>
      <w:r w:rsidRPr="00D05A9C">
        <w:rPr>
          <w:rStyle w:val="Hyperlink"/>
          <w:u w:val="none"/>
        </w:rPr>
        <w:t>.</w:t>
      </w:r>
      <w:r w:rsidRPr="00D05A9C">
        <w:t xml:space="preserve"> </w:t>
      </w:r>
    </w:p>
  </w:endnote>
  <w:endnote w:id="3">
    <w:p w14:paraId="1EA8BEAC" w14:textId="77777777" w:rsidR="00EB6BE1" w:rsidRPr="00D05A9C" w:rsidRDefault="00EB6BE1" w:rsidP="003E1357">
      <w:pPr>
        <w:pStyle w:val="EndnoteText"/>
      </w:pPr>
      <w:r w:rsidRPr="00D05A9C">
        <w:rPr>
          <w:rStyle w:val="EndnoteReference"/>
        </w:rPr>
        <w:endnoteRef/>
      </w:r>
      <w:r w:rsidRPr="00D05A9C">
        <w:t xml:space="preserve"> </w:t>
      </w:r>
      <w:r w:rsidRPr="00D05A9C">
        <w:rPr>
          <w:i/>
          <w:iCs/>
        </w:rPr>
        <w:t>Body and Soul: Forced Sterilization and Other Assaults on Roma Reproductive Freedom in Slovakia</w:t>
      </w:r>
      <w:r w:rsidRPr="00D05A9C">
        <w:t xml:space="preserve">, </w:t>
      </w:r>
      <w:r w:rsidRPr="00D05A9C">
        <w:rPr>
          <w:i/>
        </w:rPr>
        <w:t>supra</w:t>
      </w:r>
      <w:r w:rsidRPr="00D05A9C">
        <w:t xml:space="preserve"> note 1, at 34.</w:t>
      </w:r>
    </w:p>
  </w:endnote>
  <w:endnote w:id="4">
    <w:p w14:paraId="4AA79949" w14:textId="731D1E7F" w:rsidR="00EB6BE1" w:rsidRPr="00D05A9C" w:rsidRDefault="00EB6BE1" w:rsidP="00A56D78">
      <w:pPr>
        <w:pStyle w:val="EndnoteText"/>
        <w:rPr>
          <w:lang w:val="sk-SK"/>
        </w:rPr>
      </w:pPr>
      <w:r w:rsidRPr="00D05A9C">
        <w:rPr>
          <w:rStyle w:val="EndnoteReference"/>
        </w:rPr>
        <w:endnoteRef/>
      </w:r>
      <w:r w:rsidRPr="00D05A9C">
        <w:t xml:space="preserve"> </w:t>
      </w:r>
      <w:r w:rsidRPr="00D05A9C">
        <w:rPr>
          <w:i/>
        </w:rPr>
        <w:t xml:space="preserve">See, </w:t>
      </w:r>
      <w:r w:rsidRPr="00D05A9C">
        <w:rPr>
          <w:i/>
        </w:rPr>
        <w:t>e.g.,</w:t>
      </w:r>
      <w:r w:rsidRPr="00D05A9C">
        <w:t xml:space="preserve"> Committee against Torture (CAT), </w:t>
      </w:r>
      <w:r w:rsidRPr="00D05A9C">
        <w:rPr>
          <w:i/>
        </w:rPr>
        <w:t>Concluding Observations:</w:t>
      </w:r>
      <w:r w:rsidRPr="00D05A9C">
        <w:t xml:space="preserve"> </w:t>
      </w:r>
      <w:r w:rsidRPr="00D05A9C">
        <w:rPr>
          <w:i/>
        </w:rPr>
        <w:t>Slovakia,</w:t>
      </w:r>
      <w:r w:rsidRPr="00D05A9C">
        <w:t xml:space="preserve"> para. 14, U.N. Doc. CAT/C/SVK/CO/2 (2009); </w:t>
      </w:r>
      <w:r w:rsidRPr="00D05A9C">
        <w:rPr>
          <w:i/>
        </w:rPr>
        <w:t>Slovakia</w:t>
      </w:r>
      <w:r w:rsidRPr="00D05A9C">
        <w:t xml:space="preserve">, para. 12, U.N. Doc. CAT/C/SVK/CO/3 (2015); Human Rights Committee , </w:t>
      </w:r>
      <w:r w:rsidRPr="00D05A9C">
        <w:rPr>
          <w:i/>
        </w:rPr>
        <w:t>Concluding Observations: Slovakia</w:t>
      </w:r>
      <w:r w:rsidRPr="00D05A9C">
        <w:t xml:space="preserve">, para. 12, U.N. Doc. CCPR/CO/78/SVK (2003); </w:t>
      </w:r>
      <w:r w:rsidRPr="00D05A9C">
        <w:rPr>
          <w:i/>
        </w:rPr>
        <w:t>Slovakia</w:t>
      </w:r>
      <w:r w:rsidRPr="00D05A9C">
        <w:t xml:space="preserve">, para. 13, U.N. Doc. CCPR/C/SVK/CO/3 (2011); Committee on the Elimination of Racial Discrimination (CERD), </w:t>
      </w:r>
      <w:r w:rsidRPr="00D05A9C">
        <w:rPr>
          <w:i/>
        </w:rPr>
        <w:t>Concluding Observations: Slovakia</w:t>
      </w:r>
      <w:r w:rsidRPr="00D05A9C">
        <w:t xml:space="preserve">, para. 13, U.N. Doc. CERD/C/ SVK/CO/9-10 (2013); </w:t>
      </w:r>
      <w:r w:rsidRPr="00D05A9C">
        <w:rPr>
          <w:i/>
        </w:rPr>
        <w:t>Slovakia</w:t>
      </w:r>
      <w:r w:rsidRPr="00D05A9C">
        <w:t xml:space="preserve">, para. 18, U.N. Doc. CERD/C/SVK/CO/6-8 (2010); Committee on the Elimination of Discrimination against Women (CEDAW), </w:t>
      </w:r>
      <w:r w:rsidRPr="00D05A9C">
        <w:rPr>
          <w:i/>
        </w:rPr>
        <w:t>Concluding Observations: Slovakia</w:t>
      </w:r>
      <w:r w:rsidRPr="00D05A9C">
        <w:t xml:space="preserve">, paras. 32-33, U.N. Doc. CEDAW/C/SVK/CO/5-6 (2015); Committee on the Rights of the Child (CRC), </w:t>
      </w:r>
      <w:r w:rsidRPr="00D05A9C">
        <w:rPr>
          <w:i/>
        </w:rPr>
        <w:t>Concluding Observations: Slovakia</w:t>
      </w:r>
      <w:r w:rsidRPr="00D05A9C">
        <w:t xml:space="preserve">, paras. 24-25, U.N. Doc. CRC/C/SVK/CO/3-5 (2016); V.C. v. Slovakia, No. 18968/07 Eur. Ct. H.R. (2011); N.B. v. Slovakia, No. 29518/10 Eur. Ct. H.R. (2012); I.G. and Others v. Slovakia, No. 15966/04 Eur. Ct. H.R. (2013). </w:t>
      </w:r>
      <w:proofErr w:type="spellStart"/>
      <w:r w:rsidRPr="00D05A9C">
        <w:rPr>
          <w:color w:val="1A171C"/>
          <w:lang w:val="en-GB"/>
        </w:rPr>
        <w:t>Poradňa</w:t>
      </w:r>
      <w:proofErr w:type="spellEnd"/>
      <w:r w:rsidRPr="00D05A9C">
        <w:rPr>
          <w:color w:val="1A171C"/>
          <w:lang w:val="en-GB"/>
        </w:rPr>
        <w:t xml:space="preserve"> has provided legal assistance to 12 Roma women affected by the practice before domestic courts in civil and criminal proceedings as well as before the European Court of Human Rights. </w:t>
      </w:r>
    </w:p>
  </w:endnote>
  <w:endnote w:id="5">
    <w:p w14:paraId="1AB06654" w14:textId="3BBD2061" w:rsidR="00EB6BE1" w:rsidRPr="00D05A9C" w:rsidRDefault="00EB6BE1">
      <w:pPr>
        <w:pStyle w:val="EndnoteText"/>
      </w:pPr>
      <w:r w:rsidRPr="00D05A9C">
        <w:rPr>
          <w:rStyle w:val="EndnoteReference"/>
        </w:rPr>
        <w:endnoteRef/>
      </w:r>
      <w:r w:rsidRPr="00D05A9C">
        <w:t xml:space="preserve"> </w:t>
      </w:r>
      <w:r w:rsidRPr="00D05A9C">
        <w:rPr>
          <w:i/>
        </w:rPr>
        <w:t>See, e.g</w:t>
      </w:r>
      <w:r w:rsidRPr="00D05A9C">
        <w:t xml:space="preserve">., CERD, </w:t>
      </w:r>
      <w:r w:rsidRPr="00D05A9C">
        <w:rPr>
          <w:i/>
        </w:rPr>
        <w:t>Concluding Observations: Slovakia</w:t>
      </w:r>
      <w:r w:rsidRPr="00D05A9C">
        <w:t xml:space="preserve">, para. 13, U.N. Doc. CERD/C/ SVK/CO/9-10 (2013); CAT, </w:t>
      </w:r>
      <w:r w:rsidRPr="00D05A9C">
        <w:rPr>
          <w:i/>
        </w:rPr>
        <w:t>Concluding Observations:</w:t>
      </w:r>
      <w:r w:rsidRPr="00D05A9C">
        <w:t xml:space="preserve"> </w:t>
      </w:r>
      <w:r w:rsidRPr="00D05A9C">
        <w:rPr>
          <w:i/>
        </w:rPr>
        <w:t>Slovakia</w:t>
      </w:r>
      <w:r w:rsidRPr="00D05A9C">
        <w:t xml:space="preserve">, para. 12, U.N. Doc. CAT/C/SVK/CO/3 (2015); CEDAW, </w:t>
      </w:r>
      <w:r w:rsidRPr="00D05A9C">
        <w:rPr>
          <w:i/>
        </w:rPr>
        <w:t>Concluding Observations: Slovakia</w:t>
      </w:r>
      <w:r w:rsidRPr="00D05A9C">
        <w:t xml:space="preserve">, para. 33(d), U.N. Doc. CEDAW/C/SVK/CO/5-6 (2015); CRC, </w:t>
      </w:r>
      <w:r w:rsidRPr="00D05A9C">
        <w:rPr>
          <w:i/>
        </w:rPr>
        <w:t>Concluding Observations: Slovakia</w:t>
      </w:r>
      <w:r w:rsidRPr="00D05A9C">
        <w:t>, para. 25, U.N. Doc. CRC/C/SVK/CO/3-5 (2016).</w:t>
      </w:r>
    </w:p>
  </w:endnote>
  <w:endnote w:id="6">
    <w:p w14:paraId="3E1E14DA" w14:textId="77777777" w:rsidR="00EB6BE1" w:rsidRPr="00D05A9C" w:rsidRDefault="00EB6BE1" w:rsidP="00A91CF6">
      <w:pPr>
        <w:pStyle w:val="EndnoteText"/>
      </w:pPr>
      <w:r w:rsidRPr="00D05A9C">
        <w:rPr>
          <w:rStyle w:val="EndnoteReference"/>
        </w:rPr>
        <w:endnoteRef/>
      </w:r>
      <w:r w:rsidRPr="00D05A9C">
        <w:t xml:space="preserve"> </w:t>
      </w:r>
      <w:r w:rsidRPr="00D05A9C">
        <w:rPr>
          <w:i/>
        </w:rPr>
        <w:t>See</w:t>
      </w:r>
      <w:r w:rsidRPr="00D05A9C">
        <w:t xml:space="preserve"> </w:t>
      </w:r>
      <w:r w:rsidRPr="00D05A9C">
        <w:rPr>
          <w:smallCaps/>
        </w:rPr>
        <w:t>Poradňa pre občianske a ľudské práva &amp; People in Need Slovakia,</w:t>
      </w:r>
      <w:r w:rsidRPr="00D05A9C">
        <w:t xml:space="preserve"> </w:t>
      </w:r>
      <w:r w:rsidRPr="00D05A9C">
        <w:rPr>
          <w:i/>
        </w:rPr>
        <w:t>Written comments concerning the third periodic report of the Slovak republic under under the International Covenant on Civil and Political Rights</w:t>
      </w:r>
      <w:r w:rsidRPr="00D05A9C">
        <w:t xml:space="preserve"> (April 2010) at  9 – 11, </w:t>
      </w:r>
      <w:r w:rsidRPr="00D05A9C">
        <w:rPr>
          <w:i/>
        </w:rPr>
        <w:t>available at</w:t>
      </w:r>
      <w:r w:rsidRPr="00D05A9C">
        <w:t xml:space="preserve"> </w:t>
      </w:r>
    </w:p>
    <w:p w14:paraId="2312D27A" w14:textId="77777777" w:rsidR="00EB6BE1" w:rsidRPr="00D05A9C" w:rsidRDefault="00EB6BE1" w:rsidP="00A91CF6">
      <w:pPr>
        <w:pStyle w:val="EndnoteText"/>
        <w:rPr>
          <w:lang w:val="sk-SK"/>
        </w:rPr>
      </w:pPr>
      <w:r w:rsidRPr="00D05A9C">
        <w:t>http://tbinternet.ohchr.org/Treaties/CCPR/Shared%20Documents/SVK/INT_CCPR_NGO_SVK_99_10072_E.pdf.</w:t>
      </w:r>
    </w:p>
  </w:endnote>
  <w:endnote w:id="7">
    <w:p w14:paraId="41AC1B68" w14:textId="618FF79D" w:rsidR="00EB6BE1" w:rsidRPr="00D05A9C" w:rsidRDefault="00EB6BE1" w:rsidP="00A56D78">
      <w:pPr>
        <w:pStyle w:val="EndnoteText"/>
      </w:pPr>
      <w:r w:rsidRPr="00D05A9C">
        <w:rPr>
          <w:rStyle w:val="EndnoteReference"/>
        </w:rPr>
        <w:endnoteRef/>
      </w:r>
      <w:r w:rsidRPr="00D05A9C">
        <w:t xml:space="preserve"> </w:t>
      </w:r>
      <w:r w:rsidRPr="00D05A9C">
        <w:rPr>
          <w:i/>
        </w:rPr>
        <w:t>See</w:t>
      </w:r>
      <w:r w:rsidRPr="00D05A9C">
        <w:t xml:space="preserve"> </w:t>
      </w:r>
      <w:r w:rsidRPr="00D05A9C">
        <w:t>N.B. v. Slovakia, No. 29518/10 Eur. Ct. H.R. (2012); I.G. and Others v. Slovakia, No. 15966/04 Eur. Ct. H.R. (2013).</w:t>
      </w:r>
    </w:p>
  </w:endnote>
  <w:endnote w:id="8">
    <w:p w14:paraId="02A429DF" w14:textId="5D014E6C" w:rsidR="00EB6BE1" w:rsidRPr="00D05A9C" w:rsidRDefault="00EB6BE1" w:rsidP="00A56D78">
      <w:pPr>
        <w:pStyle w:val="EndnoteText"/>
      </w:pPr>
      <w:r w:rsidRPr="00D05A9C">
        <w:rPr>
          <w:rStyle w:val="EndnoteReference"/>
        </w:rPr>
        <w:endnoteRef/>
      </w:r>
      <w:r w:rsidRPr="00D05A9C">
        <w:t xml:space="preserve"> </w:t>
      </w:r>
      <w:r w:rsidRPr="00D05A9C">
        <w:t xml:space="preserve">The court awarded almost 17,000 Euros, the amount requested by the petitioner. For more information, </w:t>
      </w:r>
      <w:r w:rsidRPr="00D05A9C">
        <w:rPr>
          <w:i/>
        </w:rPr>
        <w:t>see</w:t>
      </w:r>
      <w:r w:rsidRPr="00D05A9C">
        <w:t xml:space="preserve"> Press Release, </w:t>
      </w:r>
      <w:r w:rsidRPr="00D05A9C">
        <w:rPr>
          <w:smallCaps/>
        </w:rPr>
        <w:t>Poradňa pre občianske a ľudské práva</w:t>
      </w:r>
      <w:r w:rsidRPr="00D05A9C">
        <w:t xml:space="preserve">, Forcibly Sterilized Romani Woman Achieved Justice at the Domestic Court in Slovakia, (Apr. 25, 2016), </w:t>
      </w:r>
      <w:r w:rsidRPr="00D05A9C">
        <w:rPr>
          <w:i/>
        </w:rPr>
        <w:t xml:space="preserve">available at </w:t>
      </w:r>
      <w:r>
        <w:fldChar w:fldCharType="begin"/>
      </w:r>
      <w:r>
        <w:instrText xml:space="preserve"> HYPERLINK "https://www.poradna-prava.sk/en/documents/press-release-forcibly-sterilized-romani-woman-achieved-justice-at-the-domestic-court-in-slovakia/" </w:instrText>
      </w:r>
      <w:r>
        <w:fldChar w:fldCharType="separate"/>
      </w:r>
      <w:r w:rsidRPr="00D05A9C">
        <w:rPr>
          <w:rStyle w:val="Hyperlink"/>
          <w:u w:val="none"/>
        </w:rPr>
        <w:t>https://www.poradna-prava.sk/en/documents/press-release-forcibly-sterilized-romani-woman-achieved-justice-at-the-domestic-court-in-slovakia/</w:t>
      </w:r>
      <w:r>
        <w:rPr>
          <w:rStyle w:val="Hyperlink"/>
          <w:u w:val="none"/>
        </w:rPr>
        <w:fldChar w:fldCharType="end"/>
      </w:r>
      <w:r w:rsidRPr="00D05A9C">
        <w:t>.</w:t>
      </w:r>
    </w:p>
  </w:endnote>
  <w:endnote w:id="9">
    <w:p w14:paraId="6EE70642" w14:textId="76B89D97" w:rsidR="00EB6BE1" w:rsidRPr="00D05A9C" w:rsidRDefault="00EB6BE1">
      <w:pPr>
        <w:pStyle w:val="EndnoteText"/>
      </w:pPr>
      <w:r w:rsidRPr="00D05A9C">
        <w:rPr>
          <w:rStyle w:val="EndnoteReference"/>
        </w:rPr>
        <w:endnoteRef/>
      </w:r>
      <w:r w:rsidRPr="00D05A9C">
        <w:t xml:space="preserve"> </w:t>
      </w:r>
      <w:r w:rsidRPr="00D05A9C">
        <w:t xml:space="preserve">Council </w:t>
      </w:r>
      <w:r w:rsidRPr="00D05A9C">
        <w:t xml:space="preserve">of Europe, Commissioner for Human Rights, </w:t>
      </w:r>
      <w:r w:rsidRPr="00D05A9C">
        <w:rPr>
          <w:i/>
        </w:rPr>
        <w:t>Report by Nils Muižnieks, Council of Europe Commissioner for Human Rights, following his visit to the Slovak Republic, from 15 to 19 June 2015</w:t>
      </w:r>
      <w:r w:rsidRPr="00D05A9C">
        <w:t>, para. 65, CommDH(2015)21 (Oct. 13, 2015).</w:t>
      </w:r>
    </w:p>
  </w:endnote>
  <w:endnote w:id="10">
    <w:p w14:paraId="2FE7FF4D" w14:textId="1424B01C" w:rsidR="00EB6BE1" w:rsidRPr="00D05A9C" w:rsidRDefault="00EB6BE1">
      <w:pPr>
        <w:pStyle w:val="EndnoteText"/>
      </w:pPr>
      <w:r w:rsidRPr="00D05A9C">
        <w:rPr>
          <w:rStyle w:val="EndnoteReference"/>
        </w:rPr>
        <w:endnoteRef/>
      </w:r>
      <w:r w:rsidRPr="00D05A9C">
        <w:t xml:space="preserve"> </w:t>
      </w:r>
      <w:r w:rsidRPr="00D05A9C">
        <w:t xml:space="preserve">Council </w:t>
      </w:r>
      <w:r w:rsidRPr="00D05A9C">
        <w:t xml:space="preserve">of Europe, Commissioner for Human Rights, </w:t>
      </w:r>
      <w:r w:rsidRPr="00D05A9C">
        <w:rPr>
          <w:i/>
        </w:rPr>
        <w:t>Recommendation of the Commissioner for Human Rights Concerning Certain Aspects of Law and Practice Relating to Sterilization of Women in the Slovak Republic</w:t>
      </w:r>
      <w:r w:rsidRPr="00D05A9C">
        <w:t>, para. 53(4), CommDH(2003)12 (Oct. 17, 2003).</w:t>
      </w:r>
    </w:p>
  </w:endnote>
  <w:endnote w:id="11">
    <w:p w14:paraId="7239F7F9" w14:textId="5E84E3E2" w:rsidR="00EB6BE1" w:rsidRPr="00D05A9C" w:rsidRDefault="00EB6BE1" w:rsidP="00A56D78">
      <w:pPr>
        <w:pStyle w:val="EndnoteText"/>
      </w:pPr>
      <w:r w:rsidRPr="00D05A9C">
        <w:rPr>
          <w:rStyle w:val="EndnoteReference"/>
        </w:rPr>
        <w:endnoteRef/>
      </w:r>
      <w:r w:rsidRPr="00D05A9C">
        <w:t xml:space="preserve"> </w:t>
      </w:r>
      <w:r w:rsidRPr="00D05A9C">
        <w:t xml:space="preserve">Human </w:t>
      </w:r>
      <w:r w:rsidRPr="00D05A9C">
        <w:t xml:space="preserve">Rights Committee, </w:t>
      </w:r>
      <w:r w:rsidRPr="00D05A9C">
        <w:rPr>
          <w:i/>
        </w:rPr>
        <w:t>List of issues in relation to the fourth periodic report of the Slovak Republic</w:t>
      </w:r>
      <w:r w:rsidRPr="00D05A9C">
        <w:t>, paras. 65-67, U.N. Doc. CCPR/C/SVK/Q/4/Add.1 (2016).</w:t>
      </w:r>
    </w:p>
  </w:endnote>
  <w:endnote w:id="12">
    <w:p w14:paraId="37258FD6" w14:textId="61B8D293" w:rsidR="00EB6BE1" w:rsidRPr="00D05A9C" w:rsidRDefault="00EB6BE1" w:rsidP="00A56D78">
      <w:pPr>
        <w:pStyle w:val="EndnoteText"/>
      </w:pPr>
      <w:r w:rsidRPr="00D05A9C">
        <w:rPr>
          <w:rStyle w:val="EndnoteReference"/>
        </w:rPr>
        <w:endnoteRef/>
      </w:r>
      <w:r w:rsidRPr="00D05A9C">
        <w:t xml:space="preserve"> </w:t>
      </w:r>
      <w:r w:rsidRPr="00D05A9C">
        <w:rPr>
          <w:i/>
        </w:rPr>
        <w:t xml:space="preserve">See, </w:t>
      </w:r>
      <w:r w:rsidRPr="00D05A9C">
        <w:rPr>
          <w:i/>
        </w:rPr>
        <w:t>e.g.</w:t>
      </w:r>
      <w:r w:rsidRPr="00D05A9C">
        <w:t xml:space="preserve">, Human Rights Committee, </w:t>
      </w:r>
      <w:r w:rsidRPr="00D05A9C">
        <w:rPr>
          <w:i/>
        </w:rPr>
        <w:t>Concluding Observations: Slovakia</w:t>
      </w:r>
      <w:r w:rsidRPr="00D05A9C">
        <w:t xml:space="preserve">, para. 12, U.N. Doc. CCPR/CO/78/SVK (2003); </w:t>
      </w:r>
      <w:r w:rsidRPr="00D05A9C">
        <w:rPr>
          <w:i/>
        </w:rPr>
        <w:t>Czech Republic</w:t>
      </w:r>
      <w:r w:rsidRPr="00D05A9C">
        <w:t xml:space="preserve">, para. 10, U.N. Doc. CCPR/C/CZE/CO/2 (2007); </w:t>
      </w:r>
      <w:r w:rsidRPr="00D05A9C">
        <w:rPr>
          <w:i/>
        </w:rPr>
        <w:t>Slovakia</w:t>
      </w:r>
      <w:r w:rsidRPr="00D05A9C">
        <w:t xml:space="preserve">, para. 13, U.N. Doc. CCPR/C/SVK/CO/3 (2011); </w:t>
      </w:r>
      <w:r w:rsidRPr="00D05A9C">
        <w:rPr>
          <w:i/>
        </w:rPr>
        <w:t>Czech Republic</w:t>
      </w:r>
      <w:r w:rsidRPr="00D05A9C">
        <w:t xml:space="preserve">, para. 11, U.N. Doc. CCPR/C/CZE/CO/3 (2013); CAT, </w:t>
      </w:r>
      <w:r w:rsidRPr="00D05A9C">
        <w:rPr>
          <w:i/>
        </w:rPr>
        <w:t>Concluding Observations: Czech Republic</w:t>
      </w:r>
      <w:r w:rsidRPr="00D05A9C">
        <w:t xml:space="preserve">, para. 12, U.N. Doc. CAT/C/CR/4-5 (2012); </w:t>
      </w:r>
      <w:r w:rsidRPr="00D05A9C">
        <w:rPr>
          <w:i/>
        </w:rPr>
        <w:t>Slovakia,</w:t>
      </w:r>
      <w:r w:rsidRPr="00D05A9C">
        <w:t xml:space="preserve"> para. 14, U.N. Doc. CAT/C/SVK/CO/2 (2009); </w:t>
      </w:r>
      <w:r w:rsidRPr="00D05A9C">
        <w:rPr>
          <w:i/>
        </w:rPr>
        <w:t>Peru</w:t>
      </w:r>
      <w:r w:rsidRPr="00D05A9C">
        <w:t xml:space="preserve">, para. 15, U.N. Doc. CAT/C/PER/CO/5-6 (2013); </w:t>
      </w:r>
      <w:r w:rsidRPr="00D05A9C">
        <w:rPr>
          <w:i/>
        </w:rPr>
        <w:t>Kenya</w:t>
      </w:r>
      <w:r w:rsidRPr="00D05A9C">
        <w:t xml:space="preserve">, para. 27, U.N. Doc. CAT/C/KEN/CO/2 (2013); </w:t>
      </w:r>
      <w:r w:rsidRPr="00D05A9C">
        <w:rPr>
          <w:i/>
        </w:rPr>
        <w:t>See also</w:t>
      </w:r>
      <w:r w:rsidRPr="00D05A9C">
        <w:t xml:space="preserve"> Special Rapporteur on torture and other cruel, inhuman or degrading treatment or punishment, </w:t>
      </w:r>
      <w:r w:rsidRPr="00D05A9C">
        <w:rPr>
          <w:i/>
        </w:rPr>
        <w:t>Report of the Special Rapporteur on torture and other cruel, inhuman or degrading treatment or punishment,</w:t>
      </w:r>
      <w:r w:rsidRPr="00D05A9C">
        <w:t xml:space="preserve"> </w:t>
      </w:r>
      <w:r w:rsidRPr="00D05A9C">
        <w:rPr>
          <w:i/>
        </w:rPr>
        <w:t>Juan E.</w:t>
      </w:r>
      <w:r w:rsidRPr="00D05A9C">
        <w:t xml:space="preserve"> </w:t>
      </w:r>
      <w:r w:rsidRPr="00D05A9C">
        <w:rPr>
          <w:i/>
        </w:rPr>
        <w:t xml:space="preserve">Méndez, </w:t>
      </w:r>
      <w:r w:rsidRPr="00D05A9C">
        <w:t>Human Rights Council, para. 46, U.N. Doc. A/HRC/22/53 (Feb. 1, 2013) [hereinafter Special Rapporteur on torture, 2013 Report].</w:t>
      </w:r>
    </w:p>
  </w:endnote>
  <w:endnote w:id="13">
    <w:p w14:paraId="370BD584" w14:textId="47DF0875" w:rsidR="00EB6BE1" w:rsidRPr="00D05A9C" w:rsidRDefault="00EB6BE1" w:rsidP="00A56D78">
      <w:pPr>
        <w:pStyle w:val="EndnoteText"/>
      </w:pPr>
      <w:r w:rsidRPr="00D05A9C">
        <w:rPr>
          <w:rStyle w:val="EndnoteReference"/>
        </w:rPr>
        <w:endnoteRef/>
      </w:r>
      <w:r w:rsidRPr="00D05A9C">
        <w:t xml:space="preserve"> </w:t>
      </w:r>
      <w:r w:rsidRPr="00D05A9C">
        <w:rPr>
          <w:i/>
        </w:rPr>
        <w:t xml:space="preserve">See </w:t>
      </w:r>
      <w:r w:rsidRPr="00D05A9C">
        <w:t xml:space="preserve">CEDAW, </w:t>
      </w:r>
      <w:r w:rsidRPr="00D05A9C">
        <w:rPr>
          <w:i/>
        </w:rPr>
        <w:t>General Recommendation No. 19: Violence Against Women,</w:t>
      </w:r>
      <w:r w:rsidRPr="00D05A9C">
        <w:t xml:space="preserve"> (11</w:t>
      </w:r>
      <w:r w:rsidRPr="00D05A9C">
        <w:rPr>
          <w:vertAlign w:val="superscript"/>
        </w:rPr>
        <w:t>th</w:t>
      </w:r>
      <w:r w:rsidRPr="00D05A9C">
        <w:t xml:space="preserve"> Sess., 1992), para. 22; Human Rights Committee, </w:t>
      </w:r>
      <w:r w:rsidRPr="00D05A9C">
        <w:rPr>
          <w:i/>
        </w:rPr>
        <w:t>General Comment No. 28: Article 3 (The Equality of Rights Between Men and Women)</w:t>
      </w:r>
      <w:r w:rsidRPr="00D05A9C">
        <w:t xml:space="preserve">, paras. 11, 20, U.N. Doc. CCPR/C/21/Rev.1/Add.10 (2000) [hereinafter Human Rights Committee, </w:t>
      </w:r>
      <w:r w:rsidRPr="00D05A9C">
        <w:rPr>
          <w:i/>
        </w:rPr>
        <w:t>Gen. Comment No. 28</w:t>
      </w:r>
      <w:r w:rsidRPr="00D05A9C">
        <w:t xml:space="preserve">]; Special Rapporteur on violence against women, its causes and consequences, </w:t>
      </w:r>
      <w:r w:rsidRPr="00D05A9C">
        <w:rPr>
          <w:i/>
        </w:rPr>
        <w:t>Report of the Special Rapporteur on violence against women, its causes and consequences, Ms. Radhika Coomaraswamy, in accordance with Commission on Human Rights resolution 1997/44</w:t>
      </w:r>
      <w:r w:rsidRPr="00D05A9C">
        <w:t>, para. 45, U.N. Doc. E/CN.4/1999/68/Add.4 (1999).</w:t>
      </w:r>
    </w:p>
  </w:endnote>
  <w:endnote w:id="14">
    <w:p w14:paraId="5C0AFB73" w14:textId="7826554E" w:rsidR="00EB6BE1" w:rsidRPr="00D05A9C" w:rsidRDefault="00EB6BE1" w:rsidP="00A56D78">
      <w:pPr>
        <w:pStyle w:val="EndnoteText"/>
      </w:pPr>
      <w:r w:rsidRPr="00D05A9C">
        <w:rPr>
          <w:rStyle w:val="EndnoteReference"/>
        </w:rPr>
        <w:endnoteRef/>
      </w:r>
      <w:r w:rsidRPr="00D05A9C">
        <w:t xml:space="preserve"> </w:t>
      </w:r>
      <w:r w:rsidRPr="00D05A9C">
        <w:t xml:space="preserve">A.S. </w:t>
      </w:r>
      <w:r w:rsidRPr="00D05A9C">
        <w:t xml:space="preserve">v. Hungary, CEDAW, </w:t>
      </w:r>
      <w:r w:rsidRPr="00D05A9C">
        <w:rPr>
          <w:rFonts w:eastAsia="Times New Roman"/>
        </w:rPr>
        <w:t>Commc’n</w:t>
      </w:r>
      <w:r w:rsidRPr="00D05A9C">
        <w:t xml:space="preserve"> No. 4/2004, para. 11.4, U.N. Doc. CEDAW/C/36/D/4/2004 (2006).</w:t>
      </w:r>
    </w:p>
  </w:endnote>
  <w:endnote w:id="15">
    <w:p w14:paraId="2C5D4418" w14:textId="66C2BF8D" w:rsidR="00EB6BE1" w:rsidRPr="00D05A9C" w:rsidRDefault="00EB6BE1" w:rsidP="00A56D78">
      <w:pPr>
        <w:pStyle w:val="EndnoteText"/>
      </w:pPr>
      <w:r w:rsidRPr="00D05A9C">
        <w:rPr>
          <w:rStyle w:val="EndnoteReference"/>
        </w:rPr>
        <w:endnoteRef/>
      </w:r>
      <w:r w:rsidRPr="00D05A9C">
        <w:t xml:space="preserve"> </w:t>
      </w:r>
      <w:r w:rsidRPr="00D05A9C">
        <w:rPr>
          <w:i/>
        </w:rPr>
        <w:t xml:space="preserve">See </w:t>
      </w:r>
      <w:r w:rsidRPr="00D05A9C">
        <w:t>V.C. v. Slovakia, No. 18968/07 Eur. Ct. H.R. (2011); N.B. v. Slovakia, No. 29518/01 Eur. Ct. H.R. (2012); I.G., M.K. and R.H. v. Slovakia, No. 15966/04 Eur. Ct. H.R. (2012).</w:t>
      </w:r>
    </w:p>
  </w:endnote>
  <w:endnote w:id="16">
    <w:p w14:paraId="110A13FB" w14:textId="207AC114" w:rsidR="00EB6BE1" w:rsidRPr="00D05A9C" w:rsidRDefault="00EB6BE1" w:rsidP="00A56D78">
      <w:pPr>
        <w:pStyle w:val="EndnoteText"/>
      </w:pPr>
      <w:r w:rsidRPr="00D05A9C">
        <w:rPr>
          <w:rStyle w:val="EndnoteReference"/>
        </w:rPr>
        <w:endnoteRef/>
      </w:r>
      <w:r w:rsidRPr="00D05A9C">
        <w:t xml:space="preserve"> </w:t>
      </w:r>
      <w:r w:rsidRPr="00D05A9C">
        <w:rPr>
          <w:i/>
        </w:rPr>
        <w:t xml:space="preserve">See, </w:t>
      </w:r>
      <w:r w:rsidRPr="00D05A9C">
        <w:rPr>
          <w:i/>
        </w:rPr>
        <w:t>e.g.,</w:t>
      </w:r>
      <w:r w:rsidRPr="00D05A9C">
        <w:t xml:space="preserve"> CAT, </w:t>
      </w:r>
      <w:r w:rsidRPr="00D05A9C">
        <w:rPr>
          <w:i/>
        </w:rPr>
        <w:t>Concluding Observations:</w:t>
      </w:r>
      <w:r w:rsidRPr="00D05A9C">
        <w:t xml:space="preserve"> </w:t>
      </w:r>
      <w:r w:rsidRPr="00D05A9C">
        <w:rPr>
          <w:i/>
        </w:rPr>
        <w:t>Slovakia</w:t>
      </w:r>
      <w:r w:rsidRPr="00D05A9C">
        <w:t xml:space="preserve">, para. 12, U.N. Doc. CAT/C/SVK/CO/3 (2015); Human Rights Committee, </w:t>
      </w:r>
      <w:r w:rsidRPr="00D05A9C">
        <w:rPr>
          <w:i/>
        </w:rPr>
        <w:t>Concluding Observations: Slovakia</w:t>
      </w:r>
      <w:r w:rsidRPr="00D05A9C">
        <w:t xml:space="preserve">, para. 12, U.N. Doc. CCPR/CO/78/SVK (2003); </w:t>
      </w:r>
      <w:r w:rsidRPr="00D05A9C">
        <w:rPr>
          <w:i/>
        </w:rPr>
        <w:t>Slovakia</w:t>
      </w:r>
      <w:r w:rsidRPr="00D05A9C">
        <w:t xml:space="preserve">, para. 13, U.N. Doc. CCPR/C/SVK/CO/3 (2011); CERD, </w:t>
      </w:r>
      <w:r w:rsidRPr="00D05A9C">
        <w:rPr>
          <w:i/>
        </w:rPr>
        <w:t>Concluding Observations: Slovakia</w:t>
      </w:r>
      <w:r w:rsidRPr="00D05A9C">
        <w:t xml:space="preserve">, para. 13, U.N. Doc. CERD/C/ SVK/CO/9-10 (2013); </w:t>
      </w:r>
      <w:r w:rsidRPr="00D05A9C">
        <w:rPr>
          <w:i/>
        </w:rPr>
        <w:t>Slovakia</w:t>
      </w:r>
      <w:r w:rsidRPr="00D05A9C">
        <w:t xml:space="preserve">, para. 18, U.N. Doc. CERD/C/SVK/CO/6-8 (2010); CEDAW, </w:t>
      </w:r>
      <w:r w:rsidRPr="00D05A9C">
        <w:rPr>
          <w:i/>
        </w:rPr>
        <w:t>Concluding Observations: Slovakia</w:t>
      </w:r>
      <w:r w:rsidRPr="00D05A9C">
        <w:t xml:space="preserve">, paras. 32-33, U.N. Doc. CEDAW/C/SVK/CO/5-6 (2015); CRC, </w:t>
      </w:r>
      <w:r w:rsidRPr="00D05A9C">
        <w:rPr>
          <w:i/>
        </w:rPr>
        <w:t>Concluding Observations: Slovakia</w:t>
      </w:r>
      <w:r w:rsidRPr="00D05A9C">
        <w:t>, paras. 24-25, U.N. Doc. CRC/C/SVK/CO/3-5 (2016).</w:t>
      </w:r>
    </w:p>
  </w:endnote>
  <w:endnote w:id="17">
    <w:p w14:paraId="70BED144" w14:textId="0D37CD3D" w:rsidR="00EB6BE1" w:rsidRPr="00D05A9C" w:rsidRDefault="00EB6BE1" w:rsidP="00A56D78">
      <w:pPr>
        <w:pStyle w:val="EndnoteText"/>
      </w:pPr>
      <w:r w:rsidRPr="00D05A9C">
        <w:rPr>
          <w:rStyle w:val="EndnoteReference"/>
        </w:rPr>
        <w:endnoteRef/>
      </w:r>
      <w:r w:rsidRPr="00D05A9C">
        <w:t xml:space="preserve"> </w:t>
      </w:r>
      <w:r w:rsidRPr="00D05A9C">
        <w:t xml:space="preserve">CRC, </w:t>
      </w:r>
      <w:r w:rsidRPr="00D05A9C">
        <w:rPr>
          <w:i/>
        </w:rPr>
        <w:t>Concluding Observations: Slovakia</w:t>
      </w:r>
      <w:r w:rsidRPr="00D05A9C">
        <w:t>, para. 24, U.N. Doc. CRC/C/SVK/CO/3-5 (2016).</w:t>
      </w:r>
    </w:p>
  </w:endnote>
  <w:endnote w:id="18">
    <w:p w14:paraId="636F021B" w14:textId="45B3CA5A" w:rsidR="00EB6BE1" w:rsidRPr="00D05A9C" w:rsidRDefault="00EB6BE1" w:rsidP="00A56D78">
      <w:pPr>
        <w:pStyle w:val="EndnoteText"/>
      </w:pPr>
      <w:r w:rsidRPr="00D05A9C">
        <w:rPr>
          <w:rStyle w:val="EndnoteReference"/>
        </w:rPr>
        <w:endnoteRef/>
      </w:r>
      <w:r w:rsidRPr="00D05A9C">
        <w:t xml:space="preserve"> </w:t>
      </w:r>
      <w:r w:rsidRPr="00D05A9C">
        <w:rPr>
          <w:i/>
        </w:rPr>
        <w:t>Id.,</w:t>
      </w:r>
      <w:r w:rsidRPr="00D05A9C">
        <w:t xml:space="preserve"> </w:t>
      </w:r>
      <w:r w:rsidRPr="00D05A9C">
        <w:t>para. 25.</w:t>
      </w:r>
    </w:p>
  </w:endnote>
  <w:endnote w:id="19">
    <w:p w14:paraId="5458B6CB" w14:textId="20DA6898" w:rsidR="00EB6BE1" w:rsidRPr="00D05A9C" w:rsidRDefault="00EB6BE1">
      <w:pPr>
        <w:pStyle w:val="EndnoteText"/>
        <w:rPr>
          <w:lang w:val="en-US"/>
        </w:rPr>
      </w:pPr>
      <w:r w:rsidRPr="00D05A9C">
        <w:rPr>
          <w:rStyle w:val="EndnoteReference"/>
        </w:rPr>
        <w:endnoteRef/>
      </w:r>
      <w:r w:rsidRPr="00D05A9C">
        <w:t xml:space="preserve"> </w:t>
      </w:r>
      <w:r w:rsidRPr="00D05A9C">
        <w:t xml:space="preserve">Some </w:t>
      </w:r>
      <w:r w:rsidRPr="00D05A9C">
        <w:t xml:space="preserve">of those hospitals are owned by private entities, however, all of them provide care on the basis of public health insurance.   </w:t>
      </w:r>
    </w:p>
  </w:endnote>
  <w:endnote w:id="20">
    <w:p w14:paraId="34B0AEEF" w14:textId="77777777" w:rsidR="00EB6BE1" w:rsidRPr="00D05A9C" w:rsidRDefault="00EB6BE1" w:rsidP="00587E13">
      <w:pPr>
        <w:pStyle w:val="EndnoteText"/>
        <w:rPr>
          <w:lang w:val="sk-SK"/>
        </w:rPr>
      </w:pPr>
      <w:r w:rsidRPr="00D05A9C">
        <w:rPr>
          <w:rStyle w:val="EndnoteReference"/>
        </w:rPr>
        <w:endnoteRef/>
      </w:r>
      <w:r w:rsidRPr="00D05A9C">
        <w:rPr>
          <w:lang w:val="sk-SK"/>
        </w:rPr>
        <w:t xml:space="preserve"> </w:t>
      </w:r>
      <w:r w:rsidRPr="00D05A9C">
        <w:rPr>
          <w:lang w:val="sk-SK"/>
        </w:rPr>
        <w:t xml:space="preserve">These activities included (a) in-depth interviews with women who have recently given birth, (b) filing requests for information and monitoring hospitals’ and other websites, and (c) carrying out an internet survey on suturing of birth injuries. As for the in-depth interviews (point a), </w:t>
      </w:r>
      <w:r w:rsidRPr="00D05A9C">
        <w:rPr>
          <w:lang w:val="en-US"/>
        </w:rPr>
        <w:t xml:space="preserve">15 women of 26 to 39 years of age had been interviewed. The majority of respondents were middle-class women with a higher-level education (secondary or university one). The respondents included no women from ethnic minorities. All but one of respondents had, at the time of delivery, male partners (the one respondent without a male partner was a single mother). All the births described in the interviews took place in Bratislava (the capital) and </w:t>
      </w:r>
      <w:proofErr w:type="spellStart"/>
      <w:r w:rsidRPr="00D05A9C">
        <w:rPr>
          <w:lang w:val="en-US"/>
        </w:rPr>
        <w:t>Trnava</w:t>
      </w:r>
      <w:proofErr w:type="spellEnd"/>
      <w:r w:rsidRPr="00D05A9C">
        <w:rPr>
          <w:lang w:val="en-US"/>
        </w:rPr>
        <w:t xml:space="preserve"> (50 km from the capital) districts. As for the information requests and monitoring of hospitals’</w:t>
      </w:r>
      <w:r w:rsidRPr="00D05A9C">
        <w:rPr>
          <w:lang w:val="sk-SK"/>
        </w:rPr>
        <w:t xml:space="preserve"> websites </w:t>
      </w:r>
      <w:r w:rsidRPr="00D05A9C">
        <w:rPr>
          <w:lang w:val="en-US"/>
        </w:rPr>
        <w:t xml:space="preserve">(point b), </w:t>
      </w:r>
      <w:r w:rsidRPr="00D05A9C">
        <w:t>letters and official requests for information were sent to all hospitals with maternity wards in Slovakia (54) and to the Ministry of Health. The monitoring of the websites involved all hospitals in Slovakia with maternity wards. As for the surveys (point c), the internet survey on suturing of birth injuries took place through questionnnaires available on the website of Women’s Circles in the period of February 20, 2014 to March 20, 2014. 2279 questionnaires were completed, out of which 1946 described vaginal births experienced by 1474 women (those 1946 questionaires on vaginal birth were further processed and analysed). The monitoring and research also included carrying out in-depth interviews with obstetricians and midwives, and analysing legislation and other available documentation.</w:t>
      </w:r>
    </w:p>
  </w:endnote>
  <w:endnote w:id="21">
    <w:p w14:paraId="7933DA97" w14:textId="11D93D85" w:rsidR="00EB6BE1" w:rsidRPr="00D05A9C" w:rsidRDefault="00EB6BE1">
      <w:pPr>
        <w:pStyle w:val="EndnoteText"/>
      </w:pPr>
      <w:r w:rsidRPr="00D05A9C">
        <w:rPr>
          <w:rStyle w:val="EndnoteReference"/>
        </w:rPr>
        <w:endnoteRef/>
      </w:r>
      <w:r w:rsidRPr="00D05A9C">
        <w:t xml:space="preserve"> </w:t>
      </w:r>
      <w:r w:rsidRPr="00D05A9C">
        <w:rPr>
          <w:lang w:val="sk-SK"/>
        </w:rPr>
        <w:t>Debrecéniová, J. (ed.), Ženy – Matky – Telá: Ľudské práva žien pri pôrodnej starostlivosti v zdravotníckych zariadeniach na Slovensku [Women – Mothers – Bodies: Women</w:t>
      </w:r>
      <w:r w:rsidRPr="00D05A9C">
        <w:t>’</w:t>
      </w:r>
      <w:r w:rsidRPr="00D05A9C">
        <w:rPr>
          <w:lang w:val="sk-SK"/>
        </w:rPr>
        <w:t xml:space="preserve">s Human Rights in Obstetric Care in Healthcare Facilities in Slovakia] (2015), </w:t>
      </w:r>
      <w:r w:rsidRPr="00D05A9C">
        <w:rPr>
          <w:smallCaps/>
          <w:lang w:val="sk-SK"/>
        </w:rPr>
        <w:t>Občan, demokracia a zodpovednosť &amp; Ženské kruhy</w:t>
      </w:r>
      <w:r w:rsidRPr="00D05A9C">
        <w:rPr>
          <w:lang w:val="sk-SK"/>
        </w:rPr>
        <w:t xml:space="preserve">, at 206-209 (English version), </w:t>
      </w:r>
      <w:r w:rsidRPr="00D05A9C">
        <w:rPr>
          <w:i/>
          <w:lang w:val="sk-SK"/>
        </w:rPr>
        <w:t>available at</w:t>
      </w:r>
      <w:r w:rsidRPr="00D05A9C">
        <w:rPr>
          <w:lang w:val="sk-SK"/>
        </w:rPr>
        <w:t xml:space="preserve"> </w:t>
      </w:r>
      <w:hyperlink r:id="rId2" w:history="1">
        <w:r w:rsidRPr="00D05A9C">
          <w:rPr>
            <w:rStyle w:val="Hyperlink"/>
            <w:u w:val="none"/>
            <w:lang w:val="sk-SK"/>
          </w:rPr>
          <w:t>http://odz.sk/wp-content/uploads/Z-M-T_publ_el1_pod_sebou.pdf</w:t>
        </w:r>
      </w:hyperlink>
      <w:r w:rsidRPr="00D05A9C">
        <w:rPr>
          <w:lang w:val="sk-SK"/>
        </w:rPr>
        <w:t xml:space="preserve"> (Slovk.); </w:t>
      </w:r>
      <w:r>
        <w:fldChar w:fldCharType="begin"/>
      </w:r>
      <w:r>
        <w:instrText xml:space="preserve"> HYPERLINK "http://odz.sk/en/wp-content/uploads/Women-Mothers-Bodies_summ_EN.pdf" </w:instrText>
      </w:r>
      <w:r>
        <w:fldChar w:fldCharType="separate"/>
      </w:r>
      <w:r w:rsidRPr="00D05A9C">
        <w:rPr>
          <w:rStyle w:val="Hyperlink"/>
          <w:u w:val="none"/>
          <w:lang w:val="sk-SK"/>
        </w:rPr>
        <w:t>http://odz.sk/en/wp-content/uploads/Women-Mothers-Bodies_summ_EN.pdf</w:t>
      </w:r>
      <w:r>
        <w:rPr>
          <w:rStyle w:val="Hyperlink"/>
          <w:u w:val="none"/>
          <w:lang w:val="sk-SK"/>
        </w:rPr>
        <w:fldChar w:fldCharType="end"/>
      </w:r>
      <w:r w:rsidRPr="00D05A9C">
        <w:rPr>
          <w:lang w:val="sk-SK"/>
        </w:rPr>
        <w:t xml:space="preserve"> (Engl.) [hereinafter Ženy – Matky – Telá]</w:t>
      </w:r>
      <w:r w:rsidRPr="00D05A9C">
        <w:t>.</w:t>
      </w:r>
      <w:r w:rsidRPr="00D05A9C">
        <w:rPr>
          <w:lang w:val="sk-SK"/>
        </w:rPr>
        <w:t xml:space="preserve"> </w:t>
      </w:r>
    </w:p>
  </w:endnote>
  <w:endnote w:id="22">
    <w:p w14:paraId="229C89D6" w14:textId="048AECEA" w:rsidR="00EB6BE1" w:rsidRPr="00D05A9C" w:rsidRDefault="00EB6BE1" w:rsidP="00FE5A8E">
      <w:pPr>
        <w:pStyle w:val="EndnoteText"/>
        <w:rPr>
          <w:lang w:val="en-US"/>
        </w:rPr>
      </w:pPr>
      <w:r w:rsidRPr="00D05A9C">
        <w:rPr>
          <w:rStyle w:val="EndnoteReference"/>
          <w:lang w:val="en-US"/>
        </w:rPr>
        <w:endnoteRef/>
      </w:r>
      <w:r w:rsidRPr="00D05A9C">
        <w:rPr>
          <w:i/>
        </w:rPr>
        <w:t xml:space="preserve"> </w:t>
      </w:r>
      <w:r w:rsidRPr="00D05A9C">
        <w:rPr>
          <w:i/>
          <w:lang w:val="sk-SK"/>
        </w:rPr>
        <w:t>See, e.g.,</w:t>
      </w:r>
      <w:r w:rsidRPr="00D05A9C">
        <w:rPr>
          <w:lang w:val="sk-SK"/>
        </w:rPr>
        <w:t xml:space="preserve"> Ženy – Matky – Telá, </w:t>
      </w:r>
      <w:r w:rsidRPr="00D05A9C">
        <w:rPr>
          <w:i/>
          <w:lang w:val="sk-SK"/>
        </w:rPr>
        <w:t>supra</w:t>
      </w:r>
      <w:r>
        <w:rPr>
          <w:lang w:val="sk-SK"/>
        </w:rPr>
        <w:t xml:space="preserve"> note 20</w:t>
      </w:r>
      <w:r w:rsidRPr="00D05A9C">
        <w:rPr>
          <w:lang w:val="sk-SK"/>
        </w:rPr>
        <w:t>, at 60-75 &amp; 85-94. As for non-consensual procedures, for instance</w:t>
      </w:r>
      <w:r w:rsidRPr="00D05A9C">
        <w:rPr>
          <w:lang w:val="en-US"/>
        </w:rPr>
        <w:t>, episiotomies are at times done without women’s consent</w:t>
      </w:r>
      <w:r>
        <w:rPr>
          <w:lang w:val="en-US"/>
        </w:rPr>
        <w:t xml:space="preserve"> </w:t>
      </w:r>
      <w:r w:rsidRPr="00D05A9C">
        <w:rPr>
          <w:lang w:val="en-US"/>
        </w:rPr>
        <w:t xml:space="preserve">and </w:t>
      </w:r>
      <w:r>
        <w:rPr>
          <w:lang w:val="en-US"/>
        </w:rPr>
        <w:t>sometimes also despite their</w:t>
      </w:r>
      <w:r w:rsidRPr="00D05A9C">
        <w:rPr>
          <w:lang w:val="en-US"/>
        </w:rPr>
        <w:t xml:space="preserve"> refusal. The average episiotomy rate for all vaginal births that took place in 2012 was 65%, and there are even hospitals in the country where the average episiotomy rates exceed 90%. </w:t>
      </w:r>
      <w:r w:rsidRPr="00D05A9C">
        <w:rPr>
          <w:i/>
          <w:lang w:val="en-US"/>
        </w:rPr>
        <w:t>See</w:t>
      </w:r>
      <w:r w:rsidRPr="00D05A9C">
        <w:rPr>
          <w:lang w:val="en-US"/>
        </w:rPr>
        <w:t xml:space="preserve"> </w:t>
      </w:r>
      <w:r w:rsidRPr="00D05A9C">
        <w:rPr>
          <w:shd w:val="clear" w:color="auto" w:fill="FFFFFF"/>
        </w:rPr>
        <w:t xml:space="preserve">Korbeľ M., Borovský M., Danko J., Nižňanská Z., Kaščák P., Krištúfková A., </w:t>
      </w:r>
      <w:r w:rsidRPr="00D05A9C">
        <w:rPr>
          <w:i/>
          <w:shd w:val="clear" w:color="auto" w:fill="FFFFFF"/>
        </w:rPr>
        <w:t>Analýza materskej morbidity v Slovenskej republike v roku 2012</w:t>
      </w:r>
      <w:r w:rsidRPr="00D05A9C">
        <w:rPr>
          <w:shd w:val="clear" w:color="auto" w:fill="FFFFFF"/>
        </w:rPr>
        <w:t xml:space="preserve">. 12 Gynekológia pre prax 1 (2014) 13 – 19. </w:t>
      </w:r>
      <w:r w:rsidRPr="00D05A9C">
        <w:rPr>
          <w:lang w:val="en-US"/>
        </w:rPr>
        <w:t xml:space="preserve">The WHO classifies </w:t>
      </w:r>
      <w:r w:rsidRPr="00D05A9C">
        <w:t>“</w:t>
      </w:r>
      <w:r w:rsidRPr="00D05A9C">
        <w:rPr>
          <w:lang w:val="en-US"/>
        </w:rPr>
        <w:t xml:space="preserve">liberal or routine use of episiotomy” as a practice which is frequently used inappropriately. It argues that </w:t>
      </w:r>
      <w:r w:rsidRPr="00D05A9C">
        <w:t>“</w:t>
      </w:r>
      <w:r w:rsidRPr="00D05A9C">
        <w:rPr>
          <w:lang w:val="en-US"/>
        </w:rPr>
        <w:t xml:space="preserve">there is no reliable evidence that liberal or routine use of episiotomy has a beneficial effect, but there is clear evidence that it may cause harm. The WHO recommends a restricted use of episiotomy, with 10% being a “good goal to pursue”. </w:t>
      </w:r>
      <w:r w:rsidRPr="00D05A9C">
        <w:rPr>
          <w:i/>
          <w:lang w:val="en-US"/>
        </w:rPr>
        <w:t>See</w:t>
      </w:r>
      <w:r w:rsidRPr="00D05A9C">
        <w:rPr>
          <w:lang w:val="en-US"/>
        </w:rPr>
        <w:t xml:space="preserve"> World Health Organization (WHO), </w:t>
      </w:r>
      <w:r w:rsidRPr="00D05A9C">
        <w:rPr>
          <w:smallCaps/>
        </w:rPr>
        <w:t xml:space="preserve">Care in Normal Birth: A Pratical Guide 37 &amp; 29 </w:t>
      </w:r>
      <w:r w:rsidRPr="00D05A9C">
        <w:t xml:space="preserve">(1996) [hereinafter WHO, </w:t>
      </w:r>
      <w:r w:rsidRPr="00D05A9C">
        <w:rPr>
          <w:smallCaps/>
        </w:rPr>
        <w:t xml:space="preserve">Care in Normal Birth: A Pratical Guide], </w:t>
      </w:r>
      <w:r w:rsidRPr="00D05A9C">
        <w:rPr>
          <w:i/>
        </w:rPr>
        <w:t xml:space="preserve">available at </w:t>
      </w:r>
      <w:r w:rsidRPr="00D05A9C">
        <w:fldChar w:fldCharType="begin"/>
      </w:r>
      <w:r w:rsidRPr="00D05A9C">
        <w:instrText xml:space="preserve"> HYPERLINK "http://whqlibdoc.who.int/hq/1996/WHO_FRH_MSM_96.24.pdf" </w:instrText>
      </w:r>
      <w:r w:rsidRPr="00D05A9C">
        <w:fldChar w:fldCharType="separate"/>
      </w:r>
      <w:r w:rsidRPr="00D05A9C">
        <w:rPr>
          <w:rStyle w:val="Hyperlink"/>
          <w:u w:val="none"/>
        </w:rPr>
        <w:t>http://whqlibdoc.who.int/hq/1996/WHO_FRH_MSM_96.24.pdf</w:t>
      </w:r>
      <w:r w:rsidRPr="00D05A9C">
        <w:rPr>
          <w:rStyle w:val="Hyperlink"/>
          <w:u w:val="none"/>
        </w:rPr>
        <w:fldChar w:fldCharType="end"/>
      </w:r>
      <w:r w:rsidRPr="00D05A9C">
        <w:rPr>
          <w:lang w:val="en-US"/>
        </w:rPr>
        <w:t xml:space="preserve">. </w:t>
      </w:r>
      <w:r w:rsidRPr="00D05A9C">
        <w:rPr>
          <w:i/>
        </w:rPr>
        <w:t>See also</w:t>
      </w:r>
      <w:r w:rsidRPr="00D05A9C">
        <w:t xml:space="preserve"> </w:t>
      </w:r>
      <w:r w:rsidRPr="00AA538F">
        <w:rPr>
          <w:lang w:val="sk-SK"/>
        </w:rPr>
        <w:t>Ženy – Matky – Telá</w:t>
      </w:r>
      <w:r w:rsidRPr="00D05A9C">
        <w:rPr>
          <w:lang w:val="sk-SK"/>
        </w:rPr>
        <w:t xml:space="preserve">, </w:t>
      </w:r>
      <w:r w:rsidRPr="00D05A9C">
        <w:rPr>
          <w:i/>
          <w:lang w:val="sk-SK"/>
        </w:rPr>
        <w:t>supra</w:t>
      </w:r>
      <w:r>
        <w:rPr>
          <w:lang w:val="sk-SK"/>
        </w:rPr>
        <w:t xml:space="preserve"> note 20</w:t>
      </w:r>
      <w:r w:rsidRPr="00D05A9C">
        <w:rPr>
          <w:lang w:val="sk-SK"/>
        </w:rPr>
        <w:t>, at</w:t>
      </w:r>
      <w:r w:rsidRPr="00D05A9C">
        <w:rPr>
          <w:lang w:val="en-US"/>
        </w:rPr>
        <w:t xml:space="preserve"> 60-76. </w:t>
      </w:r>
      <w:r w:rsidRPr="00D05A9C">
        <w:rPr>
          <w:shd w:val="clear" w:color="auto" w:fill="FFFFFF"/>
        </w:rPr>
        <w:t xml:space="preserve"> </w:t>
      </w:r>
    </w:p>
  </w:endnote>
  <w:endnote w:id="23">
    <w:p w14:paraId="0B7B8451" w14:textId="580F9003" w:rsidR="00EB6BE1" w:rsidRPr="00D05A9C" w:rsidRDefault="00EB6BE1" w:rsidP="00FE5A8E">
      <w:pPr>
        <w:pStyle w:val="EndnoteText"/>
        <w:rPr>
          <w:lang w:val="sk-SK"/>
        </w:rPr>
      </w:pPr>
      <w:r w:rsidRPr="00D05A9C">
        <w:rPr>
          <w:rStyle w:val="EndnoteReference"/>
        </w:rPr>
        <w:endnoteRef/>
      </w:r>
      <w:r w:rsidRPr="00D05A9C">
        <w:t xml:space="preserve"> </w:t>
      </w:r>
      <w:r w:rsidRPr="00D05A9C">
        <w:rPr>
          <w:lang w:val="en-US"/>
        </w:rPr>
        <w:t xml:space="preserve">There are many forms of humiliation, ridicule and harassment that reportedly take place. For example, women report being objectified and treated as objects of interventions (for example: hospital staff reportedly talk about them in their presence as if they were not present; hospital staff reportedly are not introduced to them and do not </w:t>
      </w:r>
      <w:proofErr w:type="spellStart"/>
      <w:r w:rsidRPr="00D05A9C">
        <w:rPr>
          <w:lang w:val="en-US"/>
        </w:rPr>
        <w:t>usetheir</w:t>
      </w:r>
      <w:proofErr w:type="spellEnd"/>
      <w:r w:rsidRPr="00D05A9C">
        <w:rPr>
          <w:lang w:val="en-US"/>
        </w:rPr>
        <w:t xml:space="preserve"> names and surnames to address them but instead use the general term “mummy”). Women also report feeling belittled and subject to persuasion, manipulation and coercion when they express their wishes regarding the childbirth process (e.g. phrases like </w:t>
      </w:r>
      <w:r w:rsidRPr="00D05A9C">
        <w:t>“</w:t>
      </w:r>
      <w:r w:rsidRPr="00D05A9C">
        <w:rPr>
          <w:lang w:val="en-US"/>
        </w:rPr>
        <w:t xml:space="preserve">your child will die, if you...; your child will have an egg-shaped head if you...” being frequently reported). Women also report that the fulfillment of their preferences and wishes is often conditioned upon their </w:t>
      </w:r>
      <w:r w:rsidRPr="00D05A9C">
        <w:t>“</w:t>
      </w:r>
      <w:r w:rsidRPr="00D05A9C">
        <w:rPr>
          <w:lang w:val="en-US"/>
        </w:rPr>
        <w:t xml:space="preserve">obedience”. Women also report verbal shaming by medical practitioners for natural </w:t>
      </w:r>
      <w:proofErr w:type="spellStart"/>
      <w:r w:rsidRPr="00D05A9C">
        <w:rPr>
          <w:lang w:val="en-US"/>
        </w:rPr>
        <w:t>occurences</w:t>
      </w:r>
      <w:proofErr w:type="spellEnd"/>
      <w:r w:rsidRPr="00D05A9C">
        <w:rPr>
          <w:lang w:val="en-US"/>
        </w:rPr>
        <w:t xml:space="preserve"> related to birth – for example excretion of urine or </w:t>
      </w:r>
      <w:proofErr w:type="spellStart"/>
      <w:r w:rsidRPr="00D05A9C">
        <w:rPr>
          <w:lang w:val="en-US"/>
        </w:rPr>
        <w:t>faeces</w:t>
      </w:r>
      <w:proofErr w:type="spellEnd"/>
      <w:r w:rsidRPr="00D05A9C">
        <w:rPr>
          <w:lang w:val="en-US"/>
        </w:rPr>
        <w:t xml:space="preserve"> when pushing. </w:t>
      </w:r>
      <w:r w:rsidRPr="00D05A9C">
        <w:rPr>
          <w:i/>
          <w:lang w:val="en-US"/>
        </w:rPr>
        <w:t>See also</w:t>
      </w:r>
      <w:r w:rsidRPr="00D05A9C">
        <w:rPr>
          <w:lang w:val="en-US"/>
        </w:rPr>
        <w:t xml:space="preserve"> </w:t>
      </w:r>
      <w:r w:rsidRPr="00D05A9C">
        <w:rPr>
          <w:lang w:val="sk-SK"/>
        </w:rPr>
        <w:t xml:space="preserve">Ženy – Matky – Telá, </w:t>
      </w:r>
      <w:r w:rsidRPr="00D05A9C">
        <w:rPr>
          <w:i/>
          <w:lang w:val="sk-SK"/>
        </w:rPr>
        <w:t>supra</w:t>
      </w:r>
      <w:r>
        <w:rPr>
          <w:lang w:val="sk-SK"/>
        </w:rPr>
        <w:t xml:space="preserve"> note 20</w:t>
      </w:r>
      <w:r w:rsidRPr="00D05A9C">
        <w:rPr>
          <w:lang w:val="sk-SK"/>
        </w:rPr>
        <w:t xml:space="preserve">, at 110-120. </w:t>
      </w:r>
      <w:r w:rsidRPr="00D05A9C">
        <w:rPr>
          <w:lang w:val="en-US"/>
        </w:rPr>
        <w:t xml:space="preserve">A few women, especially those participating in the survey on the suturing of birth injuries, also reported situations in which often (male) doctors make ‘jokes’ during the suturing process, for example through ‘questions’ to  male partners present about their preferred width of the stitch. Women also report being discouraged from making sounds and noises. </w:t>
      </w:r>
    </w:p>
  </w:endnote>
  <w:endnote w:id="24">
    <w:p w14:paraId="0D5BAAB0" w14:textId="7A903060" w:rsidR="00EB6BE1" w:rsidRPr="00D05A9C" w:rsidRDefault="00EB6BE1" w:rsidP="00FE5A8E">
      <w:pPr>
        <w:pStyle w:val="EndnoteText"/>
        <w:rPr>
          <w:lang w:val="sk-SK"/>
        </w:rPr>
      </w:pPr>
      <w:r w:rsidRPr="00D05A9C">
        <w:rPr>
          <w:rStyle w:val="EndnoteReference"/>
        </w:rPr>
        <w:endnoteRef/>
      </w:r>
      <w:r w:rsidRPr="00D05A9C">
        <w:t xml:space="preserve"> </w:t>
      </w:r>
      <w:r w:rsidRPr="00D05A9C">
        <w:rPr>
          <w:i/>
        </w:rPr>
        <w:t>See</w:t>
      </w:r>
      <w:r w:rsidRPr="00D05A9C">
        <w:t xml:space="preserve"> </w:t>
      </w:r>
      <w:r w:rsidRPr="00D05A9C">
        <w:rPr>
          <w:lang w:val="sk-SK"/>
        </w:rPr>
        <w:t>Ženy – Matky – Telá</w:t>
      </w:r>
      <w:r w:rsidRPr="00D05A9C">
        <w:t xml:space="preserve">, </w:t>
      </w:r>
      <w:r w:rsidRPr="00D05A9C">
        <w:rPr>
          <w:i/>
        </w:rPr>
        <w:t>supra</w:t>
      </w:r>
      <w:r>
        <w:t xml:space="preserve"> note 20</w:t>
      </w:r>
      <w:r w:rsidRPr="00D05A9C">
        <w:t xml:space="preserve">, at 60-68. The interviews with women revealed that continual electronic fetal monitoring in the first stage of labor is a very frequent practice and is performed while women are laid on their back. Interviewed women often </w:t>
      </w:r>
      <w:r>
        <w:t>described the experience as</w:t>
      </w:r>
      <w:r w:rsidRPr="00D05A9C">
        <w:t xml:space="preserve">, “I was stripped down for more than an hour. I could not move, which was extremely painful.” </w:t>
      </w:r>
      <w:r>
        <w:t>F</w:t>
      </w:r>
      <w:r w:rsidRPr="00D05A9C">
        <w:t>reedom of movement in the first stage is also often made impossible due to</w:t>
      </w:r>
      <w:r>
        <w:t xml:space="preserve"> the</w:t>
      </w:r>
      <w:r w:rsidRPr="00D05A9C">
        <w:t xml:space="preserve"> extremely limit</w:t>
      </w:r>
      <w:r>
        <w:t>ed</w:t>
      </w:r>
      <w:r w:rsidRPr="00D05A9C">
        <w:t xml:space="preserve"> spatial arrangements available to women going through this stage. In the second (pushing) stage, women are, in </w:t>
      </w:r>
      <w:r>
        <w:t>a large</w:t>
      </w:r>
      <w:r w:rsidRPr="00D05A9C">
        <w:t xml:space="preserve"> majority of the cases, laying (or semi-laying) on their back, with legs in stirrups (often tied). The WHO classifies freedom in position and movement throughout labor and encouragement of non-supine position in labor as practices which are demonstrably useful and should be encouraged. At the same time, it classifies the routine use of the supine position during labor as</w:t>
      </w:r>
      <w:r>
        <w:t xml:space="preserve"> a</w:t>
      </w:r>
      <w:r w:rsidRPr="00D05A9C">
        <w:t xml:space="preserve"> practice which is clearly harmful or ineffective and should be eliminated. </w:t>
      </w:r>
      <w:r w:rsidRPr="00D05A9C">
        <w:rPr>
          <w:i/>
          <w:lang w:val="en-US"/>
        </w:rPr>
        <w:t>See</w:t>
      </w:r>
      <w:r w:rsidRPr="00D05A9C">
        <w:rPr>
          <w:lang w:val="en-US"/>
        </w:rPr>
        <w:t xml:space="preserve"> WHO, </w:t>
      </w:r>
      <w:r w:rsidRPr="00D05A9C">
        <w:rPr>
          <w:smallCaps/>
        </w:rPr>
        <w:t xml:space="preserve">Care in Normal Birth: A Pratical Guide (1996), </w:t>
      </w:r>
      <w:r w:rsidRPr="00D05A9C">
        <w:rPr>
          <w:i/>
          <w:lang w:val="en-US"/>
        </w:rPr>
        <w:t xml:space="preserve">supra </w:t>
      </w:r>
      <w:r w:rsidRPr="00D05A9C">
        <w:rPr>
          <w:lang w:val="en-US"/>
        </w:rPr>
        <w:t>note 2</w:t>
      </w:r>
      <w:r>
        <w:rPr>
          <w:lang w:val="en-US"/>
        </w:rPr>
        <w:t>1</w:t>
      </w:r>
      <w:r w:rsidRPr="00D05A9C">
        <w:rPr>
          <w:lang w:val="en-US"/>
        </w:rPr>
        <w:t>, at</w:t>
      </w:r>
      <w:r w:rsidRPr="00D05A9C">
        <w:rPr>
          <w:i/>
          <w:lang w:val="en-US"/>
        </w:rPr>
        <w:t xml:space="preserve"> </w:t>
      </w:r>
      <w:r w:rsidRPr="00D05A9C">
        <w:t>21, 27 &amp; 35.</w:t>
      </w:r>
    </w:p>
  </w:endnote>
  <w:endnote w:id="25">
    <w:p w14:paraId="58FBF348" w14:textId="3DE1F90E" w:rsidR="00EB6BE1" w:rsidRPr="00D05A9C" w:rsidRDefault="00EB6BE1" w:rsidP="00587E13">
      <w:pPr>
        <w:pStyle w:val="EndnoteText"/>
        <w:rPr>
          <w:lang w:val="sk-SK"/>
        </w:rPr>
      </w:pPr>
      <w:r w:rsidRPr="00D05A9C">
        <w:rPr>
          <w:rStyle w:val="EndnoteReference"/>
          <w:lang w:val="en-US"/>
        </w:rPr>
        <w:endnoteRef/>
      </w:r>
      <w:r w:rsidRPr="00D05A9C">
        <w:rPr>
          <w:lang w:val="en-US"/>
        </w:rPr>
        <w:t xml:space="preserve"> In course of the research undertaken by Citizen, Democracy and Accountability and Women’s Circles, this practice was often mentioned by women interviewed but</w:t>
      </w:r>
      <w:r w:rsidRPr="00D05A9C">
        <w:t xml:space="preserve"> </w:t>
      </w:r>
      <w:r w:rsidRPr="00D05A9C">
        <w:t>its occurence was denied by hospitals when asked about the use of this practice (</w:t>
      </w:r>
      <w:r w:rsidRPr="00D05A9C">
        <w:rPr>
          <w:i/>
        </w:rPr>
        <w:t>see also</w:t>
      </w:r>
      <w:r w:rsidRPr="00D05A9C">
        <w:rPr>
          <w:smallCaps/>
          <w:lang w:val="sk-SK"/>
        </w:rPr>
        <w:t xml:space="preserve"> </w:t>
      </w:r>
      <w:r w:rsidRPr="00D05A9C">
        <w:rPr>
          <w:lang w:val="sk-SK"/>
        </w:rPr>
        <w:t xml:space="preserve">Ženy – Matky – Telá, </w:t>
      </w:r>
      <w:r w:rsidRPr="00D05A9C">
        <w:rPr>
          <w:i/>
          <w:lang w:val="sk-SK"/>
        </w:rPr>
        <w:t>supra</w:t>
      </w:r>
      <w:r>
        <w:rPr>
          <w:lang w:val="sk-SK"/>
        </w:rPr>
        <w:t xml:space="preserve"> note 20</w:t>
      </w:r>
      <w:r w:rsidRPr="00D05A9C">
        <w:rPr>
          <w:lang w:val="sk-SK"/>
        </w:rPr>
        <w:t>,</w:t>
      </w:r>
      <w:r w:rsidRPr="00D05A9C">
        <w:rPr>
          <w:i/>
        </w:rPr>
        <w:t xml:space="preserve"> </w:t>
      </w:r>
      <w:r w:rsidRPr="00D05A9C">
        <w:rPr>
          <w:lang w:val="sk-SK"/>
        </w:rPr>
        <w:t>at 69-70, 153 and 190)</w:t>
      </w:r>
      <w:r w:rsidRPr="00D05A9C">
        <w:t xml:space="preserve">. </w:t>
      </w:r>
      <w:r w:rsidRPr="00D05A9C">
        <w:t xml:space="preserve">Anecdotal evidence also indicates that this practice is usually not recorded in patients’ medical records. The WHO notes that “the practice of fundal pressure </w:t>
      </w:r>
      <w:r w:rsidRPr="00D05A9C">
        <w:rPr>
          <w:lang w:val="en-US"/>
        </w:rPr>
        <w:t>[</w:t>
      </w:r>
      <w:r w:rsidRPr="00D05A9C">
        <w:t xml:space="preserve">is common] during the second stage of labour </w:t>
      </w:r>
      <w:r w:rsidRPr="00D05A9C">
        <w:rPr>
          <w:lang w:val="en-US"/>
        </w:rPr>
        <w:t xml:space="preserve">[]” and that </w:t>
      </w:r>
      <w:r w:rsidRPr="00D05A9C">
        <w:t>“</w:t>
      </w:r>
      <w:r w:rsidRPr="00D05A9C">
        <w:rPr>
          <w:lang w:val="en-US"/>
        </w:rPr>
        <w:t xml:space="preserve">[a]part from the issue of increased maternal discomfort, there is suspicion that the practice may be harmful for the uterus, the perineum and the fetus, but no research data is available. The impression is that the method is at least used too often, with no evidence of its usefulness.” </w:t>
      </w:r>
      <w:r w:rsidRPr="00D05A9C">
        <w:rPr>
          <w:i/>
          <w:lang w:val="en-US"/>
        </w:rPr>
        <w:t>See</w:t>
      </w:r>
      <w:r w:rsidRPr="00D05A9C">
        <w:rPr>
          <w:lang w:val="en-US"/>
        </w:rPr>
        <w:t xml:space="preserve"> </w:t>
      </w:r>
      <w:r w:rsidRPr="00D05A9C">
        <w:t xml:space="preserve">WHO, </w:t>
      </w:r>
      <w:r w:rsidRPr="00D05A9C">
        <w:rPr>
          <w:smallCaps/>
        </w:rPr>
        <w:t xml:space="preserve">Care in Normal Birth: A Pratical Guide, </w:t>
      </w:r>
      <w:r w:rsidRPr="00D05A9C">
        <w:rPr>
          <w:i/>
        </w:rPr>
        <w:t xml:space="preserve">supra </w:t>
      </w:r>
      <w:r w:rsidRPr="00D05A9C">
        <w:t>note 2</w:t>
      </w:r>
      <w:r>
        <w:t>1</w:t>
      </w:r>
      <w:r w:rsidRPr="00D05A9C">
        <w:t>, at 25-26.</w:t>
      </w:r>
      <w:r w:rsidRPr="00D05A9C">
        <w:rPr>
          <w:lang w:val="en-US"/>
        </w:rPr>
        <w:t xml:space="preserve"> Several anecdotal reports also suggest that fundal pressure is associated with maternal and neonatal complications, for example: uterine rupture, neonatal fractures and brain damage. </w:t>
      </w:r>
      <w:r w:rsidRPr="00D05A9C">
        <w:rPr>
          <w:i/>
          <w:lang w:val="en-US"/>
        </w:rPr>
        <w:t>See</w:t>
      </w:r>
      <w:r w:rsidRPr="00D05A9C">
        <w:rPr>
          <w:lang w:val="en-US"/>
        </w:rPr>
        <w:t xml:space="preserve"> Evelyn C. Verheijen, Joanna H. Raven, G. Justus </w:t>
      </w:r>
      <w:proofErr w:type="spellStart"/>
      <w:r w:rsidRPr="00D05A9C">
        <w:rPr>
          <w:lang w:val="en-US"/>
        </w:rPr>
        <w:t>Hofmeyr</w:t>
      </w:r>
      <w:proofErr w:type="spellEnd"/>
      <w:r w:rsidRPr="00D05A9C">
        <w:rPr>
          <w:lang w:val="en-US"/>
        </w:rPr>
        <w:t xml:space="preserve">, </w:t>
      </w:r>
      <w:r w:rsidRPr="00D05A9C">
        <w:rPr>
          <w:i/>
          <w:color w:val="000000"/>
          <w:shd w:val="clear" w:color="auto" w:fill="FFFFFF"/>
        </w:rPr>
        <w:t xml:space="preserve">Fundal pressure during the second stage of labour. Cochrane Database of Systematic Reviews, </w:t>
      </w:r>
      <w:r w:rsidRPr="00D05A9C">
        <w:rPr>
          <w:color w:val="000000"/>
          <w:shd w:val="clear" w:color="auto" w:fill="FFFFFF"/>
        </w:rPr>
        <w:t xml:space="preserve">4 </w:t>
      </w:r>
      <w:r w:rsidRPr="00D05A9C">
        <w:rPr>
          <w:smallCaps/>
          <w:color w:val="000000"/>
          <w:shd w:val="clear" w:color="auto" w:fill="FFFFFF"/>
        </w:rPr>
        <w:t>Cochrane Database of Systematic Reviews</w:t>
      </w:r>
      <w:r w:rsidRPr="00D05A9C">
        <w:rPr>
          <w:color w:val="000000"/>
          <w:shd w:val="clear" w:color="auto" w:fill="FFFFFF"/>
        </w:rPr>
        <w:t xml:space="preserve"> (2009), Issue 4. Art. No.: CD006067. DOI: 10.1002/14651858.CD006067.pub2., </w:t>
      </w:r>
      <w:r w:rsidRPr="00D05A9C">
        <w:rPr>
          <w:i/>
          <w:color w:val="000000"/>
          <w:shd w:val="clear" w:color="auto" w:fill="FFFFFF"/>
        </w:rPr>
        <w:t xml:space="preserve">available at </w:t>
      </w:r>
      <w:r w:rsidRPr="00D05A9C">
        <w:t xml:space="preserve">http://onlinelibrary.wiley.com/doi/10.1002/14651858.CD006067.pub2/abstract. </w:t>
      </w:r>
    </w:p>
  </w:endnote>
  <w:endnote w:id="26">
    <w:p w14:paraId="54B0EE5E" w14:textId="094858E0" w:rsidR="00EB6BE1" w:rsidRPr="00D05A9C" w:rsidRDefault="00EB6BE1" w:rsidP="00587E13">
      <w:pPr>
        <w:pStyle w:val="EndnoteText"/>
        <w:rPr>
          <w:lang w:val="sk-SK"/>
        </w:rPr>
      </w:pPr>
      <w:r w:rsidRPr="00D05A9C">
        <w:rPr>
          <w:rStyle w:val="EndnoteReference"/>
        </w:rPr>
        <w:endnoteRef/>
      </w:r>
      <w:r w:rsidRPr="00D05A9C">
        <w:t xml:space="preserve"> </w:t>
      </w:r>
      <w:r w:rsidRPr="00D05A9C">
        <w:rPr>
          <w:i/>
          <w:lang w:val="sk-SK"/>
        </w:rPr>
        <w:t>See, e.g.,</w:t>
      </w:r>
      <w:r w:rsidRPr="00D05A9C">
        <w:rPr>
          <w:lang w:val="sk-SK"/>
        </w:rPr>
        <w:t xml:space="preserve"> Ženy – Matky – Telá, </w:t>
      </w:r>
      <w:r w:rsidRPr="00D05A9C">
        <w:rPr>
          <w:i/>
          <w:lang w:val="sk-SK"/>
        </w:rPr>
        <w:t>supra</w:t>
      </w:r>
      <w:r>
        <w:rPr>
          <w:lang w:val="sk-SK"/>
        </w:rPr>
        <w:t xml:space="preserve"> note 20</w:t>
      </w:r>
      <w:r w:rsidRPr="00D05A9C">
        <w:rPr>
          <w:lang w:val="sk-SK"/>
        </w:rPr>
        <w:t xml:space="preserve">, at 75-76. </w:t>
      </w:r>
    </w:p>
  </w:endnote>
  <w:endnote w:id="27">
    <w:p w14:paraId="22B5647E" w14:textId="79753A19" w:rsidR="00EB6BE1" w:rsidRPr="00D05A9C" w:rsidRDefault="00EB6BE1" w:rsidP="00587E13">
      <w:pPr>
        <w:pStyle w:val="EndnoteText"/>
        <w:rPr>
          <w:lang w:val="sk-SK"/>
        </w:rPr>
      </w:pPr>
      <w:r w:rsidRPr="00D05A9C">
        <w:rPr>
          <w:rStyle w:val="EndnoteReference"/>
        </w:rPr>
        <w:endnoteRef/>
      </w:r>
      <w:r w:rsidRPr="00D05A9C">
        <w:t xml:space="preserve"> </w:t>
      </w:r>
      <w:r w:rsidRPr="00D05A9C">
        <w:rPr>
          <w:i/>
          <w:lang w:val="sk-SK"/>
        </w:rPr>
        <w:t xml:space="preserve">Id., </w:t>
      </w:r>
      <w:r w:rsidRPr="00D05A9C">
        <w:rPr>
          <w:lang w:val="sk-SK"/>
        </w:rPr>
        <w:t xml:space="preserve">at 75-76.  </w:t>
      </w:r>
    </w:p>
  </w:endnote>
  <w:endnote w:id="28">
    <w:p w14:paraId="23DCEF2C" w14:textId="4F52896F" w:rsidR="00EB6BE1" w:rsidRPr="00D05A9C" w:rsidRDefault="00EB6BE1" w:rsidP="00587E13">
      <w:pPr>
        <w:pStyle w:val="EndnoteText"/>
      </w:pPr>
      <w:r w:rsidRPr="00D05A9C">
        <w:rPr>
          <w:rStyle w:val="EndnoteReference"/>
          <w:lang w:val="en-GB"/>
        </w:rPr>
        <w:endnoteRef/>
      </w:r>
      <w:r w:rsidRPr="00D05A9C">
        <w:rPr>
          <w:lang w:val="en-GB"/>
        </w:rPr>
        <w:t xml:space="preserve"> According to FIGO, suturing should always be performed under adequate perineal </w:t>
      </w:r>
      <w:proofErr w:type="spellStart"/>
      <w:r w:rsidRPr="00D05A9C">
        <w:rPr>
          <w:lang w:val="en-GB"/>
        </w:rPr>
        <w:t>anesthesia</w:t>
      </w:r>
      <w:proofErr w:type="spellEnd"/>
      <w:r w:rsidRPr="00D05A9C">
        <w:rPr>
          <w:lang w:val="en-GB"/>
        </w:rPr>
        <w:t xml:space="preserve">. </w:t>
      </w:r>
      <w:proofErr w:type="gramStart"/>
      <w:r w:rsidRPr="00D05A9C">
        <w:rPr>
          <w:i/>
          <w:lang w:val="en-GB"/>
        </w:rPr>
        <w:t>See</w:t>
      </w:r>
      <w:r w:rsidRPr="00D05A9C">
        <w:rPr>
          <w:lang w:val="en-GB"/>
        </w:rPr>
        <w:t xml:space="preserve">  FIGO</w:t>
      </w:r>
      <w:proofErr w:type="gramEnd"/>
      <w:r w:rsidRPr="00D05A9C">
        <w:rPr>
          <w:lang w:val="en-GB"/>
        </w:rPr>
        <w:t xml:space="preserve"> Safe Motherhood and </w:t>
      </w:r>
      <w:proofErr w:type="spellStart"/>
      <w:r w:rsidRPr="00D05A9C">
        <w:rPr>
          <w:lang w:val="en-GB"/>
        </w:rPr>
        <w:t>Newborn</w:t>
      </w:r>
      <w:proofErr w:type="spellEnd"/>
      <w:r w:rsidRPr="00D05A9C">
        <w:rPr>
          <w:lang w:val="en-GB"/>
        </w:rPr>
        <w:t xml:space="preserve"> Health (SMNH) Committee, </w:t>
      </w:r>
      <w:r w:rsidRPr="00D05A9C">
        <w:rPr>
          <w:i/>
          <w:lang w:val="en-GB"/>
        </w:rPr>
        <w:t xml:space="preserve">Management of the second stage of </w:t>
      </w:r>
      <w:proofErr w:type="spellStart"/>
      <w:r w:rsidRPr="00D05A9C">
        <w:rPr>
          <w:i/>
          <w:lang w:val="en-GB"/>
        </w:rPr>
        <w:t>labor</w:t>
      </w:r>
      <w:proofErr w:type="spellEnd"/>
      <w:r w:rsidRPr="00D05A9C">
        <w:rPr>
          <w:lang w:val="en-GB"/>
        </w:rPr>
        <w:t xml:space="preserve">, 119 </w:t>
      </w:r>
      <w:r w:rsidRPr="00D05A9C">
        <w:rPr>
          <w:smallCaps/>
          <w:lang w:val="en-GB"/>
        </w:rPr>
        <w:t>Intl. J. Gyn. &amp; Obs</w:t>
      </w:r>
      <w:r w:rsidRPr="00D05A9C">
        <w:rPr>
          <w:lang w:val="en-GB"/>
        </w:rPr>
        <w:t xml:space="preserve">. (2012) 114, </w:t>
      </w:r>
      <w:r w:rsidRPr="00D05A9C">
        <w:rPr>
          <w:i/>
          <w:lang w:val="en-GB"/>
        </w:rPr>
        <w:t>available at</w:t>
      </w:r>
      <w:r w:rsidRPr="00D05A9C">
        <w:rPr>
          <w:lang w:val="en-GB"/>
        </w:rPr>
        <w:t xml:space="preserve"> </w:t>
      </w:r>
      <w:hyperlink r:id="rId3" w:history="1">
        <w:r w:rsidRPr="00D05A9C">
          <w:rPr>
            <w:rStyle w:val="Hyperlink"/>
            <w:u w:val="none"/>
          </w:rPr>
          <w:t>www.odondevice.org/press/FIGO-second-stage.pdf</w:t>
        </w:r>
      </w:hyperlink>
      <w:r w:rsidRPr="00D05A9C">
        <w:rPr>
          <w:rStyle w:val="Hyperlink"/>
          <w:u w:val="none"/>
        </w:rPr>
        <w:t xml:space="preserve"> [hereinafter </w:t>
      </w:r>
      <w:r w:rsidRPr="00D05A9C">
        <w:rPr>
          <w:smallCaps/>
          <w:lang w:val="en-GB"/>
        </w:rPr>
        <w:t xml:space="preserve">FIGO, Management of the second stage of </w:t>
      </w:r>
      <w:proofErr w:type="spellStart"/>
      <w:r w:rsidRPr="00D05A9C">
        <w:rPr>
          <w:smallCaps/>
          <w:lang w:val="en-GB"/>
        </w:rPr>
        <w:t>labor</w:t>
      </w:r>
      <w:proofErr w:type="spellEnd"/>
      <w:r w:rsidRPr="00D05A9C">
        <w:rPr>
          <w:lang w:val="en-GB"/>
        </w:rPr>
        <w:t>]</w:t>
      </w:r>
      <w:r w:rsidRPr="00D05A9C">
        <w:t xml:space="preserve">. </w:t>
      </w:r>
      <w:r w:rsidRPr="00D05A9C">
        <w:rPr>
          <w:lang w:val="sk-SK"/>
        </w:rPr>
        <w:t>The clinical guidelines of the National Institute for Health and Care Excellence (</w:t>
      </w:r>
      <w:r w:rsidRPr="00D05A9C">
        <w:rPr>
          <w:lang w:val="en-US"/>
        </w:rPr>
        <w:t>United Kingdom</w:t>
      </w:r>
      <w:r w:rsidRPr="00D05A9C">
        <w:rPr>
          <w:lang w:val="sk-SK"/>
        </w:rPr>
        <w:t>) recommend with regard to suturing: “When carrying out perineal repair</w:t>
      </w:r>
      <w:r w:rsidRPr="00D05A9C">
        <w:rPr>
          <w:lang w:val="en-US"/>
        </w:rPr>
        <w:t>[,] ensure that tested effective analgesia is in place… If the woman reports inadequate pain relief at an</w:t>
      </w:r>
      <w:r w:rsidRPr="00D05A9C">
        <w:rPr>
          <w:lang w:val="sk-SK"/>
        </w:rPr>
        <w:t>y</w:t>
      </w:r>
      <w:r w:rsidRPr="00D05A9C">
        <w:rPr>
          <w:lang w:val="en-US"/>
        </w:rPr>
        <w:t xml:space="preserve"> point, address this immediately.” </w:t>
      </w:r>
      <w:r w:rsidRPr="00D05A9C">
        <w:rPr>
          <w:i/>
          <w:lang w:val="en-US"/>
        </w:rPr>
        <w:t>See</w:t>
      </w:r>
      <w:r w:rsidRPr="00D05A9C">
        <w:rPr>
          <w:smallCaps/>
        </w:rPr>
        <w:t xml:space="preserve"> National Collaborating Centre for Women’s and Children’s Health,</w:t>
      </w:r>
      <w:r w:rsidRPr="00D05A9C">
        <w:rPr>
          <w:smallCaps/>
          <w:lang w:val="sk-SK"/>
        </w:rPr>
        <w:t xml:space="preserve"> Intrapartum Care: Care of healthy women and their babies during childbirth. Clinical Guideline 190: Methods, evidence and recommendations</w:t>
      </w:r>
      <w:r w:rsidRPr="00D05A9C">
        <w:rPr>
          <w:lang w:val="sk-SK"/>
        </w:rPr>
        <w:t xml:space="preserve"> </w:t>
      </w:r>
      <w:r w:rsidRPr="00D05A9C">
        <w:t>(</w:t>
      </w:r>
      <w:r w:rsidRPr="00D05A9C">
        <w:rPr>
          <w:lang w:val="sk-SK"/>
        </w:rPr>
        <w:t xml:space="preserve">2014) 765, </w:t>
      </w:r>
      <w:r w:rsidRPr="00D05A9C">
        <w:rPr>
          <w:i/>
          <w:lang w:val="sk-SK"/>
        </w:rPr>
        <w:t xml:space="preserve">available at </w:t>
      </w:r>
      <w:r>
        <w:fldChar w:fldCharType="begin"/>
      </w:r>
      <w:r>
        <w:instrText xml:space="preserve"> HYPERLINK "http://www.nice.org.uk/guidance/cg190/evidence/cg190-intrapartum-care-full-guideline3" </w:instrText>
      </w:r>
      <w:r>
        <w:fldChar w:fldCharType="separate"/>
      </w:r>
      <w:r w:rsidRPr="00D05A9C">
        <w:rPr>
          <w:rStyle w:val="Hyperlink"/>
          <w:u w:val="none"/>
          <w:lang w:val="sk-SK"/>
        </w:rPr>
        <w:t>http://www.nice.org.uk/guidance/cg190/evidence/cg190-intrapartum-care-full-guideline3</w:t>
      </w:r>
      <w:r>
        <w:rPr>
          <w:rStyle w:val="Hyperlink"/>
          <w:u w:val="none"/>
          <w:lang w:val="sk-SK"/>
        </w:rPr>
        <w:fldChar w:fldCharType="end"/>
      </w:r>
      <w:r w:rsidRPr="00D05A9C">
        <w:rPr>
          <w:rStyle w:val="Hyperlink"/>
          <w:u w:val="none"/>
          <w:lang w:val="sk-SK"/>
        </w:rPr>
        <w:t xml:space="preserve"> [hereinafter </w:t>
      </w:r>
      <w:r w:rsidRPr="00D05A9C">
        <w:rPr>
          <w:smallCaps/>
        </w:rPr>
        <w:t>National Collaborating Centre for Women’s and Children’s Health,</w:t>
      </w:r>
      <w:r w:rsidRPr="00D05A9C">
        <w:rPr>
          <w:smallCaps/>
          <w:lang w:val="sk-SK"/>
        </w:rPr>
        <w:t xml:space="preserve"> Intrapartum Care: Care of healthy women and their babies during childbirth]</w:t>
      </w:r>
      <w:r w:rsidRPr="00D05A9C">
        <w:rPr>
          <w:lang w:val="sk-SK"/>
        </w:rPr>
        <w:t xml:space="preserve">.  </w:t>
      </w:r>
      <w:r w:rsidRPr="00D05A9C">
        <w:rPr>
          <w:lang w:val="en-US"/>
        </w:rPr>
        <w:t xml:space="preserve"> </w:t>
      </w:r>
    </w:p>
  </w:endnote>
  <w:endnote w:id="29">
    <w:p w14:paraId="1845FB73" w14:textId="777353B7" w:rsidR="00EB6BE1" w:rsidRPr="00D05A9C" w:rsidRDefault="00EB6BE1" w:rsidP="00FE5A8E">
      <w:pPr>
        <w:pStyle w:val="EndnoteText"/>
        <w:rPr>
          <w:lang w:val="sk-SK"/>
        </w:rPr>
      </w:pPr>
      <w:r w:rsidRPr="00D05A9C">
        <w:rPr>
          <w:rStyle w:val="EndnoteReference"/>
        </w:rPr>
        <w:endnoteRef/>
      </w:r>
      <w:r w:rsidRPr="00D05A9C">
        <w:t xml:space="preserve"> </w:t>
      </w:r>
      <w:r w:rsidRPr="00D05A9C">
        <w:rPr>
          <w:lang w:val="sk-SK"/>
        </w:rPr>
        <w:t>However, this figure does not indicate whether the anesthesia was applied correctly (e.g. whether it was applied in a sufficient amount or sufficient</w:t>
      </w:r>
      <w:r>
        <w:rPr>
          <w:lang w:val="sk-SK"/>
        </w:rPr>
        <w:t>ly</w:t>
      </w:r>
      <w:r w:rsidRPr="00D05A9C">
        <w:rPr>
          <w:lang w:val="sk-SK"/>
        </w:rPr>
        <w:t xml:space="preserve"> in advance to take effect</w:t>
      </w:r>
      <w:r>
        <w:rPr>
          <w:lang w:val="sk-SK"/>
        </w:rPr>
        <w:t xml:space="preserve"> in time</w:t>
      </w:r>
      <w:r w:rsidRPr="00D05A9C">
        <w:rPr>
          <w:lang w:val="sk-SK"/>
        </w:rPr>
        <w:t xml:space="preserve">). </w:t>
      </w:r>
      <w:r w:rsidRPr="00A446BA">
        <w:rPr>
          <w:i/>
          <w:lang w:val="sk-SK"/>
        </w:rPr>
        <w:t>See</w:t>
      </w:r>
      <w:r>
        <w:rPr>
          <w:lang w:val="sk-SK"/>
        </w:rPr>
        <w:t xml:space="preserve"> </w:t>
      </w:r>
      <w:r w:rsidR="00483675">
        <w:rPr>
          <w:lang w:val="sk-SK"/>
        </w:rPr>
        <w:t>i</w:t>
      </w:r>
      <w:r>
        <w:rPr>
          <w:lang w:val="sk-SK"/>
        </w:rPr>
        <w:t xml:space="preserve">nternet survey on suturing of birth injuries </w:t>
      </w:r>
      <w:r w:rsidR="004D25BF">
        <w:rPr>
          <w:lang w:val="sk-SK"/>
        </w:rPr>
        <w:t xml:space="preserve">conducted by Women’s </w:t>
      </w:r>
      <w:r w:rsidR="00712BEB">
        <w:rPr>
          <w:lang w:val="sk-SK"/>
        </w:rPr>
        <w:t>Circles</w:t>
      </w:r>
      <w:r w:rsidR="004D25BF">
        <w:rPr>
          <w:lang w:val="sk-SK"/>
        </w:rPr>
        <w:t xml:space="preserve"> in </w:t>
      </w:r>
      <w:r>
        <w:rPr>
          <w:lang w:val="sk-SK"/>
        </w:rPr>
        <w:t xml:space="preserve">2014 (on file with </w:t>
      </w:r>
      <w:r w:rsidR="004D25BF">
        <w:rPr>
          <w:lang w:val="sk-SK"/>
        </w:rPr>
        <w:t xml:space="preserve">Women’s Circles and </w:t>
      </w:r>
      <w:r>
        <w:rPr>
          <w:lang w:val="sk-SK"/>
        </w:rPr>
        <w:t xml:space="preserve">Citizen, Democracy and Accountability). </w:t>
      </w:r>
    </w:p>
  </w:endnote>
  <w:endnote w:id="30">
    <w:p w14:paraId="06BDFBE0" w14:textId="50C719D0" w:rsidR="00EB6BE1" w:rsidRPr="00D05A9C" w:rsidRDefault="00EB6BE1" w:rsidP="00AD2ABD">
      <w:pPr>
        <w:pStyle w:val="EndnoteText"/>
        <w:rPr>
          <w:lang w:val="en-US"/>
        </w:rPr>
      </w:pPr>
      <w:r w:rsidRPr="00D05A9C">
        <w:rPr>
          <w:rStyle w:val="EndnoteReference"/>
          <w:lang w:val="en-US"/>
        </w:rPr>
        <w:endnoteRef/>
      </w:r>
      <w:r w:rsidRPr="00D05A9C">
        <w:t xml:space="preserve"> </w:t>
      </w:r>
      <w:r w:rsidRPr="00D05A9C">
        <w:rPr>
          <w:i/>
        </w:rPr>
        <w:t>See also</w:t>
      </w:r>
      <w:r w:rsidRPr="00D05A9C">
        <w:t xml:space="preserve"> </w:t>
      </w:r>
      <w:r w:rsidRPr="00D05A9C">
        <w:rPr>
          <w:lang w:val="sk-SK"/>
        </w:rPr>
        <w:t xml:space="preserve">Ženy – Matky – Telá, </w:t>
      </w:r>
      <w:r w:rsidRPr="00D05A9C">
        <w:rPr>
          <w:i/>
          <w:lang w:val="sk-SK"/>
        </w:rPr>
        <w:t>supra</w:t>
      </w:r>
      <w:r>
        <w:rPr>
          <w:lang w:val="sk-SK"/>
        </w:rPr>
        <w:t xml:space="preserve"> note 20</w:t>
      </w:r>
      <w:r w:rsidRPr="00D05A9C">
        <w:rPr>
          <w:lang w:val="sk-SK"/>
        </w:rPr>
        <w:t xml:space="preserve">, at 81-82. </w:t>
      </w:r>
      <w:r w:rsidRPr="00D05A9C">
        <w:rPr>
          <w:lang w:val="en-US"/>
        </w:rPr>
        <w:t xml:space="preserve">In some instances, women report not being allowed to eat or drink anything upon arrival in the hospital (this practice differs across hospitals). This may last until a baby is delivered and often even longer, especially in regards to eating, since hospitals often do not order a meal for a woman who is already in labor but not hospitalized yet in the postnatal unit. The WHO classifies restriction on food and fluids during </w:t>
      </w:r>
      <w:proofErr w:type="spellStart"/>
      <w:r w:rsidRPr="00D05A9C">
        <w:rPr>
          <w:lang w:val="en-US"/>
        </w:rPr>
        <w:t>labour</w:t>
      </w:r>
      <w:proofErr w:type="spellEnd"/>
      <w:r w:rsidRPr="00D05A9C">
        <w:rPr>
          <w:lang w:val="en-US"/>
        </w:rPr>
        <w:t xml:space="preserve"> as practices which are frequently used inappropriately. On the contrary, it classifies offering oral fluids during labor and delivery as a practice which is demonstrably useful and should be encouraged. </w:t>
      </w:r>
      <w:proofErr w:type="gramStart"/>
      <w:r w:rsidRPr="00D05A9C">
        <w:rPr>
          <w:i/>
          <w:lang w:val="en-US"/>
        </w:rPr>
        <w:t xml:space="preserve">See </w:t>
      </w:r>
      <w:r w:rsidRPr="00E93E44">
        <w:rPr>
          <w:lang w:val="en-US"/>
        </w:rPr>
        <w:t xml:space="preserve"> </w:t>
      </w:r>
      <w:r w:rsidRPr="004A1F73">
        <w:rPr>
          <w:lang w:val="en-US"/>
        </w:rPr>
        <w:t>WHO</w:t>
      </w:r>
      <w:proofErr w:type="gramEnd"/>
      <w:r w:rsidRPr="004A1F73">
        <w:rPr>
          <w:lang w:val="en-US"/>
        </w:rPr>
        <w:t xml:space="preserve">, </w:t>
      </w:r>
      <w:r w:rsidRPr="004A1F73">
        <w:rPr>
          <w:smallCaps/>
        </w:rPr>
        <w:t xml:space="preserve">Care in Normal Birth: A Pratical Guide (1996), </w:t>
      </w:r>
      <w:r w:rsidRPr="004A1F73">
        <w:rPr>
          <w:i/>
          <w:lang w:val="en-US"/>
        </w:rPr>
        <w:t xml:space="preserve">supra </w:t>
      </w:r>
      <w:r w:rsidRPr="004A1F73">
        <w:rPr>
          <w:lang w:val="en-US"/>
        </w:rPr>
        <w:t>note</w:t>
      </w:r>
      <w:r>
        <w:rPr>
          <w:lang w:val="en-US"/>
        </w:rPr>
        <w:t xml:space="preserve"> 21,</w:t>
      </w:r>
      <w:r w:rsidRPr="00D05A9C">
        <w:rPr>
          <w:lang w:val="en-US"/>
        </w:rPr>
        <w:t xml:space="preserve"> at 9-10 &amp; 34-35.  </w:t>
      </w:r>
    </w:p>
  </w:endnote>
  <w:endnote w:id="31">
    <w:p w14:paraId="41747F9D" w14:textId="034DF738" w:rsidR="00EB6BE1" w:rsidRPr="00D05A9C" w:rsidRDefault="00EB6BE1" w:rsidP="00AD2ABD">
      <w:pPr>
        <w:pStyle w:val="EndnoteText"/>
        <w:rPr>
          <w:lang w:val="sk-SK"/>
        </w:rPr>
      </w:pPr>
      <w:r w:rsidRPr="00D05A9C">
        <w:rPr>
          <w:rStyle w:val="EndnoteReference"/>
        </w:rPr>
        <w:endnoteRef/>
      </w:r>
      <w:r w:rsidRPr="00D05A9C">
        <w:t xml:space="preserve"> </w:t>
      </w:r>
      <w:r w:rsidRPr="00D05A9C">
        <w:rPr>
          <w:i/>
          <w:lang w:val="sk-SK"/>
        </w:rPr>
        <w:t xml:space="preserve">See </w:t>
      </w:r>
      <w:r w:rsidRPr="00D05A9C">
        <w:rPr>
          <w:lang w:val="sk-SK"/>
        </w:rPr>
        <w:t>Ženy – Matky – Telá</w:t>
      </w:r>
      <w:r w:rsidRPr="00D05A9C">
        <w:rPr>
          <w:smallCaps/>
          <w:lang w:val="sk-SK"/>
        </w:rPr>
        <w:t>,</w:t>
      </w:r>
      <w:r w:rsidRPr="00D05A9C">
        <w:rPr>
          <w:i/>
          <w:lang w:val="sk-SK"/>
        </w:rPr>
        <w:t xml:space="preserve"> supra </w:t>
      </w:r>
      <w:r>
        <w:rPr>
          <w:lang w:val="sk-SK"/>
        </w:rPr>
        <w:t>note 20</w:t>
      </w:r>
      <w:r w:rsidRPr="00D05A9C">
        <w:rPr>
          <w:lang w:val="sk-SK"/>
        </w:rPr>
        <w:t xml:space="preserve">, at 94-110. </w:t>
      </w:r>
      <w:r w:rsidRPr="004A1F73">
        <w:rPr>
          <w:lang w:val="sk-SK"/>
        </w:rPr>
        <w:t xml:space="preserve">Each of the interviewed women reported some form of </w:t>
      </w:r>
      <w:r>
        <w:rPr>
          <w:lang w:val="sk-SK"/>
        </w:rPr>
        <w:t xml:space="preserve">interference with their </w:t>
      </w:r>
      <w:r w:rsidRPr="004A1F73">
        <w:rPr>
          <w:lang w:val="sk-SK"/>
        </w:rPr>
        <w:t>right</w:t>
      </w:r>
      <w:r>
        <w:rPr>
          <w:lang w:val="sk-SK"/>
        </w:rPr>
        <w:t>s</w:t>
      </w:r>
      <w:r w:rsidRPr="004A1F73">
        <w:rPr>
          <w:lang w:val="sk-SK"/>
        </w:rPr>
        <w:t xml:space="preserve"> to privacy and confidentiality of care throughout all stages of labour. For example, in the first stage of labour, women</w:t>
      </w:r>
      <w:r>
        <w:rPr>
          <w:lang w:val="sk-SK"/>
        </w:rPr>
        <w:t>’s privacy</w:t>
      </w:r>
      <w:r w:rsidRPr="004A1F73">
        <w:rPr>
          <w:lang w:val="sk-SK"/>
        </w:rPr>
        <w:t xml:space="preserve"> </w:t>
      </w:r>
      <w:r>
        <w:rPr>
          <w:lang w:val="sk-SK"/>
        </w:rPr>
        <w:t>was</w:t>
      </w:r>
      <w:r w:rsidRPr="004A1F73">
        <w:rPr>
          <w:lang w:val="sk-SK"/>
        </w:rPr>
        <w:t xml:space="preserve"> restricted durin</w:t>
      </w:r>
      <w:r>
        <w:rPr>
          <w:lang w:val="sk-SK"/>
        </w:rPr>
        <w:t xml:space="preserve">g the time they spent in a </w:t>
      </w:r>
      <w:r w:rsidRPr="00D05A9C">
        <w:t>“</w:t>
      </w:r>
      <w:r>
        <w:rPr>
          <w:lang w:val="sk-SK"/>
        </w:rPr>
        <w:t>waiting room</w:t>
      </w:r>
      <w:r w:rsidRPr="00D05A9C">
        <w:t>”</w:t>
      </w:r>
      <w:r>
        <w:rPr>
          <w:lang w:val="sk-SK"/>
        </w:rPr>
        <w:t xml:space="preserve">, </w:t>
      </w:r>
      <w:r w:rsidRPr="004A1F73">
        <w:rPr>
          <w:lang w:val="sk-SK"/>
        </w:rPr>
        <w:t xml:space="preserve">including </w:t>
      </w:r>
      <w:r>
        <w:rPr>
          <w:lang w:val="sk-SK"/>
        </w:rPr>
        <w:t xml:space="preserve">through </w:t>
      </w:r>
      <w:r w:rsidRPr="004A1F73">
        <w:rPr>
          <w:lang w:val="sk-SK"/>
        </w:rPr>
        <w:t>the disturbing presence of other women experiencing contractions, the way the rooms were organised, or</w:t>
      </w:r>
      <w:r>
        <w:rPr>
          <w:lang w:val="sk-SK"/>
        </w:rPr>
        <w:t xml:space="preserve"> by</w:t>
      </w:r>
      <w:r w:rsidRPr="004A1F73">
        <w:rPr>
          <w:lang w:val="sk-SK"/>
        </w:rPr>
        <w:t xml:space="preserve"> </w:t>
      </w:r>
      <w:r>
        <w:rPr>
          <w:lang w:val="sk-SK"/>
        </w:rPr>
        <w:t xml:space="preserve">not being allowed to have a </w:t>
      </w:r>
      <w:r w:rsidRPr="004A1F73">
        <w:rPr>
          <w:lang w:val="sk-SK"/>
        </w:rPr>
        <w:t>companion. During the second stage</w:t>
      </w:r>
      <w:r>
        <w:rPr>
          <w:lang w:val="sk-SK"/>
        </w:rPr>
        <w:t>,</w:t>
      </w:r>
      <w:r w:rsidRPr="004A1F73">
        <w:rPr>
          <w:lang w:val="sk-SK"/>
        </w:rPr>
        <w:t xml:space="preserve"> the factors that </w:t>
      </w:r>
      <w:r>
        <w:rPr>
          <w:lang w:val="sk-SK"/>
        </w:rPr>
        <w:t xml:space="preserve">impeded </w:t>
      </w:r>
      <w:r w:rsidRPr="004A1F73">
        <w:rPr>
          <w:lang w:val="sk-SK"/>
        </w:rPr>
        <w:t xml:space="preserve">women’s privacy included the way </w:t>
      </w:r>
      <w:r>
        <w:rPr>
          <w:lang w:val="sk-SK"/>
        </w:rPr>
        <w:t>the</w:t>
      </w:r>
      <w:r w:rsidRPr="004A1F73">
        <w:rPr>
          <w:lang w:val="sk-SK"/>
        </w:rPr>
        <w:t xml:space="preserve"> delivery room was organised, the inability to exercise the right to choose a birthing position, the positioning of birthing beds towards a door or aisle,</w:t>
      </w:r>
      <w:r w:rsidR="00A446BA">
        <w:rPr>
          <w:lang w:val="sk-SK"/>
        </w:rPr>
        <w:t xml:space="preserve"> </w:t>
      </w:r>
      <w:r w:rsidRPr="004A1F73">
        <w:rPr>
          <w:lang w:val="sk-SK"/>
        </w:rPr>
        <w:t xml:space="preserve">and unwanted persons (in terms of both their type and total number) entering the area where the birth was taking place. During the postpartum period </w:t>
      </w:r>
      <w:r>
        <w:rPr>
          <w:lang w:val="sk-SK"/>
        </w:rPr>
        <w:t xml:space="preserve">spent in the hospital, </w:t>
      </w:r>
      <w:r w:rsidRPr="004A1F73">
        <w:rPr>
          <w:lang w:val="sk-SK"/>
        </w:rPr>
        <w:t>women were examined during doctors’ visits in the presence of other doctors</w:t>
      </w:r>
      <w:r>
        <w:rPr>
          <w:lang w:val="sk-SK"/>
        </w:rPr>
        <w:t xml:space="preserve"> and </w:t>
      </w:r>
      <w:r w:rsidRPr="004A1F73">
        <w:rPr>
          <w:lang w:val="sk-SK"/>
        </w:rPr>
        <w:t xml:space="preserve">other </w:t>
      </w:r>
      <w:r>
        <w:rPr>
          <w:lang w:val="sk-SK"/>
        </w:rPr>
        <w:t xml:space="preserve">patients </w:t>
      </w:r>
      <w:r w:rsidRPr="004A1F73">
        <w:rPr>
          <w:lang w:val="sk-SK"/>
        </w:rPr>
        <w:t>in the room</w:t>
      </w:r>
      <w:r>
        <w:rPr>
          <w:lang w:val="sk-SK"/>
        </w:rPr>
        <w:t>, and</w:t>
      </w:r>
      <w:r w:rsidRPr="004A1F73">
        <w:rPr>
          <w:lang w:val="sk-SK"/>
        </w:rPr>
        <w:t xml:space="preserve"> the confidentiality and protection of personal data were violated during </w:t>
      </w:r>
      <w:r>
        <w:rPr>
          <w:lang w:val="sk-SK"/>
        </w:rPr>
        <w:t>those visits by doctors di</w:t>
      </w:r>
      <w:r w:rsidR="005E6D95">
        <w:rPr>
          <w:lang w:val="sk-SK"/>
        </w:rPr>
        <w:t>s</w:t>
      </w:r>
      <w:r>
        <w:rPr>
          <w:lang w:val="sk-SK"/>
        </w:rPr>
        <w:t xml:space="preserve">cussing </w:t>
      </w:r>
      <w:r w:rsidRPr="004A1F73">
        <w:rPr>
          <w:lang w:val="sk-SK"/>
        </w:rPr>
        <w:t xml:space="preserve">information </w:t>
      </w:r>
      <w:r>
        <w:rPr>
          <w:lang w:val="sk-SK"/>
        </w:rPr>
        <w:t xml:space="preserve">about the </w:t>
      </w:r>
      <w:r w:rsidRPr="004A1F73">
        <w:rPr>
          <w:lang w:val="sk-SK"/>
        </w:rPr>
        <w:t xml:space="preserve">health </w:t>
      </w:r>
      <w:r>
        <w:rPr>
          <w:lang w:val="sk-SK"/>
        </w:rPr>
        <w:t xml:space="preserve">status of a patient in front of other patients and other </w:t>
      </w:r>
      <w:r w:rsidRPr="004A1F73">
        <w:rPr>
          <w:lang w:val="sk-SK"/>
        </w:rPr>
        <w:t>persons</w:t>
      </w:r>
      <w:r>
        <w:rPr>
          <w:lang w:val="sk-SK"/>
        </w:rPr>
        <w:t xml:space="preserve"> present in the room</w:t>
      </w:r>
      <w:r w:rsidRPr="004A1F73">
        <w:rPr>
          <w:lang w:val="sk-SK"/>
        </w:rPr>
        <w:t>.</w:t>
      </w:r>
    </w:p>
  </w:endnote>
  <w:endnote w:id="32">
    <w:p w14:paraId="1D29F21A" w14:textId="0CD4C9E1" w:rsidR="00EB6BE1" w:rsidRPr="00D05A9C" w:rsidRDefault="00EB6BE1" w:rsidP="00587E13">
      <w:pPr>
        <w:pStyle w:val="EndnoteText"/>
        <w:rPr>
          <w:lang w:val="sk-SK"/>
        </w:rPr>
      </w:pPr>
      <w:r w:rsidRPr="00D05A9C">
        <w:rPr>
          <w:rStyle w:val="EndnoteReference"/>
        </w:rPr>
        <w:endnoteRef/>
      </w:r>
      <w:r w:rsidRPr="00D05A9C">
        <w:t xml:space="preserve"> </w:t>
      </w:r>
      <w:r w:rsidRPr="00D05A9C">
        <w:rPr>
          <w:i/>
        </w:rPr>
        <w:t>See, e.g.,</w:t>
      </w:r>
      <w:r w:rsidRPr="00D05A9C">
        <w:t xml:space="preserve"> </w:t>
      </w:r>
      <w:r w:rsidRPr="00D05A9C">
        <w:rPr>
          <w:smallCaps/>
        </w:rPr>
        <w:t>WHO, Care in Normal Birth: A Pratical Guide (1996),</w:t>
      </w:r>
      <w:r w:rsidRPr="00D05A9C">
        <w:rPr>
          <w:i/>
        </w:rPr>
        <w:t xml:space="preserve"> supra </w:t>
      </w:r>
      <w:r>
        <w:t>note 21</w:t>
      </w:r>
      <w:r w:rsidRPr="00D05A9C">
        <w:t xml:space="preserve">; </w:t>
      </w:r>
      <w:r w:rsidRPr="00D05A9C">
        <w:rPr>
          <w:smallCaps/>
          <w:lang w:val="en-GB"/>
        </w:rPr>
        <w:t xml:space="preserve">FIGO, Management of the second stage of </w:t>
      </w:r>
      <w:proofErr w:type="spellStart"/>
      <w:r w:rsidRPr="00D05A9C">
        <w:rPr>
          <w:smallCaps/>
          <w:lang w:val="en-GB"/>
        </w:rPr>
        <w:t>labor</w:t>
      </w:r>
      <w:proofErr w:type="spellEnd"/>
      <w:r w:rsidRPr="00D05A9C">
        <w:rPr>
          <w:lang w:val="en-GB"/>
        </w:rPr>
        <w:t xml:space="preserve">, </w:t>
      </w:r>
      <w:r w:rsidRPr="00D05A9C">
        <w:rPr>
          <w:i/>
          <w:lang w:val="en-GB"/>
        </w:rPr>
        <w:t>supra</w:t>
      </w:r>
      <w:r>
        <w:rPr>
          <w:lang w:val="en-GB"/>
        </w:rPr>
        <w:t xml:space="preserve"> note 27</w:t>
      </w:r>
      <w:r w:rsidRPr="00D05A9C">
        <w:rPr>
          <w:lang w:val="en-GB"/>
        </w:rPr>
        <w:t>, at 111-116</w:t>
      </w:r>
      <w:r w:rsidRPr="00D05A9C">
        <w:t xml:space="preserve">; </w:t>
      </w:r>
      <w:r w:rsidRPr="00D05A9C">
        <w:rPr>
          <w:i/>
          <w:lang w:val="sk-SK"/>
        </w:rPr>
        <w:t>Intrapartum Care</w:t>
      </w:r>
      <w:r w:rsidRPr="00D05A9C">
        <w:rPr>
          <w:lang w:val="sk-SK"/>
        </w:rPr>
        <w:t xml:space="preserve">: </w:t>
      </w:r>
      <w:r w:rsidRPr="00D05A9C">
        <w:rPr>
          <w:i/>
          <w:color w:val="000000"/>
          <w:shd w:val="clear" w:color="auto" w:fill="FFFFFF"/>
        </w:rPr>
        <w:t>Cochrane Database of Systematic Reviews</w:t>
      </w:r>
      <w:r w:rsidRPr="00D05A9C">
        <w:rPr>
          <w:lang w:val="sk-SK"/>
        </w:rPr>
        <w:t xml:space="preserve">, </w:t>
      </w:r>
      <w:r w:rsidRPr="00D05A9C">
        <w:rPr>
          <w:i/>
          <w:lang w:val="sk-SK"/>
        </w:rPr>
        <w:t>available at</w:t>
      </w:r>
      <w:r w:rsidRPr="00D05A9C">
        <w:rPr>
          <w:lang w:val="sk-SK"/>
        </w:rPr>
        <w:t xml:space="preserve"> </w:t>
      </w:r>
      <w:hyperlink r:id="rId4" w:history="1">
        <w:r w:rsidRPr="00D05A9C">
          <w:rPr>
            <w:rStyle w:val="Hyperlink"/>
            <w:u w:val="none"/>
            <w:lang w:val="sk-SK"/>
          </w:rPr>
          <w:t>http://community.cochrane.org/cochrane-reviews/cochrane-database-systematic-reviews-numbers</w:t>
        </w:r>
      </w:hyperlink>
      <w:r w:rsidRPr="00D05A9C">
        <w:rPr>
          <w:lang w:val="sk-SK"/>
        </w:rPr>
        <w:t>;</w:t>
      </w:r>
      <w:r w:rsidRPr="00D05A9C">
        <w:rPr>
          <w:i/>
          <w:lang w:val="sk-SK"/>
        </w:rPr>
        <w:t xml:space="preserve"> </w:t>
      </w:r>
      <w:r w:rsidRPr="00D05A9C">
        <w:rPr>
          <w:smallCaps/>
        </w:rPr>
        <w:t>National Collaborating Centre for Women’s and Children’s Health,</w:t>
      </w:r>
      <w:r w:rsidRPr="00D05A9C">
        <w:rPr>
          <w:smallCaps/>
          <w:lang w:val="sk-SK"/>
        </w:rPr>
        <w:t xml:space="preserve"> Intrapartum Care: Care of healthy women and their babies during childbirth</w:t>
      </w:r>
      <w:r>
        <w:rPr>
          <w:smallCaps/>
          <w:lang w:val="sk-SK"/>
        </w:rPr>
        <w:t xml:space="preserve">, </w:t>
      </w:r>
      <w:r w:rsidRPr="00D05A9C">
        <w:rPr>
          <w:i/>
          <w:lang w:val="en-GB"/>
        </w:rPr>
        <w:t>supra</w:t>
      </w:r>
      <w:r>
        <w:rPr>
          <w:lang w:val="en-GB"/>
        </w:rPr>
        <w:t xml:space="preserve"> note 27</w:t>
      </w:r>
      <w:r w:rsidRPr="00D05A9C">
        <w:rPr>
          <w:lang w:val="sk-SK"/>
        </w:rPr>
        <w:t xml:space="preserve">.  </w:t>
      </w:r>
    </w:p>
  </w:endnote>
  <w:endnote w:id="33">
    <w:p w14:paraId="5130E82B" w14:textId="20308790" w:rsidR="00EB6BE1" w:rsidRPr="00D05A9C" w:rsidRDefault="00EB6BE1" w:rsidP="00754105">
      <w:pPr>
        <w:pStyle w:val="EndnoteText"/>
        <w:rPr>
          <w:lang w:val="sk-SK"/>
        </w:rPr>
      </w:pPr>
      <w:r w:rsidRPr="00D05A9C">
        <w:rPr>
          <w:rStyle w:val="EndnoteReference"/>
        </w:rPr>
        <w:endnoteRef/>
      </w:r>
      <w:r w:rsidRPr="00D05A9C">
        <w:t xml:space="preserve"> </w:t>
      </w:r>
      <w:r w:rsidRPr="00D05A9C">
        <w:rPr>
          <w:lang w:val="en-US"/>
        </w:rPr>
        <w:t xml:space="preserve">WHO, </w:t>
      </w:r>
      <w:r w:rsidRPr="00D05A9C">
        <w:rPr>
          <w:smallCaps/>
        </w:rPr>
        <w:t xml:space="preserve">Care in Normal Birth: A Pratical Guide (1996), </w:t>
      </w:r>
      <w:r w:rsidRPr="00D05A9C">
        <w:rPr>
          <w:i/>
          <w:lang w:val="en-US"/>
        </w:rPr>
        <w:t xml:space="preserve">supra </w:t>
      </w:r>
      <w:r w:rsidRPr="00D05A9C">
        <w:rPr>
          <w:lang w:val="en-US"/>
        </w:rPr>
        <w:t>note 2</w:t>
      </w:r>
      <w:r>
        <w:rPr>
          <w:lang w:val="en-US"/>
        </w:rPr>
        <w:t>1</w:t>
      </w:r>
      <w:r w:rsidRPr="00D05A9C">
        <w:rPr>
          <w:i/>
          <w:lang w:val="en-US"/>
        </w:rPr>
        <w:t>,</w:t>
      </w:r>
      <w:r w:rsidRPr="00D05A9C">
        <w:rPr>
          <w:lang w:val="en-US"/>
        </w:rPr>
        <w:t xml:space="preserve"> at 14. </w:t>
      </w:r>
    </w:p>
  </w:endnote>
  <w:endnote w:id="34">
    <w:p w14:paraId="6D398ADC" w14:textId="5FBD0340" w:rsidR="00EB6BE1" w:rsidRPr="00D05A9C" w:rsidRDefault="00EB6BE1">
      <w:pPr>
        <w:pStyle w:val="EndnoteText"/>
      </w:pPr>
      <w:r w:rsidRPr="00D05A9C">
        <w:rPr>
          <w:rStyle w:val="EndnoteReference"/>
        </w:rPr>
        <w:endnoteRef/>
      </w:r>
      <w:r w:rsidRPr="00D05A9C">
        <w:t xml:space="preserve"> </w:t>
      </w:r>
      <w:r w:rsidRPr="00D05A9C">
        <w:rPr>
          <w:lang w:val="en-US"/>
        </w:rPr>
        <w:t xml:space="preserve">WHO, </w:t>
      </w:r>
      <w:r w:rsidRPr="00D05A9C">
        <w:rPr>
          <w:smallCaps/>
        </w:rPr>
        <w:t xml:space="preserve">Care in Normal Birth: A Pratical Guide, </w:t>
      </w:r>
      <w:r w:rsidRPr="00D05A9C">
        <w:rPr>
          <w:i/>
          <w:lang w:val="en-US"/>
        </w:rPr>
        <w:t xml:space="preserve">supra </w:t>
      </w:r>
      <w:r w:rsidRPr="00D05A9C">
        <w:rPr>
          <w:lang w:val="en-US"/>
        </w:rPr>
        <w:t>note 2</w:t>
      </w:r>
      <w:r>
        <w:rPr>
          <w:lang w:val="en-US"/>
        </w:rPr>
        <w:t>1</w:t>
      </w:r>
      <w:r w:rsidRPr="00D05A9C">
        <w:rPr>
          <w:i/>
          <w:lang w:val="en-US"/>
        </w:rPr>
        <w:t>,</w:t>
      </w:r>
      <w:r w:rsidRPr="00D05A9C">
        <w:rPr>
          <w:lang w:val="en-US"/>
        </w:rPr>
        <w:t xml:space="preserve"> at 25-</w:t>
      </w:r>
      <w:proofErr w:type="gramStart"/>
      <w:r w:rsidRPr="00D05A9C">
        <w:rPr>
          <w:lang w:val="en-US"/>
        </w:rPr>
        <w:t>26.</w:t>
      </w:r>
      <w:proofErr w:type="gramEnd"/>
    </w:p>
  </w:endnote>
  <w:endnote w:id="35">
    <w:p w14:paraId="00E06C96" w14:textId="3F4A6190" w:rsidR="00EB6BE1" w:rsidRPr="00D05A9C" w:rsidRDefault="00EB6BE1" w:rsidP="00324C1D">
      <w:pPr>
        <w:pStyle w:val="EndnoteText"/>
      </w:pPr>
      <w:r w:rsidRPr="00D05A9C">
        <w:rPr>
          <w:rStyle w:val="EndnoteReference"/>
        </w:rPr>
        <w:endnoteRef/>
      </w:r>
      <w:r w:rsidRPr="00D05A9C">
        <w:t xml:space="preserve"> </w:t>
      </w:r>
      <w:r w:rsidRPr="00D05A9C">
        <w:rPr>
          <w:i/>
          <w:lang w:val="en-GB"/>
        </w:rPr>
        <w:t>See</w:t>
      </w:r>
      <w:r w:rsidRPr="00D05A9C">
        <w:rPr>
          <w:lang w:val="en-GB"/>
        </w:rPr>
        <w:t xml:space="preserve"> </w:t>
      </w:r>
      <w:r w:rsidRPr="00D05A9C">
        <w:rPr>
          <w:smallCaps/>
          <w:lang w:val="en-GB"/>
        </w:rPr>
        <w:t xml:space="preserve">FIGO, Management of the second stage of </w:t>
      </w:r>
      <w:proofErr w:type="spellStart"/>
      <w:r w:rsidRPr="00D05A9C">
        <w:rPr>
          <w:smallCaps/>
          <w:lang w:val="en-GB"/>
        </w:rPr>
        <w:t>labor</w:t>
      </w:r>
      <w:proofErr w:type="spellEnd"/>
      <w:r w:rsidRPr="00D05A9C">
        <w:rPr>
          <w:i/>
          <w:lang w:val="en-GB"/>
        </w:rPr>
        <w:t xml:space="preserve">, supra </w:t>
      </w:r>
      <w:r>
        <w:rPr>
          <w:lang w:val="en-GB"/>
        </w:rPr>
        <w:t>note 27</w:t>
      </w:r>
      <w:r w:rsidRPr="00D05A9C">
        <w:rPr>
          <w:lang w:val="en-GB"/>
        </w:rPr>
        <w:t>, at 114</w:t>
      </w:r>
      <w:r w:rsidRPr="00D05A9C">
        <w:t>.</w:t>
      </w:r>
    </w:p>
  </w:endnote>
  <w:endnote w:id="36">
    <w:p w14:paraId="3CB25FB4" w14:textId="1A0DD6DB" w:rsidR="00EB6BE1" w:rsidRPr="00D05A9C" w:rsidRDefault="00EB6BE1" w:rsidP="00373540">
      <w:pPr>
        <w:pStyle w:val="NoSpacing"/>
        <w:spacing w:line="0" w:lineRule="atLeast"/>
        <w:contextualSpacing/>
        <w:rPr>
          <w:rFonts w:ascii="Times New Roman" w:hAnsi="Times New Roman"/>
          <w:sz w:val="20"/>
          <w:szCs w:val="20"/>
        </w:rPr>
      </w:pPr>
      <w:r w:rsidRPr="00D05A9C">
        <w:rPr>
          <w:rStyle w:val="EndnoteReference"/>
          <w:rFonts w:ascii="Times New Roman" w:hAnsi="Times New Roman"/>
          <w:sz w:val="20"/>
          <w:szCs w:val="20"/>
        </w:rPr>
        <w:endnoteRef/>
      </w:r>
      <w:r w:rsidRPr="00D05A9C">
        <w:rPr>
          <w:rFonts w:ascii="Times New Roman" w:hAnsi="Times New Roman"/>
          <w:sz w:val="20"/>
          <w:szCs w:val="20"/>
        </w:rPr>
        <w:t xml:space="preserve"> Human Rights Committee, </w:t>
      </w:r>
      <w:r w:rsidRPr="00D05A9C">
        <w:rPr>
          <w:rFonts w:ascii="Times New Roman" w:hAnsi="Times New Roman"/>
          <w:i/>
          <w:sz w:val="20"/>
          <w:szCs w:val="20"/>
        </w:rPr>
        <w:t xml:space="preserve">Gen. Comment No. 28, supra </w:t>
      </w:r>
      <w:r w:rsidRPr="00D05A9C">
        <w:rPr>
          <w:rFonts w:ascii="Times New Roman" w:hAnsi="Times New Roman"/>
          <w:sz w:val="20"/>
          <w:szCs w:val="20"/>
        </w:rPr>
        <w:t>note 1</w:t>
      </w:r>
      <w:r>
        <w:rPr>
          <w:rFonts w:ascii="Times New Roman" w:hAnsi="Times New Roman"/>
          <w:sz w:val="20"/>
          <w:szCs w:val="20"/>
        </w:rPr>
        <w:t>2</w:t>
      </w:r>
      <w:r w:rsidRPr="00D05A9C">
        <w:rPr>
          <w:rFonts w:ascii="Times New Roman" w:hAnsi="Times New Roman"/>
          <w:sz w:val="20"/>
          <w:szCs w:val="20"/>
        </w:rPr>
        <w:t>, paras. 2-4, 11, 20 &amp;22</w:t>
      </w:r>
      <w:r w:rsidRPr="00D05A9C">
        <w:rPr>
          <w:rFonts w:ascii="Times New Roman" w:hAnsi="Times New Roman"/>
          <w:i/>
          <w:sz w:val="20"/>
          <w:szCs w:val="20"/>
        </w:rPr>
        <w:t>.</w:t>
      </w:r>
    </w:p>
  </w:endnote>
  <w:endnote w:id="37">
    <w:p w14:paraId="220E527D" w14:textId="62CB240F" w:rsidR="00EB6BE1" w:rsidRPr="00D05A9C" w:rsidRDefault="00EB6BE1">
      <w:pPr>
        <w:pStyle w:val="EndnoteText"/>
      </w:pPr>
      <w:r w:rsidRPr="00D05A9C">
        <w:rPr>
          <w:rStyle w:val="EndnoteReference"/>
        </w:rPr>
        <w:endnoteRef/>
      </w:r>
      <w:r w:rsidRPr="00D05A9C">
        <w:t xml:space="preserve"> </w:t>
      </w:r>
      <w:r w:rsidRPr="00D05A9C">
        <w:t xml:space="preserve">CEDAW, </w:t>
      </w:r>
      <w:r w:rsidRPr="00D05A9C">
        <w:rPr>
          <w:i/>
        </w:rPr>
        <w:t>Concluding Observations: Czech Republic</w:t>
      </w:r>
      <w:r w:rsidRPr="00D05A9C">
        <w:t xml:space="preserve">, para. 31, U.N. Doc. CEDAW/C/CZE/CO/6 (2016); </w:t>
      </w:r>
      <w:r w:rsidRPr="00D05A9C">
        <w:rPr>
          <w:i/>
        </w:rPr>
        <w:t>Croatia</w:t>
      </w:r>
      <w:r w:rsidRPr="00D05A9C">
        <w:t>, para. 31, U.N. Doc. CEDAW/C/HRV/CO/4-5 (2015).</w:t>
      </w:r>
    </w:p>
  </w:endnote>
  <w:endnote w:id="38">
    <w:p w14:paraId="1A7F390A" w14:textId="2633505B" w:rsidR="00EB6BE1" w:rsidRPr="00D05A9C" w:rsidRDefault="00EB6BE1" w:rsidP="00640D9A">
      <w:pPr>
        <w:pStyle w:val="EndnoteText"/>
      </w:pPr>
      <w:r w:rsidRPr="00D05A9C">
        <w:rPr>
          <w:rStyle w:val="EndnoteReference"/>
        </w:rPr>
        <w:endnoteRef/>
      </w:r>
      <w:r w:rsidRPr="00D05A9C">
        <w:t xml:space="preserve"> </w:t>
      </w:r>
      <w:r w:rsidRPr="00D05A9C">
        <w:t xml:space="preserve">CEDAW, </w:t>
      </w:r>
      <w:r w:rsidRPr="00D05A9C">
        <w:rPr>
          <w:i/>
        </w:rPr>
        <w:t>Concluding Observations: Slovakia</w:t>
      </w:r>
      <w:r w:rsidRPr="00D05A9C">
        <w:t>, para. 31(e)(g), U.N. Doc. CEDAW/C/SVK/CO/5-6 (2015).</w:t>
      </w:r>
    </w:p>
  </w:endnote>
  <w:endnote w:id="39">
    <w:p w14:paraId="1DBBEDE1" w14:textId="33800983" w:rsidR="00EB6BE1" w:rsidRPr="00D05A9C" w:rsidRDefault="00EB6BE1">
      <w:pPr>
        <w:pStyle w:val="EndnoteText"/>
      </w:pPr>
      <w:r w:rsidRPr="00D05A9C">
        <w:rPr>
          <w:rStyle w:val="EndnoteReference"/>
        </w:rPr>
        <w:endnoteRef/>
      </w:r>
      <w:r w:rsidRPr="00D05A9C">
        <w:t xml:space="preserve"> </w:t>
      </w:r>
      <w:r>
        <w:t xml:space="preserve">Council </w:t>
      </w:r>
      <w:r>
        <w:t xml:space="preserve">of Europe, </w:t>
      </w:r>
      <w:r w:rsidRPr="00D05A9C">
        <w:t xml:space="preserve">Commissioner for Human Rights, </w:t>
      </w:r>
      <w:r w:rsidRPr="005E6D95">
        <w:rPr>
          <w:i/>
        </w:rPr>
        <w:t>Protect women’s sexual and reproductive health and rights</w:t>
      </w:r>
      <w:r w:rsidRPr="00D05A9C">
        <w:t xml:space="preserve">, </w:t>
      </w:r>
      <w:r>
        <w:t>Human Rights Comment (</w:t>
      </w:r>
      <w:r w:rsidRPr="00D05A9C">
        <w:t>Jul. 21, 2016</w:t>
      </w:r>
      <w:r>
        <w:t>)</w:t>
      </w:r>
      <w:r w:rsidRPr="00D05A9C">
        <w:t>,</w:t>
      </w:r>
      <w:r>
        <w:t xml:space="preserve"> </w:t>
      </w:r>
      <w:r>
        <w:rPr>
          <w:i/>
        </w:rPr>
        <w:t>available at</w:t>
      </w:r>
      <w:r w:rsidRPr="00D05A9C">
        <w:t xml:space="preserve"> http://www.coe.int/en/web/commissioner/-/protect-women-s-sexual-and-reproductive-health-and-rights.</w:t>
      </w:r>
    </w:p>
  </w:endnote>
  <w:endnote w:id="40">
    <w:p w14:paraId="4DA1A1E3" w14:textId="411D79E9" w:rsidR="00EB6BE1" w:rsidRPr="00D05A9C" w:rsidRDefault="00EB6BE1">
      <w:pPr>
        <w:pStyle w:val="EndnoteText"/>
      </w:pPr>
      <w:r w:rsidRPr="00D05A9C">
        <w:rPr>
          <w:rStyle w:val="EndnoteReference"/>
        </w:rPr>
        <w:endnoteRef/>
      </w:r>
      <w:r w:rsidRPr="00D05A9C">
        <w:t xml:space="preserve"> </w:t>
      </w:r>
      <w:r w:rsidRPr="00D05A9C">
        <w:rPr>
          <w:i/>
        </w:rPr>
        <w:t xml:space="preserve">See, </w:t>
      </w:r>
      <w:r w:rsidRPr="00D05A9C">
        <w:rPr>
          <w:i/>
        </w:rPr>
        <w:t>e.g.,</w:t>
      </w:r>
      <w:r w:rsidRPr="00D05A9C">
        <w:t xml:space="preserve"> K.L. v. Peru, Human Rights Committee, Commc’n No. 1153/2003, para. 6.4, U.N. Doc. CCPR/C/85/D/1153/2003 (2005); L.M.R. v. Argentina, Human Rights Committee, Commc’n No. 1608/2007, paras. 9.2 &amp; 9.3, U.N. Doc. CCPR/C/101/D/1608/2007 (2011).</w:t>
      </w:r>
    </w:p>
  </w:endnote>
  <w:endnote w:id="41">
    <w:p w14:paraId="4CCC5070" w14:textId="0A1358FF" w:rsidR="00EB6BE1" w:rsidRPr="00D05A9C" w:rsidRDefault="00EB6BE1">
      <w:pPr>
        <w:pStyle w:val="EndnoteText"/>
      </w:pPr>
      <w:r w:rsidRPr="00D05A9C">
        <w:rPr>
          <w:rStyle w:val="EndnoteReference"/>
        </w:rPr>
        <w:endnoteRef/>
      </w:r>
      <w:r w:rsidRPr="00D05A9C">
        <w:t xml:space="preserve"> </w:t>
      </w:r>
      <w:r w:rsidRPr="00D05A9C">
        <w:rPr>
          <w:i/>
        </w:rPr>
        <w:t xml:space="preserve">See, </w:t>
      </w:r>
      <w:r w:rsidRPr="00D05A9C">
        <w:rPr>
          <w:i/>
        </w:rPr>
        <w:t>e.g.,</w:t>
      </w:r>
      <w:r w:rsidRPr="00D05A9C">
        <w:t xml:space="preserve"> Human Rights Committee, </w:t>
      </w:r>
      <w:r w:rsidRPr="00D05A9C">
        <w:rPr>
          <w:i/>
        </w:rPr>
        <w:t>Concluding Observations: France</w:t>
      </w:r>
      <w:r w:rsidRPr="00D05A9C">
        <w:t xml:space="preserve">, para. 21, U.N. Doc. CCPR/C/FRA/CO/4 (2008); Special Rapporteur on the Right of Everyone to the Enjoyment of the Highest Attainable Standard of Physical and Mental Health, </w:t>
      </w:r>
      <w:r w:rsidRPr="00D05A9C">
        <w:rPr>
          <w:i/>
        </w:rPr>
        <w:t>Report of the Special Rapporteur on the Right of Everyone to the Enjoyment of the Highest Attainable Standard of Physical and Mental Health, Anand Grover</w:t>
      </w:r>
      <w:r w:rsidRPr="00D05A9C">
        <w:t>, para. 57, U.N. Doc. A/64/272 (2009) [hereinafter Special Rapporteur on Health</w:t>
      </w:r>
      <w:r>
        <w:t>, 2009</w:t>
      </w:r>
      <w:r w:rsidRPr="00D05A9C">
        <w:t xml:space="preserve"> Report].</w:t>
      </w:r>
    </w:p>
  </w:endnote>
  <w:endnote w:id="42">
    <w:p w14:paraId="5536C3C2" w14:textId="675CBEFA" w:rsidR="00EB6BE1" w:rsidRPr="00D05A9C" w:rsidRDefault="00EB6BE1" w:rsidP="009C58B6">
      <w:pPr>
        <w:pStyle w:val="EndnoteText"/>
        <w:rPr>
          <w:highlight w:val="yellow"/>
        </w:rPr>
      </w:pPr>
      <w:r w:rsidRPr="00D05A9C">
        <w:rPr>
          <w:rStyle w:val="EndnoteReference"/>
        </w:rPr>
        <w:endnoteRef/>
      </w:r>
      <w:r w:rsidRPr="00D05A9C">
        <w:t xml:space="preserve"> </w:t>
      </w:r>
      <w:r w:rsidRPr="00D05A9C">
        <w:t>Konovalova v. Russia, No. 37873/04 Eur. Ct. H.R, paras. 42-50 (2015).</w:t>
      </w:r>
    </w:p>
  </w:endnote>
  <w:endnote w:id="43">
    <w:p w14:paraId="3100D8F9" w14:textId="403275BA" w:rsidR="00EB6BE1" w:rsidRPr="00D05A9C" w:rsidRDefault="00EB6BE1" w:rsidP="00526A4D">
      <w:pPr>
        <w:pStyle w:val="EndnoteText"/>
        <w:rPr>
          <w:highlight w:val="yellow"/>
        </w:rPr>
      </w:pPr>
      <w:r w:rsidRPr="00D05A9C">
        <w:rPr>
          <w:rStyle w:val="EndnoteReference"/>
        </w:rPr>
        <w:endnoteRef/>
      </w:r>
      <w:r w:rsidRPr="00D05A9C">
        <w:t xml:space="preserve"> </w:t>
      </w:r>
      <w:r w:rsidRPr="00D05A9C">
        <w:t xml:space="preserve">Ternovszky </w:t>
      </w:r>
      <w:r w:rsidRPr="00D05A9C">
        <w:t>v. Hungary, No. 67545/09 Eur. Ct. H.R, paras. 22, 26 &amp; 27 (2011).</w:t>
      </w:r>
    </w:p>
  </w:endnote>
  <w:endnote w:id="44">
    <w:p w14:paraId="2B8D3EE0" w14:textId="716252CE" w:rsidR="00EB6BE1" w:rsidRPr="00D05A9C" w:rsidRDefault="00EB6BE1" w:rsidP="000D2F67">
      <w:pPr>
        <w:spacing w:after="0" w:line="0" w:lineRule="atLeast"/>
        <w:contextualSpacing/>
        <w:rPr>
          <w:rFonts w:ascii="Times New Roman" w:hAnsi="Times New Roman"/>
          <w:sz w:val="20"/>
          <w:szCs w:val="20"/>
        </w:rPr>
      </w:pPr>
      <w:r w:rsidRPr="00D05A9C">
        <w:rPr>
          <w:rStyle w:val="EndnoteReference"/>
          <w:rFonts w:ascii="Times New Roman" w:hAnsi="Times New Roman"/>
          <w:sz w:val="20"/>
          <w:szCs w:val="20"/>
        </w:rPr>
        <w:endnoteRef/>
      </w:r>
      <w:r w:rsidRPr="00D05A9C">
        <w:rPr>
          <w:rFonts w:ascii="Times New Roman" w:hAnsi="Times New Roman"/>
          <w:sz w:val="20"/>
          <w:szCs w:val="20"/>
        </w:rPr>
        <w:t xml:space="preserve"> Human Rights Committee, </w:t>
      </w:r>
      <w:r w:rsidRPr="00D05A9C">
        <w:rPr>
          <w:rFonts w:ascii="Times New Roman" w:hAnsi="Times New Roman"/>
          <w:i/>
          <w:sz w:val="20"/>
          <w:szCs w:val="20"/>
        </w:rPr>
        <w:t>General Comment No. 20: Article 7 (Prohibition of torture, or other cruel, inhuman or degrading treatment or punishment)</w:t>
      </w:r>
      <w:r w:rsidRPr="00D05A9C">
        <w:rPr>
          <w:rFonts w:ascii="Times New Roman" w:hAnsi="Times New Roman"/>
          <w:sz w:val="20"/>
          <w:szCs w:val="20"/>
        </w:rPr>
        <w:t>, (44</w:t>
      </w:r>
      <w:r w:rsidRPr="00D05A9C">
        <w:rPr>
          <w:rFonts w:ascii="Times New Roman" w:hAnsi="Times New Roman"/>
          <w:sz w:val="20"/>
          <w:szCs w:val="20"/>
          <w:vertAlign w:val="superscript"/>
        </w:rPr>
        <w:t>th</w:t>
      </w:r>
      <w:r w:rsidRPr="00D05A9C">
        <w:rPr>
          <w:rFonts w:ascii="Times New Roman" w:hAnsi="Times New Roman"/>
          <w:sz w:val="20"/>
          <w:szCs w:val="20"/>
        </w:rPr>
        <w:t xml:space="preserve"> Sess., 1992), </w:t>
      </w:r>
      <w:r w:rsidRPr="00D05A9C">
        <w:rPr>
          <w:rFonts w:ascii="Times New Roman" w:hAnsi="Times New Roman"/>
          <w:i/>
          <w:sz w:val="20"/>
          <w:szCs w:val="20"/>
        </w:rPr>
        <w:t>in</w:t>
      </w:r>
      <w:r w:rsidRPr="00D05A9C">
        <w:rPr>
          <w:rFonts w:ascii="Times New Roman" w:hAnsi="Times New Roman"/>
          <w:sz w:val="20"/>
          <w:szCs w:val="20"/>
        </w:rPr>
        <w:t xml:space="preserve"> Compilation of General Comments and General Recommendations Adopted by Human Rights Treaty Bodies, at 200, para. 5, U.N. Doc. HRI/GEN/1/Rev.9 (Vol. I) (2008) [hereinafter Human Rights Committee</w:t>
      </w:r>
      <w:r w:rsidRPr="00D05A9C">
        <w:rPr>
          <w:rFonts w:ascii="Times New Roman" w:hAnsi="Times New Roman"/>
          <w:i/>
          <w:sz w:val="20"/>
          <w:szCs w:val="20"/>
        </w:rPr>
        <w:t>, Gen. Comment No. 20</w:t>
      </w:r>
      <w:r w:rsidRPr="00D05A9C">
        <w:rPr>
          <w:rFonts w:ascii="Times New Roman" w:hAnsi="Times New Roman"/>
          <w:sz w:val="20"/>
          <w:szCs w:val="20"/>
        </w:rPr>
        <w:t>].</w:t>
      </w:r>
    </w:p>
  </w:endnote>
  <w:endnote w:id="45">
    <w:p w14:paraId="64B1DEC8" w14:textId="46D05D98" w:rsidR="00EB6BE1" w:rsidRPr="00D05A9C" w:rsidRDefault="00EB6BE1">
      <w:pPr>
        <w:pStyle w:val="EndnoteText"/>
      </w:pPr>
      <w:r w:rsidRPr="00D05A9C">
        <w:rPr>
          <w:rStyle w:val="EndnoteReference"/>
        </w:rPr>
        <w:endnoteRef/>
      </w:r>
      <w:r w:rsidRPr="00D05A9C">
        <w:t xml:space="preserve"> </w:t>
      </w:r>
      <w:r w:rsidRPr="00D05A9C">
        <w:t>Human Rights Committee</w:t>
      </w:r>
      <w:r w:rsidRPr="00D05A9C">
        <w:rPr>
          <w:i/>
        </w:rPr>
        <w:t>, Gen. Comment No. 20</w:t>
      </w:r>
      <w:r w:rsidRPr="00D05A9C" w:rsidDel="006357B2">
        <w:rPr>
          <w:i/>
        </w:rPr>
        <w:t xml:space="preserve">, supra </w:t>
      </w:r>
      <w:r w:rsidRPr="00D05A9C" w:rsidDel="006357B2">
        <w:t xml:space="preserve">note </w:t>
      </w:r>
      <w:r>
        <w:t>43</w:t>
      </w:r>
      <w:r w:rsidRPr="00D05A9C">
        <w:t xml:space="preserve">, para. 4. </w:t>
      </w:r>
      <w:r w:rsidRPr="00D05A9C">
        <w:rPr>
          <w:i/>
        </w:rPr>
        <w:t>See also</w:t>
      </w:r>
      <w:r w:rsidRPr="00D05A9C">
        <w:t xml:space="preserve"> Antti Vuolanne v. Finland, Commc’n No. 265/1987, para. 9.2, U.N. Doc. Supp. No. 40 (A/44/40) at 311 (1989) (“[T]he assessment of what constitutes inhuman or degrading treatment falling within the meaning of article 7 depends on all the circumstances of the case, such as the duration and manner of the treatment, its physical or mental effects as well as the sex, age and state of health of the victim.”).</w:t>
      </w:r>
    </w:p>
  </w:endnote>
  <w:endnote w:id="46">
    <w:p w14:paraId="16BC7C78" w14:textId="02B16947" w:rsidR="00EB6BE1" w:rsidRPr="00D05A9C" w:rsidRDefault="00EB6BE1" w:rsidP="003F08E2">
      <w:pPr>
        <w:pStyle w:val="EndnoteText"/>
      </w:pPr>
      <w:r w:rsidRPr="00D05A9C">
        <w:rPr>
          <w:rStyle w:val="EndnoteReference"/>
        </w:rPr>
        <w:endnoteRef/>
      </w:r>
      <w:r w:rsidRPr="00D05A9C">
        <w:t xml:space="preserve"> </w:t>
      </w:r>
      <w:r w:rsidRPr="00D05A9C">
        <w:rPr>
          <w:i/>
        </w:rPr>
        <w:t xml:space="preserve">See, </w:t>
      </w:r>
      <w:r w:rsidRPr="00D05A9C">
        <w:rPr>
          <w:i/>
        </w:rPr>
        <w:t>e.g.,</w:t>
      </w:r>
      <w:r w:rsidRPr="00D05A9C">
        <w:t xml:space="preserve"> CAT, </w:t>
      </w:r>
      <w:r w:rsidRPr="00D05A9C">
        <w:rPr>
          <w:i/>
        </w:rPr>
        <w:t>Concluding Observations: Kenya</w:t>
      </w:r>
      <w:r w:rsidRPr="00D05A9C">
        <w:t xml:space="preserve">, para. 27, U.N. Doc. CAT/C/KEN/CO/2 (2013) (“The Committee…remains concerned about ill-treatment of women who seek access to reproductive health services, in particular the ongoing practice of post-delivery detention of women unable to pay their medical bills, including in private health facilities…(arts. 2, 12 and 16).”); </w:t>
      </w:r>
      <w:r w:rsidRPr="00D05A9C">
        <w:rPr>
          <w:i/>
        </w:rPr>
        <w:t>United States of America</w:t>
      </w:r>
      <w:r w:rsidRPr="00D05A9C">
        <w:t>, para. 33, U.N. Doc. CAT/C/USA/CO/2 (2006) (“</w:t>
      </w:r>
      <w:r>
        <w:t>T</w:t>
      </w:r>
      <w:r w:rsidRPr="00D05A9C">
        <w:t>he Committee is concerned at the treatment of detained women in the State party, including gender-based humiliation and incidents of shackling of women detainees during childbirth (art. 16). The State party should adopt all appropriate measures to ensure that women in detention are treated in conformity with international standards.”)</w:t>
      </w:r>
      <w:r>
        <w:t xml:space="preserve">; Human Rights Committee, </w:t>
      </w:r>
      <w:r w:rsidRPr="006F0323">
        <w:rPr>
          <w:i/>
        </w:rPr>
        <w:t>Concluding Observations: Ireland</w:t>
      </w:r>
      <w:r>
        <w:t xml:space="preserve">, para. 11, U.N. Doc. </w:t>
      </w:r>
      <w:r w:rsidRPr="006F0323">
        <w:t>CCPR/C/IRL/CO/4</w:t>
      </w:r>
      <w:r>
        <w:t xml:space="preserve"> (2014) (</w:t>
      </w:r>
      <w:r w:rsidRPr="00D05A9C">
        <w:t>“</w:t>
      </w:r>
      <w:r>
        <w:t>...</w:t>
      </w:r>
      <w:r w:rsidRPr="006F0323">
        <w:t>the Committee expresses concern at the State party’s failure to: (a) initiate a prompt, comprehensive and independent investigation into the practice of symphysiotomy; (b) identify, prosecute and punish, where still possible, the perpetrators for performing symphysiotomy without patient consent; and (c) provide effective remedies to survivors of symphysiotomy for the damage sustained as a result of these operations</w:t>
      </w:r>
      <w:r>
        <w:t xml:space="preserve"> </w:t>
      </w:r>
      <w:r w:rsidRPr="006F0323">
        <w:t>(arts. 2 and 7).</w:t>
      </w:r>
      <w:r>
        <w:t>”)</w:t>
      </w:r>
      <w:r w:rsidRPr="00D05A9C">
        <w:t>.</w:t>
      </w:r>
    </w:p>
  </w:endnote>
  <w:endnote w:id="47">
    <w:p w14:paraId="57FFCAF4" w14:textId="09725709" w:rsidR="00EB6BE1" w:rsidRPr="00D05A9C" w:rsidRDefault="00EB6BE1" w:rsidP="003F08E2">
      <w:pPr>
        <w:pStyle w:val="EndnoteText"/>
      </w:pPr>
      <w:r w:rsidRPr="00D05A9C">
        <w:rPr>
          <w:rStyle w:val="EndnoteReference"/>
        </w:rPr>
        <w:endnoteRef/>
      </w:r>
      <w:r w:rsidRPr="00D05A9C">
        <w:t xml:space="preserve"> </w:t>
      </w:r>
      <w:r w:rsidRPr="00D05A9C">
        <w:rPr>
          <w:i/>
        </w:rPr>
        <w:t xml:space="preserve">See </w:t>
      </w:r>
      <w:r w:rsidRPr="00D05A9C">
        <w:t xml:space="preserve">Special Rapporteur on torture and other cruel, inhuman or degrading treatment or punishment, </w:t>
      </w:r>
      <w:r w:rsidRPr="00D05A9C">
        <w:rPr>
          <w:i/>
        </w:rPr>
        <w:t>Report of the Special Rapporteur on torture and other cruel, inhuman or degrading treatment or punishment,</w:t>
      </w:r>
      <w:r w:rsidRPr="00D05A9C">
        <w:t xml:space="preserve"> </w:t>
      </w:r>
      <w:r w:rsidRPr="00D05A9C">
        <w:rPr>
          <w:i/>
        </w:rPr>
        <w:t xml:space="preserve">Juan E. Mendez, </w:t>
      </w:r>
      <w:r w:rsidRPr="00D05A9C">
        <w:t xml:space="preserve">Human Rights Council, para. 47, U.N. Doc. A/HRC/31/57 (Jan. 5, 2016) [hereinafter Special Rapporteur on torture, 2016 Report]; Special Rapporteur on torture, 2013 Report, </w:t>
      </w:r>
      <w:r w:rsidRPr="00D05A9C">
        <w:rPr>
          <w:i/>
        </w:rPr>
        <w:t xml:space="preserve">supra </w:t>
      </w:r>
      <w:r w:rsidRPr="00D05A9C">
        <w:t>note 1</w:t>
      </w:r>
      <w:r>
        <w:t>1</w:t>
      </w:r>
      <w:r w:rsidRPr="00D05A9C">
        <w:t>, para. 46.</w:t>
      </w:r>
    </w:p>
  </w:endnote>
  <w:endnote w:id="48">
    <w:p w14:paraId="0B19D7CC" w14:textId="02819D42" w:rsidR="00EB6BE1" w:rsidRPr="00D05A9C" w:rsidRDefault="00EB6BE1" w:rsidP="003F08E2">
      <w:pPr>
        <w:pStyle w:val="EndnoteText"/>
      </w:pPr>
      <w:r w:rsidRPr="00D05A9C">
        <w:rPr>
          <w:rStyle w:val="EndnoteReference"/>
        </w:rPr>
        <w:endnoteRef/>
      </w:r>
      <w:r w:rsidRPr="00D05A9C">
        <w:t xml:space="preserve"> </w:t>
      </w:r>
      <w:r w:rsidRPr="00D05A9C">
        <w:t xml:space="preserve">Special Rapporteur on torture, 2016 Report, </w:t>
      </w:r>
      <w:r w:rsidRPr="00D05A9C">
        <w:rPr>
          <w:i/>
        </w:rPr>
        <w:t xml:space="preserve">supra </w:t>
      </w:r>
      <w:r>
        <w:t>note 46</w:t>
      </w:r>
      <w:r w:rsidRPr="00D05A9C">
        <w:t>, para. 47.</w:t>
      </w:r>
    </w:p>
  </w:endnote>
  <w:endnote w:id="49">
    <w:p w14:paraId="797868D3" w14:textId="6FE193BC" w:rsidR="00EB6BE1" w:rsidRPr="00D05A9C" w:rsidRDefault="00EB6BE1" w:rsidP="003F08E2">
      <w:pPr>
        <w:pStyle w:val="EndnoteText"/>
      </w:pPr>
      <w:r w:rsidRPr="00D05A9C">
        <w:rPr>
          <w:rStyle w:val="EndnoteReference"/>
        </w:rPr>
        <w:endnoteRef/>
      </w:r>
      <w:r w:rsidRPr="00D05A9C">
        <w:t xml:space="preserve"> </w:t>
      </w:r>
      <w:r w:rsidRPr="00D05A9C">
        <w:rPr>
          <w:i/>
        </w:rPr>
        <w:t>See, e.g.</w:t>
      </w:r>
      <w:r w:rsidRPr="00D05A9C">
        <w:t>, N.B. v. Slovakia, No. 29518/10 Eur. Ct. H.R., paras. 78 - 81 (2012).</w:t>
      </w:r>
    </w:p>
  </w:endnote>
  <w:endnote w:id="50">
    <w:p w14:paraId="1B5A5DF1" w14:textId="3006CE86" w:rsidR="00EB6BE1" w:rsidRPr="00D05A9C" w:rsidRDefault="00EB6BE1" w:rsidP="001A7DF2">
      <w:pPr>
        <w:pStyle w:val="Sinespaciado"/>
        <w:rPr>
          <w:sz w:val="20"/>
          <w:szCs w:val="20"/>
        </w:rPr>
      </w:pPr>
      <w:r w:rsidRPr="00D05A9C">
        <w:rPr>
          <w:rStyle w:val="EndnoteReference"/>
          <w:sz w:val="20"/>
          <w:szCs w:val="20"/>
        </w:rPr>
        <w:endnoteRef/>
      </w:r>
      <w:r w:rsidRPr="00D05A9C">
        <w:rPr>
          <w:sz w:val="20"/>
          <w:szCs w:val="20"/>
          <w:lang w:val="sk-SK"/>
        </w:rPr>
        <w:t xml:space="preserve"> </w:t>
      </w:r>
      <w:r w:rsidRPr="00D05A9C">
        <w:rPr>
          <w:sz w:val="20"/>
          <w:szCs w:val="20"/>
          <w:lang w:val="pt-BR"/>
        </w:rPr>
        <w:t>Zákon č. 73/1986 Zb. o umelom prerušení tehotenstva v znení zákona č. 419/1991 Zb.</w:t>
      </w:r>
      <w:r w:rsidRPr="00D05A9C">
        <w:rPr>
          <w:i/>
          <w:iCs/>
          <w:sz w:val="20"/>
          <w:szCs w:val="20"/>
          <w:lang w:val="pt-BR"/>
        </w:rPr>
        <w:t xml:space="preserve"> </w:t>
      </w:r>
      <w:r w:rsidRPr="00D05A9C">
        <w:rPr>
          <w:sz w:val="20"/>
          <w:szCs w:val="20"/>
        </w:rPr>
        <w:t>[Act No. 73/1986 Coll. on Artificial Termination of Pregnancy as amended by the Act No. 419/1991 Coll.] (1986), secs. 4–5 [hereinafter Act No. 73/1986 Coll.] (</w:t>
      </w:r>
      <w:proofErr w:type="spellStart"/>
      <w:r w:rsidRPr="00D05A9C">
        <w:rPr>
          <w:sz w:val="20"/>
          <w:szCs w:val="20"/>
        </w:rPr>
        <w:t>Slovk</w:t>
      </w:r>
      <w:proofErr w:type="spellEnd"/>
      <w:r w:rsidRPr="00D05A9C">
        <w:rPr>
          <w:sz w:val="20"/>
          <w:szCs w:val="20"/>
        </w:rPr>
        <w:t xml:space="preserve">.); </w:t>
      </w:r>
      <w:proofErr w:type="spellStart"/>
      <w:r w:rsidRPr="00D05A9C">
        <w:rPr>
          <w:sz w:val="20"/>
          <w:szCs w:val="20"/>
        </w:rPr>
        <w:t>Vyhláška</w:t>
      </w:r>
      <w:proofErr w:type="spellEnd"/>
      <w:r w:rsidRPr="00D05A9C">
        <w:rPr>
          <w:sz w:val="20"/>
          <w:szCs w:val="20"/>
        </w:rPr>
        <w:t xml:space="preserve"> </w:t>
      </w:r>
      <w:proofErr w:type="spellStart"/>
      <w:r w:rsidRPr="00D05A9C">
        <w:rPr>
          <w:sz w:val="20"/>
          <w:szCs w:val="20"/>
        </w:rPr>
        <w:t>Ministerstva</w:t>
      </w:r>
      <w:proofErr w:type="spellEnd"/>
      <w:r w:rsidRPr="00D05A9C">
        <w:rPr>
          <w:sz w:val="20"/>
          <w:szCs w:val="20"/>
        </w:rPr>
        <w:t xml:space="preserve"> </w:t>
      </w:r>
      <w:proofErr w:type="spellStart"/>
      <w:r w:rsidRPr="00D05A9C">
        <w:rPr>
          <w:sz w:val="20"/>
          <w:szCs w:val="20"/>
        </w:rPr>
        <w:t>zdravotníctva</w:t>
      </w:r>
      <w:proofErr w:type="spellEnd"/>
      <w:r w:rsidRPr="00D05A9C">
        <w:rPr>
          <w:sz w:val="20"/>
          <w:szCs w:val="20"/>
        </w:rPr>
        <w:t xml:space="preserve"> SSR č. 74/1986 </w:t>
      </w:r>
      <w:proofErr w:type="spellStart"/>
      <w:r w:rsidRPr="00D05A9C">
        <w:rPr>
          <w:sz w:val="20"/>
          <w:szCs w:val="20"/>
        </w:rPr>
        <w:t>Zb</w:t>
      </w:r>
      <w:proofErr w:type="spellEnd"/>
      <w:r w:rsidRPr="00D05A9C">
        <w:rPr>
          <w:sz w:val="20"/>
          <w:szCs w:val="20"/>
        </w:rPr>
        <w:t xml:space="preserve">., </w:t>
      </w:r>
      <w:proofErr w:type="spellStart"/>
      <w:r w:rsidRPr="00D05A9C">
        <w:rPr>
          <w:sz w:val="20"/>
          <w:szCs w:val="20"/>
        </w:rPr>
        <w:t>ktorou</w:t>
      </w:r>
      <w:proofErr w:type="spellEnd"/>
      <w:r w:rsidRPr="00D05A9C">
        <w:rPr>
          <w:sz w:val="20"/>
          <w:szCs w:val="20"/>
        </w:rPr>
        <w:t xml:space="preserve"> </w:t>
      </w:r>
      <w:proofErr w:type="spellStart"/>
      <w:r w:rsidRPr="00D05A9C">
        <w:rPr>
          <w:sz w:val="20"/>
          <w:szCs w:val="20"/>
        </w:rPr>
        <w:t>sa</w:t>
      </w:r>
      <w:proofErr w:type="spellEnd"/>
      <w:r w:rsidRPr="00D05A9C">
        <w:rPr>
          <w:sz w:val="20"/>
          <w:szCs w:val="20"/>
        </w:rPr>
        <w:t xml:space="preserve"> </w:t>
      </w:r>
      <w:proofErr w:type="spellStart"/>
      <w:r w:rsidRPr="00D05A9C">
        <w:rPr>
          <w:sz w:val="20"/>
          <w:szCs w:val="20"/>
        </w:rPr>
        <w:t>vykonáva</w:t>
      </w:r>
      <w:proofErr w:type="spellEnd"/>
      <w:r w:rsidRPr="00D05A9C">
        <w:rPr>
          <w:sz w:val="20"/>
          <w:szCs w:val="20"/>
        </w:rPr>
        <w:t xml:space="preserve"> </w:t>
      </w:r>
      <w:proofErr w:type="spellStart"/>
      <w:r w:rsidRPr="00D05A9C">
        <w:rPr>
          <w:sz w:val="20"/>
          <w:szCs w:val="20"/>
        </w:rPr>
        <w:t>zákon</w:t>
      </w:r>
      <w:proofErr w:type="spellEnd"/>
      <w:r w:rsidRPr="00D05A9C">
        <w:rPr>
          <w:sz w:val="20"/>
          <w:szCs w:val="20"/>
        </w:rPr>
        <w:t xml:space="preserve"> </w:t>
      </w:r>
      <w:proofErr w:type="spellStart"/>
      <w:r w:rsidRPr="00D05A9C">
        <w:rPr>
          <w:sz w:val="20"/>
          <w:szCs w:val="20"/>
        </w:rPr>
        <w:t>Slovenskej</w:t>
      </w:r>
      <w:proofErr w:type="spellEnd"/>
      <w:r w:rsidRPr="00D05A9C">
        <w:rPr>
          <w:sz w:val="20"/>
          <w:szCs w:val="20"/>
        </w:rPr>
        <w:t xml:space="preserve"> </w:t>
      </w:r>
      <w:proofErr w:type="spellStart"/>
      <w:r w:rsidRPr="00D05A9C">
        <w:rPr>
          <w:sz w:val="20"/>
          <w:szCs w:val="20"/>
        </w:rPr>
        <w:t>národnej</w:t>
      </w:r>
      <w:proofErr w:type="spellEnd"/>
      <w:r w:rsidRPr="00D05A9C">
        <w:rPr>
          <w:sz w:val="20"/>
          <w:szCs w:val="20"/>
        </w:rPr>
        <w:t xml:space="preserve"> </w:t>
      </w:r>
      <w:proofErr w:type="spellStart"/>
      <w:r w:rsidRPr="00D05A9C">
        <w:rPr>
          <w:sz w:val="20"/>
          <w:szCs w:val="20"/>
        </w:rPr>
        <w:t>rady</w:t>
      </w:r>
      <w:proofErr w:type="spellEnd"/>
      <w:r w:rsidRPr="00D05A9C">
        <w:rPr>
          <w:sz w:val="20"/>
          <w:szCs w:val="20"/>
        </w:rPr>
        <w:t xml:space="preserve"> č. 73/1986 </w:t>
      </w:r>
      <w:proofErr w:type="spellStart"/>
      <w:r w:rsidRPr="00D05A9C">
        <w:rPr>
          <w:sz w:val="20"/>
          <w:szCs w:val="20"/>
        </w:rPr>
        <w:t>Zb</w:t>
      </w:r>
      <w:proofErr w:type="spellEnd"/>
      <w:r w:rsidRPr="00D05A9C">
        <w:rPr>
          <w:sz w:val="20"/>
          <w:szCs w:val="20"/>
        </w:rPr>
        <w:t xml:space="preserve">. o </w:t>
      </w:r>
      <w:proofErr w:type="spellStart"/>
      <w:r w:rsidRPr="00D05A9C">
        <w:rPr>
          <w:sz w:val="20"/>
          <w:szCs w:val="20"/>
        </w:rPr>
        <w:t>umelom</w:t>
      </w:r>
      <w:proofErr w:type="spellEnd"/>
      <w:r w:rsidRPr="00D05A9C">
        <w:rPr>
          <w:sz w:val="20"/>
          <w:szCs w:val="20"/>
        </w:rPr>
        <w:t xml:space="preserve"> </w:t>
      </w:r>
      <w:proofErr w:type="spellStart"/>
      <w:r w:rsidRPr="00D05A9C">
        <w:rPr>
          <w:sz w:val="20"/>
          <w:szCs w:val="20"/>
        </w:rPr>
        <w:t>prerušení</w:t>
      </w:r>
      <w:proofErr w:type="spellEnd"/>
      <w:r w:rsidRPr="00D05A9C">
        <w:rPr>
          <w:sz w:val="20"/>
          <w:szCs w:val="20"/>
        </w:rPr>
        <w:t xml:space="preserve"> </w:t>
      </w:r>
      <w:proofErr w:type="spellStart"/>
      <w:r w:rsidRPr="00D05A9C">
        <w:rPr>
          <w:sz w:val="20"/>
          <w:szCs w:val="20"/>
        </w:rPr>
        <w:t>tehotenstva</w:t>
      </w:r>
      <w:proofErr w:type="spellEnd"/>
      <w:r w:rsidRPr="00D05A9C">
        <w:rPr>
          <w:sz w:val="20"/>
          <w:szCs w:val="20"/>
        </w:rPr>
        <w:t xml:space="preserve">, v </w:t>
      </w:r>
      <w:proofErr w:type="spellStart"/>
      <w:r w:rsidRPr="00D05A9C">
        <w:rPr>
          <w:sz w:val="20"/>
          <w:szCs w:val="20"/>
        </w:rPr>
        <w:t>znení</w:t>
      </w:r>
      <w:proofErr w:type="spellEnd"/>
      <w:r w:rsidRPr="00D05A9C">
        <w:rPr>
          <w:sz w:val="20"/>
          <w:szCs w:val="20"/>
        </w:rPr>
        <w:t xml:space="preserve"> </w:t>
      </w:r>
      <w:proofErr w:type="spellStart"/>
      <w:r w:rsidRPr="00D05A9C">
        <w:rPr>
          <w:sz w:val="20"/>
          <w:szCs w:val="20"/>
        </w:rPr>
        <w:t>neskorších</w:t>
      </w:r>
      <w:proofErr w:type="spellEnd"/>
      <w:r w:rsidRPr="00D05A9C">
        <w:rPr>
          <w:sz w:val="20"/>
          <w:szCs w:val="20"/>
        </w:rPr>
        <w:t xml:space="preserve"> </w:t>
      </w:r>
      <w:proofErr w:type="spellStart"/>
      <w:r w:rsidRPr="00D05A9C">
        <w:rPr>
          <w:sz w:val="20"/>
          <w:szCs w:val="20"/>
        </w:rPr>
        <w:t>zmien</w:t>
      </w:r>
      <w:proofErr w:type="spellEnd"/>
      <w:r w:rsidRPr="00D05A9C">
        <w:rPr>
          <w:sz w:val="20"/>
          <w:szCs w:val="20"/>
        </w:rPr>
        <w:t xml:space="preserve"> [Decree of the Ministry of Health of the SSR No. 74/1986 Coll., which exercises Act No. 73/1986 Coll. on Artificial Termination of Pregnancy, as amended], sec. 2 (</w:t>
      </w:r>
      <w:proofErr w:type="spellStart"/>
      <w:r w:rsidRPr="00D05A9C">
        <w:rPr>
          <w:sz w:val="20"/>
          <w:szCs w:val="20"/>
        </w:rPr>
        <w:t>Slovk</w:t>
      </w:r>
      <w:proofErr w:type="spellEnd"/>
      <w:r w:rsidRPr="00D05A9C">
        <w:rPr>
          <w:sz w:val="20"/>
          <w:szCs w:val="20"/>
        </w:rPr>
        <w:t>.).</w:t>
      </w:r>
    </w:p>
  </w:endnote>
  <w:endnote w:id="51">
    <w:p w14:paraId="76245BED" w14:textId="28A88BD3" w:rsidR="00EB6BE1" w:rsidRPr="00D05A9C" w:rsidRDefault="00EB6BE1">
      <w:pPr>
        <w:pStyle w:val="EndnoteText"/>
      </w:pPr>
      <w:r w:rsidRPr="00D05A9C">
        <w:rPr>
          <w:rStyle w:val="EndnoteReference"/>
        </w:rPr>
        <w:endnoteRef/>
      </w:r>
      <w:r w:rsidRPr="00D05A9C">
        <w:t xml:space="preserve"> </w:t>
      </w:r>
      <w:r w:rsidRPr="00D05A9C">
        <w:t xml:space="preserve">A number of retrogressive measures were introduced in 2009. Besides mandatory waiting period and biased counseling requirements, the 2009 amendment also requires doctors to send a report to the National Health Information Centre confirming that each woman seeking abortion has received this information. The Centre is responsible for receiving and evaluating these reports, as well as for overseeing compliance with the mandatory waiting period. The required reports must contain a woman’s personal details and must be submitted before an abortion is performed. This gives rise to a range of confidentiality concerns. Moreover, the 2009 amendment extended parental consent requirements to include all adolescent girls under 18. </w:t>
      </w:r>
      <w:r w:rsidRPr="00D05A9C">
        <w:rPr>
          <w:i/>
        </w:rPr>
        <w:t>See</w:t>
      </w:r>
      <w:r w:rsidRPr="00D05A9C">
        <w:t xml:space="preserve"> Zákon č. 576/2004 Z. z. o zdravotnej starostlivosti, službách súvisiacich s poskytovaním zdravotnej starostlivosti a o zmene a doplnení niektorých zákonov v znení zákona č. 345/2009 Z.z. [Act No. 576/2004 Coll. of Laws on Healthcare, Healthcare-related Services, and Amending and Supplementing Certain Acts </w:t>
      </w:r>
      <w:r w:rsidRPr="00D05A9C">
        <w:rPr>
          <w:i/>
          <w:iCs/>
        </w:rPr>
        <w:t>as amended</w:t>
      </w:r>
      <w:r w:rsidRPr="00D05A9C">
        <w:t xml:space="preserve"> </w:t>
      </w:r>
      <w:r w:rsidRPr="00D05A9C">
        <w:rPr>
          <w:i/>
        </w:rPr>
        <w:t xml:space="preserve">by </w:t>
      </w:r>
      <w:r w:rsidRPr="00D05A9C">
        <w:t xml:space="preserve">the Act No. 345/2009 Coll. of Laws] (Slovk.) [hereinafter Healthcare Act, No. 576/2004 </w:t>
      </w:r>
      <w:r w:rsidRPr="00D05A9C">
        <w:rPr>
          <w:i/>
          <w:iCs/>
        </w:rPr>
        <w:t>as amended</w:t>
      </w:r>
      <w:r w:rsidRPr="00D05A9C">
        <w:t xml:space="preserve"> </w:t>
      </w:r>
      <w:r w:rsidRPr="00D05A9C">
        <w:rPr>
          <w:i/>
        </w:rPr>
        <w:t xml:space="preserve">by </w:t>
      </w:r>
      <w:r w:rsidRPr="00D05A9C">
        <w:t>the Act No. 345/2009], secs. 6b</w:t>
      </w:r>
      <w:r>
        <w:t>,</w:t>
      </w:r>
      <w:r w:rsidRPr="00D05A9C">
        <w:t xml:space="preserve"> 6c; Vyhláška MZ SR č. 417/2009 Z. z., ktorou sa ustanovujú podrobnosti o informáciách poskytovaných žene a hlásenia o poskytnutí informácií, vzor písomných informácií a určuje sa organizácia zodpovedná za prijímanie a vyhodnocovanie hlásenia [Decree of the Ministry of Health of the Slovak Republic No. 417/2009 Coll. of Laws on Laying Down Details for Information Provided to a Woman, for Notification of the Provision of Information and the Model of Written Information, and Designating an Entity Responsible for the Receipt and Evaluation of Notifications] (Slovk.) [hereinafter Decree No. 417/2009]</w:t>
      </w:r>
      <w:r>
        <w:t xml:space="preserve">; </w:t>
      </w:r>
      <w:r w:rsidRPr="00A947AC">
        <w:t xml:space="preserve">National Health Information Center, </w:t>
      </w:r>
      <w:r w:rsidRPr="00A947AC">
        <w:rPr>
          <w:i/>
        </w:rPr>
        <w:t>Hlásenie o poskytnutí informácii o umelom prerušení tehotenstva,</w:t>
      </w:r>
      <w:r>
        <w:rPr>
          <w:i/>
        </w:rPr>
        <w:t xml:space="preserve"> </w:t>
      </w:r>
      <w:r w:rsidRPr="00A947AC">
        <w:t>http://data.nczisk.sk/zdravotny_stav/Z9-99.pdf (last visited Sept. 15, 2016).</w:t>
      </w:r>
      <w:r w:rsidRPr="00D05A9C">
        <w:t xml:space="preserve"> Treaty Monitoring Bodies have expressed concerns with regard to those requirements and urged Slovakia to remove them. </w:t>
      </w:r>
      <w:r w:rsidRPr="00D05A9C">
        <w:rPr>
          <w:i/>
        </w:rPr>
        <w:t>See</w:t>
      </w:r>
      <w:r w:rsidRPr="00D05A9C">
        <w:t xml:space="preserve"> Committee on Economic, Social and Cultural Rights </w:t>
      </w:r>
      <w:r>
        <w:t>(</w:t>
      </w:r>
      <w:r w:rsidRPr="00D05A9C">
        <w:t>CESCR</w:t>
      </w:r>
      <w:r>
        <w:t>)</w:t>
      </w:r>
      <w:r w:rsidRPr="00D05A9C">
        <w:t xml:space="preserve">, </w:t>
      </w:r>
      <w:r w:rsidRPr="00D05A9C">
        <w:rPr>
          <w:i/>
        </w:rPr>
        <w:t>Concluding Observations: Slovakia</w:t>
      </w:r>
      <w:r w:rsidRPr="00D05A9C">
        <w:t xml:space="preserve">, para. 25, U.N. Doc. E/C.12/SVK/CO/2 (2012); CEDAW, </w:t>
      </w:r>
      <w:r w:rsidRPr="00D05A9C">
        <w:rPr>
          <w:i/>
        </w:rPr>
        <w:t>Concluding Observations: Slovakia</w:t>
      </w:r>
      <w:r w:rsidRPr="00D05A9C">
        <w:t xml:space="preserve">, paras. 30(c), 31(c)(f), U.N. Doc. CEDAW/C/SVK/CO/5-6 (2015); CRC,  </w:t>
      </w:r>
      <w:r w:rsidRPr="00D05A9C">
        <w:rPr>
          <w:i/>
        </w:rPr>
        <w:t>Concluding Observations: Slovakia</w:t>
      </w:r>
      <w:r w:rsidRPr="00D05A9C">
        <w:t xml:space="preserve">, para. 41(c), U.N. Doc. CRC/C/SVK/CO/3-5 (2016). </w:t>
      </w:r>
    </w:p>
  </w:endnote>
  <w:endnote w:id="52">
    <w:p w14:paraId="01540DE7" w14:textId="310E2995" w:rsidR="00EB6BE1" w:rsidRPr="00D05A9C" w:rsidRDefault="00EB6BE1" w:rsidP="008E7A73">
      <w:pPr>
        <w:pStyle w:val="Sinespaciado"/>
        <w:rPr>
          <w:sz w:val="20"/>
          <w:szCs w:val="20"/>
        </w:rPr>
      </w:pPr>
      <w:r w:rsidRPr="00D05A9C">
        <w:rPr>
          <w:rStyle w:val="EndnoteReference"/>
          <w:sz w:val="20"/>
          <w:szCs w:val="20"/>
        </w:rPr>
        <w:endnoteRef/>
      </w:r>
      <w:r w:rsidRPr="00D05A9C">
        <w:rPr>
          <w:sz w:val="20"/>
          <w:szCs w:val="20"/>
        </w:rPr>
        <w:t xml:space="preserve"> Healthcare Act, No. 576/2004 </w:t>
      </w:r>
      <w:r w:rsidRPr="00D05A9C">
        <w:rPr>
          <w:i/>
          <w:iCs/>
          <w:sz w:val="20"/>
          <w:szCs w:val="20"/>
        </w:rPr>
        <w:t>as amended</w:t>
      </w:r>
      <w:r w:rsidRPr="00D05A9C">
        <w:rPr>
          <w:sz w:val="20"/>
          <w:szCs w:val="20"/>
        </w:rPr>
        <w:t xml:space="preserve"> </w:t>
      </w:r>
      <w:r w:rsidRPr="00D05A9C">
        <w:rPr>
          <w:i/>
          <w:sz w:val="20"/>
          <w:szCs w:val="20"/>
        </w:rPr>
        <w:t xml:space="preserve">by </w:t>
      </w:r>
      <w:r w:rsidRPr="00D05A9C">
        <w:rPr>
          <w:sz w:val="20"/>
          <w:szCs w:val="20"/>
        </w:rPr>
        <w:t xml:space="preserve">the Act No. 345/2009, </w:t>
      </w:r>
      <w:r w:rsidRPr="00D05A9C">
        <w:rPr>
          <w:i/>
          <w:sz w:val="20"/>
          <w:szCs w:val="20"/>
        </w:rPr>
        <w:t>supra</w:t>
      </w:r>
      <w:r>
        <w:rPr>
          <w:sz w:val="20"/>
          <w:szCs w:val="20"/>
        </w:rPr>
        <w:t xml:space="preserve"> note 50</w:t>
      </w:r>
      <w:r w:rsidRPr="00D05A9C">
        <w:rPr>
          <w:sz w:val="20"/>
          <w:szCs w:val="20"/>
        </w:rPr>
        <w:t xml:space="preserve">, sec. </w:t>
      </w:r>
      <w:proofErr w:type="gramStart"/>
      <w:r w:rsidRPr="00D05A9C">
        <w:rPr>
          <w:sz w:val="20"/>
          <w:szCs w:val="20"/>
        </w:rPr>
        <w:t>6b(</w:t>
      </w:r>
      <w:proofErr w:type="gramEnd"/>
      <w:r w:rsidRPr="00D05A9C">
        <w:rPr>
          <w:sz w:val="20"/>
          <w:szCs w:val="20"/>
        </w:rPr>
        <w:t>3).</w:t>
      </w:r>
    </w:p>
  </w:endnote>
  <w:endnote w:id="53">
    <w:p w14:paraId="10A60753" w14:textId="365EC92A" w:rsidR="00EB6BE1" w:rsidRPr="00D05A9C" w:rsidRDefault="00EB6BE1">
      <w:pPr>
        <w:pStyle w:val="EndnoteText"/>
      </w:pPr>
      <w:r w:rsidRPr="00D05A9C">
        <w:rPr>
          <w:rStyle w:val="EndnoteReference"/>
        </w:rPr>
        <w:endnoteRef/>
      </w:r>
      <w:r w:rsidRPr="00D05A9C">
        <w:t xml:space="preserve"> </w:t>
      </w:r>
      <w:r w:rsidRPr="00D05A9C">
        <w:t xml:space="preserve">Under international human rights law, the introduction of retrogressive measures - deliberately backward steps in law or policy that directly or indirectly impede or restrict enjoyment of a right - will almost never be permissible. Under the International Covenant on Economic, Social and Cultural Rights (ICESCR), this principle applies to the right to health and precludes the adoption of retrogressive measures in the health care sphere. </w:t>
      </w:r>
      <w:r w:rsidRPr="00D05A9C">
        <w:rPr>
          <w:i/>
        </w:rPr>
        <w:t>See</w:t>
      </w:r>
      <w:r w:rsidRPr="00D05A9C">
        <w:t xml:space="preserve"> C</w:t>
      </w:r>
      <w:r>
        <w:t>ESCR</w:t>
      </w:r>
      <w:r w:rsidRPr="00D05A9C">
        <w:t xml:space="preserve">, </w:t>
      </w:r>
      <w:r w:rsidRPr="00D05A9C">
        <w:rPr>
          <w:i/>
        </w:rPr>
        <w:t>General Comment No. 3: The Nature of States Parties’ Obligations (Art. 2, para. 1)</w:t>
      </w:r>
      <w:r w:rsidRPr="00D05A9C">
        <w:t xml:space="preserve">, (5th Sess., 1990), para. 9, U.N. Doc. E/1991/23 (1990); International Commission of Jurists, </w:t>
      </w:r>
      <w:r w:rsidRPr="00D05A9C">
        <w:rPr>
          <w:i/>
        </w:rPr>
        <w:t>Maastricht Guidelines on Violations of Economic, Social and Cultural Rights</w:t>
      </w:r>
      <w:r w:rsidRPr="00D05A9C">
        <w:t xml:space="preserve">, Guideline 14(e): Violations through Acts of Commission (1997), </w:t>
      </w:r>
      <w:r w:rsidRPr="00D05A9C">
        <w:rPr>
          <w:i/>
        </w:rPr>
        <w:t>available at</w:t>
      </w:r>
      <w:r w:rsidRPr="00D05A9C">
        <w:t xml:space="preserve"> http://www.refworld.org/docid/48abd5730.html; United Nations Commission on Human Rights, </w:t>
      </w:r>
      <w:r w:rsidRPr="00D05A9C">
        <w:rPr>
          <w:i/>
        </w:rPr>
        <w:t>Limburg Principles on the Implementation of the International Covenant on Economic, Social and Cultural Rights</w:t>
      </w:r>
      <w:r w:rsidRPr="00D05A9C">
        <w:t>, Principle 72, U.N. Doc. E/CN.4/1987/17 (1987).</w:t>
      </w:r>
    </w:p>
  </w:endnote>
  <w:endnote w:id="54">
    <w:p w14:paraId="4C73BBAB" w14:textId="6E2975FD" w:rsidR="00EB6BE1" w:rsidRPr="00D05A9C" w:rsidRDefault="00EB6BE1" w:rsidP="00B200D2">
      <w:pPr>
        <w:pStyle w:val="EndnoteText"/>
      </w:pPr>
      <w:r w:rsidRPr="00D05A9C">
        <w:rPr>
          <w:rStyle w:val="EndnoteReference"/>
        </w:rPr>
        <w:endnoteRef/>
      </w:r>
      <w:r w:rsidRPr="00D05A9C">
        <w:t xml:space="preserve"> </w:t>
      </w:r>
      <w:r w:rsidRPr="00D05A9C">
        <w:rPr>
          <w:i/>
        </w:rPr>
        <w:t>See</w:t>
      </w:r>
      <w:r w:rsidRPr="00D05A9C">
        <w:t xml:space="preserve"> Healthcare Act, No. 576/2004 </w:t>
      </w:r>
      <w:r w:rsidRPr="00D05A9C">
        <w:rPr>
          <w:i/>
          <w:iCs/>
        </w:rPr>
        <w:t>as amended</w:t>
      </w:r>
      <w:r w:rsidRPr="00D05A9C">
        <w:t xml:space="preserve"> </w:t>
      </w:r>
      <w:r w:rsidRPr="00D05A9C">
        <w:rPr>
          <w:i/>
        </w:rPr>
        <w:t xml:space="preserve">by </w:t>
      </w:r>
      <w:r w:rsidRPr="00D05A9C">
        <w:t xml:space="preserve">the Act No. 345/2009, </w:t>
      </w:r>
      <w:r w:rsidRPr="00D05A9C">
        <w:rPr>
          <w:i/>
        </w:rPr>
        <w:t>supra</w:t>
      </w:r>
      <w:r>
        <w:t xml:space="preserve"> note 50</w:t>
      </w:r>
      <w:r w:rsidRPr="00D05A9C">
        <w:t xml:space="preserve">, sec. 6b; </w:t>
      </w:r>
      <w:r w:rsidRPr="00D05A9C">
        <w:rPr>
          <w:i/>
        </w:rPr>
        <w:t>see also</w:t>
      </w:r>
      <w:r w:rsidRPr="00D05A9C">
        <w:t xml:space="preserve"> Decree No. 417/2009, </w:t>
      </w:r>
      <w:r w:rsidRPr="00D05A9C">
        <w:rPr>
          <w:i/>
        </w:rPr>
        <w:t>supra</w:t>
      </w:r>
      <w:r>
        <w:t xml:space="preserve"> note 50</w:t>
      </w:r>
      <w:r w:rsidRPr="00D05A9C">
        <w:t xml:space="preserve">. Women seeking abortion on request must also be provided with the required information in writing. A model for this written information is provided by the Ministry of Health in a decree implementing the Healthcare Act, No. 576/2004 </w:t>
      </w:r>
      <w:r w:rsidRPr="00D05A9C">
        <w:rPr>
          <w:i/>
          <w:iCs/>
        </w:rPr>
        <w:t>as amended</w:t>
      </w:r>
      <w:r w:rsidRPr="00D05A9C">
        <w:t xml:space="preserve"> </w:t>
      </w:r>
      <w:r w:rsidRPr="00D05A9C">
        <w:rPr>
          <w:i/>
        </w:rPr>
        <w:t xml:space="preserve">by </w:t>
      </w:r>
      <w:r w:rsidRPr="00D05A9C">
        <w:t>the</w:t>
      </w:r>
      <w:r w:rsidRPr="00D05A9C">
        <w:rPr>
          <w:i/>
        </w:rPr>
        <w:t xml:space="preserve"> </w:t>
      </w:r>
      <w:r w:rsidRPr="00D05A9C">
        <w:t xml:space="preserve">Act No. 345/2009. It suggests that written information on the risks of induced abortion should outline that “[t]he subsequent impaired ability or inability to become pregnant cannot be ruled out,” and that “[f]ollowing the induced termination of pregnancy, a woman may experience feelings of anxiety, guilt, sadness and depression.” This information provided should also include written information on the stage of fetal development, which the Ministry of Health specifies as information on “the result of the ultrasound examination, the length of pregnancy, and the development stage of the embryo or fetus.” Decree No. 417/2009, </w:t>
      </w:r>
      <w:r w:rsidRPr="00D05A9C">
        <w:rPr>
          <w:i/>
        </w:rPr>
        <w:t>supra</w:t>
      </w:r>
      <w:r>
        <w:t xml:space="preserve"> note 50</w:t>
      </w:r>
      <w:r w:rsidRPr="00D05A9C">
        <w:t xml:space="preserve">, Annex. Contrary to this decree, the Royal College of Obstetricians and Gynaecologists (United Kingdom) has recommended that “[w]omen should be informed that there are no proven associations between induced abortion and subsequent . . . infertility.” </w:t>
      </w:r>
      <w:r w:rsidRPr="00D05A9C">
        <w:rPr>
          <w:smallCaps/>
        </w:rPr>
        <w:t>Royal College of Obstetricians and Gyneacologists, The Care of Women Requesting Induced Abortion: Evidence-based Clinical Guideline Number 7</w:t>
      </w:r>
      <w:r w:rsidRPr="00D05A9C">
        <w:t xml:space="preserve"> 43-46 (2011), </w:t>
      </w:r>
      <w:r w:rsidRPr="00D05A9C">
        <w:rPr>
          <w:i/>
        </w:rPr>
        <w:t>available at</w:t>
      </w:r>
      <w:r w:rsidRPr="00D05A9C">
        <w:t xml:space="preserve"> https://www.rcog.org.uk/globalassets/documents/guidelines/abortion-guideline_web_1.pdf</w:t>
      </w:r>
      <w:r w:rsidRPr="00D05A9C">
        <w:rPr>
          <w:smallCaps/>
        </w:rPr>
        <w:t>.</w:t>
      </w:r>
      <w:r w:rsidRPr="00D05A9C">
        <w:t xml:space="preserve"> It has noted that “[p]ublished studies strongly suggest that infertility is not a consequence of uncomplicated induced abortion” performed in legal settings. </w:t>
      </w:r>
      <w:r w:rsidRPr="00D05A9C">
        <w:rPr>
          <w:i/>
        </w:rPr>
        <w:t>Id.</w:t>
      </w:r>
      <w:r w:rsidRPr="00D05A9C">
        <w:t xml:space="preserve"> at 44 (citations omitted). With regard to psychological sequelae, the Royal College has recommended that “[w]omen with an unintended pregnancy should be informed that the evidence suggests that they are no more or less likely to suffer adverse psychological sequelae whether they have an abortion or continue with the pregnancy and have the baby” and that “[w]omen with an unintended pregnancy and a past history of mental health problems should be advised that they may experience further problems whether they choose to have an abortion or to continue with the pregnancy.” </w:t>
      </w:r>
      <w:r w:rsidRPr="00D05A9C">
        <w:rPr>
          <w:i/>
        </w:rPr>
        <w:t>Id.</w:t>
      </w:r>
      <w:r w:rsidRPr="00D05A9C">
        <w:t xml:space="preserve"> at 45. </w:t>
      </w:r>
    </w:p>
  </w:endnote>
  <w:endnote w:id="55">
    <w:p w14:paraId="0EF35D2A" w14:textId="56E399AC" w:rsidR="00EB6BE1" w:rsidRPr="00D05A9C" w:rsidRDefault="00EB6BE1" w:rsidP="00B200D2">
      <w:pPr>
        <w:pStyle w:val="EndnoteText"/>
      </w:pPr>
      <w:r w:rsidRPr="00D05A9C">
        <w:rPr>
          <w:rStyle w:val="EndnoteReference"/>
        </w:rPr>
        <w:endnoteRef/>
      </w:r>
      <w:r w:rsidRPr="00D05A9C">
        <w:t xml:space="preserve"> </w:t>
      </w:r>
      <w:r w:rsidRPr="00D05A9C">
        <w:rPr>
          <w:i/>
        </w:rPr>
        <w:t>See</w:t>
      </w:r>
      <w:r w:rsidRPr="00D05A9C">
        <w:t xml:space="preserve"> </w:t>
      </w:r>
      <w:r w:rsidRPr="00D05A9C">
        <w:t xml:space="preserve">Healthcare Act, No. 576/2004 </w:t>
      </w:r>
      <w:r w:rsidRPr="00D05A9C">
        <w:rPr>
          <w:i/>
          <w:iCs/>
        </w:rPr>
        <w:t>as amended</w:t>
      </w:r>
      <w:r w:rsidRPr="00D05A9C">
        <w:t xml:space="preserve"> </w:t>
      </w:r>
      <w:r w:rsidRPr="00D05A9C">
        <w:rPr>
          <w:i/>
        </w:rPr>
        <w:t xml:space="preserve">by </w:t>
      </w:r>
      <w:r w:rsidRPr="00D05A9C">
        <w:t>the Act No. 345/2009,</w:t>
      </w:r>
      <w:r w:rsidRPr="00D05A9C">
        <w:rPr>
          <w:i/>
        </w:rPr>
        <w:t xml:space="preserve"> supra</w:t>
      </w:r>
      <w:r>
        <w:t xml:space="preserve"> note 50</w:t>
      </w:r>
      <w:r w:rsidRPr="00D05A9C">
        <w:t>, sec. 6(b).</w:t>
      </w:r>
    </w:p>
  </w:endnote>
  <w:endnote w:id="56">
    <w:p w14:paraId="2949BB5F" w14:textId="5ADEC85C" w:rsidR="00EB6BE1" w:rsidRPr="00D05A9C" w:rsidRDefault="00EB6BE1" w:rsidP="00B200D2">
      <w:pPr>
        <w:pStyle w:val="EndnoteText"/>
      </w:pPr>
      <w:r w:rsidRPr="00D05A9C">
        <w:rPr>
          <w:rStyle w:val="EndnoteReference"/>
        </w:rPr>
        <w:endnoteRef/>
      </w:r>
      <w:r w:rsidRPr="00D05A9C">
        <w:t xml:space="preserve"> </w:t>
      </w:r>
      <w:r w:rsidRPr="00D05A9C">
        <w:t xml:space="preserve">Healthcare </w:t>
      </w:r>
      <w:r w:rsidRPr="00D05A9C">
        <w:t xml:space="preserve">Act, No. 576/2004 </w:t>
      </w:r>
      <w:r w:rsidRPr="00D05A9C">
        <w:rPr>
          <w:i/>
          <w:iCs/>
        </w:rPr>
        <w:t>as amended</w:t>
      </w:r>
      <w:r w:rsidRPr="00D05A9C">
        <w:t xml:space="preserve"> </w:t>
      </w:r>
      <w:r w:rsidRPr="00D05A9C">
        <w:rPr>
          <w:i/>
        </w:rPr>
        <w:t xml:space="preserve">by </w:t>
      </w:r>
      <w:r w:rsidRPr="00D05A9C">
        <w:t xml:space="preserve">the Act No. 345/2009, </w:t>
      </w:r>
      <w:r w:rsidRPr="00D05A9C">
        <w:rPr>
          <w:i/>
        </w:rPr>
        <w:t>supra</w:t>
      </w:r>
      <w:r>
        <w:t xml:space="preserve"> note 50</w:t>
      </w:r>
      <w:r w:rsidRPr="00D05A9C">
        <w:t xml:space="preserve">, secs. 6(4), 6b; Decree No. 417/2009, </w:t>
      </w:r>
      <w:r w:rsidRPr="00D05A9C">
        <w:rPr>
          <w:i/>
        </w:rPr>
        <w:t>supra</w:t>
      </w:r>
      <w:r>
        <w:t xml:space="preserve"> note 50</w:t>
      </w:r>
      <w:r w:rsidRPr="00D05A9C">
        <w:t>.</w:t>
      </w:r>
    </w:p>
  </w:endnote>
  <w:endnote w:id="57">
    <w:p w14:paraId="0CA5FE50" w14:textId="77777777" w:rsidR="00EB6BE1" w:rsidRPr="00D05A9C" w:rsidRDefault="00EB6BE1" w:rsidP="00B200D2">
      <w:pPr>
        <w:pStyle w:val="EndnoteText"/>
      </w:pPr>
      <w:r w:rsidRPr="00D05A9C">
        <w:rPr>
          <w:rStyle w:val="EndnoteReference"/>
        </w:rPr>
        <w:endnoteRef/>
      </w:r>
      <w:r w:rsidRPr="00D05A9C">
        <w:t xml:space="preserve"> </w:t>
      </w:r>
      <w:r w:rsidRPr="00D05A9C">
        <w:rPr>
          <w:i/>
        </w:rPr>
        <w:t>See</w:t>
      </w:r>
      <w:r w:rsidRPr="00D05A9C">
        <w:t xml:space="preserve"> Dôvodová správa, tlač 1030 (2009) [Explanatory Report to the Act No. 345/2009] (Slovk.). “The purpose of the proposed amendment is to inform a woman requesting abortion on the alternatives in favor of the life of an unborn child.” </w:t>
      </w:r>
      <w:r w:rsidRPr="00D05A9C">
        <w:rPr>
          <w:i/>
        </w:rPr>
        <w:t>Id.</w:t>
      </w:r>
      <w:r w:rsidRPr="00D05A9C">
        <w:t xml:space="preserve"> part A. During a parliamentary debate about the bill, a member of the Slovak Parliament, one of the key supporters of the bill, explained that “[t]he aim of this amendment is to provide a woman who could be in a difficult life situation with the qualified information. This information is directed for her to decide in favor of life […]. The state has no obligation to be neutral on this matter. The state has a right to say that it prefers life, prefers life before termination of life and offers a helping hand.” (Daniel Lipšic, MP, Transcript from the debate on the Act No. 345/2009, print 1030, by the National Council of the Slovak Republic, 35th sess.) (Apr. 21, 2009), </w:t>
      </w:r>
      <w:r w:rsidRPr="00D05A9C">
        <w:rPr>
          <w:i/>
        </w:rPr>
        <w:t>transcript available at</w:t>
      </w:r>
      <w:r w:rsidRPr="00D05A9C">
        <w:t xml:space="preserve"> http://www.psp.cz/eknih/2006nr/stenprot/035schuz/s035024.htm. </w:t>
      </w:r>
    </w:p>
  </w:endnote>
  <w:endnote w:id="58">
    <w:p w14:paraId="5719EB86" w14:textId="2A4B0436" w:rsidR="00EB6BE1" w:rsidRPr="00D05A9C" w:rsidRDefault="00EB6BE1" w:rsidP="00307B1E">
      <w:pPr>
        <w:pStyle w:val="Sinespaciado"/>
        <w:rPr>
          <w:sz w:val="20"/>
          <w:szCs w:val="20"/>
        </w:rPr>
      </w:pPr>
      <w:r w:rsidRPr="00D05A9C">
        <w:rPr>
          <w:rStyle w:val="EndnoteReference"/>
          <w:sz w:val="20"/>
          <w:szCs w:val="20"/>
        </w:rPr>
        <w:endnoteRef/>
      </w:r>
      <w:r w:rsidRPr="00D05A9C">
        <w:rPr>
          <w:sz w:val="20"/>
          <w:szCs w:val="20"/>
        </w:rPr>
        <w:t xml:space="preserve"> </w:t>
      </w:r>
      <w:proofErr w:type="spellStart"/>
      <w:r w:rsidRPr="00D05A9C">
        <w:rPr>
          <w:sz w:val="20"/>
          <w:szCs w:val="20"/>
        </w:rPr>
        <w:t>Nariadenie</w:t>
      </w:r>
      <w:proofErr w:type="spellEnd"/>
      <w:r w:rsidRPr="00D05A9C">
        <w:rPr>
          <w:sz w:val="20"/>
          <w:szCs w:val="20"/>
        </w:rPr>
        <w:t xml:space="preserve"> </w:t>
      </w:r>
      <w:proofErr w:type="spellStart"/>
      <w:r w:rsidRPr="00D05A9C">
        <w:rPr>
          <w:sz w:val="20"/>
          <w:szCs w:val="20"/>
        </w:rPr>
        <w:t>vlády</w:t>
      </w:r>
      <w:proofErr w:type="spellEnd"/>
      <w:r w:rsidRPr="00D05A9C">
        <w:rPr>
          <w:sz w:val="20"/>
          <w:szCs w:val="20"/>
        </w:rPr>
        <w:t xml:space="preserve"> SR č. 777/2004 </w:t>
      </w:r>
      <w:proofErr w:type="spellStart"/>
      <w:r w:rsidRPr="00D05A9C">
        <w:rPr>
          <w:sz w:val="20"/>
          <w:szCs w:val="20"/>
        </w:rPr>
        <w:t>Z.z</w:t>
      </w:r>
      <w:proofErr w:type="spellEnd"/>
      <w:r w:rsidRPr="00D05A9C">
        <w:rPr>
          <w:sz w:val="20"/>
          <w:szCs w:val="20"/>
        </w:rPr>
        <w:t xml:space="preserve">., </w:t>
      </w:r>
      <w:proofErr w:type="spellStart"/>
      <w:r w:rsidRPr="00D05A9C">
        <w:rPr>
          <w:sz w:val="20"/>
          <w:szCs w:val="20"/>
        </w:rPr>
        <w:t>ktorým</w:t>
      </w:r>
      <w:proofErr w:type="spellEnd"/>
      <w:r w:rsidRPr="00D05A9C">
        <w:rPr>
          <w:sz w:val="20"/>
          <w:szCs w:val="20"/>
        </w:rPr>
        <w:t xml:space="preserve"> </w:t>
      </w:r>
      <w:proofErr w:type="spellStart"/>
      <w:r w:rsidRPr="00D05A9C">
        <w:rPr>
          <w:sz w:val="20"/>
          <w:szCs w:val="20"/>
        </w:rPr>
        <w:t>sa</w:t>
      </w:r>
      <w:proofErr w:type="spellEnd"/>
      <w:r w:rsidRPr="00D05A9C">
        <w:rPr>
          <w:sz w:val="20"/>
          <w:szCs w:val="20"/>
        </w:rPr>
        <w:t xml:space="preserve"> </w:t>
      </w:r>
      <w:proofErr w:type="spellStart"/>
      <w:r w:rsidRPr="00D05A9C">
        <w:rPr>
          <w:sz w:val="20"/>
          <w:szCs w:val="20"/>
        </w:rPr>
        <w:t>vydáva</w:t>
      </w:r>
      <w:proofErr w:type="spellEnd"/>
      <w:r w:rsidRPr="00D05A9C">
        <w:rPr>
          <w:sz w:val="20"/>
          <w:szCs w:val="20"/>
        </w:rPr>
        <w:t xml:space="preserve"> </w:t>
      </w:r>
      <w:proofErr w:type="spellStart"/>
      <w:r w:rsidRPr="00D05A9C">
        <w:rPr>
          <w:sz w:val="20"/>
          <w:szCs w:val="20"/>
        </w:rPr>
        <w:t>Zoznam</w:t>
      </w:r>
      <w:proofErr w:type="spellEnd"/>
      <w:r w:rsidRPr="00D05A9C">
        <w:rPr>
          <w:sz w:val="20"/>
          <w:szCs w:val="20"/>
        </w:rPr>
        <w:t xml:space="preserve"> </w:t>
      </w:r>
      <w:proofErr w:type="spellStart"/>
      <w:r w:rsidRPr="00D05A9C">
        <w:rPr>
          <w:sz w:val="20"/>
          <w:szCs w:val="20"/>
        </w:rPr>
        <w:t>chorôb</w:t>
      </w:r>
      <w:proofErr w:type="spellEnd"/>
      <w:r w:rsidRPr="00D05A9C">
        <w:rPr>
          <w:sz w:val="20"/>
          <w:szCs w:val="20"/>
        </w:rPr>
        <w:t xml:space="preserve">, </w:t>
      </w:r>
      <w:proofErr w:type="spellStart"/>
      <w:r w:rsidRPr="00D05A9C">
        <w:rPr>
          <w:sz w:val="20"/>
          <w:szCs w:val="20"/>
        </w:rPr>
        <w:t>pri</w:t>
      </w:r>
      <w:proofErr w:type="spellEnd"/>
      <w:r w:rsidRPr="00D05A9C">
        <w:rPr>
          <w:sz w:val="20"/>
          <w:szCs w:val="20"/>
        </w:rPr>
        <w:t xml:space="preserve"> </w:t>
      </w:r>
      <w:proofErr w:type="spellStart"/>
      <w:r w:rsidRPr="00D05A9C">
        <w:rPr>
          <w:sz w:val="20"/>
          <w:szCs w:val="20"/>
        </w:rPr>
        <w:t>ktorých</w:t>
      </w:r>
      <w:proofErr w:type="spellEnd"/>
      <w:r w:rsidRPr="00D05A9C">
        <w:rPr>
          <w:sz w:val="20"/>
          <w:szCs w:val="20"/>
        </w:rPr>
        <w:t xml:space="preserve"> </w:t>
      </w:r>
      <w:proofErr w:type="spellStart"/>
      <w:r w:rsidRPr="00D05A9C">
        <w:rPr>
          <w:sz w:val="20"/>
          <w:szCs w:val="20"/>
        </w:rPr>
        <w:t>sa</w:t>
      </w:r>
      <w:proofErr w:type="spellEnd"/>
      <w:r w:rsidRPr="00D05A9C">
        <w:rPr>
          <w:sz w:val="20"/>
          <w:szCs w:val="20"/>
        </w:rPr>
        <w:t xml:space="preserve"> </w:t>
      </w:r>
      <w:proofErr w:type="spellStart"/>
      <w:r w:rsidRPr="00D05A9C">
        <w:rPr>
          <w:sz w:val="20"/>
          <w:szCs w:val="20"/>
        </w:rPr>
        <w:t>zdravotné</w:t>
      </w:r>
      <w:proofErr w:type="spellEnd"/>
      <w:r w:rsidRPr="00D05A9C">
        <w:rPr>
          <w:sz w:val="20"/>
          <w:szCs w:val="20"/>
        </w:rPr>
        <w:t xml:space="preserve"> </w:t>
      </w:r>
      <w:proofErr w:type="spellStart"/>
      <w:r w:rsidRPr="00D05A9C">
        <w:rPr>
          <w:sz w:val="20"/>
          <w:szCs w:val="20"/>
        </w:rPr>
        <w:t>výkony</w:t>
      </w:r>
      <w:proofErr w:type="spellEnd"/>
      <w:r w:rsidRPr="00D05A9C">
        <w:rPr>
          <w:sz w:val="20"/>
          <w:szCs w:val="20"/>
        </w:rPr>
        <w:t xml:space="preserve"> </w:t>
      </w:r>
      <w:proofErr w:type="spellStart"/>
      <w:r w:rsidRPr="00D05A9C">
        <w:rPr>
          <w:sz w:val="20"/>
          <w:szCs w:val="20"/>
        </w:rPr>
        <w:t>čiastočne</w:t>
      </w:r>
      <w:proofErr w:type="spellEnd"/>
      <w:r w:rsidRPr="00D05A9C">
        <w:rPr>
          <w:sz w:val="20"/>
          <w:szCs w:val="20"/>
        </w:rPr>
        <w:t xml:space="preserve"> </w:t>
      </w:r>
      <w:proofErr w:type="spellStart"/>
      <w:r w:rsidRPr="00D05A9C">
        <w:rPr>
          <w:sz w:val="20"/>
          <w:szCs w:val="20"/>
        </w:rPr>
        <w:t>uhrádzajú</w:t>
      </w:r>
      <w:proofErr w:type="spellEnd"/>
      <w:r w:rsidRPr="00D05A9C">
        <w:rPr>
          <w:sz w:val="20"/>
          <w:szCs w:val="20"/>
        </w:rPr>
        <w:t xml:space="preserve"> </w:t>
      </w:r>
      <w:proofErr w:type="spellStart"/>
      <w:r w:rsidRPr="00D05A9C">
        <w:rPr>
          <w:sz w:val="20"/>
          <w:szCs w:val="20"/>
        </w:rPr>
        <w:t>alebo</w:t>
      </w:r>
      <w:proofErr w:type="spellEnd"/>
      <w:r w:rsidRPr="00D05A9C">
        <w:rPr>
          <w:sz w:val="20"/>
          <w:szCs w:val="20"/>
        </w:rPr>
        <w:t xml:space="preserve"> </w:t>
      </w:r>
      <w:proofErr w:type="spellStart"/>
      <w:r w:rsidRPr="00D05A9C">
        <w:rPr>
          <w:sz w:val="20"/>
          <w:szCs w:val="20"/>
        </w:rPr>
        <w:t>sa</w:t>
      </w:r>
      <w:proofErr w:type="spellEnd"/>
      <w:r w:rsidRPr="00D05A9C">
        <w:rPr>
          <w:sz w:val="20"/>
          <w:szCs w:val="20"/>
        </w:rPr>
        <w:t xml:space="preserve"> </w:t>
      </w:r>
      <w:proofErr w:type="spellStart"/>
      <w:r w:rsidRPr="00D05A9C">
        <w:rPr>
          <w:sz w:val="20"/>
          <w:szCs w:val="20"/>
        </w:rPr>
        <w:t>neuhrádzajú</w:t>
      </w:r>
      <w:proofErr w:type="spellEnd"/>
      <w:r w:rsidRPr="00D05A9C">
        <w:rPr>
          <w:sz w:val="20"/>
          <w:szCs w:val="20"/>
        </w:rPr>
        <w:t xml:space="preserve"> </w:t>
      </w:r>
      <w:proofErr w:type="spellStart"/>
      <w:r w:rsidRPr="00D05A9C">
        <w:rPr>
          <w:sz w:val="20"/>
          <w:szCs w:val="20"/>
        </w:rPr>
        <w:t>na</w:t>
      </w:r>
      <w:proofErr w:type="spellEnd"/>
      <w:r w:rsidRPr="00D05A9C">
        <w:rPr>
          <w:sz w:val="20"/>
          <w:szCs w:val="20"/>
        </w:rPr>
        <w:t xml:space="preserve"> </w:t>
      </w:r>
      <w:proofErr w:type="spellStart"/>
      <w:r w:rsidRPr="00D05A9C">
        <w:rPr>
          <w:sz w:val="20"/>
          <w:szCs w:val="20"/>
        </w:rPr>
        <w:t>základe</w:t>
      </w:r>
      <w:proofErr w:type="spellEnd"/>
      <w:r w:rsidRPr="00D05A9C">
        <w:rPr>
          <w:sz w:val="20"/>
          <w:szCs w:val="20"/>
        </w:rPr>
        <w:t xml:space="preserve"> </w:t>
      </w:r>
      <w:proofErr w:type="spellStart"/>
      <w:r w:rsidRPr="00D05A9C">
        <w:rPr>
          <w:sz w:val="20"/>
          <w:szCs w:val="20"/>
        </w:rPr>
        <w:t>verejného</w:t>
      </w:r>
      <w:proofErr w:type="spellEnd"/>
      <w:r w:rsidRPr="00D05A9C">
        <w:rPr>
          <w:sz w:val="20"/>
          <w:szCs w:val="20"/>
        </w:rPr>
        <w:t xml:space="preserve"> </w:t>
      </w:r>
      <w:proofErr w:type="spellStart"/>
      <w:r w:rsidRPr="00D05A9C">
        <w:rPr>
          <w:sz w:val="20"/>
          <w:szCs w:val="20"/>
        </w:rPr>
        <w:t>zdravotného</w:t>
      </w:r>
      <w:proofErr w:type="spellEnd"/>
      <w:r w:rsidRPr="00D05A9C">
        <w:rPr>
          <w:sz w:val="20"/>
          <w:szCs w:val="20"/>
        </w:rPr>
        <w:t xml:space="preserve"> </w:t>
      </w:r>
      <w:proofErr w:type="spellStart"/>
      <w:r w:rsidRPr="00D05A9C">
        <w:rPr>
          <w:sz w:val="20"/>
          <w:szCs w:val="20"/>
        </w:rPr>
        <w:t>poistenia</w:t>
      </w:r>
      <w:proofErr w:type="spellEnd"/>
      <w:r w:rsidRPr="00D05A9C">
        <w:rPr>
          <w:sz w:val="20"/>
          <w:szCs w:val="20"/>
        </w:rPr>
        <w:t xml:space="preserve"> [Order No. 777/2004 Coll. of Laws issuing the List of Diseases at which Medical Procedures Are Partially Covered or Not Covered Based on Public Health Insurance], Annex No. 2, part III (2004) (</w:t>
      </w:r>
      <w:proofErr w:type="spellStart"/>
      <w:r w:rsidRPr="00D05A9C">
        <w:rPr>
          <w:sz w:val="20"/>
          <w:szCs w:val="20"/>
        </w:rPr>
        <w:t>Slovk</w:t>
      </w:r>
      <w:proofErr w:type="spellEnd"/>
      <w:r w:rsidRPr="00D05A9C">
        <w:rPr>
          <w:sz w:val="20"/>
          <w:szCs w:val="20"/>
        </w:rPr>
        <w:t xml:space="preserve">.). </w:t>
      </w:r>
    </w:p>
  </w:endnote>
  <w:endnote w:id="59">
    <w:p w14:paraId="186D50D1" w14:textId="77777777" w:rsidR="00EB6BE1" w:rsidRPr="00D05A9C" w:rsidRDefault="00EB6BE1" w:rsidP="00307B1E">
      <w:pPr>
        <w:pStyle w:val="Sinespaciado"/>
        <w:rPr>
          <w:sz w:val="20"/>
          <w:szCs w:val="20"/>
          <w:lang w:val="sk-SK"/>
        </w:rPr>
      </w:pPr>
      <w:r w:rsidRPr="00D05A9C">
        <w:rPr>
          <w:rStyle w:val="EndnoteReference"/>
          <w:sz w:val="20"/>
          <w:szCs w:val="20"/>
        </w:rPr>
        <w:endnoteRef/>
      </w:r>
      <w:r w:rsidRPr="00D05A9C">
        <w:rPr>
          <w:sz w:val="20"/>
          <w:szCs w:val="20"/>
        </w:rPr>
        <w:t xml:space="preserve"> </w:t>
      </w:r>
      <w:proofErr w:type="spellStart"/>
      <w:r w:rsidRPr="00D05A9C">
        <w:rPr>
          <w:smallCaps/>
          <w:sz w:val="20"/>
          <w:szCs w:val="20"/>
        </w:rPr>
        <w:t>Štatistický</w:t>
      </w:r>
      <w:proofErr w:type="spellEnd"/>
      <w:r w:rsidRPr="00D05A9C">
        <w:rPr>
          <w:smallCaps/>
          <w:sz w:val="20"/>
          <w:szCs w:val="20"/>
        </w:rPr>
        <w:t xml:space="preserve"> </w:t>
      </w:r>
      <w:proofErr w:type="spellStart"/>
      <w:r w:rsidRPr="00D05A9C">
        <w:rPr>
          <w:smallCaps/>
          <w:sz w:val="20"/>
          <w:szCs w:val="20"/>
        </w:rPr>
        <w:t>úrad</w:t>
      </w:r>
      <w:proofErr w:type="spellEnd"/>
      <w:r w:rsidRPr="00D05A9C">
        <w:rPr>
          <w:smallCaps/>
          <w:sz w:val="20"/>
          <w:szCs w:val="20"/>
        </w:rPr>
        <w:t xml:space="preserve"> SR [Statistical Office of the Slovak Republic], </w:t>
      </w:r>
      <w:proofErr w:type="spellStart"/>
      <w:r w:rsidRPr="00D05A9C">
        <w:rPr>
          <w:smallCaps/>
          <w:sz w:val="20"/>
          <w:szCs w:val="20"/>
        </w:rPr>
        <w:t>Štruktúra</w:t>
      </w:r>
      <w:proofErr w:type="spellEnd"/>
      <w:r w:rsidRPr="00D05A9C">
        <w:rPr>
          <w:smallCaps/>
          <w:sz w:val="20"/>
          <w:szCs w:val="20"/>
        </w:rPr>
        <w:t xml:space="preserve"> </w:t>
      </w:r>
      <w:proofErr w:type="spellStart"/>
      <w:r w:rsidRPr="00D05A9C">
        <w:rPr>
          <w:smallCaps/>
          <w:sz w:val="20"/>
          <w:szCs w:val="20"/>
        </w:rPr>
        <w:t>miezd</w:t>
      </w:r>
      <w:proofErr w:type="spellEnd"/>
      <w:r w:rsidRPr="00D05A9C">
        <w:rPr>
          <w:smallCaps/>
          <w:sz w:val="20"/>
          <w:szCs w:val="20"/>
        </w:rPr>
        <w:t xml:space="preserve"> v SR 2014, 4-5</w:t>
      </w:r>
      <w:r w:rsidRPr="00D05A9C">
        <w:rPr>
          <w:sz w:val="20"/>
          <w:szCs w:val="20"/>
        </w:rPr>
        <w:t xml:space="preserve"> [</w:t>
      </w:r>
      <w:r w:rsidRPr="00D05A9C">
        <w:rPr>
          <w:smallCaps/>
          <w:sz w:val="20"/>
          <w:szCs w:val="20"/>
        </w:rPr>
        <w:t>Structure of Earnings in the SR 2014</w:t>
      </w:r>
      <w:r w:rsidRPr="00D05A9C">
        <w:rPr>
          <w:sz w:val="20"/>
          <w:szCs w:val="20"/>
        </w:rPr>
        <w:t>] (2015)</w:t>
      </w:r>
      <w:r w:rsidRPr="00D05A9C">
        <w:rPr>
          <w:sz w:val="20"/>
          <w:szCs w:val="20"/>
          <w:lang w:val="sk-SK"/>
        </w:rPr>
        <w:t>.</w:t>
      </w:r>
    </w:p>
  </w:endnote>
  <w:endnote w:id="60">
    <w:p w14:paraId="34C2334D" w14:textId="7AD46693" w:rsidR="00EB6BE1" w:rsidRPr="00D05A9C" w:rsidRDefault="00EB6BE1" w:rsidP="008416BB">
      <w:pPr>
        <w:pStyle w:val="EndnoteText"/>
      </w:pPr>
      <w:r w:rsidRPr="00D05A9C">
        <w:rPr>
          <w:rStyle w:val="EndnoteReference"/>
        </w:rPr>
        <w:endnoteRef/>
      </w:r>
      <w:r w:rsidRPr="00D05A9C">
        <w:t xml:space="preserve"> </w:t>
      </w:r>
      <w:r w:rsidRPr="00D05A9C">
        <w:rPr>
          <w:smallCaps/>
        </w:rPr>
        <w:t>WHO, Safe Abortion: Technical and Policy Guidance for Health Systems 96</w:t>
      </w:r>
      <w:r w:rsidRPr="00D05A9C">
        <w:t xml:space="preserve"> (2</w:t>
      </w:r>
      <w:r w:rsidRPr="00D05A9C">
        <w:rPr>
          <w:vertAlign w:val="superscript"/>
        </w:rPr>
        <w:t>nd</w:t>
      </w:r>
      <w:r w:rsidRPr="00D05A9C">
        <w:t xml:space="preserve"> ed. 2012) [hereinafter WHO, 2012 </w:t>
      </w:r>
      <w:r w:rsidRPr="00D05A9C">
        <w:rPr>
          <w:smallCaps/>
        </w:rPr>
        <w:t>Safe Abortion Guidance]</w:t>
      </w:r>
      <w:r w:rsidRPr="00D05A9C">
        <w:rPr>
          <w:rFonts w:eastAsia="Times New Roman"/>
        </w:rPr>
        <w:t>.</w:t>
      </w:r>
    </w:p>
  </w:endnote>
  <w:endnote w:id="61">
    <w:p w14:paraId="1936CE7E" w14:textId="72C8582A" w:rsidR="00EB6BE1" w:rsidRPr="00D05A9C" w:rsidRDefault="00EB6BE1" w:rsidP="008416BB">
      <w:pPr>
        <w:pStyle w:val="EndnoteText"/>
      </w:pPr>
      <w:r w:rsidRPr="00D05A9C">
        <w:rPr>
          <w:rStyle w:val="EndnoteReference"/>
        </w:rPr>
        <w:endnoteRef/>
      </w:r>
      <w:r w:rsidRPr="00D05A9C">
        <w:t xml:space="preserve"> </w:t>
      </w:r>
      <w:r w:rsidRPr="00D05A9C">
        <w:rPr>
          <w:rFonts w:eastAsia="Times New Roman"/>
        </w:rPr>
        <w:t xml:space="preserve">WHO, 2012 </w:t>
      </w:r>
      <w:r w:rsidRPr="00D05A9C">
        <w:rPr>
          <w:rFonts w:eastAsia="Times New Roman"/>
          <w:smallCaps/>
        </w:rPr>
        <w:t>Safe Abortion</w:t>
      </w:r>
      <w:r w:rsidRPr="00D05A9C">
        <w:rPr>
          <w:rFonts w:eastAsia="Times New Roman"/>
        </w:rPr>
        <w:t xml:space="preserve"> </w:t>
      </w:r>
      <w:r w:rsidRPr="00D05A9C">
        <w:rPr>
          <w:rFonts w:eastAsia="Times New Roman"/>
          <w:smallCaps/>
        </w:rPr>
        <w:t>Guidance</w:t>
      </w:r>
      <w:r w:rsidRPr="00D05A9C">
        <w:rPr>
          <w:rFonts w:eastAsia="Times New Roman"/>
        </w:rPr>
        <w:t xml:space="preserve">, </w:t>
      </w:r>
      <w:r w:rsidRPr="00D05A9C">
        <w:rPr>
          <w:rFonts w:eastAsia="Times New Roman"/>
          <w:i/>
        </w:rPr>
        <w:t>supra</w:t>
      </w:r>
      <w:r>
        <w:rPr>
          <w:rFonts w:eastAsia="Times New Roman"/>
        </w:rPr>
        <w:t xml:space="preserve"> note 59</w:t>
      </w:r>
      <w:r w:rsidRPr="00D05A9C">
        <w:t>, at 96-97.</w:t>
      </w:r>
    </w:p>
  </w:endnote>
  <w:endnote w:id="62">
    <w:p w14:paraId="669C701E" w14:textId="7C5FF071" w:rsidR="00EB6BE1" w:rsidRPr="00D05A9C" w:rsidRDefault="00EB6BE1" w:rsidP="008416BB">
      <w:pPr>
        <w:pStyle w:val="EndnoteText"/>
      </w:pPr>
      <w:r w:rsidRPr="00D05A9C">
        <w:rPr>
          <w:rStyle w:val="EndnoteReference"/>
        </w:rPr>
        <w:endnoteRef/>
      </w:r>
      <w:r w:rsidRPr="00D05A9C">
        <w:t xml:space="preserve"> </w:t>
      </w:r>
      <w:r w:rsidRPr="00D05A9C">
        <w:rPr>
          <w:rFonts w:eastAsia="Times New Roman"/>
        </w:rPr>
        <w:t xml:space="preserve">WHO, </w:t>
      </w:r>
      <w:r w:rsidRPr="00D05A9C">
        <w:rPr>
          <w:rFonts w:eastAsia="Times New Roman"/>
        </w:rPr>
        <w:t xml:space="preserve">2012 </w:t>
      </w:r>
      <w:r w:rsidRPr="00D05A9C">
        <w:rPr>
          <w:rFonts w:eastAsia="Times New Roman"/>
          <w:smallCaps/>
        </w:rPr>
        <w:t>Safe Abortion</w:t>
      </w:r>
      <w:r w:rsidRPr="00D05A9C">
        <w:rPr>
          <w:rFonts w:eastAsia="Times New Roman"/>
        </w:rPr>
        <w:t xml:space="preserve"> </w:t>
      </w:r>
      <w:r w:rsidRPr="00D05A9C">
        <w:rPr>
          <w:rFonts w:eastAsia="Times New Roman"/>
          <w:smallCaps/>
        </w:rPr>
        <w:t>Guidance,</w:t>
      </w:r>
      <w:r w:rsidRPr="00D05A9C">
        <w:rPr>
          <w:rFonts w:eastAsia="Times New Roman"/>
          <w:i/>
        </w:rPr>
        <w:t xml:space="preserve"> supra</w:t>
      </w:r>
      <w:r w:rsidRPr="00D05A9C">
        <w:rPr>
          <w:rFonts w:eastAsia="Times New Roman"/>
        </w:rPr>
        <w:t xml:space="preserve"> note </w:t>
      </w:r>
      <w:r>
        <w:t>59</w:t>
      </w:r>
      <w:r w:rsidRPr="00D05A9C">
        <w:t>,</w:t>
      </w:r>
      <w:r w:rsidRPr="00D05A9C">
        <w:rPr>
          <w:rFonts w:eastAsia="Times New Roman"/>
          <w:smallCaps/>
        </w:rPr>
        <w:t xml:space="preserve"> </w:t>
      </w:r>
      <w:r w:rsidRPr="00D05A9C">
        <w:t>at 36.</w:t>
      </w:r>
    </w:p>
  </w:endnote>
  <w:endnote w:id="63">
    <w:p w14:paraId="1A861F85" w14:textId="70C60003" w:rsidR="00EB6BE1" w:rsidRPr="00D05A9C" w:rsidRDefault="00EB6BE1" w:rsidP="008416BB">
      <w:pPr>
        <w:pStyle w:val="EndnoteText"/>
      </w:pPr>
      <w:r w:rsidRPr="00D05A9C">
        <w:rPr>
          <w:rStyle w:val="EndnoteReference"/>
        </w:rPr>
        <w:endnoteRef/>
      </w:r>
      <w:r w:rsidRPr="00D05A9C">
        <w:t xml:space="preserve"> </w:t>
      </w:r>
      <w:r w:rsidRPr="00D05A9C">
        <w:rPr>
          <w:rFonts w:eastAsia="Times New Roman"/>
        </w:rPr>
        <w:t xml:space="preserve">WHO, </w:t>
      </w:r>
      <w:r w:rsidRPr="00D05A9C">
        <w:rPr>
          <w:rFonts w:eastAsia="Times New Roman"/>
        </w:rPr>
        <w:t xml:space="preserve">2012 </w:t>
      </w:r>
      <w:r w:rsidRPr="00D05A9C">
        <w:rPr>
          <w:rFonts w:eastAsia="Times New Roman"/>
          <w:smallCaps/>
        </w:rPr>
        <w:t>Safe Abortion</w:t>
      </w:r>
      <w:r w:rsidRPr="00D05A9C">
        <w:rPr>
          <w:rFonts w:eastAsia="Times New Roman"/>
        </w:rPr>
        <w:t xml:space="preserve"> </w:t>
      </w:r>
      <w:r w:rsidRPr="00D05A9C">
        <w:rPr>
          <w:rFonts w:eastAsia="Times New Roman"/>
          <w:smallCaps/>
        </w:rPr>
        <w:t>Guidance,</w:t>
      </w:r>
      <w:r w:rsidRPr="00D05A9C">
        <w:rPr>
          <w:rFonts w:eastAsia="Times New Roman"/>
          <w:i/>
        </w:rPr>
        <w:t xml:space="preserve"> supra</w:t>
      </w:r>
      <w:r>
        <w:rPr>
          <w:rFonts w:eastAsia="Times New Roman"/>
        </w:rPr>
        <w:t xml:space="preserve"> note 59</w:t>
      </w:r>
      <w:r w:rsidRPr="00D05A9C">
        <w:t>,</w:t>
      </w:r>
      <w:r w:rsidRPr="00D05A9C">
        <w:rPr>
          <w:rFonts w:eastAsia="Times New Roman"/>
          <w:smallCaps/>
        </w:rPr>
        <w:t xml:space="preserve"> </w:t>
      </w:r>
      <w:r w:rsidRPr="00D05A9C">
        <w:t>at 64.</w:t>
      </w:r>
    </w:p>
  </w:endnote>
  <w:endnote w:id="64">
    <w:p w14:paraId="2673E505" w14:textId="25638E83" w:rsidR="00EB6BE1" w:rsidRPr="00D05A9C" w:rsidRDefault="00EB6BE1">
      <w:pPr>
        <w:pStyle w:val="EndnoteText"/>
      </w:pPr>
      <w:r w:rsidRPr="00D05A9C">
        <w:rPr>
          <w:rStyle w:val="EndnoteReference"/>
        </w:rPr>
        <w:endnoteRef/>
      </w:r>
      <w:r w:rsidRPr="00D05A9C">
        <w:t xml:space="preserve"> </w:t>
      </w:r>
      <w:r w:rsidRPr="00D05A9C">
        <w:rPr>
          <w:i/>
        </w:rPr>
        <w:t>See</w:t>
      </w:r>
      <w:r w:rsidRPr="00D05A9C">
        <w:t xml:space="preserve"> </w:t>
      </w:r>
      <w:r w:rsidRPr="00D05A9C">
        <w:rPr>
          <w:rFonts w:eastAsia="Times New Roman"/>
          <w:smallCaps/>
        </w:rPr>
        <w:t>WHO</w:t>
      </w:r>
      <w:r w:rsidRPr="00D05A9C">
        <w:rPr>
          <w:rFonts w:eastAsia="Times New Roman"/>
        </w:rPr>
        <w:t xml:space="preserve">, 2012 </w:t>
      </w:r>
      <w:r w:rsidRPr="00D05A9C">
        <w:rPr>
          <w:rFonts w:eastAsia="Times New Roman"/>
          <w:smallCaps/>
        </w:rPr>
        <w:t>Safe Abortion</w:t>
      </w:r>
      <w:r w:rsidRPr="00D05A9C">
        <w:rPr>
          <w:rFonts w:eastAsia="Times New Roman"/>
        </w:rPr>
        <w:t xml:space="preserve"> </w:t>
      </w:r>
      <w:r w:rsidRPr="00D05A9C">
        <w:rPr>
          <w:rFonts w:eastAsia="Times New Roman"/>
          <w:smallCaps/>
        </w:rPr>
        <w:t xml:space="preserve">Guidance, </w:t>
      </w:r>
      <w:r w:rsidRPr="00D05A9C">
        <w:rPr>
          <w:rFonts w:eastAsia="Times New Roman"/>
          <w:i/>
        </w:rPr>
        <w:t>supra</w:t>
      </w:r>
      <w:r>
        <w:rPr>
          <w:rFonts w:eastAsia="Times New Roman"/>
        </w:rPr>
        <w:t xml:space="preserve"> note 59</w:t>
      </w:r>
      <w:r w:rsidRPr="00D05A9C">
        <w:rPr>
          <w:rFonts w:eastAsia="Times New Roman"/>
          <w:smallCaps/>
        </w:rPr>
        <w:t>,</w:t>
      </w:r>
      <w:r w:rsidRPr="00D05A9C">
        <w:rPr>
          <w:rFonts w:eastAsia="Times New Roman"/>
        </w:rPr>
        <w:t xml:space="preserve"> at 36, 68, 97; </w:t>
      </w:r>
      <w:r w:rsidRPr="00D05A9C">
        <w:rPr>
          <w:rFonts w:eastAsia="Times New Roman"/>
          <w:i/>
        </w:rPr>
        <w:t>see also</w:t>
      </w:r>
      <w:r w:rsidRPr="00D05A9C">
        <w:rPr>
          <w:rFonts w:eastAsia="Times New Roman"/>
        </w:rPr>
        <w:t xml:space="preserve"> </w:t>
      </w:r>
      <w:r w:rsidRPr="00D05A9C">
        <w:rPr>
          <w:rFonts w:eastAsia="Times New Roman"/>
          <w:smallCaps/>
        </w:rPr>
        <w:t>World Health Organization, Health Worker Roles in Providing Safe Abortion Care and Post-Abortion Contraception</w:t>
      </w:r>
      <w:r w:rsidRPr="00D05A9C">
        <w:rPr>
          <w:rFonts w:eastAsia="Times New Roman"/>
        </w:rPr>
        <w:t xml:space="preserve"> 56 (2015).</w:t>
      </w:r>
    </w:p>
  </w:endnote>
  <w:endnote w:id="65">
    <w:p w14:paraId="4725B108" w14:textId="13329166" w:rsidR="00EB6BE1" w:rsidRPr="00D05A9C" w:rsidRDefault="00EB6BE1">
      <w:pPr>
        <w:pStyle w:val="EndnoteText"/>
      </w:pPr>
      <w:r w:rsidRPr="00D05A9C">
        <w:rPr>
          <w:rStyle w:val="EndnoteReference"/>
        </w:rPr>
        <w:endnoteRef/>
      </w:r>
      <w:r w:rsidRPr="00D05A9C">
        <w:t xml:space="preserve"> </w:t>
      </w:r>
      <w:r w:rsidRPr="00D05A9C">
        <w:rPr>
          <w:rFonts w:eastAsia="Times New Roman"/>
          <w:smallCaps/>
        </w:rPr>
        <w:t>WHO</w:t>
      </w:r>
      <w:r w:rsidRPr="00D05A9C">
        <w:rPr>
          <w:rFonts w:eastAsia="Times New Roman"/>
        </w:rPr>
        <w:t xml:space="preserve">, </w:t>
      </w:r>
      <w:r w:rsidRPr="00D05A9C">
        <w:rPr>
          <w:rFonts w:eastAsia="Times New Roman"/>
        </w:rPr>
        <w:t xml:space="preserve">2012 </w:t>
      </w:r>
      <w:r w:rsidRPr="00D05A9C">
        <w:rPr>
          <w:rFonts w:eastAsia="Times New Roman"/>
          <w:smallCaps/>
        </w:rPr>
        <w:t>Safe Abortion</w:t>
      </w:r>
      <w:r w:rsidRPr="00D05A9C">
        <w:rPr>
          <w:rFonts w:eastAsia="Times New Roman"/>
        </w:rPr>
        <w:t xml:space="preserve"> </w:t>
      </w:r>
      <w:r w:rsidRPr="00D05A9C">
        <w:rPr>
          <w:rFonts w:eastAsia="Times New Roman"/>
          <w:smallCaps/>
        </w:rPr>
        <w:t xml:space="preserve">Guidance, </w:t>
      </w:r>
      <w:r w:rsidRPr="00D05A9C">
        <w:rPr>
          <w:rFonts w:eastAsia="Times New Roman"/>
          <w:i/>
        </w:rPr>
        <w:t>supra</w:t>
      </w:r>
      <w:r>
        <w:rPr>
          <w:rFonts w:eastAsia="Times New Roman"/>
        </w:rPr>
        <w:t xml:space="preserve"> note 59</w:t>
      </w:r>
      <w:r w:rsidRPr="00D05A9C">
        <w:rPr>
          <w:rFonts w:eastAsia="Times New Roman"/>
          <w:smallCaps/>
        </w:rPr>
        <w:t>,</w:t>
      </w:r>
      <w:r w:rsidRPr="00D05A9C">
        <w:rPr>
          <w:rFonts w:eastAsia="Times New Roman"/>
        </w:rPr>
        <w:t xml:space="preserve"> at 80.</w:t>
      </w:r>
    </w:p>
  </w:endnote>
  <w:endnote w:id="66">
    <w:p w14:paraId="0C054CF0" w14:textId="4ABA71B0" w:rsidR="00EB6BE1" w:rsidRPr="00D05A9C" w:rsidRDefault="00EB6BE1" w:rsidP="00FA4F44">
      <w:pPr>
        <w:pStyle w:val="Default"/>
        <w:rPr>
          <w:sz w:val="20"/>
          <w:szCs w:val="20"/>
        </w:rPr>
      </w:pPr>
      <w:r w:rsidRPr="00D05A9C">
        <w:rPr>
          <w:rStyle w:val="EndnoteReference"/>
          <w:sz w:val="20"/>
          <w:szCs w:val="20"/>
        </w:rPr>
        <w:endnoteRef/>
      </w:r>
      <w:r w:rsidRPr="00D05A9C">
        <w:rPr>
          <w:sz w:val="20"/>
          <w:szCs w:val="20"/>
        </w:rPr>
        <w:t xml:space="preserve"> Human Rights Committee, </w:t>
      </w:r>
      <w:r w:rsidRPr="00D05A9C">
        <w:rPr>
          <w:i/>
          <w:sz w:val="20"/>
          <w:szCs w:val="20"/>
        </w:rPr>
        <w:t>Concluding Observations: Argentina</w:t>
      </w:r>
      <w:r w:rsidRPr="00D05A9C">
        <w:rPr>
          <w:sz w:val="20"/>
          <w:szCs w:val="20"/>
        </w:rPr>
        <w:t xml:space="preserve">, para. 14, U.N. Doc. CCPR/CO/70/ARG (2000); </w:t>
      </w:r>
      <w:r w:rsidRPr="00D05A9C">
        <w:rPr>
          <w:i/>
          <w:sz w:val="20"/>
          <w:szCs w:val="20"/>
        </w:rPr>
        <w:t xml:space="preserve">see also </w:t>
      </w:r>
      <w:r w:rsidRPr="00D05A9C">
        <w:rPr>
          <w:sz w:val="20"/>
          <w:szCs w:val="20"/>
        </w:rPr>
        <w:t xml:space="preserve">CESCR, </w:t>
      </w:r>
      <w:r w:rsidRPr="00D05A9C">
        <w:rPr>
          <w:i/>
          <w:sz w:val="20"/>
          <w:szCs w:val="20"/>
        </w:rPr>
        <w:t>Concluding Observations: Argentina</w:t>
      </w:r>
      <w:r w:rsidRPr="00D05A9C">
        <w:rPr>
          <w:sz w:val="20"/>
          <w:szCs w:val="20"/>
        </w:rPr>
        <w:t xml:space="preserve">, para. 22, U.N. Doc. E/C.12/ARG/CO/3 (2011); </w:t>
      </w:r>
      <w:r w:rsidRPr="00D05A9C">
        <w:rPr>
          <w:i/>
          <w:sz w:val="20"/>
          <w:szCs w:val="20"/>
        </w:rPr>
        <w:t>Poland</w:t>
      </w:r>
      <w:r w:rsidRPr="00D05A9C">
        <w:rPr>
          <w:sz w:val="20"/>
          <w:szCs w:val="20"/>
        </w:rPr>
        <w:t xml:space="preserve">, para. 28, U.N. Doc. E/C.12/POL/CO/5 (2009); CEDAW, </w:t>
      </w:r>
      <w:r w:rsidRPr="00D05A9C">
        <w:rPr>
          <w:i/>
          <w:sz w:val="20"/>
          <w:szCs w:val="20"/>
        </w:rPr>
        <w:t>Concluding Observations: India</w:t>
      </w:r>
      <w:r w:rsidRPr="00D05A9C">
        <w:rPr>
          <w:sz w:val="20"/>
          <w:szCs w:val="20"/>
        </w:rPr>
        <w:t xml:space="preserve">, para. 41, U.N. Doc. CEDAW/C/IND/CO/3 (2007); </w:t>
      </w:r>
      <w:r w:rsidRPr="00D05A9C">
        <w:rPr>
          <w:i/>
          <w:sz w:val="20"/>
          <w:szCs w:val="20"/>
        </w:rPr>
        <w:t>Poland</w:t>
      </w:r>
      <w:r w:rsidRPr="00D05A9C">
        <w:rPr>
          <w:sz w:val="20"/>
          <w:szCs w:val="20"/>
        </w:rPr>
        <w:t>, para. 25,</w:t>
      </w:r>
      <w:r w:rsidRPr="00D05A9C">
        <w:rPr>
          <w:i/>
          <w:sz w:val="20"/>
          <w:szCs w:val="20"/>
        </w:rPr>
        <w:t xml:space="preserve"> </w:t>
      </w:r>
      <w:r w:rsidRPr="00D05A9C">
        <w:rPr>
          <w:sz w:val="20"/>
          <w:szCs w:val="20"/>
        </w:rPr>
        <w:t>U.N. Doc. CEDAW/C/POL/CO/6 (2007).</w:t>
      </w:r>
    </w:p>
  </w:endnote>
  <w:endnote w:id="67">
    <w:p w14:paraId="42653C2C" w14:textId="65B64AA9" w:rsidR="00EB6BE1" w:rsidRPr="00D05A9C" w:rsidRDefault="00EB6BE1" w:rsidP="00FA4F44">
      <w:pPr>
        <w:pStyle w:val="EndnoteText"/>
      </w:pPr>
      <w:r w:rsidRPr="00D05A9C">
        <w:rPr>
          <w:rStyle w:val="EndnoteReference"/>
        </w:rPr>
        <w:endnoteRef/>
      </w:r>
      <w:r w:rsidRPr="00D05A9C">
        <w:t xml:space="preserve"> </w:t>
      </w:r>
      <w:r w:rsidRPr="00D05A9C">
        <w:rPr>
          <w:i/>
        </w:rPr>
        <w:t>See</w:t>
      </w:r>
      <w:r w:rsidRPr="00D05A9C">
        <w:t xml:space="preserve"> Human Rights Committee, </w:t>
      </w:r>
      <w:r w:rsidRPr="00D05A9C">
        <w:rPr>
          <w:i/>
        </w:rPr>
        <w:t xml:space="preserve">Concluding Observations: The Former Yugoslav Republic of Macedonia, </w:t>
      </w:r>
      <w:r w:rsidRPr="00D05A9C">
        <w:t>para. 11, U.N. Doc. CCPR/C/MKD/CO/3 (2015) (advance unedited version).</w:t>
      </w:r>
    </w:p>
  </w:endnote>
  <w:endnote w:id="68">
    <w:p w14:paraId="40C24B89" w14:textId="11796C6F" w:rsidR="00EB6BE1" w:rsidRPr="00D05A9C" w:rsidRDefault="00EB6BE1" w:rsidP="00FA4F44">
      <w:pPr>
        <w:pStyle w:val="NormalWeb"/>
        <w:spacing w:before="0" w:beforeAutospacing="0" w:after="0" w:afterAutospacing="0"/>
        <w:rPr>
          <w:sz w:val="20"/>
          <w:szCs w:val="20"/>
        </w:rPr>
      </w:pPr>
      <w:r w:rsidRPr="00D05A9C">
        <w:rPr>
          <w:rStyle w:val="EndnoteReference"/>
          <w:sz w:val="20"/>
          <w:szCs w:val="20"/>
        </w:rPr>
        <w:endnoteRef/>
      </w:r>
      <w:r w:rsidRPr="00D05A9C">
        <w:rPr>
          <w:sz w:val="20"/>
          <w:szCs w:val="20"/>
        </w:rPr>
        <w:t xml:space="preserve"> CEDAW, </w:t>
      </w:r>
      <w:r w:rsidRPr="00D05A9C">
        <w:rPr>
          <w:i/>
          <w:sz w:val="20"/>
          <w:szCs w:val="20"/>
        </w:rPr>
        <w:t>Concluding Observations: Hungary</w:t>
      </w:r>
      <w:r w:rsidRPr="00D05A9C">
        <w:rPr>
          <w:sz w:val="20"/>
          <w:szCs w:val="20"/>
        </w:rPr>
        <w:t xml:space="preserve">, para. 31(c), U.N. Doc. </w:t>
      </w:r>
      <w:r w:rsidRPr="00D05A9C">
        <w:rPr>
          <w:color w:val="000000"/>
          <w:sz w:val="20"/>
          <w:szCs w:val="20"/>
        </w:rPr>
        <w:t xml:space="preserve">CEDAW/C/HUN/CO/7-8 (2013); </w:t>
      </w:r>
      <w:r w:rsidRPr="00D05A9C">
        <w:rPr>
          <w:i/>
          <w:color w:val="000000"/>
          <w:sz w:val="20"/>
          <w:szCs w:val="20"/>
        </w:rPr>
        <w:t>Russian Federation</w:t>
      </w:r>
      <w:r w:rsidRPr="00D05A9C">
        <w:rPr>
          <w:color w:val="000000"/>
          <w:sz w:val="20"/>
          <w:szCs w:val="20"/>
        </w:rPr>
        <w:t xml:space="preserve">, paras. 35(b), 36(b), U.N. Doc. CEDAW/C/RUS/CO/8 (2015); </w:t>
      </w:r>
      <w:r w:rsidRPr="00D05A9C">
        <w:rPr>
          <w:i/>
          <w:sz w:val="20"/>
          <w:szCs w:val="20"/>
        </w:rPr>
        <w:t>Slovakia</w:t>
      </w:r>
      <w:r w:rsidRPr="00D05A9C">
        <w:rPr>
          <w:sz w:val="20"/>
          <w:szCs w:val="20"/>
        </w:rPr>
        <w:t xml:space="preserve">, para. 31(c), U.N. Doc. CEDAW/C/SVK/CO/5-6 (2015); CESCR, </w:t>
      </w:r>
      <w:r w:rsidRPr="00D05A9C">
        <w:rPr>
          <w:i/>
          <w:sz w:val="20"/>
          <w:szCs w:val="20"/>
        </w:rPr>
        <w:t>General Comment No. 22</w:t>
      </w:r>
      <w:r w:rsidRPr="00D05A9C">
        <w:rPr>
          <w:sz w:val="20"/>
          <w:szCs w:val="20"/>
        </w:rPr>
        <w:t xml:space="preserve">: </w:t>
      </w:r>
      <w:r w:rsidRPr="00D05A9C">
        <w:rPr>
          <w:i/>
          <w:sz w:val="20"/>
          <w:szCs w:val="20"/>
        </w:rPr>
        <w:t xml:space="preserve">on the right to sexual and reproductive health (article 12 of the International Covenant on Economic, Social and Cultural Rights), </w:t>
      </w:r>
      <w:r w:rsidRPr="00D05A9C">
        <w:rPr>
          <w:sz w:val="20"/>
          <w:szCs w:val="20"/>
        </w:rPr>
        <w:t xml:space="preserve">para. 41, U.N. Doc. E/C.12/GC/22 (2016) [hereinafter CESCR, </w:t>
      </w:r>
      <w:r w:rsidRPr="00D05A9C">
        <w:rPr>
          <w:i/>
          <w:sz w:val="20"/>
          <w:szCs w:val="20"/>
        </w:rPr>
        <w:t>Gen. Comment No. 22</w:t>
      </w:r>
      <w:r w:rsidRPr="00D05A9C">
        <w:rPr>
          <w:sz w:val="20"/>
          <w:szCs w:val="20"/>
        </w:rPr>
        <w:t>].</w:t>
      </w:r>
    </w:p>
  </w:endnote>
  <w:endnote w:id="69">
    <w:p w14:paraId="78D8A1A8" w14:textId="6C29087E" w:rsidR="00EB6BE1" w:rsidRPr="00D05A9C" w:rsidRDefault="00EB6BE1" w:rsidP="00E408CF">
      <w:pPr>
        <w:pStyle w:val="EndnoteText"/>
      </w:pPr>
      <w:r w:rsidRPr="00D05A9C">
        <w:rPr>
          <w:rStyle w:val="EndnoteReference"/>
        </w:rPr>
        <w:endnoteRef/>
      </w:r>
      <w:r w:rsidRPr="00D05A9C">
        <w:t xml:space="preserve"> </w:t>
      </w:r>
      <w:r w:rsidRPr="00D05A9C">
        <w:t xml:space="preserve">CEDAW, </w:t>
      </w:r>
      <w:r w:rsidRPr="00D05A9C">
        <w:rPr>
          <w:i/>
        </w:rPr>
        <w:t>Concluding Observations: Slovakia</w:t>
      </w:r>
      <w:r w:rsidRPr="00D05A9C">
        <w:t xml:space="preserve">, para. 31(c), U.N. Doc. CEDAW/C/SVK/CO/5-6 (2015); CRC,  </w:t>
      </w:r>
      <w:r w:rsidRPr="00D05A9C">
        <w:rPr>
          <w:i/>
        </w:rPr>
        <w:t>Concluding Observations: Slovakia</w:t>
      </w:r>
      <w:r w:rsidRPr="00D05A9C">
        <w:t xml:space="preserve">, para. 41(e), U.N. Doc. CRC/C/SVK/CO/3-5 (2016). </w:t>
      </w:r>
    </w:p>
  </w:endnote>
  <w:endnote w:id="70">
    <w:p w14:paraId="29BE9089" w14:textId="6A7D4406" w:rsidR="00EB6BE1" w:rsidRPr="00D05A9C" w:rsidRDefault="00EB6BE1" w:rsidP="00307B1E">
      <w:pPr>
        <w:pStyle w:val="Sinespaciado"/>
        <w:rPr>
          <w:sz w:val="20"/>
          <w:szCs w:val="20"/>
          <w:lang w:val="ro-RO"/>
        </w:rPr>
      </w:pPr>
      <w:r w:rsidRPr="00D05A9C">
        <w:rPr>
          <w:rStyle w:val="EndnoteReference"/>
          <w:sz w:val="20"/>
          <w:szCs w:val="20"/>
        </w:rPr>
        <w:endnoteRef/>
      </w:r>
      <w:r w:rsidRPr="00D05A9C">
        <w:rPr>
          <w:sz w:val="20"/>
          <w:szCs w:val="20"/>
        </w:rPr>
        <w:t xml:space="preserve"> CEDAW, </w:t>
      </w:r>
      <w:r w:rsidRPr="00D05A9C">
        <w:rPr>
          <w:i/>
          <w:sz w:val="20"/>
          <w:szCs w:val="20"/>
        </w:rPr>
        <w:t>Concluding Observations: Slovakia</w:t>
      </w:r>
      <w:r w:rsidRPr="00D05A9C">
        <w:rPr>
          <w:sz w:val="20"/>
          <w:szCs w:val="20"/>
        </w:rPr>
        <w:t xml:space="preserve">, para. 31(b), U.N. Doc. CEDAW/C/SVK/CO/5-6 (2015).  </w:t>
      </w:r>
    </w:p>
  </w:endnote>
  <w:endnote w:id="71">
    <w:p w14:paraId="0EBB9DD5" w14:textId="77777777" w:rsidR="00EB6BE1" w:rsidRPr="00D05A9C" w:rsidRDefault="00EB6BE1" w:rsidP="00FA4F44">
      <w:pPr>
        <w:autoSpaceDE w:val="0"/>
        <w:autoSpaceDN w:val="0"/>
        <w:adjustRightInd w:val="0"/>
        <w:spacing w:after="0" w:line="240" w:lineRule="auto"/>
        <w:rPr>
          <w:rFonts w:ascii="Times New Roman" w:hAnsi="Times New Roman"/>
          <w:sz w:val="20"/>
          <w:szCs w:val="20"/>
        </w:rPr>
      </w:pPr>
      <w:r w:rsidRPr="00D05A9C">
        <w:rPr>
          <w:rStyle w:val="EndnoteReference"/>
          <w:rFonts w:ascii="Times New Roman" w:hAnsi="Times New Roman"/>
          <w:sz w:val="20"/>
          <w:szCs w:val="20"/>
        </w:rPr>
        <w:endnoteRef/>
      </w:r>
      <w:r w:rsidRPr="00D05A9C">
        <w:rPr>
          <w:rFonts w:ascii="Times New Roman" w:hAnsi="Times New Roman"/>
          <w:sz w:val="20"/>
          <w:szCs w:val="20"/>
        </w:rPr>
        <w:t xml:space="preserve"> </w:t>
      </w:r>
      <w:proofErr w:type="spellStart"/>
      <w:r w:rsidRPr="00D05A9C">
        <w:rPr>
          <w:rFonts w:ascii="Times New Roman" w:hAnsi="Times New Roman"/>
          <w:sz w:val="20"/>
          <w:szCs w:val="20"/>
        </w:rPr>
        <w:t>Tysiąc</w:t>
      </w:r>
      <w:proofErr w:type="spellEnd"/>
      <w:r w:rsidRPr="00D05A9C">
        <w:rPr>
          <w:rFonts w:ascii="Times New Roman" w:hAnsi="Times New Roman"/>
          <w:sz w:val="20"/>
          <w:szCs w:val="20"/>
        </w:rPr>
        <w:t xml:space="preserve"> v. Poland, No. 5410/03 Eur. Ct. H.R., para. 116 (2007).</w:t>
      </w:r>
    </w:p>
  </w:endnote>
  <w:endnote w:id="72">
    <w:p w14:paraId="4EA2A17C" w14:textId="77777777" w:rsidR="00EB6BE1" w:rsidRPr="00D05A9C" w:rsidRDefault="00EB6BE1" w:rsidP="00FA4F44">
      <w:pPr>
        <w:tabs>
          <w:tab w:val="left" w:pos="2760"/>
        </w:tabs>
        <w:spacing w:after="0" w:line="240" w:lineRule="auto"/>
        <w:rPr>
          <w:rFonts w:ascii="Times New Roman" w:eastAsia="Times New Roman" w:hAnsi="Times New Roman"/>
          <w:sz w:val="20"/>
          <w:szCs w:val="20"/>
        </w:rPr>
      </w:pPr>
      <w:r w:rsidRPr="00D05A9C">
        <w:rPr>
          <w:rStyle w:val="EndnoteReference"/>
          <w:rFonts w:ascii="Times New Roman" w:hAnsi="Times New Roman"/>
          <w:sz w:val="20"/>
          <w:szCs w:val="20"/>
        </w:rPr>
        <w:endnoteRef/>
      </w:r>
      <w:r w:rsidRPr="00D05A9C">
        <w:rPr>
          <w:rFonts w:ascii="Times New Roman" w:hAnsi="Times New Roman"/>
          <w:sz w:val="20"/>
          <w:szCs w:val="20"/>
        </w:rPr>
        <w:t xml:space="preserve"> </w:t>
      </w:r>
      <w:r w:rsidRPr="00D05A9C">
        <w:rPr>
          <w:rFonts w:ascii="Times New Roman" w:eastAsia="Times New Roman" w:hAnsi="Times New Roman"/>
          <w:sz w:val="20"/>
          <w:szCs w:val="20"/>
        </w:rPr>
        <w:t>R.R. v. Poland, No. 27617/04 Eur. Ct. H.R., para. 200 (2011)</w:t>
      </w:r>
      <w:r w:rsidRPr="00D05A9C">
        <w:rPr>
          <w:rStyle w:val="sb8d990e2"/>
          <w:rFonts w:ascii="Times New Roman" w:hAnsi="Times New Roman"/>
          <w:sz w:val="20"/>
          <w:szCs w:val="20"/>
        </w:rPr>
        <w:t>.</w:t>
      </w:r>
    </w:p>
  </w:endnote>
  <w:endnote w:id="73">
    <w:p w14:paraId="5019F939" w14:textId="77777777" w:rsidR="00EB6BE1" w:rsidRPr="00D05A9C" w:rsidRDefault="00EB6BE1" w:rsidP="00FA4F44">
      <w:pPr>
        <w:pStyle w:val="EndnoteText"/>
      </w:pPr>
      <w:r w:rsidRPr="00D05A9C">
        <w:rPr>
          <w:rStyle w:val="EndnoteReference"/>
        </w:rPr>
        <w:endnoteRef/>
      </w:r>
      <w:r w:rsidRPr="00D05A9C">
        <w:t xml:space="preserve"> </w:t>
      </w:r>
      <w:r w:rsidRPr="00D05A9C">
        <w:rPr>
          <w:smallCaps/>
        </w:rPr>
        <w:t>Eur. Parl. Ass</w:t>
      </w:r>
      <w:r w:rsidRPr="00D05A9C">
        <w:t xml:space="preserve">., </w:t>
      </w:r>
      <w:r w:rsidRPr="00D05A9C">
        <w:rPr>
          <w:i/>
        </w:rPr>
        <w:t>Resolution on Access to Safe and Legal Abortion in Europe</w:t>
      </w:r>
      <w:r w:rsidRPr="00D05A9C">
        <w:t>, 15th Sess., Doc. No. 1607, paras. 2-3 (2008).</w:t>
      </w:r>
    </w:p>
  </w:endnote>
  <w:endnote w:id="74">
    <w:p w14:paraId="0F7ADE1F" w14:textId="28242EF3" w:rsidR="00EB6BE1" w:rsidRPr="00D05A9C" w:rsidRDefault="00EB6BE1" w:rsidP="00FA4F44">
      <w:pPr>
        <w:pStyle w:val="EndnoteText"/>
      </w:pPr>
      <w:r w:rsidRPr="00D05A9C">
        <w:rPr>
          <w:rStyle w:val="EndnoteReference"/>
        </w:rPr>
        <w:endnoteRef/>
      </w:r>
      <w:r w:rsidRPr="00D05A9C">
        <w:t xml:space="preserve"> </w:t>
      </w:r>
      <w:r w:rsidRPr="00D05A9C">
        <w:rPr>
          <w:i/>
        </w:rPr>
        <w:t>Id</w:t>
      </w:r>
      <w:r w:rsidRPr="00D05A9C">
        <w:t xml:space="preserve">., </w:t>
      </w:r>
      <w:r w:rsidRPr="00D05A9C">
        <w:t>paras. 7.2, 7.4.</w:t>
      </w:r>
    </w:p>
  </w:endnote>
  <w:endnote w:id="75">
    <w:p w14:paraId="77A7F9A4" w14:textId="5914BECA" w:rsidR="00EB6BE1" w:rsidRPr="00D05A9C" w:rsidRDefault="00EB6BE1" w:rsidP="00DF42DD">
      <w:pPr>
        <w:pStyle w:val="EndnoteText"/>
      </w:pPr>
      <w:r w:rsidRPr="00D05A9C">
        <w:rPr>
          <w:rStyle w:val="EndnoteReference"/>
        </w:rPr>
        <w:endnoteRef/>
      </w:r>
      <w:r w:rsidRPr="00D05A9C">
        <w:t xml:space="preserve"> </w:t>
      </w:r>
      <w:r w:rsidRPr="00DF42DD">
        <w:rPr>
          <w:i/>
        </w:rPr>
        <w:t xml:space="preserve">See, </w:t>
      </w:r>
      <w:r w:rsidRPr="00DF42DD">
        <w:rPr>
          <w:i/>
        </w:rPr>
        <w:t>e.g.,</w:t>
      </w:r>
      <w:r>
        <w:t xml:space="preserve"> </w:t>
      </w:r>
      <w:r w:rsidRPr="00D05A9C">
        <w:t>K.L. v. Peru, Human Rights Committee, Commc’n No. 1153/2003</w:t>
      </w:r>
      <w:r w:rsidRPr="00B66A17">
        <w:t>, para. 6.4, U</w:t>
      </w:r>
      <w:r w:rsidRPr="00D05A9C">
        <w:t>.N. Doc. CCPR/C/85/D/1153/2003 (2005); L.M.R. v. Argentina, Human Rights Committee, Commc’n No. 1608/2007</w:t>
      </w:r>
      <w:r w:rsidRPr="00922146">
        <w:t>, para. 9.3, U.N. Doc. CCPR/C/101/D/1608/2007 (2011); Mellet v. Ireland, Human Rights Committee, Commc’n No.</w:t>
      </w:r>
      <w:r>
        <w:t xml:space="preserve"> </w:t>
      </w:r>
      <w:r w:rsidRPr="00B66A17">
        <w:t>2324/2013</w:t>
      </w:r>
      <w:r>
        <w:t xml:space="preserve">, paras. 7.7 &amp; 7.8, U.N. Doc. </w:t>
      </w:r>
      <w:r w:rsidRPr="00B66A17">
        <w:t>CCPR/C/116/D/2324/2013</w:t>
      </w:r>
      <w:r>
        <w:t xml:space="preserve"> (2016). </w:t>
      </w:r>
      <w:r w:rsidRPr="00D05A9C">
        <w:t xml:space="preserve">In addition, </w:t>
      </w:r>
      <w:r w:rsidRPr="00D05A9C">
        <w:rPr>
          <w:rStyle w:val="sb8d990e2"/>
        </w:rPr>
        <w:t xml:space="preserve">the European Court of Human Rights has recognized the important role of women’s timely access to relevant and reliable information in guaranteeing their ability to exercise personal autonomy and obtain lawful abortion services. It has condemned the intentional denial and manipulation of abortion-related information. </w:t>
      </w:r>
      <w:r w:rsidRPr="00D05A9C">
        <w:rPr>
          <w:rFonts w:eastAsia="Times New Roman"/>
        </w:rPr>
        <w:t>R.R. v. Poland, No. 27617/04 Eur. Ct. H.R., paras. 197, 199 (2011)</w:t>
      </w:r>
      <w:r w:rsidRPr="00D05A9C">
        <w:rPr>
          <w:rStyle w:val="sb8d990e2"/>
        </w:rPr>
        <w:t xml:space="preserve">; </w:t>
      </w:r>
      <w:r w:rsidRPr="00D05A9C">
        <w:t>P. and S. v. Poland, No. 57375/08 Eur. Ct. H.R., paras. 102, 108, 111 (2012).</w:t>
      </w:r>
    </w:p>
  </w:endnote>
  <w:endnote w:id="76">
    <w:p w14:paraId="0220F321" w14:textId="47A06604" w:rsidR="00EB6BE1" w:rsidRPr="00D05A9C" w:rsidRDefault="00EB6BE1" w:rsidP="00163D69">
      <w:pPr>
        <w:pStyle w:val="EndnoteText"/>
      </w:pPr>
      <w:r w:rsidRPr="00D05A9C">
        <w:rPr>
          <w:rStyle w:val="EndnoteReference"/>
        </w:rPr>
        <w:endnoteRef/>
      </w:r>
      <w:r w:rsidRPr="00D05A9C">
        <w:t xml:space="preserve"> </w:t>
      </w:r>
      <w:r w:rsidRPr="00D05A9C">
        <w:rPr>
          <w:i/>
        </w:rPr>
        <w:t xml:space="preserve">See, </w:t>
      </w:r>
      <w:r w:rsidRPr="00D05A9C">
        <w:rPr>
          <w:i/>
        </w:rPr>
        <w:t>e.g.,</w:t>
      </w:r>
      <w:r w:rsidRPr="00D05A9C">
        <w:t xml:space="preserve"> Special Rapporteur on Health</w:t>
      </w:r>
      <w:r>
        <w:t>, 2009</w:t>
      </w:r>
      <w:r w:rsidRPr="00D05A9C">
        <w:t xml:space="preserve"> Report, </w:t>
      </w:r>
      <w:r w:rsidRPr="00D05A9C">
        <w:rPr>
          <w:i/>
        </w:rPr>
        <w:t>supra</w:t>
      </w:r>
      <w:r>
        <w:t xml:space="preserve"> note 40</w:t>
      </w:r>
      <w:r w:rsidRPr="00D05A9C">
        <w:t>, paras. 18 – 19, 57; N.B. v. Slovakia, No. 29518/10 Eur. Ct. H.R., paras</w:t>
      </w:r>
      <w:r w:rsidRPr="00922146">
        <w:t>. 94</w:t>
      </w:r>
      <w:r>
        <w:t xml:space="preserve">-99 (2012), </w:t>
      </w:r>
      <w:r w:rsidRPr="00922146">
        <w:t>V.C. v. Slovakia, No. 18968/07</w:t>
      </w:r>
      <w:r>
        <w:t xml:space="preserve"> Eur. Ct. H. R., paras. 138-155 (2012).</w:t>
      </w:r>
    </w:p>
  </w:endnote>
  <w:endnote w:id="77">
    <w:p w14:paraId="451BF7DA" w14:textId="0AC54274" w:rsidR="00EB6BE1" w:rsidRPr="00D05A9C" w:rsidRDefault="00EB6BE1" w:rsidP="00CD04F1">
      <w:pPr>
        <w:pStyle w:val="EndnoteText"/>
        <w:rPr>
          <w:u w:val="single"/>
        </w:rPr>
      </w:pPr>
      <w:r w:rsidRPr="00D05A9C">
        <w:rPr>
          <w:rStyle w:val="EndnoteReference"/>
        </w:rPr>
        <w:endnoteRef/>
      </w:r>
      <w:r w:rsidRPr="00D05A9C">
        <w:t xml:space="preserve"> </w:t>
      </w:r>
      <w:r w:rsidRPr="00D05A9C">
        <w:rPr>
          <w:i/>
        </w:rPr>
        <w:t>See</w:t>
      </w:r>
      <w:r w:rsidRPr="00D05A9C">
        <w:t xml:space="preserve"> </w:t>
      </w:r>
      <w:r w:rsidRPr="00D05A9C">
        <w:rPr>
          <w:smallCaps/>
        </w:rPr>
        <w:t xml:space="preserve">FIGO </w:t>
      </w:r>
      <w:r w:rsidRPr="00D05A9C">
        <w:t>C</w:t>
      </w:r>
      <w:r w:rsidRPr="00D05A9C">
        <w:rPr>
          <w:smallCaps/>
        </w:rPr>
        <w:t xml:space="preserve">ommittee for the Study of Ethical Aspects of Human Reproduction and Women’s Health, Ethical Issues in Obstetrics and Gynecology 14 (2012), </w:t>
      </w:r>
      <w:r w:rsidRPr="00D05A9C">
        <w:rPr>
          <w:rStyle w:val="Hyperlink"/>
          <w:i/>
          <w:u w:val="none"/>
          <w:lang w:val="en-US"/>
        </w:rPr>
        <w:t xml:space="preserve">available at </w:t>
      </w:r>
      <w:r w:rsidRPr="00D05A9C">
        <w:rPr>
          <w:rStyle w:val="Hyperlink"/>
          <w:u w:val="none"/>
          <w:lang w:val="en-US"/>
        </w:rPr>
        <w:t>http://www.figo.org/sites/default/files/uploads/wg-publications/ethics/English%20Ethical%20Issues%20in%20Obstetrics%20and%20Gynecology.pdf</w:t>
      </w:r>
      <w:r w:rsidRPr="00D05A9C">
        <w:rPr>
          <w:smallCaps/>
        </w:rPr>
        <w:t xml:space="preserve"> [</w:t>
      </w:r>
      <w:r w:rsidRPr="00D05A9C">
        <w:t>hereinafter</w:t>
      </w:r>
      <w:r w:rsidRPr="00D05A9C">
        <w:rPr>
          <w:smallCaps/>
        </w:rPr>
        <w:t xml:space="preserve"> FIGO, Ethical Issues in Obstetrics and Gynecology].</w:t>
      </w:r>
    </w:p>
  </w:endnote>
  <w:endnote w:id="78">
    <w:p w14:paraId="5D004F3F" w14:textId="36F8187B" w:rsidR="00EB6BE1" w:rsidRPr="00D05A9C" w:rsidRDefault="00EB6BE1" w:rsidP="00163D69">
      <w:pPr>
        <w:pStyle w:val="EndnoteText"/>
        <w:rPr>
          <w:i/>
          <w:u w:val="single"/>
        </w:rPr>
      </w:pPr>
      <w:r w:rsidRPr="00D05A9C">
        <w:rPr>
          <w:rStyle w:val="EndnoteReference"/>
        </w:rPr>
        <w:endnoteRef/>
      </w:r>
      <w:r w:rsidRPr="00D05A9C">
        <w:t xml:space="preserve"> </w:t>
      </w:r>
      <w:r w:rsidRPr="00D05A9C">
        <w:t xml:space="preserve">For </w:t>
      </w:r>
      <w:r w:rsidRPr="00D05A9C">
        <w:t>example, th</w:t>
      </w:r>
      <w:r w:rsidRPr="00D05A9C">
        <w:rPr>
          <w:color w:val="000000" w:themeColor="text1"/>
        </w:rPr>
        <w:t xml:space="preserve">e Special Rapporteur on the Right to Health has specified that </w:t>
      </w:r>
      <w:r w:rsidRPr="00D05A9C">
        <w:t xml:space="preserve">“[j]ust as a patient has the right to receive information in giving consent, a patient has the right to refuse such information in giving consent, providing disclosure of such information has been appropriately offered.” </w:t>
      </w:r>
      <w:r w:rsidRPr="005E6D95">
        <w:t>Special Rapporteur on Health, 2009 Report</w:t>
      </w:r>
      <w:r w:rsidRPr="00522CF8">
        <w:t>,</w:t>
      </w:r>
      <w:r w:rsidRPr="00D05A9C">
        <w:t xml:space="preserve"> </w:t>
      </w:r>
      <w:r w:rsidRPr="00D05A9C">
        <w:rPr>
          <w:i/>
        </w:rPr>
        <w:t>supra</w:t>
      </w:r>
      <w:r w:rsidRPr="00D05A9C">
        <w:t xml:space="preserve"> note </w:t>
      </w:r>
      <w:r>
        <w:t>40</w:t>
      </w:r>
      <w:r w:rsidRPr="00D05A9C">
        <w:t>, para. 15</w:t>
      </w:r>
      <w:r w:rsidRPr="00D05A9C">
        <w:rPr>
          <w:i/>
        </w:rPr>
        <w:t xml:space="preserve">. See also </w:t>
      </w:r>
      <w:r w:rsidRPr="00D05A9C">
        <w:t xml:space="preserve">Convention for the Protection of Human Rights and Dignity of the Human Being with Regard to the Application of Biology and Medicine: Convention on Human Rights and Biomedicine, </w:t>
      </w:r>
      <w:r w:rsidRPr="00D05A9C">
        <w:rPr>
          <w:i/>
        </w:rPr>
        <w:t>adopted</w:t>
      </w:r>
      <w:r w:rsidRPr="00D05A9C">
        <w:t xml:space="preserve"> Apr. 4, 1997, art. 10(2), C.E.T.S. No. 164 (</w:t>
      </w:r>
      <w:r w:rsidRPr="00D05A9C">
        <w:rPr>
          <w:i/>
        </w:rPr>
        <w:t>entered into force</w:t>
      </w:r>
      <w:r w:rsidRPr="00D05A9C">
        <w:t xml:space="preserve"> Dec. 1, 1999); A Declaration on the Promotion of Patients’ Rights in Europe: World Health Organization European Consultation on the Rights of Patients, para. 2.5, ICP/HLE 121 (June 28, 1994).</w:t>
      </w:r>
      <w:r w:rsidRPr="00D05A9C">
        <w:rPr>
          <w:i/>
        </w:rPr>
        <w:t xml:space="preserve"> </w:t>
      </w:r>
    </w:p>
  </w:endnote>
  <w:endnote w:id="79">
    <w:p w14:paraId="6FED07B0" w14:textId="416E5AE9" w:rsidR="00EB6BE1" w:rsidRPr="00D05A9C" w:rsidRDefault="00EB6BE1" w:rsidP="00163D69">
      <w:pPr>
        <w:pStyle w:val="EndnoteText"/>
      </w:pPr>
      <w:r w:rsidRPr="00D05A9C">
        <w:rPr>
          <w:rStyle w:val="EndnoteReference"/>
        </w:rPr>
        <w:endnoteRef/>
      </w:r>
      <w:r w:rsidRPr="00D05A9C">
        <w:rPr>
          <w:rStyle w:val="sb8d990e2"/>
        </w:rPr>
        <w:t xml:space="preserve"> </w:t>
      </w:r>
      <w:r w:rsidRPr="00D05A9C">
        <w:rPr>
          <w:rStyle w:val="sb8d990e2"/>
        </w:rPr>
        <w:t xml:space="preserve">For </w:t>
      </w:r>
      <w:r w:rsidRPr="00D05A9C">
        <w:rPr>
          <w:rStyle w:val="sb8d990e2"/>
        </w:rPr>
        <w:t xml:space="preserve">example, the CESCR has </w:t>
      </w:r>
      <w:r w:rsidRPr="00D05A9C">
        <w:t xml:space="preserve">highlighted that states must ensure women can access good quality health-related information that is scientifically and medically appropriate and refrain from “censoring, withholding or intentionally misrepresenting” such information, including on sexual and reproductive health. Committee on Economic, Social, and Cultural Rights, </w:t>
      </w:r>
      <w:r w:rsidRPr="00D05A9C">
        <w:rPr>
          <w:i/>
        </w:rPr>
        <w:t>General Comment 14: The Right to the Highest Attainable Standard of Health</w:t>
      </w:r>
      <w:r w:rsidRPr="00D05A9C">
        <w:t xml:space="preserve"> (Art. 12), (22nd Sess., 2000), paras. 12(b)(iv), 12(d), 21, 34, U.N. Doc. E/C.12/2000/4 (2000) [hereinafter CESCR, </w:t>
      </w:r>
      <w:r w:rsidRPr="00D05A9C">
        <w:rPr>
          <w:i/>
        </w:rPr>
        <w:t>Gen. Comment No. 14</w:t>
      </w:r>
      <w:r w:rsidRPr="00D05A9C">
        <w:t xml:space="preserve">]. </w:t>
      </w:r>
      <w:r w:rsidRPr="00D05A9C">
        <w:rPr>
          <w:i/>
        </w:rPr>
        <w:t>See also</w:t>
      </w:r>
      <w:r w:rsidRPr="00D05A9C">
        <w:t xml:space="preserve"> </w:t>
      </w:r>
      <w:r w:rsidRPr="00D05A9C">
        <w:rPr>
          <w:smallCaps/>
        </w:rPr>
        <w:t>Center for Reproductive Rights</w:t>
      </w:r>
      <w:r w:rsidRPr="00D05A9C">
        <w:t xml:space="preserve">, </w:t>
      </w:r>
      <w:r w:rsidRPr="00D05A9C">
        <w:rPr>
          <w:smallCaps/>
        </w:rPr>
        <w:t>Mandatory waiting periods and biased counseling requirements in Central and Eastern Europe: restricting access to abortion, undermining human rights, and reinforcing harmful gender stereotypes</w:t>
      </w:r>
      <w:r w:rsidRPr="00D05A9C">
        <w:rPr>
          <w:i/>
        </w:rPr>
        <w:t xml:space="preserve"> </w:t>
      </w:r>
      <w:r w:rsidRPr="00D05A9C">
        <w:t xml:space="preserve">(Sept. 2015) [hereinafter </w:t>
      </w:r>
      <w:r w:rsidRPr="00D05A9C">
        <w:rPr>
          <w:smallCaps/>
        </w:rPr>
        <w:t>Mandatory waiting periods and biased counseling requirements in Central and Eastern Europe</w:t>
      </w:r>
      <w:r w:rsidRPr="00D05A9C">
        <w:t>].</w:t>
      </w:r>
    </w:p>
  </w:endnote>
  <w:endnote w:id="80">
    <w:p w14:paraId="734CE90A" w14:textId="31DF1ECE" w:rsidR="00EB6BE1" w:rsidRPr="00D05A9C" w:rsidRDefault="00EB6BE1" w:rsidP="00741D7C">
      <w:pPr>
        <w:pStyle w:val="EndnoteText"/>
      </w:pPr>
      <w:r w:rsidRPr="00D05A9C">
        <w:rPr>
          <w:rStyle w:val="EndnoteReference"/>
        </w:rPr>
        <w:endnoteRef/>
      </w:r>
      <w:r w:rsidRPr="00D05A9C">
        <w:t xml:space="preserve"> </w:t>
      </w:r>
      <w:r w:rsidRPr="00D05A9C">
        <w:rPr>
          <w:rFonts w:eastAsia="Times New Roman"/>
        </w:rPr>
        <w:t xml:space="preserve">WHO, 2012 </w:t>
      </w:r>
      <w:r w:rsidRPr="00D05A9C">
        <w:rPr>
          <w:rFonts w:eastAsia="Times New Roman"/>
          <w:smallCaps/>
        </w:rPr>
        <w:t>Safe Abortion</w:t>
      </w:r>
      <w:r w:rsidRPr="00D05A9C">
        <w:rPr>
          <w:rFonts w:eastAsia="Times New Roman"/>
        </w:rPr>
        <w:t xml:space="preserve"> </w:t>
      </w:r>
      <w:r w:rsidRPr="00D05A9C">
        <w:rPr>
          <w:rFonts w:eastAsia="Times New Roman"/>
          <w:smallCaps/>
        </w:rPr>
        <w:t>Guidance</w:t>
      </w:r>
      <w:r w:rsidRPr="00D05A9C">
        <w:rPr>
          <w:rFonts w:eastAsia="Times New Roman"/>
        </w:rPr>
        <w:t xml:space="preserve">, </w:t>
      </w:r>
      <w:r w:rsidRPr="00D05A9C">
        <w:rPr>
          <w:rFonts w:eastAsia="Times New Roman"/>
          <w:i/>
        </w:rPr>
        <w:t>supra</w:t>
      </w:r>
      <w:r>
        <w:rPr>
          <w:rFonts w:eastAsia="Times New Roman"/>
        </w:rPr>
        <w:t xml:space="preserve"> note 59</w:t>
      </w:r>
      <w:r w:rsidRPr="00D05A9C">
        <w:t>, at 96.</w:t>
      </w:r>
    </w:p>
  </w:endnote>
  <w:endnote w:id="81">
    <w:p w14:paraId="68951972" w14:textId="383A80B7" w:rsidR="00EB6BE1" w:rsidRPr="00D05A9C" w:rsidRDefault="00EB6BE1" w:rsidP="00741D7C">
      <w:pPr>
        <w:pStyle w:val="EndnoteText"/>
      </w:pPr>
      <w:r w:rsidRPr="00D05A9C">
        <w:rPr>
          <w:rStyle w:val="EndnoteReference"/>
        </w:rPr>
        <w:endnoteRef/>
      </w:r>
      <w:r w:rsidRPr="00D05A9C">
        <w:t xml:space="preserve"> </w:t>
      </w:r>
      <w:r w:rsidRPr="00D05A9C">
        <w:rPr>
          <w:rFonts w:eastAsia="Times New Roman"/>
        </w:rPr>
        <w:t xml:space="preserve">WHO, </w:t>
      </w:r>
      <w:r w:rsidRPr="00D05A9C">
        <w:rPr>
          <w:rFonts w:eastAsia="Times New Roman"/>
        </w:rPr>
        <w:t xml:space="preserve">2012 </w:t>
      </w:r>
      <w:r w:rsidRPr="00D05A9C">
        <w:rPr>
          <w:rFonts w:eastAsia="Times New Roman"/>
          <w:smallCaps/>
        </w:rPr>
        <w:t>Safe Abortion</w:t>
      </w:r>
      <w:r w:rsidRPr="00D05A9C">
        <w:rPr>
          <w:rFonts w:eastAsia="Times New Roman"/>
        </w:rPr>
        <w:t xml:space="preserve"> </w:t>
      </w:r>
      <w:r w:rsidRPr="00D05A9C">
        <w:rPr>
          <w:rFonts w:eastAsia="Times New Roman"/>
          <w:smallCaps/>
        </w:rPr>
        <w:t>Guidance</w:t>
      </w:r>
      <w:r w:rsidRPr="00D05A9C">
        <w:rPr>
          <w:rFonts w:eastAsia="Times New Roman"/>
        </w:rPr>
        <w:t xml:space="preserve">, </w:t>
      </w:r>
      <w:r w:rsidRPr="00D05A9C">
        <w:rPr>
          <w:rFonts w:eastAsia="Times New Roman"/>
          <w:i/>
        </w:rPr>
        <w:t>supra</w:t>
      </w:r>
      <w:r>
        <w:rPr>
          <w:rFonts w:eastAsia="Times New Roman"/>
        </w:rPr>
        <w:t xml:space="preserve"> note 59</w:t>
      </w:r>
      <w:r w:rsidRPr="00D05A9C">
        <w:t xml:space="preserve">, at 96-97. </w:t>
      </w:r>
    </w:p>
  </w:endnote>
  <w:endnote w:id="82">
    <w:p w14:paraId="3AFE0B26" w14:textId="74E38BDC" w:rsidR="00EB6BE1" w:rsidRPr="00D05A9C" w:rsidRDefault="00EB6BE1">
      <w:pPr>
        <w:pStyle w:val="EndnoteText"/>
      </w:pPr>
      <w:r w:rsidRPr="00D05A9C">
        <w:rPr>
          <w:rStyle w:val="EndnoteReference"/>
        </w:rPr>
        <w:endnoteRef/>
      </w:r>
      <w:r w:rsidRPr="00D05A9C">
        <w:t xml:space="preserve"> </w:t>
      </w:r>
      <w:r w:rsidRPr="00D05A9C">
        <w:t xml:space="preserve">CEDAW, </w:t>
      </w:r>
      <w:r w:rsidRPr="00D05A9C">
        <w:rPr>
          <w:i/>
        </w:rPr>
        <w:t>Concluding Observations: Hungary</w:t>
      </w:r>
      <w:r w:rsidRPr="00D05A9C">
        <w:t xml:space="preserve">, para. 31(c), U.N. Doc. </w:t>
      </w:r>
      <w:r w:rsidRPr="00D05A9C">
        <w:rPr>
          <w:color w:val="000000"/>
        </w:rPr>
        <w:t xml:space="preserve">CEDAW/C/HUN/CO/7-8 (2013); </w:t>
      </w:r>
      <w:r w:rsidRPr="00D05A9C">
        <w:rPr>
          <w:i/>
          <w:color w:val="000000"/>
        </w:rPr>
        <w:t>Russian Federation</w:t>
      </w:r>
      <w:r w:rsidRPr="00D05A9C">
        <w:rPr>
          <w:color w:val="000000"/>
        </w:rPr>
        <w:t xml:space="preserve">, paras. 35(b), 36(b), U.N. Doc. CEDAW/C/RUS/CO/8 (2015); </w:t>
      </w:r>
      <w:r w:rsidRPr="00D05A9C">
        <w:rPr>
          <w:i/>
        </w:rPr>
        <w:t>Slovakia</w:t>
      </w:r>
      <w:r w:rsidRPr="00D05A9C">
        <w:t>, para. 31(c), U.N. Doc. CEDAW/C/SVK/CO/5-6 (2015).</w:t>
      </w:r>
    </w:p>
  </w:endnote>
  <w:endnote w:id="83">
    <w:p w14:paraId="3EFE7763" w14:textId="462330C7" w:rsidR="00EB6BE1" w:rsidRPr="00D05A9C" w:rsidRDefault="00EB6BE1" w:rsidP="008D74DB">
      <w:pPr>
        <w:pStyle w:val="Sinespaciado"/>
        <w:rPr>
          <w:sz w:val="20"/>
          <w:szCs w:val="20"/>
        </w:rPr>
      </w:pPr>
      <w:r w:rsidRPr="00D05A9C">
        <w:rPr>
          <w:rStyle w:val="EndnoteReference"/>
          <w:sz w:val="20"/>
          <w:szCs w:val="20"/>
        </w:rPr>
        <w:endnoteRef/>
      </w:r>
      <w:r w:rsidRPr="00D05A9C">
        <w:rPr>
          <w:sz w:val="20"/>
          <w:szCs w:val="20"/>
        </w:rPr>
        <w:t xml:space="preserve"> WHO, </w:t>
      </w:r>
      <w:r w:rsidRPr="00D05A9C">
        <w:rPr>
          <w:smallCaps/>
          <w:sz w:val="20"/>
          <w:szCs w:val="20"/>
        </w:rPr>
        <w:t>2012 Safe Abortion Guidance</w:t>
      </w:r>
      <w:r w:rsidRPr="00D05A9C">
        <w:rPr>
          <w:sz w:val="20"/>
          <w:szCs w:val="20"/>
        </w:rPr>
        <w:t xml:space="preserve">, </w:t>
      </w:r>
      <w:r w:rsidRPr="00D05A9C">
        <w:rPr>
          <w:i/>
          <w:sz w:val="20"/>
          <w:szCs w:val="20"/>
        </w:rPr>
        <w:t>supra</w:t>
      </w:r>
      <w:r>
        <w:rPr>
          <w:sz w:val="20"/>
          <w:szCs w:val="20"/>
        </w:rPr>
        <w:t xml:space="preserve"> note 59</w:t>
      </w:r>
      <w:r w:rsidRPr="00D05A9C">
        <w:rPr>
          <w:sz w:val="20"/>
          <w:szCs w:val="20"/>
        </w:rPr>
        <w:t xml:space="preserve">, at </w:t>
      </w:r>
      <w:proofErr w:type="gramStart"/>
      <w:r w:rsidRPr="00D05A9C">
        <w:rPr>
          <w:sz w:val="20"/>
          <w:szCs w:val="20"/>
        </w:rPr>
        <w:t>96.</w:t>
      </w:r>
      <w:proofErr w:type="gramEnd"/>
    </w:p>
  </w:endnote>
  <w:endnote w:id="84">
    <w:p w14:paraId="4336EEDA" w14:textId="291FED90" w:rsidR="00EB6BE1" w:rsidRPr="00D05A9C" w:rsidRDefault="00EB6BE1" w:rsidP="008D74DB">
      <w:pPr>
        <w:pStyle w:val="EndnoteText"/>
      </w:pPr>
      <w:r w:rsidRPr="00D05A9C">
        <w:rPr>
          <w:rStyle w:val="EndnoteReference"/>
        </w:rPr>
        <w:endnoteRef/>
      </w:r>
      <w:r w:rsidRPr="00D05A9C">
        <w:t xml:space="preserve"> </w:t>
      </w:r>
      <w:r w:rsidRPr="00D05A9C">
        <w:rPr>
          <w:rStyle w:val="Hyperlink"/>
          <w:smallCaps/>
          <w:u w:val="none"/>
          <w:lang w:val="en-US"/>
        </w:rPr>
        <w:t xml:space="preserve">FIGO, Ethical Issues in Obstetrics and Gynecology, </w:t>
      </w:r>
      <w:r w:rsidRPr="00D05A9C">
        <w:rPr>
          <w:rStyle w:val="Hyperlink"/>
          <w:i/>
          <w:u w:val="none"/>
          <w:lang w:val="en-US"/>
        </w:rPr>
        <w:t xml:space="preserve">supra </w:t>
      </w:r>
      <w:r>
        <w:rPr>
          <w:rStyle w:val="Hyperlink"/>
          <w:u w:val="none"/>
          <w:lang w:val="en-US"/>
        </w:rPr>
        <w:t>note 76</w:t>
      </w:r>
      <w:r w:rsidRPr="00D05A9C">
        <w:rPr>
          <w:smallCaps/>
        </w:rPr>
        <w:t>,</w:t>
      </w:r>
      <w:r w:rsidRPr="00D05A9C">
        <w:t xml:space="preserve"> at 30,</w:t>
      </w:r>
      <w:r w:rsidRPr="00D05A9C">
        <w:rPr>
          <w:rStyle w:val="Hyperlink"/>
          <w:smallCaps/>
          <w:u w:val="none"/>
          <w:lang w:val="en-US"/>
        </w:rPr>
        <w:t xml:space="preserve"> </w:t>
      </w:r>
      <w:r w:rsidRPr="00D05A9C">
        <w:rPr>
          <w:rStyle w:val="Hyperlink"/>
          <w:u w:val="none"/>
          <w:lang w:val="en-US"/>
        </w:rPr>
        <w:t>para. 8</w:t>
      </w:r>
      <w:r w:rsidRPr="00D05A9C">
        <w:t xml:space="preserve">. </w:t>
      </w:r>
    </w:p>
  </w:endnote>
  <w:endnote w:id="85">
    <w:p w14:paraId="2D75EB87" w14:textId="3F4C535C" w:rsidR="00EB6BE1" w:rsidRPr="00D05A9C" w:rsidRDefault="00EB6BE1" w:rsidP="008D74DB">
      <w:pPr>
        <w:pStyle w:val="Sinespaciado"/>
        <w:rPr>
          <w:sz w:val="20"/>
          <w:szCs w:val="20"/>
        </w:rPr>
      </w:pPr>
      <w:r w:rsidRPr="00D05A9C">
        <w:rPr>
          <w:rStyle w:val="EndnoteReference"/>
          <w:sz w:val="20"/>
          <w:szCs w:val="20"/>
        </w:rPr>
        <w:endnoteRef/>
      </w:r>
      <w:r w:rsidRPr="00D05A9C">
        <w:rPr>
          <w:sz w:val="20"/>
          <w:szCs w:val="20"/>
        </w:rPr>
        <w:t xml:space="preserve"> </w:t>
      </w:r>
      <w:r w:rsidRPr="00D05A9C">
        <w:rPr>
          <w:smallCaps/>
          <w:sz w:val="20"/>
          <w:szCs w:val="20"/>
        </w:rPr>
        <w:t>Mandatory waiting periods and biased counseling requirements in Central and Eastern Europe,</w:t>
      </w:r>
      <w:r w:rsidRPr="00D05A9C">
        <w:rPr>
          <w:i/>
          <w:sz w:val="20"/>
          <w:szCs w:val="20"/>
        </w:rPr>
        <w:t xml:space="preserve"> supra </w:t>
      </w:r>
      <w:r>
        <w:rPr>
          <w:sz w:val="20"/>
          <w:szCs w:val="20"/>
        </w:rPr>
        <w:t>note 78</w:t>
      </w:r>
      <w:r w:rsidRPr="00D05A9C">
        <w:rPr>
          <w:sz w:val="20"/>
          <w:szCs w:val="20"/>
        </w:rPr>
        <w:t xml:space="preserve">; </w:t>
      </w:r>
      <w:r w:rsidRPr="00D05A9C">
        <w:rPr>
          <w:i/>
          <w:sz w:val="20"/>
          <w:szCs w:val="20"/>
        </w:rPr>
        <w:t>see</w:t>
      </w:r>
      <w:r w:rsidRPr="00D05A9C">
        <w:rPr>
          <w:sz w:val="20"/>
          <w:szCs w:val="20"/>
        </w:rPr>
        <w:t xml:space="preserve"> </w:t>
      </w:r>
      <w:r w:rsidRPr="00D05A9C">
        <w:rPr>
          <w:i/>
          <w:sz w:val="20"/>
          <w:szCs w:val="20"/>
        </w:rPr>
        <w:t>also</w:t>
      </w:r>
      <w:r w:rsidRPr="00D05A9C">
        <w:rPr>
          <w:sz w:val="20"/>
          <w:szCs w:val="20"/>
        </w:rPr>
        <w:t xml:space="preserve"> Reva B. Siegel, </w:t>
      </w:r>
      <w:r w:rsidRPr="00D05A9C">
        <w:rPr>
          <w:i/>
          <w:sz w:val="20"/>
          <w:szCs w:val="20"/>
        </w:rPr>
        <w:t>The Right’s Reasons: Constitutional Conflict and the Spread of Woman-Protective Antiabortion Argument</w:t>
      </w:r>
      <w:r w:rsidRPr="00D05A9C">
        <w:rPr>
          <w:sz w:val="20"/>
          <w:szCs w:val="20"/>
        </w:rPr>
        <w:t xml:space="preserve">, 57 </w:t>
      </w:r>
      <w:r w:rsidRPr="00D05A9C">
        <w:rPr>
          <w:smallCaps/>
          <w:sz w:val="20"/>
          <w:szCs w:val="20"/>
        </w:rPr>
        <w:t>Duke L.J.</w:t>
      </w:r>
      <w:r w:rsidRPr="00D05A9C">
        <w:rPr>
          <w:sz w:val="20"/>
          <w:szCs w:val="20"/>
        </w:rPr>
        <w:t xml:space="preserve"> 1641, 1687 (2008).</w:t>
      </w:r>
    </w:p>
  </w:endnote>
  <w:endnote w:id="86">
    <w:p w14:paraId="1FD954B7" w14:textId="631E6782" w:rsidR="00EB6BE1" w:rsidRPr="00D05A9C" w:rsidRDefault="00EB6BE1" w:rsidP="008D74DB">
      <w:pPr>
        <w:pStyle w:val="Sinespaciado"/>
        <w:rPr>
          <w:sz w:val="20"/>
          <w:szCs w:val="20"/>
        </w:rPr>
      </w:pPr>
      <w:r w:rsidRPr="00D05A9C">
        <w:rPr>
          <w:rStyle w:val="EndnoteReference"/>
          <w:sz w:val="20"/>
          <w:szCs w:val="20"/>
        </w:rPr>
        <w:endnoteRef/>
      </w:r>
      <w:r w:rsidRPr="00D05A9C">
        <w:rPr>
          <w:sz w:val="20"/>
          <w:szCs w:val="20"/>
        </w:rPr>
        <w:t xml:space="preserve"> </w:t>
      </w:r>
      <w:r w:rsidRPr="00D05A9C">
        <w:rPr>
          <w:smallCaps/>
          <w:sz w:val="20"/>
          <w:szCs w:val="20"/>
        </w:rPr>
        <w:t>Mandatory waiting periods and biased counseling requirements in Central and Eastern Europe</w:t>
      </w:r>
      <w:r w:rsidRPr="00D05A9C">
        <w:rPr>
          <w:i/>
          <w:sz w:val="20"/>
          <w:szCs w:val="20"/>
        </w:rPr>
        <w:t xml:space="preserve">, supra </w:t>
      </w:r>
      <w:r>
        <w:rPr>
          <w:sz w:val="20"/>
          <w:szCs w:val="20"/>
        </w:rPr>
        <w:t>note 78</w:t>
      </w:r>
      <w:r w:rsidRPr="00D05A9C">
        <w:rPr>
          <w:sz w:val="20"/>
          <w:szCs w:val="20"/>
        </w:rPr>
        <w:t xml:space="preserve">; </w:t>
      </w:r>
      <w:r w:rsidRPr="00D05A9C">
        <w:rPr>
          <w:i/>
          <w:sz w:val="20"/>
          <w:szCs w:val="20"/>
        </w:rPr>
        <w:t>see</w:t>
      </w:r>
      <w:r w:rsidRPr="00D05A9C">
        <w:rPr>
          <w:sz w:val="20"/>
          <w:szCs w:val="20"/>
        </w:rPr>
        <w:t xml:space="preserve"> </w:t>
      </w:r>
      <w:r w:rsidRPr="00D05A9C">
        <w:rPr>
          <w:i/>
          <w:sz w:val="20"/>
          <w:szCs w:val="20"/>
        </w:rPr>
        <w:t>also</w:t>
      </w:r>
      <w:r w:rsidRPr="00D05A9C">
        <w:rPr>
          <w:sz w:val="20"/>
          <w:szCs w:val="20"/>
        </w:rPr>
        <w:t xml:space="preserve"> Special Rapporteur on the Right of Everyone to the Enjoyment of the Highest Attainable Standard of Physical and Mental Health, </w:t>
      </w:r>
      <w:r w:rsidRPr="00D05A9C">
        <w:rPr>
          <w:i/>
          <w:sz w:val="20"/>
          <w:szCs w:val="20"/>
        </w:rPr>
        <w:t xml:space="preserve">Interim Report of the Special Rapporteur on the Right of Everyone to the Enjoyment of the Highest Attainable Standard of Physical and Mental Health, </w:t>
      </w:r>
      <w:proofErr w:type="spellStart"/>
      <w:r w:rsidRPr="00D05A9C">
        <w:rPr>
          <w:i/>
          <w:sz w:val="20"/>
          <w:szCs w:val="20"/>
        </w:rPr>
        <w:t>Anand</w:t>
      </w:r>
      <w:proofErr w:type="spellEnd"/>
      <w:r w:rsidRPr="00D05A9C">
        <w:rPr>
          <w:i/>
          <w:sz w:val="20"/>
          <w:szCs w:val="20"/>
        </w:rPr>
        <w:t xml:space="preserve"> Grover</w:t>
      </w:r>
      <w:r w:rsidRPr="00D05A9C">
        <w:rPr>
          <w:sz w:val="20"/>
          <w:szCs w:val="20"/>
        </w:rPr>
        <w:t xml:space="preserve">, para. 24, U.N. Doc. A/66/254 (Aug. 3, 2011); </w:t>
      </w:r>
      <w:proofErr w:type="spellStart"/>
      <w:r w:rsidRPr="00D05A9C">
        <w:rPr>
          <w:sz w:val="20"/>
          <w:szCs w:val="20"/>
        </w:rPr>
        <w:t>Anuradha</w:t>
      </w:r>
      <w:proofErr w:type="spellEnd"/>
      <w:r w:rsidRPr="00D05A9C">
        <w:rPr>
          <w:sz w:val="20"/>
          <w:szCs w:val="20"/>
        </w:rPr>
        <w:t xml:space="preserve"> Kumar et al., </w:t>
      </w:r>
      <w:r w:rsidRPr="00D05A9C">
        <w:rPr>
          <w:i/>
          <w:sz w:val="20"/>
          <w:szCs w:val="20"/>
        </w:rPr>
        <w:t>Conceptualizing Abortion Stigma</w:t>
      </w:r>
      <w:r w:rsidRPr="00D05A9C">
        <w:rPr>
          <w:sz w:val="20"/>
          <w:szCs w:val="20"/>
        </w:rPr>
        <w:t xml:space="preserve">, 11(6) </w:t>
      </w:r>
      <w:r w:rsidRPr="00D05A9C">
        <w:rPr>
          <w:smallCaps/>
          <w:sz w:val="20"/>
          <w:szCs w:val="20"/>
        </w:rPr>
        <w:t>Culture, Health &amp; Sexuality</w:t>
      </w:r>
      <w:r w:rsidRPr="00D05A9C">
        <w:rPr>
          <w:sz w:val="20"/>
          <w:szCs w:val="20"/>
        </w:rPr>
        <w:t xml:space="preserve"> 625 (2009); Alison Norris et al., </w:t>
      </w:r>
      <w:r w:rsidRPr="00D05A9C">
        <w:rPr>
          <w:i/>
          <w:sz w:val="20"/>
          <w:szCs w:val="20"/>
        </w:rPr>
        <w:t>Abortion Stigma: A Reconceptualization of Constituents, Causes, and Consequences</w:t>
      </w:r>
      <w:r w:rsidRPr="00D05A9C">
        <w:rPr>
          <w:sz w:val="20"/>
          <w:szCs w:val="20"/>
        </w:rPr>
        <w:t xml:space="preserve">, </w:t>
      </w:r>
      <w:r w:rsidRPr="00D05A9C">
        <w:rPr>
          <w:smallCaps/>
          <w:sz w:val="20"/>
          <w:szCs w:val="20"/>
        </w:rPr>
        <w:t>Women's Health Issues 7</w:t>
      </w:r>
      <w:r w:rsidRPr="00D05A9C">
        <w:rPr>
          <w:sz w:val="20"/>
          <w:szCs w:val="20"/>
        </w:rPr>
        <w:t xml:space="preserve"> (2011) (authors ed.), </w:t>
      </w:r>
      <w:r w:rsidRPr="00D05A9C">
        <w:rPr>
          <w:i/>
          <w:sz w:val="20"/>
          <w:szCs w:val="20"/>
        </w:rPr>
        <w:t>available at</w:t>
      </w:r>
      <w:r w:rsidRPr="00D05A9C">
        <w:rPr>
          <w:sz w:val="20"/>
          <w:szCs w:val="20"/>
        </w:rPr>
        <w:t xml:space="preserve"> http://www.guttmacher.org/pubs/journals/Abortion-Stigma.pdf; Rebecca J. Cook, </w:t>
      </w:r>
      <w:r w:rsidRPr="00D05A9C">
        <w:rPr>
          <w:i/>
          <w:sz w:val="20"/>
          <w:szCs w:val="20"/>
        </w:rPr>
        <w:t>Stigmatized Meanings of Abortion Law</w:t>
      </w:r>
      <w:r w:rsidRPr="00D05A9C">
        <w:rPr>
          <w:sz w:val="20"/>
          <w:szCs w:val="20"/>
        </w:rPr>
        <w:t xml:space="preserve">, </w:t>
      </w:r>
      <w:r w:rsidRPr="00D05A9C">
        <w:rPr>
          <w:i/>
          <w:sz w:val="20"/>
          <w:szCs w:val="20"/>
        </w:rPr>
        <w:t xml:space="preserve">in </w:t>
      </w:r>
      <w:r w:rsidRPr="00D05A9C">
        <w:rPr>
          <w:smallCaps/>
          <w:sz w:val="20"/>
          <w:szCs w:val="20"/>
        </w:rPr>
        <w:t>Abortion Law in Transnational Perspective: Cases and Controversies</w:t>
      </w:r>
      <w:r w:rsidRPr="00D05A9C">
        <w:rPr>
          <w:sz w:val="20"/>
          <w:szCs w:val="20"/>
        </w:rPr>
        <w:t xml:space="preserve"> 347, 347 (Rebecca J. Cook, Joanna N. Erdman &amp; Bernard M. Dickens eds., 2014); Bruce G. Link &amp; Jo C. Phelan, </w:t>
      </w:r>
      <w:r w:rsidRPr="00D05A9C">
        <w:rPr>
          <w:i/>
          <w:sz w:val="20"/>
          <w:szCs w:val="20"/>
        </w:rPr>
        <w:t>Stigma and its Public Health Implications</w:t>
      </w:r>
      <w:r w:rsidRPr="00D05A9C">
        <w:rPr>
          <w:sz w:val="20"/>
          <w:szCs w:val="20"/>
        </w:rPr>
        <w:t xml:space="preserve">, 367 </w:t>
      </w:r>
      <w:r w:rsidRPr="00D05A9C">
        <w:rPr>
          <w:smallCaps/>
          <w:sz w:val="20"/>
          <w:szCs w:val="20"/>
        </w:rPr>
        <w:t>The Lancet</w:t>
      </w:r>
      <w:r w:rsidRPr="00D05A9C">
        <w:rPr>
          <w:sz w:val="20"/>
          <w:szCs w:val="20"/>
        </w:rPr>
        <w:t xml:space="preserve"> 528, 528-29 (2006); Bruce G. Link &amp; Jo C. Phelan, </w:t>
      </w:r>
      <w:r w:rsidRPr="00D05A9C">
        <w:rPr>
          <w:i/>
          <w:sz w:val="20"/>
          <w:szCs w:val="20"/>
        </w:rPr>
        <w:t>Conceptualizing Stigma</w:t>
      </w:r>
      <w:r w:rsidRPr="00D05A9C">
        <w:rPr>
          <w:sz w:val="20"/>
          <w:szCs w:val="20"/>
        </w:rPr>
        <w:t xml:space="preserve">, 27 </w:t>
      </w:r>
      <w:r w:rsidRPr="00D05A9C">
        <w:rPr>
          <w:smallCaps/>
          <w:sz w:val="20"/>
          <w:szCs w:val="20"/>
        </w:rPr>
        <w:t>Ann. Rev. of Soc.</w:t>
      </w:r>
      <w:r w:rsidRPr="00D05A9C">
        <w:rPr>
          <w:sz w:val="20"/>
          <w:szCs w:val="20"/>
        </w:rPr>
        <w:t xml:space="preserve"> 363, 367-76 (2001).</w:t>
      </w:r>
    </w:p>
  </w:endnote>
  <w:endnote w:id="87">
    <w:p w14:paraId="6F93AC92" w14:textId="1547BCEF" w:rsidR="00EB6BE1" w:rsidRPr="00D05A9C" w:rsidRDefault="00EB6BE1" w:rsidP="0048383A">
      <w:pPr>
        <w:pStyle w:val="Sinespaciado"/>
        <w:rPr>
          <w:sz w:val="20"/>
          <w:szCs w:val="20"/>
        </w:rPr>
      </w:pPr>
      <w:r w:rsidRPr="00D05A9C">
        <w:rPr>
          <w:rStyle w:val="EndnoteReference"/>
          <w:sz w:val="20"/>
          <w:szCs w:val="20"/>
        </w:rPr>
        <w:endnoteRef/>
      </w:r>
      <w:r w:rsidRPr="00D05A9C">
        <w:rPr>
          <w:sz w:val="20"/>
          <w:szCs w:val="20"/>
        </w:rPr>
        <w:t xml:space="preserve"> </w:t>
      </w:r>
      <w:r w:rsidRPr="00D05A9C">
        <w:rPr>
          <w:i/>
          <w:sz w:val="20"/>
          <w:szCs w:val="20"/>
        </w:rPr>
        <w:t xml:space="preserve">See e.g. </w:t>
      </w:r>
      <w:r w:rsidRPr="00D05A9C">
        <w:rPr>
          <w:smallCaps/>
          <w:sz w:val="20"/>
          <w:szCs w:val="20"/>
        </w:rPr>
        <w:t xml:space="preserve">Center for Reproductive Rights et al., Calculated Injustice: The Slovak Republic’s Failure to Ensure Access to Contraceptives </w:t>
      </w:r>
      <w:r w:rsidRPr="00D05A9C">
        <w:rPr>
          <w:sz w:val="20"/>
          <w:szCs w:val="20"/>
        </w:rPr>
        <w:t xml:space="preserve">39 (2011), [hereinafter </w:t>
      </w:r>
      <w:r w:rsidRPr="00D05A9C">
        <w:rPr>
          <w:smallCaps/>
          <w:sz w:val="20"/>
          <w:szCs w:val="20"/>
        </w:rPr>
        <w:t>Calculated Injustice</w:t>
      </w:r>
      <w:r w:rsidRPr="00D05A9C">
        <w:rPr>
          <w:sz w:val="20"/>
          <w:szCs w:val="20"/>
        </w:rPr>
        <w:t xml:space="preserve">], </w:t>
      </w:r>
      <w:r w:rsidRPr="00D05A9C">
        <w:rPr>
          <w:i/>
          <w:sz w:val="20"/>
          <w:szCs w:val="20"/>
        </w:rPr>
        <w:t xml:space="preserve">available at </w:t>
      </w:r>
      <w:hyperlink r:id="rId5" w:history="1">
        <w:r w:rsidRPr="00D05A9C">
          <w:rPr>
            <w:rStyle w:val="Hyperlink"/>
            <w:sz w:val="20"/>
            <w:szCs w:val="20"/>
            <w:u w:val="none"/>
          </w:rPr>
          <w:t>http://www.reproductiverights.org/sites/crr.civicactions.net/files/documents/calculated_injustice.pdf</w:t>
        </w:r>
      </w:hyperlink>
      <w:r w:rsidRPr="00D05A9C">
        <w:rPr>
          <w:sz w:val="20"/>
          <w:szCs w:val="20"/>
        </w:rPr>
        <w:t xml:space="preserve">. </w:t>
      </w:r>
    </w:p>
  </w:endnote>
  <w:endnote w:id="88">
    <w:p w14:paraId="0F5050CE" w14:textId="020551CD" w:rsidR="00EB6BE1" w:rsidRPr="00D05A9C" w:rsidRDefault="00EB6BE1">
      <w:pPr>
        <w:pStyle w:val="EndnoteText"/>
      </w:pPr>
      <w:r w:rsidRPr="00D05A9C">
        <w:rPr>
          <w:rStyle w:val="EndnoteReference"/>
        </w:rPr>
        <w:endnoteRef/>
      </w:r>
      <w:r w:rsidRPr="00D05A9C">
        <w:t xml:space="preserve"> </w:t>
      </w:r>
      <w:r w:rsidRPr="00D05A9C">
        <w:t xml:space="preserve">Zákon č. 576/2004 Z. z. o zdravotnej starostlivosti, službách súvisiacich s poskytovaním zdravotnej starostlivosti a o zmene a doplnení niektorých zákonov v znení neskorších predpisov [Act No. 576/2004 Coll. of Laws on Healthcare, Healthcare-related Services, and Amending and Supplementing Certain Acts </w:t>
      </w:r>
      <w:r w:rsidRPr="00D05A9C">
        <w:rPr>
          <w:i/>
          <w:iCs/>
        </w:rPr>
        <w:t>as amended</w:t>
      </w:r>
      <w:r w:rsidRPr="00D05A9C">
        <w:t xml:space="preserve">] (Slovk.), secs. 12(2)(c), </w:t>
      </w:r>
      <w:r>
        <w:t>12(3)</w:t>
      </w:r>
      <w:r w:rsidRPr="00D05A9C">
        <w:t>.</w:t>
      </w:r>
    </w:p>
  </w:endnote>
  <w:endnote w:id="89">
    <w:p w14:paraId="1738BABE" w14:textId="77777777" w:rsidR="00EB6BE1" w:rsidRPr="00D05A9C" w:rsidRDefault="00EB6BE1" w:rsidP="001A5652">
      <w:pPr>
        <w:pStyle w:val="EndnoteText"/>
        <w:rPr>
          <w:lang w:val="en-US"/>
        </w:rPr>
      </w:pPr>
      <w:r w:rsidRPr="00D05A9C">
        <w:rPr>
          <w:rStyle w:val="EndnoteReference"/>
        </w:rPr>
        <w:endnoteRef/>
      </w:r>
      <w:r w:rsidRPr="00D05A9C">
        <w:t xml:space="preserve"> </w:t>
      </w:r>
      <w:r w:rsidRPr="00D05A9C">
        <w:t xml:space="preserve">Zákon č. 578/2004 Z. z. o poskytovateľoch zdravotnej starostlivosti, zdravotníckych pracovníkoch, stavovských organizáciách v zdravotníctve a o zmene a doplnení niektorých zákonov [Act No. 578/2004 Coll. of Laws on Healthcare Providers, Health Workers and Professional Medical Associations, and Amending and Supplementing Certain Acts, </w:t>
      </w:r>
      <w:r w:rsidRPr="00D05A9C">
        <w:rPr>
          <w:i/>
          <w:iCs/>
        </w:rPr>
        <w:t>as amended</w:t>
      </w:r>
      <w:r w:rsidRPr="00D05A9C">
        <w:t>], secs. 4, 11 [hereinafter Act 578/2004].</w:t>
      </w:r>
    </w:p>
  </w:endnote>
  <w:endnote w:id="90">
    <w:p w14:paraId="7660BE92" w14:textId="77777777" w:rsidR="00EB6BE1" w:rsidRPr="00D05A9C" w:rsidRDefault="00EB6BE1" w:rsidP="001A5652">
      <w:pPr>
        <w:pStyle w:val="Sinespaciado"/>
        <w:rPr>
          <w:sz w:val="20"/>
          <w:szCs w:val="20"/>
        </w:rPr>
      </w:pPr>
      <w:r w:rsidRPr="00D05A9C">
        <w:rPr>
          <w:rStyle w:val="EndnoteReference"/>
          <w:sz w:val="20"/>
          <w:szCs w:val="20"/>
        </w:rPr>
        <w:endnoteRef/>
      </w:r>
      <w:r w:rsidRPr="00D05A9C">
        <w:rPr>
          <w:sz w:val="20"/>
          <w:szCs w:val="20"/>
        </w:rPr>
        <w:t xml:space="preserve"> </w:t>
      </w:r>
      <w:proofErr w:type="spellStart"/>
      <w:r w:rsidRPr="00D05A9C">
        <w:rPr>
          <w:i/>
          <w:sz w:val="20"/>
          <w:szCs w:val="20"/>
        </w:rPr>
        <w:t>Štátne</w:t>
      </w:r>
      <w:proofErr w:type="spellEnd"/>
      <w:r w:rsidRPr="00D05A9C">
        <w:rPr>
          <w:i/>
          <w:sz w:val="20"/>
          <w:szCs w:val="20"/>
        </w:rPr>
        <w:t xml:space="preserve"> </w:t>
      </w:r>
      <w:proofErr w:type="spellStart"/>
      <w:r w:rsidRPr="00D05A9C">
        <w:rPr>
          <w:i/>
          <w:sz w:val="20"/>
          <w:szCs w:val="20"/>
        </w:rPr>
        <w:t>kliniky</w:t>
      </w:r>
      <w:proofErr w:type="spellEnd"/>
      <w:r w:rsidRPr="00D05A9C">
        <w:rPr>
          <w:i/>
          <w:sz w:val="20"/>
          <w:szCs w:val="20"/>
        </w:rPr>
        <w:t xml:space="preserve"> </w:t>
      </w:r>
      <w:proofErr w:type="spellStart"/>
      <w:r w:rsidRPr="00D05A9C">
        <w:rPr>
          <w:i/>
          <w:sz w:val="20"/>
          <w:szCs w:val="20"/>
        </w:rPr>
        <w:t>majú</w:t>
      </w:r>
      <w:proofErr w:type="spellEnd"/>
      <w:r w:rsidRPr="00D05A9C">
        <w:rPr>
          <w:i/>
          <w:sz w:val="20"/>
          <w:szCs w:val="20"/>
        </w:rPr>
        <w:t xml:space="preserve"> </w:t>
      </w:r>
      <w:proofErr w:type="spellStart"/>
      <w:r w:rsidRPr="00D05A9C">
        <w:rPr>
          <w:i/>
          <w:sz w:val="20"/>
          <w:szCs w:val="20"/>
        </w:rPr>
        <w:t>výhradu</w:t>
      </w:r>
      <w:proofErr w:type="spellEnd"/>
      <w:r w:rsidRPr="00D05A9C">
        <w:rPr>
          <w:i/>
          <w:sz w:val="20"/>
          <w:szCs w:val="20"/>
        </w:rPr>
        <w:t xml:space="preserve"> </w:t>
      </w:r>
      <w:proofErr w:type="spellStart"/>
      <w:r w:rsidRPr="00D05A9C">
        <w:rPr>
          <w:i/>
          <w:sz w:val="20"/>
          <w:szCs w:val="20"/>
        </w:rPr>
        <w:t>svedomia</w:t>
      </w:r>
      <w:proofErr w:type="spellEnd"/>
      <w:r w:rsidRPr="00D05A9C">
        <w:rPr>
          <w:i/>
          <w:sz w:val="20"/>
          <w:szCs w:val="20"/>
        </w:rPr>
        <w:t xml:space="preserve">. </w:t>
      </w:r>
      <w:proofErr w:type="spellStart"/>
      <w:r w:rsidRPr="00D05A9C">
        <w:rPr>
          <w:i/>
          <w:sz w:val="20"/>
          <w:szCs w:val="20"/>
        </w:rPr>
        <w:t>Uhliarik</w:t>
      </w:r>
      <w:proofErr w:type="spellEnd"/>
      <w:r w:rsidRPr="00D05A9C">
        <w:rPr>
          <w:i/>
          <w:sz w:val="20"/>
          <w:szCs w:val="20"/>
        </w:rPr>
        <w:t xml:space="preserve"> </w:t>
      </w:r>
      <w:proofErr w:type="spellStart"/>
      <w:r w:rsidRPr="00D05A9C">
        <w:rPr>
          <w:i/>
          <w:sz w:val="20"/>
          <w:szCs w:val="20"/>
        </w:rPr>
        <w:t>mlčí</w:t>
      </w:r>
      <w:proofErr w:type="spellEnd"/>
      <w:r w:rsidRPr="00D05A9C">
        <w:rPr>
          <w:i/>
          <w:sz w:val="20"/>
          <w:szCs w:val="20"/>
          <w:lang w:val="sk-SK"/>
        </w:rPr>
        <w:t>, [State clinics apply conscientious objection.Uhliarik is silent.],</w:t>
      </w:r>
      <w:r w:rsidRPr="00D05A9C">
        <w:rPr>
          <w:sz w:val="20"/>
          <w:szCs w:val="20"/>
          <w:lang w:val="sk-SK"/>
        </w:rPr>
        <w:t xml:space="preserve"> </w:t>
      </w:r>
      <w:r w:rsidRPr="00D05A9C">
        <w:rPr>
          <w:smallCaps/>
          <w:sz w:val="20"/>
          <w:szCs w:val="20"/>
          <w:lang w:val="sk-SK"/>
        </w:rPr>
        <w:t>Pravda</w:t>
      </w:r>
      <w:r w:rsidRPr="00D05A9C">
        <w:rPr>
          <w:sz w:val="20"/>
          <w:szCs w:val="20"/>
          <w:lang w:val="sk-SK"/>
        </w:rPr>
        <w:t xml:space="preserve">, Jan. 22, 2011, </w:t>
      </w:r>
      <w:r w:rsidRPr="00D05A9C">
        <w:rPr>
          <w:i/>
          <w:sz w:val="20"/>
          <w:szCs w:val="20"/>
          <w:lang w:val="sk-SK"/>
        </w:rPr>
        <w:t xml:space="preserve">avaliable at </w:t>
      </w:r>
      <w:r w:rsidRPr="00D05A9C">
        <w:rPr>
          <w:sz w:val="20"/>
          <w:szCs w:val="20"/>
        </w:rPr>
        <w:t>http://spravy.pravda.sk/statne-kliniky-maju-vyhradu-svedomia-uhliarik-mlci-fx7-/sk_domace.asp?c=A110121_194642_sk_domace_p29 (last visited Sept. 29, 2015)</w:t>
      </w:r>
      <w:r w:rsidRPr="00D05A9C">
        <w:rPr>
          <w:sz w:val="20"/>
          <w:szCs w:val="20"/>
          <w:lang w:val="sk-SK"/>
        </w:rPr>
        <w:t xml:space="preserve">; Iris Kopcsayová, </w:t>
      </w:r>
      <w:r w:rsidRPr="00D05A9C">
        <w:rPr>
          <w:i/>
          <w:sz w:val="20"/>
          <w:szCs w:val="20"/>
          <w:lang w:val="sk-SK"/>
        </w:rPr>
        <w:t>Mnoho štátnych nemocníc interrupcie nerobí, univerzitná v Bratislave bude [Many state hospitals do not perfom abortions, the University hospital in Bratislava will do it]</w:t>
      </w:r>
      <w:r w:rsidRPr="00D05A9C">
        <w:rPr>
          <w:sz w:val="20"/>
          <w:szCs w:val="20"/>
          <w:lang w:val="sk-SK"/>
        </w:rPr>
        <w:t xml:space="preserve">, </w:t>
      </w:r>
      <w:r w:rsidRPr="00D05A9C">
        <w:rPr>
          <w:smallCaps/>
          <w:sz w:val="20"/>
          <w:szCs w:val="20"/>
          <w:lang w:val="sk-SK"/>
        </w:rPr>
        <w:t>Pravda</w:t>
      </w:r>
      <w:r w:rsidRPr="00D05A9C">
        <w:rPr>
          <w:sz w:val="20"/>
          <w:szCs w:val="20"/>
          <w:lang w:val="sk-SK"/>
        </w:rPr>
        <w:t xml:space="preserve">, Jan. 27, 2011, http://spravy.pravda.sk/mnoho-statnych-nemocnic-interrupcie-nerobi-univerzitna-v-bratislave-bude-1tn-/sk_domace.asp?c=A110126_193530_sk_domace_p12 (last visited Sept. 29, 2015); Iris Kopcsayová, </w:t>
      </w:r>
      <w:proofErr w:type="spellStart"/>
      <w:r w:rsidRPr="00D05A9C">
        <w:rPr>
          <w:i/>
          <w:sz w:val="20"/>
          <w:szCs w:val="20"/>
        </w:rPr>
        <w:t>Interrupcie</w:t>
      </w:r>
      <w:proofErr w:type="spellEnd"/>
      <w:r w:rsidRPr="00D05A9C">
        <w:rPr>
          <w:i/>
          <w:sz w:val="20"/>
          <w:szCs w:val="20"/>
        </w:rPr>
        <w:t xml:space="preserve"> </w:t>
      </w:r>
      <w:proofErr w:type="spellStart"/>
      <w:r w:rsidRPr="00D05A9C">
        <w:rPr>
          <w:i/>
          <w:sz w:val="20"/>
          <w:szCs w:val="20"/>
        </w:rPr>
        <w:t>nerobíme</w:t>
      </w:r>
      <w:proofErr w:type="spellEnd"/>
      <w:r w:rsidRPr="00D05A9C">
        <w:rPr>
          <w:i/>
          <w:sz w:val="20"/>
          <w:szCs w:val="20"/>
        </w:rPr>
        <w:t>. Z </w:t>
      </w:r>
      <w:proofErr w:type="spellStart"/>
      <w:r w:rsidRPr="00D05A9C">
        <w:rPr>
          <w:i/>
          <w:sz w:val="20"/>
          <w:szCs w:val="20"/>
        </w:rPr>
        <w:t>technických</w:t>
      </w:r>
      <w:proofErr w:type="spellEnd"/>
      <w:r w:rsidRPr="00D05A9C">
        <w:rPr>
          <w:i/>
          <w:sz w:val="20"/>
          <w:szCs w:val="20"/>
        </w:rPr>
        <w:t xml:space="preserve"> </w:t>
      </w:r>
      <w:proofErr w:type="spellStart"/>
      <w:r w:rsidRPr="00D05A9C">
        <w:rPr>
          <w:i/>
          <w:sz w:val="20"/>
          <w:szCs w:val="20"/>
        </w:rPr>
        <w:t>príčin</w:t>
      </w:r>
      <w:proofErr w:type="spellEnd"/>
      <w:r w:rsidRPr="00D05A9C">
        <w:rPr>
          <w:i/>
          <w:sz w:val="20"/>
          <w:szCs w:val="20"/>
          <w:lang w:val="sk-SK"/>
        </w:rPr>
        <w:t>.</w:t>
      </w:r>
      <w:r w:rsidRPr="00D05A9C">
        <w:rPr>
          <w:i/>
          <w:sz w:val="20"/>
          <w:szCs w:val="20"/>
        </w:rPr>
        <w:t>..</w:t>
      </w:r>
      <w:r w:rsidRPr="00D05A9C">
        <w:rPr>
          <w:i/>
          <w:sz w:val="20"/>
          <w:szCs w:val="20"/>
          <w:lang w:val="sk-SK"/>
        </w:rPr>
        <w:t xml:space="preserve">. </w:t>
      </w:r>
      <w:r w:rsidRPr="00D05A9C">
        <w:rPr>
          <w:i/>
          <w:sz w:val="20"/>
          <w:szCs w:val="20"/>
          <w:lang w:val="sk-SK"/>
        </w:rPr>
        <w:t>[We do not perform abortions...For technical reasons],</w:t>
      </w:r>
      <w:r w:rsidRPr="00D05A9C">
        <w:rPr>
          <w:sz w:val="20"/>
          <w:szCs w:val="20"/>
          <w:lang w:val="sk-SK"/>
        </w:rPr>
        <w:t xml:space="preserve"> </w:t>
      </w:r>
      <w:r w:rsidRPr="00D05A9C">
        <w:rPr>
          <w:smallCaps/>
          <w:sz w:val="20"/>
          <w:szCs w:val="20"/>
        </w:rPr>
        <w:t>Pravda</w:t>
      </w:r>
      <w:r w:rsidRPr="00D05A9C">
        <w:rPr>
          <w:sz w:val="20"/>
          <w:szCs w:val="20"/>
          <w:lang w:val="sk-SK"/>
        </w:rPr>
        <w:t xml:space="preserve">, Jan. 22, </w:t>
      </w:r>
      <w:r w:rsidRPr="00D05A9C">
        <w:rPr>
          <w:sz w:val="20"/>
          <w:szCs w:val="20"/>
        </w:rPr>
        <w:t>2011, http://spravy.pravda.sk/interrupcie-nerobime-z-technickych-pricin-fju-sk_domace.asp?c=A110122_173602_sk_domace_p29 (Sept. 29, 2015)</w:t>
      </w:r>
      <w:r w:rsidRPr="00D05A9C">
        <w:rPr>
          <w:sz w:val="20"/>
          <w:szCs w:val="20"/>
          <w:lang w:val="sk-SK"/>
        </w:rPr>
        <w:t>.</w:t>
      </w:r>
    </w:p>
  </w:endnote>
  <w:endnote w:id="91">
    <w:p w14:paraId="787BE60A" w14:textId="620B0A30" w:rsidR="00EB6BE1" w:rsidRPr="00D05A9C" w:rsidRDefault="00EB6BE1" w:rsidP="00B1628B">
      <w:pPr>
        <w:pStyle w:val="Sinespaciado"/>
        <w:rPr>
          <w:sz w:val="20"/>
          <w:szCs w:val="20"/>
        </w:rPr>
      </w:pPr>
      <w:r w:rsidRPr="00D05A9C">
        <w:rPr>
          <w:rStyle w:val="Slutkommentarsref"/>
          <w:sz w:val="20"/>
          <w:szCs w:val="20"/>
        </w:rPr>
        <w:endnoteRef/>
      </w:r>
      <w:r w:rsidRPr="00D05A9C">
        <w:rPr>
          <w:sz w:val="20"/>
          <w:szCs w:val="20"/>
        </w:rPr>
        <w:t xml:space="preserve"> Act 578/2004, </w:t>
      </w:r>
      <w:r w:rsidRPr="00D05A9C">
        <w:rPr>
          <w:i/>
          <w:sz w:val="20"/>
          <w:szCs w:val="20"/>
        </w:rPr>
        <w:t>supra</w:t>
      </w:r>
      <w:r>
        <w:rPr>
          <w:sz w:val="20"/>
          <w:szCs w:val="20"/>
        </w:rPr>
        <w:t xml:space="preserve"> note 88</w:t>
      </w:r>
      <w:r w:rsidRPr="00D05A9C">
        <w:rPr>
          <w:sz w:val="20"/>
          <w:szCs w:val="20"/>
        </w:rPr>
        <w:t>, Annex No. 4. (Deontology or medical ethics codes, while not legally binding, are highly persuasive authorities since the development of deontology codes are mandated by public health laws.) (</w:t>
      </w:r>
      <w:proofErr w:type="spellStart"/>
      <w:r w:rsidRPr="00D05A9C">
        <w:rPr>
          <w:sz w:val="20"/>
          <w:szCs w:val="20"/>
        </w:rPr>
        <w:t>Slovk</w:t>
      </w:r>
      <w:proofErr w:type="spellEnd"/>
      <w:r w:rsidRPr="00D05A9C">
        <w:rPr>
          <w:sz w:val="20"/>
          <w:szCs w:val="20"/>
        </w:rPr>
        <w:t xml:space="preserve">.). </w:t>
      </w:r>
    </w:p>
  </w:endnote>
  <w:endnote w:id="92">
    <w:p w14:paraId="44350957" w14:textId="1A506D44" w:rsidR="00EB6BE1" w:rsidRPr="00D05A9C" w:rsidRDefault="00EB6BE1" w:rsidP="009C58B6">
      <w:pPr>
        <w:pStyle w:val="EndnoteText"/>
      </w:pPr>
      <w:r w:rsidRPr="00D05A9C">
        <w:rPr>
          <w:rStyle w:val="EndnoteReference"/>
        </w:rPr>
        <w:endnoteRef/>
      </w:r>
      <w:r w:rsidRPr="00D05A9C">
        <w:t xml:space="preserve"> </w:t>
      </w:r>
      <w:r w:rsidRPr="00D05A9C">
        <w:rPr>
          <w:i/>
        </w:rPr>
        <w:t xml:space="preserve">See </w:t>
      </w:r>
      <w:r w:rsidRPr="00D05A9C">
        <w:t>R.R. v. Poland, No. 27617/04 Eur. Ct. H.R</w:t>
      </w:r>
      <w:r>
        <w:t>, para. 206</w:t>
      </w:r>
      <w:r w:rsidRPr="00D05A9C">
        <w:t xml:space="preserve"> (2011); P. and S. v. Poland, No. 57375/0</w:t>
      </w:r>
      <w:r>
        <w:t>8</w:t>
      </w:r>
      <w:r w:rsidRPr="00D05A9C">
        <w:t xml:space="preserve"> Eur. Ct. H.R.</w:t>
      </w:r>
      <w:r>
        <w:t>, para. 106</w:t>
      </w:r>
      <w:r w:rsidRPr="00D05A9C">
        <w:t xml:space="preserve"> (2012).</w:t>
      </w:r>
    </w:p>
  </w:endnote>
  <w:endnote w:id="93">
    <w:p w14:paraId="41B42440" w14:textId="62180910" w:rsidR="00EB6BE1" w:rsidRPr="00D05A9C" w:rsidRDefault="00EB6BE1" w:rsidP="0034451D">
      <w:pPr>
        <w:pStyle w:val="EndnoteText"/>
      </w:pPr>
      <w:r w:rsidRPr="00D05A9C">
        <w:rPr>
          <w:rStyle w:val="EndnoteReference"/>
        </w:rPr>
        <w:endnoteRef/>
      </w:r>
      <w:r w:rsidRPr="00D05A9C">
        <w:t xml:space="preserve"> </w:t>
      </w:r>
      <w:r w:rsidRPr="00D05A9C">
        <w:rPr>
          <w:i/>
        </w:rPr>
        <w:t xml:space="preserve">See, </w:t>
      </w:r>
      <w:r w:rsidRPr="00D05A9C">
        <w:rPr>
          <w:i/>
        </w:rPr>
        <w:t>e.g.,</w:t>
      </w:r>
      <w:r w:rsidRPr="00D05A9C">
        <w:t xml:space="preserve"> </w:t>
      </w:r>
      <w:r w:rsidRPr="00922146">
        <w:t xml:space="preserve">Pichon and Sajous v. France (dec.), </w:t>
      </w:r>
      <w:r>
        <w:t>N</w:t>
      </w:r>
      <w:r w:rsidRPr="00922146">
        <w:t>o. 49853/99</w:t>
      </w:r>
      <w:r>
        <w:t xml:space="preserve"> </w:t>
      </w:r>
      <w:r w:rsidRPr="00922146">
        <w:t>E</w:t>
      </w:r>
      <w:r>
        <w:t xml:space="preserve">ur. </w:t>
      </w:r>
      <w:r w:rsidRPr="00922146">
        <w:t>C</w:t>
      </w:r>
      <w:r>
        <w:t xml:space="preserve">t. </w:t>
      </w:r>
      <w:r w:rsidRPr="00922146">
        <w:t>H</w:t>
      </w:r>
      <w:r>
        <w:t xml:space="preserve">. </w:t>
      </w:r>
      <w:r w:rsidRPr="00922146">
        <w:t>R</w:t>
      </w:r>
      <w:r>
        <w:t>.</w:t>
      </w:r>
      <w:r w:rsidRPr="00922146">
        <w:t xml:space="preserve"> </w:t>
      </w:r>
      <w:r>
        <w:t>(</w:t>
      </w:r>
      <w:r w:rsidRPr="00922146">
        <w:t>2001</w:t>
      </w:r>
      <w:r>
        <w:t xml:space="preserve">); </w:t>
      </w:r>
      <w:r w:rsidRPr="00922146">
        <w:t>R.R. v. Poland, No. 27617/04 Eur. Ct. H.R</w:t>
      </w:r>
      <w:r>
        <w:t>, para. 206</w:t>
      </w:r>
      <w:r w:rsidRPr="00922146">
        <w:t xml:space="preserve"> (2011)</w:t>
      </w:r>
      <w:r>
        <w:t xml:space="preserve">; </w:t>
      </w:r>
      <w:r w:rsidRPr="00D05A9C">
        <w:t>P. and S. v. Poland, No. 57375/0</w:t>
      </w:r>
      <w:r>
        <w:t>8</w:t>
      </w:r>
      <w:r w:rsidRPr="00D05A9C">
        <w:t xml:space="preserve"> Eur. Ct. H.R.</w:t>
      </w:r>
      <w:r>
        <w:t>, para. 106</w:t>
      </w:r>
      <w:r w:rsidRPr="00D05A9C">
        <w:t xml:space="preserve"> (2012). In addition, the European Committee of Social Rights has ruled in a collective complaint that women’s right to health requires the adoption of effective measures to ensure that women are able to effectively access legal abortion. International Planned Parenthood Federation – European Network (IPPF EN) v. Italy, European Committee of Social Rights, No. 87/2012 (2014). In response to another collective complaint the Committee rejected a complaint that claimed health professionals are entitled to deny women legal abortion services based on claims of personal conscience. It found that the European Social Charter does not enshrine an entitlement on the part of health professionals to refuse to perform abortion services on grounds of personal conscience. Federation of Catholic Family Associations in Europe (FAFCE) v. Sweden, European Committee of Social Rights, No. 99/2013 (2015). </w:t>
      </w:r>
    </w:p>
  </w:endnote>
  <w:endnote w:id="94">
    <w:p w14:paraId="36DF7654" w14:textId="6C87B161" w:rsidR="00EB6BE1" w:rsidRPr="00D05A9C" w:rsidRDefault="00EB6BE1" w:rsidP="008A4A75">
      <w:pPr>
        <w:pStyle w:val="EndnoteText"/>
      </w:pPr>
      <w:r w:rsidRPr="00D05A9C">
        <w:rPr>
          <w:rStyle w:val="EndnoteReference"/>
        </w:rPr>
        <w:endnoteRef/>
      </w:r>
      <w:r w:rsidRPr="00D05A9C">
        <w:t xml:space="preserve"> </w:t>
      </w:r>
      <w:r w:rsidRPr="00D05A9C">
        <w:rPr>
          <w:i/>
        </w:rPr>
        <w:t xml:space="preserve">See, </w:t>
      </w:r>
      <w:r w:rsidRPr="00D05A9C">
        <w:rPr>
          <w:i/>
        </w:rPr>
        <w:t>e.g.,</w:t>
      </w:r>
      <w:r w:rsidRPr="00D05A9C">
        <w:t xml:space="preserve"> CEDAW, </w:t>
      </w:r>
      <w:r w:rsidRPr="00D05A9C">
        <w:rPr>
          <w:i/>
          <w:iCs/>
        </w:rPr>
        <w:t>General Recommendation No. 24: Article 12 of the Convention (Women and Health)</w:t>
      </w:r>
      <w:r w:rsidRPr="00D05A9C">
        <w:rPr>
          <w:iCs/>
        </w:rPr>
        <w:t>,</w:t>
      </w:r>
      <w:r w:rsidRPr="00D05A9C">
        <w:rPr>
          <w:i/>
          <w:iCs/>
        </w:rPr>
        <w:t xml:space="preserve"> </w:t>
      </w:r>
      <w:r w:rsidRPr="00D05A9C">
        <w:t xml:space="preserve">para. 11, U.N. Doc. A/54/38/Rev.1, chap. I (“It is discriminatory for a State party to refuse to legally provide for the performance of certain reproductive health services for women. For instance, if health service providers refuse to perform such services based on conscientious objection, measures should be introduced to ensure that women are referred to alternative health providers.”); CESCR, </w:t>
      </w:r>
      <w:r w:rsidRPr="00D05A9C">
        <w:rPr>
          <w:i/>
        </w:rPr>
        <w:t>Gen. Comment No. 22</w:t>
      </w:r>
      <w:r w:rsidRPr="00D05A9C">
        <w:t xml:space="preserve">, </w:t>
      </w:r>
      <w:r w:rsidRPr="00D05A9C">
        <w:rPr>
          <w:i/>
        </w:rPr>
        <w:t>supra</w:t>
      </w:r>
      <w:r>
        <w:t xml:space="preserve"> note 67</w:t>
      </w:r>
      <w:r w:rsidRPr="00D05A9C">
        <w:t xml:space="preserve">, paras. 14, 43; CEDAW, </w:t>
      </w:r>
      <w:r w:rsidRPr="00D05A9C">
        <w:rPr>
          <w:i/>
        </w:rPr>
        <w:t xml:space="preserve">Concluding Observations: Croatia, </w:t>
      </w:r>
      <w:r w:rsidRPr="00D05A9C">
        <w:t xml:space="preserve">para. 31, U.N. Doc. CEDAW/C/HRV/CO/4-5 (2015) (urging the State party to “ensure that the exercise of conscientious objection does not impede women’s effective access to reproductive health-care services, especially abortion and post-abortion care and contraceptives”); </w:t>
      </w:r>
      <w:r w:rsidRPr="00D05A9C">
        <w:rPr>
          <w:i/>
        </w:rPr>
        <w:t>Hungary</w:t>
      </w:r>
      <w:r w:rsidRPr="00D05A9C">
        <w:t xml:space="preserve">, paras. 30-31, U.N. Doc. CEDAW/C/HUN/CO/7-8 (2013) (urging the State party to “[e]stablish an adequate regulatory framework and a mechanism for monitoring of the practice of conscientious objection by health professionals and ensure that conscientious objection is accompanied by information to women about existing alternatives and that it remains a personal decision rather than an institutionalized practice”); CESCR, </w:t>
      </w:r>
      <w:r w:rsidRPr="00D05A9C">
        <w:rPr>
          <w:i/>
        </w:rPr>
        <w:t>Concluding Observations:</w:t>
      </w:r>
      <w:r w:rsidRPr="00D05A9C">
        <w:t xml:space="preserve"> </w:t>
      </w:r>
      <w:r w:rsidRPr="00D05A9C">
        <w:rPr>
          <w:i/>
        </w:rPr>
        <w:t>Poland</w:t>
      </w:r>
      <w:r w:rsidRPr="00D05A9C">
        <w:t>, para. 28, U.N. Doc. E/C.12/POL/CO/5 (2009) (“The Committee is particularly concerned that women resort to clandestine, and often unsafe, abortion because of the refusal of physicians and clinics to perform legal operations on the basis of conscientious objection.... The Committee calls on the State party to take all effective measures to ensure that women enjoy their right to sexual and reproductive health, including by enforcing the legislation on abortion and implementing a mechanism of timely and systematic referral in the event of conscientious objection.”).</w:t>
      </w:r>
    </w:p>
  </w:endnote>
  <w:endnote w:id="95">
    <w:p w14:paraId="35CB4E81" w14:textId="0BD3FBC1" w:rsidR="00EB6BE1" w:rsidRPr="00D05A9C" w:rsidRDefault="00EB6BE1" w:rsidP="00D7465B">
      <w:pPr>
        <w:pStyle w:val="Sinespaciado"/>
        <w:rPr>
          <w:sz w:val="20"/>
          <w:szCs w:val="20"/>
        </w:rPr>
      </w:pPr>
      <w:r w:rsidRPr="00D05A9C">
        <w:rPr>
          <w:rStyle w:val="EndnoteReference"/>
          <w:sz w:val="20"/>
          <w:szCs w:val="20"/>
        </w:rPr>
        <w:endnoteRef/>
      </w:r>
      <w:r w:rsidRPr="00D05A9C">
        <w:rPr>
          <w:sz w:val="20"/>
          <w:szCs w:val="20"/>
        </w:rPr>
        <w:t xml:space="preserve"> </w:t>
      </w:r>
      <w:r w:rsidRPr="00D05A9C">
        <w:rPr>
          <w:i/>
          <w:sz w:val="20"/>
          <w:szCs w:val="20"/>
        </w:rPr>
        <w:t>See, e.g.,</w:t>
      </w:r>
      <w:r w:rsidRPr="00D05A9C">
        <w:rPr>
          <w:sz w:val="20"/>
          <w:szCs w:val="20"/>
        </w:rPr>
        <w:t xml:space="preserve"> CEDAW, </w:t>
      </w:r>
      <w:r w:rsidRPr="00D05A9C">
        <w:rPr>
          <w:i/>
          <w:sz w:val="20"/>
          <w:szCs w:val="20"/>
        </w:rPr>
        <w:t>Concluding Observations: Hungary</w:t>
      </w:r>
      <w:r w:rsidRPr="00D05A9C">
        <w:rPr>
          <w:sz w:val="20"/>
          <w:szCs w:val="20"/>
        </w:rPr>
        <w:t xml:space="preserve">, para. 31(d), U.N. Doc. </w:t>
      </w:r>
      <w:r w:rsidRPr="00D05A9C">
        <w:rPr>
          <w:color w:val="000000"/>
          <w:sz w:val="20"/>
          <w:szCs w:val="20"/>
        </w:rPr>
        <w:t xml:space="preserve">CEDAW/C/HUN/CO/7-8 (2013); </w:t>
      </w:r>
      <w:r w:rsidRPr="00D05A9C">
        <w:rPr>
          <w:sz w:val="20"/>
          <w:szCs w:val="20"/>
        </w:rPr>
        <w:t xml:space="preserve">CRC, </w:t>
      </w:r>
      <w:r w:rsidRPr="00D05A9C">
        <w:rPr>
          <w:i/>
          <w:sz w:val="20"/>
          <w:szCs w:val="20"/>
        </w:rPr>
        <w:t>Concluding Observations: Slovakia</w:t>
      </w:r>
      <w:r w:rsidRPr="00D05A9C">
        <w:rPr>
          <w:sz w:val="20"/>
          <w:szCs w:val="20"/>
        </w:rPr>
        <w:t>, paras. 41(f), U.N. Doc. CRC/C/SVK/CO/3-5 (2016).</w:t>
      </w:r>
    </w:p>
  </w:endnote>
  <w:endnote w:id="96">
    <w:p w14:paraId="538F8A79" w14:textId="7E385862" w:rsidR="00EB6BE1" w:rsidRPr="00D05A9C" w:rsidRDefault="00EB6BE1">
      <w:pPr>
        <w:pStyle w:val="EndnoteText"/>
      </w:pPr>
      <w:r w:rsidRPr="00D05A9C">
        <w:rPr>
          <w:rStyle w:val="EndnoteReference"/>
        </w:rPr>
        <w:endnoteRef/>
      </w:r>
      <w:r w:rsidRPr="00D05A9C">
        <w:t xml:space="preserve"> </w:t>
      </w:r>
      <w:r w:rsidRPr="00D05A9C">
        <w:t xml:space="preserve">CESCR, </w:t>
      </w:r>
      <w:r w:rsidRPr="00D05A9C">
        <w:rPr>
          <w:i/>
        </w:rPr>
        <w:t>Gen. Comment No. 22</w:t>
      </w:r>
      <w:r w:rsidRPr="00D05A9C">
        <w:t xml:space="preserve">, </w:t>
      </w:r>
      <w:r w:rsidRPr="00D05A9C">
        <w:rPr>
          <w:i/>
        </w:rPr>
        <w:t>supra</w:t>
      </w:r>
      <w:r>
        <w:t xml:space="preserve"> note 67</w:t>
      </w:r>
      <w:r w:rsidRPr="00D05A9C">
        <w:t>, paras. 14, 43 (“Unavailability of goods and services due to ideologically based policies or practices, such as the refusal to provide services based on conscience, must not be a barrier to accessing services. An adequate number of health-care providers willing and able to provide such services should be available at all times in both public and private facilities and within reasonable geographical reach. … Where health-care providers are allowed to invoke conscientious objection, States must appropriately regulate this practice to ensure that it does not inhibit anyone’s access to sexual and reproductive health care, including by requiring referrals to an accessible provider capable of and willing to provide the services being sought, and that it does not inhibit the performance of services in urgent or emergency situations.”).</w:t>
      </w:r>
    </w:p>
  </w:endnote>
  <w:endnote w:id="97">
    <w:p w14:paraId="44C0151B" w14:textId="77777777" w:rsidR="00EB6BE1" w:rsidRPr="00D05A9C" w:rsidRDefault="00EB6BE1" w:rsidP="003831D6">
      <w:pPr>
        <w:pStyle w:val="EndnoteText"/>
      </w:pPr>
      <w:r w:rsidRPr="00D05A9C">
        <w:rPr>
          <w:rStyle w:val="EndnoteReference"/>
        </w:rPr>
        <w:endnoteRef/>
      </w:r>
      <w:r w:rsidRPr="00D05A9C">
        <w:t xml:space="preserve"> </w:t>
      </w:r>
      <w:r w:rsidRPr="00D05A9C">
        <w:t xml:space="preserve">CEDAW, </w:t>
      </w:r>
      <w:r w:rsidRPr="00D05A9C">
        <w:rPr>
          <w:i/>
        </w:rPr>
        <w:t>Concluding Observations: Slovakia,</w:t>
      </w:r>
      <w:r w:rsidRPr="00D05A9C">
        <w:t xml:space="preserve"> paras. 42, 43, U.N. Doc. CEDAW/C/SVK/CO/4 (2008); </w:t>
      </w:r>
      <w:r w:rsidRPr="00D05A9C">
        <w:rPr>
          <w:i/>
        </w:rPr>
        <w:t>Concluding Observations: Slovakia</w:t>
      </w:r>
      <w:r w:rsidRPr="00D05A9C">
        <w:t>, para. 31(d), U.N. Doc. CEDAW/C/SVK/CO/5-6 (2015).</w:t>
      </w:r>
    </w:p>
  </w:endnote>
  <w:endnote w:id="98">
    <w:p w14:paraId="17F67BC9" w14:textId="19C892E8" w:rsidR="00EB6BE1" w:rsidRPr="00D05A9C" w:rsidRDefault="00EB6BE1">
      <w:pPr>
        <w:pStyle w:val="EndnoteText"/>
        <w:rPr>
          <w:lang w:val="en-US"/>
        </w:rPr>
      </w:pPr>
      <w:r w:rsidRPr="00D05A9C">
        <w:rPr>
          <w:rStyle w:val="EndnoteReference"/>
        </w:rPr>
        <w:endnoteRef/>
      </w:r>
      <w:r w:rsidRPr="00D05A9C">
        <w:t xml:space="preserve"> </w:t>
      </w:r>
      <w:r w:rsidRPr="00D05A9C">
        <w:t xml:space="preserve">CEDAW, </w:t>
      </w:r>
      <w:r w:rsidRPr="00D05A9C">
        <w:rPr>
          <w:i/>
        </w:rPr>
        <w:t>Concluding Observations: Slovakia</w:t>
      </w:r>
      <w:r w:rsidRPr="00D05A9C">
        <w:t>, para. 31(d), U.N. Doc. CEDAW/C/SVK/CO/5-6 (2015).</w:t>
      </w:r>
    </w:p>
  </w:endnote>
  <w:endnote w:id="99">
    <w:p w14:paraId="65F792BA" w14:textId="10B195AB" w:rsidR="00EB6BE1" w:rsidRPr="00D05A9C" w:rsidRDefault="00EB6BE1" w:rsidP="006D1D95">
      <w:pPr>
        <w:pStyle w:val="Sinespaciado"/>
        <w:rPr>
          <w:sz w:val="20"/>
          <w:szCs w:val="20"/>
        </w:rPr>
      </w:pPr>
      <w:r w:rsidRPr="00D05A9C">
        <w:rPr>
          <w:rStyle w:val="EndnoteReference"/>
          <w:sz w:val="20"/>
          <w:szCs w:val="20"/>
        </w:rPr>
        <w:endnoteRef/>
      </w:r>
      <w:r w:rsidRPr="00D05A9C">
        <w:rPr>
          <w:sz w:val="20"/>
          <w:szCs w:val="20"/>
        </w:rPr>
        <w:t xml:space="preserve"> CRC, </w:t>
      </w:r>
      <w:r w:rsidRPr="00D05A9C">
        <w:rPr>
          <w:i/>
          <w:sz w:val="20"/>
          <w:szCs w:val="20"/>
        </w:rPr>
        <w:t>Concluding Observations: Slovakia</w:t>
      </w:r>
      <w:r w:rsidRPr="00D05A9C">
        <w:rPr>
          <w:sz w:val="20"/>
          <w:szCs w:val="20"/>
        </w:rPr>
        <w:t>, para. 41(f), U.N. Doc. CRC/C/SVK/CO/3-5 (2016).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ヒラギノ角ゴ Pro W3">
    <w:charset w:val="80"/>
    <w:family w:val="auto"/>
    <w:pitch w:val="variable"/>
    <w:sig w:usb0="E00002FF" w:usb1="7AC7FFFF" w:usb2="00000012" w:usb3="00000000" w:csb0="0002000D" w:csb1="00000000"/>
  </w:font>
  <w:font w:name="HelveticaNeueLTStd-Roman">
    <w:altName w:val="Arial Unicode MS"/>
    <w:panose1 w:val="00000000000000000000"/>
    <w:charset w:val="80"/>
    <w:family w:val="swiss"/>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DA47F7" w14:textId="77777777" w:rsidR="00EB6BE1" w:rsidRPr="007C3611" w:rsidRDefault="00EB6BE1">
    <w:pPr>
      <w:pStyle w:val="Footer"/>
      <w:jc w:val="right"/>
      <w:rPr>
        <w:rFonts w:ascii="Times New Roman" w:hAnsi="Times New Roman"/>
      </w:rPr>
    </w:pPr>
    <w:r w:rsidRPr="007C3611">
      <w:rPr>
        <w:rFonts w:ascii="Times New Roman" w:hAnsi="Times New Roman"/>
      </w:rPr>
      <w:fldChar w:fldCharType="begin"/>
    </w:r>
    <w:r w:rsidRPr="007C3611">
      <w:rPr>
        <w:rFonts w:ascii="Times New Roman" w:hAnsi="Times New Roman"/>
      </w:rPr>
      <w:instrText xml:space="preserve"> PAGE   \* MERGEFORMAT </w:instrText>
    </w:r>
    <w:r w:rsidRPr="007C3611">
      <w:rPr>
        <w:rFonts w:ascii="Times New Roman" w:hAnsi="Times New Roman"/>
      </w:rPr>
      <w:fldChar w:fldCharType="separate"/>
    </w:r>
    <w:r w:rsidR="000675E4">
      <w:rPr>
        <w:rFonts w:ascii="Times New Roman" w:hAnsi="Times New Roman"/>
        <w:noProof/>
      </w:rPr>
      <w:t>5</w:t>
    </w:r>
    <w:r w:rsidRPr="007C3611">
      <w:rPr>
        <w:rFonts w:ascii="Times New Roman" w:hAnsi="Times New Roman"/>
        <w:noProof/>
      </w:rPr>
      <w:fldChar w:fldCharType="end"/>
    </w:r>
  </w:p>
  <w:p w14:paraId="6A07BA40" w14:textId="77777777" w:rsidR="00EB6BE1" w:rsidRDefault="00EB6B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050B9B" w14:textId="77777777" w:rsidR="00E90E7A" w:rsidRDefault="00E90E7A" w:rsidP="000F2AB6">
      <w:pPr>
        <w:spacing w:after="0" w:line="240" w:lineRule="auto"/>
      </w:pPr>
      <w:r>
        <w:separator/>
      </w:r>
    </w:p>
  </w:footnote>
  <w:footnote w:type="continuationSeparator" w:id="0">
    <w:p w14:paraId="1A7D610F" w14:textId="77777777" w:rsidR="00E90E7A" w:rsidRDefault="00E90E7A" w:rsidP="000F2AB6">
      <w:pPr>
        <w:spacing w:after="0" w:line="240" w:lineRule="auto"/>
      </w:pPr>
      <w:r>
        <w:continuationSeparator/>
      </w:r>
    </w:p>
  </w:footnote>
  <w:footnote w:type="continuationNotice" w:id="1">
    <w:p w14:paraId="63256DF1" w14:textId="77777777" w:rsidR="00E90E7A" w:rsidRDefault="00E90E7A">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262F94" w14:textId="2A9C97E0" w:rsidR="00EB6BE1" w:rsidRDefault="00EB6BE1">
    <w:pPr>
      <w:pStyle w:val="Header"/>
    </w:pPr>
    <w:r>
      <w:t xml:space="preserve">       </w:t>
    </w:r>
    <w:r w:rsidRPr="00326A0A">
      <w:rPr>
        <w:noProof/>
      </w:rPr>
      <w:drawing>
        <wp:inline distT="0" distB="0" distL="0" distR="0" wp14:anchorId="42211943" wp14:editId="0AD2E780">
          <wp:extent cx="1010824" cy="962689"/>
          <wp:effectExtent l="0" t="0" r="0" b="8890"/>
          <wp:docPr id="5" name="Picture 5" descr="Description: cda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da_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213" cy="967821"/>
                  </a:xfrm>
                  <a:prstGeom prst="rect">
                    <a:avLst/>
                  </a:prstGeom>
                  <a:noFill/>
                  <a:ln>
                    <a:noFill/>
                  </a:ln>
                </pic:spPr>
              </pic:pic>
            </a:graphicData>
          </a:graphic>
        </wp:inline>
      </w:drawing>
    </w:r>
    <w:r>
      <w:t xml:space="preserve">             </w:t>
    </w:r>
    <w:r>
      <w:rPr>
        <w:noProof/>
      </w:rPr>
      <w:drawing>
        <wp:inline distT="0" distB="0" distL="0" distR="0" wp14:anchorId="672387B6" wp14:editId="303B90AB">
          <wp:extent cx="1011481" cy="9886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4281" cy="1001207"/>
                  </a:xfrm>
                  <a:prstGeom prst="rect">
                    <a:avLst/>
                  </a:prstGeom>
                  <a:noFill/>
                </pic:spPr>
              </pic:pic>
            </a:graphicData>
          </a:graphic>
        </wp:inline>
      </w:drawing>
    </w:r>
    <w:r>
      <w:t xml:space="preserve">    </w:t>
    </w:r>
    <w:r>
      <w:rPr>
        <w:noProof/>
      </w:rPr>
      <w:t xml:space="preserve">        </w:t>
    </w:r>
    <w:r w:rsidRPr="00F65ABA">
      <w:rPr>
        <w:noProof/>
      </w:rPr>
      <w:drawing>
        <wp:inline distT="0" distB="0" distL="0" distR="0" wp14:anchorId="5494B16E" wp14:editId="6767B05C">
          <wp:extent cx="1096781" cy="982869"/>
          <wp:effectExtent l="0" t="0" r="8255" b="8255"/>
          <wp:docPr id="2" name="Picture 2" descr="C:\Users\alamakova\AppData\Local\Microsoft\Windows\Temporary Internet Files\Content.Outlook\3MAKSOQW\zenske priesvit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amakova\AppData\Local\Microsoft\Windows\Temporary Internet Files\Content.Outlook\3MAKSOQW\zenske priesvitne.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02856" cy="988313"/>
                  </a:xfrm>
                  <a:prstGeom prst="rect">
                    <a:avLst/>
                  </a:prstGeom>
                  <a:noFill/>
                  <a:ln>
                    <a:noFill/>
                  </a:ln>
                </pic:spPr>
              </pic:pic>
            </a:graphicData>
          </a:graphic>
        </wp:inline>
      </w:drawing>
    </w:r>
    <w:r>
      <w:t xml:space="preserve">        </w:t>
    </w:r>
    <w:r>
      <w:rPr>
        <w:noProof/>
      </w:rPr>
      <w:drawing>
        <wp:inline distT="0" distB="0" distL="0" distR="0" wp14:anchorId="6AA2AC7F" wp14:editId="1F1C9A23">
          <wp:extent cx="1463040" cy="95694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63040" cy="95694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rPr>
        <w:rFonts w:cs="Times New Roman"/>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252B113B"/>
    <w:multiLevelType w:val="hybridMultilevel"/>
    <w:tmpl w:val="4FE6C4F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29BF4966"/>
    <w:multiLevelType w:val="hybridMultilevel"/>
    <w:tmpl w:val="12F8F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AA4C05"/>
    <w:multiLevelType w:val="hybridMultilevel"/>
    <w:tmpl w:val="16B68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D05708"/>
    <w:multiLevelType w:val="hybridMultilevel"/>
    <w:tmpl w:val="19949394"/>
    <w:lvl w:ilvl="0" w:tplc="3806C8FE">
      <w:start w:val="1"/>
      <w:numFmt w:val="lowerLetter"/>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191404"/>
    <w:multiLevelType w:val="hybridMultilevel"/>
    <w:tmpl w:val="D2324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2C7E1E"/>
    <w:multiLevelType w:val="hybridMultilevel"/>
    <w:tmpl w:val="8B9C5BC6"/>
    <w:lvl w:ilvl="0" w:tplc="FB127B2E">
      <w:start w:val="1"/>
      <w:numFmt w:val="low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10A38B2"/>
    <w:multiLevelType w:val="hybridMultilevel"/>
    <w:tmpl w:val="893C3904"/>
    <w:lvl w:ilvl="0" w:tplc="BBB00202">
      <w:start w:val="1"/>
      <w:numFmt w:val="decimal"/>
      <w:lvlText w:val="%1."/>
      <w:lvlJc w:val="left"/>
      <w:pPr>
        <w:ind w:left="720" w:hanging="360"/>
      </w:pPr>
      <w:rPr>
        <w:rFonts w:ascii="Calibri" w:eastAsia="Calibri" w:hAnsi="Calibr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9CE4997"/>
    <w:multiLevelType w:val="hybridMultilevel"/>
    <w:tmpl w:val="D5F015A8"/>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3"/>
  </w:num>
  <w:num w:numId="2">
    <w:abstractNumId w:val="2"/>
  </w:num>
  <w:num w:numId="3">
    <w:abstractNumId w:val="5"/>
  </w:num>
  <w:num w:numId="4">
    <w:abstractNumId w:val="8"/>
  </w:num>
  <w:num w:numId="5">
    <w:abstractNumId w:val="4"/>
  </w:num>
  <w:num w:numId="6">
    <w:abstractNumId w:val="6"/>
  </w:num>
  <w:num w:numId="7">
    <w:abstractNumId w:val="1"/>
  </w:num>
  <w:num w:numId="8">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trackRevisions/>
  <w:defaultTabStop w:val="720"/>
  <w:hyphenationZone w:val="425"/>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0AA"/>
    <w:rsid w:val="00001B26"/>
    <w:rsid w:val="000023A7"/>
    <w:rsid w:val="0000274F"/>
    <w:rsid w:val="00002AF5"/>
    <w:rsid w:val="00003625"/>
    <w:rsid w:val="00003D80"/>
    <w:rsid w:val="000071F0"/>
    <w:rsid w:val="00010E88"/>
    <w:rsid w:val="00011061"/>
    <w:rsid w:val="00011571"/>
    <w:rsid w:val="00013058"/>
    <w:rsid w:val="000133E7"/>
    <w:rsid w:val="00013ACD"/>
    <w:rsid w:val="00013C96"/>
    <w:rsid w:val="000148F1"/>
    <w:rsid w:val="000152E8"/>
    <w:rsid w:val="000157BF"/>
    <w:rsid w:val="00015C09"/>
    <w:rsid w:val="0001689D"/>
    <w:rsid w:val="00016BA3"/>
    <w:rsid w:val="00016BEA"/>
    <w:rsid w:val="00016CFE"/>
    <w:rsid w:val="00017BBD"/>
    <w:rsid w:val="00021E53"/>
    <w:rsid w:val="00022448"/>
    <w:rsid w:val="00022561"/>
    <w:rsid w:val="00024221"/>
    <w:rsid w:val="000248DC"/>
    <w:rsid w:val="000253A0"/>
    <w:rsid w:val="00025FF1"/>
    <w:rsid w:val="000264A4"/>
    <w:rsid w:val="000276B1"/>
    <w:rsid w:val="0003443D"/>
    <w:rsid w:val="00034D0D"/>
    <w:rsid w:val="000355FA"/>
    <w:rsid w:val="000357D8"/>
    <w:rsid w:val="000358AF"/>
    <w:rsid w:val="000369B1"/>
    <w:rsid w:val="000375D4"/>
    <w:rsid w:val="00037610"/>
    <w:rsid w:val="0004160E"/>
    <w:rsid w:val="00041BBD"/>
    <w:rsid w:val="00041C84"/>
    <w:rsid w:val="000420FB"/>
    <w:rsid w:val="00044ACF"/>
    <w:rsid w:val="00045125"/>
    <w:rsid w:val="00046148"/>
    <w:rsid w:val="00047FCB"/>
    <w:rsid w:val="0005015D"/>
    <w:rsid w:val="00051674"/>
    <w:rsid w:val="0005364A"/>
    <w:rsid w:val="000538F5"/>
    <w:rsid w:val="00053D2F"/>
    <w:rsid w:val="00055206"/>
    <w:rsid w:val="00055DE3"/>
    <w:rsid w:val="00056619"/>
    <w:rsid w:val="0006162E"/>
    <w:rsid w:val="00061906"/>
    <w:rsid w:val="000632C1"/>
    <w:rsid w:val="00063341"/>
    <w:rsid w:val="0006453B"/>
    <w:rsid w:val="0006577A"/>
    <w:rsid w:val="000667DD"/>
    <w:rsid w:val="00066C19"/>
    <w:rsid w:val="000675A6"/>
    <w:rsid w:val="000675E4"/>
    <w:rsid w:val="000678E1"/>
    <w:rsid w:val="00067942"/>
    <w:rsid w:val="000717C0"/>
    <w:rsid w:val="00071ED3"/>
    <w:rsid w:val="00072DA0"/>
    <w:rsid w:val="00072DBD"/>
    <w:rsid w:val="00073587"/>
    <w:rsid w:val="000740CD"/>
    <w:rsid w:val="00076837"/>
    <w:rsid w:val="0007685C"/>
    <w:rsid w:val="000819B7"/>
    <w:rsid w:val="000830D1"/>
    <w:rsid w:val="000867E6"/>
    <w:rsid w:val="00086D56"/>
    <w:rsid w:val="00091CCF"/>
    <w:rsid w:val="00092391"/>
    <w:rsid w:val="000931C7"/>
    <w:rsid w:val="00094542"/>
    <w:rsid w:val="0009629F"/>
    <w:rsid w:val="00096480"/>
    <w:rsid w:val="00096719"/>
    <w:rsid w:val="000971D8"/>
    <w:rsid w:val="00097A9C"/>
    <w:rsid w:val="00097C28"/>
    <w:rsid w:val="00097CDE"/>
    <w:rsid w:val="000A0442"/>
    <w:rsid w:val="000A1221"/>
    <w:rsid w:val="000A1E2A"/>
    <w:rsid w:val="000A22D8"/>
    <w:rsid w:val="000A5C00"/>
    <w:rsid w:val="000A5ECD"/>
    <w:rsid w:val="000A63A6"/>
    <w:rsid w:val="000B3537"/>
    <w:rsid w:val="000B6445"/>
    <w:rsid w:val="000B651E"/>
    <w:rsid w:val="000B6D20"/>
    <w:rsid w:val="000C02D8"/>
    <w:rsid w:val="000C0B59"/>
    <w:rsid w:val="000C1D35"/>
    <w:rsid w:val="000C201A"/>
    <w:rsid w:val="000C6CD3"/>
    <w:rsid w:val="000D1FB2"/>
    <w:rsid w:val="000D2619"/>
    <w:rsid w:val="000D2F67"/>
    <w:rsid w:val="000D46A9"/>
    <w:rsid w:val="000D46AC"/>
    <w:rsid w:val="000D4C73"/>
    <w:rsid w:val="000D65FC"/>
    <w:rsid w:val="000D7306"/>
    <w:rsid w:val="000D7479"/>
    <w:rsid w:val="000D7F76"/>
    <w:rsid w:val="000E100B"/>
    <w:rsid w:val="000E3F64"/>
    <w:rsid w:val="000E4289"/>
    <w:rsid w:val="000E4B79"/>
    <w:rsid w:val="000E57D9"/>
    <w:rsid w:val="000E7AAA"/>
    <w:rsid w:val="000E7EE5"/>
    <w:rsid w:val="000F0BD3"/>
    <w:rsid w:val="000F26E2"/>
    <w:rsid w:val="000F2AB6"/>
    <w:rsid w:val="000F5619"/>
    <w:rsid w:val="000F56CD"/>
    <w:rsid w:val="000F664F"/>
    <w:rsid w:val="000F6CFD"/>
    <w:rsid w:val="000F70CD"/>
    <w:rsid w:val="00100F77"/>
    <w:rsid w:val="00101EF2"/>
    <w:rsid w:val="0010412F"/>
    <w:rsid w:val="0010541F"/>
    <w:rsid w:val="00105A6D"/>
    <w:rsid w:val="00106135"/>
    <w:rsid w:val="0010742B"/>
    <w:rsid w:val="00107E3C"/>
    <w:rsid w:val="00110291"/>
    <w:rsid w:val="00110384"/>
    <w:rsid w:val="00110655"/>
    <w:rsid w:val="00110999"/>
    <w:rsid w:val="001112F7"/>
    <w:rsid w:val="001122F9"/>
    <w:rsid w:val="001123B2"/>
    <w:rsid w:val="00113A3A"/>
    <w:rsid w:val="001147A1"/>
    <w:rsid w:val="00114F3C"/>
    <w:rsid w:val="00115D0D"/>
    <w:rsid w:val="001163D3"/>
    <w:rsid w:val="0011694A"/>
    <w:rsid w:val="00116CD6"/>
    <w:rsid w:val="00117E73"/>
    <w:rsid w:val="00117F7B"/>
    <w:rsid w:val="00121240"/>
    <w:rsid w:val="0012124A"/>
    <w:rsid w:val="00122AA4"/>
    <w:rsid w:val="00123542"/>
    <w:rsid w:val="001235D1"/>
    <w:rsid w:val="001253D5"/>
    <w:rsid w:val="00130564"/>
    <w:rsid w:val="00130B3B"/>
    <w:rsid w:val="00132C9B"/>
    <w:rsid w:val="00134EC8"/>
    <w:rsid w:val="00134ED4"/>
    <w:rsid w:val="00135F74"/>
    <w:rsid w:val="001371EC"/>
    <w:rsid w:val="00141BDE"/>
    <w:rsid w:val="00141C82"/>
    <w:rsid w:val="00141FA6"/>
    <w:rsid w:val="00143295"/>
    <w:rsid w:val="00144510"/>
    <w:rsid w:val="001450EE"/>
    <w:rsid w:val="001510C2"/>
    <w:rsid w:val="001524B6"/>
    <w:rsid w:val="00152522"/>
    <w:rsid w:val="00152955"/>
    <w:rsid w:val="00152D66"/>
    <w:rsid w:val="001538A2"/>
    <w:rsid w:val="00155144"/>
    <w:rsid w:val="00157B2C"/>
    <w:rsid w:val="00157FBA"/>
    <w:rsid w:val="001605E6"/>
    <w:rsid w:val="00160E5E"/>
    <w:rsid w:val="00161878"/>
    <w:rsid w:val="00162BEC"/>
    <w:rsid w:val="00162C68"/>
    <w:rsid w:val="00163BE4"/>
    <w:rsid w:val="00163D69"/>
    <w:rsid w:val="001641EF"/>
    <w:rsid w:val="0016476B"/>
    <w:rsid w:val="001661C8"/>
    <w:rsid w:val="00167981"/>
    <w:rsid w:val="00167A7B"/>
    <w:rsid w:val="00170703"/>
    <w:rsid w:val="001713D0"/>
    <w:rsid w:val="00172086"/>
    <w:rsid w:val="00172367"/>
    <w:rsid w:val="00173805"/>
    <w:rsid w:val="001742A4"/>
    <w:rsid w:val="00174EE7"/>
    <w:rsid w:val="00176F5B"/>
    <w:rsid w:val="0017753C"/>
    <w:rsid w:val="001802A0"/>
    <w:rsid w:val="00180BEC"/>
    <w:rsid w:val="00181048"/>
    <w:rsid w:val="00182BD0"/>
    <w:rsid w:val="00183065"/>
    <w:rsid w:val="00183516"/>
    <w:rsid w:val="00184B8E"/>
    <w:rsid w:val="00184C52"/>
    <w:rsid w:val="00186EDC"/>
    <w:rsid w:val="00187B74"/>
    <w:rsid w:val="00190588"/>
    <w:rsid w:val="00190E0A"/>
    <w:rsid w:val="0019138B"/>
    <w:rsid w:val="00192585"/>
    <w:rsid w:val="00193049"/>
    <w:rsid w:val="00194A65"/>
    <w:rsid w:val="00194AED"/>
    <w:rsid w:val="00194DBA"/>
    <w:rsid w:val="00194E35"/>
    <w:rsid w:val="00194E5F"/>
    <w:rsid w:val="00195402"/>
    <w:rsid w:val="00195546"/>
    <w:rsid w:val="00196575"/>
    <w:rsid w:val="001967C9"/>
    <w:rsid w:val="00197DD9"/>
    <w:rsid w:val="001A3E3E"/>
    <w:rsid w:val="001A3F07"/>
    <w:rsid w:val="001A5652"/>
    <w:rsid w:val="001A5680"/>
    <w:rsid w:val="001A5B82"/>
    <w:rsid w:val="001A6B65"/>
    <w:rsid w:val="001A7DF2"/>
    <w:rsid w:val="001B07B6"/>
    <w:rsid w:val="001B258B"/>
    <w:rsid w:val="001B2E41"/>
    <w:rsid w:val="001B3981"/>
    <w:rsid w:val="001B3A86"/>
    <w:rsid w:val="001B51B4"/>
    <w:rsid w:val="001B5202"/>
    <w:rsid w:val="001B6DA6"/>
    <w:rsid w:val="001B6ECA"/>
    <w:rsid w:val="001B70D1"/>
    <w:rsid w:val="001C0484"/>
    <w:rsid w:val="001C0A98"/>
    <w:rsid w:val="001C0D7C"/>
    <w:rsid w:val="001C1A89"/>
    <w:rsid w:val="001C2DC9"/>
    <w:rsid w:val="001C337A"/>
    <w:rsid w:val="001C43EE"/>
    <w:rsid w:val="001C46F1"/>
    <w:rsid w:val="001C6832"/>
    <w:rsid w:val="001C7493"/>
    <w:rsid w:val="001D064A"/>
    <w:rsid w:val="001D0F9D"/>
    <w:rsid w:val="001D1815"/>
    <w:rsid w:val="001D1990"/>
    <w:rsid w:val="001D2B13"/>
    <w:rsid w:val="001D3880"/>
    <w:rsid w:val="001D42F9"/>
    <w:rsid w:val="001D5006"/>
    <w:rsid w:val="001D593E"/>
    <w:rsid w:val="001D5BDE"/>
    <w:rsid w:val="001D751D"/>
    <w:rsid w:val="001D7D63"/>
    <w:rsid w:val="001E08AD"/>
    <w:rsid w:val="001E0F5F"/>
    <w:rsid w:val="001E16B5"/>
    <w:rsid w:val="001E58FE"/>
    <w:rsid w:val="001E5DE6"/>
    <w:rsid w:val="001E673D"/>
    <w:rsid w:val="001E70AA"/>
    <w:rsid w:val="001F03CF"/>
    <w:rsid w:val="001F067B"/>
    <w:rsid w:val="001F0F02"/>
    <w:rsid w:val="001F10DC"/>
    <w:rsid w:val="001F1664"/>
    <w:rsid w:val="001F1A41"/>
    <w:rsid w:val="001F35A8"/>
    <w:rsid w:val="001F3AA7"/>
    <w:rsid w:val="001F56F6"/>
    <w:rsid w:val="001F5D19"/>
    <w:rsid w:val="001F6DB9"/>
    <w:rsid w:val="0020004C"/>
    <w:rsid w:val="00200440"/>
    <w:rsid w:val="002020AD"/>
    <w:rsid w:val="0020226B"/>
    <w:rsid w:val="002029E0"/>
    <w:rsid w:val="00202FEF"/>
    <w:rsid w:val="00203F8A"/>
    <w:rsid w:val="002041DF"/>
    <w:rsid w:val="00204368"/>
    <w:rsid w:val="002044CB"/>
    <w:rsid w:val="002066EA"/>
    <w:rsid w:val="0020775D"/>
    <w:rsid w:val="0021042D"/>
    <w:rsid w:val="0021068C"/>
    <w:rsid w:val="00213A72"/>
    <w:rsid w:val="00213AE3"/>
    <w:rsid w:val="00215567"/>
    <w:rsid w:val="002155C0"/>
    <w:rsid w:val="00216739"/>
    <w:rsid w:val="0021698E"/>
    <w:rsid w:val="00217360"/>
    <w:rsid w:val="00217EC3"/>
    <w:rsid w:val="00217F97"/>
    <w:rsid w:val="0022052F"/>
    <w:rsid w:val="00221558"/>
    <w:rsid w:val="002219C7"/>
    <w:rsid w:val="00221EC5"/>
    <w:rsid w:val="0022208F"/>
    <w:rsid w:val="00222401"/>
    <w:rsid w:val="00222A46"/>
    <w:rsid w:val="0022326E"/>
    <w:rsid w:val="00224455"/>
    <w:rsid w:val="00224B1F"/>
    <w:rsid w:val="00224B6B"/>
    <w:rsid w:val="00226793"/>
    <w:rsid w:val="00226BDF"/>
    <w:rsid w:val="00227433"/>
    <w:rsid w:val="00227730"/>
    <w:rsid w:val="00227AB2"/>
    <w:rsid w:val="00227B92"/>
    <w:rsid w:val="0023326D"/>
    <w:rsid w:val="00233276"/>
    <w:rsid w:val="00233F3A"/>
    <w:rsid w:val="00235F23"/>
    <w:rsid w:val="00235FFC"/>
    <w:rsid w:val="00236DA9"/>
    <w:rsid w:val="00236F98"/>
    <w:rsid w:val="00237DB6"/>
    <w:rsid w:val="00241297"/>
    <w:rsid w:val="00241D5C"/>
    <w:rsid w:val="00242226"/>
    <w:rsid w:val="00242A37"/>
    <w:rsid w:val="0024335C"/>
    <w:rsid w:val="0024632E"/>
    <w:rsid w:val="0024677F"/>
    <w:rsid w:val="00247EF5"/>
    <w:rsid w:val="00251E22"/>
    <w:rsid w:val="00254000"/>
    <w:rsid w:val="00254135"/>
    <w:rsid w:val="00254E5D"/>
    <w:rsid w:val="0025533B"/>
    <w:rsid w:val="00255C8E"/>
    <w:rsid w:val="00255DF7"/>
    <w:rsid w:val="00256353"/>
    <w:rsid w:val="00257059"/>
    <w:rsid w:val="002577C7"/>
    <w:rsid w:val="00257F74"/>
    <w:rsid w:val="00262CAB"/>
    <w:rsid w:val="00263DF7"/>
    <w:rsid w:val="00265880"/>
    <w:rsid w:val="00266267"/>
    <w:rsid w:val="0026629A"/>
    <w:rsid w:val="00266399"/>
    <w:rsid w:val="00267CE2"/>
    <w:rsid w:val="00270227"/>
    <w:rsid w:val="00270CCD"/>
    <w:rsid w:val="00270DA7"/>
    <w:rsid w:val="002713F7"/>
    <w:rsid w:val="00271A24"/>
    <w:rsid w:val="00272259"/>
    <w:rsid w:val="00274136"/>
    <w:rsid w:val="0027447D"/>
    <w:rsid w:val="00274EEE"/>
    <w:rsid w:val="00277BC7"/>
    <w:rsid w:val="002831A9"/>
    <w:rsid w:val="00285770"/>
    <w:rsid w:val="0028582E"/>
    <w:rsid w:val="002879E0"/>
    <w:rsid w:val="002917CE"/>
    <w:rsid w:val="002918C2"/>
    <w:rsid w:val="00292B68"/>
    <w:rsid w:val="00292CE5"/>
    <w:rsid w:val="00292D1B"/>
    <w:rsid w:val="002938D2"/>
    <w:rsid w:val="00294351"/>
    <w:rsid w:val="00294AB8"/>
    <w:rsid w:val="002976EF"/>
    <w:rsid w:val="002A0130"/>
    <w:rsid w:val="002A04A3"/>
    <w:rsid w:val="002A09CA"/>
    <w:rsid w:val="002A13FB"/>
    <w:rsid w:val="002A2624"/>
    <w:rsid w:val="002A2D9F"/>
    <w:rsid w:val="002A30F3"/>
    <w:rsid w:val="002A35C6"/>
    <w:rsid w:val="002A44BB"/>
    <w:rsid w:val="002A4FD3"/>
    <w:rsid w:val="002A54C8"/>
    <w:rsid w:val="002A62B6"/>
    <w:rsid w:val="002A661F"/>
    <w:rsid w:val="002A6A49"/>
    <w:rsid w:val="002B01B6"/>
    <w:rsid w:val="002B09ED"/>
    <w:rsid w:val="002B12C0"/>
    <w:rsid w:val="002B1BAE"/>
    <w:rsid w:val="002B22D1"/>
    <w:rsid w:val="002B2BEA"/>
    <w:rsid w:val="002B2D55"/>
    <w:rsid w:val="002B35C4"/>
    <w:rsid w:val="002B38F3"/>
    <w:rsid w:val="002B3CBC"/>
    <w:rsid w:val="002B3F99"/>
    <w:rsid w:val="002B4349"/>
    <w:rsid w:val="002B46D3"/>
    <w:rsid w:val="002B516F"/>
    <w:rsid w:val="002B51FE"/>
    <w:rsid w:val="002B75FD"/>
    <w:rsid w:val="002C0000"/>
    <w:rsid w:val="002C04C1"/>
    <w:rsid w:val="002C0E1B"/>
    <w:rsid w:val="002C11B6"/>
    <w:rsid w:val="002C1288"/>
    <w:rsid w:val="002C1545"/>
    <w:rsid w:val="002C1BFA"/>
    <w:rsid w:val="002C3BE1"/>
    <w:rsid w:val="002C4664"/>
    <w:rsid w:val="002C4D58"/>
    <w:rsid w:val="002C670E"/>
    <w:rsid w:val="002C6D41"/>
    <w:rsid w:val="002C75AF"/>
    <w:rsid w:val="002D0479"/>
    <w:rsid w:val="002D074A"/>
    <w:rsid w:val="002D1074"/>
    <w:rsid w:val="002D218A"/>
    <w:rsid w:val="002D3651"/>
    <w:rsid w:val="002D4230"/>
    <w:rsid w:val="002D5BF5"/>
    <w:rsid w:val="002D7A99"/>
    <w:rsid w:val="002D7B14"/>
    <w:rsid w:val="002E0D53"/>
    <w:rsid w:val="002E159B"/>
    <w:rsid w:val="002E1F10"/>
    <w:rsid w:val="002E22F7"/>
    <w:rsid w:val="002E2AF2"/>
    <w:rsid w:val="002E2E71"/>
    <w:rsid w:val="002E341A"/>
    <w:rsid w:val="002E3665"/>
    <w:rsid w:val="002E3A16"/>
    <w:rsid w:val="002E61FC"/>
    <w:rsid w:val="002F1C1E"/>
    <w:rsid w:val="002F1ECF"/>
    <w:rsid w:val="002F217F"/>
    <w:rsid w:val="002F4AD6"/>
    <w:rsid w:val="002F5044"/>
    <w:rsid w:val="002F57D4"/>
    <w:rsid w:val="002F6F1C"/>
    <w:rsid w:val="002F71DF"/>
    <w:rsid w:val="002F7803"/>
    <w:rsid w:val="0030041B"/>
    <w:rsid w:val="00301294"/>
    <w:rsid w:val="003012E0"/>
    <w:rsid w:val="003015AF"/>
    <w:rsid w:val="00301670"/>
    <w:rsid w:val="003049EF"/>
    <w:rsid w:val="00304BE1"/>
    <w:rsid w:val="00305DBF"/>
    <w:rsid w:val="00306A34"/>
    <w:rsid w:val="00306B92"/>
    <w:rsid w:val="0030718D"/>
    <w:rsid w:val="003073B3"/>
    <w:rsid w:val="00307B1E"/>
    <w:rsid w:val="0031029F"/>
    <w:rsid w:val="003113F1"/>
    <w:rsid w:val="00311E6C"/>
    <w:rsid w:val="00313123"/>
    <w:rsid w:val="003140A0"/>
    <w:rsid w:val="00314982"/>
    <w:rsid w:val="00315541"/>
    <w:rsid w:val="0031578C"/>
    <w:rsid w:val="00316E03"/>
    <w:rsid w:val="00317041"/>
    <w:rsid w:val="00321150"/>
    <w:rsid w:val="00321F24"/>
    <w:rsid w:val="00323EB7"/>
    <w:rsid w:val="00324C1D"/>
    <w:rsid w:val="00325EF0"/>
    <w:rsid w:val="003260CE"/>
    <w:rsid w:val="00326BFF"/>
    <w:rsid w:val="00327834"/>
    <w:rsid w:val="00327F44"/>
    <w:rsid w:val="003304AD"/>
    <w:rsid w:val="00330E93"/>
    <w:rsid w:val="00331E49"/>
    <w:rsid w:val="00332291"/>
    <w:rsid w:val="003338AE"/>
    <w:rsid w:val="00333D23"/>
    <w:rsid w:val="00334625"/>
    <w:rsid w:val="00334A88"/>
    <w:rsid w:val="00334AC3"/>
    <w:rsid w:val="00334CC1"/>
    <w:rsid w:val="00335E2B"/>
    <w:rsid w:val="00337021"/>
    <w:rsid w:val="00337C2C"/>
    <w:rsid w:val="00337C55"/>
    <w:rsid w:val="00340B83"/>
    <w:rsid w:val="00341830"/>
    <w:rsid w:val="003420B2"/>
    <w:rsid w:val="0034451D"/>
    <w:rsid w:val="00346216"/>
    <w:rsid w:val="0034685F"/>
    <w:rsid w:val="00350E26"/>
    <w:rsid w:val="00350E6E"/>
    <w:rsid w:val="0035239F"/>
    <w:rsid w:val="003526C6"/>
    <w:rsid w:val="00352D12"/>
    <w:rsid w:val="00353DD8"/>
    <w:rsid w:val="00354A91"/>
    <w:rsid w:val="0035640D"/>
    <w:rsid w:val="00356953"/>
    <w:rsid w:val="00357258"/>
    <w:rsid w:val="003577AC"/>
    <w:rsid w:val="0035788E"/>
    <w:rsid w:val="0036005B"/>
    <w:rsid w:val="0036155F"/>
    <w:rsid w:val="00362454"/>
    <w:rsid w:val="00362921"/>
    <w:rsid w:val="00364372"/>
    <w:rsid w:val="0036462F"/>
    <w:rsid w:val="0036468E"/>
    <w:rsid w:val="0036479D"/>
    <w:rsid w:val="003647B2"/>
    <w:rsid w:val="00364DBE"/>
    <w:rsid w:val="0036512A"/>
    <w:rsid w:val="00366EF0"/>
    <w:rsid w:val="0037163A"/>
    <w:rsid w:val="00371999"/>
    <w:rsid w:val="003731DF"/>
    <w:rsid w:val="003732BB"/>
    <w:rsid w:val="00373540"/>
    <w:rsid w:val="003741FB"/>
    <w:rsid w:val="003746CF"/>
    <w:rsid w:val="00375938"/>
    <w:rsid w:val="003779BC"/>
    <w:rsid w:val="00380EC4"/>
    <w:rsid w:val="00381890"/>
    <w:rsid w:val="00382EFF"/>
    <w:rsid w:val="003831D6"/>
    <w:rsid w:val="0038521D"/>
    <w:rsid w:val="003852B9"/>
    <w:rsid w:val="00385765"/>
    <w:rsid w:val="00385A0A"/>
    <w:rsid w:val="00385B2A"/>
    <w:rsid w:val="00385C50"/>
    <w:rsid w:val="00385E85"/>
    <w:rsid w:val="00387F23"/>
    <w:rsid w:val="0039086F"/>
    <w:rsid w:val="00391A93"/>
    <w:rsid w:val="00392523"/>
    <w:rsid w:val="003931EE"/>
    <w:rsid w:val="00393A19"/>
    <w:rsid w:val="003946B8"/>
    <w:rsid w:val="0039515A"/>
    <w:rsid w:val="00395483"/>
    <w:rsid w:val="00395F9E"/>
    <w:rsid w:val="00396A5E"/>
    <w:rsid w:val="00396CD1"/>
    <w:rsid w:val="003973A4"/>
    <w:rsid w:val="00397A87"/>
    <w:rsid w:val="00397E8B"/>
    <w:rsid w:val="003A0380"/>
    <w:rsid w:val="003A05D8"/>
    <w:rsid w:val="003A103B"/>
    <w:rsid w:val="003A23FA"/>
    <w:rsid w:val="003A2B71"/>
    <w:rsid w:val="003A2CB7"/>
    <w:rsid w:val="003A2EBC"/>
    <w:rsid w:val="003A334C"/>
    <w:rsid w:val="003A36A7"/>
    <w:rsid w:val="003A39D0"/>
    <w:rsid w:val="003A4E65"/>
    <w:rsid w:val="003A5470"/>
    <w:rsid w:val="003B0243"/>
    <w:rsid w:val="003B030C"/>
    <w:rsid w:val="003B0354"/>
    <w:rsid w:val="003B111F"/>
    <w:rsid w:val="003B1C98"/>
    <w:rsid w:val="003B1E06"/>
    <w:rsid w:val="003B35A9"/>
    <w:rsid w:val="003B3D8F"/>
    <w:rsid w:val="003B49CE"/>
    <w:rsid w:val="003B52E5"/>
    <w:rsid w:val="003B550D"/>
    <w:rsid w:val="003B5A71"/>
    <w:rsid w:val="003B78DB"/>
    <w:rsid w:val="003B7B76"/>
    <w:rsid w:val="003C0194"/>
    <w:rsid w:val="003C0227"/>
    <w:rsid w:val="003C07DE"/>
    <w:rsid w:val="003C2DCD"/>
    <w:rsid w:val="003C2EF1"/>
    <w:rsid w:val="003C45CC"/>
    <w:rsid w:val="003C5D0F"/>
    <w:rsid w:val="003C5E4F"/>
    <w:rsid w:val="003C7567"/>
    <w:rsid w:val="003C78E5"/>
    <w:rsid w:val="003D149D"/>
    <w:rsid w:val="003D38CD"/>
    <w:rsid w:val="003D506B"/>
    <w:rsid w:val="003D51E0"/>
    <w:rsid w:val="003D6327"/>
    <w:rsid w:val="003E1357"/>
    <w:rsid w:val="003E1A4E"/>
    <w:rsid w:val="003E1C51"/>
    <w:rsid w:val="003E1E90"/>
    <w:rsid w:val="003E2625"/>
    <w:rsid w:val="003E2E3A"/>
    <w:rsid w:val="003E2F19"/>
    <w:rsid w:val="003E3584"/>
    <w:rsid w:val="003E4723"/>
    <w:rsid w:val="003E4D28"/>
    <w:rsid w:val="003E58FE"/>
    <w:rsid w:val="003E5AB2"/>
    <w:rsid w:val="003E6895"/>
    <w:rsid w:val="003E7497"/>
    <w:rsid w:val="003E7AE8"/>
    <w:rsid w:val="003F0191"/>
    <w:rsid w:val="003F08E2"/>
    <w:rsid w:val="003F14B1"/>
    <w:rsid w:val="003F3DE4"/>
    <w:rsid w:val="003F6559"/>
    <w:rsid w:val="003F6AF9"/>
    <w:rsid w:val="003F6B45"/>
    <w:rsid w:val="003F7534"/>
    <w:rsid w:val="003F7B3A"/>
    <w:rsid w:val="003F7E01"/>
    <w:rsid w:val="003F7F7A"/>
    <w:rsid w:val="003F7FC3"/>
    <w:rsid w:val="004004ED"/>
    <w:rsid w:val="00400A2C"/>
    <w:rsid w:val="00401C32"/>
    <w:rsid w:val="004032B9"/>
    <w:rsid w:val="00405264"/>
    <w:rsid w:val="00405C03"/>
    <w:rsid w:val="00410EEE"/>
    <w:rsid w:val="004111DE"/>
    <w:rsid w:val="00411A39"/>
    <w:rsid w:val="0041209B"/>
    <w:rsid w:val="00414D86"/>
    <w:rsid w:val="00415E2F"/>
    <w:rsid w:val="00416552"/>
    <w:rsid w:val="00416969"/>
    <w:rsid w:val="00420A81"/>
    <w:rsid w:val="00420B9C"/>
    <w:rsid w:val="00422473"/>
    <w:rsid w:val="004243F3"/>
    <w:rsid w:val="00424A34"/>
    <w:rsid w:val="0042733D"/>
    <w:rsid w:val="00427A47"/>
    <w:rsid w:val="00427DC4"/>
    <w:rsid w:val="00430460"/>
    <w:rsid w:val="0043208C"/>
    <w:rsid w:val="004321D9"/>
    <w:rsid w:val="004339F2"/>
    <w:rsid w:val="004344E2"/>
    <w:rsid w:val="004347E6"/>
    <w:rsid w:val="0043488D"/>
    <w:rsid w:val="00436286"/>
    <w:rsid w:val="00436C83"/>
    <w:rsid w:val="004377C4"/>
    <w:rsid w:val="00437F9E"/>
    <w:rsid w:val="0044077F"/>
    <w:rsid w:val="004409B6"/>
    <w:rsid w:val="00440A48"/>
    <w:rsid w:val="00440BD8"/>
    <w:rsid w:val="00440E05"/>
    <w:rsid w:val="00445595"/>
    <w:rsid w:val="00451363"/>
    <w:rsid w:val="004527F8"/>
    <w:rsid w:val="00452E90"/>
    <w:rsid w:val="00453BB6"/>
    <w:rsid w:val="00453C23"/>
    <w:rsid w:val="00454744"/>
    <w:rsid w:val="004548EB"/>
    <w:rsid w:val="0045522B"/>
    <w:rsid w:val="0045530A"/>
    <w:rsid w:val="0045626D"/>
    <w:rsid w:val="004566B5"/>
    <w:rsid w:val="00457EDC"/>
    <w:rsid w:val="00460578"/>
    <w:rsid w:val="004614D3"/>
    <w:rsid w:val="00462927"/>
    <w:rsid w:val="004635A2"/>
    <w:rsid w:val="00465D73"/>
    <w:rsid w:val="00466256"/>
    <w:rsid w:val="004667FE"/>
    <w:rsid w:val="00467339"/>
    <w:rsid w:val="00467AF2"/>
    <w:rsid w:val="0047063D"/>
    <w:rsid w:val="004712DF"/>
    <w:rsid w:val="004716A2"/>
    <w:rsid w:val="004716A5"/>
    <w:rsid w:val="00471DBD"/>
    <w:rsid w:val="00472E92"/>
    <w:rsid w:val="004731F8"/>
    <w:rsid w:val="004738CF"/>
    <w:rsid w:val="00473E62"/>
    <w:rsid w:val="00474BBE"/>
    <w:rsid w:val="00474CAB"/>
    <w:rsid w:val="00475D26"/>
    <w:rsid w:val="00477BF9"/>
    <w:rsid w:val="00477C92"/>
    <w:rsid w:val="0048017A"/>
    <w:rsid w:val="00480241"/>
    <w:rsid w:val="00480674"/>
    <w:rsid w:val="004807DE"/>
    <w:rsid w:val="00481FF3"/>
    <w:rsid w:val="00482200"/>
    <w:rsid w:val="00483502"/>
    <w:rsid w:val="00483675"/>
    <w:rsid w:val="0048383A"/>
    <w:rsid w:val="0048397A"/>
    <w:rsid w:val="00484CD5"/>
    <w:rsid w:val="00485B97"/>
    <w:rsid w:val="004869EF"/>
    <w:rsid w:val="0049176E"/>
    <w:rsid w:val="004926CA"/>
    <w:rsid w:val="00493376"/>
    <w:rsid w:val="004943DE"/>
    <w:rsid w:val="00495338"/>
    <w:rsid w:val="00495517"/>
    <w:rsid w:val="0049692A"/>
    <w:rsid w:val="00496C78"/>
    <w:rsid w:val="004A0110"/>
    <w:rsid w:val="004A1F73"/>
    <w:rsid w:val="004A3C68"/>
    <w:rsid w:val="004A450D"/>
    <w:rsid w:val="004A4DFF"/>
    <w:rsid w:val="004A4FFA"/>
    <w:rsid w:val="004A57C3"/>
    <w:rsid w:val="004A65B2"/>
    <w:rsid w:val="004A672E"/>
    <w:rsid w:val="004A74B3"/>
    <w:rsid w:val="004A763D"/>
    <w:rsid w:val="004B02C4"/>
    <w:rsid w:val="004B16EA"/>
    <w:rsid w:val="004B1F49"/>
    <w:rsid w:val="004B207D"/>
    <w:rsid w:val="004B2566"/>
    <w:rsid w:val="004B2DE7"/>
    <w:rsid w:val="004B453B"/>
    <w:rsid w:val="004B5249"/>
    <w:rsid w:val="004B5A32"/>
    <w:rsid w:val="004B5E48"/>
    <w:rsid w:val="004B6738"/>
    <w:rsid w:val="004B677F"/>
    <w:rsid w:val="004B68E0"/>
    <w:rsid w:val="004B7FF8"/>
    <w:rsid w:val="004C25CA"/>
    <w:rsid w:val="004C29F9"/>
    <w:rsid w:val="004C3312"/>
    <w:rsid w:val="004C42F0"/>
    <w:rsid w:val="004C4884"/>
    <w:rsid w:val="004C5DAF"/>
    <w:rsid w:val="004C65C2"/>
    <w:rsid w:val="004C675E"/>
    <w:rsid w:val="004C6CE5"/>
    <w:rsid w:val="004D0EBD"/>
    <w:rsid w:val="004D1B4A"/>
    <w:rsid w:val="004D1E90"/>
    <w:rsid w:val="004D1ECC"/>
    <w:rsid w:val="004D24FF"/>
    <w:rsid w:val="004D25BF"/>
    <w:rsid w:val="004D354D"/>
    <w:rsid w:val="004D3CC8"/>
    <w:rsid w:val="004D3E99"/>
    <w:rsid w:val="004D405B"/>
    <w:rsid w:val="004D6EF9"/>
    <w:rsid w:val="004D7012"/>
    <w:rsid w:val="004D7377"/>
    <w:rsid w:val="004D77EB"/>
    <w:rsid w:val="004E1555"/>
    <w:rsid w:val="004E1E94"/>
    <w:rsid w:val="004E25FF"/>
    <w:rsid w:val="004E4609"/>
    <w:rsid w:val="004E4628"/>
    <w:rsid w:val="004E48BC"/>
    <w:rsid w:val="004E490F"/>
    <w:rsid w:val="004E4BDC"/>
    <w:rsid w:val="004E58C3"/>
    <w:rsid w:val="004E5919"/>
    <w:rsid w:val="004E5A2E"/>
    <w:rsid w:val="004E5BF7"/>
    <w:rsid w:val="004E6AB4"/>
    <w:rsid w:val="004F0FE9"/>
    <w:rsid w:val="004F13CE"/>
    <w:rsid w:val="004F1B4D"/>
    <w:rsid w:val="004F291C"/>
    <w:rsid w:val="004F2D9D"/>
    <w:rsid w:val="004F2DAE"/>
    <w:rsid w:val="004F448C"/>
    <w:rsid w:val="004F58A0"/>
    <w:rsid w:val="004F7912"/>
    <w:rsid w:val="00500A40"/>
    <w:rsid w:val="00500C32"/>
    <w:rsid w:val="00501D54"/>
    <w:rsid w:val="005027F2"/>
    <w:rsid w:val="00502893"/>
    <w:rsid w:val="00502C4A"/>
    <w:rsid w:val="00503A9F"/>
    <w:rsid w:val="005060AA"/>
    <w:rsid w:val="00507D5F"/>
    <w:rsid w:val="005120AC"/>
    <w:rsid w:val="005126C3"/>
    <w:rsid w:val="00512948"/>
    <w:rsid w:val="00512CB2"/>
    <w:rsid w:val="00512F44"/>
    <w:rsid w:val="0051306C"/>
    <w:rsid w:val="00515CFE"/>
    <w:rsid w:val="00515D01"/>
    <w:rsid w:val="00516BBA"/>
    <w:rsid w:val="00516E88"/>
    <w:rsid w:val="00517ED6"/>
    <w:rsid w:val="0052176A"/>
    <w:rsid w:val="00522CF8"/>
    <w:rsid w:val="00522E97"/>
    <w:rsid w:val="00524F7C"/>
    <w:rsid w:val="0052620B"/>
    <w:rsid w:val="0052697A"/>
    <w:rsid w:val="00526A4D"/>
    <w:rsid w:val="00531F0F"/>
    <w:rsid w:val="005327B5"/>
    <w:rsid w:val="00532FA3"/>
    <w:rsid w:val="0053380C"/>
    <w:rsid w:val="00534285"/>
    <w:rsid w:val="0053477A"/>
    <w:rsid w:val="00534D61"/>
    <w:rsid w:val="00535B30"/>
    <w:rsid w:val="005414AD"/>
    <w:rsid w:val="00541828"/>
    <w:rsid w:val="00541D67"/>
    <w:rsid w:val="005424BE"/>
    <w:rsid w:val="00544527"/>
    <w:rsid w:val="00544A8C"/>
    <w:rsid w:val="00545426"/>
    <w:rsid w:val="00545982"/>
    <w:rsid w:val="0054610E"/>
    <w:rsid w:val="0054617C"/>
    <w:rsid w:val="005463E1"/>
    <w:rsid w:val="00547972"/>
    <w:rsid w:val="00550F1D"/>
    <w:rsid w:val="0055132B"/>
    <w:rsid w:val="00552BF0"/>
    <w:rsid w:val="0055376A"/>
    <w:rsid w:val="00554E0D"/>
    <w:rsid w:val="00555EC8"/>
    <w:rsid w:val="005579A4"/>
    <w:rsid w:val="00557E68"/>
    <w:rsid w:val="005608E3"/>
    <w:rsid w:val="00561633"/>
    <w:rsid w:val="0056238A"/>
    <w:rsid w:val="00562720"/>
    <w:rsid w:val="00563569"/>
    <w:rsid w:val="00563F80"/>
    <w:rsid w:val="00564237"/>
    <w:rsid w:val="00565DBE"/>
    <w:rsid w:val="00566924"/>
    <w:rsid w:val="0057054A"/>
    <w:rsid w:val="00571602"/>
    <w:rsid w:val="00571F67"/>
    <w:rsid w:val="00571F7B"/>
    <w:rsid w:val="0057232E"/>
    <w:rsid w:val="005742A8"/>
    <w:rsid w:val="00574AB0"/>
    <w:rsid w:val="005752CE"/>
    <w:rsid w:val="005755A5"/>
    <w:rsid w:val="00575739"/>
    <w:rsid w:val="005757DD"/>
    <w:rsid w:val="0057656A"/>
    <w:rsid w:val="00577E2A"/>
    <w:rsid w:val="00580FA0"/>
    <w:rsid w:val="00582F42"/>
    <w:rsid w:val="005852E2"/>
    <w:rsid w:val="00585769"/>
    <w:rsid w:val="00585CE2"/>
    <w:rsid w:val="005867CD"/>
    <w:rsid w:val="00587458"/>
    <w:rsid w:val="005874EE"/>
    <w:rsid w:val="00587E13"/>
    <w:rsid w:val="00590F94"/>
    <w:rsid w:val="0059309F"/>
    <w:rsid w:val="005A0E58"/>
    <w:rsid w:val="005A189C"/>
    <w:rsid w:val="005A1C18"/>
    <w:rsid w:val="005A26AC"/>
    <w:rsid w:val="005A278B"/>
    <w:rsid w:val="005A2C0C"/>
    <w:rsid w:val="005A3F2E"/>
    <w:rsid w:val="005A48EB"/>
    <w:rsid w:val="005A4F72"/>
    <w:rsid w:val="005A778B"/>
    <w:rsid w:val="005B0B39"/>
    <w:rsid w:val="005B38F2"/>
    <w:rsid w:val="005B6733"/>
    <w:rsid w:val="005B7F94"/>
    <w:rsid w:val="005C0E0D"/>
    <w:rsid w:val="005C1FCB"/>
    <w:rsid w:val="005C31F9"/>
    <w:rsid w:val="005C36E1"/>
    <w:rsid w:val="005C3B93"/>
    <w:rsid w:val="005C41F2"/>
    <w:rsid w:val="005C4E78"/>
    <w:rsid w:val="005C5616"/>
    <w:rsid w:val="005C6591"/>
    <w:rsid w:val="005C6A61"/>
    <w:rsid w:val="005C719D"/>
    <w:rsid w:val="005C7DBF"/>
    <w:rsid w:val="005D0B33"/>
    <w:rsid w:val="005D1470"/>
    <w:rsid w:val="005D2B70"/>
    <w:rsid w:val="005D3773"/>
    <w:rsid w:val="005D38CC"/>
    <w:rsid w:val="005D4CD7"/>
    <w:rsid w:val="005D6BC2"/>
    <w:rsid w:val="005D6DAA"/>
    <w:rsid w:val="005D72B0"/>
    <w:rsid w:val="005D745B"/>
    <w:rsid w:val="005D750A"/>
    <w:rsid w:val="005D7B95"/>
    <w:rsid w:val="005D7D99"/>
    <w:rsid w:val="005D7FF8"/>
    <w:rsid w:val="005E09DC"/>
    <w:rsid w:val="005E1C5C"/>
    <w:rsid w:val="005E1CE2"/>
    <w:rsid w:val="005E2546"/>
    <w:rsid w:val="005E38C2"/>
    <w:rsid w:val="005E61D1"/>
    <w:rsid w:val="005E69AA"/>
    <w:rsid w:val="005E6D95"/>
    <w:rsid w:val="005E716A"/>
    <w:rsid w:val="005E7453"/>
    <w:rsid w:val="005E7ACD"/>
    <w:rsid w:val="005F0096"/>
    <w:rsid w:val="005F08C6"/>
    <w:rsid w:val="005F2034"/>
    <w:rsid w:val="005F38E0"/>
    <w:rsid w:val="005F3A0E"/>
    <w:rsid w:val="005F51E5"/>
    <w:rsid w:val="005F5941"/>
    <w:rsid w:val="005F5E80"/>
    <w:rsid w:val="0060035F"/>
    <w:rsid w:val="006008A9"/>
    <w:rsid w:val="00600ABB"/>
    <w:rsid w:val="006036EE"/>
    <w:rsid w:val="00603C52"/>
    <w:rsid w:val="006041BC"/>
    <w:rsid w:val="00604F32"/>
    <w:rsid w:val="00605B60"/>
    <w:rsid w:val="00610407"/>
    <w:rsid w:val="00610DE8"/>
    <w:rsid w:val="00611073"/>
    <w:rsid w:val="006110BC"/>
    <w:rsid w:val="006114BF"/>
    <w:rsid w:val="00612030"/>
    <w:rsid w:val="006122FE"/>
    <w:rsid w:val="006126B4"/>
    <w:rsid w:val="006145C1"/>
    <w:rsid w:val="00614A24"/>
    <w:rsid w:val="006152F2"/>
    <w:rsid w:val="006175FF"/>
    <w:rsid w:val="0062008B"/>
    <w:rsid w:val="00620B99"/>
    <w:rsid w:val="00620F4A"/>
    <w:rsid w:val="006210A4"/>
    <w:rsid w:val="00621241"/>
    <w:rsid w:val="00621E6B"/>
    <w:rsid w:val="006222FD"/>
    <w:rsid w:val="00623746"/>
    <w:rsid w:val="006242B3"/>
    <w:rsid w:val="00624429"/>
    <w:rsid w:val="0062452B"/>
    <w:rsid w:val="00624716"/>
    <w:rsid w:val="00626317"/>
    <w:rsid w:val="006266DB"/>
    <w:rsid w:val="00627510"/>
    <w:rsid w:val="00627518"/>
    <w:rsid w:val="00631107"/>
    <w:rsid w:val="00631493"/>
    <w:rsid w:val="006317DE"/>
    <w:rsid w:val="00631EF0"/>
    <w:rsid w:val="006320BE"/>
    <w:rsid w:val="00632824"/>
    <w:rsid w:val="0063353B"/>
    <w:rsid w:val="0063381A"/>
    <w:rsid w:val="00636750"/>
    <w:rsid w:val="00640B97"/>
    <w:rsid w:val="00640D9A"/>
    <w:rsid w:val="006413FA"/>
    <w:rsid w:val="00643C82"/>
    <w:rsid w:val="0064473B"/>
    <w:rsid w:val="00644E91"/>
    <w:rsid w:val="006476E0"/>
    <w:rsid w:val="00647FE0"/>
    <w:rsid w:val="0065076B"/>
    <w:rsid w:val="006514D7"/>
    <w:rsid w:val="00651789"/>
    <w:rsid w:val="00652FA4"/>
    <w:rsid w:val="006557B6"/>
    <w:rsid w:val="006563B6"/>
    <w:rsid w:val="006569B4"/>
    <w:rsid w:val="006577EB"/>
    <w:rsid w:val="00662A41"/>
    <w:rsid w:val="00663484"/>
    <w:rsid w:val="00663655"/>
    <w:rsid w:val="00664110"/>
    <w:rsid w:val="006641E5"/>
    <w:rsid w:val="006646F7"/>
    <w:rsid w:val="00667187"/>
    <w:rsid w:val="0066787E"/>
    <w:rsid w:val="0066799B"/>
    <w:rsid w:val="00667CF4"/>
    <w:rsid w:val="00670839"/>
    <w:rsid w:val="00670854"/>
    <w:rsid w:val="0067298A"/>
    <w:rsid w:val="00673B62"/>
    <w:rsid w:val="006755F6"/>
    <w:rsid w:val="006758D2"/>
    <w:rsid w:val="00676384"/>
    <w:rsid w:val="00676CA8"/>
    <w:rsid w:val="006770C6"/>
    <w:rsid w:val="006775A9"/>
    <w:rsid w:val="006803B7"/>
    <w:rsid w:val="00680A62"/>
    <w:rsid w:val="00681B86"/>
    <w:rsid w:val="00681E3F"/>
    <w:rsid w:val="0068370F"/>
    <w:rsid w:val="00683C2C"/>
    <w:rsid w:val="006848EF"/>
    <w:rsid w:val="00686071"/>
    <w:rsid w:val="00691731"/>
    <w:rsid w:val="0069299D"/>
    <w:rsid w:val="00693BD9"/>
    <w:rsid w:val="006959A7"/>
    <w:rsid w:val="006965CB"/>
    <w:rsid w:val="00696D00"/>
    <w:rsid w:val="00697531"/>
    <w:rsid w:val="00697B3E"/>
    <w:rsid w:val="006A298B"/>
    <w:rsid w:val="006A2C31"/>
    <w:rsid w:val="006A39CE"/>
    <w:rsid w:val="006A40F4"/>
    <w:rsid w:val="006A41B5"/>
    <w:rsid w:val="006A65ED"/>
    <w:rsid w:val="006A7F3F"/>
    <w:rsid w:val="006B054D"/>
    <w:rsid w:val="006B11A0"/>
    <w:rsid w:val="006B12FD"/>
    <w:rsid w:val="006B2457"/>
    <w:rsid w:val="006B3C04"/>
    <w:rsid w:val="006B4508"/>
    <w:rsid w:val="006B62F8"/>
    <w:rsid w:val="006B6304"/>
    <w:rsid w:val="006B662F"/>
    <w:rsid w:val="006B6CE6"/>
    <w:rsid w:val="006B771E"/>
    <w:rsid w:val="006C0087"/>
    <w:rsid w:val="006C1766"/>
    <w:rsid w:val="006C1FF1"/>
    <w:rsid w:val="006C313C"/>
    <w:rsid w:val="006C4A52"/>
    <w:rsid w:val="006C4F1F"/>
    <w:rsid w:val="006C4FB5"/>
    <w:rsid w:val="006C547F"/>
    <w:rsid w:val="006C55E8"/>
    <w:rsid w:val="006C56B2"/>
    <w:rsid w:val="006C5AF7"/>
    <w:rsid w:val="006C61C6"/>
    <w:rsid w:val="006C6A92"/>
    <w:rsid w:val="006C775D"/>
    <w:rsid w:val="006C780F"/>
    <w:rsid w:val="006C7E2A"/>
    <w:rsid w:val="006D0599"/>
    <w:rsid w:val="006D0982"/>
    <w:rsid w:val="006D1D95"/>
    <w:rsid w:val="006D264B"/>
    <w:rsid w:val="006D4AE2"/>
    <w:rsid w:val="006D6013"/>
    <w:rsid w:val="006D7A9F"/>
    <w:rsid w:val="006D7EC6"/>
    <w:rsid w:val="006E08AC"/>
    <w:rsid w:val="006E0B17"/>
    <w:rsid w:val="006E14DA"/>
    <w:rsid w:val="006E1EC8"/>
    <w:rsid w:val="006E1F02"/>
    <w:rsid w:val="006E2533"/>
    <w:rsid w:val="006E3E6B"/>
    <w:rsid w:val="006E5708"/>
    <w:rsid w:val="006E696E"/>
    <w:rsid w:val="006E7255"/>
    <w:rsid w:val="006E7AC8"/>
    <w:rsid w:val="006F0323"/>
    <w:rsid w:val="006F0DAA"/>
    <w:rsid w:val="006F16AD"/>
    <w:rsid w:val="006F16E4"/>
    <w:rsid w:val="006F173C"/>
    <w:rsid w:val="006F1B34"/>
    <w:rsid w:val="006F1FB7"/>
    <w:rsid w:val="006F3298"/>
    <w:rsid w:val="006F3668"/>
    <w:rsid w:val="006F38D0"/>
    <w:rsid w:val="006F3D6B"/>
    <w:rsid w:val="006F455E"/>
    <w:rsid w:val="006F48FF"/>
    <w:rsid w:val="006F5111"/>
    <w:rsid w:val="006F644F"/>
    <w:rsid w:val="006F6CB9"/>
    <w:rsid w:val="006F73B5"/>
    <w:rsid w:val="006F7D73"/>
    <w:rsid w:val="006F7EFD"/>
    <w:rsid w:val="00700E37"/>
    <w:rsid w:val="00701106"/>
    <w:rsid w:val="00702625"/>
    <w:rsid w:val="00702690"/>
    <w:rsid w:val="007028ED"/>
    <w:rsid w:val="00702B57"/>
    <w:rsid w:val="00702BAB"/>
    <w:rsid w:val="00703611"/>
    <w:rsid w:val="00703660"/>
    <w:rsid w:val="00703A38"/>
    <w:rsid w:val="00703D1C"/>
    <w:rsid w:val="007042B3"/>
    <w:rsid w:val="00705385"/>
    <w:rsid w:val="00705BDD"/>
    <w:rsid w:val="00706883"/>
    <w:rsid w:val="00707C73"/>
    <w:rsid w:val="00707FF0"/>
    <w:rsid w:val="0071025A"/>
    <w:rsid w:val="00710545"/>
    <w:rsid w:val="007109E3"/>
    <w:rsid w:val="007116A9"/>
    <w:rsid w:val="007125EF"/>
    <w:rsid w:val="00712BEB"/>
    <w:rsid w:val="0071322D"/>
    <w:rsid w:val="0071449E"/>
    <w:rsid w:val="00715075"/>
    <w:rsid w:val="00715339"/>
    <w:rsid w:val="00716ED6"/>
    <w:rsid w:val="00716F0E"/>
    <w:rsid w:val="00721294"/>
    <w:rsid w:val="0072787B"/>
    <w:rsid w:val="007300F4"/>
    <w:rsid w:val="00731C56"/>
    <w:rsid w:val="0073325F"/>
    <w:rsid w:val="00733CBD"/>
    <w:rsid w:val="00734085"/>
    <w:rsid w:val="00734859"/>
    <w:rsid w:val="0073534B"/>
    <w:rsid w:val="00735AE9"/>
    <w:rsid w:val="00737291"/>
    <w:rsid w:val="00740132"/>
    <w:rsid w:val="00740304"/>
    <w:rsid w:val="00741286"/>
    <w:rsid w:val="007412A4"/>
    <w:rsid w:val="00741D7C"/>
    <w:rsid w:val="0074335E"/>
    <w:rsid w:val="0074361F"/>
    <w:rsid w:val="00744D86"/>
    <w:rsid w:val="0074624A"/>
    <w:rsid w:val="007465AB"/>
    <w:rsid w:val="00747205"/>
    <w:rsid w:val="00747FA0"/>
    <w:rsid w:val="007512C5"/>
    <w:rsid w:val="0075141E"/>
    <w:rsid w:val="00751DB4"/>
    <w:rsid w:val="00752924"/>
    <w:rsid w:val="0075335A"/>
    <w:rsid w:val="007540EE"/>
    <w:rsid w:val="00754105"/>
    <w:rsid w:val="007541AC"/>
    <w:rsid w:val="00754F5F"/>
    <w:rsid w:val="00756169"/>
    <w:rsid w:val="00756464"/>
    <w:rsid w:val="00756578"/>
    <w:rsid w:val="00756C30"/>
    <w:rsid w:val="00757F0B"/>
    <w:rsid w:val="007616CE"/>
    <w:rsid w:val="0076186F"/>
    <w:rsid w:val="007621EA"/>
    <w:rsid w:val="00763E57"/>
    <w:rsid w:val="0076548A"/>
    <w:rsid w:val="0076592F"/>
    <w:rsid w:val="00765969"/>
    <w:rsid w:val="0076652A"/>
    <w:rsid w:val="007707D8"/>
    <w:rsid w:val="00770B9F"/>
    <w:rsid w:val="00771099"/>
    <w:rsid w:val="00771B5E"/>
    <w:rsid w:val="00773168"/>
    <w:rsid w:val="00773794"/>
    <w:rsid w:val="00773D48"/>
    <w:rsid w:val="00774F48"/>
    <w:rsid w:val="00775D61"/>
    <w:rsid w:val="00776B32"/>
    <w:rsid w:val="00776E8E"/>
    <w:rsid w:val="0077748F"/>
    <w:rsid w:val="007774FC"/>
    <w:rsid w:val="00780830"/>
    <w:rsid w:val="00782D6F"/>
    <w:rsid w:val="00783AD7"/>
    <w:rsid w:val="00784476"/>
    <w:rsid w:val="007853E3"/>
    <w:rsid w:val="00785AC5"/>
    <w:rsid w:val="007862C3"/>
    <w:rsid w:val="0078653F"/>
    <w:rsid w:val="00787606"/>
    <w:rsid w:val="007876DD"/>
    <w:rsid w:val="00787CA7"/>
    <w:rsid w:val="00790910"/>
    <w:rsid w:val="00792683"/>
    <w:rsid w:val="00794DDF"/>
    <w:rsid w:val="00795276"/>
    <w:rsid w:val="007953DF"/>
    <w:rsid w:val="00795BCF"/>
    <w:rsid w:val="007A00FB"/>
    <w:rsid w:val="007A2029"/>
    <w:rsid w:val="007A29B8"/>
    <w:rsid w:val="007A3A5E"/>
    <w:rsid w:val="007A502D"/>
    <w:rsid w:val="007A587C"/>
    <w:rsid w:val="007A7679"/>
    <w:rsid w:val="007B27C4"/>
    <w:rsid w:val="007B2AD5"/>
    <w:rsid w:val="007B3C0C"/>
    <w:rsid w:val="007B45AF"/>
    <w:rsid w:val="007B6ACD"/>
    <w:rsid w:val="007B73F7"/>
    <w:rsid w:val="007B7630"/>
    <w:rsid w:val="007C01C7"/>
    <w:rsid w:val="007C0C89"/>
    <w:rsid w:val="007C13AB"/>
    <w:rsid w:val="007C156F"/>
    <w:rsid w:val="007C1AC5"/>
    <w:rsid w:val="007C2B8C"/>
    <w:rsid w:val="007C2C2F"/>
    <w:rsid w:val="007C3611"/>
    <w:rsid w:val="007C3BCE"/>
    <w:rsid w:val="007C445E"/>
    <w:rsid w:val="007C4A03"/>
    <w:rsid w:val="007C53D0"/>
    <w:rsid w:val="007C5D22"/>
    <w:rsid w:val="007C61A9"/>
    <w:rsid w:val="007C65DC"/>
    <w:rsid w:val="007C68BD"/>
    <w:rsid w:val="007C71C5"/>
    <w:rsid w:val="007D1141"/>
    <w:rsid w:val="007D11A1"/>
    <w:rsid w:val="007D187D"/>
    <w:rsid w:val="007D33F2"/>
    <w:rsid w:val="007D3529"/>
    <w:rsid w:val="007D36B8"/>
    <w:rsid w:val="007D3825"/>
    <w:rsid w:val="007D3828"/>
    <w:rsid w:val="007D3E40"/>
    <w:rsid w:val="007D428D"/>
    <w:rsid w:val="007D42A8"/>
    <w:rsid w:val="007D4450"/>
    <w:rsid w:val="007D492B"/>
    <w:rsid w:val="007D75F7"/>
    <w:rsid w:val="007E04CC"/>
    <w:rsid w:val="007E0660"/>
    <w:rsid w:val="007E0773"/>
    <w:rsid w:val="007E0C4D"/>
    <w:rsid w:val="007E10BA"/>
    <w:rsid w:val="007E1EEA"/>
    <w:rsid w:val="007E348A"/>
    <w:rsid w:val="007E3B89"/>
    <w:rsid w:val="007E46B8"/>
    <w:rsid w:val="007E4926"/>
    <w:rsid w:val="007E61A2"/>
    <w:rsid w:val="007F0827"/>
    <w:rsid w:val="007F0E9F"/>
    <w:rsid w:val="007F129E"/>
    <w:rsid w:val="007F20DF"/>
    <w:rsid w:val="007F225A"/>
    <w:rsid w:val="007F28DE"/>
    <w:rsid w:val="007F2E0A"/>
    <w:rsid w:val="007F44E3"/>
    <w:rsid w:val="007F4764"/>
    <w:rsid w:val="007F4769"/>
    <w:rsid w:val="007F51EA"/>
    <w:rsid w:val="007F6769"/>
    <w:rsid w:val="007F6BCB"/>
    <w:rsid w:val="007F7B42"/>
    <w:rsid w:val="008002D7"/>
    <w:rsid w:val="008022DA"/>
    <w:rsid w:val="008029AD"/>
    <w:rsid w:val="00802DB9"/>
    <w:rsid w:val="008037CA"/>
    <w:rsid w:val="00803F7D"/>
    <w:rsid w:val="008041E9"/>
    <w:rsid w:val="0080487C"/>
    <w:rsid w:val="00807E26"/>
    <w:rsid w:val="00807E4E"/>
    <w:rsid w:val="0081033C"/>
    <w:rsid w:val="0081191E"/>
    <w:rsid w:val="0081249A"/>
    <w:rsid w:val="008139E8"/>
    <w:rsid w:val="00813EDD"/>
    <w:rsid w:val="00815BA1"/>
    <w:rsid w:val="0081611F"/>
    <w:rsid w:val="0081658C"/>
    <w:rsid w:val="00816A41"/>
    <w:rsid w:val="00816B44"/>
    <w:rsid w:val="008179E7"/>
    <w:rsid w:val="00817BAC"/>
    <w:rsid w:val="00817D05"/>
    <w:rsid w:val="00821002"/>
    <w:rsid w:val="00821ABA"/>
    <w:rsid w:val="00821BFB"/>
    <w:rsid w:val="00821FCA"/>
    <w:rsid w:val="00823079"/>
    <w:rsid w:val="008238B5"/>
    <w:rsid w:val="00823A8B"/>
    <w:rsid w:val="00823E12"/>
    <w:rsid w:val="00824FDB"/>
    <w:rsid w:val="00825190"/>
    <w:rsid w:val="008255FF"/>
    <w:rsid w:val="00825AE7"/>
    <w:rsid w:val="008260A8"/>
    <w:rsid w:val="00826361"/>
    <w:rsid w:val="0082646A"/>
    <w:rsid w:val="008301D8"/>
    <w:rsid w:val="008301E6"/>
    <w:rsid w:val="008313AD"/>
    <w:rsid w:val="0083181E"/>
    <w:rsid w:val="00831AC4"/>
    <w:rsid w:val="0083207C"/>
    <w:rsid w:val="00833493"/>
    <w:rsid w:val="008371DC"/>
    <w:rsid w:val="00837543"/>
    <w:rsid w:val="00837816"/>
    <w:rsid w:val="008403B8"/>
    <w:rsid w:val="0084083F"/>
    <w:rsid w:val="008416BB"/>
    <w:rsid w:val="008448C2"/>
    <w:rsid w:val="00845F12"/>
    <w:rsid w:val="00846424"/>
    <w:rsid w:val="0084671C"/>
    <w:rsid w:val="008468E7"/>
    <w:rsid w:val="00847492"/>
    <w:rsid w:val="00847777"/>
    <w:rsid w:val="00850614"/>
    <w:rsid w:val="00850D50"/>
    <w:rsid w:val="008529C0"/>
    <w:rsid w:val="00852A36"/>
    <w:rsid w:val="00852A4D"/>
    <w:rsid w:val="0085380D"/>
    <w:rsid w:val="00853E9A"/>
    <w:rsid w:val="00854526"/>
    <w:rsid w:val="008563D7"/>
    <w:rsid w:val="00857187"/>
    <w:rsid w:val="00857E3B"/>
    <w:rsid w:val="00860DCC"/>
    <w:rsid w:val="00860F37"/>
    <w:rsid w:val="008614E9"/>
    <w:rsid w:val="00861E00"/>
    <w:rsid w:val="008620E5"/>
    <w:rsid w:val="00862A92"/>
    <w:rsid w:val="00863746"/>
    <w:rsid w:val="00863798"/>
    <w:rsid w:val="008642DA"/>
    <w:rsid w:val="00864B6E"/>
    <w:rsid w:val="00864E9D"/>
    <w:rsid w:val="00864EBC"/>
    <w:rsid w:val="0086523A"/>
    <w:rsid w:val="00865AEE"/>
    <w:rsid w:val="00865C39"/>
    <w:rsid w:val="00866D16"/>
    <w:rsid w:val="00867EF2"/>
    <w:rsid w:val="00871383"/>
    <w:rsid w:val="00873BD1"/>
    <w:rsid w:val="00874266"/>
    <w:rsid w:val="00874300"/>
    <w:rsid w:val="00875968"/>
    <w:rsid w:val="00875F5C"/>
    <w:rsid w:val="0087641B"/>
    <w:rsid w:val="008765FD"/>
    <w:rsid w:val="00877411"/>
    <w:rsid w:val="0088073D"/>
    <w:rsid w:val="00880A66"/>
    <w:rsid w:val="00880F43"/>
    <w:rsid w:val="00881014"/>
    <w:rsid w:val="00883B36"/>
    <w:rsid w:val="00884137"/>
    <w:rsid w:val="00885115"/>
    <w:rsid w:val="00885AE5"/>
    <w:rsid w:val="00885C4F"/>
    <w:rsid w:val="00886ABB"/>
    <w:rsid w:val="00887A0B"/>
    <w:rsid w:val="00887E79"/>
    <w:rsid w:val="00890A2C"/>
    <w:rsid w:val="008921F0"/>
    <w:rsid w:val="00892211"/>
    <w:rsid w:val="00892C3B"/>
    <w:rsid w:val="008932E9"/>
    <w:rsid w:val="00894244"/>
    <w:rsid w:val="008966F9"/>
    <w:rsid w:val="008973CB"/>
    <w:rsid w:val="00897BEA"/>
    <w:rsid w:val="008A1E22"/>
    <w:rsid w:val="008A20F0"/>
    <w:rsid w:val="008A2AF8"/>
    <w:rsid w:val="008A40AB"/>
    <w:rsid w:val="008A432F"/>
    <w:rsid w:val="008A4A75"/>
    <w:rsid w:val="008A501D"/>
    <w:rsid w:val="008A6E6D"/>
    <w:rsid w:val="008B0340"/>
    <w:rsid w:val="008B0702"/>
    <w:rsid w:val="008B08B1"/>
    <w:rsid w:val="008B0E1C"/>
    <w:rsid w:val="008B12EC"/>
    <w:rsid w:val="008B308A"/>
    <w:rsid w:val="008B3B9F"/>
    <w:rsid w:val="008B44FF"/>
    <w:rsid w:val="008B5251"/>
    <w:rsid w:val="008B6D15"/>
    <w:rsid w:val="008C0898"/>
    <w:rsid w:val="008C0B2E"/>
    <w:rsid w:val="008C2FC7"/>
    <w:rsid w:val="008C7E89"/>
    <w:rsid w:val="008C7FD5"/>
    <w:rsid w:val="008D019D"/>
    <w:rsid w:val="008D065C"/>
    <w:rsid w:val="008D36EC"/>
    <w:rsid w:val="008D3F6F"/>
    <w:rsid w:val="008D74DB"/>
    <w:rsid w:val="008D7EB2"/>
    <w:rsid w:val="008E1524"/>
    <w:rsid w:val="008E1A06"/>
    <w:rsid w:val="008E1B66"/>
    <w:rsid w:val="008E1F00"/>
    <w:rsid w:val="008E2E93"/>
    <w:rsid w:val="008E367B"/>
    <w:rsid w:val="008E42F8"/>
    <w:rsid w:val="008E458F"/>
    <w:rsid w:val="008E4927"/>
    <w:rsid w:val="008E49C4"/>
    <w:rsid w:val="008E58D7"/>
    <w:rsid w:val="008E5C94"/>
    <w:rsid w:val="008E71E6"/>
    <w:rsid w:val="008E75C0"/>
    <w:rsid w:val="008E7A3C"/>
    <w:rsid w:val="008E7A73"/>
    <w:rsid w:val="008F114A"/>
    <w:rsid w:val="008F1475"/>
    <w:rsid w:val="008F1EE4"/>
    <w:rsid w:val="008F3B74"/>
    <w:rsid w:val="008F46EE"/>
    <w:rsid w:val="008F491C"/>
    <w:rsid w:val="008F6B6C"/>
    <w:rsid w:val="008F6DF3"/>
    <w:rsid w:val="008F70AE"/>
    <w:rsid w:val="009006BE"/>
    <w:rsid w:val="0090287B"/>
    <w:rsid w:val="00902FCA"/>
    <w:rsid w:val="00903594"/>
    <w:rsid w:val="009036A9"/>
    <w:rsid w:val="00904A69"/>
    <w:rsid w:val="009054A4"/>
    <w:rsid w:val="009057BF"/>
    <w:rsid w:val="00905F7E"/>
    <w:rsid w:val="00907AC0"/>
    <w:rsid w:val="00910258"/>
    <w:rsid w:val="00910A4D"/>
    <w:rsid w:val="00910AD9"/>
    <w:rsid w:val="009118BB"/>
    <w:rsid w:val="00913D5C"/>
    <w:rsid w:val="00913E76"/>
    <w:rsid w:val="00914199"/>
    <w:rsid w:val="009148A6"/>
    <w:rsid w:val="00914B29"/>
    <w:rsid w:val="009155BB"/>
    <w:rsid w:val="00916AD3"/>
    <w:rsid w:val="0091726D"/>
    <w:rsid w:val="009173DC"/>
    <w:rsid w:val="009175DF"/>
    <w:rsid w:val="009201AC"/>
    <w:rsid w:val="00920B05"/>
    <w:rsid w:val="009212AB"/>
    <w:rsid w:val="00922146"/>
    <w:rsid w:val="00922E5D"/>
    <w:rsid w:val="00923476"/>
    <w:rsid w:val="00924C8E"/>
    <w:rsid w:val="009252A7"/>
    <w:rsid w:val="009255E9"/>
    <w:rsid w:val="009256FD"/>
    <w:rsid w:val="0092631B"/>
    <w:rsid w:val="00926E8C"/>
    <w:rsid w:val="009304BD"/>
    <w:rsid w:val="0093076F"/>
    <w:rsid w:val="00930793"/>
    <w:rsid w:val="00931482"/>
    <w:rsid w:val="00931D68"/>
    <w:rsid w:val="00932C1D"/>
    <w:rsid w:val="00934C34"/>
    <w:rsid w:val="009355C2"/>
    <w:rsid w:val="0093786C"/>
    <w:rsid w:val="00937D06"/>
    <w:rsid w:val="0094020A"/>
    <w:rsid w:val="00940AC2"/>
    <w:rsid w:val="009411B4"/>
    <w:rsid w:val="009416C3"/>
    <w:rsid w:val="00942600"/>
    <w:rsid w:val="009429C9"/>
    <w:rsid w:val="00942CCB"/>
    <w:rsid w:val="0094395E"/>
    <w:rsid w:val="00943AE1"/>
    <w:rsid w:val="00944612"/>
    <w:rsid w:val="009447A6"/>
    <w:rsid w:val="00946CF0"/>
    <w:rsid w:val="009477D1"/>
    <w:rsid w:val="0095101E"/>
    <w:rsid w:val="009555B5"/>
    <w:rsid w:val="00955782"/>
    <w:rsid w:val="009578D5"/>
    <w:rsid w:val="00957F33"/>
    <w:rsid w:val="00960C5A"/>
    <w:rsid w:val="00961D84"/>
    <w:rsid w:val="009628B7"/>
    <w:rsid w:val="009629F9"/>
    <w:rsid w:val="0096324E"/>
    <w:rsid w:val="009638EB"/>
    <w:rsid w:val="00965234"/>
    <w:rsid w:val="0096578C"/>
    <w:rsid w:val="00965C9B"/>
    <w:rsid w:val="00971135"/>
    <w:rsid w:val="0097113A"/>
    <w:rsid w:val="009714F3"/>
    <w:rsid w:val="00972E22"/>
    <w:rsid w:val="009733B7"/>
    <w:rsid w:val="00974044"/>
    <w:rsid w:val="00975246"/>
    <w:rsid w:val="00977FC7"/>
    <w:rsid w:val="00980B1E"/>
    <w:rsid w:val="00980E40"/>
    <w:rsid w:val="00981D16"/>
    <w:rsid w:val="0098228A"/>
    <w:rsid w:val="00982D6A"/>
    <w:rsid w:val="0098382D"/>
    <w:rsid w:val="00985657"/>
    <w:rsid w:val="00985DBB"/>
    <w:rsid w:val="00986D6A"/>
    <w:rsid w:val="0098708A"/>
    <w:rsid w:val="009873A2"/>
    <w:rsid w:val="00990364"/>
    <w:rsid w:val="00990FE9"/>
    <w:rsid w:val="0099268F"/>
    <w:rsid w:val="00992844"/>
    <w:rsid w:val="0099552D"/>
    <w:rsid w:val="00995708"/>
    <w:rsid w:val="009960B0"/>
    <w:rsid w:val="00996A94"/>
    <w:rsid w:val="00996E81"/>
    <w:rsid w:val="009974F8"/>
    <w:rsid w:val="00997FBF"/>
    <w:rsid w:val="009A08F1"/>
    <w:rsid w:val="009A0D6D"/>
    <w:rsid w:val="009A19D7"/>
    <w:rsid w:val="009A1A1D"/>
    <w:rsid w:val="009A1CC7"/>
    <w:rsid w:val="009A220E"/>
    <w:rsid w:val="009A3519"/>
    <w:rsid w:val="009A52F7"/>
    <w:rsid w:val="009A5414"/>
    <w:rsid w:val="009B09BA"/>
    <w:rsid w:val="009B0C77"/>
    <w:rsid w:val="009B0CDE"/>
    <w:rsid w:val="009B15B8"/>
    <w:rsid w:val="009B1E87"/>
    <w:rsid w:val="009B23E7"/>
    <w:rsid w:val="009B3C79"/>
    <w:rsid w:val="009B3E84"/>
    <w:rsid w:val="009B62E0"/>
    <w:rsid w:val="009B6DD7"/>
    <w:rsid w:val="009B77EF"/>
    <w:rsid w:val="009C0C39"/>
    <w:rsid w:val="009C0DF8"/>
    <w:rsid w:val="009C1242"/>
    <w:rsid w:val="009C2927"/>
    <w:rsid w:val="009C2BBF"/>
    <w:rsid w:val="009C31D6"/>
    <w:rsid w:val="009C339E"/>
    <w:rsid w:val="009C3623"/>
    <w:rsid w:val="009C3FE3"/>
    <w:rsid w:val="009C58B6"/>
    <w:rsid w:val="009C5D6E"/>
    <w:rsid w:val="009C6717"/>
    <w:rsid w:val="009C7048"/>
    <w:rsid w:val="009C7203"/>
    <w:rsid w:val="009C7751"/>
    <w:rsid w:val="009D2155"/>
    <w:rsid w:val="009D2806"/>
    <w:rsid w:val="009D3DDB"/>
    <w:rsid w:val="009D48B1"/>
    <w:rsid w:val="009D55AF"/>
    <w:rsid w:val="009D565F"/>
    <w:rsid w:val="009D64B6"/>
    <w:rsid w:val="009D7CC2"/>
    <w:rsid w:val="009E1B22"/>
    <w:rsid w:val="009E2EE3"/>
    <w:rsid w:val="009E3300"/>
    <w:rsid w:val="009E37B2"/>
    <w:rsid w:val="009E4DED"/>
    <w:rsid w:val="009E4F02"/>
    <w:rsid w:val="009E5196"/>
    <w:rsid w:val="009E6480"/>
    <w:rsid w:val="009E6595"/>
    <w:rsid w:val="009E6B32"/>
    <w:rsid w:val="009F0261"/>
    <w:rsid w:val="009F07E4"/>
    <w:rsid w:val="009F09AB"/>
    <w:rsid w:val="009F19E3"/>
    <w:rsid w:val="009F29B2"/>
    <w:rsid w:val="009F3573"/>
    <w:rsid w:val="009F4120"/>
    <w:rsid w:val="009F4154"/>
    <w:rsid w:val="009F4D50"/>
    <w:rsid w:val="009F4ECB"/>
    <w:rsid w:val="009F5B18"/>
    <w:rsid w:val="009F65A4"/>
    <w:rsid w:val="009F6F0B"/>
    <w:rsid w:val="00A01995"/>
    <w:rsid w:val="00A01AD3"/>
    <w:rsid w:val="00A01D3A"/>
    <w:rsid w:val="00A0405B"/>
    <w:rsid w:val="00A04551"/>
    <w:rsid w:val="00A06273"/>
    <w:rsid w:val="00A06A5B"/>
    <w:rsid w:val="00A075CB"/>
    <w:rsid w:val="00A115E3"/>
    <w:rsid w:val="00A12482"/>
    <w:rsid w:val="00A12F97"/>
    <w:rsid w:val="00A132B1"/>
    <w:rsid w:val="00A13809"/>
    <w:rsid w:val="00A140FF"/>
    <w:rsid w:val="00A145C6"/>
    <w:rsid w:val="00A153AA"/>
    <w:rsid w:val="00A179AB"/>
    <w:rsid w:val="00A20927"/>
    <w:rsid w:val="00A21579"/>
    <w:rsid w:val="00A22501"/>
    <w:rsid w:val="00A233A2"/>
    <w:rsid w:val="00A242D5"/>
    <w:rsid w:val="00A2449B"/>
    <w:rsid w:val="00A24B55"/>
    <w:rsid w:val="00A24E30"/>
    <w:rsid w:val="00A256C5"/>
    <w:rsid w:val="00A270AC"/>
    <w:rsid w:val="00A27B95"/>
    <w:rsid w:val="00A27DBB"/>
    <w:rsid w:val="00A306CF"/>
    <w:rsid w:val="00A30B73"/>
    <w:rsid w:val="00A328A1"/>
    <w:rsid w:val="00A338B6"/>
    <w:rsid w:val="00A34C34"/>
    <w:rsid w:val="00A34E73"/>
    <w:rsid w:val="00A361F5"/>
    <w:rsid w:val="00A410B3"/>
    <w:rsid w:val="00A41346"/>
    <w:rsid w:val="00A426A4"/>
    <w:rsid w:val="00A4270A"/>
    <w:rsid w:val="00A4357E"/>
    <w:rsid w:val="00A43A95"/>
    <w:rsid w:val="00A43DD2"/>
    <w:rsid w:val="00A440D1"/>
    <w:rsid w:val="00A446BA"/>
    <w:rsid w:val="00A4491F"/>
    <w:rsid w:val="00A45E3D"/>
    <w:rsid w:val="00A47852"/>
    <w:rsid w:val="00A507AC"/>
    <w:rsid w:val="00A50A43"/>
    <w:rsid w:val="00A50E4D"/>
    <w:rsid w:val="00A528FF"/>
    <w:rsid w:val="00A53D62"/>
    <w:rsid w:val="00A53FB9"/>
    <w:rsid w:val="00A5409C"/>
    <w:rsid w:val="00A54E9A"/>
    <w:rsid w:val="00A5567E"/>
    <w:rsid w:val="00A56C7E"/>
    <w:rsid w:val="00A56D78"/>
    <w:rsid w:val="00A56FF4"/>
    <w:rsid w:val="00A575A6"/>
    <w:rsid w:val="00A60A4A"/>
    <w:rsid w:val="00A60F43"/>
    <w:rsid w:val="00A6279B"/>
    <w:rsid w:val="00A62EE5"/>
    <w:rsid w:val="00A63BDE"/>
    <w:rsid w:val="00A64AB9"/>
    <w:rsid w:val="00A64B6F"/>
    <w:rsid w:val="00A67F13"/>
    <w:rsid w:val="00A702CD"/>
    <w:rsid w:val="00A70818"/>
    <w:rsid w:val="00A710C4"/>
    <w:rsid w:val="00A71F74"/>
    <w:rsid w:val="00A720F0"/>
    <w:rsid w:val="00A721A5"/>
    <w:rsid w:val="00A7223B"/>
    <w:rsid w:val="00A7225B"/>
    <w:rsid w:val="00A7246A"/>
    <w:rsid w:val="00A72587"/>
    <w:rsid w:val="00A7431B"/>
    <w:rsid w:val="00A7442B"/>
    <w:rsid w:val="00A7485E"/>
    <w:rsid w:val="00A74E9D"/>
    <w:rsid w:val="00A75584"/>
    <w:rsid w:val="00A774C6"/>
    <w:rsid w:val="00A80FD3"/>
    <w:rsid w:val="00A81451"/>
    <w:rsid w:val="00A81D43"/>
    <w:rsid w:val="00A82723"/>
    <w:rsid w:val="00A829CD"/>
    <w:rsid w:val="00A84583"/>
    <w:rsid w:val="00A84E5D"/>
    <w:rsid w:val="00A86C6A"/>
    <w:rsid w:val="00A87D3D"/>
    <w:rsid w:val="00A90630"/>
    <w:rsid w:val="00A91492"/>
    <w:rsid w:val="00A9152D"/>
    <w:rsid w:val="00A91CF6"/>
    <w:rsid w:val="00A92F21"/>
    <w:rsid w:val="00A92FC7"/>
    <w:rsid w:val="00A93272"/>
    <w:rsid w:val="00A935BE"/>
    <w:rsid w:val="00A93FCA"/>
    <w:rsid w:val="00A947AC"/>
    <w:rsid w:val="00A951B4"/>
    <w:rsid w:val="00AA0AD2"/>
    <w:rsid w:val="00AA3311"/>
    <w:rsid w:val="00AA5103"/>
    <w:rsid w:val="00AA538F"/>
    <w:rsid w:val="00AA5C65"/>
    <w:rsid w:val="00AB0AD5"/>
    <w:rsid w:val="00AB10CD"/>
    <w:rsid w:val="00AB1383"/>
    <w:rsid w:val="00AB174D"/>
    <w:rsid w:val="00AB1E75"/>
    <w:rsid w:val="00AB2F0D"/>
    <w:rsid w:val="00AB4592"/>
    <w:rsid w:val="00AB459D"/>
    <w:rsid w:val="00AB59F0"/>
    <w:rsid w:val="00AB5E10"/>
    <w:rsid w:val="00AB6BE1"/>
    <w:rsid w:val="00AB6C43"/>
    <w:rsid w:val="00AC4B28"/>
    <w:rsid w:val="00AC545B"/>
    <w:rsid w:val="00AC5D5F"/>
    <w:rsid w:val="00AC5E86"/>
    <w:rsid w:val="00AC5F19"/>
    <w:rsid w:val="00AC6069"/>
    <w:rsid w:val="00AC6720"/>
    <w:rsid w:val="00AC6EA7"/>
    <w:rsid w:val="00AC6EC9"/>
    <w:rsid w:val="00AC7B7B"/>
    <w:rsid w:val="00AC7D2F"/>
    <w:rsid w:val="00AD017B"/>
    <w:rsid w:val="00AD2AA6"/>
    <w:rsid w:val="00AD2ABD"/>
    <w:rsid w:val="00AD2B2C"/>
    <w:rsid w:val="00AD4340"/>
    <w:rsid w:val="00AD4877"/>
    <w:rsid w:val="00AD67C5"/>
    <w:rsid w:val="00AD7A31"/>
    <w:rsid w:val="00AD7C65"/>
    <w:rsid w:val="00AD7CDC"/>
    <w:rsid w:val="00AE0A80"/>
    <w:rsid w:val="00AE22E3"/>
    <w:rsid w:val="00AE31B6"/>
    <w:rsid w:val="00AE3ECE"/>
    <w:rsid w:val="00AE433F"/>
    <w:rsid w:val="00AE44AD"/>
    <w:rsid w:val="00AE4981"/>
    <w:rsid w:val="00AE68E5"/>
    <w:rsid w:val="00AE7CEA"/>
    <w:rsid w:val="00AF26F2"/>
    <w:rsid w:val="00AF5FC3"/>
    <w:rsid w:val="00AF717E"/>
    <w:rsid w:val="00AF71E4"/>
    <w:rsid w:val="00B007BE"/>
    <w:rsid w:val="00B0163C"/>
    <w:rsid w:val="00B01C72"/>
    <w:rsid w:val="00B01DAA"/>
    <w:rsid w:val="00B02A6D"/>
    <w:rsid w:val="00B02D86"/>
    <w:rsid w:val="00B02D9A"/>
    <w:rsid w:val="00B031C4"/>
    <w:rsid w:val="00B05A8C"/>
    <w:rsid w:val="00B05C52"/>
    <w:rsid w:val="00B076EE"/>
    <w:rsid w:val="00B10B23"/>
    <w:rsid w:val="00B116A1"/>
    <w:rsid w:val="00B13BFA"/>
    <w:rsid w:val="00B14B55"/>
    <w:rsid w:val="00B1628B"/>
    <w:rsid w:val="00B164B6"/>
    <w:rsid w:val="00B200D2"/>
    <w:rsid w:val="00B205E0"/>
    <w:rsid w:val="00B220A5"/>
    <w:rsid w:val="00B22528"/>
    <w:rsid w:val="00B22B8F"/>
    <w:rsid w:val="00B236D6"/>
    <w:rsid w:val="00B2514C"/>
    <w:rsid w:val="00B25E39"/>
    <w:rsid w:val="00B2626F"/>
    <w:rsid w:val="00B27030"/>
    <w:rsid w:val="00B27B58"/>
    <w:rsid w:val="00B3102E"/>
    <w:rsid w:val="00B3312C"/>
    <w:rsid w:val="00B33697"/>
    <w:rsid w:val="00B34747"/>
    <w:rsid w:val="00B34E82"/>
    <w:rsid w:val="00B3575D"/>
    <w:rsid w:val="00B3647C"/>
    <w:rsid w:val="00B36803"/>
    <w:rsid w:val="00B37E38"/>
    <w:rsid w:val="00B4092A"/>
    <w:rsid w:val="00B411C3"/>
    <w:rsid w:val="00B424A8"/>
    <w:rsid w:val="00B42C37"/>
    <w:rsid w:val="00B43839"/>
    <w:rsid w:val="00B43844"/>
    <w:rsid w:val="00B44A5D"/>
    <w:rsid w:val="00B4516F"/>
    <w:rsid w:val="00B45293"/>
    <w:rsid w:val="00B4785B"/>
    <w:rsid w:val="00B478D9"/>
    <w:rsid w:val="00B47E50"/>
    <w:rsid w:val="00B47F37"/>
    <w:rsid w:val="00B515DE"/>
    <w:rsid w:val="00B52094"/>
    <w:rsid w:val="00B52152"/>
    <w:rsid w:val="00B53826"/>
    <w:rsid w:val="00B549B6"/>
    <w:rsid w:val="00B561D8"/>
    <w:rsid w:val="00B57448"/>
    <w:rsid w:val="00B63641"/>
    <w:rsid w:val="00B63F5F"/>
    <w:rsid w:val="00B6433D"/>
    <w:rsid w:val="00B66792"/>
    <w:rsid w:val="00B66A17"/>
    <w:rsid w:val="00B70BB9"/>
    <w:rsid w:val="00B71215"/>
    <w:rsid w:val="00B71929"/>
    <w:rsid w:val="00B729F9"/>
    <w:rsid w:val="00B72B15"/>
    <w:rsid w:val="00B72B28"/>
    <w:rsid w:val="00B73406"/>
    <w:rsid w:val="00B73B30"/>
    <w:rsid w:val="00B744D1"/>
    <w:rsid w:val="00B74DC1"/>
    <w:rsid w:val="00B75163"/>
    <w:rsid w:val="00B76520"/>
    <w:rsid w:val="00B767E6"/>
    <w:rsid w:val="00B7716E"/>
    <w:rsid w:val="00B77781"/>
    <w:rsid w:val="00B77809"/>
    <w:rsid w:val="00B77C89"/>
    <w:rsid w:val="00B80591"/>
    <w:rsid w:val="00B8094B"/>
    <w:rsid w:val="00B8125C"/>
    <w:rsid w:val="00B829EB"/>
    <w:rsid w:val="00B82D4F"/>
    <w:rsid w:val="00B83998"/>
    <w:rsid w:val="00B83F17"/>
    <w:rsid w:val="00B844EA"/>
    <w:rsid w:val="00B84E8C"/>
    <w:rsid w:val="00B85CA8"/>
    <w:rsid w:val="00B8647D"/>
    <w:rsid w:val="00B8684D"/>
    <w:rsid w:val="00B87115"/>
    <w:rsid w:val="00B9092B"/>
    <w:rsid w:val="00B90D3F"/>
    <w:rsid w:val="00B91020"/>
    <w:rsid w:val="00B91416"/>
    <w:rsid w:val="00B91B5B"/>
    <w:rsid w:val="00B92196"/>
    <w:rsid w:val="00B923AB"/>
    <w:rsid w:val="00B9278E"/>
    <w:rsid w:val="00B92B1F"/>
    <w:rsid w:val="00B92CDD"/>
    <w:rsid w:val="00B93852"/>
    <w:rsid w:val="00B94503"/>
    <w:rsid w:val="00B950B0"/>
    <w:rsid w:val="00B951FB"/>
    <w:rsid w:val="00B956FA"/>
    <w:rsid w:val="00B96D38"/>
    <w:rsid w:val="00BA04F8"/>
    <w:rsid w:val="00BA0777"/>
    <w:rsid w:val="00BA2431"/>
    <w:rsid w:val="00BA2BBD"/>
    <w:rsid w:val="00BA3503"/>
    <w:rsid w:val="00BA44F9"/>
    <w:rsid w:val="00BA4EFF"/>
    <w:rsid w:val="00BA513E"/>
    <w:rsid w:val="00BA548E"/>
    <w:rsid w:val="00BA56D0"/>
    <w:rsid w:val="00BA651E"/>
    <w:rsid w:val="00BA69ED"/>
    <w:rsid w:val="00BA6B19"/>
    <w:rsid w:val="00BA7369"/>
    <w:rsid w:val="00BA7767"/>
    <w:rsid w:val="00BA7B67"/>
    <w:rsid w:val="00BB1701"/>
    <w:rsid w:val="00BB3431"/>
    <w:rsid w:val="00BB37BB"/>
    <w:rsid w:val="00BB4314"/>
    <w:rsid w:val="00BB522C"/>
    <w:rsid w:val="00BB61B8"/>
    <w:rsid w:val="00BB6F45"/>
    <w:rsid w:val="00BB7420"/>
    <w:rsid w:val="00BB79CD"/>
    <w:rsid w:val="00BC1C64"/>
    <w:rsid w:val="00BC366F"/>
    <w:rsid w:val="00BC37C5"/>
    <w:rsid w:val="00BC481F"/>
    <w:rsid w:val="00BC4BF0"/>
    <w:rsid w:val="00BC512E"/>
    <w:rsid w:val="00BC5772"/>
    <w:rsid w:val="00BC6667"/>
    <w:rsid w:val="00BC67D3"/>
    <w:rsid w:val="00BC6886"/>
    <w:rsid w:val="00BD00F6"/>
    <w:rsid w:val="00BD087A"/>
    <w:rsid w:val="00BD131D"/>
    <w:rsid w:val="00BD2E1A"/>
    <w:rsid w:val="00BD39BB"/>
    <w:rsid w:val="00BD3A08"/>
    <w:rsid w:val="00BD3F3F"/>
    <w:rsid w:val="00BD4043"/>
    <w:rsid w:val="00BD5E06"/>
    <w:rsid w:val="00BD6ACD"/>
    <w:rsid w:val="00BE1123"/>
    <w:rsid w:val="00BE1206"/>
    <w:rsid w:val="00BE38CA"/>
    <w:rsid w:val="00BE3E68"/>
    <w:rsid w:val="00BE5309"/>
    <w:rsid w:val="00BE6ECD"/>
    <w:rsid w:val="00BE78F0"/>
    <w:rsid w:val="00BE7FEE"/>
    <w:rsid w:val="00BF1BA6"/>
    <w:rsid w:val="00BF28D2"/>
    <w:rsid w:val="00BF2D09"/>
    <w:rsid w:val="00BF303D"/>
    <w:rsid w:val="00BF39BC"/>
    <w:rsid w:val="00BF444F"/>
    <w:rsid w:val="00BF48A9"/>
    <w:rsid w:val="00BF4AE1"/>
    <w:rsid w:val="00BF5433"/>
    <w:rsid w:val="00BF5610"/>
    <w:rsid w:val="00BF575E"/>
    <w:rsid w:val="00BF6389"/>
    <w:rsid w:val="00BF65BC"/>
    <w:rsid w:val="00BF7E3E"/>
    <w:rsid w:val="00BF7F52"/>
    <w:rsid w:val="00C002EB"/>
    <w:rsid w:val="00C009FB"/>
    <w:rsid w:val="00C00B3D"/>
    <w:rsid w:val="00C00E63"/>
    <w:rsid w:val="00C013A9"/>
    <w:rsid w:val="00C01D6F"/>
    <w:rsid w:val="00C01EB7"/>
    <w:rsid w:val="00C02024"/>
    <w:rsid w:val="00C03191"/>
    <w:rsid w:val="00C05518"/>
    <w:rsid w:val="00C057F0"/>
    <w:rsid w:val="00C07093"/>
    <w:rsid w:val="00C071C7"/>
    <w:rsid w:val="00C11DDC"/>
    <w:rsid w:val="00C143BB"/>
    <w:rsid w:val="00C14E17"/>
    <w:rsid w:val="00C16844"/>
    <w:rsid w:val="00C17934"/>
    <w:rsid w:val="00C17E53"/>
    <w:rsid w:val="00C219FC"/>
    <w:rsid w:val="00C21C41"/>
    <w:rsid w:val="00C22805"/>
    <w:rsid w:val="00C24837"/>
    <w:rsid w:val="00C25ADC"/>
    <w:rsid w:val="00C26FCD"/>
    <w:rsid w:val="00C27349"/>
    <w:rsid w:val="00C27547"/>
    <w:rsid w:val="00C31A00"/>
    <w:rsid w:val="00C31FAF"/>
    <w:rsid w:val="00C336FD"/>
    <w:rsid w:val="00C35672"/>
    <w:rsid w:val="00C35C40"/>
    <w:rsid w:val="00C364FE"/>
    <w:rsid w:val="00C37E41"/>
    <w:rsid w:val="00C41922"/>
    <w:rsid w:val="00C41B9C"/>
    <w:rsid w:val="00C422BA"/>
    <w:rsid w:val="00C42E82"/>
    <w:rsid w:val="00C438CE"/>
    <w:rsid w:val="00C443D3"/>
    <w:rsid w:val="00C444C7"/>
    <w:rsid w:val="00C4456A"/>
    <w:rsid w:val="00C45703"/>
    <w:rsid w:val="00C46903"/>
    <w:rsid w:val="00C46BD7"/>
    <w:rsid w:val="00C50534"/>
    <w:rsid w:val="00C50897"/>
    <w:rsid w:val="00C50D80"/>
    <w:rsid w:val="00C51E61"/>
    <w:rsid w:val="00C52764"/>
    <w:rsid w:val="00C54B81"/>
    <w:rsid w:val="00C57285"/>
    <w:rsid w:val="00C57381"/>
    <w:rsid w:val="00C577F8"/>
    <w:rsid w:val="00C6093B"/>
    <w:rsid w:val="00C60B73"/>
    <w:rsid w:val="00C61C5C"/>
    <w:rsid w:val="00C62882"/>
    <w:rsid w:val="00C62912"/>
    <w:rsid w:val="00C6353E"/>
    <w:rsid w:val="00C63FEC"/>
    <w:rsid w:val="00C64151"/>
    <w:rsid w:val="00C65572"/>
    <w:rsid w:val="00C665A0"/>
    <w:rsid w:val="00C676F7"/>
    <w:rsid w:val="00C701A4"/>
    <w:rsid w:val="00C702B3"/>
    <w:rsid w:val="00C70AA9"/>
    <w:rsid w:val="00C70F64"/>
    <w:rsid w:val="00C75AD9"/>
    <w:rsid w:val="00C75D48"/>
    <w:rsid w:val="00C75D50"/>
    <w:rsid w:val="00C76296"/>
    <w:rsid w:val="00C764A1"/>
    <w:rsid w:val="00C779BF"/>
    <w:rsid w:val="00C779E9"/>
    <w:rsid w:val="00C77FD8"/>
    <w:rsid w:val="00C80D0B"/>
    <w:rsid w:val="00C81168"/>
    <w:rsid w:val="00C81E86"/>
    <w:rsid w:val="00C82128"/>
    <w:rsid w:val="00C82475"/>
    <w:rsid w:val="00C837CB"/>
    <w:rsid w:val="00C85801"/>
    <w:rsid w:val="00C873AE"/>
    <w:rsid w:val="00C901F2"/>
    <w:rsid w:val="00C904A0"/>
    <w:rsid w:val="00C90AF8"/>
    <w:rsid w:val="00C91360"/>
    <w:rsid w:val="00C92242"/>
    <w:rsid w:val="00C93A2D"/>
    <w:rsid w:val="00C94C0B"/>
    <w:rsid w:val="00CA0076"/>
    <w:rsid w:val="00CA1477"/>
    <w:rsid w:val="00CA1EE3"/>
    <w:rsid w:val="00CA26E8"/>
    <w:rsid w:val="00CA375D"/>
    <w:rsid w:val="00CA66D6"/>
    <w:rsid w:val="00CB0605"/>
    <w:rsid w:val="00CB1B5E"/>
    <w:rsid w:val="00CB1F0A"/>
    <w:rsid w:val="00CB22D1"/>
    <w:rsid w:val="00CB32BF"/>
    <w:rsid w:val="00CB3D91"/>
    <w:rsid w:val="00CB4634"/>
    <w:rsid w:val="00CB537E"/>
    <w:rsid w:val="00CB5611"/>
    <w:rsid w:val="00CC01BD"/>
    <w:rsid w:val="00CC0DF9"/>
    <w:rsid w:val="00CC214F"/>
    <w:rsid w:val="00CC346E"/>
    <w:rsid w:val="00CC3559"/>
    <w:rsid w:val="00CC38B6"/>
    <w:rsid w:val="00CC3E5A"/>
    <w:rsid w:val="00CC6413"/>
    <w:rsid w:val="00CC642B"/>
    <w:rsid w:val="00CC67A0"/>
    <w:rsid w:val="00CC6C2B"/>
    <w:rsid w:val="00CC7530"/>
    <w:rsid w:val="00CC754A"/>
    <w:rsid w:val="00CD04F1"/>
    <w:rsid w:val="00CD2599"/>
    <w:rsid w:val="00CD2A3D"/>
    <w:rsid w:val="00CD30F4"/>
    <w:rsid w:val="00CD4270"/>
    <w:rsid w:val="00CD47BD"/>
    <w:rsid w:val="00CD530B"/>
    <w:rsid w:val="00CD708E"/>
    <w:rsid w:val="00CD7A13"/>
    <w:rsid w:val="00CE12DD"/>
    <w:rsid w:val="00CE1DB0"/>
    <w:rsid w:val="00CE2D59"/>
    <w:rsid w:val="00CE2F59"/>
    <w:rsid w:val="00CE3542"/>
    <w:rsid w:val="00CE367A"/>
    <w:rsid w:val="00CE3688"/>
    <w:rsid w:val="00CE6709"/>
    <w:rsid w:val="00CE6C94"/>
    <w:rsid w:val="00CE72A1"/>
    <w:rsid w:val="00CF0746"/>
    <w:rsid w:val="00CF088C"/>
    <w:rsid w:val="00CF1EC3"/>
    <w:rsid w:val="00CF1EDE"/>
    <w:rsid w:val="00CF239F"/>
    <w:rsid w:val="00CF3630"/>
    <w:rsid w:val="00CF4D7A"/>
    <w:rsid w:val="00CF6A2E"/>
    <w:rsid w:val="00D01955"/>
    <w:rsid w:val="00D020DE"/>
    <w:rsid w:val="00D02404"/>
    <w:rsid w:val="00D025F8"/>
    <w:rsid w:val="00D03D16"/>
    <w:rsid w:val="00D05A9C"/>
    <w:rsid w:val="00D05E59"/>
    <w:rsid w:val="00D06059"/>
    <w:rsid w:val="00D074DA"/>
    <w:rsid w:val="00D07B3E"/>
    <w:rsid w:val="00D101E8"/>
    <w:rsid w:val="00D114D7"/>
    <w:rsid w:val="00D124F9"/>
    <w:rsid w:val="00D12893"/>
    <w:rsid w:val="00D12FE0"/>
    <w:rsid w:val="00D17356"/>
    <w:rsid w:val="00D17477"/>
    <w:rsid w:val="00D17631"/>
    <w:rsid w:val="00D17F5C"/>
    <w:rsid w:val="00D2062C"/>
    <w:rsid w:val="00D20BB5"/>
    <w:rsid w:val="00D20EA1"/>
    <w:rsid w:val="00D21AD0"/>
    <w:rsid w:val="00D22559"/>
    <w:rsid w:val="00D22E9E"/>
    <w:rsid w:val="00D22EC2"/>
    <w:rsid w:val="00D22F13"/>
    <w:rsid w:val="00D2334F"/>
    <w:rsid w:val="00D242D0"/>
    <w:rsid w:val="00D25041"/>
    <w:rsid w:val="00D25D42"/>
    <w:rsid w:val="00D27025"/>
    <w:rsid w:val="00D2774B"/>
    <w:rsid w:val="00D30303"/>
    <w:rsid w:val="00D30C8C"/>
    <w:rsid w:val="00D3168C"/>
    <w:rsid w:val="00D31D28"/>
    <w:rsid w:val="00D328BF"/>
    <w:rsid w:val="00D33630"/>
    <w:rsid w:val="00D338E2"/>
    <w:rsid w:val="00D34D5C"/>
    <w:rsid w:val="00D36F75"/>
    <w:rsid w:val="00D373F4"/>
    <w:rsid w:val="00D37791"/>
    <w:rsid w:val="00D377B5"/>
    <w:rsid w:val="00D400CF"/>
    <w:rsid w:val="00D4021F"/>
    <w:rsid w:val="00D420A7"/>
    <w:rsid w:val="00D4226D"/>
    <w:rsid w:val="00D42F09"/>
    <w:rsid w:val="00D462CF"/>
    <w:rsid w:val="00D4658D"/>
    <w:rsid w:val="00D466B4"/>
    <w:rsid w:val="00D469F5"/>
    <w:rsid w:val="00D470DF"/>
    <w:rsid w:val="00D477C6"/>
    <w:rsid w:val="00D504FC"/>
    <w:rsid w:val="00D51F13"/>
    <w:rsid w:val="00D53153"/>
    <w:rsid w:val="00D53878"/>
    <w:rsid w:val="00D54698"/>
    <w:rsid w:val="00D54E59"/>
    <w:rsid w:val="00D55016"/>
    <w:rsid w:val="00D553D0"/>
    <w:rsid w:val="00D56C16"/>
    <w:rsid w:val="00D57330"/>
    <w:rsid w:val="00D57415"/>
    <w:rsid w:val="00D60044"/>
    <w:rsid w:val="00D60D1D"/>
    <w:rsid w:val="00D63032"/>
    <w:rsid w:val="00D6353F"/>
    <w:rsid w:val="00D647EB"/>
    <w:rsid w:val="00D665C5"/>
    <w:rsid w:val="00D67B13"/>
    <w:rsid w:val="00D67C92"/>
    <w:rsid w:val="00D67CD7"/>
    <w:rsid w:val="00D67CE1"/>
    <w:rsid w:val="00D70263"/>
    <w:rsid w:val="00D7060C"/>
    <w:rsid w:val="00D72255"/>
    <w:rsid w:val="00D7312E"/>
    <w:rsid w:val="00D73175"/>
    <w:rsid w:val="00D733D8"/>
    <w:rsid w:val="00D7437D"/>
    <w:rsid w:val="00D7465B"/>
    <w:rsid w:val="00D74A55"/>
    <w:rsid w:val="00D804FB"/>
    <w:rsid w:val="00D822AE"/>
    <w:rsid w:val="00D8265C"/>
    <w:rsid w:val="00D82D20"/>
    <w:rsid w:val="00D84E70"/>
    <w:rsid w:val="00D86437"/>
    <w:rsid w:val="00D86B95"/>
    <w:rsid w:val="00D9102F"/>
    <w:rsid w:val="00D91431"/>
    <w:rsid w:val="00D91CDB"/>
    <w:rsid w:val="00D91E77"/>
    <w:rsid w:val="00D92B1E"/>
    <w:rsid w:val="00D93104"/>
    <w:rsid w:val="00D94442"/>
    <w:rsid w:val="00D949DB"/>
    <w:rsid w:val="00D94BBB"/>
    <w:rsid w:val="00D95503"/>
    <w:rsid w:val="00D96493"/>
    <w:rsid w:val="00D9671E"/>
    <w:rsid w:val="00DA020D"/>
    <w:rsid w:val="00DA04E9"/>
    <w:rsid w:val="00DA06F6"/>
    <w:rsid w:val="00DA1009"/>
    <w:rsid w:val="00DA2083"/>
    <w:rsid w:val="00DA2817"/>
    <w:rsid w:val="00DA365A"/>
    <w:rsid w:val="00DA4DA3"/>
    <w:rsid w:val="00DA6811"/>
    <w:rsid w:val="00DB00B8"/>
    <w:rsid w:val="00DB01CC"/>
    <w:rsid w:val="00DB06CD"/>
    <w:rsid w:val="00DB3785"/>
    <w:rsid w:val="00DB3EAD"/>
    <w:rsid w:val="00DB442E"/>
    <w:rsid w:val="00DB4463"/>
    <w:rsid w:val="00DB5367"/>
    <w:rsid w:val="00DB6116"/>
    <w:rsid w:val="00DB659F"/>
    <w:rsid w:val="00DB6EF1"/>
    <w:rsid w:val="00DB7577"/>
    <w:rsid w:val="00DB76B1"/>
    <w:rsid w:val="00DB7F7F"/>
    <w:rsid w:val="00DB7F92"/>
    <w:rsid w:val="00DC21B8"/>
    <w:rsid w:val="00DC2726"/>
    <w:rsid w:val="00DC27D8"/>
    <w:rsid w:val="00DC34BF"/>
    <w:rsid w:val="00DC3DCF"/>
    <w:rsid w:val="00DC3E62"/>
    <w:rsid w:val="00DC5EB4"/>
    <w:rsid w:val="00DC7145"/>
    <w:rsid w:val="00DC74A6"/>
    <w:rsid w:val="00DD19C5"/>
    <w:rsid w:val="00DD21F4"/>
    <w:rsid w:val="00DD25C3"/>
    <w:rsid w:val="00DD2889"/>
    <w:rsid w:val="00DD28DC"/>
    <w:rsid w:val="00DD2E5B"/>
    <w:rsid w:val="00DD383E"/>
    <w:rsid w:val="00DD6529"/>
    <w:rsid w:val="00DD66F4"/>
    <w:rsid w:val="00DD791A"/>
    <w:rsid w:val="00DD7EEE"/>
    <w:rsid w:val="00DD7F15"/>
    <w:rsid w:val="00DE0681"/>
    <w:rsid w:val="00DE2DD1"/>
    <w:rsid w:val="00DE2EBD"/>
    <w:rsid w:val="00DE34EC"/>
    <w:rsid w:val="00DE410B"/>
    <w:rsid w:val="00DE4ECE"/>
    <w:rsid w:val="00DE5BF1"/>
    <w:rsid w:val="00DF12EB"/>
    <w:rsid w:val="00DF12F8"/>
    <w:rsid w:val="00DF19B8"/>
    <w:rsid w:val="00DF228C"/>
    <w:rsid w:val="00DF2944"/>
    <w:rsid w:val="00DF2EC7"/>
    <w:rsid w:val="00DF33E4"/>
    <w:rsid w:val="00DF42DD"/>
    <w:rsid w:val="00DF43D4"/>
    <w:rsid w:val="00DF5D3E"/>
    <w:rsid w:val="00DF6995"/>
    <w:rsid w:val="00E00276"/>
    <w:rsid w:val="00E00708"/>
    <w:rsid w:val="00E0334D"/>
    <w:rsid w:val="00E0502A"/>
    <w:rsid w:val="00E0503D"/>
    <w:rsid w:val="00E050AE"/>
    <w:rsid w:val="00E05172"/>
    <w:rsid w:val="00E059F2"/>
    <w:rsid w:val="00E074B0"/>
    <w:rsid w:val="00E07514"/>
    <w:rsid w:val="00E0774E"/>
    <w:rsid w:val="00E1091C"/>
    <w:rsid w:val="00E12ED9"/>
    <w:rsid w:val="00E14B1A"/>
    <w:rsid w:val="00E174A3"/>
    <w:rsid w:val="00E17572"/>
    <w:rsid w:val="00E22077"/>
    <w:rsid w:val="00E226C7"/>
    <w:rsid w:val="00E23387"/>
    <w:rsid w:val="00E23651"/>
    <w:rsid w:val="00E2428F"/>
    <w:rsid w:val="00E248B9"/>
    <w:rsid w:val="00E24C41"/>
    <w:rsid w:val="00E2504A"/>
    <w:rsid w:val="00E25481"/>
    <w:rsid w:val="00E25D91"/>
    <w:rsid w:val="00E27C8A"/>
    <w:rsid w:val="00E30B2B"/>
    <w:rsid w:val="00E30E09"/>
    <w:rsid w:val="00E30FCE"/>
    <w:rsid w:val="00E31827"/>
    <w:rsid w:val="00E32957"/>
    <w:rsid w:val="00E33A66"/>
    <w:rsid w:val="00E344B1"/>
    <w:rsid w:val="00E34700"/>
    <w:rsid w:val="00E34EEB"/>
    <w:rsid w:val="00E357F7"/>
    <w:rsid w:val="00E378C6"/>
    <w:rsid w:val="00E408CF"/>
    <w:rsid w:val="00E427E8"/>
    <w:rsid w:val="00E4283C"/>
    <w:rsid w:val="00E43374"/>
    <w:rsid w:val="00E43D39"/>
    <w:rsid w:val="00E4557A"/>
    <w:rsid w:val="00E4616C"/>
    <w:rsid w:val="00E4696D"/>
    <w:rsid w:val="00E46B17"/>
    <w:rsid w:val="00E46C72"/>
    <w:rsid w:val="00E471A3"/>
    <w:rsid w:val="00E47272"/>
    <w:rsid w:val="00E53785"/>
    <w:rsid w:val="00E547D8"/>
    <w:rsid w:val="00E55B14"/>
    <w:rsid w:val="00E57DC2"/>
    <w:rsid w:val="00E57F39"/>
    <w:rsid w:val="00E57F59"/>
    <w:rsid w:val="00E6115B"/>
    <w:rsid w:val="00E6194B"/>
    <w:rsid w:val="00E61EEE"/>
    <w:rsid w:val="00E6457B"/>
    <w:rsid w:val="00E70749"/>
    <w:rsid w:val="00E71AB2"/>
    <w:rsid w:val="00E71D0C"/>
    <w:rsid w:val="00E71FED"/>
    <w:rsid w:val="00E7366D"/>
    <w:rsid w:val="00E73C80"/>
    <w:rsid w:val="00E7483F"/>
    <w:rsid w:val="00E74915"/>
    <w:rsid w:val="00E754D6"/>
    <w:rsid w:val="00E755D9"/>
    <w:rsid w:val="00E759A6"/>
    <w:rsid w:val="00E76F6A"/>
    <w:rsid w:val="00E7710F"/>
    <w:rsid w:val="00E77E1B"/>
    <w:rsid w:val="00E82954"/>
    <w:rsid w:val="00E83665"/>
    <w:rsid w:val="00E83FCB"/>
    <w:rsid w:val="00E87D4E"/>
    <w:rsid w:val="00E90E7A"/>
    <w:rsid w:val="00E933D0"/>
    <w:rsid w:val="00E93E44"/>
    <w:rsid w:val="00E94052"/>
    <w:rsid w:val="00E940D8"/>
    <w:rsid w:val="00E94F84"/>
    <w:rsid w:val="00E95976"/>
    <w:rsid w:val="00E9610D"/>
    <w:rsid w:val="00E9683E"/>
    <w:rsid w:val="00E97298"/>
    <w:rsid w:val="00E976F8"/>
    <w:rsid w:val="00EA06D2"/>
    <w:rsid w:val="00EA2AF9"/>
    <w:rsid w:val="00EA2E4B"/>
    <w:rsid w:val="00EA4395"/>
    <w:rsid w:val="00EA45BA"/>
    <w:rsid w:val="00EA575F"/>
    <w:rsid w:val="00EA68F9"/>
    <w:rsid w:val="00EA6941"/>
    <w:rsid w:val="00EA759F"/>
    <w:rsid w:val="00EA7854"/>
    <w:rsid w:val="00EA7A4A"/>
    <w:rsid w:val="00EB2944"/>
    <w:rsid w:val="00EB3712"/>
    <w:rsid w:val="00EB38CC"/>
    <w:rsid w:val="00EB3989"/>
    <w:rsid w:val="00EB3C9B"/>
    <w:rsid w:val="00EB40CB"/>
    <w:rsid w:val="00EB491D"/>
    <w:rsid w:val="00EB4EF6"/>
    <w:rsid w:val="00EB52A5"/>
    <w:rsid w:val="00EB5784"/>
    <w:rsid w:val="00EB63E7"/>
    <w:rsid w:val="00EB6BE1"/>
    <w:rsid w:val="00EB794A"/>
    <w:rsid w:val="00EB7B63"/>
    <w:rsid w:val="00EC01EC"/>
    <w:rsid w:val="00EC0A72"/>
    <w:rsid w:val="00EC1372"/>
    <w:rsid w:val="00EC22BA"/>
    <w:rsid w:val="00EC2DAD"/>
    <w:rsid w:val="00EC3DDB"/>
    <w:rsid w:val="00EC3E8F"/>
    <w:rsid w:val="00EC4513"/>
    <w:rsid w:val="00EC47BF"/>
    <w:rsid w:val="00EC4886"/>
    <w:rsid w:val="00EC49C1"/>
    <w:rsid w:val="00EC693D"/>
    <w:rsid w:val="00EC6BDF"/>
    <w:rsid w:val="00EC6DFE"/>
    <w:rsid w:val="00EC70CD"/>
    <w:rsid w:val="00EC764F"/>
    <w:rsid w:val="00ED0C1A"/>
    <w:rsid w:val="00ED0D58"/>
    <w:rsid w:val="00ED11AE"/>
    <w:rsid w:val="00ED1640"/>
    <w:rsid w:val="00ED21FC"/>
    <w:rsid w:val="00ED46D4"/>
    <w:rsid w:val="00ED62AE"/>
    <w:rsid w:val="00ED72FC"/>
    <w:rsid w:val="00EE00D4"/>
    <w:rsid w:val="00EE0B43"/>
    <w:rsid w:val="00EE0D38"/>
    <w:rsid w:val="00EE1729"/>
    <w:rsid w:val="00EE2803"/>
    <w:rsid w:val="00EE2A96"/>
    <w:rsid w:val="00EE3C20"/>
    <w:rsid w:val="00EE76D5"/>
    <w:rsid w:val="00EE78D6"/>
    <w:rsid w:val="00EF0BC0"/>
    <w:rsid w:val="00EF1471"/>
    <w:rsid w:val="00EF74A9"/>
    <w:rsid w:val="00EF74B3"/>
    <w:rsid w:val="00EF76A0"/>
    <w:rsid w:val="00F001D6"/>
    <w:rsid w:val="00F00981"/>
    <w:rsid w:val="00F010AA"/>
    <w:rsid w:val="00F02BA2"/>
    <w:rsid w:val="00F03430"/>
    <w:rsid w:val="00F036DB"/>
    <w:rsid w:val="00F03A23"/>
    <w:rsid w:val="00F03E58"/>
    <w:rsid w:val="00F046C3"/>
    <w:rsid w:val="00F04AE7"/>
    <w:rsid w:val="00F05596"/>
    <w:rsid w:val="00F07DA5"/>
    <w:rsid w:val="00F105EB"/>
    <w:rsid w:val="00F1114B"/>
    <w:rsid w:val="00F1215D"/>
    <w:rsid w:val="00F13094"/>
    <w:rsid w:val="00F135A0"/>
    <w:rsid w:val="00F13EBD"/>
    <w:rsid w:val="00F142C1"/>
    <w:rsid w:val="00F14B3C"/>
    <w:rsid w:val="00F15A22"/>
    <w:rsid w:val="00F15FF9"/>
    <w:rsid w:val="00F166EA"/>
    <w:rsid w:val="00F1700E"/>
    <w:rsid w:val="00F172DE"/>
    <w:rsid w:val="00F17DBB"/>
    <w:rsid w:val="00F20A52"/>
    <w:rsid w:val="00F21215"/>
    <w:rsid w:val="00F2209E"/>
    <w:rsid w:val="00F24AC5"/>
    <w:rsid w:val="00F2528F"/>
    <w:rsid w:val="00F25630"/>
    <w:rsid w:val="00F257DE"/>
    <w:rsid w:val="00F2601B"/>
    <w:rsid w:val="00F2776F"/>
    <w:rsid w:val="00F360D7"/>
    <w:rsid w:val="00F36FA9"/>
    <w:rsid w:val="00F40346"/>
    <w:rsid w:val="00F41156"/>
    <w:rsid w:val="00F427B4"/>
    <w:rsid w:val="00F42B45"/>
    <w:rsid w:val="00F432D5"/>
    <w:rsid w:val="00F43746"/>
    <w:rsid w:val="00F447B5"/>
    <w:rsid w:val="00F44AA2"/>
    <w:rsid w:val="00F458FC"/>
    <w:rsid w:val="00F45FB6"/>
    <w:rsid w:val="00F46B27"/>
    <w:rsid w:val="00F521FC"/>
    <w:rsid w:val="00F52AEC"/>
    <w:rsid w:val="00F52C18"/>
    <w:rsid w:val="00F53CFB"/>
    <w:rsid w:val="00F540B7"/>
    <w:rsid w:val="00F54777"/>
    <w:rsid w:val="00F56A9E"/>
    <w:rsid w:val="00F56E72"/>
    <w:rsid w:val="00F60247"/>
    <w:rsid w:val="00F607C4"/>
    <w:rsid w:val="00F60D9F"/>
    <w:rsid w:val="00F613B8"/>
    <w:rsid w:val="00F61C2B"/>
    <w:rsid w:val="00F62601"/>
    <w:rsid w:val="00F641C0"/>
    <w:rsid w:val="00F64218"/>
    <w:rsid w:val="00F64807"/>
    <w:rsid w:val="00F64CBD"/>
    <w:rsid w:val="00F65C9B"/>
    <w:rsid w:val="00F660FA"/>
    <w:rsid w:val="00F6625D"/>
    <w:rsid w:val="00F66491"/>
    <w:rsid w:val="00F66549"/>
    <w:rsid w:val="00F66F00"/>
    <w:rsid w:val="00F672B8"/>
    <w:rsid w:val="00F6792B"/>
    <w:rsid w:val="00F70132"/>
    <w:rsid w:val="00F7229D"/>
    <w:rsid w:val="00F73925"/>
    <w:rsid w:val="00F742B7"/>
    <w:rsid w:val="00F74DEA"/>
    <w:rsid w:val="00F75B4E"/>
    <w:rsid w:val="00F76B18"/>
    <w:rsid w:val="00F770EE"/>
    <w:rsid w:val="00F775B8"/>
    <w:rsid w:val="00F776EA"/>
    <w:rsid w:val="00F77B08"/>
    <w:rsid w:val="00F77B1D"/>
    <w:rsid w:val="00F77BF3"/>
    <w:rsid w:val="00F805D9"/>
    <w:rsid w:val="00F83938"/>
    <w:rsid w:val="00F83BBB"/>
    <w:rsid w:val="00F84272"/>
    <w:rsid w:val="00F8670D"/>
    <w:rsid w:val="00F86B6F"/>
    <w:rsid w:val="00F86D02"/>
    <w:rsid w:val="00F9062A"/>
    <w:rsid w:val="00F91D47"/>
    <w:rsid w:val="00F922E1"/>
    <w:rsid w:val="00F92ADF"/>
    <w:rsid w:val="00F93D06"/>
    <w:rsid w:val="00F948EA"/>
    <w:rsid w:val="00F94E61"/>
    <w:rsid w:val="00F95250"/>
    <w:rsid w:val="00F96F7C"/>
    <w:rsid w:val="00F97C1A"/>
    <w:rsid w:val="00FA01B6"/>
    <w:rsid w:val="00FA1DBD"/>
    <w:rsid w:val="00FA21C8"/>
    <w:rsid w:val="00FA2C5A"/>
    <w:rsid w:val="00FA4A1B"/>
    <w:rsid w:val="00FA4F44"/>
    <w:rsid w:val="00FA6447"/>
    <w:rsid w:val="00FB171A"/>
    <w:rsid w:val="00FB3089"/>
    <w:rsid w:val="00FB32AA"/>
    <w:rsid w:val="00FB431D"/>
    <w:rsid w:val="00FB4499"/>
    <w:rsid w:val="00FB48F0"/>
    <w:rsid w:val="00FB5EE2"/>
    <w:rsid w:val="00FB65E4"/>
    <w:rsid w:val="00FB6F2E"/>
    <w:rsid w:val="00FB76BA"/>
    <w:rsid w:val="00FC14AB"/>
    <w:rsid w:val="00FC1663"/>
    <w:rsid w:val="00FC2809"/>
    <w:rsid w:val="00FC2E6A"/>
    <w:rsid w:val="00FC40B7"/>
    <w:rsid w:val="00FC47FF"/>
    <w:rsid w:val="00FC4C60"/>
    <w:rsid w:val="00FC68FC"/>
    <w:rsid w:val="00FD0B99"/>
    <w:rsid w:val="00FD0ECF"/>
    <w:rsid w:val="00FD1E62"/>
    <w:rsid w:val="00FD2513"/>
    <w:rsid w:val="00FD2557"/>
    <w:rsid w:val="00FD276A"/>
    <w:rsid w:val="00FD2D8C"/>
    <w:rsid w:val="00FD358E"/>
    <w:rsid w:val="00FD4162"/>
    <w:rsid w:val="00FD4CE3"/>
    <w:rsid w:val="00FD4E1B"/>
    <w:rsid w:val="00FD6B9D"/>
    <w:rsid w:val="00FD7272"/>
    <w:rsid w:val="00FE0676"/>
    <w:rsid w:val="00FE2142"/>
    <w:rsid w:val="00FE3953"/>
    <w:rsid w:val="00FE5A8E"/>
    <w:rsid w:val="00FE6122"/>
    <w:rsid w:val="00FE62F2"/>
    <w:rsid w:val="00FE6A08"/>
    <w:rsid w:val="00FE6F85"/>
    <w:rsid w:val="00FE757A"/>
    <w:rsid w:val="00FE7774"/>
    <w:rsid w:val="00FF0CC0"/>
    <w:rsid w:val="00FF1EF5"/>
    <w:rsid w:val="00FF28AB"/>
    <w:rsid w:val="00FF44F3"/>
    <w:rsid w:val="00FF5367"/>
    <w:rsid w:val="00FF5BFB"/>
    <w:rsid w:val="00FF6C9D"/>
    <w:rsid w:val="00FF759A"/>
    <w:rsid w:val="00FF7A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6B09B7"/>
  <w15:docId w15:val="{E4C5F0A2-963D-4D78-9939-E033DCF1B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10A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10AA"/>
    <w:pPr>
      <w:ind w:left="720"/>
      <w:contextualSpacing/>
    </w:pPr>
  </w:style>
  <w:style w:type="paragraph" w:customStyle="1" w:styleId="Sinespaciado">
    <w:name w:val="Sin espaciado"/>
    <w:qFormat/>
    <w:rsid w:val="00F010AA"/>
    <w:rPr>
      <w:rFonts w:ascii="Times New Roman" w:eastAsia="Times New Roman" w:hAnsi="Times New Roman"/>
    </w:rPr>
  </w:style>
  <w:style w:type="paragraph" w:customStyle="1" w:styleId="Default">
    <w:name w:val="Default"/>
    <w:rsid w:val="00F010AA"/>
    <w:pPr>
      <w:autoSpaceDE w:val="0"/>
      <w:autoSpaceDN w:val="0"/>
      <w:adjustRightInd w:val="0"/>
    </w:pPr>
    <w:rPr>
      <w:rFonts w:ascii="Times New Roman" w:eastAsia="SimSun" w:hAnsi="Times New Roman"/>
      <w:color w:val="000000"/>
      <w:lang w:eastAsia="zh-CN"/>
    </w:rPr>
  </w:style>
  <w:style w:type="character" w:styleId="CommentReference">
    <w:name w:val="annotation reference"/>
    <w:uiPriority w:val="99"/>
    <w:semiHidden/>
    <w:unhideWhenUsed/>
    <w:rsid w:val="000F2AB6"/>
    <w:rPr>
      <w:sz w:val="16"/>
      <w:szCs w:val="16"/>
    </w:rPr>
  </w:style>
  <w:style w:type="paragraph" w:styleId="CommentText">
    <w:name w:val="annotation text"/>
    <w:basedOn w:val="Normal"/>
    <w:link w:val="CommentTextChar"/>
    <w:uiPriority w:val="99"/>
    <w:unhideWhenUsed/>
    <w:rsid w:val="000F2AB6"/>
    <w:pPr>
      <w:spacing w:line="240" w:lineRule="auto"/>
    </w:pPr>
    <w:rPr>
      <w:sz w:val="20"/>
      <w:szCs w:val="20"/>
    </w:rPr>
  </w:style>
  <w:style w:type="character" w:customStyle="1" w:styleId="CommentTextChar">
    <w:name w:val="Comment Text Char"/>
    <w:link w:val="CommentText"/>
    <w:uiPriority w:val="99"/>
    <w:rsid w:val="000F2AB6"/>
    <w:rPr>
      <w:sz w:val="20"/>
      <w:szCs w:val="20"/>
    </w:rPr>
  </w:style>
  <w:style w:type="paragraph" w:styleId="CommentSubject">
    <w:name w:val="annotation subject"/>
    <w:basedOn w:val="CommentText"/>
    <w:next w:val="CommentText"/>
    <w:link w:val="CommentSubjectChar"/>
    <w:uiPriority w:val="99"/>
    <w:semiHidden/>
    <w:unhideWhenUsed/>
    <w:rsid w:val="000F2AB6"/>
    <w:rPr>
      <w:b/>
      <w:bCs/>
    </w:rPr>
  </w:style>
  <w:style w:type="character" w:customStyle="1" w:styleId="CommentSubjectChar">
    <w:name w:val="Comment Subject Char"/>
    <w:link w:val="CommentSubject"/>
    <w:uiPriority w:val="99"/>
    <w:semiHidden/>
    <w:rsid w:val="000F2AB6"/>
    <w:rPr>
      <w:b/>
      <w:bCs/>
      <w:sz w:val="20"/>
      <w:szCs w:val="20"/>
    </w:rPr>
  </w:style>
  <w:style w:type="paragraph" w:styleId="BalloonText">
    <w:name w:val="Balloon Text"/>
    <w:basedOn w:val="Normal"/>
    <w:link w:val="BalloonTextChar"/>
    <w:uiPriority w:val="99"/>
    <w:semiHidden/>
    <w:unhideWhenUsed/>
    <w:rsid w:val="000F2AB6"/>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0F2AB6"/>
    <w:rPr>
      <w:rFonts w:ascii="Segoe UI" w:hAnsi="Segoe UI" w:cs="Segoe UI"/>
      <w:sz w:val="18"/>
      <w:szCs w:val="18"/>
    </w:rPr>
  </w:style>
  <w:style w:type="character" w:styleId="EndnoteReference">
    <w:name w:val="endnote reference"/>
    <w:rsid w:val="000F2AB6"/>
    <w:rPr>
      <w:vertAlign w:val="superscript"/>
    </w:rPr>
  </w:style>
  <w:style w:type="paragraph" w:styleId="Header">
    <w:name w:val="header"/>
    <w:basedOn w:val="Normal"/>
    <w:link w:val="HeaderChar"/>
    <w:uiPriority w:val="99"/>
    <w:unhideWhenUsed/>
    <w:rsid w:val="000F2A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2AB6"/>
  </w:style>
  <w:style w:type="paragraph" w:styleId="Footer">
    <w:name w:val="footer"/>
    <w:basedOn w:val="Normal"/>
    <w:link w:val="FooterChar"/>
    <w:uiPriority w:val="99"/>
    <w:unhideWhenUsed/>
    <w:rsid w:val="000F2A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2AB6"/>
  </w:style>
  <w:style w:type="paragraph" w:styleId="EndnoteText">
    <w:name w:val="endnote text"/>
    <w:aliases w:val="en,2_G"/>
    <w:basedOn w:val="Normal"/>
    <w:link w:val="EndnoteTextChar"/>
    <w:uiPriority w:val="99"/>
    <w:qFormat/>
    <w:rsid w:val="00400A2C"/>
    <w:pPr>
      <w:spacing w:after="0" w:line="240" w:lineRule="auto"/>
    </w:pPr>
    <w:rPr>
      <w:rFonts w:ascii="Times New Roman" w:eastAsia="MS Mincho" w:hAnsi="Times New Roman"/>
      <w:sz w:val="20"/>
      <w:szCs w:val="20"/>
      <w:lang w:val="ro-RO" w:eastAsia="ja-JP"/>
    </w:rPr>
  </w:style>
  <w:style w:type="character" w:customStyle="1" w:styleId="EndnoteTextChar">
    <w:name w:val="Endnote Text Char"/>
    <w:aliases w:val="en Char,2_G Char"/>
    <w:link w:val="EndnoteText"/>
    <w:uiPriority w:val="99"/>
    <w:rsid w:val="00400A2C"/>
    <w:rPr>
      <w:rFonts w:ascii="Times New Roman" w:eastAsia="MS Mincho" w:hAnsi="Times New Roman" w:cs="Times New Roman"/>
      <w:sz w:val="20"/>
      <w:szCs w:val="20"/>
      <w:lang w:val="ro-RO" w:eastAsia="ja-JP"/>
    </w:rPr>
  </w:style>
  <w:style w:type="paragraph" w:styleId="FootnoteText">
    <w:name w:val="footnote text"/>
    <w:aliases w:val="footnotes,Footnote Text Char,Footnote Text Char2 Char,Footnote Text Char Char1 Char,Footnote Text Char2 Char Char Char,Footnote Text Char1 Char Char Char Char,Footnote Text Char Char Char Char Char Char,Fußnotentext RAXEN"/>
    <w:basedOn w:val="Normal"/>
    <w:link w:val="FootnoteTextChar1"/>
    <w:uiPriority w:val="99"/>
    <w:unhideWhenUsed/>
    <w:rsid w:val="00400A2C"/>
    <w:pPr>
      <w:spacing w:after="0" w:line="240" w:lineRule="auto"/>
    </w:pPr>
    <w:rPr>
      <w:sz w:val="20"/>
      <w:szCs w:val="20"/>
    </w:rPr>
  </w:style>
  <w:style w:type="character" w:customStyle="1" w:styleId="FootnoteTextChar1">
    <w:name w:val="Footnote Text Char1"/>
    <w:aliases w:val="footnotes Char,Footnote Text Char Char,Footnote Text Char2 Char Char,Footnote Text Char Char1 Char Char,Footnote Text Char2 Char Char Char Char,Footnote Text Char1 Char Char Char Char Char,Fußnotentext RAXEN Char"/>
    <w:link w:val="FootnoteText"/>
    <w:rsid w:val="00400A2C"/>
    <w:rPr>
      <w:sz w:val="20"/>
      <w:szCs w:val="20"/>
    </w:rPr>
  </w:style>
  <w:style w:type="character" w:styleId="FootnoteReference">
    <w:name w:val="footnote reference"/>
    <w:aliases w:val="Footnote Refernece,Footnote Reference Superscript"/>
    <w:uiPriority w:val="99"/>
    <w:unhideWhenUsed/>
    <w:rsid w:val="00400A2C"/>
    <w:rPr>
      <w:vertAlign w:val="superscript"/>
    </w:rPr>
  </w:style>
  <w:style w:type="character" w:styleId="Hyperlink">
    <w:name w:val="Hyperlink"/>
    <w:uiPriority w:val="99"/>
    <w:rsid w:val="00400A2C"/>
    <w:rPr>
      <w:u w:val="single"/>
    </w:rPr>
  </w:style>
  <w:style w:type="paragraph" w:styleId="NoSpacing">
    <w:name w:val="No Spacing"/>
    <w:uiPriority w:val="99"/>
    <w:qFormat/>
    <w:rsid w:val="00EF76A0"/>
    <w:rPr>
      <w:sz w:val="22"/>
      <w:szCs w:val="22"/>
    </w:rPr>
  </w:style>
  <w:style w:type="character" w:customStyle="1" w:styleId="clanadpis">
    <w:name w:val="clanadpis"/>
    <w:rsid w:val="00EF76A0"/>
    <w:rPr>
      <w:rFonts w:cs="Times New Roman"/>
    </w:rPr>
  </w:style>
  <w:style w:type="character" w:customStyle="1" w:styleId="spanr">
    <w:name w:val="span_r"/>
    <w:uiPriority w:val="99"/>
    <w:rsid w:val="00EF76A0"/>
    <w:rPr>
      <w:rFonts w:cs="Times New Roman"/>
    </w:rPr>
  </w:style>
  <w:style w:type="character" w:customStyle="1" w:styleId="Slutkommentarsref">
    <w:name w:val="Slutkommentarsref"/>
    <w:uiPriority w:val="99"/>
    <w:semiHidden/>
    <w:rsid w:val="00EF76A0"/>
    <w:rPr>
      <w:vertAlign w:val="superscript"/>
    </w:rPr>
  </w:style>
  <w:style w:type="character" w:customStyle="1" w:styleId="Funotenzeichen">
    <w:name w:val="Fußnotenzeichen"/>
    <w:rsid w:val="00EF76A0"/>
  </w:style>
  <w:style w:type="character" w:customStyle="1" w:styleId="s6b621b36">
    <w:name w:val="s6b621b36"/>
    <w:basedOn w:val="DefaultParagraphFont"/>
    <w:rsid w:val="00EF76A0"/>
  </w:style>
  <w:style w:type="paragraph" w:styleId="BodyText3">
    <w:name w:val="Body Text 3"/>
    <w:basedOn w:val="Normal"/>
    <w:link w:val="BodyText3Char"/>
    <w:rsid w:val="003741FB"/>
    <w:pPr>
      <w:spacing w:after="120" w:line="240" w:lineRule="auto"/>
      <w:jc w:val="both"/>
    </w:pPr>
    <w:rPr>
      <w:rFonts w:ascii="Times New Roman" w:eastAsia="Times New Roman" w:hAnsi="Times New Roman"/>
      <w:i/>
      <w:iCs/>
      <w:sz w:val="24"/>
      <w:szCs w:val="24"/>
      <w:lang w:val="en-AU" w:eastAsia="en-GB"/>
    </w:rPr>
  </w:style>
  <w:style w:type="character" w:customStyle="1" w:styleId="BodyText3Char">
    <w:name w:val="Body Text 3 Char"/>
    <w:link w:val="BodyText3"/>
    <w:rsid w:val="003741FB"/>
    <w:rPr>
      <w:rFonts w:ascii="Times New Roman" w:eastAsia="Times New Roman" w:hAnsi="Times New Roman"/>
      <w:i/>
      <w:iCs/>
      <w:sz w:val="24"/>
      <w:szCs w:val="24"/>
      <w:lang w:val="en-AU"/>
    </w:rPr>
  </w:style>
  <w:style w:type="paragraph" w:styleId="BodyText">
    <w:name w:val="Body Text"/>
    <w:basedOn w:val="Normal"/>
    <w:link w:val="BodyTextChar"/>
    <w:uiPriority w:val="99"/>
    <w:semiHidden/>
    <w:unhideWhenUsed/>
    <w:rsid w:val="003741FB"/>
    <w:pPr>
      <w:spacing w:after="120"/>
    </w:pPr>
  </w:style>
  <w:style w:type="character" w:customStyle="1" w:styleId="BodyTextChar">
    <w:name w:val="Body Text Char"/>
    <w:link w:val="BodyText"/>
    <w:uiPriority w:val="99"/>
    <w:semiHidden/>
    <w:rsid w:val="003741FB"/>
    <w:rPr>
      <w:sz w:val="22"/>
      <w:szCs w:val="22"/>
      <w:lang w:val="en-US" w:eastAsia="en-US"/>
    </w:rPr>
  </w:style>
  <w:style w:type="character" w:customStyle="1" w:styleId="Znakyprepoznmkupodiarou">
    <w:name w:val="Znaky pre poznámku pod čiarou"/>
    <w:rsid w:val="001D1815"/>
  </w:style>
  <w:style w:type="character" w:customStyle="1" w:styleId="Odkaznapoznmkupodiarou1">
    <w:name w:val="Odkaz na poznámku pod čiarou1"/>
    <w:rsid w:val="001D1815"/>
    <w:rPr>
      <w:vertAlign w:val="superscript"/>
    </w:rPr>
  </w:style>
  <w:style w:type="paragraph" w:styleId="Revision">
    <w:name w:val="Revision"/>
    <w:hidden/>
    <w:uiPriority w:val="99"/>
    <w:semiHidden/>
    <w:rsid w:val="00F94E61"/>
    <w:rPr>
      <w:sz w:val="22"/>
      <w:szCs w:val="22"/>
    </w:rPr>
  </w:style>
  <w:style w:type="character" w:customStyle="1" w:styleId="highlight">
    <w:name w:val="highlight"/>
    <w:basedOn w:val="DefaultParagraphFont"/>
    <w:rsid w:val="00FA4F44"/>
  </w:style>
  <w:style w:type="paragraph" w:styleId="NormalWeb">
    <w:name w:val="Normal (Web)"/>
    <w:basedOn w:val="Normal"/>
    <w:uiPriority w:val="99"/>
    <w:unhideWhenUsed/>
    <w:rsid w:val="00FA4F44"/>
    <w:pPr>
      <w:spacing w:before="100" w:beforeAutospacing="1" w:after="100" w:afterAutospacing="1" w:line="240" w:lineRule="auto"/>
    </w:pPr>
    <w:rPr>
      <w:rFonts w:ascii="Times New Roman" w:eastAsia="Times New Roman" w:hAnsi="Times New Roman"/>
      <w:sz w:val="24"/>
      <w:szCs w:val="24"/>
    </w:rPr>
  </w:style>
  <w:style w:type="character" w:customStyle="1" w:styleId="sb8d990e2">
    <w:name w:val="sb8d990e2"/>
    <w:basedOn w:val="DefaultParagraphFont"/>
    <w:rsid w:val="00FA4F44"/>
  </w:style>
  <w:style w:type="character" w:styleId="Strong">
    <w:name w:val="Strong"/>
    <w:uiPriority w:val="22"/>
    <w:qFormat/>
    <w:rsid w:val="00FA4F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019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11"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styles" Target="styles.xml"/><Relationship Id="rId14" Type="http://schemas.openxmlformats.org/officeDocument/2006/relationships/endnotes" Target="endnotes.xml"/><Relationship Id="rId9" Type="http://schemas.openxmlformats.org/officeDocument/2006/relationships/numbering" Target="numbering.xml"/></Relationships>
</file>

<file path=word/_rels/endnotes.xml.rels><?xml version="1.0" encoding="UTF-8" standalone="yes"?>
<Relationships xmlns="http://schemas.openxmlformats.org/package/2006/relationships"><Relationship Id="rId3" Type="http://schemas.openxmlformats.org/officeDocument/2006/relationships/hyperlink" Target="http://www.odondevice.org/press/FIGO-second-stage.pdf" TargetMode="External"/><Relationship Id="rId2" Type="http://schemas.openxmlformats.org/officeDocument/2006/relationships/hyperlink" Target="http://odz.sk/wp-content/uploads/Z-M-T_publ_el1_pod_sebou.pdf" TargetMode="External"/><Relationship Id="rId1" Type="http://schemas.openxmlformats.org/officeDocument/2006/relationships/hyperlink" Target="https://www.poradna-prava.sk/en/documents/body-and-soul-forced-sterilization-and-other-assaults-on-roma-reproductive-freedom-in-slovakia/" TargetMode="External"/><Relationship Id="rId5" Type="http://schemas.openxmlformats.org/officeDocument/2006/relationships/hyperlink" Target="http://www.reproductiverights.org/sites/crr.civicactions.net/files/documents/calculated_injustice.pdf" TargetMode="External"/><Relationship Id="rId4" Type="http://schemas.openxmlformats.org/officeDocument/2006/relationships/hyperlink" Target="http://community.cochrane.org/cochrane-reviews/cochrane-database-systematic-reviews-number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Language xmlns="http://schemas.microsoft.com/sharepoint/v3">English</Language>
    <Country xmlns="33769f63-0853-4883-b063-0c00edfbef7b">Slovak Rep</Country>
    <Calendar_x0020_Year xmlns="33769f63-0853-4883-b063-0c00edfbef7b">2016</Calendar_x0020_Year>
    <_dlc_DocId xmlns="5c6f3a77-9865-4d2f-a6f5-ba79100cfa14">VR2C7X43EVV5-190-624</_dlc_DocId>
    <_dlc_DocIdUrl xmlns="5c6f3a77-9865-4d2f-a6f5-ba79100cfa14">
      <Url>https://intranet.reprorights.org/GLP/_layouts/15/DocIdRedir.aspx?ID=VR2C7X43EVV5-190-624</Url>
      <Description>VR2C7X43EVV5-190-624</Description>
    </_dlc_DocIdUrl>
    <Confidential_x002d_Do_x0020_not_x0020_cite xmlns="3aa11b55-3564-4e2e-b240-4aec3c05680c">Confidential - Do not cite</Confidential_x002d_Do_x0020_not_x0020_cite>
    <Topic xmlns="3aa11b55-3564-4e2e-b240-4aec3c05680c">Reproductive Health</Topic>
    <Document_x0020_Type xmlns="3aa11b55-3564-4e2e-b240-4aec3c05680c">Shadow Letter</Document_x0020_Type>
    <Grouping_x0020_Name xmlns="3aa11b55-3564-4e2e-b240-4aec3c05680c">National Level Advocacy</Grouping_x0020_Name>
    <DocumentSetDescription xmlns="http://schemas.microsoft.com/sharepoint/v3" xsi:nil="true"/>
    <Name_x0020_of_x0020_Body xmlns="3aa11b55-3564-4e2e-b240-4aec3c05680c">HRC</Name_x0020_of_x0020_Body>
    <Case_x0020_Name xmlns="3aa11b55-3564-4e2e-b240-4aec3c05680c">N/A</Case_x0020_Name>
  </documentManagement>
</p:properties>
</file>

<file path=customXml/item6.xml><?xml version="1.0" encoding="utf-8"?>
<?mso-contentType ?>
<p:Policy xmlns:p="office.server.policy" id="" local="true">
  <p:Name>Document</p:Name>
  <p:Description/>
  <p:Statement/>
  <p:PolicyItems>
    <p:PolicyItem featureId="Microsoft.Office.RecordsManagement.PolicyFeatures.PolicyAudit" staticId="0x0101|-1796855214" UniqueId="990801d1-71e5-45dd-8acd-9c13c39915ec">
      <p:Name>Auditing</p:Name>
      <p:Description>Audits user actions on documents and list items to the Audit Log.</p:Description>
      <p:CustomData>
        <Audit>
          <MoveCopy/>
          <DeleteRestore/>
        </Audit>
      </p:CustomData>
    </p:PolicyItem>
  </p:PolicyItems>
</p:Policy>
</file>

<file path=customXml/item7.xml><?xml version="1.0" encoding="utf-8"?>
<p:properties xmlns:p="http://schemas.microsoft.com/office/2006/metadata/properties" xmlns:xsi="http://www.w3.org/2001/XMLSchema-instance" xmlns:pc="http://schemas.microsoft.com/office/infopath/2007/PartnerControls">
  <documentManagement/>
</p:properties>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51B43-5DD3-4595-83CA-0DD1BF5117E0}"/>
</file>

<file path=customXml/itemProps2.xml><?xml version="1.0" encoding="utf-8"?>
<ds:datastoreItem xmlns:ds="http://schemas.openxmlformats.org/officeDocument/2006/customXml" ds:itemID="{5FF9B8C9-15E3-4AE0-8EC3-83CF596E92E5}"/>
</file>

<file path=customXml/itemProps3.xml><?xml version="1.0" encoding="utf-8"?>
<ds:datastoreItem xmlns:ds="http://schemas.openxmlformats.org/officeDocument/2006/customXml" ds:itemID="{FE5575F3-BA68-4639-8AE1-7CD777EDA9D9}"/>
</file>

<file path=customXml/itemProps4.xml><?xml version="1.0" encoding="utf-8"?>
<ds:datastoreItem xmlns:ds="http://schemas.openxmlformats.org/officeDocument/2006/customXml" ds:itemID="{5FF9B8C9-15E3-4AE0-8EC3-83CF596E92E5}">
  <ds:schemaRefs>
    <ds:schemaRef ds:uri="http://schemas.microsoft.com/office/2006/metadata/longProperties"/>
  </ds:schemaRefs>
</ds:datastoreItem>
</file>

<file path=customXml/itemProps5.xml><?xml version="1.0" encoding="utf-8"?>
<ds:datastoreItem xmlns:ds="http://schemas.openxmlformats.org/officeDocument/2006/customXml" ds:itemID="{1742CCB6-D472-4A29-AF5B-CC1879D30112}">
  <ds:schemaRefs>
    <ds:schemaRef ds:uri="http://schemas.microsoft.com/office/2006/metadata/properties"/>
    <ds:schemaRef ds:uri="http://schemas.microsoft.com/office/infopath/2007/PartnerControls"/>
    <ds:schemaRef ds:uri="http://schemas.microsoft.com/sharepoint/v3"/>
    <ds:schemaRef ds:uri="33769f63-0853-4883-b063-0c00edfbef7b"/>
    <ds:schemaRef ds:uri="5c6f3a77-9865-4d2f-a6f5-ba79100cfa14"/>
    <ds:schemaRef ds:uri="3aa11b55-3564-4e2e-b240-4aec3c05680c"/>
  </ds:schemaRefs>
</ds:datastoreItem>
</file>

<file path=customXml/itemProps6.xml><?xml version="1.0" encoding="utf-8"?>
<ds:datastoreItem xmlns:ds="http://schemas.openxmlformats.org/officeDocument/2006/customXml" ds:itemID="{45EC6305-DE2D-45B0-827B-9280FF39A78D}">
  <ds:schemaRefs>
    <ds:schemaRef ds:uri="office.server.policy"/>
  </ds:schemaRefs>
</ds:datastoreItem>
</file>

<file path=customXml/itemProps7.xml><?xml version="1.0" encoding="utf-8"?>
<ds:datastoreItem xmlns:ds="http://schemas.openxmlformats.org/officeDocument/2006/customXml" ds:itemID="{1742CCB6-D472-4A29-AF5B-CC1879D30112}"/>
</file>

<file path=customXml/itemProps8.xml><?xml version="1.0" encoding="utf-8"?>
<ds:datastoreItem xmlns:ds="http://schemas.openxmlformats.org/officeDocument/2006/customXml" ds:itemID="{4592193A-9958-446D-9903-AA96C61D73E7}"/>
</file>

<file path=docProps/app.xml><?xml version="1.0" encoding="utf-8"?>
<Properties xmlns="http://schemas.openxmlformats.org/officeDocument/2006/extended-properties" xmlns:vt="http://schemas.openxmlformats.org/officeDocument/2006/docPropsVTypes">
  <Template>Normal</Template>
  <TotalTime>18</TotalTime>
  <Pages>20</Pages>
  <Words>5498</Words>
  <Characters>31341</Characters>
  <Application>Microsoft Office Word</Application>
  <DocSecurity>0</DocSecurity>
  <Lines>261</Lines>
  <Paragraphs>73</Paragraphs>
  <ScaleCrop>false</ScaleCrop>
  <HeadingPairs>
    <vt:vector size="4" baseType="variant">
      <vt:variant>
        <vt:lpstr>Title</vt:lpstr>
      </vt:variant>
      <vt:variant>
        <vt:i4>1</vt:i4>
      </vt:variant>
      <vt:variant>
        <vt:lpstr>Názov</vt:lpstr>
      </vt:variant>
      <vt:variant>
        <vt:i4>1</vt:i4>
      </vt:variant>
    </vt:vector>
  </HeadingPairs>
  <TitlesOfParts>
    <vt:vector size="2" baseType="lpstr">
      <vt:lpstr/>
      <vt:lpstr/>
    </vt:vector>
  </TitlesOfParts>
  <Company>Center for Reproductive Rights</Company>
  <LinksUpToDate>false</LinksUpToDate>
  <CharactersWithSpaces>36766</CharactersWithSpaces>
  <SharedDoc>false</SharedDoc>
  <HLinks>
    <vt:vector size="156" baseType="variant">
      <vt:variant>
        <vt:i4>1703951</vt:i4>
      </vt:variant>
      <vt:variant>
        <vt:i4>78</vt:i4>
      </vt:variant>
      <vt:variant>
        <vt:i4>0</vt:i4>
      </vt:variant>
      <vt:variant>
        <vt:i4>5</vt:i4>
      </vt:variant>
      <vt:variant>
        <vt:lpwstr>http://www.medilexicon.com/medicaldictionary.php?t=43162</vt:lpwstr>
      </vt:variant>
      <vt:variant>
        <vt:lpwstr/>
      </vt:variant>
      <vt:variant>
        <vt:i4>5242966</vt:i4>
      </vt:variant>
      <vt:variant>
        <vt:i4>75</vt:i4>
      </vt:variant>
      <vt:variant>
        <vt:i4>0</vt:i4>
      </vt:variant>
      <vt:variant>
        <vt:i4>5</vt:i4>
      </vt:variant>
      <vt:variant>
        <vt:lpwstr>http://www.nice.org.uk/guidance/cg190/evidence/cg190-intrapartum-care-full-guideline3</vt:lpwstr>
      </vt:variant>
      <vt:variant>
        <vt:lpwstr/>
      </vt:variant>
      <vt:variant>
        <vt:i4>7864445</vt:i4>
      </vt:variant>
      <vt:variant>
        <vt:i4>72</vt:i4>
      </vt:variant>
      <vt:variant>
        <vt:i4>0</vt:i4>
      </vt:variant>
      <vt:variant>
        <vt:i4>5</vt:i4>
      </vt:variant>
      <vt:variant>
        <vt:lpwstr>http://community.cochrane.org/cochrane-reviews/cochrane-database-systematic-reviews-numbers</vt:lpwstr>
      </vt:variant>
      <vt:variant>
        <vt:lpwstr/>
      </vt:variant>
      <vt:variant>
        <vt:i4>720920</vt:i4>
      </vt:variant>
      <vt:variant>
        <vt:i4>69</vt:i4>
      </vt:variant>
      <vt:variant>
        <vt:i4>0</vt:i4>
      </vt:variant>
      <vt:variant>
        <vt:i4>5</vt:i4>
      </vt:variant>
      <vt:variant>
        <vt:lpwstr>http://www.odondevice.org/press/FIGO-second-stage.pdf</vt:lpwstr>
      </vt:variant>
      <vt:variant>
        <vt:lpwstr/>
      </vt:variant>
      <vt:variant>
        <vt:i4>2949127</vt:i4>
      </vt:variant>
      <vt:variant>
        <vt:i4>66</vt:i4>
      </vt:variant>
      <vt:variant>
        <vt:i4>0</vt:i4>
      </vt:variant>
      <vt:variant>
        <vt:i4>5</vt:i4>
      </vt:variant>
      <vt:variant>
        <vt:lpwstr>http://whqlibdoc.who.int/hq/1996/WHO_FRH_MSM_96.24.pdf</vt:lpwstr>
      </vt:variant>
      <vt:variant>
        <vt:lpwstr/>
      </vt:variant>
      <vt:variant>
        <vt:i4>7012469</vt:i4>
      </vt:variant>
      <vt:variant>
        <vt:i4>63</vt:i4>
      </vt:variant>
      <vt:variant>
        <vt:i4>0</vt:i4>
      </vt:variant>
      <vt:variant>
        <vt:i4>5</vt:i4>
      </vt:variant>
      <vt:variant>
        <vt:lpwstr>http://odz.sk/en/wp-content/uploads/Women-Mothers-Bodies_summ_EN.pdf</vt:lpwstr>
      </vt:variant>
      <vt:variant>
        <vt:lpwstr/>
      </vt:variant>
      <vt:variant>
        <vt:i4>6815854</vt:i4>
      </vt:variant>
      <vt:variant>
        <vt:i4>60</vt:i4>
      </vt:variant>
      <vt:variant>
        <vt:i4>0</vt:i4>
      </vt:variant>
      <vt:variant>
        <vt:i4>5</vt:i4>
      </vt:variant>
      <vt:variant>
        <vt:lpwstr>http://odz.sk/wp-content/uploads/Z-M-T_publ_el1_pod_sebou.pdf</vt:lpwstr>
      </vt:variant>
      <vt:variant>
        <vt:lpwstr/>
      </vt:variant>
      <vt:variant>
        <vt:i4>2555980</vt:i4>
      </vt:variant>
      <vt:variant>
        <vt:i4>57</vt:i4>
      </vt:variant>
      <vt:variant>
        <vt:i4>0</vt:i4>
      </vt:variant>
      <vt:variant>
        <vt:i4>5</vt:i4>
      </vt:variant>
      <vt:variant>
        <vt:lpwstr>http://www.sukl.sk/sk/databazy-a-servis/databazy/vyhladavanie-v-databaze-registrovanych-liekov?page_id=242&amp;lie_nazov=&amp;lie_kod=&amp;atc_kod=&amp;lie_rc=&amp;atc_nazov=&amp;isk_kod=17&amp;drz_kod=&amp;vyd_kod=0&amp;org_kod=0&amp;reg_typ_kod=0&amp;in_kat=INNER&amp;ped_ind=ALL&amp;ped_kontraind=ALL</vt:lpwstr>
      </vt:variant>
      <vt:variant>
        <vt:lpwstr/>
      </vt:variant>
      <vt:variant>
        <vt:i4>3145810</vt:i4>
      </vt:variant>
      <vt:variant>
        <vt:i4>54</vt:i4>
      </vt:variant>
      <vt:variant>
        <vt:i4>0</vt:i4>
      </vt:variant>
      <vt:variant>
        <vt:i4>5</vt:i4>
      </vt:variant>
      <vt:variant>
        <vt:lpwstr>http://www.sukl.sk/sk/databazy-a-servis/databazy/vyhladavanie-v-databaze-registrovanych-liekov?page_id=242&amp;lie_nazov=&amp;lie_kod=&amp;atc_kod=&amp;lie_rc=&amp;atc_nazov=&amp;isk_kod=17&amp;drz_kod=&amp;vyd_kod=0&amp;org_kod=0&amp;reg_typ_kod=0&amp;in_kat=LEFT&amp;ped_ind=ALL&amp;ped_kontraind=ALL</vt:lpwstr>
      </vt:variant>
      <vt:variant>
        <vt:lpwstr/>
      </vt:variant>
      <vt:variant>
        <vt:i4>2490448</vt:i4>
      </vt:variant>
      <vt:variant>
        <vt:i4>51</vt:i4>
      </vt:variant>
      <vt:variant>
        <vt:i4>0</vt:i4>
      </vt:variant>
      <vt:variant>
        <vt:i4>5</vt:i4>
      </vt:variant>
      <vt:variant>
        <vt:lpwstr>http://www.reproductiverights.org/sites/crr.civicactions.net/files/documents/calculated_injustice.pdf</vt:lpwstr>
      </vt:variant>
      <vt:variant>
        <vt:lpwstr/>
      </vt:variant>
      <vt:variant>
        <vt:i4>7733303</vt:i4>
      </vt:variant>
      <vt:variant>
        <vt:i4>45</vt:i4>
      </vt:variant>
      <vt:variant>
        <vt:i4>0</vt:i4>
      </vt:variant>
      <vt:variant>
        <vt:i4>5</vt:i4>
      </vt:variant>
      <vt:variant>
        <vt:lpwstr>http://www.24hod.sk/mz-sr-trva-na-narodnom-programe-ochrany-sexualneho-zdravia-cl50675.html</vt:lpwstr>
      </vt:variant>
      <vt:variant>
        <vt:lpwstr/>
      </vt:variant>
      <vt:variant>
        <vt:i4>1507358</vt:i4>
      </vt:variant>
      <vt:variant>
        <vt:i4>42</vt:i4>
      </vt:variant>
      <vt:variant>
        <vt:i4>0</vt:i4>
      </vt:variant>
      <vt:variant>
        <vt:i4>5</vt:i4>
      </vt:variant>
      <vt:variant>
        <vt:lpwstr>http://ec.europa.eu/justice/gender-equality/files/annual_reports/150304_annual_report_2014_web_en.pdf</vt:lpwstr>
      </vt:variant>
      <vt:variant>
        <vt:lpwstr/>
      </vt:variant>
      <vt:variant>
        <vt:i4>1769486</vt:i4>
      </vt:variant>
      <vt:variant>
        <vt:i4>39</vt:i4>
      </vt:variant>
      <vt:variant>
        <vt:i4>0</vt:i4>
      </vt:variant>
      <vt:variant>
        <vt:i4>5</vt:i4>
      </vt:variant>
      <vt:variant>
        <vt:lpwstr>http://www.gender.gov.sk/wp-content/uploads/2015/09/3.-V%C3%BDskumno-analytick%C3%A9-%C5%A1t%C3%BAdie.pdf</vt:lpwstr>
      </vt:variant>
      <vt:variant>
        <vt:lpwstr/>
      </vt:variant>
      <vt:variant>
        <vt:i4>3801211</vt:i4>
      </vt:variant>
      <vt:variant>
        <vt:i4>36</vt:i4>
      </vt:variant>
      <vt:variant>
        <vt:i4>0</vt:i4>
      </vt:variant>
      <vt:variant>
        <vt:i4>5</vt:i4>
      </vt:variant>
      <vt:variant>
        <vt:lpwstr>http://www.snslp.sk/CCMS/files/REPORT_ON_THE_OBSERVANCE_OF_HUMAN_RIGHTS_INCLUDING_THE_PRINCIPLE_OF_EQUAL_TREATMENT_AND_THE_RIGHTS_OF_THE_CHILD_IN_THE_SLOVAK_REPUBLIC_FOR_THE_YEAR_2013.pdf</vt:lpwstr>
      </vt:variant>
      <vt:variant>
        <vt:lpwstr/>
      </vt:variant>
      <vt:variant>
        <vt:i4>6291492</vt:i4>
      </vt:variant>
      <vt:variant>
        <vt:i4>33</vt:i4>
      </vt:variant>
      <vt:variant>
        <vt:i4>0</vt:i4>
      </vt:variant>
      <vt:variant>
        <vt:i4>5</vt:i4>
      </vt:variant>
      <vt:variant>
        <vt:lpwstr>http://www.sme.sk/c/8008041/pochod-za-zivot-zakaz-potratov-ci-registrovanych-partnerstiev.html</vt:lpwstr>
      </vt:variant>
      <vt:variant>
        <vt:lpwstr/>
      </vt:variant>
      <vt:variant>
        <vt:i4>6291480</vt:i4>
      </vt:variant>
      <vt:variant>
        <vt:i4>30</vt:i4>
      </vt:variant>
      <vt:variant>
        <vt:i4>0</vt:i4>
      </vt:variant>
      <vt:variant>
        <vt:i4>5</vt:i4>
      </vt:variant>
      <vt:variant>
        <vt:lpwstr>http://www.rokovania.sk/File.aspx/ViewDocumentHtml/Uznesenie-14678?prefixFile=u_</vt:lpwstr>
      </vt:variant>
      <vt:variant>
        <vt:lpwstr/>
      </vt:variant>
      <vt:variant>
        <vt:i4>8192056</vt:i4>
      </vt:variant>
      <vt:variant>
        <vt:i4>27</vt:i4>
      </vt:variant>
      <vt:variant>
        <vt:i4>0</vt:i4>
      </vt:variant>
      <vt:variant>
        <vt:i4>5</vt:i4>
      </vt:variant>
      <vt:variant>
        <vt:lpwstr>http://www.rokovania.sk/File.aspx/ViewDocumentHtml/Uznesenie-11761?listName=Uznesenie&amp;prefixFile=u_</vt:lpwstr>
      </vt:variant>
      <vt:variant>
        <vt:lpwstr/>
      </vt:variant>
      <vt:variant>
        <vt:i4>6750232</vt:i4>
      </vt:variant>
      <vt:variant>
        <vt:i4>24</vt:i4>
      </vt:variant>
      <vt:variant>
        <vt:i4>0</vt:i4>
      </vt:variant>
      <vt:variant>
        <vt:i4>5</vt:i4>
      </vt:variant>
      <vt:variant>
        <vt:lpwstr>http://www.rokovania.sk/File.aspx/ViewDocumentHtml/Uznesenie-12811?prefixFile=u_</vt:lpwstr>
      </vt:variant>
      <vt:variant>
        <vt:lpwstr/>
      </vt:variant>
      <vt:variant>
        <vt:i4>327762</vt:i4>
      </vt:variant>
      <vt:variant>
        <vt:i4>21</vt:i4>
      </vt:variant>
      <vt:variant>
        <vt:i4>0</vt:i4>
      </vt:variant>
      <vt:variant>
        <vt:i4>5</vt:i4>
      </vt:variant>
      <vt:variant>
        <vt:lpwstr>http://www.snslp.sk/SnslpWeb.html</vt:lpwstr>
      </vt:variant>
      <vt:variant>
        <vt:lpwstr>menu=1419</vt:lpwstr>
      </vt:variant>
      <vt:variant>
        <vt:i4>458838</vt:i4>
      </vt:variant>
      <vt:variant>
        <vt:i4>18</vt:i4>
      </vt:variant>
      <vt:variant>
        <vt:i4>0</vt:i4>
      </vt:variant>
      <vt:variant>
        <vt:i4>5</vt:i4>
      </vt:variant>
      <vt:variant>
        <vt:lpwstr>http://www.snslp.sk/SnslpWeb.html</vt:lpwstr>
      </vt:variant>
      <vt:variant>
        <vt:lpwstr>menu=103</vt:lpwstr>
      </vt:variant>
      <vt:variant>
        <vt:i4>3735657</vt:i4>
      </vt:variant>
      <vt:variant>
        <vt:i4>15</vt:i4>
      </vt:variant>
      <vt:variant>
        <vt:i4>0</vt:i4>
      </vt:variant>
      <vt:variant>
        <vt:i4>5</vt:i4>
      </vt:variant>
      <vt:variant>
        <vt:lpwstr>http://www.topky.sk/cl/100535/1489929/Skandalozny-tah-na-hrane-zakona--Poslanec-Smeru-Martvon-si-poistil-flek-bielym-konom</vt:lpwstr>
      </vt:variant>
      <vt:variant>
        <vt:lpwstr/>
      </vt:variant>
      <vt:variant>
        <vt:i4>8323209</vt:i4>
      </vt:variant>
      <vt:variant>
        <vt:i4>12</vt:i4>
      </vt:variant>
      <vt:variant>
        <vt:i4>0</vt:i4>
      </vt:variant>
      <vt:variant>
        <vt:i4>5</vt:i4>
      </vt:variant>
      <vt:variant>
        <vt:lpwstr>http://www.gender.gov.sk/wp-content/uploads/2015/09/Analýza-súčasného-stavu-vykonávania-inšpekcie-práce.pdf</vt:lpwstr>
      </vt:variant>
      <vt:variant>
        <vt:lpwstr/>
      </vt:variant>
      <vt:variant>
        <vt:i4>5046295</vt:i4>
      </vt:variant>
      <vt:variant>
        <vt:i4>9</vt:i4>
      </vt:variant>
      <vt:variant>
        <vt:i4>0</vt:i4>
      </vt:variant>
      <vt:variant>
        <vt:i4>5</vt:i4>
      </vt:variant>
      <vt:variant>
        <vt:lpwstr>http://diskriminacia.sk/inspektoraty-prace-a-dodrziavanie-zasady-rovnakeho-zaobchadzania/</vt:lpwstr>
      </vt:variant>
      <vt:variant>
        <vt:lpwstr>more-1388</vt:lpwstr>
      </vt:variant>
      <vt:variant>
        <vt:i4>4718606</vt:i4>
      </vt:variant>
      <vt:variant>
        <vt:i4>6</vt:i4>
      </vt:variant>
      <vt:variant>
        <vt:i4>0</vt:i4>
      </vt:variant>
      <vt:variant>
        <vt:i4>5</vt:i4>
      </vt:variant>
      <vt:variant>
        <vt:lpwstr>http://poradna-prava.sk/wp-content/uploads/2014/06/PDF-321-KB.pdf</vt:lpwstr>
      </vt:variant>
      <vt:variant>
        <vt:lpwstr/>
      </vt:variant>
      <vt:variant>
        <vt:i4>131171</vt:i4>
      </vt:variant>
      <vt:variant>
        <vt:i4>3</vt:i4>
      </vt:variant>
      <vt:variant>
        <vt:i4>0</vt:i4>
      </vt:variant>
      <vt:variant>
        <vt:i4>5</vt:i4>
      </vt:variant>
      <vt:variant>
        <vt:lpwstr>http://odz.sk/wp-content/uploads/Implem_ZRZ_ADZ_analyza.pdf</vt:lpwstr>
      </vt:variant>
      <vt:variant>
        <vt:lpwstr/>
      </vt:variant>
      <vt:variant>
        <vt:i4>11075839</vt:i4>
      </vt:variant>
      <vt:variant>
        <vt:i4>0</vt:i4>
      </vt:variant>
      <vt:variant>
        <vt:i4>0</vt:i4>
      </vt:variant>
      <vt:variant>
        <vt:i4>5</vt:i4>
      </vt:variant>
      <vt:variant>
        <vt:lpwstr>http://poradna-prava.sk/wp-content/uploads/2012/11/Publikáciu-si-môžete-stiahnuť-tu-105-MB.pdf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alamackova</dc:creator>
  <cp:lastModifiedBy>Adriana Lamackova</cp:lastModifiedBy>
  <cp:revision>4</cp:revision>
  <cp:lastPrinted>2016-09-22T16:09:00Z</cp:lastPrinted>
  <dcterms:created xsi:type="dcterms:W3CDTF">2016-09-22T16:08:00Z</dcterms:created>
  <dcterms:modified xsi:type="dcterms:W3CDTF">2016-09-22T16:27:00Z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VR2C7X43EVV5-186-1776</vt:lpwstr>
  </property>
  <property fmtid="{D5CDD505-2E9C-101B-9397-08002B2CF9AE}" pid="3" name="_dlc_DocIdItemGuid">
    <vt:lpwstr>db59952a-2c4d-47cf-afbc-d22f3c49f678</vt:lpwstr>
  </property>
  <property fmtid="{D5CDD505-2E9C-101B-9397-08002B2CF9AE}" pid="4" name="_dlc_DocIdUrl">
    <vt:lpwstr>https://intranet.reprorights.org/GLP/_layouts/15/DocIdRedir.aspx?ID=VR2C7X43EVV5-186-1776, VR2C7X43EVV5-186-1776</vt:lpwstr>
  </property>
  <property fmtid="{D5CDD505-2E9C-101B-9397-08002B2CF9AE}" pid="5" name="ContentTypeId">
    <vt:lpwstr>0x0101001095AF07E9D52746B60E2F270CE938D2</vt:lpwstr>
  </property>
</Properties>
</file>