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D22F3" w14:textId="1C7735C7" w:rsidR="00E52BBE" w:rsidRPr="00FE119F" w:rsidRDefault="00E52BBE" w:rsidP="00FE119F">
      <w:pPr>
        <w:jc w:val="center"/>
        <w:rPr>
          <w:rFonts w:ascii="Arial" w:hAnsi="Arial" w:cs="Arial"/>
          <w:b/>
          <w:bCs/>
        </w:rPr>
      </w:pPr>
      <w:r w:rsidRPr="00FE119F">
        <w:rPr>
          <w:rFonts w:ascii="Arial" w:hAnsi="Arial" w:cs="Arial"/>
          <w:b/>
          <w:bCs/>
        </w:rPr>
        <w:t xml:space="preserve">UN Constructive Dialogue with </w:t>
      </w:r>
      <w:r w:rsidR="005B246F" w:rsidRPr="00FE119F">
        <w:rPr>
          <w:rFonts w:ascii="Arial" w:hAnsi="Arial" w:cs="Arial"/>
          <w:b/>
          <w:bCs/>
        </w:rPr>
        <w:t xml:space="preserve">the </w:t>
      </w:r>
      <w:r w:rsidRPr="00FE119F">
        <w:rPr>
          <w:rFonts w:ascii="Arial" w:hAnsi="Arial" w:cs="Arial"/>
          <w:b/>
          <w:bCs/>
        </w:rPr>
        <w:t>E</w:t>
      </w:r>
      <w:r w:rsidR="005B246F" w:rsidRPr="00FE119F">
        <w:rPr>
          <w:rFonts w:ascii="Arial" w:hAnsi="Arial" w:cs="Arial"/>
          <w:b/>
          <w:bCs/>
        </w:rPr>
        <w:t xml:space="preserve">uropean </w:t>
      </w:r>
      <w:r w:rsidRPr="00FE119F">
        <w:rPr>
          <w:rFonts w:ascii="Arial" w:hAnsi="Arial" w:cs="Arial"/>
          <w:b/>
          <w:bCs/>
        </w:rPr>
        <w:t>U</w:t>
      </w:r>
      <w:r w:rsidR="005B246F" w:rsidRPr="00FE119F">
        <w:rPr>
          <w:rFonts w:ascii="Arial" w:hAnsi="Arial" w:cs="Arial"/>
          <w:b/>
          <w:bCs/>
        </w:rPr>
        <w:t>nion</w:t>
      </w:r>
      <w:r w:rsidRPr="00FE119F">
        <w:rPr>
          <w:rFonts w:ascii="Arial" w:hAnsi="Arial" w:cs="Arial"/>
          <w:b/>
          <w:bCs/>
        </w:rPr>
        <w:t xml:space="preserve"> on CRPD implementation</w:t>
      </w:r>
    </w:p>
    <w:p w14:paraId="21621BF4" w14:textId="2456DB14" w:rsidR="005B246F" w:rsidRPr="00FE119F" w:rsidRDefault="005B246F" w:rsidP="00FE119F">
      <w:pPr>
        <w:jc w:val="center"/>
        <w:rPr>
          <w:rFonts w:ascii="Arial" w:hAnsi="Arial" w:cs="Arial"/>
          <w:b/>
          <w:bCs/>
        </w:rPr>
      </w:pPr>
      <w:r w:rsidRPr="00FE119F">
        <w:rPr>
          <w:rFonts w:ascii="Arial" w:hAnsi="Arial" w:cs="Arial"/>
          <w:b/>
          <w:bCs/>
        </w:rPr>
        <w:t>1</w:t>
      </w:r>
      <w:r w:rsidR="006A3685" w:rsidRPr="00FE119F">
        <w:rPr>
          <w:rFonts w:ascii="Arial" w:hAnsi="Arial" w:cs="Arial"/>
          <w:b/>
          <w:bCs/>
        </w:rPr>
        <w:t>1</w:t>
      </w:r>
      <w:r w:rsidRPr="00FE119F">
        <w:rPr>
          <w:rFonts w:ascii="Arial" w:hAnsi="Arial" w:cs="Arial"/>
          <w:b/>
          <w:bCs/>
        </w:rPr>
        <w:t>-12 March 2025</w:t>
      </w:r>
    </w:p>
    <w:p w14:paraId="24665B76" w14:textId="7863E67D" w:rsidR="005B246F" w:rsidRPr="00FE119F" w:rsidRDefault="005B246F" w:rsidP="00FE119F">
      <w:pPr>
        <w:jc w:val="center"/>
        <w:rPr>
          <w:rFonts w:ascii="Arial" w:hAnsi="Arial" w:cs="Arial"/>
          <w:b/>
          <w:bCs/>
        </w:rPr>
      </w:pPr>
      <w:r w:rsidRPr="00FE119F">
        <w:rPr>
          <w:rFonts w:ascii="Arial" w:hAnsi="Arial" w:cs="Arial"/>
          <w:b/>
          <w:bCs/>
        </w:rPr>
        <w:t>Written Response</w:t>
      </w:r>
    </w:p>
    <w:p w14:paraId="68E44677" w14:textId="77777777" w:rsidR="005266C3" w:rsidRPr="00990774" w:rsidRDefault="005266C3" w:rsidP="00E52BBE">
      <w:pPr>
        <w:spacing w:after="0"/>
        <w:jc w:val="both"/>
        <w:rPr>
          <w:rFonts w:ascii="Arial" w:eastAsia="Arial" w:hAnsi="Arial" w:cs="Arial"/>
        </w:rPr>
      </w:pPr>
    </w:p>
    <w:p w14:paraId="2CF15864" w14:textId="402D9481" w:rsidR="005266C3" w:rsidRPr="00990774" w:rsidRDefault="005266C3" w:rsidP="00E52BBE">
      <w:pPr>
        <w:spacing w:after="0"/>
        <w:jc w:val="both"/>
        <w:rPr>
          <w:rFonts w:ascii="Arial" w:eastAsia="Arial" w:hAnsi="Arial" w:cs="Arial"/>
          <w:i/>
          <w:iCs/>
          <w:lang w:val="en-US"/>
        </w:rPr>
      </w:pPr>
    </w:p>
    <w:p w14:paraId="4B4C3D10" w14:textId="77777777" w:rsidR="00E52BBE" w:rsidRPr="00FE119F" w:rsidRDefault="00E52BBE" w:rsidP="00E52BBE">
      <w:pPr>
        <w:jc w:val="both"/>
        <w:rPr>
          <w:rFonts w:ascii="Arial" w:hAnsi="Arial" w:cs="Arial"/>
          <w:b/>
          <w:bCs/>
        </w:rPr>
      </w:pPr>
    </w:p>
    <w:p w14:paraId="1C2FCA5D" w14:textId="6D16FAC5" w:rsidR="00E91C11" w:rsidRPr="00FE119F" w:rsidRDefault="00E91C11" w:rsidP="00990774">
      <w:pPr>
        <w:jc w:val="both"/>
        <w:rPr>
          <w:rFonts w:ascii="Arial" w:hAnsi="Arial" w:cs="Arial"/>
          <w:b/>
          <w:bCs/>
        </w:rPr>
      </w:pPr>
      <w:r w:rsidRPr="00FE119F">
        <w:rPr>
          <w:rFonts w:ascii="Arial" w:hAnsi="Arial" w:cs="Arial"/>
          <w:b/>
          <w:bCs/>
        </w:rPr>
        <w:t>Article 7</w:t>
      </w:r>
    </w:p>
    <w:p w14:paraId="552EF4B4" w14:textId="7ED17907" w:rsidR="00184A77" w:rsidRPr="00FE119F" w:rsidRDefault="00E91C11" w:rsidP="00990774">
      <w:pPr>
        <w:jc w:val="both"/>
        <w:rPr>
          <w:rFonts w:ascii="Arial" w:hAnsi="Arial" w:cs="Arial"/>
          <w:b/>
          <w:bCs/>
        </w:rPr>
      </w:pPr>
      <w:r w:rsidRPr="00FE119F">
        <w:rPr>
          <w:rFonts w:ascii="Arial" w:hAnsi="Arial" w:cs="Arial"/>
          <w:b/>
          <w:bCs/>
        </w:rPr>
        <w:t>Additional information on the</w:t>
      </w:r>
      <w:r w:rsidR="00184A77" w:rsidRPr="00FE119F">
        <w:rPr>
          <w:rFonts w:ascii="Arial" w:hAnsi="Arial" w:cs="Arial"/>
          <w:b/>
          <w:bCs/>
        </w:rPr>
        <w:t xml:space="preserve"> needs of children with disabilities </w:t>
      </w:r>
      <w:r w:rsidRPr="00FE119F">
        <w:rPr>
          <w:rFonts w:ascii="Arial" w:hAnsi="Arial" w:cs="Arial"/>
          <w:b/>
          <w:bCs/>
        </w:rPr>
        <w:t xml:space="preserve">and </w:t>
      </w:r>
      <w:r w:rsidR="00184A77" w:rsidRPr="00FE119F">
        <w:rPr>
          <w:rFonts w:ascii="Arial" w:hAnsi="Arial" w:cs="Arial"/>
          <w:b/>
          <w:bCs/>
        </w:rPr>
        <w:t xml:space="preserve">the EU Children’s Participation Platform </w:t>
      </w:r>
    </w:p>
    <w:p w14:paraId="13E2040C" w14:textId="77777777" w:rsidR="00442A37" w:rsidRPr="00990774" w:rsidRDefault="00442A37" w:rsidP="00442A37">
      <w:pPr>
        <w:pStyle w:val="ListParagraph"/>
        <w:numPr>
          <w:ilvl w:val="0"/>
          <w:numId w:val="1"/>
        </w:numPr>
        <w:spacing w:after="0"/>
        <w:jc w:val="both"/>
        <w:rPr>
          <w:rFonts w:ascii="Arial" w:eastAsia="Arial" w:hAnsi="Arial" w:cs="Arial"/>
          <w:lang w:val="en-US"/>
        </w:rPr>
      </w:pPr>
      <w:r w:rsidRPr="00990774">
        <w:rPr>
          <w:rFonts w:ascii="Arial" w:eastAsia="Arial" w:hAnsi="Arial" w:cs="Arial"/>
          <w:lang w:val="en-US"/>
        </w:rPr>
        <w:t xml:space="preserve">The EU Children’s Participation Platform, a flagship initiative of the Strategy on the Rights of the Child, was launched in 2022 to amplify children’s voices and embed children in the EU decision-making process. The Platform brings together existing child-participation mechanisms from a wide spectrum of child representations, including children with disabilities, to work towards a more systemic, coherent, meaningful, inclusive, and safe approach to child participation – notably with the participation of children with disabilities in several meetings and in consultations. </w:t>
      </w:r>
    </w:p>
    <w:p w14:paraId="60C1F3E9" w14:textId="4ACE7953" w:rsidR="00442A37" w:rsidRPr="00990774" w:rsidRDefault="00442A37" w:rsidP="00442A37">
      <w:pPr>
        <w:pStyle w:val="ListParagraph"/>
        <w:numPr>
          <w:ilvl w:val="0"/>
          <w:numId w:val="1"/>
        </w:numPr>
        <w:spacing w:after="0"/>
        <w:jc w:val="both"/>
        <w:rPr>
          <w:rFonts w:ascii="Arial" w:eastAsia="Arial" w:hAnsi="Arial" w:cs="Arial"/>
          <w:lang w:val="en-US"/>
        </w:rPr>
      </w:pPr>
      <w:r w:rsidRPr="00990774">
        <w:rPr>
          <w:rFonts w:ascii="Arial" w:eastAsia="Arial" w:hAnsi="Arial" w:cs="Arial"/>
          <w:lang w:val="en-US"/>
        </w:rPr>
        <w:t xml:space="preserve">Other EU initiatives </w:t>
      </w:r>
      <w:proofErr w:type="gramStart"/>
      <w:r w:rsidRPr="00990774">
        <w:rPr>
          <w:rFonts w:ascii="Arial" w:eastAsia="Arial" w:hAnsi="Arial" w:cs="Arial"/>
          <w:lang w:val="en-US"/>
        </w:rPr>
        <w:t>take into account</w:t>
      </w:r>
      <w:proofErr w:type="gramEnd"/>
      <w:r w:rsidRPr="00990774">
        <w:rPr>
          <w:rFonts w:ascii="Arial" w:eastAsia="Arial" w:hAnsi="Arial" w:cs="Arial"/>
          <w:lang w:val="en-US"/>
        </w:rPr>
        <w:t xml:space="preserve"> the needs of children with disabilities. The EU Strategy for the Rights of the Child commits to ensuring complementarity with the Strategy for the Rights of Persons with Disabilities, to respond to the needs of children with disabilities and provide better access to mainstream services and independent living. It also commits to promoting accessible ICT and assistive technologies for children with disabilities. Further, it refers to inclusive education and accessible justice systems. The European Child Guarantee Council Recommendation </w:t>
      </w:r>
      <w:r w:rsidR="002A7E69" w:rsidRPr="00990774">
        <w:rPr>
          <w:rFonts w:ascii="Arial" w:eastAsia="Arial" w:hAnsi="Arial" w:cs="Arial"/>
          <w:lang w:val="en-US"/>
        </w:rPr>
        <w:t>includes</w:t>
      </w:r>
      <w:r w:rsidRPr="00990774">
        <w:rPr>
          <w:rFonts w:ascii="Arial" w:eastAsia="Arial" w:hAnsi="Arial" w:cs="Arial"/>
          <w:lang w:val="en-US"/>
        </w:rPr>
        <w:t xml:space="preserve"> children with disabilities among the groups experiencing specific disadvantages. </w:t>
      </w:r>
    </w:p>
    <w:p w14:paraId="0BB70A4A" w14:textId="6E115132" w:rsidR="00442A37" w:rsidRPr="00990774" w:rsidRDefault="00442A37" w:rsidP="00442A37">
      <w:pPr>
        <w:pStyle w:val="ListParagraph"/>
        <w:numPr>
          <w:ilvl w:val="0"/>
          <w:numId w:val="1"/>
        </w:numPr>
        <w:spacing w:after="0"/>
        <w:jc w:val="both"/>
        <w:rPr>
          <w:rFonts w:ascii="Arial" w:eastAsia="Arial" w:hAnsi="Arial" w:cs="Arial"/>
          <w:lang w:val="en-US"/>
        </w:rPr>
      </w:pPr>
      <w:r w:rsidRPr="00990774">
        <w:rPr>
          <w:rFonts w:ascii="Arial" w:eastAsia="Arial" w:hAnsi="Arial" w:cs="Arial"/>
          <w:lang w:val="en-US"/>
        </w:rPr>
        <w:t>The EU Agency for Fundamental Rights (FRA)</w:t>
      </w:r>
      <w:r w:rsidRPr="00990774">
        <w:rPr>
          <w:rFonts w:ascii="Arial" w:eastAsia="Arial" w:hAnsi="Arial" w:cs="Arial"/>
          <w:b/>
          <w:bCs/>
          <w:lang w:val="en-US"/>
        </w:rPr>
        <w:t xml:space="preserve"> </w:t>
      </w:r>
      <w:r w:rsidRPr="00990774">
        <w:rPr>
          <w:rFonts w:ascii="Arial" w:eastAsia="Arial" w:hAnsi="Arial" w:cs="Arial"/>
          <w:lang w:val="en-US"/>
        </w:rPr>
        <w:t xml:space="preserve">has provided findings and opinions on the rights of children with disabilities and flagged the need to disaggregate data by age and disability. The FRA’s latest research involving children looked at the practical implementation of Directive (EU) 2016/800 on procedural safeguards for children who are suspects or accused persons in criminal proceedings sought to include children with disabilities as interview partners, </w:t>
      </w:r>
      <w:proofErr w:type="gramStart"/>
      <w:r w:rsidRPr="00990774">
        <w:rPr>
          <w:rFonts w:ascii="Arial" w:eastAsia="Arial" w:hAnsi="Arial" w:cs="Arial"/>
          <w:lang w:val="en-US"/>
        </w:rPr>
        <w:t>in particular to</w:t>
      </w:r>
      <w:proofErr w:type="gramEnd"/>
      <w:r w:rsidRPr="00990774">
        <w:rPr>
          <w:rFonts w:ascii="Arial" w:eastAsia="Arial" w:hAnsi="Arial" w:cs="Arial"/>
          <w:lang w:val="en-US"/>
        </w:rPr>
        <w:t xml:space="preserve"> learn about their experiences with individual assessments designed to tailor the legal proceedings to their needs. </w:t>
      </w:r>
    </w:p>
    <w:p w14:paraId="7553CDD8" w14:textId="77777777" w:rsidR="00442A37" w:rsidRPr="00FE119F" w:rsidRDefault="00442A37" w:rsidP="00260A0F">
      <w:pPr>
        <w:ind w:left="720"/>
        <w:jc w:val="both"/>
        <w:rPr>
          <w:rFonts w:ascii="Arial" w:hAnsi="Arial" w:cs="Arial"/>
        </w:rPr>
      </w:pPr>
    </w:p>
    <w:p w14:paraId="7517E1BA" w14:textId="77777777" w:rsidR="00FF4583" w:rsidRPr="00990774" w:rsidRDefault="00FF4583" w:rsidP="00260A0F">
      <w:pPr>
        <w:pStyle w:val="ListParagraph"/>
        <w:spacing w:after="0"/>
        <w:jc w:val="both"/>
        <w:rPr>
          <w:rFonts w:ascii="Arial" w:eastAsia="Arial" w:hAnsi="Arial" w:cs="Arial"/>
          <w:lang w:val="en-US"/>
        </w:rPr>
      </w:pPr>
    </w:p>
    <w:p w14:paraId="13BBB832" w14:textId="70E285F7" w:rsidR="006A3685" w:rsidRPr="00FE119F" w:rsidRDefault="006A3685" w:rsidP="00FE119F">
      <w:pPr>
        <w:jc w:val="both"/>
        <w:rPr>
          <w:rFonts w:ascii="Arial" w:hAnsi="Arial" w:cs="Arial"/>
          <w:b/>
          <w:bCs/>
        </w:rPr>
      </w:pPr>
      <w:r w:rsidRPr="00FE119F">
        <w:rPr>
          <w:rFonts w:ascii="Arial" w:hAnsi="Arial" w:cs="Arial"/>
          <w:b/>
          <w:bCs/>
        </w:rPr>
        <w:t>Article 8</w:t>
      </w:r>
    </w:p>
    <w:p w14:paraId="47AF673F" w14:textId="39F13184" w:rsidR="006A3685" w:rsidRPr="00FE119F" w:rsidRDefault="006A3685" w:rsidP="00FE119F">
      <w:pPr>
        <w:jc w:val="both"/>
        <w:rPr>
          <w:rFonts w:ascii="Arial" w:hAnsi="Arial" w:cs="Arial"/>
          <w:b/>
          <w:bCs/>
        </w:rPr>
      </w:pPr>
      <w:r w:rsidRPr="00FE119F">
        <w:rPr>
          <w:rFonts w:ascii="Arial" w:hAnsi="Arial" w:cs="Arial"/>
          <w:b/>
          <w:bCs/>
        </w:rPr>
        <w:t xml:space="preserve">Additional information on training </w:t>
      </w:r>
    </w:p>
    <w:p w14:paraId="6CE4A7A5" w14:textId="63183D31" w:rsidR="00442A37" w:rsidRPr="00FE119F" w:rsidRDefault="0098166F" w:rsidP="00FE119F">
      <w:pPr>
        <w:pStyle w:val="ListParagraph"/>
        <w:numPr>
          <w:ilvl w:val="0"/>
          <w:numId w:val="15"/>
        </w:numPr>
        <w:jc w:val="both"/>
        <w:rPr>
          <w:rFonts w:ascii="Arial" w:hAnsi="Arial" w:cs="Arial"/>
        </w:rPr>
      </w:pPr>
      <w:r w:rsidRPr="00FE119F">
        <w:rPr>
          <w:rFonts w:ascii="Arial" w:hAnsi="Arial" w:cs="Arial"/>
        </w:rPr>
        <w:t>Within the Commission t</w:t>
      </w:r>
      <w:r w:rsidR="00442A37" w:rsidRPr="00FE119F">
        <w:rPr>
          <w:rFonts w:ascii="Arial" w:hAnsi="Arial" w:cs="Arial"/>
        </w:rPr>
        <w:t xml:space="preserve">he Task Force on Equality Secretariat works on raising awareness on equality issues, including by providing training to staff. </w:t>
      </w:r>
    </w:p>
    <w:p w14:paraId="21A090F1" w14:textId="77777777" w:rsidR="0048539B" w:rsidRPr="00FE119F" w:rsidRDefault="00442A37" w:rsidP="00FE119F">
      <w:pPr>
        <w:pStyle w:val="ListParagraph"/>
        <w:numPr>
          <w:ilvl w:val="0"/>
          <w:numId w:val="15"/>
        </w:numPr>
        <w:jc w:val="both"/>
        <w:rPr>
          <w:rFonts w:ascii="Arial" w:hAnsi="Arial" w:cs="Arial"/>
        </w:rPr>
      </w:pPr>
      <w:r w:rsidRPr="00FE119F">
        <w:rPr>
          <w:rFonts w:ascii="Arial" w:hAnsi="Arial" w:cs="Arial"/>
        </w:rPr>
        <w:t>While some courses address equality mainstreaming in general, others focus on a specific ground of non-discrimination, like disability. In 2021–2022, the Task Force organised a total of seven training sessions, including two specifically focused on disability mainstreaming. Some training sessions were addressed to equality coordinators and their teams, while others were open to all staff</w:t>
      </w:r>
      <w:r w:rsidR="001E4D6E" w:rsidRPr="00FE119F">
        <w:rPr>
          <w:rFonts w:ascii="Arial" w:hAnsi="Arial" w:cs="Arial"/>
        </w:rPr>
        <w:t xml:space="preserve">, further seminars were organized in </w:t>
      </w:r>
      <w:r w:rsidR="0048539B" w:rsidRPr="00FE119F">
        <w:rPr>
          <w:rFonts w:ascii="Arial" w:hAnsi="Arial" w:cs="Arial"/>
        </w:rPr>
        <w:t>2023-24</w:t>
      </w:r>
      <w:r w:rsidRPr="00FE119F">
        <w:rPr>
          <w:rFonts w:ascii="Arial" w:hAnsi="Arial" w:cs="Arial"/>
        </w:rPr>
        <w:t xml:space="preserve">. </w:t>
      </w:r>
      <w:r w:rsidR="0048539B" w:rsidRPr="00FE119F">
        <w:rPr>
          <w:rFonts w:ascii="Arial" w:hAnsi="Arial" w:cs="Arial"/>
        </w:rPr>
        <w:t xml:space="preserve">Over </w:t>
      </w:r>
      <w:r w:rsidRPr="00FE119F">
        <w:rPr>
          <w:rFonts w:ascii="Arial" w:hAnsi="Arial" w:cs="Arial"/>
        </w:rPr>
        <w:t>3</w:t>
      </w:r>
      <w:r w:rsidR="0048539B" w:rsidRPr="00FE119F">
        <w:rPr>
          <w:rFonts w:ascii="Arial" w:hAnsi="Arial" w:cs="Arial"/>
        </w:rPr>
        <w:t>1</w:t>
      </w:r>
      <w:r w:rsidRPr="00FE119F">
        <w:rPr>
          <w:rFonts w:ascii="Arial" w:hAnsi="Arial" w:cs="Arial"/>
        </w:rPr>
        <w:t xml:space="preserve">0 colleagues attended these courses. </w:t>
      </w:r>
    </w:p>
    <w:p w14:paraId="1B0057F5" w14:textId="0D8E27FB" w:rsidR="00442A37" w:rsidRPr="00FE119F" w:rsidRDefault="00442A37" w:rsidP="00FE119F">
      <w:pPr>
        <w:pStyle w:val="ListParagraph"/>
        <w:numPr>
          <w:ilvl w:val="0"/>
          <w:numId w:val="15"/>
        </w:numPr>
        <w:jc w:val="both"/>
        <w:rPr>
          <w:rFonts w:ascii="Arial" w:hAnsi="Arial" w:cs="Arial"/>
        </w:rPr>
      </w:pPr>
      <w:r w:rsidRPr="00FE119F">
        <w:rPr>
          <w:rFonts w:ascii="Arial" w:hAnsi="Arial" w:cs="Arial"/>
        </w:rPr>
        <w:lastRenderedPageBreak/>
        <w:t xml:space="preserve">The Task Force is also developing an e-module on equality mainstreaming, covering disability. </w:t>
      </w:r>
      <w:r w:rsidR="007C2832" w:rsidRPr="00FE119F">
        <w:rPr>
          <w:rFonts w:ascii="Arial" w:hAnsi="Arial" w:cs="Arial"/>
        </w:rPr>
        <w:t xml:space="preserve">A </w:t>
      </w:r>
      <w:r w:rsidR="00292FBF" w:rsidRPr="00FE119F">
        <w:rPr>
          <w:rFonts w:ascii="Arial" w:hAnsi="Arial" w:cs="Arial"/>
        </w:rPr>
        <w:t>document on disability mainstreaming was prepared and incorporated in the Equality Mainstreaming Toolbox.</w:t>
      </w:r>
    </w:p>
    <w:p w14:paraId="773B24F2" w14:textId="77777777" w:rsidR="00442A37" w:rsidRPr="00FE119F" w:rsidRDefault="00442A37" w:rsidP="00FE119F">
      <w:pPr>
        <w:pStyle w:val="ListParagraph"/>
        <w:numPr>
          <w:ilvl w:val="0"/>
          <w:numId w:val="15"/>
        </w:numPr>
        <w:jc w:val="both"/>
        <w:rPr>
          <w:rFonts w:ascii="Arial" w:hAnsi="Arial" w:cs="Arial"/>
        </w:rPr>
      </w:pPr>
      <w:r w:rsidRPr="00FE119F">
        <w:rPr>
          <w:rFonts w:ascii="Arial" w:hAnsi="Arial" w:cs="Arial"/>
        </w:rPr>
        <w:t>Until 2019, the Commission funded the Academy of European Law (ERA) to develop and deliver training for legal and administrative professionals on legal matters related to the UNCRPD. ERA currently organises an annual event on disability and mainstreams, where possible, the UNCRPD in their legal training.</w:t>
      </w:r>
    </w:p>
    <w:p w14:paraId="30F4D674" w14:textId="77777777" w:rsidR="002C4C0F" w:rsidRPr="00990774" w:rsidRDefault="002C4C0F" w:rsidP="00FE119F">
      <w:pPr>
        <w:pStyle w:val="ListParagraph"/>
        <w:numPr>
          <w:ilvl w:val="0"/>
          <w:numId w:val="15"/>
        </w:numPr>
        <w:jc w:val="both"/>
        <w:rPr>
          <w:rFonts w:ascii="Arial" w:hAnsi="Arial" w:cs="Arial"/>
        </w:rPr>
      </w:pPr>
      <w:r w:rsidRPr="00990774">
        <w:rPr>
          <w:rFonts w:ascii="Arial" w:hAnsi="Arial" w:cs="Arial"/>
        </w:rPr>
        <w:t xml:space="preserve">The Commission’s annual Fundamental Rights Network Seminar brings together all colleagues working on human rights-related matters in both the EU headquarters and in delegations of the Enlargement and Neighbourhood regions and is a regular opportunity to train colleagues on the implementation of the UNCRPD. The 2022 edition was dedicated to key international and European policy frameworks related to the rights of persons with </w:t>
      </w:r>
      <w:proofErr w:type="gramStart"/>
      <w:r w:rsidRPr="00990774">
        <w:rPr>
          <w:rFonts w:ascii="Arial" w:hAnsi="Arial" w:cs="Arial"/>
        </w:rPr>
        <w:t>disabilities, and</w:t>
      </w:r>
      <w:proofErr w:type="gramEnd"/>
      <w:r w:rsidRPr="00990774">
        <w:rPr>
          <w:rFonts w:ascii="Arial" w:hAnsi="Arial" w:cs="Arial"/>
        </w:rPr>
        <w:t xml:space="preserve"> included a presentation by the UN Special Rapporteur on the rights of persons with disabilities. </w:t>
      </w:r>
    </w:p>
    <w:p w14:paraId="68067006" w14:textId="2552FF1F" w:rsidR="00442A37" w:rsidRPr="00FE119F" w:rsidRDefault="00442A37" w:rsidP="00FE119F">
      <w:pPr>
        <w:pStyle w:val="ListParagraph"/>
        <w:numPr>
          <w:ilvl w:val="0"/>
          <w:numId w:val="15"/>
        </w:numPr>
        <w:jc w:val="both"/>
        <w:rPr>
          <w:rFonts w:ascii="Arial" w:hAnsi="Arial" w:cs="Arial"/>
        </w:rPr>
      </w:pPr>
      <w:r w:rsidRPr="00FE119F">
        <w:rPr>
          <w:rFonts w:ascii="Arial" w:hAnsi="Arial" w:cs="Arial"/>
        </w:rPr>
        <w:t xml:space="preserve">The European School Education Platform regularly covers the topic of special educational needs (SEN) as part of its activities. In 2024, the platform hosted a series of webinars and online training courses for teachers, covering topics such as neurodiversity in classrooms, universal design for learning, supporting students with SEN, and collaborative approaches in SEN. </w:t>
      </w:r>
    </w:p>
    <w:p w14:paraId="2A7F6223" w14:textId="49C7C511" w:rsidR="003A1088" w:rsidRPr="00FE119F" w:rsidRDefault="003A1088" w:rsidP="00FE119F">
      <w:pPr>
        <w:pStyle w:val="ListParagraph"/>
        <w:numPr>
          <w:ilvl w:val="0"/>
          <w:numId w:val="15"/>
        </w:numPr>
        <w:jc w:val="both"/>
        <w:rPr>
          <w:rFonts w:ascii="Arial" w:hAnsi="Arial" w:cs="Arial"/>
        </w:rPr>
      </w:pPr>
      <w:r w:rsidRPr="00FE119F">
        <w:rPr>
          <w:rFonts w:ascii="Arial" w:hAnsi="Arial" w:cs="Arial"/>
        </w:rPr>
        <w:t xml:space="preserve">The Council Recommendation on Pathways to School Success addresses the need for initial teacher education and continuous professional development to better prepare teachers and other staff to work effectively with learners at risk of exclusion, underachievement and early school leaving. </w:t>
      </w:r>
    </w:p>
    <w:p w14:paraId="24DA09FF" w14:textId="0FE0099A" w:rsidR="00FF4583" w:rsidRPr="00990774" w:rsidRDefault="004237D1" w:rsidP="00FE119F">
      <w:pPr>
        <w:pStyle w:val="ListParagraph"/>
        <w:numPr>
          <w:ilvl w:val="0"/>
          <w:numId w:val="15"/>
        </w:numPr>
        <w:jc w:val="both"/>
        <w:rPr>
          <w:rFonts w:ascii="Arial" w:hAnsi="Arial" w:cs="Arial"/>
        </w:rPr>
      </w:pPr>
      <w:r w:rsidRPr="00990774">
        <w:rPr>
          <w:rFonts w:ascii="Arial" w:hAnsi="Arial" w:cs="Arial"/>
        </w:rPr>
        <w:t xml:space="preserve">The EU passenger rights legislation requires carriers and terminal operators to provide </w:t>
      </w:r>
      <w:r w:rsidRPr="00FE119F">
        <w:rPr>
          <w:rFonts w:ascii="Arial" w:hAnsi="Arial" w:cs="Arial"/>
        </w:rPr>
        <w:t>disability awareness and disability assistance training for their employees in</w:t>
      </w:r>
      <w:r w:rsidR="00615BB4" w:rsidRPr="00FE119F">
        <w:rPr>
          <w:rFonts w:ascii="Arial" w:hAnsi="Arial" w:cs="Arial"/>
        </w:rPr>
        <w:t xml:space="preserve"> the</w:t>
      </w:r>
      <w:r w:rsidRPr="00FE119F">
        <w:rPr>
          <w:rFonts w:ascii="Arial" w:hAnsi="Arial" w:cs="Arial"/>
        </w:rPr>
        <w:t xml:space="preserve"> aviation</w:t>
      </w:r>
      <w:r w:rsidR="002C4C0F" w:rsidRPr="00FE119F">
        <w:rPr>
          <w:rFonts w:ascii="Arial" w:hAnsi="Arial" w:cs="Arial"/>
        </w:rPr>
        <w:t xml:space="preserve">, </w:t>
      </w:r>
      <w:r w:rsidRPr="00FE119F">
        <w:rPr>
          <w:rFonts w:ascii="Arial" w:hAnsi="Arial" w:cs="Arial"/>
        </w:rPr>
        <w:t>rail, bus and coach</w:t>
      </w:r>
      <w:r w:rsidR="002C4C0F" w:rsidRPr="00FE119F">
        <w:rPr>
          <w:rFonts w:ascii="Arial" w:hAnsi="Arial" w:cs="Arial"/>
        </w:rPr>
        <w:t>,</w:t>
      </w:r>
      <w:r w:rsidRPr="00FE119F">
        <w:rPr>
          <w:rFonts w:ascii="Arial" w:hAnsi="Arial" w:cs="Arial"/>
        </w:rPr>
        <w:t xml:space="preserve"> and waterborne sector</w:t>
      </w:r>
      <w:r w:rsidR="00615BB4" w:rsidRPr="00FE119F">
        <w:rPr>
          <w:rFonts w:ascii="Arial" w:hAnsi="Arial" w:cs="Arial"/>
        </w:rPr>
        <w:t>s</w:t>
      </w:r>
      <w:r w:rsidRPr="00990774">
        <w:rPr>
          <w:rFonts w:ascii="Arial" w:hAnsi="Arial" w:cs="Arial"/>
        </w:rPr>
        <w:t>.</w:t>
      </w:r>
    </w:p>
    <w:p w14:paraId="4DACCD83" w14:textId="77777777" w:rsidR="006A3685" w:rsidRPr="00990774" w:rsidRDefault="006A3685" w:rsidP="00260A0F">
      <w:pPr>
        <w:ind w:left="720"/>
        <w:jc w:val="both"/>
        <w:rPr>
          <w:rFonts w:ascii="Arial" w:hAnsi="Arial" w:cs="Arial"/>
        </w:rPr>
      </w:pPr>
    </w:p>
    <w:p w14:paraId="2B8E4359" w14:textId="77777777" w:rsidR="006A3685" w:rsidRPr="00FE119F" w:rsidRDefault="006A3685" w:rsidP="00FE119F">
      <w:pPr>
        <w:jc w:val="both"/>
        <w:rPr>
          <w:rFonts w:ascii="Arial" w:hAnsi="Arial" w:cs="Arial"/>
          <w:b/>
          <w:bCs/>
        </w:rPr>
      </w:pPr>
      <w:r w:rsidRPr="00FE119F">
        <w:rPr>
          <w:rFonts w:ascii="Arial" w:hAnsi="Arial" w:cs="Arial"/>
          <w:b/>
          <w:bCs/>
        </w:rPr>
        <w:t>Article 11</w:t>
      </w:r>
    </w:p>
    <w:p w14:paraId="0BBA7617" w14:textId="496E5107" w:rsidR="006A3685" w:rsidRPr="00FE119F" w:rsidRDefault="006A3685" w:rsidP="00FE119F">
      <w:pPr>
        <w:jc w:val="both"/>
        <w:rPr>
          <w:rFonts w:ascii="Arial" w:hAnsi="Arial" w:cs="Arial"/>
          <w:b/>
          <w:bCs/>
        </w:rPr>
      </w:pPr>
      <w:r w:rsidRPr="00FE119F">
        <w:rPr>
          <w:rFonts w:ascii="Arial" w:hAnsi="Arial" w:cs="Arial"/>
          <w:b/>
          <w:bCs/>
        </w:rPr>
        <w:t>Additional information on humanitarian action guidelines</w:t>
      </w:r>
    </w:p>
    <w:p w14:paraId="0B511225" w14:textId="77777777" w:rsidR="006A3685" w:rsidRPr="00990774" w:rsidRDefault="006A3685" w:rsidP="00FE119F">
      <w:pPr>
        <w:pStyle w:val="ListParagraph"/>
        <w:numPr>
          <w:ilvl w:val="0"/>
          <w:numId w:val="15"/>
        </w:numPr>
        <w:jc w:val="both"/>
        <w:rPr>
          <w:rFonts w:ascii="Arial" w:hAnsi="Arial" w:cs="Arial"/>
        </w:rPr>
      </w:pPr>
      <w:r w:rsidRPr="00990774">
        <w:rPr>
          <w:rFonts w:ascii="Arial" w:hAnsi="Arial" w:cs="Arial"/>
        </w:rPr>
        <w:t xml:space="preserve">In 2019 we published our Operational Guidance on the Inclusion of Persons with Disabilities in EU-funded Humanitarian Aid Operations. The guidance applies to all the actions -in all sectors- we finance. The guidance consists of three main parts: first, it presents disability mainstreaming in programming with a series of concrete examples; second, it provides tools to collect data and measure disability inclusion; third, it puts forward practical recommendations for inclusive operations. </w:t>
      </w:r>
    </w:p>
    <w:p w14:paraId="4031DB5A" w14:textId="77777777" w:rsidR="006A3685" w:rsidRPr="00990774" w:rsidRDefault="006A3685" w:rsidP="00FE119F">
      <w:pPr>
        <w:pStyle w:val="ListParagraph"/>
        <w:numPr>
          <w:ilvl w:val="0"/>
          <w:numId w:val="15"/>
        </w:numPr>
        <w:jc w:val="both"/>
        <w:rPr>
          <w:rFonts w:ascii="Arial" w:hAnsi="Arial" w:cs="Arial"/>
        </w:rPr>
      </w:pPr>
      <w:r w:rsidRPr="00990774">
        <w:rPr>
          <w:rFonts w:ascii="Arial" w:hAnsi="Arial" w:cs="Arial"/>
        </w:rPr>
        <w:t xml:space="preserve">In July 2023, we launched a dedicated e-learning to further promote the use of the Guidance and better equip partners and staff to put it into practice. So far, over 270 users subscribed to the e-learning. </w:t>
      </w:r>
    </w:p>
    <w:p w14:paraId="53B8D13A" w14:textId="77777777" w:rsidR="006A3685" w:rsidRPr="00990774" w:rsidRDefault="006A3685" w:rsidP="00FE119F">
      <w:pPr>
        <w:pStyle w:val="ListParagraph"/>
        <w:numPr>
          <w:ilvl w:val="0"/>
          <w:numId w:val="15"/>
        </w:numPr>
        <w:jc w:val="both"/>
        <w:rPr>
          <w:rFonts w:ascii="Arial" w:hAnsi="Arial" w:cs="Arial"/>
        </w:rPr>
      </w:pPr>
      <w:r w:rsidRPr="00990774">
        <w:rPr>
          <w:rFonts w:ascii="Arial" w:hAnsi="Arial" w:cs="Arial"/>
        </w:rPr>
        <w:t xml:space="preserve">We supported the development and the dissemination of the IASC guidelines. Our operational guidance was published shortly before the IASC </w:t>
      </w:r>
      <w:proofErr w:type="gramStart"/>
      <w:r w:rsidRPr="00990774">
        <w:rPr>
          <w:rFonts w:ascii="Arial" w:hAnsi="Arial" w:cs="Arial"/>
        </w:rPr>
        <w:t>Guidance,</w:t>
      </w:r>
      <w:proofErr w:type="gramEnd"/>
      <w:r w:rsidRPr="00990774">
        <w:rPr>
          <w:rFonts w:ascii="Arial" w:hAnsi="Arial" w:cs="Arial"/>
        </w:rPr>
        <w:t xml:space="preserve"> however, they are in line and it explicitly refer to it.</w:t>
      </w:r>
    </w:p>
    <w:p w14:paraId="0F5C520F" w14:textId="77777777" w:rsidR="006A3685" w:rsidRPr="00990774" w:rsidRDefault="006A3685" w:rsidP="00260A0F">
      <w:pPr>
        <w:ind w:left="720"/>
        <w:jc w:val="both"/>
        <w:rPr>
          <w:rFonts w:ascii="Arial" w:hAnsi="Arial" w:cs="Arial"/>
        </w:rPr>
      </w:pPr>
    </w:p>
    <w:p w14:paraId="507F3EB5" w14:textId="77777777" w:rsidR="006A3685" w:rsidRPr="00FE119F" w:rsidRDefault="006A3685" w:rsidP="00FE119F">
      <w:pPr>
        <w:jc w:val="both"/>
        <w:rPr>
          <w:rFonts w:ascii="Arial" w:hAnsi="Arial" w:cs="Arial"/>
          <w:b/>
          <w:bCs/>
        </w:rPr>
      </w:pPr>
      <w:r w:rsidRPr="00FE119F">
        <w:rPr>
          <w:rFonts w:ascii="Arial" w:hAnsi="Arial" w:cs="Arial"/>
          <w:b/>
          <w:bCs/>
        </w:rPr>
        <w:t>Article 13</w:t>
      </w:r>
    </w:p>
    <w:p w14:paraId="3C95971F" w14:textId="09FB4E27" w:rsidR="006A3685" w:rsidRPr="00FE119F" w:rsidRDefault="006A3685" w:rsidP="00FE119F">
      <w:pPr>
        <w:jc w:val="both"/>
        <w:rPr>
          <w:rFonts w:ascii="Arial" w:hAnsi="Arial" w:cs="Arial"/>
          <w:b/>
          <w:bCs/>
        </w:rPr>
      </w:pPr>
      <w:r w:rsidRPr="00FE119F">
        <w:rPr>
          <w:rFonts w:ascii="Arial" w:hAnsi="Arial" w:cs="Arial"/>
          <w:b/>
          <w:bCs/>
        </w:rPr>
        <w:t xml:space="preserve">Additional information on procedural accommodation in Victims’ rights Directive </w:t>
      </w:r>
    </w:p>
    <w:p w14:paraId="51D35348" w14:textId="77777777" w:rsidR="006A3685" w:rsidRDefault="006A3685" w:rsidP="006A3685">
      <w:pPr>
        <w:pStyle w:val="ListParagraph"/>
        <w:numPr>
          <w:ilvl w:val="0"/>
          <w:numId w:val="15"/>
        </w:numPr>
        <w:jc w:val="both"/>
        <w:rPr>
          <w:rFonts w:ascii="Arial" w:hAnsi="Arial" w:cs="Arial"/>
        </w:rPr>
      </w:pPr>
      <w:r w:rsidRPr="00FE119F">
        <w:rPr>
          <w:rFonts w:ascii="Arial" w:hAnsi="Arial" w:cs="Arial"/>
        </w:rPr>
        <w:lastRenderedPageBreak/>
        <w:t>The Commission had not proposed this exact formulation in its proposal from July 2023.  Nonetheless, the concept was introduced by the European Parliament in its report on the revision of the Victims’ Rights Directive in April 2004. Currently the revision of the Directive is discussed by the European co-legislators, and we expect a swift adoption of an ambitious text.</w:t>
      </w:r>
    </w:p>
    <w:p w14:paraId="1AA73A76" w14:textId="77777777" w:rsidR="000905EC" w:rsidRPr="00FE119F" w:rsidRDefault="000905EC" w:rsidP="000905EC">
      <w:pPr>
        <w:pStyle w:val="ListParagraph"/>
        <w:jc w:val="both"/>
        <w:rPr>
          <w:rFonts w:ascii="Arial" w:hAnsi="Arial" w:cs="Arial"/>
        </w:rPr>
      </w:pPr>
    </w:p>
    <w:p w14:paraId="332ED4E3" w14:textId="77777777" w:rsidR="006A3685" w:rsidRPr="00FE119F" w:rsidRDefault="006A3685" w:rsidP="00FE119F">
      <w:pPr>
        <w:jc w:val="both"/>
        <w:rPr>
          <w:rFonts w:ascii="Arial" w:hAnsi="Arial" w:cs="Arial"/>
          <w:b/>
          <w:bCs/>
        </w:rPr>
      </w:pPr>
      <w:r w:rsidRPr="00FE119F">
        <w:rPr>
          <w:rFonts w:ascii="Arial" w:hAnsi="Arial" w:cs="Arial"/>
          <w:b/>
          <w:bCs/>
        </w:rPr>
        <w:t>Article 13</w:t>
      </w:r>
    </w:p>
    <w:p w14:paraId="26A9D93D" w14:textId="08F1ECBD" w:rsidR="006A3685" w:rsidRPr="00FE119F" w:rsidRDefault="006A3685" w:rsidP="00FE119F">
      <w:pPr>
        <w:jc w:val="both"/>
        <w:rPr>
          <w:rFonts w:ascii="Arial" w:hAnsi="Arial" w:cs="Arial"/>
          <w:b/>
          <w:bCs/>
        </w:rPr>
      </w:pPr>
      <w:r w:rsidRPr="00FE119F">
        <w:rPr>
          <w:rFonts w:ascii="Arial" w:hAnsi="Arial" w:cs="Arial"/>
          <w:b/>
          <w:bCs/>
        </w:rPr>
        <w:t xml:space="preserve">Additional information on procedural accommodation in the European Court of Justice </w:t>
      </w:r>
    </w:p>
    <w:p w14:paraId="5C34C558" w14:textId="77777777" w:rsidR="006A3685" w:rsidRPr="00FE119F" w:rsidRDefault="006A3685" w:rsidP="006A3685">
      <w:pPr>
        <w:jc w:val="both"/>
        <w:rPr>
          <w:rFonts w:ascii="Arial" w:hAnsi="Arial" w:cs="Arial"/>
        </w:rPr>
      </w:pPr>
      <w:r w:rsidRPr="00FE119F">
        <w:rPr>
          <w:rFonts w:ascii="Arial" w:hAnsi="Arial" w:cs="Arial"/>
        </w:rPr>
        <w:t>Examples of procedural accommodation for persons with disabilities in the European courts may be found in the practice rules of the Court and the General Court. Some examples include:</w:t>
      </w:r>
    </w:p>
    <w:p w14:paraId="6F83AE96" w14:textId="77777777" w:rsidR="006A3685" w:rsidRPr="00FE119F" w:rsidRDefault="006A3685" w:rsidP="00FE119F">
      <w:pPr>
        <w:pStyle w:val="ListParagraph"/>
        <w:numPr>
          <w:ilvl w:val="0"/>
          <w:numId w:val="15"/>
        </w:numPr>
        <w:jc w:val="both"/>
        <w:rPr>
          <w:rFonts w:ascii="Arial" w:hAnsi="Arial" w:cs="Arial"/>
        </w:rPr>
      </w:pPr>
      <w:r w:rsidRPr="00FE119F">
        <w:rPr>
          <w:rFonts w:ascii="Arial" w:hAnsi="Arial" w:cs="Arial"/>
        </w:rPr>
        <w:t>“In the context of that response, and with a view to ensuring the best possible organisation of the hearing, the parties and their representatives are also requested to inform the Court of any particular measures that would facilitate their actual participation in the hearing, in particular in cases of disability or reduced mobility.”</w:t>
      </w:r>
      <w:r w:rsidRPr="00FE119F">
        <w:footnoteReference w:id="2"/>
      </w:r>
      <w:r w:rsidRPr="00FE119F">
        <w:rPr>
          <w:rFonts w:ascii="Arial" w:hAnsi="Arial" w:cs="Arial"/>
        </w:rPr>
        <w:t xml:space="preserve"> (ECJ)</w:t>
      </w:r>
    </w:p>
    <w:p w14:paraId="29CDA6BB" w14:textId="77777777" w:rsidR="006A3685" w:rsidRDefault="006A3685" w:rsidP="00FE119F">
      <w:pPr>
        <w:pStyle w:val="ListParagraph"/>
        <w:numPr>
          <w:ilvl w:val="0"/>
          <w:numId w:val="15"/>
        </w:numPr>
        <w:jc w:val="both"/>
        <w:rPr>
          <w:rFonts w:ascii="Arial" w:hAnsi="Arial" w:cs="Arial"/>
        </w:rPr>
      </w:pPr>
      <w:r w:rsidRPr="00FE119F">
        <w:rPr>
          <w:rFonts w:ascii="Arial" w:hAnsi="Arial" w:cs="Arial"/>
        </w:rPr>
        <w:t>“With a view to ensuring the best possible organisation of the hearing, the parties and their representatives are also requested to inform the General Court of any particular measures that would facilitate their actual participation in the hearing, in particular in cases of disability or reduced mobility.”</w:t>
      </w:r>
      <w:r w:rsidRPr="00FE119F">
        <w:footnoteReference w:id="3"/>
      </w:r>
      <w:r w:rsidRPr="00FE119F">
        <w:rPr>
          <w:rFonts w:ascii="Arial" w:hAnsi="Arial" w:cs="Arial"/>
        </w:rPr>
        <w:t xml:space="preserve"> (General court)</w:t>
      </w:r>
    </w:p>
    <w:p w14:paraId="251DF3FB" w14:textId="77777777" w:rsidR="000905EC" w:rsidRPr="00FE119F" w:rsidRDefault="000905EC" w:rsidP="000905EC">
      <w:pPr>
        <w:pStyle w:val="ListParagraph"/>
        <w:jc w:val="both"/>
        <w:rPr>
          <w:rFonts w:ascii="Arial" w:hAnsi="Arial" w:cs="Arial"/>
        </w:rPr>
      </w:pPr>
    </w:p>
    <w:p w14:paraId="51821FAF" w14:textId="77777777" w:rsidR="006A3685" w:rsidRPr="00FE119F" w:rsidRDefault="006A3685" w:rsidP="00FE119F">
      <w:pPr>
        <w:jc w:val="both"/>
        <w:rPr>
          <w:rFonts w:ascii="Arial" w:hAnsi="Arial" w:cs="Arial"/>
          <w:b/>
          <w:bCs/>
        </w:rPr>
      </w:pPr>
      <w:r w:rsidRPr="00FE119F">
        <w:rPr>
          <w:rFonts w:ascii="Arial" w:hAnsi="Arial" w:cs="Arial"/>
          <w:b/>
          <w:bCs/>
        </w:rPr>
        <w:t>Article 16</w:t>
      </w:r>
    </w:p>
    <w:p w14:paraId="08066EEB" w14:textId="77777777" w:rsidR="006A3685" w:rsidRPr="00FE119F" w:rsidRDefault="006A3685" w:rsidP="00FE119F">
      <w:pPr>
        <w:jc w:val="both"/>
        <w:rPr>
          <w:rFonts w:ascii="Arial" w:hAnsi="Arial" w:cs="Arial"/>
          <w:b/>
          <w:bCs/>
        </w:rPr>
      </w:pPr>
      <w:r w:rsidRPr="00FE119F">
        <w:rPr>
          <w:rFonts w:ascii="Arial" w:hAnsi="Arial" w:cs="Arial"/>
          <w:b/>
          <w:bCs/>
        </w:rPr>
        <w:t xml:space="preserve">Additional information on EU Strategy on </w:t>
      </w:r>
      <w:proofErr w:type="spellStart"/>
      <w:proofErr w:type="gramStart"/>
      <w:r w:rsidRPr="00FE119F">
        <w:rPr>
          <w:rFonts w:ascii="Arial" w:hAnsi="Arial" w:cs="Arial"/>
          <w:b/>
          <w:bCs/>
        </w:rPr>
        <w:t>victims</w:t>
      </w:r>
      <w:proofErr w:type="spellEnd"/>
      <w:proofErr w:type="gramEnd"/>
      <w:r w:rsidRPr="00FE119F">
        <w:rPr>
          <w:rFonts w:ascii="Arial" w:hAnsi="Arial" w:cs="Arial"/>
          <w:b/>
          <w:bCs/>
        </w:rPr>
        <w:t xml:space="preserve"> rights and institutionalisation</w:t>
      </w:r>
    </w:p>
    <w:p w14:paraId="37A1EA59" w14:textId="77777777" w:rsidR="006A3685" w:rsidRPr="00FE119F" w:rsidRDefault="006A3685" w:rsidP="006A3685">
      <w:pPr>
        <w:pStyle w:val="ListParagraph"/>
        <w:numPr>
          <w:ilvl w:val="0"/>
          <w:numId w:val="15"/>
        </w:numPr>
        <w:jc w:val="both"/>
        <w:rPr>
          <w:rFonts w:ascii="Arial" w:hAnsi="Arial" w:cs="Arial"/>
        </w:rPr>
      </w:pPr>
      <w:r w:rsidRPr="00FE119F">
        <w:rPr>
          <w:rFonts w:ascii="Arial" w:hAnsi="Arial" w:cs="Arial"/>
        </w:rPr>
        <w:t xml:space="preserve">The </w:t>
      </w:r>
      <w:hyperlink r:id="rId10" w:tgtFrame="_blank" w:history="1">
        <w:r w:rsidRPr="00FE119F">
          <w:rPr>
            <w:rFonts w:ascii="Arial" w:hAnsi="Arial" w:cs="Arial"/>
          </w:rPr>
          <w:t>EU Strategy on victims’ rights (2020-2025)</w:t>
        </w:r>
      </w:hyperlink>
      <w:r w:rsidRPr="00FE119F">
        <w:rPr>
          <w:rFonts w:ascii="Arial" w:hAnsi="Arial" w:cs="Arial"/>
        </w:rPr>
        <w:t xml:space="preserve"> aims at ensuring access to justice for all victims of crime no matter where in the EU or in what circumstances the crime took place. It recognises that persons with disabilities are often victims of hate crime and of different forms of abuse and that their access to justice may be more difficult if they are deprived of their legal capacity. It calls for calls for targeted measures for persons with disabilities. This entails accessible and inclusive services, venues, communication, and training of personnel, in line with the provisions of the United Nations Convention on the Rights of Persons with Disabilities. </w:t>
      </w:r>
    </w:p>
    <w:p w14:paraId="59A82DF9" w14:textId="77777777" w:rsidR="006A3685" w:rsidRPr="00FE119F" w:rsidRDefault="006A3685" w:rsidP="006A3685">
      <w:pPr>
        <w:pStyle w:val="ListParagraph"/>
        <w:numPr>
          <w:ilvl w:val="0"/>
          <w:numId w:val="15"/>
        </w:numPr>
        <w:jc w:val="both"/>
        <w:rPr>
          <w:rFonts w:ascii="Arial" w:hAnsi="Arial" w:cs="Arial"/>
        </w:rPr>
      </w:pPr>
      <w:r w:rsidRPr="00FE119F">
        <w:rPr>
          <w:rFonts w:ascii="Arial" w:hAnsi="Arial" w:cs="Arial"/>
        </w:rPr>
        <w:t xml:space="preserve">The EU strongly condemns any form of violence or abuse against persons with disabilities, including in institutions. The Strategy for the rights of persons with disabilities has put a particular focus on promoting good practices in processes of deinstitutionalisation. The Notice Guidance on independent living illustrates how EU funding can be used to promote independent </w:t>
      </w:r>
      <w:proofErr w:type="gramStart"/>
      <w:r w:rsidRPr="00FE119F">
        <w:rPr>
          <w:rFonts w:ascii="Arial" w:hAnsi="Arial" w:cs="Arial"/>
        </w:rPr>
        <w:t>living,  and</w:t>
      </w:r>
      <w:proofErr w:type="gramEnd"/>
      <w:r w:rsidRPr="00FE119F">
        <w:rPr>
          <w:rFonts w:ascii="Arial" w:hAnsi="Arial" w:cs="Arial"/>
        </w:rPr>
        <w:t xml:space="preserve"> to develop community-based services, support access of persons with disabilities to services for the general population. The Strategy also invites the FRA to examine the situation of persons with disabilities living in institutions in relation to violence, abuse and torture. FRA’s project is still ongoing. </w:t>
      </w:r>
    </w:p>
    <w:p w14:paraId="326C708E" w14:textId="77777777" w:rsidR="00615BB4" w:rsidRDefault="00615BB4" w:rsidP="00260A0F">
      <w:pPr>
        <w:ind w:left="720"/>
        <w:jc w:val="both"/>
        <w:rPr>
          <w:rFonts w:ascii="Arial" w:hAnsi="Arial" w:cs="Arial"/>
        </w:rPr>
      </w:pPr>
    </w:p>
    <w:p w14:paraId="06768F2F" w14:textId="77777777" w:rsidR="000905EC" w:rsidRPr="00FE119F" w:rsidRDefault="000905EC" w:rsidP="00260A0F">
      <w:pPr>
        <w:ind w:left="720"/>
        <w:jc w:val="both"/>
        <w:rPr>
          <w:rFonts w:ascii="Arial" w:hAnsi="Arial" w:cs="Arial"/>
        </w:rPr>
      </w:pPr>
    </w:p>
    <w:p w14:paraId="4B31E3E1" w14:textId="77777777" w:rsidR="00AA214F" w:rsidRPr="00FE119F" w:rsidRDefault="00AA214F" w:rsidP="00FE119F">
      <w:pPr>
        <w:jc w:val="both"/>
        <w:rPr>
          <w:rFonts w:ascii="Arial" w:hAnsi="Arial" w:cs="Arial"/>
          <w:b/>
          <w:bCs/>
        </w:rPr>
      </w:pPr>
      <w:r w:rsidRPr="00FE119F">
        <w:rPr>
          <w:rFonts w:ascii="Arial" w:hAnsi="Arial" w:cs="Arial"/>
          <w:b/>
          <w:bCs/>
        </w:rPr>
        <w:lastRenderedPageBreak/>
        <w:t xml:space="preserve">Article 19 </w:t>
      </w:r>
    </w:p>
    <w:p w14:paraId="3E241398" w14:textId="37AFEB6C" w:rsidR="003C6C49" w:rsidRPr="00FE119F" w:rsidRDefault="00AA214F" w:rsidP="00FE119F">
      <w:pPr>
        <w:jc w:val="both"/>
        <w:rPr>
          <w:rFonts w:ascii="Arial" w:hAnsi="Arial" w:cs="Arial"/>
          <w:b/>
          <w:bCs/>
        </w:rPr>
      </w:pPr>
      <w:r w:rsidRPr="00FE119F">
        <w:rPr>
          <w:rFonts w:ascii="Arial" w:hAnsi="Arial" w:cs="Arial"/>
          <w:b/>
          <w:bCs/>
        </w:rPr>
        <w:t>Additional information concerning review of reimbursement of EU funds</w:t>
      </w:r>
      <w:r w:rsidR="003C6C49" w:rsidRPr="00FE119F">
        <w:rPr>
          <w:rFonts w:ascii="Arial" w:hAnsi="Arial" w:cs="Arial"/>
          <w:b/>
          <w:bCs/>
        </w:rPr>
        <w:t xml:space="preserve"> </w:t>
      </w:r>
    </w:p>
    <w:p w14:paraId="62CAF025" w14:textId="755DCF49" w:rsidR="00AA214F" w:rsidRPr="00990774" w:rsidRDefault="00AA214F" w:rsidP="00AA214F">
      <w:pPr>
        <w:pStyle w:val="ListParagraph"/>
        <w:numPr>
          <w:ilvl w:val="0"/>
          <w:numId w:val="19"/>
        </w:numPr>
        <w:spacing w:after="0" w:line="252" w:lineRule="auto"/>
        <w:jc w:val="both"/>
        <w:rPr>
          <w:rFonts w:ascii="Arial" w:hAnsi="Arial" w:cs="Arial"/>
          <w14:ligatures w14:val="standardContextual"/>
        </w:rPr>
      </w:pPr>
      <w:r w:rsidRPr="00990774">
        <w:rPr>
          <w:rFonts w:ascii="Arial" w:hAnsi="Arial" w:cs="Arial"/>
          <w14:ligatures w14:val="standardContextual"/>
        </w:rPr>
        <w:t>Under shared management governing Cohesion funds, Member States are in the first instance responsible for implementing their national programmes and, in the event of an irregularity, for investigating irregularities and for making the financial corrections required.</w:t>
      </w:r>
    </w:p>
    <w:p w14:paraId="1E6BA3BE" w14:textId="77777777" w:rsidR="00AA214F" w:rsidRPr="00990774" w:rsidRDefault="00AA214F" w:rsidP="00AA214F">
      <w:pPr>
        <w:pStyle w:val="ListParagraph"/>
        <w:numPr>
          <w:ilvl w:val="0"/>
          <w:numId w:val="19"/>
        </w:numPr>
        <w:spacing w:after="0" w:line="252" w:lineRule="auto"/>
        <w:jc w:val="both"/>
        <w:rPr>
          <w:rFonts w:ascii="Arial" w:hAnsi="Arial" w:cs="Arial"/>
          <w14:ligatures w14:val="standardContextual"/>
        </w:rPr>
      </w:pPr>
      <w:r w:rsidRPr="00990774">
        <w:rPr>
          <w:rFonts w:ascii="Arial" w:hAnsi="Arial" w:cs="Arial"/>
          <w14:ligatures w14:val="standardContextual"/>
        </w:rPr>
        <w:t xml:space="preserve">It should be noted that, leaving aside the question of the fulfilment of the enabling conditions, it is only from the moment Member States request reimbursement of the national measures that the Union budget is </w:t>
      </w:r>
      <w:proofErr w:type="gramStart"/>
      <w:r w:rsidRPr="00990774">
        <w:rPr>
          <w:rFonts w:ascii="Arial" w:hAnsi="Arial" w:cs="Arial"/>
          <w14:ligatures w14:val="standardContextual"/>
        </w:rPr>
        <w:t>affected</w:t>
      </w:r>
      <w:proofErr w:type="gramEnd"/>
      <w:r w:rsidRPr="00990774">
        <w:rPr>
          <w:rFonts w:ascii="Arial" w:hAnsi="Arial" w:cs="Arial"/>
          <w14:ligatures w14:val="standardContextual"/>
        </w:rPr>
        <w:t xml:space="preserve"> and the Commission can therefore adopt binding measures regarding specific projects. </w:t>
      </w:r>
    </w:p>
    <w:p w14:paraId="227583DF" w14:textId="77777777" w:rsidR="00AA214F" w:rsidRPr="00990774" w:rsidRDefault="00AA214F" w:rsidP="00AA214F">
      <w:pPr>
        <w:pStyle w:val="ListParagraph"/>
        <w:numPr>
          <w:ilvl w:val="0"/>
          <w:numId w:val="19"/>
        </w:numPr>
        <w:spacing w:after="0" w:line="252" w:lineRule="auto"/>
        <w:jc w:val="both"/>
        <w:rPr>
          <w:rFonts w:ascii="Arial" w:hAnsi="Arial" w:cs="Arial"/>
          <w14:ligatures w14:val="standardContextual"/>
        </w:rPr>
      </w:pPr>
      <w:r w:rsidRPr="00990774">
        <w:rPr>
          <w:rFonts w:ascii="Arial" w:hAnsi="Arial" w:cs="Arial"/>
          <w14:ligatures w14:val="standardContextual"/>
        </w:rPr>
        <w:t xml:space="preserve">In the event a Member State requests EU funding to a project in breach of the applicable rules, the Commission is required to </w:t>
      </w:r>
      <w:proofErr w:type="gramStart"/>
      <w:r w:rsidRPr="00990774">
        <w:rPr>
          <w:rFonts w:ascii="Arial" w:hAnsi="Arial" w:cs="Arial"/>
          <w14:ligatures w14:val="standardContextual"/>
        </w:rPr>
        <w:t>take action</w:t>
      </w:r>
      <w:proofErr w:type="gramEnd"/>
      <w:r w:rsidRPr="00990774">
        <w:rPr>
          <w:rFonts w:ascii="Arial" w:hAnsi="Arial" w:cs="Arial"/>
          <w14:ligatures w14:val="standardContextual"/>
        </w:rPr>
        <w:t xml:space="preserve"> vis-a-vis the Member State (suspend related payments claimed by the Member State, or – as the last resort – cancel the related Union contribution allocated to the Member State) to protect the financial interest of the Union. </w:t>
      </w:r>
    </w:p>
    <w:p w14:paraId="1150BF4E" w14:textId="487FB412" w:rsidR="00AA214F" w:rsidRPr="00990774" w:rsidRDefault="00AA214F" w:rsidP="00AA214F">
      <w:pPr>
        <w:pStyle w:val="ListParagraph"/>
        <w:numPr>
          <w:ilvl w:val="0"/>
          <w:numId w:val="19"/>
        </w:numPr>
        <w:spacing w:after="0" w:line="276" w:lineRule="auto"/>
        <w:jc w:val="both"/>
        <w:rPr>
          <w:rFonts w:ascii="Arial" w:hAnsi="Arial" w:cs="Arial"/>
        </w:rPr>
      </w:pPr>
      <w:r w:rsidRPr="00990774">
        <w:rPr>
          <w:rFonts w:ascii="Arial" w:hAnsi="Arial" w:cs="Arial"/>
        </w:rPr>
        <w:t xml:space="preserve">In addition, for the purpose of cancelling the Union contribution as a result of an irregularity, the Commission must not only demonstrate that there is breach of applicable law in the implementation of the funds but also that such a breach results from an act or omission by an economic operator, which has, or would have, the effect of prejudicing the budget of the Union by charging unjustified expenditure to that budget. </w:t>
      </w:r>
    </w:p>
    <w:p w14:paraId="556F71A8" w14:textId="0D5FC03D" w:rsidR="00AA214F" w:rsidRPr="00990774" w:rsidRDefault="00AA214F" w:rsidP="00AA214F">
      <w:pPr>
        <w:pStyle w:val="ListParagraph"/>
        <w:numPr>
          <w:ilvl w:val="0"/>
          <w:numId w:val="19"/>
        </w:numPr>
        <w:spacing w:after="0" w:line="276" w:lineRule="auto"/>
        <w:jc w:val="both"/>
        <w:rPr>
          <w:rFonts w:ascii="Arial" w:hAnsi="Arial" w:cs="Arial"/>
        </w:rPr>
      </w:pPr>
      <w:proofErr w:type="gramStart"/>
      <w:r w:rsidRPr="00990774">
        <w:rPr>
          <w:rFonts w:ascii="Arial" w:hAnsi="Arial" w:cs="Arial"/>
        </w:rPr>
        <w:t>In the course of</w:t>
      </w:r>
      <w:proofErr w:type="gramEnd"/>
      <w:r w:rsidRPr="00990774">
        <w:rPr>
          <w:rFonts w:ascii="Arial" w:hAnsi="Arial" w:cs="Arial"/>
        </w:rPr>
        <w:t xml:space="preserve"> preparing these replies no specific audit related to expenditure on institutions was identified</w:t>
      </w:r>
      <w:r w:rsidR="00D264B9" w:rsidRPr="00990774">
        <w:rPr>
          <w:rFonts w:ascii="Arial" w:hAnsi="Arial" w:cs="Arial"/>
        </w:rPr>
        <w:t>.</w:t>
      </w:r>
      <w:r w:rsidRPr="00990774">
        <w:rPr>
          <w:rFonts w:ascii="Arial" w:hAnsi="Arial" w:cs="Arial"/>
        </w:rPr>
        <w:t xml:space="preserve"> </w:t>
      </w:r>
    </w:p>
    <w:p w14:paraId="2931DDC9" w14:textId="77777777" w:rsidR="00AA214F" w:rsidRPr="00990774" w:rsidRDefault="00AA214F" w:rsidP="00260A0F">
      <w:pPr>
        <w:ind w:left="720"/>
        <w:jc w:val="both"/>
        <w:rPr>
          <w:rFonts w:ascii="Arial" w:hAnsi="Arial" w:cs="Arial"/>
        </w:rPr>
      </w:pPr>
    </w:p>
    <w:p w14:paraId="0A7F2C7F" w14:textId="31AD5CCB" w:rsidR="00990774" w:rsidRPr="00FE119F" w:rsidRDefault="00990774" w:rsidP="00FE119F">
      <w:pPr>
        <w:jc w:val="both"/>
        <w:rPr>
          <w:rFonts w:ascii="Arial" w:hAnsi="Arial" w:cs="Arial"/>
          <w:b/>
          <w:bCs/>
        </w:rPr>
      </w:pPr>
      <w:r w:rsidRPr="00FE119F">
        <w:rPr>
          <w:rFonts w:ascii="Arial" w:hAnsi="Arial" w:cs="Arial"/>
          <w:b/>
          <w:bCs/>
        </w:rPr>
        <w:t xml:space="preserve">Article 21 </w:t>
      </w:r>
    </w:p>
    <w:p w14:paraId="4BDAB5F7" w14:textId="77777777" w:rsidR="00990774" w:rsidRPr="00FE119F" w:rsidRDefault="00990774" w:rsidP="00FE119F">
      <w:pPr>
        <w:jc w:val="both"/>
        <w:rPr>
          <w:rFonts w:ascii="Arial" w:hAnsi="Arial" w:cs="Arial"/>
          <w:b/>
          <w:bCs/>
        </w:rPr>
      </w:pPr>
      <w:r w:rsidRPr="00FE119F">
        <w:rPr>
          <w:rFonts w:ascii="Arial" w:hAnsi="Arial" w:cs="Arial"/>
          <w:b/>
          <w:bCs/>
        </w:rPr>
        <w:t>Additional information on web accessibility</w:t>
      </w:r>
    </w:p>
    <w:p w14:paraId="2083968E" w14:textId="77777777" w:rsidR="00990774" w:rsidRPr="00FE119F" w:rsidRDefault="00990774" w:rsidP="00FE119F">
      <w:pPr>
        <w:pStyle w:val="ListParagraph"/>
        <w:numPr>
          <w:ilvl w:val="0"/>
          <w:numId w:val="15"/>
        </w:numPr>
        <w:jc w:val="both"/>
        <w:rPr>
          <w:rFonts w:ascii="Arial" w:hAnsi="Arial" w:cs="Arial"/>
        </w:rPr>
      </w:pPr>
      <w:r w:rsidRPr="00FE119F">
        <w:rPr>
          <w:rFonts w:ascii="Arial" w:hAnsi="Arial" w:cs="Arial"/>
        </w:rPr>
        <w:t xml:space="preserve">In September 2022 the Commission adopted a multi-annual action plan (2022–2025) on web accessibility to bring the Commission’s web presence in line with the Web Accessibility Directive (WAD). The Commission has published accessibility statements on its most visited websites, the Commission’s main website, and the “interinstitutional” EU website at the end of 2022 and regularly updates them. </w:t>
      </w:r>
    </w:p>
    <w:p w14:paraId="7333868C" w14:textId="77777777" w:rsidR="00990774" w:rsidRPr="00FE119F" w:rsidRDefault="00990774" w:rsidP="00FE119F">
      <w:pPr>
        <w:pStyle w:val="ListParagraph"/>
        <w:numPr>
          <w:ilvl w:val="0"/>
          <w:numId w:val="15"/>
        </w:numPr>
        <w:jc w:val="both"/>
        <w:rPr>
          <w:rFonts w:ascii="Arial" w:hAnsi="Arial" w:cs="Arial"/>
        </w:rPr>
      </w:pPr>
      <w:r w:rsidRPr="00FE119F">
        <w:rPr>
          <w:rFonts w:ascii="Arial" w:hAnsi="Arial" w:cs="Arial"/>
        </w:rPr>
        <w:t xml:space="preserve">The Commission has created a dedicated Task Force on Web Accessibility and a network of accessibility correspondents in every Commission department. They are raising awareness of the accessibility requirements set out in the Europa Web Guide. </w:t>
      </w:r>
    </w:p>
    <w:p w14:paraId="1ABD9535" w14:textId="77777777" w:rsidR="00990774" w:rsidRPr="00FE119F" w:rsidRDefault="00990774" w:rsidP="00FE119F">
      <w:pPr>
        <w:pStyle w:val="ListParagraph"/>
        <w:numPr>
          <w:ilvl w:val="0"/>
          <w:numId w:val="15"/>
        </w:numPr>
        <w:jc w:val="both"/>
        <w:rPr>
          <w:rFonts w:ascii="Arial" w:hAnsi="Arial" w:cs="Arial"/>
        </w:rPr>
      </w:pPr>
      <w:r w:rsidRPr="00FE119F">
        <w:rPr>
          <w:rFonts w:ascii="Arial" w:hAnsi="Arial" w:cs="Arial"/>
        </w:rPr>
        <w:t xml:space="preserve">The Commission requires all its websites, and mobile and web-based applications to comply with the WAD, with relevant technical rules set out in European accessibility standard EN 301 549 and with compliance level “AA” of the Web Content Accessibility Guidelines (WCAG 2.1). </w:t>
      </w:r>
    </w:p>
    <w:p w14:paraId="7611DEE7" w14:textId="77777777" w:rsidR="00990774" w:rsidRPr="00FE119F" w:rsidRDefault="00990774" w:rsidP="00FE119F">
      <w:pPr>
        <w:pStyle w:val="ListParagraph"/>
        <w:numPr>
          <w:ilvl w:val="0"/>
          <w:numId w:val="15"/>
        </w:numPr>
        <w:jc w:val="both"/>
        <w:rPr>
          <w:rFonts w:ascii="Arial" w:hAnsi="Arial" w:cs="Arial"/>
        </w:rPr>
      </w:pPr>
      <w:r w:rsidRPr="00FE119F">
        <w:rPr>
          <w:rFonts w:ascii="Arial" w:hAnsi="Arial" w:cs="Arial"/>
        </w:rPr>
        <w:t xml:space="preserve">The Commission also regularly evaluates the accessibility of its websites. If testing or feedback from users reveals any accessibility issues, the Commission works to resolve them as a priority. </w:t>
      </w:r>
    </w:p>
    <w:p w14:paraId="26A13D27" w14:textId="77777777" w:rsidR="00990774" w:rsidRPr="00FE119F" w:rsidRDefault="00990774" w:rsidP="00FE119F">
      <w:pPr>
        <w:pStyle w:val="ListParagraph"/>
        <w:numPr>
          <w:ilvl w:val="0"/>
          <w:numId w:val="15"/>
        </w:numPr>
        <w:jc w:val="both"/>
        <w:rPr>
          <w:rFonts w:ascii="Arial" w:hAnsi="Arial" w:cs="Arial"/>
        </w:rPr>
      </w:pPr>
      <w:r w:rsidRPr="00FE119F">
        <w:rPr>
          <w:rFonts w:ascii="Arial" w:hAnsi="Arial" w:cs="Arial"/>
        </w:rPr>
        <w:t xml:space="preserve">All sites on the “Europa.eu” web domain </w:t>
      </w:r>
      <w:proofErr w:type="gramStart"/>
      <w:r w:rsidRPr="00FE119F">
        <w:rPr>
          <w:rFonts w:ascii="Arial" w:hAnsi="Arial" w:cs="Arial"/>
        </w:rPr>
        <w:t>were</w:t>
      </w:r>
      <w:proofErr w:type="gramEnd"/>
      <w:r w:rsidRPr="00FE119F">
        <w:rPr>
          <w:rFonts w:ascii="Arial" w:hAnsi="Arial" w:cs="Arial"/>
        </w:rPr>
        <w:t xml:space="preserve"> invited to publish an accessibility statement before the end of 2023. In January 2025, 361 websites had a site-specific accessibility statement published. More websites will follow by the end of 2025.</w:t>
      </w:r>
    </w:p>
    <w:p w14:paraId="2D4A2DA3" w14:textId="31E06001" w:rsidR="003D2529" w:rsidRDefault="003D2529" w:rsidP="00260A0F">
      <w:pPr>
        <w:rPr>
          <w:rFonts w:ascii="Arial" w:hAnsi="Arial" w:cs="Arial"/>
        </w:rPr>
      </w:pPr>
    </w:p>
    <w:p w14:paraId="23282027" w14:textId="77777777" w:rsidR="000905EC" w:rsidRPr="00FE119F" w:rsidRDefault="000905EC" w:rsidP="00260A0F">
      <w:pPr>
        <w:rPr>
          <w:rFonts w:ascii="Arial" w:hAnsi="Arial" w:cs="Arial"/>
        </w:rPr>
      </w:pPr>
    </w:p>
    <w:p w14:paraId="585AEA32" w14:textId="518DFE95" w:rsidR="006A3685" w:rsidRPr="00FE119F" w:rsidRDefault="006A3685" w:rsidP="00FE119F">
      <w:pPr>
        <w:jc w:val="both"/>
        <w:rPr>
          <w:rFonts w:ascii="Arial" w:hAnsi="Arial" w:cs="Arial"/>
          <w:b/>
          <w:bCs/>
        </w:rPr>
      </w:pPr>
      <w:r w:rsidRPr="00FE119F">
        <w:rPr>
          <w:rFonts w:ascii="Arial" w:hAnsi="Arial" w:cs="Arial"/>
          <w:b/>
          <w:bCs/>
        </w:rPr>
        <w:lastRenderedPageBreak/>
        <w:t>Article 21</w:t>
      </w:r>
    </w:p>
    <w:p w14:paraId="36F8DE1F" w14:textId="2F08C583" w:rsidR="006A3685" w:rsidRPr="00FE119F" w:rsidRDefault="006A3685" w:rsidP="00FE119F">
      <w:pPr>
        <w:jc w:val="both"/>
        <w:rPr>
          <w:rFonts w:ascii="Arial" w:hAnsi="Arial" w:cs="Arial"/>
          <w:b/>
          <w:bCs/>
        </w:rPr>
      </w:pPr>
      <w:r w:rsidRPr="00FE119F">
        <w:rPr>
          <w:rFonts w:ascii="Arial" w:hAnsi="Arial" w:cs="Arial"/>
          <w:b/>
          <w:bCs/>
        </w:rPr>
        <w:t>Additional information on accessibility and public procurement</w:t>
      </w:r>
    </w:p>
    <w:p w14:paraId="5F0B203C" w14:textId="3183E717" w:rsidR="00C04741" w:rsidRPr="00FE119F" w:rsidRDefault="008850A8" w:rsidP="00260A0F">
      <w:pPr>
        <w:pStyle w:val="ListParagraph"/>
        <w:numPr>
          <w:ilvl w:val="0"/>
          <w:numId w:val="15"/>
        </w:numPr>
        <w:jc w:val="both"/>
        <w:rPr>
          <w:rFonts w:ascii="Arial" w:hAnsi="Arial" w:cs="Arial"/>
        </w:rPr>
      </w:pPr>
      <w:r w:rsidRPr="00FE119F">
        <w:rPr>
          <w:rFonts w:ascii="Arial" w:hAnsi="Arial" w:cs="Arial"/>
        </w:rPr>
        <w:t xml:space="preserve">The Financial Regulation recast (2024) has introduced a condition according to which, the technical specifications in the procurement documents shall be formulated to include accessibility criteria for persons with disabilities for all purchases intended for use by natural persons, except in duly justified cases (see Point 17.3 of Annex I of the FR recast). This applies to “all purchases intended for use by natural persons”, including but not limited to the accessibility of a future building, supplies which include accessibility features, transport services with the possibility to carry wheelchairs, adapting software for use by </w:t>
      </w:r>
      <w:proofErr w:type="gramStart"/>
      <w:r w:rsidRPr="00FE119F">
        <w:rPr>
          <w:rFonts w:ascii="Arial" w:hAnsi="Arial" w:cs="Arial"/>
        </w:rPr>
        <w:t>partially-sighted</w:t>
      </w:r>
      <w:proofErr w:type="gramEnd"/>
      <w:r w:rsidRPr="00FE119F">
        <w:rPr>
          <w:rFonts w:ascii="Arial" w:hAnsi="Arial" w:cs="Arial"/>
        </w:rPr>
        <w:t xml:space="preserve"> or deaf people, website, documents, publications, and multimedia. Conference buildings should be </w:t>
      </w:r>
      <w:proofErr w:type="gramStart"/>
      <w:r w:rsidRPr="00FE119F">
        <w:rPr>
          <w:rFonts w:ascii="Arial" w:hAnsi="Arial" w:cs="Arial"/>
        </w:rPr>
        <w:t>accessible</w:t>
      </w:r>
      <w:proofErr w:type="gramEnd"/>
      <w:r w:rsidRPr="00FE119F">
        <w:rPr>
          <w:rFonts w:ascii="Arial" w:hAnsi="Arial" w:cs="Arial"/>
        </w:rPr>
        <w:t xml:space="preserve"> and the information should be accessible to all.</w:t>
      </w:r>
    </w:p>
    <w:p w14:paraId="35F8F571" w14:textId="0C192AD2" w:rsidR="008850A8" w:rsidRPr="00FE119F" w:rsidRDefault="00F2508D" w:rsidP="00260A0F">
      <w:pPr>
        <w:pStyle w:val="ListParagraph"/>
        <w:numPr>
          <w:ilvl w:val="0"/>
          <w:numId w:val="15"/>
        </w:numPr>
        <w:jc w:val="both"/>
        <w:rPr>
          <w:rFonts w:ascii="Arial" w:hAnsi="Arial" w:cs="Arial"/>
        </w:rPr>
      </w:pPr>
      <w:r w:rsidRPr="00FE119F">
        <w:rPr>
          <w:rFonts w:ascii="Arial" w:hAnsi="Arial" w:cs="Arial"/>
        </w:rPr>
        <w:t xml:space="preserve">Directive 2014/24/EU on Public Procurement obliges public buyers to draw up technical specifications so as to take into account accessibility criteria for persons with </w:t>
      </w:r>
      <w:proofErr w:type="gramStart"/>
      <w:r w:rsidRPr="00FE119F">
        <w:rPr>
          <w:rFonts w:ascii="Arial" w:hAnsi="Arial" w:cs="Arial"/>
        </w:rPr>
        <w:t>disabilities ,</w:t>
      </w:r>
      <w:proofErr w:type="gramEnd"/>
      <w:r w:rsidRPr="00FE119F">
        <w:rPr>
          <w:rFonts w:ascii="Arial" w:hAnsi="Arial" w:cs="Arial"/>
        </w:rPr>
        <w:t xml:space="preserve"> including for digital products and tools. This also facilitates procurement in line with the UN Convention on the Rights of Persons with Disabilities. In addition, it allows the use of criteria rewarding bids which propose higher standards of accessibility than those established in the technical specifications.</w:t>
      </w:r>
    </w:p>
    <w:p w14:paraId="5EFF7844" w14:textId="77777777" w:rsidR="006A3685" w:rsidRPr="00FE119F" w:rsidRDefault="006A3685" w:rsidP="006A3685">
      <w:pPr>
        <w:pStyle w:val="ListParagraph"/>
        <w:jc w:val="both"/>
        <w:rPr>
          <w:rFonts w:ascii="Arial" w:hAnsi="Arial" w:cs="Arial"/>
        </w:rPr>
      </w:pPr>
    </w:p>
    <w:p w14:paraId="0207E2BD" w14:textId="77777777" w:rsidR="006A3685" w:rsidRPr="00FE119F" w:rsidRDefault="006A3685" w:rsidP="00FE119F">
      <w:pPr>
        <w:jc w:val="both"/>
        <w:rPr>
          <w:rFonts w:ascii="Arial" w:hAnsi="Arial" w:cs="Arial"/>
          <w:b/>
          <w:bCs/>
        </w:rPr>
      </w:pPr>
      <w:bookmarkStart w:id="0" w:name="_Hlk192753300"/>
      <w:r w:rsidRPr="00FE119F">
        <w:rPr>
          <w:rFonts w:ascii="Arial" w:hAnsi="Arial" w:cs="Arial"/>
          <w:b/>
          <w:bCs/>
        </w:rPr>
        <w:t>Article 23</w:t>
      </w:r>
    </w:p>
    <w:p w14:paraId="03921A98" w14:textId="69ACED30" w:rsidR="006A3685" w:rsidRPr="00FE119F" w:rsidRDefault="006A3685" w:rsidP="00FE119F">
      <w:pPr>
        <w:jc w:val="both"/>
        <w:rPr>
          <w:rFonts w:ascii="Arial" w:hAnsi="Arial" w:cs="Arial"/>
          <w:b/>
          <w:bCs/>
        </w:rPr>
      </w:pPr>
      <w:r w:rsidRPr="00FE119F">
        <w:rPr>
          <w:rFonts w:ascii="Arial" w:hAnsi="Arial" w:cs="Arial"/>
          <w:b/>
          <w:bCs/>
        </w:rPr>
        <w:t>Additional information on processing of data</w:t>
      </w:r>
    </w:p>
    <w:p w14:paraId="1712F9F6" w14:textId="77777777" w:rsidR="006A3685" w:rsidRPr="00FE119F" w:rsidRDefault="006A3685" w:rsidP="006A3685">
      <w:pPr>
        <w:numPr>
          <w:ilvl w:val="0"/>
          <w:numId w:val="16"/>
        </w:numPr>
        <w:jc w:val="both"/>
        <w:rPr>
          <w:rFonts w:ascii="Arial" w:hAnsi="Arial" w:cs="Arial"/>
          <w:lang w:val="en-US"/>
        </w:rPr>
      </w:pPr>
      <w:r w:rsidRPr="00FE119F">
        <w:rPr>
          <w:rFonts w:ascii="Arial" w:hAnsi="Arial" w:cs="Arial"/>
          <w:lang w:val="en-US"/>
        </w:rPr>
        <w:t xml:space="preserve">The processing of personal data must be lawful (Article 5 GDPR). The GDPR provides for several legal bases for the lawful processing of personal data (Article 6 GDPR), regardless of whether the processing is carried out by means of an AI system, an algorithmic system or any other means. One of the legal bases is the data subject’s consent. </w:t>
      </w:r>
    </w:p>
    <w:p w14:paraId="4E0C1A70" w14:textId="77777777" w:rsidR="006A3685" w:rsidRPr="00FE119F" w:rsidRDefault="006A3685" w:rsidP="006A3685">
      <w:pPr>
        <w:numPr>
          <w:ilvl w:val="0"/>
          <w:numId w:val="16"/>
        </w:numPr>
        <w:jc w:val="both"/>
        <w:rPr>
          <w:rFonts w:ascii="Arial" w:hAnsi="Arial" w:cs="Arial"/>
          <w:lang w:val="en-US"/>
        </w:rPr>
      </w:pPr>
      <w:r w:rsidRPr="00FE119F">
        <w:rPr>
          <w:rFonts w:ascii="Arial" w:hAnsi="Arial" w:cs="Arial"/>
          <w:lang w:val="en-US"/>
        </w:rPr>
        <w:t xml:space="preserve">The criteria for a </w:t>
      </w:r>
      <w:r w:rsidRPr="00FE119F">
        <w:rPr>
          <w:rFonts w:ascii="Arial" w:hAnsi="Arial" w:cs="Arial"/>
          <w:i/>
          <w:iCs/>
          <w:lang w:val="en-US"/>
        </w:rPr>
        <w:t xml:space="preserve">valid </w:t>
      </w:r>
      <w:r w:rsidRPr="00FE119F">
        <w:rPr>
          <w:rFonts w:ascii="Arial" w:hAnsi="Arial" w:cs="Arial"/>
          <w:lang w:val="en-US"/>
        </w:rPr>
        <w:t xml:space="preserve">consent are provided in Article 7 GDPR. According to it, data subject’s consent must be specific, informed and freely given, and it must be as easy to withdraw as to give it. It is for the data controller to demonstrate that the data subject has consented to the processing of his/her personal data and that conditions for a valid consent are fulfilled. </w:t>
      </w:r>
    </w:p>
    <w:p w14:paraId="415F219A" w14:textId="77777777" w:rsidR="006A3685" w:rsidRPr="00FE119F" w:rsidRDefault="006A3685" w:rsidP="006A3685">
      <w:pPr>
        <w:numPr>
          <w:ilvl w:val="0"/>
          <w:numId w:val="16"/>
        </w:numPr>
        <w:jc w:val="both"/>
        <w:rPr>
          <w:rFonts w:ascii="Arial" w:hAnsi="Arial" w:cs="Arial"/>
          <w:lang w:val="en-US"/>
        </w:rPr>
      </w:pPr>
      <w:r w:rsidRPr="00FE119F">
        <w:rPr>
          <w:rFonts w:ascii="Arial" w:hAnsi="Arial" w:cs="Arial"/>
          <w:lang w:val="en-US"/>
        </w:rPr>
        <w:t xml:space="preserve">For a data subject to provide a valid consent he/she must have legal capacity to do so. When this is not the case, it is for the legal guardian/representative to provide the consent on behalf of the data subject. </w:t>
      </w:r>
    </w:p>
    <w:p w14:paraId="7998EA1B" w14:textId="77777777" w:rsidR="006A3685" w:rsidRPr="00FE119F" w:rsidRDefault="006A3685" w:rsidP="006A3685">
      <w:pPr>
        <w:numPr>
          <w:ilvl w:val="0"/>
          <w:numId w:val="16"/>
        </w:numPr>
        <w:jc w:val="both"/>
        <w:rPr>
          <w:rFonts w:ascii="Arial" w:hAnsi="Arial" w:cs="Arial"/>
          <w:lang w:val="en-US"/>
        </w:rPr>
      </w:pPr>
      <w:r w:rsidRPr="00FE119F">
        <w:rPr>
          <w:rFonts w:ascii="Arial" w:hAnsi="Arial" w:cs="Arial"/>
          <w:lang w:val="en-US"/>
        </w:rPr>
        <w:t>The conditions for acting on behalf of a data subject who does not have legal capacity is not a matter falling under the GDPR, but they are determined by each Member State’s law concerning the legal representation of people without legal capacity.</w:t>
      </w:r>
    </w:p>
    <w:p w14:paraId="0963F919" w14:textId="77777777" w:rsidR="009F56BA" w:rsidRPr="00FE119F" w:rsidRDefault="009F56BA" w:rsidP="00260A0F">
      <w:pPr>
        <w:ind w:left="360"/>
        <w:rPr>
          <w:rFonts w:ascii="Arial" w:hAnsi="Arial" w:cs="Arial"/>
          <w:lang w:val="en-US"/>
        </w:rPr>
      </w:pPr>
    </w:p>
    <w:p w14:paraId="3AF556A7" w14:textId="5A3BC929" w:rsidR="006A3685" w:rsidRPr="00FE119F" w:rsidRDefault="006A3685" w:rsidP="00FE119F">
      <w:pPr>
        <w:jc w:val="both"/>
        <w:rPr>
          <w:rFonts w:ascii="Arial" w:hAnsi="Arial" w:cs="Arial"/>
          <w:b/>
          <w:bCs/>
        </w:rPr>
      </w:pPr>
      <w:r w:rsidRPr="00FE119F">
        <w:rPr>
          <w:rFonts w:ascii="Arial" w:hAnsi="Arial" w:cs="Arial"/>
          <w:b/>
          <w:bCs/>
        </w:rPr>
        <w:t>Article 25</w:t>
      </w:r>
    </w:p>
    <w:p w14:paraId="6215B38C" w14:textId="2A142D45" w:rsidR="00170986" w:rsidRPr="00FE119F" w:rsidRDefault="006A3685" w:rsidP="00FE119F">
      <w:pPr>
        <w:jc w:val="both"/>
        <w:rPr>
          <w:rFonts w:ascii="Arial" w:hAnsi="Arial" w:cs="Arial"/>
          <w:b/>
          <w:bCs/>
        </w:rPr>
      </w:pPr>
      <w:r w:rsidRPr="00FE119F">
        <w:rPr>
          <w:rFonts w:ascii="Arial" w:hAnsi="Arial" w:cs="Arial"/>
          <w:b/>
          <w:bCs/>
        </w:rPr>
        <w:t xml:space="preserve">Additional information on EU legislation on medical devices </w:t>
      </w:r>
      <w:bookmarkEnd w:id="0"/>
    </w:p>
    <w:p w14:paraId="042841BA" w14:textId="24130B5D" w:rsidR="00FF5518" w:rsidRPr="00FE119F" w:rsidRDefault="00FF5518" w:rsidP="00FE119F">
      <w:pPr>
        <w:pStyle w:val="ListParagraph"/>
        <w:numPr>
          <w:ilvl w:val="0"/>
          <w:numId w:val="12"/>
        </w:numPr>
        <w:jc w:val="both"/>
        <w:rPr>
          <w:rFonts w:ascii="Arial" w:hAnsi="Arial" w:cs="Arial"/>
        </w:rPr>
      </w:pPr>
      <w:r w:rsidRPr="00FE119F">
        <w:rPr>
          <w:rFonts w:ascii="Arial" w:hAnsi="Arial" w:cs="Arial"/>
        </w:rPr>
        <w:t xml:space="preserve">The European Commission is currently evaluating the existing legislative framework for medical devices. This is a necessary step to ensure informed decisions on possible future legislative changes. In case the data collection exercise of the evaluation points </w:t>
      </w:r>
      <w:r w:rsidRPr="00FE119F">
        <w:rPr>
          <w:rFonts w:ascii="Arial" w:hAnsi="Arial" w:cs="Arial"/>
        </w:rPr>
        <w:lastRenderedPageBreak/>
        <w:t xml:space="preserve">towards issues related to </w:t>
      </w:r>
      <w:proofErr w:type="gramStart"/>
      <w:r w:rsidRPr="00FE119F">
        <w:rPr>
          <w:rFonts w:ascii="Arial" w:hAnsi="Arial" w:cs="Arial"/>
        </w:rPr>
        <w:t>disabilities,  these</w:t>
      </w:r>
      <w:proofErr w:type="gramEnd"/>
      <w:r w:rsidRPr="00FE119F">
        <w:rPr>
          <w:rFonts w:ascii="Arial" w:hAnsi="Arial" w:cs="Arial"/>
        </w:rPr>
        <w:t xml:space="preserve"> will </w:t>
      </w:r>
      <w:proofErr w:type="spellStart"/>
      <w:r w:rsidRPr="00FE119F">
        <w:rPr>
          <w:rFonts w:ascii="Arial" w:hAnsi="Arial" w:cs="Arial"/>
        </w:rPr>
        <w:t>taken</w:t>
      </w:r>
      <w:proofErr w:type="spellEnd"/>
      <w:r w:rsidRPr="00FE119F">
        <w:rPr>
          <w:rFonts w:ascii="Arial" w:hAnsi="Arial" w:cs="Arial"/>
        </w:rPr>
        <w:t xml:space="preserve"> into account in the analysis and in any possible future follow up action.  </w:t>
      </w:r>
    </w:p>
    <w:p w14:paraId="176E4182" w14:textId="77777777" w:rsidR="00FF5518" w:rsidRPr="00FE119F" w:rsidRDefault="00FF5518" w:rsidP="00FE119F">
      <w:pPr>
        <w:pStyle w:val="ListParagraph"/>
        <w:numPr>
          <w:ilvl w:val="0"/>
          <w:numId w:val="12"/>
        </w:numPr>
        <w:jc w:val="both"/>
        <w:rPr>
          <w:rFonts w:ascii="Arial" w:hAnsi="Arial" w:cs="Arial"/>
        </w:rPr>
      </w:pPr>
      <w:r w:rsidRPr="00FE119F">
        <w:rPr>
          <w:rFonts w:ascii="Arial" w:hAnsi="Arial" w:cs="Arial"/>
        </w:rPr>
        <w:t xml:space="preserve">The Commissioner for Health is stepping up this work so that it is ready by the end of this year. </w:t>
      </w:r>
    </w:p>
    <w:p w14:paraId="7BD3CFE5" w14:textId="77777777" w:rsidR="00FF5518" w:rsidRPr="00FE119F" w:rsidRDefault="00FF5518" w:rsidP="00FE119F">
      <w:pPr>
        <w:pStyle w:val="ListParagraph"/>
        <w:numPr>
          <w:ilvl w:val="0"/>
          <w:numId w:val="12"/>
        </w:numPr>
        <w:jc w:val="both"/>
        <w:rPr>
          <w:rFonts w:ascii="Arial" w:hAnsi="Arial" w:cs="Arial"/>
        </w:rPr>
      </w:pPr>
      <w:r w:rsidRPr="00FE119F">
        <w:rPr>
          <w:rFonts w:ascii="Arial" w:hAnsi="Arial" w:cs="Arial"/>
        </w:rPr>
        <w:t xml:space="preserve">The scope for simplification, burden reduction, a more harmonized application of the rules and support for SMEs will be analyzed closely as part of this exercise, without jeopardizing patient safety. </w:t>
      </w:r>
    </w:p>
    <w:p w14:paraId="16251DED" w14:textId="77777777" w:rsidR="00B77556" w:rsidRPr="00FE119F" w:rsidRDefault="00B77556" w:rsidP="00260A0F">
      <w:pPr>
        <w:pStyle w:val="ListParagraph"/>
        <w:rPr>
          <w:rFonts w:ascii="Arial" w:hAnsi="Arial" w:cs="Arial"/>
        </w:rPr>
      </w:pPr>
    </w:p>
    <w:p w14:paraId="793E8D19" w14:textId="77777777" w:rsidR="00A91269" w:rsidRPr="00FE119F" w:rsidRDefault="00A91269" w:rsidP="00260A0F">
      <w:pPr>
        <w:pStyle w:val="ListParagraph"/>
        <w:rPr>
          <w:rFonts w:ascii="Arial" w:hAnsi="Arial" w:cs="Arial"/>
          <w:b/>
          <w:bCs/>
        </w:rPr>
      </w:pPr>
    </w:p>
    <w:p w14:paraId="23110CCF" w14:textId="77777777" w:rsidR="006A3685" w:rsidRPr="00FE119F" w:rsidRDefault="006A3685" w:rsidP="00FE119F">
      <w:pPr>
        <w:jc w:val="both"/>
        <w:rPr>
          <w:rFonts w:ascii="Arial" w:hAnsi="Arial" w:cs="Arial"/>
          <w:b/>
          <w:bCs/>
        </w:rPr>
      </w:pPr>
      <w:bookmarkStart w:id="1" w:name="_Hlk192752896"/>
      <w:r w:rsidRPr="00FE119F">
        <w:rPr>
          <w:rFonts w:ascii="Arial" w:hAnsi="Arial" w:cs="Arial"/>
          <w:b/>
          <w:bCs/>
        </w:rPr>
        <w:t>Article 27</w:t>
      </w:r>
    </w:p>
    <w:p w14:paraId="60253977" w14:textId="34BD60B7" w:rsidR="006A3685" w:rsidRPr="00FE119F" w:rsidRDefault="006A3685" w:rsidP="00FE119F">
      <w:pPr>
        <w:jc w:val="both"/>
        <w:rPr>
          <w:rFonts w:ascii="Arial" w:hAnsi="Arial" w:cs="Arial"/>
          <w:b/>
          <w:bCs/>
        </w:rPr>
      </w:pPr>
      <w:r w:rsidRPr="00FE119F">
        <w:rPr>
          <w:rFonts w:ascii="Arial" w:hAnsi="Arial" w:cs="Arial"/>
          <w:b/>
          <w:bCs/>
        </w:rPr>
        <w:t>Additional information in relation to State aid and sheltered workshops</w:t>
      </w:r>
    </w:p>
    <w:bookmarkEnd w:id="1"/>
    <w:p w14:paraId="0F1A6306" w14:textId="77777777" w:rsidR="006A3685" w:rsidRPr="00FE119F" w:rsidRDefault="006A3685" w:rsidP="006A3685">
      <w:pPr>
        <w:pStyle w:val="ListParagraph"/>
        <w:numPr>
          <w:ilvl w:val="0"/>
          <w:numId w:val="15"/>
        </w:numPr>
        <w:jc w:val="both"/>
        <w:rPr>
          <w:rFonts w:ascii="Arial" w:hAnsi="Arial" w:cs="Arial"/>
        </w:rPr>
      </w:pPr>
      <w:r w:rsidRPr="00FE119F">
        <w:rPr>
          <w:rFonts w:ascii="Arial" w:hAnsi="Arial" w:cs="Arial"/>
        </w:rPr>
        <w:t xml:space="preserve">EU public-procurement rules and EU State-aid rules are two separate bodies of law. When awarding public contracts, public authorities must ensure that, when conducting these transactions (irrespective of the public procurement procedure used), they do not grant State aid in ways that would be contrary to the EU State aid rules. </w:t>
      </w:r>
    </w:p>
    <w:p w14:paraId="02559A07" w14:textId="77777777" w:rsidR="006A3685" w:rsidRPr="00FE119F" w:rsidRDefault="006A3685" w:rsidP="006A3685">
      <w:pPr>
        <w:pStyle w:val="ListParagraph"/>
        <w:numPr>
          <w:ilvl w:val="0"/>
          <w:numId w:val="15"/>
        </w:numPr>
        <w:jc w:val="both"/>
        <w:rPr>
          <w:rFonts w:ascii="Arial" w:hAnsi="Arial" w:cs="Arial"/>
        </w:rPr>
      </w:pPr>
      <w:r w:rsidRPr="00FE119F">
        <w:rPr>
          <w:rFonts w:ascii="Arial" w:hAnsi="Arial" w:cs="Arial"/>
        </w:rPr>
        <w:t>For situations that involve State aid, normal State aid rules apply, i.e. the aid can be deemed compatible with the Treaty if it fulfils certain conditions.</w:t>
      </w:r>
    </w:p>
    <w:p w14:paraId="29029E8A" w14:textId="77777777" w:rsidR="006A3685" w:rsidRPr="00FE119F" w:rsidRDefault="006A3685" w:rsidP="006A3685">
      <w:pPr>
        <w:pStyle w:val="ListParagraph"/>
        <w:numPr>
          <w:ilvl w:val="0"/>
          <w:numId w:val="15"/>
        </w:numPr>
        <w:jc w:val="both"/>
        <w:rPr>
          <w:rFonts w:ascii="Arial" w:hAnsi="Arial" w:cs="Arial"/>
        </w:rPr>
      </w:pPr>
      <w:r w:rsidRPr="00FE119F">
        <w:rPr>
          <w:rFonts w:ascii="Arial" w:hAnsi="Arial" w:cs="Arial"/>
        </w:rPr>
        <w:t xml:space="preserve">Member States should be able to cater for social needs in the most appropriate way taking into consideration the specificity of each Member State </w:t>
      </w:r>
      <w:proofErr w:type="spellStart"/>
      <w:r w:rsidRPr="00FE119F">
        <w:rPr>
          <w:rFonts w:ascii="Arial" w:hAnsi="Arial" w:cs="Arial"/>
          <w:i/>
          <w:iCs/>
        </w:rPr>
        <w:t>i.a.</w:t>
      </w:r>
      <w:proofErr w:type="spellEnd"/>
      <w:r w:rsidRPr="00FE119F">
        <w:rPr>
          <w:rFonts w:ascii="Arial" w:hAnsi="Arial" w:cs="Arial"/>
        </w:rPr>
        <w:t xml:space="preserve"> as regards the provision of social services. </w:t>
      </w:r>
    </w:p>
    <w:p w14:paraId="6488DD1D" w14:textId="77777777" w:rsidR="006A3685" w:rsidRPr="00FE119F" w:rsidRDefault="006A3685" w:rsidP="006A3685">
      <w:pPr>
        <w:pStyle w:val="ListParagraph"/>
        <w:ind w:left="0"/>
        <w:jc w:val="both"/>
        <w:rPr>
          <w:rFonts w:ascii="Arial" w:hAnsi="Arial" w:cs="Arial"/>
        </w:rPr>
      </w:pPr>
    </w:p>
    <w:p w14:paraId="71978F3A" w14:textId="77777777" w:rsidR="006A3685" w:rsidRPr="00FE119F" w:rsidRDefault="006A3685" w:rsidP="006A3685">
      <w:pPr>
        <w:pStyle w:val="ListParagraph"/>
        <w:numPr>
          <w:ilvl w:val="0"/>
          <w:numId w:val="15"/>
        </w:numPr>
        <w:jc w:val="both"/>
        <w:rPr>
          <w:rFonts w:ascii="Arial" w:hAnsi="Arial" w:cs="Arial"/>
        </w:rPr>
      </w:pPr>
      <w:r w:rsidRPr="00FE119F">
        <w:rPr>
          <w:rFonts w:ascii="Arial" w:hAnsi="Arial" w:cs="Arial"/>
        </w:rPr>
        <w:t xml:space="preserve">State-aid can be a tool to achieve certain social-policy objectives such as labour-market integration or sheltered employment. </w:t>
      </w:r>
    </w:p>
    <w:p w14:paraId="5E5EA146" w14:textId="77777777" w:rsidR="006A3685" w:rsidRPr="00FE119F" w:rsidRDefault="006A3685" w:rsidP="006A3685">
      <w:pPr>
        <w:pStyle w:val="ListParagraph"/>
        <w:numPr>
          <w:ilvl w:val="0"/>
          <w:numId w:val="15"/>
        </w:numPr>
        <w:jc w:val="both"/>
        <w:rPr>
          <w:rFonts w:ascii="Arial" w:hAnsi="Arial" w:cs="Arial"/>
        </w:rPr>
      </w:pPr>
      <w:r w:rsidRPr="00FE119F">
        <w:rPr>
          <w:rFonts w:ascii="Arial" w:hAnsi="Arial" w:cs="Arial"/>
        </w:rPr>
        <w:t xml:space="preserve">The principal purpose of EU State aid control is to ensure that public support to enterprises is necessary and proportionate to the objective pursued, and thus to avoid undue distortions of competition and trade contrary to the common interest. </w:t>
      </w:r>
    </w:p>
    <w:p w14:paraId="6F5DE859" w14:textId="77777777" w:rsidR="006A3685" w:rsidRPr="00FE119F" w:rsidRDefault="006A3685" w:rsidP="006A3685">
      <w:pPr>
        <w:pStyle w:val="ListParagraph"/>
        <w:numPr>
          <w:ilvl w:val="0"/>
          <w:numId w:val="15"/>
        </w:numPr>
        <w:jc w:val="both"/>
        <w:rPr>
          <w:rFonts w:ascii="Arial" w:hAnsi="Arial" w:cs="Arial"/>
        </w:rPr>
      </w:pPr>
      <w:r w:rsidRPr="00FE119F">
        <w:rPr>
          <w:rFonts w:ascii="Arial" w:hAnsi="Arial" w:cs="Arial"/>
        </w:rPr>
        <w:t xml:space="preserve">Firstly, EU State-aid rules offer Member States options for supporting certain investments or activities with State aid and thus achieve outcomes market force alone would not have delivered. It is up to Member States to use these options, though. </w:t>
      </w:r>
    </w:p>
    <w:p w14:paraId="00A78A15" w14:textId="77777777" w:rsidR="006A3685" w:rsidRPr="00FE119F" w:rsidRDefault="006A3685" w:rsidP="006A3685">
      <w:pPr>
        <w:pStyle w:val="ListParagraph"/>
        <w:numPr>
          <w:ilvl w:val="0"/>
          <w:numId w:val="15"/>
        </w:numPr>
        <w:jc w:val="both"/>
        <w:rPr>
          <w:rFonts w:ascii="Arial" w:hAnsi="Arial" w:cs="Arial"/>
        </w:rPr>
      </w:pPr>
      <w:r w:rsidRPr="00FE119F">
        <w:rPr>
          <w:rFonts w:ascii="Arial" w:hAnsi="Arial" w:cs="Arial"/>
        </w:rPr>
        <w:t>Secondly, the conditions under which State aid for sheltered employment can be granted are quite straightforward and are mere safeguards to preserve fair competition. The effectiveness of a public measure to support a specific policy objective (e.g. labour-market integration) however depends on multiple other conditions under the Member States’ responsibility, outside the scope of EU State-aid control.</w:t>
      </w:r>
    </w:p>
    <w:p w14:paraId="366902E6" w14:textId="77777777" w:rsidR="006A3685" w:rsidRPr="00FE119F" w:rsidRDefault="006A3685" w:rsidP="006A3685">
      <w:pPr>
        <w:pStyle w:val="ListParagraph"/>
        <w:numPr>
          <w:ilvl w:val="0"/>
          <w:numId w:val="15"/>
        </w:numPr>
        <w:jc w:val="both"/>
        <w:rPr>
          <w:rFonts w:ascii="Arial" w:hAnsi="Arial" w:cs="Arial"/>
        </w:rPr>
      </w:pPr>
      <w:r w:rsidRPr="00FE119F">
        <w:rPr>
          <w:rFonts w:ascii="Arial" w:hAnsi="Arial" w:cs="Arial"/>
        </w:rPr>
        <w:t>Thirdly, State-aid policy alone cannot outbalance on a long-term basis any structural deficiencies in policy design, for example leading to lack of skills, outdated social infrastructures, regulatory barriers between Member States, inefficient permitting procedures and other administrative burden. Neither can it compensate for the lack of political ambition for further Single Market integration in certain sectors.</w:t>
      </w:r>
    </w:p>
    <w:p w14:paraId="75A0FF07" w14:textId="77777777" w:rsidR="006A3685" w:rsidRPr="00FE119F" w:rsidRDefault="006A3685" w:rsidP="006A3685">
      <w:pPr>
        <w:pStyle w:val="ListParagraph"/>
        <w:numPr>
          <w:ilvl w:val="0"/>
          <w:numId w:val="15"/>
        </w:numPr>
        <w:jc w:val="both"/>
        <w:rPr>
          <w:rFonts w:ascii="Arial" w:hAnsi="Arial" w:cs="Arial"/>
        </w:rPr>
      </w:pPr>
      <w:r w:rsidRPr="00FE119F">
        <w:rPr>
          <w:rFonts w:ascii="Arial" w:hAnsi="Arial" w:cs="Arial"/>
        </w:rPr>
        <w:t>Lastly, public support for labour-market integration or sheltered employment does not necessarily fall under EU State-aid rules. For example, this is the case if the support is granted on market terms, is only very small (</w:t>
      </w:r>
      <w:r w:rsidRPr="00FE119F">
        <w:rPr>
          <w:rFonts w:ascii="Arial" w:hAnsi="Arial" w:cs="Arial"/>
          <w:i/>
          <w:iCs/>
        </w:rPr>
        <w:t>de-minimis</w:t>
      </w:r>
      <w:r w:rsidRPr="00FE119F">
        <w:rPr>
          <w:rFonts w:ascii="Arial" w:hAnsi="Arial" w:cs="Arial"/>
        </w:rPr>
        <w:t xml:space="preserve"> aid) or only has a purely local impact and thus does not affect intra-community trade. </w:t>
      </w:r>
    </w:p>
    <w:p w14:paraId="02805B11" w14:textId="77777777" w:rsidR="006A3685" w:rsidRPr="00FE119F" w:rsidRDefault="006A3685" w:rsidP="006A3685">
      <w:pPr>
        <w:jc w:val="both"/>
        <w:rPr>
          <w:rFonts w:ascii="Arial" w:hAnsi="Arial" w:cs="Arial"/>
        </w:rPr>
      </w:pPr>
    </w:p>
    <w:sectPr w:rsidR="006A3685" w:rsidRPr="00FE119F">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B6B34" w14:textId="77777777" w:rsidR="00D373CF" w:rsidRDefault="00D373CF" w:rsidP="00E52BBE">
      <w:pPr>
        <w:spacing w:after="0" w:line="240" w:lineRule="auto"/>
      </w:pPr>
      <w:r>
        <w:separator/>
      </w:r>
    </w:p>
  </w:endnote>
  <w:endnote w:type="continuationSeparator" w:id="0">
    <w:p w14:paraId="0320FB7C" w14:textId="77777777" w:rsidR="00D373CF" w:rsidRDefault="00D373CF" w:rsidP="00E52BBE">
      <w:pPr>
        <w:spacing w:after="0" w:line="240" w:lineRule="auto"/>
      </w:pPr>
      <w:r>
        <w:continuationSeparator/>
      </w:r>
    </w:p>
  </w:endnote>
  <w:endnote w:type="continuationNotice" w:id="1">
    <w:p w14:paraId="2EE62FE5" w14:textId="77777777" w:rsidR="00D373CF" w:rsidRDefault="00D373C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CBC5" w14:textId="77777777" w:rsidR="00E52BBE" w:rsidRDefault="00E52B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808708"/>
      <w:docPartObj>
        <w:docPartGallery w:val="Page Numbers (Bottom of Page)"/>
        <w:docPartUnique/>
      </w:docPartObj>
    </w:sdtPr>
    <w:sdtEndPr>
      <w:rPr>
        <w:noProof/>
      </w:rPr>
    </w:sdtEndPr>
    <w:sdtContent>
      <w:p w14:paraId="55B827F4" w14:textId="30C837F9" w:rsidR="00E52BBE" w:rsidRDefault="00E52BB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CE36E5" w14:textId="77777777" w:rsidR="00E52BBE" w:rsidRDefault="00E52B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68B3C" w14:textId="77777777" w:rsidR="00E52BBE" w:rsidRDefault="00E52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BFA60" w14:textId="77777777" w:rsidR="00D373CF" w:rsidRDefault="00D373CF" w:rsidP="00E52BBE">
      <w:pPr>
        <w:spacing w:after="0" w:line="240" w:lineRule="auto"/>
      </w:pPr>
      <w:r>
        <w:separator/>
      </w:r>
    </w:p>
  </w:footnote>
  <w:footnote w:type="continuationSeparator" w:id="0">
    <w:p w14:paraId="4EC13A2C" w14:textId="77777777" w:rsidR="00D373CF" w:rsidRDefault="00D373CF" w:rsidP="00E52BBE">
      <w:pPr>
        <w:spacing w:after="0" w:line="240" w:lineRule="auto"/>
      </w:pPr>
      <w:r>
        <w:continuationSeparator/>
      </w:r>
    </w:p>
  </w:footnote>
  <w:footnote w:type="continuationNotice" w:id="1">
    <w:p w14:paraId="1AD26D07" w14:textId="77777777" w:rsidR="00D373CF" w:rsidRDefault="00D373CF">
      <w:pPr>
        <w:spacing w:after="0" w:line="240" w:lineRule="auto"/>
      </w:pPr>
    </w:p>
  </w:footnote>
  <w:footnote w:id="2">
    <w:p w14:paraId="135B438C" w14:textId="77777777" w:rsidR="006A3685" w:rsidRDefault="006A3685" w:rsidP="006A3685">
      <w:pPr>
        <w:pStyle w:val="FootnoteText"/>
      </w:pPr>
      <w:r>
        <w:rPr>
          <w:rStyle w:val="FootnoteReference"/>
        </w:rPr>
        <w:footnoteRef/>
      </w:r>
      <w:r>
        <w:t xml:space="preserve"> </w:t>
      </w:r>
      <w:hyperlink r:id="rId1" w:tgtFrame="_blank" w:history="1">
        <w:r w:rsidRPr="00D264B9">
          <w:rPr>
            <w:rStyle w:val="Hyperlink"/>
          </w:rPr>
          <w:t>Practice directions to parties concerning cases brought before the Court </w:t>
        </w:r>
      </w:hyperlink>
    </w:p>
  </w:footnote>
  <w:footnote w:id="3">
    <w:p w14:paraId="2F3B0B1B" w14:textId="77777777" w:rsidR="006A3685" w:rsidRDefault="006A3685" w:rsidP="006A3685">
      <w:pPr>
        <w:pStyle w:val="FootnoteText"/>
      </w:pPr>
      <w:r>
        <w:rPr>
          <w:rStyle w:val="FootnoteReference"/>
        </w:rPr>
        <w:footnoteRef/>
      </w:r>
      <w:r>
        <w:t xml:space="preserve"> </w:t>
      </w:r>
      <w:hyperlink r:id="rId2" w:tgtFrame="_blank" w:history="1">
        <w:r w:rsidRPr="006A3685">
          <w:rPr>
            <w:rStyle w:val="Hyperlink"/>
          </w:rPr>
          <w:t>Practice rules for the implementation of the Rules of Procedure of the General Court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D92DC" w14:textId="77777777" w:rsidR="00E52BBE" w:rsidRDefault="00E52B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13B32" w14:textId="77777777" w:rsidR="00E52BBE" w:rsidRDefault="00E52B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976D55" w14:textId="77777777" w:rsidR="00E52BBE" w:rsidRDefault="00E52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E29D1"/>
    <w:multiLevelType w:val="hybridMultilevel"/>
    <w:tmpl w:val="D5E43768"/>
    <w:lvl w:ilvl="0" w:tplc="FD74F530">
      <w:numFmt w:val="bullet"/>
      <w:lvlText w:val="-"/>
      <w:lvlJc w:val="left"/>
      <w:pPr>
        <w:ind w:left="720" w:hanging="360"/>
      </w:pPr>
      <w:rPr>
        <w:rFonts w:ascii="Aptos" w:eastAsia="Aptos" w:hAnsi="Aptos" w:cs="Times New Roman"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 w15:restartNumberingAfterBreak="0">
    <w:nsid w:val="03AA38A6"/>
    <w:multiLevelType w:val="hybridMultilevel"/>
    <w:tmpl w:val="0FEC4B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1AD93836"/>
    <w:multiLevelType w:val="hybridMultilevel"/>
    <w:tmpl w:val="C3540724"/>
    <w:lvl w:ilvl="0" w:tplc="FFFFFFFF">
      <w:start w:val="1"/>
      <w:numFmt w:val="decimal"/>
      <w:lvlText w:val="●"/>
      <w:lvlJc w:val="left"/>
      <w:pPr>
        <w:ind w:left="720" w:hanging="360"/>
      </w:p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B0F3724"/>
    <w:multiLevelType w:val="hybridMultilevel"/>
    <w:tmpl w:val="FF5C0C7E"/>
    <w:lvl w:ilvl="0" w:tplc="C786F8AA">
      <w:numFmt w:val="bullet"/>
      <w:lvlText w:val="-"/>
      <w:lvlJc w:val="left"/>
      <w:pPr>
        <w:ind w:left="720" w:hanging="360"/>
      </w:pPr>
      <w:rPr>
        <w:rFonts w:ascii="Aptos" w:eastAsiaTheme="minorHAnsi" w:hAnsi="Aptos"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23E83480"/>
    <w:multiLevelType w:val="hybridMultilevel"/>
    <w:tmpl w:val="44F82D76"/>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5" w15:restartNumberingAfterBreak="0">
    <w:nsid w:val="344C7AFB"/>
    <w:multiLevelType w:val="hybridMultilevel"/>
    <w:tmpl w:val="C3540724"/>
    <w:lvl w:ilvl="0" w:tplc="FFFFFFFF">
      <w:start w:val="1"/>
      <w:numFmt w:val="decimal"/>
      <w:lvlText w:val="●"/>
      <w:lvlJc w:val="left"/>
      <w:pPr>
        <w:ind w:left="720" w:hanging="360"/>
      </w:p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595668B"/>
    <w:multiLevelType w:val="hybridMultilevel"/>
    <w:tmpl w:val="421CAA62"/>
    <w:lvl w:ilvl="0" w:tplc="C786F8AA">
      <w:numFmt w:val="bullet"/>
      <w:lvlText w:val="-"/>
      <w:lvlJc w:val="left"/>
      <w:pPr>
        <w:ind w:left="720" w:hanging="360"/>
      </w:pPr>
      <w:rPr>
        <w:rFonts w:ascii="Aptos" w:eastAsiaTheme="minorHAnsi" w:hAnsi="Aptos"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36145DA1"/>
    <w:multiLevelType w:val="hybridMultilevel"/>
    <w:tmpl w:val="7340E26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8" w15:restartNumberingAfterBreak="0">
    <w:nsid w:val="3731061A"/>
    <w:multiLevelType w:val="hybridMultilevel"/>
    <w:tmpl w:val="ACCA4B02"/>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9" w15:restartNumberingAfterBreak="0">
    <w:nsid w:val="3D790FBA"/>
    <w:multiLevelType w:val="hybridMultilevel"/>
    <w:tmpl w:val="C3540724"/>
    <w:lvl w:ilvl="0" w:tplc="FFFFFFFF">
      <w:start w:val="1"/>
      <w:numFmt w:val="decimal"/>
      <w:lvlText w:val="●"/>
      <w:lvlJc w:val="left"/>
      <w:pPr>
        <w:ind w:left="720" w:hanging="360"/>
      </w:p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EC82F19"/>
    <w:multiLevelType w:val="hybridMultilevel"/>
    <w:tmpl w:val="1EB6A716"/>
    <w:lvl w:ilvl="0" w:tplc="8B2E023A">
      <w:start w:val="1"/>
      <w:numFmt w:val="bullet"/>
      <w:lvlText w:val=""/>
      <w:lvlJc w:val="left"/>
      <w:pPr>
        <w:ind w:left="720" w:hanging="360"/>
      </w:pPr>
      <w:rPr>
        <w:rFonts w:ascii="Symbol" w:hAnsi="Symbol" w:hint="default"/>
      </w:rPr>
    </w:lvl>
    <w:lvl w:ilvl="1" w:tplc="D10A148C" w:tentative="1">
      <w:start w:val="1"/>
      <w:numFmt w:val="bullet"/>
      <w:lvlText w:val="o"/>
      <w:lvlJc w:val="left"/>
      <w:pPr>
        <w:ind w:left="1440" w:hanging="360"/>
      </w:pPr>
      <w:rPr>
        <w:rFonts w:ascii="Courier New" w:hAnsi="Courier New" w:hint="default"/>
      </w:rPr>
    </w:lvl>
    <w:lvl w:ilvl="2" w:tplc="B8681452" w:tentative="1">
      <w:start w:val="1"/>
      <w:numFmt w:val="bullet"/>
      <w:lvlText w:val=""/>
      <w:lvlJc w:val="left"/>
      <w:pPr>
        <w:ind w:left="2160" w:hanging="360"/>
      </w:pPr>
      <w:rPr>
        <w:rFonts w:ascii="Wingdings" w:hAnsi="Wingdings" w:hint="default"/>
      </w:rPr>
    </w:lvl>
    <w:lvl w:ilvl="3" w:tplc="D2885542" w:tentative="1">
      <w:start w:val="1"/>
      <w:numFmt w:val="bullet"/>
      <w:lvlText w:val=""/>
      <w:lvlJc w:val="left"/>
      <w:pPr>
        <w:ind w:left="2880" w:hanging="360"/>
      </w:pPr>
      <w:rPr>
        <w:rFonts w:ascii="Symbol" w:hAnsi="Symbol" w:hint="default"/>
      </w:rPr>
    </w:lvl>
    <w:lvl w:ilvl="4" w:tplc="3DBA5326" w:tentative="1">
      <w:start w:val="1"/>
      <w:numFmt w:val="bullet"/>
      <w:lvlText w:val="o"/>
      <w:lvlJc w:val="left"/>
      <w:pPr>
        <w:ind w:left="3600" w:hanging="360"/>
      </w:pPr>
      <w:rPr>
        <w:rFonts w:ascii="Courier New" w:hAnsi="Courier New" w:hint="default"/>
      </w:rPr>
    </w:lvl>
    <w:lvl w:ilvl="5" w:tplc="4D2277BA" w:tentative="1">
      <w:start w:val="1"/>
      <w:numFmt w:val="bullet"/>
      <w:lvlText w:val=""/>
      <w:lvlJc w:val="left"/>
      <w:pPr>
        <w:ind w:left="4320" w:hanging="360"/>
      </w:pPr>
      <w:rPr>
        <w:rFonts w:ascii="Wingdings" w:hAnsi="Wingdings" w:hint="default"/>
      </w:rPr>
    </w:lvl>
    <w:lvl w:ilvl="6" w:tplc="91D06C70" w:tentative="1">
      <w:start w:val="1"/>
      <w:numFmt w:val="bullet"/>
      <w:lvlText w:val=""/>
      <w:lvlJc w:val="left"/>
      <w:pPr>
        <w:ind w:left="5040" w:hanging="360"/>
      </w:pPr>
      <w:rPr>
        <w:rFonts w:ascii="Symbol" w:hAnsi="Symbol" w:hint="default"/>
      </w:rPr>
    </w:lvl>
    <w:lvl w:ilvl="7" w:tplc="7694869A" w:tentative="1">
      <w:start w:val="1"/>
      <w:numFmt w:val="bullet"/>
      <w:lvlText w:val="o"/>
      <w:lvlJc w:val="left"/>
      <w:pPr>
        <w:ind w:left="5760" w:hanging="360"/>
      </w:pPr>
      <w:rPr>
        <w:rFonts w:ascii="Courier New" w:hAnsi="Courier New" w:hint="default"/>
      </w:rPr>
    </w:lvl>
    <w:lvl w:ilvl="8" w:tplc="6368E0DE" w:tentative="1">
      <w:start w:val="1"/>
      <w:numFmt w:val="bullet"/>
      <w:lvlText w:val=""/>
      <w:lvlJc w:val="left"/>
      <w:pPr>
        <w:ind w:left="6480" w:hanging="360"/>
      </w:pPr>
      <w:rPr>
        <w:rFonts w:ascii="Wingdings" w:hAnsi="Wingdings" w:hint="default"/>
      </w:rPr>
    </w:lvl>
  </w:abstractNum>
  <w:abstractNum w:abstractNumId="11" w15:restartNumberingAfterBreak="0">
    <w:nsid w:val="45B73D17"/>
    <w:multiLevelType w:val="hybridMultilevel"/>
    <w:tmpl w:val="CCA69B40"/>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2" w15:restartNumberingAfterBreak="0">
    <w:nsid w:val="52CD3D20"/>
    <w:multiLevelType w:val="hybridMultilevel"/>
    <w:tmpl w:val="952E701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52D20301"/>
    <w:multiLevelType w:val="hybridMultilevel"/>
    <w:tmpl w:val="CF34A7A6"/>
    <w:lvl w:ilvl="0" w:tplc="6B32ECFA">
      <w:start w:val="1"/>
      <w:numFmt w:val="bullet"/>
      <w:lvlText w:val=""/>
      <w:lvlJc w:val="left"/>
      <w:pPr>
        <w:ind w:left="720" w:hanging="360"/>
      </w:pPr>
      <w:rPr>
        <w:rFonts w:ascii="Symbol" w:hAnsi="Symbol" w:hint="default"/>
      </w:rPr>
    </w:lvl>
    <w:lvl w:ilvl="1" w:tplc="F208B6AC" w:tentative="1">
      <w:start w:val="1"/>
      <w:numFmt w:val="bullet"/>
      <w:lvlText w:val="o"/>
      <w:lvlJc w:val="left"/>
      <w:pPr>
        <w:ind w:left="1440" w:hanging="360"/>
      </w:pPr>
      <w:rPr>
        <w:rFonts w:ascii="Courier New" w:hAnsi="Courier New" w:hint="default"/>
      </w:rPr>
    </w:lvl>
    <w:lvl w:ilvl="2" w:tplc="996A0C92" w:tentative="1">
      <w:start w:val="1"/>
      <w:numFmt w:val="bullet"/>
      <w:lvlText w:val=""/>
      <w:lvlJc w:val="left"/>
      <w:pPr>
        <w:ind w:left="2160" w:hanging="360"/>
      </w:pPr>
      <w:rPr>
        <w:rFonts w:ascii="Wingdings" w:hAnsi="Wingdings" w:hint="default"/>
      </w:rPr>
    </w:lvl>
    <w:lvl w:ilvl="3" w:tplc="80140010" w:tentative="1">
      <w:start w:val="1"/>
      <w:numFmt w:val="bullet"/>
      <w:lvlText w:val=""/>
      <w:lvlJc w:val="left"/>
      <w:pPr>
        <w:ind w:left="2880" w:hanging="360"/>
      </w:pPr>
      <w:rPr>
        <w:rFonts w:ascii="Symbol" w:hAnsi="Symbol" w:hint="default"/>
      </w:rPr>
    </w:lvl>
    <w:lvl w:ilvl="4" w:tplc="E3945840" w:tentative="1">
      <w:start w:val="1"/>
      <w:numFmt w:val="bullet"/>
      <w:lvlText w:val="o"/>
      <w:lvlJc w:val="left"/>
      <w:pPr>
        <w:ind w:left="3600" w:hanging="360"/>
      </w:pPr>
      <w:rPr>
        <w:rFonts w:ascii="Courier New" w:hAnsi="Courier New" w:hint="default"/>
      </w:rPr>
    </w:lvl>
    <w:lvl w:ilvl="5" w:tplc="2444AD42" w:tentative="1">
      <w:start w:val="1"/>
      <w:numFmt w:val="bullet"/>
      <w:lvlText w:val=""/>
      <w:lvlJc w:val="left"/>
      <w:pPr>
        <w:ind w:left="4320" w:hanging="360"/>
      </w:pPr>
      <w:rPr>
        <w:rFonts w:ascii="Wingdings" w:hAnsi="Wingdings" w:hint="default"/>
      </w:rPr>
    </w:lvl>
    <w:lvl w:ilvl="6" w:tplc="484AA27E" w:tentative="1">
      <w:start w:val="1"/>
      <w:numFmt w:val="bullet"/>
      <w:lvlText w:val=""/>
      <w:lvlJc w:val="left"/>
      <w:pPr>
        <w:ind w:left="5040" w:hanging="360"/>
      </w:pPr>
      <w:rPr>
        <w:rFonts w:ascii="Symbol" w:hAnsi="Symbol" w:hint="default"/>
      </w:rPr>
    </w:lvl>
    <w:lvl w:ilvl="7" w:tplc="245E945C" w:tentative="1">
      <w:start w:val="1"/>
      <w:numFmt w:val="bullet"/>
      <w:lvlText w:val="o"/>
      <w:lvlJc w:val="left"/>
      <w:pPr>
        <w:ind w:left="5760" w:hanging="360"/>
      </w:pPr>
      <w:rPr>
        <w:rFonts w:ascii="Courier New" w:hAnsi="Courier New" w:hint="default"/>
      </w:rPr>
    </w:lvl>
    <w:lvl w:ilvl="8" w:tplc="F03CB7C4" w:tentative="1">
      <w:start w:val="1"/>
      <w:numFmt w:val="bullet"/>
      <w:lvlText w:val=""/>
      <w:lvlJc w:val="left"/>
      <w:pPr>
        <w:ind w:left="6480" w:hanging="360"/>
      </w:pPr>
      <w:rPr>
        <w:rFonts w:ascii="Wingdings" w:hAnsi="Wingdings" w:hint="default"/>
      </w:rPr>
    </w:lvl>
  </w:abstractNum>
  <w:abstractNum w:abstractNumId="14" w15:restartNumberingAfterBreak="0">
    <w:nsid w:val="5D7A5942"/>
    <w:multiLevelType w:val="hybridMultilevel"/>
    <w:tmpl w:val="0540B984"/>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5" w15:restartNumberingAfterBreak="0">
    <w:nsid w:val="61460569"/>
    <w:multiLevelType w:val="hybridMultilevel"/>
    <w:tmpl w:val="84BED0F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6" w15:restartNumberingAfterBreak="0">
    <w:nsid w:val="6EB8583A"/>
    <w:multiLevelType w:val="hybridMultilevel"/>
    <w:tmpl w:val="08BC627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77582CF7"/>
    <w:multiLevelType w:val="hybridMultilevel"/>
    <w:tmpl w:val="15CA45E8"/>
    <w:lvl w:ilvl="0" w:tplc="C786F8AA">
      <w:start w:val="19"/>
      <w:numFmt w:val="bullet"/>
      <w:lvlText w:val="-"/>
      <w:lvlJc w:val="left"/>
      <w:pPr>
        <w:ind w:left="720" w:hanging="360"/>
      </w:pPr>
      <w:rPr>
        <w:rFonts w:ascii="Aptos" w:eastAsiaTheme="minorHAnsi" w:hAnsi="Aptos"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796569BA"/>
    <w:multiLevelType w:val="hybridMultilevel"/>
    <w:tmpl w:val="C3540724"/>
    <w:lvl w:ilvl="0" w:tplc="0EE47C4E">
      <w:start w:val="1"/>
      <w:numFmt w:val="decimal"/>
      <w:lvlText w:val="●"/>
      <w:lvlJc w:val="left"/>
      <w:pPr>
        <w:ind w:left="720" w:hanging="360"/>
      </w:pPr>
    </w:lvl>
    <w:lvl w:ilvl="1" w:tplc="3B1E536A">
      <w:start w:val="1"/>
      <w:numFmt w:val="bullet"/>
      <w:lvlText w:val="o"/>
      <w:lvlJc w:val="left"/>
      <w:pPr>
        <w:ind w:left="1440" w:hanging="360"/>
      </w:pPr>
      <w:rPr>
        <w:rFonts w:ascii="Courier New" w:hAnsi="Courier New" w:hint="default"/>
      </w:rPr>
    </w:lvl>
    <w:lvl w:ilvl="2" w:tplc="81B8EDAC" w:tentative="1">
      <w:start w:val="1"/>
      <w:numFmt w:val="bullet"/>
      <w:lvlText w:val=""/>
      <w:lvlJc w:val="left"/>
      <w:pPr>
        <w:ind w:left="2160" w:hanging="360"/>
      </w:pPr>
      <w:rPr>
        <w:rFonts w:ascii="Wingdings" w:hAnsi="Wingdings" w:hint="default"/>
      </w:rPr>
    </w:lvl>
    <w:lvl w:ilvl="3" w:tplc="92648E4E" w:tentative="1">
      <w:start w:val="1"/>
      <w:numFmt w:val="bullet"/>
      <w:lvlText w:val=""/>
      <w:lvlJc w:val="left"/>
      <w:pPr>
        <w:ind w:left="2880" w:hanging="360"/>
      </w:pPr>
      <w:rPr>
        <w:rFonts w:ascii="Symbol" w:hAnsi="Symbol" w:hint="default"/>
      </w:rPr>
    </w:lvl>
    <w:lvl w:ilvl="4" w:tplc="B5AC1560" w:tentative="1">
      <w:start w:val="1"/>
      <w:numFmt w:val="bullet"/>
      <w:lvlText w:val="o"/>
      <w:lvlJc w:val="left"/>
      <w:pPr>
        <w:ind w:left="3600" w:hanging="360"/>
      </w:pPr>
      <w:rPr>
        <w:rFonts w:ascii="Courier New" w:hAnsi="Courier New" w:hint="default"/>
      </w:rPr>
    </w:lvl>
    <w:lvl w:ilvl="5" w:tplc="7CD0C20A" w:tentative="1">
      <w:start w:val="1"/>
      <w:numFmt w:val="bullet"/>
      <w:lvlText w:val=""/>
      <w:lvlJc w:val="left"/>
      <w:pPr>
        <w:ind w:left="4320" w:hanging="360"/>
      </w:pPr>
      <w:rPr>
        <w:rFonts w:ascii="Wingdings" w:hAnsi="Wingdings" w:hint="default"/>
      </w:rPr>
    </w:lvl>
    <w:lvl w:ilvl="6" w:tplc="9EF48202" w:tentative="1">
      <w:start w:val="1"/>
      <w:numFmt w:val="bullet"/>
      <w:lvlText w:val=""/>
      <w:lvlJc w:val="left"/>
      <w:pPr>
        <w:ind w:left="5040" w:hanging="360"/>
      </w:pPr>
      <w:rPr>
        <w:rFonts w:ascii="Symbol" w:hAnsi="Symbol" w:hint="default"/>
      </w:rPr>
    </w:lvl>
    <w:lvl w:ilvl="7" w:tplc="FA3A16AA" w:tentative="1">
      <w:start w:val="1"/>
      <w:numFmt w:val="bullet"/>
      <w:lvlText w:val="o"/>
      <w:lvlJc w:val="left"/>
      <w:pPr>
        <w:ind w:left="5760" w:hanging="360"/>
      </w:pPr>
      <w:rPr>
        <w:rFonts w:ascii="Courier New" w:hAnsi="Courier New" w:hint="default"/>
      </w:rPr>
    </w:lvl>
    <w:lvl w:ilvl="8" w:tplc="FD7287E4" w:tentative="1">
      <w:start w:val="1"/>
      <w:numFmt w:val="bullet"/>
      <w:lvlText w:val=""/>
      <w:lvlJc w:val="left"/>
      <w:pPr>
        <w:ind w:left="6480" w:hanging="360"/>
      </w:pPr>
      <w:rPr>
        <w:rFonts w:ascii="Wingdings" w:hAnsi="Wingdings" w:hint="default"/>
      </w:rPr>
    </w:lvl>
  </w:abstractNum>
  <w:abstractNum w:abstractNumId="19" w15:restartNumberingAfterBreak="0">
    <w:nsid w:val="7F232AE0"/>
    <w:multiLevelType w:val="hybridMultilevel"/>
    <w:tmpl w:val="3FC0179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788626916">
    <w:abstractNumId w:val="7"/>
  </w:num>
  <w:num w:numId="2" w16cid:durableId="267353323">
    <w:abstractNumId w:val="15"/>
  </w:num>
  <w:num w:numId="3" w16cid:durableId="1959753997">
    <w:abstractNumId w:val="4"/>
  </w:num>
  <w:num w:numId="4" w16cid:durableId="476387212">
    <w:abstractNumId w:val="0"/>
  </w:num>
  <w:num w:numId="5" w16cid:durableId="1116631450">
    <w:abstractNumId w:val="18"/>
  </w:num>
  <w:num w:numId="6" w16cid:durableId="924538742">
    <w:abstractNumId w:val="2"/>
  </w:num>
  <w:num w:numId="7" w16cid:durableId="570119199">
    <w:abstractNumId w:val="0"/>
  </w:num>
  <w:num w:numId="8" w16cid:durableId="1509174617">
    <w:abstractNumId w:val="16"/>
  </w:num>
  <w:num w:numId="9" w16cid:durableId="1026297065">
    <w:abstractNumId w:val="5"/>
  </w:num>
  <w:num w:numId="10" w16cid:durableId="966660852">
    <w:abstractNumId w:val="12"/>
  </w:num>
  <w:num w:numId="11" w16cid:durableId="1386682952">
    <w:abstractNumId w:val="19"/>
  </w:num>
  <w:num w:numId="12" w16cid:durableId="321928448">
    <w:abstractNumId w:val="14"/>
  </w:num>
  <w:num w:numId="13" w16cid:durableId="1925604417">
    <w:abstractNumId w:val="13"/>
  </w:num>
  <w:num w:numId="14" w16cid:durableId="216867853">
    <w:abstractNumId w:val="8"/>
  </w:num>
  <w:num w:numId="15" w16cid:durableId="987395826">
    <w:abstractNumId w:val="1"/>
  </w:num>
  <w:num w:numId="16" w16cid:durableId="1937639791">
    <w:abstractNumId w:val="11"/>
  </w:num>
  <w:num w:numId="17" w16cid:durableId="1193223419">
    <w:abstractNumId w:val="6"/>
  </w:num>
  <w:num w:numId="18" w16cid:durableId="482742860">
    <w:abstractNumId w:val="3"/>
  </w:num>
  <w:num w:numId="19" w16cid:durableId="1700083630">
    <w:abstractNumId w:val="10"/>
  </w:num>
  <w:num w:numId="20" w16cid:durableId="1736513847">
    <w:abstractNumId w:val="17"/>
  </w:num>
  <w:num w:numId="21" w16cid:durableId="2934894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A77"/>
    <w:rsid w:val="00020C5E"/>
    <w:rsid w:val="00044FEC"/>
    <w:rsid w:val="0005706D"/>
    <w:rsid w:val="000905EC"/>
    <w:rsid w:val="000C28D2"/>
    <w:rsid w:val="00101B5B"/>
    <w:rsid w:val="0015119C"/>
    <w:rsid w:val="001603D2"/>
    <w:rsid w:val="00170986"/>
    <w:rsid w:val="00171494"/>
    <w:rsid w:val="00174123"/>
    <w:rsid w:val="00184A77"/>
    <w:rsid w:val="001C0FF8"/>
    <w:rsid w:val="001E4D6E"/>
    <w:rsid w:val="00203D87"/>
    <w:rsid w:val="00207B33"/>
    <w:rsid w:val="00211FF3"/>
    <w:rsid w:val="00240E32"/>
    <w:rsid w:val="00244FC0"/>
    <w:rsid w:val="00260A0F"/>
    <w:rsid w:val="00292FBF"/>
    <w:rsid w:val="002A7E69"/>
    <w:rsid w:val="002B6BD3"/>
    <w:rsid w:val="002C4C0F"/>
    <w:rsid w:val="002E33F4"/>
    <w:rsid w:val="0030531E"/>
    <w:rsid w:val="00330B02"/>
    <w:rsid w:val="00352B00"/>
    <w:rsid w:val="00352BBD"/>
    <w:rsid w:val="00373845"/>
    <w:rsid w:val="00385445"/>
    <w:rsid w:val="003A1088"/>
    <w:rsid w:val="003C6C49"/>
    <w:rsid w:val="003D2529"/>
    <w:rsid w:val="003E112D"/>
    <w:rsid w:val="003F3136"/>
    <w:rsid w:val="0042322F"/>
    <w:rsid w:val="004237D1"/>
    <w:rsid w:val="00442A37"/>
    <w:rsid w:val="00473985"/>
    <w:rsid w:val="0048539B"/>
    <w:rsid w:val="004A6BE0"/>
    <w:rsid w:val="004B4997"/>
    <w:rsid w:val="004E1005"/>
    <w:rsid w:val="0050251D"/>
    <w:rsid w:val="005266C3"/>
    <w:rsid w:val="00587337"/>
    <w:rsid w:val="005939F2"/>
    <w:rsid w:val="005A4AB0"/>
    <w:rsid w:val="005A676A"/>
    <w:rsid w:val="005B246F"/>
    <w:rsid w:val="005D4FF8"/>
    <w:rsid w:val="005E3970"/>
    <w:rsid w:val="006001A5"/>
    <w:rsid w:val="00615B23"/>
    <w:rsid w:val="00615BB4"/>
    <w:rsid w:val="00655B37"/>
    <w:rsid w:val="00656E82"/>
    <w:rsid w:val="00671BFD"/>
    <w:rsid w:val="006939F8"/>
    <w:rsid w:val="00696399"/>
    <w:rsid w:val="006A3685"/>
    <w:rsid w:val="006C3FDA"/>
    <w:rsid w:val="006F20D1"/>
    <w:rsid w:val="006F505F"/>
    <w:rsid w:val="00701698"/>
    <w:rsid w:val="007343CA"/>
    <w:rsid w:val="00741AAB"/>
    <w:rsid w:val="007C2832"/>
    <w:rsid w:val="008069CF"/>
    <w:rsid w:val="008850A8"/>
    <w:rsid w:val="008B614A"/>
    <w:rsid w:val="008C3A80"/>
    <w:rsid w:val="008E6448"/>
    <w:rsid w:val="00921AC1"/>
    <w:rsid w:val="00935A17"/>
    <w:rsid w:val="00955FB7"/>
    <w:rsid w:val="00975394"/>
    <w:rsid w:val="009766C5"/>
    <w:rsid w:val="0098166F"/>
    <w:rsid w:val="00990774"/>
    <w:rsid w:val="009D1ECD"/>
    <w:rsid w:val="009D4ED0"/>
    <w:rsid w:val="009F56BA"/>
    <w:rsid w:val="00A3356B"/>
    <w:rsid w:val="00A375E3"/>
    <w:rsid w:val="00A43C18"/>
    <w:rsid w:val="00A91269"/>
    <w:rsid w:val="00A9377D"/>
    <w:rsid w:val="00A96305"/>
    <w:rsid w:val="00AA214F"/>
    <w:rsid w:val="00AC6750"/>
    <w:rsid w:val="00B11F0E"/>
    <w:rsid w:val="00B46BFF"/>
    <w:rsid w:val="00B53E04"/>
    <w:rsid w:val="00B77556"/>
    <w:rsid w:val="00BF721C"/>
    <w:rsid w:val="00C04741"/>
    <w:rsid w:val="00C4252F"/>
    <w:rsid w:val="00C42F90"/>
    <w:rsid w:val="00CD1486"/>
    <w:rsid w:val="00D005A9"/>
    <w:rsid w:val="00D01AD3"/>
    <w:rsid w:val="00D143FD"/>
    <w:rsid w:val="00D23BD3"/>
    <w:rsid w:val="00D23F1E"/>
    <w:rsid w:val="00D264B9"/>
    <w:rsid w:val="00D373CF"/>
    <w:rsid w:val="00D56E52"/>
    <w:rsid w:val="00D91324"/>
    <w:rsid w:val="00DD19C5"/>
    <w:rsid w:val="00DE6A27"/>
    <w:rsid w:val="00E16C93"/>
    <w:rsid w:val="00E52BBE"/>
    <w:rsid w:val="00E542F3"/>
    <w:rsid w:val="00E76E6F"/>
    <w:rsid w:val="00E91C11"/>
    <w:rsid w:val="00EA4782"/>
    <w:rsid w:val="00EB24A4"/>
    <w:rsid w:val="00ED4A02"/>
    <w:rsid w:val="00EF22A6"/>
    <w:rsid w:val="00F11E46"/>
    <w:rsid w:val="00F2508D"/>
    <w:rsid w:val="00F910EC"/>
    <w:rsid w:val="00F93A4B"/>
    <w:rsid w:val="00F93D71"/>
    <w:rsid w:val="00FC6B77"/>
    <w:rsid w:val="00FE119F"/>
    <w:rsid w:val="00FF1450"/>
    <w:rsid w:val="00FF4583"/>
    <w:rsid w:val="00FF5518"/>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18299"/>
  <w15:chartTrackingRefBased/>
  <w15:docId w15:val="{4C8847C1-B36C-4CCA-A755-8613B13D4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A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4A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4A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4A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4A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4A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4A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4A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4A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4A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4A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4A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4A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4A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4A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4A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4A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4A77"/>
    <w:rPr>
      <w:rFonts w:eastAsiaTheme="majorEastAsia" w:cstheme="majorBidi"/>
      <w:color w:val="272727" w:themeColor="text1" w:themeTint="D8"/>
    </w:rPr>
  </w:style>
  <w:style w:type="paragraph" w:styleId="Title">
    <w:name w:val="Title"/>
    <w:basedOn w:val="Normal"/>
    <w:next w:val="Normal"/>
    <w:link w:val="TitleChar"/>
    <w:uiPriority w:val="10"/>
    <w:qFormat/>
    <w:rsid w:val="00184A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4A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4A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4A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4A77"/>
    <w:pPr>
      <w:spacing w:before="160"/>
      <w:jc w:val="center"/>
    </w:pPr>
    <w:rPr>
      <w:i/>
      <w:iCs/>
      <w:color w:val="404040" w:themeColor="text1" w:themeTint="BF"/>
    </w:rPr>
  </w:style>
  <w:style w:type="character" w:customStyle="1" w:styleId="QuoteChar">
    <w:name w:val="Quote Char"/>
    <w:basedOn w:val="DefaultParagraphFont"/>
    <w:link w:val="Quote"/>
    <w:uiPriority w:val="29"/>
    <w:rsid w:val="00184A77"/>
    <w:rPr>
      <w:i/>
      <w:iCs/>
      <w:color w:val="404040" w:themeColor="text1" w:themeTint="BF"/>
    </w:rPr>
  </w:style>
  <w:style w:type="paragraph" w:styleId="ListParagraph">
    <w:name w:val="List Paragraph"/>
    <w:aliases w:val="Dot pt,F5 List Paragraph,List Paragraph1,No Spacing1,List Paragraph Char Char Char,Indicator Text,Numbered Para 1,Bullet Points,MAIN CONTENT,List Paragraph12,Bullet 1,OBC Bullet,Colorful List - Accent 11,List Paragraph2,Normal numbered,L"/>
    <w:basedOn w:val="Normal"/>
    <w:link w:val="ListParagraphChar"/>
    <w:uiPriority w:val="34"/>
    <w:qFormat/>
    <w:rsid w:val="00184A77"/>
    <w:pPr>
      <w:ind w:left="720"/>
      <w:contextualSpacing/>
    </w:pPr>
  </w:style>
  <w:style w:type="character" w:styleId="IntenseEmphasis">
    <w:name w:val="Intense Emphasis"/>
    <w:basedOn w:val="DefaultParagraphFont"/>
    <w:uiPriority w:val="21"/>
    <w:qFormat/>
    <w:rsid w:val="00184A77"/>
    <w:rPr>
      <w:i/>
      <w:iCs/>
      <w:color w:val="0F4761" w:themeColor="accent1" w:themeShade="BF"/>
    </w:rPr>
  </w:style>
  <w:style w:type="paragraph" w:styleId="IntenseQuote">
    <w:name w:val="Intense Quote"/>
    <w:basedOn w:val="Normal"/>
    <w:next w:val="Normal"/>
    <w:link w:val="IntenseQuoteChar"/>
    <w:uiPriority w:val="30"/>
    <w:qFormat/>
    <w:rsid w:val="00184A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4A77"/>
    <w:rPr>
      <w:i/>
      <w:iCs/>
      <w:color w:val="0F4761" w:themeColor="accent1" w:themeShade="BF"/>
    </w:rPr>
  </w:style>
  <w:style w:type="character" w:styleId="IntenseReference">
    <w:name w:val="Intense Reference"/>
    <w:basedOn w:val="DefaultParagraphFont"/>
    <w:uiPriority w:val="32"/>
    <w:qFormat/>
    <w:rsid w:val="00184A77"/>
    <w:rPr>
      <w:b/>
      <w:bCs/>
      <w:smallCaps/>
      <w:color w:val="0F4761" w:themeColor="accent1" w:themeShade="BF"/>
      <w:spacing w:val="5"/>
    </w:rPr>
  </w:style>
  <w:style w:type="character" w:customStyle="1" w:styleId="ListParagraphChar">
    <w:name w:val="List Paragraph Char"/>
    <w:aliases w:val="Dot pt Char,F5 List Paragraph Char,List Paragraph1 Char,No Spacing1 Char,List Paragraph Char Char Char Char,Indicator Text Char,Numbered Para 1 Char,Bullet Points Char,MAIN CONTENT Char,List Paragraph12 Char,Bullet 1 Char,L Char"/>
    <w:link w:val="ListParagraph"/>
    <w:uiPriority w:val="34"/>
    <w:qFormat/>
    <w:locked/>
    <w:rsid w:val="00184A77"/>
  </w:style>
  <w:style w:type="character" w:styleId="CommentReference">
    <w:name w:val="annotation reference"/>
    <w:uiPriority w:val="99"/>
    <w:qFormat/>
    <w:rsid w:val="004E1005"/>
    <w:rPr>
      <w:sz w:val="16"/>
      <w:szCs w:val="16"/>
    </w:rPr>
  </w:style>
  <w:style w:type="paragraph" w:styleId="CommentText">
    <w:name w:val="annotation text"/>
    <w:basedOn w:val="Normal"/>
    <w:link w:val="CommentTextChar"/>
    <w:uiPriority w:val="99"/>
    <w:rsid w:val="004E1005"/>
    <w:pPr>
      <w:suppressAutoHyphens/>
      <w:spacing w:after="0" w:line="240" w:lineRule="atLeast"/>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4E1005"/>
    <w:rPr>
      <w:rFonts w:ascii="Times New Roman" w:eastAsia="Times New Roman" w:hAnsi="Times New Roman" w:cs="Times New Roman"/>
      <w:sz w:val="20"/>
      <w:szCs w:val="20"/>
      <w:lang w:val="en-GB"/>
    </w:rPr>
  </w:style>
  <w:style w:type="character" w:styleId="Hyperlink">
    <w:name w:val="Hyperlink"/>
    <w:basedOn w:val="DefaultParagraphFont"/>
    <w:uiPriority w:val="99"/>
    <w:unhideWhenUsed/>
    <w:rsid w:val="00E542F3"/>
    <w:rPr>
      <w:color w:val="467886" w:themeColor="hyperlink"/>
      <w:u w:val="single"/>
    </w:rPr>
  </w:style>
  <w:style w:type="character" w:styleId="UnresolvedMention">
    <w:name w:val="Unresolved Mention"/>
    <w:basedOn w:val="DefaultParagraphFont"/>
    <w:uiPriority w:val="99"/>
    <w:semiHidden/>
    <w:unhideWhenUsed/>
    <w:rsid w:val="00E542F3"/>
    <w:rPr>
      <w:color w:val="605E5C"/>
      <w:shd w:val="clear" w:color="auto" w:fill="E1DFDD"/>
    </w:rPr>
  </w:style>
  <w:style w:type="paragraph" w:styleId="Header">
    <w:name w:val="header"/>
    <w:basedOn w:val="Normal"/>
    <w:link w:val="HeaderChar"/>
    <w:uiPriority w:val="99"/>
    <w:unhideWhenUsed/>
    <w:rsid w:val="00E52B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BBE"/>
  </w:style>
  <w:style w:type="paragraph" w:styleId="Footer">
    <w:name w:val="footer"/>
    <w:basedOn w:val="Normal"/>
    <w:link w:val="FooterChar"/>
    <w:uiPriority w:val="99"/>
    <w:unhideWhenUsed/>
    <w:rsid w:val="00E52B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BBE"/>
  </w:style>
  <w:style w:type="paragraph" w:styleId="Revision">
    <w:name w:val="Revision"/>
    <w:hidden/>
    <w:uiPriority w:val="99"/>
    <w:semiHidden/>
    <w:rsid w:val="00EA4782"/>
    <w:pPr>
      <w:spacing w:after="0" w:line="240" w:lineRule="auto"/>
    </w:pPr>
  </w:style>
  <w:style w:type="paragraph" w:styleId="CommentSubject">
    <w:name w:val="annotation subject"/>
    <w:basedOn w:val="CommentText"/>
    <w:next w:val="CommentText"/>
    <w:link w:val="CommentSubjectChar"/>
    <w:uiPriority w:val="99"/>
    <w:semiHidden/>
    <w:unhideWhenUsed/>
    <w:rsid w:val="00EA4782"/>
    <w:pPr>
      <w:suppressAutoHyphens w:val="0"/>
      <w:spacing w:after="160" w:line="240" w:lineRule="auto"/>
    </w:pPr>
    <w:rPr>
      <w:rFonts w:asciiTheme="minorHAnsi" w:eastAsiaTheme="minorHAnsi" w:hAnsiTheme="minorHAnsi" w:cstheme="minorBidi"/>
      <w:b/>
      <w:bCs/>
      <w:lang w:val="en-IE"/>
    </w:rPr>
  </w:style>
  <w:style w:type="character" w:customStyle="1" w:styleId="CommentSubjectChar">
    <w:name w:val="Comment Subject Char"/>
    <w:basedOn w:val="CommentTextChar"/>
    <w:link w:val="CommentSubject"/>
    <w:uiPriority w:val="99"/>
    <w:semiHidden/>
    <w:rsid w:val="00EA4782"/>
    <w:rPr>
      <w:rFonts w:ascii="Times New Roman" w:eastAsia="Times New Roman" w:hAnsi="Times New Roman" w:cs="Times New Roman"/>
      <w:b/>
      <w:bCs/>
      <w:sz w:val="20"/>
      <w:szCs w:val="20"/>
      <w:lang w:val="en-GB"/>
    </w:rPr>
  </w:style>
  <w:style w:type="paragraph" w:styleId="FootnoteText">
    <w:name w:val="footnote text"/>
    <w:basedOn w:val="Normal"/>
    <w:link w:val="FootnoteTextChar"/>
    <w:uiPriority w:val="99"/>
    <w:semiHidden/>
    <w:unhideWhenUsed/>
    <w:rsid w:val="00D264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64B9"/>
    <w:rPr>
      <w:sz w:val="20"/>
      <w:szCs w:val="20"/>
    </w:rPr>
  </w:style>
  <w:style w:type="character" w:styleId="FootnoteReference">
    <w:name w:val="footnote reference"/>
    <w:basedOn w:val="DefaultParagraphFont"/>
    <w:uiPriority w:val="99"/>
    <w:semiHidden/>
    <w:unhideWhenUsed/>
    <w:rsid w:val="00D264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688">
      <w:bodyDiv w:val="1"/>
      <w:marLeft w:val="0"/>
      <w:marRight w:val="0"/>
      <w:marTop w:val="0"/>
      <w:marBottom w:val="0"/>
      <w:divBdr>
        <w:top w:val="none" w:sz="0" w:space="0" w:color="auto"/>
        <w:left w:val="none" w:sz="0" w:space="0" w:color="auto"/>
        <w:bottom w:val="none" w:sz="0" w:space="0" w:color="auto"/>
        <w:right w:val="none" w:sz="0" w:space="0" w:color="auto"/>
      </w:divBdr>
    </w:div>
    <w:div w:id="180052416">
      <w:bodyDiv w:val="1"/>
      <w:marLeft w:val="0"/>
      <w:marRight w:val="0"/>
      <w:marTop w:val="0"/>
      <w:marBottom w:val="0"/>
      <w:divBdr>
        <w:top w:val="none" w:sz="0" w:space="0" w:color="auto"/>
        <w:left w:val="none" w:sz="0" w:space="0" w:color="auto"/>
        <w:bottom w:val="none" w:sz="0" w:space="0" w:color="auto"/>
        <w:right w:val="none" w:sz="0" w:space="0" w:color="auto"/>
      </w:divBdr>
    </w:div>
    <w:div w:id="193689741">
      <w:bodyDiv w:val="1"/>
      <w:marLeft w:val="0"/>
      <w:marRight w:val="0"/>
      <w:marTop w:val="0"/>
      <w:marBottom w:val="0"/>
      <w:divBdr>
        <w:top w:val="none" w:sz="0" w:space="0" w:color="auto"/>
        <w:left w:val="none" w:sz="0" w:space="0" w:color="auto"/>
        <w:bottom w:val="none" w:sz="0" w:space="0" w:color="auto"/>
        <w:right w:val="none" w:sz="0" w:space="0" w:color="auto"/>
      </w:divBdr>
    </w:div>
    <w:div w:id="225461589">
      <w:bodyDiv w:val="1"/>
      <w:marLeft w:val="0"/>
      <w:marRight w:val="0"/>
      <w:marTop w:val="0"/>
      <w:marBottom w:val="0"/>
      <w:divBdr>
        <w:top w:val="none" w:sz="0" w:space="0" w:color="auto"/>
        <w:left w:val="none" w:sz="0" w:space="0" w:color="auto"/>
        <w:bottom w:val="none" w:sz="0" w:space="0" w:color="auto"/>
        <w:right w:val="none" w:sz="0" w:space="0" w:color="auto"/>
      </w:divBdr>
    </w:div>
    <w:div w:id="288781159">
      <w:bodyDiv w:val="1"/>
      <w:marLeft w:val="0"/>
      <w:marRight w:val="0"/>
      <w:marTop w:val="0"/>
      <w:marBottom w:val="0"/>
      <w:divBdr>
        <w:top w:val="none" w:sz="0" w:space="0" w:color="auto"/>
        <w:left w:val="none" w:sz="0" w:space="0" w:color="auto"/>
        <w:bottom w:val="none" w:sz="0" w:space="0" w:color="auto"/>
        <w:right w:val="none" w:sz="0" w:space="0" w:color="auto"/>
      </w:divBdr>
    </w:div>
    <w:div w:id="594482813">
      <w:bodyDiv w:val="1"/>
      <w:marLeft w:val="0"/>
      <w:marRight w:val="0"/>
      <w:marTop w:val="0"/>
      <w:marBottom w:val="0"/>
      <w:divBdr>
        <w:top w:val="none" w:sz="0" w:space="0" w:color="auto"/>
        <w:left w:val="none" w:sz="0" w:space="0" w:color="auto"/>
        <w:bottom w:val="none" w:sz="0" w:space="0" w:color="auto"/>
        <w:right w:val="none" w:sz="0" w:space="0" w:color="auto"/>
      </w:divBdr>
    </w:div>
    <w:div w:id="832987959">
      <w:bodyDiv w:val="1"/>
      <w:marLeft w:val="0"/>
      <w:marRight w:val="0"/>
      <w:marTop w:val="0"/>
      <w:marBottom w:val="0"/>
      <w:divBdr>
        <w:top w:val="none" w:sz="0" w:space="0" w:color="auto"/>
        <w:left w:val="none" w:sz="0" w:space="0" w:color="auto"/>
        <w:bottom w:val="none" w:sz="0" w:space="0" w:color="auto"/>
        <w:right w:val="none" w:sz="0" w:space="0" w:color="auto"/>
      </w:divBdr>
    </w:div>
    <w:div w:id="991255416">
      <w:bodyDiv w:val="1"/>
      <w:marLeft w:val="0"/>
      <w:marRight w:val="0"/>
      <w:marTop w:val="0"/>
      <w:marBottom w:val="0"/>
      <w:divBdr>
        <w:top w:val="none" w:sz="0" w:space="0" w:color="auto"/>
        <w:left w:val="none" w:sz="0" w:space="0" w:color="auto"/>
        <w:bottom w:val="none" w:sz="0" w:space="0" w:color="auto"/>
        <w:right w:val="none" w:sz="0" w:space="0" w:color="auto"/>
      </w:divBdr>
    </w:div>
    <w:div w:id="1011223487">
      <w:bodyDiv w:val="1"/>
      <w:marLeft w:val="0"/>
      <w:marRight w:val="0"/>
      <w:marTop w:val="0"/>
      <w:marBottom w:val="0"/>
      <w:divBdr>
        <w:top w:val="none" w:sz="0" w:space="0" w:color="auto"/>
        <w:left w:val="none" w:sz="0" w:space="0" w:color="auto"/>
        <w:bottom w:val="none" w:sz="0" w:space="0" w:color="auto"/>
        <w:right w:val="none" w:sz="0" w:space="0" w:color="auto"/>
      </w:divBdr>
    </w:div>
    <w:div w:id="1120146766">
      <w:bodyDiv w:val="1"/>
      <w:marLeft w:val="0"/>
      <w:marRight w:val="0"/>
      <w:marTop w:val="0"/>
      <w:marBottom w:val="0"/>
      <w:divBdr>
        <w:top w:val="none" w:sz="0" w:space="0" w:color="auto"/>
        <w:left w:val="none" w:sz="0" w:space="0" w:color="auto"/>
        <w:bottom w:val="none" w:sz="0" w:space="0" w:color="auto"/>
        <w:right w:val="none" w:sz="0" w:space="0" w:color="auto"/>
      </w:divBdr>
    </w:div>
    <w:div w:id="1306858081">
      <w:bodyDiv w:val="1"/>
      <w:marLeft w:val="0"/>
      <w:marRight w:val="0"/>
      <w:marTop w:val="0"/>
      <w:marBottom w:val="0"/>
      <w:divBdr>
        <w:top w:val="none" w:sz="0" w:space="0" w:color="auto"/>
        <w:left w:val="none" w:sz="0" w:space="0" w:color="auto"/>
        <w:bottom w:val="none" w:sz="0" w:space="0" w:color="auto"/>
        <w:right w:val="none" w:sz="0" w:space="0" w:color="auto"/>
      </w:divBdr>
    </w:div>
    <w:div w:id="1469935232">
      <w:bodyDiv w:val="1"/>
      <w:marLeft w:val="0"/>
      <w:marRight w:val="0"/>
      <w:marTop w:val="0"/>
      <w:marBottom w:val="0"/>
      <w:divBdr>
        <w:top w:val="none" w:sz="0" w:space="0" w:color="auto"/>
        <w:left w:val="none" w:sz="0" w:space="0" w:color="auto"/>
        <w:bottom w:val="none" w:sz="0" w:space="0" w:color="auto"/>
        <w:right w:val="none" w:sz="0" w:space="0" w:color="auto"/>
      </w:divBdr>
    </w:div>
    <w:div w:id="1566799091">
      <w:bodyDiv w:val="1"/>
      <w:marLeft w:val="0"/>
      <w:marRight w:val="0"/>
      <w:marTop w:val="0"/>
      <w:marBottom w:val="0"/>
      <w:divBdr>
        <w:top w:val="none" w:sz="0" w:space="0" w:color="auto"/>
        <w:left w:val="none" w:sz="0" w:space="0" w:color="auto"/>
        <w:bottom w:val="none" w:sz="0" w:space="0" w:color="auto"/>
        <w:right w:val="none" w:sz="0" w:space="0" w:color="auto"/>
      </w:divBdr>
    </w:div>
    <w:div w:id="1765761682">
      <w:bodyDiv w:val="1"/>
      <w:marLeft w:val="0"/>
      <w:marRight w:val="0"/>
      <w:marTop w:val="0"/>
      <w:marBottom w:val="0"/>
      <w:divBdr>
        <w:top w:val="none" w:sz="0" w:space="0" w:color="auto"/>
        <w:left w:val="none" w:sz="0" w:space="0" w:color="auto"/>
        <w:bottom w:val="none" w:sz="0" w:space="0" w:color="auto"/>
        <w:right w:val="none" w:sz="0" w:space="0" w:color="auto"/>
      </w:divBdr>
    </w:div>
    <w:div w:id="1974142079">
      <w:bodyDiv w:val="1"/>
      <w:marLeft w:val="0"/>
      <w:marRight w:val="0"/>
      <w:marTop w:val="0"/>
      <w:marBottom w:val="0"/>
      <w:divBdr>
        <w:top w:val="none" w:sz="0" w:space="0" w:color="auto"/>
        <w:left w:val="none" w:sz="0" w:space="0" w:color="auto"/>
        <w:bottom w:val="none" w:sz="0" w:space="0" w:color="auto"/>
        <w:right w:val="none" w:sz="0" w:space="0" w:color="auto"/>
      </w:divBdr>
    </w:div>
    <w:div w:id="1983919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https://www.bing.com/ck/a?!&amp;&amp;p=06f8c207d8b47b8c39fb073efd2d0c0a67f3867992c99165399dfbebc468265eJmltdHM9MTc0MTczNzYwMA&amp;ptn=3&amp;ver=2&amp;hsh=4&amp;fclid=05b29489-5302-6b54-31e2-81d8524a6a48&amp;psq=victims+strategy+eu&amp;u=a1aHR0cHM6Ly9jb21taXNzaW9uLmV1cm9wYS5ldS9zdHJhdGVneS1hbmQtcG9saWN5L3BvbGljaWVzL2p1c3RpY2UtYW5kLWZ1bmRhbWVudGFsLXJpZ2h0cy9jcmltaW5hbC1qdXN0aWNlL3Byb3RlY3RpbmctdmljdGltcy1yaWdodHMvZXUtc3RyYXRlZ3ktdmljdGltcy1yaWdodHMtMjAyMC0yMDI1X2VuIzp-OnRleHQ9VGhlJTIwc3RyYXRlZ3klMjBwcmVzZW50cyUyMGZpdmUlMjBrZXklMjBwcmlvcml0aWVzJTNBJTIwMSUyMGVmZmVjdGl2ZSw1JTIwc3RyZW5ndGhlbmluZyUyMHRoZSUyMGludGVybmF0aW9uYWwlMjBkaW1lbnNpb24lMjBvZiUyMHZpY3RpbXMlRTIlODAlOTklMjByaWdodHMu&amp;ntb=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 Type="http://schemas.openxmlformats.org/officeDocument/2006/relationships/hyperlink" Target="https://curia.europa.eu/jcms/upload/docs/application/pdf/2024-11/version_consolidee_dpe_en.pdf" TargetMode="External"/><Relationship Id="rId1" Type="http://schemas.openxmlformats.org/officeDocument/2006/relationships/hyperlink" Target="https://eur-lex.europa.eu/legal-content/EN/TXT/PDF/?uri=OJ:L_2024021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TermInfo xmlns="http://schemas.microsoft.com/office/infopath/2007/PartnerControls">
          <TermName xmlns="http://schemas.microsoft.com/office/infopath/2007/PartnerControls"/>
          <TermId xmlns="http://schemas.microsoft.com/office/infopath/2007/PartnerControls"/>
        </TermInfo>
      </Terms>
    </lcf76f155ced4ddcb4097134ff3c332f>
    <TaxCatchAll xmlns="985ec44e-1bab-4c0b-9df0-6ba128686fc9" xsi:nil="true"/>
    <Document_x0020_Date xmlns="985ec44e-1bab-4c0b-9df0-6ba128686fc9">2025-03-14T09:38:59+00:00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A6F03B-CD17-49F6-9CCB-B9C33655BB61}">
  <ds:schemaRefs>
    <ds:schemaRef ds:uri="http://schemas.microsoft.com/sharepoint/v3/contenttype/forms"/>
  </ds:schemaRefs>
</ds:datastoreItem>
</file>

<file path=customXml/itemProps2.xml><?xml version="1.0" encoding="utf-8"?>
<ds:datastoreItem xmlns:ds="http://schemas.openxmlformats.org/officeDocument/2006/customXml" ds:itemID="{318AA469-CD65-41D6-A9EF-33BA43153F1E}">
  <ds:schemaRefs>
    <ds:schemaRef ds:uri="http://schemas.microsoft.com/office/2006/metadata/properties"/>
    <ds:schemaRef ds:uri="http://schemas.microsoft.com/office/infopath/2007/PartnerControls"/>
    <ds:schemaRef ds:uri="43eb9028-f615-416e-ab95-1f973838ac88"/>
    <ds:schemaRef ds:uri="e7ce7334-6d34-4bd6-adf1-7b434eb0d83e"/>
  </ds:schemaRefs>
</ds:datastoreItem>
</file>

<file path=customXml/itemProps3.xml><?xml version="1.0" encoding="utf-8"?>
<ds:datastoreItem xmlns:ds="http://schemas.openxmlformats.org/officeDocument/2006/customXml" ds:itemID="{271B5440-2D6E-4C4F-A9B6-37D2457E7B3D}"/>
</file>

<file path=docProps/app.xml><?xml version="1.0" encoding="utf-8"?>
<Properties xmlns="http://schemas.openxmlformats.org/officeDocument/2006/extended-properties" xmlns:vt="http://schemas.openxmlformats.org/officeDocument/2006/docPropsVTypes">
  <Template>Normal</Template>
  <TotalTime>3</TotalTime>
  <Pages>6</Pages>
  <Words>2727</Words>
  <Characters>15411</Characters>
  <Application>Microsoft Office Word</Application>
  <DocSecurity>4</DocSecurity>
  <Lines>270</Lines>
  <Paragraphs>91</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18047</CharactersWithSpaces>
  <SharedDoc>false</SharedDoc>
  <HLinks>
    <vt:vector size="12" baseType="variant">
      <vt:variant>
        <vt:i4>7602218</vt:i4>
      </vt:variant>
      <vt:variant>
        <vt:i4>9</vt:i4>
      </vt:variant>
      <vt:variant>
        <vt:i4>0</vt:i4>
      </vt:variant>
      <vt:variant>
        <vt:i4>5</vt:i4>
      </vt:variant>
      <vt:variant>
        <vt:lpwstr>https://www.bing.com/ck/a?!&amp;&amp;p=06f8c207d8b47b8c39fb073efd2d0c0a67f3867992c99165399dfbebc468265eJmltdHM9MTc0MTczNzYwMA&amp;ptn=3&amp;ver=2&amp;hsh=4&amp;fclid=05b29489-5302-6b54-31e2-81d8524a6a48&amp;psq=victims+strategy+eu&amp;u=a1aHR0cHM6Ly9jb21taXNzaW9uLmV1cm9wYS5ldS9zdHJhdGVneS1hbmQtcG9saWN5L3BvbGljaWVzL2p1c3RpY2UtYW5kLWZ1bmRhbWVudGFsLXJpZ2h0cy9jcmltaW5hbC1qdXN0aWNlL3Byb3RlY3RpbmctdmljdGltcy1yaWdodHMvZXUtc3RyYXRlZ3ktdmljdGltcy1yaWdodHMtMjAyMC0yMDI1X2VuIzp-OnRleHQ9VGhlJTIwc3RyYXRlZ3klMjBwcmVzZW50cyUyMGZpdmUlMjBrZXklMjBwcmlvcml0aWVzJTNBJTIwMSUyMGVmZmVjdGl2ZSw1JTIwc3RyZW5ndGhlbmluZyUyMHRoZSUyMGludGVybmF0aW9uYWwlMjBkaW1lbnNpb24lMjBvZiUyMHZpY3RpbXMlRTIlODAlOTklMjByaWdodHMu&amp;ntb=1</vt:lpwstr>
      </vt:variant>
      <vt:variant>
        <vt:lpwstr/>
      </vt:variant>
      <vt:variant>
        <vt:i4>7602218</vt:i4>
      </vt:variant>
      <vt:variant>
        <vt:i4>6</vt:i4>
      </vt:variant>
      <vt:variant>
        <vt:i4>0</vt:i4>
      </vt:variant>
      <vt:variant>
        <vt:i4>5</vt:i4>
      </vt:variant>
      <vt:variant>
        <vt:lpwstr>https://www.bing.com/ck/a?!&amp;&amp;p=06f8c207d8b47b8c39fb073efd2d0c0a67f3867992c99165399dfbebc468265eJmltdHM9MTc0MTczNzYwMA&amp;ptn=3&amp;ver=2&amp;hsh=4&amp;fclid=05b29489-5302-6b54-31e2-81d8524a6a48&amp;psq=victims+strategy+eu&amp;u=a1aHR0cHM6Ly9jb21taXNzaW9uLmV1cm9wYS5ldS9zdHJhdGVneS1hbmQtcG9saWN5L3BvbGljaWVzL2p1c3RpY2UtYW5kLWZ1bmRhbWVudGFsLXJpZ2h0cy9jcmltaW5hbC1qdXN0aWNlL3Byb3RlY3RpbmctdmljdGltcy1yaWdodHMvZXUtc3RyYXRlZ3ktdmljdGltcy1yaWdodHMtMjAyMC0yMDI1X2VuIzp-OnRleHQ9VGhlJTIwc3RyYXRlZ3klMjBwcmVzZW50cyUyMGZpdmUlMjBrZXklMjBwcmlvcml0aWVzJTNBJTIwMSUyMGVmZmVjdGl2ZSw1JTIwc3RyZW5ndGhlbmluZyUyMHRoZSUyMGludGVybmF0aW9uYWwlMjBkaW1lbnNpb24lMjBvZiUyMHZpY3RpbXMlRTIlODAlOTklMjByaWdodHMu&amp;ntb=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SCANFERLA Rosita (JUST)</dc:creator>
  <cp:keywords/>
  <dc:description/>
  <cp:lastModifiedBy>PEREIRA Ana Carla (JUST)</cp:lastModifiedBy>
  <cp:revision>2</cp:revision>
  <dcterms:created xsi:type="dcterms:W3CDTF">2025-03-13T18:11:00Z</dcterms:created>
  <dcterms:modified xsi:type="dcterms:W3CDTF">2025-03-13T18:11:00Z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d9ddd1-4d20-43f6-abfa-fc3c07406f94_Enabled">
    <vt:lpwstr>true</vt:lpwstr>
  </property>
  <property fmtid="{D5CDD505-2E9C-101B-9397-08002B2CF9AE}" pid="3" name="MSIP_Label_6bd9ddd1-4d20-43f6-abfa-fc3c07406f94_SetDate">
    <vt:lpwstr>2025-03-12T10:59:08Z</vt:lpwstr>
  </property>
  <property fmtid="{D5CDD505-2E9C-101B-9397-08002B2CF9AE}" pid="4" name="MSIP_Label_6bd9ddd1-4d20-43f6-abfa-fc3c07406f94_Method">
    <vt:lpwstr>Standard</vt:lpwstr>
  </property>
  <property fmtid="{D5CDD505-2E9C-101B-9397-08002B2CF9AE}" pid="5" name="MSIP_Label_6bd9ddd1-4d20-43f6-abfa-fc3c07406f94_Name">
    <vt:lpwstr>Commission Use</vt:lpwstr>
  </property>
  <property fmtid="{D5CDD505-2E9C-101B-9397-08002B2CF9AE}" pid="6" name="MSIP_Label_6bd9ddd1-4d20-43f6-abfa-fc3c07406f94_SiteId">
    <vt:lpwstr>b24c8b06-522c-46fe-9080-70926f8dddb1</vt:lpwstr>
  </property>
  <property fmtid="{D5CDD505-2E9C-101B-9397-08002B2CF9AE}" pid="7" name="MSIP_Label_6bd9ddd1-4d20-43f6-abfa-fc3c07406f94_ActionId">
    <vt:lpwstr>58d299e7-e874-4d87-a3ca-fd6dc3e9cd78</vt:lpwstr>
  </property>
  <property fmtid="{D5CDD505-2E9C-101B-9397-08002B2CF9AE}" pid="8" name="MSIP_Label_6bd9ddd1-4d20-43f6-abfa-fc3c07406f94_ContentBits">
    <vt:lpwstr>0</vt:lpwstr>
  </property>
  <property fmtid="{D5CDD505-2E9C-101B-9397-08002B2CF9AE}" pid="9" name="ContentTypeId">
    <vt:lpwstr>0x0101001C23373B94E5924D9AB8E247F07DDCE5</vt:lpwstr>
  </property>
  <property fmtid="{D5CDD505-2E9C-101B-9397-08002B2CF9AE}" pid="10" name="MediaServiceImageTags">
    <vt:lpwstr/>
  </property>
</Properties>
</file>