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35802" w14:textId="203AF0D3" w:rsidR="00631B6E" w:rsidRPr="009A2D18" w:rsidRDefault="00631B6E" w:rsidP="00631B6E">
      <w:pPr>
        <w:spacing w:after="0" w:line="240" w:lineRule="auto"/>
        <w:jc w:val="center"/>
        <w:rPr>
          <w:b/>
        </w:rPr>
      </w:pPr>
      <w:r>
        <w:rPr>
          <w:b/>
        </w:rPr>
        <w:t xml:space="preserve">Report </w:t>
      </w:r>
      <w:r w:rsidR="0073571A">
        <w:rPr>
          <w:b/>
        </w:rPr>
        <w:t xml:space="preserve">for the List of Issues </w:t>
      </w:r>
      <w:r>
        <w:rPr>
          <w:b/>
        </w:rPr>
        <w:t>to the</w:t>
      </w:r>
      <w:r w:rsidRPr="009A2D18">
        <w:rPr>
          <w:b/>
        </w:rPr>
        <w:t xml:space="preserve"> Committee </w:t>
      </w:r>
      <w:r w:rsidRPr="00631B6E">
        <w:rPr>
          <w:b/>
        </w:rPr>
        <w:t>on Econo</w:t>
      </w:r>
      <w:r>
        <w:rPr>
          <w:b/>
        </w:rPr>
        <w:t xml:space="preserve">mic, Social and Cultural Rights </w:t>
      </w:r>
      <w:r w:rsidRPr="009A2D18">
        <w:rPr>
          <w:b/>
        </w:rPr>
        <w:t xml:space="preserve">in relation to the review of the </w:t>
      </w:r>
      <w:r>
        <w:rPr>
          <w:b/>
        </w:rPr>
        <w:t>third</w:t>
      </w:r>
      <w:r w:rsidRPr="009A2D18">
        <w:rPr>
          <w:b/>
        </w:rPr>
        <w:t xml:space="preserve"> Periodic Report of </w:t>
      </w:r>
      <w:r>
        <w:rPr>
          <w:b/>
        </w:rPr>
        <w:t>Georgia</w:t>
      </w:r>
      <w:r w:rsidRPr="009A2D18">
        <w:rPr>
          <w:b/>
        </w:rPr>
        <w:t xml:space="preserve"> </w:t>
      </w:r>
      <w:r w:rsidRPr="00631B6E">
        <w:rPr>
          <w:b/>
        </w:rPr>
        <w:t>E/C.12/GEO/3. 2021</w:t>
      </w:r>
    </w:p>
    <w:p w14:paraId="2393FE59" w14:textId="77777777" w:rsidR="00631B6E" w:rsidRPr="009A2D18" w:rsidRDefault="00631B6E" w:rsidP="00631B6E">
      <w:pPr>
        <w:spacing w:after="0" w:line="240" w:lineRule="auto"/>
        <w:jc w:val="center"/>
        <w:rPr>
          <w:b/>
        </w:rPr>
      </w:pPr>
      <w:r w:rsidRPr="009A2D18">
        <w:rPr>
          <w:b/>
        </w:rPr>
        <w:t>_____________________</w:t>
      </w:r>
    </w:p>
    <w:p w14:paraId="7F9169F4" w14:textId="77777777" w:rsidR="00631B6E" w:rsidRPr="009A2D18" w:rsidRDefault="00631B6E" w:rsidP="00631B6E">
      <w:pPr>
        <w:spacing w:after="0" w:line="240" w:lineRule="auto"/>
        <w:jc w:val="center"/>
        <w:rPr>
          <w:b/>
        </w:rPr>
      </w:pPr>
    </w:p>
    <w:p w14:paraId="089ABCBD" w14:textId="77777777" w:rsidR="00631B6E" w:rsidRPr="009A2D18" w:rsidRDefault="00631B6E" w:rsidP="00631B6E">
      <w:pPr>
        <w:spacing w:after="0" w:line="240" w:lineRule="auto"/>
        <w:jc w:val="center"/>
      </w:pPr>
      <w:r w:rsidRPr="009A2D18">
        <w:t>from</w:t>
      </w:r>
    </w:p>
    <w:p w14:paraId="33476552" w14:textId="77777777" w:rsidR="00631B6E" w:rsidRPr="009A2D18" w:rsidRDefault="00631B6E" w:rsidP="00631B6E">
      <w:pPr>
        <w:spacing w:after="0" w:line="240" w:lineRule="auto"/>
        <w:jc w:val="center"/>
      </w:pPr>
    </w:p>
    <w:p w14:paraId="7DFEC55C" w14:textId="58C60F57" w:rsidR="00631B6E" w:rsidRPr="009A2D18" w:rsidRDefault="00631B6E" w:rsidP="00631B6E">
      <w:pPr>
        <w:spacing w:after="0" w:line="240" w:lineRule="auto"/>
        <w:jc w:val="center"/>
      </w:pPr>
      <w:r w:rsidRPr="009A2D18">
        <w:t>Eurasian Harm Reduction Association and HIV Legal Network.</w:t>
      </w:r>
      <w:r w:rsidRPr="009A2D18">
        <w:rPr>
          <w:rStyle w:val="FootnoteReference"/>
          <w:rFonts w:eastAsiaTheme="majorEastAsia"/>
        </w:rPr>
        <w:footnoteReference w:id="1"/>
      </w:r>
    </w:p>
    <w:p w14:paraId="31E66231" w14:textId="77777777" w:rsidR="00631B6E" w:rsidRPr="009A2D18" w:rsidRDefault="00631B6E" w:rsidP="00631B6E">
      <w:pPr>
        <w:spacing w:after="0" w:line="240" w:lineRule="auto"/>
        <w:jc w:val="center"/>
        <w:rPr>
          <w:bCs/>
        </w:rPr>
      </w:pPr>
    </w:p>
    <w:p w14:paraId="6E51D0BC" w14:textId="7FFA4748" w:rsidR="00631B6E" w:rsidRPr="009A2D18" w:rsidRDefault="000B3B38" w:rsidP="00631B6E">
      <w:pPr>
        <w:pBdr>
          <w:bottom w:val="single" w:sz="12" w:space="1" w:color="auto"/>
        </w:pBdr>
        <w:spacing w:after="0" w:line="240" w:lineRule="auto"/>
        <w:jc w:val="center"/>
        <w:rPr>
          <w:bCs/>
        </w:rPr>
      </w:pPr>
      <w:r>
        <w:rPr>
          <w:bCs/>
        </w:rPr>
        <w:t>October</w:t>
      </w:r>
      <w:r w:rsidR="00631B6E" w:rsidRPr="009A2D18">
        <w:rPr>
          <w:bCs/>
        </w:rPr>
        <w:t xml:space="preserve"> 20</w:t>
      </w:r>
      <w:r w:rsidR="00631B6E">
        <w:rPr>
          <w:bCs/>
        </w:rPr>
        <w:t>23</w:t>
      </w:r>
    </w:p>
    <w:p w14:paraId="1D27C800" w14:textId="77777777" w:rsidR="0081000B" w:rsidRDefault="0081000B" w:rsidP="006E2DBB">
      <w:pPr>
        <w:spacing w:line="360" w:lineRule="auto"/>
        <w:ind w:left="297" w:right="426"/>
        <w:rPr>
          <w:rFonts w:eastAsia="Sylfaen"/>
          <w:b/>
          <w:lang w:val="en-GB"/>
        </w:rPr>
      </w:pPr>
    </w:p>
    <w:sdt>
      <w:sdtPr>
        <w:rPr>
          <w:rFonts w:eastAsia="Times New Roman" w:cs="Times New Roman"/>
          <w:color w:val="auto"/>
          <w:sz w:val="24"/>
          <w:szCs w:val="24"/>
          <w:lang w:eastAsia="en-GB"/>
        </w:rPr>
        <w:id w:val="-19404731"/>
        <w:docPartObj>
          <w:docPartGallery w:val="Table of Contents"/>
          <w:docPartUnique/>
        </w:docPartObj>
      </w:sdtPr>
      <w:sdtEndPr>
        <w:rPr>
          <w:b/>
          <w:bCs/>
          <w:noProof/>
        </w:rPr>
      </w:sdtEndPr>
      <w:sdtContent>
        <w:p w14:paraId="19CEA90D" w14:textId="5EFB667E" w:rsidR="006329AD" w:rsidRPr="006329AD" w:rsidRDefault="006329AD">
          <w:pPr>
            <w:pStyle w:val="TOCHeading"/>
            <w:rPr>
              <w:b/>
              <w:sz w:val="24"/>
              <w:szCs w:val="24"/>
            </w:rPr>
          </w:pPr>
          <w:r w:rsidRPr="006329AD">
            <w:rPr>
              <w:b/>
              <w:sz w:val="24"/>
              <w:szCs w:val="24"/>
            </w:rPr>
            <w:t>INDEX</w:t>
          </w:r>
        </w:p>
        <w:p w14:paraId="5EACDA7F" w14:textId="77777777" w:rsidR="006329AD" w:rsidRPr="006329AD" w:rsidRDefault="006329AD">
          <w:pPr>
            <w:pStyle w:val="TOC1"/>
            <w:tabs>
              <w:tab w:val="right" w:leader="dot" w:pos="9667"/>
            </w:tabs>
            <w:rPr>
              <w:rFonts w:asciiTheme="minorHAnsi" w:eastAsiaTheme="minorEastAsia" w:hAnsiTheme="minorHAnsi" w:cstheme="minorBidi"/>
              <w:noProof/>
              <w:sz w:val="22"/>
              <w:szCs w:val="22"/>
              <w:lang w:val="en-CA" w:eastAsia="en-CA"/>
            </w:rPr>
          </w:pPr>
          <w:r>
            <w:fldChar w:fldCharType="begin"/>
          </w:r>
          <w:r>
            <w:instrText xml:space="preserve"> TOC \o "1-3" \h \z \u </w:instrText>
          </w:r>
          <w:r>
            <w:fldChar w:fldCharType="separate"/>
          </w:r>
          <w:hyperlink w:anchor="_Toc123799381" w:history="1">
            <w:r w:rsidRPr="006329AD">
              <w:rPr>
                <w:rStyle w:val="Hyperlink"/>
                <w:rFonts w:eastAsia="Sylfaen"/>
                <w:noProof/>
                <w:lang w:val="en-GB"/>
              </w:rPr>
              <w:t>Introduction</w:t>
            </w:r>
            <w:r w:rsidRPr="006329AD">
              <w:rPr>
                <w:noProof/>
                <w:webHidden/>
              </w:rPr>
              <w:tab/>
            </w:r>
            <w:r w:rsidRPr="006329AD">
              <w:rPr>
                <w:noProof/>
                <w:webHidden/>
              </w:rPr>
              <w:fldChar w:fldCharType="begin"/>
            </w:r>
            <w:r w:rsidRPr="006329AD">
              <w:rPr>
                <w:noProof/>
                <w:webHidden/>
              </w:rPr>
              <w:instrText xml:space="preserve"> PAGEREF _Toc123799381 \h </w:instrText>
            </w:r>
            <w:r w:rsidRPr="006329AD">
              <w:rPr>
                <w:noProof/>
                <w:webHidden/>
              </w:rPr>
            </w:r>
            <w:r w:rsidRPr="006329AD">
              <w:rPr>
                <w:noProof/>
                <w:webHidden/>
              </w:rPr>
              <w:fldChar w:fldCharType="separate"/>
            </w:r>
            <w:r w:rsidR="007B4BDE">
              <w:rPr>
                <w:noProof/>
                <w:webHidden/>
              </w:rPr>
              <w:t>1</w:t>
            </w:r>
            <w:r w:rsidRPr="006329AD">
              <w:rPr>
                <w:noProof/>
                <w:webHidden/>
              </w:rPr>
              <w:fldChar w:fldCharType="end"/>
            </w:r>
          </w:hyperlink>
        </w:p>
        <w:p w14:paraId="284732C6" w14:textId="77777777"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82" w:history="1">
            <w:r w:rsidR="006329AD" w:rsidRPr="006329AD">
              <w:rPr>
                <w:rStyle w:val="Hyperlink"/>
                <w:rFonts w:eastAsia="Sylfaen"/>
                <w:noProof/>
                <w:lang w:val="en-GB"/>
              </w:rPr>
              <w:t>Sources of information about human rights violations for this report</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_Toc123799382 \h </w:instrText>
            </w:r>
            <w:r w:rsidR="006329AD" w:rsidRPr="006329AD">
              <w:rPr>
                <w:noProof/>
                <w:webHidden/>
              </w:rPr>
            </w:r>
            <w:r w:rsidR="006329AD" w:rsidRPr="006329AD">
              <w:rPr>
                <w:noProof/>
                <w:webHidden/>
              </w:rPr>
              <w:fldChar w:fldCharType="separate"/>
            </w:r>
            <w:r w:rsidR="007B4BDE">
              <w:rPr>
                <w:noProof/>
                <w:webHidden/>
              </w:rPr>
              <w:t>2</w:t>
            </w:r>
            <w:r w:rsidR="006329AD" w:rsidRPr="006329AD">
              <w:rPr>
                <w:noProof/>
                <w:webHidden/>
              </w:rPr>
              <w:fldChar w:fldCharType="end"/>
            </w:r>
          </w:hyperlink>
        </w:p>
        <w:p w14:paraId="4E739A57" w14:textId="77777777"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83" w:history="1">
            <w:r w:rsidR="006329AD" w:rsidRPr="006329AD">
              <w:rPr>
                <w:rStyle w:val="Hyperlink"/>
                <w:rFonts w:eastAsia="Sylfaen"/>
                <w:noProof/>
                <w:lang w:val="en-GB"/>
              </w:rPr>
              <w:t>Summary</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_Toc123799383 \h </w:instrText>
            </w:r>
            <w:r w:rsidR="006329AD" w:rsidRPr="006329AD">
              <w:rPr>
                <w:noProof/>
                <w:webHidden/>
              </w:rPr>
            </w:r>
            <w:r w:rsidR="006329AD" w:rsidRPr="006329AD">
              <w:rPr>
                <w:noProof/>
                <w:webHidden/>
              </w:rPr>
              <w:fldChar w:fldCharType="separate"/>
            </w:r>
            <w:r w:rsidR="007B4BDE">
              <w:rPr>
                <w:noProof/>
                <w:webHidden/>
              </w:rPr>
              <w:t>2</w:t>
            </w:r>
            <w:r w:rsidR="006329AD" w:rsidRPr="006329AD">
              <w:rPr>
                <w:noProof/>
                <w:webHidden/>
              </w:rPr>
              <w:fldChar w:fldCharType="end"/>
            </w:r>
          </w:hyperlink>
        </w:p>
        <w:p w14:paraId="43F4CF3A" w14:textId="77777777"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84" w:history="1">
            <w:r w:rsidR="006329AD" w:rsidRPr="006329AD">
              <w:rPr>
                <w:rStyle w:val="Hyperlink"/>
                <w:rFonts w:eastAsia="Sylfaen"/>
                <w:noProof/>
                <w:lang w:val="en-GB"/>
              </w:rPr>
              <w:t>Questions for the List of Issues (Art 12 of the Covenant)</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_Toc123799384 \h </w:instrText>
            </w:r>
            <w:r w:rsidR="006329AD" w:rsidRPr="006329AD">
              <w:rPr>
                <w:noProof/>
                <w:webHidden/>
              </w:rPr>
            </w:r>
            <w:r w:rsidR="006329AD" w:rsidRPr="006329AD">
              <w:rPr>
                <w:noProof/>
                <w:webHidden/>
              </w:rPr>
              <w:fldChar w:fldCharType="separate"/>
            </w:r>
            <w:r w:rsidR="007B4BDE">
              <w:rPr>
                <w:noProof/>
                <w:webHidden/>
              </w:rPr>
              <w:t>3</w:t>
            </w:r>
            <w:r w:rsidR="006329AD" w:rsidRPr="006329AD">
              <w:rPr>
                <w:noProof/>
                <w:webHidden/>
              </w:rPr>
              <w:fldChar w:fldCharType="end"/>
            </w:r>
          </w:hyperlink>
        </w:p>
        <w:p w14:paraId="21BEB2D2" w14:textId="77777777"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85" w:history="1">
            <w:r w:rsidR="006329AD" w:rsidRPr="006329AD">
              <w:rPr>
                <w:rStyle w:val="Hyperlink"/>
                <w:noProof/>
              </w:rPr>
              <w:t>Relevant international drug policy development</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_Toc123799385 \h </w:instrText>
            </w:r>
            <w:r w:rsidR="006329AD" w:rsidRPr="006329AD">
              <w:rPr>
                <w:noProof/>
                <w:webHidden/>
              </w:rPr>
            </w:r>
            <w:r w:rsidR="006329AD" w:rsidRPr="006329AD">
              <w:rPr>
                <w:noProof/>
                <w:webHidden/>
              </w:rPr>
              <w:fldChar w:fldCharType="separate"/>
            </w:r>
            <w:r w:rsidR="007B4BDE">
              <w:rPr>
                <w:noProof/>
                <w:webHidden/>
              </w:rPr>
              <w:t>3</w:t>
            </w:r>
            <w:r w:rsidR="006329AD" w:rsidRPr="006329AD">
              <w:rPr>
                <w:noProof/>
                <w:webHidden/>
              </w:rPr>
              <w:fldChar w:fldCharType="end"/>
            </w:r>
          </w:hyperlink>
        </w:p>
        <w:p w14:paraId="2BDEF875" w14:textId="77777777"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86" w:history="1">
            <w:r w:rsidR="006329AD" w:rsidRPr="006329AD">
              <w:rPr>
                <w:rStyle w:val="Hyperlink"/>
                <w:rFonts w:eastAsia="Sylfaen"/>
                <w:noProof/>
                <w:lang w:val="en-GB"/>
              </w:rPr>
              <w:t>HIV epidemic in Georgia is driven by unsafe injecting drug use</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_Toc123799386 \h </w:instrText>
            </w:r>
            <w:r w:rsidR="006329AD" w:rsidRPr="006329AD">
              <w:rPr>
                <w:noProof/>
                <w:webHidden/>
              </w:rPr>
            </w:r>
            <w:r w:rsidR="006329AD" w:rsidRPr="006329AD">
              <w:rPr>
                <w:noProof/>
                <w:webHidden/>
              </w:rPr>
              <w:fldChar w:fldCharType="separate"/>
            </w:r>
            <w:r w:rsidR="007B4BDE">
              <w:rPr>
                <w:noProof/>
                <w:webHidden/>
              </w:rPr>
              <w:t>4</w:t>
            </w:r>
            <w:r w:rsidR="006329AD" w:rsidRPr="006329AD">
              <w:rPr>
                <w:noProof/>
                <w:webHidden/>
              </w:rPr>
              <w:fldChar w:fldCharType="end"/>
            </w:r>
          </w:hyperlink>
        </w:p>
        <w:p w14:paraId="23EE7600" w14:textId="2F8DADAA"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87" w:history="1">
            <w:r w:rsidR="006329AD" w:rsidRPr="006329AD">
              <w:rPr>
                <w:rStyle w:val="Hyperlink"/>
                <w:rFonts w:eastAsia="Sylfaen"/>
                <w:noProof/>
              </w:rPr>
              <w:t>Drug laws and policies increasing vulnerability to HIV</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_Toc123799387 \h </w:instrText>
            </w:r>
            <w:r w:rsidR="006329AD" w:rsidRPr="006329AD">
              <w:rPr>
                <w:noProof/>
                <w:webHidden/>
              </w:rPr>
            </w:r>
            <w:r w:rsidR="006329AD" w:rsidRPr="006329AD">
              <w:rPr>
                <w:noProof/>
                <w:webHidden/>
              </w:rPr>
              <w:fldChar w:fldCharType="separate"/>
            </w:r>
            <w:r w:rsidR="007B4BDE">
              <w:rPr>
                <w:noProof/>
                <w:webHidden/>
              </w:rPr>
              <w:t>5</w:t>
            </w:r>
            <w:r w:rsidR="006329AD" w:rsidRPr="006329AD">
              <w:rPr>
                <w:noProof/>
                <w:webHidden/>
              </w:rPr>
              <w:fldChar w:fldCharType="end"/>
            </w:r>
          </w:hyperlink>
        </w:p>
        <w:p w14:paraId="0E319B25" w14:textId="63EBE846"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88" w:history="1">
            <w:r w:rsidR="006329AD" w:rsidRPr="006329AD">
              <w:rPr>
                <w:rStyle w:val="Hyperlink"/>
                <w:noProof/>
              </w:rPr>
              <w:t xml:space="preserve">Stigma induced by repressive drug policy and other barriers </w:t>
            </w:r>
            <w:r w:rsidR="006329AD">
              <w:rPr>
                <w:rStyle w:val="Hyperlink"/>
                <w:noProof/>
              </w:rPr>
              <w:t>to</w:t>
            </w:r>
            <w:r w:rsidR="006329AD" w:rsidRPr="006329AD">
              <w:rPr>
                <w:rStyle w:val="Hyperlink"/>
                <w:noProof/>
              </w:rPr>
              <w:t xml:space="preserve"> drug dependence treatment</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_Toc123799388 \h </w:instrText>
            </w:r>
            <w:r w:rsidR="006329AD" w:rsidRPr="006329AD">
              <w:rPr>
                <w:noProof/>
                <w:webHidden/>
              </w:rPr>
            </w:r>
            <w:r w:rsidR="006329AD" w:rsidRPr="006329AD">
              <w:rPr>
                <w:noProof/>
                <w:webHidden/>
              </w:rPr>
              <w:fldChar w:fldCharType="separate"/>
            </w:r>
            <w:r w:rsidR="007B4BDE">
              <w:rPr>
                <w:noProof/>
                <w:webHidden/>
              </w:rPr>
              <w:t>7</w:t>
            </w:r>
            <w:r w:rsidR="006329AD" w:rsidRPr="006329AD">
              <w:rPr>
                <w:noProof/>
                <w:webHidden/>
              </w:rPr>
              <w:fldChar w:fldCharType="end"/>
            </w:r>
          </w:hyperlink>
        </w:p>
        <w:p w14:paraId="20199650" w14:textId="77777777"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89" w:history="1">
            <w:r w:rsidR="006329AD" w:rsidRPr="006329AD">
              <w:rPr>
                <w:rStyle w:val="Hyperlink"/>
                <w:noProof/>
              </w:rPr>
              <w:t>Gender blind application of criminal/administrative laws, including to pregnant women</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_Toc123799389 \h </w:instrText>
            </w:r>
            <w:r w:rsidR="006329AD" w:rsidRPr="006329AD">
              <w:rPr>
                <w:noProof/>
                <w:webHidden/>
              </w:rPr>
            </w:r>
            <w:r w:rsidR="006329AD" w:rsidRPr="006329AD">
              <w:rPr>
                <w:noProof/>
                <w:webHidden/>
              </w:rPr>
              <w:fldChar w:fldCharType="separate"/>
            </w:r>
            <w:r w:rsidR="007B4BDE">
              <w:rPr>
                <w:noProof/>
                <w:webHidden/>
              </w:rPr>
              <w:t>8</w:t>
            </w:r>
            <w:r w:rsidR="006329AD" w:rsidRPr="006329AD">
              <w:rPr>
                <w:noProof/>
                <w:webHidden/>
              </w:rPr>
              <w:fldChar w:fldCharType="end"/>
            </w:r>
          </w:hyperlink>
        </w:p>
        <w:p w14:paraId="10A83390" w14:textId="77777777" w:rsidR="006329AD" w:rsidRP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90" w:history="1">
            <w:r w:rsidR="006329AD" w:rsidRPr="006329AD">
              <w:rPr>
                <w:rStyle w:val="Hyperlink"/>
                <w:noProof/>
                <w:lang w:eastAsia="ar-SA"/>
              </w:rPr>
              <w:t>Annex I. Information about the applicants</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_Toc123799390 \h </w:instrText>
            </w:r>
            <w:r w:rsidR="006329AD" w:rsidRPr="006329AD">
              <w:rPr>
                <w:noProof/>
                <w:webHidden/>
              </w:rPr>
            </w:r>
            <w:r w:rsidR="006329AD" w:rsidRPr="006329AD">
              <w:rPr>
                <w:noProof/>
                <w:webHidden/>
              </w:rPr>
              <w:fldChar w:fldCharType="separate"/>
            </w:r>
            <w:r w:rsidR="007B4BDE">
              <w:rPr>
                <w:noProof/>
                <w:webHidden/>
              </w:rPr>
              <w:t>9</w:t>
            </w:r>
            <w:r w:rsidR="006329AD" w:rsidRPr="006329AD">
              <w:rPr>
                <w:noProof/>
                <w:webHidden/>
              </w:rPr>
              <w:fldChar w:fldCharType="end"/>
            </w:r>
          </w:hyperlink>
        </w:p>
        <w:p w14:paraId="1FCECD24" w14:textId="6C3AB61F" w:rsidR="006329AD" w:rsidRDefault="000B3B38">
          <w:pPr>
            <w:pStyle w:val="TOC1"/>
            <w:tabs>
              <w:tab w:val="right" w:leader="dot" w:pos="9667"/>
            </w:tabs>
            <w:rPr>
              <w:rFonts w:asciiTheme="minorHAnsi" w:eastAsiaTheme="minorEastAsia" w:hAnsiTheme="minorHAnsi" w:cstheme="minorBidi"/>
              <w:noProof/>
              <w:sz w:val="22"/>
              <w:szCs w:val="22"/>
              <w:lang w:val="en-CA" w:eastAsia="en-CA"/>
            </w:rPr>
          </w:pPr>
          <w:hyperlink w:anchor="_Toc123799391" w:history="1">
            <w:r w:rsidR="006329AD" w:rsidRPr="006329AD">
              <w:rPr>
                <w:rStyle w:val="Hyperlink"/>
                <w:noProof/>
              </w:rPr>
              <w:t>Annex II. Drug Policy Recommendations</w:t>
            </w:r>
            <w:r w:rsidR="006329AD" w:rsidRPr="006329AD">
              <w:rPr>
                <w:noProof/>
                <w:webHidden/>
              </w:rPr>
              <w:tab/>
            </w:r>
            <w:r w:rsidR="006329AD" w:rsidRPr="006329AD">
              <w:rPr>
                <w:noProof/>
                <w:webHidden/>
              </w:rPr>
              <w:fldChar w:fldCharType="begin"/>
            </w:r>
            <w:r w:rsidR="006329AD" w:rsidRPr="006329AD">
              <w:rPr>
                <w:noProof/>
                <w:webHidden/>
              </w:rPr>
              <w:instrText xml:space="preserve"> PAGEREF _Toc123799391 \h </w:instrText>
            </w:r>
            <w:r w:rsidR="006329AD" w:rsidRPr="006329AD">
              <w:rPr>
                <w:noProof/>
                <w:webHidden/>
              </w:rPr>
            </w:r>
            <w:r w:rsidR="006329AD" w:rsidRPr="006329AD">
              <w:rPr>
                <w:noProof/>
                <w:webHidden/>
              </w:rPr>
              <w:fldChar w:fldCharType="separate"/>
            </w:r>
            <w:r w:rsidR="007B4BDE">
              <w:rPr>
                <w:noProof/>
                <w:webHidden/>
              </w:rPr>
              <w:t>9</w:t>
            </w:r>
            <w:r w:rsidR="006329AD" w:rsidRPr="006329AD">
              <w:rPr>
                <w:noProof/>
                <w:webHidden/>
              </w:rPr>
              <w:fldChar w:fldCharType="end"/>
            </w:r>
          </w:hyperlink>
        </w:p>
        <w:p w14:paraId="283805BB" w14:textId="5BA0AFE6" w:rsidR="006329AD" w:rsidRDefault="006329AD">
          <w:r>
            <w:rPr>
              <w:b/>
              <w:bCs/>
              <w:noProof/>
            </w:rPr>
            <w:fldChar w:fldCharType="end"/>
          </w:r>
        </w:p>
      </w:sdtContent>
    </w:sdt>
    <w:p w14:paraId="0B246510" w14:textId="77777777" w:rsidR="00631B6E" w:rsidRDefault="00631B6E" w:rsidP="006E2DBB">
      <w:pPr>
        <w:spacing w:line="360" w:lineRule="auto"/>
        <w:ind w:left="297" w:right="426"/>
        <w:rPr>
          <w:rFonts w:eastAsia="Sylfaen"/>
          <w:lang w:val="en-GB"/>
        </w:rPr>
      </w:pPr>
    </w:p>
    <w:p w14:paraId="0E45C280" w14:textId="7A028653" w:rsidR="00631B6E" w:rsidRPr="008B64C5" w:rsidRDefault="0073571A" w:rsidP="008B64C5">
      <w:pPr>
        <w:pStyle w:val="Heading1"/>
        <w:rPr>
          <w:rFonts w:eastAsia="Sylfaen"/>
          <w:b/>
          <w:sz w:val="24"/>
          <w:szCs w:val="24"/>
          <w:lang w:val="en-GB"/>
        </w:rPr>
      </w:pPr>
      <w:bookmarkStart w:id="0" w:name="_Toc123799381"/>
      <w:r w:rsidRPr="008B64C5">
        <w:rPr>
          <w:rFonts w:eastAsia="Sylfaen"/>
          <w:b/>
          <w:sz w:val="24"/>
          <w:szCs w:val="24"/>
          <w:lang w:val="en-GB"/>
        </w:rPr>
        <w:t>Introduction</w:t>
      </w:r>
      <w:bookmarkEnd w:id="0"/>
    </w:p>
    <w:p w14:paraId="63E8B1FB" w14:textId="78BD1603" w:rsidR="008558B5" w:rsidRPr="006E2DBB" w:rsidRDefault="006208DA" w:rsidP="006E2DBB">
      <w:pPr>
        <w:spacing w:line="360" w:lineRule="auto"/>
        <w:ind w:left="297" w:right="426"/>
        <w:rPr>
          <w:rFonts w:eastAsia="Sylfaen"/>
          <w:lang w:val="en-GB"/>
        </w:rPr>
      </w:pPr>
      <w:r w:rsidRPr="006E2DBB">
        <w:rPr>
          <w:rFonts w:eastAsia="Sylfaen"/>
          <w:lang w:val="en-GB"/>
        </w:rPr>
        <w:t>In its third periodic report on the implementation of the International Covenant on Economic, Social</w:t>
      </w:r>
      <w:r w:rsidR="00605346">
        <w:rPr>
          <w:rFonts w:eastAsia="Sylfaen"/>
          <w:lang w:val="en-GB"/>
        </w:rPr>
        <w:t>,</w:t>
      </w:r>
      <w:r w:rsidRPr="006E2DBB">
        <w:rPr>
          <w:rFonts w:eastAsia="Sylfaen"/>
          <w:lang w:val="en-GB"/>
        </w:rPr>
        <w:t xml:space="preserve"> and Cultural Rights, the Republic of Georgia informed the Committee </w:t>
      </w:r>
      <w:r w:rsidR="000252C8" w:rsidRPr="006E2DBB">
        <w:rPr>
          <w:rFonts w:eastAsia="Sylfaen"/>
          <w:lang w:val="en-GB"/>
        </w:rPr>
        <w:lastRenderedPageBreak/>
        <w:t xml:space="preserve">about efforts to stop and revert </w:t>
      </w:r>
      <w:r w:rsidR="006329AD">
        <w:rPr>
          <w:rFonts w:eastAsia="Sylfaen"/>
          <w:lang w:val="en-GB"/>
        </w:rPr>
        <w:t xml:space="preserve">the </w:t>
      </w:r>
      <w:r w:rsidR="000252C8" w:rsidRPr="006E2DBB">
        <w:rPr>
          <w:rFonts w:eastAsia="Sylfaen"/>
          <w:lang w:val="en-GB"/>
        </w:rPr>
        <w:t xml:space="preserve">HIV epidemic. </w:t>
      </w:r>
      <w:r w:rsidR="00553032" w:rsidRPr="006E2DBB">
        <w:rPr>
          <w:rFonts w:eastAsia="Sylfaen"/>
          <w:lang w:val="en-GB"/>
        </w:rPr>
        <w:t>In particular</w:t>
      </w:r>
      <w:r w:rsidR="006329AD">
        <w:t>,</w:t>
      </w:r>
      <w:r w:rsidR="00934EAD" w:rsidRPr="006E2DBB">
        <w:t xml:space="preserve"> t</w:t>
      </w:r>
      <w:r w:rsidR="00553032" w:rsidRPr="006E2DBB">
        <w:rPr>
          <w:rFonts w:eastAsia="Sylfaen"/>
          <w:lang w:val="en-GB"/>
        </w:rPr>
        <w:t xml:space="preserve">he 2019-2022 HIV/AIDS national strategy is focused </w:t>
      </w:r>
      <w:r w:rsidR="00934EAD" w:rsidRPr="006E2DBB">
        <w:rPr>
          <w:rFonts w:eastAsia="Sylfaen"/>
          <w:lang w:val="en-GB"/>
        </w:rPr>
        <w:t xml:space="preserve">on </w:t>
      </w:r>
      <w:r w:rsidR="00553032" w:rsidRPr="006E2DBB">
        <w:rPr>
          <w:rFonts w:eastAsia="Sylfaen"/>
          <w:lang w:val="en-GB"/>
        </w:rPr>
        <w:t xml:space="preserve">interventions for representatives of high-risk groups and their sexual partners, </w:t>
      </w:r>
      <w:r w:rsidR="00934EAD" w:rsidRPr="006E2DBB">
        <w:rPr>
          <w:rFonts w:eastAsia="Sylfaen"/>
          <w:lang w:val="en-GB"/>
        </w:rPr>
        <w:t xml:space="preserve">and </w:t>
      </w:r>
      <w:r w:rsidR="00553032" w:rsidRPr="006E2DBB">
        <w:rPr>
          <w:rFonts w:eastAsia="Sylfaen"/>
          <w:lang w:val="en-GB"/>
        </w:rPr>
        <w:t>the state progr</w:t>
      </w:r>
      <w:r w:rsidR="00934EAD" w:rsidRPr="006E2DBB">
        <w:rPr>
          <w:rFonts w:eastAsia="Sylfaen"/>
          <w:lang w:val="en-GB"/>
        </w:rPr>
        <w:t xml:space="preserve">am on Management of HIV/AIDS </w:t>
      </w:r>
      <w:r w:rsidR="00553032" w:rsidRPr="006E2DBB">
        <w:rPr>
          <w:rFonts w:eastAsia="Sylfaen"/>
          <w:lang w:val="en-GB"/>
        </w:rPr>
        <w:t>pilot-HIV-infection/AIDS prevention among injecting drug user</w:t>
      </w:r>
      <w:r w:rsidR="00934EAD" w:rsidRPr="006E2DBB">
        <w:rPr>
          <w:rFonts w:eastAsia="Sylfaen"/>
          <w:lang w:val="en-GB"/>
        </w:rPr>
        <w:t xml:space="preserve">s (IDU) (from </w:t>
      </w:r>
      <w:r w:rsidR="006329AD">
        <w:rPr>
          <w:rFonts w:eastAsia="Sylfaen"/>
          <w:lang w:val="en-GB"/>
        </w:rPr>
        <w:t>1 July</w:t>
      </w:r>
      <w:r w:rsidR="00934EAD" w:rsidRPr="006E2DBB">
        <w:rPr>
          <w:rFonts w:eastAsia="Sylfaen"/>
          <w:lang w:val="en-GB"/>
        </w:rPr>
        <w:t xml:space="preserve"> 2020). </w:t>
      </w:r>
      <w:r w:rsidR="00934EAD" w:rsidRPr="006E2DBB">
        <w:rPr>
          <w:rStyle w:val="FootnoteReference"/>
          <w:rFonts w:eastAsia="Sylfaen"/>
          <w:lang w:val="en-GB"/>
        </w:rPr>
        <w:footnoteReference w:id="2"/>
      </w:r>
      <w:r w:rsidR="00934EAD" w:rsidRPr="006E2DBB">
        <w:rPr>
          <w:rFonts w:eastAsia="Sylfaen"/>
          <w:lang w:val="en-GB"/>
        </w:rPr>
        <w:t xml:space="preserve"> This report provides additional information concerning legal and policy barriers for people who inject drugs to access HIV testing, treatment</w:t>
      </w:r>
      <w:r w:rsidR="006329AD">
        <w:rPr>
          <w:rFonts w:eastAsia="Sylfaen"/>
          <w:lang w:val="en-GB"/>
        </w:rPr>
        <w:t>,</w:t>
      </w:r>
      <w:r w:rsidR="00934EAD" w:rsidRPr="006E2DBB">
        <w:rPr>
          <w:rFonts w:eastAsia="Sylfaen"/>
          <w:lang w:val="en-GB"/>
        </w:rPr>
        <w:t xml:space="preserve"> and care services</w:t>
      </w:r>
      <w:r w:rsidR="0073571A">
        <w:rPr>
          <w:rFonts w:eastAsia="Sylfaen"/>
          <w:lang w:val="en-GB"/>
        </w:rPr>
        <w:t xml:space="preserve"> (Article 12 of the Covenant)</w:t>
      </w:r>
      <w:r w:rsidR="00934EAD" w:rsidRPr="006E2DBB">
        <w:rPr>
          <w:rFonts w:eastAsia="Sylfaen"/>
          <w:lang w:val="en-GB"/>
        </w:rPr>
        <w:t>.</w:t>
      </w:r>
      <w:r w:rsidR="008558B5" w:rsidRPr="006E2DBB">
        <w:rPr>
          <w:rFonts w:eastAsia="Sylfaen"/>
          <w:lang w:val="en-GB"/>
        </w:rPr>
        <w:t xml:space="preserve"> </w:t>
      </w:r>
    </w:p>
    <w:p w14:paraId="29C43A90" w14:textId="4DE819C9" w:rsidR="008558B5" w:rsidRPr="008B64C5" w:rsidRDefault="008558B5" w:rsidP="008B64C5">
      <w:pPr>
        <w:pStyle w:val="Heading1"/>
        <w:rPr>
          <w:rFonts w:eastAsia="Sylfaen"/>
          <w:b/>
          <w:sz w:val="24"/>
          <w:szCs w:val="24"/>
          <w:lang w:val="en-GB"/>
        </w:rPr>
      </w:pPr>
      <w:bookmarkStart w:id="1" w:name="_Toc123799382"/>
      <w:r w:rsidRPr="008B64C5">
        <w:rPr>
          <w:rFonts w:eastAsia="Sylfaen"/>
          <w:b/>
          <w:sz w:val="24"/>
          <w:szCs w:val="24"/>
          <w:lang w:val="en-GB"/>
        </w:rPr>
        <w:t>Sources of information about human rights violations</w:t>
      </w:r>
      <w:r w:rsidR="0073571A" w:rsidRPr="008B64C5">
        <w:rPr>
          <w:rFonts w:eastAsia="Sylfaen"/>
          <w:b/>
          <w:sz w:val="24"/>
          <w:szCs w:val="24"/>
          <w:lang w:val="en-GB"/>
        </w:rPr>
        <w:t xml:space="preserve"> for this report</w:t>
      </w:r>
      <w:bookmarkEnd w:id="1"/>
    </w:p>
    <w:p w14:paraId="1B6C8B0F" w14:textId="023BED5B" w:rsidR="008558B5" w:rsidRPr="006E2DBB" w:rsidRDefault="008558B5" w:rsidP="006E2DBB">
      <w:pPr>
        <w:spacing w:line="360" w:lineRule="auto"/>
        <w:ind w:left="297" w:right="426"/>
        <w:rPr>
          <w:rFonts w:eastAsia="Sylfaen"/>
          <w:lang w:val="en-GB"/>
        </w:rPr>
      </w:pPr>
      <w:r w:rsidRPr="006E2DBB">
        <w:rPr>
          <w:rFonts w:eastAsia="Sylfaen"/>
          <w:lang w:val="en-GB"/>
        </w:rPr>
        <w:t xml:space="preserve">During 2020-2022 two projects documented human rights violations in the context of drug policy in Georgia – </w:t>
      </w:r>
      <w:r w:rsidR="000D2E6D" w:rsidRPr="006E2DBB">
        <w:rPr>
          <w:rFonts w:eastAsia="Sylfaen"/>
          <w:lang w:val="en-GB"/>
        </w:rPr>
        <w:t>Tiberius</w:t>
      </w:r>
      <w:r w:rsidRPr="006E2DBB">
        <w:rPr>
          <w:rFonts w:eastAsia="Sylfaen"/>
          <w:lang w:val="en-GB"/>
        </w:rPr>
        <w:t xml:space="preserve"> by the Eurasian Harm Reduction Network and REACT by the Alliance for Public Health in Ukraine</w:t>
      </w:r>
      <w:r w:rsidR="0012149E" w:rsidRPr="006E2DBB">
        <w:rPr>
          <w:rStyle w:val="FootnoteReference"/>
          <w:rFonts w:eastAsia="Sylfaen"/>
          <w:lang w:val="en-GB"/>
        </w:rPr>
        <w:footnoteReference w:id="3"/>
      </w:r>
      <w:r w:rsidRPr="006E2DBB">
        <w:rPr>
          <w:rFonts w:eastAsia="Sylfaen"/>
          <w:lang w:val="en-GB"/>
        </w:rPr>
        <w:t xml:space="preserve">. </w:t>
      </w:r>
      <w:r w:rsidR="0012149E" w:rsidRPr="006E2DBB">
        <w:rPr>
          <w:rFonts w:eastAsia="Sylfaen"/>
          <w:lang w:val="en-GB"/>
        </w:rPr>
        <w:t>Both projects are community</w:t>
      </w:r>
      <w:r w:rsidR="006329AD">
        <w:rPr>
          <w:rFonts w:eastAsia="Sylfaen"/>
          <w:lang w:val="en-GB"/>
        </w:rPr>
        <w:t>-</w:t>
      </w:r>
      <w:r w:rsidR="0012149E" w:rsidRPr="006E2DBB">
        <w:rPr>
          <w:rFonts w:eastAsia="Sylfaen"/>
          <w:lang w:val="en-GB"/>
        </w:rPr>
        <w:t>based and highly connected to human rights violation survivors.</w:t>
      </w:r>
      <w:r w:rsidR="0073571A">
        <w:rPr>
          <w:rFonts w:eastAsia="Sylfaen"/>
          <w:lang w:val="en-GB"/>
        </w:rPr>
        <w:t xml:space="preserve"> For this report</w:t>
      </w:r>
      <w:r w:rsidR="006329AD">
        <w:rPr>
          <w:rFonts w:eastAsia="Sylfaen"/>
          <w:lang w:val="en-GB"/>
        </w:rPr>
        <w:t>,</w:t>
      </w:r>
      <w:r w:rsidR="0073571A">
        <w:rPr>
          <w:rFonts w:eastAsia="Sylfaen"/>
          <w:lang w:val="en-GB"/>
        </w:rPr>
        <w:t xml:space="preserve"> we also used statistics </w:t>
      </w:r>
      <w:r w:rsidR="006329AD">
        <w:rPr>
          <w:rFonts w:eastAsia="Sylfaen"/>
          <w:lang w:val="en-GB"/>
        </w:rPr>
        <w:t>from</w:t>
      </w:r>
      <w:r w:rsidR="0073571A">
        <w:rPr>
          <w:rFonts w:eastAsia="Sylfaen"/>
          <w:lang w:val="en-GB"/>
        </w:rPr>
        <w:t xml:space="preserve"> the Ministry of Internal Affairs of Georgia, statistics </w:t>
      </w:r>
      <w:r w:rsidR="006329AD">
        <w:rPr>
          <w:rFonts w:eastAsia="Sylfaen"/>
          <w:lang w:val="en-GB"/>
        </w:rPr>
        <w:t>from</w:t>
      </w:r>
      <w:r w:rsidR="0073571A">
        <w:rPr>
          <w:rFonts w:eastAsia="Sylfaen"/>
          <w:lang w:val="en-GB"/>
        </w:rPr>
        <w:t xml:space="preserve"> </w:t>
      </w:r>
      <w:r w:rsidR="006329AD">
        <w:rPr>
          <w:rFonts w:eastAsia="Sylfaen"/>
          <w:lang w:val="en-GB"/>
        </w:rPr>
        <w:t xml:space="preserve">the </w:t>
      </w:r>
      <w:r w:rsidR="0073571A" w:rsidRPr="0073571A">
        <w:rPr>
          <w:rFonts w:eastAsia="Sylfaen"/>
          <w:lang w:val="en-GB"/>
        </w:rPr>
        <w:t>Infectious Diseases, AIDS &amp; Cl</w:t>
      </w:r>
      <w:r w:rsidR="0073571A">
        <w:rPr>
          <w:rFonts w:eastAsia="Sylfaen"/>
          <w:lang w:val="en-GB"/>
        </w:rPr>
        <w:t>inical Immunology Research Cent</w:t>
      </w:r>
      <w:r w:rsidR="0073571A" w:rsidRPr="0073571A">
        <w:rPr>
          <w:rFonts w:eastAsia="Sylfaen"/>
          <w:lang w:val="en-GB"/>
        </w:rPr>
        <w:t>r</w:t>
      </w:r>
      <w:r w:rsidR="0073571A">
        <w:rPr>
          <w:rFonts w:eastAsia="Sylfaen"/>
          <w:lang w:val="en-GB"/>
        </w:rPr>
        <w:t>e</w:t>
      </w:r>
      <w:r w:rsidR="0073571A" w:rsidRPr="0073571A">
        <w:rPr>
          <w:rFonts w:eastAsia="Sylfaen"/>
          <w:lang w:val="en-GB"/>
        </w:rPr>
        <w:t xml:space="preserve"> of Georgia</w:t>
      </w:r>
      <w:r w:rsidR="0073571A">
        <w:rPr>
          <w:rFonts w:eastAsia="Sylfaen"/>
          <w:lang w:val="en-GB"/>
        </w:rPr>
        <w:t>, as well as information from open</w:t>
      </w:r>
      <w:r w:rsidR="006329AD">
        <w:rPr>
          <w:rFonts w:eastAsia="Sylfaen"/>
          <w:lang w:val="en-GB"/>
        </w:rPr>
        <w:t>-</w:t>
      </w:r>
      <w:r w:rsidR="0073571A">
        <w:rPr>
          <w:rFonts w:eastAsia="Sylfaen"/>
          <w:lang w:val="en-GB"/>
        </w:rPr>
        <w:t xml:space="preserve">access publications in </w:t>
      </w:r>
      <w:r w:rsidR="006329AD">
        <w:rPr>
          <w:rFonts w:eastAsia="Sylfaen"/>
          <w:lang w:val="en-GB"/>
        </w:rPr>
        <w:t xml:space="preserve">the </w:t>
      </w:r>
      <w:r w:rsidR="0073571A">
        <w:rPr>
          <w:rFonts w:eastAsia="Sylfaen"/>
          <w:lang w:val="en-GB"/>
        </w:rPr>
        <w:t>Georgian language</w:t>
      </w:r>
    </w:p>
    <w:p w14:paraId="4B6ED99C" w14:textId="2DFD2E53" w:rsidR="004F24A0" w:rsidRPr="008B64C5" w:rsidRDefault="004F24A0" w:rsidP="008B64C5">
      <w:pPr>
        <w:pStyle w:val="Heading1"/>
        <w:rPr>
          <w:rFonts w:eastAsia="Sylfaen"/>
          <w:b/>
          <w:sz w:val="24"/>
          <w:szCs w:val="24"/>
          <w:lang w:val="en-GB"/>
        </w:rPr>
      </w:pPr>
      <w:bookmarkStart w:id="2" w:name="_Toc123799383"/>
      <w:r w:rsidRPr="008B64C5">
        <w:rPr>
          <w:rFonts w:eastAsia="Sylfaen"/>
          <w:b/>
          <w:sz w:val="24"/>
          <w:szCs w:val="24"/>
          <w:lang w:val="en-GB"/>
        </w:rPr>
        <w:t>Summary</w:t>
      </w:r>
      <w:bookmarkEnd w:id="2"/>
    </w:p>
    <w:p w14:paraId="64E6F281" w14:textId="4C0F8EEA" w:rsidR="004F24A0" w:rsidRPr="006E2DBB" w:rsidRDefault="004F24A0" w:rsidP="006E2DBB">
      <w:pPr>
        <w:spacing w:line="360" w:lineRule="auto"/>
        <w:ind w:left="297" w:right="426"/>
        <w:rPr>
          <w:rFonts w:eastAsia="Sylfaen"/>
          <w:lang w:val="en-GB"/>
        </w:rPr>
      </w:pPr>
      <w:r w:rsidRPr="006E2DBB">
        <w:rPr>
          <w:rFonts w:eastAsia="Sylfaen"/>
          <w:lang w:val="en-GB"/>
        </w:rPr>
        <w:t>People who inject drugs remain one of t</w:t>
      </w:r>
      <w:r w:rsidR="006329AD">
        <w:rPr>
          <w:rFonts w:eastAsia="Sylfaen"/>
          <w:lang w:val="en-GB"/>
        </w:rPr>
        <w:t>he most vulnerable to HIV group of</w:t>
      </w:r>
      <w:r w:rsidRPr="006E2DBB">
        <w:rPr>
          <w:rFonts w:eastAsia="Sylfaen"/>
          <w:lang w:val="en-GB"/>
        </w:rPr>
        <w:t xml:space="preserve"> populations. Their vulnerability is driven by punitive drug laws and law enforcement </w:t>
      </w:r>
      <w:r w:rsidR="006329AD">
        <w:rPr>
          <w:rFonts w:eastAsia="Sylfaen"/>
          <w:lang w:val="en-GB"/>
        </w:rPr>
        <w:t>focusing</w:t>
      </w:r>
      <w:r w:rsidRPr="006E2DBB">
        <w:rPr>
          <w:rFonts w:eastAsia="Sylfaen"/>
          <w:lang w:val="en-GB"/>
        </w:rPr>
        <w:t xml:space="preserve"> on drug users rather than drug traffickers.</w:t>
      </w:r>
    </w:p>
    <w:p w14:paraId="13C50939" w14:textId="77777777" w:rsidR="004F24A0" w:rsidRPr="006E2DBB" w:rsidRDefault="004F24A0" w:rsidP="006E2DBB">
      <w:pPr>
        <w:spacing w:line="360" w:lineRule="auto"/>
        <w:ind w:left="297" w:right="426"/>
        <w:rPr>
          <w:rFonts w:eastAsia="Sylfaen"/>
          <w:lang w:val="en-GB"/>
        </w:rPr>
      </w:pPr>
      <w:r w:rsidRPr="006E2DBB">
        <w:rPr>
          <w:rFonts w:eastAsia="Sylfaen"/>
          <w:lang w:val="en-GB"/>
        </w:rPr>
        <w:t xml:space="preserve">The drug policy of the Republic of Georgia remains punitive despite the ongoing reforms to balance drug enforcement and public health goals. The positive effects of the partial decriminalization of marijuana and possession of small amounts of drugs with no purpose to sell are counterbalanced by toughened laws concerning drug distribution, including the distribution that happens in the context of drug use and peer-to-peer sharing rather than the context of drug trafficking. </w:t>
      </w:r>
    </w:p>
    <w:p w14:paraId="08FF82D0" w14:textId="6D338C04" w:rsidR="004F24A0" w:rsidRPr="006E2DBB" w:rsidRDefault="006329AD" w:rsidP="006E2DBB">
      <w:pPr>
        <w:spacing w:line="360" w:lineRule="auto"/>
        <w:ind w:left="297" w:right="426"/>
        <w:rPr>
          <w:rFonts w:eastAsia="Sylfaen"/>
          <w:lang w:val="en-GB"/>
        </w:rPr>
      </w:pPr>
      <w:r>
        <w:rPr>
          <w:rFonts w:eastAsia="Sylfaen"/>
          <w:lang w:val="en-GB"/>
        </w:rPr>
        <w:lastRenderedPageBreak/>
        <w:t>The c</w:t>
      </w:r>
      <w:r w:rsidR="004F24A0" w:rsidRPr="006E2DBB">
        <w:rPr>
          <w:rFonts w:eastAsia="Sylfaen"/>
          <w:lang w:val="en-GB"/>
        </w:rPr>
        <w:t>riminalization of drug use</w:t>
      </w:r>
      <w:r>
        <w:rPr>
          <w:rFonts w:eastAsia="Sylfaen"/>
          <w:lang w:val="en-GB"/>
        </w:rPr>
        <w:t>-</w:t>
      </w:r>
      <w:r w:rsidR="004F24A0" w:rsidRPr="006E2DBB">
        <w:rPr>
          <w:rFonts w:eastAsia="Sylfaen"/>
          <w:lang w:val="en-GB"/>
        </w:rPr>
        <w:t>related behavior (including drug possession for personal use and the small</w:t>
      </w:r>
      <w:r>
        <w:rPr>
          <w:rFonts w:eastAsia="Sylfaen"/>
          <w:lang w:val="en-GB"/>
        </w:rPr>
        <w:t>-</w:t>
      </w:r>
      <w:r w:rsidR="004F24A0" w:rsidRPr="006E2DBB">
        <w:rPr>
          <w:rFonts w:eastAsia="Sylfaen"/>
          <w:lang w:val="en-GB"/>
        </w:rPr>
        <w:t xml:space="preserve">scale social distribution of drugs) continues to fuel a strong stigma against people who use drugs. Stigma leads to discrimination in the access to social and health services, including those that primarily focus on people who use drugs, such as drug dependence treatment services. </w:t>
      </w:r>
    </w:p>
    <w:p w14:paraId="3858966E" w14:textId="15B15CD4" w:rsidR="004F24A0" w:rsidRDefault="004F24A0" w:rsidP="006E2DBB">
      <w:pPr>
        <w:spacing w:line="360" w:lineRule="auto"/>
        <w:ind w:left="297" w:right="426"/>
        <w:rPr>
          <w:rFonts w:eastAsia="Sylfaen"/>
          <w:lang w:val="en-GB"/>
        </w:rPr>
      </w:pPr>
      <w:r w:rsidRPr="006E2DBB">
        <w:rPr>
          <w:rFonts w:eastAsia="Sylfaen"/>
          <w:lang w:val="en-GB"/>
        </w:rPr>
        <w:t>The Republic of Georgia supports harm reduction services, but the coverage remains low. Stigma</w:t>
      </w:r>
      <w:r w:rsidR="006E2DBB" w:rsidRPr="006E2DBB">
        <w:rPr>
          <w:rFonts w:eastAsia="Sylfaen"/>
          <w:lang w:val="en-GB"/>
        </w:rPr>
        <w:t xml:space="preserve"> induced </w:t>
      </w:r>
      <w:r w:rsidR="0039389F" w:rsidRPr="006E2DBB">
        <w:rPr>
          <w:rFonts w:eastAsia="Sylfaen"/>
          <w:lang w:val="en-GB"/>
        </w:rPr>
        <w:t>by repressive</w:t>
      </w:r>
      <w:r w:rsidR="006E2DBB" w:rsidRPr="006E2DBB">
        <w:rPr>
          <w:rFonts w:eastAsia="Sylfaen"/>
          <w:lang w:val="en-GB"/>
        </w:rPr>
        <w:t xml:space="preserve"> drug policy spreads </w:t>
      </w:r>
      <w:r w:rsidRPr="006E2DBB">
        <w:rPr>
          <w:rFonts w:eastAsia="Sylfaen"/>
          <w:lang w:val="en-GB"/>
        </w:rPr>
        <w:t>among health professionals towards people who use drugs</w:t>
      </w:r>
      <w:r w:rsidR="006E2DBB" w:rsidRPr="006E2DBB">
        <w:rPr>
          <w:rFonts w:eastAsia="Sylfaen"/>
          <w:lang w:val="en-GB"/>
        </w:rPr>
        <w:t xml:space="preserve">. Such stigma is one of the main barriers </w:t>
      </w:r>
      <w:r w:rsidR="006329AD">
        <w:rPr>
          <w:rFonts w:eastAsia="Sylfaen"/>
          <w:lang w:val="en-GB"/>
        </w:rPr>
        <w:t>to accessing</w:t>
      </w:r>
      <w:r w:rsidR="006E2DBB" w:rsidRPr="006E2DBB">
        <w:rPr>
          <w:rFonts w:eastAsia="Sylfaen"/>
          <w:lang w:val="en-GB"/>
        </w:rPr>
        <w:t xml:space="preserve"> health services.</w:t>
      </w:r>
      <w:r w:rsidRPr="006E2DBB">
        <w:rPr>
          <w:rFonts w:eastAsia="Sylfaen"/>
          <w:lang w:val="en-GB"/>
        </w:rPr>
        <w:t xml:space="preserve"> </w:t>
      </w:r>
      <w:r w:rsidR="006E2DBB" w:rsidRPr="006E2DBB">
        <w:rPr>
          <w:rFonts w:eastAsia="Sylfaen"/>
          <w:lang w:val="en-GB"/>
        </w:rPr>
        <w:t>Other</w:t>
      </w:r>
      <w:r w:rsidRPr="006E2DBB">
        <w:rPr>
          <w:rFonts w:eastAsia="Sylfaen"/>
          <w:lang w:val="en-GB"/>
        </w:rPr>
        <w:t xml:space="preserve"> barriers related to the lack of</w:t>
      </w:r>
      <w:r w:rsidR="006E2DBB" w:rsidRPr="006E2DBB">
        <w:rPr>
          <w:rFonts w:eastAsia="Sylfaen"/>
          <w:lang w:val="en-GB"/>
        </w:rPr>
        <w:t xml:space="preserve"> documents and health insurance. Women who use drugs experience barriers to health services due to the gender</w:t>
      </w:r>
      <w:r w:rsidR="006329AD">
        <w:rPr>
          <w:rFonts w:eastAsia="Sylfaen"/>
          <w:lang w:val="en-GB"/>
        </w:rPr>
        <w:t>-</w:t>
      </w:r>
      <w:r w:rsidR="006E2DBB" w:rsidRPr="006E2DBB">
        <w:rPr>
          <w:rFonts w:eastAsia="Sylfaen"/>
          <w:lang w:val="en-GB"/>
        </w:rPr>
        <w:t>blind health and drug policies</w:t>
      </w:r>
      <w:r w:rsidR="008E210F">
        <w:rPr>
          <w:rFonts w:eastAsia="Sylfaen"/>
          <w:lang w:val="en-GB"/>
        </w:rPr>
        <w:t>,</w:t>
      </w:r>
      <w:r w:rsidR="006E2DBB" w:rsidRPr="006E2DBB">
        <w:rPr>
          <w:rFonts w:eastAsia="Sylfaen"/>
          <w:lang w:val="en-GB"/>
        </w:rPr>
        <w:t xml:space="preserve"> as well as the gender</w:t>
      </w:r>
      <w:r w:rsidR="006329AD">
        <w:rPr>
          <w:rFonts w:eastAsia="Sylfaen"/>
          <w:lang w:val="en-GB"/>
        </w:rPr>
        <w:t>-</w:t>
      </w:r>
      <w:r w:rsidR="006E2DBB" w:rsidRPr="006E2DBB">
        <w:rPr>
          <w:rFonts w:eastAsia="Sylfaen"/>
          <w:lang w:val="en-GB"/>
        </w:rPr>
        <w:t>blind application of criminal/administrative laws, including to pregnant women.</w:t>
      </w:r>
    </w:p>
    <w:p w14:paraId="2552C72D" w14:textId="091E3B3E" w:rsidR="007955A1" w:rsidRPr="008B64C5" w:rsidRDefault="007955A1" w:rsidP="008B64C5">
      <w:pPr>
        <w:pStyle w:val="Heading1"/>
        <w:rPr>
          <w:rFonts w:eastAsia="Sylfaen"/>
          <w:b/>
          <w:sz w:val="24"/>
          <w:szCs w:val="24"/>
          <w:lang w:val="en-GB"/>
        </w:rPr>
      </w:pPr>
      <w:bookmarkStart w:id="3" w:name="_Toc123799384"/>
      <w:r w:rsidRPr="008B64C5">
        <w:rPr>
          <w:rFonts w:eastAsia="Sylfaen"/>
          <w:b/>
          <w:sz w:val="24"/>
          <w:szCs w:val="24"/>
          <w:lang w:val="en-GB"/>
        </w:rPr>
        <w:t>Questions for the List of Issues (Art 12 of the Covenant)</w:t>
      </w:r>
      <w:bookmarkEnd w:id="3"/>
    </w:p>
    <w:p w14:paraId="6FAE9AC3" w14:textId="052AEDF0" w:rsidR="007955A1" w:rsidRPr="007955A1" w:rsidRDefault="007955A1" w:rsidP="00815894">
      <w:pPr>
        <w:pStyle w:val="ListParagraph"/>
        <w:numPr>
          <w:ilvl w:val="0"/>
          <w:numId w:val="20"/>
        </w:numPr>
        <w:spacing w:line="360" w:lineRule="auto"/>
        <w:ind w:left="567" w:right="426" w:hanging="283"/>
        <w:rPr>
          <w:rFonts w:ascii="Times New Roman" w:eastAsia="Sylfaen" w:hAnsi="Times New Roman" w:cs="Times New Roman"/>
          <w:sz w:val="24"/>
          <w:szCs w:val="24"/>
        </w:rPr>
      </w:pPr>
      <w:r w:rsidRPr="007955A1">
        <w:rPr>
          <w:rFonts w:ascii="Times New Roman" w:eastAsia="Sylfaen" w:hAnsi="Times New Roman" w:cs="Times New Roman"/>
          <w:sz w:val="24"/>
          <w:szCs w:val="24"/>
        </w:rPr>
        <w:t>Please, inform the Committee how drug laws and policies affect the access of people who use drugs to essential health services</w:t>
      </w:r>
      <w:r w:rsidR="00DE4121">
        <w:rPr>
          <w:rFonts w:ascii="Times New Roman" w:eastAsia="Sylfaen" w:hAnsi="Times New Roman" w:cs="Times New Roman"/>
          <w:sz w:val="24"/>
          <w:szCs w:val="24"/>
        </w:rPr>
        <w:t>, including services for women</w:t>
      </w:r>
    </w:p>
    <w:p w14:paraId="3F7912ED" w14:textId="0AB40D50" w:rsidR="00DE4121" w:rsidRPr="00DE4121" w:rsidRDefault="007955A1" w:rsidP="00815894">
      <w:pPr>
        <w:pStyle w:val="ListParagraph"/>
        <w:numPr>
          <w:ilvl w:val="0"/>
          <w:numId w:val="20"/>
        </w:numPr>
        <w:spacing w:line="360" w:lineRule="auto"/>
        <w:ind w:left="567" w:right="426" w:hanging="283"/>
        <w:rPr>
          <w:rFonts w:ascii="Times New Roman" w:eastAsia="Sylfaen" w:hAnsi="Times New Roman" w:cs="Times New Roman"/>
          <w:sz w:val="24"/>
          <w:szCs w:val="24"/>
        </w:rPr>
      </w:pPr>
      <w:r w:rsidRPr="007955A1">
        <w:rPr>
          <w:rFonts w:ascii="Times New Roman" w:eastAsia="Sylfaen" w:hAnsi="Times New Roman" w:cs="Times New Roman"/>
          <w:sz w:val="24"/>
          <w:szCs w:val="24"/>
        </w:rPr>
        <w:t>Please, inform the Committee about your plan to continue reforming drug laws and policies to shift drug enforcement focus from people who use drug</w:t>
      </w:r>
      <w:r w:rsidR="006329AD">
        <w:rPr>
          <w:rFonts w:ascii="Times New Roman" w:eastAsia="Sylfaen" w:hAnsi="Times New Roman" w:cs="Times New Roman"/>
          <w:sz w:val="24"/>
          <w:szCs w:val="24"/>
        </w:rPr>
        <w:t>s</w:t>
      </w:r>
      <w:r w:rsidRPr="007955A1">
        <w:rPr>
          <w:rFonts w:ascii="Times New Roman" w:eastAsia="Sylfaen" w:hAnsi="Times New Roman" w:cs="Times New Roman"/>
          <w:sz w:val="24"/>
          <w:szCs w:val="24"/>
        </w:rPr>
        <w:t xml:space="preserve"> to wholesale commercial drug traffickers </w:t>
      </w:r>
    </w:p>
    <w:p w14:paraId="58D3650C" w14:textId="4370DF74" w:rsidR="0039389F" w:rsidRDefault="0039389F" w:rsidP="008B64C5">
      <w:pPr>
        <w:spacing w:line="360" w:lineRule="auto"/>
        <w:ind w:right="426"/>
        <w:rPr>
          <w:rFonts w:eastAsia="Sylfaen"/>
          <w:b/>
          <w:lang w:val="en-GB"/>
        </w:rPr>
      </w:pPr>
      <w:bookmarkStart w:id="4" w:name="_Toc123799385"/>
      <w:r w:rsidRPr="008B64C5">
        <w:rPr>
          <w:rStyle w:val="Heading1Char"/>
          <w:b/>
          <w:sz w:val="24"/>
          <w:szCs w:val="24"/>
        </w:rPr>
        <w:t>Relevant international drug policy development</w:t>
      </w:r>
      <w:bookmarkEnd w:id="4"/>
      <w:r w:rsidR="00387003">
        <w:rPr>
          <w:rStyle w:val="FootnoteReference"/>
          <w:rFonts w:eastAsia="Sylfaen"/>
          <w:b/>
          <w:lang w:val="en-GB"/>
        </w:rPr>
        <w:footnoteReference w:id="4"/>
      </w:r>
    </w:p>
    <w:p w14:paraId="28CF8749" w14:textId="77777777" w:rsidR="006329AD" w:rsidRDefault="00424FF5" w:rsidP="007955A1">
      <w:pPr>
        <w:spacing w:line="360" w:lineRule="auto"/>
        <w:ind w:left="284"/>
        <w:rPr>
          <w:color w:val="000000"/>
        </w:rPr>
      </w:pPr>
      <w:r>
        <w:t>As of</w:t>
      </w:r>
      <w:r>
        <w:rPr>
          <w:color w:val="000000"/>
        </w:rPr>
        <w:t xml:space="preserve"> January 2023</w:t>
      </w:r>
      <w:r w:rsidR="00387003">
        <w:rPr>
          <w:color w:val="000000"/>
        </w:rPr>
        <w:t xml:space="preserve">, </w:t>
      </w:r>
      <w:r>
        <w:rPr>
          <w:color w:val="000000"/>
        </w:rPr>
        <w:t>six international treaty bodies, including the Committee on Economic, Social</w:t>
      </w:r>
      <w:r w:rsidR="006329AD">
        <w:rPr>
          <w:color w:val="000000"/>
        </w:rPr>
        <w:t>,</w:t>
      </w:r>
      <w:r>
        <w:rPr>
          <w:color w:val="000000"/>
        </w:rPr>
        <w:t xml:space="preserve"> and Cultural Rights</w:t>
      </w:r>
      <w:r w:rsidR="006329AD">
        <w:rPr>
          <w:color w:val="000000"/>
        </w:rPr>
        <w:t>, made drug policy recommendations, particularly for Eastern Europe and Central Asia countries</w:t>
      </w:r>
      <w:r w:rsidR="00387003" w:rsidRPr="006077F7">
        <w:rPr>
          <w:color w:val="000000"/>
        </w:rPr>
        <w:t>.</w:t>
      </w:r>
      <w:r w:rsidR="00387003" w:rsidRPr="006077F7">
        <w:rPr>
          <w:rStyle w:val="FootnoteReference"/>
          <w:rFonts w:eastAsiaTheme="majorEastAsia"/>
          <w:color w:val="000000"/>
        </w:rPr>
        <w:footnoteReference w:id="5"/>
      </w:r>
      <w:r w:rsidR="007955A1">
        <w:rPr>
          <w:color w:val="000000"/>
        </w:rPr>
        <w:t xml:space="preserve"> </w:t>
      </w:r>
      <w:r w:rsidR="006329AD">
        <w:rPr>
          <w:color w:val="000000"/>
        </w:rPr>
        <w:t>T</w:t>
      </w:r>
      <w:r w:rsidR="007955A1">
        <w:rPr>
          <w:color w:val="000000"/>
        </w:rPr>
        <w:t xml:space="preserve">hese recommendations call on </w:t>
      </w:r>
      <w:r w:rsidR="006329AD">
        <w:rPr>
          <w:color w:val="000000"/>
        </w:rPr>
        <w:t>government</w:t>
      </w:r>
      <w:r w:rsidR="007955A1">
        <w:rPr>
          <w:color w:val="000000"/>
        </w:rPr>
        <w:t xml:space="preserve">s </w:t>
      </w:r>
    </w:p>
    <w:p w14:paraId="70F5EE87" w14:textId="77777777" w:rsidR="006329AD" w:rsidRPr="006329AD" w:rsidRDefault="007955A1" w:rsidP="00815894">
      <w:pPr>
        <w:pStyle w:val="ListParagraph"/>
        <w:numPr>
          <w:ilvl w:val="0"/>
          <w:numId w:val="21"/>
        </w:numPr>
        <w:spacing w:line="360" w:lineRule="auto"/>
        <w:rPr>
          <w:rFonts w:ascii="Times New Roman" w:hAnsi="Times New Roman" w:cs="Times New Roman"/>
          <w:color w:val="000000"/>
          <w:sz w:val="24"/>
          <w:szCs w:val="24"/>
        </w:rPr>
      </w:pPr>
      <w:r w:rsidRPr="006329AD">
        <w:rPr>
          <w:rFonts w:ascii="Times New Roman" w:hAnsi="Times New Roman" w:cs="Times New Roman"/>
          <w:color w:val="000000"/>
          <w:sz w:val="24"/>
          <w:szCs w:val="24"/>
        </w:rPr>
        <w:t>to lift legal and policy barriers to health services for people who use drugs</w:t>
      </w:r>
      <w:r w:rsidR="006329AD" w:rsidRPr="006329AD">
        <w:rPr>
          <w:rFonts w:ascii="Times New Roman" w:hAnsi="Times New Roman" w:cs="Times New Roman"/>
          <w:color w:val="000000"/>
          <w:sz w:val="24"/>
          <w:szCs w:val="24"/>
        </w:rPr>
        <w:t>; and</w:t>
      </w:r>
      <w:r w:rsidRPr="006329AD">
        <w:rPr>
          <w:rFonts w:ascii="Times New Roman" w:hAnsi="Times New Roman" w:cs="Times New Roman"/>
          <w:color w:val="000000"/>
          <w:sz w:val="24"/>
          <w:szCs w:val="24"/>
        </w:rPr>
        <w:t xml:space="preserve"> </w:t>
      </w:r>
    </w:p>
    <w:p w14:paraId="7741BFA7" w14:textId="7EAA834C" w:rsidR="00387003" w:rsidRPr="006329AD" w:rsidRDefault="00387003" w:rsidP="00815894">
      <w:pPr>
        <w:pStyle w:val="ListParagraph"/>
        <w:numPr>
          <w:ilvl w:val="0"/>
          <w:numId w:val="21"/>
        </w:numPr>
        <w:spacing w:line="360" w:lineRule="auto"/>
        <w:rPr>
          <w:rFonts w:ascii="Times New Roman" w:hAnsi="Times New Roman" w:cs="Times New Roman"/>
          <w:color w:val="000000"/>
          <w:sz w:val="24"/>
          <w:szCs w:val="24"/>
        </w:rPr>
      </w:pPr>
      <w:r w:rsidRPr="006329AD">
        <w:rPr>
          <w:rFonts w:ascii="Times New Roman" w:hAnsi="Times New Roman" w:cs="Times New Roman"/>
          <w:color w:val="000000"/>
          <w:sz w:val="24"/>
          <w:szCs w:val="24"/>
        </w:rPr>
        <w:lastRenderedPageBreak/>
        <w:t xml:space="preserve">to decriminalize drug use and possession for personal use </w:t>
      </w:r>
      <w:r w:rsidR="007955A1" w:rsidRPr="006329AD">
        <w:rPr>
          <w:rFonts w:ascii="Times New Roman" w:hAnsi="Times New Roman" w:cs="Times New Roman"/>
          <w:color w:val="000000"/>
          <w:sz w:val="24"/>
          <w:szCs w:val="24"/>
        </w:rPr>
        <w:t xml:space="preserve">(CESCR to Belarus, </w:t>
      </w:r>
      <w:r w:rsidRPr="006329AD">
        <w:rPr>
          <w:rFonts w:ascii="Times New Roman" w:hAnsi="Times New Roman" w:cs="Times New Roman"/>
          <w:color w:val="000000"/>
          <w:sz w:val="24"/>
          <w:szCs w:val="24"/>
        </w:rPr>
        <w:t>Benin, Estonia, Kazakhstan, Norway, Philippines, the Russian Federation</w:t>
      </w:r>
      <w:r w:rsidR="007955A1" w:rsidRPr="006329AD">
        <w:rPr>
          <w:rFonts w:ascii="Times New Roman" w:hAnsi="Times New Roman" w:cs="Times New Roman"/>
          <w:color w:val="000000"/>
          <w:sz w:val="24"/>
          <w:szCs w:val="24"/>
        </w:rPr>
        <w:t>, and</w:t>
      </w:r>
      <w:r w:rsidRPr="006329AD">
        <w:rPr>
          <w:rFonts w:ascii="Times New Roman" w:hAnsi="Times New Roman" w:cs="Times New Roman"/>
          <w:color w:val="000000"/>
          <w:sz w:val="24"/>
          <w:szCs w:val="24"/>
        </w:rPr>
        <w:t xml:space="preserve"> Ukraine (twice in th</w:t>
      </w:r>
      <w:r w:rsidR="006329AD">
        <w:rPr>
          <w:rFonts w:ascii="Times New Roman" w:hAnsi="Times New Roman" w:cs="Times New Roman"/>
          <w:color w:val="000000"/>
          <w:sz w:val="24"/>
          <w:szCs w:val="24"/>
        </w:rPr>
        <w:t>e</w:t>
      </w:r>
      <w:r w:rsidRPr="006329AD">
        <w:rPr>
          <w:rFonts w:ascii="Times New Roman" w:hAnsi="Times New Roman" w:cs="Times New Roman"/>
          <w:color w:val="000000"/>
          <w:sz w:val="24"/>
          <w:szCs w:val="24"/>
        </w:rPr>
        <w:t xml:space="preserve"> last </w:t>
      </w:r>
      <w:r w:rsidR="007955A1" w:rsidRPr="006329AD">
        <w:rPr>
          <w:rFonts w:ascii="Times New Roman" w:hAnsi="Times New Roman" w:cs="Times New Roman"/>
          <w:color w:val="000000"/>
          <w:sz w:val="24"/>
          <w:szCs w:val="24"/>
        </w:rPr>
        <w:t xml:space="preserve">two </w:t>
      </w:r>
      <w:r w:rsidRPr="006329AD">
        <w:rPr>
          <w:rFonts w:ascii="Times New Roman" w:hAnsi="Times New Roman" w:cs="Times New Roman"/>
          <w:color w:val="000000"/>
          <w:sz w:val="24"/>
          <w:szCs w:val="24"/>
        </w:rPr>
        <w:t>case</w:t>
      </w:r>
      <w:r w:rsidR="007955A1" w:rsidRPr="006329AD">
        <w:rPr>
          <w:rFonts w:ascii="Times New Roman" w:hAnsi="Times New Roman" w:cs="Times New Roman"/>
          <w:color w:val="000000"/>
          <w:sz w:val="24"/>
          <w:szCs w:val="24"/>
        </w:rPr>
        <w:t>s</w:t>
      </w:r>
      <w:r w:rsidRPr="006329AD">
        <w:rPr>
          <w:rFonts w:ascii="Times New Roman" w:hAnsi="Times New Roman" w:cs="Times New Roman"/>
          <w:color w:val="000000"/>
          <w:sz w:val="24"/>
          <w:szCs w:val="24"/>
        </w:rPr>
        <w:t>).</w:t>
      </w:r>
    </w:p>
    <w:p w14:paraId="30626A19" w14:textId="4D9841AB" w:rsidR="00387003" w:rsidRPr="00152EAE" w:rsidRDefault="00387003" w:rsidP="00424FF5">
      <w:pPr>
        <w:pStyle w:val="NormalWeb"/>
        <w:spacing w:before="0" w:beforeAutospacing="0" w:after="160" w:afterAutospacing="0" w:line="360" w:lineRule="auto"/>
        <w:ind w:left="284"/>
      </w:pPr>
      <w:r w:rsidRPr="00152EAE">
        <w:rPr>
          <w:color w:val="000000"/>
        </w:rPr>
        <w:t>In January 2019, the UN Chief Executives Board for Coordination</w:t>
      </w:r>
      <w:r w:rsidR="006329AD">
        <w:rPr>
          <w:color w:val="000000"/>
        </w:rPr>
        <w:t xml:space="preserve"> </w:t>
      </w:r>
      <w:r>
        <w:rPr>
          <w:color w:val="000000"/>
        </w:rPr>
        <w:t xml:space="preserve">unanimously </w:t>
      </w:r>
      <w:r w:rsidRPr="00152EAE">
        <w:rPr>
          <w:color w:val="000000"/>
        </w:rPr>
        <w:t xml:space="preserve">issued the United Nations system common position </w:t>
      </w:r>
      <w:r>
        <w:rPr>
          <w:color w:val="000000"/>
        </w:rPr>
        <w:t>that includes a commitment</w:t>
      </w:r>
      <w:r w:rsidRPr="00152EAE">
        <w:rPr>
          <w:color w:val="000000"/>
        </w:rPr>
        <w:t xml:space="preserve"> to promot</w:t>
      </w:r>
      <w:r>
        <w:rPr>
          <w:color w:val="000000"/>
        </w:rPr>
        <w:t>e</w:t>
      </w:r>
      <w:r w:rsidRPr="00152EAE">
        <w:rPr>
          <w:color w:val="000000"/>
        </w:rPr>
        <w:t xml:space="preserve"> </w:t>
      </w:r>
      <w:r w:rsidR="006329AD">
        <w:rPr>
          <w:color w:val="000000"/>
        </w:rPr>
        <w:t>"</w:t>
      </w:r>
      <w:r w:rsidRPr="00285C0F">
        <w:rPr>
          <w:iCs/>
          <w:color w:val="000000"/>
        </w:rPr>
        <w:t xml:space="preserve">alternatives to conviction and punishment in appropriate cases, including </w:t>
      </w:r>
      <w:r w:rsidR="006329AD">
        <w:rPr>
          <w:iCs/>
          <w:color w:val="000000"/>
        </w:rPr>
        <w:t>decriminalizing</w:t>
      </w:r>
      <w:r w:rsidRPr="00285C0F">
        <w:rPr>
          <w:iCs/>
          <w:color w:val="000000"/>
        </w:rPr>
        <w:t xml:space="preserve"> drug possession for personal use</w:t>
      </w:r>
      <w:r w:rsidRPr="00152EAE">
        <w:rPr>
          <w:color w:val="000000"/>
        </w:rPr>
        <w:t>.</w:t>
      </w:r>
      <w:r w:rsidR="006329AD">
        <w:rPr>
          <w:color w:val="000000"/>
        </w:rPr>
        <w:t>"</w:t>
      </w:r>
      <w:r w:rsidRPr="00152EAE">
        <w:rPr>
          <w:rStyle w:val="FootnoteReference"/>
          <w:rFonts w:eastAsiaTheme="majorEastAsia"/>
          <w:color w:val="000000"/>
        </w:rPr>
        <w:footnoteReference w:id="6"/>
      </w:r>
      <w:r w:rsidRPr="00152EAE">
        <w:rPr>
          <w:color w:val="000000"/>
          <w:vertAlign w:val="superscript"/>
        </w:rPr>
        <w:t xml:space="preserve"> </w:t>
      </w:r>
      <w:r w:rsidR="006329AD">
        <w:rPr>
          <w:color w:val="000000"/>
        </w:rPr>
        <w:t>12 UN agencies and programs had previously expressed a similar commitment</w:t>
      </w:r>
      <w:r w:rsidRPr="00152EAE">
        <w:rPr>
          <w:color w:val="000000"/>
        </w:rPr>
        <w:t>.</w:t>
      </w:r>
      <w:r w:rsidRPr="00152EAE">
        <w:rPr>
          <w:rStyle w:val="FootnoteReference"/>
          <w:rFonts w:eastAsiaTheme="majorEastAsia"/>
          <w:color w:val="000000"/>
        </w:rPr>
        <w:footnoteReference w:id="7"/>
      </w:r>
    </w:p>
    <w:p w14:paraId="4A8D014C" w14:textId="762B0968" w:rsidR="00387003" w:rsidRPr="001F6FA4" w:rsidRDefault="00387003" w:rsidP="00424FF5">
      <w:pPr>
        <w:spacing w:line="360" w:lineRule="auto"/>
        <w:ind w:left="284"/>
      </w:pPr>
      <w:r w:rsidRPr="00152EAE">
        <w:t>In March 2019, the WHO, the UNAIDS</w:t>
      </w:r>
      <w:r w:rsidR="006329AD">
        <w:t>,</w:t>
      </w:r>
      <w:r w:rsidRPr="00152EAE">
        <w:t xml:space="preserve"> and UNDP co-sponsored </w:t>
      </w:r>
      <w:r>
        <w:t xml:space="preserve">the </w:t>
      </w:r>
      <w:r w:rsidR="006329AD">
        <w:t>International Guidelines on Drug Policy and Human Rights launch</w:t>
      </w:r>
      <w:r>
        <w:t xml:space="preserve">. The Guidelines recommend the national authorities </w:t>
      </w:r>
      <w:r w:rsidRPr="00152EAE">
        <w:t>use the available flexibilities in the UN drug control conventions to decriminalize the possession, purchase</w:t>
      </w:r>
      <w:r w:rsidR="006329AD">
        <w:t>,</w:t>
      </w:r>
      <w:r w:rsidRPr="00152EAE">
        <w:t xml:space="preserve"> or cultivation of controlled substances for personal consumption.</w:t>
      </w:r>
      <w:r w:rsidRPr="00152EAE">
        <w:rPr>
          <w:rStyle w:val="FootnoteReference"/>
          <w:rFonts w:eastAsiaTheme="majorEastAsia"/>
        </w:rPr>
        <w:footnoteReference w:id="8"/>
      </w:r>
      <w:r>
        <w:t xml:space="preserve"> In 2019, the </w:t>
      </w:r>
      <w:r w:rsidRPr="00786462">
        <w:t xml:space="preserve">Committee on Legal Affairs and Human Rights </w:t>
      </w:r>
      <w:r>
        <w:t xml:space="preserve">of the Parliamentary Assembly of the CoE referred to these </w:t>
      </w:r>
      <w:r w:rsidRPr="00550037">
        <w:t>International Guidelines</w:t>
      </w:r>
      <w:r>
        <w:t xml:space="preserve"> as part of its drug policy study.</w:t>
      </w:r>
      <w:r w:rsidRPr="0015550A">
        <w:rPr>
          <w:rStyle w:val="FootnoteReference"/>
          <w:rFonts w:eastAsia="Calibri"/>
        </w:rPr>
        <w:footnoteReference w:id="9"/>
      </w:r>
    </w:p>
    <w:p w14:paraId="1E778DA3" w14:textId="76ABEC85" w:rsidR="00387003" w:rsidRDefault="00387003" w:rsidP="00424FF5">
      <w:pPr>
        <w:pStyle w:val="NormalWeb"/>
        <w:spacing w:before="0" w:beforeAutospacing="0" w:after="160" w:afterAutospacing="0" w:line="360" w:lineRule="auto"/>
        <w:ind w:left="284"/>
        <w:jc w:val="both"/>
        <w:rPr>
          <w:color w:val="000000"/>
        </w:rPr>
      </w:pPr>
      <w:r w:rsidRPr="00152EAE">
        <w:rPr>
          <w:color w:val="000000"/>
        </w:rPr>
        <w:t xml:space="preserve">These recommendations should help countries to interpret their drug laws and policies according to international human rights standards. </w:t>
      </w:r>
      <w:r>
        <w:rPr>
          <w:color w:val="000000"/>
        </w:rPr>
        <w:t>Decriminalization would help immediately shift the focus of drug policy from law enforcement to public health.</w:t>
      </w:r>
    </w:p>
    <w:p w14:paraId="03070241" w14:textId="77777777" w:rsidR="008B64C5" w:rsidRDefault="008B64C5" w:rsidP="008B64C5">
      <w:pPr>
        <w:pStyle w:val="Heading1"/>
        <w:rPr>
          <w:rFonts w:eastAsia="Sylfaen"/>
          <w:b/>
          <w:sz w:val="24"/>
          <w:szCs w:val="24"/>
          <w:lang w:val="en-GB"/>
        </w:rPr>
      </w:pPr>
    </w:p>
    <w:p w14:paraId="13A6A9D8" w14:textId="3C9D934B" w:rsidR="004F24A0" w:rsidRPr="008B64C5" w:rsidRDefault="006329AD" w:rsidP="008B64C5">
      <w:pPr>
        <w:pStyle w:val="Heading1"/>
        <w:rPr>
          <w:rFonts w:eastAsia="Sylfaen"/>
          <w:b/>
          <w:sz w:val="24"/>
          <w:szCs w:val="24"/>
        </w:rPr>
      </w:pPr>
      <w:bookmarkStart w:id="5" w:name="_Toc123799386"/>
      <w:r>
        <w:rPr>
          <w:rFonts w:eastAsia="Sylfaen"/>
          <w:b/>
          <w:sz w:val="24"/>
          <w:szCs w:val="24"/>
          <w:lang w:val="en-GB"/>
        </w:rPr>
        <w:t xml:space="preserve">The </w:t>
      </w:r>
      <w:r w:rsidR="004F24A0" w:rsidRPr="008B64C5">
        <w:rPr>
          <w:rFonts w:eastAsia="Sylfaen"/>
          <w:b/>
          <w:sz w:val="24"/>
          <w:szCs w:val="24"/>
          <w:lang w:val="en-GB"/>
        </w:rPr>
        <w:t>HIV epidemic in Georgia</w:t>
      </w:r>
      <w:r w:rsidR="006E31D9" w:rsidRPr="008B64C5">
        <w:rPr>
          <w:rFonts w:eastAsia="Sylfaen"/>
          <w:b/>
          <w:sz w:val="24"/>
          <w:szCs w:val="24"/>
          <w:lang w:val="en-GB"/>
        </w:rPr>
        <w:t xml:space="preserve"> is driven by unsafe injecting drug use</w:t>
      </w:r>
      <w:bookmarkEnd w:id="5"/>
    </w:p>
    <w:p w14:paraId="61761B0B" w14:textId="4ABE5081" w:rsidR="00F40630" w:rsidRPr="006E2DBB" w:rsidRDefault="00F40630" w:rsidP="006E2DBB">
      <w:pPr>
        <w:spacing w:line="360" w:lineRule="auto"/>
        <w:ind w:left="297" w:right="426"/>
        <w:rPr>
          <w:rFonts w:eastAsia="Sylfaen"/>
        </w:rPr>
      </w:pPr>
      <w:r w:rsidRPr="006E2DBB">
        <w:rPr>
          <w:rFonts w:eastAsia="Sylfaen"/>
        </w:rPr>
        <w:t>By December 2022</w:t>
      </w:r>
      <w:r w:rsidR="006329AD">
        <w:rPr>
          <w:rFonts w:eastAsia="Sylfaen"/>
        </w:rPr>
        <w:t>,</w:t>
      </w:r>
      <w:r w:rsidRPr="006E2DBB">
        <w:rPr>
          <w:rFonts w:eastAsia="Sylfaen"/>
        </w:rPr>
        <w:t xml:space="preserve"> a total of 9</w:t>
      </w:r>
      <w:r w:rsidR="006E31D9" w:rsidRPr="006E2DBB">
        <w:rPr>
          <w:rFonts w:eastAsia="Sylfaen"/>
        </w:rPr>
        <w:t>,</w:t>
      </w:r>
      <w:r w:rsidRPr="006E2DBB">
        <w:rPr>
          <w:rFonts w:eastAsia="Sylfaen"/>
        </w:rPr>
        <w:t>714 HIV/AIDS cases have been registered in Georgia, including 7</w:t>
      </w:r>
      <w:r w:rsidR="006E31D9" w:rsidRPr="006E2DBB">
        <w:rPr>
          <w:rFonts w:eastAsia="Sylfaen"/>
        </w:rPr>
        <w:t>,</w:t>
      </w:r>
      <w:r w:rsidRPr="006E2DBB">
        <w:rPr>
          <w:rFonts w:eastAsia="Sylfaen"/>
        </w:rPr>
        <w:t>257 men and 2</w:t>
      </w:r>
      <w:r w:rsidR="006E31D9" w:rsidRPr="006E2DBB">
        <w:rPr>
          <w:rFonts w:eastAsia="Sylfaen"/>
        </w:rPr>
        <w:t>,</w:t>
      </w:r>
      <w:r w:rsidRPr="006E2DBB">
        <w:rPr>
          <w:rFonts w:eastAsia="Sylfaen"/>
        </w:rPr>
        <w:t xml:space="preserve">457 women. The majority of patients are within the age group of 29-40. </w:t>
      </w:r>
      <w:r w:rsidR="006329AD">
        <w:rPr>
          <w:rFonts w:eastAsia="Sylfaen"/>
        </w:rPr>
        <w:t>Four thousand seven hundred forty-two</w:t>
      </w:r>
      <w:r w:rsidRPr="006E2DBB">
        <w:rPr>
          <w:rFonts w:eastAsia="Sylfaen"/>
        </w:rPr>
        <w:t xml:space="preserve"> patients developed AIDS. </w:t>
      </w:r>
      <w:r w:rsidR="006329AD">
        <w:rPr>
          <w:rFonts w:eastAsia="Sylfaen"/>
        </w:rPr>
        <w:t xml:space="preserve">Two thousand </w:t>
      </w:r>
      <w:r w:rsidR="006329AD">
        <w:rPr>
          <w:rFonts w:eastAsia="Sylfaen"/>
        </w:rPr>
        <w:lastRenderedPageBreak/>
        <w:t>fifty-nine</w:t>
      </w:r>
      <w:r w:rsidRPr="006E2DBB">
        <w:rPr>
          <w:rFonts w:eastAsia="Sylfaen"/>
        </w:rPr>
        <w:t xml:space="preserve"> patients have died. 33.5% of all cases were attributed to unsafe injecting drug use practices. </w:t>
      </w:r>
      <w:r w:rsidRPr="006E2DBB">
        <w:rPr>
          <w:rStyle w:val="FootnoteReference"/>
          <w:rFonts w:eastAsia="Sylfaen"/>
        </w:rPr>
        <w:footnoteReference w:id="10"/>
      </w:r>
    </w:p>
    <w:p w14:paraId="1C2FC53E" w14:textId="77777777" w:rsidR="007955A1" w:rsidRDefault="007955A1" w:rsidP="006E2DBB">
      <w:pPr>
        <w:spacing w:line="360" w:lineRule="auto"/>
        <w:ind w:left="297" w:right="426"/>
        <w:rPr>
          <w:rFonts w:eastAsia="Sylfaen"/>
          <w:b/>
        </w:rPr>
      </w:pPr>
    </w:p>
    <w:p w14:paraId="71ABD037" w14:textId="6503F10A" w:rsidR="00DB1968" w:rsidRPr="008B64C5" w:rsidRDefault="00BC7356" w:rsidP="008B64C5">
      <w:pPr>
        <w:pStyle w:val="Heading1"/>
        <w:rPr>
          <w:rFonts w:eastAsia="Sylfaen"/>
          <w:b/>
          <w:sz w:val="24"/>
          <w:szCs w:val="24"/>
        </w:rPr>
      </w:pPr>
      <w:bookmarkStart w:id="6" w:name="_Toc123799387"/>
      <w:r w:rsidRPr="008B64C5">
        <w:rPr>
          <w:rFonts w:eastAsia="Sylfaen"/>
          <w:b/>
          <w:sz w:val="24"/>
          <w:szCs w:val="24"/>
        </w:rPr>
        <w:t xml:space="preserve">Drug laws and policies </w:t>
      </w:r>
      <w:r w:rsidR="009421AB" w:rsidRPr="008B64C5">
        <w:rPr>
          <w:rFonts w:eastAsia="Sylfaen"/>
          <w:b/>
          <w:sz w:val="24"/>
          <w:szCs w:val="24"/>
        </w:rPr>
        <w:t>focus on people who use drugs, increasing their</w:t>
      </w:r>
      <w:r w:rsidRPr="008B64C5">
        <w:rPr>
          <w:rFonts w:eastAsia="Sylfaen"/>
          <w:b/>
          <w:sz w:val="24"/>
          <w:szCs w:val="24"/>
        </w:rPr>
        <w:t xml:space="preserve"> vulnerability to HIV and creat</w:t>
      </w:r>
      <w:r w:rsidR="006E31D9" w:rsidRPr="008B64C5">
        <w:rPr>
          <w:rFonts w:eastAsia="Sylfaen"/>
          <w:b/>
          <w:sz w:val="24"/>
          <w:szCs w:val="24"/>
        </w:rPr>
        <w:t>ing</w:t>
      </w:r>
      <w:r w:rsidRPr="008B64C5">
        <w:rPr>
          <w:rFonts w:eastAsia="Sylfaen"/>
          <w:b/>
          <w:sz w:val="24"/>
          <w:szCs w:val="24"/>
        </w:rPr>
        <w:t xml:space="preserve"> barriers </w:t>
      </w:r>
      <w:r w:rsidR="006329AD">
        <w:rPr>
          <w:rFonts w:eastAsia="Sylfaen"/>
          <w:b/>
          <w:sz w:val="24"/>
          <w:szCs w:val="24"/>
        </w:rPr>
        <w:t>to</w:t>
      </w:r>
      <w:r w:rsidRPr="008B64C5">
        <w:rPr>
          <w:rFonts w:eastAsia="Sylfaen"/>
          <w:b/>
          <w:sz w:val="24"/>
          <w:szCs w:val="24"/>
        </w:rPr>
        <w:t xml:space="preserve"> access to HIV services</w:t>
      </w:r>
      <w:bookmarkEnd w:id="6"/>
    </w:p>
    <w:p w14:paraId="33C1ABDE" w14:textId="1C44BA12" w:rsidR="008E45F0" w:rsidRPr="006E2DBB" w:rsidRDefault="00663FD7" w:rsidP="006E2DBB">
      <w:pPr>
        <w:spacing w:line="360" w:lineRule="auto"/>
        <w:ind w:left="297" w:right="426"/>
        <w:rPr>
          <w:rFonts w:eastAsia="Sylfaen"/>
        </w:rPr>
      </w:pPr>
      <w:r w:rsidRPr="006E2DBB">
        <w:rPr>
          <w:rFonts w:eastAsia="Sylfaen"/>
        </w:rPr>
        <w:t>Statistics on registered drug crimes demonstrate that</w:t>
      </w:r>
      <w:r w:rsidR="00631B6E">
        <w:rPr>
          <w:rFonts w:eastAsia="Sylfaen"/>
        </w:rPr>
        <w:t xml:space="preserve"> in 2021 more than</w:t>
      </w:r>
      <w:r w:rsidRPr="006E2DBB">
        <w:rPr>
          <w:rFonts w:eastAsia="Sylfaen"/>
        </w:rPr>
        <w:t xml:space="preserve"> 98.6% of re</w:t>
      </w:r>
      <w:r w:rsidR="006329AD">
        <w:rPr>
          <w:rFonts w:eastAsia="Sylfaen"/>
        </w:rPr>
        <w:t>cord</w:t>
      </w:r>
      <w:r w:rsidRPr="006E2DBB">
        <w:rPr>
          <w:rFonts w:eastAsia="Sylfaen"/>
        </w:rPr>
        <w:t xml:space="preserve">ed drug crimes </w:t>
      </w:r>
      <w:r w:rsidR="00631B6E">
        <w:rPr>
          <w:rFonts w:eastAsia="Sylfaen"/>
        </w:rPr>
        <w:t>were</w:t>
      </w:r>
      <w:r w:rsidRPr="006E2DBB">
        <w:rPr>
          <w:rFonts w:eastAsia="Sylfaen"/>
        </w:rPr>
        <w:t xml:space="preserve"> related to </w:t>
      </w:r>
      <w:r w:rsidR="006329AD">
        <w:rPr>
          <w:rFonts w:eastAsia="Sylfaen"/>
        </w:rPr>
        <w:t xml:space="preserve">the </w:t>
      </w:r>
      <w:r w:rsidRPr="006E2DBB">
        <w:rPr>
          <w:rFonts w:eastAsia="Sylfaen"/>
        </w:rPr>
        <w:t xml:space="preserve">consumption of drugs or possession/cultivation </w:t>
      </w:r>
      <w:r w:rsidR="006329AD">
        <w:rPr>
          <w:rFonts w:eastAsia="Sylfaen"/>
        </w:rPr>
        <w:t>with no intent to sell</w:t>
      </w:r>
      <w:r w:rsidRPr="006E2DBB">
        <w:rPr>
          <w:rFonts w:eastAsia="Sylfaen"/>
        </w:rPr>
        <w:t>.</w:t>
      </w:r>
    </w:p>
    <w:p w14:paraId="1A87761C" w14:textId="4B60934A" w:rsidR="0042600D" w:rsidRPr="0042600D" w:rsidRDefault="008E45F0" w:rsidP="006E2DBB">
      <w:pPr>
        <w:spacing w:line="360" w:lineRule="auto"/>
        <w:ind w:left="297" w:right="426"/>
        <w:rPr>
          <w:lang w:val="en-CA" w:eastAsia="en-CA"/>
        </w:rPr>
      </w:pPr>
      <w:r w:rsidRPr="006E2DBB">
        <w:rPr>
          <w:rFonts w:eastAsia="Sylfaen"/>
          <w:b/>
        </w:rPr>
        <w:t xml:space="preserve">Statistics of the Ministry of </w:t>
      </w:r>
      <w:r w:rsidR="0042600D" w:rsidRPr="006E2DBB">
        <w:rPr>
          <w:rFonts w:eastAsia="Sylfaen"/>
          <w:b/>
        </w:rPr>
        <w:t>Inter</w:t>
      </w:r>
      <w:r w:rsidRPr="006E2DBB">
        <w:rPr>
          <w:rFonts w:eastAsia="Sylfaen"/>
          <w:b/>
        </w:rPr>
        <w:t>nal Affairs on registered drug crimes in 2018-2021</w:t>
      </w:r>
      <w:r w:rsidRPr="006E2DBB">
        <w:rPr>
          <w:rStyle w:val="FootnoteReference"/>
          <w:rFonts w:eastAsia="Sylfaen"/>
          <w:b/>
        </w:rPr>
        <w:footnoteReference w:id="11"/>
      </w:r>
    </w:p>
    <w:p w14:paraId="70D2BAC6" w14:textId="2775CA8A" w:rsidR="00231B24" w:rsidRPr="006E2DBB" w:rsidRDefault="00FC5572" w:rsidP="006E2DBB">
      <w:pPr>
        <w:spacing w:line="360" w:lineRule="auto"/>
        <w:ind w:left="297" w:right="426"/>
        <w:rPr>
          <w:rFonts w:eastAsia="Sylfaen"/>
          <w:b/>
        </w:rPr>
      </w:pPr>
      <w:r w:rsidRPr="006E2DBB">
        <w:rPr>
          <w:rFonts w:eastAsia="Sylfaen"/>
          <w:b/>
          <w:noProof/>
          <w:lang w:val="en-CA" w:eastAsia="en-CA"/>
          <w14:ligatures w14:val="standardContextual"/>
        </w:rPr>
        <w:drawing>
          <wp:inline distT="0" distB="0" distL="0" distR="0" wp14:anchorId="362652A3" wp14:editId="166B79CC">
            <wp:extent cx="5852160" cy="2477547"/>
            <wp:effectExtent l="0" t="0" r="0" b="0"/>
            <wp:docPr id="15" name="Picture 15" descr="C:\Users\TEST\Desktop\countries\EHRA Contracts\Human Rights Matrix 2022\Countries\Georgia\ge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ST\Desktop\countries\EHRA Contracts\Human Rights Matrix 2022\Countries\Georgia\geo1.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636" r="7077"/>
                    <a:stretch/>
                  </pic:blipFill>
                  <pic:spPr bwMode="auto">
                    <a:xfrm>
                      <a:off x="0" y="0"/>
                      <a:ext cx="5858785" cy="2480352"/>
                    </a:xfrm>
                    <a:prstGeom prst="rect">
                      <a:avLst/>
                    </a:prstGeom>
                    <a:noFill/>
                    <a:ln>
                      <a:noFill/>
                    </a:ln>
                    <a:extLst>
                      <a:ext uri="{53640926-AAD7-44D8-BBD7-CCE9431645EC}">
                        <a14:shadowObscured xmlns:a14="http://schemas.microsoft.com/office/drawing/2010/main"/>
                      </a:ext>
                    </a:extLst>
                  </pic:spPr>
                </pic:pic>
              </a:graphicData>
            </a:graphic>
          </wp:inline>
        </w:drawing>
      </w:r>
    </w:p>
    <w:p w14:paraId="5F5424E1" w14:textId="7EB24872" w:rsidR="00231B24" w:rsidRPr="006E2DBB" w:rsidRDefault="00FC5572" w:rsidP="00815894">
      <w:pPr>
        <w:pStyle w:val="ListParagraph"/>
        <w:numPr>
          <w:ilvl w:val="0"/>
          <w:numId w:val="1"/>
        </w:numPr>
        <w:spacing w:line="360" w:lineRule="auto"/>
        <w:ind w:right="426"/>
        <w:rPr>
          <w:rFonts w:ascii="Times New Roman" w:eastAsia="Sylfaen" w:hAnsi="Times New Roman" w:cs="Times New Roman"/>
          <w:b/>
          <w:color w:val="144E7E"/>
          <w:sz w:val="24"/>
          <w:szCs w:val="24"/>
        </w:rPr>
      </w:pPr>
      <w:r w:rsidRPr="006E2DBB">
        <w:rPr>
          <w:rFonts w:ascii="Times New Roman" w:eastAsia="Sylfaen" w:hAnsi="Times New Roman" w:cs="Times New Roman"/>
          <w:b/>
          <w:color w:val="144E7E"/>
          <w:sz w:val="24"/>
          <w:szCs w:val="24"/>
        </w:rPr>
        <w:t>Total drug crimes</w:t>
      </w:r>
    </w:p>
    <w:p w14:paraId="09D2FFF6" w14:textId="50C9A92E" w:rsidR="00FC5572" w:rsidRPr="006E2DBB" w:rsidRDefault="00FC5572" w:rsidP="00815894">
      <w:pPr>
        <w:pStyle w:val="ListParagraph"/>
        <w:numPr>
          <w:ilvl w:val="0"/>
          <w:numId w:val="1"/>
        </w:numPr>
        <w:spacing w:line="360" w:lineRule="auto"/>
        <w:ind w:right="426"/>
        <w:rPr>
          <w:rFonts w:ascii="Times New Roman" w:eastAsia="Sylfaen" w:hAnsi="Times New Roman" w:cs="Times New Roman"/>
          <w:b/>
          <w:color w:val="ED7D31" w:themeColor="accent2"/>
          <w:sz w:val="24"/>
          <w:szCs w:val="24"/>
        </w:rPr>
      </w:pPr>
      <w:r w:rsidRPr="006E2DBB">
        <w:rPr>
          <w:rFonts w:ascii="Times New Roman" w:eastAsia="Sylfaen" w:hAnsi="Times New Roman" w:cs="Times New Roman"/>
          <w:b/>
          <w:color w:val="ED7D31" w:themeColor="accent2"/>
          <w:sz w:val="24"/>
          <w:szCs w:val="24"/>
        </w:rPr>
        <w:t>Purchase/storage not for sale (Article 260 of the Criminal Code)</w:t>
      </w:r>
    </w:p>
    <w:p w14:paraId="3841C6CE" w14:textId="4AD41E40" w:rsidR="00FC5572" w:rsidRPr="006E2DBB" w:rsidRDefault="00FC5572" w:rsidP="00815894">
      <w:pPr>
        <w:pStyle w:val="ListParagraph"/>
        <w:numPr>
          <w:ilvl w:val="0"/>
          <w:numId w:val="1"/>
        </w:numPr>
        <w:spacing w:line="360" w:lineRule="auto"/>
        <w:ind w:right="426"/>
        <w:rPr>
          <w:rFonts w:ascii="Times New Roman" w:eastAsia="Sylfaen" w:hAnsi="Times New Roman" w:cs="Times New Roman"/>
          <w:b/>
          <w:color w:val="767171" w:themeColor="background2" w:themeShade="80"/>
          <w:sz w:val="24"/>
          <w:szCs w:val="24"/>
        </w:rPr>
      </w:pPr>
      <w:r w:rsidRPr="006E2DBB">
        <w:rPr>
          <w:rFonts w:ascii="Times New Roman" w:eastAsia="Sylfaen" w:hAnsi="Times New Roman" w:cs="Times New Roman"/>
          <w:b/>
          <w:color w:val="767171" w:themeColor="background2" w:themeShade="80"/>
          <w:sz w:val="24"/>
          <w:szCs w:val="24"/>
        </w:rPr>
        <w:t>Consumption (Articles 273 and 273</w:t>
      </w:r>
      <w:r w:rsidRPr="006E2DBB">
        <w:rPr>
          <w:rFonts w:ascii="Times New Roman" w:eastAsia="Sylfaen" w:hAnsi="Times New Roman" w:cs="Times New Roman"/>
          <w:b/>
          <w:color w:val="767171" w:themeColor="background2" w:themeShade="80"/>
          <w:sz w:val="24"/>
          <w:szCs w:val="24"/>
          <w:vertAlign w:val="superscript"/>
        </w:rPr>
        <w:t>1</w:t>
      </w:r>
      <w:r w:rsidRPr="006E2DBB">
        <w:rPr>
          <w:rFonts w:ascii="Times New Roman" w:eastAsia="Sylfaen" w:hAnsi="Times New Roman" w:cs="Times New Roman"/>
          <w:b/>
          <w:color w:val="767171" w:themeColor="background2" w:themeShade="80"/>
          <w:sz w:val="24"/>
          <w:szCs w:val="24"/>
        </w:rPr>
        <w:t xml:space="preserve"> of the Criminal Code)</w:t>
      </w:r>
    </w:p>
    <w:p w14:paraId="48F068E8" w14:textId="457F35A2" w:rsidR="00FC5572" w:rsidRPr="006E2DBB" w:rsidRDefault="00FC5572" w:rsidP="00815894">
      <w:pPr>
        <w:pStyle w:val="ListParagraph"/>
        <w:numPr>
          <w:ilvl w:val="0"/>
          <w:numId w:val="1"/>
        </w:numPr>
        <w:spacing w:line="360" w:lineRule="auto"/>
        <w:ind w:right="426"/>
        <w:rPr>
          <w:rFonts w:ascii="Times New Roman" w:eastAsia="Sylfaen" w:hAnsi="Times New Roman" w:cs="Times New Roman"/>
          <w:b/>
          <w:color w:val="087B92"/>
          <w:sz w:val="24"/>
          <w:szCs w:val="24"/>
        </w:rPr>
      </w:pPr>
      <w:r w:rsidRPr="006E2DBB">
        <w:rPr>
          <w:rFonts w:ascii="Times New Roman" w:eastAsia="Sylfaen" w:hAnsi="Times New Roman" w:cs="Times New Roman"/>
          <w:b/>
          <w:color w:val="087B92"/>
          <w:sz w:val="24"/>
          <w:szCs w:val="24"/>
        </w:rPr>
        <w:t>Cultivation (Article 265 of the Criminal Code)</w:t>
      </w:r>
    </w:p>
    <w:p w14:paraId="0D8DC864" w14:textId="12F85B9C" w:rsidR="00FC5572" w:rsidRPr="006E2DBB" w:rsidRDefault="00FC5572" w:rsidP="00815894">
      <w:pPr>
        <w:pStyle w:val="ListParagraph"/>
        <w:numPr>
          <w:ilvl w:val="0"/>
          <w:numId w:val="1"/>
        </w:numPr>
        <w:spacing w:line="360" w:lineRule="auto"/>
        <w:ind w:right="426"/>
        <w:rPr>
          <w:rFonts w:ascii="Times New Roman" w:eastAsia="Sylfaen" w:hAnsi="Times New Roman" w:cs="Times New Roman"/>
          <w:b/>
          <w:color w:val="8F0792"/>
          <w:sz w:val="24"/>
          <w:szCs w:val="24"/>
        </w:rPr>
      </w:pPr>
      <w:r w:rsidRPr="006E2DBB">
        <w:rPr>
          <w:rFonts w:ascii="Times New Roman" w:eastAsia="Sylfaen" w:hAnsi="Times New Roman" w:cs="Times New Roman"/>
          <w:b/>
          <w:color w:val="8F0792"/>
          <w:sz w:val="24"/>
          <w:szCs w:val="24"/>
        </w:rPr>
        <w:t>Drug trafficking (Article 262 of the Criminal Code)</w:t>
      </w:r>
    </w:p>
    <w:p w14:paraId="205D23EB" w14:textId="77777777" w:rsidR="006E31D9" w:rsidRPr="006E2DBB" w:rsidRDefault="00663FD7" w:rsidP="006E2DBB">
      <w:pPr>
        <w:spacing w:line="360" w:lineRule="auto"/>
        <w:ind w:left="297" w:right="426"/>
        <w:rPr>
          <w:rFonts w:eastAsia="Sylfaen"/>
        </w:rPr>
      </w:pPr>
      <w:r w:rsidRPr="006E2DBB">
        <w:rPr>
          <w:rFonts w:eastAsia="Sylfaen"/>
        </w:rPr>
        <w:lastRenderedPageBreak/>
        <w:t xml:space="preserve">The focus of drug enforcement in Georgia is on people who consume drugs. A tiny fraction (less than 2%) of registered crimes related to trafficking is in itself a </w:t>
      </w:r>
      <w:r w:rsidR="009421AB" w:rsidRPr="006E2DBB">
        <w:rPr>
          <w:rFonts w:eastAsia="Sylfaen"/>
        </w:rPr>
        <w:t xml:space="preserve">clear indicator of such a focus. </w:t>
      </w:r>
    </w:p>
    <w:p w14:paraId="33520EB1" w14:textId="4A25E7E4" w:rsidR="00663FD7" w:rsidRPr="006E2DBB" w:rsidRDefault="009421AB" w:rsidP="006E2DBB">
      <w:pPr>
        <w:spacing w:line="360" w:lineRule="auto"/>
        <w:ind w:left="297" w:right="426"/>
        <w:rPr>
          <w:rFonts w:eastAsia="Sylfaen"/>
        </w:rPr>
      </w:pPr>
      <w:r w:rsidRPr="006E2DBB">
        <w:rPr>
          <w:rFonts w:eastAsia="Sylfaen"/>
        </w:rPr>
        <w:t xml:space="preserve">Even more worrisome is that the legal definition of drug trafficking in Georgia is </w:t>
      </w:r>
      <w:r w:rsidR="006329AD">
        <w:rPr>
          <w:rFonts w:eastAsia="Sylfaen"/>
        </w:rPr>
        <w:t>expansive</w:t>
      </w:r>
      <w:r w:rsidRPr="006E2DBB">
        <w:rPr>
          <w:rFonts w:eastAsia="Sylfaen"/>
        </w:rPr>
        <w:t>, allowing drug enforcement officers to categorize as drug trafficking any handling of drugs by people who consume drugs. For example</w:t>
      </w:r>
      <w:r w:rsidR="006329AD">
        <w:rPr>
          <w:rFonts w:eastAsia="Sylfaen"/>
        </w:rPr>
        <w:t>,</w:t>
      </w:r>
      <w:r w:rsidRPr="006E2DBB">
        <w:rPr>
          <w:rFonts w:eastAsia="Sylfaen"/>
        </w:rPr>
        <w:t xml:space="preserve"> handing over any amount of narcotic drug to a fellow drug user during consumption can be categorized as a crime of drug trafficking. </w:t>
      </w:r>
      <w:r w:rsidR="00663FD7" w:rsidRPr="006E2DBB">
        <w:t>Georgian law "On  Narcotic Drugs, Psychotropic Substances and Precursors and Narcological Assistance"</w:t>
      </w:r>
      <w:r w:rsidR="00663FD7" w:rsidRPr="006E2DBB">
        <w:rPr>
          <w:rStyle w:val="FootnoteReference"/>
        </w:rPr>
        <w:footnoteReference w:id="12"/>
      </w:r>
      <w:r w:rsidR="00663FD7" w:rsidRPr="006E2DBB">
        <w:t xml:space="preserve"> states that the sale of a narcotic substance is </w:t>
      </w:r>
      <w:r w:rsidR="006329AD">
        <w:t>"</w:t>
      </w:r>
      <w:r w:rsidR="00663FD7" w:rsidRPr="006E2DBB">
        <w:t>transfer a specially controlled substance in violation of the legislation of Georgia, in return for payment or for free, regardless of the purpose of the transfer</w:t>
      </w:r>
      <w:r w:rsidR="006329AD">
        <w:t>."</w:t>
      </w:r>
      <w:r w:rsidR="00663FD7" w:rsidRPr="006E2DBB">
        <w:t xml:space="preserve"> According to this definition, a </w:t>
      </w:r>
      <w:r w:rsidR="006329AD">
        <w:t>drug sale</w:t>
      </w:r>
      <w:r w:rsidR="00663FD7" w:rsidRPr="006E2DBB">
        <w:t xml:space="preserve"> is transferring or gifting a drug from one user to another</w:t>
      </w:r>
      <w:r w:rsidR="006329AD">
        <w:t>,</w:t>
      </w:r>
      <w:r w:rsidR="00663FD7" w:rsidRPr="006E2DBB">
        <w:t xml:space="preserve"> </w:t>
      </w:r>
      <w:r w:rsidR="006329AD">
        <w:t xml:space="preserve">regardless of whether or not such a transaction occurs in the context of </w:t>
      </w:r>
      <w:r w:rsidR="00663FD7" w:rsidRPr="006E2DBB">
        <w:t>drug</w:t>
      </w:r>
      <w:r w:rsidR="006329AD">
        <w:t xml:space="preserve"> consumption</w:t>
      </w:r>
      <w:r w:rsidR="00663FD7" w:rsidRPr="006E2DBB">
        <w:t xml:space="preserve">. However, such an act should not automatically be defined as a drug sale. It would be appropriate if the Georgian legislator </w:t>
      </w:r>
      <w:r w:rsidR="006329AD">
        <w:t>considered</w:t>
      </w:r>
      <w:r w:rsidR="00663FD7" w:rsidRPr="006E2DBB">
        <w:t xml:space="preserve"> the </w:t>
      </w:r>
      <w:r w:rsidR="006329AD">
        <w:t>scholarly</w:t>
      </w:r>
      <w:r w:rsidR="00663FD7" w:rsidRPr="006E2DBB">
        <w:t xml:space="preserve"> opinion and associated illicit drug sale</w:t>
      </w:r>
      <w:r w:rsidR="006329AD">
        <w:t>s</w:t>
      </w:r>
      <w:r w:rsidR="00663FD7" w:rsidRPr="006E2DBB">
        <w:t xml:space="preserve"> </w:t>
      </w:r>
      <w:r w:rsidR="006329AD">
        <w:t>with</w:t>
      </w:r>
      <w:r w:rsidR="00663FD7" w:rsidRPr="006E2DBB">
        <w:t xml:space="preserve"> a systematic and continuous activity </w:t>
      </w:r>
      <w:r w:rsidR="006329AD">
        <w:t>to obtain</w:t>
      </w:r>
      <w:r w:rsidR="00663FD7" w:rsidRPr="006E2DBB">
        <w:t xml:space="preserve"> commercial benefits.</w:t>
      </w:r>
      <w:r w:rsidR="00663FD7" w:rsidRPr="006E2DBB">
        <w:rPr>
          <w:rStyle w:val="FootnoteReference"/>
        </w:rPr>
        <w:footnoteReference w:id="13"/>
      </w:r>
    </w:p>
    <w:p w14:paraId="5B9662C9" w14:textId="3E0D2AAD" w:rsidR="00DB1968" w:rsidRPr="006E2DBB" w:rsidRDefault="00DB1968" w:rsidP="006E2DBB">
      <w:pPr>
        <w:spacing w:line="360" w:lineRule="auto"/>
        <w:ind w:left="297" w:right="426"/>
        <w:rPr>
          <w:lang w:val="en-CA"/>
        </w:rPr>
      </w:pPr>
      <w:r w:rsidRPr="006E2DBB">
        <w:t>By the end of 2021, amendments to the Criminal Code</w:t>
      </w:r>
      <w:r w:rsidRPr="006E2DBB">
        <w:rPr>
          <w:rStyle w:val="FootnoteReference"/>
        </w:rPr>
        <w:footnoteReference w:id="14"/>
      </w:r>
      <w:r w:rsidRPr="006E2DBB">
        <w:t xml:space="preserve"> came into force, substantially aggravat</w:t>
      </w:r>
      <w:r w:rsidR="006329AD">
        <w:t>ing</w:t>
      </w:r>
      <w:r w:rsidRPr="006E2DBB">
        <w:t xml:space="preserve"> the punishment for </w:t>
      </w:r>
      <w:r w:rsidR="006329AD">
        <w:t xml:space="preserve">the </w:t>
      </w:r>
      <w:r w:rsidRPr="006E2DBB">
        <w:t>illegal sale of drugs.</w:t>
      </w:r>
      <w:r w:rsidRPr="006E2DBB">
        <w:rPr>
          <w:rStyle w:val="FootnoteReference"/>
        </w:rPr>
        <w:footnoteReference w:id="15"/>
      </w:r>
      <w:r w:rsidRPr="006E2DBB">
        <w:t xml:space="preserve"> Also, </w:t>
      </w:r>
      <w:r w:rsidR="006329AD">
        <w:t xml:space="preserve">the </w:t>
      </w:r>
      <w:r w:rsidRPr="006E2DBB">
        <w:t xml:space="preserve">legislature introduced Section 7, which imposes an even stricter sanction on the sale of drugs </w:t>
      </w:r>
      <w:r w:rsidR="006329AD">
        <w:t>"</w:t>
      </w:r>
      <w:r w:rsidRPr="006E2DBB">
        <w:t>in large quantities</w:t>
      </w:r>
      <w:r w:rsidR="006329AD">
        <w:t>"</w:t>
      </w:r>
      <w:r w:rsidRPr="006E2DBB">
        <w:t xml:space="preserve"> and by an </w:t>
      </w:r>
      <w:r w:rsidR="006329AD">
        <w:t>"</w:t>
      </w:r>
      <w:r w:rsidRPr="006E2DBB">
        <w:t>organized group</w:t>
      </w:r>
      <w:r w:rsidR="006329AD">
        <w:t>."</w:t>
      </w:r>
      <w:r w:rsidRPr="006E2DBB">
        <w:t xml:space="preserve"> Amendments to Article 261 of the Criminal Code made </w:t>
      </w:r>
      <w:r w:rsidR="006329AD">
        <w:t>selling</w:t>
      </w:r>
      <w:r w:rsidRPr="006E2DBB">
        <w:t xml:space="preserve"> psychotropic substances, their analogs</w:t>
      </w:r>
      <w:r w:rsidR="006329AD">
        <w:t>,</w:t>
      </w:r>
      <w:r w:rsidRPr="006E2DBB">
        <w:t xml:space="preserve"> or potent substances a separate crime. The sale was separated from the illicit manufacture, production, purchase, storage, transfer</w:t>
      </w:r>
      <w:r w:rsidR="006329AD">
        <w:t>,</w:t>
      </w:r>
      <w:r w:rsidRPr="006E2DBB">
        <w:t xml:space="preserve"> and shipment of the same substance. On the one hand, that was a positive development, as the separation of storage and sale was established</w:t>
      </w:r>
      <w:r w:rsidR="00935D1B" w:rsidRPr="006E2DBB">
        <w:t>. At the same time</w:t>
      </w:r>
      <w:r w:rsidR="006329AD">
        <w:t>,</w:t>
      </w:r>
      <w:r w:rsidR="00935D1B" w:rsidRPr="006E2DBB">
        <w:t xml:space="preserve"> the prescribed punishments</w:t>
      </w:r>
      <w:r w:rsidRPr="006E2DBB">
        <w:t xml:space="preserve"> for these </w:t>
      </w:r>
      <w:r w:rsidRPr="006E2DBB">
        <w:lastRenderedPageBreak/>
        <w:t>crimes doubled, which made the current drug policy even more repressive.</w:t>
      </w:r>
      <w:r w:rsidRPr="006E2DBB">
        <w:rPr>
          <w:rStyle w:val="FootnoteReference"/>
        </w:rPr>
        <w:footnoteReference w:id="16"/>
      </w:r>
      <w:r w:rsidRPr="006E2DBB">
        <w:rPr>
          <w:lang w:val="ka-GE"/>
        </w:rPr>
        <w:t xml:space="preserve"> </w:t>
      </w:r>
      <w:r w:rsidR="00F40630" w:rsidRPr="006E2DBB">
        <w:rPr>
          <w:lang w:val="en-CA"/>
        </w:rPr>
        <w:t>The new amendments brought</w:t>
      </w:r>
      <w:r w:rsidR="00935D1B" w:rsidRPr="006E2DBB">
        <w:rPr>
          <w:lang w:val="en-CA"/>
        </w:rPr>
        <w:t xml:space="preserve"> significant risks of the misuse of power by law enforcement officers against the most vulnerable people who use drugs because there is a very thin line between offen</w:t>
      </w:r>
      <w:r w:rsidR="006329AD">
        <w:rPr>
          <w:lang w:val="en-CA"/>
        </w:rPr>
        <w:t>s</w:t>
      </w:r>
      <w:r w:rsidR="00935D1B" w:rsidRPr="006E2DBB">
        <w:rPr>
          <w:lang w:val="en-CA"/>
        </w:rPr>
        <w:t>es of possession and the offen</w:t>
      </w:r>
      <w:r w:rsidR="006329AD">
        <w:rPr>
          <w:lang w:val="en-CA"/>
        </w:rPr>
        <w:t>s</w:t>
      </w:r>
      <w:r w:rsidR="00935D1B" w:rsidRPr="006E2DBB">
        <w:rPr>
          <w:lang w:val="en-CA"/>
        </w:rPr>
        <w:t xml:space="preserve">es of distribution. Much remains within the discretion of a police officer </w:t>
      </w:r>
      <w:r w:rsidR="006329AD">
        <w:rPr>
          <w:lang w:val="en-CA"/>
        </w:rPr>
        <w:t xml:space="preserve">on </w:t>
      </w:r>
      <w:r w:rsidR="00935D1B" w:rsidRPr="006E2DBB">
        <w:rPr>
          <w:lang w:val="en-CA"/>
        </w:rPr>
        <w:t xml:space="preserve">how to categorize a particular activity – as a crime of possession or as a crime of distribution. </w:t>
      </w:r>
    </w:p>
    <w:p w14:paraId="3E04DAA6" w14:textId="77777777" w:rsidR="00B104E0" w:rsidRPr="006E2DBB" w:rsidRDefault="00B104E0" w:rsidP="006E2DBB">
      <w:pPr>
        <w:spacing w:line="360" w:lineRule="auto"/>
        <w:ind w:left="297" w:right="426"/>
        <w:rPr>
          <w:rFonts w:eastAsia="Sylfaen"/>
        </w:rPr>
      </w:pPr>
    </w:p>
    <w:p w14:paraId="1D4D11F3" w14:textId="4AC4DE64" w:rsidR="00BF6E40" w:rsidRPr="008B64C5" w:rsidRDefault="00BF6E40" w:rsidP="008B64C5">
      <w:pPr>
        <w:pStyle w:val="Heading1"/>
        <w:rPr>
          <w:b/>
          <w:sz w:val="24"/>
          <w:szCs w:val="24"/>
        </w:rPr>
      </w:pPr>
      <w:bookmarkStart w:id="7" w:name="_Toc123799388"/>
      <w:r w:rsidRPr="008B64C5">
        <w:rPr>
          <w:b/>
          <w:sz w:val="24"/>
          <w:szCs w:val="24"/>
        </w:rPr>
        <w:t>Stigma induced by repressive drug policy and other barriers in the access to evidence-based drug dependence treatment</w:t>
      </w:r>
      <w:bookmarkEnd w:id="7"/>
    </w:p>
    <w:p w14:paraId="7B5FF70D" w14:textId="63EE2A4C" w:rsidR="0081548A" w:rsidRPr="006E2DBB" w:rsidRDefault="0081548A" w:rsidP="007955A1">
      <w:pPr>
        <w:spacing w:line="360" w:lineRule="auto"/>
        <w:ind w:left="284"/>
      </w:pPr>
      <w:r w:rsidRPr="006E2DBB">
        <w:t xml:space="preserve">Opioid substitution therapy is one of the </w:t>
      </w:r>
      <w:r w:rsidR="006329AD">
        <w:t>critical</w:t>
      </w:r>
      <w:r w:rsidRPr="006E2DBB">
        <w:t xml:space="preserve"> elements of HIV prevention among people who inject drugs.</w:t>
      </w:r>
      <w:r w:rsidRPr="006E2DBB">
        <w:rPr>
          <w:rStyle w:val="FootnoteReference"/>
        </w:rPr>
        <w:footnoteReference w:id="17"/>
      </w:r>
      <w:r w:rsidRPr="006E2DBB">
        <w:t xml:space="preserve"> </w:t>
      </w:r>
      <w:r w:rsidR="006329AD">
        <w:t>A s</w:t>
      </w:r>
      <w:r w:rsidR="006E31D9" w:rsidRPr="006E2DBB">
        <w:t xml:space="preserve">urvey of Client Satisfaction with </w:t>
      </w:r>
      <w:r w:rsidR="006329AD">
        <w:t xml:space="preserve">the </w:t>
      </w:r>
      <w:r w:rsidR="006E31D9" w:rsidRPr="006E2DBB">
        <w:t>Opioid Substitution Program in Western Georgia shows that o</w:t>
      </w:r>
      <w:r w:rsidR="009210C3" w:rsidRPr="006E2DBB">
        <w:t>ne-third of the respondents</w:t>
      </w:r>
      <w:r w:rsidR="001D1D81" w:rsidRPr="006E2DBB">
        <w:t xml:space="preserve"> (no 685)</w:t>
      </w:r>
      <w:r w:rsidR="009210C3" w:rsidRPr="006E2DBB">
        <w:t xml:space="preserve"> stated that they had been in a detention facility, including temporary detention, for which the median number of months spent in the detention facility was 36 months. This situation is an indicator of a punishment-oriented drug policy.</w:t>
      </w:r>
      <w:r w:rsidR="009210C3" w:rsidRPr="006E2DBB">
        <w:rPr>
          <w:rStyle w:val="FootnoteReference"/>
        </w:rPr>
        <w:footnoteReference w:id="18"/>
      </w:r>
      <w:r w:rsidR="006E31D9" w:rsidRPr="006E2DBB">
        <w:t xml:space="preserve"> It also demonstrates the </w:t>
      </w:r>
      <w:r w:rsidR="006329AD">
        <w:t>vital</w:t>
      </w:r>
      <w:r w:rsidR="006E31D9" w:rsidRPr="006E2DBB">
        <w:t xml:space="preserve"> role drug enforcement plays in the life of </w:t>
      </w:r>
      <w:r w:rsidR="000D2E6D" w:rsidRPr="006E2DBB">
        <w:t>clients of OST</w:t>
      </w:r>
      <w:r w:rsidR="006E31D9" w:rsidRPr="006E2DBB">
        <w:t>.</w:t>
      </w:r>
    </w:p>
    <w:p w14:paraId="773274F4" w14:textId="750F0A87" w:rsidR="00EC2422" w:rsidRPr="006E2DBB" w:rsidRDefault="000D2E6D" w:rsidP="007955A1">
      <w:pPr>
        <w:spacing w:line="360" w:lineRule="auto"/>
        <w:ind w:left="284" w:right="426"/>
        <w:rPr>
          <w:b/>
          <w:i/>
        </w:rPr>
      </w:pPr>
      <w:r w:rsidRPr="006E2DBB">
        <w:t xml:space="preserve">At the same time, drug enforcement is not the only barrier for OST clients to access treatment. </w:t>
      </w:r>
      <w:r w:rsidR="006E2DBB" w:rsidRPr="006E2DBB">
        <w:t xml:space="preserve">Data from </w:t>
      </w:r>
      <w:r w:rsidR="006329AD">
        <w:t>the REACT project suggest that most documented human rights violations against people who use drugs relate to barriers to essential health services, such</w:t>
      </w:r>
      <w:r w:rsidR="006E2DBB" w:rsidRPr="006E2DBB">
        <w:rPr>
          <w:rFonts w:eastAsia="Sylfaen"/>
          <w:lang w:val="en-GB"/>
        </w:rPr>
        <w:t xml:space="preserve"> as stigma, discrimination, and the lack of documents and health insurance.</w:t>
      </w:r>
      <w:r w:rsidR="006E2DBB" w:rsidRPr="006E2DBB">
        <w:rPr>
          <w:rStyle w:val="FootnoteReference"/>
          <w:rFonts w:eastAsia="Sylfaen"/>
          <w:lang w:val="en-GB"/>
        </w:rPr>
        <w:footnoteReference w:id="19"/>
      </w:r>
      <w:r w:rsidR="006E2DBB" w:rsidRPr="006E2DBB">
        <w:rPr>
          <w:rFonts w:eastAsia="Sylfaen"/>
          <w:lang w:val="en-GB"/>
        </w:rPr>
        <w:t xml:space="preserve">  </w:t>
      </w:r>
      <w:r w:rsidRPr="006E2DBB">
        <w:t xml:space="preserve">Data from </w:t>
      </w:r>
      <w:r w:rsidR="006329AD">
        <w:t xml:space="preserve">the </w:t>
      </w:r>
      <w:r w:rsidRPr="006E2DBB">
        <w:t>Tiberius project shows s</w:t>
      </w:r>
      <w:r w:rsidR="008E33AD" w:rsidRPr="006E2DBB">
        <w:t>eventy-five cases concern</w:t>
      </w:r>
      <w:r w:rsidRPr="006E2DBB">
        <w:t>ing</w:t>
      </w:r>
      <w:r w:rsidR="008E33AD" w:rsidRPr="006E2DBB">
        <w:t xml:space="preserve"> barriers to accessing OST, such as the lack of information about OST and substandard service because of poor doctors' qualifications, including seven cases of overdose</w:t>
      </w:r>
      <w:r w:rsidR="008E33AD" w:rsidRPr="006E2DBB">
        <w:rPr>
          <w:lang w:val="en-CA"/>
        </w:rPr>
        <w:t xml:space="preserve">. In nine cases, the substandard service resulted from conflicts between clients and the administration of the OST site. Health practitioners exercised retaliatory attitudes and discrimination against activists, including </w:t>
      </w:r>
      <w:r w:rsidR="008E33AD" w:rsidRPr="006E2DBB">
        <w:rPr>
          <w:lang w:val="en-CA"/>
        </w:rPr>
        <w:lastRenderedPageBreak/>
        <w:t>some clients' abrupt termination of OST</w:t>
      </w:r>
      <w:r w:rsidRPr="006E2DBB">
        <w:rPr>
          <w:lang w:val="en-CA"/>
        </w:rPr>
        <w:t xml:space="preserve"> after a rapid detox</w:t>
      </w:r>
      <w:r w:rsidR="006329AD">
        <w:rPr>
          <w:lang w:val="en-CA"/>
        </w:rPr>
        <w:t>, which</w:t>
      </w:r>
      <w:r w:rsidR="00BF6E40" w:rsidRPr="006E2DBB">
        <w:rPr>
          <w:lang w:val="en-CA"/>
        </w:rPr>
        <w:t xml:space="preserve"> </w:t>
      </w:r>
      <w:r w:rsidR="00BF6E40" w:rsidRPr="006E2DBB">
        <w:rPr>
          <w:color w:val="222222"/>
        </w:rPr>
        <w:t xml:space="preserve">provoked a suicide attempt in at least one case. </w:t>
      </w:r>
      <w:r w:rsidRPr="006E2DBB">
        <w:t>Waiting times and limitations in space for new clients is also an obstacle for opioid drug users to access OST.</w:t>
      </w:r>
      <w:r w:rsidRPr="006E2DBB">
        <w:rPr>
          <w:b/>
          <w:i/>
        </w:rPr>
        <w:t xml:space="preserve"> </w:t>
      </w:r>
    </w:p>
    <w:p w14:paraId="6D4B1D00" w14:textId="5D13DFA4" w:rsidR="00BF6E40" w:rsidRPr="006E2DBB" w:rsidRDefault="00BF6E40" w:rsidP="007955A1">
      <w:pPr>
        <w:spacing w:line="360" w:lineRule="auto"/>
        <w:ind w:left="284"/>
      </w:pPr>
      <w:r w:rsidRPr="006E2DBB">
        <w:t xml:space="preserve">One possible explanation for the poor quality of OST treatment is the high stigma promoted by the state via repressive drug policy focused on people who use drugs. </w:t>
      </w:r>
    </w:p>
    <w:p w14:paraId="6B42DBE3" w14:textId="77777777" w:rsidR="00BF6E40" w:rsidRPr="006E2DBB" w:rsidRDefault="00BF6E40" w:rsidP="007955A1">
      <w:pPr>
        <w:spacing w:line="360" w:lineRule="auto"/>
        <w:ind w:left="284"/>
      </w:pPr>
    </w:p>
    <w:p w14:paraId="4C9F838A" w14:textId="3DA30148" w:rsidR="00BF6E40" w:rsidRPr="008B64C5" w:rsidRDefault="00BF6E40" w:rsidP="008B64C5">
      <w:pPr>
        <w:pStyle w:val="Heading1"/>
        <w:rPr>
          <w:b/>
          <w:sz w:val="24"/>
          <w:szCs w:val="24"/>
        </w:rPr>
      </w:pPr>
      <w:bookmarkStart w:id="8" w:name="_Toc123799389"/>
      <w:r w:rsidRPr="008B64C5">
        <w:rPr>
          <w:b/>
          <w:sz w:val="24"/>
          <w:szCs w:val="24"/>
        </w:rPr>
        <w:t>Gender blind application of criminal/administrative laws, including to pregnant women</w:t>
      </w:r>
      <w:bookmarkEnd w:id="8"/>
    </w:p>
    <w:p w14:paraId="2C9629BD" w14:textId="0006E21C" w:rsidR="00BC7356" w:rsidRPr="006E2DBB" w:rsidRDefault="00BC7356" w:rsidP="007955A1">
      <w:pPr>
        <w:spacing w:line="360" w:lineRule="auto"/>
        <w:ind w:left="284"/>
      </w:pPr>
      <w:r w:rsidRPr="006E2DBB">
        <w:t xml:space="preserve">Women with substance use disorders are one of </w:t>
      </w:r>
      <w:r w:rsidR="006329AD">
        <w:t>Georgia's most hidden and underserved populations</w:t>
      </w:r>
      <w:r w:rsidRPr="006E2DBB">
        <w:rPr>
          <w:rStyle w:val="FootnoteReference"/>
        </w:rPr>
        <w:footnoteReference w:id="20"/>
      </w:r>
      <w:r w:rsidRPr="006E2DBB">
        <w:t xml:space="preserve">. Women </w:t>
      </w:r>
      <w:r w:rsidR="006329AD">
        <w:t xml:space="preserve">who use </w:t>
      </w:r>
      <w:r w:rsidRPr="006E2DBB">
        <w:t xml:space="preserve">drugs </w:t>
      </w:r>
      <w:r w:rsidR="006329AD">
        <w:t>are</w:t>
      </w:r>
      <w:r w:rsidRPr="006E2DBB">
        <w:t xml:space="preserve"> vulnerable to gender-based violence and intersectional discrimination</w:t>
      </w:r>
      <w:r w:rsidR="006329AD">
        <w:t>. The discrimination is</w:t>
      </w:r>
      <w:r w:rsidRPr="006E2DBB">
        <w:t xml:space="preserve"> caused by repressive legislation related </w:t>
      </w:r>
      <w:r w:rsidR="006329AD">
        <w:t>to drug use and societal stigmatization</w:t>
      </w:r>
      <w:r w:rsidRPr="006E2DBB">
        <w:t>.</w:t>
      </w:r>
    </w:p>
    <w:p w14:paraId="17CC05D0" w14:textId="55140D67" w:rsidR="00BC7356" w:rsidRPr="006E2DBB" w:rsidRDefault="00BC7356" w:rsidP="007955A1">
      <w:pPr>
        <w:spacing w:line="360" w:lineRule="auto"/>
        <w:ind w:left="284"/>
      </w:pPr>
      <w:r w:rsidRPr="006E2DBB">
        <w:t>Criminal liability for drug use and repressive drug policies prevent women who use drugs from reporting domestic and gender-based violence because they fear that their drug use practices w</w:t>
      </w:r>
      <w:r w:rsidR="006329AD">
        <w:t>ill</w:t>
      </w:r>
      <w:r w:rsidRPr="006E2DBB">
        <w:t xml:space="preserve"> be exposed and they w</w:t>
      </w:r>
      <w:r w:rsidR="006329AD">
        <w:t>ill</w:t>
      </w:r>
      <w:r w:rsidRPr="006E2DBB">
        <w:t xml:space="preserve"> be prosecuted. In addition, disclosure of the fact of drug use may result in deprivation of parental rights. Women using drugs also report cases of physical and psychological violence, coercion, and sexual assault by law enforcement officers, for which, according to the women, no one is held responsible.</w:t>
      </w:r>
      <w:r w:rsidRPr="006E2DBB">
        <w:rPr>
          <w:rStyle w:val="FootnoteReference"/>
        </w:rPr>
        <w:footnoteReference w:id="21"/>
      </w:r>
    </w:p>
    <w:p w14:paraId="33EC46BA" w14:textId="7D946F5A" w:rsidR="008713F1" w:rsidRPr="006E2DBB" w:rsidRDefault="008713F1" w:rsidP="007955A1">
      <w:pPr>
        <w:spacing w:line="360" w:lineRule="auto"/>
        <w:ind w:left="284"/>
        <w:rPr>
          <w:i/>
        </w:rPr>
      </w:pPr>
      <w:r w:rsidRPr="006E2DBB">
        <w:rPr>
          <w:i/>
        </w:rPr>
        <w:t xml:space="preserve">There is no OST program in women's </w:t>
      </w:r>
      <w:r w:rsidR="00BF6E40" w:rsidRPr="006E2DBB">
        <w:rPr>
          <w:i/>
        </w:rPr>
        <w:t xml:space="preserve">detention </w:t>
      </w:r>
      <w:r w:rsidRPr="006E2DBB">
        <w:rPr>
          <w:i/>
        </w:rPr>
        <w:t>facilities, making it difficult for pre-arrest OST beneficiaries to receive even methadone-assisted detox treatment in prison. Women are taken to the Gldani Prison for daily methadone treatment</w:t>
      </w:r>
      <w:r w:rsidRPr="006E2DBB">
        <w:rPr>
          <w:rStyle w:val="FootnoteReference"/>
          <w:i/>
        </w:rPr>
        <w:footnoteReference w:id="22"/>
      </w:r>
    </w:p>
    <w:p w14:paraId="26716E38" w14:textId="507EBE52" w:rsidR="006E2DBB" w:rsidRPr="006E2DBB" w:rsidRDefault="006E2DBB" w:rsidP="007955A1">
      <w:pPr>
        <w:spacing w:line="360" w:lineRule="auto"/>
        <w:ind w:left="284"/>
        <w:rPr>
          <w:rStyle w:val="None"/>
          <w:rFonts w:eastAsia="Arial Unicode MS"/>
          <w:iCs/>
          <w:color w:val="000000"/>
          <w:u w:color="000000"/>
          <w:bdr w:val="nil"/>
        </w:rPr>
      </w:pPr>
      <w:r w:rsidRPr="006E2DBB">
        <w:rPr>
          <w:rStyle w:val="None"/>
          <w:rFonts w:eastAsia="Arial Unicode MS"/>
          <w:iCs/>
          <w:color w:val="000000"/>
          <w:u w:color="000000"/>
          <w:bdr w:val="nil"/>
        </w:rPr>
        <w:t xml:space="preserve">Also, </w:t>
      </w:r>
      <w:r w:rsidR="006329AD">
        <w:rPr>
          <w:rStyle w:val="None"/>
          <w:rFonts w:eastAsia="Arial Unicode MS"/>
          <w:iCs/>
          <w:color w:val="000000"/>
          <w:u w:color="000000"/>
          <w:bdr w:val="nil"/>
        </w:rPr>
        <w:t xml:space="preserve">the </w:t>
      </w:r>
      <w:r w:rsidRPr="006E2DBB">
        <w:rPr>
          <w:rStyle w:val="None"/>
          <w:rFonts w:eastAsia="Arial Unicode MS"/>
          <w:iCs/>
          <w:color w:val="000000"/>
          <w:u w:color="000000"/>
          <w:bdr w:val="nil"/>
        </w:rPr>
        <w:t xml:space="preserve">penitentiary system's </w:t>
      </w:r>
      <w:r w:rsidRPr="006E2DBB">
        <w:t>OST</w:t>
      </w:r>
      <w:r w:rsidRPr="006E2DBB">
        <w:rPr>
          <w:rStyle w:val="None"/>
          <w:rFonts w:eastAsia="Arial Unicode MS"/>
          <w:iCs/>
          <w:color w:val="000000"/>
          <w:u w:color="000000"/>
          <w:bdr w:val="nil"/>
        </w:rPr>
        <w:t xml:space="preserve"> infrastructure and security procedures are mainly designed for male prisoners and do not </w:t>
      </w:r>
      <w:r w:rsidR="006329AD">
        <w:rPr>
          <w:rStyle w:val="None"/>
          <w:rFonts w:eastAsia="Arial Unicode MS"/>
          <w:iCs/>
          <w:color w:val="000000"/>
          <w:u w:color="000000"/>
          <w:bdr w:val="nil"/>
        </w:rPr>
        <w:t>consider</w:t>
      </w:r>
      <w:r w:rsidRPr="006E2DBB">
        <w:rPr>
          <w:rStyle w:val="None"/>
          <w:rFonts w:eastAsia="Arial Unicode MS"/>
          <w:iCs/>
          <w:color w:val="000000"/>
          <w:u w:color="000000"/>
          <w:bdr w:val="nil"/>
        </w:rPr>
        <w:t xml:space="preserve"> the specific requirements of female prisoners. A </w:t>
      </w:r>
      <w:r w:rsidR="006329AD">
        <w:rPr>
          <w:rStyle w:val="None"/>
          <w:rFonts w:eastAsia="Arial Unicode MS"/>
          <w:iCs/>
          <w:color w:val="000000"/>
          <w:u w:color="000000"/>
          <w:bdr w:val="nil"/>
        </w:rPr>
        <w:t>particular</w:t>
      </w:r>
      <w:r w:rsidRPr="006E2DBB">
        <w:rPr>
          <w:rStyle w:val="None"/>
          <w:rFonts w:eastAsia="Arial Unicode MS"/>
          <w:iCs/>
          <w:color w:val="000000"/>
          <w:u w:color="000000"/>
          <w:bdr w:val="nil"/>
        </w:rPr>
        <w:t xml:space="preserve"> </w:t>
      </w:r>
      <w:r w:rsidRPr="006E2DBB">
        <w:rPr>
          <w:rStyle w:val="None"/>
          <w:rFonts w:eastAsia="Arial Unicode MS"/>
          <w:iCs/>
          <w:color w:val="000000"/>
          <w:u w:color="000000"/>
          <w:bdr w:val="nil"/>
        </w:rPr>
        <w:lastRenderedPageBreak/>
        <w:t xml:space="preserve">emphasis should be placed on women's prisons and </w:t>
      </w:r>
      <w:r w:rsidR="006329AD">
        <w:rPr>
          <w:rStyle w:val="None"/>
          <w:rFonts w:eastAsia="Arial Unicode MS"/>
          <w:iCs/>
          <w:color w:val="000000"/>
          <w:u w:color="000000"/>
          <w:bdr w:val="nil"/>
        </w:rPr>
        <w:t>providing</w:t>
      </w:r>
      <w:r w:rsidRPr="006E2DBB">
        <w:rPr>
          <w:rStyle w:val="None"/>
          <w:rFonts w:eastAsia="Arial Unicode MS"/>
          <w:iCs/>
          <w:color w:val="000000"/>
          <w:u w:color="000000"/>
          <w:bdr w:val="nil"/>
        </w:rPr>
        <w:t xml:space="preserve"> OST services to female prisoners, equivalent to the services available in the civilian sector.</w:t>
      </w:r>
      <w:r w:rsidRPr="006E2DBB">
        <w:rPr>
          <w:rStyle w:val="FootnoteReference"/>
          <w:rFonts w:eastAsia="Arial Unicode MS"/>
          <w:iCs/>
          <w:color w:val="000000"/>
          <w:u w:color="000000"/>
          <w:bdr w:val="nil"/>
        </w:rPr>
        <w:footnoteReference w:id="23"/>
      </w:r>
    </w:p>
    <w:p w14:paraId="1AAF7CF2" w14:textId="77777777" w:rsidR="00934EAD" w:rsidRPr="006329AD" w:rsidRDefault="00934EAD" w:rsidP="006E2DBB">
      <w:pPr>
        <w:spacing w:line="360" w:lineRule="auto"/>
        <w:ind w:left="297" w:right="426"/>
        <w:rPr>
          <w:rFonts w:eastAsia="Sylfaen"/>
        </w:rPr>
      </w:pPr>
    </w:p>
    <w:p w14:paraId="5C40A23E" w14:textId="77777777" w:rsidR="0039389F" w:rsidRPr="008B64C5" w:rsidRDefault="0039389F" w:rsidP="008B64C5">
      <w:pPr>
        <w:pStyle w:val="Heading1"/>
        <w:rPr>
          <w:b/>
          <w:sz w:val="24"/>
          <w:szCs w:val="24"/>
          <w:lang w:eastAsia="ar-SA"/>
        </w:rPr>
      </w:pPr>
      <w:bookmarkStart w:id="9" w:name="_Toc123799390"/>
      <w:r w:rsidRPr="008B64C5">
        <w:rPr>
          <w:b/>
          <w:sz w:val="24"/>
          <w:szCs w:val="24"/>
          <w:lang w:eastAsia="ar-SA"/>
        </w:rPr>
        <w:t>Annex I. Information about the applicants</w:t>
      </w:r>
      <w:bookmarkEnd w:id="9"/>
    </w:p>
    <w:p w14:paraId="369CFBF7" w14:textId="29583159" w:rsidR="0039389F" w:rsidRPr="005E25F5" w:rsidRDefault="0039389F" w:rsidP="0039389F">
      <w:pPr>
        <w:suppressAutoHyphens/>
        <w:spacing w:line="240" w:lineRule="auto"/>
        <w:ind w:right="-7"/>
        <w:rPr>
          <w:rFonts w:eastAsia="Calibri"/>
          <w:sz w:val="20"/>
          <w:szCs w:val="20"/>
          <w:lang w:eastAsia="ar-SA"/>
        </w:rPr>
      </w:pPr>
      <w:r>
        <w:rPr>
          <w:sz w:val="20"/>
          <w:szCs w:val="20"/>
        </w:rPr>
        <w:t xml:space="preserve">The </w:t>
      </w:r>
      <w:r w:rsidRPr="00D14099">
        <w:rPr>
          <w:sz w:val="20"/>
          <w:szCs w:val="20"/>
        </w:rPr>
        <w:t>HIV Legal Network (</w:t>
      </w:r>
      <w:r w:rsidRPr="00EE2214">
        <w:rPr>
          <w:sz w:val="20"/>
          <w:szCs w:val="20"/>
        </w:rPr>
        <w:t>www.hivlegalnetwork.ca</w:t>
      </w:r>
      <w:r w:rsidRPr="00D14099">
        <w:rPr>
          <w:sz w:val="20"/>
          <w:szCs w:val="20"/>
        </w:rPr>
        <w:t>) promotes the human rights of people living with</w:t>
      </w:r>
      <w:r>
        <w:rPr>
          <w:sz w:val="20"/>
          <w:szCs w:val="20"/>
        </w:rPr>
        <w:t>, at risk of,</w:t>
      </w:r>
      <w:r w:rsidRPr="00D14099">
        <w:rPr>
          <w:sz w:val="20"/>
          <w:szCs w:val="20"/>
        </w:rPr>
        <w:t xml:space="preserve"> </w:t>
      </w:r>
      <w:r>
        <w:rPr>
          <w:sz w:val="20"/>
          <w:szCs w:val="20"/>
        </w:rPr>
        <w:t>or</w:t>
      </w:r>
      <w:r w:rsidRPr="00D14099">
        <w:rPr>
          <w:sz w:val="20"/>
          <w:szCs w:val="20"/>
        </w:rPr>
        <w:t xml:space="preserve"> </w:t>
      </w:r>
      <w:r>
        <w:rPr>
          <w:sz w:val="20"/>
          <w:szCs w:val="20"/>
        </w:rPr>
        <w:t>affected by</w:t>
      </w:r>
      <w:r w:rsidRPr="00D14099">
        <w:rPr>
          <w:sz w:val="20"/>
          <w:szCs w:val="20"/>
        </w:rPr>
        <w:t xml:space="preserve"> HIV</w:t>
      </w:r>
      <w:r>
        <w:rPr>
          <w:sz w:val="20"/>
          <w:szCs w:val="20"/>
        </w:rPr>
        <w:t xml:space="preserve"> or </w:t>
      </w:r>
      <w:r w:rsidRPr="00D14099">
        <w:rPr>
          <w:sz w:val="20"/>
          <w:szCs w:val="20"/>
        </w:rPr>
        <w:t>AIDS, in Canada and internationally through research and analysis, litigation</w:t>
      </w:r>
      <w:r>
        <w:rPr>
          <w:sz w:val="20"/>
          <w:szCs w:val="20"/>
        </w:rPr>
        <w:t xml:space="preserve"> and other advocacy</w:t>
      </w:r>
      <w:r w:rsidRPr="00D14099">
        <w:rPr>
          <w:sz w:val="20"/>
          <w:szCs w:val="20"/>
        </w:rPr>
        <w:t>, public education</w:t>
      </w:r>
      <w:r>
        <w:rPr>
          <w:sz w:val="20"/>
          <w:szCs w:val="20"/>
        </w:rPr>
        <w:t>,</w:t>
      </w:r>
      <w:r w:rsidRPr="00D14099">
        <w:rPr>
          <w:sz w:val="20"/>
          <w:szCs w:val="20"/>
        </w:rPr>
        <w:t xml:space="preserve"> and community mobilization.</w:t>
      </w:r>
      <w:r w:rsidRPr="005E25F5">
        <w:rPr>
          <w:rFonts w:eastAsia="Calibri"/>
          <w:sz w:val="20"/>
          <w:szCs w:val="20"/>
          <w:lang w:eastAsia="ar-SA"/>
        </w:rPr>
        <w:t xml:space="preserve"> </w:t>
      </w:r>
      <w:r>
        <w:rPr>
          <w:rFonts w:eastAsia="Calibri"/>
          <w:noProof/>
          <w:sz w:val="20"/>
          <w:szCs w:val="20"/>
          <w:lang w:val="en-CA" w:eastAsia="en-CA"/>
        </w:rPr>
        <w:drawing>
          <wp:anchor distT="0" distB="0" distL="114300" distR="114300" simplePos="0" relativeHeight="251660288" behindDoc="0" locked="0" layoutInCell="1" allowOverlap="1" wp14:anchorId="6F8C6A62" wp14:editId="78DA207E">
            <wp:simplePos x="0" y="0"/>
            <wp:positionH relativeFrom="column">
              <wp:posOffset>-635635</wp:posOffset>
            </wp:positionH>
            <wp:positionV relativeFrom="paragraph">
              <wp:posOffset>110490</wp:posOffset>
            </wp:positionV>
            <wp:extent cx="1515745" cy="851535"/>
            <wp:effectExtent l="0" t="0" r="8255" b="5715"/>
            <wp:wrapSquare wrapText="bothSides"/>
            <wp:docPr id="5" name="Picture 5" descr="page1image206963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descr="page1image20696351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5745" cy="851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7B0B99" w14:textId="77777777" w:rsidR="0039389F" w:rsidRDefault="0039389F" w:rsidP="0039389F">
      <w:pPr>
        <w:suppressAutoHyphens/>
        <w:spacing w:line="240" w:lineRule="auto"/>
        <w:ind w:left="1560" w:right="-357"/>
        <w:rPr>
          <w:rFonts w:eastAsia="Calibri"/>
          <w:i/>
          <w:sz w:val="20"/>
          <w:szCs w:val="20"/>
          <w:lang w:eastAsia="ar-SA"/>
        </w:rPr>
      </w:pPr>
      <w:r w:rsidRPr="005E25F5">
        <w:rPr>
          <w:rFonts w:eastAsia="Calibri"/>
          <w:i/>
          <w:sz w:val="20"/>
          <w:szCs w:val="20"/>
          <w:lang w:eastAsia="ar-SA"/>
        </w:rPr>
        <w:t xml:space="preserve">Address: 1240 Bay </w:t>
      </w:r>
      <w:r>
        <w:rPr>
          <w:rFonts w:eastAsia="Calibri"/>
          <w:i/>
          <w:sz w:val="20"/>
          <w:szCs w:val="20"/>
          <w:lang w:eastAsia="ar-SA"/>
        </w:rPr>
        <w:t>S</w:t>
      </w:r>
      <w:r w:rsidRPr="005E25F5">
        <w:rPr>
          <w:rFonts w:eastAsia="Calibri"/>
          <w:i/>
          <w:sz w:val="20"/>
          <w:szCs w:val="20"/>
          <w:lang w:eastAsia="ar-SA"/>
        </w:rPr>
        <w:t>treet, Suite 600, Toronto, Ontario, Canada, M5R 2A7 Tel: 1(416)595 1666; Fax: 1 (416) 595 0094</w:t>
      </w:r>
    </w:p>
    <w:p w14:paraId="6E78B064" w14:textId="77777777" w:rsidR="0039389F" w:rsidRDefault="0039389F" w:rsidP="0039389F">
      <w:pPr>
        <w:suppressAutoHyphens/>
        <w:spacing w:line="240" w:lineRule="auto"/>
        <w:ind w:left="1560" w:right="-357"/>
        <w:rPr>
          <w:rFonts w:eastAsia="Calibri"/>
          <w:i/>
          <w:sz w:val="20"/>
          <w:szCs w:val="20"/>
          <w:lang w:eastAsia="ar-SA"/>
        </w:rPr>
      </w:pPr>
      <w:r>
        <w:rPr>
          <w:rFonts w:eastAsia="Calibri"/>
          <w:i/>
          <w:sz w:val="20"/>
          <w:szCs w:val="20"/>
          <w:lang w:eastAsia="ar-SA"/>
        </w:rPr>
        <w:t>Person to contact: Mikhail Golichenko, email: mgolichenko@gmail.com</w:t>
      </w:r>
    </w:p>
    <w:p w14:paraId="2713D4EE" w14:textId="77777777" w:rsidR="0039389F" w:rsidRPr="005E25F5" w:rsidRDefault="0039389F" w:rsidP="0039389F">
      <w:pPr>
        <w:suppressAutoHyphens/>
        <w:spacing w:line="240" w:lineRule="auto"/>
        <w:ind w:left="1560"/>
        <w:rPr>
          <w:rFonts w:eastAsia="Calibri"/>
          <w:sz w:val="20"/>
          <w:szCs w:val="20"/>
          <w:lang w:eastAsia="ar-SA"/>
        </w:rPr>
      </w:pPr>
      <w:r w:rsidRPr="005E25F5">
        <w:rPr>
          <w:rFonts w:eastAsia="Calibri"/>
          <w:sz w:val="20"/>
          <w:szCs w:val="20"/>
          <w:lang w:eastAsia="ar-SA"/>
        </w:rPr>
        <w:t>Eurasian Harm Reduction Association (EHRA) (</w:t>
      </w:r>
      <w:hyperlink r:id="rId10">
        <w:r w:rsidRPr="005E25F5">
          <w:rPr>
            <w:rFonts w:eastAsia="Calibri"/>
            <w:color w:val="0000FF"/>
            <w:sz w:val="20"/>
            <w:szCs w:val="20"/>
            <w:u w:val="single"/>
            <w:lang w:eastAsia="ar-SA"/>
          </w:rPr>
          <w:t>http://harmreductioneurasia.org</w:t>
        </w:r>
      </w:hyperlink>
      <w:r w:rsidRPr="005E25F5">
        <w:rPr>
          <w:rFonts w:eastAsia="Calibri"/>
          <w:sz w:val="20"/>
          <w:szCs w:val="20"/>
          <w:lang w:eastAsia="ar-SA"/>
        </w:rPr>
        <w:t xml:space="preserve">) is a non-profit public organization, uniting 303 organizational and individual members from 29 countries of the Central and Eastern Europe and Central Asia region (CEECA) with a mission to support communities and civil societies to ensure the rights and freedoms, health, and well-being of people who use psychoactive substances. </w:t>
      </w:r>
      <w:r>
        <w:rPr>
          <w:rFonts w:eastAsia="Calibri"/>
          <w:noProof/>
          <w:sz w:val="20"/>
          <w:szCs w:val="20"/>
          <w:lang w:val="en-CA" w:eastAsia="en-CA"/>
        </w:rPr>
        <w:drawing>
          <wp:anchor distT="0" distB="0" distL="114300" distR="114300" simplePos="0" relativeHeight="251659264" behindDoc="0" locked="0" layoutInCell="1" allowOverlap="1" wp14:anchorId="631D7B61" wp14:editId="7D1330F2">
            <wp:simplePos x="0" y="0"/>
            <wp:positionH relativeFrom="column">
              <wp:posOffset>-534035</wp:posOffset>
            </wp:positionH>
            <wp:positionV relativeFrom="paragraph">
              <wp:posOffset>40005</wp:posOffset>
            </wp:positionV>
            <wp:extent cx="1341120" cy="523875"/>
            <wp:effectExtent l="0" t="0" r="0" b="9525"/>
            <wp:wrapSquare wrapText="bothSides"/>
            <wp:docPr id="4" name="Picture 4" descr="Изображение выглядит как рису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Изображение выглядит как рисунок&#10;&#10;Автоматически созданное описание"/>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1120"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DC77D1" w14:textId="77777777" w:rsidR="0039389F" w:rsidRDefault="0039389F" w:rsidP="0039389F">
      <w:pPr>
        <w:suppressAutoHyphens/>
        <w:spacing w:line="240" w:lineRule="auto"/>
        <w:rPr>
          <w:rFonts w:eastAsia="Calibri"/>
          <w:i/>
          <w:color w:val="000000"/>
          <w:sz w:val="20"/>
          <w:szCs w:val="20"/>
          <w:lang w:eastAsia="ar-SA"/>
        </w:rPr>
      </w:pPr>
      <w:r w:rsidRPr="005E25F5">
        <w:rPr>
          <w:rFonts w:eastAsia="Calibri"/>
          <w:sz w:val="20"/>
          <w:szCs w:val="20"/>
          <w:lang w:eastAsia="ar-SA"/>
        </w:rPr>
        <w:t xml:space="preserve">                            </w:t>
      </w:r>
      <w:r>
        <w:rPr>
          <w:rFonts w:eastAsia="Calibri"/>
          <w:sz w:val="20"/>
          <w:szCs w:val="20"/>
          <w:lang w:eastAsia="ar-SA"/>
        </w:rPr>
        <w:t xml:space="preserve">   </w:t>
      </w:r>
      <w:r w:rsidRPr="005E25F5">
        <w:rPr>
          <w:rFonts w:eastAsia="Calibri"/>
          <w:i/>
          <w:color w:val="000000"/>
          <w:sz w:val="20"/>
          <w:szCs w:val="20"/>
          <w:lang w:eastAsia="ar-SA"/>
        </w:rPr>
        <w:t>Address: Verkių g. 34B, office 701 LT – 04111, Vilnius, Lithuania</w:t>
      </w:r>
    </w:p>
    <w:p w14:paraId="2AED6019" w14:textId="0D726569" w:rsidR="0039389F" w:rsidRDefault="0039389F" w:rsidP="0039389F">
      <w:pPr>
        <w:suppressAutoHyphens/>
        <w:spacing w:line="240" w:lineRule="auto"/>
        <w:ind w:right="-357"/>
        <w:rPr>
          <w:rFonts w:eastAsia="Calibri"/>
          <w:i/>
          <w:sz w:val="20"/>
          <w:szCs w:val="20"/>
          <w:lang w:eastAsia="ar-SA"/>
        </w:rPr>
      </w:pPr>
      <w:r>
        <w:rPr>
          <w:rFonts w:eastAsia="Calibri"/>
          <w:i/>
          <w:sz w:val="20"/>
          <w:szCs w:val="20"/>
          <w:lang w:eastAsia="ar-SA"/>
        </w:rPr>
        <w:t xml:space="preserve">                               </w:t>
      </w:r>
      <w:r w:rsidRPr="005E25F5">
        <w:rPr>
          <w:rFonts w:eastAsia="Calibri"/>
          <w:i/>
          <w:sz w:val="20"/>
          <w:szCs w:val="20"/>
          <w:lang w:eastAsia="ar-SA"/>
        </w:rPr>
        <w:t xml:space="preserve">Person to contact: </w:t>
      </w:r>
      <w:r w:rsidR="00534590" w:rsidRPr="00534590">
        <w:rPr>
          <w:rFonts w:eastAsia="Calibri"/>
          <w:i/>
          <w:sz w:val="20"/>
          <w:szCs w:val="20"/>
          <w:lang w:eastAsia="ar-SA"/>
        </w:rPr>
        <w:t xml:space="preserve">Eliza Kurcevich, </w:t>
      </w:r>
      <w:r w:rsidR="00534590">
        <w:rPr>
          <w:rFonts w:eastAsia="Calibri"/>
          <w:i/>
          <w:sz w:val="20"/>
          <w:szCs w:val="20"/>
          <w:lang w:eastAsia="ar-SA"/>
        </w:rPr>
        <w:t>e</w:t>
      </w:r>
      <w:r w:rsidR="00534590" w:rsidRPr="00534590">
        <w:rPr>
          <w:rFonts w:eastAsia="Calibri"/>
          <w:i/>
          <w:sz w:val="20"/>
          <w:szCs w:val="20"/>
          <w:lang w:eastAsia="ar-SA"/>
        </w:rPr>
        <w:t>mail: eliza@harmreductioneurasia.org</w:t>
      </w:r>
    </w:p>
    <w:p w14:paraId="4C99D47F" w14:textId="77777777" w:rsidR="00534590" w:rsidRPr="005E25F5" w:rsidRDefault="00534590" w:rsidP="0039389F">
      <w:pPr>
        <w:suppressAutoHyphens/>
        <w:spacing w:line="240" w:lineRule="auto"/>
        <w:ind w:right="-357"/>
        <w:rPr>
          <w:rFonts w:eastAsia="Calibri"/>
          <w:i/>
          <w:sz w:val="20"/>
          <w:szCs w:val="20"/>
          <w:lang w:eastAsia="ar-SA"/>
        </w:rPr>
      </w:pPr>
    </w:p>
    <w:p w14:paraId="1EEAEB44" w14:textId="7E924BDD" w:rsidR="00424FF5" w:rsidRPr="00424FF5" w:rsidRDefault="00424FF5" w:rsidP="008B64C5">
      <w:pPr>
        <w:spacing w:line="360" w:lineRule="auto"/>
        <w:ind w:right="426"/>
        <w:rPr>
          <w:lang w:val="en-CA" w:eastAsia="en-CA"/>
        </w:rPr>
      </w:pPr>
      <w:bookmarkStart w:id="10" w:name="_Toc123799391"/>
      <w:r w:rsidRPr="008B64C5">
        <w:rPr>
          <w:rStyle w:val="Heading1Char"/>
          <w:b/>
          <w:sz w:val="24"/>
          <w:szCs w:val="24"/>
        </w:rPr>
        <w:t>Annex II</w:t>
      </w:r>
      <w:r w:rsidR="008B64C5" w:rsidRPr="008B64C5">
        <w:rPr>
          <w:rStyle w:val="Heading1Char"/>
          <w:b/>
          <w:sz w:val="24"/>
          <w:szCs w:val="24"/>
        </w:rPr>
        <w:t xml:space="preserve">. </w:t>
      </w:r>
      <w:r w:rsidRPr="008B64C5">
        <w:rPr>
          <w:rStyle w:val="Heading1Char"/>
          <w:b/>
          <w:sz w:val="24"/>
          <w:szCs w:val="24"/>
        </w:rPr>
        <w:t>Drug P</w:t>
      </w:r>
      <w:r w:rsidR="007955A1" w:rsidRPr="008B64C5">
        <w:rPr>
          <w:rStyle w:val="Heading1Char"/>
          <w:b/>
          <w:sz w:val="24"/>
          <w:szCs w:val="24"/>
        </w:rPr>
        <w:t>o</w:t>
      </w:r>
      <w:r w:rsidRPr="008B64C5">
        <w:rPr>
          <w:rStyle w:val="Heading1Char"/>
          <w:b/>
          <w:sz w:val="24"/>
          <w:szCs w:val="24"/>
        </w:rPr>
        <w:t>licy Recommendations Issued by the UN Human Rights Treaty Bodies concerning EECA Countries</w:t>
      </w:r>
      <w:bookmarkEnd w:id="10"/>
      <w:r w:rsidRPr="007955A1">
        <w:rPr>
          <w:rStyle w:val="FootnoteReference"/>
          <w:b/>
          <w:bCs/>
          <w:color w:val="000000"/>
          <w:lang w:val="en-CA" w:eastAsia="en-CA"/>
        </w:rPr>
        <w:footnoteReference w:id="24"/>
      </w:r>
    </w:p>
    <w:p w14:paraId="35505E9B" w14:textId="77777777" w:rsidR="00424FF5" w:rsidRPr="00424FF5" w:rsidRDefault="00424FF5" w:rsidP="00424FF5">
      <w:pPr>
        <w:spacing w:before="0" w:after="0" w:line="240" w:lineRule="auto"/>
        <w:jc w:val="left"/>
        <w:rPr>
          <w:lang w:val="en-CA" w:eastAsia="en-CA"/>
        </w:rPr>
      </w:pPr>
    </w:p>
    <w:p w14:paraId="674A1E0C" w14:textId="77777777" w:rsidR="00424FF5" w:rsidRPr="00424FF5" w:rsidRDefault="00424FF5" w:rsidP="00424FF5">
      <w:pPr>
        <w:spacing w:before="0" w:after="0" w:line="240" w:lineRule="auto"/>
        <w:jc w:val="left"/>
        <w:rPr>
          <w:lang w:val="en-CA" w:eastAsia="en-CA"/>
        </w:rPr>
      </w:pPr>
      <w:r w:rsidRPr="00424FF5">
        <w:rPr>
          <w:b/>
          <w:bCs/>
          <w:color w:val="000000"/>
          <w:lang w:val="en-CA" w:eastAsia="en-CA"/>
        </w:rPr>
        <w:t>Human Rights Committee</w:t>
      </w:r>
    </w:p>
    <w:p w14:paraId="216FA5FA" w14:textId="77777777" w:rsidR="00424FF5" w:rsidRPr="00424FF5" w:rsidRDefault="00424FF5" w:rsidP="00424FF5">
      <w:pPr>
        <w:spacing w:before="0" w:after="0" w:line="240" w:lineRule="auto"/>
        <w:jc w:val="left"/>
        <w:rPr>
          <w:lang w:val="en-CA" w:eastAsia="en-CA"/>
        </w:rPr>
      </w:pPr>
      <w:r w:rsidRPr="00424FF5">
        <w:rPr>
          <w:lang w:val="en-CA" w:eastAsia="en-CA"/>
        </w:rPr>
        <w:br/>
      </w:r>
    </w:p>
    <w:p w14:paraId="533F25B6" w14:textId="77777777" w:rsidR="00424FF5" w:rsidRPr="00424FF5" w:rsidRDefault="00424FF5" w:rsidP="00815894">
      <w:pPr>
        <w:numPr>
          <w:ilvl w:val="0"/>
          <w:numId w:val="2"/>
        </w:numPr>
        <w:tabs>
          <w:tab w:val="clear" w:pos="720"/>
          <w:tab w:val="left" w:pos="709"/>
        </w:tabs>
        <w:spacing w:before="0" w:after="0" w:line="240" w:lineRule="auto"/>
        <w:ind w:hanging="294"/>
        <w:jc w:val="left"/>
        <w:textAlignment w:val="baseline"/>
        <w:rPr>
          <w:color w:val="000000"/>
          <w:lang w:val="en-CA" w:eastAsia="en-CA"/>
        </w:rPr>
      </w:pPr>
      <w:r w:rsidRPr="00424FF5">
        <w:rPr>
          <w:color w:val="000000"/>
          <w:lang w:val="en-CA" w:eastAsia="en-CA"/>
        </w:rPr>
        <w:t xml:space="preserve">Concluding observations on the seventh periodic report of the Russian Federation. Human Rights Committee. CCPR/C/RUS/CO/7. 28 April 2015. Paras 16-17. Online: </w:t>
      </w:r>
      <w:hyperlink r:id="rId12" w:history="1">
        <w:r w:rsidRPr="00424FF5">
          <w:rPr>
            <w:color w:val="1155CC"/>
            <w:u w:val="single"/>
            <w:lang w:val="en-CA" w:eastAsia="en-CA"/>
          </w:rPr>
          <w:t>https://tbinternet.ohchr.org/_layouts/15/treatybodyexternal/Download.aspx?symbolno=CCPR%2FC%2FRUS%2FCO%2F7&amp;Lang=en</w:t>
        </w:r>
      </w:hyperlink>
      <w:r w:rsidRPr="00424FF5">
        <w:rPr>
          <w:color w:val="000000"/>
          <w:lang w:val="en-CA" w:eastAsia="en-CA"/>
        </w:rPr>
        <w:t> </w:t>
      </w:r>
    </w:p>
    <w:p w14:paraId="3896924E" w14:textId="77777777" w:rsidR="00424FF5" w:rsidRPr="00424FF5" w:rsidRDefault="00424FF5" w:rsidP="00424FF5">
      <w:pPr>
        <w:tabs>
          <w:tab w:val="left" w:pos="709"/>
        </w:tabs>
        <w:spacing w:before="0" w:after="0" w:line="240" w:lineRule="auto"/>
        <w:ind w:hanging="294"/>
        <w:jc w:val="left"/>
        <w:rPr>
          <w:lang w:val="en-CA" w:eastAsia="en-CA"/>
        </w:rPr>
      </w:pPr>
    </w:p>
    <w:p w14:paraId="0377965A" w14:textId="77777777" w:rsidR="00424FF5" w:rsidRPr="00424FF5" w:rsidRDefault="00424FF5" w:rsidP="00424FF5">
      <w:pPr>
        <w:tabs>
          <w:tab w:val="left" w:pos="709"/>
        </w:tabs>
        <w:spacing w:before="0" w:after="0" w:line="240" w:lineRule="auto"/>
        <w:ind w:hanging="294"/>
        <w:jc w:val="left"/>
        <w:rPr>
          <w:lang w:val="en-CA" w:eastAsia="en-CA"/>
        </w:rPr>
      </w:pPr>
      <w:r w:rsidRPr="00424FF5">
        <w:rPr>
          <w:b/>
          <w:bCs/>
          <w:color w:val="000000"/>
          <w:lang w:val="en-CA" w:eastAsia="en-CA"/>
        </w:rPr>
        <w:t>Committee on Economic, Social and Cultural Rights</w:t>
      </w:r>
    </w:p>
    <w:p w14:paraId="1DCFB045" w14:textId="77777777" w:rsidR="00424FF5" w:rsidRPr="00424FF5" w:rsidRDefault="00424FF5" w:rsidP="00424FF5">
      <w:pPr>
        <w:tabs>
          <w:tab w:val="left" w:pos="709"/>
        </w:tabs>
        <w:spacing w:before="0" w:after="0" w:line="240" w:lineRule="auto"/>
        <w:ind w:hanging="294"/>
        <w:jc w:val="left"/>
        <w:rPr>
          <w:lang w:val="en-CA" w:eastAsia="en-CA"/>
        </w:rPr>
      </w:pPr>
      <w:r w:rsidRPr="00424FF5">
        <w:rPr>
          <w:lang w:val="en-CA" w:eastAsia="en-CA"/>
        </w:rPr>
        <w:br/>
      </w:r>
    </w:p>
    <w:p w14:paraId="43AA1C09" w14:textId="77777777" w:rsidR="00424FF5" w:rsidRPr="00424FF5" w:rsidRDefault="00424FF5" w:rsidP="00815894">
      <w:pPr>
        <w:numPr>
          <w:ilvl w:val="0"/>
          <w:numId w:val="3"/>
        </w:numPr>
        <w:tabs>
          <w:tab w:val="clear" w:pos="720"/>
          <w:tab w:val="left" w:pos="851"/>
        </w:tabs>
        <w:spacing w:before="0" w:after="0" w:line="240" w:lineRule="auto"/>
        <w:ind w:hanging="294"/>
        <w:jc w:val="left"/>
        <w:textAlignment w:val="baseline"/>
        <w:rPr>
          <w:color w:val="000000"/>
          <w:lang w:val="en-CA" w:eastAsia="en-CA"/>
        </w:rPr>
      </w:pPr>
      <w:r w:rsidRPr="00424FF5">
        <w:rPr>
          <w:color w:val="000000"/>
          <w:lang w:val="en-CA" w:eastAsia="en-CA"/>
        </w:rPr>
        <w:t xml:space="preserve">Concluding observations on the third periodic report of Uzbekistan. Committee on Economic, Social and Cultural Rights. E/C.12/UZB/CO/3. 31 March 2022. Paras 52-53. Online: </w:t>
      </w:r>
      <w:hyperlink r:id="rId13" w:history="1">
        <w:r w:rsidRPr="00424FF5">
          <w:rPr>
            <w:color w:val="1155CC"/>
            <w:u w:val="single"/>
            <w:lang w:val="en-CA" w:eastAsia="en-CA"/>
          </w:rPr>
          <w:t>https://tbinternet.ohchr.org/_layouts/15/treatybodyexternal/Download.aspx?symbolno=E%2fC.12%2fUZB%2fCO%2f3&amp;Lang=en</w:t>
        </w:r>
      </w:hyperlink>
      <w:r w:rsidRPr="00424FF5">
        <w:rPr>
          <w:color w:val="000000"/>
          <w:lang w:val="en-CA" w:eastAsia="en-CA"/>
        </w:rPr>
        <w:t> </w:t>
      </w:r>
    </w:p>
    <w:p w14:paraId="70025E5B"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25EAC824" w14:textId="77777777" w:rsidR="00424FF5" w:rsidRPr="00424FF5" w:rsidRDefault="00424FF5" w:rsidP="00815894">
      <w:pPr>
        <w:numPr>
          <w:ilvl w:val="0"/>
          <w:numId w:val="4"/>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Concluding observations on the seventh periodic report of Belarus. Committee on Economic, Social and Cultural Rights. E/C.12/BLR/CO/7. 24 March 2022. Paras 37-38. Online: </w:t>
      </w:r>
      <w:hyperlink r:id="rId14" w:history="1">
        <w:r w:rsidRPr="00424FF5">
          <w:rPr>
            <w:color w:val="1155CC"/>
            <w:u w:val="single"/>
            <w:lang w:val="en-CA" w:eastAsia="en-CA"/>
          </w:rPr>
          <w:t>https://tbinternet.ohchr.org/_layouts/15/treatybodyexternal/Download.aspx?symbolno=E%2fC.12%2fBLR%2fCO%2f7&amp;Lang=en</w:t>
        </w:r>
      </w:hyperlink>
      <w:r w:rsidRPr="00424FF5">
        <w:rPr>
          <w:color w:val="000000"/>
          <w:lang w:val="en-CA" w:eastAsia="en-CA"/>
        </w:rPr>
        <w:t> </w:t>
      </w:r>
    </w:p>
    <w:p w14:paraId="3B0CC2F4"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739FD51E" w14:textId="77777777" w:rsidR="00424FF5" w:rsidRPr="00424FF5" w:rsidRDefault="00424FF5" w:rsidP="00815894">
      <w:pPr>
        <w:numPr>
          <w:ilvl w:val="0"/>
          <w:numId w:val="5"/>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Concluding observations on the seventh periodic report of Ukraine. Committee on Economic, Social and Cultural Rights. E/C.12/UKR/CO/7. 2 April 2020. Paras 42-43. Online: </w:t>
      </w:r>
      <w:hyperlink r:id="rId15" w:history="1">
        <w:r w:rsidRPr="00424FF5">
          <w:rPr>
            <w:color w:val="1155CC"/>
            <w:u w:val="single"/>
            <w:lang w:val="en-CA" w:eastAsia="en-CA"/>
          </w:rPr>
          <w:t>https://tbinternet.ohchr.org/_layouts/15/treatybodyexternal/Download.aspx?symbolno=E%2fC.12%2fUKR%2fCO%2f7&amp;Lang=en</w:t>
        </w:r>
      </w:hyperlink>
      <w:r w:rsidRPr="00424FF5">
        <w:rPr>
          <w:color w:val="000000"/>
          <w:lang w:val="en-CA" w:eastAsia="en-CA"/>
        </w:rPr>
        <w:t> </w:t>
      </w:r>
    </w:p>
    <w:p w14:paraId="55BFCEDE"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3A6FF4F0" w14:textId="77777777" w:rsidR="00424FF5" w:rsidRPr="00424FF5" w:rsidRDefault="00424FF5" w:rsidP="00815894">
      <w:pPr>
        <w:numPr>
          <w:ilvl w:val="0"/>
          <w:numId w:val="6"/>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Concluding observations on the third periodic report of Estonia. Committee on Economic, Social and Cultural Rights. E/C.12/EST/CO/3. 27 March 2019. Paras 44-45. Online: </w:t>
      </w:r>
      <w:hyperlink r:id="rId16" w:history="1">
        <w:r w:rsidRPr="00424FF5">
          <w:rPr>
            <w:color w:val="1155CC"/>
            <w:u w:val="single"/>
            <w:lang w:val="en-CA" w:eastAsia="en-CA"/>
          </w:rPr>
          <w:t>https://tbinternet.ohchr.org/_layouts/15/treatybodyexternal/Download.aspx?symbolno=E%2fC.12%2fEST%2fCO%2f3&amp;Lang=en</w:t>
        </w:r>
      </w:hyperlink>
      <w:r w:rsidRPr="00424FF5">
        <w:rPr>
          <w:color w:val="000000"/>
          <w:lang w:val="en-CA" w:eastAsia="en-CA"/>
        </w:rPr>
        <w:t> </w:t>
      </w:r>
    </w:p>
    <w:p w14:paraId="7414704E"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4F25475D" w14:textId="77777777" w:rsidR="00424FF5" w:rsidRPr="00424FF5" w:rsidRDefault="00424FF5" w:rsidP="00815894">
      <w:pPr>
        <w:numPr>
          <w:ilvl w:val="0"/>
          <w:numId w:val="7"/>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Concluding observations on the second periodic report of Kazakhstan. Committee on Economic, Social and Cultural Rights. E/C.12/KAZ/CO/2. 29 March 2019. Paras 46-47. Online: </w:t>
      </w:r>
    </w:p>
    <w:p w14:paraId="642F8B55" w14:textId="77777777" w:rsidR="00424FF5" w:rsidRPr="00424FF5" w:rsidRDefault="000B3B38" w:rsidP="00424FF5">
      <w:pPr>
        <w:tabs>
          <w:tab w:val="left" w:pos="851"/>
        </w:tabs>
        <w:spacing w:before="0" w:after="0" w:line="240" w:lineRule="auto"/>
        <w:ind w:left="720" w:hanging="294"/>
        <w:jc w:val="left"/>
        <w:rPr>
          <w:lang w:val="en-CA" w:eastAsia="en-CA"/>
        </w:rPr>
      </w:pPr>
      <w:hyperlink r:id="rId17" w:history="1">
        <w:r w:rsidR="00424FF5" w:rsidRPr="00424FF5">
          <w:rPr>
            <w:color w:val="1155CC"/>
            <w:u w:val="single"/>
            <w:lang w:val="en-CA" w:eastAsia="en-CA"/>
          </w:rPr>
          <w:t>https://tbinternet.ohchr.org/_layouts/15/treatybodyexternal/Download.aspx?symbolno=E%2fC.12%2fKAZ%2fCO%2f2&amp;Lang=en</w:t>
        </w:r>
      </w:hyperlink>
      <w:r w:rsidR="00424FF5" w:rsidRPr="00424FF5">
        <w:rPr>
          <w:color w:val="000000"/>
          <w:lang w:val="en-CA" w:eastAsia="en-CA"/>
        </w:rPr>
        <w:t> </w:t>
      </w:r>
    </w:p>
    <w:p w14:paraId="0F011FD6"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392F140F" w14:textId="77777777" w:rsidR="00424FF5" w:rsidRPr="00424FF5" w:rsidRDefault="00424FF5" w:rsidP="00815894">
      <w:pPr>
        <w:numPr>
          <w:ilvl w:val="0"/>
          <w:numId w:val="8"/>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Concluding observations on the sixth periodic report of the Russian Federation. Committee on Economic, Social and Cultural Rights. E/C.12/RUS/CO/6. 16 October 2017. Paras 51-51. Online: </w:t>
      </w:r>
      <w:hyperlink r:id="rId18" w:history="1">
        <w:r w:rsidRPr="00424FF5">
          <w:rPr>
            <w:color w:val="1155CC"/>
            <w:u w:val="single"/>
            <w:lang w:val="en-CA" w:eastAsia="en-CA"/>
          </w:rPr>
          <w:t>https://tbinternet.ohchr.org/_layouts/15/treatybodyexternal/Download.aspx?symbolno=E%2fC.12%2fRUS%2fCO%2f6&amp;Lang=en</w:t>
        </w:r>
      </w:hyperlink>
      <w:r w:rsidRPr="00424FF5">
        <w:rPr>
          <w:color w:val="000000"/>
          <w:lang w:val="en-CA" w:eastAsia="en-CA"/>
        </w:rPr>
        <w:t> </w:t>
      </w:r>
    </w:p>
    <w:p w14:paraId="5E214995"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3E10B391" w14:textId="77777777" w:rsidR="00424FF5" w:rsidRPr="00424FF5" w:rsidRDefault="00424FF5" w:rsidP="00815894">
      <w:pPr>
        <w:numPr>
          <w:ilvl w:val="0"/>
          <w:numId w:val="9"/>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Concluding observations on the combined second and third periodic reports of Kyrgyzstan. Committee on Economic, Social and Cultural Rights. 7 July 2015. Para 23. Online: </w:t>
      </w:r>
      <w:hyperlink r:id="rId19" w:history="1">
        <w:r w:rsidRPr="00424FF5">
          <w:rPr>
            <w:color w:val="1155CC"/>
            <w:u w:val="single"/>
            <w:lang w:val="en-CA" w:eastAsia="en-CA"/>
          </w:rPr>
          <w:t>https://tbinternet.ohchr.org/_layouts/15/treatybodyexternal/Download.aspx?symbolno=E%2fC.12%2fKGZ%2fCO%2f2-3&amp;Lang=en</w:t>
        </w:r>
      </w:hyperlink>
      <w:r w:rsidRPr="00424FF5">
        <w:rPr>
          <w:color w:val="000000"/>
          <w:lang w:val="en-CA" w:eastAsia="en-CA"/>
        </w:rPr>
        <w:t> </w:t>
      </w:r>
    </w:p>
    <w:p w14:paraId="21C5A4BC"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364D78B8" w14:textId="77777777" w:rsidR="00424FF5" w:rsidRPr="00424FF5" w:rsidRDefault="00424FF5" w:rsidP="00815894">
      <w:pPr>
        <w:numPr>
          <w:ilvl w:val="0"/>
          <w:numId w:val="10"/>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Concluding observations on the combined second and third periodic reports of Tajikistan. Committee on Economic, Social and Cultural Rights. E/C.12/TJK/CO/2-3. 25 March 2015. Paras 32-33. Online: </w:t>
      </w:r>
      <w:hyperlink r:id="rId20" w:history="1">
        <w:r w:rsidRPr="00424FF5">
          <w:rPr>
            <w:color w:val="1155CC"/>
            <w:u w:val="single"/>
            <w:lang w:val="en-CA" w:eastAsia="en-CA"/>
          </w:rPr>
          <w:t>https://tbinternet.ohchr.org/_layouts/15/treatybodyexternal/Download.aspx?symbolno=E%2fC.12%2fTJK%2fCO%2f2-3&amp;Lang=en</w:t>
        </w:r>
      </w:hyperlink>
      <w:r w:rsidRPr="00424FF5">
        <w:rPr>
          <w:color w:val="000000"/>
          <w:lang w:val="en-CA" w:eastAsia="en-CA"/>
        </w:rPr>
        <w:t> </w:t>
      </w:r>
    </w:p>
    <w:p w14:paraId="551CFC11"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53FEEE1E" w14:textId="77777777" w:rsidR="00424FF5" w:rsidRPr="00424FF5" w:rsidRDefault="00424FF5" w:rsidP="00815894">
      <w:pPr>
        <w:numPr>
          <w:ilvl w:val="0"/>
          <w:numId w:val="11"/>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Committee on Economic, Social and Cultural Rights Concluding observations on the sixth periodic report of Ukraine. E/C.12/UKR/CO/6. 13 June 2014. Para 24. Online: </w:t>
      </w:r>
      <w:hyperlink r:id="rId21" w:history="1">
        <w:r w:rsidRPr="00424FF5">
          <w:rPr>
            <w:color w:val="1155CC"/>
            <w:u w:val="single"/>
            <w:lang w:val="en-CA" w:eastAsia="en-CA"/>
          </w:rPr>
          <w:t>https://tbinternet.ohchr.org/_layouts/15/treatybodyexternal/Download.aspx?symbolno=E%2fC.12%2fUKR%2fCO%2f6&amp;Lang=en</w:t>
        </w:r>
      </w:hyperlink>
      <w:r w:rsidRPr="00424FF5">
        <w:rPr>
          <w:color w:val="000000"/>
          <w:lang w:val="en-CA" w:eastAsia="en-CA"/>
        </w:rPr>
        <w:t> </w:t>
      </w:r>
    </w:p>
    <w:p w14:paraId="7601DBD9"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405C03B3" w14:textId="77777777" w:rsidR="00424FF5" w:rsidRPr="00424FF5" w:rsidRDefault="00424FF5" w:rsidP="00815894">
      <w:pPr>
        <w:numPr>
          <w:ilvl w:val="0"/>
          <w:numId w:val="12"/>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Concluding observations of the Committee on Economic, Social and Cultural Rights. Russian Federation. E/C.12/RUS/CO/5. 1 June 2011. Paras  29. Online: </w:t>
      </w:r>
      <w:hyperlink r:id="rId22" w:history="1">
        <w:r w:rsidRPr="00424FF5">
          <w:rPr>
            <w:color w:val="1155CC"/>
            <w:u w:val="single"/>
            <w:lang w:val="en-CA" w:eastAsia="en-CA"/>
          </w:rPr>
          <w:t>https://tbinternet.ohchr.org/_layouts/15/treatybodyexternal/Download.aspx?symbolno=E%2fC.12%2fRUS%2fCO%2f5&amp;Lang=en</w:t>
        </w:r>
      </w:hyperlink>
      <w:r w:rsidRPr="00424FF5">
        <w:rPr>
          <w:color w:val="000000"/>
          <w:lang w:val="en-CA" w:eastAsia="en-CA"/>
        </w:rPr>
        <w:t> </w:t>
      </w:r>
    </w:p>
    <w:p w14:paraId="2506CB36" w14:textId="77777777" w:rsidR="00424FF5" w:rsidRPr="00424FF5" w:rsidRDefault="00424FF5" w:rsidP="00424FF5">
      <w:pPr>
        <w:tabs>
          <w:tab w:val="left" w:pos="851"/>
        </w:tabs>
        <w:spacing w:before="0" w:after="0" w:line="240" w:lineRule="auto"/>
        <w:ind w:left="720" w:hanging="294"/>
        <w:jc w:val="left"/>
        <w:rPr>
          <w:lang w:val="en-CA" w:eastAsia="en-CA"/>
        </w:rPr>
      </w:pPr>
      <w:r w:rsidRPr="00424FF5">
        <w:rPr>
          <w:lang w:val="en-CA" w:eastAsia="en-CA"/>
        </w:rPr>
        <w:br/>
      </w:r>
    </w:p>
    <w:p w14:paraId="10AEA0A6" w14:textId="77777777" w:rsidR="00424FF5" w:rsidRPr="00424FF5" w:rsidRDefault="00424FF5" w:rsidP="00815894">
      <w:pPr>
        <w:numPr>
          <w:ilvl w:val="0"/>
          <w:numId w:val="13"/>
        </w:numPr>
        <w:tabs>
          <w:tab w:val="left" w:pos="851"/>
        </w:tabs>
        <w:spacing w:before="0" w:after="0" w:line="240" w:lineRule="auto"/>
        <w:ind w:left="720" w:hanging="294"/>
        <w:jc w:val="left"/>
        <w:textAlignment w:val="baseline"/>
        <w:rPr>
          <w:color w:val="000000"/>
          <w:lang w:val="en-CA" w:eastAsia="en-CA"/>
        </w:rPr>
      </w:pPr>
      <w:r w:rsidRPr="00424FF5">
        <w:rPr>
          <w:color w:val="000000"/>
          <w:lang w:val="en-CA" w:eastAsia="en-CA"/>
        </w:rPr>
        <w:t xml:space="preserve">Concluding observations of the Committee on Economic, Social and Cultural Rights. Ukraine. E/C.12/UKR/CO/5. 4 January 2008. Paras 28,51. Online: </w:t>
      </w:r>
      <w:hyperlink r:id="rId23" w:history="1">
        <w:r w:rsidRPr="00424FF5">
          <w:rPr>
            <w:color w:val="1155CC"/>
            <w:u w:val="single"/>
            <w:lang w:val="en-CA" w:eastAsia="en-CA"/>
          </w:rPr>
          <w:t>https://tbinternet.ohchr.org/_layouts/15/treatybodyexternal/Download.aspx?symbolno=E%2fC.12%2fUKR%2fCO%2f5&amp;Lang=en</w:t>
        </w:r>
      </w:hyperlink>
      <w:r w:rsidRPr="00424FF5">
        <w:rPr>
          <w:color w:val="000000"/>
          <w:lang w:val="en-CA" w:eastAsia="en-CA"/>
        </w:rPr>
        <w:t> </w:t>
      </w:r>
    </w:p>
    <w:p w14:paraId="1655C577" w14:textId="77777777" w:rsidR="00424FF5" w:rsidRPr="00424FF5" w:rsidRDefault="00424FF5" w:rsidP="00424FF5">
      <w:pPr>
        <w:tabs>
          <w:tab w:val="left" w:pos="709"/>
        </w:tabs>
        <w:spacing w:before="0" w:after="0" w:line="240" w:lineRule="auto"/>
        <w:ind w:hanging="294"/>
        <w:jc w:val="left"/>
        <w:rPr>
          <w:lang w:val="en-CA" w:eastAsia="en-CA"/>
        </w:rPr>
      </w:pPr>
    </w:p>
    <w:p w14:paraId="738532CE" w14:textId="77777777" w:rsidR="00424FF5" w:rsidRPr="00424FF5" w:rsidRDefault="00424FF5" w:rsidP="00424FF5">
      <w:pPr>
        <w:tabs>
          <w:tab w:val="left" w:pos="709"/>
        </w:tabs>
        <w:spacing w:before="0" w:after="0" w:line="240" w:lineRule="auto"/>
        <w:ind w:hanging="294"/>
        <w:jc w:val="left"/>
        <w:rPr>
          <w:lang w:val="en-CA" w:eastAsia="en-CA"/>
        </w:rPr>
      </w:pPr>
      <w:r w:rsidRPr="00424FF5">
        <w:rPr>
          <w:b/>
          <w:bCs/>
          <w:color w:val="000000"/>
          <w:lang w:val="en-CA" w:eastAsia="en-CA"/>
        </w:rPr>
        <w:t>Committee against Torture</w:t>
      </w:r>
    </w:p>
    <w:p w14:paraId="57FAFB1A" w14:textId="77777777" w:rsidR="00424FF5" w:rsidRPr="00424FF5" w:rsidRDefault="00424FF5" w:rsidP="00424FF5">
      <w:pPr>
        <w:tabs>
          <w:tab w:val="left" w:pos="709"/>
        </w:tabs>
        <w:spacing w:before="0" w:after="0" w:line="240" w:lineRule="auto"/>
        <w:ind w:hanging="294"/>
        <w:jc w:val="left"/>
        <w:rPr>
          <w:lang w:val="en-CA" w:eastAsia="en-CA"/>
        </w:rPr>
      </w:pPr>
      <w:r w:rsidRPr="00424FF5">
        <w:rPr>
          <w:lang w:val="en-CA" w:eastAsia="en-CA"/>
        </w:rPr>
        <w:br/>
      </w:r>
    </w:p>
    <w:p w14:paraId="527FEE6F" w14:textId="77777777" w:rsidR="00424FF5" w:rsidRPr="00424FF5" w:rsidRDefault="00424FF5" w:rsidP="00815894">
      <w:pPr>
        <w:numPr>
          <w:ilvl w:val="0"/>
          <w:numId w:val="14"/>
        </w:numPr>
        <w:tabs>
          <w:tab w:val="clear" w:pos="720"/>
          <w:tab w:val="left" w:pos="709"/>
        </w:tabs>
        <w:spacing w:before="0" w:after="0" w:line="240" w:lineRule="auto"/>
        <w:ind w:hanging="294"/>
        <w:jc w:val="left"/>
        <w:textAlignment w:val="baseline"/>
        <w:rPr>
          <w:color w:val="000000"/>
          <w:lang w:val="en-CA" w:eastAsia="en-CA"/>
        </w:rPr>
      </w:pPr>
      <w:r w:rsidRPr="00424FF5">
        <w:rPr>
          <w:color w:val="000000"/>
          <w:lang w:val="en-CA" w:eastAsia="en-CA"/>
        </w:rPr>
        <w:t xml:space="preserve">Concluding observations on the sixth periodic report of the Russian Federation. Committee against Torture. CAT/C/RUS/CO/6. 28 August 2018. Paras 20-21. Online: </w:t>
      </w:r>
      <w:hyperlink r:id="rId24" w:history="1">
        <w:r w:rsidRPr="00424FF5">
          <w:rPr>
            <w:color w:val="1155CC"/>
            <w:u w:val="single"/>
            <w:lang w:val="en-CA" w:eastAsia="en-CA"/>
          </w:rPr>
          <w:t>https://tbinternet.ohchr.org/Treaties/CAT/Shared%20Documents/RUS/CAT_C_RUS_CO_6_32062_E.pdf</w:t>
        </w:r>
      </w:hyperlink>
      <w:r w:rsidRPr="00424FF5">
        <w:rPr>
          <w:color w:val="000000"/>
          <w:lang w:val="en-CA" w:eastAsia="en-CA"/>
        </w:rPr>
        <w:t> </w:t>
      </w:r>
    </w:p>
    <w:p w14:paraId="10EAF7F0" w14:textId="77777777" w:rsidR="00424FF5" w:rsidRPr="00424FF5" w:rsidRDefault="00424FF5" w:rsidP="00424FF5">
      <w:pPr>
        <w:tabs>
          <w:tab w:val="left" w:pos="709"/>
        </w:tabs>
        <w:spacing w:before="0" w:after="0" w:line="240" w:lineRule="auto"/>
        <w:ind w:hanging="294"/>
        <w:jc w:val="left"/>
        <w:rPr>
          <w:lang w:val="en-CA" w:eastAsia="en-CA"/>
        </w:rPr>
      </w:pPr>
    </w:p>
    <w:p w14:paraId="21365CF9" w14:textId="77777777" w:rsidR="00424FF5" w:rsidRPr="00424FF5" w:rsidRDefault="00424FF5" w:rsidP="00424FF5">
      <w:pPr>
        <w:tabs>
          <w:tab w:val="left" w:pos="709"/>
        </w:tabs>
        <w:spacing w:before="0" w:after="0" w:line="240" w:lineRule="auto"/>
        <w:ind w:hanging="294"/>
        <w:jc w:val="left"/>
        <w:rPr>
          <w:lang w:val="en-CA" w:eastAsia="en-CA"/>
        </w:rPr>
      </w:pPr>
      <w:r w:rsidRPr="00424FF5">
        <w:rPr>
          <w:b/>
          <w:bCs/>
          <w:color w:val="000000"/>
          <w:lang w:val="en-CA" w:eastAsia="en-CA"/>
        </w:rPr>
        <w:t>Committee on the Rights of Persons with Disabilities</w:t>
      </w:r>
    </w:p>
    <w:p w14:paraId="3D998B6F" w14:textId="77777777" w:rsidR="00424FF5" w:rsidRPr="00424FF5" w:rsidRDefault="00424FF5" w:rsidP="00424FF5">
      <w:pPr>
        <w:tabs>
          <w:tab w:val="left" w:pos="709"/>
        </w:tabs>
        <w:spacing w:before="0" w:after="0" w:line="240" w:lineRule="auto"/>
        <w:ind w:hanging="294"/>
        <w:jc w:val="left"/>
        <w:rPr>
          <w:lang w:val="en-CA" w:eastAsia="en-CA"/>
        </w:rPr>
      </w:pPr>
      <w:r w:rsidRPr="00424FF5">
        <w:rPr>
          <w:lang w:val="en-CA" w:eastAsia="en-CA"/>
        </w:rPr>
        <w:br/>
      </w:r>
    </w:p>
    <w:p w14:paraId="4686E609" w14:textId="77777777" w:rsidR="00424FF5" w:rsidRPr="00424FF5" w:rsidRDefault="00424FF5" w:rsidP="00815894">
      <w:pPr>
        <w:numPr>
          <w:ilvl w:val="0"/>
          <w:numId w:val="15"/>
        </w:numPr>
        <w:tabs>
          <w:tab w:val="clear" w:pos="720"/>
          <w:tab w:val="left" w:pos="709"/>
        </w:tabs>
        <w:spacing w:before="0" w:after="0" w:line="240" w:lineRule="auto"/>
        <w:ind w:hanging="294"/>
        <w:jc w:val="left"/>
        <w:textAlignment w:val="baseline"/>
        <w:rPr>
          <w:color w:val="000000"/>
          <w:lang w:val="en-CA" w:eastAsia="en-CA"/>
        </w:rPr>
      </w:pPr>
      <w:r w:rsidRPr="00424FF5">
        <w:rPr>
          <w:color w:val="000000"/>
          <w:lang w:val="en-CA" w:eastAsia="en-CA"/>
        </w:rPr>
        <w:t xml:space="preserve">Concluding observations on the initial report of the Russian Federation. Committee on the Rights of Persons with Disabilities. CRPD/C/RUS/CO/1. 9 April 2018. Paras: 51-52. Online: </w:t>
      </w:r>
      <w:hyperlink r:id="rId25" w:history="1">
        <w:r w:rsidRPr="00424FF5">
          <w:rPr>
            <w:color w:val="1155CC"/>
            <w:u w:val="single"/>
            <w:lang w:val="en-CA" w:eastAsia="en-CA"/>
          </w:rPr>
          <w:t>https://tbinternet.ohchr.org/_layouts/15/treatybodyexternal/Download.aspx?symbolno=CRPD%2fC%2fRUS%2fCO%2f1&amp;Lang=en</w:t>
        </w:r>
      </w:hyperlink>
      <w:r w:rsidRPr="00424FF5">
        <w:rPr>
          <w:color w:val="000000"/>
          <w:lang w:val="en-CA" w:eastAsia="en-CA"/>
        </w:rPr>
        <w:t> </w:t>
      </w:r>
    </w:p>
    <w:p w14:paraId="4033B066" w14:textId="77777777" w:rsidR="00424FF5" w:rsidRPr="00424FF5" w:rsidRDefault="00424FF5" w:rsidP="00424FF5">
      <w:pPr>
        <w:tabs>
          <w:tab w:val="left" w:pos="709"/>
        </w:tabs>
        <w:spacing w:before="0" w:after="0" w:line="240" w:lineRule="auto"/>
        <w:ind w:hanging="294"/>
        <w:jc w:val="left"/>
        <w:rPr>
          <w:lang w:val="en-CA" w:eastAsia="en-CA"/>
        </w:rPr>
      </w:pPr>
    </w:p>
    <w:p w14:paraId="1A031DB0" w14:textId="77777777" w:rsidR="00424FF5" w:rsidRPr="00424FF5" w:rsidRDefault="00424FF5" w:rsidP="00424FF5">
      <w:pPr>
        <w:tabs>
          <w:tab w:val="left" w:pos="709"/>
        </w:tabs>
        <w:spacing w:before="0" w:after="0" w:line="240" w:lineRule="auto"/>
        <w:ind w:hanging="294"/>
        <w:jc w:val="left"/>
        <w:rPr>
          <w:lang w:val="en-CA" w:eastAsia="en-CA"/>
        </w:rPr>
      </w:pPr>
      <w:r w:rsidRPr="00424FF5">
        <w:rPr>
          <w:b/>
          <w:bCs/>
          <w:color w:val="000000"/>
          <w:lang w:val="en-CA" w:eastAsia="en-CA"/>
        </w:rPr>
        <w:t>Committee on the Rights of the Child</w:t>
      </w:r>
    </w:p>
    <w:p w14:paraId="04969A3F" w14:textId="77777777" w:rsidR="00424FF5" w:rsidRPr="00424FF5" w:rsidRDefault="00424FF5" w:rsidP="00424FF5">
      <w:pPr>
        <w:tabs>
          <w:tab w:val="left" w:pos="709"/>
        </w:tabs>
        <w:spacing w:before="0" w:after="0" w:line="240" w:lineRule="auto"/>
        <w:ind w:hanging="294"/>
        <w:jc w:val="left"/>
        <w:rPr>
          <w:lang w:val="en-CA" w:eastAsia="en-CA"/>
        </w:rPr>
      </w:pPr>
      <w:r w:rsidRPr="00424FF5">
        <w:rPr>
          <w:lang w:val="en-CA" w:eastAsia="en-CA"/>
        </w:rPr>
        <w:br/>
      </w:r>
    </w:p>
    <w:p w14:paraId="20A803EF" w14:textId="77777777" w:rsidR="00424FF5" w:rsidRPr="00424FF5" w:rsidRDefault="00424FF5" w:rsidP="00815894">
      <w:pPr>
        <w:numPr>
          <w:ilvl w:val="0"/>
          <w:numId w:val="16"/>
        </w:numPr>
        <w:tabs>
          <w:tab w:val="clear" w:pos="720"/>
          <w:tab w:val="left" w:pos="709"/>
        </w:tabs>
        <w:spacing w:before="0" w:after="0" w:line="240" w:lineRule="auto"/>
        <w:ind w:hanging="294"/>
        <w:jc w:val="left"/>
        <w:textAlignment w:val="baseline"/>
        <w:rPr>
          <w:color w:val="000000"/>
          <w:lang w:val="en-CA" w:eastAsia="en-CA"/>
        </w:rPr>
      </w:pPr>
      <w:r w:rsidRPr="00424FF5">
        <w:rPr>
          <w:color w:val="000000"/>
          <w:lang w:val="en-CA" w:eastAsia="en-CA"/>
        </w:rPr>
        <w:t xml:space="preserve">Consideration of reports submitted by States parties under article 44 of the Convention Concluding observations: Ukraine. Committee on the Rights of the Child. CRC/C/UKR/CO/3-4. 21 April 2011. Paras 60-63. Online: </w:t>
      </w:r>
      <w:hyperlink r:id="rId26" w:history="1">
        <w:r w:rsidRPr="00424FF5">
          <w:rPr>
            <w:color w:val="1155CC"/>
            <w:u w:val="single"/>
            <w:lang w:val="en-CA" w:eastAsia="en-CA"/>
          </w:rPr>
          <w:t>https://digitallibrary.un.org/record/702364?ln=en</w:t>
        </w:r>
      </w:hyperlink>
      <w:r w:rsidRPr="00424FF5">
        <w:rPr>
          <w:color w:val="000000"/>
          <w:lang w:val="en-CA" w:eastAsia="en-CA"/>
        </w:rPr>
        <w:t> </w:t>
      </w:r>
    </w:p>
    <w:p w14:paraId="68AB9F45" w14:textId="77777777" w:rsidR="00424FF5" w:rsidRPr="00424FF5" w:rsidRDefault="00424FF5" w:rsidP="00424FF5">
      <w:pPr>
        <w:tabs>
          <w:tab w:val="left" w:pos="709"/>
        </w:tabs>
        <w:spacing w:before="0" w:after="240" w:line="240" w:lineRule="auto"/>
        <w:ind w:hanging="294"/>
        <w:jc w:val="left"/>
        <w:rPr>
          <w:lang w:val="en-CA" w:eastAsia="en-CA"/>
        </w:rPr>
      </w:pPr>
    </w:p>
    <w:p w14:paraId="1B0A03CB" w14:textId="77777777" w:rsidR="00424FF5" w:rsidRPr="00424FF5" w:rsidRDefault="00424FF5" w:rsidP="00424FF5">
      <w:pPr>
        <w:tabs>
          <w:tab w:val="left" w:pos="709"/>
        </w:tabs>
        <w:spacing w:before="0" w:after="0" w:line="240" w:lineRule="auto"/>
        <w:ind w:hanging="294"/>
        <w:jc w:val="left"/>
        <w:rPr>
          <w:lang w:val="en-CA" w:eastAsia="en-CA"/>
        </w:rPr>
      </w:pPr>
      <w:r w:rsidRPr="00424FF5">
        <w:rPr>
          <w:b/>
          <w:bCs/>
          <w:color w:val="000000"/>
          <w:lang w:val="en-CA" w:eastAsia="en-CA"/>
        </w:rPr>
        <w:t>Committee on the Elimination of Discrimination against Women</w:t>
      </w:r>
    </w:p>
    <w:p w14:paraId="6A404189" w14:textId="77777777" w:rsidR="00424FF5" w:rsidRPr="00424FF5" w:rsidRDefault="00424FF5" w:rsidP="00424FF5">
      <w:pPr>
        <w:tabs>
          <w:tab w:val="left" w:pos="709"/>
        </w:tabs>
        <w:spacing w:before="0" w:after="0" w:line="240" w:lineRule="auto"/>
        <w:ind w:hanging="294"/>
        <w:jc w:val="left"/>
        <w:rPr>
          <w:lang w:val="en-CA" w:eastAsia="en-CA"/>
        </w:rPr>
      </w:pPr>
      <w:r w:rsidRPr="00424FF5">
        <w:rPr>
          <w:lang w:val="en-CA" w:eastAsia="en-CA"/>
        </w:rPr>
        <w:lastRenderedPageBreak/>
        <w:br/>
      </w:r>
    </w:p>
    <w:p w14:paraId="4756AA1E" w14:textId="051A4E53" w:rsidR="00424FF5" w:rsidRPr="008B64C5" w:rsidRDefault="00424FF5" w:rsidP="00815894">
      <w:pPr>
        <w:numPr>
          <w:ilvl w:val="0"/>
          <w:numId w:val="17"/>
        </w:numPr>
        <w:tabs>
          <w:tab w:val="clear" w:pos="720"/>
          <w:tab w:val="left" w:pos="851"/>
        </w:tabs>
        <w:spacing w:before="0" w:after="0" w:line="240" w:lineRule="auto"/>
        <w:ind w:left="709" w:hanging="283"/>
        <w:jc w:val="left"/>
        <w:textAlignment w:val="baseline"/>
        <w:rPr>
          <w:lang w:val="en-CA" w:eastAsia="en-CA"/>
        </w:rPr>
      </w:pPr>
      <w:r w:rsidRPr="008B64C5">
        <w:rPr>
          <w:color w:val="000000"/>
          <w:lang w:val="en-CA" w:eastAsia="en-CA"/>
        </w:rPr>
        <w:t>Concluding observations on the fifth periodic report of Kyrgyzstan. Committee on the Elimination of Discrimination against Women. CEDAW/C/KGZ/CO/5. 21 November 2021. Paras 45-46.</w:t>
      </w:r>
      <w:r w:rsidR="008B64C5" w:rsidRPr="008B64C5">
        <w:rPr>
          <w:color w:val="000000"/>
          <w:lang w:val="en-CA" w:eastAsia="en-CA"/>
        </w:rPr>
        <w:t xml:space="preserve"> </w:t>
      </w:r>
      <w:r w:rsidRPr="008B64C5">
        <w:rPr>
          <w:color w:val="000000"/>
          <w:lang w:val="en-CA" w:eastAsia="en-CA"/>
        </w:rPr>
        <w:t>Online: https://tbinternet.ohchr.org/_layouts/15/treatybodyexternal/Download.aspx?symbolno=CEDAW%2fC%2fKGZ%2fCO%2f5&amp;Lang=en</w:t>
      </w:r>
    </w:p>
    <w:p w14:paraId="62C92154" w14:textId="77777777" w:rsidR="00424FF5" w:rsidRPr="00424FF5" w:rsidRDefault="00424FF5" w:rsidP="00424FF5">
      <w:pPr>
        <w:tabs>
          <w:tab w:val="left" w:pos="851"/>
        </w:tabs>
        <w:spacing w:before="0" w:after="0" w:line="240" w:lineRule="auto"/>
        <w:ind w:left="709" w:hanging="283"/>
        <w:jc w:val="left"/>
        <w:rPr>
          <w:lang w:val="en-CA" w:eastAsia="en-CA"/>
        </w:rPr>
      </w:pPr>
      <w:r w:rsidRPr="00424FF5">
        <w:rPr>
          <w:lang w:val="en-CA" w:eastAsia="en-CA"/>
        </w:rPr>
        <w:br/>
      </w:r>
    </w:p>
    <w:p w14:paraId="59108AF3" w14:textId="77777777" w:rsidR="00424FF5" w:rsidRPr="00424FF5" w:rsidRDefault="00424FF5" w:rsidP="00815894">
      <w:pPr>
        <w:numPr>
          <w:ilvl w:val="0"/>
          <w:numId w:val="18"/>
        </w:numPr>
        <w:tabs>
          <w:tab w:val="left" w:pos="851"/>
        </w:tabs>
        <w:spacing w:before="0" w:after="0" w:line="240" w:lineRule="auto"/>
        <w:ind w:left="709" w:hanging="283"/>
        <w:jc w:val="left"/>
        <w:textAlignment w:val="baseline"/>
        <w:rPr>
          <w:color w:val="000000"/>
          <w:lang w:val="en-CA" w:eastAsia="en-CA"/>
        </w:rPr>
      </w:pPr>
      <w:r w:rsidRPr="00424FF5">
        <w:rPr>
          <w:color w:val="000000"/>
          <w:lang w:val="en-CA" w:eastAsia="en-CA"/>
        </w:rPr>
        <w:t>Concluding observations on the ninth periodic report of the Russian Federation. Committee on the Elimination of Discrimination against Women. CEDAW/C/RUS/CO/9. 30 November 2021. Paras 40-41. Online: https://tbinternet.ohchr.org/_layouts/15/treatybodyexternal/Download.aspx?symbolno=CEDAW%2fC%2fRUS%2fCO%2f9&amp;Lang=en</w:t>
      </w:r>
    </w:p>
    <w:p w14:paraId="6AAF7AA5" w14:textId="77777777" w:rsidR="00424FF5" w:rsidRPr="00424FF5" w:rsidRDefault="00424FF5" w:rsidP="00424FF5">
      <w:pPr>
        <w:tabs>
          <w:tab w:val="left" w:pos="851"/>
        </w:tabs>
        <w:spacing w:before="0" w:after="0" w:line="240" w:lineRule="auto"/>
        <w:ind w:left="709" w:hanging="283"/>
        <w:jc w:val="left"/>
        <w:rPr>
          <w:lang w:val="en-CA" w:eastAsia="en-CA"/>
        </w:rPr>
      </w:pPr>
      <w:r w:rsidRPr="00424FF5">
        <w:rPr>
          <w:lang w:val="en-CA" w:eastAsia="en-CA"/>
        </w:rPr>
        <w:br/>
      </w:r>
    </w:p>
    <w:p w14:paraId="6900FB22" w14:textId="77777777" w:rsidR="00424FF5" w:rsidRPr="00424FF5" w:rsidRDefault="00424FF5" w:rsidP="00815894">
      <w:pPr>
        <w:numPr>
          <w:ilvl w:val="0"/>
          <w:numId w:val="19"/>
        </w:numPr>
        <w:tabs>
          <w:tab w:val="left" w:pos="851"/>
        </w:tabs>
        <w:spacing w:before="0" w:after="0" w:line="240" w:lineRule="auto"/>
        <w:ind w:left="709" w:hanging="283"/>
        <w:jc w:val="left"/>
        <w:textAlignment w:val="baseline"/>
        <w:rPr>
          <w:color w:val="000000"/>
          <w:lang w:val="en-CA" w:eastAsia="en-CA"/>
        </w:rPr>
      </w:pPr>
      <w:r w:rsidRPr="00424FF5">
        <w:rPr>
          <w:color w:val="000000"/>
          <w:lang w:val="en-CA" w:eastAsia="en-CA"/>
        </w:rPr>
        <w:t xml:space="preserve">Concluding observations on the eighth periodic report of the Russian Federation. Committee on the Elimination of Discrimination against Women. CEDAW/C/RUS/CO/8. 20 November 2015. Paras 35-36. Online: </w:t>
      </w:r>
      <w:hyperlink r:id="rId27" w:history="1">
        <w:r w:rsidRPr="00424FF5">
          <w:rPr>
            <w:color w:val="1155CC"/>
            <w:u w:val="single"/>
            <w:lang w:val="en-CA" w:eastAsia="en-CA"/>
          </w:rPr>
          <w:t>https://tbinternet.ohchr.org/_layouts/15/treatybodyexternal/Download.aspx?symbolno=CEDAW%2fC%2fRUS%2fCO%2f8&amp;Lang=en</w:t>
        </w:r>
      </w:hyperlink>
      <w:r w:rsidRPr="00424FF5">
        <w:rPr>
          <w:color w:val="000000"/>
          <w:lang w:val="en-CA" w:eastAsia="en-CA"/>
        </w:rPr>
        <w:t> </w:t>
      </w:r>
    </w:p>
    <w:p w14:paraId="5E18DD6C" w14:textId="77777777" w:rsidR="00FA75FB" w:rsidRPr="007955A1" w:rsidRDefault="00FA75FB" w:rsidP="00424FF5">
      <w:pPr>
        <w:tabs>
          <w:tab w:val="left" w:pos="709"/>
        </w:tabs>
        <w:spacing w:line="360" w:lineRule="auto"/>
        <w:ind w:right="426" w:hanging="294"/>
        <w:rPr>
          <w:rFonts w:eastAsia="Sylfaen"/>
          <w:b/>
          <w:lang w:val="en-GB"/>
        </w:rPr>
      </w:pPr>
    </w:p>
    <w:p w14:paraId="6B9C4B68" w14:textId="77777777" w:rsidR="00FA75FB" w:rsidRPr="007955A1" w:rsidRDefault="00FA75FB" w:rsidP="00424FF5">
      <w:pPr>
        <w:tabs>
          <w:tab w:val="left" w:pos="709"/>
        </w:tabs>
        <w:spacing w:line="360" w:lineRule="auto"/>
        <w:ind w:right="426" w:hanging="294"/>
        <w:rPr>
          <w:rFonts w:eastAsia="Sylfaen"/>
          <w:b/>
          <w:lang w:val="en-GB"/>
        </w:rPr>
      </w:pPr>
    </w:p>
    <w:p w14:paraId="15BDE64E" w14:textId="77777777" w:rsidR="00FA75FB" w:rsidRPr="007955A1" w:rsidRDefault="00FA75FB" w:rsidP="00424FF5">
      <w:pPr>
        <w:tabs>
          <w:tab w:val="left" w:pos="709"/>
        </w:tabs>
        <w:spacing w:line="360" w:lineRule="auto"/>
        <w:ind w:right="426" w:hanging="294"/>
        <w:rPr>
          <w:rFonts w:eastAsia="Sylfaen"/>
          <w:b/>
          <w:lang w:val="en-GB"/>
        </w:rPr>
      </w:pPr>
    </w:p>
    <w:p w14:paraId="4DC50B85" w14:textId="77777777" w:rsidR="00FA75FB" w:rsidRPr="007955A1" w:rsidRDefault="00FA75FB" w:rsidP="006E2DBB">
      <w:pPr>
        <w:spacing w:line="360" w:lineRule="auto"/>
        <w:ind w:right="426"/>
        <w:rPr>
          <w:rFonts w:eastAsia="Sylfaen"/>
          <w:b/>
          <w:lang w:val="en-GB"/>
        </w:rPr>
      </w:pPr>
    </w:p>
    <w:p w14:paraId="1FCE299F" w14:textId="77777777" w:rsidR="00FA75FB" w:rsidRPr="006E2DBB" w:rsidRDefault="00FA75FB" w:rsidP="006E2DBB">
      <w:pPr>
        <w:spacing w:line="360" w:lineRule="auto"/>
        <w:ind w:right="426"/>
        <w:rPr>
          <w:rFonts w:eastAsia="Sylfaen"/>
          <w:b/>
          <w:lang w:val="en-GB"/>
        </w:rPr>
      </w:pPr>
    </w:p>
    <w:p w14:paraId="52AB9F8F" w14:textId="77777777" w:rsidR="00620AF5" w:rsidRPr="006E2DBB" w:rsidRDefault="00620AF5" w:rsidP="006E2DBB">
      <w:pPr>
        <w:pStyle w:val="ListParagraph"/>
        <w:spacing w:after="120" w:line="360" w:lineRule="auto"/>
        <w:ind w:left="0" w:right="70"/>
        <w:rPr>
          <w:rFonts w:ascii="Times New Roman" w:eastAsia="Sylfaen" w:hAnsi="Times New Roman" w:cs="Times New Roman"/>
          <w:sz w:val="24"/>
          <w:szCs w:val="24"/>
          <w:lang w:val="en-US"/>
        </w:rPr>
      </w:pPr>
    </w:p>
    <w:sectPr w:rsidR="00620AF5" w:rsidRPr="006E2DBB" w:rsidSect="00D2320C">
      <w:footerReference w:type="even" r:id="rId28"/>
      <w:footerReference w:type="default" r:id="rId29"/>
      <w:pgSz w:w="12240" w:h="15840"/>
      <w:pgMar w:top="1100" w:right="964" w:bottom="278" w:left="1599" w:header="0" w:footer="13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58F0F" w14:textId="77777777" w:rsidR="00B558B7" w:rsidRDefault="00B558B7">
      <w:r>
        <w:separator/>
      </w:r>
    </w:p>
  </w:endnote>
  <w:endnote w:type="continuationSeparator" w:id="0">
    <w:p w14:paraId="76C19463" w14:textId="77777777" w:rsidR="00B558B7" w:rsidRDefault="00B55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409108"/>
      <w:docPartObj>
        <w:docPartGallery w:val="Page Numbers (Bottom of Page)"/>
        <w:docPartUnique/>
      </w:docPartObj>
    </w:sdtPr>
    <w:sdtEndPr>
      <w:rPr>
        <w:rStyle w:val="PageNumber"/>
      </w:rPr>
    </w:sdtEndPr>
    <w:sdtContent>
      <w:p w14:paraId="1432894F" w14:textId="425E609A" w:rsidR="007955A1" w:rsidRDefault="007955A1" w:rsidP="00D232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7184F186" w14:textId="77777777" w:rsidR="007955A1" w:rsidRDefault="007955A1" w:rsidP="00191A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2742047"/>
      <w:docPartObj>
        <w:docPartGallery w:val="Page Numbers (Bottom of Page)"/>
        <w:docPartUnique/>
      </w:docPartObj>
    </w:sdtPr>
    <w:sdtEndPr>
      <w:rPr>
        <w:rStyle w:val="PageNumber"/>
      </w:rPr>
    </w:sdtEndPr>
    <w:sdtContent>
      <w:p w14:paraId="3B33DC87" w14:textId="51987DDB" w:rsidR="007955A1" w:rsidRDefault="007955A1" w:rsidP="008723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44E44">
          <w:rPr>
            <w:rStyle w:val="PageNumber"/>
            <w:noProof/>
          </w:rPr>
          <w:t>2</w:t>
        </w:r>
        <w:r>
          <w:rPr>
            <w:rStyle w:val="PageNumber"/>
          </w:rPr>
          <w:fldChar w:fldCharType="end"/>
        </w:r>
      </w:p>
    </w:sdtContent>
  </w:sdt>
  <w:p w14:paraId="3190C1A0" w14:textId="7B22DEC0" w:rsidR="007955A1" w:rsidRDefault="007955A1" w:rsidP="00191AAB">
    <w:pPr>
      <w:tabs>
        <w:tab w:val="right" w:pos="9900"/>
      </w:tabs>
      <w:spacing w:line="200" w:lineRule="exac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B6FC5" w14:textId="77777777" w:rsidR="00B558B7" w:rsidRDefault="00B558B7" w:rsidP="00A4508E">
      <w:r>
        <w:separator/>
      </w:r>
    </w:p>
  </w:footnote>
  <w:footnote w:type="continuationSeparator" w:id="0">
    <w:p w14:paraId="2BF61589" w14:textId="77777777" w:rsidR="00B558B7" w:rsidRDefault="00B558B7" w:rsidP="00A4508E">
      <w:r>
        <w:continuationSeparator/>
      </w:r>
    </w:p>
  </w:footnote>
  <w:footnote w:id="1">
    <w:p w14:paraId="4575A534" w14:textId="0CA6BDD3" w:rsidR="007955A1" w:rsidRPr="008739C1" w:rsidRDefault="007955A1" w:rsidP="00631B6E">
      <w:pPr>
        <w:pStyle w:val="FootnoteText"/>
        <w:rPr>
          <w:sz w:val="20"/>
          <w:szCs w:val="20"/>
        </w:rPr>
      </w:pPr>
      <w:r w:rsidRPr="008E210F">
        <w:rPr>
          <w:rStyle w:val="FootnoteReference"/>
          <w:rFonts w:eastAsiaTheme="majorEastAsia"/>
          <w:sz w:val="20"/>
          <w:szCs w:val="20"/>
        </w:rPr>
        <w:footnoteRef/>
      </w:r>
      <w:r w:rsidRPr="008E210F">
        <w:rPr>
          <w:sz w:val="20"/>
          <w:szCs w:val="20"/>
        </w:rPr>
        <w:t xml:space="preserve"> Information about organizations is in Annex I. Contact person: Eliza </w:t>
      </w:r>
      <w:r w:rsidR="00C44E44" w:rsidRPr="00C44E44">
        <w:rPr>
          <w:sz w:val="20"/>
          <w:szCs w:val="20"/>
        </w:rPr>
        <w:t>Kurcevič</w:t>
      </w:r>
      <w:r w:rsidRPr="008E210F">
        <w:rPr>
          <w:sz w:val="20"/>
          <w:szCs w:val="20"/>
        </w:rPr>
        <w:t xml:space="preserve">, Eurasian Harm Reduction Association, Vilnius, Lithuania Email: </w:t>
      </w:r>
      <w:hyperlink r:id="rId1" w:history="1"/>
      <w:hyperlink r:id="rId2" w:history="1">
        <w:r w:rsidRPr="008E210F">
          <w:rPr>
            <w:rStyle w:val="Hyperlink"/>
            <w:sz w:val="20"/>
            <w:szCs w:val="20"/>
          </w:rPr>
          <w:t>eliza@harmreductioneurasia.org</w:t>
        </w:r>
      </w:hyperlink>
      <w:r w:rsidR="008739C1" w:rsidRPr="00C44E44">
        <w:rPr>
          <w:sz w:val="20"/>
          <w:szCs w:val="20"/>
          <w:lang w:val="en-CA"/>
        </w:rPr>
        <w:t xml:space="preserve"> </w:t>
      </w:r>
      <w:r w:rsidR="008739C1">
        <w:rPr>
          <w:sz w:val="20"/>
          <w:szCs w:val="20"/>
        </w:rPr>
        <w:t xml:space="preserve">Special thanks to </w:t>
      </w:r>
      <w:r w:rsidR="008739C1" w:rsidRPr="008739C1">
        <w:rPr>
          <w:sz w:val="20"/>
          <w:szCs w:val="20"/>
        </w:rPr>
        <w:t>Mari Chokheli</w:t>
      </w:r>
      <w:r w:rsidR="008739C1">
        <w:rPr>
          <w:sz w:val="20"/>
          <w:szCs w:val="20"/>
        </w:rPr>
        <w:t xml:space="preserve"> for drafting the country report</w:t>
      </w:r>
    </w:p>
  </w:footnote>
  <w:footnote w:id="2">
    <w:p w14:paraId="483B658C" w14:textId="1E110A4D" w:rsidR="007955A1" w:rsidRPr="008E210F" w:rsidRDefault="007955A1" w:rsidP="007F5813">
      <w:pPr>
        <w:pStyle w:val="FootnoteText"/>
        <w:jc w:val="left"/>
        <w:rPr>
          <w:sz w:val="20"/>
          <w:szCs w:val="20"/>
          <w:lang w:val="en-CA"/>
        </w:rPr>
      </w:pPr>
      <w:r w:rsidRPr="008E210F">
        <w:rPr>
          <w:rStyle w:val="FootnoteReference"/>
          <w:sz w:val="20"/>
          <w:szCs w:val="20"/>
        </w:rPr>
        <w:footnoteRef/>
      </w:r>
      <w:r w:rsidRPr="008E210F">
        <w:rPr>
          <w:sz w:val="20"/>
          <w:szCs w:val="20"/>
        </w:rPr>
        <w:t xml:space="preserve"> The third periodic report of Georgia on the implementation of the International Covenant on Economic, Social and Cultural Rights. E/C.12/GEO/3</w:t>
      </w:r>
      <w:r w:rsidRPr="008E210F">
        <w:rPr>
          <w:sz w:val="20"/>
          <w:szCs w:val="20"/>
          <w:lang w:val="en-CA"/>
        </w:rPr>
        <w:t xml:space="preserve">. 2021. Paras 272-280. </w:t>
      </w:r>
      <w:r w:rsidRPr="008E210F">
        <w:rPr>
          <w:sz w:val="20"/>
          <w:szCs w:val="20"/>
        </w:rPr>
        <w:t xml:space="preserve">Online: </w:t>
      </w:r>
      <w:hyperlink r:id="rId3" w:history="1">
        <w:r w:rsidRPr="008E210F">
          <w:rPr>
            <w:rStyle w:val="Hyperlink"/>
            <w:sz w:val="20"/>
            <w:szCs w:val="20"/>
          </w:rPr>
          <w:t>https://tbinternet.ohchr.org/_layouts/15/treatybodyexternal/Download.aspx?symbolno=E%2FC.12%2FGEO%2F3&amp;Lang=en</w:t>
        </w:r>
      </w:hyperlink>
      <w:r w:rsidRPr="008E210F">
        <w:rPr>
          <w:sz w:val="20"/>
          <w:szCs w:val="20"/>
        </w:rPr>
        <w:t xml:space="preserve"> </w:t>
      </w:r>
    </w:p>
  </w:footnote>
  <w:footnote w:id="3">
    <w:p w14:paraId="74D82226" w14:textId="0450184B" w:rsidR="007955A1" w:rsidRPr="008E210F" w:rsidRDefault="007955A1" w:rsidP="003B1DB4">
      <w:pPr>
        <w:pStyle w:val="FootnoteText"/>
        <w:jc w:val="left"/>
        <w:rPr>
          <w:sz w:val="20"/>
          <w:szCs w:val="20"/>
        </w:rPr>
      </w:pPr>
      <w:r w:rsidRPr="008E210F">
        <w:rPr>
          <w:rStyle w:val="FootnoteReference"/>
          <w:sz w:val="20"/>
          <w:szCs w:val="20"/>
        </w:rPr>
        <w:footnoteRef/>
      </w:r>
      <w:r w:rsidRPr="008E210F">
        <w:rPr>
          <w:sz w:val="20"/>
          <w:szCs w:val="20"/>
        </w:rPr>
        <w:t xml:space="preserve"> REACT. Data about human rights violations in Georgia is available online: </w:t>
      </w:r>
      <w:hyperlink r:id="rId4" w:history="1">
        <w:r w:rsidRPr="008E210F">
          <w:rPr>
            <w:rStyle w:val="Hyperlink"/>
            <w:sz w:val="20"/>
            <w:szCs w:val="20"/>
          </w:rPr>
          <w:t>https://react-aph.org/en/countries/gruziya/</w:t>
        </w:r>
      </w:hyperlink>
      <w:r w:rsidRPr="008E210F">
        <w:rPr>
          <w:sz w:val="20"/>
          <w:szCs w:val="20"/>
        </w:rPr>
        <w:t xml:space="preserve"> </w:t>
      </w:r>
    </w:p>
  </w:footnote>
  <w:footnote w:id="4">
    <w:p w14:paraId="5C393B88" w14:textId="3872AB02" w:rsidR="007955A1" w:rsidRPr="008E210F" w:rsidRDefault="007955A1" w:rsidP="00387003">
      <w:pPr>
        <w:pStyle w:val="FootnoteText"/>
        <w:jc w:val="left"/>
        <w:rPr>
          <w:sz w:val="20"/>
          <w:szCs w:val="20"/>
        </w:rPr>
      </w:pPr>
      <w:r w:rsidRPr="008E210F">
        <w:rPr>
          <w:rStyle w:val="FootnoteReference"/>
          <w:sz w:val="20"/>
          <w:szCs w:val="20"/>
        </w:rPr>
        <w:footnoteRef/>
      </w:r>
      <w:r w:rsidRPr="008E210F">
        <w:rPr>
          <w:sz w:val="20"/>
          <w:szCs w:val="20"/>
        </w:rPr>
        <w:t xml:space="preserve"> This section is based on the report by </w:t>
      </w:r>
      <w:r w:rsidRPr="008E210F">
        <w:rPr>
          <w:i/>
          <w:sz w:val="20"/>
          <w:szCs w:val="20"/>
        </w:rPr>
        <w:t>Golicheko M., Elliott R., Drug laws and policies in four regions of Eurasia. 2021.</w:t>
      </w:r>
      <w:r w:rsidRPr="008E210F">
        <w:rPr>
          <w:sz w:val="20"/>
          <w:szCs w:val="20"/>
        </w:rPr>
        <w:t xml:space="preserve"> Online: </w:t>
      </w:r>
      <w:hyperlink r:id="rId5" w:history="1">
        <w:r w:rsidRPr="008E210F">
          <w:rPr>
            <w:rStyle w:val="Hyperlink"/>
            <w:sz w:val="20"/>
            <w:szCs w:val="20"/>
          </w:rPr>
          <w:t>https://cdn.sanity.io/files/6u5teakk/production/14759d1e06f6892d69904eebe85876e08e36a53a.pdf?dl</w:t>
        </w:r>
      </w:hyperlink>
      <w:r w:rsidRPr="008E210F">
        <w:rPr>
          <w:sz w:val="20"/>
          <w:szCs w:val="20"/>
        </w:rPr>
        <w:t xml:space="preserve">= </w:t>
      </w:r>
    </w:p>
  </w:footnote>
  <w:footnote w:id="5">
    <w:p w14:paraId="6087FCDD" w14:textId="05C6615A" w:rsidR="007955A1" w:rsidRPr="008E210F" w:rsidRDefault="007955A1" w:rsidP="00387003">
      <w:pPr>
        <w:pStyle w:val="FootnoteText"/>
        <w:rPr>
          <w:sz w:val="20"/>
          <w:szCs w:val="20"/>
        </w:rPr>
      </w:pPr>
      <w:r w:rsidRPr="008E210F">
        <w:rPr>
          <w:rStyle w:val="FootnoteReference"/>
          <w:rFonts w:eastAsiaTheme="majorEastAsia"/>
          <w:sz w:val="20"/>
          <w:szCs w:val="20"/>
        </w:rPr>
        <w:footnoteRef/>
      </w:r>
      <w:r w:rsidRPr="008E210F">
        <w:rPr>
          <w:sz w:val="20"/>
          <w:szCs w:val="20"/>
        </w:rPr>
        <w:t xml:space="preserve"> See Annex II to this report with all recommendations given by human rights treaty bodies to EECA countries from 2008 to 2023.</w:t>
      </w:r>
    </w:p>
  </w:footnote>
  <w:footnote w:id="6">
    <w:p w14:paraId="5BFC852C" w14:textId="77777777" w:rsidR="007955A1" w:rsidRPr="008E210F" w:rsidRDefault="007955A1" w:rsidP="00387003">
      <w:pPr>
        <w:pStyle w:val="FootnoteText"/>
        <w:rPr>
          <w:sz w:val="20"/>
          <w:szCs w:val="20"/>
        </w:rPr>
      </w:pPr>
      <w:r w:rsidRPr="008E210F">
        <w:rPr>
          <w:rStyle w:val="FootnoteReference"/>
          <w:rFonts w:eastAsiaTheme="majorEastAsia"/>
          <w:sz w:val="20"/>
          <w:szCs w:val="20"/>
        </w:rPr>
        <w:footnoteRef/>
      </w:r>
      <w:r w:rsidRPr="008E210F">
        <w:rPr>
          <w:sz w:val="20"/>
          <w:szCs w:val="20"/>
        </w:rPr>
        <w:t xml:space="preserve"> UN System Chief Executive Board for Coordination. Second regular session of 2018. Manhasset, New York, 7 and 8 November 2018. CEB/2018/2. includes the Executive Heads of the United Nations, its 12 Funds and Programmes, the 15 Specialized Agencies, and 3 Related Organizations.</w:t>
      </w:r>
    </w:p>
  </w:footnote>
  <w:footnote w:id="7">
    <w:p w14:paraId="018DCF7E" w14:textId="77777777" w:rsidR="007955A1" w:rsidRPr="008E210F" w:rsidRDefault="007955A1" w:rsidP="00387003">
      <w:pPr>
        <w:pStyle w:val="FootnoteText"/>
        <w:rPr>
          <w:sz w:val="20"/>
          <w:szCs w:val="20"/>
        </w:rPr>
      </w:pPr>
      <w:r w:rsidRPr="008E210F">
        <w:rPr>
          <w:rStyle w:val="FootnoteReference"/>
          <w:rFonts w:eastAsiaTheme="majorEastAsia"/>
          <w:sz w:val="20"/>
          <w:szCs w:val="20"/>
        </w:rPr>
        <w:footnoteRef/>
      </w:r>
      <w:r w:rsidRPr="008E210F">
        <w:rPr>
          <w:sz w:val="20"/>
          <w:szCs w:val="20"/>
        </w:rPr>
        <w:t xml:space="preserve"> UNAIDS, UNCHR, UNICEF et al., Joint UN statement on ending discrimination in health care settings, June 2017. Available at: </w:t>
      </w:r>
      <w:hyperlink r:id="rId6" w:history="1">
        <w:r w:rsidRPr="008E210F">
          <w:rPr>
            <w:rStyle w:val="Hyperlink"/>
            <w:sz w:val="20"/>
            <w:szCs w:val="20"/>
          </w:rPr>
          <w:t>www.who.int/gender-equity-rights/knowledge/ending-discrimination-healthcare-settings/en/</w:t>
        </w:r>
      </w:hyperlink>
      <w:r w:rsidRPr="008E210F">
        <w:rPr>
          <w:sz w:val="20"/>
          <w:szCs w:val="20"/>
        </w:rPr>
        <w:t>.</w:t>
      </w:r>
    </w:p>
  </w:footnote>
  <w:footnote w:id="8">
    <w:p w14:paraId="385DB478" w14:textId="77777777" w:rsidR="007955A1" w:rsidRPr="008E210F" w:rsidRDefault="007955A1" w:rsidP="00387003">
      <w:pPr>
        <w:pStyle w:val="FootnoteText"/>
        <w:rPr>
          <w:sz w:val="20"/>
          <w:szCs w:val="20"/>
        </w:rPr>
      </w:pPr>
      <w:r w:rsidRPr="008E210F">
        <w:rPr>
          <w:rStyle w:val="FootnoteReference"/>
          <w:rFonts w:eastAsiaTheme="majorEastAsia"/>
          <w:sz w:val="20"/>
          <w:szCs w:val="20"/>
        </w:rPr>
        <w:footnoteRef/>
      </w:r>
      <w:r w:rsidRPr="008E210F">
        <w:rPr>
          <w:sz w:val="20"/>
          <w:szCs w:val="20"/>
        </w:rPr>
        <w:t xml:space="preserve"> United Nations, International Guidelines on Human Rights and Drug Policy, March 2019. Available at:  </w:t>
      </w:r>
      <w:hyperlink r:id="rId7" w:history="1">
        <w:r w:rsidRPr="008E210F">
          <w:rPr>
            <w:rStyle w:val="Hyperlink"/>
            <w:sz w:val="20"/>
            <w:szCs w:val="20"/>
          </w:rPr>
          <w:t>https://www.humanrights-drugpolicy.org/</w:t>
        </w:r>
      </w:hyperlink>
      <w:r w:rsidRPr="008E210F">
        <w:rPr>
          <w:sz w:val="20"/>
          <w:szCs w:val="20"/>
        </w:rPr>
        <w:t>.</w:t>
      </w:r>
    </w:p>
  </w:footnote>
  <w:footnote w:id="9">
    <w:p w14:paraId="7DE13310" w14:textId="382935E4" w:rsidR="007955A1" w:rsidRPr="008E210F" w:rsidRDefault="007955A1" w:rsidP="00387003">
      <w:pPr>
        <w:pStyle w:val="FootnoteText"/>
        <w:rPr>
          <w:sz w:val="20"/>
          <w:szCs w:val="20"/>
        </w:rPr>
      </w:pPr>
      <w:r w:rsidRPr="008E210F">
        <w:rPr>
          <w:rStyle w:val="FootnoteReference"/>
          <w:rFonts w:eastAsiaTheme="majorEastAsia"/>
          <w:sz w:val="20"/>
          <w:szCs w:val="20"/>
        </w:rPr>
        <w:footnoteRef/>
      </w:r>
      <w:r w:rsidRPr="008E210F">
        <w:rPr>
          <w:sz w:val="20"/>
          <w:szCs w:val="20"/>
        </w:rPr>
        <w:t xml:space="preserve"> </w:t>
      </w:r>
      <w:r w:rsidR="00605346" w:rsidRPr="00605346">
        <w:rPr>
          <w:sz w:val="20"/>
          <w:szCs w:val="20"/>
        </w:rPr>
        <w:t xml:space="preserve">Committee on Legal Affairs and Human Rights, “Drug policy and human rights in Europe: a baseline study,” Draft resolution and draft recommendation adopted on November 15, 2019. Available at: </w:t>
      </w:r>
      <w:hyperlink r:id="rId8" w:history="1">
        <w:r w:rsidR="00605346" w:rsidRPr="00A250E0">
          <w:rPr>
            <w:rStyle w:val="Hyperlink"/>
            <w:sz w:val="20"/>
            <w:szCs w:val="20"/>
          </w:rPr>
          <w:t>http://fileserver.idpc.net/library/20191115-DrugPolicyHumanRights-EN.pdf</w:t>
        </w:r>
      </w:hyperlink>
      <w:r w:rsidR="00605346" w:rsidRPr="00605346">
        <w:rPr>
          <w:sz w:val="20"/>
          <w:szCs w:val="20"/>
        </w:rPr>
        <w:t>.</w:t>
      </w:r>
      <w:r w:rsidR="00605346" w:rsidRPr="00605346">
        <w:rPr>
          <w:sz w:val="20"/>
          <w:szCs w:val="20"/>
          <w:lang w:val="en-CA"/>
        </w:rPr>
        <w:t xml:space="preserve"> </w:t>
      </w:r>
      <w:r w:rsidRPr="008E210F">
        <w:rPr>
          <w:sz w:val="20"/>
          <w:szCs w:val="20"/>
        </w:rPr>
        <w:t xml:space="preserve"> </w:t>
      </w:r>
    </w:p>
  </w:footnote>
  <w:footnote w:id="10">
    <w:p w14:paraId="00A247B9" w14:textId="1AC4D609" w:rsidR="007955A1" w:rsidRPr="008E210F" w:rsidRDefault="007955A1">
      <w:pPr>
        <w:pStyle w:val="FootnoteText"/>
        <w:rPr>
          <w:sz w:val="20"/>
          <w:szCs w:val="20"/>
        </w:rPr>
      </w:pPr>
      <w:r w:rsidRPr="008E210F">
        <w:rPr>
          <w:rStyle w:val="FootnoteReference"/>
          <w:sz w:val="20"/>
          <w:szCs w:val="20"/>
        </w:rPr>
        <w:footnoteRef/>
      </w:r>
      <w:r w:rsidRPr="008E210F">
        <w:rPr>
          <w:sz w:val="20"/>
          <w:szCs w:val="20"/>
        </w:rPr>
        <w:t xml:space="preserve"> Infectious Diseases, AIDS &amp; Clinical Immunology Research Center of Georgia. Online: </w:t>
      </w:r>
      <w:hyperlink r:id="rId9" w:history="1">
        <w:r w:rsidRPr="008E210F">
          <w:rPr>
            <w:rStyle w:val="Hyperlink"/>
            <w:sz w:val="20"/>
            <w:szCs w:val="20"/>
          </w:rPr>
          <w:t>https://www.aidscenter.ge/epidsituation_eng.html?fbclid=IwAR0oCbdJFuJT_mBGuz7HHhkEa6za_knRHeUPKKqs052Vhjt6ImX15LgglxE</w:t>
        </w:r>
      </w:hyperlink>
      <w:r w:rsidRPr="008E210F">
        <w:rPr>
          <w:sz w:val="20"/>
          <w:szCs w:val="20"/>
        </w:rPr>
        <w:t xml:space="preserve"> </w:t>
      </w:r>
    </w:p>
  </w:footnote>
  <w:footnote w:id="11">
    <w:p w14:paraId="51232562" w14:textId="77777777" w:rsidR="007955A1" w:rsidRPr="008E210F" w:rsidRDefault="007955A1" w:rsidP="008E45F0">
      <w:pPr>
        <w:pStyle w:val="FootnoteText"/>
        <w:spacing w:before="0" w:after="0" w:line="240" w:lineRule="auto"/>
        <w:rPr>
          <w:sz w:val="20"/>
          <w:szCs w:val="20"/>
        </w:rPr>
      </w:pPr>
      <w:r w:rsidRPr="008E210F">
        <w:rPr>
          <w:rStyle w:val="FootnoteReference"/>
          <w:sz w:val="20"/>
          <w:szCs w:val="20"/>
        </w:rPr>
        <w:footnoteRef/>
      </w:r>
      <w:r w:rsidRPr="008E210F">
        <w:rPr>
          <w:sz w:val="20"/>
          <w:szCs w:val="20"/>
        </w:rPr>
        <w:t xml:space="preserve"> Statistical information is available on the website of the Ministry at </w:t>
      </w:r>
      <w:hyperlink r:id="rId10" w:history="1">
        <w:r w:rsidRPr="008E210F">
          <w:rPr>
            <w:rStyle w:val="Hyperlink"/>
            <w:sz w:val="20"/>
            <w:szCs w:val="20"/>
          </w:rPr>
          <w:t>https://police.ge/en/useful-information/statistics</w:t>
        </w:r>
      </w:hyperlink>
      <w:r w:rsidRPr="008E210F">
        <w:rPr>
          <w:sz w:val="20"/>
          <w:szCs w:val="20"/>
        </w:rPr>
        <w:t>. The chart is taken from the report “Drug policy in Georgia</w:t>
      </w:r>
    </w:p>
    <w:p w14:paraId="52FF57CC" w14:textId="7E9E1EEB" w:rsidR="007955A1" w:rsidRPr="008E210F" w:rsidRDefault="007955A1" w:rsidP="008E45F0">
      <w:pPr>
        <w:pStyle w:val="FootnoteText"/>
        <w:spacing w:before="0" w:after="0" w:line="240" w:lineRule="auto"/>
        <w:rPr>
          <w:sz w:val="20"/>
          <w:szCs w:val="20"/>
        </w:rPr>
      </w:pPr>
      <w:r w:rsidRPr="008E210F">
        <w:rPr>
          <w:sz w:val="20"/>
          <w:szCs w:val="20"/>
        </w:rPr>
        <w:t>2021 trends”. Center for Social Justice. 2022. Page 19.</w:t>
      </w:r>
    </w:p>
  </w:footnote>
  <w:footnote w:id="12">
    <w:p w14:paraId="6E0A5C49" w14:textId="77777777" w:rsidR="007955A1" w:rsidRPr="008E210F" w:rsidRDefault="007955A1" w:rsidP="00663FD7">
      <w:pPr>
        <w:pStyle w:val="FootnoteText"/>
        <w:rPr>
          <w:sz w:val="20"/>
          <w:szCs w:val="20"/>
        </w:rPr>
      </w:pPr>
      <w:r w:rsidRPr="008E210F">
        <w:rPr>
          <w:rStyle w:val="FootnoteReference"/>
          <w:sz w:val="20"/>
          <w:szCs w:val="20"/>
        </w:rPr>
        <w:footnoteRef/>
      </w:r>
      <w:r w:rsidRPr="008E210F">
        <w:rPr>
          <w:sz w:val="20"/>
          <w:szCs w:val="20"/>
        </w:rPr>
        <w:t xml:space="preserve"> https://matsne.gov.ge/en/document/view/1670322?publication=18</w:t>
      </w:r>
    </w:p>
  </w:footnote>
  <w:footnote w:id="13">
    <w:p w14:paraId="1E83615F" w14:textId="77777777" w:rsidR="007955A1" w:rsidRPr="008E210F" w:rsidRDefault="007955A1" w:rsidP="00663FD7">
      <w:pPr>
        <w:pStyle w:val="FootnoteText"/>
        <w:rPr>
          <w:sz w:val="20"/>
          <w:szCs w:val="20"/>
        </w:rPr>
      </w:pPr>
      <w:r w:rsidRPr="008E210F">
        <w:rPr>
          <w:rStyle w:val="FootnoteReference"/>
          <w:sz w:val="20"/>
          <w:szCs w:val="20"/>
        </w:rPr>
        <w:footnoteRef/>
      </w:r>
      <w:r w:rsidRPr="008E210F">
        <w:rPr>
          <w:sz w:val="20"/>
          <w:szCs w:val="20"/>
        </w:rPr>
        <w:t xml:space="preserve"> </w:t>
      </w:r>
      <w:hyperlink r:id="rId11" w:history="1">
        <w:r w:rsidRPr="008E210F">
          <w:rPr>
            <w:rStyle w:val="Hyperlink"/>
            <w:sz w:val="20"/>
            <w:szCs w:val="20"/>
          </w:rPr>
          <w:t>https://socialjustice.org.ge/en/products/narkopolitika-sakartveloshi-2021-tslis-tendentsiebi</w:t>
        </w:r>
      </w:hyperlink>
      <w:r w:rsidRPr="008E210F">
        <w:rPr>
          <w:sz w:val="20"/>
          <w:szCs w:val="20"/>
        </w:rPr>
        <w:t xml:space="preserve"> pg.15</w:t>
      </w:r>
    </w:p>
  </w:footnote>
  <w:footnote w:id="14">
    <w:p w14:paraId="42290491" w14:textId="77777777" w:rsidR="007955A1" w:rsidRPr="008E210F" w:rsidRDefault="007955A1" w:rsidP="00DB1968">
      <w:pPr>
        <w:pStyle w:val="FootnoteText"/>
        <w:rPr>
          <w:sz w:val="20"/>
          <w:szCs w:val="20"/>
          <w:lang w:val="ka-GE"/>
        </w:rPr>
      </w:pPr>
      <w:r w:rsidRPr="008E210F">
        <w:rPr>
          <w:rStyle w:val="FootnoteReference"/>
          <w:sz w:val="20"/>
          <w:szCs w:val="20"/>
        </w:rPr>
        <w:footnoteRef/>
      </w:r>
      <w:r w:rsidRPr="008E210F">
        <w:rPr>
          <w:sz w:val="20"/>
          <w:szCs w:val="20"/>
        </w:rPr>
        <w:t xml:space="preserve"> https://matsne.gov.ge/en/document/view/16426?publication=241</w:t>
      </w:r>
    </w:p>
  </w:footnote>
  <w:footnote w:id="15">
    <w:p w14:paraId="3AA10080" w14:textId="77777777" w:rsidR="007955A1" w:rsidRPr="008E210F" w:rsidRDefault="007955A1" w:rsidP="00DB1968">
      <w:pPr>
        <w:pStyle w:val="FootnoteText"/>
        <w:rPr>
          <w:sz w:val="20"/>
          <w:szCs w:val="20"/>
          <w:lang w:val="ka-GE"/>
        </w:rPr>
      </w:pPr>
      <w:r w:rsidRPr="008E210F">
        <w:rPr>
          <w:rStyle w:val="FootnoteReference"/>
          <w:sz w:val="20"/>
          <w:szCs w:val="20"/>
        </w:rPr>
        <w:footnoteRef/>
      </w:r>
      <w:r w:rsidRPr="008E210F">
        <w:rPr>
          <w:sz w:val="20"/>
          <w:szCs w:val="20"/>
        </w:rPr>
        <w:t xml:space="preserve"> </w:t>
      </w:r>
      <w:r w:rsidRPr="008E210F">
        <w:rPr>
          <w:sz w:val="20"/>
          <w:szCs w:val="20"/>
          <w:lang w:val="ka-GE"/>
        </w:rPr>
        <w:t xml:space="preserve">Article 260 of the Criminal Code, </w:t>
      </w:r>
      <w:r w:rsidRPr="008E210F">
        <w:rPr>
          <w:sz w:val="20"/>
          <w:szCs w:val="20"/>
        </w:rPr>
        <w:t>p</w:t>
      </w:r>
      <w:r w:rsidRPr="008E210F">
        <w:rPr>
          <w:sz w:val="20"/>
          <w:szCs w:val="20"/>
          <w:lang w:val="ka-GE"/>
        </w:rPr>
        <w:t xml:space="preserve">art 4 </w:t>
      </w:r>
      <w:r w:rsidRPr="008E210F">
        <w:rPr>
          <w:sz w:val="20"/>
          <w:szCs w:val="20"/>
        </w:rPr>
        <w:t xml:space="preserve">- </w:t>
      </w:r>
      <w:r w:rsidRPr="008E210F">
        <w:rPr>
          <w:sz w:val="20"/>
          <w:szCs w:val="20"/>
          <w:lang w:val="ka-GE"/>
        </w:rPr>
        <w:t xml:space="preserve">for </w:t>
      </w:r>
      <w:r w:rsidRPr="008E210F">
        <w:rPr>
          <w:sz w:val="20"/>
          <w:szCs w:val="20"/>
        </w:rPr>
        <w:t>sale of</w:t>
      </w:r>
      <w:r w:rsidRPr="008E210F">
        <w:rPr>
          <w:sz w:val="20"/>
          <w:szCs w:val="20"/>
          <w:lang w:val="ka-GE"/>
        </w:rPr>
        <w:t xml:space="preserve"> drug</w:t>
      </w:r>
      <w:r w:rsidRPr="008E210F">
        <w:rPr>
          <w:sz w:val="20"/>
          <w:szCs w:val="20"/>
        </w:rPr>
        <w:t>s</w:t>
      </w:r>
      <w:r w:rsidRPr="008E210F">
        <w:rPr>
          <w:sz w:val="20"/>
          <w:szCs w:val="20"/>
          <w:lang w:val="ka-GE"/>
        </w:rPr>
        <w:t xml:space="preserve"> </w:t>
      </w:r>
      <w:r w:rsidRPr="008E210F">
        <w:rPr>
          <w:sz w:val="20"/>
          <w:szCs w:val="20"/>
        </w:rPr>
        <w:t>i</w:t>
      </w:r>
      <w:r w:rsidRPr="008E210F">
        <w:rPr>
          <w:sz w:val="20"/>
          <w:szCs w:val="20"/>
          <w:lang w:val="ka-GE"/>
        </w:rPr>
        <w:t>nstead of imprisonment f</w:t>
      </w:r>
      <w:r w:rsidRPr="008E210F">
        <w:rPr>
          <w:sz w:val="20"/>
          <w:szCs w:val="20"/>
        </w:rPr>
        <w:t>rom</w:t>
      </w:r>
      <w:r w:rsidRPr="008E210F">
        <w:rPr>
          <w:sz w:val="20"/>
          <w:szCs w:val="20"/>
          <w:lang w:val="ka-GE"/>
        </w:rPr>
        <w:t xml:space="preserve"> 6</w:t>
      </w:r>
      <w:r w:rsidRPr="008E210F">
        <w:rPr>
          <w:sz w:val="20"/>
          <w:szCs w:val="20"/>
        </w:rPr>
        <w:t xml:space="preserve"> to </w:t>
      </w:r>
      <w:r w:rsidRPr="008E210F">
        <w:rPr>
          <w:sz w:val="20"/>
          <w:szCs w:val="20"/>
          <w:lang w:val="ka-GE"/>
        </w:rPr>
        <w:t>11 years, was defined imprisonment f</w:t>
      </w:r>
      <w:r w:rsidRPr="008E210F">
        <w:rPr>
          <w:sz w:val="20"/>
          <w:szCs w:val="20"/>
        </w:rPr>
        <w:t>rom</w:t>
      </w:r>
      <w:r w:rsidRPr="008E210F">
        <w:rPr>
          <w:sz w:val="20"/>
          <w:szCs w:val="20"/>
          <w:lang w:val="ka-GE"/>
        </w:rPr>
        <w:t xml:space="preserve"> 10</w:t>
      </w:r>
      <w:r w:rsidRPr="008E210F">
        <w:rPr>
          <w:sz w:val="20"/>
          <w:szCs w:val="20"/>
        </w:rPr>
        <w:t xml:space="preserve"> to </w:t>
      </w:r>
      <w:r w:rsidRPr="008E210F">
        <w:rPr>
          <w:sz w:val="20"/>
          <w:szCs w:val="20"/>
          <w:lang w:val="ka-GE"/>
        </w:rPr>
        <w:t>15 years</w:t>
      </w:r>
      <w:r w:rsidRPr="008E210F">
        <w:rPr>
          <w:sz w:val="20"/>
          <w:szCs w:val="20"/>
        </w:rPr>
        <w:t>;</w:t>
      </w:r>
      <w:r w:rsidRPr="008E210F">
        <w:rPr>
          <w:sz w:val="20"/>
          <w:szCs w:val="20"/>
          <w:lang w:val="ka-GE"/>
        </w:rPr>
        <w:t xml:space="preserve"> Article 260 of the Criminal Code, </w:t>
      </w:r>
      <w:r w:rsidRPr="008E210F">
        <w:rPr>
          <w:sz w:val="20"/>
          <w:szCs w:val="20"/>
        </w:rPr>
        <w:t>p</w:t>
      </w:r>
      <w:r w:rsidRPr="008E210F">
        <w:rPr>
          <w:sz w:val="20"/>
          <w:szCs w:val="20"/>
          <w:lang w:val="ka-GE"/>
        </w:rPr>
        <w:t xml:space="preserve">art </w:t>
      </w:r>
      <w:r w:rsidRPr="008E210F">
        <w:rPr>
          <w:sz w:val="20"/>
          <w:szCs w:val="20"/>
        </w:rPr>
        <w:t>5</w:t>
      </w:r>
      <w:r w:rsidRPr="008E210F">
        <w:rPr>
          <w:sz w:val="20"/>
          <w:szCs w:val="20"/>
          <w:lang w:val="ka-GE"/>
        </w:rPr>
        <w:t xml:space="preserve"> </w:t>
      </w:r>
      <w:r w:rsidRPr="008E210F">
        <w:rPr>
          <w:sz w:val="20"/>
          <w:szCs w:val="20"/>
        </w:rPr>
        <w:t>–</w:t>
      </w:r>
      <w:r w:rsidRPr="008E210F">
        <w:rPr>
          <w:sz w:val="20"/>
          <w:szCs w:val="20"/>
          <w:lang w:val="ka-GE"/>
        </w:rPr>
        <w:t xml:space="preserve"> </w:t>
      </w:r>
      <w:r w:rsidRPr="008E210F">
        <w:rPr>
          <w:sz w:val="20"/>
          <w:szCs w:val="20"/>
        </w:rPr>
        <w:t>sale of drugs in large quantities, or by a group of persons with preliminary agreement</w:t>
      </w:r>
      <w:r w:rsidRPr="008E210F">
        <w:rPr>
          <w:sz w:val="20"/>
          <w:szCs w:val="20"/>
          <w:lang w:val="ka-GE"/>
        </w:rPr>
        <w:t xml:space="preserve">d , the previously existing sanction - imprisonment from 7 to 14 years, has been increased </w:t>
      </w:r>
      <w:r w:rsidRPr="008E210F">
        <w:rPr>
          <w:sz w:val="20"/>
          <w:szCs w:val="20"/>
        </w:rPr>
        <w:t>from</w:t>
      </w:r>
      <w:r w:rsidRPr="008E210F">
        <w:rPr>
          <w:sz w:val="20"/>
          <w:szCs w:val="20"/>
          <w:lang w:val="ka-GE"/>
        </w:rPr>
        <w:t xml:space="preserve"> 12 to 17 years.</w:t>
      </w:r>
    </w:p>
  </w:footnote>
  <w:footnote w:id="16">
    <w:p w14:paraId="4D9CEF76" w14:textId="77777777" w:rsidR="007955A1" w:rsidRPr="008E210F" w:rsidRDefault="007955A1" w:rsidP="00DB1968">
      <w:pPr>
        <w:pStyle w:val="FootnoteText"/>
        <w:rPr>
          <w:sz w:val="20"/>
          <w:szCs w:val="20"/>
        </w:rPr>
      </w:pPr>
      <w:r w:rsidRPr="008E210F">
        <w:rPr>
          <w:rStyle w:val="FootnoteReference"/>
          <w:sz w:val="20"/>
          <w:szCs w:val="20"/>
        </w:rPr>
        <w:footnoteRef/>
      </w:r>
      <w:r w:rsidRPr="008E210F">
        <w:rPr>
          <w:sz w:val="20"/>
          <w:szCs w:val="20"/>
        </w:rPr>
        <w:t xml:space="preserve"> </w:t>
      </w:r>
      <w:hyperlink r:id="rId12" w:history="1">
        <w:r w:rsidRPr="008E210F">
          <w:rPr>
            <w:rStyle w:val="Hyperlink"/>
            <w:sz w:val="20"/>
            <w:szCs w:val="20"/>
          </w:rPr>
          <w:t>https://socialjustice.org.ge/en/products/narkopolitika-sakartveloshi-2021-tslis-tendentsiebi</w:t>
        </w:r>
      </w:hyperlink>
      <w:r w:rsidRPr="008E210F">
        <w:rPr>
          <w:sz w:val="20"/>
          <w:szCs w:val="20"/>
        </w:rPr>
        <w:t xml:space="preserve"> pg.11</w:t>
      </w:r>
    </w:p>
  </w:footnote>
  <w:footnote w:id="17">
    <w:p w14:paraId="3772CD31" w14:textId="328F21B7" w:rsidR="007955A1" w:rsidRPr="008E210F" w:rsidRDefault="007955A1" w:rsidP="0081548A">
      <w:pPr>
        <w:pStyle w:val="FootnoteText"/>
        <w:spacing w:before="0" w:after="0" w:line="240" w:lineRule="auto"/>
        <w:rPr>
          <w:sz w:val="20"/>
          <w:szCs w:val="20"/>
        </w:rPr>
      </w:pPr>
      <w:r w:rsidRPr="008E210F">
        <w:rPr>
          <w:rStyle w:val="FootnoteReference"/>
          <w:sz w:val="20"/>
          <w:szCs w:val="20"/>
        </w:rPr>
        <w:footnoteRef/>
      </w:r>
      <w:r w:rsidRPr="008E210F">
        <w:rPr>
          <w:sz w:val="20"/>
          <w:szCs w:val="20"/>
        </w:rPr>
        <w:t xml:space="preserve"> WHO, UNODC, UNAIDS technical guide for countries to set targets for universal access to HIV prevention, treatment and care for injecting drug users – 2012 revision. Online: </w:t>
      </w:r>
      <w:hyperlink r:id="rId13" w:history="1">
        <w:r w:rsidRPr="008E210F">
          <w:rPr>
            <w:rStyle w:val="Hyperlink"/>
            <w:sz w:val="20"/>
            <w:szCs w:val="20"/>
          </w:rPr>
          <w:t>https://www.who.int/publications/i/item/978924150437</w:t>
        </w:r>
      </w:hyperlink>
      <w:r w:rsidRPr="008E210F">
        <w:rPr>
          <w:sz w:val="20"/>
          <w:szCs w:val="20"/>
        </w:rPr>
        <w:t xml:space="preserve"> </w:t>
      </w:r>
    </w:p>
  </w:footnote>
  <w:footnote w:id="18">
    <w:p w14:paraId="11971EE2" w14:textId="134178CF" w:rsidR="007955A1" w:rsidRPr="008E210F" w:rsidRDefault="007955A1" w:rsidP="009210C3">
      <w:pPr>
        <w:pStyle w:val="FootnoteText"/>
        <w:rPr>
          <w:sz w:val="20"/>
          <w:szCs w:val="20"/>
        </w:rPr>
      </w:pPr>
      <w:r w:rsidRPr="008E210F">
        <w:rPr>
          <w:rStyle w:val="FootnoteReference"/>
          <w:sz w:val="20"/>
          <w:szCs w:val="20"/>
        </w:rPr>
        <w:footnoteRef/>
      </w:r>
      <w:r w:rsidRPr="008E210F">
        <w:rPr>
          <w:sz w:val="20"/>
          <w:szCs w:val="20"/>
        </w:rPr>
        <w:t xml:space="preserve"> Javakhishvili et al., 2021. Survey of Client Satisfaction with Opioid Substitution Program in Western Georgia (online). Eurasian Harm Reduction Association, Ilia State University. Vilnius, Lithuania, 2021. Page 8.</w:t>
      </w:r>
    </w:p>
  </w:footnote>
  <w:footnote w:id="19">
    <w:p w14:paraId="464B3ABA" w14:textId="77777777" w:rsidR="007955A1" w:rsidRPr="008E210F" w:rsidRDefault="007955A1" w:rsidP="006E2DBB">
      <w:pPr>
        <w:pStyle w:val="FootnoteText"/>
        <w:jc w:val="left"/>
        <w:rPr>
          <w:sz w:val="20"/>
          <w:szCs w:val="20"/>
        </w:rPr>
      </w:pPr>
      <w:r w:rsidRPr="008E210F">
        <w:rPr>
          <w:rStyle w:val="FootnoteReference"/>
          <w:sz w:val="20"/>
          <w:szCs w:val="20"/>
        </w:rPr>
        <w:footnoteRef/>
      </w:r>
      <w:r w:rsidRPr="008E210F">
        <w:rPr>
          <w:sz w:val="20"/>
          <w:szCs w:val="20"/>
        </w:rPr>
        <w:t xml:space="preserve"> TIBERIUS. Information about the project. Online: </w:t>
      </w:r>
      <w:hyperlink r:id="rId14" w:history="1">
        <w:r w:rsidRPr="008E210F">
          <w:rPr>
            <w:rStyle w:val="Hyperlink"/>
            <w:sz w:val="20"/>
            <w:szCs w:val="20"/>
          </w:rPr>
          <w:t>https://harmreductioneurasia.org/projects/tiberius</w:t>
        </w:r>
      </w:hyperlink>
      <w:r w:rsidRPr="008E210F">
        <w:rPr>
          <w:sz w:val="20"/>
          <w:szCs w:val="20"/>
        </w:rPr>
        <w:t xml:space="preserve"> </w:t>
      </w:r>
    </w:p>
  </w:footnote>
  <w:footnote w:id="20">
    <w:p w14:paraId="0907C15A" w14:textId="77777777" w:rsidR="007955A1" w:rsidRPr="008E210F" w:rsidRDefault="007955A1" w:rsidP="00BC7356">
      <w:pPr>
        <w:pStyle w:val="FootnoteText"/>
        <w:rPr>
          <w:sz w:val="20"/>
          <w:szCs w:val="20"/>
        </w:rPr>
      </w:pPr>
      <w:r w:rsidRPr="008E210F">
        <w:rPr>
          <w:rStyle w:val="FootnoteReference"/>
          <w:sz w:val="20"/>
          <w:szCs w:val="20"/>
        </w:rPr>
        <w:footnoteRef/>
      </w:r>
      <w:r w:rsidRPr="008E210F">
        <w:rPr>
          <w:sz w:val="20"/>
          <w:szCs w:val="20"/>
        </w:rPr>
        <w:t xml:space="preserve"> https://www.ncbi.nlm.nih.gov/pmc/articles/PMC6876852/</w:t>
      </w:r>
    </w:p>
  </w:footnote>
  <w:footnote w:id="21">
    <w:p w14:paraId="0991436F" w14:textId="77777777" w:rsidR="007955A1" w:rsidRPr="008E210F" w:rsidRDefault="007955A1" w:rsidP="00BC7356">
      <w:pPr>
        <w:pStyle w:val="FootnoteText"/>
        <w:rPr>
          <w:sz w:val="20"/>
          <w:szCs w:val="20"/>
        </w:rPr>
      </w:pPr>
      <w:r w:rsidRPr="008E210F">
        <w:rPr>
          <w:rStyle w:val="FootnoteReference"/>
          <w:sz w:val="20"/>
          <w:szCs w:val="20"/>
        </w:rPr>
        <w:footnoteRef/>
      </w:r>
      <w:r w:rsidRPr="008E210F">
        <w:rPr>
          <w:sz w:val="20"/>
          <w:szCs w:val="20"/>
        </w:rPr>
        <w:t xml:space="preserve"> </w:t>
      </w:r>
      <w:hyperlink r:id="rId15" w:history="1">
        <w:r w:rsidRPr="008E210F">
          <w:rPr>
            <w:rStyle w:val="Hyperlink"/>
            <w:sz w:val="20"/>
            <w:szCs w:val="20"/>
          </w:rPr>
          <w:t>https://osgf.ge/en/publication/report-of-the-coalition-for-equality-and-other-ngos/</w:t>
        </w:r>
      </w:hyperlink>
    </w:p>
  </w:footnote>
  <w:footnote w:id="22">
    <w:p w14:paraId="41F7A47E" w14:textId="35F97866" w:rsidR="007955A1" w:rsidRPr="008E210F" w:rsidRDefault="007955A1" w:rsidP="008713F1">
      <w:pPr>
        <w:pStyle w:val="FootnoteText"/>
        <w:rPr>
          <w:sz w:val="20"/>
          <w:szCs w:val="20"/>
        </w:rPr>
      </w:pPr>
      <w:r w:rsidRPr="008E210F">
        <w:rPr>
          <w:rStyle w:val="FootnoteReference"/>
          <w:sz w:val="20"/>
          <w:szCs w:val="20"/>
        </w:rPr>
        <w:footnoteRef/>
      </w:r>
      <w:r w:rsidRPr="008E210F">
        <w:rPr>
          <w:sz w:val="20"/>
          <w:szCs w:val="20"/>
        </w:rPr>
        <w:t xml:space="preserve"> Access to the Opioid Substitution Therapy in Georgian Prisons: The Focus on Current Challenges and Barriers. Institute of Addiction Studies, Ilia State University&amp; Alternative Georgia. Tbilisi, December, 2019. Page 8. Online: </w:t>
      </w:r>
      <w:hyperlink r:id="rId16" w:history="1">
        <w:r w:rsidRPr="008E210F">
          <w:rPr>
            <w:rStyle w:val="Hyperlink"/>
            <w:sz w:val="20"/>
            <w:szCs w:val="20"/>
          </w:rPr>
          <w:t>https://altgeorgia.ge/media/uploads/ost-in-prison-report-eng.pdf</w:t>
        </w:r>
      </w:hyperlink>
      <w:r w:rsidRPr="008E210F">
        <w:rPr>
          <w:sz w:val="20"/>
          <w:szCs w:val="20"/>
        </w:rPr>
        <w:t xml:space="preserve"> </w:t>
      </w:r>
    </w:p>
  </w:footnote>
  <w:footnote w:id="23">
    <w:p w14:paraId="689E1FBA" w14:textId="2164B939" w:rsidR="007955A1" w:rsidRPr="008E210F" w:rsidRDefault="007955A1" w:rsidP="006E2DBB">
      <w:pPr>
        <w:pStyle w:val="FootnoteText"/>
        <w:rPr>
          <w:sz w:val="20"/>
          <w:szCs w:val="20"/>
        </w:rPr>
      </w:pPr>
      <w:r w:rsidRPr="008E210F">
        <w:rPr>
          <w:rStyle w:val="FootnoteReference"/>
          <w:sz w:val="20"/>
          <w:szCs w:val="20"/>
        </w:rPr>
        <w:footnoteRef/>
      </w:r>
      <w:r w:rsidRPr="008E210F">
        <w:rPr>
          <w:sz w:val="20"/>
          <w:szCs w:val="20"/>
        </w:rPr>
        <w:t xml:space="preserve"> </w:t>
      </w:r>
      <w:r w:rsidR="006329AD" w:rsidRPr="008E210F">
        <w:rPr>
          <w:sz w:val="20"/>
          <w:szCs w:val="20"/>
        </w:rPr>
        <w:t>Ibid</w:t>
      </w:r>
    </w:p>
  </w:footnote>
  <w:footnote w:id="24">
    <w:p w14:paraId="0DC981BF" w14:textId="1C311D92" w:rsidR="007955A1" w:rsidRDefault="007955A1">
      <w:pPr>
        <w:pStyle w:val="FootnoteText"/>
      </w:pPr>
      <w:r w:rsidRPr="008E210F">
        <w:rPr>
          <w:rStyle w:val="FootnoteReference"/>
          <w:sz w:val="20"/>
          <w:szCs w:val="20"/>
        </w:rPr>
        <w:footnoteRef/>
      </w:r>
      <w:r w:rsidRPr="008E210F">
        <w:rPr>
          <w:sz w:val="20"/>
          <w:szCs w:val="20"/>
        </w:rPr>
        <w:t xml:space="preserve"> This Annex is a copied from </w:t>
      </w:r>
      <w:r w:rsidRPr="008E210F">
        <w:rPr>
          <w:i/>
          <w:sz w:val="20"/>
          <w:szCs w:val="20"/>
        </w:rPr>
        <w:t xml:space="preserve">Matrix for analysing trends in human rights violations against people who use drugs. </w:t>
      </w:r>
      <w:r w:rsidRPr="008E210F">
        <w:rPr>
          <w:sz w:val="20"/>
          <w:szCs w:val="20"/>
        </w:rPr>
        <w:t xml:space="preserve">Eurasian Harm Reduction Association. 2022. Online: </w:t>
      </w:r>
      <w:hyperlink r:id="rId17" w:history="1">
        <w:r w:rsidRPr="008E210F">
          <w:rPr>
            <w:rStyle w:val="Hyperlink"/>
            <w:sz w:val="20"/>
            <w:szCs w:val="20"/>
          </w:rPr>
          <w:t>https://harmreductioneurasia.org/news/matrix-for-analysing-trends</w:t>
        </w:r>
      </w:hyperlink>
      <w:r w:rsidRPr="008E210F">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067A"/>
    <w:multiLevelType w:val="multilevel"/>
    <w:tmpl w:val="4D52B1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A1DAE"/>
    <w:multiLevelType w:val="multilevel"/>
    <w:tmpl w:val="97261C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4C4D77"/>
    <w:multiLevelType w:val="multilevel"/>
    <w:tmpl w:val="2C4A8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BB14AE"/>
    <w:multiLevelType w:val="hybridMultilevel"/>
    <w:tmpl w:val="04822752"/>
    <w:lvl w:ilvl="0" w:tplc="1009000F">
      <w:start w:val="1"/>
      <w:numFmt w:val="decimal"/>
      <w:lvlText w:val="%1."/>
      <w:lvlJc w:val="left"/>
      <w:pPr>
        <w:ind w:left="1017" w:hanging="360"/>
      </w:pPr>
    </w:lvl>
    <w:lvl w:ilvl="1" w:tplc="10090019" w:tentative="1">
      <w:start w:val="1"/>
      <w:numFmt w:val="lowerLetter"/>
      <w:lvlText w:val="%2."/>
      <w:lvlJc w:val="left"/>
      <w:pPr>
        <w:ind w:left="1737" w:hanging="360"/>
      </w:pPr>
    </w:lvl>
    <w:lvl w:ilvl="2" w:tplc="1009001B" w:tentative="1">
      <w:start w:val="1"/>
      <w:numFmt w:val="lowerRoman"/>
      <w:lvlText w:val="%3."/>
      <w:lvlJc w:val="right"/>
      <w:pPr>
        <w:ind w:left="2457" w:hanging="180"/>
      </w:pPr>
    </w:lvl>
    <w:lvl w:ilvl="3" w:tplc="1009000F" w:tentative="1">
      <w:start w:val="1"/>
      <w:numFmt w:val="decimal"/>
      <w:lvlText w:val="%4."/>
      <w:lvlJc w:val="left"/>
      <w:pPr>
        <w:ind w:left="3177" w:hanging="360"/>
      </w:pPr>
    </w:lvl>
    <w:lvl w:ilvl="4" w:tplc="10090019" w:tentative="1">
      <w:start w:val="1"/>
      <w:numFmt w:val="lowerLetter"/>
      <w:lvlText w:val="%5."/>
      <w:lvlJc w:val="left"/>
      <w:pPr>
        <w:ind w:left="3897" w:hanging="360"/>
      </w:pPr>
    </w:lvl>
    <w:lvl w:ilvl="5" w:tplc="1009001B" w:tentative="1">
      <w:start w:val="1"/>
      <w:numFmt w:val="lowerRoman"/>
      <w:lvlText w:val="%6."/>
      <w:lvlJc w:val="right"/>
      <w:pPr>
        <w:ind w:left="4617" w:hanging="180"/>
      </w:pPr>
    </w:lvl>
    <w:lvl w:ilvl="6" w:tplc="1009000F" w:tentative="1">
      <w:start w:val="1"/>
      <w:numFmt w:val="decimal"/>
      <w:lvlText w:val="%7."/>
      <w:lvlJc w:val="left"/>
      <w:pPr>
        <w:ind w:left="5337" w:hanging="360"/>
      </w:pPr>
    </w:lvl>
    <w:lvl w:ilvl="7" w:tplc="10090019" w:tentative="1">
      <w:start w:val="1"/>
      <w:numFmt w:val="lowerLetter"/>
      <w:lvlText w:val="%8."/>
      <w:lvlJc w:val="left"/>
      <w:pPr>
        <w:ind w:left="6057" w:hanging="360"/>
      </w:pPr>
    </w:lvl>
    <w:lvl w:ilvl="8" w:tplc="1009001B" w:tentative="1">
      <w:start w:val="1"/>
      <w:numFmt w:val="lowerRoman"/>
      <w:lvlText w:val="%9."/>
      <w:lvlJc w:val="right"/>
      <w:pPr>
        <w:ind w:left="6777" w:hanging="180"/>
      </w:pPr>
    </w:lvl>
  </w:abstractNum>
  <w:abstractNum w:abstractNumId="4" w15:restartNumberingAfterBreak="0">
    <w:nsid w:val="28353F5E"/>
    <w:multiLevelType w:val="multilevel"/>
    <w:tmpl w:val="883A8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6436A9"/>
    <w:multiLevelType w:val="multilevel"/>
    <w:tmpl w:val="5F84A3B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0B42E9"/>
    <w:multiLevelType w:val="hybridMultilevel"/>
    <w:tmpl w:val="61ECF974"/>
    <w:lvl w:ilvl="0" w:tplc="5226E29E">
      <w:start w:val="33"/>
      <w:numFmt w:val="bullet"/>
      <w:lvlText w:val="-"/>
      <w:lvlJc w:val="left"/>
      <w:pPr>
        <w:ind w:left="941" w:hanging="360"/>
      </w:pPr>
      <w:rPr>
        <w:rFonts w:ascii="Times New Roman" w:eastAsia="Sylfaen" w:hAnsi="Times New Roman" w:cs="Times New Roman"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7" w15:restartNumberingAfterBreak="0">
    <w:nsid w:val="41D13776"/>
    <w:multiLevelType w:val="multilevel"/>
    <w:tmpl w:val="CB5070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A83888"/>
    <w:multiLevelType w:val="multilevel"/>
    <w:tmpl w:val="15A825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911AC1"/>
    <w:multiLevelType w:val="multilevel"/>
    <w:tmpl w:val="423E90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B53EBA"/>
    <w:multiLevelType w:val="multilevel"/>
    <w:tmpl w:val="6A468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5335C4"/>
    <w:multiLevelType w:val="multilevel"/>
    <w:tmpl w:val="CD9EA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C7172B"/>
    <w:multiLevelType w:val="multilevel"/>
    <w:tmpl w:val="E150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1E78D1"/>
    <w:multiLevelType w:val="hybridMultilevel"/>
    <w:tmpl w:val="87AEAE58"/>
    <w:lvl w:ilvl="0" w:tplc="5226E29E">
      <w:start w:val="33"/>
      <w:numFmt w:val="bullet"/>
      <w:lvlText w:val="-"/>
      <w:lvlJc w:val="left"/>
      <w:pPr>
        <w:ind w:left="657" w:hanging="360"/>
      </w:pPr>
      <w:rPr>
        <w:rFonts w:ascii="Times New Roman" w:eastAsia="Sylfaen" w:hAnsi="Times New Roman" w:cs="Times New Roman" w:hint="default"/>
      </w:rPr>
    </w:lvl>
    <w:lvl w:ilvl="1" w:tplc="10090003" w:tentative="1">
      <w:start w:val="1"/>
      <w:numFmt w:val="bullet"/>
      <w:lvlText w:val="o"/>
      <w:lvlJc w:val="left"/>
      <w:pPr>
        <w:ind w:left="1377" w:hanging="360"/>
      </w:pPr>
      <w:rPr>
        <w:rFonts w:ascii="Courier New" w:hAnsi="Courier New" w:cs="Courier New" w:hint="default"/>
      </w:rPr>
    </w:lvl>
    <w:lvl w:ilvl="2" w:tplc="10090005" w:tentative="1">
      <w:start w:val="1"/>
      <w:numFmt w:val="bullet"/>
      <w:lvlText w:val=""/>
      <w:lvlJc w:val="left"/>
      <w:pPr>
        <w:ind w:left="2097" w:hanging="360"/>
      </w:pPr>
      <w:rPr>
        <w:rFonts w:ascii="Wingdings" w:hAnsi="Wingdings" w:hint="default"/>
      </w:rPr>
    </w:lvl>
    <w:lvl w:ilvl="3" w:tplc="10090001" w:tentative="1">
      <w:start w:val="1"/>
      <w:numFmt w:val="bullet"/>
      <w:lvlText w:val=""/>
      <w:lvlJc w:val="left"/>
      <w:pPr>
        <w:ind w:left="2817" w:hanging="360"/>
      </w:pPr>
      <w:rPr>
        <w:rFonts w:ascii="Symbol" w:hAnsi="Symbol" w:hint="default"/>
      </w:rPr>
    </w:lvl>
    <w:lvl w:ilvl="4" w:tplc="10090003" w:tentative="1">
      <w:start w:val="1"/>
      <w:numFmt w:val="bullet"/>
      <w:lvlText w:val="o"/>
      <w:lvlJc w:val="left"/>
      <w:pPr>
        <w:ind w:left="3537" w:hanging="360"/>
      </w:pPr>
      <w:rPr>
        <w:rFonts w:ascii="Courier New" w:hAnsi="Courier New" w:cs="Courier New" w:hint="default"/>
      </w:rPr>
    </w:lvl>
    <w:lvl w:ilvl="5" w:tplc="10090005" w:tentative="1">
      <w:start w:val="1"/>
      <w:numFmt w:val="bullet"/>
      <w:lvlText w:val=""/>
      <w:lvlJc w:val="left"/>
      <w:pPr>
        <w:ind w:left="4257" w:hanging="360"/>
      </w:pPr>
      <w:rPr>
        <w:rFonts w:ascii="Wingdings" w:hAnsi="Wingdings" w:hint="default"/>
      </w:rPr>
    </w:lvl>
    <w:lvl w:ilvl="6" w:tplc="10090001" w:tentative="1">
      <w:start w:val="1"/>
      <w:numFmt w:val="bullet"/>
      <w:lvlText w:val=""/>
      <w:lvlJc w:val="left"/>
      <w:pPr>
        <w:ind w:left="4977" w:hanging="360"/>
      </w:pPr>
      <w:rPr>
        <w:rFonts w:ascii="Symbol" w:hAnsi="Symbol" w:hint="default"/>
      </w:rPr>
    </w:lvl>
    <w:lvl w:ilvl="7" w:tplc="10090003" w:tentative="1">
      <w:start w:val="1"/>
      <w:numFmt w:val="bullet"/>
      <w:lvlText w:val="o"/>
      <w:lvlJc w:val="left"/>
      <w:pPr>
        <w:ind w:left="5697" w:hanging="360"/>
      </w:pPr>
      <w:rPr>
        <w:rFonts w:ascii="Courier New" w:hAnsi="Courier New" w:cs="Courier New" w:hint="default"/>
      </w:rPr>
    </w:lvl>
    <w:lvl w:ilvl="8" w:tplc="10090005" w:tentative="1">
      <w:start w:val="1"/>
      <w:numFmt w:val="bullet"/>
      <w:lvlText w:val=""/>
      <w:lvlJc w:val="left"/>
      <w:pPr>
        <w:ind w:left="6417" w:hanging="360"/>
      </w:pPr>
      <w:rPr>
        <w:rFonts w:ascii="Wingdings" w:hAnsi="Wingdings" w:hint="default"/>
      </w:rPr>
    </w:lvl>
  </w:abstractNum>
  <w:abstractNum w:abstractNumId="14" w15:restartNumberingAfterBreak="0">
    <w:nsid w:val="5E897DEA"/>
    <w:multiLevelType w:val="multilevel"/>
    <w:tmpl w:val="838654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1D7500"/>
    <w:multiLevelType w:val="multilevel"/>
    <w:tmpl w:val="A5A43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5B4A5C"/>
    <w:multiLevelType w:val="multilevel"/>
    <w:tmpl w:val="DDB04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9448EB"/>
    <w:multiLevelType w:val="multilevel"/>
    <w:tmpl w:val="61E630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C20E26"/>
    <w:multiLevelType w:val="multilevel"/>
    <w:tmpl w:val="E870B8B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A86E35"/>
    <w:multiLevelType w:val="multilevel"/>
    <w:tmpl w:val="58007A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F41A78"/>
    <w:multiLevelType w:val="multilevel"/>
    <w:tmpl w:val="2E1C45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2236844">
    <w:abstractNumId w:val="13"/>
  </w:num>
  <w:num w:numId="2" w16cid:durableId="993722398">
    <w:abstractNumId w:val="11"/>
  </w:num>
  <w:num w:numId="3" w16cid:durableId="1343822126">
    <w:abstractNumId w:val="15"/>
  </w:num>
  <w:num w:numId="4" w16cid:durableId="1456871591">
    <w:abstractNumId w:val="9"/>
    <w:lvlOverride w:ilvl="0">
      <w:lvl w:ilvl="0">
        <w:numFmt w:val="decimal"/>
        <w:lvlText w:val="%1."/>
        <w:lvlJc w:val="left"/>
      </w:lvl>
    </w:lvlOverride>
  </w:num>
  <w:num w:numId="5" w16cid:durableId="960110293">
    <w:abstractNumId w:val="2"/>
    <w:lvlOverride w:ilvl="0">
      <w:lvl w:ilvl="0">
        <w:numFmt w:val="decimal"/>
        <w:lvlText w:val="%1."/>
        <w:lvlJc w:val="left"/>
      </w:lvl>
    </w:lvlOverride>
  </w:num>
  <w:num w:numId="6" w16cid:durableId="1794979222">
    <w:abstractNumId w:val="7"/>
    <w:lvlOverride w:ilvl="0">
      <w:lvl w:ilvl="0">
        <w:numFmt w:val="decimal"/>
        <w:lvlText w:val="%1."/>
        <w:lvlJc w:val="left"/>
      </w:lvl>
    </w:lvlOverride>
  </w:num>
  <w:num w:numId="7" w16cid:durableId="1423068551">
    <w:abstractNumId w:val="17"/>
    <w:lvlOverride w:ilvl="0">
      <w:lvl w:ilvl="0">
        <w:numFmt w:val="decimal"/>
        <w:lvlText w:val="%1."/>
        <w:lvlJc w:val="left"/>
      </w:lvl>
    </w:lvlOverride>
  </w:num>
  <w:num w:numId="8" w16cid:durableId="1920869366">
    <w:abstractNumId w:val="1"/>
    <w:lvlOverride w:ilvl="0">
      <w:lvl w:ilvl="0">
        <w:numFmt w:val="decimal"/>
        <w:lvlText w:val="%1."/>
        <w:lvlJc w:val="left"/>
      </w:lvl>
    </w:lvlOverride>
  </w:num>
  <w:num w:numId="9" w16cid:durableId="1397360287">
    <w:abstractNumId w:val="20"/>
    <w:lvlOverride w:ilvl="0">
      <w:lvl w:ilvl="0">
        <w:numFmt w:val="decimal"/>
        <w:lvlText w:val="%1."/>
        <w:lvlJc w:val="left"/>
      </w:lvl>
    </w:lvlOverride>
  </w:num>
  <w:num w:numId="10" w16cid:durableId="578095799">
    <w:abstractNumId w:val="0"/>
    <w:lvlOverride w:ilvl="0">
      <w:lvl w:ilvl="0">
        <w:numFmt w:val="decimal"/>
        <w:lvlText w:val="%1."/>
        <w:lvlJc w:val="left"/>
      </w:lvl>
    </w:lvlOverride>
  </w:num>
  <w:num w:numId="11" w16cid:durableId="1236404405">
    <w:abstractNumId w:val="18"/>
    <w:lvlOverride w:ilvl="0">
      <w:lvl w:ilvl="0">
        <w:numFmt w:val="decimal"/>
        <w:lvlText w:val="%1."/>
        <w:lvlJc w:val="left"/>
      </w:lvl>
    </w:lvlOverride>
  </w:num>
  <w:num w:numId="12" w16cid:durableId="731855762">
    <w:abstractNumId w:val="5"/>
    <w:lvlOverride w:ilvl="0">
      <w:lvl w:ilvl="0">
        <w:numFmt w:val="decimal"/>
        <w:lvlText w:val="%1."/>
        <w:lvlJc w:val="left"/>
      </w:lvl>
    </w:lvlOverride>
  </w:num>
  <w:num w:numId="13" w16cid:durableId="291448500">
    <w:abstractNumId w:val="19"/>
    <w:lvlOverride w:ilvl="0">
      <w:lvl w:ilvl="0">
        <w:numFmt w:val="decimal"/>
        <w:lvlText w:val="%1."/>
        <w:lvlJc w:val="left"/>
      </w:lvl>
    </w:lvlOverride>
  </w:num>
  <w:num w:numId="14" w16cid:durableId="900948234">
    <w:abstractNumId w:val="16"/>
  </w:num>
  <w:num w:numId="15" w16cid:durableId="540437930">
    <w:abstractNumId w:val="12"/>
  </w:num>
  <w:num w:numId="16" w16cid:durableId="1003899426">
    <w:abstractNumId w:val="10"/>
  </w:num>
  <w:num w:numId="17" w16cid:durableId="1317687203">
    <w:abstractNumId w:val="4"/>
  </w:num>
  <w:num w:numId="18" w16cid:durableId="1386685663">
    <w:abstractNumId w:val="8"/>
    <w:lvlOverride w:ilvl="0">
      <w:lvl w:ilvl="0">
        <w:numFmt w:val="decimal"/>
        <w:lvlText w:val="%1."/>
        <w:lvlJc w:val="left"/>
      </w:lvl>
    </w:lvlOverride>
  </w:num>
  <w:num w:numId="19" w16cid:durableId="991103291">
    <w:abstractNumId w:val="14"/>
    <w:lvlOverride w:ilvl="0">
      <w:lvl w:ilvl="0">
        <w:numFmt w:val="decimal"/>
        <w:lvlText w:val="%1."/>
        <w:lvlJc w:val="left"/>
      </w:lvl>
    </w:lvlOverride>
  </w:num>
  <w:num w:numId="20" w16cid:durableId="1046757803">
    <w:abstractNumId w:val="3"/>
  </w:num>
  <w:num w:numId="21" w16cid:durableId="1587688706">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U0N7IwNzE1MjQ2NzZW0lEKTi0uzszPAykwrQUAC6lqDSwAAAA="/>
  </w:docVars>
  <w:rsids>
    <w:rsidRoot w:val="00A4508E"/>
    <w:rsid w:val="00004024"/>
    <w:rsid w:val="00004FBC"/>
    <w:rsid w:val="000051F7"/>
    <w:rsid w:val="00007191"/>
    <w:rsid w:val="00023176"/>
    <w:rsid w:val="0002479D"/>
    <w:rsid w:val="000252C8"/>
    <w:rsid w:val="00027579"/>
    <w:rsid w:val="0003386F"/>
    <w:rsid w:val="00034E1B"/>
    <w:rsid w:val="00041631"/>
    <w:rsid w:val="00044F29"/>
    <w:rsid w:val="00046A81"/>
    <w:rsid w:val="000500ED"/>
    <w:rsid w:val="000505E8"/>
    <w:rsid w:val="00054D7E"/>
    <w:rsid w:val="000559A2"/>
    <w:rsid w:val="00057032"/>
    <w:rsid w:val="00061074"/>
    <w:rsid w:val="000673A8"/>
    <w:rsid w:val="00071588"/>
    <w:rsid w:val="00074D1B"/>
    <w:rsid w:val="000806B9"/>
    <w:rsid w:val="000816D3"/>
    <w:rsid w:val="000818B4"/>
    <w:rsid w:val="0008195E"/>
    <w:rsid w:val="00082801"/>
    <w:rsid w:val="000839FC"/>
    <w:rsid w:val="000868EE"/>
    <w:rsid w:val="00095221"/>
    <w:rsid w:val="00097D37"/>
    <w:rsid w:val="000B191F"/>
    <w:rsid w:val="000B3B38"/>
    <w:rsid w:val="000C461E"/>
    <w:rsid w:val="000D136D"/>
    <w:rsid w:val="000D2E6D"/>
    <w:rsid w:val="000E6263"/>
    <w:rsid w:val="000E62B4"/>
    <w:rsid w:val="000E7318"/>
    <w:rsid w:val="000F0125"/>
    <w:rsid w:val="00102457"/>
    <w:rsid w:val="00105DB9"/>
    <w:rsid w:val="0010612F"/>
    <w:rsid w:val="00106452"/>
    <w:rsid w:val="00107864"/>
    <w:rsid w:val="00113103"/>
    <w:rsid w:val="00117DD9"/>
    <w:rsid w:val="0012149E"/>
    <w:rsid w:val="001233FD"/>
    <w:rsid w:val="00125E2B"/>
    <w:rsid w:val="00135084"/>
    <w:rsid w:val="00135247"/>
    <w:rsid w:val="00136FCD"/>
    <w:rsid w:val="00137651"/>
    <w:rsid w:val="00147BE7"/>
    <w:rsid w:val="00157643"/>
    <w:rsid w:val="00160C0F"/>
    <w:rsid w:val="00163907"/>
    <w:rsid w:val="00164A18"/>
    <w:rsid w:val="001658FB"/>
    <w:rsid w:val="00176952"/>
    <w:rsid w:val="00182222"/>
    <w:rsid w:val="00184AF3"/>
    <w:rsid w:val="001900BC"/>
    <w:rsid w:val="00191AAB"/>
    <w:rsid w:val="001A226F"/>
    <w:rsid w:val="001B0D32"/>
    <w:rsid w:val="001B1414"/>
    <w:rsid w:val="001B481D"/>
    <w:rsid w:val="001B4D45"/>
    <w:rsid w:val="001B5BFA"/>
    <w:rsid w:val="001C26DA"/>
    <w:rsid w:val="001C2817"/>
    <w:rsid w:val="001D1D43"/>
    <w:rsid w:val="001D1D81"/>
    <w:rsid w:val="001D65C2"/>
    <w:rsid w:val="001E04B4"/>
    <w:rsid w:val="001F3BCE"/>
    <w:rsid w:val="001F7220"/>
    <w:rsid w:val="00204725"/>
    <w:rsid w:val="00207B4E"/>
    <w:rsid w:val="0021220A"/>
    <w:rsid w:val="00214024"/>
    <w:rsid w:val="00231B24"/>
    <w:rsid w:val="00235D32"/>
    <w:rsid w:val="00236BA7"/>
    <w:rsid w:val="00240920"/>
    <w:rsid w:val="00242104"/>
    <w:rsid w:val="002459BE"/>
    <w:rsid w:val="0024730F"/>
    <w:rsid w:val="00251895"/>
    <w:rsid w:val="0025628F"/>
    <w:rsid w:val="0026023F"/>
    <w:rsid w:val="00264A0D"/>
    <w:rsid w:val="00264B26"/>
    <w:rsid w:val="0027538E"/>
    <w:rsid w:val="00276F30"/>
    <w:rsid w:val="002809BE"/>
    <w:rsid w:val="00286922"/>
    <w:rsid w:val="00287EFA"/>
    <w:rsid w:val="002900F5"/>
    <w:rsid w:val="00291393"/>
    <w:rsid w:val="002A3CE0"/>
    <w:rsid w:val="002B1F19"/>
    <w:rsid w:val="002B5E10"/>
    <w:rsid w:val="002B66C8"/>
    <w:rsid w:val="002B6780"/>
    <w:rsid w:val="002C2210"/>
    <w:rsid w:val="002C429D"/>
    <w:rsid w:val="002D0D2C"/>
    <w:rsid w:val="002D224C"/>
    <w:rsid w:val="002D27A1"/>
    <w:rsid w:val="002D61F3"/>
    <w:rsid w:val="002D7C18"/>
    <w:rsid w:val="002E4B40"/>
    <w:rsid w:val="002E5CD7"/>
    <w:rsid w:val="002F322F"/>
    <w:rsid w:val="002F4F6E"/>
    <w:rsid w:val="0031038E"/>
    <w:rsid w:val="0032053B"/>
    <w:rsid w:val="0032077C"/>
    <w:rsid w:val="003222E7"/>
    <w:rsid w:val="00333447"/>
    <w:rsid w:val="00337E96"/>
    <w:rsid w:val="0034685E"/>
    <w:rsid w:val="003500A0"/>
    <w:rsid w:val="00367E0A"/>
    <w:rsid w:val="00367ECB"/>
    <w:rsid w:val="0037094B"/>
    <w:rsid w:val="0037149C"/>
    <w:rsid w:val="00371A9C"/>
    <w:rsid w:val="003749A1"/>
    <w:rsid w:val="00375FFD"/>
    <w:rsid w:val="00376072"/>
    <w:rsid w:val="00380B01"/>
    <w:rsid w:val="00380FC7"/>
    <w:rsid w:val="00383495"/>
    <w:rsid w:val="0038457E"/>
    <w:rsid w:val="00384826"/>
    <w:rsid w:val="00387003"/>
    <w:rsid w:val="00393404"/>
    <w:rsid w:val="0039389F"/>
    <w:rsid w:val="003A5D81"/>
    <w:rsid w:val="003A64FB"/>
    <w:rsid w:val="003B1DB4"/>
    <w:rsid w:val="003B27AF"/>
    <w:rsid w:val="003B3821"/>
    <w:rsid w:val="003B3F6E"/>
    <w:rsid w:val="003B6357"/>
    <w:rsid w:val="003B67D2"/>
    <w:rsid w:val="003B77C4"/>
    <w:rsid w:val="003D1943"/>
    <w:rsid w:val="003D28C9"/>
    <w:rsid w:val="003D3B42"/>
    <w:rsid w:val="003D4621"/>
    <w:rsid w:val="003D5407"/>
    <w:rsid w:val="003D5BF1"/>
    <w:rsid w:val="003E323F"/>
    <w:rsid w:val="003F505C"/>
    <w:rsid w:val="00406C0F"/>
    <w:rsid w:val="004070EE"/>
    <w:rsid w:val="00413318"/>
    <w:rsid w:val="00417A15"/>
    <w:rsid w:val="00421326"/>
    <w:rsid w:val="00424FF5"/>
    <w:rsid w:val="0042600D"/>
    <w:rsid w:val="00431BEB"/>
    <w:rsid w:val="00432718"/>
    <w:rsid w:val="00432807"/>
    <w:rsid w:val="004339E3"/>
    <w:rsid w:val="00433B06"/>
    <w:rsid w:val="00437C24"/>
    <w:rsid w:val="00440912"/>
    <w:rsid w:val="00443593"/>
    <w:rsid w:val="00452307"/>
    <w:rsid w:val="004562A6"/>
    <w:rsid w:val="00460A57"/>
    <w:rsid w:val="00461748"/>
    <w:rsid w:val="00462266"/>
    <w:rsid w:val="00465EE9"/>
    <w:rsid w:val="00471BDD"/>
    <w:rsid w:val="004737AD"/>
    <w:rsid w:val="0047533B"/>
    <w:rsid w:val="004862DE"/>
    <w:rsid w:val="00493DA0"/>
    <w:rsid w:val="004A273B"/>
    <w:rsid w:val="004B2129"/>
    <w:rsid w:val="004B2B35"/>
    <w:rsid w:val="004C2B0F"/>
    <w:rsid w:val="004C6DD9"/>
    <w:rsid w:val="004C7A51"/>
    <w:rsid w:val="004C7ED2"/>
    <w:rsid w:val="004D7084"/>
    <w:rsid w:val="004D78C5"/>
    <w:rsid w:val="004E4A3D"/>
    <w:rsid w:val="004E7C3A"/>
    <w:rsid w:val="004F09FF"/>
    <w:rsid w:val="004F1517"/>
    <w:rsid w:val="004F24A0"/>
    <w:rsid w:val="004F3B54"/>
    <w:rsid w:val="005001AE"/>
    <w:rsid w:val="005013A2"/>
    <w:rsid w:val="00503776"/>
    <w:rsid w:val="00512F8F"/>
    <w:rsid w:val="005136C7"/>
    <w:rsid w:val="00523812"/>
    <w:rsid w:val="00525731"/>
    <w:rsid w:val="005263DA"/>
    <w:rsid w:val="00527248"/>
    <w:rsid w:val="00527E13"/>
    <w:rsid w:val="00530529"/>
    <w:rsid w:val="00531FC8"/>
    <w:rsid w:val="005322E8"/>
    <w:rsid w:val="00534590"/>
    <w:rsid w:val="00536CE9"/>
    <w:rsid w:val="005410E3"/>
    <w:rsid w:val="0054277A"/>
    <w:rsid w:val="00547752"/>
    <w:rsid w:val="00547910"/>
    <w:rsid w:val="005524F9"/>
    <w:rsid w:val="00553032"/>
    <w:rsid w:val="00555561"/>
    <w:rsid w:val="00561635"/>
    <w:rsid w:val="00564065"/>
    <w:rsid w:val="00567268"/>
    <w:rsid w:val="00582F03"/>
    <w:rsid w:val="00583EA1"/>
    <w:rsid w:val="00584501"/>
    <w:rsid w:val="00587657"/>
    <w:rsid w:val="00596421"/>
    <w:rsid w:val="005A6093"/>
    <w:rsid w:val="005B1274"/>
    <w:rsid w:val="005B6A71"/>
    <w:rsid w:val="005C08BA"/>
    <w:rsid w:val="005C212B"/>
    <w:rsid w:val="005D0B3D"/>
    <w:rsid w:val="005D321F"/>
    <w:rsid w:val="005D3DF2"/>
    <w:rsid w:val="005E0DE3"/>
    <w:rsid w:val="005E7CCB"/>
    <w:rsid w:val="005F0964"/>
    <w:rsid w:val="005F3507"/>
    <w:rsid w:val="005F3C12"/>
    <w:rsid w:val="005F76DB"/>
    <w:rsid w:val="00600697"/>
    <w:rsid w:val="00601A4F"/>
    <w:rsid w:val="006047BB"/>
    <w:rsid w:val="00605346"/>
    <w:rsid w:val="00606A2B"/>
    <w:rsid w:val="00617C92"/>
    <w:rsid w:val="006208DA"/>
    <w:rsid w:val="00620AF5"/>
    <w:rsid w:val="00625AF1"/>
    <w:rsid w:val="00626EFF"/>
    <w:rsid w:val="0063134F"/>
    <w:rsid w:val="00631B6E"/>
    <w:rsid w:val="006321B5"/>
    <w:rsid w:val="006329AD"/>
    <w:rsid w:val="00640782"/>
    <w:rsid w:val="00660D94"/>
    <w:rsid w:val="00660EBC"/>
    <w:rsid w:val="00663FD7"/>
    <w:rsid w:val="006647F1"/>
    <w:rsid w:val="00667887"/>
    <w:rsid w:val="006761E8"/>
    <w:rsid w:val="0069325B"/>
    <w:rsid w:val="006938F1"/>
    <w:rsid w:val="0069456B"/>
    <w:rsid w:val="006A2597"/>
    <w:rsid w:val="006A29FF"/>
    <w:rsid w:val="006B2031"/>
    <w:rsid w:val="006B2222"/>
    <w:rsid w:val="006B3433"/>
    <w:rsid w:val="006C5292"/>
    <w:rsid w:val="006C6080"/>
    <w:rsid w:val="006C7A77"/>
    <w:rsid w:val="006E1727"/>
    <w:rsid w:val="006E2120"/>
    <w:rsid w:val="006E2DBB"/>
    <w:rsid w:val="006E31D9"/>
    <w:rsid w:val="006E356F"/>
    <w:rsid w:val="006F011D"/>
    <w:rsid w:val="006F36EE"/>
    <w:rsid w:val="00704786"/>
    <w:rsid w:val="0070685D"/>
    <w:rsid w:val="007123A2"/>
    <w:rsid w:val="0072047B"/>
    <w:rsid w:val="0073571A"/>
    <w:rsid w:val="00743409"/>
    <w:rsid w:val="00744E06"/>
    <w:rsid w:val="0075295F"/>
    <w:rsid w:val="00757F29"/>
    <w:rsid w:val="007609F1"/>
    <w:rsid w:val="0077066F"/>
    <w:rsid w:val="00773F5F"/>
    <w:rsid w:val="007953C5"/>
    <w:rsid w:val="007955A1"/>
    <w:rsid w:val="007A3442"/>
    <w:rsid w:val="007A68E5"/>
    <w:rsid w:val="007B4BDE"/>
    <w:rsid w:val="007B6615"/>
    <w:rsid w:val="007B7E7D"/>
    <w:rsid w:val="007D2232"/>
    <w:rsid w:val="007D5CE2"/>
    <w:rsid w:val="007D6665"/>
    <w:rsid w:val="007E0D8F"/>
    <w:rsid w:val="007E1DCF"/>
    <w:rsid w:val="007E30ED"/>
    <w:rsid w:val="007E3686"/>
    <w:rsid w:val="007F3913"/>
    <w:rsid w:val="007F555F"/>
    <w:rsid w:val="007F57BD"/>
    <w:rsid w:val="007F5813"/>
    <w:rsid w:val="00801238"/>
    <w:rsid w:val="00801388"/>
    <w:rsid w:val="0080575A"/>
    <w:rsid w:val="0081000B"/>
    <w:rsid w:val="00812051"/>
    <w:rsid w:val="0081548A"/>
    <w:rsid w:val="00815894"/>
    <w:rsid w:val="00824A4A"/>
    <w:rsid w:val="00832151"/>
    <w:rsid w:val="008348E2"/>
    <w:rsid w:val="00840E86"/>
    <w:rsid w:val="00850B33"/>
    <w:rsid w:val="008525CD"/>
    <w:rsid w:val="008558B5"/>
    <w:rsid w:val="00865A18"/>
    <w:rsid w:val="008713F1"/>
    <w:rsid w:val="00872318"/>
    <w:rsid w:val="008739C1"/>
    <w:rsid w:val="0088105C"/>
    <w:rsid w:val="00884C07"/>
    <w:rsid w:val="008870F6"/>
    <w:rsid w:val="0088748B"/>
    <w:rsid w:val="008875D6"/>
    <w:rsid w:val="00891F57"/>
    <w:rsid w:val="00895E10"/>
    <w:rsid w:val="0089657E"/>
    <w:rsid w:val="008A1A4B"/>
    <w:rsid w:val="008A28E1"/>
    <w:rsid w:val="008A34D0"/>
    <w:rsid w:val="008A61D7"/>
    <w:rsid w:val="008B2A38"/>
    <w:rsid w:val="008B5C06"/>
    <w:rsid w:val="008B64C5"/>
    <w:rsid w:val="008C02A9"/>
    <w:rsid w:val="008C1630"/>
    <w:rsid w:val="008D4B46"/>
    <w:rsid w:val="008D70B4"/>
    <w:rsid w:val="008E08F6"/>
    <w:rsid w:val="008E210F"/>
    <w:rsid w:val="008E2D7C"/>
    <w:rsid w:val="008E33AD"/>
    <w:rsid w:val="008E45F0"/>
    <w:rsid w:val="008E463F"/>
    <w:rsid w:val="008E6AF9"/>
    <w:rsid w:val="009139FF"/>
    <w:rsid w:val="009146AD"/>
    <w:rsid w:val="009210C3"/>
    <w:rsid w:val="0092261C"/>
    <w:rsid w:val="0092599F"/>
    <w:rsid w:val="00934EAD"/>
    <w:rsid w:val="00935D1B"/>
    <w:rsid w:val="009377B5"/>
    <w:rsid w:val="009410E9"/>
    <w:rsid w:val="009421AB"/>
    <w:rsid w:val="00942EA0"/>
    <w:rsid w:val="00946E2F"/>
    <w:rsid w:val="00950A1F"/>
    <w:rsid w:val="0095317F"/>
    <w:rsid w:val="00962092"/>
    <w:rsid w:val="00972F48"/>
    <w:rsid w:val="00982224"/>
    <w:rsid w:val="00984AE8"/>
    <w:rsid w:val="00984F3E"/>
    <w:rsid w:val="0098507D"/>
    <w:rsid w:val="00985E11"/>
    <w:rsid w:val="00990194"/>
    <w:rsid w:val="00991EC9"/>
    <w:rsid w:val="009A203D"/>
    <w:rsid w:val="009A6B87"/>
    <w:rsid w:val="009B2883"/>
    <w:rsid w:val="009B51B7"/>
    <w:rsid w:val="009C26E2"/>
    <w:rsid w:val="009D3CC4"/>
    <w:rsid w:val="009D6079"/>
    <w:rsid w:val="009E2F36"/>
    <w:rsid w:val="009E4AF4"/>
    <w:rsid w:val="009E7B44"/>
    <w:rsid w:val="00A0329D"/>
    <w:rsid w:val="00A05456"/>
    <w:rsid w:val="00A1710D"/>
    <w:rsid w:val="00A20668"/>
    <w:rsid w:val="00A22926"/>
    <w:rsid w:val="00A267F2"/>
    <w:rsid w:val="00A26D32"/>
    <w:rsid w:val="00A401C9"/>
    <w:rsid w:val="00A4508E"/>
    <w:rsid w:val="00A4765F"/>
    <w:rsid w:val="00A47B45"/>
    <w:rsid w:val="00A5489D"/>
    <w:rsid w:val="00A55C0F"/>
    <w:rsid w:val="00A56B0F"/>
    <w:rsid w:val="00A614C1"/>
    <w:rsid w:val="00A633EB"/>
    <w:rsid w:val="00A6427E"/>
    <w:rsid w:val="00A65CAD"/>
    <w:rsid w:val="00A70371"/>
    <w:rsid w:val="00A714D4"/>
    <w:rsid w:val="00A71930"/>
    <w:rsid w:val="00A8792E"/>
    <w:rsid w:val="00A91DD1"/>
    <w:rsid w:val="00A95771"/>
    <w:rsid w:val="00AA3270"/>
    <w:rsid w:val="00AB09EF"/>
    <w:rsid w:val="00AB56B9"/>
    <w:rsid w:val="00AD2F80"/>
    <w:rsid w:val="00AD4845"/>
    <w:rsid w:val="00AD4A99"/>
    <w:rsid w:val="00AE4A3E"/>
    <w:rsid w:val="00AE61E8"/>
    <w:rsid w:val="00AE78DA"/>
    <w:rsid w:val="00AF0751"/>
    <w:rsid w:val="00AF1907"/>
    <w:rsid w:val="00AF771F"/>
    <w:rsid w:val="00B104E0"/>
    <w:rsid w:val="00B10883"/>
    <w:rsid w:val="00B160C3"/>
    <w:rsid w:val="00B16BFD"/>
    <w:rsid w:val="00B172DF"/>
    <w:rsid w:val="00B17A07"/>
    <w:rsid w:val="00B22AFC"/>
    <w:rsid w:val="00B25379"/>
    <w:rsid w:val="00B2575C"/>
    <w:rsid w:val="00B26FA3"/>
    <w:rsid w:val="00B300AD"/>
    <w:rsid w:val="00B31FCA"/>
    <w:rsid w:val="00B37AE6"/>
    <w:rsid w:val="00B41145"/>
    <w:rsid w:val="00B41857"/>
    <w:rsid w:val="00B46751"/>
    <w:rsid w:val="00B53960"/>
    <w:rsid w:val="00B558B7"/>
    <w:rsid w:val="00B57003"/>
    <w:rsid w:val="00B60808"/>
    <w:rsid w:val="00B60EA2"/>
    <w:rsid w:val="00B6515C"/>
    <w:rsid w:val="00B66F78"/>
    <w:rsid w:val="00B72747"/>
    <w:rsid w:val="00B75D0C"/>
    <w:rsid w:val="00B75D9A"/>
    <w:rsid w:val="00B813E8"/>
    <w:rsid w:val="00B81596"/>
    <w:rsid w:val="00B838D9"/>
    <w:rsid w:val="00B91DD8"/>
    <w:rsid w:val="00B921CE"/>
    <w:rsid w:val="00BA1478"/>
    <w:rsid w:val="00BA28E4"/>
    <w:rsid w:val="00BB1486"/>
    <w:rsid w:val="00BB1EAD"/>
    <w:rsid w:val="00BB2ACF"/>
    <w:rsid w:val="00BB2EB1"/>
    <w:rsid w:val="00BB3ACD"/>
    <w:rsid w:val="00BB5120"/>
    <w:rsid w:val="00BC2873"/>
    <w:rsid w:val="00BC7356"/>
    <w:rsid w:val="00BD3DA1"/>
    <w:rsid w:val="00BE7826"/>
    <w:rsid w:val="00BF6E40"/>
    <w:rsid w:val="00BF70D4"/>
    <w:rsid w:val="00C04EA2"/>
    <w:rsid w:val="00C07AE2"/>
    <w:rsid w:val="00C10285"/>
    <w:rsid w:val="00C1188F"/>
    <w:rsid w:val="00C13DF5"/>
    <w:rsid w:val="00C170C8"/>
    <w:rsid w:val="00C242A7"/>
    <w:rsid w:val="00C261AC"/>
    <w:rsid w:val="00C2678C"/>
    <w:rsid w:val="00C32E41"/>
    <w:rsid w:val="00C33950"/>
    <w:rsid w:val="00C373FF"/>
    <w:rsid w:val="00C44DB8"/>
    <w:rsid w:val="00C44E44"/>
    <w:rsid w:val="00C56F58"/>
    <w:rsid w:val="00C617A0"/>
    <w:rsid w:val="00C63DD1"/>
    <w:rsid w:val="00C657E7"/>
    <w:rsid w:val="00C70B93"/>
    <w:rsid w:val="00C7491D"/>
    <w:rsid w:val="00C758B1"/>
    <w:rsid w:val="00C85068"/>
    <w:rsid w:val="00C925E1"/>
    <w:rsid w:val="00C961EB"/>
    <w:rsid w:val="00CB1264"/>
    <w:rsid w:val="00CB655F"/>
    <w:rsid w:val="00CC196A"/>
    <w:rsid w:val="00CC1A55"/>
    <w:rsid w:val="00CC38C8"/>
    <w:rsid w:val="00CC3BA7"/>
    <w:rsid w:val="00CC5148"/>
    <w:rsid w:val="00CC7CED"/>
    <w:rsid w:val="00CD2126"/>
    <w:rsid w:val="00CD2364"/>
    <w:rsid w:val="00CD2AE7"/>
    <w:rsid w:val="00CD4A53"/>
    <w:rsid w:val="00CD7D63"/>
    <w:rsid w:val="00CE1B8A"/>
    <w:rsid w:val="00CE2B74"/>
    <w:rsid w:val="00D00314"/>
    <w:rsid w:val="00D17BE8"/>
    <w:rsid w:val="00D2320C"/>
    <w:rsid w:val="00D33957"/>
    <w:rsid w:val="00D4007E"/>
    <w:rsid w:val="00D46B66"/>
    <w:rsid w:val="00D47CD2"/>
    <w:rsid w:val="00D5402B"/>
    <w:rsid w:val="00D6419A"/>
    <w:rsid w:val="00D74DB5"/>
    <w:rsid w:val="00D758CA"/>
    <w:rsid w:val="00D76BAA"/>
    <w:rsid w:val="00D82F61"/>
    <w:rsid w:val="00D844F2"/>
    <w:rsid w:val="00D9413D"/>
    <w:rsid w:val="00D976D3"/>
    <w:rsid w:val="00D97B85"/>
    <w:rsid w:val="00DA3621"/>
    <w:rsid w:val="00DA5537"/>
    <w:rsid w:val="00DB04DB"/>
    <w:rsid w:val="00DB18A1"/>
    <w:rsid w:val="00DB1968"/>
    <w:rsid w:val="00DB1A81"/>
    <w:rsid w:val="00DB2C86"/>
    <w:rsid w:val="00DB357F"/>
    <w:rsid w:val="00DC0BD4"/>
    <w:rsid w:val="00DC1C81"/>
    <w:rsid w:val="00DC247C"/>
    <w:rsid w:val="00DC7209"/>
    <w:rsid w:val="00DD0C08"/>
    <w:rsid w:val="00DE30D0"/>
    <w:rsid w:val="00DE4121"/>
    <w:rsid w:val="00DF19C6"/>
    <w:rsid w:val="00E01331"/>
    <w:rsid w:val="00E126B1"/>
    <w:rsid w:val="00E12C50"/>
    <w:rsid w:val="00E16007"/>
    <w:rsid w:val="00E21A11"/>
    <w:rsid w:val="00E342DD"/>
    <w:rsid w:val="00E37862"/>
    <w:rsid w:val="00E57538"/>
    <w:rsid w:val="00E60E59"/>
    <w:rsid w:val="00E644F2"/>
    <w:rsid w:val="00E66D2C"/>
    <w:rsid w:val="00E705EB"/>
    <w:rsid w:val="00E70CC0"/>
    <w:rsid w:val="00E7449C"/>
    <w:rsid w:val="00E82F83"/>
    <w:rsid w:val="00E83972"/>
    <w:rsid w:val="00E84D50"/>
    <w:rsid w:val="00E92661"/>
    <w:rsid w:val="00EA18CD"/>
    <w:rsid w:val="00EA7B3D"/>
    <w:rsid w:val="00EA7F25"/>
    <w:rsid w:val="00EB5319"/>
    <w:rsid w:val="00EC2422"/>
    <w:rsid w:val="00ED6670"/>
    <w:rsid w:val="00EE2ADF"/>
    <w:rsid w:val="00EE2BEB"/>
    <w:rsid w:val="00EF13DD"/>
    <w:rsid w:val="00EF17DE"/>
    <w:rsid w:val="00EF5FA9"/>
    <w:rsid w:val="00F0035E"/>
    <w:rsid w:val="00F01F8C"/>
    <w:rsid w:val="00F05DD1"/>
    <w:rsid w:val="00F07633"/>
    <w:rsid w:val="00F07F3E"/>
    <w:rsid w:val="00F13A80"/>
    <w:rsid w:val="00F17850"/>
    <w:rsid w:val="00F2131C"/>
    <w:rsid w:val="00F21876"/>
    <w:rsid w:val="00F21FC1"/>
    <w:rsid w:val="00F24750"/>
    <w:rsid w:val="00F26022"/>
    <w:rsid w:val="00F33E70"/>
    <w:rsid w:val="00F36D21"/>
    <w:rsid w:val="00F40630"/>
    <w:rsid w:val="00F41C54"/>
    <w:rsid w:val="00F440EA"/>
    <w:rsid w:val="00F447FA"/>
    <w:rsid w:val="00F60FFE"/>
    <w:rsid w:val="00F67D60"/>
    <w:rsid w:val="00F7118D"/>
    <w:rsid w:val="00F8587D"/>
    <w:rsid w:val="00F85B46"/>
    <w:rsid w:val="00F9649F"/>
    <w:rsid w:val="00F9722B"/>
    <w:rsid w:val="00FA0179"/>
    <w:rsid w:val="00FA2627"/>
    <w:rsid w:val="00FA75FB"/>
    <w:rsid w:val="00FB2591"/>
    <w:rsid w:val="00FC039F"/>
    <w:rsid w:val="00FC5572"/>
    <w:rsid w:val="00FD1B34"/>
    <w:rsid w:val="00FD28E3"/>
    <w:rsid w:val="00FD5BD3"/>
    <w:rsid w:val="00FE4571"/>
    <w:rsid w:val="00FE7648"/>
    <w:rsid w:val="00FF08B2"/>
    <w:rsid w:val="00FF4794"/>
    <w:rsid w:val="00FF7B71"/>
    <w:rsid w:val="00FF7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5850F2"/>
  <w15:docId w15:val="{519A655B-8DF7-475A-A277-448BD25C4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before="120" w:after="12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08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F13DD"/>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13DD"/>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13DD"/>
    <w:pPr>
      <w:keepNext/>
      <w:keepLines/>
      <w:spacing w:before="40"/>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R,5_G,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Char Знак"/>
    <w:basedOn w:val="Normal"/>
    <w:link w:val="FootnoteTextChar"/>
    <w:uiPriority w:val="99"/>
    <w:unhideWhenUsed/>
    <w:rsid w:val="00A4508E"/>
  </w:style>
  <w:style w:type="character" w:customStyle="1" w:styleId="FootnoteTextChar">
    <w:name w:val="Footnote Text Char"/>
    <w:aliases w:val="5_GR Char,5_G Char,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Char Знак Char"/>
    <w:basedOn w:val="DefaultParagraphFont"/>
    <w:link w:val="FootnoteText"/>
    <w:uiPriority w:val="99"/>
    <w:rsid w:val="00A4508E"/>
    <w:rPr>
      <w:rFonts w:ascii="Times New Roman" w:eastAsia="Times New Roman" w:hAnsi="Times New Roman" w:cs="Times New Roman"/>
      <w:kern w:val="0"/>
      <w:lang w:eastAsia="en-GB"/>
      <w14:ligatures w14:val="none"/>
    </w:rPr>
  </w:style>
  <w:style w:type="character" w:styleId="FootnoteReference">
    <w:name w:val="footnote reference"/>
    <w:aliases w:val="4_GR,4_G,ftref,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nhideWhenUsed/>
    <w:rsid w:val="00A4508E"/>
    <w:rPr>
      <w:vertAlign w:val="superscript"/>
    </w:rPr>
  </w:style>
  <w:style w:type="character" w:customStyle="1" w:styleId="Heading1Char">
    <w:name w:val="Heading 1 Char"/>
    <w:basedOn w:val="DefaultParagraphFont"/>
    <w:link w:val="Heading1"/>
    <w:uiPriority w:val="9"/>
    <w:rsid w:val="00EF13DD"/>
    <w:rPr>
      <w:rFonts w:ascii="Times New Roman" w:eastAsiaTheme="majorEastAsia" w:hAnsi="Times New Roman" w:cstheme="majorBidi"/>
      <w:color w:val="2F5496" w:themeColor="accent1" w:themeShade="BF"/>
      <w:kern w:val="0"/>
      <w:sz w:val="32"/>
      <w:szCs w:val="32"/>
      <w:lang w:eastAsia="en-GB"/>
      <w14:ligatures w14:val="none"/>
    </w:rPr>
  </w:style>
  <w:style w:type="table" w:styleId="TableGrid">
    <w:name w:val="Table Grid"/>
    <w:basedOn w:val="TableNormal"/>
    <w:uiPriority w:val="39"/>
    <w:rsid w:val="00600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21">
    <w:name w:val="Grid Table 1 Light - Accent 21"/>
    <w:basedOn w:val="TableNormal"/>
    <w:uiPriority w:val="46"/>
    <w:rsid w:val="00527E13"/>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EF13DD"/>
    <w:rPr>
      <w:rFonts w:ascii="Times New Roman" w:eastAsiaTheme="majorEastAsia" w:hAnsi="Times New Roman"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EF13DD"/>
    <w:rPr>
      <w:rFonts w:ascii="Times New Roman" w:eastAsiaTheme="majorEastAsia" w:hAnsi="Times New Roman" w:cstheme="majorBidi"/>
      <w:color w:val="1F3763" w:themeColor="accent1" w:themeShade="7F"/>
      <w:kern w:val="0"/>
      <w:lang w:eastAsia="en-GB"/>
      <w14:ligatures w14:val="none"/>
    </w:rPr>
  </w:style>
  <w:style w:type="paragraph" w:styleId="Header">
    <w:name w:val="header"/>
    <w:basedOn w:val="Normal"/>
    <w:link w:val="HeaderChar"/>
    <w:uiPriority w:val="99"/>
    <w:unhideWhenUsed/>
    <w:rsid w:val="00561635"/>
    <w:pPr>
      <w:tabs>
        <w:tab w:val="center" w:pos="4513"/>
        <w:tab w:val="right" w:pos="9026"/>
      </w:tabs>
    </w:pPr>
  </w:style>
  <w:style w:type="character" w:customStyle="1" w:styleId="HeaderChar">
    <w:name w:val="Header Char"/>
    <w:basedOn w:val="DefaultParagraphFont"/>
    <w:link w:val="Header"/>
    <w:uiPriority w:val="99"/>
    <w:rsid w:val="00561635"/>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61635"/>
    <w:pPr>
      <w:tabs>
        <w:tab w:val="center" w:pos="4513"/>
        <w:tab w:val="right" w:pos="9026"/>
      </w:tabs>
    </w:pPr>
  </w:style>
  <w:style w:type="character" w:customStyle="1" w:styleId="FooterChar">
    <w:name w:val="Footer Char"/>
    <w:basedOn w:val="DefaultParagraphFont"/>
    <w:link w:val="Footer"/>
    <w:uiPriority w:val="99"/>
    <w:rsid w:val="00561635"/>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191AAB"/>
  </w:style>
  <w:style w:type="table" w:customStyle="1" w:styleId="ListTable3-Accent21">
    <w:name w:val="List Table 3 - Accent 21"/>
    <w:basedOn w:val="TableNormal"/>
    <w:uiPriority w:val="48"/>
    <w:rsid w:val="00164A18"/>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paragraph" w:styleId="ListParagraph">
    <w:name w:val="List Paragraph"/>
    <w:basedOn w:val="Normal"/>
    <w:uiPriority w:val="34"/>
    <w:qFormat/>
    <w:rsid w:val="00BB1486"/>
    <w:pPr>
      <w:spacing w:after="160"/>
      <w:ind w:left="720"/>
      <w:contextualSpacing/>
    </w:pPr>
    <w:rPr>
      <w:rFonts w:asciiTheme="minorHAnsi" w:eastAsiaTheme="minorEastAsia" w:hAnsiTheme="minorHAnsi" w:cstheme="minorBidi"/>
      <w:sz w:val="22"/>
      <w:szCs w:val="22"/>
      <w:lang w:val="en-GB" w:eastAsia="zh-CN"/>
    </w:rPr>
  </w:style>
  <w:style w:type="paragraph" w:styleId="Caption">
    <w:name w:val="caption"/>
    <w:basedOn w:val="Normal"/>
    <w:next w:val="Normal"/>
    <w:uiPriority w:val="35"/>
    <w:unhideWhenUsed/>
    <w:qFormat/>
    <w:rsid w:val="0038457E"/>
    <w:pPr>
      <w:spacing w:after="200"/>
    </w:pPr>
    <w:rPr>
      <w:i/>
      <w:iCs/>
      <w:color w:val="44546A" w:themeColor="text2"/>
      <w:sz w:val="18"/>
      <w:szCs w:val="18"/>
    </w:rPr>
  </w:style>
  <w:style w:type="table" w:customStyle="1" w:styleId="ListTable4-Accent21">
    <w:name w:val="List Table 4 - Accent 21"/>
    <w:basedOn w:val="TableNormal"/>
    <w:uiPriority w:val="49"/>
    <w:rsid w:val="00041631"/>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9B2883"/>
    <w:rPr>
      <w:color w:val="0563C1" w:themeColor="hyperlink"/>
      <w:u w:val="single"/>
    </w:rPr>
  </w:style>
  <w:style w:type="paragraph" w:styleId="TOCHeading">
    <w:name w:val="TOC Heading"/>
    <w:basedOn w:val="Heading1"/>
    <w:next w:val="Normal"/>
    <w:uiPriority w:val="39"/>
    <w:unhideWhenUsed/>
    <w:qFormat/>
    <w:rsid w:val="00204725"/>
    <w:pPr>
      <w:spacing w:after="0"/>
      <w:jc w:val="left"/>
      <w:outlineLvl w:val="9"/>
    </w:pPr>
    <w:rPr>
      <w:lang w:eastAsia="en-US"/>
    </w:rPr>
  </w:style>
  <w:style w:type="paragraph" w:styleId="TOC1">
    <w:name w:val="toc 1"/>
    <w:basedOn w:val="Normal"/>
    <w:next w:val="Normal"/>
    <w:autoRedefine/>
    <w:uiPriority w:val="39"/>
    <w:unhideWhenUsed/>
    <w:rsid w:val="00204725"/>
    <w:pPr>
      <w:spacing w:after="100"/>
    </w:pPr>
  </w:style>
  <w:style w:type="paragraph" w:styleId="TOC2">
    <w:name w:val="toc 2"/>
    <w:basedOn w:val="Normal"/>
    <w:next w:val="Normal"/>
    <w:autoRedefine/>
    <w:uiPriority w:val="39"/>
    <w:unhideWhenUsed/>
    <w:rsid w:val="00204725"/>
    <w:pPr>
      <w:spacing w:after="100"/>
      <w:ind w:left="240"/>
    </w:pPr>
  </w:style>
  <w:style w:type="paragraph" w:styleId="TOC3">
    <w:name w:val="toc 3"/>
    <w:basedOn w:val="Normal"/>
    <w:next w:val="Normal"/>
    <w:autoRedefine/>
    <w:uiPriority w:val="39"/>
    <w:unhideWhenUsed/>
    <w:rsid w:val="00204725"/>
    <w:pPr>
      <w:spacing w:after="100"/>
      <w:ind w:left="480"/>
    </w:pPr>
  </w:style>
  <w:style w:type="character" w:styleId="CommentReference">
    <w:name w:val="annotation reference"/>
    <w:basedOn w:val="DefaultParagraphFont"/>
    <w:uiPriority w:val="99"/>
    <w:semiHidden/>
    <w:unhideWhenUsed/>
    <w:rsid w:val="00160C0F"/>
    <w:rPr>
      <w:sz w:val="16"/>
      <w:szCs w:val="16"/>
    </w:rPr>
  </w:style>
  <w:style w:type="paragraph" w:styleId="CommentText">
    <w:name w:val="annotation text"/>
    <w:basedOn w:val="Normal"/>
    <w:link w:val="CommentTextChar"/>
    <w:uiPriority w:val="99"/>
    <w:semiHidden/>
    <w:unhideWhenUsed/>
    <w:rsid w:val="00160C0F"/>
    <w:pPr>
      <w:spacing w:line="240" w:lineRule="auto"/>
    </w:pPr>
    <w:rPr>
      <w:sz w:val="20"/>
      <w:szCs w:val="20"/>
    </w:rPr>
  </w:style>
  <w:style w:type="character" w:customStyle="1" w:styleId="CommentTextChar">
    <w:name w:val="Comment Text Char"/>
    <w:basedOn w:val="DefaultParagraphFont"/>
    <w:link w:val="CommentText"/>
    <w:uiPriority w:val="99"/>
    <w:semiHidden/>
    <w:rsid w:val="00160C0F"/>
    <w:rPr>
      <w:rFonts w:ascii="Times New Roman" w:eastAsia="Times New Roman" w:hAnsi="Times New Roman" w:cs="Times New Roman"/>
      <w:kern w:val="0"/>
      <w:sz w:val="20"/>
      <w:szCs w:val="20"/>
      <w:lang w:eastAsia="en-GB"/>
      <w14:ligatures w14:val="none"/>
    </w:rPr>
  </w:style>
  <w:style w:type="paragraph" w:styleId="BalloonText">
    <w:name w:val="Balloon Text"/>
    <w:basedOn w:val="Normal"/>
    <w:link w:val="BalloonTextChar"/>
    <w:uiPriority w:val="99"/>
    <w:semiHidden/>
    <w:unhideWhenUsed/>
    <w:rsid w:val="00160C0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C0F"/>
    <w:rPr>
      <w:rFonts w:ascii="Segoe UI" w:eastAsia="Times New Roman" w:hAnsi="Segoe UI" w:cs="Segoe UI"/>
      <w:kern w:val="0"/>
      <w:sz w:val="18"/>
      <w:szCs w:val="18"/>
      <w:lang w:eastAsia="en-GB"/>
      <w14:ligatures w14:val="none"/>
    </w:rPr>
  </w:style>
  <w:style w:type="character" w:customStyle="1" w:styleId="None">
    <w:name w:val="None"/>
    <w:rsid w:val="00EC2422"/>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uiPriority w:val="99"/>
    <w:rsid w:val="00631B6E"/>
    <w:pPr>
      <w:autoSpaceDE w:val="0"/>
      <w:autoSpaceDN w:val="0"/>
      <w:spacing w:before="0" w:after="160" w:line="240" w:lineRule="exact"/>
    </w:pPr>
    <w:rPr>
      <w:rFonts w:asciiTheme="minorHAnsi" w:eastAsiaTheme="minorHAnsi" w:hAnsiTheme="minorHAnsi" w:cstheme="minorBidi"/>
      <w:kern w:val="2"/>
      <w:vertAlign w:val="superscript"/>
      <w:lang w:eastAsia="en-US"/>
      <w14:ligatures w14:val="standardContextual"/>
    </w:rPr>
  </w:style>
  <w:style w:type="paragraph" w:styleId="NormalWeb">
    <w:name w:val="Normal (Web)"/>
    <w:basedOn w:val="Normal"/>
    <w:uiPriority w:val="99"/>
    <w:semiHidden/>
    <w:unhideWhenUsed/>
    <w:rsid w:val="00387003"/>
    <w:pPr>
      <w:spacing w:before="100" w:beforeAutospacing="1" w:after="100" w:afterAutospacing="1" w:line="240" w:lineRule="auto"/>
      <w:jc w:val="left"/>
    </w:pPr>
    <w:rPr>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004209">
      <w:bodyDiv w:val="1"/>
      <w:marLeft w:val="0"/>
      <w:marRight w:val="0"/>
      <w:marTop w:val="0"/>
      <w:marBottom w:val="0"/>
      <w:divBdr>
        <w:top w:val="none" w:sz="0" w:space="0" w:color="auto"/>
        <w:left w:val="none" w:sz="0" w:space="0" w:color="auto"/>
        <w:bottom w:val="none" w:sz="0" w:space="0" w:color="auto"/>
        <w:right w:val="none" w:sz="0" w:space="0" w:color="auto"/>
      </w:divBdr>
    </w:div>
    <w:div w:id="958954448">
      <w:bodyDiv w:val="1"/>
      <w:marLeft w:val="0"/>
      <w:marRight w:val="0"/>
      <w:marTop w:val="0"/>
      <w:marBottom w:val="0"/>
      <w:divBdr>
        <w:top w:val="none" w:sz="0" w:space="0" w:color="auto"/>
        <w:left w:val="none" w:sz="0" w:space="0" w:color="auto"/>
        <w:bottom w:val="none" w:sz="0" w:space="0" w:color="auto"/>
        <w:right w:val="none" w:sz="0" w:space="0" w:color="auto"/>
      </w:divBdr>
    </w:div>
    <w:div w:id="1233932920">
      <w:bodyDiv w:val="1"/>
      <w:marLeft w:val="0"/>
      <w:marRight w:val="0"/>
      <w:marTop w:val="0"/>
      <w:marBottom w:val="0"/>
      <w:divBdr>
        <w:top w:val="none" w:sz="0" w:space="0" w:color="auto"/>
        <w:left w:val="none" w:sz="0" w:space="0" w:color="auto"/>
        <w:bottom w:val="none" w:sz="0" w:space="0" w:color="auto"/>
        <w:right w:val="none" w:sz="0" w:space="0" w:color="auto"/>
      </w:divBdr>
    </w:div>
    <w:div w:id="143447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_layouts/15/treatybodyexternal/Download.aspx?symbolno=E%2fC.12%2fUZB%2fCO%2f3&amp;Lang=en" TargetMode="External"/><Relationship Id="rId18" Type="http://schemas.openxmlformats.org/officeDocument/2006/relationships/hyperlink" Target="https://tbinternet.ohchr.org/_layouts/15/treatybodyexternal/Download.aspx?symbolno=E%2fC.12%2fRUS%2fCO%2f6&amp;Lang=en" TargetMode="External"/><Relationship Id="rId26" Type="http://schemas.openxmlformats.org/officeDocument/2006/relationships/hyperlink" Target="https://digitallibrary.un.org/record/702364?ln=en" TargetMode="External"/><Relationship Id="rId3" Type="http://schemas.openxmlformats.org/officeDocument/2006/relationships/styles" Target="styles.xml"/><Relationship Id="rId21" Type="http://schemas.openxmlformats.org/officeDocument/2006/relationships/hyperlink" Target="https://tbinternet.ohchr.org/_layouts/15/treatybodyexternal/Download.aspx?symbolno=E%2fC.12%2fUKR%2fCO%2f6&amp;Lang=en" TargetMode="Externa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CPR%2FC%2FRUS%2FCO%2F7&amp;Lang=en" TargetMode="External"/><Relationship Id="rId17" Type="http://schemas.openxmlformats.org/officeDocument/2006/relationships/hyperlink" Target="https://tbinternet.ohchr.org/_layouts/15/treatybodyexternal/Download.aspx?symbolno=E%2fC.12%2fKAZ%2fCO%2f2&amp;Lang=en" TargetMode="External"/><Relationship Id="rId25" Type="http://schemas.openxmlformats.org/officeDocument/2006/relationships/hyperlink" Target="https://tbinternet.ohchr.org/_layouts/15/treatybodyexternal/Download.aspx?symbolno=CRPD%2fC%2fRUS%2fCO%2f1&amp;Lang=en" TargetMode="Externa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E%2fC.12%2fEST%2fCO%2f3&amp;Lang=en" TargetMode="External"/><Relationship Id="rId20" Type="http://schemas.openxmlformats.org/officeDocument/2006/relationships/hyperlink" Target="https://tbinternet.ohchr.org/_layouts/15/treatybodyexternal/Download.aspx?symbolno=E%2fC.12%2fTJK%2fCO%2f2-3&amp;Lang=en"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tbinternet.ohchr.org/Treaties/CAT/Shared%20Documents/RUS/CAT_C_RUS_CO_6_32062_E.pdf"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E%2fC.12%2fUKR%2fCO%2f7&amp;Lang=en" TargetMode="External"/><Relationship Id="rId23" Type="http://schemas.openxmlformats.org/officeDocument/2006/relationships/hyperlink" Target="https://tbinternet.ohchr.org/_layouts/15/treatybodyexternal/Download.aspx?symbolno=E%2fC.12%2fUKR%2fCO%2f5&amp;Lang=en" TargetMode="External"/><Relationship Id="rId28" Type="http://schemas.openxmlformats.org/officeDocument/2006/relationships/footer" Target="footer1.xml"/><Relationship Id="rId10" Type="http://schemas.openxmlformats.org/officeDocument/2006/relationships/hyperlink" Target="http://harmreductioneurasia.org" TargetMode="External"/><Relationship Id="rId19" Type="http://schemas.openxmlformats.org/officeDocument/2006/relationships/hyperlink" Target="https://tbinternet.ohchr.org/_layouts/15/treatybodyexternal/Download.aspx?symbolno=E%2fC.12%2fKGZ%2fCO%2f2-3&amp;Lang=e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binternet.ohchr.org/_layouts/15/treatybodyexternal/Download.aspx?symbolno=E%2fC.12%2fBLR%2fCO%2f7&amp;Lang=en" TargetMode="External"/><Relationship Id="rId22" Type="http://schemas.openxmlformats.org/officeDocument/2006/relationships/hyperlink" Target="https://tbinternet.ohchr.org/_layouts/15/treatybodyexternal/Download.aspx?symbolno=E%2fC.12%2fRUS%2fCO%2f5&amp;Lang=en" TargetMode="External"/><Relationship Id="rId27" Type="http://schemas.openxmlformats.org/officeDocument/2006/relationships/hyperlink" Target="https://tbinternet.ohchr.org/_layouts/15/treatybodyexternal/Download.aspx?symbolno=CEDAW%2fC%2fRUS%2fCO%2f8&amp;Lang=en"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fileserver.idpc.net/library/20191115-DrugPolicyHumanRights-EN.pdf" TargetMode="External"/><Relationship Id="rId13" Type="http://schemas.openxmlformats.org/officeDocument/2006/relationships/hyperlink" Target="https://www.who.int/publications/i/item/978924150437" TargetMode="External"/><Relationship Id="rId3" Type="http://schemas.openxmlformats.org/officeDocument/2006/relationships/hyperlink" Target="https://tbinternet.ohchr.org/_layouts/15/treatybodyexternal/Download.aspx?symbolno=E%2FC.12%2FGEO%2F3&amp;Lang=en" TargetMode="External"/><Relationship Id="rId7" Type="http://schemas.openxmlformats.org/officeDocument/2006/relationships/hyperlink" Target="https://www.humanrights-drugpolicy.org/" TargetMode="External"/><Relationship Id="rId12" Type="http://schemas.openxmlformats.org/officeDocument/2006/relationships/hyperlink" Target="https://socialjustice.org.ge/en/products/narkopolitika-sakartveloshi-2021-tslis-tendentsiebi" TargetMode="External"/><Relationship Id="rId17" Type="http://schemas.openxmlformats.org/officeDocument/2006/relationships/hyperlink" Target="https://harmreductioneurasia.org/news/matrix-for-analysing-trends" TargetMode="External"/><Relationship Id="rId2" Type="http://schemas.openxmlformats.org/officeDocument/2006/relationships/hyperlink" Target="mailto:eliza@harmreductioneurasia.org" TargetMode="External"/><Relationship Id="rId16" Type="http://schemas.openxmlformats.org/officeDocument/2006/relationships/hyperlink" Target="https://altgeorgia.ge/media/uploads/ost-in-prison-report-eng.pdf" TargetMode="External"/><Relationship Id="rId1" Type="http://schemas.openxmlformats.org/officeDocument/2006/relationships/hyperlink" Target="mailto:jimblach@gmail.com" TargetMode="External"/><Relationship Id="rId6" Type="http://schemas.openxmlformats.org/officeDocument/2006/relationships/hyperlink" Target="file:///C:\Users\TEST\Downloads\www.who.int\gender-equity-rights\knowledge\ending-discrimination-healthcare-settings\en\" TargetMode="External"/><Relationship Id="rId11" Type="http://schemas.openxmlformats.org/officeDocument/2006/relationships/hyperlink" Target="https://socialjustice.org.ge/en/products/narkopolitika-sakartveloshi-2021-tslis-tendentsiebi" TargetMode="External"/><Relationship Id="rId5" Type="http://schemas.openxmlformats.org/officeDocument/2006/relationships/hyperlink" Target="https://cdn.sanity.io/files/6u5teakk/production/14759d1e06f6892d69904eebe85876e08e36a53a.pdf?dl" TargetMode="External"/><Relationship Id="rId15" Type="http://schemas.openxmlformats.org/officeDocument/2006/relationships/hyperlink" Target="https://osgf.ge/en/publication/report-of-the-coalition-for-equality-and-other-ngos/" TargetMode="External"/><Relationship Id="rId10" Type="http://schemas.openxmlformats.org/officeDocument/2006/relationships/hyperlink" Target="https://police.ge/en/useful-information/statistics" TargetMode="External"/><Relationship Id="rId4" Type="http://schemas.openxmlformats.org/officeDocument/2006/relationships/hyperlink" Target="https://react-aph.org/en/countries/gruziya/" TargetMode="External"/><Relationship Id="rId9" Type="http://schemas.openxmlformats.org/officeDocument/2006/relationships/hyperlink" Target="https://www.aidscenter.ge/epidsituation_eng.html?fbclid=IwAR0oCbdJFuJT_mBGuz7HHhkEa6za_knRHeUPKKqs052Vhjt6ImX15LgglxE" TargetMode="External"/><Relationship Id="rId14" Type="http://schemas.openxmlformats.org/officeDocument/2006/relationships/hyperlink" Target="https://harmreductioneurasia.org/projects/tiberi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1B6F3-55E4-4E2B-87A5-312990B08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12</Pages>
  <Words>2767</Words>
  <Characters>19680</Characters>
  <Application>Microsoft Office Word</Application>
  <DocSecurity>0</DocSecurity>
  <Lines>364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Rusudan Tushuri</dc:creator>
  <cp:lastModifiedBy>Mikhail Golichenko</cp:lastModifiedBy>
  <cp:revision>17</cp:revision>
  <dcterms:created xsi:type="dcterms:W3CDTF">2022-12-22T21:39:00Z</dcterms:created>
  <dcterms:modified xsi:type="dcterms:W3CDTF">2023-10-30T12:27:00Z</dcterms:modified>
</cp:coreProperties>
</file>