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9B5DA" w14:textId="77777777" w:rsidR="009B7FED" w:rsidRDefault="009B7FED" w:rsidP="00184A60">
      <w:pPr>
        <w:pBdr>
          <w:bottom w:val="single" w:sz="8" w:space="4" w:color="4F81BD"/>
        </w:pBdr>
        <w:spacing w:after="300" w:line="240" w:lineRule="auto"/>
        <w:contextualSpacing/>
        <w:jc w:val="center"/>
        <w:rPr>
          <w:rFonts w:ascii="Calibri" w:eastAsia="MS Gothic" w:hAnsi="Calibri" w:cs="Times New Roman"/>
          <w:color w:val="17365D"/>
          <w:spacing w:val="5"/>
          <w:kern w:val="28"/>
          <w:sz w:val="52"/>
          <w:szCs w:val="52"/>
          <w14:ligatures w14:val="none"/>
        </w:rPr>
      </w:pPr>
    </w:p>
    <w:p w14:paraId="32EB3DBA" w14:textId="77777777" w:rsidR="009B7FED" w:rsidRDefault="009B7FED" w:rsidP="00184A60">
      <w:pPr>
        <w:pBdr>
          <w:bottom w:val="single" w:sz="8" w:space="4" w:color="4F81BD"/>
        </w:pBdr>
        <w:spacing w:after="300" w:line="240" w:lineRule="auto"/>
        <w:contextualSpacing/>
        <w:jc w:val="center"/>
        <w:rPr>
          <w:rFonts w:ascii="Calibri" w:eastAsia="MS Gothic" w:hAnsi="Calibri" w:cs="Times New Roman"/>
          <w:color w:val="17365D"/>
          <w:spacing w:val="5"/>
          <w:kern w:val="28"/>
          <w:sz w:val="52"/>
          <w:szCs w:val="52"/>
          <w14:ligatures w14:val="none"/>
        </w:rPr>
      </w:pPr>
    </w:p>
    <w:p w14:paraId="2DE30A46" w14:textId="77777777" w:rsidR="009B7FED" w:rsidRDefault="009B7FED" w:rsidP="00184A60">
      <w:pPr>
        <w:pBdr>
          <w:bottom w:val="single" w:sz="8" w:space="4" w:color="4F81BD"/>
        </w:pBdr>
        <w:spacing w:after="300" w:line="240" w:lineRule="auto"/>
        <w:contextualSpacing/>
        <w:jc w:val="center"/>
        <w:rPr>
          <w:rFonts w:ascii="Calibri" w:eastAsia="MS Gothic" w:hAnsi="Calibri" w:cs="Times New Roman"/>
          <w:color w:val="17365D"/>
          <w:spacing w:val="5"/>
          <w:kern w:val="28"/>
          <w:sz w:val="52"/>
          <w:szCs w:val="52"/>
          <w14:ligatures w14:val="none"/>
        </w:rPr>
      </w:pPr>
    </w:p>
    <w:p w14:paraId="054BBBCD" w14:textId="77777777" w:rsidR="009B7FED" w:rsidRDefault="009B7FED" w:rsidP="00184A60">
      <w:pPr>
        <w:pBdr>
          <w:bottom w:val="single" w:sz="8" w:space="4" w:color="4F81BD"/>
        </w:pBdr>
        <w:spacing w:after="300" w:line="240" w:lineRule="auto"/>
        <w:contextualSpacing/>
        <w:jc w:val="center"/>
        <w:rPr>
          <w:rFonts w:ascii="Calibri" w:eastAsia="MS Gothic" w:hAnsi="Calibri" w:cs="Times New Roman"/>
          <w:color w:val="17365D"/>
          <w:spacing w:val="5"/>
          <w:kern w:val="28"/>
          <w:sz w:val="52"/>
          <w:szCs w:val="52"/>
          <w14:ligatures w14:val="none"/>
        </w:rPr>
      </w:pPr>
    </w:p>
    <w:p w14:paraId="048B94DD" w14:textId="77777777" w:rsidR="009B7FED" w:rsidRDefault="009B7FED" w:rsidP="00184A60">
      <w:pPr>
        <w:pBdr>
          <w:bottom w:val="single" w:sz="8" w:space="4" w:color="4F81BD"/>
        </w:pBdr>
        <w:spacing w:after="300" w:line="240" w:lineRule="auto"/>
        <w:contextualSpacing/>
        <w:jc w:val="center"/>
        <w:rPr>
          <w:rFonts w:ascii="Calibri" w:eastAsia="MS Gothic" w:hAnsi="Calibri" w:cs="Times New Roman"/>
          <w:color w:val="17365D"/>
          <w:spacing w:val="5"/>
          <w:kern w:val="28"/>
          <w:sz w:val="52"/>
          <w:szCs w:val="52"/>
          <w14:ligatures w14:val="none"/>
        </w:rPr>
      </w:pPr>
    </w:p>
    <w:p w14:paraId="54C5CBCA" w14:textId="7959822C" w:rsidR="00184A60" w:rsidRPr="00184A60" w:rsidRDefault="00FB4CD2" w:rsidP="00184A60">
      <w:pPr>
        <w:pBdr>
          <w:bottom w:val="single" w:sz="8" w:space="4" w:color="4F81BD"/>
        </w:pBdr>
        <w:spacing w:after="300" w:line="240" w:lineRule="auto"/>
        <w:contextualSpacing/>
        <w:jc w:val="center"/>
        <w:rPr>
          <w:rFonts w:ascii="Calibri" w:eastAsia="MS Gothic" w:hAnsi="Calibri" w:cs="Times New Roman"/>
          <w:color w:val="17365D"/>
          <w:spacing w:val="5"/>
          <w:kern w:val="28"/>
          <w:sz w:val="52"/>
          <w:szCs w:val="52"/>
          <w14:ligatures w14:val="none"/>
        </w:rPr>
      </w:pPr>
      <w:r>
        <w:rPr>
          <w:rFonts w:ascii="Calibri" w:eastAsia="MS Gothic" w:hAnsi="Calibri" w:cs="Times New Roman"/>
          <w:color w:val="17365D"/>
          <w:spacing w:val="5"/>
          <w:kern w:val="28"/>
          <w:sz w:val="52"/>
          <w:szCs w:val="52"/>
          <w14:ligatures w14:val="none"/>
        </w:rPr>
        <w:t xml:space="preserve">The </w:t>
      </w:r>
      <w:r w:rsidR="00184A60" w:rsidRPr="00184A60">
        <w:rPr>
          <w:rFonts w:ascii="Calibri" w:eastAsia="MS Gothic" w:hAnsi="Calibri" w:cs="Times New Roman"/>
          <w:color w:val="17365D"/>
          <w:spacing w:val="5"/>
          <w:kern w:val="28"/>
          <w:sz w:val="52"/>
          <w:szCs w:val="52"/>
          <w14:ligatures w14:val="none"/>
        </w:rPr>
        <w:t>Centre for Disability Studies</w:t>
      </w:r>
      <w:r w:rsidR="00184A60" w:rsidRPr="00184A60">
        <w:rPr>
          <w:rFonts w:ascii="Calibri" w:eastAsia="MS Gothic" w:hAnsi="Calibri" w:cs="Times New Roman"/>
          <w:color w:val="17365D"/>
          <w:spacing w:val="5"/>
          <w:kern w:val="28"/>
          <w:sz w:val="52"/>
          <w:szCs w:val="52"/>
          <w14:ligatures w14:val="none"/>
        </w:rPr>
        <w:br/>
      </w:r>
      <w:r>
        <w:rPr>
          <w:rFonts w:ascii="Calibri" w:eastAsia="MS Gothic" w:hAnsi="Calibri" w:cs="Times New Roman"/>
          <w:color w:val="17365D"/>
          <w:spacing w:val="5"/>
          <w:kern w:val="28"/>
          <w:sz w:val="52"/>
          <w:szCs w:val="52"/>
          <w14:ligatures w14:val="none"/>
        </w:rPr>
        <w:t xml:space="preserve">at the </w:t>
      </w:r>
      <w:r w:rsidR="00184A60" w:rsidRPr="00184A60">
        <w:rPr>
          <w:rFonts w:ascii="Calibri" w:eastAsia="MS Gothic" w:hAnsi="Calibri" w:cs="Times New Roman"/>
          <w:color w:val="17365D"/>
          <w:spacing w:val="5"/>
          <w:kern w:val="28"/>
          <w:sz w:val="52"/>
          <w:szCs w:val="52"/>
          <w14:ligatures w14:val="none"/>
        </w:rPr>
        <w:t>University of Iceland</w:t>
      </w:r>
    </w:p>
    <w:p w14:paraId="4327E3FE" w14:textId="77777777" w:rsidR="00184A60" w:rsidRPr="00184A60" w:rsidRDefault="00184A60" w:rsidP="00184A60">
      <w:pPr>
        <w:pBdr>
          <w:bottom w:val="single" w:sz="8" w:space="4" w:color="4F81BD"/>
        </w:pBdr>
        <w:spacing w:after="300" w:line="240" w:lineRule="auto"/>
        <w:contextualSpacing/>
        <w:jc w:val="center"/>
        <w:rPr>
          <w:rFonts w:ascii="Calibri" w:eastAsia="MS Gothic" w:hAnsi="Calibri" w:cs="Times New Roman"/>
          <w:color w:val="17365D"/>
          <w:spacing w:val="5"/>
          <w:kern w:val="28"/>
          <w:sz w:val="52"/>
          <w:szCs w:val="52"/>
          <w14:ligatures w14:val="none"/>
        </w:rPr>
      </w:pPr>
      <w:r w:rsidRPr="00184A60">
        <w:rPr>
          <w:rFonts w:ascii="Calibri" w:eastAsia="MS Gothic" w:hAnsi="Calibri" w:cs="Times New Roman"/>
          <w:color w:val="17365D"/>
          <w:spacing w:val="5"/>
          <w:kern w:val="28"/>
          <w:sz w:val="52"/>
          <w:szCs w:val="52"/>
          <w14:ligatures w14:val="none"/>
        </w:rPr>
        <w:t>Shadow Report on the Implementation of the UN Convention on the Rights of Persons with Disabilities in Iceland</w:t>
      </w:r>
    </w:p>
    <w:p w14:paraId="6C62586B" w14:textId="77777777" w:rsidR="00184A60" w:rsidRPr="00184A60" w:rsidRDefault="00184A60" w:rsidP="00184A60">
      <w:pPr>
        <w:numPr>
          <w:ilvl w:val="1"/>
          <w:numId w:val="0"/>
        </w:numPr>
        <w:spacing w:after="200" w:line="276" w:lineRule="auto"/>
        <w:jc w:val="center"/>
        <w:rPr>
          <w:rFonts w:ascii="Calibri" w:eastAsia="MS Gothic" w:hAnsi="Calibri" w:cs="Times New Roman"/>
          <w:i/>
          <w:iCs/>
          <w:color w:val="4F81BD"/>
          <w:spacing w:val="15"/>
          <w:kern w:val="0"/>
          <w14:ligatures w14:val="none"/>
        </w:rPr>
      </w:pPr>
      <w:r w:rsidRPr="00184A60">
        <w:rPr>
          <w:rFonts w:ascii="Calibri" w:eastAsia="MS Gothic" w:hAnsi="Calibri" w:cs="Times New Roman"/>
          <w:i/>
          <w:iCs/>
          <w:color w:val="4F81BD"/>
          <w:spacing w:val="15"/>
          <w:kern w:val="0"/>
          <w14:ligatures w14:val="none"/>
        </w:rPr>
        <w:t>Submitted to the Committee on the Rights of Persons with Disabilities</w:t>
      </w:r>
    </w:p>
    <w:p w14:paraId="13E6F636" w14:textId="45CE4D5B" w:rsidR="00184A60" w:rsidRPr="00184A60" w:rsidRDefault="00184A60" w:rsidP="00184A60">
      <w:pPr>
        <w:numPr>
          <w:ilvl w:val="1"/>
          <w:numId w:val="0"/>
        </w:numPr>
        <w:spacing w:after="200" w:line="276" w:lineRule="auto"/>
        <w:jc w:val="center"/>
        <w:rPr>
          <w:rFonts w:ascii="Calibri" w:eastAsia="MS Gothic" w:hAnsi="Calibri" w:cs="Times New Roman"/>
          <w:i/>
          <w:iCs/>
          <w:color w:val="4F81BD"/>
          <w:spacing w:val="15"/>
          <w:kern w:val="0"/>
          <w14:ligatures w14:val="none"/>
        </w:rPr>
      </w:pPr>
      <w:r w:rsidRPr="00184A60">
        <w:rPr>
          <w:rFonts w:ascii="Calibri" w:eastAsia="MS Gothic" w:hAnsi="Calibri" w:cs="Times New Roman"/>
          <w:i/>
          <w:iCs/>
          <w:color w:val="4F81BD"/>
          <w:spacing w:val="15"/>
          <w:kern w:val="0"/>
          <w14:ligatures w14:val="none"/>
        </w:rPr>
        <w:t>Ju</w:t>
      </w:r>
      <w:r w:rsidR="00456D1F">
        <w:rPr>
          <w:rFonts w:ascii="Calibri" w:eastAsia="MS Gothic" w:hAnsi="Calibri" w:cs="Times New Roman"/>
          <w:i/>
          <w:iCs/>
          <w:color w:val="4F81BD"/>
          <w:spacing w:val="15"/>
          <w:kern w:val="0"/>
          <w14:ligatures w14:val="none"/>
        </w:rPr>
        <w:t>ly</w:t>
      </w:r>
      <w:r w:rsidRPr="00184A60">
        <w:rPr>
          <w:rFonts w:ascii="Calibri" w:eastAsia="MS Gothic" w:hAnsi="Calibri" w:cs="Times New Roman"/>
          <w:i/>
          <w:iCs/>
          <w:color w:val="4F81BD"/>
          <w:spacing w:val="15"/>
          <w:kern w:val="0"/>
          <w14:ligatures w14:val="none"/>
        </w:rPr>
        <w:t xml:space="preserve"> 2025</w:t>
      </w:r>
    </w:p>
    <w:p w14:paraId="1E803A7B" w14:textId="77777777" w:rsidR="00184A60" w:rsidRPr="00184A60" w:rsidRDefault="00184A60" w:rsidP="00184A60">
      <w:pPr>
        <w:spacing w:after="200" w:line="276" w:lineRule="auto"/>
        <w:rPr>
          <w:rFonts w:ascii="Georgia" w:eastAsia="MS Mincho" w:hAnsi="Georgia" w:cs="Times New Roman"/>
          <w:kern w:val="0"/>
          <w:sz w:val="22"/>
          <w:szCs w:val="22"/>
          <w14:ligatures w14:val="none"/>
        </w:rPr>
      </w:pPr>
      <w:r w:rsidRPr="00184A60">
        <w:rPr>
          <w:rFonts w:ascii="Georgia" w:eastAsia="MS Mincho" w:hAnsi="Georgia" w:cs="Times New Roman"/>
          <w:kern w:val="0"/>
          <w:sz w:val="22"/>
          <w:szCs w:val="22"/>
          <w14:ligatures w14:val="none"/>
        </w:rPr>
        <w:br w:type="page"/>
      </w:r>
    </w:p>
    <w:p w14:paraId="3085EB68" w14:textId="5AE874F3" w:rsidR="004317C9" w:rsidRPr="004317C9" w:rsidRDefault="00184A60" w:rsidP="004317C9">
      <w:pPr>
        <w:pStyle w:val="Style1"/>
      </w:pPr>
      <w:bookmarkStart w:id="0" w:name="_Toc201855742"/>
      <w:bookmarkStart w:id="1" w:name="_Toc202095929"/>
      <w:r w:rsidRPr="004317C9">
        <w:lastRenderedPageBreak/>
        <w:t>Table of Contents</w:t>
      </w:r>
      <w:bookmarkEnd w:id="0"/>
      <w:bookmarkEnd w:id="1"/>
      <w:r w:rsidR="00393567">
        <w:fldChar w:fldCharType="begin"/>
      </w:r>
      <w:r w:rsidR="00393567" w:rsidRPr="004317C9">
        <w:instrText xml:space="preserve"> TOC \o "1-1" \h \z \u </w:instrText>
      </w:r>
      <w:r w:rsidR="00393567">
        <w:fldChar w:fldCharType="separate"/>
      </w:r>
    </w:p>
    <w:p w14:paraId="1CA4CEB3" w14:textId="7544FCCD" w:rsidR="004317C9" w:rsidRDefault="004317C9">
      <w:pPr>
        <w:pStyle w:val="TOC1"/>
        <w:tabs>
          <w:tab w:val="right" w:leader="dot" w:pos="8630"/>
        </w:tabs>
        <w:rPr>
          <w:rFonts w:eastAsiaTheme="minorEastAsia"/>
          <w:noProof/>
        </w:rPr>
      </w:pPr>
      <w:hyperlink w:anchor="_Toc202095930" w:history="1">
        <w:r w:rsidRPr="00846F4F">
          <w:rPr>
            <w:rStyle w:val="Hyperlink"/>
            <w:rFonts w:ascii="Calibri" w:eastAsia="MS Gothic" w:hAnsi="Calibri" w:cs="Times New Roman"/>
            <w:b/>
            <w:bCs/>
            <w:noProof/>
            <w:kern w:val="0"/>
            <w14:ligatures w14:val="none"/>
          </w:rPr>
          <w:t>Introduction</w:t>
        </w:r>
        <w:r>
          <w:rPr>
            <w:noProof/>
            <w:webHidden/>
          </w:rPr>
          <w:tab/>
        </w:r>
        <w:r>
          <w:rPr>
            <w:noProof/>
            <w:webHidden/>
          </w:rPr>
          <w:fldChar w:fldCharType="begin"/>
        </w:r>
        <w:r>
          <w:rPr>
            <w:noProof/>
            <w:webHidden/>
          </w:rPr>
          <w:instrText xml:space="preserve"> PAGEREF _Toc202095930 \h </w:instrText>
        </w:r>
        <w:r>
          <w:rPr>
            <w:noProof/>
            <w:webHidden/>
          </w:rPr>
        </w:r>
        <w:r>
          <w:rPr>
            <w:noProof/>
            <w:webHidden/>
          </w:rPr>
          <w:fldChar w:fldCharType="separate"/>
        </w:r>
        <w:r>
          <w:rPr>
            <w:noProof/>
            <w:webHidden/>
          </w:rPr>
          <w:t>4</w:t>
        </w:r>
        <w:r>
          <w:rPr>
            <w:noProof/>
            <w:webHidden/>
          </w:rPr>
          <w:fldChar w:fldCharType="end"/>
        </w:r>
      </w:hyperlink>
    </w:p>
    <w:p w14:paraId="799A5B4D" w14:textId="7CDEEEF8" w:rsidR="004317C9" w:rsidRDefault="004317C9">
      <w:pPr>
        <w:pStyle w:val="TOC1"/>
        <w:tabs>
          <w:tab w:val="right" w:leader="dot" w:pos="8630"/>
        </w:tabs>
        <w:rPr>
          <w:rFonts w:eastAsiaTheme="minorEastAsia"/>
          <w:noProof/>
        </w:rPr>
      </w:pPr>
      <w:hyperlink w:anchor="_Toc202095931" w:history="1">
        <w:r w:rsidRPr="00846F4F">
          <w:rPr>
            <w:rStyle w:val="Hyperlink"/>
            <w:noProof/>
          </w:rPr>
          <w:t>Article 1-4: General principles and obligations</w:t>
        </w:r>
        <w:r>
          <w:rPr>
            <w:noProof/>
            <w:webHidden/>
          </w:rPr>
          <w:tab/>
        </w:r>
        <w:r>
          <w:rPr>
            <w:noProof/>
            <w:webHidden/>
          </w:rPr>
          <w:fldChar w:fldCharType="begin"/>
        </w:r>
        <w:r>
          <w:rPr>
            <w:noProof/>
            <w:webHidden/>
          </w:rPr>
          <w:instrText xml:space="preserve"> PAGEREF _Toc202095931 \h </w:instrText>
        </w:r>
        <w:r>
          <w:rPr>
            <w:noProof/>
            <w:webHidden/>
          </w:rPr>
        </w:r>
        <w:r>
          <w:rPr>
            <w:noProof/>
            <w:webHidden/>
          </w:rPr>
          <w:fldChar w:fldCharType="separate"/>
        </w:r>
        <w:r>
          <w:rPr>
            <w:noProof/>
            <w:webHidden/>
          </w:rPr>
          <w:t>5</w:t>
        </w:r>
        <w:r>
          <w:rPr>
            <w:noProof/>
            <w:webHidden/>
          </w:rPr>
          <w:fldChar w:fldCharType="end"/>
        </w:r>
      </w:hyperlink>
    </w:p>
    <w:p w14:paraId="31AD949B" w14:textId="223DCA7F" w:rsidR="004317C9" w:rsidRDefault="004317C9">
      <w:pPr>
        <w:pStyle w:val="TOC1"/>
        <w:tabs>
          <w:tab w:val="right" w:leader="dot" w:pos="8630"/>
        </w:tabs>
        <w:rPr>
          <w:rFonts w:eastAsiaTheme="minorEastAsia"/>
          <w:noProof/>
        </w:rPr>
      </w:pPr>
      <w:hyperlink w:anchor="_Toc202095932" w:history="1">
        <w:r w:rsidRPr="00846F4F">
          <w:rPr>
            <w:rStyle w:val="Hyperlink"/>
            <w:noProof/>
          </w:rPr>
          <w:t>Article 5: Equality and non-discrimination</w:t>
        </w:r>
        <w:r>
          <w:rPr>
            <w:noProof/>
            <w:webHidden/>
          </w:rPr>
          <w:tab/>
        </w:r>
        <w:r>
          <w:rPr>
            <w:noProof/>
            <w:webHidden/>
          </w:rPr>
          <w:fldChar w:fldCharType="begin"/>
        </w:r>
        <w:r>
          <w:rPr>
            <w:noProof/>
            <w:webHidden/>
          </w:rPr>
          <w:instrText xml:space="preserve"> PAGEREF _Toc202095932 \h </w:instrText>
        </w:r>
        <w:r>
          <w:rPr>
            <w:noProof/>
            <w:webHidden/>
          </w:rPr>
        </w:r>
        <w:r>
          <w:rPr>
            <w:noProof/>
            <w:webHidden/>
          </w:rPr>
          <w:fldChar w:fldCharType="separate"/>
        </w:r>
        <w:r>
          <w:rPr>
            <w:noProof/>
            <w:webHidden/>
          </w:rPr>
          <w:t>7</w:t>
        </w:r>
        <w:r>
          <w:rPr>
            <w:noProof/>
            <w:webHidden/>
          </w:rPr>
          <w:fldChar w:fldCharType="end"/>
        </w:r>
      </w:hyperlink>
    </w:p>
    <w:p w14:paraId="6B2ACD0E" w14:textId="62EA7801" w:rsidR="004317C9" w:rsidRDefault="004317C9">
      <w:pPr>
        <w:pStyle w:val="TOC1"/>
        <w:tabs>
          <w:tab w:val="right" w:leader="dot" w:pos="8630"/>
        </w:tabs>
        <w:rPr>
          <w:rFonts w:eastAsiaTheme="minorEastAsia"/>
          <w:noProof/>
        </w:rPr>
      </w:pPr>
      <w:hyperlink w:anchor="_Toc202095933" w:history="1">
        <w:r w:rsidRPr="00846F4F">
          <w:rPr>
            <w:rStyle w:val="Hyperlink"/>
            <w:noProof/>
          </w:rPr>
          <w:t>Article 6: Disabled women and girls</w:t>
        </w:r>
        <w:r>
          <w:rPr>
            <w:noProof/>
            <w:webHidden/>
          </w:rPr>
          <w:tab/>
        </w:r>
        <w:r>
          <w:rPr>
            <w:noProof/>
            <w:webHidden/>
          </w:rPr>
          <w:fldChar w:fldCharType="begin"/>
        </w:r>
        <w:r>
          <w:rPr>
            <w:noProof/>
            <w:webHidden/>
          </w:rPr>
          <w:instrText xml:space="preserve"> PAGEREF _Toc202095933 \h </w:instrText>
        </w:r>
        <w:r>
          <w:rPr>
            <w:noProof/>
            <w:webHidden/>
          </w:rPr>
        </w:r>
        <w:r>
          <w:rPr>
            <w:noProof/>
            <w:webHidden/>
          </w:rPr>
          <w:fldChar w:fldCharType="separate"/>
        </w:r>
        <w:r>
          <w:rPr>
            <w:noProof/>
            <w:webHidden/>
          </w:rPr>
          <w:t>8</w:t>
        </w:r>
        <w:r>
          <w:rPr>
            <w:noProof/>
            <w:webHidden/>
          </w:rPr>
          <w:fldChar w:fldCharType="end"/>
        </w:r>
      </w:hyperlink>
    </w:p>
    <w:p w14:paraId="64098E9D" w14:textId="2ED8F6E0" w:rsidR="004317C9" w:rsidRDefault="004317C9">
      <w:pPr>
        <w:pStyle w:val="TOC1"/>
        <w:tabs>
          <w:tab w:val="right" w:leader="dot" w:pos="8630"/>
        </w:tabs>
        <w:rPr>
          <w:rFonts w:eastAsiaTheme="minorEastAsia"/>
          <w:noProof/>
        </w:rPr>
      </w:pPr>
      <w:hyperlink w:anchor="_Toc202095934" w:history="1">
        <w:r w:rsidRPr="00846F4F">
          <w:rPr>
            <w:rStyle w:val="Hyperlink"/>
            <w:noProof/>
          </w:rPr>
          <w:t>Article 7: Disabled children</w:t>
        </w:r>
        <w:r>
          <w:rPr>
            <w:noProof/>
            <w:webHidden/>
          </w:rPr>
          <w:tab/>
        </w:r>
        <w:r>
          <w:rPr>
            <w:noProof/>
            <w:webHidden/>
          </w:rPr>
          <w:fldChar w:fldCharType="begin"/>
        </w:r>
        <w:r>
          <w:rPr>
            <w:noProof/>
            <w:webHidden/>
          </w:rPr>
          <w:instrText xml:space="preserve"> PAGEREF _Toc202095934 \h </w:instrText>
        </w:r>
        <w:r>
          <w:rPr>
            <w:noProof/>
            <w:webHidden/>
          </w:rPr>
        </w:r>
        <w:r>
          <w:rPr>
            <w:noProof/>
            <w:webHidden/>
          </w:rPr>
          <w:fldChar w:fldCharType="separate"/>
        </w:r>
        <w:r>
          <w:rPr>
            <w:noProof/>
            <w:webHidden/>
          </w:rPr>
          <w:t>10</w:t>
        </w:r>
        <w:r>
          <w:rPr>
            <w:noProof/>
            <w:webHidden/>
          </w:rPr>
          <w:fldChar w:fldCharType="end"/>
        </w:r>
      </w:hyperlink>
    </w:p>
    <w:p w14:paraId="5DB1190A" w14:textId="5D584555" w:rsidR="004317C9" w:rsidRDefault="004317C9">
      <w:pPr>
        <w:pStyle w:val="TOC1"/>
        <w:tabs>
          <w:tab w:val="right" w:leader="dot" w:pos="8630"/>
        </w:tabs>
        <w:rPr>
          <w:rFonts w:eastAsiaTheme="minorEastAsia"/>
          <w:noProof/>
        </w:rPr>
      </w:pPr>
      <w:hyperlink w:anchor="_Toc202095935" w:history="1">
        <w:r w:rsidRPr="00846F4F">
          <w:rPr>
            <w:rStyle w:val="Hyperlink"/>
            <w:noProof/>
          </w:rPr>
          <w:t>Article 8: Awareness-raising</w:t>
        </w:r>
        <w:r>
          <w:rPr>
            <w:noProof/>
            <w:webHidden/>
          </w:rPr>
          <w:tab/>
        </w:r>
        <w:r>
          <w:rPr>
            <w:noProof/>
            <w:webHidden/>
          </w:rPr>
          <w:fldChar w:fldCharType="begin"/>
        </w:r>
        <w:r>
          <w:rPr>
            <w:noProof/>
            <w:webHidden/>
          </w:rPr>
          <w:instrText xml:space="preserve"> PAGEREF _Toc202095935 \h </w:instrText>
        </w:r>
        <w:r>
          <w:rPr>
            <w:noProof/>
            <w:webHidden/>
          </w:rPr>
        </w:r>
        <w:r>
          <w:rPr>
            <w:noProof/>
            <w:webHidden/>
          </w:rPr>
          <w:fldChar w:fldCharType="separate"/>
        </w:r>
        <w:r>
          <w:rPr>
            <w:noProof/>
            <w:webHidden/>
          </w:rPr>
          <w:t>12</w:t>
        </w:r>
        <w:r>
          <w:rPr>
            <w:noProof/>
            <w:webHidden/>
          </w:rPr>
          <w:fldChar w:fldCharType="end"/>
        </w:r>
      </w:hyperlink>
    </w:p>
    <w:p w14:paraId="6E1A8612" w14:textId="34D3B785" w:rsidR="004317C9" w:rsidRDefault="004317C9">
      <w:pPr>
        <w:pStyle w:val="TOC1"/>
        <w:tabs>
          <w:tab w:val="right" w:leader="dot" w:pos="8630"/>
        </w:tabs>
        <w:rPr>
          <w:rFonts w:eastAsiaTheme="minorEastAsia"/>
          <w:noProof/>
        </w:rPr>
      </w:pPr>
      <w:hyperlink w:anchor="_Toc202095936" w:history="1">
        <w:r w:rsidRPr="00846F4F">
          <w:rPr>
            <w:rStyle w:val="Hyperlink"/>
            <w:noProof/>
          </w:rPr>
          <w:t>Article 9: Accessibility</w:t>
        </w:r>
        <w:r>
          <w:rPr>
            <w:noProof/>
            <w:webHidden/>
          </w:rPr>
          <w:tab/>
        </w:r>
        <w:r>
          <w:rPr>
            <w:noProof/>
            <w:webHidden/>
          </w:rPr>
          <w:fldChar w:fldCharType="begin"/>
        </w:r>
        <w:r>
          <w:rPr>
            <w:noProof/>
            <w:webHidden/>
          </w:rPr>
          <w:instrText xml:space="preserve"> PAGEREF _Toc202095936 \h </w:instrText>
        </w:r>
        <w:r>
          <w:rPr>
            <w:noProof/>
            <w:webHidden/>
          </w:rPr>
        </w:r>
        <w:r>
          <w:rPr>
            <w:noProof/>
            <w:webHidden/>
          </w:rPr>
          <w:fldChar w:fldCharType="separate"/>
        </w:r>
        <w:r>
          <w:rPr>
            <w:noProof/>
            <w:webHidden/>
          </w:rPr>
          <w:t>14</w:t>
        </w:r>
        <w:r>
          <w:rPr>
            <w:noProof/>
            <w:webHidden/>
          </w:rPr>
          <w:fldChar w:fldCharType="end"/>
        </w:r>
      </w:hyperlink>
    </w:p>
    <w:p w14:paraId="0A9660E5" w14:textId="21FBE9FE" w:rsidR="004317C9" w:rsidRDefault="004317C9">
      <w:pPr>
        <w:pStyle w:val="TOC1"/>
        <w:tabs>
          <w:tab w:val="right" w:leader="dot" w:pos="8630"/>
        </w:tabs>
        <w:rPr>
          <w:rFonts w:eastAsiaTheme="minorEastAsia"/>
          <w:noProof/>
        </w:rPr>
      </w:pPr>
      <w:hyperlink w:anchor="_Toc202095937" w:history="1">
        <w:r w:rsidRPr="00846F4F">
          <w:rPr>
            <w:rStyle w:val="Hyperlink"/>
            <w:noProof/>
          </w:rPr>
          <w:t>Article 10: The right to life</w:t>
        </w:r>
        <w:r>
          <w:rPr>
            <w:noProof/>
            <w:webHidden/>
          </w:rPr>
          <w:tab/>
        </w:r>
        <w:r>
          <w:rPr>
            <w:noProof/>
            <w:webHidden/>
          </w:rPr>
          <w:fldChar w:fldCharType="begin"/>
        </w:r>
        <w:r>
          <w:rPr>
            <w:noProof/>
            <w:webHidden/>
          </w:rPr>
          <w:instrText xml:space="preserve"> PAGEREF _Toc202095937 \h </w:instrText>
        </w:r>
        <w:r>
          <w:rPr>
            <w:noProof/>
            <w:webHidden/>
          </w:rPr>
        </w:r>
        <w:r>
          <w:rPr>
            <w:noProof/>
            <w:webHidden/>
          </w:rPr>
          <w:fldChar w:fldCharType="separate"/>
        </w:r>
        <w:r>
          <w:rPr>
            <w:noProof/>
            <w:webHidden/>
          </w:rPr>
          <w:t>16</w:t>
        </w:r>
        <w:r>
          <w:rPr>
            <w:noProof/>
            <w:webHidden/>
          </w:rPr>
          <w:fldChar w:fldCharType="end"/>
        </w:r>
      </w:hyperlink>
    </w:p>
    <w:p w14:paraId="460FEA83" w14:textId="0B7184D7" w:rsidR="004317C9" w:rsidRDefault="004317C9">
      <w:pPr>
        <w:pStyle w:val="TOC1"/>
        <w:tabs>
          <w:tab w:val="right" w:leader="dot" w:pos="8630"/>
        </w:tabs>
        <w:rPr>
          <w:rFonts w:eastAsiaTheme="minorEastAsia"/>
          <w:noProof/>
        </w:rPr>
      </w:pPr>
      <w:hyperlink w:anchor="_Toc202095938" w:history="1">
        <w:r w:rsidRPr="00846F4F">
          <w:rPr>
            <w:rStyle w:val="Hyperlink"/>
            <w:noProof/>
          </w:rPr>
          <w:t>Article 11: Situations of risk and humanitarian emergencies</w:t>
        </w:r>
        <w:r>
          <w:rPr>
            <w:noProof/>
            <w:webHidden/>
          </w:rPr>
          <w:tab/>
        </w:r>
        <w:r>
          <w:rPr>
            <w:noProof/>
            <w:webHidden/>
          </w:rPr>
          <w:fldChar w:fldCharType="begin"/>
        </w:r>
        <w:r>
          <w:rPr>
            <w:noProof/>
            <w:webHidden/>
          </w:rPr>
          <w:instrText xml:space="preserve"> PAGEREF _Toc202095938 \h </w:instrText>
        </w:r>
        <w:r>
          <w:rPr>
            <w:noProof/>
            <w:webHidden/>
          </w:rPr>
        </w:r>
        <w:r>
          <w:rPr>
            <w:noProof/>
            <w:webHidden/>
          </w:rPr>
          <w:fldChar w:fldCharType="separate"/>
        </w:r>
        <w:r>
          <w:rPr>
            <w:noProof/>
            <w:webHidden/>
          </w:rPr>
          <w:t>18</w:t>
        </w:r>
        <w:r>
          <w:rPr>
            <w:noProof/>
            <w:webHidden/>
          </w:rPr>
          <w:fldChar w:fldCharType="end"/>
        </w:r>
      </w:hyperlink>
    </w:p>
    <w:p w14:paraId="6BA47BB4" w14:textId="6DCB3333" w:rsidR="004317C9" w:rsidRDefault="004317C9">
      <w:pPr>
        <w:pStyle w:val="TOC1"/>
        <w:tabs>
          <w:tab w:val="right" w:leader="dot" w:pos="8630"/>
        </w:tabs>
        <w:rPr>
          <w:rFonts w:eastAsiaTheme="minorEastAsia"/>
          <w:noProof/>
        </w:rPr>
      </w:pPr>
      <w:hyperlink w:anchor="_Toc202095939" w:history="1">
        <w:r w:rsidRPr="00846F4F">
          <w:rPr>
            <w:rStyle w:val="Hyperlink"/>
            <w:noProof/>
          </w:rPr>
          <w:t>Article 12: Equal recognition before the law</w:t>
        </w:r>
        <w:r>
          <w:rPr>
            <w:noProof/>
            <w:webHidden/>
          </w:rPr>
          <w:tab/>
        </w:r>
        <w:r>
          <w:rPr>
            <w:noProof/>
            <w:webHidden/>
          </w:rPr>
          <w:fldChar w:fldCharType="begin"/>
        </w:r>
        <w:r>
          <w:rPr>
            <w:noProof/>
            <w:webHidden/>
          </w:rPr>
          <w:instrText xml:space="preserve"> PAGEREF _Toc202095939 \h </w:instrText>
        </w:r>
        <w:r>
          <w:rPr>
            <w:noProof/>
            <w:webHidden/>
          </w:rPr>
        </w:r>
        <w:r>
          <w:rPr>
            <w:noProof/>
            <w:webHidden/>
          </w:rPr>
          <w:fldChar w:fldCharType="separate"/>
        </w:r>
        <w:r>
          <w:rPr>
            <w:noProof/>
            <w:webHidden/>
          </w:rPr>
          <w:t>20</w:t>
        </w:r>
        <w:r>
          <w:rPr>
            <w:noProof/>
            <w:webHidden/>
          </w:rPr>
          <w:fldChar w:fldCharType="end"/>
        </w:r>
      </w:hyperlink>
    </w:p>
    <w:p w14:paraId="202A999C" w14:textId="487A535F" w:rsidR="004317C9" w:rsidRDefault="004317C9">
      <w:pPr>
        <w:pStyle w:val="TOC1"/>
        <w:tabs>
          <w:tab w:val="right" w:leader="dot" w:pos="8630"/>
        </w:tabs>
        <w:rPr>
          <w:rFonts w:eastAsiaTheme="minorEastAsia"/>
          <w:noProof/>
        </w:rPr>
      </w:pPr>
      <w:hyperlink w:anchor="_Toc202095940" w:history="1">
        <w:r w:rsidRPr="00846F4F">
          <w:rPr>
            <w:rStyle w:val="Hyperlink"/>
            <w:noProof/>
          </w:rPr>
          <w:t>Article 13: Access to justice</w:t>
        </w:r>
        <w:r>
          <w:rPr>
            <w:noProof/>
            <w:webHidden/>
          </w:rPr>
          <w:tab/>
        </w:r>
        <w:r>
          <w:rPr>
            <w:noProof/>
            <w:webHidden/>
          </w:rPr>
          <w:fldChar w:fldCharType="begin"/>
        </w:r>
        <w:r>
          <w:rPr>
            <w:noProof/>
            <w:webHidden/>
          </w:rPr>
          <w:instrText xml:space="preserve"> PAGEREF _Toc202095940 \h </w:instrText>
        </w:r>
        <w:r>
          <w:rPr>
            <w:noProof/>
            <w:webHidden/>
          </w:rPr>
        </w:r>
        <w:r>
          <w:rPr>
            <w:noProof/>
            <w:webHidden/>
          </w:rPr>
          <w:fldChar w:fldCharType="separate"/>
        </w:r>
        <w:r>
          <w:rPr>
            <w:noProof/>
            <w:webHidden/>
          </w:rPr>
          <w:t>22</w:t>
        </w:r>
        <w:r>
          <w:rPr>
            <w:noProof/>
            <w:webHidden/>
          </w:rPr>
          <w:fldChar w:fldCharType="end"/>
        </w:r>
      </w:hyperlink>
    </w:p>
    <w:p w14:paraId="1D53BAD5" w14:textId="1F450353" w:rsidR="004317C9" w:rsidRDefault="004317C9">
      <w:pPr>
        <w:pStyle w:val="TOC1"/>
        <w:tabs>
          <w:tab w:val="right" w:leader="dot" w:pos="8630"/>
        </w:tabs>
        <w:rPr>
          <w:rFonts w:eastAsiaTheme="minorEastAsia"/>
          <w:noProof/>
        </w:rPr>
      </w:pPr>
      <w:hyperlink w:anchor="_Toc202095941" w:history="1">
        <w:r w:rsidRPr="00846F4F">
          <w:rPr>
            <w:rStyle w:val="Hyperlink"/>
            <w:noProof/>
          </w:rPr>
          <w:t>Article 14: Liberty and security of person</w:t>
        </w:r>
        <w:r>
          <w:rPr>
            <w:noProof/>
            <w:webHidden/>
          </w:rPr>
          <w:tab/>
        </w:r>
        <w:r>
          <w:rPr>
            <w:noProof/>
            <w:webHidden/>
          </w:rPr>
          <w:fldChar w:fldCharType="begin"/>
        </w:r>
        <w:r>
          <w:rPr>
            <w:noProof/>
            <w:webHidden/>
          </w:rPr>
          <w:instrText xml:space="preserve"> PAGEREF _Toc202095941 \h </w:instrText>
        </w:r>
        <w:r>
          <w:rPr>
            <w:noProof/>
            <w:webHidden/>
          </w:rPr>
        </w:r>
        <w:r>
          <w:rPr>
            <w:noProof/>
            <w:webHidden/>
          </w:rPr>
          <w:fldChar w:fldCharType="separate"/>
        </w:r>
        <w:r>
          <w:rPr>
            <w:noProof/>
            <w:webHidden/>
          </w:rPr>
          <w:t>24</w:t>
        </w:r>
        <w:r>
          <w:rPr>
            <w:noProof/>
            <w:webHidden/>
          </w:rPr>
          <w:fldChar w:fldCharType="end"/>
        </w:r>
      </w:hyperlink>
    </w:p>
    <w:p w14:paraId="303349F5" w14:textId="6DD04DC9" w:rsidR="004317C9" w:rsidRDefault="004317C9">
      <w:pPr>
        <w:pStyle w:val="TOC1"/>
        <w:tabs>
          <w:tab w:val="right" w:leader="dot" w:pos="8630"/>
        </w:tabs>
        <w:rPr>
          <w:rFonts w:eastAsiaTheme="minorEastAsia"/>
          <w:noProof/>
        </w:rPr>
      </w:pPr>
      <w:hyperlink w:anchor="_Toc202095942" w:history="1">
        <w:r w:rsidRPr="00846F4F">
          <w:rPr>
            <w:rStyle w:val="Hyperlink"/>
            <w:noProof/>
          </w:rPr>
          <w:t>Article 15: Freedom from torture or cruel, inhuman or degrading treatment or punishment</w:t>
        </w:r>
        <w:r>
          <w:rPr>
            <w:noProof/>
            <w:webHidden/>
          </w:rPr>
          <w:tab/>
        </w:r>
        <w:r>
          <w:rPr>
            <w:noProof/>
            <w:webHidden/>
          </w:rPr>
          <w:fldChar w:fldCharType="begin"/>
        </w:r>
        <w:r>
          <w:rPr>
            <w:noProof/>
            <w:webHidden/>
          </w:rPr>
          <w:instrText xml:space="preserve"> PAGEREF _Toc202095942 \h </w:instrText>
        </w:r>
        <w:r>
          <w:rPr>
            <w:noProof/>
            <w:webHidden/>
          </w:rPr>
        </w:r>
        <w:r>
          <w:rPr>
            <w:noProof/>
            <w:webHidden/>
          </w:rPr>
          <w:fldChar w:fldCharType="separate"/>
        </w:r>
        <w:r>
          <w:rPr>
            <w:noProof/>
            <w:webHidden/>
          </w:rPr>
          <w:t>26</w:t>
        </w:r>
        <w:r>
          <w:rPr>
            <w:noProof/>
            <w:webHidden/>
          </w:rPr>
          <w:fldChar w:fldCharType="end"/>
        </w:r>
      </w:hyperlink>
    </w:p>
    <w:p w14:paraId="3AA907E8" w14:textId="51525BF9" w:rsidR="004317C9" w:rsidRDefault="004317C9">
      <w:pPr>
        <w:pStyle w:val="TOC1"/>
        <w:tabs>
          <w:tab w:val="right" w:leader="dot" w:pos="8630"/>
        </w:tabs>
        <w:rPr>
          <w:rFonts w:eastAsiaTheme="minorEastAsia"/>
          <w:noProof/>
        </w:rPr>
      </w:pPr>
      <w:hyperlink w:anchor="_Toc202095943" w:history="1">
        <w:r w:rsidRPr="00846F4F">
          <w:rPr>
            <w:rStyle w:val="Hyperlink"/>
            <w:noProof/>
          </w:rPr>
          <w:t>Article 16: Freedom from exploitation, violence and abuse</w:t>
        </w:r>
        <w:r>
          <w:rPr>
            <w:noProof/>
            <w:webHidden/>
          </w:rPr>
          <w:tab/>
        </w:r>
        <w:r>
          <w:rPr>
            <w:noProof/>
            <w:webHidden/>
          </w:rPr>
          <w:fldChar w:fldCharType="begin"/>
        </w:r>
        <w:r>
          <w:rPr>
            <w:noProof/>
            <w:webHidden/>
          </w:rPr>
          <w:instrText xml:space="preserve"> PAGEREF _Toc202095943 \h </w:instrText>
        </w:r>
        <w:r>
          <w:rPr>
            <w:noProof/>
            <w:webHidden/>
          </w:rPr>
        </w:r>
        <w:r>
          <w:rPr>
            <w:noProof/>
            <w:webHidden/>
          </w:rPr>
          <w:fldChar w:fldCharType="separate"/>
        </w:r>
        <w:r>
          <w:rPr>
            <w:noProof/>
            <w:webHidden/>
          </w:rPr>
          <w:t>28</w:t>
        </w:r>
        <w:r>
          <w:rPr>
            <w:noProof/>
            <w:webHidden/>
          </w:rPr>
          <w:fldChar w:fldCharType="end"/>
        </w:r>
      </w:hyperlink>
    </w:p>
    <w:p w14:paraId="01A12933" w14:textId="7B126285" w:rsidR="004317C9" w:rsidRDefault="004317C9">
      <w:pPr>
        <w:pStyle w:val="TOC1"/>
        <w:tabs>
          <w:tab w:val="right" w:leader="dot" w:pos="8630"/>
        </w:tabs>
        <w:rPr>
          <w:rFonts w:eastAsiaTheme="minorEastAsia"/>
          <w:noProof/>
        </w:rPr>
      </w:pPr>
      <w:hyperlink w:anchor="_Toc202095944" w:history="1">
        <w:r w:rsidRPr="00846F4F">
          <w:rPr>
            <w:rStyle w:val="Hyperlink"/>
            <w:noProof/>
          </w:rPr>
          <w:t>Article 17: Protection of the Integrity of the person</w:t>
        </w:r>
        <w:r>
          <w:rPr>
            <w:noProof/>
            <w:webHidden/>
          </w:rPr>
          <w:tab/>
        </w:r>
        <w:r>
          <w:rPr>
            <w:noProof/>
            <w:webHidden/>
          </w:rPr>
          <w:fldChar w:fldCharType="begin"/>
        </w:r>
        <w:r>
          <w:rPr>
            <w:noProof/>
            <w:webHidden/>
          </w:rPr>
          <w:instrText xml:space="preserve"> PAGEREF _Toc202095944 \h </w:instrText>
        </w:r>
        <w:r>
          <w:rPr>
            <w:noProof/>
            <w:webHidden/>
          </w:rPr>
        </w:r>
        <w:r>
          <w:rPr>
            <w:noProof/>
            <w:webHidden/>
          </w:rPr>
          <w:fldChar w:fldCharType="separate"/>
        </w:r>
        <w:r>
          <w:rPr>
            <w:noProof/>
            <w:webHidden/>
          </w:rPr>
          <w:t>30</w:t>
        </w:r>
        <w:r>
          <w:rPr>
            <w:noProof/>
            <w:webHidden/>
          </w:rPr>
          <w:fldChar w:fldCharType="end"/>
        </w:r>
      </w:hyperlink>
    </w:p>
    <w:p w14:paraId="1EB63BCE" w14:textId="28938654" w:rsidR="004317C9" w:rsidRDefault="004317C9">
      <w:pPr>
        <w:pStyle w:val="TOC1"/>
        <w:tabs>
          <w:tab w:val="right" w:leader="dot" w:pos="8630"/>
        </w:tabs>
        <w:rPr>
          <w:rFonts w:eastAsiaTheme="minorEastAsia"/>
          <w:noProof/>
        </w:rPr>
      </w:pPr>
      <w:hyperlink w:anchor="_Toc202095945" w:history="1">
        <w:r w:rsidRPr="00846F4F">
          <w:rPr>
            <w:rStyle w:val="Hyperlink"/>
            <w:noProof/>
          </w:rPr>
          <w:t>Article 18: Liberty of movement and nationality</w:t>
        </w:r>
        <w:r>
          <w:rPr>
            <w:noProof/>
            <w:webHidden/>
          </w:rPr>
          <w:tab/>
        </w:r>
        <w:r>
          <w:rPr>
            <w:noProof/>
            <w:webHidden/>
          </w:rPr>
          <w:fldChar w:fldCharType="begin"/>
        </w:r>
        <w:r>
          <w:rPr>
            <w:noProof/>
            <w:webHidden/>
          </w:rPr>
          <w:instrText xml:space="preserve"> PAGEREF _Toc202095945 \h </w:instrText>
        </w:r>
        <w:r>
          <w:rPr>
            <w:noProof/>
            <w:webHidden/>
          </w:rPr>
        </w:r>
        <w:r>
          <w:rPr>
            <w:noProof/>
            <w:webHidden/>
          </w:rPr>
          <w:fldChar w:fldCharType="separate"/>
        </w:r>
        <w:r>
          <w:rPr>
            <w:noProof/>
            <w:webHidden/>
          </w:rPr>
          <w:t>32</w:t>
        </w:r>
        <w:r>
          <w:rPr>
            <w:noProof/>
            <w:webHidden/>
          </w:rPr>
          <w:fldChar w:fldCharType="end"/>
        </w:r>
      </w:hyperlink>
    </w:p>
    <w:p w14:paraId="5021231B" w14:textId="75BDE8A3" w:rsidR="004317C9" w:rsidRDefault="004317C9">
      <w:pPr>
        <w:pStyle w:val="TOC1"/>
        <w:tabs>
          <w:tab w:val="right" w:leader="dot" w:pos="8630"/>
        </w:tabs>
        <w:rPr>
          <w:rFonts w:eastAsiaTheme="minorEastAsia"/>
          <w:noProof/>
        </w:rPr>
      </w:pPr>
      <w:hyperlink w:anchor="_Toc202095946" w:history="1">
        <w:r w:rsidRPr="00846F4F">
          <w:rPr>
            <w:rStyle w:val="Hyperlink"/>
            <w:noProof/>
          </w:rPr>
          <w:t>Article 19: Living independently and being included in the community</w:t>
        </w:r>
        <w:r>
          <w:rPr>
            <w:noProof/>
            <w:webHidden/>
          </w:rPr>
          <w:tab/>
        </w:r>
        <w:r>
          <w:rPr>
            <w:noProof/>
            <w:webHidden/>
          </w:rPr>
          <w:fldChar w:fldCharType="begin"/>
        </w:r>
        <w:r>
          <w:rPr>
            <w:noProof/>
            <w:webHidden/>
          </w:rPr>
          <w:instrText xml:space="preserve"> PAGEREF _Toc202095946 \h </w:instrText>
        </w:r>
        <w:r>
          <w:rPr>
            <w:noProof/>
            <w:webHidden/>
          </w:rPr>
        </w:r>
        <w:r>
          <w:rPr>
            <w:noProof/>
            <w:webHidden/>
          </w:rPr>
          <w:fldChar w:fldCharType="separate"/>
        </w:r>
        <w:r>
          <w:rPr>
            <w:noProof/>
            <w:webHidden/>
          </w:rPr>
          <w:t>34</w:t>
        </w:r>
        <w:r>
          <w:rPr>
            <w:noProof/>
            <w:webHidden/>
          </w:rPr>
          <w:fldChar w:fldCharType="end"/>
        </w:r>
      </w:hyperlink>
    </w:p>
    <w:p w14:paraId="224C9CE9" w14:textId="44FBB38C" w:rsidR="004317C9" w:rsidRDefault="004317C9">
      <w:pPr>
        <w:pStyle w:val="TOC1"/>
        <w:tabs>
          <w:tab w:val="right" w:leader="dot" w:pos="8630"/>
        </w:tabs>
        <w:rPr>
          <w:rFonts w:eastAsiaTheme="minorEastAsia"/>
          <w:noProof/>
        </w:rPr>
      </w:pPr>
      <w:hyperlink w:anchor="_Toc202095947" w:history="1">
        <w:r w:rsidRPr="00846F4F">
          <w:rPr>
            <w:rStyle w:val="Hyperlink"/>
            <w:noProof/>
          </w:rPr>
          <w:t>Article 20: Personal mobility</w:t>
        </w:r>
        <w:r>
          <w:rPr>
            <w:noProof/>
            <w:webHidden/>
          </w:rPr>
          <w:tab/>
        </w:r>
        <w:r>
          <w:rPr>
            <w:noProof/>
            <w:webHidden/>
          </w:rPr>
          <w:fldChar w:fldCharType="begin"/>
        </w:r>
        <w:r>
          <w:rPr>
            <w:noProof/>
            <w:webHidden/>
          </w:rPr>
          <w:instrText xml:space="preserve"> PAGEREF _Toc202095947 \h </w:instrText>
        </w:r>
        <w:r>
          <w:rPr>
            <w:noProof/>
            <w:webHidden/>
          </w:rPr>
        </w:r>
        <w:r>
          <w:rPr>
            <w:noProof/>
            <w:webHidden/>
          </w:rPr>
          <w:fldChar w:fldCharType="separate"/>
        </w:r>
        <w:r>
          <w:rPr>
            <w:noProof/>
            <w:webHidden/>
          </w:rPr>
          <w:t>36</w:t>
        </w:r>
        <w:r>
          <w:rPr>
            <w:noProof/>
            <w:webHidden/>
          </w:rPr>
          <w:fldChar w:fldCharType="end"/>
        </w:r>
      </w:hyperlink>
    </w:p>
    <w:p w14:paraId="702C6D8F" w14:textId="034BEF40" w:rsidR="004317C9" w:rsidRDefault="004317C9">
      <w:pPr>
        <w:pStyle w:val="TOC1"/>
        <w:tabs>
          <w:tab w:val="right" w:leader="dot" w:pos="8630"/>
        </w:tabs>
        <w:rPr>
          <w:rFonts w:eastAsiaTheme="minorEastAsia"/>
          <w:noProof/>
        </w:rPr>
      </w:pPr>
      <w:hyperlink w:anchor="_Toc202095948" w:history="1">
        <w:r w:rsidRPr="00846F4F">
          <w:rPr>
            <w:rStyle w:val="Hyperlink"/>
            <w:noProof/>
          </w:rPr>
          <w:t>Article 21: Freedom of expression and access to information</w:t>
        </w:r>
        <w:r>
          <w:rPr>
            <w:noProof/>
            <w:webHidden/>
          </w:rPr>
          <w:tab/>
        </w:r>
        <w:r>
          <w:rPr>
            <w:noProof/>
            <w:webHidden/>
          </w:rPr>
          <w:fldChar w:fldCharType="begin"/>
        </w:r>
        <w:r>
          <w:rPr>
            <w:noProof/>
            <w:webHidden/>
          </w:rPr>
          <w:instrText xml:space="preserve"> PAGEREF _Toc202095948 \h </w:instrText>
        </w:r>
        <w:r>
          <w:rPr>
            <w:noProof/>
            <w:webHidden/>
          </w:rPr>
        </w:r>
        <w:r>
          <w:rPr>
            <w:noProof/>
            <w:webHidden/>
          </w:rPr>
          <w:fldChar w:fldCharType="separate"/>
        </w:r>
        <w:r>
          <w:rPr>
            <w:noProof/>
            <w:webHidden/>
          </w:rPr>
          <w:t>38</w:t>
        </w:r>
        <w:r>
          <w:rPr>
            <w:noProof/>
            <w:webHidden/>
          </w:rPr>
          <w:fldChar w:fldCharType="end"/>
        </w:r>
      </w:hyperlink>
    </w:p>
    <w:p w14:paraId="7373FBC2" w14:textId="378EA2E9" w:rsidR="004317C9" w:rsidRDefault="004317C9">
      <w:pPr>
        <w:pStyle w:val="TOC1"/>
        <w:tabs>
          <w:tab w:val="right" w:leader="dot" w:pos="8630"/>
        </w:tabs>
        <w:rPr>
          <w:rFonts w:eastAsiaTheme="minorEastAsia"/>
          <w:noProof/>
        </w:rPr>
      </w:pPr>
      <w:hyperlink w:anchor="_Toc202095949" w:history="1">
        <w:r w:rsidRPr="00846F4F">
          <w:rPr>
            <w:rStyle w:val="Hyperlink"/>
            <w:noProof/>
          </w:rPr>
          <w:t>Article 22: Respect for privacy, family, home and correspondence</w:t>
        </w:r>
        <w:r>
          <w:rPr>
            <w:noProof/>
            <w:webHidden/>
          </w:rPr>
          <w:tab/>
        </w:r>
        <w:r>
          <w:rPr>
            <w:noProof/>
            <w:webHidden/>
          </w:rPr>
          <w:fldChar w:fldCharType="begin"/>
        </w:r>
        <w:r>
          <w:rPr>
            <w:noProof/>
            <w:webHidden/>
          </w:rPr>
          <w:instrText xml:space="preserve"> PAGEREF _Toc202095949 \h </w:instrText>
        </w:r>
        <w:r>
          <w:rPr>
            <w:noProof/>
            <w:webHidden/>
          </w:rPr>
        </w:r>
        <w:r>
          <w:rPr>
            <w:noProof/>
            <w:webHidden/>
          </w:rPr>
          <w:fldChar w:fldCharType="separate"/>
        </w:r>
        <w:r>
          <w:rPr>
            <w:noProof/>
            <w:webHidden/>
          </w:rPr>
          <w:t>40</w:t>
        </w:r>
        <w:r>
          <w:rPr>
            <w:noProof/>
            <w:webHidden/>
          </w:rPr>
          <w:fldChar w:fldCharType="end"/>
        </w:r>
      </w:hyperlink>
    </w:p>
    <w:p w14:paraId="438E4893" w14:textId="5BEC9AF1" w:rsidR="004317C9" w:rsidRDefault="004317C9">
      <w:pPr>
        <w:pStyle w:val="TOC1"/>
        <w:tabs>
          <w:tab w:val="right" w:leader="dot" w:pos="8630"/>
        </w:tabs>
        <w:rPr>
          <w:rFonts w:eastAsiaTheme="minorEastAsia"/>
          <w:noProof/>
        </w:rPr>
      </w:pPr>
      <w:hyperlink w:anchor="_Toc202095950" w:history="1">
        <w:r w:rsidRPr="00846F4F">
          <w:rPr>
            <w:rStyle w:val="Hyperlink"/>
            <w:noProof/>
          </w:rPr>
          <w:t>Article 23: Right to home and family life</w:t>
        </w:r>
        <w:r>
          <w:rPr>
            <w:noProof/>
            <w:webHidden/>
          </w:rPr>
          <w:tab/>
        </w:r>
        <w:r>
          <w:rPr>
            <w:noProof/>
            <w:webHidden/>
          </w:rPr>
          <w:fldChar w:fldCharType="begin"/>
        </w:r>
        <w:r>
          <w:rPr>
            <w:noProof/>
            <w:webHidden/>
          </w:rPr>
          <w:instrText xml:space="preserve"> PAGEREF _Toc202095950 \h </w:instrText>
        </w:r>
        <w:r>
          <w:rPr>
            <w:noProof/>
            <w:webHidden/>
          </w:rPr>
        </w:r>
        <w:r>
          <w:rPr>
            <w:noProof/>
            <w:webHidden/>
          </w:rPr>
          <w:fldChar w:fldCharType="separate"/>
        </w:r>
        <w:r>
          <w:rPr>
            <w:noProof/>
            <w:webHidden/>
          </w:rPr>
          <w:t>42</w:t>
        </w:r>
        <w:r>
          <w:rPr>
            <w:noProof/>
            <w:webHidden/>
          </w:rPr>
          <w:fldChar w:fldCharType="end"/>
        </w:r>
      </w:hyperlink>
    </w:p>
    <w:p w14:paraId="4482F60F" w14:textId="05A6BDB9" w:rsidR="004317C9" w:rsidRDefault="004317C9">
      <w:pPr>
        <w:pStyle w:val="TOC1"/>
        <w:tabs>
          <w:tab w:val="right" w:leader="dot" w:pos="8630"/>
        </w:tabs>
        <w:rPr>
          <w:rFonts w:eastAsiaTheme="minorEastAsia"/>
          <w:noProof/>
        </w:rPr>
      </w:pPr>
      <w:hyperlink w:anchor="_Toc202095951" w:history="1">
        <w:r w:rsidRPr="00846F4F">
          <w:rPr>
            <w:rStyle w:val="Hyperlink"/>
            <w:noProof/>
          </w:rPr>
          <w:t>Article 24: Education</w:t>
        </w:r>
        <w:r>
          <w:rPr>
            <w:noProof/>
            <w:webHidden/>
          </w:rPr>
          <w:tab/>
        </w:r>
        <w:r>
          <w:rPr>
            <w:noProof/>
            <w:webHidden/>
          </w:rPr>
          <w:fldChar w:fldCharType="begin"/>
        </w:r>
        <w:r>
          <w:rPr>
            <w:noProof/>
            <w:webHidden/>
          </w:rPr>
          <w:instrText xml:space="preserve"> PAGEREF _Toc202095951 \h </w:instrText>
        </w:r>
        <w:r>
          <w:rPr>
            <w:noProof/>
            <w:webHidden/>
          </w:rPr>
        </w:r>
        <w:r>
          <w:rPr>
            <w:noProof/>
            <w:webHidden/>
          </w:rPr>
          <w:fldChar w:fldCharType="separate"/>
        </w:r>
        <w:r>
          <w:rPr>
            <w:noProof/>
            <w:webHidden/>
          </w:rPr>
          <w:t>44</w:t>
        </w:r>
        <w:r>
          <w:rPr>
            <w:noProof/>
            <w:webHidden/>
          </w:rPr>
          <w:fldChar w:fldCharType="end"/>
        </w:r>
      </w:hyperlink>
    </w:p>
    <w:p w14:paraId="6F26824D" w14:textId="03C4FE19" w:rsidR="004317C9" w:rsidRDefault="004317C9">
      <w:pPr>
        <w:pStyle w:val="TOC1"/>
        <w:tabs>
          <w:tab w:val="right" w:leader="dot" w:pos="8630"/>
        </w:tabs>
        <w:rPr>
          <w:rFonts w:eastAsiaTheme="minorEastAsia"/>
          <w:noProof/>
        </w:rPr>
      </w:pPr>
      <w:hyperlink w:anchor="_Toc202095952" w:history="1">
        <w:r w:rsidRPr="00846F4F">
          <w:rPr>
            <w:rStyle w:val="Hyperlink"/>
            <w:noProof/>
          </w:rPr>
          <w:t>Article 25: Health</w:t>
        </w:r>
        <w:r>
          <w:rPr>
            <w:noProof/>
            <w:webHidden/>
          </w:rPr>
          <w:tab/>
        </w:r>
        <w:r>
          <w:rPr>
            <w:noProof/>
            <w:webHidden/>
          </w:rPr>
          <w:fldChar w:fldCharType="begin"/>
        </w:r>
        <w:r>
          <w:rPr>
            <w:noProof/>
            <w:webHidden/>
          </w:rPr>
          <w:instrText xml:space="preserve"> PAGEREF _Toc202095952 \h </w:instrText>
        </w:r>
        <w:r>
          <w:rPr>
            <w:noProof/>
            <w:webHidden/>
          </w:rPr>
        </w:r>
        <w:r>
          <w:rPr>
            <w:noProof/>
            <w:webHidden/>
          </w:rPr>
          <w:fldChar w:fldCharType="separate"/>
        </w:r>
        <w:r>
          <w:rPr>
            <w:noProof/>
            <w:webHidden/>
          </w:rPr>
          <w:t>46</w:t>
        </w:r>
        <w:r>
          <w:rPr>
            <w:noProof/>
            <w:webHidden/>
          </w:rPr>
          <w:fldChar w:fldCharType="end"/>
        </w:r>
      </w:hyperlink>
    </w:p>
    <w:p w14:paraId="3361B08B" w14:textId="47252409" w:rsidR="004317C9" w:rsidRDefault="004317C9">
      <w:pPr>
        <w:pStyle w:val="TOC1"/>
        <w:tabs>
          <w:tab w:val="right" w:leader="dot" w:pos="8630"/>
        </w:tabs>
        <w:rPr>
          <w:rFonts w:eastAsiaTheme="minorEastAsia"/>
          <w:noProof/>
        </w:rPr>
      </w:pPr>
      <w:hyperlink w:anchor="_Toc202095953" w:history="1">
        <w:r w:rsidRPr="00846F4F">
          <w:rPr>
            <w:rStyle w:val="Hyperlink"/>
            <w:noProof/>
          </w:rPr>
          <w:t>Article 26: Habilitation and rehabilitation</w:t>
        </w:r>
        <w:r>
          <w:rPr>
            <w:noProof/>
            <w:webHidden/>
          </w:rPr>
          <w:tab/>
        </w:r>
        <w:r>
          <w:rPr>
            <w:noProof/>
            <w:webHidden/>
          </w:rPr>
          <w:fldChar w:fldCharType="begin"/>
        </w:r>
        <w:r>
          <w:rPr>
            <w:noProof/>
            <w:webHidden/>
          </w:rPr>
          <w:instrText xml:space="preserve"> PAGEREF _Toc202095953 \h </w:instrText>
        </w:r>
        <w:r>
          <w:rPr>
            <w:noProof/>
            <w:webHidden/>
          </w:rPr>
        </w:r>
        <w:r>
          <w:rPr>
            <w:noProof/>
            <w:webHidden/>
          </w:rPr>
          <w:fldChar w:fldCharType="separate"/>
        </w:r>
        <w:r>
          <w:rPr>
            <w:noProof/>
            <w:webHidden/>
          </w:rPr>
          <w:t>48</w:t>
        </w:r>
        <w:r>
          <w:rPr>
            <w:noProof/>
            <w:webHidden/>
          </w:rPr>
          <w:fldChar w:fldCharType="end"/>
        </w:r>
      </w:hyperlink>
    </w:p>
    <w:p w14:paraId="45BEA5FA" w14:textId="30437AEE" w:rsidR="004317C9" w:rsidRDefault="004317C9">
      <w:pPr>
        <w:pStyle w:val="TOC1"/>
        <w:tabs>
          <w:tab w:val="right" w:leader="dot" w:pos="8630"/>
        </w:tabs>
        <w:rPr>
          <w:rFonts w:eastAsiaTheme="minorEastAsia"/>
          <w:noProof/>
        </w:rPr>
      </w:pPr>
      <w:hyperlink w:anchor="_Toc202095954" w:history="1">
        <w:r w:rsidRPr="00846F4F">
          <w:rPr>
            <w:rStyle w:val="Hyperlink"/>
            <w:noProof/>
          </w:rPr>
          <w:t>Article 27: Work and employment</w:t>
        </w:r>
        <w:r>
          <w:rPr>
            <w:noProof/>
            <w:webHidden/>
          </w:rPr>
          <w:tab/>
        </w:r>
        <w:r>
          <w:rPr>
            <w:noProof/>
            <w:webHidden/>
          </w:rPr>
          <w:fldChar w:fldCharType="begin"/>
        </w:r>
        <w:r>
          <w:rPr>
            <w:noProof/>
            <w:webHidden/>
          </w:rPr>
          <w:instrText xml:space="preserve"> PAGEREF _Toc202095954 \h </w:instrText>
        </w:r>
        <w:r>
          <w:rPr>
            <w:noProof/>
            <w:webHidden/>
          </w:rPr>
        </w:r>
        <w:r>
          <w:rPr>
            <w:noProof/>
            <w:webHidden/>
          </w:rPr>
          <w:fldChar w:fldCharType="separate"/>
        </w:r>
        <w:r>
          <w:rPr>
            <w:noProof/>
            <w:webHidden/>
          </w:rPr>
          <w:t>50</w:t>
        </w:r>
        <w:r>
          <w:rPr>
            <w:noProof/>
            <w:webHidden/>
          </w:rPr>
          <w:fldChar w:fldCharType="end"/>
        </w:r>
      </w:hyperlink>
    </w:p>
    <w:p w14:paraId="3DF24DB9" w14:textId="682CBE5F" w:rsidR="004317C9" w:rsidRDefault="004317C9">
      <w:pPr>
        <w:pStyle w:val="TOC1"/>
        <w:tabs>
          <w:tab w:val="right" w:leader="dot" w:pos="8630"/>
        </w:tabs>
        <w:rPr>
          <w:rFonts w:eastAsiaTheme="minorEastAsia"/>
          <w:noProof/>
        </w:rPr>
      </w:pPr>
      <w:hyperlink w:anchor="_Toc202095955" w:history="1">
        <w:r w:rsidRPr="00846F4F">
          <w:rPr>
            <w:rStyle w:val="Hyperlink"/>
            <w:noProof/>
          </w:rPr>
          <w:t>Article 28: Adequate standard of living and social protection</w:t>
        </w:r>
        <w:r>
          <w:rPr>
            <w:noProof/>
            <w:webHidden/>
          </w:rPr>
          <w:tab/>
        </w:r>
        <w:r>
          <w:rPr>
            <w:noProof/>
            <w:webHidden/>
          </w:rPr>
          <w:fldChar w:fldCharType="begin"/>
        </w:r>
        <w:r>
          <w:rPr>
            <w:noProof/>
            <w:webHidden/>
          </w:rPr>
          <w:instrText xml:space="preserve"> PAGEREF _Toc202095955 \h </w:instrText>
        </w:r>
        <w:r>
          <w:rPr>
            <w:noProof/>
            <w:webHidden/>
          </w:rPr>
        </w:r>
        <w:r>
          <w:rPr>
            <w:noProof/>
            <w:webHidden/>
          </w:rPr>
          <w:fldChar w:fldCharType="separate"/>
        </w:r>
        <w:r>
          <w:rPr>
            <w:noProof/>
            <w:webHidden/>
          </w:rPr>
          <w:t>52</w:t>
        </w:r>
        <w:r>
          <w:rPr>
            <w:noProof/>
            <w:webHidden/>
          </w:rPr>
          <w:fldChar w:fldCharType="end"/>
        </w:r>
      </w:hyperlink>
    </w:p>
    <w:p w14:paraId="139C8D3F" w14:textId="11769986" w:rsidR="004317C9" w:rsidRDefault="004317C9">
      <w:pPr>
        <w:pStyle w:val="TOC1"/>
        <w:tabs>
          <w:tab w:val="right" w:leader="dot" w:pos="8630"/>
        </w:tabs>
        <w:rPr>
          <w:rFonts w:eastAsiaTheme="minorEastAsia"/>
          <w:noProof/>
        </w:rPr>
      </w:pPr>
      <w:hyperlink w:anchor="_Toc202095956" w:history="1">
        <w:r w:rsidRPr="00846F4F">
          <w:rPr>
            <w:rStyle w:val="Hyperlink"/>
            <w:noProof/>
          </w:rPr>
          <w:t>Article 29: Participation in political and public life</w:t>
        </w:r>
        <w:r>
          <w:rPr>
            <w:noProof/>
            <w:webHidden/>
          </w:rPr>
          <w:tab/>
        </w:r>
        <w:r>
          <w:rPr>
            <w:noProof/>
            <w:webHidden/>
          </w:rPr>
          <w:fldChar w:fldCharType="begin"/>
        </w:r>
        <w:r>
          <w:rPr>
            <w:noProof/>
            <w:webHidden/>
          </w:rPr>
          <w:instrText xml:space="preserve"> PAGEREF _Toc202095956 \h </w:instrText>
        </w:r>
        <w:r>
          <w:rPr>
            <w:noProof/>
            <w:webHidden/>
          </w:rPr>
        </w:r>
        <w:r>
          <w:rPr>
            <w:noProof/>
            <w:webHidden/>
          </w:rPr>
          <w:fldChar w:fldCharType="separate"/>
        </w:r>
        <w:r>
          <w:rPr>
            <w:noProof/>
            <w:webHidden/>
          </w:rPr>
          <w:t>54</w:t>
        </w:r>
        <w:r>
          <w:rPr>
            <w:noProof/>
            <w:webHidden/>
          </w:rPr>
          <w:fldChar w:fldCharType="end"/>
        </w:r>
      </w:hyperlink>
    </w:p>
    <w:p w14:paraId="77E377F5" w14:textId="3E09ACDC" w:rsidR="004317C9" w:rsidRDefault="004317C9">
      <w:pPr>
        <w:pStyle w:val="TOC1"/>
        <w:tabs>
          <w:tab w:val="right" w:leader="dot" w:pos="8630"/>
        </w:tabs>
        <w:rPr>
          <w:rFonts w:eastAsiaTheme="minorEastAsia"/>
          <w:noProof/>
        </w:rPr>
      </w:pPr>
      <w:hyperlink w:anchor="_Toc202095957" w:history="1">
        <w:r w:rsidRPr="00846F4F">
          <w:rPr>
            <w:rStyle w:val="Hyperlink"/>
            <w:noProof/>
          </w:rPr>
          <w:t>Article 30: Participation in cultural life, recreation, leisure and sport</w:t>
        </w:r>
        <w:r>
          <w:rPr>
            <w:noProof/>
            <w:webHidden/>
          </w:rPr>
          <w:tab/>
        </w:r>
        <w:r>
          <w:rPr>
            <w:noProof/>
            <w:webHidden/>
          </w:rPr>
          <w:fldChar w:fldCharType="begin"/>
        </w:r>
        <w:r>
          <w:rPr>
            <w:noProof/>
            <w:webHidden/>
          </w:rPr>
          <w:instrText xml:space="preserve"> PAGEREF _Toc202095957 \h </w:instrText>
        </w:r>
        <w:r>
          <w:rPr>
            <w:noProof/>
            <w:webHidden/>
          </w:rPr>
        </w:r>
        <w:r>
          <w:rPr>
            <w:noProof/>
            <w:webHidden/>
          </w:rPr>
          <w:fldChar w:fldCharType="separate"/>
        </w:r>
        <w:r>
          <w:rPr>
            <w:noProof/>
            <w:webHidden/>
          </w:rPr>
          <w:t>56</w:t>
        </w:r>
        <w:r>
          <w:rPr>
            <w:noProof/>
            <w:webHidden/>
          </w:rPr>
          <w:fldChar w:fldCharType="end"/>
        </w:r>
      </w:hyperlink>
    </w:p>
    <w:p w14:paraId="6C7DFC8B" w14:textId="773AAE8F" w:rsidR="004317C9" w:rsidRDefault="004317C9">
      <w:pPr>
        <w:pStyle w:val="TOC1"/>
        <w:tabs>
          <w:tab w:val="right" w:leader="dot" w:pos="8630"/>
        </w:tabs>
        <w:rPr>
          <w:rFonts w:eastAsiaTheme="minorEastAsia"/>
          <w:noProof/>
        </w:rPr>
      </w:pPr>
      <w:hyperlink w:anchor="_Toc202095958" w:history="1">
        <w:r w:rsidRPr="00846F4F">
          <w:rPr>
            <w:rStyle w:val="Hyperlink"/>
            <w:noProof/>
          </w:rPr>
          <w:t>Article 31: Statistics and data collection</w:t>
        </w:r>
        <w:r>
          <w:rPr>
            <w:noProof/>
            <w:webHidden/>
          </w:rPr>
          <w:tab/>
        </w:r>
        <w:r>
          <w:rPr>
            <w:noProof/>
            <w:webHidden/>
          </w:rPr>
          <w:fldChar w:fldCharType="begin"/>
        </w:r>
        <w:r>
          <w:rPr>
            <w:noProof/>
            <w:webHidden/>
          </w:rPr>
          <w:instrText xml:space="preserve"> PAGEREF _Toc202095958 \h </w:instrText>
        </w:r>
        <w:r>
          <w:rPr>
            <w:noProof/>
            <w:webHidden/>
          </w:rPr>
        </w:r>
        <w:r>
          <w:rPr>
            <w:noProof/>
            <w:webHidden/>
          </w:rPr>
          <w:fldChar w:fldCharType="separate"/>
        </w:r>
        <w:r>
          <w:rPr>
            <w:noProof/>
            <w:webHidden/>
          </w:rPr>
          <w:t>58</w:t>
        </w:r>
        <w:r>
          <w:rPr>
            <w:noProof/>
            <w:webHidden/>
          </w:rPr>
          <w:fldChar w:fldCharType="end"/>
        </w:r>
      </w:hyperlink>
    </w:p>
    <w:p w14:paraId="384E5B28" w14:textId="520FD955" w:rsidR="004317C9" w:rsidRDefault="004317C9">
      <w:pPr>
        <w:pStyle w:val="TOC1"/>
        <w:tabs>
          <w:tab w:val="right" w:leader="dot" w:pos="8630"/>
        </w:tabs>
        <w:rPr>
          <w:rFonts w:eastAsiaTheme="minorEastAsia"/>
          <w:noProof/>
        </w:rPr>
      </w:pPr>
      <w:hyperlink w:anchor="_Toc202095959" w:history="1">
        <w:r w:rsidRPr="00846F4F">
          <w:rPr>
            <w:rStyle w:val="Hyperlink"/>
            <w:noProof/>
          </w:rPr>
          <w:t>Article 32: International cooperation</w:t>
        </w:r>
        <w:r>
          <w:rPr>
            <w:noProof/>
            <w:webHidden/>
          </w:rPr>
          <w:tab/>
        </w:r>
        <w:r>
          <w:rPr>
            <w:noProof/>
            <w:webHidden/>
          </w:rPr>
          <w:fldChar w:fldCharType="begin"/>
        </w:r>
        <w:r>
          <w:rPr>
            <w:noProof/>
            <w:webHidden/>
          </w:rPr>
          <w:instrText xml:space="preserve"> PAGEREF _Toc202095959 \h </w:instrText>
        </w:r>
        <w:r>
          <w:rPr>
            <w:noProof/>
            <w:webHidden/>
          </w:rPr>
        </w:r>
        <w:r>
          <w:rPr>
            <w:noProof/>
            <w:webHidden/>
          </w:rPr>
          <w:fldChar w:fldCharType="separate"/>
        </w:r>
        <w:r>
          <w:rPr>
            <w:noProof/>
            <w:webHidden/>
          </w:rPr>
          <w:t>60</w:t>
        </w:r>
        <w:r>
          <w:rPr>
            <w:noProof/>
            <w:webHidden/>
          </w:rPr>
          <w:fldChar w:fldCharType="end"/>
        </w:r>
      </w:hyperlink>
    </w:p>
    <w:p w14:paraId="310BCE58" w14:textId="480AE744" w:rsidR="004317C9" w:rsidRDefault="004317C9">
      <w:pPr>
        <w:pStyle w:val="TOC1"/>
        <w:tabs>
          <w:tab w:val="right" w:leader="dot" w:pos="8630"/>
        </w:tabs>
        <w:rPr>
          <w:rFonts w:eastAsiaTheme="minorEastAsia"/>
          <w:noProof/>
        </w:rPr>
      </w:pPr>
      <w:hyperlink w:anchor="_Toc202095960" w:history="1">
        <w:r w:rsidRPr="00846F4F">
          <w:rPr>
            <w:rStyle w:val="Hyperlink"/>
            <w:noProof/>
          </w:rPr>
          <w:t>Article 33: National implementation and monitoring</w:t>
        </w:r>
        <w:r>
          <w:rPr>
            <w:noProof/>
            <w:webHidden/>
          </w:rPr>
          <w:tab/>
        </w:r>
        <w:r>
          <w:rPr>
            <w:noProof/>
            <w:webHidden/>
          </w:rPr>
          <w:fldChar w:fldCharType="begin"/>
        </w:r>
        <w:r>
          <w:rPr>
            <w:noProof/>
            <w:webHidden/>
          </w:rPr>
          <w:instrText xml:space="preserve"> PAGEREF _Toc202095960 \h </w:instrText>
        </w:r>
        <w:r>
          <w:rPr>
            <w:noProof/>
            <w:webHidden/>
          </w:rPr>
        </w:r>
        <w:r>
          <w:rPr>
            <w:noProof/>
            <w:webHidden/>
          </w:rPr>
          <w:fldChar w:fldCharType="separate"/>
        </w:r>
        <w:r>
          <w:rPr>
            <w:noProof/>
            <w:webHidden/>
          </w:rPr>
          <w:t>62</w:t>
        </w:r>
        <w:r>
          <w:rPr>
            <w:noProof/>
            <w:webHidden/>
          </w:rPr>
          <w:fldChar w:fldCharType="end"/>
        </w:r>
      </w:hyperlink>
    </w:p>
    <w:p w14:paraId="77837F59" w14:textId="7F009EA5" w:rsidR="00184A60" w:rsidRPr="00184A60" w:rsidRDefault="00393567" w:rsidP="00184A60">
      <w:pPr>
        <w:spacing w:after="200" w:line="276" w:lineRule="auto"/>
        <w:rPr>
          <w:rFonts w:ascii="Georgia" w:eastAsia="MS Mincho" w:hAnsi="Georgia" w:cs="Times New Roman"/>
          <w:kern w:val="0"/>
          <w:sz w:val="22"/>
          <w:szCs w:val="22"/>
          <w14:ligatures w14:val="none"/>
        </w:rPr>
      </w:pPr>
      <w:r>
        <w:rPr>
          <w:rFonts w:ascii="Georgia" w:eastAsia="MS Mincho" w:hAnsi="Georgia" w:cs="Times New Roman"/>
          <w:kern w:val="0"/>
          <w:sz w:val="22"/>
          <w:szCs w:val="22"/>
          <w14:ligatures w14:val="none"/>
        </w:rPr>
        <w:fldChar w:fldCharType="end"/>
      </w:r>
    </w:p>
    <w:p w14:paraId="0AB9781D" w14:textId="77777777" w:rsidR="00184A60" w:rsidRPr="00184A60" w:rsidRDefault="00184A60" w:rsidP="00184A60">
      <w:pPr>
        <w:spacing w:after="200" w:line="276" w:lineRule="auto"/>
        <w:rPr>
          <w:rFonts w:ascii="Georgia" w:eastAsia="MS Mincho" w:hAnsi="Georgia" w:cs="Times New Roman"/>
          <w:kern w:val="0"/>
          <w:sz w:val="22"/>
          <w:szCs w:val="22"/>
          <w14:ligatures w14:val="none"/>
        </w:rPr>
      </w:pPr>
      <w:r w:rsidRPr="00184A60">
        <w:rPr>
          <w:rFonts w:ascii="Georgia" w:eastAsia="MS Mincho" w:hAnsi="Georgia" w:cs="Times New Roman"/>
          <w:kern w:val="0"/>
          <w:sz w:val="22"/>
          <w:szCs w:val="22"/>
          <w14:ligatures w14:val="none"/>
        </w:rPr>
        <w:br w:type="page"/>
      </w:r>
    </w:p>
    <w:p w14:paraId="0841B0E7" w14:textId="77777777" w:rsidR="00184A60" w:rsidRPr="00184A60" w:rsidRDefault="00184A60" w:rsidP="00184A60">
      <w:pPr>
        <w:keepNext/>
        <w:keepLines/>
        <w:spacing w:before="480" w:after="0" w:line="276" w:lineRule="auto"/>
        <w:outlineLvl w:val="0"/>
        <w:rPr>
          <w:rFonts w:ascii="Calibri" w:eastAsia="MS Gothic" w:hAnsi="Calibri" w:cs="Times New Roman"/>
          <w:b/>
          <w:bCs/>
          <w:color w:val="365F91"/>
          <w:kern w:val="0"/>
          <w:sz w:val="28"/>
          <w:szCs w:val="28"/>
          <w14:ligatures w14:val="none"/>
        </w:rPr>
      </w:pPr>
      <w:bookmarkStart w:id="2" w:name="_Toc202095930"/>
      <w:r w:rsidRPr="00184A60">
        <w:rPr>
          <w:rFonts w:ascii="Calibri" w:eastAsia="MS Gothic" w:hAnsi="Calibri" w:cs="Times New Roman"/>
          <w:b/>
          <w:bCs/>
          <w:color w:val="365F91"/>
          <w:kern w:val="0"/>
          <w:sz w:val="28"/>
          <w:szCs w:val="28"/>
          <w14:ligatures w14:val="none"/>
        </w:rPr>
        <w:lastRenderedPageBreak/>
        <w:t>Introduction</w:t>
      </w:r>
      <w:bookmarkEnd w:id="2"/>
    </w:p>
    <w:p w14:paraId="150F54B4" w14:textId="61707F7E" w:rsidR="00184A60" w:rsidRPr="00184A60" w:rsidRDefault="00184A60" w:rsidP="00184A60">
      <w:pPr>
        <w:spacing w:after="200" w:line="276" w:lineRule="auto"/>
        <w:jc w:val="both"/>
        <w:rPr>
          <w:rFonts w:eastAsia="MS Mincho" w:cs="Times New Roman"/>
          <w:kern w:val="0"/>
          <w:sz w:val="21"/>
          <w:szCs w:val="21"/>
          <w14:ligatures w14:val="none"/>
        </w:rPr>
      </w:pPr>
      <w:r w:rsidRPr="00184A60">
        <w:rPr>
          <w:rFonts w:eastAsia="MS Mincho" w:cs="Times New Roman"/>
          <w:kern w:val="0"/>
          <w:sz w:val="21"/>
          <w:szCs w:val="21"/>
          <w14:ligatures w14:val="none"/>
        </w:rPr>
        <w:t xml:space="preserve">The Centre for Disability Studies at the University of Iceland is a nationally recognized academic institution dedicated to advancing knowledge, </w:t>
      </w:r>
      <w:r w:rsidRPr="00F77730">
        <w:rPr>
          <w:rFonts w:eastAsia="MS Mincho" w:cs="Times New Roman"/>
          <w:kern w:val="0"/>
          <w:sz w:val="21"/>
          <w:szCs w:val="21"/>
          <w14:ligatures w14:val="none"/>
        </w:rPr>
        <w:t xml:space="preserve">promoting critical inquiry, and advocating for </w:t>
      </w:r>
      <w:r w:rsidRPr="00184A60">
        <w:rPr>
          <w:rFonts w:eastAsia="MS Mincho" w:cs="Times New Roman"/>
          <w:kern w:val="0"/>
          <w:sz w:val="21"/>
          <w:szCs w:val="21"/>
          <w14:ligatures w14:val="none"/>
        </w:rPr>
        <w:t>human rights-based approaches to disability. Through its research and collaboration, the Centre seeks to strengthen informed dialogue on the implementation of the UN Convention on the Rights of Persons with Disabilities (CRPD) in Iceland.</w:t>
      </w:r>
    </w:p>
    <w:p w14:paraId="08314075" w14:textId="7CD44F93" w:rsidR="00184A60" w:rsidRPr="00184A60" w:rsidRDefault="00184A60" w:rsidP="00184A60">
      <w:pPr>
        <w:spacing w:after="200" w:line="276" w:lineRule="auto"/>
        <w:jc w:val="both"/>
        <w:rPr>
          <w:rFonts w:eastAsia="MS Mincho" w:cs="Times New Roman"/>
          <w:kern w:val="0"/>
          <w:sz w:val="21"/>
          <w:szCs w:val="21"/>
          <w14:ligatures w14:val="none"/>
        </w:rPr>
      </w:pPr>
      <w:r w:rsidRPr="00184A60">
        <w:rPr>
          <w:rFonts w:eastAsia="MS Mincho" w:cs="Times New Roman"/>
          <w:kern w:val="0"/>
          <w:sz w:val="21"/>
          <w:szCs w:val="21"/>
          <w14:ligatures w14:val="none"/>
        </w:rPr>
        <w:t xml:space="preserve">In 2025, the Centre celebrated its 20th anniversary with a national cultural and academic festival titled </w:t>
      </w:r>
      <w:proofErr w:type="spellStart"/>
      <w:r w:rsidRPr="00184A60">
        <w:rPr>
          <w:rFonts w:eastAsia="MS Mincho" w:cs="Times New Roman"/>
          <w:i/>
          <w:iCs/>
          <w:kern w:val="0"/>
          <w:sz w:val="21"/>
          <w:szCs w:val="21"/>
          <w14:ligatures w14:val="none"/>
        </w:rPr>
        <w:t>Uppskera</w:t>
      </w:r>
      <w:proofErr w:type="spellEnd"/>
      <w:r w:rsidRPr="00184A60">
        <w:rPr>
          <w:rFonts w:eastAsia="MS Mincho" w:cs="Times New Roman"/>
          <w:kern w:val="0"/>
          <w:sz w:val="21"/>
          <w:szCs w:val="21"/>
          <w14:ligatures w14:val="none"/>
        </w:rPr>
        <w:t xml:space="preserve"> (</w:t>
      </w:r>
      <w:hyperlink r:id="rId8" w:tgtFrame="_new" w:history="1">
        <w:r w:rsidRPr="00184A60">
          <w:rPr>
            <w:rStyle w:val="Hyperlink"/>
            <w:rFonts w:eastAsia="MS Mincho" w:cs="Times New Roman"/>
            <w:kern w:val="0"/>
            <w:sz w:val="21"/>
            <w:szCs w:val="21"/>
            <w14:ligatures w14:val="none"/>
          </w:rPr>
          <w:t>https://hi.is/uppskera</w:t>
        </w:r>
      </w:hyperlink>
      <w:r w:rsidRPr="00184A60">
        <w:rPr>
          <w:rFonts w:eastAsia="MS Mincho" w:cs="Times New Roman"/>
          <w:kern w:val="0"/>
          <w:sz w:val="21"/>
          <w:szCs w:val="21"/>
          <w14:ligatures w14:val="none"/>
        </w:rPr>
        <w:t xml:space="preserve">), showcasing the diversity of </w:t>
      </w:r>
      <w:r w:rsidRPr="00F77730">
        <w:rPr>
          <w:rFonts w:eastAsia="MS Mincho" w:cs="Times New Roman"/>
          <w:kern w:val="0"/>
          <w:sz w:val="21"/>
          <w:szCs w:val="21"/>
          <w14:ligatures w14:val="none"/>
        </w:rPr>
        <w:t>experiences and scholarship related to disability</w:t>
      </w:r>
      <w:r w:rsidRPr="00184A60">
        <w:rPr>
          <w:rFonts w:eastAsia="MS Mincho" w:cs="Times New Roman"/>
          <w:kern w:val="0"/>
          <w:sz w:val="21"/>
          <w:szCs w:val="21"/>
          <w14:ligatures w14:val="none"/>
        </w:rPr>
        <w:t>. The event marked two decades of interdisciplinary work and underlined the Centre’s active role in shaping public understanding, research, and policy in the field of disability studies.</w:t>
      </w:r>
    </w:p>
    <w:p w14:paraId="64826B6B" w14:textId="149F4212" w:rsidR="00184A60" w:rsidRPr="00184A60" w:rsidRDefault="00184A60" w:rsidP="00184A60">
      <w:pPr>
        <w:spacing w:after="200" w:line="276" w:lineRule="auto"/>
        <w:jc w:val="both"/>
        <w:rPr>
          <w:rFonts w:eastAsia="MS Mincho" w:cs="Times New Roman"/>
          <w:kern w:val="0"/>
          <w:sz w:val="21"/>
          <w:szCs w:val="21"/>
          <w14:ligatures w14:val="none"/>
        </w:rPr>
      </w:pPr>
      <w:r w:rsidRPr="00184A60">
        <w:rPr>
          <w:rFonts w:eastAsia="MS Mincho" w:cs="Times New Roman"/>
          <w:kern w:val="0"/>
          <w:sz w:val="21"/>
          <w:szCs w:val="21"/>
          <w14:ligatures w14:val="none"/>
        </w:rPr>
        <w:t xml:space="preserve">This submission forms part of the Centre’s contribution to international monitoring processes under the Convention. It reflects both its independent academic mission and its active engagement in transnational research networks. The Centre </w:t>
      </w:r>
      <w:r w:rsidR="00994547">
        <w:rPr>
          <w:rFonts w:eastAsia="MS Mincho" w:cs="Times New Roman"/>
          <w:kern w:val="0"/>
          <w:sz w:val="21"/>
          <w:szCs w:val="21"/>
          <w14:ligatures w14:val="none"/>
        </w:rPr>
        <w:t xml:space="preserve">has </w:t>
      </w:r>
      <w:r w:rsidRPr="00184A60">
        <w:rPr>
          <w:rFonts w:eastAsia="MS Mincho" w:cs="Times New Roman"/>
          <w:kern w:val="0"/>
          <w:sz w:val="21"/>
          <w:szCs w:val="21"/>
          <w14:ligatures w14:val="none"/>
        </w:rPr>
        <w:t>participate</w:t>
      </w:r>
      <w:r w:rsidR="00994547">
        <w:rPr>
          <w:rFonts w:eastAsia="MS Mincho" w:cs="Times New Roman"/>
          <w:kern w:val="0"/>
          <w:sz w:val="21"/>
          <w:szCs w:val="21"/>
          <w14:ligatures w14:val="none"/>
        </w:rPr>
        <w:t>d</w:t>
      </w:r>
      <w:r w:rsidRPr="00184A60">
        <w:rPr>
          <w:rFonts w:eastAsia="MS Mincho" w:cs="Times New Roman"/>
          <w:kern w:val="0"/>
          <w:sz w:val="21"/>
          <w:szCs w:val="21"/>
          <w14:ligatures w14:val="none"/>
        </w:rPr>
        <w:t xml:space="preserve"> in European collaboration platforms such as the </w:t>
      </w:r>
      <w:r w:rsidRPr="00184A60">
        <w:rPr>
          <w:rFonts w:eastAsia="MS Mincho" w:cs="Times New Roman"/>
          <w:i/>
          <w:iCs/>
          <w:kern w:val="0"/>
          <w:sz w:val="21"/>
          <w:szCs w:val="21"/>
          <w14:ligatures w14:val="none"/>
        </w:rPr>
        <w:t>Academic Network of European Disability Experts</w:t>
      </w:r>
      <w:r w:rsidRPr="00184A60">
        <w:rPr>
          <w:rFonts w:eastAsia="MS Mincho" w:cs="Times New Roman"/>
          <w:kern w:val="0"/>
          <w:sz w:val="21"/>
          <w:szCs w:val="21"/>
          <w14:ligatures w14:val="none"/>
        </w:rPr>
        <w:t xml:space="preserve"> (ANED) and </w:t>
      </w:r>
      <w:r w:rsidRPr="00184A60">
        <w:rPr>
          <w:rFonts w:eastAsia="MS Mincho" w:cs="Times New Roman"/>
          <w:i/>
          <w:iCs/>
          <w:kern w:val="0"/>
          <w:sz w:val="21"/>
          <w:szCs w:val="21"/>
          <w14:ligatures w14:val="none"/>
        </w:rPr>
        <w:t>European Disability Expertise</w:t>
      </w:r>
      <w:r w:rsidRPr="00184A60">
        <w:rPr>
          <w:rFonts w:eastAsia="MS Mincho" w:cs="Times New Roman"/>
          <w:kern w:val="0"/>
          <w:sz w:val="21"/>
          <w:szCs w:val="21"/>
          <w14:ligatures w14:val="none"/>
        </w:rPr>
        <w:t xml:space="preserve"> (EDE</w:t>
      </w:r>
      <w:r w:rsidRPr="00F77730">
        <w:rPr>
          <w:rFonts w:eastAsia="MS Mincho" w:cs="Times New Roman"/>
          <w:kern w:val="0"/>
          <w:sz w:val="21"/>
          <w:szCs w:val="21"/>
          <w14:ligatures w14:val="none"/>
        </w:rPr>
        <w:t>) and</w:t>
      </w:r>
      <w:r w:rsidRPr="00184A60">
        <w:rPr>
          <w:rFonts w:eastAsia="MS Mincho" w:cs="Times New Roman"/>
          <w:kern w:val="0"/>
          <w:sz w:val="21"/>
          <w:szCs w:val="21"/>
          <w14:ligatures w14:val="none"/>
        </w:rPr>
        <w:t xml:space="preserve"> has contributed to comparative research initiatives supporting policy development and monitoring across Europe.</w:t>
      </w:r>
    </w:p>
    <w:p w14:paraId="7A5FDA6F" w14:textId="02B2A010" w:rsidR="00184A60" w:rsidRPr="00184A60" w:rsidRDefault="00184A60" w:rsidP="00184A60">
      <w:pPr>
        <w:spacing w:after="200" w:line="276" w:lineRule="auto"/>
        <w:jc w:val="both"/>
        <w:rPr>
          <w:rFonts w:eastAsia="MS Mincho" w:cs="Times New Roman"/>
          <w:kern w:val="0"/>
          <w:sz w:val="21"/>
          <w:szCs w:val="21"/>
          <w14:ligatures w14:val="none"/>
        </w:rPr>
      </w:pPr>
      <w:r w:rsidRPr="00184A60">
        <w:rPr>
          <w:rFonts w:eastAsia="MS Mincho" w:cs="Times New Roman"/>
          <w:kern w:val="0"/>
          <w:sz w:val="21"/>
          <w:szCs w:val="21"/>
          <w14:ligatures w14:val="none"/>
        </w:rPr>
        <w:t xml:space="preserve">The report draws on national academic work, research-based evaluations, and professional insight into the realities and rights of disabled people in Iceland. Rather than applying a formal indicator framework, the analysis is grounded in empirical findings and draws from research conducted in close connection with disabled people and their representative </w:t>
      </w:r>
      <w:r w:rsidRPr="00F77730">
        <w:rPr>
          <w:rFonts w:eastAsia="MS Mincho" w:cs="Times New Roman"/>
          <w:kern w:val="0"/>
          <w:sz w:val="21"/>
          <w:szCs w:val="21"/>
          <w14:ligatures w14:val="none"/>
        </w:rPr>
        <w:t>organizations</w:t>
      </w:r>
      <w:r w:rsidRPr="00184A60">
        <w:rPr>
          <w:rFonts w:eastAsia="MS Mincho" w:cs="Times New Roman"/>
          <w:kern w:val="0"/>
          <w:sz w:val="21"/>
          <w:szCs w:val="21"/>
          <w14:ligatures w14:val="none"/>
        </w:rPr>
        <w:t xml:space="preserve">. The Centre has contributed to a wide range of major projects addressing core issues such as inclusive employment, personal assistance, legal capacity, child protection, violence against disabled women, and the life experiences of disabled children and youth. Notable projects include </w:t>
      </w:r>
      <w:r w:rsidRPr="00184A60">
        <w:rPr>
          <w:rFonts w:eastAsia="MS Mincho" w:cs="Times New Roman"/>
          <w:i/>
          <w:iCs/>
          <w:kern w:val="0"/>
          <w:sz w:val="21"/>
          <w:szCs w:val="21"/>
          <w14:ligatures w14:val="none"/>
        </w:rPr>
        <w:t>Work Inclusion for People with Intellectual Disabilities</w:t>
      </w:r>
      <w:r w:rsidRPr="00184A60">
        <w:rPr>
          <w:rFonts w:eastAsia="MS Mincho" w:cs="Times New Roman"/>
          <w:kern w:val="0"/>
          <w:sz w:val="21"/>
          <w:szCs w:val="21"/>
          <w14:ligatures w14:val="none"/>
        </w:rPr>
        <w:t xml:space="preserve">, the EU-funded </w:t>
      </w:r>
      <w:r w:rsidRPr="00184A60">
        <w:rPr>
          <w:rFonts w:eastAsia="MS Mincho" w:cs="Times New Roman"/>
          <w:i/>
          <w:iCs/>
          <w:kern w:val="0"/>
          <w:sz w:val="21"/>
          <w:szCs w:val="21"/>
          <w14:ligatures w14:val="none"/>
        </w:rPr>
        <w:t>DARE – Disability Advocacy Research in Europe</w:t>
      </w:r>
      <w:r w:rsidRPr="00184A60">
        <w:rPr>
          <w:rFonts w:eastAsia="MS Mincho" w:cs="Times New Roman"/>
          <w:kern w:val="0"/>
          <w:sz w:val="21"/>
          <w:szCs w:val="21"/>
          <w14:ligatures w14:val="none"/>
        </w:rPr>
        <w:t xml:space="preserve">, and interdisciplinary studies such as </w:t>
      </w:r>
      <w:r w:rsidRPr="00184A60">
        <w:rPr>
          <w:rFonts w:eastAsia="MS Mincho" w:cs="Times New Roman"/>
          <w:i/>
          <w:iCs/>
          <w:kern w:val="0"/>
          <w:sz w:val="21"/>
          <w:szCs w:val="21"/>
          <w14:ligatures w14:val="none"/>
        </w:rPr>
        <w:t>Disability Before Disability</w:t>
      </w:r>
      <w:r w:rsidRPr="00184A60">
        <w:rPr>
          <w:rFonts w:eastAsia="MS Mincho" w:cs="Times New Roman"/>
          <w:kern w:val="0"/>
          <w:sz w:val="21"/>
          <w:szCs w:val="21"/>
          <w14:ligatures w14:val="none"/>
        </w:rPr>
        <w:t>, exploring representations of disabled people in Icelandic history and culture.</w:t>
      </w:r>
    </w:p>
    <w:p w14:paraId="67AE4FBD" w14:textId="77777777" w:rsidR="003E1E8C" w:rsidRDefault="00184A60" w:rsidP="00184A60">
      <w:pPr>
        <w:spacing w:after="200" w:line="276" w:lineRule="auto"/>
        <w:jc w:val="both"/>
        <w:rPr>
          <w:rFonts w:eastAsia="MS Mincho" w:cs="Times New Roman"/>
          <w:kern w:val="0"/>
          <w:sz w:val="21"/>
          <w:szCs w:val="21"/>
          <w14:ligatures w14:val="none"/>
        </w:rPr>
      </w:pPr>
      <w:r w:rsidRPr="00184A60">
        <w:rPr>
          <w:rFonts w:eastAsia="MS Mincho" w:cs="Times New Roman"/>
          <w:kern w:val="0"/>
          <w:sz w:val="21"/>
          <w:szCs w:val="21"/>
          <w14:ligatures w14:val="none"/>
        </w:rPr>
        <w:t>Each article-specific section of the report follows a standardized structure:</w:t>
      </w:r>
    </w:p>
    <w:p w14:paraId="4A1A9D3B" w14:textId="6FCDEFC4" w:rsidR="003E1E8C" w:rsidRPr="003E1E8C" w:rsidRDefault="00393567" w:rsidP="003E1E8C">
      <w:pPr>
        <w:pStyle w:val="ListParagraph"/>
        <w:numPr>
          <w:ilvl w:val="0"/>
          <w:numId w:val="1"/>
        </w:numPr>
        <w:spacing w:after="200" w:line="276" w:lineRule="auto"/>
        <w:jc w:val="both"/>
        <w:rPr>
          <w:rFonts w:eastAsia="MS Mincho" w:cs="Times New Roman"/>
          <w:kern w:val="0"/>
          <w:sz w:val="21"/>
          <w:szCs w:val="21"/>
          <w14:ligatures w14:val="none"/>
        </w:rPr>
      </w:pPr>
      <w:r>
        <w:rPr>
          <w:rFonts w:eastAsia="MS Mincho" w:cs="Times New Roman"/>
          <w:kern w:val="0"/>
          <w:sz w:val="21"/>
          <w:szCs w:val="21"/>
          <w14:ligatures w14:val="none"/>
        </w:rPr>
        <w:t>A</w:t>
      </w:r>
      <w:r w:rsidR="00184A60" w:rsidRPr="003E1E8C">
        <w:rPr>
          <w:rFonts w:eastAsia="MS Mincho" w:cs="Times New Roman"/>
          <w:kern w:val="0"/>
          <w:sz w:val="21"/>
          <w:szCs w:val="21"/>
          <w14:ligatures w14:val="none"/>
        </w:rPr>
        <w:t xml:space="preserve"> brief overview of the </w:t>
      </w:r>
      <w:r w:rsidR="00BD48D3">
        <w:rPr>
          <w:rFonts w:eastAsia="MS Mincho" w:cs="Times New Roman"/>
          <w:kern w:val="0"/>
          <w:sz w:val="21"/>
          <w:szCs w:val="21"/>
          <w14:ligatures w14:val="none"/>
        </w:rPr>
        <w:t>Knowledge status and research gaps</w:t>
      </w:r>
      <w:r w:rsidR="00184A60" w:rsidRPr="003E1E8C">
        <w:rPr>
          <w:rFonts w:eastAsia="MS Mincho" w:cs="Times New Roman"/>
          <w:kern w:val="0"/>
          <w:sz w:val="21"/>
          <w:szCs w:val="21"/>
          <w14:ligatures w14:val="none"/>
        </w:rPr>
        <w:t>,</w:t>
      </w:r>
    </w:p>
    <w:p w14:paraId="085F6F17" w14:textId="0FE1BFE0" w:rsidR="003E1E8C" w:rsidRPr="003E1E8C" w:rsidRDefault="00184A60" w:rsidP="003E1E8C">
      <w:pPr>
        <w:pStyle w:val="ListParagraph"/>
        <w:numPr>
          <w:ilvl w:val="0"/>
          <w:numId w:val="1"/>
        </w:numPr>
        <w:spacing w:after="200" w:line="276" w:lineRule="auto"/>
        <w:jc w:val="both"/>
        <w:rPr>
          <w:rFonts w:eastAsia="MS Mincho" w:cs="Times New Roman"/>
          <w:kern w:val="0"/>
          <w:sz w:val="21"/>
          <w:szCs w:val="21"/>
          <w14:ligatures w14:val="none"/>
        </w:rPr>
      </w:pPr>
      <w:r w:rsidRPr="003E1E8C">
        <w:rPr>
          <w:rFonts w:eastAsia="MS Mincho" w:cs="Times New Roman"/>
          <w:kern w:val="0"/>
          <w:sz w:val="21"/>
          <w:szCs w:val="21"/>
          <w14:ligatures w14:val="none"/>
        </w:rPr>
        <w:t xml:space="preserve">a summary of </w:t>
      </w:r>
      <w:r w:rsidR="00BD48D3">
        <w:rPr>
          <w:rFonts w:eastAsia="MS Mincho" w:cs="Times New Roman"/>
          <w:kern w:val="0"/>
          <w:sz w:val="21"/>
          <w:szCs w:val="21"/>
          <w14:ligatures w14:val="none"/>
        </w:rPr>
        <w:t>Key findings and reasons for concern</w:t>
      </w:r>
      <w:r w:rsidRPr="003E1E8C">
        <w:rPr>
          <w:rFonts w:eastAsia="MS Mincho" w:cs="Times New Roman"/>
          <w:kern w:val="0"/>
          <w:sz w:val="21"/>
          <w:szCs w:val="21"/>
          <w14:ligatures w14:val="none"/>
        </w:rPr>
        <w:t>, and</w:t>
      </w:r>
    </w:p>
    <w:p w14:paraId="4A4BCA1C" w14:textId="677B5764" w:rsidR="00184A60" w:rsidRPr="003E1E8C" w:rsidRDefault="00A73E7C" w:rsidP="003E1E8C">
      <w:pPr>
        <w:pStyle w:val="ListParagraph"/>
        <w:numPr>
          <w:ilvl w:val="0"/>
          <w:numId w:val="1"/>
        </w:numPr>
        <w:spacing w:after="200" w:line="276" w:lineRule="auto"/>
        <w:jc w:val="both"/>
        <w:rPr>
          <w:rFonts w:eastAsia="MS Mincho" w:cs="Times New Roman"/>
          <w:kern w:val="0"/>
          <w:sz w:val="21"/>
          <w:szCs w:val="21"/>
          <w14:ligatures w14:val="none"/>
        </w:rPr>
      </w:pPr>
      <w:r>
        <w:rPr>
          <w:rFonts w:eastAsia="MS Mincho" w:cs="Times New Roman"/>
          <w:kern w:val="0"/>
          <w:sz w:val="21"/>
          <w:szCs w:val="21"/>
          <w14:ligatures w14:val="none"/>
        </w:rPr>
        <w:t>a</w:t>
      </w:r>
      <w:r w:rsidR="00184A60" w:rsidRPr="003E1E8C">
        <w:rPr>
          <w:rFonts w:eastAsia="MS Mincho" w:cs="Times New Roman"/>
          <w:kern w:val="0"/>
          <w:sz w:val="21"/>
          <w:szCs w:val="21"/>
          <w14:ligatures w14:val="none"/>
        </w:rPr>
        <w:t xml:space="preserve"> set of proposed questions to the CRPD Committee intended to highlight systemic gaps and support constructive engagement with the Icelandic State.</w:t>
      </w:r>
    </w:p>
    <w:p w14:paraId="4C00AF6C" w14:textId="3EA93478" w:rsidR="00184A60" w:rsidRPr="00184A60" w:rsidRDefault="00AD05C5" w:rsidP="00AD05C5">
      <w:pPr>
        <w:spacing w:after="200" w:line="276" w:lineRule="auto"/>
        <w:jc w:val="both"/>
        <w:rPr>
          <w:rFonts w:ascii="Georgia" w:eastAsia="MS Mincho" w:hAnsi="Georgia" w:cs="Times New Roman"/>
          <w:kern w:val="0"/>
          <w:sz w:val="22"/>
          <w:szCs w:val="22"/>
          <w14:ligatures w14:val="none"/>
        </w:rPr>
      </w:pPr>
      <w:r w:rsidRPr="00AD05C5">
        <w:rPr>
          <w:rFonts w:eastAsia="MS Mincho" w:cs="Times New Roman"/>
          <w:kern w:val="0"/>
          <w:sz w:val="21"/>
          <w:szCs w:val="21"/>
          <w14:ligatures w14:val="none"/>
        </w:rPr>
        <w:t xml:space="preserve">In June 2020, the Icelandic Parliament adopted a resolution expressing the intention to directly incorporate the CRPD into domestic law in its entirety. However, this objective has not yet been </w:t>
      </w:r>
      <w:r w:rsidR="00496835" w:rsidRPr="00AD05C5">
        <w:rPr>
          <w:rFonts w:eastAsia="MS Mincho" w:cs="Times New Roman"/>
          <w:kern w:val="0"/>
          <w:sz w:val="21"/>
          <w:szCs w:val="21"/>
          <w14:ligatures w14:val="none"/>
        </w:rPr>
        <w:t>realized</w:t>
      </w:r>
      <w:r w:rsidR="00456D1F">
        <w:rPr>
          <w:rFonts w:eastAsia="MS Mincho" w:cs="Times New Roman"/>
          <w:kern w:val="0"/>
          <w:sz w:val="21"/>
          <w:szCs w:val="21"/>
          <w14:ligatures w14:val="none"/>
        </w:rPr>
        <w:t>,</w:t>
      </w:r>
      <w:r w:rsidRPr="00AD05C5">
        <w:rPr>
          <w:rFonts w:eastAsia="MS Mincho" w:cs="Times New Roman"/>
          <w:kern w:val="0"/>
          <w:sz w:val="21"/>
          <w:szCs w:val="21"/>
          <w14:ligatures w14:val="none"/>
        </w:rPr>
        <w:t xml:space="preserve"> and no legislation has been enacted to that effect. In this context of delayed implementation and continued legal ambiguity, the Centre considers it essential to contribute to the international review process. Through this submission, the Centre emphasizes the critical role of academic research in promoting transparency, accountability, and the progressive realization of disability rights in line with the CRPD.</w:t>
      </w:r>
      <w:r w:rsidR="00184A60" w:rsidRPr="00184A60">
        <w:rPr>
          <w:rFonts w:ascii="Georgia" w:eastAsia="MS Mincho" w:hAnsi="Georgia" w:cs="Times New Roman"/>
          <w:kern w:val="0"/>
          <w:sz w:val="22"/>
          <w:szCs w:val="22"/>
          <w14:ligatures w14:val="none"/>
        </w:rPr>
        <w:br w:type="page"/>
      </w:r>
    </w:p>
    <w:p w14:paraId="5156AA89" w14:textId="77777777" w:rsidR="00184A60" w:rsidRPr="00184A60" w:rsidRDefault="00184A60" w:rsidP="00327592">
      <w:pPr>
        <w:pStyle w:val="Heading1"/>
      </w:pPr>
      <w:bookmarkStart w:id="3" w:name="_Toc202095931"/>
      <w:r w:rsidRPr="00184A60">
        <w:lastRenderedPageBreak/>
        <w:t>Article 1-4: General principles and obligations</w:t>
      </w:r>
      <w:bookmarkEnd w:id="3"/>
    </w:p>
    <w:p w14:paraId="04D91D9E" w14:textId="62B97FD3" w:rsidR="00184A60" w:rsidRPr="00184A60" w:rsidRDefault="00BD48D3" w:rsidP="007C2998">
      <w:pPr>
        <w:pStyle w:val="Heading2"/>
      </w:pPr>
      <w:r>
        <w:t>Knowledge status and research gaps</w:t>
      </w:r>
    </w:p>
    <w:p w14:paraId="1851F3B1" w14:textId="77777777" w:rsidR="00184A60" w:rsidRPr="00184A60" w:rsidRDefault="00184A60" w:rsidP="00184A60">
      <w:pPr>
        <w:spacing w:after="200" w:line="276" w:lineRule="auto"/>
        <w:jc w:val="both"/>
        <w:rPr>
          <w:rFonts w:eastAsia="MS Mincho" w:cs="Times New Roman"/>
          <w:kern w:val="0"/>
          <w:sz w:val="21"/>
          <w:szCs w:val="21"/>
          <w14:ligatures w14:val="none"/>
        </w:rPr>
      </w:pPr>
      <w:r w:rsidRPr="00184A60">
        <w:rPr>
          <w:rFonts w:eastAsia="MS Mincho" w:cs="Times New Roman"/>
          <w:kern w:val="0"/>
          <w:sz w:val="21"/>
          <w:szCs w:val="21"/>
          <w14:ligatures w14:val="none"/>
        </w:rPr>
        <w:t>To date, no systematic national study in Iceland has been carried out to examine the actual implementation or influence of Articles 1–4 on legislative or administrative practices. While individual legal analyses, civil society statements, and policy critiques have occasionally invoked these principles, their practical effect on governance, regulatory design, or service systems remains largely unexplored. There is a particular gap in research on whether the principles outlined in Article 3, such as respect for individual autonomy, full and effective participation, non-discrimination, and accessibility, are systematically applied in public decision-making or integrated into national strategies.</w:t>
      </w:r>
    </w:p>
    <w:p w14:paraId="1AFE971C" w14:textId="77777777" w:rsidR="00184A60" w:rsidRPr="00184A60" w:rsidRDefault="00184A60" w:rsidP="00184A60">
      <w:pPr>
        <w:spacing w:after="200" w:line="276" w:lineRule="auto"/>
        <w:jc w:val="both"/>
        <w:rPr>
          <w:rFonts w:eastAsia="MS Mincho" w:cs="Times New Roman"/>
          <w:kern w:val="0"/>
          <w:sz w:val="21"/>
          <w:szCs w:val="21"/>
          <w14:ligatures w14:val="none"/>
        </w:rPr>
      </w:pPr>
      <w:r w:rsidRPr="00184A60">
        <w:rPr>
          <w:rFonts w:eastAsia="MS Mincho" w:cs="Times New Roman"/>
          <w:kern w:val="0"/>
          <w:sz w:val="21"/>
          <w:szCs w:val="21"/>
          <w14:ligatures w14:val="none"/>
        </w:rPr>
        <w:t>The Centre has contributed to critical scholarship on disability governance and rights implementation in Iceland, including research on participation, intersectionality, and the reproduction of structural exclusion. However, there is a clear need for applied research and monitoring tools that translate the Convention’s abstract principles into measurable standards. This includes the development of CRPD-aligned indicators and assessment methods for use in legislative review, policy evaluation, and the design of inclusive governance structures.</w:t>
      </w:r>
    </w:p>
    <w:p w14:paraId="33F7BD6D" w14:textId="7FB48111" w:rsidR="00184A60" w:rsidRPr="00184A60" w:rsidRDefault="00BD48D3" w:rsidP="00393567">
      <w:pPr>
        <w:pStyle w:val="Heading2"/>
      </w:pPr>
      <w:r>
        <w:t>Key findings and reasons for concern</w:t>
      </w:r>
    </w:p>
    <w:p w14:paraId="422AD78A" w14:textId="6AE85BF5" w:rsidR="00184A60" w:rsidRPr="00184A60" w:rsidRDefault="00427DDB" w:rsidP="00184A60">
      <w:pPr>
        <w:spacing w:after="200" w:line="276" w:lineRule="auto"/>
        <w:jc w:val="both"/>
        <w:rPr>
          <w:rFonts w:eastAsia="MS Mincho" w:cs="Times New Roman"/>
          <w:kern w:val="0"/>
          <w:sz w:val="21"/>
          <w:szCs w:val="21"/>
          <w14:ligatures w14:val="none"/>
        </w:rPr>
      </w:pPr>
      <w:r w:rsidRPr="00427DDB">
        <w:rPr>
          <w:rFonts w:eastAsia="MS Mincho" w:cs="Times New Roman"/>
          <w:kern w:val="0"/>
          <w:sz w:val="21"/>
          <w:szCs w:val="21"/>
          <w14:ligatures w14:val="none"/>
        </w:rPr>
        <w:t xml:space="preserve">Despite the Parliament’s stated intention to transpose the CRPD fully into Icelandic legislation, the Convention has not yet been incorporated into domestic law through any dedicated implementing act. As a result, core provisions lack normative legal force in administrative and judicial </w:t>
      </w:r>
      <w:proofErr w:type="gramStart"/>
      <w:r w:rsidRPr="00427DDB">
        <w:rPr>
          <w:rFonts w:eastAsia="MS Mincho" w:cs="Times New Roman"/>
          <w:kern w:val="0"/>
          <w:sz w:val="21"/>
          <w:szCs w:val="21"/>
          <w14:ligatures w14:val="none"/>
        </w:rPr>
        <w:t>practice</w:t>
      </w:r>
      <w:proofErr w:type="gramEnd"/>
      <w:r w:rsidRPr="00427DDB">
        <w:rPr>
          <w:rFonts w:eastAsia="MS Mincho" w:cs="Times New Roman"/>
          <w:kern w:val="0"/>
          <w:sz w:val="21"/>
          <w:szCs w:val="21"/>
          <w14:ligatures w14:val="none"/>
        </w:rPr>
        <w:t>.</w:t>
      </w:r>
      <w:r>
        <w:rPr>
          <w:rFonts w:eastAsia="MS Mincho" w:cs="Times New Roman"/>
          <w:kern w:val="0"/>
          <w:sz w:val="21"/>
          <w:szCs w:val="21"/>
          <w14:ligatures w14:val="none"/>
        </w:rPr>
        <w:t xml:space="preserve"> </w:t>
      </w:r>
      <w:r w:rsidR="00184A60" w:rsidRPr="00184A60">
        <w:rPr>
          <w:rFonts w:eastAsia="MS Mincho" w:cs="Times New Roman"/>
          <w:kern w:val="0"/>
          <w:sz w:val="21"/>
          <w:szCs w:val="21"/>
          <w14:ligatures w14:val="none"/>
        </w:rPr>
        <w:t>This undermines the Convention’s function as a transformative human rights instrument.</w:t>
      </w:r>
    </w:p>
    <w:p w14:paraId="009B93EA" w14:textId="77777777" w:rsidR="00184A60" w:rsidRPr="00184A60" w:rsidRDefault="00184A60" w:rsidP="00184A60">
      <w:pPr>
        <w:spacing w:after="200" w:line="276" w:lineRule="auto"/>
        <w:jc w:val="both"/>
        <w:rPr>
          <w:rFonts w:eastAsia="MS Mincho" w:cs="Times New Roman"/>
          <w:kern w:val="0"/>
          <w:sz w:val="21"/>
          <w:szCs w:val="21"/>
          <w14:ligatures w14:val="none"/>
        </w:rPr>
      </w:pPr>
      <w:r w:rsidRPr="00184A60">
        <w:rPr>
          <w:rFonts w:eastAsia="MS Mincho" w:cs="Times New Roman"/>
          <w:kern w:val="0"/>
          <w:sz w:val="21"/>
          <w:szCs w:val="21"/>
          <w14:ligatures w14:val="none"/>
        </w:rPr>
        <w:t>There is no evidence of a systematic application of the principles set out in Article 3, such as respect for inherent dignity, individual autonomy, non-discrimination, full and effective participation, or accessibility across government departments or sectors. Although the concept of a “human rights-based approach” (HRBA) is mentioned in some policy rhetoric, it is not consistently applied in public decision-making. Legislative and policy frameworks continue to reflect medical and impairment-based understandings of disability, with limited attention to power, exclusion, or the need for structural transformation.</w:t>
      </w:r>
    </w:p>
    <w:p w14:paraId="6B86361F" w14:textId="4A9813D7" w:rsidR="00184A60" w:rsidRPr="00184A60" w:rsidRDefault="00184A60" w:rsidP="00184A60">
      <w:pPr>
        <w:spacing w:after="200" w:line="276" w:lineRule="auto"/>
        <w:jc w:val="both"/>
        <w:rPr>
          <w:rFonts w:eastAsia="MS Mincho" w:cs="Times New Roman"/>
          <w:kern w:val="0"/>
          <w:sz w:val="21"/>
          <w:szCs w:val="21"/>
          <w14:ligatures w14:val="none"/>
        </w:rPr>
      </w:pPr>
      <w:r w:rsidRPr="00184A60">
        <w:rPr>
          <w:rFonts w:eastAsia="MS Mincho" w:cs="Times New Roman"/>
          <w:kern w:val="0"/>
          <w:sz w:val="21"/>
          <w:szCs w:val="21"/>
          <w14:ligatures w14:val="none"/>
        </w:rPr>
        <w:t>Participation mechanisms for disabled people remain weak. The voices of people with intellectual or psychosocial disabilities</w:t>
      </w:r>
      <w:proofErr w:type="gramStart"/>
      <w:r w:rsidRPr="00184A60">
        <w:rPr>
          <w:rFonts w:eastAsia="MS Mincho" w:cs="Times New Roman"/>
          <w:kern w:val="0"/>
          <w:sz w:val="21"/>
          <w:szCs w:val="21"/>
          <w14:ligatures w14:val="none"/>
        </w:rPr>
        <w:t>, in particular, are</w:t>
      </w:r>
      <w:proofErr w:type="gramEnd"/>
      <w:r w:rsidRPr="00184A60">
        <w:rPr>
          <w:rFonts w:eastAsia="MS Mincho" w:cs="Times New Roman"/>
          <w:kern w:val="0"/>
          <w:sz w:val="21"/>
          <w:szCs w:val="21"/>
          <w14:ligatures w14:val="none"/>
        </w:rPr>
        <w:t xml:space="preserve"> underrepresented in consultation and decision-making processes. The Government has not established inclusive co-design structures or consistent partnerships with organizations of disabled people (DPOs). This raises concerns about compliance with both </w:t>
      </w:r>
      <w:r w:rsidR="00456D1F">
        <w:rPr>
          <w:rFonts w:eastAsia="MS Mincho" w:cs="Times New Roman"/>
          <w:kern w:val="0"/>
          <w:sz w:val="21"/>
          <w:szCs w:val="21"/>
          <w14:ligatures w14:val="none"/>
        </w:rPr>
        <w:t>the general principles</w:t>
      </w:r>
      <w:r w:rsidRPr="00184A60">
        <w:rPr>
          <w:rFonts w:eastAsia="MS Mincho" w:cs="Times New Roman"/>
          <w:kern w:val="0"/>
          <w:sz w:val="21"/>
          <w:szCs w:val="21"/>
          <w14:ligatures w14:val="none"/>
        </w:rPr>
        <w:t xml:space="preserve"> and </w:t>
      </w:r>
      <w:r w:rsidR="00456D1F">
        <w:rPr>
          <w:rFonts w:eastAsia="MS Mincho" w:cs="Times New Roman"/>
          <w:kern w:val="0"/>
          <w:sz w:val="21"/>
          <w:szCs w:val="21"/>
          <w14:ligatures w14:val="none"/>
        </w:rPr>
        <w:t xml:space="preserve">Article </w:t>
      </w:r>
      <w:r w:rsidRPr="00184A60">
        <w:rPr>
          <w:rFonts w:eastAsia="MS Mincho" w:cs="Times New Roman"/>
          <w:kern w:val="0"/>
          <w:sz w:val="21"/>
          <w:szCs w:val="21"/>
          <w14:ligatures w14:val="none"/>
        </w:rPr>
        <w:t xml:space="preserve">4(3), which </w:t>
      </w:r>
      <w:r w:rsidR="00456D1F">
        <w:rPr>
          <w:rFonts w:eastAsia="MS Mincho" w:cs="Times New Roman"/>
          <w:kern w:val="0"/>
          <w:sz w:val="21"/>
          <w:szCs w:val="21"/>
          <w14:ligatures w14:val="none"/>
        </w:rPr>
        <w:t>requires</w:t>
      </w:r>
      <w:r w:rsidRPr="00184A60">
        <w:rPr>
          <w:rFonts w:eastAsia="MS Mincho" w:cs="Times New Roman"/>
          <w:kern w:val="0"/>
          <w:sz w:val="21"/>
          <w:szCs w:val="21"/>
          <w14:ligatures w14:val="none"/>
        </w:rPr>
        <w:t xml:space="preserve"> States Parties to ensure the active involvement of disabled people in all processes affecting them.</w:t>
      </w:r>
    </w:p>
    <w:p w14:paraId="16D7335C" w14:textId="77777777" w:rsidR="00184A60" w:rsidRPr="00184A60" w:rsidRDefault="00184A60" w:rsidP="00184A60">
      <w:pPr>
        <w:spacing w:after="200" w:line="276" w:lineRule="auto"/>
        <w:jc w:val="both"/>
        <w:rPr>
          <w:rFonts w:eastAsia="MS Mincho" w:cs="Times New Roman"/>
          <w:kern w:val="0"/>
          <w:sz w:val="21"/>
          <w:szCs w:val="21"/>
          <w14:ligatures w14:val="none"/>
        </w:rPr>
      </w:pPr>
      <w:r w:rsidRPr="00184A60">
        <w:rPr>
          <w:rFonts w:eastAsia="MS Mincho" w:cs="Times New Roman"/>
          <w:kern w:val="0"/>
          <w:sz w:val="21"/>
          <w:szCs w:val="21"/>
          <w14:ligatures w14:val="none"/>
        </w:rPr>
        <w:t>Furthermore, there are no national benchmarks, monitoring tools, or indicators to assess whether legislation, public budgets, or services align with the CRPD’s cross-cutting principles. There is no screening of legislative proposals for compatibility with Article 3, and no use of CRPD-</w:t>
      </w:r>
      <w:r w:rsidRPr="00184A60">
        <w:rPr>
          <w:rFonts w:eastAsia="MS Mincho" w:cs="Times New Roman"/>
          <w:kern w:val="0"/>
          <w:sz w:val="21"/>
          <w:szCs w:val="21"/>
          <w14:ligatures w14:val="none"/>
        </w:rPr>
        <w:lastRenderedPageBreak/>
        <w:t>aligned human rights indicators in the design or evaluation of disability policy. The failure to develop these accountability tools constitutes a structural gap in implementation and oversight.</w:t>
      </w:r>
    </w:p>
    <w:p w14:paraId="72A64318" w14:textId="77777777" w:rsidR="00184A60" w:rsidRDefault="00184A60" w:rsidP="00184A60">
      <w:pPr>
        <w:spacing w:after="200" w:line="276" w:lineRule="auto"/>
        <w:jc w:val="both"/>
        <w:rPr>
          <w:rFonts w:eastAsia="MS Mincho" w:cs="Times New Roman"/>
          <w:kern w:val="0"/>
          <w:sz w:val="21"/>
          <w:szCs w:val="21"/>
          <w14:ligatures w14:val="none"/>
        </w:rPr>
      </w:pPr>
      <w:r w:rsidRPr="00184A60">
        <w:rPr>
          <w:rFonts w:eastAsia="MS Mincho" w:cs="Times New Roman"/>
          <w:kern w:val="0"/>
          <w:sz w:val="21"/>
          <w:szCs w:val="21"/>
          <w14:ligatures w14:val="none"/>
        </w:rPr>
        <w:t>These findings align with those of ENIL’s and EDF’s 2025 shadow report, which documented similar systemic deficiencies across the European Union. Notably, ENIL emphasized how the lack of institutional coordination, the dominance of siloed policy approaches, and the absence of participatory governance models have rendered the implementation of Articles 1–4 largely symbolic. In Iceland, the situation is comparable: while the government affirms its commitment to the CRPD, its structures, practices, and funding priorities continue to reflect outdated paradigms of care and protection rather than rights, inclusion, and equality. </w:t>
      </w:r>
    </w:p>
    <w:p w14:paraId="26C3F2FD" w14:textId="464D9087" w:rsidR="00184A60" w:rsidRDefault="00184A60">
      <w:pPr>
        <w:rPr>
          <w:rFonts w:eastAsia="MS Mincho" w:cs="Times New Roman"/>
          <w:kern w:val="0"/>
          <w:sz w:val="21"/>
          <w:szCs w:val="21"/>
          <w14:ligatures w14:val="none"/>
        </w:rPr>
      </w:pPr>
      <w:r>
        <w:rPr>
          <w:rFonts w:eastAsia="MS Mincho" w:cs="Times New Roman"/>
          <w:kern w:val="0"/>
          <w:sz w:val="21"/>
          <w:szCs w:val="21"/>
          <w14:ligatures w14:val="none"/>
        </w:rPr>
        <w:br w:type="page"/>
      </w:r>
    </w:p>
    <w:p w14:paraId="4FC343F0" w14:textId="14C24D74" w:rsidR="00184A60" w:rsidRPr="0053668C" w:rsidRDefault="0053668C" w:rsidP="00DA5C4C">
      <w:pPr>
        <w:pStyle w:val="Heading1"/>
      </w:pPr>
      <w:bookmarkStart w:id="4" w:name="_Toc202095932"/>
      <w:r w:rsidRPr="0053668C">
        <w:lastRenderedPageBreak/>
        <w:t>Article 5: Equality and non-discrimination</w:t>
      </w:r>
      <w:bookmarkEnd w:id="4"/>
    </w:p>
    <w:p w14:paraId="1E92C88A" w14:textId="245E2E05" w:rsidR="00184A60" w:rsidRPr="0053668C" w:rsidRDefault="00BD48D3" w:rsidP="00DA5C4C">
      <w:pPr>
        <w:pStyle w:val="Heading2"/>
      </w:pPr>
      <w:r>
        <w:t>Knowledge status and research gaps</w:t>
      </w:r>
    </w:p>
    <w:p w14:paraId="27674A75" w14:textId="77777777" w:rsidR="0053668C" w:rsidRDefault="00184A60" w:rsidP="0053668C">
      <w:pPr>
        <w:jc w:val="both"/>
        <w:rPr>
          <w:sz w:val="21"/>
          <w:szCs w:val="21"/>
        </w:rPr>
      </w:pPr>
      <w:r w:rsidRPr="0053668C">
        <w:rPr>
          <w:sz w:val="21"/>
          <w:szCs w:val="21"/>
        </w:rPr>
        <w:t>Although Iceland has enacted equality legislation covering disability, limited knowledge exists on how these laws are interpreted and applied in practice. The implementation of legal obligations such as reasonable accommodation and protection against indirect discrimination remains insufficiently documented. Research on systemic and institutional responses to discrimination is scarce, and there is little analysis of how public bodies operationalize equality duties. Intersectional discrimination affecting disabled people is not systematically examined in legal or policy contexts, and data systems do not support regular monitoring. Overall, the enforcement and impact of anti-discrimination law have not been critically evaluated.</w:t>
      </w:r>
    </w:p>
    <w:p w14:paraId="58E90FBF" w14:textId="1B907828" w:rsidR="0053668C" w:rsidRDefault="00BD48D3" w:rsidP="00393567">
      <w:pPr>
        <w:pStyle w:val="Heading2"/>
      </w:pPr>
      <w:r>
        <w:t>Key findings and reasons for concern</w:t>
      </w:r>
    </w:p>
    <w:p w14:paraId="46B610A0" w14:textId="77777777" w:rsidR="0053668C" w:rsidRPr="0053668C" w:rsidRDefault="00184A60" w:rsidP="0053668C">
      <w:pPr>
        <w:jc w:val="both"/>
        <w:rPr>
          <w:color w:val="4C94D8" w:themeColor="text2" w:themeTint="80"/>
          <w:sz w:val="21"/>
          <w:szCs w:val="21"/>
        </w:rPr>
      </w:pPr>
      <w:r w:rsidRPr="0053668C">
        <w:rPr>
          <w:sz w:val="21"/>
          <w:szCs w:val="21"/>
        </w:rPr>
        <w:t>Despite the existence of equality legislation formally covering disability, its implementation remains weak and inconsistent. Legal protections are not systematically enforced, and key concepts such as indirect discrimination and reasonable accommodation are poorly operationalized in the public and private sectors. There is a disconnect between the law as written and its application in daily life.</w:t>
      </w:r>
    </w:p>
    <w:p w14:paraId="112A4C6D" w14:textId="77777777" w:rsidR="0053668C" w:rsidRPr="0053668C" w:rsidRDefault="00184A60" w:rsidP="0053668C">
      <w:pPr>
        <w:jc w:val="both"/>
        <w:rPr>
          <w:color w:val="4C94D8" w:themeColor="text2" w:themeTint="80"/>
          <w:sz w:val="21"/>
          <w:szCs w:val="21"/>
        </w:rPr>
      </w:pPr>
      <w:r w:rsidRPr="0053668C">
        <w:rPr>
          <w:sz w:val="21"/>
          <w:szCs w:val="21"/>
        </w:rPr>
        <w:t>Disabled people face significant barriers in accessing legal remedies for discrimination. The complaints system is limited in scope and authority, lacking the ability to proactively investigate or enforce decisions. The burden of proof and procedure lies heavily on the complainant, creating additional barriers for those already structurally disadvantaged.</w:t>
      </w:r>
    </w:p>
    <w:p w14:paraId="617EB0E1" w14:textId="77777777" w:rsidR="0053668C" w:rsidRPr="0053668C" w:rsidRDefault="00184A60" w:rsidP="0053668C">
      <w:pPr>
        <w:jc w:val="both"/>
        <w:rPr>
          <w:color w:val="4C94D8" w:themeColor="text2" w:themeTint="80"/>
          <w:sz w:val="21"/>
          <w:szCs w:val="21"/>
        </w:rPr>
      </w:pPr>
      <w:r w:rsidRPr="0053668C">
        <w:rPr>
          <w:sz w:val="21"/>
          <w:szCs w:val="21"/>
        </w:rPr>
        <w:t>There is no coordinated national strategy to address ableism or systemic discrimination, and disability remains largely absent from broader equality policies. Gender-focused frameworks dominate public equality discourse, while disability issues are siloed, underfunded, and often treated within a welfare paradigm rather than as enforceable rights.</w:t>
      </w:r>
    </w:p>
    <w:p w14:paraId="6EEF666E" w14:textId="77777777" w:rsidR="0053668C" w:rsidRPr="0053668C" w:rsidRDefault="00184A60" w:rsidP="0053668C">
      <w:pPr>
        <w:jc w:val="both"/>
        <w:rPr>
          <w:color w:val="4C94D8" w:themeColor="text2" w:themeTint="80"/>
          <w:sz w:val="21"/>
          <w:szCs w:val="21"/>
        </w:rPr>
      </w:pPr>
      <w:r w:rsidRPr="0053668C">
        <w:rPr>
          <w:sz w:val="21"/>
          <w:szCs w:val="21"/>
        </w:rPr>
        <w:t>Institutional structures lack clear mandates or guidance for implementing equality laws in practice. Public bodies and service providers receive little to no training or instruction on their duties regarding reasonable accommodation or non-discrimination, leading to uneven and often inadequate responses.</w:t>
      </w:r>
    </w:p>
    <w:p w14:paraId="57978E56" w14:textId="77777777" w:rsidR="0053668C" w:rsidRPr="0053668C" w:rsidRDefault="00184A60" w:rsidP="0053668C">
      <w:pPr>
        <w:jc w:val="both"/>
        <w:rPr>
          <w:color w:val="4C94D8" w:themeColor="text2" w:themeTint="80"/>
          <w:sz w:val="21"/>
          <w:szCs w:val="21"/>
        </w:rPr>
      </w:pPr>
      <w:r w:rsidRPr="0053668C">
        <w:rPr>
          <w:sz w:val="21"/>
          <w:szCs w:val="21"/>
        </w:rPr>
        <w:t>Intersectional discrimination affecting disabled women, migrants, children, and other marginalized groups remains legally and politically invisible. Public policy does not address the compounding effects of multiple forms of discrimination, and no system exists for collecting or analyzing disaggregated data on these patterns.</w:t>
      </w:r>
    </w:p>
    <w:p w14:paraId="2815E7E7" w14:textId="0D13030A" w:rsidR="0053668C" w:rsidRPr="008B0506" w:rsidRDefault="00184A60" w:rsidP="008B0506">
      <w:pPr>
        <w:jc w:val="both"/>
        <w:rPr>
          <w:rFonts w:ascii="Calibri" w:eastAsia="MS Gothic" w:hAnsi="Calibri" w:cs="Times New Roman"/>
          <w:b/>
          <w:bCs/>
          <w:color w:val="365F91"/>
          <w:sz w:val="21"/>
          <w:szCs w:val="21"/>
        </w:rPr>
      </w:pPr>
      <w:r w:rsidRPr="0053668C">
        <w:rPr>
          <w:sz w:val="21"/>
          <w:szCs w:val="21"/>
        </w:rPr>
        <w:t>Finally, disabled people remain underrepresented in public administration and policymaking. There are no established mechanisms to ensure their meaningful participation in the development, monitoring, or evaluation of equality frameworks. This absence undermines accountability and perpetuates exclusion from decisions that affect their lives.</w:t>
      </w:r>
    </w:p>
    <w:p w14:paraId="13D072C8" w14:textId="77777777" w:rsidR="008B0506" w:rsidRDefault="008B0506" w:rsidP="0053668C">
      <w:pPr>
        <w:spacing w:after="0"/>
        <w:jc w:val="both"/>
        <w:rPr>
          <w:rFonts w:ascii="Calibri" w:eastAsia="MS Gothic" w:hAnsi="Calibri" w:cs="Times New Roman"/>
          <w:b/>
          <w:bCs/>
          <w:color w:val="4C94D8" w:themeColor="text2" w:themeTint="80"/>
          <w:sz w:val="26"/>
          <w:szCs w:val="26"/>
        </w:rPr>
      </w:pPr>
    </w:p>
    <w:p w14:paraId="4408AA31" w14:textId="57B03266" w:rsidR="0053668C" w:rsidRDefault="0053668C">
      <w:pPr>
        <w:rPr>
          <w:sz w:val="21"/>
          <w:szCs w:val="21"/>
        </w:rPr>
      </w:pPr>
      <w:r>
        <w:rPr>
          <w:sz w:val="21"/>
          <w:szCs w:val="21"/>
        </w:rPr>
        <w:br w:type="page"/>
      </w:r>
    </w:p>
    <w:p w14:paraId="2445FA21" w14:textId="77777777" w:rsidR="0053668C" w:rsidRPr="0053668C" w:rsidRDefault="0053668C" w:rsidP="008B0506">
      <w:pPr>
        <w:pStyle w:val="Heading1"/>
      </w:pPr>
      <w:bookmarkStart w:id="5" w:name="_Toc202095933"/>
      <w:r w:rsidRPr="0053668C">
        <w:lastRenderedPageBreak/>
        <w:t>Article 6: Disabled women and girls</w:t>
      </w:r>
      <w:bookmarkEnd w:id="5"/>
    </w:p>
    <w:p w14:paraId="2B998720" w14:textId="5A2243CF" w:rsidR="0053668C" w:rsidRPr="0053668C" w:rsidRDefault="00BD48D3" w:rsidP="008B0506">
      <w:pPr>
        <w:pStyle w:val="Heading2"/>
      </w:pPr>
      <w:r>
        <w:t>Knowledge status and research gaps</w:t>
      </w:r>
    </w:p>
    <w:p w14:paraId="3BE1A6E0" w14:textId="77777777" w:rsidR="0053668C" w:rsidRPr="0053668C" w:rsidRDefault="0053668C" w:rsidP="0053668C">
      <w:pPr>
        <w:jc w:val="both"/>
        <w:rPr>
          <w:sz w:val="21"/>
          <w:szCs w:val="21"/>
        </w:rPr>
      </w:pPr>
      <w:r w:rsidRPr="0053668C">
        <w:rPr>
          <w:sz w:val="21"/>
          <w:szCs w:val="21"/>
        </w:rPr>
        <w:t>There is a growing body of Icelandic research highlighting the specific vulnerabilities and structural discrimination faced by disabled women and girls. Recent intersectional studies have documented higher rates of violence, marginalization in service systems, and compounded inequalities shaped by gender and disability. Notably, feminist disability studies have gained ground in Iceland, producing both academic and advocacy-oriented outputs. However, significant knowledge gaps remain concerning the lived experiences of women with psychosocial disabilities, neurodivergent women, and disabled women in rural areas. There is also a lack of disaggregated administrative data and systematic national monitoring of rights violations affecting disabled women.</w:t>
      </w:r>
    </w:p>
    <w:p w14:paraId="51E4034D" w14:textId="729C32CC" w:rsidR="0053668C" w:rsidRPr="0053668C" w:rsidRDefault="0053668C" w:rsidP="0053668C">
      <w:pPr>
        <w:jc w:val="both"/>
        <w:rPr>
          <w:sz w:val="21"/>
          <w:szCs w:val="21"/>
        </w:rPr>
      </w:pPr>
      <w:r w:rsidRPr="0053668C">
        <w:rPr>
          <w:sz w:val="21"/>
          <w:szCs w:val="21"/>
        </w:rPr>
        <w:t xml:space="preserve">Empirical data on the lived experiences of disabled women in Iceland </w:t>
      </w:r>
      <w:r w:rsidR="00456D1F">
        <w:rPr>
          <w:sz w:val="21"/>
          <w:szCs w:val="21"/>
        </w:rPr>
        <w:t>have</w:t>
      </w:r>
      <w:r w:rsidRPr="0053668C">
        <w:rPr>
          <w:sz w:val="21"/>
          <w:szCs w:val="21"/>
        </w:rPr>
        <w:t xml:space="preserve"> only recently emerged. A national study from 2023 provided the first in-depth quantitative evidence showing that disabled women face a significantly higher risk of violence than non-disabled women. Other academic contributions have shed light on structural invisibility, social control, and how disabled women’s agency is marginalized within welfare systems and education. Despite these important contributions, there is still a limited comprehensive body of research that maps the structural discrimination faced by disabled women and girls in Iceland. Critical knowledge gaps persist regarding reproductive rights, gender budgeting, and resource allocation for intersectional equality. Furthermore, legal provisions ensuring protection against multiple and intersecting discrimination are underdeveloped and not supported by operational guidelines, strategic policies, or targeted awareness-raising. The national human rights architecture also lacks mechanisms to ensure the inclusion and empowerment of disabled women in monitoring and implementation processes.</w:t>
      </w:r>
    </w:p>
    <w:p w14:paraId="335F8BF9" w14:textId="0F100075" w:rsidR="0053668C" w:rsidRPr="0053668C" w:rsidRDefault="00BD48D3" w:rsidP="0053668C">
      <w:pPr>
        <w:spacing w:after="0"/>
        <w:jc w:val="both"/>
        <w:rPr>
          <w:rFonts w:ascii="Calibri" w:hAnsi="Calibri" w:cs="Calibri"/>
          <w:b/>
          <w:bCs/>
          <w:color w:val="4C94D8" w:themeColor="text2" w:themeTint="80"/>
          <w:sz w:val="26"/>
          <w:szCs w:val="26"/>
        </w:rPr>
      </w:pPr>
      <w:r>
        <w:rPr>
          <w:rFonts w:ascii="Calibri" w:hAnsi="Calibri" w:cs="Calibri"/>
          <w:b/>
          <w:bCs/>
          <w:color w:val="4C94D8" w:themeColor="text2" w:themeTint="80"/>
          <w:sz w:val="26"/>
          <w:szCs w:val="26"/>
        </w:rPr>
        <w:t>Key findings and reasons for concern</w:t>
      </w:r>
    </w:p>
    <w:p w14:paraId="7389919E" w14:textId="77777777" w:rsidR="0053668C" w:rsidRPr="0053668C" w:rsidRDefault="0053668C" w:rsidP="0053668C">
      <w:pPr>
        <w:jc w:val="both"/>
        <w:rPr>
          <w:sz w:val="21"/>
          <w:szCs w:val="21"/>
        </w:rPr>
      </w:pPr>
      <w:r w:rsidRPr="0053668C">
        <w:rPr>
          <w:sz w:val="21"/>
          <w:szCs w:val="21"/>
        </w:rPr>
        <w:t>Disabled women in Iceland experience systemic invisibility in gender equality policymaking and programming. Despite formal commitments to both gender equality and disability rights, national action plans on equality rarely mention disabled women, and budget allocations for gender equality initiatives have consistently excluded this group in both design and implementation. As a result, disabled women fall through the cracks of both disability-specific services and mainstream gender equality frameworks.</w:t>
      </w:r>
    </w:p>
    <w:p w14:paraId="7FA44325" w14:textId="77777777" w:rsidR="0053668C" w:rsidRPr="0053668C" w:rsidRDefault="0053668C" w:rsidP="0053668C">
      <w:pPr>
        <w:jc w:val="both"/>
        <w:rPr>
          <w:sz w:val="21"/>
          <w:szCs w:val="21"/>
        </w:rPr>
      </w:pPr>
      <w:r w:rsidRPr="0053668C">
        <w:rPr>
          <w:sz w:val="21"/>
          <w:szCs w:val="21"/>
        </w:rPr>
        <w:t>Recent intersectional research highlights disproportionately high rates of violence, social exclusion, and lack of access to gender-sensitive services among disabled women. These include barriers to reproductive health care, inaccessible shelters, and limited support for parenting, especially for women with intellectual or psychosocial disabilities. Stigma, ableism, and institutional bias further reduce their access to protection and redress mechanisms.</w:t>
      </w:r>
    </w:p>
    <w:p w14:paraId="5BB0E03F" w14:textId="77777777" w:rsidR="0053668C" w:rsidRPr="0053668C" w:rsidRDefault="0053668C" w:rsidP="0053668C">
      <w:pPr>
        <w:jc w:val="both"/>
        <w:rPr>
          <w:sz w:val="21"/>
          <w:szCs w:val="21"/>
        </w:rPr>
      </w:pPr>
      <w:r w:rsidRPr="0053668C">
        <w:rPr>
          <w:sz w:val="21"/>
          <w:szCs w:val="21"/>
        </w:rPr>
        <w:t xml:space="preserve">Particularly concerning are ongoing violations of sexual and reproductive rights, as well as persistent taboos surrounding the sexuality, gender identity, and bodily autonomy of disabled women. Reports indicate a lack of access to inclusive sex education, paternalistic attitudes in healthcare, and historical practices of forced or coerced sterilization, especially among women </w:t>
      </w:r>
      <w:r w:rsidRPr="0053668C">
        <w:rPr>
          <w:sz w:val="21"/>
          <w:szCs w:val="21"/>
        </w:rPr>
        <w:lastRenderedPageBreak/>
        <w:t>with intellectual disabilities. Gender-diverse and queer disabled women face compounded exclusion, with limited recognition of their identities and heightened vulnerability to discrimination and violence. The invisibility of disabled women in public discourse around sexual and reproductive rights reinforces normative assumptions that undermine their agency and self-determination.</w:t>
      </w:r>
    </w:p>
    <w:p w14:paraId="2B97A9D4" w14:textId="77777777" w:rsidR="0053668C" w:rsidRPr="0053668C" w:rsidRDefault="0053668C" w:rsidP="0053668C">
      <w:pPr>
        <w:jc w:val="both"/>
        <w:rPr>
          <w:sz w:val="21"/>
          <w:szCs w:val="21"/>
        </w:rPr>
      </w:pPr>
      <w:r w:rsidRPr="0053668C">
        <w:rPr>
          <w:sz w:val="21"/>
          <w:szCs w:val="21"/>
        </w:rPr>
        <w:t>Monitoring and evaluation tools used by state bodies rarely include indicators specific to disabled women, and there is a striking absence of disaggregated data by both gender and disability. Without such data, it is nearly impossible to track disparities or measure the effectiveness of equality strategies for this population. This lack of visibility in public systems reinforces the structural exclusion of disabled women in policymaking, budgeting, and service design.</w:t>
      </w:r>
    </w:p>
    <w:p w14:paraId="745AF4CB" w14:textId="77777777" w:rsidR="0053668C" w:rsidRPr="0053668C" w:rsidRDefault="0053668C" w:rsidP="0053668C">
      <w:pPr>
        <w:jc w:val="both"/>
        <w:rPr>
          <w:sz w:val="21"/>
          <w:szCs w:val="21"/>
        </w:rPr>
      </w:pPr>
      <w:r w:rsidRPr="0053668C">
        <w:rPr>
          <w:sz w:val="21"/>
          <w:szCs w:val="21"/>
        </w:rPr>
        <w:t>Furthermore, there are concerns that disability is often treated as a neutral or technical category, divorced from feminist and human rights-based analysis. This weakens the impact of national equality mechanisms and reduces the opportunity to address multiple and intersecting forms of discrimination in a coherent and rights-based manner.</w:t>
      </w:r>
    </w:p>
    <w:p w14:paraId="606DF439" w14:textId="77777777" w:rsidR="0053668C" w:rsidRDefault="0053668C" w:rsidP="0053668C">
      <w:pPr>
        <w:jc w:val="both"/>
        <w:rPr>
          <w:sz w:val="21"/>
          <w:szCs w:val="21"/>
        </w:rPr>
      </w:pPr>
      <w:r w:rsidRPr="0053668C">
        <w:rPr>
          <w:sz w:val="21"/>
          <w:szCs w:val="21"/>
        </w:rPr>
        <w:t>The lack of targeted outreach, representation, and funding for disabled women’s organizations exacerbates the situation. Civil society spaces for feminist dialogue and advocacy are often inaccessible or inattentive to disability-specific issues, leaving disabled women with few opportunities to influence public discourse or policy agendas.</w:t>
      </w:r>
    </w:p>
    <w:p w14:paraId="4845A32A" w14:textId="32915F9F" w:rsidR="00FC6010" w:rsidRDefault="00FC6010">
      <w:pPr>
        <w:rPr>
          <w:sz w:val="21"/>
          <w:szCs w:val="21"/>
        </w:rPr>
      </w:pPr>
      <w:r>
        <w:rPr>
          <w:sz w:val="21"/>
          <w:szCs w:val="21"/>
        </w:rPr>
        <w:br w:type="page"/>
      </w:r>
    </w:p>
    <w:p w14:paraId="05338FF1" w14:textId="77777777" w:rsidR="00F762B3" w:rsidRPr="00F762B3" w:rsidRDefault="00F762B3" w:rsidP="008B0506">
      <w:pPr>
        <w:pStyle w:val="Heading1"/>
      </w:pPr>
      <w:bookmarkStart w:id="6" w:name="_Toc202095934"/>
      <w:r w:rsidRPr="00F762B3">
        <w:lastRenderedPageBreak/>
        <w:t>Article 7: Disabled children</w:t>
      </w:r>
      <w:bookmarkEnd w:id="6"/>
    </w:p>
    <w:p w14:paraId="2625B352" w14:textId="0A9E2D7F" w:rsidR="00F762B3" w:rsidRPr="00F762B3" w:rsidRDefault="00BD48D3" w:rsidP="008B0506">
      <w:pPr>
        <w:pStyle w:val="Heading2"/>
      </w:pPr>
      <w:r>
        <w:t>Knowledge status and research gaps</w:t>
      </w:r>
    </w:p>
    <w:p w14:paraId="0F5D1A8E" w14:textId="459C19F9" w:rsidR="00F762B3" w:rsidRPr="00F762B3" w:rsidRDefault="003309A4" w:rsidP="00F762B3">
      <w:pPr>
        <w:jc w:val="both"/>
        <w:rPr>
          <w:sz w:val="21"/>
          <w:szCs w:val="21"/>
        </w:rPr>
      </w:pPr>
      <w:r>
        <w:rPr>
          <w:sz w:val="21"/>
          <w:szCs w:val="21"/>
        </w:rPr>
        <w:t>Disabled c</w:t>
      </w:r>
      <w:r w:rsidR="00F762B3" w:rsidRPr="00F762B3">
        <w:rPr>
          <w:sz w:val="21"/>
          <w:szCs w:val="21"/>
        </w:rPr>
        <w:t>hildren</w:t>
      </w:r>
      <w:r>
        <w:rPr>
          <w:sz w:val="21"/>
          <w:szCs w:val="21"/>
        </w:rPr>
        <w:t xml:space="preserve"> </w:t>
      </w:r>
      <w:r w:rsidR="00F762B3" w:rsidRPr="00F762B3">
        <w:rPr>
          <w:sz w:val="21"/>
          <w:szCs w:val="21"/>
        </w:rPr>
        <w:t>in Iceland face persistent barriers to full participation in society, including in education, healthcare, and social services. Research by the Centre has documented the lived experiences of young disabled people, highlighting how structural and attitudinal barriers hinder their inclusion. Studies have emphasized the importance of relational support, interdependence, and the role of inclusive environments in promoting well-being and participation. Despite some progress, there is limited systematic data on the quality, accessibility, and impact of public services for children with disabilities, particularly across municipalities. There are also gaps in understanding the long-term impact of policy reforms on the autonomy and life transitions of disabled youth. Further research is needed on how user participation is operationalized in child welfare systems and how rights under Article 7 of the CRPD are realized in practice, especially for children with multiple or complex support needs and behavior stemming from unmet needs or environmental factors.</w:t>
      </w:r>
    </w:p>
    <w:p w14:paraId="01D071E6" w14:textId="181D9FBA" w:rsidR="00F762B3" w:rsidRPr="00F762B3" w:rsidRDefault="00BD48D3" w:rsidP="00F77730">
      <w:pPr>
        <w:spacing w:after="0"/>
        <w:jc w:val="both"/>
        <w:rPr>
          <w:rFonts w:ascii="Calibri" w:hAnsi="Calibri" w:cs="Calibri"/>
          <w:b/>
          <w:bCs/>
          <w:color w:val="4C94D8" w:themeColor="text2" w:themeTint="80"/>
          <w:sz w:val="26"/>
          <w:szCs w:val="26"/>
        </w:rPr>
      </w:pPr>
      <w:r>
        <w:rPr>
          <w:rFonts w:ascii="Calibri" w:hAnsi="Calibri" w:cs="Calibri"/>
          <w:b/>
          <w:bCs/>
          <w:color w:val="4C94D8" w:themeColor="text2" w:themeTint="80"/>
          <w:sz w:val="26"/>
          <w:szCs w:val="26"/>
        </w:rPr>
        <w:t>Key findings and reasons for concern</w:t>
      </w:r>
    </w:p>
    <w:p w14:paraId="34AE3825" w14:textId="77777777" w:rsidR="00F762B3" w:rsidRPr="00F762B3" w:rsidRDefault="00F762B3" w:rsidP="00F762B3">
      <w:pPr>
        <w:jc w:val="both"/>
        <w:rPr>
          <w:sz w:val="21"/>
          <w:szCs w:val="21"/>
        </w:rPr>
      </w:pPr>
      <w:r w:rsidRPr="00F762B3">
        <w:rPr>
          <w:sz w:val="21"/>
          <w:szCs w:val="21"/>
        </w:rPr>
        <w:t>Despite formal commitments to the rights of disabled children, research in Iceland has consistently shown that these children continue to face barriers to participation, both within public institutions and in society more broadly. Studies highlight that disabled children and youth often lack equal access to inclusive education, adequate support services, and meaningful opportunities to participate in decision-making about their lives. Relational and rights-based approaches have been found to enhance participation and well-being, but these are not systematically implemented across the welfare system.</w:t>
      </w:r>
    </w:p>
    <w:p w14:paraId="1AACAC64" w14:textId="77777777" w:rsidR="00F762B3" w:rsidRPr="00F762B3" w:rsidRDefault="00F762B3" w:rsidP="00F762B3">
      <w:pPr>
        <w:jc w:val="both"/>
        <w:rPr>
          <w:sz w:val="21"/>
          <w:szCs w:val="21"/>
        </w:rPr>
      </w:pPr>
      <w:r w:rsidRPr="00F762B3">
        <w:rPr>
          <w:sz w:val="21"/>
          <w:szCs w:val="21"/>
        </w:rPr>
        <w:t>Service provision is fragmented and varies significantly between municipalities, leading to unequal access and uncertainty for families. There are documented gaps in coordination between education, health, and social services, leaving families to navigate complex systems with insufficient support. This burden particularly affects families of children with multiple or complex support needs. In practice, service eligibility is often based on diagnosis and categorical criteria rather than individual rights and lived needs, undermining a child-centered and inclusive approach.</w:t>
      </w:r>
    </w:p>
    <w:p w14:paraId="6D5E28FE" w14:textId="461B0763" w:rsidR="00F762B3" w:rsidRPr="00F762B3" w:rsidRDefault="00F762B3" w:rsidP="00F762B3">
      <w:pPr>
        <w:jc w:val="both"/>
        <w:rPr>
          <w:sz w:val="21"/>
          <w:szCs w:val="21"/>
        </w:rPr>
      </w:pPr>
      <w:r w:rsidRPr="00F762B3">
        <w:rPr>
          <w:sz w:val="21"/>
          <w:szCs w:val="21"/>
        </w:rPr>
        <w:t xml:space="preserve">Moreover, recent structural changes to the organization of ministries—particularly the division of responsibilities between ministries for education, social affairs, and children—may have had unintended consequences for the oversight of the rights of disabled children. Responsibilities for children’s rights and disability </w:t>
      </w:r>
      <w:r w:rsidR="00F77730" w:rsidRPr="00F762B3">
        <w:rPr>
          <w:sz w:val="21"/>
          <w:szCs w:val="21"/>
        </w:rPr>
        <w:t>policies</w:t>
      </w:r>
      <w:r w:rsidRPr="00F762B3">
        <w:rPr>
          <w:sz w:val="21"/>
          <w:szCs w:val="21"/>
        </w:rPr>
        <w:t xml:space="preserve"> are now split across multiple ministries, weakening unified policy direction and comprehensive monitoring. This fragmentation risks leaving some children "in between systems", where their needs fall outside the core mandate of any one agency or ministry.</w:t>
      </w:r>
    </w:p>
    <w:p w14:paraId="5057845B" w14:textId="77777777" w:rsidR="00F762B3" w:rsidRPr="00F762B3" w:rsidRDefault="00F762B3" w:rsidP="00F762B3">
      <w:pPr>
        <w:jc w:val="both"/>
        <w:rPr>
          <w:sz w:val="21"/>
          <w:szCs w:val="21"/>
        </w:rPr>
      </w:pPr>
      <w:r w:rsidRPr="00F762B3">
        <w:rPr>
          <w:sz w:val="21"/>
          <w:szCs w:val="21"/>
        </w:rPr>
        <w:t xml:space="preserve">Research also shows that disabled children and youth are rarely consulted or meaningfully involved in shaping services, policies, or their support plans. Their voices are often mediated by adults, and opportunities for direct participation are limited. This contradicts the CRPD’s emphasis on evolving capacities and the right of children to express their views freely in all </w:t>
      </w:r>
      <w:r w:rsidRPr="00F762B3">
        <w:rPr>
          <w:sz w:val="21"/>
          <w:szCs w:val="21"/>
        </w:rPr>
        <w:lastRenderedPageBreak/>
        <w:t>matters affecting them. Young disabled people report significant barriers to autonomy, especially during life transitions such as moving from school to adulthood, where support tends to be reduced or restructured in ways that disrupt continuity and control.</w:t>
      </w:r>
    </w:p>
    <w:p w14:paraId="487D84D4" w14:textId="77777777" w:rsidR="00F762B3" w:rsidRPr="00F762B3" w:rsidRDefault="00F762B3" w:rsidP="00F762B3">
      <w:pPr>
        <w:jc w:val="both"/>
        <w:rPr>
          <w:sz w:val="21"/>
          <w:szCs w:val="21"/>
        </w:rPr>
      </w:pPr>
      <w:r w:rsidRPr="00F762B3">
        <w:rPr>
          <w:sz w:val="21"/>
          <w:szCs w:val="21"/>
        </w:rPr>
        <w:t>Notably, preparation for transitions—from preschool to school, compulsory school to upper-secondary, and from child to adult services—is severely lacking. These life stages often involve abrupt changes in support structures and eligibility criteria, with limited coordination or foresight. This undermines both the stability and developmental opportunities of disabled children and youth during critical phases of life.</w:t>
      </w:r>
    </w:p>
    <w:p w14:paraId="125D96D4" w14:textId="77777777" w:rsidR="00F762B3" w:rsidRPr="00F762B3" w:rsidRDefault="00F762B3" w:rsidP="00F762B3">
      <w:pPr>
        <w:jc w:val="both"/>
        <w:rPr>
          <w:sz w:val="21"/>
          <w:szCs w:val="21"/>
        </w:rPr>
      </w:pPr>
      <w:r w:rsidRPr="00F762B3">
        <w:rPr>
          <w:sz w:val="21"/>
          <w:szCs w:val="21"/>
        </w:rPr>
        <w:t>There is insufficient monitoring of the quality and impact of services from the perspective of children themselves. The absence of disaggregated data on disabled children—by age, gender, location, or type of impairment—hinders accountability and evidence-based planning. Several studies have noted that rights violations often go unrecognized within professional practices, and safeguarding mechanisms for disabled children remain underdeveloped.</w:t>
      </w:r>
    </w:p>
    <w:p w14:paraId="2B700661" w14:textId="77777777" w:rsidR="00F762B3" w:rsidRDefault="00F762B3" w:rsidP="00F762B3">
      <w:pPr>
        <w:jc w:val="both"/>
        <w:rPr>
          <w:sz w:val="21"/>
          <w:szCs w:val="21"/>
        </w:rPr>
      </w:pPr>
      <w:r w:rsidRPr="00F762B3">
        <w:rPr>
          <w:sz w:val="21"/>
          <w:szCs w:val="21"/>
        </w:rPr>
        <w:t>These findings point to a systemic gap between legal commitments and practical implementation. The current policy and service environment does not yet ensure that disabled children enjoy their rights on an equal basis with others, nor does it consistently foster their inclusion, autonomy, and development. This calls for structural reform, participatory mechanisms tailored to children, and the integration of rights-based standards across all areas affecting their lives.</w:t>
      </w:r>
    </w:p>
    <w:p w14:paraId="5BF4AF3A" w14:textId="3955E2DC" w:rsidR="00FC6010" w:rsidRDefault="00FC6010">
      <w:pPr>
        <w:rPr>
          <w:sz w:val="21"/>
          <w:szCs w:val="21"/>
        </w:rPr>
      </w:pPr>
      <w:r>
        <w:rPr>
          <w:sz w:val="21"/>
          <w:szCs w:val="21"/>
        </w:rPr>
        <w:br w:type="page"/>
      </w:r>
    </w:p>
    <w:p w14:paraId="68E14254" w14:textId="77777777" w:rsidR="00393567" w:rsidRPr="00393567" w:rsidRDefault="00393567" w:rsidP="00393567">
      <w:pPr>
        <w:pStyle w:val="Heading1"/>
      </w:pPr>
      <w:bookmarkStart w:id="7" w:name="_Toc202095935"/>
      <w:r w:rsidRPr="00393567">
        <w:lastRenderedPageBreak/>
        <w:t>Article 8: Awareness-raising</w:t>
      </w:r>
      <w:bookmarkEnd w:id="7"/>
      <w:r w:rsidRPr="00393567">
        <w:t xml:space="preserve"> </w:t>
      </w:r>
    </w:p>
    <w:p w14:paraId="24BA907F" w14:textId="5EA07CA2" w:rsidR="00393567" w:rsidRPr="00393567" w:rsidRDefault="00BD48D3" w:rsidP="00393567">
      <w:pPr>
        <w:pStyle w:val="Heading2"/>
      </w:pPr>
      <w:r>
        <w:t>Knowledge status and research gaps</w:t>
      </w:r>
    </w:p>
    <w:p w14:paraId="244614E8" w14:textId="77777777" w:rsidR="00393567" w:rsidRPr="00393567" w:rsidRDefault="00393567" w:rsidP="00393567">
      <w:pPr>
        <w:jc w:val="both"/>
        <w:rPr>
          <w:sz w:val="21"/>
          <w:szCs w:val="21"/>
        </w:rPr>
      </w:pPr>
      <w:r w:rsidRPr="00393567">
        <w:rPr>
          <w:sz w:val="21"/>
          <w:szCs w:val="21"/>
        </w:rPr>
        <w:t>There is currently no comprehensive academic research in Iceland that assesses the scope, effectiveness, or long-term impact of awareness-raising measures relating to disability rights. While occasional campaigns have been implemented, their design and impact remain unevaluated, and there is no evidence of structured monitoring or analysis. The absence of a baseline understanding of public attitudes or prevailing stereotypes severely limits the ability to measure progress or identify priority areas for action.</w:t>
      </w:r>
    </w:p>
    <w:p w14:paraId="2F9CC7AC" w14:textId="699DC87B" w:rsidR="00393567" w:rsidRPr="00393567" w:rsidRDefault="00393567" w:rsidP="00393567">
      <w:pPr>
        <w:jc w:val="both"/>
        <w:rPr>
          <w:sz w:val="21"/>
          <w:szCs w:val="21"/>
        </w:rPr>
      </w:pPr>
      <w:r w:rsidRPr="00393567">
        <w:rPr>
          <w:sz w:val="21"/>
          <w:szCs w:val="21"/>
        </w:rPr>
        <w:t>Existing efforts lack a systematic connection to a rights-based model of disability, and there is no national framework to guide awareness-raising with defined goals, structure, processes, or expected outcomes. As a result, campaigns tend to remain disconnected from broader reforms and often reproduce outdated narratives. No national indicators have been adopted to assess whether awareness measures effectively reduce stigma, promote respect, or support inclusion. Research also fails to address how intersecting factors</w:t>
      </w:r>
      <w:r w:rsidR="00456D1F">
        <w:rPr>
          <w:sz w:val="21"/>
          <w:szCs w:val="21"/>
        </w:rPr>
        <w:t xml:space="preserve">, </w:t>
      </w:r>
      <w:r w:rsidRPr="00393567">
        <w:rPr>
          <w:sz w:val="21"/>
          <w:szCs w:val="21"/>
        </w:rPr>
        <w:t>such as gender, ethnicity, age, or migration background</w:t>
      </w:r>
      <w:r w:rsidR="00456D1F">
        <w:rPr>
          <w:sz w:val="21"/>
          <w:szCs w:val="21"/>
        </w:rPr>
        <w:t xml:space="preserve">, </w:t>
      </w:r>
      <w:r w:rsidRPr="00393567">
        <w:rPr>
          <w:sz w:val="21"/>
          <w:szCs w:val="21"/>
        </w:rPr>
        <w:t>shape public perceptions of disability in Icelandic society.</w:t>
      </w:r>
    </w:p>
    <w:p w14:paraId="2CA4DE96" w14:textId="77777777" w:rsidR="00393567" w:rsidRPr="00393567" w:rsidRDefault="00393567" w:rsidP="00393567">
      <w:pPr>
        <w:jc w:val="both"/>
        <w:rPr>
          <w:sz w:val="21"/>
          <w:szCs w:val="21"/>
        </w:rPr>
      </w:pPr>
      <w:r w:rsidRPr="00393567">
        <w:rPr>
          <w:sz w:val="21"/>
          <w:szCs w:val="21"/>
        </w:rPr>
        <w:t>There is a critical need for structured, participatory, and disaggregated research that evaluates the effectiveness of awareness-raising across diverse groups and institutional settings, and that includes the lived experience and leadership of disabled people themselves.</w:t>
      </w:r>
    </w:p>
    <w:p w14:paraId="4BFBF6CF" w14:textId="6D095E9E" w:rsidR="00393567" w:rsidRPr="00393567" w:rsidRDefault="00BD48D3" w:rsidP="00393567">
      <w:pPr>
        <w:pStyle w:val="Heading2"/>
      </w:pPr>
      <w:r>
        <w:t>Key findings and reasons for concern</w:t>
      </w:r>
    </w:p>
    <w:p w14:paraId="1C3846A2" w14:textId="77777777" w:rsidR="00393567" w:rsidRPr="00393567" w:rsidRDefault="00393567" w:rsidP="00393567">
      <w:pPr>
        <w:jc w:val="both"/>
        <w:rPr>
          <w:sz w:val="21"/>
          <w:szCs w:val="21"/>
        </w:rPr>
      </w:pPr>
      <w:r w:rsidRPr="00393567">
        <w:rPr>
          <w:sz w:val="21"/>
          <w:szCs w:val="21"/>
        </w:rPr>
        <w:t>Iceland lacks a national awareness-raising strategy on disability that is anchored in the human rights model. No government body has adopted a coordinated framework defining structure, processes, and intended outcomes, including measurable indicators. As a result, awareness-raising remains fragmented, ad hoc, and largely symbolic. This falls short of the obligations under Article 8(1)(a) and (b) to combat stereotypes and foster respect for the dignity and rights of disabled people through sustained, society-wide efforts.</w:t>
      </w:r>
    </w:p>
    <w:p w14:paraId="35FA69C0" w14:textId="77777777" w:rsidR="00393567" w:rsidRPr="00393567" w:rsidRDefault="00393567" w:rsidP="00393567">
      <w:pPr>
        <w:jc w:val="both"/>
        <w:rPr>
          <w:sz w:val="21"/>
          <w:szCs w:val="21"/>
        </w:rPr>
      </w:pPr>
      <w:r w:rsidRPr="00393567">
        <w:rPr>
          <w:sz w:val="21"/>
          <w:szCs w:val="21"/>
        </w:rPr>
        <w:t>No baseline data exists regarding public perceptions of disabled people, nor are there recurring surveys or public attitude monitoring mechanisms. Without such data, it is impossible to assess whether awareness-raising efforts are effective in reducing stigma, discrimination, or harmful stereotypes. Moreover, the lack of indicators or follow-up studies creates a situation in which resources may be spent without accountability or learning.</w:t>
      </w:r>
    </w:p>
    <w:p w14:paraId="62B7CDBA" w14:textId="77777777" w:rsidR="00393567" w:rsidRPr="00393567" w:rsidRDefault="00393567" w:rsidP="00393567">
      <w:pPr>
        <w:jc w:val="both"/>
        <w:rPr>
          <w:sz w:val="21"/>
          <w:szCs w:val="21"/>
        </w:rPr>
      </w:pPr>
      <w:r w:rsidRPr="00393567">
        <w:rPr>
          <w:sz w:val="21"/>
          <w:szCs w:val="21"/>
        </w:rPr>
        <w:t>A national awareness campaign launched in early 2025 received limited public attention and lacked inclusive design. The messaging was generic, untargeted, and failed to resonate with key professional groups such as educators, media practitioners, civil servants, and employers. There was no tailoring for different population groups, nor any visible integration with broader reforms in education, media policy, or anti-discrimination measures.</w:t>
      </w:r>
    </w:p>
    <w:p w14:paraId="405C56C0" w14:textId="77777777" w:rsidR="00393567" w:rsidRPr="00393567" w:rsidRDefault="00393567" w:rsidP="00393567">
      <w:pPr>
        <w:jc w:val="both"/>
        <w:rPr>
          <w:sz w:val="21"/>
          <w:szCs w:val="21"/>
        </w:rPr>
      </w:pPr>
      <w:r w:rsidRPr="00393567">
        <w:rPr>
          <w:sz w:val="21"/>
          <w:szCs w:val="21"/>
        </w:rPr>
        <w:t xml:space="preserve">Awareness-raising is not systematically embedded in formal education curricula, professional training, or media regulation. No binding guidelines exist for journalists on respectful and inclusive representation of disabled people, nor are public institutions required to promote </w:t>
      </w:r>
      <w:r w:rsidRPr="00393567">
        <w:rPr>
          <w:sz w:val="21"/>
          <w:szCs w:val="21"/>
        </w:rPr>
        <w:lastRenderedPageBreak/>
        <w:t>awareness through their procurement, staffing, or communication practices. This undermines the potential for long-term structural change and limits awareness initiatives to surface-level interventions.</w:t>
      </w:r>
    </w:p>
    <w:p w14:paraId="3178D918" w14:textId="77777777" w:rsidR="00393567" w:rsidRPr="00393567" w:rsidRDefault="00393567" w:rsidP="00393567">
      <w:pPr>
        <w:jc w:val="both"/>
        <w:rPr>
          <w:sz w:val="21"/>
          <w:szCs w:val="21"/>
        </w:rPr>
      </w:pPr>
      <w:r w:rsidRPr="00393567">
        <w:rPr>
          <w:sz w:val="21"/>
          <w:szCs w:val="21"/>
        </w:rPr>
        <w:t>There is no institutional mechanism to ensure the involvement of disabled people and their representative organizations in designing, implementing, or evaluating awareness measures, contrary to Article 8(2)(c). This exclusion not only weakens the relevance and credibility of public messaging but also contravenes the CRPD’s principle of participation. Awareness without co-creation risks reinforcing dominant, non-disabled narratives and perpetuating paternalistic attitudes.</w:t>
      </w:r>
    </w:p>
    <w:p w14:paraId="042D434A" w14:textId="77777777" w:rsidR="00393567" w:rsidRPr="00393567" w:rsidRDefault="00393567" w:rsidP="00393567">
      <w:pPr>
        <w:jc w:val="both"/>
        <w:rPr>
          <w:sz w:val="21"/>
          <w:szCs w:val="21"/>
        </w:rPr>
      </w:pPr>
      <w:r w:rsidRPr="00393567">
        <w:rPr>
          <w:sz w:val="21"/>
          <w:szCs w:val="21"/>
        </w:rPr>
        <w:t>Existing efforts do not address multiple and intersecting forms of discrimination, such as those experienced by disabled women, children, migrants, or LGBTQ+ individuals. Campaigns fail to reflect the diversity of the disabled population and often rely on welfare-based or medicalized narratives. This narrow framing reinforces the marginalization of many disabled people and limits public understanding of disability as a social and rights-based issue.</w:t>
      </w:r>
    </w:p>
    <w:p w14:paraId="577B31FE" w14:textId="77777777" w:rsidR="00393567" w:rsidRDefault="00393567" w:rsidP="00393567">
      <w:pPr>
        <w:jc w:val="both"/>
        <w:rPr>
          <w:sz w:val="21"/>
          <w:szCs w:val="21"/>
        </w:rPr>
      </w:pPr>
      <w:r w:rsidRPr="00393567">
        <w:rPr>
          <w:sz w:val="21"/>
          <w:szCs w:val="21"/>
        </w:rPr>
        <w:t>There is no documented link between awareness-raising campaigns and efforts to address hate crimes, hate speech, or other harmful practices. Legal frameworks addressing derogatory language or disability-based violence are weak or not actively enforced. Training of justice, media, and law enforcement personnel on disability awareness and anti-stereotyping is limited or absent. This fragmentation leaves significant gaps in the State’s compliance with its obligations under Article 8(2)(b) and (d).</w:t>
      </w:r>
    </w:p>
    <w:p w14:paraId="21CF54F8" w14:textId="1C6EEE39" w:rsidR="00FC6010" w:rsidRDefault="00FC6010">
      <w:pPr>
        <w:rPr>
          <w:sz w:val="21"/>
          <w:szCs w:val="21"/>
        </w:rPr>
      </w:pPr>
      <w:r>
        <w:rPr>
          <w:sz w:val="21"/>
          <w:szCs w:val="21"/>
        </w:rPr>
        <w:br w:type="page"/>
      </w:r>
    </w:p>
    <w:p w14:paraId="1DE0F9B1" w14:textId="77777777" w:rsidR="003B4902" w:rsidRPr="003B4902" w:rsidRDefault="003B4902" w:rsidP="00393567">
      <w:pPr>
        <w:pStyle w:val="Heading1"/>
      </w:pPr>
      <w:bookmarkStart w:id="8" w:name="_Toc202095936"/>
      <w:r w:rsidRPr="003B4902">
        <w:lastRenderedPageBreak/>
        <w:t>Article 9: Accessibility</w:t>
      </w:r>
      <w:bookmarkEnd w:id="8"/>
      <w:r w:rsidRPr="003B4902">
        <w:t xml:space="preserve"> </w:t>
      </w:r>
    </w:p>
    <w:p w14:paraId="5AD7C63A" w14:textId="47F6BCB2" w:rsidR="003B4902" w:rsidRPr="003B4902" w:rsidRDefault="00BD48D3" w:rsidP="00393567">
      <w:pPr>
        <w:pStyle w:val="Heading2"/>
      </w:pPr>
      <w:r>
        <w:t>Knowledge status and research gaps</w:t>
      </w:r>
    </w:p>
    <w:p w14:paraId="22DC917D" w14:textId="77777777" w:rsidR="003B4902" w:rsidRPr="003B4902" w:rsidRDefault="003B4902" w:rsidP="003B4902">
      <w:pPr>
        <w:jc w:val="both"/>
        <w:rPr>
          <w:sz w:val="21"/>
          <w:szCs w:val="21"/>
        </w:rPr>
      </w:pPr>
      <w:r w:rsidRPr="003B4902">
        <w:rPr>
          <w:sz w:val="21"/>
          <w:szCs w:val="21"/>
        </w:rPr>
        <w:t xml:space="preserve">Iceland has taken some legislative and policy steps to address accessibility for persons with disabilities, particularly in relation to </w:t>
      </w:r>
      <w:proofErr w:type="spellStart"/>
      <w:r w:rsidRPr="003B4902">
        <w:rPr>
          <w:sz w:val="21"/>
          <w:szCs w:val="21"/>
        </w:rPr>
        <w:t>built</w:t>
      </w:r>
      <w:proofErr w:type="spellEnd"/>
      <w:r w:rsidRPr="003B4902">
        <w:rPr>
          <w:sz w:val="21"/>
          <w:szCs w:val="21"/>
        </w:rPr>
        <w:t xml:space="preserve"> environments and public services. However, implementation remains inconsistent and uneven across sectors and regions. The concept of universal design has gained increased attention in Icelandic policy discourse, especially following ratification of the CRPD, and several academic contributions have explored its theoretical foundations and practical challenges. Key Icelandic research has examined accessibility barriers related to public transport, built environments, and social services, often through the lens of occupational justice, community mobility, and critical disability studies. Notable gaps persist, including a lack of comprehensive and disaggregated data on accessibility for specific groups, such as people with sensory impairments, neurodivergent individuals, older persons, children, and residents in rural areas. The digital accessibility landscape is also under-researched, as is the actual enforcement of accessibility standards in municipal and state institutions. Research on the impact of recent EEA directives, such as the European Accessibility Act, and their partial or delayed transposition into national law, is notably absent. Further empirical work is needed to monitor accessibility systematically across domains, using CRPD-compliant indicators.</w:t>
      </w:r>
    </w:p>
    <w:p w14:paraId="02C629E7" w14:textId="0CEF05DC" w:rsidR="003B4902" w:rsidRPr="003B4902" w:rsidRDefault="00BD48D3" w:rsidP="003B4902">
      <w:pPr>
        <w:spacing w:after="0"/>
        <w:jc w:val="both"/>
        <w:rPr>
          <w:rFonts w:ascii="Calibri" w:hAnsi="Calibri" w:cs="Calibri"/>
          <w:b/>
          <w:bCs/>
          <w:color w:val="4C94D8" w:themeColor="text2" w:themeTint="80"/>
          <w:sz w:val="26"/>
          <w:szCs w:val="26"/>
        </w:rPr>
      </w:pPr>
      <w:r>
        <w:rPr>
          <w:rFonts w:ascii="Calibri" w:hAnsi="Calibri" w:cs="Calibri"/>
          <w:b/>
          <w:bCs/>
          <w:color w:val="4C94D8" w:themeColor="text2" w:themeTint="80"/>
          <w:sz w:val="26"/>
          <w:szCs w:val="26"/>
        </w:rPr>
        <w:t>Key findings and reasons for concern</w:t>
      </w:r>
    </w:p>
    <w:p w14:paraId="07422CF5" w14:textId="77777777" w:rsidR="003B4902" w:rsidRPr="003B4902" w:rsidRDefault="003B4902" w:rsidP="003B4902">
      <w:pPr>
        <w:jc w:val="both"/>
        <w:rPr>
          <w:sz w:val="21"/>
          <w:szCs w:val="21"/>
        </w:rPr>
      </w:pPr>
      <w:r w:rsidRPr="003B4902">
        <w:rPr>
          <w:sz w:val="21"/>
          <w:szCs w:val="21"/>
        </w:rPr>
        <w:t>Despite formal commitments to accessibility, there is a persistent disconnect between legal standards and everyday experiences of disabled people in Iceland. Barriers remain widespread across physical infrastructure, public services, and digital platforms. Accessibility is often treated as a technical add-on rather than a human rights obligation embedded in universal design principles. Although some legislative frameworks require compliance with accessibility standards, particularly in construction and planning, implementation lacks systematic monitoring and enforcement.</w:t>
      </w:r>
    </w:p>
    <w:p w14:paraId="10C362AA" w14:textId="77777777" w:rsidR="003B4902" w:rsidRPr="003B4902" w:rsidRDefault="003B4902" w:rsidP="003B4902">
      <w:pPr>
        <w:jc w:val="both"/>
        <w:rPr>
          <w:sz w:val="21"/>
          <w:szCs w:val="21"/>
        </w:rPr>
      </w:pPr>
      <w:r w:rsidRPr="003B4902">
        <w:rPr>
          <w:sz w:val="21"/>
          <w:szCs w:val="21"/>
        </w:rPr>
        <w:t>Accessibility challenges are particularly acute in the built environment and transport systems. Many public buildings and facilities remain partially or wholly inaccessible, especially outside the capital area. Reports point to a lack of uniform standards, insufficient oversight, and a reliance on complaint-based mechanisms that place the burden on individuals. Public transport continues to present structural and attitudinal barriers for disabled users, and while paratransit or specialized transport exists in some municipalities, service quality and availability are uneven.</w:t>
      </w:r>
    </w:p>
    <w:p w14:paraId="32ACCBF2" w14:textId="77777777" w:rsidR="003B4902" w:rsidRPr="003B4902" w:rsidRDefault="003B4902" w:rsidP="003B4902">
      <w:pPr>
        <w:jc w:val="both"/>
        <w:rPr>
          <w:sz w:val="21"/>
          <w:szCs w:val="21"/>
        </w:rPr>
      </w:pPr>
      <w:r w:rsidRPr="003B4902">
        <w:rPr>
          <w:sz w:val="21"/>
          <w:szCs w:val="21"/>
        </w:rPr>
        <w:t>Digital accessibility is another growing concern. While national guidelines exist for accessible public websites, actual compliance varies significantly. Many public sector platforms do not meet minimum accessibility standards, particularly for screen reader compatibility, plain language use, or alternative formats. Recent obligations under the European Accessibility Act and related EU directives have not yet been fully incorporated or enforced, leading to concerns about non-compliance with EEA commitments and the absence of accountability mechanisms.</w:t>
      </w:r>
    </w:p>
    <w:p w14:paraId="2A18D659" w14:textId="77777777" w:rsidR="003B4902" w:rsidRPr="003B4902" w:rsidRDefault="003B4902" w:rsidP="003B4902">
      <w:pPr>
        <w:jc w:val="both"/>
        <w:rPr>
          <w:sz w:val="21"/>
          <w:szCs w:val="21"/>
        </w:rPr>
      </w:pPr>
      <w:r w:rsidRPr="003B4902">
        <w:rPr>
          <w:sz w:val="21"/>
          <w:szCs w:val="21"/>
        </w:rPr>
        <w:t xml:space="preserve">Accessibility gaps are compounded for specific groups. Individuals with intellectual disabilities or neurodivergent profiles often face compounded exclusion due to limited cognitive accessibility </w:t>
      </w:r>
      <w:r w:rsidRPr="003B4902">
        <w:rPr>
          <w:sz w:val="21"/>
          <w:szCs w:val="21"/>
        </w:rPr>
        <w:lastRenderedPageBreak/>
        <w:t>and inadequate adjustments in service delivery. Members of the DEAF community encounter communication barriers in accessing health and legal services, and people with vision impairments report frequent barriers in signage, wayfinding, and transport information. In rural areas, a lack of accessible infrastructure and reduced access to services exacerbate existing inequalities.</w:t>
      </w:r>
    </w:p>
    <w:p w14:paraId="15E3E4D8" w14:textId="77777777" w:rsidR="003B4902" w:rsidRPr="003B4902" w:rsidRDefault="003B4902" w:rsidP="003B4902">
      <w:pPr>
        <w:jc w:val="both"/>
        <w:rPr>
          <w:sz w:val="21"/>
          <w:szCs w:val="21"/>
        </w:rPr>
      </w:pPr>
      <w:r w:rsidRPr="003B4902">
        <w:rPr>
          <w:sz w:val="21"/>
          <w:szCs w:val="21"/>
        </w:rPr>
        <w:t>There is also insufficient integration of accessibility principles in public procurement and urban planning. Universal design is not consistently embedded in project development or service contracts, and professionals such as architects, engineers, web designers, and public officials often lack adequate training in accessibility standards. Crucially, disabled people and their representative organizations are not systematically involved in decision-making processes related to accessibility, despite the clear obligations under Articles 4(3) and 33(3) of the CRPD.</w:t>
      </w:r>
    </w:p>
    <w:p w14:paraId="62CEFFC1" w14:textId="77777777" w:rsidR="003B4902" w:rsidRPr="003B4902" w:rsidRDefault="003B4902" w:rsidP="003B4902">
      <w:pPr>
        <w:jc w:val="both"/>
        <w:rPr>
          <w:sz w:val="21"/>
          <w:szCs w:val="21"/>
        </w:rPr>
      </w:pPr>
      <w:r w:rsidRPr="003B4902">
        <w:rPr>
          <w:sz w:val="21"/>
          <w:szCs w:val="21"/>
        </w:rPr>
        <w:t>Taken together, these issues reflect systemic shortcomings in the implementation of Article 9. They highlight the need for a coordinated, rights-based national accessibility strategy supported by strong regulatory oversight, disaggregated data collection, capacity-building for professionals, and genuine participation of disabled people at all levels of policy development and monitoring.</w:t>
      </w:r>
    </w:p>
    <w:p w14:paraId="38105FC8" w14:textId="77777777" w:rsidR="0053668C" w:rsidRDefault="0053668C" w:rsidP="0053668C">
      <w:pPr>
        <w:jc w:val="both"/>
        <w:rPr>
          <w:sz w:val="21"/>
          <w:szCs w:val="21"/>
        </w:rPr>
      </w:pPr>
    </w:p>
    <w:p w14:paraId="19C28D37" w14:textId="17442374" w:rsidR="003B4902" w:rsidRDefault="003B4902">
      <w:pPr>
        <w:rPr>
          <w:color w:val="4C94D8" w:themeColor="text2" w:themeTint="80"/>
          <w:sz w:val="21"/>
          <w:szCs w:val="21"/>
        </w:rPr>
      </w:pPr>
      <w:r>
        <w:rPr>
          <w:color w:val="4C94D8" w:themeColor="text2" w:themeTint="80"/>
          <w:sz w:val="21"/>
          <w:szCs w:val="21"/>
        </w:rPr>
        <w:br w:type="page"/>
      </w:r>
    </w:p>
    <w:p w14:paraId="71E802F0" w14:textId="77777777" w:rsidR="00106774" w:rsidRPr="00106774" w:rsidRDefault="00106774" w:rsidP="00393567">
      <w:pPr>
        <w:pStyle w:val="Heading1"/>
      </w:pPr>
      <w:bookmarkStart w:id="9" w:name="_Toc202095937"/>
      <w:r w:rsidRPr="00106774">
        <w:lastRenderedPageBreak/>
        <w:t>Article 10: The right to life</w:t>
      </w:r>
      <w:bookmarkEnd w:id="9"/>
      <w:r w:rsidRPr="00106774">
        <w:t xml:space="preserve"> </w:t>
      </w:r>
    </w:p>
    <w:p w14:paraId="6CC5A77F" w14:textId="41E5C78E" w:rsidR="00106774" w:rsidRPr="00106774" w:rsidRDefault="00BD48D3" w:rsidP="00393567">
      <w:pPr>
        <w:pStyle w:val="Heading2"/>
      </w:pPr>
      <w:r>
        <w:t>Knowledge status and research gaps</w:t>
      </w:r>
    </w:p>
    <w:p w14:paraId="75B7AC25" w14:textId="77777777" w:rsidR="00106774" w:rsidRPr="00106774" w:rsidRDefault="00106774" w:rsidP="00106774">
      <w:pPr>
        <w:jc w:val="both"/>
        <w:rPr>
          <w:sz w:val="21"/>
          <w:szCs w:val="21"/>
        </w:rPr>
      </w:pPr>
      <w:r w:rsidRPr="00106774">
        <w:rPr>
          <w:sz w:val="21"/>
          <w:szCs w:val="21"/>
        </w:rPr>
        <w:t>Academic attention to the right to life of disabled people in Iceland has been limited, with no systematic research addressing mortality patterns, life-threatening neglect, or the cumulative impact of institutionalization, neglect, or support withdrawal. However, researchers from the Centre have contributed important qualitative insights into how systemic ableism, fragmented services, and policy inaction may compromise safety and survival. These studies highlight experiences of disabled people, particularly those relying on institutional or home-based support, who were exposed to neglect, unacknowledged risk, and a lack of accountability during crises such as the COVID-19 pandemic. Emerging work has also examined how user-directed personal assistance may offer greater protection, but only when supported by public infrastructure. Despite these contributions, there remains a critical absence of longitudinal, population-level research into avoidable deaths, health inequities, and violations of the right to life among disabled people. Future studies should prioritize disaggregated data collection, structural risk analysis, and the development of human rights-based indicators specific to Article 10.</w:t>
      </w:r>
    </w:p>
    <w:p w14:paraId="2253EEC5" w14:textId="196E9DE1" w:rsidR="00106774" w:rsidRPr="00106774" w:rsidRDefault="00BD48D3" w:rsidP="00106774">
      <w:pPr>
        <w:spacing w:after="0"/>
        <w:jc w:val="both"/>
        <w:rPr>
          <w:rFonts w:ascii="Calibri" w:hAnsi="Calibri" w:cs="Calibri"/>
          <w:b/>
          <w:bCs/>
          <w:color w:val="4C94D8" w:themeColor="text2" w:themeTint="80"/>
          <w:sz w:val="26"/>
          <w:szCs w:val="26"/>
        </w:rPr>
      </w:pPr>
      <w:r>
        <w:rPr>
          <w:rFonts w:ascii="Calibri" w:hAnsi="Calibri" w:cs="Calibri"/>
          <w:b/>
          <w:bCs/>
          <w:color w:val="4C94D8" w:themeColor="text2" w:themeTint="80"/>
          <w:sz w:val="26"/>
          <w:szCs w:val="26"/>
        </w:rPr>
        <w:t>Key findings and reasons for concern</w:t>
      </w:r>
    </w:p>
    <w:p w14:paraId="08FBC1A1" w14:textId="77777777" w:rsidR="00106774" w:rsidRPr="00106774" w:rsidRDefault="00106774" w:rsidP="00106774">
      <w:pPr>
        <w:jc w:val="both"/>
        <w:rPr>
          <w:sz w:val="21"/>
          <w:szCs w:val="21"/>
        </w:rPr>
      </w:pPr>
      <w:r w:rsidRPr="00106774">
        <w:rPr>
          <w:sz w:val="21"/>
          <w:szCs w:val="21"/>
        </w:rPr>
        <w:t>There are growing indications that disabled people in Iceland face structural and institutional risks that may compromise their right to life. Individuals living in institutional or semi-institutional settings may be exposed to life-threatening conditions due to a lack of oversight, continuity of care, and individualized support. While no national monitoring mechanism tracks preventable deaths of disabled people, reports suggest that fragmented services, delayed interventions, and bureaucratic barriers have contributed to situations of serious neglect.</w:t>
      </w:r>
    </w:p>
    <w:p w14:paraId="3D3FEA98" w14:textId="77777777" w:rsidR="00106774" w:rsidRPr="00106774" w:rsidRDefault="00106774" w:rsidP="00106774">
      <w:pPr>
        <w:jc w:val="both"/>
        <w:rPr>
          <w:sz w:val="21"/>
          <w:szCs w:val="21"/>
        </w:rPr>
      </w:pPr>
      <w:r w:rsidRPr="00106774">
        <w:rPr>
          <w:sz w:val="21"/>
          <w:szCs w:val="21"/>
        </w:rPr>
        <w:t>During public health emergencies, such as the COVID-19 pandemic, systemic weaknesses became apparent. There were no national protocols in place to ensure disability-inclusive triage, nor were accessible communications or alternative care strategies effectively implemented. Some groups, including people with intellectual or psychosocial disabilities, experienced abrupt withdrawal of essential services without alternative safeguards in place. These failures exposed a lack of contingency planning and a failure to uphold equal protection standards for disabled people in life-threatening situations.</w:t>
      </w:r>
    </w:p>
    <w:p w14:paraId="5817B065" w14:textId="77777777" w:rsidR="00106774" w:rsidRPr="00106774" w:rsidRDefault="00106774" w:rsidP="00106774">
      <w:pPr>
        <w:jc w:val="both"/>
        <w:rPr>
          <w:sz w:val="21"/>
          <w:szCs w:val="21"/>
        </w:rPr>
      </w:pPr>
      <w:r w:rsidRPr="00106774">
        <w:rPr>
          <w:sz w:val="21"/>
          <w:szCs w:val="21"/>
        </w:rPr>
        <w:t xml:space="preserve">There is no requirement in current Icelandic law to investigate or document deaths that may have resulted from systemic neglect, including in residential settings or due to service breakdowns. Institutionalized disabled people are at particular risk of being overlooked in emergency preparedness and healthcare allocation. </w:t>
      </w:r>
    </w:p>
    <w:p w14:paraId="1FD6F11A" w14:textId="77777777" w:rsidR="00106774" w:rsidRPr="00106774" w:rsidRDefault="00106774" w:rsidP="00106774">
      <w:pPr>
        <w:jc w:val="both"/>
        <w:rPr>
          <w:sz w:val="21"/>
          <w:szCs w:val="21"/>
        </w:rPr>
      </w:pPr>
      <w:r w:rsidRPr="00106774">
        <w:rPr>
          <w:sz w:val="21"/>
          <w:szCs w:val="21"/>
        </w:rPr>
        <w:t xml:space="preserve">There is also no disaggregated data collected on mortality rates or life expectancy by disability status, gender, or age group, despite international recommendations to track these disparities. Iceland does not collect or publish disaggregated data on mortality, life expectancy, or suicide rates among disabled people. There is no national analysis of whether disabled people experience shorter life spans due to social exclusion, healthcare discrimination, or institutional neglect. Yet international studies show that such disparities are widespread and linked to </w:t>
      </w:r>
      <w:r w:rsidRPr="00106774">
        <w:rPr>
          <w:sz w:val="21"/>
          <w:szCs w:val="21"/>
        </w:rPr>
        <w:lastRenderedPageBreak/>
        <w:t>systemic ableism. The absence of such data in Iceland severely limits the ability to monitor whether the lives of disabled people are equally valued and protected in practice.</w:t>
      </w:r>
    </w:p>
    <w:p w14:paraId="13EC4731" w14:textId="77777777" w:rsidR="00106774" w:rsidRPr="00106774" w:rsidRDefault="00106774" w:rsidP="00106774">
      <w:pPr>
        <w:jc w:val="both"/>
        <w:rPr>
          <w:sz w:val="21"/>
          <w:szCs w:val="21"/>
        </w:rPr>
      </w:pPr>
      <w:r w:rsidRPr="00106774">
        <w:rPr>
          <w:sz w:val="21"/>
          <w:szCs w:val="21"/>
        </w:rPr>
        <w:t>Additionally, there are no binding legal safeguards that explicitly prohibit disability-based decisions to withhold or withdraw life-sustaining treatment. No national protocols ensure that triage or emergency care decisions during crises like pandemics are free from bias or devaluation of disabled lives. Suicide prevention strategies are not adapted to reach people with cognitive, communication, or psychosocial disabilities, despite evidence of elevated risk and social isolation.</w:t>
      </w:r>
    </w:p>
    <w:p w14:paraId="6A73E6FC" w14:textId="77777777" w:rsidR="00106774" w:rsidRDefault="00106774" w:rsidP="00106774">
      <w:pPr>
        <w:jc w:val="both"/>
        <w:rPr>
          <w:sz w:val="21"/>
          <w:szCs w:val="21"/>
        </w:rPr>
      </w:pPr>
      <w:r w:rsidRPr="00106774">
        <w:rPr>
          <w:sz w:val="21"/>
          <w:szCs w:val="21"/>
        </w:rPr>
        <w:t>The absence of data, legal protections, and oversight mechanisms reflects a wider failure to recognize the full scope of the right to life under Article 10 of the CRPD. This also undermines related SDG targets such as Target 3.2 (reduce preventable deaths), Target 3.8 (achieve universal health coverage), and Target 16.10 (ensure access to information and fundamental freedoms). Without a rights-based framework for prevention, monitoring, and redress, the lives of disabled people may continue to be placed at disproportionate risk, especially those in isolated, underserved, or controlled environments.</w:t>
      </w:r>
    </w:p>
    <w:p w14:paraId="2F0AB232" w14:textId="725837DC" w:rsidR="00FC6010" w:rsidRDefault="00FC6010">
      <w:pPr>
        <w:rPr>
          <w:sz w:val="21"/>
          <w:szCs w:val="21"/>
        </w:rPr>
      </w:pPr>
      <w:r>
        <w:rPr>
          <w:sz w:val="21"/>
          <w:szCs w:val="21"/>
        </w:rPr>
        <w:br w:type="page"/>
      </w:r>
    </w:p>
    <w:p w14:paraId="047C4D53" w14:textId="77777777" w:rsidR="009135FE" w:rsidRPr="009135FE" w:rsidRDefault="009135FE" w:rsidP="00393567">
      <w:pPr>
        <w:pStyle w:val="Heading1"/>
      </w:pPr>
      <w:bookmarkStart w:id="10" w:name="_Toc202095938"/>
      <w:r w:rsidRPr="009135FE">
        <w:lastRenderedPageBreak/>
        <w:t>Article 11: Situations of risk and humanitarian emergencies</w:t>
      </w:r>
      <w:bookmarkEnd w:id="10"/>
    </w:p>
    <w:p w14:paraId="2FAF1270" w14:textId="625E5C07" w:rsidR="009135FE" w:rsidRPr="009135FE" w:rsidRDefault="00BD48D3" w:rsidP="00393567">
      <w:pPr>
        <w:pStyle w:val="Heading2"/>
      </w:pPr>
      <w:r>
        <w:t>Knowledge status and research gaps</w:t>
      </w:r>
    </w:p>
    <w:p w14:paraId="6A632FBF" w14:textId="77777777" w:rsidR="009135FE" w:rsidRPr="009135FE" w:rsidRDefault="009135FE" w:rsidP="009135FE">
      <w:pPr>
        <w:jc w:val="both"/>
        <w:rPr>
          <w:sz w:val="21"/>
          <w:szCs w:val="21"/>
        </w:rPr>
      </w:pPr>
      <w:r w:rsidRPr="009135FE">
        <w:rPr>
          <w:sz w:val="21"/>
          <w:szCs w:val="21"/>
        </w:rPr>
        <w:t>There is currently limited academic research in Iceland that systematically examines the inclusion, safety, or risk exposure of disabled people during civil protection operations, natural disasters, or humanitarian emergencies. While general insights have been gained from studies conducted during the COVID-19 pandemic, these do not comprehensively cover legal, structural, or participatory aspects of disaster risk reduction from a disability perspective. There are no published evaluations of how disabled people were affected by the recent volcanic activity and evacuations in Grindavík, nor any research into their inclusion in emergency preparedness or recovery plans. Research conducted by the Centre has pointed to gaps in communication, service continuity, and accountability during crises, but further investigation is needed into the invisibility of disabled people in national civil protection frameworks. There is also a lack of data on whether disabled people are represented in training, planning, or decision-making related to risk management. These gaps highlight the need for focused, interdisciplinary research on disability-inclusive crisis planning in Iceland.</w:t>
      </w:r>
    </w:p>
    <w:p w14:paraId="7A2BA327" w14:textId="24D5454D" w:rsidR="009135FE" w:rsidRPr="009135FE" w:rsidRDefault="00BD48D3" w:rsidP="00FE74B4">
      <w:pPr>
        <w:spacing w:after="0"/>
        <w:jc w:val="both"/>
        <w:rPr>
          <w:rFonts w:ascii="Calibri" w:hAnsi="Calibri" w:cs="Calibri"/>
          <w:b/>
          <w:bCs/>
          <w:color w:val="4C94D8" w:themeColor="text2" w:themeTint="80"/>
          <w:sz w:val="26"/>
          <w:szCs w:val="26"/>
        </w:rPr>
      </w:pPr>
      <w:r>
        <w:rPr>
          <w:rFonts w:ascii="Calibri" w:hAnsi="Calibri" w:cs="Calibri"/>
          <w:b/>
          <w:bCs/>
          <w:color w:val="4C94D8" w:themeColor="text2" w:themeTint="80"/>
          <w:sz w:val="26"/>
          <w:szCs w:val="26"/>
        </w:rPr>
        <w:t>Key findings and reasons for concern</w:t>
      </w:r>
    </w:p>
    <w:p w14:paraId="771EF72A" w14:textId="77777777" w:rsidR="009135FE" w:rsidRPr="009135FE" w:rsidRDefault="009135FE" w:rsidP="009135FE">
      <w:pPr>
        <w:jc w:val="both"/>
        <w:rPr>
          <w:sz w:val="21"/>
          <w:szCs w:val="21"/>
        </w:rPr>
      </w:pPr>
      <w:r w:rsidRPr="009135FE">
        <w:rPr>
          <w:sz w:val="21"/>
          <w:szCs w:val="21"/>
        </w:rPr>
        <w:t>The available evidence from Iceland, although limited, reveals structural neglect of disabled people during emergencies and situations of risk. Research conducted during the COVID-19 pandemic demonstrated that public health communication was often inaccessible, essential services were abruptly withdrawn, and disabled people, including those reliant on personal assistance or family support, were excluded from decision-making processes. These failures were not isolated incidents but reflected broader structural weaknesses in how disability is understood and accommodated within civil protection and emergency response systems.</w:t>
      </w:r>
    </w:p>
    <w:p w14:paraId="79FD0AF4" w14:textId="77777777" w:rsidR="009135FE" w:rsidRPr="009135FE" w:rsidRDefault="009135FE" w:rsidP="009135FE">
      <w:pPr>
        <w:jc w:val="both"/>
        <w:rPr>
          <w:sz w:val="21"/>
          <w:szCs w:val="21"/>
        </w:rPr>
      </w:pPr>
      <w:r w:rsidRPr="009135FE">
        <w:rPr>
          <w:sz w:val="21"/>
          <w:szCs w:val="21"/>
        </w:rPr>
        <w:t>The evacuation and displacement caused by the recent volcanic activity in Grindavík further highlight the invisibility of disability in national crisis planning. There is no publicly available information on whether accessibility needs, assistive devices, personal assistance, or inclusive shelter arrangements were considered in emergency preparedness or evacuation protocols. Nor has there been any post-event assessment of the impact of displacement on disabled people, despite Iceland’s obligations under Article 11 of the CRPD. This absence of monitoring and evaluation mechanisms prevents learning and institutional accountability.</w:t>
      </w:r>
    </w:p>
    <w:p w14:paraId="7B9A26DA" w14:textId="77777777" w:rsidR="009135FE" w:rsidRPr="009135FE" w:rsidRDefault="009135FE" w:rsidP="009135FE">
      <w:pPr>
        <w:jc w:val="both"/>
        <w:rPr>
          <w:sz w:val="21"/>
          <w:szCs w:val="21"/>
        </w:rPr>
      </w:pPr>
      <w:r w:rsidRPr="009135FE">
        <w:rPr>
          <w:sz w:val="21"/>
          <w:szCs w:val="21"/>
        </w:rPr>
        <w:t>Research from the Centre has also revealed that the burden of emergency adaptation often falls on disabled individuals and their families, particularly those who use user-directed personal assistance (NPA). These individuals were left without guidance or state support during crises and were forced to assume responsibilities normally held by public authorities, exposing them to risk and undermining the right to safety and dignity. This was particularly evident during the pandemic, but the same structural dynamics remain unaddressed in the context of natural disasters.</w:t>
      </w:r>
    </w:p>
    <w:p w14:paraId="63D16EE8" w14:textId="77777777" w:rsidR="009135FE" w:rsidRPr="009135FE" w:rsidRDefault="009135FE" w:rsidP="009135FE">
      <w:pPr>
        <w:jc w:val="both"/>
        <w:rPr>
          <w:sz w:val="21"/>
          <w:szCs w:val="21"/>
        </w:rPr>
      </w:pPr>
      <w:r w:rsidRPr="009135FE">
        <w:rPr>
          <w:sz w:val="21"/>
          <w:szCs w:val="21"/>
        </w:rPr>
        <w:t xml:space="preserve">Despite commitments to inclusive governance, disabled people’s organizations have not been systematically involved in Iceland’s civil protection policy or emergency response frameworks. The lack of formal consultation mechanisms violates Article 4(3) of the CRPD and compromises the legitimacy and effectiveness of crisis management strategies. The absence of disaggregated </w:t>
      </w:r>
      <w:r w:rsidRPr="009135FE">
        <w:rPr>
          <w:sz w:val="21"/>
          <w:szCs w:val="21"/>
        </w:rPr>
        <w:lastRenderedPageBreak/>
        <w:t>data on disabled persons affected by emergencies further impairs the capacity of the State to ensure their protection.</w:t>
      </w:r>
    </w:p>
    <w:p w14:paraId="7498A1E7" w14:textId="77777777" w:rsidR="009135FE" w:rsidRDefault="009135FE" w:rsidP="009135FE">
      <w:pPr>
        <w:jc w:val="both"/>
        <w:rPr>
          <w:sz w:val="21"/>
          <w:szCs w:val="21"/>
        </w:rPr>
      </w:pPr>
      <w:r w:rsidRPr="009135FE">
        <w:rPr>
          <w:sz w:val="21"/>
          <w:szCs w:val="21"/>
        </w:rPr>
        <w:t>Taken together, these findings indicate that Iceland’s civil protection and emergency response systems are not currently aligned with the requirements of Article 11. Disabled people remain invisible in preparedness, unsupported in response, and forgotten in recovery. Without targeted reforms, inclusive planning, and monitoring systems, disabled people will continue to face disproportionate risk in both sudden-onset and protracted crises.</w:t>
      </w:r>
    </w:p>
    <w:p w14:paraId="33C758E8" w14:textId="19083A40" w:rsidR="00FC6010" w:rsidRDefault="00FC6010">
      <w:pPr>
        <w:rPr>
          <w:sz w:val="21"/>
          <w:szCs w:val="21"/>
        </w:rPr>
      </w:pPr>
      <w:r>
        <w:rPr>
          <w:sz w:val="21"/>
          <w:szCs w:val="21"/>
        </w:rPr>
        <w:br w:type="page"/>
      </w:r>
    </w:p>
    <w:p w14:paraId="142FBD29" w14:textId="77777777" w:rsidR="00665BAB" w:rsidRPr="00665BAB" w:rsidRDefault="00665BAB" w:rsidP="00393567">
      <w:pPr>
        <w:pStyle w:val="Heading1"/>
      </w:pPr>
      <w:bookmarkStart w:id="11" w:name="_Toc202095939"/>
      <w:r w:rsidRPr="00665BAB">
        <w:lastRenderedPageBreak/>
        <w:t>Article 12: Equal recognition before the law</w:t>
      </w:r>
      <w:bookmarkEnd w:id="11"/>
    </w:p>
    <w:p w14:paraId="067889B1" w14:textId="09260D16" w:rsidR="00665BAB" w:rsidRPr="00665BAB" w:rsidRDefault="00BD48D3" w:rsidP="00393567">
      <w:pPr>
        <w:pStyle w:val="Heading2"/>
      </w:pPr>
      <w:r>
        <w:t>Knowledge status and research gaps</w:t>
      </w:r>
    </w:p>
    <w:p w14:paraId="5946FCD4" w14:textId="77777777" w:rsidR="00665BAB" w:rsidRPr="00665BAB" w:rsidRDefault="00665BAB" w:rsidP="00665BAB">
      <w:pPr>
        <w:jc w:val="both"/>
        <w:rPr>
          <w:sz w:val="21"/>
          <w:szCs w:val="21"/>
        </w:rPr>
      </w:pPr>
      <w:r w:rsidRPr="00665BAB">
        <w:rPr>
          <w:sz w:val="21"/>
          <w:szCs w:val="21"/>
        </w:rPr>
        <w:t>In recent years, academic work in Iceland has increasingly addressed questions of autonomy and legal capacity from the perspective of disabled people, with particular attention to those with intellectual disabilities. These contributions have explored the lived realities of individuals subject to various formal or informal substituted decision-making and highlighted the complexity of exercising autonomy within institutional and legal constraints. The research has also emphasized the relational and structural factors that shape decision-making opportunities in daily life, revealing tensions between support, control, and legal protection. Despite this growing body of knowledge, significant research gaps remain. There is no comprehensive national data on the number or outcomes of guardianship decisions, nor on the scope or quality of decision-making support available. The personal advocacy framework, while established by law, has not been systematically studied in terms of its effectiveness, safeguards, or alignment with international human rights standards. Moreover, little is known about how administrative and digital reforms, including the use of electronic identification, impact the ability of people with disabilities to exercise their legal capacity in practice. These gaps highlight the need for sustained interdisciplinary research that involves disabled people as co-researchers and examines both formal legal frameworks and everyday practices. There is also a pressing need for evaluation of the mechanisms currently in place, including oversight and complaints procedures, and how they support or undermine the right to legal capacity on an equal basis with others.</w:t>
      </w:r>
    </w:p>
    <w:p w14:paraId="135E2D55" w14:textId="66BD3F2E" w:rsidR="00665BAB" w:rsidRPr="00665BAB" w:rsidRDefault="00BD48D3" w:rsidP="00060176">
      <w:pPr>
        <w:spacing w:after="0"/>
        <w:jc w:val="both"/>
        <w:rPr>
          <w:rFonts w:ascii="Calibri" w:hAnsi="Calibri" w:cs="Calibri"/>
          <w:b/>
          <w:bCs/>
          <w:color w:val="4C94D8" w:themeColor="text2" w:themeTint="80"/>
          <w:sz w:val="26"/>
          <w:szCs w:val="26"/>
        </w:rPr>
      </w:pPr>
      <w:r>
        <w:rPr>
          <w:rFonts w:ascii="Calibri" w:hAnsi="Calibri" w:cs="Calibri"/>
          <w:b/>
          <w:bCs/>
          <w:color w:val="4C94D8" w:themeColor="text2" w:themeTint="80"/>
          <w:sz w:val="26"/>
          <w:szCs w:val="26"/>
        </w:rPr>
        <w:t>Key findings and reasons for concern</w:t>
      </w:r>
    </w:p>
    <w:p w14:paraId="1EFDC0F7" w14:textId="77777777" w:rsidR="00665BAB" w:rsidRPr="00665BAB" w:rsidRDefault="00665BAB" w:rsidP="00665BAB">
      <w:pPr>
        <w:jc w:val="both"/>
        <w:rPr>
          <w:sz w:val="21"/>
          <w:szCs w:val="21"/>
        </w:rPr>
      </w:pPr>
      <w:r w:rsidRPr="00665BAB">
        <w:rPr>
          <w:sz w:val="21"/>
          <w:szCs w:val="21"/>
        </w:rPr>
        <w:t>Despite the ratification of the CRPD and the formal recognition of the right to equal recognition before the law, the Icelandic legal and administrative framework continues to maintain mechanisms that are incompatible with Article 12. The personal spokesperson system introduced under Chapter IV of Act No. 88/2011 on the Advocacy for Disabled People was presented as a step toward supported decision-making, yet its implementation falls significantly short of international human rights standards. The support is neither time-limited nor bound by any standardized assessment criteria, and it lacks supervision, independent oversight, or adequate procedural guarantees. This undermines the effectiveness and legitimacy of the support provided.</w:t>
      </w:r>
    </w:p>
    <w:p w14:paraId="07E08838" w14:textId="77777777" w:rsidR="00665BAB" w:rsidRPr="00665BAB" w:rsidRDefault="00665BAB" w:rsidP="00665BAB">
      <w:pPr>
        <w:jc w:val="both"/>
        <w:rPr>
          <w:sz w:val="21"/>
          <w:szCs w:val="21"/>
        </w:rPr>
      </w:pPr>
      <w:r w:rsidRPr="00665BAB">
        <w:rPr>
          <w:sz w:val="21"/>
          <w:szCs w:val="21"/>
        </w:rPr>
        <w:t>Recent legal amendments entering into force in January 2025 have raised particular concern. While intended to strengthen the framework, they appear to have facilitated a sharp increase in guardianship and legal capacity restrictions, contrary to the spirit of the CRPD. Media and professional reports suggest that the number of formal deprivations of legal capacity has increased dramatically in the months following the legislative reform, a development that directly contradicts Article 12 and the obligation to replace substitute decision-making regimes with systems based on supported decision-making.</w:t>
      </w:r>
    </w:p>
    <w:p w14:paraId="4BD68092" w14:textId="77777777" w:rsidR="00665BAB" w:rsidRPr="00665BAB" w:rsidRDefault="00665BAB" w:rsidP="00665BAB">
      <w:pPr>
        <w:jc w:val="both"/>
        <w:rPr>
          <w:sz w:val="21"/>
          <w:szCs w:val="21"/>
        </w:rPr>
      </w:pPr>
      <w:r w:rsidRPr="00665BAB">
        <w:rPr>
          <w:sz w:val="21"/>
          <w:szCs w:val="21"/>
        </w:rPr>
        <w:t xml:space="preserve">Administrative practices remain inconsistent and opaque. Service providers in supported housing arrangements continue to manage administrative affairs, including financial and legal matters, on behalf of residents without formal delegation or proper consent mechanisms. This </w:t>
      </w:r>
      <w:r w:rsidRPr="00665BAB">
        <w:rPr>
          <w:sz w:val="21"/>
          <w:szCs w:val="21"/>
        </w:rPr>
        <w:lastRenderedPageBreak/>
        <w:t xml:space="preserve">indicates a systemic failure to guarantee the autonomy and will </w:t>
      </w:r>
      <w:proofErr w:type="gramStart"/>
      <w:r w:rsidRPr="00665BAB">
        <w:rPr>
          <w:sz w:val="21"/>
          <w:szCs w:val="21"/>
        </w:rPr>
        <w:t>of</w:t>
      </w:r>
      <w:proofErr w:type="gramEnd"/>
      <w:r w:rsidRPr="00665BAB">
        <w:rPr>
          <w:sz w:val="21"/>
          <w:szCs w:val="21"/>
        </w:rPr>
        <w:t xml:space="preserve"> disabled individuals, especially those living in group homes or institutional-like settings. The absence of regulatory frameworks and clear mandates for internal oversight mechanisms exacerbates these concerns.</w:t>
      </w:r>
    </w:p>
    <w:p w14:paraId="7F0F2BAA" w14:textId="77777777" w:rsidR="00665BAB" w:rsidRPr="00665BAB" w:rsidRDefault="00665BAB" w:rsidP="00665BAB">
      <w:pPr>
        <w:jc w:val="both"/>
        <w:rPr>
          <w:sz w:val="21"/>
          <w:szCs w:val="21"/>
        </w:rPr>
      </w:pPr>
      <w:r w:rsidRPr="00665BAB">
        <w:rPr>
          <w:sz w:val="21"/>
          <w:szCs w:val="21"/>
        </w:rPr>
        <w:t>In addition, digital access and identity authentication processes have become new barriers to legal recognition. The introduction of electronic identification systems, such as digital certificates and secure login systems, has created practical obstacles for many disabled people, especially those with intellectual disabilities or those who rely on intermediaries. These systems have been introduced without appropriate accommodations, procedural alternatives, or user testing in collaboration with disabled people and their organizations.</w:t>
      </w:r>
    </w:p>
    <w:p w14:paraId="13767647" w14:textId="6A79BB6F" w:rsidR="004231AE" w:rsidRDefault="00665BAB" w:rsidP="002E7D04">
      <w:pPr>
        <w:jc w:val="both"/>
        <w:rPr>
          <w:sz w:val="21"/>
          <w:szCs w:val="21"/>
        </w:rPr>
      </w:pPr>
      <w:r w:rsidRPr="00665BAB">
        <w:rPr>
          <w:sz w:val="21"/>
          <w:szCs w:val="21"/>
        </w:rPr>
        <w:t>Overall, there is a profound gap between formal legal recognition and the experience of disabled people in exercising their legal capacity. The lack of data collection on the number of people deprived of legal capacity, supported in decision-making, or having their capacity restored makes it impossible to assess compliance or progress. The absence of disaggregated statistics also reflects a failure to implement the outcome indicators proposed by the OHCHR for Article 12, including indicators 12.19 through 12.22</w:t>
      </w:r>
      <w:r w:rsidR="004231AE">
        <w:rPr>
          <w:sz w:val="21"/>
          <w:szCs w:val="21"/>
        </w:rPr>
        <w:br w:type="page"/>
      </w:r>
    </w:p>
    <w:p w14:paraId="547D6C26" w14:textId="77777777" w:rsidR="00FC3226" w:rsidRPr="00FC3226" w:rsidRDefault="00FC3226" w:rsidP="00393567">
      <w:pPr>
        <w:pStyle w:val="Heading1"/>
      </w:pPr>
      <w:bookmarkStart w:id="12" w:name="_Toc202095940"/>
      <w:r w:rsidRPr="00FC3226">
        <w:lastRenderedPageBreak/>
        <w:t>Article 13: Access to justice</w:t>
      </w:r>
      <w:bookmarkEnd w:id="12"/>
    </w:p>
    <w:p w14:paraId="6AAAC206" w14:textId="4C1604AD" w:rsidR="00FC3226" w:rsidRPr="00FC3226" w:rsidRDefault="00BD48D3" w:rsidP="00393567">
      <w:pPr>
        <w:pStyle w:val="Heading2"/>
      </w:pPr>
      <w:r>
        <w:t>Knowledge status and research gaps</w:t>
      </w:r>
    </w:p>
    <w:p w14:paraId="33E24050" w14:textId="77777777" w:rsidR="00FC3226" w:rsidRPr="00FC3226" w:rsidRDefault="00FC3226" w:rsidP="00FC3226">
      <w:pPr>
        <w:jc w:val="both"/>
        <w:rPr>
          <w:sz w:val="21"/>
          <w:szCs w:val="21"/>
        </w:rPr>
      </w:pPr>
      <w:r w:rsidRPr="00FC3226">
        <w:rPr>
          <w:sz w:val="21"/>
          <w:szCs w:val="21"/>
        </w:rPr>
        <w:t>Access to justice for disabled people in Iceland has received limited scholarly attention, despite growing recognition of the systemic barriers involved. The Centre has contributed to addressing this gap through empirical, sociolegal research focusing on the experiences of disabled women who have survived violence and sought redress through the justice system. This work has highlighted both enabling factors and persistent obstacles within Icelandic legal procedures. However, significant knowledge gaps remain, particularly concerning the structural accessibility of legal processes, the availability of procedural accommodations, and the implications of intersecting forms of discrimination. There is also a lack of systematic data on how disability-specific legal protections are implemented in practice, and little is known about the extent to which Icelandic institutions uphold their obligations under Article 13 of the CRPD. Further interdisciplinary research is needed to evaluate institutional readiness, legal safeguards, and the lived experiences of justice-seeking disabled persons across impairment types.</w:t>
      </w:r>
    </w:p>
    <w:p w14:paraId="09CA18A1" w14:textId="4527F28A" w:rsidR="00FC3226" w:rsidRPr="00FC3226" w:rsidRDefault="00BD48D3" w:rsidP="00CA0C79">
      <w:pPr>
        <w:spacing w:after="0"/>
        <w:jc w:val="both"/>
        <w:rPr>
          <w:rFonts w:ascii="Calibri" w:hAnsi="Calibri" w:cs="Calibri"/>
          <w:b/>
          <w:bCs/>
          <w:color w:val="4C94D8" w:themeColor="text2" w:themeTint="80"/>
          <w:sz w:val="26"/>
          <w:szCs w:val="26"/>
        </w:rPr>
      </w:pPr>
      <w:r>
        <w:rPr>
          <w:rFonts w:ascii="Calibri" w:hAnsi="Calibri" w:cs="Calibri"/>
          <w:b/>
          <w:bCs/>
          <w:color w:val="4C94D8" w:themeColor="text2" w:themeTint="80"/>
          <w:sz w:val="26"/>
          <w:szCs w:val="26"/>
        </w:rPr>
        <w:t>Key findings and reasons for concern</w:t>
      </w:r>
    </w:p>
    <w:p w14:paraId="291F8A9E" w14:textId="77777777" w:rsidR="00FC3226" w:rsidRPr="00FC3226" w:rsidRDefault="00FC3226" w:rsidP="00FC3226">
      <w:pPr>
        <w:jc w:val="both"/>
        <w:rPr>
          <w:sz w:val="21"/>
          <w:szCs w:val="21"/>
        </w:rPr>
      </w:pPr>
      <w:r w:rsidRPr="00FC3226">
        <w:rPr>
          <w:sz w:val="21"/>
          <w:szCs w:val="21"/>
        </w:rPr>
        <w:t>There is a growing body of evidence indicating that disabled people in Iceland face serious and systemic barriers in accessing justice on an equal basis with others. This is particularly pronounced in the case of disabled women who have experienced gender-based violence. Although some positive developments can be observed in individual cases, these are often the result of exceptional circumstances or the dedication of professionals, rather than a reflection of consistent structural guarantees.</w:t>
      </w:r>
    </w:p>
    <w:p w14:paraId="3A1596BB" w14:textId="77777777" w:rsidR="00FC3226" w:rsidRPr="00FC3226" w:rsidRDefault="00FC3226" w:rsidP="00FC3226">
      <w:pPr>
        <w:jc w:val="both"/>
        <w:rPr>
          <w:sz w:val="21"/>
          <w:szCs w:val="21"/>
        </w:rPr>
      </w:pPr>
      <w:r w:rsidRPr="00FC3226">
        <w:rPr>
          <w:sz w:val="21"/>
          <w:szCs w:val="21"/>
        </w:rPr>
        <w:t>Disabled women report facing multiple and intersecting forms of disadvantage within the justice system. These include negative attitudes, lack of credibility in the eyes of law enforcement, inaccessible procedures, and insufficient accommodation. In particular, the justice system is often ill-equipped to address cases where disability, gender-based violence, and other social factors intersect. Many disabled women lack access to the information, support, and procedural adaptations needed to participate effectively in legal processes.</w:t>
      </w:r>
    </w:p>
    <w:p w14:paraId="69445AC6" w14:textId="77777777" w:rsidR="00FC3226" w:rsidRPr="00FC3226" w:rsidRDefault="00FC3226" w:rsidP="00FC3226">
      <w:pPr>
        <w:jc w:val="both"/>
        <w:rPr>
          <w:sz w:val="21"/>
          <w:szCs w:val="21"/>
        </w:rPr>
      </w:pPr>
      <w:r w:rsidRPr="00FC3226">
        <w:rPr>
          <w:sz w:val="21"/>
          <w:szCs w:val="21"/>
        </w:rPr>
        <w:t>There is concern that Icelandic legal procedures do not consistently ensure necessary procedural or reasonable accommodations for disabled complainants, particularly in criminal cases. Although guidelines exist, their implementation varies, and accommodation is not always considered an enforceable right. For example, victims may be denied the ability to testify without the accused present or face inaccessible communication formats and settings. These conditions undermine both the effectiveness and fairness of the legal process.</w:t>
      </w:r>
    </w:p>
    <w:p w14:paraId="7E5B4BC5" w14:textId="77777777" w:rsidR="00FC3226" w:rsidRPr="00FC3226" w:rsidRDefault="00FC3226" w:rsidP="00FC3226">
      <w:pPr>
        <w:jc w:val="both"/>
        <w:rPr>
          <w:sz w:val="21"/>
          <w:szCs w:val="21"/>
        </w:rPr>
      </w:pPr>
      <w:r w:rsidRPr="00FC3226">
        <w:rPr>
          <w:sz w:val="21"/>
          <w:szCs w:val="21"/>
        </w:rPr>
        <w:t>Further concerns relate to the structural design of legal processes, which often rely on standardized assumptions about capacity, communication, and participation that do not reflect the realities of many disabled persons. There are insufficient guarantees that police, prosecutors, or judges receive systematic training on disability rights or CRPD obligations. When such training occurs, it is usually fragmented and lacks long-term follow-up.</w:t>
      </w:r>
    </w:p>
    <w:p w14:paraId="0F76CFB6" w14:textId="77777777" w:rsidR="00FC3226" w:rsidRPr="00FC3226" w:rsidRDefault="00FC3226" w:rsidP="00FC3226">
      <w:pPr>
        <w:jc w:val="both"/>
        <w:rPr>
          <w:sz w:val="21"/>
          <w:szCs w:val="21"/>
        </w:rPr>
      </w:pPr>
      <w:r w:rsidRPr="00FC3226">
        <w:rPr>
          <w:sz w:val="21"/>
          <w:szCs w:val="21"/>
        </w:rPr>
        <w:lastRenderedPageBreak/>
        <w:t>In the case of criminal justice, key legal provisions – such as those governing legal capacity, procedural protections, and the definition of criminal responsibility – are not aligned with the human rights model of disability. This creates additional barriers for individuals whose disability is used to question their credibility or ability to participate in proceedings. Moreover, existing legislation does not adequately address the specific risks of institutionalization, coercion, or exclusion from justice experienced by some groups, including those with intellectual or psychosocial disabilities.</w:t>
      </w:r>
    </w:p>
    <w:p w14:paraId="5C0B386E" w14:textId="77777777" w:rsidR="00FC3226" w:rsidRPr="00FC3226" w:rsidRDefault="00FC3226" w:rsidP="00FC3226">
      <w:pPr>
        <w:jc w:val="both"/>
        <w:rPr>
          <w:sz w:val="21"/>
          <w:szCs w:val="21"/>
        </w:rPr>
      </w:pPr>
      <w:r w:rsidRPr="00FC3226">
        <w:rPr>
          <w:sz w:val="21"/>
          <w:szCs w:val="21"/>
        </w:rPr>
        <w:t>These patterns of exclusion are further compounded by a lack of disaggregated data and systematic monitoring. Without reliable statistics on how many disabled people encounter the justice system, in what roles, under what circumstances, and with what outcomes, it is difficult to identify trends or design appropriate reforms.</w:t>
      </w:r>
    </w:p>
    <w:p w14:paraId="3580C075" w14:textId="77777777" w:rsidR="00FC3226" w:rsidRPr="00FC3226" w:rsidRDefault="00FC3226" w:rsidP="00FC3226">
      <w:pPr>
        <w:jc w:val="both"/>
        <w:rPr>
          <w:sz w:val="21"/>
          <w:szCs w:val="21"/>
        </w:rPr>
      </w:pPr>
      <w:r w:rsidRPr="00FC3226">
        <w:rPr>
          <w:sz w:val="21"/>
          <w:szCs w:val="21"/>
        </w:rPr>
        <w:t>Overall, while formal guarantees exist on paper, access to justice for disabled people in Iceland remains highly contingent on individual advocacy and informal networks. The system does not yet provide robust safeguards or structural mechanisms to ensure that justice is equally accessible to all, as required by Article 13 of the CRPD.</w:t>
      </w:r>
    </w:p>
    <w:p w14:paraId="101AAD3C" w14:textId="24C90182" w:rsidR="00C22569" w:rsidRDefault="00C22569">
      <w:pPr>
        <w:rPr>
          <w:sz w:val="21"/>
          <w:szCs w:val="21"/>
        </w:rPr>
      </w:pPr>
      <w:r>
        <w:rPr>
          <w:sz w:val="21"/>
          <w:szCs w:val="21"/>
        </w:rPr>
        <w:br w:type="page"/>
      </w:r>
    </w:p>
    <w:p w14:paraId="628DB43E" w14:textId="77777777" w:rsidR="00616081" w:rsidRPr="00616081" w:rsidRDefault="00616081" w:rsidP="00393567">
      <w:pPr>
        <w:pStyle w:val="Heading1"/>
      </w:pPr>
      <w:bookmarkStart w:id="13" w:name="_Toc202095941"/>
      <w:r w:rsidRPr="00616081">
        <w:lastRenderedPageBreak/>
        <w:t xml:space="preserve">Article 14: Liberty and security of </w:t>
      </w:r>
      <w:proofErr w:type="gramStart"/>
      <w:r w:rsidRPr="00616081">
        <w:t>person</w:t>
      </w:r>
      <w:bookmarkEnd w:id="13"/>
      <w:proofErr w:type="gramEnd"/>
    </w:p>
    <w:p w14:paraId="7148988B" w14:textId="3365890B" w:rsidR="00616081" w:rsidRPr="00616081" w:rsidRDefault="00BD48D3" w:rsidP="00393567">
      <w:pPr>
        <w:pStyle w:val="Heading2"/>
      </w:pPr>
      <w:r>
        <w:t>Knowledge status and research gaps</w:t>
      </w:r>
    </w:p>
    <w:p w14:paraId="09110D87" w14:textId="77777777" w:rsidR="00616081" w:rsidRPr="00616081" w:rsidRDefault="00616081" w:rsidP="00616081">
      <w:pPr>
        <w:jc w:val="both"/>
        <w:rPr>
          <w:sz w:val="21"/>
          <w:szCs w:val="21"/>
        </w:rPr>
      </w:pPr>
      <w:r w:rsidRPr="00616081">
        <w:rPr>
          <w:sz w:val="21"/>
          <w:szCs w:val="21"/>
        </w:rPr>
        <w:t xml:space="preserve">In Iceland, the implementation of Article 14 of the CRPD, ensuring the liberty and security of disabled people on an equal basis with others, remains underdeveloped. While laws prohibit general discrimination, current legislation allows for deprivation of liberty based on disability, especially in mental health and legal competence contexts. Administrative oversight mechanisms exist but lack enforcement power and transparent monitoring. There are no peer-reviewed Icelandic studies examining the scope and nature of deprivation of liberty </w:t>
      </w:r>
      <w:proofErr w:type="gramStart"/>
      <w:r w:rsidRPr="00616081">
        <w:rPr>
          <w:sz w:val="21"/>
          <w:szCs w:val="21"/>
        </w:rPr>
        <w:t>on the basis of</w:t>
      </w:r>
      <w:proofErr w:type="gramEnd"/>
      <w:r w:rsidRPr="00616081">
        <w:rPr>
          <w:sz w:val="21"/>
          <w:szCs w:val="21"/>
        </w:rPr>
        <w:t xml:space="preserve"> actual or perceived impairment. Nor is there reliable disaggregated data on the use of coercive measures, including detention under security provisions, forced treatment, or psychiatric commitment. The few public audits and reviews of mental health institutions and care settings do not specifically address the compatibility of such practices with the CRPD. This highlights an urgent need for critical research on the intersection of disability, liberty, and legal safeguards, particularly regarding the use of involuntary measures and the functioning of complaint and redress systems.</w:t>
      </w:r>
    </w:p>
    <w:p w14:paraId="6E409F6D" w14:textId="4629A962" w:rsidR="00616081" w:rsidRPr="00616081" w:rsidRDefault="00BD48D3" w:rsidP="0093117D">
      <w:pPr>
        <w:spacing w:after="0"/>
        <w:jc w:val="both"/>
        <w:rPr>
          <w:rFonts w:ascii="Calibri" w:hAnsi="Calibri" w:cs="Calibri"/>
          <w:b/>
          <w:bCs/>
          <w:color w:val="4C94D8" w:themeColor="text2" w:themeTint="80"/>
          <w:sz w:val="26"/>
          <w:szCs w:val="26"/>
        </w:rPr>
      </w:pPr>
      <w:r>
        <w:rPr>
          <w:rFonts w:ascii="Calibri" w:hAnsi="Calibri" w:cs="Calibri"/>
          <w:b/>
          <w:bCs/>
          <w:color w:val="4C94D8" w:themeColor="text2" w:themeTint="80"/>
          <w:sz w:val="26"/>
          <w:szCs w:val="26"/>
        </w:rPr>
        <w:t>Key findings and reasons for concern</w:t>
      </w:r>
    </w:p>
    <w:p w14:paraId="4030F8F5" w14:textId="77777777" w:rsidR="00616081" w:rsidRPr="00616081" w:rsidRDefault="00616081" w:rsidP="00616081">
      <w:pPr>
        <w:jc w:val="both"/>
        <w:rPr>
          <w:sz w:val="21"/>
          <w:szCs w:val="21"/>
        </w:rPr>
      </w:pPr>
      <w:r w:rsidRPr="00616081">
        <w:rPr>
          <w:sz w:val="21"/>
          <w:szCs w:val="21"/>
        </w:rPr>
        <w:t>Despite Iceland’s general commitment to human rights, the legal framework continues to permit the deprivation of liberty based on disability. This applies particularly to individuals with psychosocial or intellectual disabilities, who may be subjected to involuntary hospitalization, coercive treatment, or long-term security detention in psychiatric settings. Such measures are often justified by references to “dangerousness,” “lack of insight,” or assumed incapacity, rather than actual criminal conduct or procedural guarantees equivalent to those available to others.</w:t>
      </w:r>
    </w:p>
    <w:p w14:paraId="31CB9942" w14:textId="77777777" w:rsidR="00616081" w:rsidRPr="00616081" w:rsidRDefault="00616081" w:rsidP="00616081">
      <w:pPr>
        <w:jc w:val="both"/>
        <w:rPr>
          <w:sz w:val="21"/>
          <w:szCs w:val="21"/>
        </w:rPr>
      </w:pPr>
      <w:r w:rsidRPr="00616081">
        <w:rPr>
          <w:sz w:val="21"/>
          <w:szCs w:val="21"/>
        </w:rPr>
        <w:t>The application of criminal law and mental health legislation remains misaligned with the CRPD. Provisions governing legal insanity, unfitness to stand trial, and security detention allow for indefinite or prolonged deprivation of liberty without the procedural safeguards required under international human rights standards. In practice, people deemed unfit may be subject to institutionalization without clear timelines, individualized assessments, or regular judicial review. There is particular concern regarding the broad application of security detention, which can result in disabled individuals being deprived of liberty for longer periods than non-disabled persons convicted of comparable offenses.</w:t>
      </w:r>
    </w:p>
    <w:p w14:paraId="6AC3530A" w14:textId="77777777" w:rsidR="00616081" w:rsidRPr="00616081" w:rsidRDefault="00616081" w:rsidP="00616081">
      <w:pPr>
        <w:jc w:val="both"/>
        <w:rPr>
          <w:sz w:val="21"/>
          <w:szCs w:val="21"/>
        </w:rPr>
      </w:pPr>
      <w:r w:rsidRPr="00616081">
        <w:rPr>
          <w:sz w:val="21"/>
          <w:szCs w:val="21"/>
        </w:rPr>
        <w:t>Although Icelandic law includes references to reducing coercion and promoting the autonomy of persons in institutional care, practical implementation is inconsistent. Oversight bodies tasked with monitoring conditions in closed settings lack enforcement authority, and independent complaint mechanisms are underutilized. This raises serious concerns about the effectiveness of existing safeguards against arbitrary detention and ill-treatment.</w:t>
      </w:r>
    </w:p>
    <w:p w14:paraId="62558D35" w14:textId="77777777" w:rsidR="00616081" w:rsidRPr="00616081" w:rsidRDefault="00616081" w:rsidP="00616081">
      <w:pPr>
        <w:jc w:val="both"/>
        <w:rPr>
          <w:sz w:val="21"/>
          <w:szCs w:val="21"/>
        </w:rPr>
      </w:pPr>
      <w:r w:rsidRPr="00616081">
        <w:rPr>
          <w:sz w:val="21"/>
          <w:szCs w:val="21"/>
        </w:rPr>
        <w:t>Further, people subjected to such measures often lack access to adequate legal assistance or supported decision-making. Instead, decisions are frequently made by professionals or family members, with little involvement of the individual concerned. This raises questions about compliance with the principle of free and informed consent, as well as the right to due process.</w:t>
      </w:r>
    </w:p>
    <w:p w14:paraId="07171DA6" w14:textId="77777777" w:rsidR="00616081" w:rsidRPr="00616081" w:rsidRDefault="00616081" w:rsidP="00616081">
      <w:pPr>
        <w:jc w:val="both"/>
        <w:rPr>
          <w:sz w:val="21"/>
          <w:szCs w:val="21"/>
        </w:rPr>
      </w:pPr>
      <w:r w:rsidRPr="00616081">
        <w:rPr>
          <w:sz w:val="21"/>
          <w:szCs w:val="21"/>
        </w:rPr>
        <w:lastRenderedPageBreak/>
        <w:t>The legal framework also fails to distinguish between impairment and risk in a meaningful way. As a result, disability is too often treated as a legitimate ground for exceptional legal treatment, reinforcing stigma and structural exclusion. Such practices are at odds with the CRPD’s requirement that disability shall in no case justify deprivation of liberty.</w:t>
      </w:r>
    </w:p>
    <w:p w14:paraId="1CD9124B" w14:textId="77777777" w:rsidR="00616081" w:rsidRPr="00616081" w:rsidRDefault="00616081" w:rsidP="00616081">
      <w:pPr>
        <w:jc w:val="both"/>
        <w:rPr>
          <w:sz w:val="21"/>
          <w:szCs w:val="21"/>
        </w:rPr>
      </w:pPr>
      <w:r w:rsidRPr="00616081">
        <w:rPr>
          <w:sz w:val="21"/>
          <w:szCs w:val="21"/>
        </w:rPr>
        <w:t>Moreover, Iceland lacks disaggregated data on the use of involuntary measures and does not regularly publish statistics on the number or duration of detentions linked to disability. This data gap hinders transparency and makes it difficult to evaluate whether any progress is being made in limiting coercive practices or ensuring compliance with the CRPD.</w:t>
      </w:r>
    </w:p>
    <w:p w14:paraId="4E9F886F" w14:textId="77777777" w:rsidR="00616081" w:rsidRDefault="00616081" w:rsidP="00616081">
      <w:pPr>
        <w:jc w:val="both"/>
        <w:rPr>
          <w:sz w:val="21"/>
          <w:szCs w:val="21"/>
        </w:rPr>
      </w:pPr>
      <w:r w:rsidRPr="00616081">
        <w:rPr>
          <w:sz w:val="21"/>
          <w:szCs w:val="21"/>
        </w:rPr>
        <w:t>In sum, the prevailing legal and institutional frameworks permit disability-based deprivation of liberty and are insufficiently safeguarded against arbitrary or disproportionate measures. A systemic shift is required—towards rights-based, individualized, and community-based approaches—to fulfill Iceland’s obligations under Article 14.</w:t>
      </w:r>
    </w:p>
    <w:p w14:paraId="3163ED35" w14:textId="397931CA" w:rsidR="00FC6010" w:rsidRDefault="00FC6010">
      <w:pPr>
        <w:rPr>
          <w:sz w:val="21"/>
          <w:szCs w:val="21"/>
        </w:rPr>
      </w:pPr>
      <w:r>
        <w:rPr>
          <w:sz w:val="21"/>
          <w:szCs w:val="21"/>
        </w:rPr>
        <w:br w:type="page"/>
      </w:r>
    </w:p>
    <w:p w14:paraId="06CACF0A" w14:textId="77777777" w:rsidR="0093117D" w:rsidRPr="0093117D" w:rsidRDefault="0093117D" w:rsidP="00393567">
      <w:pPr>
        <w:pStyle w:val="Heading1"/>
      </w:pPr>
      <w:bookmarkStart w:id="14" w:name="_Toc202095942"/>
      <w:r w:rsidRPr="0093117D">
        <w:lastRenderedPageBreak/>
        <w:t>Article 15: Freedom from torture or cruel, inhuman or degrading treatment or punishment</w:t>
      </w:r>
      <w:bookmarkEnd w:id="14"/>
    </w:p>
    <w:p w14:paraId="2D756BCE" w14:textId="1B48B886" w:rsidR="0093117D" w:rsidRPr="0093117D" w:rsidRDefault="00BD48D3" w:rsidP="00393567">
      <w:pPr>
        <w:pStyle w:val="Heading2"/>
      </w:pPr>
      <w:r>
        <w:t>Knowledge status and research gaps</w:t>
      </w:r>
    </w:p>
    <w:p w14:paraId="0CB58805" w14:textId="77777777" w:rsidR="0093117D" w:rsidRPr="0093117D" w:rsidRDefault="0093117D" w:rsidP="0093117D">
      <w:pPr>
        <w:jc w:val="both"/>
        <w:rPr>
          <w:sz w:val="21"/>
          <w:szCs w:val="21"/>
        </w:rPr>
      </w:pPr>
      <w:r w:rsidRPr="0093117D">
        <w:rPr>
          <w:sz w:val="21"/>
          <w:szCs w:val="21"/>
        </w:rPr>
        <w:t>There is limited systematic knowledge in Iceland regarding the use of coercive or degrading measures against disabled people in institutional, residential, or custodial settings. While legal provisions exist to prohibit inhuman or degrading treatment, there is little research on the lived experience of disabled people in psychiatric facilities, social care homes, residential settings, or other closed environments. Oversight mechanisms are fragmented and lack transparency, and no comprehensive data is available on the use of restraints, seclusion, or forced treatment. The role of informed consent, safeguards, and effective complaint mechanisms has not been adequately studied in the Icelandic context. There is a critical need for empirical research and rights-based monitoring that centers disabled people’s perspectives and prioritizes prevention, redress, and accountability.</w:t>
      </w:r>
    </w:p>
    <w:p w14:paraId="2B2FD48D" w14:textId="78C1644C" w:rsidR="0093117D" w:rsidRPr="0093117D" w:rsidRDefault="00BD48D3" w:rsidP="0093117D">
      <w:pPr>
        <w:jc w:val="both"/>
        <w:rPr>
          <w:rFonts w:ascii="Calibri" w:hAnsi="Calibri" w:cs="Calibri"/>
          <w:b/>
          <w:bCs/>
          <w:color w:val="4C94D8" w:themeColor="text2" w:themeTint="80"/>
          <w:sz w:val="26"/>
          <w:szCs w:val="26"/>
        </w:rPr>
      </w:pPr>
      <w:r>
        <w:rPr>
          <w:rFonts w:ascii="Calibri" w:hAnsi="Calibri" w:cs="Calibri"/>
          <w:b/>
          <w:bCs/>
          <w:color w:val="4C94D8" w:themeColor="text2" w:themeTint="80"/>
          <w:sz w:val="26"/>
          <w:szCs w:val="26"/>
        </w:rPr>
        <w:t>Key findings and reasons for concern</w:t>
      </w:r>
    </w:p>
    <w:p w14:paraId="64F9E98E" w14:textId="77777777" w:rsidR="0093117D" w:rsidRPr="0093117D" w:rsidRDefault="0093117D" w:rsidP="0093117D">
      <w:pPr>
        <w:jc w:val="both"/>
        <w:rPr>
          <w:sz w:val="21"/>
          <w:szCs w:val="21"/>
        </w:rPr>
      </w:pPr>
      <w:r w:rsidRPr="0093117D">
        <w:rPr>
          <w:sz w:val="21"/>
          <w:szCs w:val="21"/>
        </w:rPr>
        <w:t>Disabled people in Iceland remain at risk of being subjected to practices that may amount to cruel, inhuman, or degrading treatment, particularly in institutional and clinical settings. These risks are especially pronounced for individuals with psychosocial or intellectual disabilities, who are disproportionately affected by coercive interventions, including forced medication, mechanical restraints, isolation, and involuntary hospitalization.</w:t>
      </w:r>
    </w:p>
    <w:p w14:paraId="6281DF99" w14:textId="77777777" w:rsidR="0093117D" w:rsidRPr="0093117D" w:rsidRDefault="0093117D" w:rsidP="0093117D">
      <w:pPr>
        <w:jc w:val="both"/>
        <w:rPr>
          <w:sz w:val="21"/>
          <w:szCs w:val="21"/>
        </w:rPr>
      </w:pPr>
      <w:r w:rsidRPr="0093117D">
        <w:rPr>
          <w:sz w:val="21"/>
          <w:szCs w:val="21"/>
        </w:rPr>
        <w:t>The current legal framework permits non-consensual medical and psychiatric interventions in situations where individuals are perceived as lacking insight or posing a risk to themselves or others. In practice, consent may be bypassed through legal or informal substitute decision-making, and there is no consistent recognition of the right to refuse treatment or to exercise supported decision-making. This creates a normative environment in which coercion is justified based on protection or public safety, rather than being treated as a last resort subject to strict proportionality and safeguards.</w:t>
      </w:r>
    </w:p>
    <w:p w14:paraId="2B6BE9D1" w14:textId="77777777" w:rsidR="0093117D" w:rsidRPr="0093117D" w:rsidRDefault="0093117D" w:rsidP="0093117D">
      <w:pPr>
        <w:jc w:val="both"/>
        <w:rPr>
          <w:sz w:val="21"/>
          <w:szCs w:val="21"/>
        </w:rPr>
      </w:pPr>
      <w:r w:rsidRPr="0093117D">
        <w:rPr>
          <w:sz w:val="21"/>
          <w:szCs w:val="21"/>
        </w:rPr>
        <w:t>Oversight of such practices is insufficient. Although Iceland has designated a national preventive mechanism under the Optional Protocol to the Convention against Torture (OPCAT), the mechanism lacks robust powers to enforce change and is not mandated to systematically track the use of coercive measures against disabled people. Moreover, complaint pathways are unclear or underutilized, and affected individuals often lack the support needed to file complaints or seek redress.</w:t>
      </w:r>
    </w:p>
    <w:p w14:paraId="65F5CCB7" w14:textId="77777777" w:rsidR="0093117D" w:rsidRPr="0093117D" w:rsidRDefault="0093117D" w:rsidP="0093117D">
      <w:pPr>
        <w:jc w:val="both"/>
        <w:rPr>
          <w:sz w:val="21"/>
          <w:szCs w:val="21"/>
        </w:rPr>
      </w:pPr>
      <w:r w:rsidRPr="0093117D">
        <w:rPr>
          <w:sz w:val="21"/>
          <w:szCs w:val="21"/>
        </w:rPr>
        <w:t>Children with disabilities are particularly vulnerable to harmful interventions. There are no comprehensive protections in law against the use of restraint, aversive behavioral techniques, or forced medication in residential or school settings. Where regulation exists, it does not always apply to private institutions or informal care settings, and monitoring is inconsistent.</w:t>
      </w:r>
    </w:p>
    <w:p w14:paraId="21BB87DC" w14:textId="77777777" w:rsidR="0093117D" w:rsidRPr="0093117D" w:rsidRDefault="0093117D" w:rsidP="0093117D">
      <w:pPr>
        <w:jc w:val="both"/>
        <w:rPr>
          <w:sz w:val="21"/>
          <w:szCs w:val="21"/>
        </w:rPr>
      </w:pPr>
      <w:r w:rsidRPr="0093117D">
        <w:rPr>
          <w:sz w:val="21"/>
          <w:szCs w:val="21"/>
        </w:rPr>
        <w:t xml:space="preserve">Another area of concern relates to the lack of recognition of free and informed consent as an absolute requirement for medical and psychological interventions. While health law includes </w:t>
      </w:r>
      <w:r w:rsidRPr="0093117D">
        <w:rPr>
          <w:sz w:val="21"/>
          <w:szCs w:val="21"/>
        </w:rPr>
        <w:lastRenderedPageBreak/>
        <w:t>general references to autonomy, it allows for substitute decision-making, especially in mental health contexts. Consent procedures are often inaccessible, and reasonable accommodation for communication and comprehension is not systematically provided.</w:t>
      </w:r>
    </w:p>
    <w:p w14:paraId="3257D4AB" w14:textId="77777777" w:rsidR="0093117D" w:rsidRPr="0093117D" w:rsidRDefault="0093117D" w:rsidP="0093117D">
      <w:pPr>
        <w:jc w:val="both"/>
        <w:rPr>
          <w:sz w:val="21"/>
          <w:szCs w:val="21"/>
        </w:rPr>
      </w:pPr>
      <w:r w:rsidRPr="0093117D">
        <w:rPr>
          <w:sz w:val="21"/>
          <w:szCs w:val="21"/>
        </w:rPr>
        <w:t>The absence of disaggregated data is a further obstacle to accountability. Iceland does not regularly collect or publish statistics on the use of seclusion, restraint, forced treatment, or other forms of ill-treatment in care institutions, psychiatric hospitals, or detention facilities. Nor is there transparency about the outcomes of investigations into alleged mistreatment of disabled persons in closed settings.</w:t>
      </w:r>
    </w:p>
    <w:p w14:paraId="6E86847A" w14:textId="77777777" w:rsidR="0093117D" w:rsidRPr="0093117D" w:rsidRDefault="0093117D" w:rsidP="0093117D">
      <w:pPr>
        <w:jc w:val="both"/>
        <w:rPr>
          <w:sz w:val="21"/>
          <w:szCs w:val="21"/>
        </w:rPr>
      </w:pPr>
      <w:r w:rsidRPr="0093117D">
        <w:rPr>
          <w:sz w:val="21"/>
          <w:szCs w:val="21"/>
        </w:rPr>
        <w:t>Taken together, these patterns suggest a systemic failure to uphold the right of disabled people to be free from torture and ill-treatment. The continued reliance on coercive practices, lack of consent-based safeguards, weak monitoring, and inadequate legal remedies raise serious questions about Iceland’s compliance with Article 15 of the CRPD.</w:t>
      </w:r>
    </w:p>
    <w:p w14:paraId="1B779877" w14:textId="77138FF9" w:rsidR="00EF3B82" w:rsidRPr="008E738F" w:rsidRDefault="00EF3B82" w:rsidP="008E738F">
      <w:pPr>
        <w:spacing w:after="0"/>
        <w:jc w:val="both"/>
        <w:rPr>
          <w:rFonts w:ascii="Calibri" w:hAnsi="Calibri" w:cs="Calibri"/>
          <w:b/>
          <w:bCs/>
          <w:color w:val="4C94D8" w:themeColor="text2" w:themeTint="80"/>
          <w:sz w:val="26"/>
          <w:szCs w:val="26"/>
        </w:rPr>
      </w:pPr>
    </w:p>
    <w:p w14:paraId="56066255" w14:textId="77777777" w:rsidR="00EF3B82" w:rsidRDefault="00EF3B82">
      <w:pPr>
        <w:rPr>
          <w:sz w:val="21"/>
          <w:szCs w:val="21"/>
        </w:rPr>
      </w:pPr>
      <w:r>
        <w:rPr>
          <w:sz w:val="21"/>
          <w:szCs w:val="21"/>
        </w:rPr>
        <w:br w:type="page"/>
      </w:r>
    </w:p>
    <w:p w14:paraId="079819E5" w14:textId="77777777" w:rsidR="00633E61" w:rsidRPr="00633E61" w:rsidRDefault="00633E61" w:rsidP="00393567">
      <w:pPr>
        <w:pStyle w:val="Heading1"/>
      </w:pPr>
      <w:bookmarkStart w:id="15" w:name="_Toc202095943"/>
      <w:r w:rsidRPr="00633E61">
        <w:lastRenderedPageBreak/>
        <w:t>Article 16: Freedom from exploitation, violence and abuse</w:t>
      </w:r>
      <w:bookmarkEnd w:id="15"/>
    </w:p>
    <w:p w14:paraId="71261C49" w14:textId="3A6A8FDF" w:rsidR="00633E61" w:rsidRPr="00633E61" w:rsidRDefault="00BD48D3" w:rsidP="00393567">
      <w:pPr>
        <w:pStyle w:val="Heading2"/>
      </w:pPr>
      <w:r>
        <w:t>Knowledge status and research gaps</w:t>
      </w:r>
    </w:p>
    <w:p w14:paraId="5E182244" w14:textId="77777777" w:rsidR="00633E61" w:rsidRPr="00633E61" w:rsidRDefault="00633E61" w:rsidP="00633E61">
      <w:pPr>
        <w:jc w:val="both"/>
        <w:rPr>
          <w:sz w:val="21"/>
          <w:szCs w:val="21"/>
        </w:rPr>
      </w:pPr>
      <w:r w:rsidRPr="00633E61">
        <w:rPr>
          <w:sz w:val="21"/>
          <w:szCs w:val="21"/>
        </w:rPr>
        <w:t>Emerging research in Iceland has begun to document the specific forms and patterns of violence experienced by women with disabilities, particularly those with intellectual or psychosocial impairments. These findings highlight how gender and disability intersect to create heightened vulnerability to violence, compounded by isolation, dependence, and structural discrimination. Although these initial studies have provided valuable qualitative insights, there remains a critical lack of systematic, nationwide data on the prevalence of violence, exploitation, and abuse against disabled people across different contexts. Existing knowledge is largely confined to specific subgroups or settings, with minimal research on violence in institutional care, in family environments, or in situations involving state actors. There is also limited information on the accessibility and adequacy of protection and support services for disabled victims, including shelters, legal aid, and social assistance. There is strong evidence to suggest that disabled individuals involved in sex work, substance use, gambling, and homelessness experience amplified marginalization, facing reduced access to shelters, support, and treatment, which subsequently increases their vulnerability to violence, deprivation of liberty, and exploitation. Furthermore, the absence of disaggregated data and disability-sensitive reporting mechanisms hampers efforts to identify patterns, address risk factors, or evaluate prevention strategies. Despite recent progress in documenting individual experiences, Iceland lacks a coordinated research agenda or policy framework focused on the prevention of violence against disabled people. There is a pressing need for intersectional and participatory research that centers disabled persons’ experiences, informs rights-based prevention and response systems, and guides legal and institutional reform in line with Article 16 of the CRPD.</w:t>
      </w:r>
    </w:p>
    <w:p w14:paraId="5EE76D62" w14:textId="45EF4684" w:rsidR="00633E61" w:rsidRPr="00633E61" w:rsidRDefault="00BD48D3" w:rsidP="00CD4C0A">
      <w:pPr>
        <w:spacing w:after="0"/>
        <w:jc w:val="both"/>
        <w:rPr>
          <w:rFonts w:ascii="Calibri" w:hAnsi="Calibri" w:cs="Calibri"/>
          <w:b/>
          <w:bCs/>
          <w:color w:val="4C94D8" w:themeColor="text2" w:themeTint="80"/>
          <w:sz w:val="26"/>
          <w:szCs w:val="26"/>
        </w:rPr>
      </w:pPr>
      <w:r>
        <w:rPr>
          <w:rFonts w:ascii="Calibri" w:hAnsi="Calibri" w:cs="Calibri"/>
          <w:b/>
          <w:bCs/>
          <w:color w:val="4C94D8" w:themeColor="text2" w:themeTint="80"/>
          <w:sz w:val="26"/>
          <w:szCs w:val="26"/>
        </w:rPr>
        <w:t>Key findings and reasons for concern</w:t>
      </w:r>
    </w:p>
    <w:p w14:paraId="6F5C2AE8" w14:textId="77777777" w:rsidR="00633E61" w:rsidRPr="00633E61" w:rsidRDefault="00633E61" w:rsidP="00633E61">
      <w:pPr>
        <w:jc w:val="both"/>
        <w:rPr>
          <w:sz w:val="21"/>
          <w:szCs w:val="21"/>
        </w:rPr>
      </w:pPr>
      <w:r w:rsidRPr="00633E61">
        <w:rPr>
          <w:sz w:val="21"/>
          <w:szCs w:val="21"/>
        </w:rPr>
        <w:t>Evidence suggests that disabled people in Iceland, particularly women and girls, are at heightened risk of violence, abuse, and exploitation in various settings. These include domestic environments, institutional care, and public spaces. The intersection of gender, disability, and social isolation creates conditions in which abuse can remain hidden, unreported, and unaddressed. Experiences of violence are often compounded by the disbelief or disregard of authorities, the inaccessibility of support services, and the lack of procedural accommodations in justice processes.</w:t>
      </w:r>
    </w:p>
    <w:p w14:paraId="3DE6EC1C" w14:textId="77777777" w:rsidR="00633E61" w:rsidRPr="00633E61" w:rsidRDefault="00633E61" w:rsidP="00633E61">
      <w:pPr>
        <w:jc w:val="both"/>
        <w:rPr>
          <w:sz w:val="21"/>
          <w:szCs w:val="21"/>
        </w:rPr>
      </w:pPr>
      <w:r w:rsidRPr="00633E61">
        <w:rPr>
          <w:sz w:val="21"/>
          <w:szCs w:val="21"/>
        </w:rPr>
        <w:t>Women with disabilities report that they are less likely to be believed by the police, more likely to experience prolonged exposure to abuse, and more likely to encounter barriers when attempting to leave abusive situations. Many rely on support services that are not physically or communicatively accessible, or that are not designed to meet the specific needs of disabled survivors. In some cases, perpetrators are caregivers, service providers, or family members in positions of dependency or control, which further deters reporting and increases the risk of retaliation.</w:t>
      </w:r>
    </w:p>
    <w:p w14:paraId="5EFCC251" w14:textId="77777777" w:rsidR="00633E61" w:rsidRPr="00633E61" w:rsidRDefault="00633E61" w:rsidP="00633E61">
      <w:pPr>
        <w:jc w:val="both"/>
        <w:rPr>
          <w:sz w:val="21"/>
          <w:szCs w:val="21"/>
        </w:rPr>
      </w:pPr>
      <w:r w:rsidRPr="00633E61">
        <w:rPr>
          <w:sz w:val="21"/>
          <w:szCs w:val="21"/>
        </w:rPr>
        <w:t xml:space="preserve">Institutions and group homes are settings of particular concern. Disabled people who reside in such settings are exposed to risks of physical, psychological, sexual, and financial abuse, often </w:t>
      </w:r>
      <w:r w:rsidRPr="00633E61">
        <w:rPr>
          <w:sz w:val="21"/>
          <w:szCs w:val="21"/>
        </w:rPr>
        <w:lastRenderedPageBreak/>
        <w:t>without meaningful oversight. Complaint mechanisms are weak, inaccessible, or unknown to residents. There is limited external monitoring, and survivors rarely receive redress or support tailored to their needs. Lack of staff training and unclear accountability structures exacerbate these risks.</w:t>
      </w:r>
    </w:p>
    <w:p w14:paraId="21B77698" w14:textId="77777777" w:rsidR="00633E61" w:rsidRPr="00633E61" w:rsidRDefault="00633E61" w:rsidP="00633E61">
      <w:pPr>
        <w:jc w:val="both"/>
        <w:rPr>
          <w:sz w:val="21"/>
          <w:szCs w:val="21"/>
        </w:rPr>
      </w:pPr>
      <w:r w:rsidRPr="00633E61">
        <w:rPr>
          <w:sz w:val="21"/>
          <w:szCs w:val="21"/>
        </w:rPr>
        <w:t>In addition, harmful practices such as forced contraception or denial of access to intimate relationships continue to occur in ways that reflect deeply entrenched ableist attitudes. Such practices are rarely treated as violence or abuse, and legal frameworks do not offer adequate protection.</w:t>
      </w:r>
    </w:p>
    <w:p w14:paraId="164D5E8B" w14:textId="77777777" w:rsidR="00633E61" w:rsidRPr="00633E61" w:rsidRDefault="00633E61" w:rsidP="00633E61">
      <w:pPr>
        <w:jc w:val="both"/>
        <w:rPr>
          <w:sz w:val="21"/>
          <w:szCs w:val="21"/>
        </w:rPr>
      </w:pPr>
      <w:r w:rsidRPr="00633E61">
        <w:rPr>
          <w:sz w:val="21"/>
          <w:szCs w:val="21"/>
        </w:rPr>
        <w:t xml:space="preserve">Despite these realities, Iceland lacks comprehensive strategies to prevent violence and exploitation of disabled people using social remedies and support, in line with e.g., </w:t>
      </w:r>
      <w:proofErr w:type="spellStart"/>
      <w:r w:rsidRPr="00633E61">
        <w:rPr>
          <w:sz w:val="21"/>
          <w:szCs w:val="21"/>
        </w:rPr>
        <w:t>TryggEst</w:t>
      </w:r>
      <w:proofErr w:type="spellEnd"/>
      <w:r w:rsidRPr="00633E61">
        <w:rPr>
          <w:sz w:val="21"/>
          <w:szCs w:val="21"/>
        </w:rPr>
        <w:t xml:space="preserve"> in Norway. Existing laws and policies are not consistently inclusive, and few specialized services exist for disabled survivors. National plans addressing gender-based violence and trafficking rarely make explicit reference to disability, and the participation of disabled persons in designing such policies remains limited.</w:t>
      </w:r>
    </w:p>
    <w:p w14:paraId="5B29161E" w14:textId="2BF0EFA4" w:rsidR="00C50838" w:rsidRPr="00733345" w:rsidRDefault="00633E61" w:rsidP="00733345">
      <w:pPr>
        <w:jc w:val="both"/>
        <w:rPr>
          <w:sz w:val="21"/>
          <w:szCs w:val="21"/>
        </w:rPr>
      </w:pPr>
      <w:r w:rsidRPr="00633E61">
        <w:rPr>
          <w:sz w:val="21"/>
          <w:szCs w:val="21"/>
        </w:rPr>
        <w:t>Overall, the systemic failure to prevent, detect, and respond to violence against disabled people undermines their rights to safety, dignity, and equality. Stronger safeguards, disaggregated data, and inclusive service systems are urgently needed to meet Iceland’s obligations under Article 16 of the CRPD.</w:t>
      </w:r>
      <w:r w:rsidR="00C50838">
        <w:rPr>
          <w:sz w:val="21"/>
          <w:szCs w:val="21"/>
        </w:rPr>
        <w:br w:type="page"/>
      </w:r>
    </w:p>
    <w:p w14:paraId="755A7CC8" w14:textId="57925D1D" w:rsidR="000837D6" w:rsidRPr="000837D6" w:rsidRDefault="000837D6" w:rsidP="00393567">
      <w:pPr>
        <w:pStyle w:val="Heading1"/>
      </w:pPr>
      <w:bookmarkStart w:id="16" w:name="_Toc202095944"/>
      <w:r w:rsidRPr="000837D6">
        <w:lastRenderedPageBreak/>
        <w:t xml:space="preserve">Article 17: Protection of the Integrity of the </w:t>
      </w:r>
      <w:r w:rsidR="00393567">
        <w:t>p</w:t>
      </w:r>
      <w:r w:rsidRPr="000837D6">
        <w:t>erson</w:t>
      </w:r>
      <w:bookmarkEnd w:id="16"/>
    </w:p>
    <w:p w14:paraId="2B720CBA" w14:textId="1414EF13" w:rsidR="000837D6" w:rsidRPr="000837D6" w:rsidRDefault="00BD48D3" w:rsidP="00393567">
      <w:pPr>
        <w:pStyle w:val="Heading2"/>
      </w:pPr>
      <w:r>
        <w:t>Knowledge status and research gaps</w:t>
      </w:r>
    </w:p>
    <w:p w14:paraId="515F1004" w14:textId="77777777" w:rsidR="000837D6" w:rsidRPr="000837D6" w:rsidRDefault="000837D6" w:rsidP="000837D6">
      <w:pPr>
        <w:jc w:val="both"/>
        <w:rPr>
          <w:sz w:val="21"/>
          <w:szCs w:val="21"/>
        </w:rPr>
      </w:pPr>
      <w:r w:rsidRPr="000837D6">
        <w:rPr>
          <w:sz w:val="21"/>
          <w:szCs w:val="21"/>
        </w:rPr>
        <w:t>The right of disabled people to respect for their physical and mental integrity is not comprehensively addressed in Icelandic legal or policy frameworks. Although general provisions on bodily autonomy exist, they are insufficient to protect disabled people from intrusive, irreversible, or non-consensual interventions, particularly in institutional, medical, or guardianship contexts. There is little or no dedicated research on how this right is implemented or undermined in practice. In particular, the experiences of women, children, and persons with intellectual or psychosocial disabilities in navigating consent to medical procedures remain underexplored. The lack of systematic data, rights-based indicators, or participatory oversight mechanisms further limits knowledge and public accountability in this area.</w:t>
      </w:r>
    </w:p>
    <w:p w14:paraId="46F63821" w14:textId="19073E72" w:rsidR="000837D6" w:rsidRPr="000837D6" w:rsidRDefault="00BD48D3" w:rsidP="000837D6">
      <w:pPr>
        <w:spacing w:after="0"/>
        <w:jc w:val="both"/>
        <w:rPr>
          <w:rFonts w:ascii="Calibri" w:hAnsi="Calibri" w:cs="Calibri"/>
          <w:b/>
          <w:bCs/>
          <w:color w:val="4C94D8" w:themeColor="text2" w:themeTint="80"/>
          <w:sz w:val="26"/>
          <w:szCs w:val="26"/>
        </w:rPr>
      </w:pPr>
      <w:r>
        <w:rPr>
          <w:rFonts w:ascii="Calibri" w:hAnsi="Calibri" w:cs="Calibri"/>
          <w:b/>
          <w:bCs/>
          <w:color w:val="4C94D8" w:themeColor="text2" w:themeTint="80"/>
          <w:sz w:val="26"/>
          <w:szCs w:val="26"/>
        </w:rPr>
        <w:t>Key findings and reasons for concern</w:t>
      </w:r>
    </w:p>
    <w:p w14:paraId="6ED4192F" w14:textId="77777777" w:rsidR="000837D6" w:rsidRPr="000837D6" w:rsidRDefault="000837D6" w:rsidP="000837D6">
      <w:pPr>
        <w:jc w:val="both"/>
        <w:rPr>
          <w:sz w:val="21"/>
          <w:szCs w:val="21"/>
        </w:rPr>
      </w:pPr>
      <w:r w:rsidRPr="000837D6">
        <w:rPr>
          <w:sz w:val="21"/>
          <w:szCs w:val="21"/>
        </w:rPr>
        <w:t>Disabled people in Iceland are not consistently guaranteed the right to bodily and mental integrity on an equal basis with others. Although domestic law includes general protections relating to bodily autonomy, these are often overridden in practice by medical, psychiatric, or social care authorities. Individuals may be subjected to intrusive interventions, including forced medication, sterilization, or restraint, without full and informed consent, particularly when assessed as lacking legal capacity, as many interpret it as giving authority over the person.</w:t>
      </w:r>
    </w:p>
    <w:p w14:paraId="59D7200D" w14:textId="77777777" w:rsidR="000837D6" w:rsidRPr="000837D6" w:rsidRDefault="000837D6" w:rsidP="000837D6">
      <w:pPr>
        <w:jc w:val="both"/>
        <w:rPr>
          <w:sz w:val="21"/>
          <w:szCs w:val="21"/>
        </w:rPr>
      </w:pPr>
      <w:r w:rsidRPr="000837D6">
        <w:rPr>
          <w:sz w:val="21"/>
          <w:szCs w:val="21"/>
        </w:rPr>
        <w:t>There is no clear legal framework affirming the right of disabled people to refuse medical treatment or to exercise autonomy in decisions affecting their physical or mental integrity, regardless of diagnosis or support needs. Substitute decision-making remains the norm in situations where individuals are deemed unable to consent. This disproportionately affects people with intellectual or psychosocial disabilities, whose will and preferences are frequently ignored or overridden in favor of clinical or family judgment.</w:t>
      </w:r>
    </w:p>
    <w:p w14:paraId="2CF575DB" w14:textId="77777777" w:rsidR="000837D6" w:rsidRPr="000837D6" w:rsidRDefault="000837D6" w:rsidP="000837D6">
      <w:pPr>
        <w:jc w:val="both"/>
        <w:rPr>
          <w:sz w:val="21"/>
          <w:szCs w:val="21"/>
        </w:rPr>
      </w:pPr>
      <w:r w:rsidRPr="000837D6">
        <w:rPr>
          <w:sz w:val="21"/>
          <w:szCs w:val="21"/>
        </w:rPr>
        <w:t>Concern arises for children and women with disabilities. There are no explicit prohibitions against irreversible or non-therapeutic interventions such as forced sterilization, hysterectomy, or aversive behavioral treatments. Furthermore, the law does not adequately protect against discriminatory practices that restrict bodily autonomy based on impairment, diagnosis, or perceived risk. These gaps expose certain groups, especially those in institutional or dependent living situations, to heightened vulnerability and loss of control over their bodies.</w:t>
      </w:r>
    </w:p>
    <w:p w14:paraId="5FB711F2" w14:textId="77777777" w:rsidR="000837D6" w:rsidRPr="000837D6" w:rsidRDefault="000837D6" w:rsidP="000837D6">
      <w:pPr>
        <w:jc w:val="both"/>
        <w:rPr>
          <w:sz w:val="21"/>
          <w:szCs w:val="21"/>
        </w:rPr>
      </w:pPr>
      <w:r w:rsidRPr="000837D6">
        <w:rPr>
          <w:sz w:val="21"/>
          <w:szCs w:val="21"/>
        </w:rPr>
        <w:t>Procedures for obtaining informed consent are frequently inaccessible. Disabled people are not always provided with communication supports, simplified information, or the time needed to make informed decisions. Nor are there consistent mechanisms for expressing advanced preferences or appointing personal spokespersons (</w:t>
      </w:r>
      <w:proofErr w:type="spellStart"/>
      <w:r w:rsidRPr="000837D6">
        <w:rPr>
          <w:i/>
          <w:iCs/>
          <w:sz w:val="21"/>
          <w:szCs w:val="21"/>
        </w:rPr>
        <w:t>persónulegur</w:t>
      </w:r>
      <w:proofErr w:type="spellEnd"/>
      <w:r w:rsidRPr="000837D6">
        <w:rPr>
          <w:i/>
          <w:iCs/>
          <w:sz w:val="21"/>
          <w:szCs w:val="21"/>
        </w:rPr>
        <w:t xml:space="preserve"> </w:t>
      </w:r>
      <w:proofErr w:type="spellStart"/>
      <w:r w:rsidRPr="000837D6">
        <w:rPr>
          <w:i/>
          <w:iCs/>
          <w:sz w:val="21"/>
          <w:szCs w:val="21"/>
        </w:rPr>
        <w:t>talsmaður</w:t>
      </w:r>
      <w:proofErr w:type="spellEnd"/>
      <w:r w:rsidRPr="000837D6">
        <w:rPr>
          <w:sz w:val="21"/>
          <w:szCs w:val="21"/>
        </w:rPr>
        <w:t>) in health care contexts. This lack of structural support results in routine violations of the right to integrity under the guise of care or protection.</w:t>
      </w:r>
    </w:p>
    <w:p w14:paraId="0D386462" w14:textId="77777777" w:rsidR="000837D6" w:rsidRPr="000837D6" w:rsidRDefault="000837D6" w:rsidP="000837D6">
      <w:pPr>
        <w:jc w:val="both"/>
        <w:rPr>
          <w:sz w:val="21"/>
          <w:szCs w:val="21"/>
        </w:rPr>
      </w:pPr>
      <w:r w:rsidRPr="000837D6">
        <w:rPr>
          <w:sz w:val="21"/>
          <w:szCs w:val="21"/>
        </w:rPr>
        <w:t xml:space="preserve">Moreover, there is a weak coordinated system for collecting data on violations of physical or mental integrity against disabled people. Allegations of non-consensual treatment, disrespect of bodily autonomy, or harmful practices are rarely documented or investigated from a human rights </w:t>
      </w:r>
      <w:r w:rsidRPr="000837D6">
        <w:rPr>
          <w:sz w:val="21"/>
          <w:szCs w:val="21"/>
        </w:rPr>
        <w:lastRenderedPageBreak/>
        <w:t>perspective. The ineffectiveness of visibility, accountability, and participatory review in current mechanisms further undermines efforts to realize the right to integrity.</w:t>
      </w:r>
    </w:p>
    <w:p w14:paraId="476FB38E" w14:textId="77777777" w:rsidR="000837D6" w:rsidRPr="000837D6" w:rsidRDefault="000837D6" w:rsidP="000837D6">
      <w:pPr>
        <w:jc w:val="both"/>
        <w:rPr>
          <w:sz w:val="21"/>
          <w:szCs w:val="21"/>
        </w:rPr>
      </w:pPr>
      <w:r w:rsidRPr="000837D6">
        <w:rPr>
          <w:sz w:val="21"/>
          <w:szCs w:val="21"/>
        </w:rPr>
        <w:t>Overall, the current legal and institutional arrangements fail to uphold the principle that all disabled people have the right to control what happens to their bodies. A shift is needed from substituted decision-making and coercive practices to rights-based frameworks grounded in consent, autonomy, and support for individual choice.</w:t>
      </w:r>
    </w:p>
    <w:p w14:paraId="58DF258F" w14:textId="354864D0" w:rsidR="003F20FD" w:rsidRDefault="003F20FD">
      <w:pPr>
        <w:rPr>
          <w:sz w:val="21"/>
          <w:szCs w:val="21"/>
        </w:rPr>
      </w:pPr>
      <w:r>
        <w:rPr>
          <w:sz w:val="21"/>
          <w:szCs w:val="21"/>
        </w:rPr>
        <w:br w:type="page"/>
      </w:r>
    </w:p>
    <w:p w14:paraId="1BD3BF0C" w14:textId="77777777" w:rsidR="00A94AEC" w:rsidRPr="00A94AEC" w:rsidRDefault="00A94AEC" w:rsidP="00393567">
      <w:pPr>
        <w:pStyle w:val="Heading1"/>
      </w:pPr>
      <w:bookmarkStart w:id="17" w:name="_Toc202095945"/>
      <w:r w:rsidRPr="00A94AEC">
        <w:lastRenderedPageBreak/>
        <w:t>Article 18: Liberty of movement and nationality</w:t>
      </w:r>
      <w:bookmarkEnd w:id="17"/>
    </w:p>
    <w:p w14:paraId="2554FA37" w14:textId="4C59F0A5" w:rsidR="00A94AEC" w:rsidRPr="00A94AEC" w:rsidRDefault="00BD48D3" w:rsidP="00393567">
      <w:pPr>
        <w:pStyle w:val="Heading2"/>
      </w:pPr>
      <w:r>
        <w:t>Knowledge status and research gaps</w:t>
      </w:r>
    </w:p>
    <w:p w14:paraId="480FD510" w14:textId="77777777" w:rsidR="00A94AEC" w:rsidRPr="00A94AEC" w:rsidRDefault="00A94AEC" w:rsidP="00A94AEC">
      <w:pPr>
        <w:jc w:val="both"/>
        <w:rPr>
          <w:sz w:val="21"/>
          <w:szCs w:val="21"/>
        </w:rPr>
      </w:pPr>
      <w:r w:rsidRPr="00A94AEC">
        <w:rPr>
          <w:sz w:val="21"/>
          <w:szCs w:val="21"/>
        </w:rPr>
        <w:t>There is little to no research in Iceland on how disabled people exercise their rights to liberty of movement, access to identification, and acquisition of nationality. While some isolated cases have highlighted difficulties, such as problems in obtaining electronic ID cards or travel documents, there is no comprehensive understanding of how these barriers affect different groups, particularly people with intellectual or psychosocial disabilities. Similarly, there is a lack of systematic attention to the rights of disabled people who seek asylum, residence, or naturalization, despite indications that disability is often overlooked in these procedures. Legal provisions on legal capacity may further restrict individuals’ ability to travel, apply for documentation, or determine their place of residence independently. The absence of disaggregated data, participatory research, and policy evaluation in this area constitutes a major knowledge gap in assessing compliance with Article 18 of the CRPD.</w:t>
      </w:r>
    </w:p>
    <w:p w14:paraId="226DB2C9" w14:textId="2279AEC0" w:rsidR="00A94AEC" w:rsidRPr="00A94AEC" w:rsidRDefault="00BD48D3" w:rsidP="00A94AEC">
      <w:pPr>
        <w:spacing w:after="0"/>
        <w:jc w:val="both"/>
        <w:rPr>
          <w:rFonts w:ascii="Calibri" w:hAnsi="Calibri" w:cs="Calibri"/>
          <w:b/>
          <w:bCs/>
          <w:color w:val="4C94D8" w:themeColor="text2" w:themeTint="80"/>
          <w:sz w:val="26"/>
          <w:szCs w:val="26"/>
        </w:rPr>
      </w:pPr>
      <w:r>
        <w:rPr>
          <w:rFonts w:ascii="Calibri" w:hAnsi="Calibri" w:cs="Calibri"/>
          <w:b/>
          <w:bCs/>
          <w:color w:val="4C94D8" w:themeColor="text2" w:themeTint="80"/>
          <w:sz w:val="26"/>
          <w:szCs w:val="26"/>
        </w:rPr>
        <w:t>Key findings and reasons for concern</w:t>
      </w:r>
    </w:p>
    <w:p w14:paraId="6570990A" w14:textId="77777777" w:rsidR="00A94AEC" w:rsidRPr="00A94AEC" w:rsidRDefault="00A94AEC" w:rsidP="00A94AEC">
      <w:pPr>
        <w:jc w:val="both"/>
        <w:rPr>
          <w:sz w:val="21"/>
          <w:szCs w:val="21"/>
        </w:rPr>
      </w:pPr>
      <w:r w:rsidRPr="00A94AEC">
        <w:rPr>
          <w:sz w:val="21"/>
          <w:szCs w:val="21"/>
        </w:rPr>
        <w:t xml:space="preserve">Disabled people in Iceland face </w:t>
      </w:r>
      <w:proofErr w:type="gramStart"/>
      <w:r w:rsidRPr="00A94AEC">
        <w:rPr>
          <w:sz w:val="21"/>
          <w:szCs w:val="21"/>
        </w:rPr>
        <w:t>a number of</w:t>
      </w:r>
      <w:proofErr w:type="gramEnd"/>
      <w:r w:rsidRPr="00A94AEC">
        <w:rPr>
          <w:sz w:val="21"/>
          <w:szCs w:val="21"/>
        </w:rPr>
        <w:t xml:space="preserve"> practical and legal barriers to exercising their rights under Article 18, including liberty of movement, the right to a nationality, and access to identity documentation. These barriers disproportionately affect persons with intellectual or psychosocial disabilities and people with mobility and visual impairments who are supported with the use of e.g. wheelchairs and guiding dogs, as well as disabled migrants and asylum seekers.</w:t>
      </w:r>
    </w:p>
    <w:p w14:paraId="2BAC1489" w14:textId="77777777" w:rsidR="00A94AEC" w:rsidRPr="00A94AEC" w:rsidRDefault="00A94AEC" w:rsidP="00A94AEC">
      <w:pPr>
        <w:jc w:val="both"/>
        <w:rPr>
          <w:sz w:val="21"/>
          <w:szCs w:val="21"/>
        </w:rPr>
      </w:pPr>
      <w:r w:rsidRPr="00A94AEC">
        <w:rPr>
          <w:sz w:val="21"/>
          <w:szCs w:val="21"/>
        </w:rPr>
        <w:t>One area of concern relates to the difficulty some individuals experience in accessing electronic identification, such as digital certificates or ID cards. Systems used for authentication and access to public services are often not designed with accessibility in mind and may rely on methods that exclude those with intellectual impairments or communication barriers. For example, some individuals require third-party authorization or assistance to complete identity verification processes, which can create dependency and undermine autonomy.</w:t>
      </w:r>
    </w:p>
    <w:p w14:paraId="039CA7EF" w14:textId="77777777" w:rsidR="00A94AEC" w:rsidRPr="00A94AEC" w:rsidRDefault="00A94AEC" w:rsidP="00A94AEC">
      <w:pPr>
        <w:jc w:val="both"/>
        <w:rPr>
          <w:sz w:val="21"/>
          <w:szCs w:val="21"/>
        </w:rPr>
      </w:pPr>
      <w:r w:rsidRPr="00A94AEC">
        <w:rPr>
          <w:sz w:val="21"/>
          <w:szCs w:val="21"/>
        </w:rPr>
        <w:t>Another concern involves the legal and practical impact of guardianship or limited legal capacity on freedom of movement. People placed under guardianship may be unable to travel, register a change of address, or apply for identification documents without consent from their guardian. This can result in de facto restrictions on their liberty and impede the exercise of basic civil and social rights, including the right to choose one’s residence.</w:t>
      </w:r>
    </w:p>
    <w:p w14:paraId="2BE33F56" w14:textId="77777777" w:rsidR="00A94AEC" w:rsidRPr="00A94AEC" w:rsidRDefault="00A94AEC" w:rsidP="00A94AEC">
      <w:pPr>
        <w:jc w:val="both"/>
        <w:rPr>
          <w:sz w:val="21"/>
          <w:szCs w:val="21"/>
        </w:rPr>
      </w:pPr>
      <w:r w:rsidRPr="00A94AEC">
        <w:rPr>
          <w:sz w:val="21"/>
          <w:szCs w:val="21"/>
        </w:rPr>
        <w:t>In the context of migration and asylum, there is evidence that the specific circumstances and needs of disabled people are frequently overlooked. Disability is not consistently considered in the assessment of vulnerability, procedural accommodations are rarely provided, and the CRPD is often absent from decision-making frameworks. As a result, disabled people seeking international protection may receive unequal or unjust treatment, including insufficient support to communicate their case or challenge adverse decisions.</w:t>
      </w:r>
    </w:p>
    <w:p w14:paraId="480192F8" w14:textId="77777777" w:rsidR="00A94AEC" w:rsidRPr="00A94AEC" w:rsidRDefault="00A94AEC" w:rsidP="00A94AEC">
      <w:pPr>
        <w:jc w:val="both"/>
        <w:rPr>
          <w:sz w:val="21"/>
          <w:szCs w:val="21"/>
        </w:rPr>
      </w:pPr>
      <w:r w:rsidRPr="00A94AEC">
        <w:rPr>
          <w:sz w:val="21"/>
          <w:szCs w:val="21"/>
        </w:rPr>
        <w:t xml:space="preserve">Furthermore, there is no legal obligation to disaggregate data on registration, documentation, or migration outcomes by disability. This lack of transparency hinders accountability and prevents </w:t>
      </w:r>
      <w:r w:rsidRPr="00A94AEC">
        <w:rPr>
          <w:sz w:val="21"/>
          <w:szCs w:val="21"/>
        </w:rPr>
        <w:lastRenderedPageBreak/>
        <w:t xml:space="preserve">public authorities from identifying and addressing systemic disadvantages faced by disabled people. The total lack of appropriate planning and accommodation, and use of force and coercion, e.g., restraint to metal chairs, during evacuation orders of disabled asylum seekers has the potential to result in degrading, traumatic, and harmful treatment.   </w:t>
      </w:r>
    </w:p>
    <w:p w14:paraId="7F700DEE" w14:textId="77777777" w:rsidR="00A94AEC" w:rsidRDefault="00A94AEC" w:rsidP="00A94AEC">
      <w:pPr>
        <w:jc w:val="both"/>
        <w:rPr>
          <w:sz w:val="21"/>
          <w:szCs w:val="21"/>
        </w:rPr>
      </w:pPr>
      <w:r w:rsidRPr="00A94AEC">
        <w:rPr>
          <w:sz w:val="21"/>
          <w:szCs w:val="21"/>
        </w:rPr>
        <w:t>Disabled people also face significant barriers to internal mobility and participation in tourism and recreational travel. The travel and tourism industry in Iceland does not systematically account for the needs of disabled people, resulting in widespread exclusion. There are no accessible public transport options from Keflavík Airport to Reykjavík, and infrastructure along popular travel routes—such as the Ring Road—remains largely inaccessible. Accommodation, transport services, and tourism activities rarely provide the necessary adaptations for mobility or sensory impairments. As a result, disabled people are effectively prevented from exploring their own country or taking part in leisure travel on an equal basis with others. These conditions reflect not only a failure of physical accessibility but also a broader lack of inclusion and planning across the tourism and transport sectors.</w:t>
      </w:r>
    </w:p>
    <w:p w14:paraId="1F529A02" w14:textId="2DC792AF" w:rsidR="00FC6010" w:rsidRDefault="00FC6010">
      <w:pPr>
        <w:rPr>
          <w:sz w:val="21"/>
          <w:szCs w:val="21"/>
        </w:rPr>
      </w:pPr>
      <w:r>
        <w:rPr>
          <w:sz w:val="21"/>
          <w:szCs w:val="21"/>
        </w:rPr>
        <w:br w:type="page"/>
      </w:r>
    </w:p>
    <w:p w14:paraId="219B8558" w14:textId="77777777" w:rsidR="00156BA7" w:rsidRPr="00156BA7" w:rsidRDefault="00156BA7" w:rsidP="00393567">
      <w:pPr>
        <w:pStyle w:val="Heading1"/>
      </w:pPr>
      <w:bookmarkStart w:id="18" w:name="_Toc202095946"/>
      <w:r w:rsidRPr="00156BA7">
        <w:lastRenderedPageBreak/>
        <w:t>Article 19: Living independently and being included in the community</w:t>
      </w:r>
      <w:bookmarkEnd w:id="18"/>
    </w:p>
    <w:p w14:paraId="66573425" w14:textId="76AF9E76" w:rsidR="00156BA7" w:rsidRPr="00156BA7" w:rsidRDefault="00BD48D3" w:rsidP="00393567">
      <w:pPr>
        <w:pStyle w:val="Heading2"/>
      </w:pPr>
      <w:r>
        <w:t>Knowledge status and research gaps</w:t>
      </w:r>
    </w:p>
    <w:p w14:paraId="3A784B9B" w14:textId="77777777" w:rsidR="00156BA7" w:rsidRPr="00156BA7" w:rsidRDefault="00156BA7" w:rsidP="00156BA7">
      <w:pPr>
        <w:jc w:val="both"/>
        <w:rPr>
          <w:sz w:val="21"/>
          <w:szCs w:val="21"/>
        </w:rPr>
      </w:pPr>
      <w:r w:rsidRPr="00156BA7">
        <w:rPr>
          <w:sz w:val="21"/>
          <w:szCs w:val="21"/>
        </w:rPr>
        <w:t>The right to live independently and be included in the community received growing attention in policy discussions and academic work between 2010-2020, with the introduction of personal assistance schemes. The implementation of Article 19 of the CRPD remains, however, fragmented and inconsistent, with significant regional disparities and unclear entitlements under domestic law. Academic contributions from the Centre have critically examined these issues, including barriers to accessing user-controlled personal assistance (NPA), exclusion of specific disability groups, and systemic disincentives within the welfare administration. Despite this, there is a notable lack of longitudinal and population-level studies that measure access to community-based services across impairment types, marginalized groups, and geographic areas, and how the right to independent living and inclusion interact with Article 5. There is also limited data on deinstitutionalization and the lived experiences of people with intellectual or psychosocial disabilities under current service frameworks. Further research is needed to evaluate how Iceland’s social infrastructure supports or hinders Article 19 implementation across life stages, with particular attention to intersectionality, gender, and rural–urban divides.</w:t>
      </w:r>
    </w:p>
    <w:p w14:paraId="33F93CD2" w14:textId="5F20FBEF" w:rsidR="00156BA7" w:rsidRPr="00156BA7" w:rsidRDefault="00BD48D3" w:rsidP="00156BA7">
      <w:pPr>
        <w:spacing w:after="0"/>
        <w:jc w:val="both"/>
        <w:rPr>
          <w:rFonts w:ascii="Calibri" w:hAnsi="Calibri" w:cs="Calibri"/>
          <w:b/>
          <w:bCs/>
          <w:color w:val="4C94D8" w:themeColor="text2" w:themeTint="80"/>
          <w:sz w:val="26"/>
          <w:szCs w:val="26"/>
        </w:rPr>
      </w:pPr>
      <w:r>
        <w:rPr>
          <w:rFonts w:ascii="Calibri" w:hAnsi="Calibri" w:cs="Calibri"/>
          <w:b/>
          <w:bCs/>
          <w:color w:val="4C94D8" w:themeColor="text2" w:themeTint="80"/>
          <w:sz w:val="26"/>
          <w:szCs w:val="26"/>
        </w:rPr>
        <w:t>Key findings and reasons for concern</w:t>
      </w:r>
    </w:p>
    <w:p w14:paraId="7B9F1103" w14:textId="77777777" w:rsidR="00156BA7" w:rsidRPr="00156BA7" w:rsidRDefault="00156BA7" w:rsidP="00156BA7">
      <w:pPr>
        <w:jc w:val="both"/>
        <w:rPr>
          <w:sz w:val="21"/>
          <w:szCs w:val="21"/>
        </w:rPr>
      </w:pPr>
      <w:r w:rsidRPr="00156BA7">
        <w:rPr>
          <w:sz w:val="21"/>
          <w:szCs w:val="21"/>
        </w:rPr>
        <w:t xml:space="preserve">Despite the formal recognition of the right to independent living in Icelandic law, including the ratification and domestic incorporation of the CRPD, the actual implementation of Article 19 remains limited and highly unequal. Access to user-controlled personal assistance (NPA), which is a critical mechanism for realizing this right, is severely restricted: only a small number of individuals benefit from NPA, and the criteria for eligibility are inconsistently applied across municipalities. There are no legally enforceable individual entitlements, and many disabled people, especially those with intellectual or psychosocial disabilities, are </w:t>
      </w:r>
      <w:proofErr w:type="gramStart"/>
      <w:r w:rsidRPr="00156BA7">
        <w:rPr>
          <w:sz w:val="21"/>
          <w:szCs w:val="21"/>
        </w:rPr>
        <w:t>more or less excluded</w:t>
      </w:r>
      <w:proofErr w:type="gramEnd"/>
      <w:r w:rsidRPr="00156BA7">
        <w:rPr>
          <w:sz w:val="21"/>
          <w:szCs w:val="21"/>
        </w:rPr>
        <w:t xml:space="preserve"> from the scheme altogether.</w:t>
      </w:r>
    </w:p>
    <w:p w14:paraId="205CA04B" w14:textId="77777777" w:rsidR="00156BA7" w:rsidRPr="00156BA7" w:rsidRDefault="00156BA7" w:rsidP="00156BA7">
      <w:pPr>
        <w:jc w:val="both"/>
        <w:rPr>
          <w:sz w:val="21"/>
          <w:szCs w:val="21"/>
        </w:rPr>
      </w:pPr>
      <w:r w:rsidRPr="00156BA7">
        <w:rPr>
          <w:sz w:val="21"/>
          <w:szCs w:val="21"/>
        </w:rPr>
        <w:t>There is a widespread lack of legal clarity regarding who qualifies for support and how assistance should be structured and funded. The division of responsibilities between the State and municipalities has led to administrative deadlock, financial disputes, and inaction, resulting in long waiting times, frequent postponement of legal rights to support, and significant regional disparities. People living in rural or small municipalities are often unable to access any form of meaningful support that would enable them to live independently.</w:t>
      </w:r>
    </w:p>
    <w:p w14:paraId="1C7E2EFF" w14:textId="77777777" w:rsidR="00156BA7" w:rsidRPr="00156BA7" w:rsidRDefault="00156BA7" w:rsidP="00156BA7">
      <w:pPr>
        <w:jc w:val="both"/>
        <w:rPr>
          <w:sz w:val="21"/>
          <w:szCs w:val="21"/>
        </w:rPr>
      </w:pPr>
      <w:r w:rsidRPr="00156BA7">
        <w:rPr>
          <w:sz w:val="21"/>
          <w:szCs w:val="21"/>
        </w:rPr>
        <w:t>Moreover, the implementation model implicitly favors those who can act as employers and manage staff directly, creating indirect discrimination against those who require support in organizing or communicating their needs. This includes many people with intellectual disabilities, those experiencing mental distress, or individuals who face language and cultural barriers. Iceland currently lacks appropriate co-management models or individualized service planning frameworks that would make Article 19 realizable for these groups.</w:t>
      </w:r>
    </w:p>
    <w:p w14:paraId="2FDDA6A2" w14:textId="77777777" w:rsidR="00156BA7" w:rsidRPr="00156BA7" w:rsidRDefault="00156BA7" w:rsidP="00156BA7">
      <w:pPr>
        <w:jc w:val="both"/>
        <w:rPr>
          <w:sz w:val="21"/>
          <w:szCs w:val="21"/>
        </w:rPr>
      </w:pPr>
      <w:r w:rsidRPr="00156BA7">
        <w:rPr>
          <w:sz w:val="21"/>
          <w:szCs w:val="21"/>
        </w:rPr>
        <w:t xml:space="preserve">Despite Iceland’s formal commitment to deinstitutionalization, the State has not adopted a comprehensive national strategy or action plan to phase out institutional care. Various forms of institutionalization persist, including residential units with restrictive environments, limited </w:t>
      </w:r>
      <w:r w:rsidRPr="00156BA7">
        <w:rPr>
          <w:sz w:val="21"/>
          <w:szCs w:val="21"/>
        </w:rPr>
        <w:lastRenderedPageBreak/>
        <w:t>autonomy, and dependency-based service models. There is insufficient data on the number of individuals in such settings or on transitions to community-based living. Migrants with weakened cognitive abilities and limited informal care, and those under guardianship, are particularly vulnerable to remaining in institutional or quasi-institutional arrangements, in contradiction to the core principles of Article 19 and General Comment No. 5.</w:t>
      </w:r>
    </w:p>
    <w:p w14:paraId="654E5EF4" w14:textId="77777777" w:rsidR="00156BA7" w:rsidRDefault="00156BA7" w:rsidP="00156BA7">
      <w:pPr>
        <w:jc w:val="both"/>
        <w:rPr>
          <w:sz w:val="21"/>
          <w:szCs w:val="21"/>
        </w:rPr>
      </w:pPr>
      <w:r w:rsidRPr="00156BA7">
        <w:rPr>
          <w:sz w:val="21"/>
          <w:szCs w:val="21"/>
        </w:rPr>
        <w:t>Finally, the monitoring and evaluation of independent living support remain underdeveloped. There is no accessible national registry or disaggregated data collection on the availability, duration, or adequacy of personal assistance or other community-based supports. Without clear benchmarks, a comprehensive action plan, or regular independent review mechanisms, Iceland is at risk of falling short of its obligations under Article 19. This also raises broader concerns under Articles 4(2), 5, and 31 of the CRPD, especially in relation to equality, non-discrimination, and data-informed policy.</w:t>
      </w:r>
    </w:p>
    <w:p w14:paraId="031885AF" w14:textId="68EC5A1F" w:rsidR="00FC6010" w:rsidRDefault="00FC6010">
      <w:pPr>
        <w:rPr>
          <w:sz w:val="21"/>
          <w:szCs w:val="21"/>
        </w:rPr>
      </w:pPr>
      <w:r>
        <w:rPr>
          <w:sz w:val="21"/>
          <w:szCs w:val="21"/>
        </w:rPr>
        <w:br w:type="page"/>
      </w:r>
    </w:p>
    <w:p w14:paraId="265C4B24" w14:textId="159EFA9C" w:rsidR="00235C21" w:rsidRPr="00235C21" w:rsidRDefault="00235C21" w:rsidP="00393567">
      <w:pPr>
        <w:pStyle w:val="Heading1"/>
      </w:pPr>
      <w:bookmarkStart w:id="19" w:name="_Toc202095947"/>
      <w:r w:rsidRPr="00235C21">
        <w:lastRenderedPageBreak/>
        <w:t xml:space="preserve">Article 20: Personal </w:t>
      </w:r>
      <w:r w:rsidR="00393567">
        <w:t>m</w:t>
      </w:r>
      <w:r w:rsidRPr="00235C21">
        <w:t>obility</w:t>
      </w:r>
      <w:bookmarkEnd w:id="19"/>
    </w:p>
    <w:p w14:paraId="3DBB7C45" w14:textId="3E41F37E" w:rsidR="00235C21" w:rsidRPr="00235C21" w:rsidRDefault="00BD48D3" w:rsidP="00393567">
      <w:pPr>
        <w:pStyle w:val="Heading2"/>
      </w:pPr>
      <w:r>
        <w:t>Knowledge status and research gaps</w:t>
      </w:r>
    </w:p>
    <w:p w14:paraId="5C9B34E3" w14:textId="77777777" w:rsidR="00235C21" w:rsidRPr="00235C21" w:rsidRDefault="00235C21" w:rsidP="00235C21">
      <w:pPr>
        <w:jc w:val="both"/>
        <w:rPr>
          <w:sz w:val="21"/>
          <w:szCs w:val="21"/>
        </w:rPr>
      </w:pPr>
      <w:r w:rsidRPr="00235C21">
        <w:rPr>
          <w:sz w:val="21"/>
          <w:szCs w:val="21"/>
        </w:rPr>
        <w:t>Existing research in Iceland has highlighted how access to assistive devices, mobility support, and environmental adaptation plays a critical role in the participation and independence of disabled people, particularly children and youth, and the tender time of growing independence and participation. Studies indicate systemic challenges in obtaining appropriate mobility aids and in receiving personalized support to promote independent movement. Families and users report difficulties navigating fragmented services and unclear entitlement procedures, especially in remote areas.</w:t>
      </w:r>
    </w:p>
    <w:p w14:paraId="4948CFCA" w14:textId="77777777" w:rsidR="00235C21" w:rsidRPr="00235C21" w:rsidRDefault="00235C21" w:rsidP="00235C21">
      <w:pPr>
        <w:jc w:val="both"/>
        <w:rPr>
          <w:sz w:val="21"/>
          <w:szCs w:val="21"/>
        </w:rPr>
      </w:pPr>
      <w:r w:rsidRPr="00235C21">
        <w:rPr>
          <w:sz w:val="21"/>
          <w:szCs w:val="21"/>
        </w:rPr>
        <w:t>Despite these insights, there is no comprehensive national data on personal mobility for disabled people across age groups or impairment types. Little is known about the availability, quality, affordability, and appropriateness of assistive devices, or about the training and support provided to users and professionals. The role of personal assistance, wayfinding systems, and technological innovation in facilitating mobility has not been systematically examined. Moreover, research has yet to evaluate whether public policy and funding frameworks actively promote mobility with the greatest possible independence, as required under Article 20 of the CRPD.</w:t>
      </w:r>
    </w:p>
    <w:p w14:paraId="095864BC" w14:textId="04190260" w:rsidR="00235C21" w:rsidRPr="00235C21" w:rsidRDefault="00BD48D3" w:rsidP="00235C21">
      <w:pPr>
        <w:spacing w:after="0"/>
        <w:jc w:val="both"/>
        <w:rPr>
          <w:rFonts w:ascii="Calibri" w:hAnsi="Calibri" w:cs="Calibri"/>
          <w:b/>
          <w:bCs/>
          <w:color w:val="4C94D8" w:themeColor="text2" w:themeTint="80"/>
          <w:sz w:val="26"/>
          <w:szCs w:val="26"/>
        </w:rPr>
      </w:pPr>
      <w:r>
        <w:rPr>
          <w:rFonts w:ascii="Calibri" w:hAnsi="Calibri" w:cs="Calibri"/>
          <w:b/>
          <w:bCs/>
          <w:color w:val="4C94D8" w:themeColor="text2" w:themeTint="80"/>
          <w:sz w:val="26"/>
          <w:szCs w:val="26"/>
        </w:rPr>
        <w:t>Key findings and reasons for concern</w:t>
      </w:r>
    </w:p>
    <w:p w14:paraId="1F1D2670" w14:textId="77777777" w:rsidR="00235C21" w:rsidRPr="00235C21" w:rsidRDefault="00235C21" w:rsidP="00235C21">
      <w:pPr>
        <w:jc w:val="both"/>
        <w:rPr>
          <w:sz w:val="21"/>
          <w:szCs w:val="21"/>
        </w:rPr>
      </w:pPr>
      <w:r w:rsidRPr="00235C21">
        <w:rPr>
          <w:sz w:val="21"/>
          <w:szCs w:val="21"/>
        </w:rPr>
        <w:t>Despite formal entitlements under health and welfare legislation, disabled people in Iceland continue to face structural and practical barriers to personal mobility. These barriers manifest across multiple dimensions: access to assistive devices, adapted vehicles, public transport, support services, and the enabling environment.</w:t>
      </w:r>
    </w:p>
    <w:p w14:paraId="3C585B9F" w14:textId="77777777" w:rsidR="00235C21" w:rsidRPr="00235C21" w:rsidRDefault="00235C21" w:rsidP="00235C21">
      <w:pPr>
        <w:jc w:val="both"/>
        <w:rPr>
          <w:sz w:val="21"/>
          <w:szCs w:val="21"/>
        </w:rPr>
      </w:pPr>
      <w:r w:rsidRPr="00235C21">
        <w:rPr>
          <w:sz w:val="21"/>
          <w:szCs w:val="21"/>
        </w:rPr>
        <w:t>Many users report difficulty obtaining appropriate assistive technology, including mobility aids, vision and hearing devices, and communication tools. The process for acquiring such devices is often bureaucratic, fragmented, and poorly coordinated between healthcare providers and workers, funding agencies, social institutions, and municipalities. Delays in delivery, lack of personalization, limited repair services, and insufficient guidance further undermine the usability and effectiveness of the support provided.</w:t>
      </w:r>
    </w:p>
    <w:p w14:paraId="24BFC0CC" w14:textId="77777777" w:rsidR="00235C21" w:rsidRPr="00235C21" w:rsidRDefault="00235C21" w:rsidP="00235C21">
      <w:pPr>
        <w:jc w:val="both"/>
        <w:rPr>
          <w:sz w:val="21"/>
          <w:szCs w:val="21"/>
        </w:rPr>
      </w:pPr>
      <w:r w:rsidRPr="00235C21">
        <w:rPr>
          <w:sz w:val="21"/>
          <w:szCs w:val="21"/>
        </w:rPr>
        <w:t xml:space="preserve">Geographical disparities persist, especially outside the capital region, where service infrastructure is weaker and fewer professionals are trained in mobility and assistive technology, as well as limited attention is paid to the need to adapt equipment to different terrains and uses. Even within the healthcare system, there is a lack of investment in public information, user training, and professional capacity building related to mobility skills. </w:t>
      </w:r>
    </w:p>
    <w:p w14:paraId="6B542A5F" w14:textId="77777777" w:rsidR="00235C21" w:rsidRPr="00235C21" w:rsidRDefault="00235C21" w:rsidP="00235C21">
      <w:pPr>
        <w:jc w:val="both"/>
        <w:rPr>
          <w:sz w:val="21"/>
          <w:szCs w:val="21"/>
        </w:rPr>
      </w:pPr>
      <w:r w:rsidRPr="00235C21">
        <w:rPr>
          <w:sz w:val="21"/>
          <w:szCs w:val="21"/>
        </w:rPr>
        <w:t xml:space="preserve">There is no national strategy on personal mobility or assistive technology. Financial support for adapted vehicles and equipment is minimal and often difficult to access. Guidelines for adapted driving are limited, and existing protocols for vehicle modification are outdated, medically driven, and poorly aligned with contemporary standards of personal autonomy, participation, and a human rights approach. Eligibility criteria and decision-making processes are frequently opaque or inconsistent, and individuals may face long waiting periods, denials without explanation, or a lack of qualified support for adaptation and training. Public transport systems remain largely </w:t>
      </w:r>
      <w:r w:rsidRPr="00235C21">
        <w:rPr>
          <w:sz w:val="21"/>
          <w:szCs w:val="21"/>
        </w:rPr>
        <w:lastRenderedPageBreak/>
        <w:t>inaccessible for people with physical, sensory, or cognitive disabilities, both in terms of physical design and lack of reasonable accommodation. There are no formal protocols in place to ensure inclusive licensing, driving tests, or the adaptation of vehicles.</w:t>
      </w:r>
    </w:p>
    <w:p w14:paraId="16EA7DAB" w14:textId="77777777" w:rsidR="00235C21" w:rsidRPr="00235C21" w:rsidRDefault="00235C21" w:rsidP="00235C21">
      <w:pPr>
        <w:jc w:val="both"/>
        <w:rPr>
          <w:sz w:val="21"/>
          <w:szCs w:val="21"/>
        </w:rPr>
      </w:pPr>
      <w:r w:rsidRPr="00235C21">
        <w:rPr>
          <w:sz w:val="21"/>
          <w:szCs w:val="21"/>
        </w:rPr>
        <w:t>Furthermore, Iceland lacks a comprehensive legal and regulatory framework that ensures the right to personal mobility across domains. Accessibility standards in transport, planning, and construction are not uniformly applied or enforced. While legal provisions prohibit discrimination, there is little active oversight of how disabled people experience travel, access services, or exercise autonomy.</w:t>
      </w:r>
    </w:p>
    <w:p w14:paraId="766EF7E5" w14:textId="4D869A6B" w:rsidR="00E57916" w:rsidRPr="006F3412" w:rsidRDefault="00235C21" w:rsidP="006F3412">
      <w:pPr>
        <w:jc w:val="both"/>
        <w:rPr>
          <w:sz w:val="21"/>
          <w:szCs w:val="21"/>
        </w:rPr>
      </w:pPr>
      <w:r w:rsidRPr="00235C21">
        <w:rPr>
          <w:sz w:val="21"/>
          <w:szCs w:val="21"/>
        </w:rPr>
        <w:t xml:space="preserve">No awareness-raising campaigns, regular user consultations, or systematic data collection efforts exist to support evidence-based reforms in this area. Complaints related to personal mobility are rarely tracked or resolved transparently. Across these domains, service models and eligibility assessments remain primarily medically driven rather than </w:t>
      </w:r>
      <w:proofErr w:type="gramStart"/>
      <w:r w:rsidRPr="00235C21">
        <w:rPr>
          <w:sz w:val="21"/>
          <w:szCs w:val="21"/>
        </w:rPr>
        <w:t>rights-based</w:t>
      </w:r>
      <w:proofErr w:type="gramEnd"/>
      <w:r w:rsidRPr="00235C21">
        <w:rPr>
          <w:sz w:val="21"/>
          <w:szCs w:val="21"/>
        </w:rPr>
        <w:t>. This orientation undermines personal autonomy, fails to reflect individual goals and lived realities, and results in systemic mismatches between what disabled people require and what the system delivers. As a result, disabled individuals remain largely excluded from shaping policies that directly affect their independence and quality of life.</w:t>
      </w:r>
      <w:r w:rsidR="00E57916">
        <w:rPr>
          <w:sz w:val="21"/>
          <w:szCs w:val="21"/>
        </w:rPr>
        <w:br w:type="page"/>
      </w:r>
    </w:p>
    <w:p w14:paraId="1322ECD7" w14:textId="4C5F3F55" w:rsidR="008863B1" w:rsidRPr="008863B1" w:rsidRDefault="008863B1" w:rsidP="00393567">
      <w:pPr>
        <w:pStyle w:val="Heading1"/>
      </w:pPr>
      <w:bookmarkStart w:id="20" w:name="_Toc202095948"/>
      <w:r w:rsidRPr="008863B1">
        <w:lastRenderedPageBreak/>
        <w:t xml:space="preserve">Article 21: Freedom of </w:t>
      </w:r>
      <w:r w:rsidR="00393567">
        <w:t>e</w:t>
      </w:r>
      <w:r w:rsidRPr="008863B1">
        <w:t xml:space="preserve">xpression and </w:t>
      </w:r>
      <w:r w:rsidR="00393567">
        <w:t>a</w:t>
      </w:r>
      <w:r w:rsidRPr="008863B1">
        <w:t xml:space="preserve">ccess to </w:t>
      </w:r>
      <w:r w:rsidR="00393567">
        <w:t>i</w:t>
      </w:r>
      <w:r w:rsidRPr="008863B1">
        <w:t>nformation</w:t>
      </w:r>
      <w:bookmarkEnd w:id="20"/>
    </w:p>
    <w:p w14:paraId="3DE4A051" w14:textId="0C2BA0BC" w:rsidR="008863B1" w:rsidRPr="008863B1" w:rsidRDefault="00BD48D3" w:rsidP="00393567">
      <w:pPr>
        <w:pStyle w:val="Heading2"/>
      </w:pPr>
      <w:r>
        <w:t>Knowledge status and research gaps</w:t>
      </w:r>
    </w:p>
    <w:p w14:paraId="06E708DA" w14:textId="77777777" w:rsidR="008863B1" w:rsidRPr="008863B1" w:rsidRDefault="008863B1" w:rsidP="008863B1">
      <w:pPr>
        <w:jc w:val="both"/>
        <w:rPr>
          <w:sz w:val="21"/>
          <w:szCs w:val="21"/>
        </w:rPr>
      </w:pPr>
      <w:r w:rsidRPr="008863B1">
        <w:rPr>
          <w:sz w:val="21"/>
          <w:szCs w:val="21"/>
        </w:rPr>
        <w:t>Limited attention has been given to the full implementation of the right to freedom of expression and access to information for disabled people. While legal provisions exist to promote accessibility, they are often fragmented, inconsistently applied, or focused narrowly on physical and digital infrastructure. Recent academic work has highlighted the exclusion of disabled people, particularly those with intellectual disabilities, from meaningful participation in policymaking, due in part to inaccessible information and non-inclusive communication environments. The lack of structures that support accessible consultation processes remains a major barrier to exercising communication rights. Furthermore, there is insufficient understanding of how formal recognition of alternative communication methods (such as sign language or easy-to-read formats) translates into actual access to information in practice. A critical knowledge gap exists in assessing how well Icelandic authorities facilitate inclusive dialogue and information exchange with disabled people as rights-holders. Research is also lacking on the lived experience of communication barriers in the media, public services, and democratic processes.</w:t>
      </w:r>
    </w:p>
    <w:p w14:paraId="684B3EA7" w14:textId="230498E2" w:rsidR="008863B1" w:rsidRPr="008863B1" w:rsidRDefault="00BD48D3" w:rsidP="008863B1">
      <w:pPr>
        <w:spacing w:after="0"/>
        <w:jc w:val="both"/>
        <w:rPr>
          <w:rFonts w:ascii="Calibri" w:hAnsi="Calibri" w:cs="Calibri"/>
          <w:b/>
          <w:bCs/>
          <w:color w:val="4C94D8" w:themeColor="text2" w:themeTint="80"/>
          <w:sz w:val="26"/>
          <w:szCs w:val="26"/>
        </w:rPr>
      </w:pPr>
      <w:r>
        <w:rPr>
          <w:rFonts w:ascii="Calibri" w:hAnsi="Calibri" w:cs="Calibri"/>
          <w:b/>
          <w:bCs/>
          <w:color w:val="4C94D8" w:themeColor="text2" w:themeTint="80"/>
          <w:sz w:val="26"/>
          <w:szCs w:val="26"/>
        </w:rPr>
        <w:t>Key findings and reasons for concern</w:t>
      </w:r>
    </w:p>
    <w:p w14:paraId="29AF73FF" w14:textId="77777777" w:rsidR="008863B1" w:rsidRPr="008863B1" w:rsidRDefault="008863B1" w:rsidP="008863B1">
      <w:pPr>
        <w:jc w:val="both"/>
        <w:rPr>
          <w:sz w:val="21"/>
          <w:szCs w:val="21"/>
        </w:rPr>
      </w:pPr>
      <w:r w:rsidRPr="008863B1">
        <w:rPr>
          <w:sz w:val="21"/>
          <w:szCs w:val="21"/>
        </w:rPr>
        <w:t>Despite the formal commitment of Iceland to the CRPD, significant challenges remain in ensuring the right of disabled people to freedom of expression and access to information. Structural and attitudinal barriers continue to prevent equal participation in public discourse and democratic processes. One of the most pressing concerns is the lack of consistent use of accessible communication formats in public administration, including sign language interpretation, easy-to-read texts, and alternative augmentative communication (AAC). This gap results in many disabled individuals being effectively excluded from decision-making processes that directly impact their lives.</w:t>
      </w:r>
    </w:p>
    <w:p w14:paraId="4B01C39F" w14:textId="77777777" w:rsidR="008863B1" w:rsidRPr="008863B1" w:rsidRDefault="008863B1" w:rsidP="008863B1">
      <w:pPr>
        <w:jc w:val="both"/>
        <w:rPr>
          <w:sz w:val="21"/>
          <w:szCs w:val="21"/>
        </w:rPr>
      </w:pPr>
      <w:r w:rsidRPr="008863B1">
        <w:rPr>
          <w:sz w:val="21"/>
          <w:szCs w:val="21"/>
        </w:rPr>
        <w:t>Studies of policymaking and consultation in Iceland have shown that government-led engagement with disabled people often falls short of meeting the standards of inclusive and meaningful participation. Consultation practices tend to be top-down, formalistic, and insufficiently adapted to the diverse communicative needs of disabled people. As a result, individuals with intellectual disabilities, complex communication needs, or limited literacy face compounded exclusion and are underrepresented in public debates and consultations. The same goes with the DEAF community.</w:t>
      </w:r>
    </w:p>
    <w:p w14:paraId="1DBA7744" w14:textId="77777777" w:rsidR="008863B1" w:rsidRPr="008863B1" w:rsidRDefault="008863B1" w:rsidP="008863B1">
      <w:pPr>
        <w:jc w:val="both"/>
        <w:rPr>
          <w:sz w:val="21"/>
          <w:szCs w:val="21"/>
        </w:rPr>
      </w:pPr>
      <w:r w:rsidRPr="008863B1">
        <w:rPr>
          <w:sz w:val="21"/>
          <w:szCs w:val="21"/>
        </w:rPr>
        <w:t>There is also a notable lack of training and awareness among public officials about inclusive communication. Public institutions rarely incorporate communication accessibility into their standard procedures, and the provision of accessible information is often treated as a secondary concern or voluntary enhancement, rather than a core obligation. Moreover, Iceland lacks a comprehensive national strategy to promote accessible communication and to develop the infrastructure and human resources required to implement such a strategy, including trained interpreters, communication supporters, and accessible media.</w:t>
      </w:r>
    </w:p>
    <w:p w14:paraId="157E30A4" w14:textId="77777777" w:rsidR="008863B1" w:rsidRPr="008863B1" w:rsidRDefault="008863B1" w:rsidP="008863B1">
      <w:pPr>
        <w:jc w:val="both"/>
        <w:rPr>
          <w:sz w:val="21"/>
          <w:szCs w:val="21"/>
        </w:rPr>
      </w:pPr>
      <w:r w:rsidRPr="008863B1">
        <w:rPr>
          <w:sz w:val="21"/>
          <w:szCs w:val="21"/>
        </w:rPr>
        <w:lastRenderedPageBreak/>
        <w:t>Digital inequality presents another area of concern. Although Iceland ranks high in internet access generally, there are no national monitoring mechanisms to ensure that public websites, online consultations, and emergency information services are fully accessible to all disabled people. As a result, digital services risk reinforcing patterns of exclusion rather than facilitating inclusion.</w:t>
      </w:r>
    </w:p>
    <w:p w14:paraId="251CBB40" w14:textId="77777777" w:rsidR="008863B1" w:rsidRPr="008863B1" w:rsidRDefault="008863B1" w:rsidP="008863B1">
      <w:pPr>
        <w:jc w:val="both"/>
        <w:rPr>
          <w:sz w:val="21"/>
          <w:szCs w:val="21"/>
        </w:rPr>
      </w:pPr>
      <w:r w:rsidRPr="008863B1">
        <w:rPr>
          <w:sz w:val="21"/>
          <w:szCs w:val="21"/>
        </w:rPr>
        <w:t>These shortcomings are in direct tension with Article 21 of the CRPD, which affirms the right of disabled people to seek, receive, and impart information and ideas on an equal basis with others and through all forms of communication of their choice. The absence of proactive measures to ensure this right undermines broader goals of democratic inclusion, transparency, and equal citizenship. It also negatively affects the implementation of Sustainable Development Goals (SDGs), particularly Goal 16 on inclusive and participatory institutions, and Goal 10 on reducing inequalities.</w:t>
      </w:r>
    </w:p>
    <w:p w14:paraId="641573F0" w14:textId="6B5CB98F" w:rsidR="006F6225" w:rsidRDefault="006F6225">
      <w:pPr>
        <w:rPr>
          <w:sz w:val="21"/>
          <w:szCs w:val="21"/>
        </w:rPr>
      </w:pPr>
      <w:r>
        <w:rPr>
          <w:sz w:val="21"/>
          <w:szCs w:val="21"/>
        </w:rPr>
        <w:br w:type="page"/>
      </w:r>
    </w:p>
    <w:p w14:paraId="1624DECE" w14:textId="77777777" w:rsidR="00E476F0" w:rsidRPr="00E476F0" w:rsidRDefault="00E476F0" w:rsidP="00393567">
      <w:pPr>
        <w:pStyle w:val="Heading1"/>
      </w:pPr>
      <w:bookmarkStart w:id="21" w:name="_Toc202095949"/>
      <w:r w:rsidRPr="00E476F0">
        <w:lastRenderedPageBreak/>
        <w:t>Article 22: Respect for privacy, family, home and correspondence</w:t>
      </w:r>
      <w:bookmarkEnd w:id="21"/>
    </w:p>
    <w:p w14:paraId="1F84474D" w14:textId="2DD193D9" w:rsidR="00E476F0" w:rsidRPr="00E476F0" w:rsidRDefault="00BD48D3" w:rsidP="00393567">
      <w:pPr>
        <w:pStyle w:val="Heading2"/>
      </w:pPr>
      <w:r>
        <w:t>Knowledge status and research gaps</w:t>
      </w:r>
    </w:p>
    <w:p w14:paraId="30B00CDF" w14:textId="77777777" w:rsidR="00E476F0" w:rsidRPr="00E476F0" w:rsidRDefault="00E476F0" w:rsidP="00E476F0">
      <w:pPr>
        <w:jc w:val="both"/>
        <w:rPr>
          <w:sz w:val="21"/>
          <w:szCs w:val="21"/>
        </w:rPr>
      </w:pPr>
      <w:r w:rsidRPr="00E476F0">
        <w:rPr>
          <w:sz w:val="21"/>
          <w:szCs w:val="21"/>
        </w:rPr>
        <w:t>There is limited academic and policy-based research in Iceland focusing specifically on the right to privacy for disabled people as articulated in Article 22 of the CRPD. While general legislation on data protection and privacy applies equally to all individuals, there has been little systematic examination of how these protections are applied, or breached, in the context of disabled people, particularly those in residential settings, in social services, or receiving supported decision-making and personal assistance. The Centre has identified a growing concern regarding the making and the circulation of sensitive information about disabled individuals between public systems, often without informed consent or proper safeguards. There is anecdotal evidence suggesting that disabled people may be subjected to lower thresholds of privacy, particularly in care contexts and administrative systems. Despite the centrality of privacy to autonomy and dignity, Icelandic research has rarely explored privacy violations from a disability rights perspective. The few available observations are fragmented and are not part of a larger research framework. There is therefore a critical need for systematic research on privacy practices affecting disabled people, including legal, technological, and cultural dimensions. Priority areas include the role of digital data systems in public services, the legal accountability of professionals, and disabled people’s access to their records.</w:t>
      </w:r>
    </w:p>
    <w:p w14:paraId="6CEA8DD1" w14:textId="2F7563CB" w:rsidR="00E476F0" w:rsidRPr="00E476F0" w:rsidRDefault="00BD48D3" w:rsidP="00E476F0">
      <w:pPr>
        <w:spacing w:after="0"/>
        <w:jc w:val="both"/>
        <w:rPr>
          <w:rFonts w:ascii="Calibri" w:hAnsi="Calibri" w:cs="Calibri"/>
          <w:b/>
          <w:bCs/>
          <w:color w:val="4C94D8" w:themeColor="text2" w:themeTint="80"/>
          <w:sz w:val="26"/>
          <w:szCs w:val="26"/>
        </w:rPr>
      </w:pPr>
      <w:r>
        <w:rPr>
          <w:rFonts w:ascii="Calibri" w:hAnsi="Calibri" w:cs="Calibri"/>
          <w:b/>
          <w:bCs/>
          <w:color w:val="4C94D8" w:themeColor="text2" w:themeTint="80"/>
          <w:sz w:val="26"/>
          <w:szCs w:val="26"/>
        </w:rPr>
        <w:t>Key findings and reasons for concern</w:t>
      </w:r>
    </w:p>
    <w:p w14:paraId="7D4F7DB6" w14:textId="77777777" w:rsidR="00E476F0" w:rsidRPr="00E476F0" w:rsidRDefault="00E476F0" w:rsidP="00E476F0">
      <w:pPr>
        <w:jc w:val="both"/>
        <w:rPr>
          <w:sz w:val="21"/>
          <w:szCs w:val="21"/>
        </w:rPr>
      </w:pPr>
      <w:r w:rsidRPr="00E476F0">
        <w:rPr>
          <w:sz w:val="21"/>
          <w:szCs w:val="21"/>
        </w:rPr>
        <w:t>Available information suggests a troubling lack of safeguards protecting the privacy of disabled people in Iceland, particularly in situations where individuals rely on formal support systems. The absence of systematic monitoring, legal clarity, and enforcement has resulted in recurring patterns where sensitive personal information, such as diagnostic, behavioral, and family-related data, is made and exchanged without meaningful consent. This is especially apparent in the context of personal assistance schemes, residential care, social services, and education.</w:t>
      </w:r>
    </w:p>
    <w:p w14:paraId="6D96B9CF" w14:textId="77777777" w:rsidR="00E476F0" w:rsidRPr="00E476F0" w:rsidRDefault="00E476F0" w:rsidP="00E476F0">
      <w:pPr>
        <w:jc w:val="both"/>
        <w:rPr>
          <w:sz w:val="21"/>
          <w:szCs w:val="21"/>
        </w:rPr>
      </w:pPr>
      <w:r w:rsidRPr="00E476F0">
        <w:rPr>
          <w:sz w:val="21"/>
          <w:szCs w:val="21"/>
        </w:rPr>
        <w:t>Disabled people are often treated as administrative subjects rather than rights-holders when it comes to the protection of personal data. Casework from advocacy services and informal documentation from user-led organizations indicate that data about disabled individuals are routinely shared between municipalities, service providers, and professionals, including psychologists, social workers, and support personnel. In many cases, individuals are not informed that their data is being processed, nor are they given access to the information that shapes key decisions about their lives. Where consent is formally obtained, it is often not based on accessible information or supported decision-making processes.</w:t>
      </w:r>
    </w:p>
    <w:p w14:paraId="4A631C6E" w14:textId="77777777" w:rsidR="00E476F0" w:rsidRPr="00E476F0" w:rsidRDefault="00E476F0" w:rsidP="00E476F0">
      <w:pPr>
        <w:jc w:val="both"/>
        <w:rPr>
          <w:sz w:val="21"/>
          <w:szCs w:val="21"/>
        </w:rPr>
      </w:pPr>
      <w:r w:rsidRPr="00E476F0">
        <w:rPr>
          <w:sz w:val="21"/>
          <w:szCs w:val="21"/>
        </w:rPr>
        <w:t>In institutional or semi-institutional settings, respect for privacy is even more tenuous. Reports point to untrained staff writing and reading personal correspondence, controlling access to communication devices, or requiring disclosure of private matters during assessments or case management. The blurred boundaries between care, control, and surveillance are rarely interrogated. This is particularly problematic in services for people with intellectual disabilities or psychosocial impairments, where unequal power relations and paternalistic assumptions may normalize intrusions into privacy.</w:t>
      </w:r>
    </w:p>
    <w:p w14:paraId="574686E5" w14:textId="77777777" w:rsidR="00E476F0" w:rsidRPr="00E476F0" w:rsidRDefault="00E476F0" w:rsidP="00E476F0">
      <w:pPr>
        <w:jc w:val="both"/>
        <w:rPr>
          <w:sz w:val="21"/>
          <w:szCs w:val="21"/>
        </w:rPr>
      </w:pPr>
      <w:r w:rsidRPr="00E476F0">
        <w:rPr>
          <w:sz w:val="21"/>
          <w:szCs w:val="21"/>
        </w:rPr>
        <w:lastRenderedPageBreak/>
        <w:t>Digitalization and data-sharing policies have introduced new risks. While Iceland has modern data protection laws, implementation gaps persist in municipal services, education systems, and community-based care. Disabled people using assistive technologies or remote services may face additional privacy threats that have not been assessed or addressed through a disability lens. There is also no systematic process for ensuring that consent procedures are inclusive and accessible for individuals who communicate in non-traditional ways or require communication support.</w:t>
      </w:r>
    </w:p>
    <w:p w14:paraId="47B1DE5A" w14:textId="77777777" w:rsidR="00E476F0" w:rsidRPr="00E476F0" w:rsidRDefault="00E476F0" w:rsidP="00E476F0">
      <w:pPr>
        <w:jc w:val="both"/>
        <w:rPr>
          <w:sz w:val="21"/>
          <w:szCs w:val="21"/>
        </w:rPr>
      </w:pPr>
      <w:r w:rsidRPr="00E476F0">
        <w:rPr>
          <w:sz w:val="21"/>
          <w:szCs w:val="21"/>
        </w:rPr>
        <w:t>These patterns raise significant concerns under Article 22 of the CRPD, which establishes the right of all disabled people to legal protection against arbitrary or unlawful interference with privacy, family, home, or correspondence. Furthermore, these shortcomings undermine related obligations under Articles 12, 16, and 31. They also obstruct progress on Sustainable Development Goal (SDG) 16.10, which commits States to ensure public access to information and protect fundamental freedoms in accordance with international agreements.</w:t>
      </w:r>
    </w:p>
    <w:p w14:paraId="0DABF066" w14:textId="77777777" w:rsidR="00E476F0" w:rsidRDefault="00E476F0" w:rsidP="00E476F0">
      <w:pPr>
        <w:jc w:val="both"/>
        <w:rPr>
          <w:sz w:val="21"/>
          <w:szCs w:val="21"/>
        </w:rPr>
      </w:pPr>
      <w:r w:rsidRPr="00E476F0">
        <w:rPr>
          <w:sz w:val="21"/>
          <w:szCs w:val="21"/>
        </w:rPr>
        <w:t>The lack of targeted research, the absence of institutional scrutiny, and weak accountability mechanisms all point to a systemic gap in the implementation of Article 22 in Iceland. Without urgent action, the privacy rights of disabled people will continue to be treated as secondary, contingent, or waived in the name of care, efficiency, or professional discretion.</w:t>
      </w:r>
    </w:p>
    <w:p w14:paraId="45BE0AFF" w14:textId="4F4B64F7" w:rsidR="00FC6010" w:rsidRDefault="00FC6010">
      <w:pPr>
        <w:rPr>
          <w:sz w:val="21"/>
          <w:szCs w:val="21"/>
        </w:rPr>
      </w:pPr>
      <w:r>
        <w:rPr>
          <w:sz w:val="21"/>
          <w:szCs w:val="21"/>
        </w:rPr>
        <w:br w:type="page"/>
      </w:r>
    </w:p>
    <w:p w14:paraId="1C1C86BE" w14:textId="77777777" w:rsidR="00544592" w:rsidRPr="00544592" w:rsidRDefault="00544592" w:rsidP="00393567">
      <w:pPr>
        <w:pStyle w:val="Heading1"/>
      </w:pPr>
      <w:bookmarkStart w:id="22" w:name="_Toc202095950"/>
      <w:r w:rsidRPr="00544592">
        <w:lastRenderedPageBreak/>
        <w:t>Article 23: Right to home and family life</w:t>
      </w:r>
      <w:bookmarkEnd w:id="22"/>
    </w:p>
    <w:p w14:paraId="0D69E598" w14:textId="12493B0F" w:rsidR="00544592" w:rsidRPr="00544592" w:rsidRDefault="00BD48D3" w:rsidP="00393567">
      <w:pPr>
        <w:pStyle w:val="Heading2"/>
      </w:pPr>
      <w:r>
        <w:t>Knowledge status and research gaps</w:t>
      </w:r>
    </w:p>
    <w:p w14:paraId="32999F08" w14:textId="77777777" w:rsidR="00544592" w:rsidRPr="00544592" w:rsidRDefault="00544592" w:rsidP="00544592">
      <w:pPr>
        <w:jc w:val="both"/>
        <w:rPr>
          <w:sz w:val="21"/>
          <w:szCs w:val="21"/>
        </w:rPr>
      </w:pPr>
      <w:r w:rsidRPr="00544592">
        <w:rPr>
          <w:sz w:val="21"/>
          <w:szCs w:val="21"/>
        </w:rPr>
        <w:t>In recent years, Icelandic academic research has increasingly explored the challenges faced by disabled people in exercising their right to home and family life. Particular attention has been given to the experiences of parents with intellectual disabilities and their interactions with child protection and judicial systems. This research highlights systemic barriers and persistent assumptions of parental unfitness that may result in discriminatory practices. It also draws attention to the lack of appropriate support measures and the emphasis placed on individual autonomy rather than interdependence in the context of parenting. The Centre has contributed to expanding this body of knowledge through empirical studies and rights-based analyses that align with the principles of the CRPD. However, important gaps remain. There is limited systematic data on how many disabled parents receive adequate support or how many have lost custody of their children due to disability-related factors. Research on parents with physical, sensory, or psychosocial disabilities is scarce, and the rights of disabled children to grow up in family settings have received little academic attention. Further research is needed to evaluate the effectiveness of state support services for disabled parents, to better understand the intersection of disability and family law, and to examine how legal and social systems uphold or undermine the right to family life for disabled individuals and their children.</w:t>
      </w:r>
    </w:p>
    <w:p w14:paraId="4A76D331" w14:textId="2D337382" w:rsidR="00544592" w:rsidRPr="00544592" w:rsidRDefault="00BD48D3" w:rsidP="00544592">
      <w:pPr>
        <w:spacing w:after="0"/>
        <w:jc w:val="both"/>
        <w:rPr>
          <w:rFonts w:ascii="Calibri" w:hAnsi="Calibri" w:cs="Calibri"/>
          <w:b/>
          <w:bCs/>
          <w:color w:val="4C94D8" w:themeColor="text2" w:themeTint="80"/>
          <w:sz w:val="26"/>
          <w:szCs w:val="26"/>
        </w:rPr>
      </w:pPr>
      <w:r>
        <w:rPr>
          <w:rFonts w:ascii="Calibri" w:hAnsi="Calibri" w:cs="Calibri"/>
          <w:b/>
          <w:bCs/>
          <w:color w:val="4C94D8" w:themeColor="text2" w:themeTint="80"/>
          <w:sz w:val="26"/>
          <w:szCs w:val="26"/>
        </w:rPr>
        <w:t>Key findings and reasons for concern</w:t>
      </w:r>
    </w:p>
    <w:p w14:paraId="4B90DE1C" w14:textId="77777777" w:rsidR="00544592" w:rsidRPr="00544592" w:rsidRDefault="00544592" w:rsidP="00544592">
      <w:pPr>
        <w:jc w:val="both"/>
        <w:rPr>
          <w:sz w:val="21"/>
          <w:szCs w:val="21"/>
        </w:rPr>
      </w:pPr>
      <w:r w:rsidRPr="00544592">
        <w:rPr>
          <w:sz w:val="21"/>
          <w:szCs w:val="21"/>
        </w:rPr>
        <w:t>Available research and monitoring efforts indicate that disabled parents in Iceland continue to face significant structural and attitudinal barriers in exercising their right to family life. Legal and administrative systems often frame disability, particularly intellectual disability, as a risk factor in child welfare assessments, rather than recognizing it as a dimension of human diversity protected under human rights law. As a result, disabled parents are subjected to heightened scrutiny and disproportionate state intervention, including decisions that lead to family separation without sufficient efforts to provide support or reasonable accommodation.</w:t>
      </w:r>
    </w:p>
    <w:p w14:paraId="0FA5B3D0" w14:textId="77777777" w:rsidR="00544592" w:rsidRPr="00544592" w:rsidRDefault="00544592" w:rsidP="00544592">
      <w:pPr>
        <w:jc w:val="both"/>
        <w:rPr>
          <w:sz w:val="21"/>
          <w:szCs w:val="21"/>
        </w:rPr>
      </w:pPr>
      <w:r w:rsidRPr="00544592">
        <w:rPr>
          <w:sz w:val="21"/>
          <w:szCs w:val="21"/>
        </w:rPr>
        <w:t>There is evidence of systemic ableism within child protection services and judicial decision-making, where parenting competence is narrowly defined through standards of independence and normative functioning. These standards disregard the principle of interdependence and fail to account for how social support, personal assistance, and accessible parenting resources can enable successful family life for disabled parents. Disabled individuals are also less likely to access preventative or supportive services, which increases the risk of intervention at crisis points rather than promoting family stability from the outset.</w:t>
      </w:r>
    </w:p>
    <w:p w14:paraId="62EFEBA8" w14:textId="77777777" w:rsidR="00544592" w:rsidRPr="00544592" w:rsidRDefault="00544592" w:rsidP="00544592">
      <w:pPr>
        <w:jc w:val="both"/>
        <w:rPr>
          <w:sz w:val="21"/>
          <w:szCs w:val="21"/>
        </w:rPr>
      </w:pPr>
      <w:r w:rsidRPr="00544592">
        <w:rPr>
          <w:sz w:val="21"/>
          <w:szCs w:val="21"/>
        </w:rPr>
        <w:t>Children of disabled parents are not systematically protected against discriminatory assumptions about their home environment. In practice, there are few safeguards ensuring that decisions about custody, care arrangements, or adoption are made without bias. Moreover, disabled children themselves may be placed in alternative care settings without robust policies to prioritize community- and family-based alternatives. There is no national strategy to monitor the extent of family separation involving disability-related factors, nor are there consistent procedures to assess whether families were offered support before separation occurred.</w:t>
      </w:r>
    </w:p>
    <w:p w14:paraId="2930759B" w14:textId="77777777" w:rsidR="00544592" w:rsidRPr="00544592" w:rsidRDefault="00544592" w:rsidP="00544592">
      <w:pPr>
        <w:jc w:val="both"/>
        <w:rPr>
          <w:sz w:val="21"/>
          <w:szCs w:val="21"/>
        </w:rPr>
      </w:pPr>
      <w:r w:rsidRPr="00544592">
        <w:rPr>
          <w:sz w:val="21"/>
          <w:szCs w:val="21"/>
        </w:rPr>
        <w:lastRenderedPageBreak/>
        <w:t>Access to reproductive health services, parenting education, and community-based support remains uneven, particularly outside the capital region. Disabled people report a lack of accessible information and limited opportunities to make informed decisions about family life. Involvement of disabled people and their representative organizations in the design and monitoring of relevant family policies remains ad hoc rather than systematic.</w:t>
      </w:r>
    </w:p>
    <w:p w14:paraId="431C9286" w14:textId="77777777" w:rsidR="00544592" w:rsidRDefault="00544592" w:rsidP="00544592">
      <w:pPr>
        <w:jc w:val="both"/>
        <w:rPr>
          <w:sz w:val="21"/>
          <w:szCs w:val="21"/>
        </w:rPr>
      </w:pPr>
      <w:r w:rsidRPr="00544592">
        <w:rPr>
          <w:sz w:val="21"/>
          <w:szCs w:val="21"/>
        </w:rPr>
        <w:t>These concerns point to a disconnect between Iceland’s human rights commitments and the lived experience of many disabled people. The right to establish a family, to receive support in parenting, and to raise children in an environment free from discrimination are not yet fully guaranteed. There is a pressing need for legislative reform, cross-sectoral training, and national accountability mechanisms to ensure that disability is never used, explicitly or implicitly, as grounds for restricting fundamental family rights.</w:t>
      </w:r>
    </w:p>
    <w:p w14:paraId="2893C4E1" w14:textId="5E7C6956" w:rsidR="00FC6010" w:rsidRDefault="00FC6010">
      <w:pPr>
        <w:rPr>
          <w:sz w:val="21"/>
          <w:szCs w:val="21"/>
        </w:rPr>
      </w:pPr>
      <w:r>
        <w:rPr>
          <w:sz w:val="21"/>
          <w:szCs w:val="21"/>
        </w:rPr>
        <w:br w:type="page"/>
      </w:r>
    </w:p>
    <w:p w14:paraId="52D44011" w14:textId="77777777" w:rsidR="00C61921" w:rsidRPr="00C61921" w:rsidRDefault="00C61921" w:rsidP="00393567">
      <w:pPr>
        <w:pStyle w:val="Heading1"/>
      </w:pPr>
      <w:bookmarkStart w:id="23" w:name="_Toc202095951"/>
      <w:r w:rsidRPr="00C61921">
        <w:lastRenderedPageBreak/>
        <w:t>Article 24: Education</w:t>
      </w:r>
      <w:bookmarkEnd w:id="23"/>
    </w:p>
    <w:p w14:paraId="33AAB860" w14:textId="1A05A259" w:rsidR="00C61921" w:rsidRPr="00C61921" w:rsidRDefault="00BD48D3" w:rsidP="00393567">
      <w:pPr>
        <w:pStyle w:val="Heading2"/>
      </w:pPr>
      <w:r>
        <w:t>Knowledge status and research gaps</w:t>
      </w:r>
    </w:p>
    <w:p w14:paraId="376FF971" w14:textId="77777777" w:rsidR="00C61921" w:rsidRPr="00C61921" w:rsidRDefault="00C61921" w:rsidP="00C61921">
      <w:pPr>
        <w:jc w:val="both"/>
        <w:rPr>
          <w:sz w:val="21"/>
          <w:szCs w:val="21"/>
        </w:rPr>
      </w:pPr>
      <w:r w:rsidRPr="00C61921">
        <w:rPr>
          <w:sz w:val="21"/>
          <w:szCs w:val="21"/>
        </w:rPr>
        <w:t>Inclusive education has been a stated goal of Icelandic education policy for over a decade, yet substantial gaps remain between policy aspirations and everyday practice. While legislation prohibits discrimination in education and affirms the right to inclusive schooling, disabled students continue to face structural, pedagogical, and attitudinal barriers at all educational levels. Researchers affiliated with the Centre and related academic networks have contributed significantly to the field by examining institutional resistance to inclusive education, teacher attitudes, and the lived experiences of disabled students. These studies have shed light on the persistence of segregated practices within general education and the limits of current support structures, especially in early childhood and upper secondary education. Despite this progress, several knowledge gaps persist. There is limited data on the educational pathways of disabled students beyond compulsory education, including dropout rates, access to vocational and higher education, and individualized support. Moreover, systematic research into the participation of disabled students in school governance, policy development, or curriculum adaptation remains scarce. There is also a notable absence of national data collection aligned with CRPD Article 24 indicators that would enable longitudinal and disaggregated analysis of educational equity and outcomes. These gaps underscore the need for expanded research that centers the voices of disabled learners and investigates systemic enablers and barriers to realizing the right to inclusive education in practice.</w:t>
      </w:r>
    </w:p>
    <w:p w14:paraId="5DC1313A" w14:textId="085C8DFD" w:rsidR="00C61921" w:rsidRPr="00C61921" w:rsidRDefault="00BD48D3" w:rsidP="00C61921">
      <w:pPr>
        <w:spacing w:after="0"/>
        <w:jc w:val="both"/>
        <w:rPr>
          <w:rFonts w:ascii="Calibri" w:hAnsi="Calibri" w:cs="Calibri"/>
          <w:b/>
          <w:bCs/>
          <w:color w:val="4C94D8" w:themeColor="text2" w:themeTint="80"/>
          <w:sz w:val="26"/>
          <w:szCs w:val="26"/>
        </w:rPr>
      </w:pPr>
      <w:r>
        <w:rPr>
          <w:rFonts w:ascii="Calibri" w:hAnsi="Calibri" w:cs="Calibri"/>
          <w:b/>
          <w:bCs/>
          <w:color w:val="4C94D8" w:themeColor="text2" w:themeTint="80"/>
          <w:sz w:val="26"/>
          <w:szCs w:val="26"/>
        </w:rPr>
        <w:t>Key findings and reasons for concern</w:t>
      </w:r>
    </w:p>
    <w:p w14:paraId="578A5B5B" w14:textId="77777777" w:rsidR="00C61921" w:rsidRPr="00C61921" w:rsidRDefault="00C61921" w:rsidP="00C61921">
      <w:pPr>
        <w:jc w:val="both"/>
        <w:rPr>
          <w:sz w:val="21"/>
          <w:szCs w:val="21"/>
        </w:rPr>
      </w:pPr>
      <w:r w:rsidRPr="00C61921">
        <w:rPr>
          <w:sz w:val="21"/>
          <w:szCs w:val="21"/>
        </w:rPr>
        <w:t>Despite legal commitments to inclusive education, Iceland’s education system continues to reproduce patterns of exclusion and segregation that disproportionately affect disabled children and youth. Research highlights the persistence of parallel systems, where special education classes or schools remain a dominant placement for many disabled students, especially those with intellectual disabilities, autism, or complex support needs. This segregation undermines the principles of the CRPD and reflects a systemic failure to provide necessary accommodations and individualized support within mainstream environments.</w:t>
      </w:r>
    </w:p>
    <w:p w14:paraId="71DF915D" w14:textId="77777777" w:rsidR="00C61921" w:rsidRPr="00C61921" w:rsidRDefault="00C61921" w:rsidP="00C61921">
      <w:pPr>
        <w:jc w:val="both"/>
        <w:rPr>
          <w:sz w:val="21"/>
          <w:szCs w:val="21"/>
        </w:rPr>
      </w:pPr>
      <w:r w:rsidRPr="00C61921">
        <w:rPr>
          <w:sz w:val="21"/>
          <w:szCs w:val="21"/>
        </w:rPr>
        <w:t>Several studies point to entrenched institutional norms and teacher training models that emphasize “integration” rather than full inclusion. Educators often report a lack of training, resources, and professional confidence in adapting curricula or collaborating across disciplines to meet diverse learning needs. In some cases, inclusive education is interpreted narrowly, focusing on physical presence in mainstream classrooms without corresponding changes to pedagogy, assessment, or participation.</w:t>
      </w:r>
    </w:p>
    <w:p w14:paraId="28D89ECA" w14:textId="77777777" w:rsidR="00C61921" w:rsidRPr="00C61921" w:rsidRDefault="00C61921" w:rsidP="00C61921">
      <w:pPr>
        <w:jc w:val="both"/>
        <w:rPr>
          <w:sz w:val="21"/>
          <w:szCs w:val="21"/>
        </w:rPr>
      </w:pPr>
      <w:r w:rsidRPr="00C61921">
        <w:rPr>
          <w:sz w:val="21"/>
          <w:szCs w:val="21"/>
        </w:rPr>
        <w:t>Parental experiences also reveal a gap between rights. Families of disabled children frequently face a dual burden: they must advocate individually for basic support and often feel forced to accept segregated options due to the absence of meaningful accommodations in neighborhood schools. This disproportionately affects families living outside urban centers, where inclusive options are fewer, and specialist services are more limited.</w:t>
      </w:r>
    </w:p>
    <w:p w14:paraId="1950648E" w14:textId="77777777" w:rsidR="00C61921" w:rsidRPr="00C61921" w:rsidRDefault="00C61921" w:rsidP="00C61921">
      <w:pPr>
        <w:jc w:val="both"/>
        <w:rPr>
          <w:sz w:val="21"/>
          <w:szCs w:val="21"/>
        </w:rPr>
      </w:pPr>
      <w:r w:rsidRPr="00C61921">
        <w:rPr>
          <w:sz w:val="21"/>
          <w:szCs w:val="21"/>
        </w:rPr>
        <w:lastRenderedPageBreak/>
        <w:t>Data on educational outcomes is fragmented and often not disaggregated by disability. Consequently, it is difficult to evaluate whether disabled students have equitable access to quality education or comparable learning outcomes. Where data exists, they suggest that disabled children are more likely to experience school absence, dropout, and social exclusion. Concerns have also been raised about the lack of access to early childhood education for young disabled children, especially when accessibility or assistive services are delayed.</w:t>
      </w:r>
    </w:p>
    <w:p w14:paraId="3C2E65C4" w14:textId="77777777" w:rsidR="00C61921" w:rsidRPr="00C61921" w:rsidRDefault="00C61921" w:rsidP="00C61921">
      <w:pPr>
        <w:jc w:val="both"/>
        <w:rPr>
          <w:sz w:val="21"/>
          <w:szCs w:val="21"/>
        </w:rPr>
      </w:pPr>
      <w:r w:rsidRPr="00C61921">
        <w:rPr>
          <w:sz w:val="21"/>
          <w:szCs w:val="21"/>
        </w:rPr>
        <w:t>Further risks emerge in the transition to secondary and higher education. Research indicates that many disabled students are steered into narrow vocational tracks or non-degree programs, limiting their future opportunities. In higher education, the availability of assistive technologies, accessible materials, and flexible learning arrangements is inconsistent, leaving students without equal footing. There are few studies investigating systemic support structures at this level, and no national strategy to address these barriers comprehensively.</w:t>
      </w:r>
    </w:p>
    <w:p w14:paraId="5B02E34C" w14:textId="77777777" w:rsidR="00C61921" w:rsidRPr="00C61921" w:rsidRDefault="00C61921" w:rsidP="00C61921">
      <w:pPr>
        <w:jc w:val="both"/>
        <w:rPr>
          <w:sz w:val="21"/>
          <w:szCs w:val="21"/>
        </w:rPr>
      </w:pPr>
      <w:r w:rsidRPr="00C61921">
        <w:rPr>
          <w:sz w:val="21"/>
          <w:szCs w:val="21"/>
        </w:rPr>
        <w:t>These findings reveal systemic non-compliance with CRPD Article 24, particularly regarding obligations to provide individualized support, reasonable accommodation, and quality inclusive education at all levels. They also raise broader concerns related to Sustainable Development Goal 4 (inclusive and equitable quality education for all) and its intersection with disability inclusion. Without substantial policy reform and investment in inclusive pedagogies, Iceland risks falling short of its international commitments.</w:t>
      </w:r>
    </w:p>
    <w:p w14:paraId="6ADEB1F1" w14:textId="14C51954" w:rsidR="00F60D62" w:rsidRDefault="00F60D62">
      <w:pPr>
        <w:rPr>
          <w:sz w:val="21"/>
          <w:szCs w:val="21"/>
        </w:rPr>
      </w:pPr>
      <w:r>
        <w:rPr>
          <w:sz w:val="21"/>
          <w:szCs w:val="21"/>
        </w:rPr>
        <w:br w:type="page"/>
      </w:r>
    </w:p>
    <w:p w14:paraId="45AE4507" w14:textId="77777777" w:rsidR="00AF387D" w:rsidRPr="00AF387D" w:rsidRDefault="00AF387D" w:rsidP="00393567">
      <w:pPr>
        <w:pStyle w:val="Heading1"/>
      </w:pPr>
      <w:bookmarkStart w:id="24" w:name="_Toc202095952"/>
      <w:r w:rsidRPr="00AF387D">
        <w:lastRenderedPageBreak/>
        <w:t>Article 25: Health</w:t>
      </w:r>
      <w:bookmarkEnd w:id="24"/>
    </w:p>
    <w:p w14:paraId="499AF4D6" w14:textId="47FA16FB" w:rsidR="00AF387D" w:rsidRPr="00AF387D" w:rsidRDefault="00BD48D3" w:rsidP="00393567">
      <w:pPr>
        <w:pStyle w:val="Heading2"/>
      </w:pPr>
      <w:r>
        <w:t>Knowledge status and research gaps</w:t>
      </w:r>
    </w:p>
    <w:p w14:paraId="58AF80AB" w14:textId="77777777" w:rsidR="00AF387D" w:rsidRPr="00AF387D" w:rsidRDefault="00AF387D" w:rsidP="00AF387D">
      <w:pPr>
        <w:jc w:val="both"/>
        <w:rPr>
          <w:sz w:val="21"/>
          <w:szCs w:val="21"/>
        </w:rPr>
      </w:pPr>
      <w:r w:rsidRPr="00AF387D">
        <w:rPr>
          <w:sz w:val="21"/>
          <w:szCs w:val="21"/>
        </w:rPr>
        <w:t>The right of disabled people to the highest attainable standard of health is formally recognized in Icelandic law. However, research and advocacy have highlighted ongoing disparities in access to health care and notable gaps between legal provisions and lived experiences. While the health care system is intended to be universal, it does not consistently provide equitable, accessible, or person-centered services to disabled individuals. Several Icelandic studies have pointed to structural and systemic challenges within the health care system, including limited physical accessibility, lack of individualized support, and insufficient attention to the autonomy and preferences of disabled people. Attention has also been drawn to difficulties in accessing health-related information in accessible formats, and to the limited availability of services that are culturally and linguistically appropriate. Nonetheless, key areas remain under-researched. There is little systematic data on how disabled people experience mental health care, including involuntary treatment and coercive practices. The implementation of free and informed consent, especially for people with intellectual or psychosocial disabilities, has not been comprehensively examined. Likewise, research is lacking in access to sexual and reproductive health services, disaggregated health outcomes, and systemic disparities in access to early intervention, habilitation, or preventive care. The COVID-19 pandemic further exposed weaknesses in the system, particularly in the areas of personal assistance, access to basic health services, and accessible public health communication. However, comprehensive studies on its long-term impact on disabled people’s health rights and wellbeing in Iceland remain limited. These knowledge gaps underline the urgent need for coordinated, participatory research and data collection strategies that reflect CRPD principles and inform inclusive policy development.</w:t>
      </w:r>
    </w:p>
    <w:p w14:paraId="5FE81289" w14:textId="1A030972" w:rsidR="00AF387D" w:rsidRPr="00AF387D" w:rsidRDefault="00BD48D3" w:rsidP="00AF387D">
      <w:pPr>
        <w:spacing w:after="0"/>
        <w:jc w:val="both"/>
        <w:rPr>
          <w:rFonts w:ascii="Calibri" w:hAnsi="Calibri" w:cs="Calibri"/>
          <w:b/>
          <w:bCs/>
          <w:color w:val="4C94D8" w:themeColor="text2" w:themeTint="80"/>
          <w:sz w:val="26"/>
          <w:szCs w:val="26"/>
        </w:rPr>
      </w:pPr>
      <w:r>
        <w:rPr>
          <w:rFonts w:ascii="Calibri" w:hAnsi="Calibri" w:cs="Calibri"/>
          <w:b/>
          <w:bCs/>
          <w:color w:val="4C94D8" w:themeColor="text2" w:themeTint="80"/>
          <w:sz w:val="26"/>
          <w:szCs w:val="26"/>
        </w:rPr>
        <w:t>Key findings and reasons for concern</w:t>
      </w:r>
    </w:p>
    <w:p w14:paraId="651BF99E" w14:textId="77777777" w:rsidR="00AF387D" w:rsidRPr="00AF387D" w:rsidRDefault="00AF387D" w:rsidP="00AF387D">
      <w:pPr>
        <w:jc w:val="both"/>
        <w:rPr>
          <w:sz w:val="21"/>
          <w:szCs w:val="21"/>
        </w:rPr>
      </w:pPr>
      <w:r w:rsidRPr="00AF387D">
        <w:rPr>
          <w:sz w:val="21"/>
          <w:szCs w:val="21"/>
        </w:rPr>
        <w:t>Despite formal commitments to non-discrimination in health care, disabled people in Iceland face persistent barriers that affect both their access to services and the quality of care received. These barriers manifest in multiple ways: from inaccessible facilities and diagnostic equipment to communication challenges, lack of reasonable accommodation, and provider attitudes shaped by ableist assumptions.</w:t>
      </w:r>
    </w:p>
    <w:p w14:paraId="7D441928" w14:textId="77777777" w:rsidR="00AF387D" w:rsidRPr="00AF387D" w:rsidRDefault="00AF387D" w:rsidP="00AF387D">
      <w:pPr>
        <w:jc w:val="both"/>
        <w:rPr>
          <w:sz w:val="21"/>
          <w:szCs w:val="21"/>
        </w:rPr>
      </w:pPr>
      <w:r w:rsidRPr="00AF387D">
        <w:rPr>
          <w:sz w:val="21"/>
          <w:szCs w:val="21"/>
        </w:rPr>
        <w:t>Several studies and lived experience accounts point to disparities in how health services are delivered to disabled people compared to the general population. Reports suggest that health professionals may lack adequate training in disability rights, communication strategies, and person-centered approaches. This contributes to practices where medical decisions are made without full and informed consent, particularly in cases involving intellectual or psychosocial disabilities.</w:t>
      </w:r>
    </w:p>
    <w:p w14:paraId="38860FEA" w14:textId="77777777" w:rsidR="00AF387D" w:rsidRPr="00AF387D" w:rsidRDefault="00AF387D" w:rsidP="00AF387D">
      <w:pPr>
        <w:jc w:val="both"/>
        <w:rPr>
          <w:sz w:val="21"/>
          <w:szCs w:val="21"/>
        </w:rPr>
      </w:pPr>
      <w:r w:rsidRPr="00AF387D">
        <w:rPr>
          <w:sz w:val="21"/>
          <w:szCs w:val="21"/>
        </w:rPr>
        <w:t>Structural issues also persist in relation to reproductive health and maternity care. Disabled women have reported feeling disempowered or excluded from decision-making, and in some cases, subject to increased surveillance or paternalistic interventions during pregnancy and childbirth. There is insufficient evidence that accessible reproductive health services are consistently available across regions, especially outside the capital area.</w:t>
      </w:r>
    </w:p>
    <w:p w14:paraId="0A1D4B91" w14:textId="77777777" w:rsidR="00AF387D" w:rsidRPr="00AF387D" w:rsidRDefault="00AF387D" w:rsidP="00AF387D">
      <w:pPr>
        <w:jc w:val="both"/>
        <w:rPr>
          <w:sz w:val="21"/>
          <w:szCs w:val="21"/>
        </w:rPr>
      </w:pPr>
      <w:r w:rsidRPr="00AF387D">
        <w:rPr>
          <w:sz w:val="21"/>
          <w:szCs w:val="21"/>
        </w:rPr>
        <w:lastRenderedPageBreak/>
        <w:t>Access to mental health care is an area of significant concern. The use of coercive practices, including involuntary hospitalization, forced medication, and the use of restraints, remains legally vague in certain circumstances, raising serious questions about compliance with CRPD standards, especially those concerning informed consent and legal capacity. There is also limited availability of community-based mental health services, including peer support and psychosocial alternatives.</w:t>
      </w:r>
    </w:p>
    <w:p w14:paraId="20E8BF10" w14:textId="77777777" w:rsidR="00AF387D" w:rsidRPr="00AF387D" w:rsidRDefault="00AF387D" w:rsidP="00AF387D">
      <w:pPr>
        <w:jc w:val="both"/>
        <w:rPr>
          <w:sz w:val="21"/>
          <w:szCs w:val="21"/>
        </w:rPr>
      </w:pPr>
      <w:r w:rsidRPr="00AF387D">
        <w:rPr>
          <w:sz w:val="21"/>
          <w:szCs w:val="21"/>
        </w:rPr>
        <w:t>The COVID-19 pandemic further highlighted structural weaknesses in the health care system. Disabled people experienced disruptions in essential services such as personal assistance, regular medical follow-up, and access to timely public health information in accessible formats. In some cases, crisis response protocols failed to recognize the heightened risks and specific needs of disabled individuals, exacerbating isolation and vulnerability.</w:t>
      </w:r>
    </w:p>
    <w:p w14:paraId="1BF683EF" w14:textId="77777777" w:rsidR="00AF387D" w:rsidRPr="00AF387D" w:rsidRDefault="00AF387D" w:rsidP="00AF387D">
      <w:pPr>
        <w:jc w:val="both"/>
        <w:rPr>
          <w:sz w:val="21"/>
          <w:szCs w:val="21"/>
        </w:rPr>
      </w:pPr>
      <w:r w:rsidRPr="00AF387D">
        <w:rPr>
          <w:sz w:val="21"/>
          <w:szCs w:val="21"/>
        </w:rPr>
        <w:t>Overall, the lack of disaggregated data on health access, outcomes, and satisfaction makes it difficult to assess the full scope of inequality. There is no national monitoring mechanism to evaluate how health services meet the specific needs of disabled people, nor are there systematic channels to incorporate their feedback into policy reform. These gaps raise serious concerns regarding Iceland’s compliance with CRPD Article 25 and underline the need for inclusive, rights-based transformation of the health system.</w:t>
      </w:r>
    </w:p>
    <w:p w14:paraId="68696176" w14:textId="6A193E96" w:rsidR="00F14E2D" w:rsidRDefault="00F14E2D">
      <w:pPr>
        <w:rPr>
          <w:sz w:val="21"/>
          <w:szCs w:val="21"/>
        </w:rPr>
      </w:pPr>
      <w:r>
        <w:rPr>
          <w:sz w:val="21"/>
          <w:szCs w:val="21"/>
        </w:rPr>
        <w:br w:type="page"/>
      </w:r>
    </w:p>
    <w:p w14:paraId="1DEDFA95" w14:textId="77777777" w:rsidR="008B6C45" w:rsidRPr="008B6C45" w:rsidRDefault="008B6C45" w:rsidP="00393567">
      <w:pPr>
        <w:pStyle w:val="Heading1"/>
      </w:pPr>
      <w:bookmarkStart w:id="25" w:name="_Toc202095953"/>
      <w:r w:rsidRPr="008B6C45">
        <w:lastRenderedPageBreak/>
        <w:t>Article 26: Habilitation and rehabilitation</w:t>
      </w:r>
      <w:bookmarkEnd w:id="25"/>
    </w:p>
    <w:p w14:paraId="4DB2F361" w14:textId="0980DA89" w:rsidR="008B6C45" w:rsidRPr="008B6C45" w:rsidRDefault="00BD48D3" w:rsidP="00393567">
      <w:pPr>
        <w:pStyle w:val="Heading2"/>
      </w:pPr>
      <w:r>
        <w:t>Knowledge status and research gaps</w:t>
      </w:r>
    </w:p>
    <w:p w14:paraId="652FB47E" w14:textId="1785AA90" w:rsidR="008B6C45" w:rsidRPr="008B6C45" w:rsidRDefault="008B6C45" w:rsidP="008B6C45">
      <w:pPr>
        <w:jc w:val="both"/>
        <w:rPr>
          <w:sz w:val="21"/>
          <w:szCs w:val="21"/>
        </w:rPr>
      </w:pPr>
      <w:r w:rsidRPr="008B6C45">
        <w:rPr>
          <w:sz w:val="21"/>
          <w:szCs w:val="21"/>
        </w:rPr>
        <w:t xml:space="preserve">In Iceland, habilitation and rehabilitation services for disabled people are primarily situated within the healthcare and welfare </w:t>
      </w:r>
      <w:proofErr w:type="gramStart"/>
      <w:r w:rsidRPr="008B6C45">
        <w:rPr>
          <w:sz w:val="21"/>
          <w:szCs w:val="21"/>
        </w:rPr>
        <w:t>sectors</w:t>
      </w:r>
      <w:r>
        <w:rPr>
          <w:sz w:val="21"/>
          <w:szCs w:val="21"/>
        </w:rPr>
        <w:t>,</w:t>
      </w:r>
      <w:r w:rsidRPr="008B6C45">
        <w:rPr>
          <w:sz w:val="21"/>
          <w:szCs w:val="21"/>
        </w:rPr>
        <w:t xml:space="preserve"> but</w:t>
      </w:r>
      <w:proofErr w:type="gramEnd"/>
      <w:r w:rsidRPr="008B6C45">
        <w:rPr>
          <w:sz w:val="21"/>
          <w:szCs w:val="21"/>
        </w:rPr>
        <w:t xml:space="preserve"> often lack a comprehensive and coordinated cross-sectoral framework. While various services are available, access is uneven and often dependent on geographic location, service affiliation, or type of impairment. People living outside the capital area face significant barriers in accessing habilitation and rehabilitation, including long travel distances, fragmented service provision, and a lack of local expertise. Although some academic work has examined mobility, assistive technology, and systemic barriers, habilitation and rehabilitation remain under-researched in Icelandic disability studies. Critical issues such as user participation, person-centered planning, access to assistive devices, and the role of habilitation in supporting independent living and employment have not received sufficient attention. There is also a lack of longitudinal or comparative research on outcomes, especially for disabled people living in rural areas or belonging to multiply marginalized groups. Further research is needed to examine how services are aligned with human rights principles, particularly in terms of free and informed consent, accessibility, and user-led approaches. There is also an urgent need for data on satisfaction, unmet needs, and the impact of current reforms and budget decisions on access to rehabilitation across the country.</w:t>
      </w:r>
    </w:p>
    <w:p w14:paraId="722C20F5" w14:textId="44FF0FBD" w:rsidR="008B6C45" w:rsidRPr="008B6C45" w:rsidRDefault="00BD48D3" w:rsidP="008B6C45">
      <w:pPr>
        <w:spacing w:after="0"/>
        <w:jc w:val="both"/>
        <w:rPr>
          <w:rFonts w:ascii="Calibri" w:hAnsi="Calibri" w:cs="Calibri"/>
          <w:b/>
          <w:bCs/>
          <w:color w:val="4C94D8" w:themeColor="text2" w:themeTint="80"/>
          <w:sz w:val="26"/>
          <w:szCs w:val="26"/>
        </w:rPr>
      </w:pPr>
      <w:r>
        <w:rPr>
          <w:rFonts w:ascii="Calibri" w:hAnsi="Calibri" w:cs="Calibri"/>
          <w:b/>
          <w:bCs/>
          <w:color w:val="4C94D8" w:themeColor="text2" w:themeTint="80"/>
          <w:sz w:val="26"/>
          <w:szCs w:val="26"/>
        </w:rPr>
        <w:t>Key findings and reasons for concern</w:t>
      </w:r>
    </w:p>
    <w:p w14:paraId="21F95962" w14:textId="77777777" w:rsidR="008B6C45" w:rsidRPr="008B6C45" w:rsidRDefault="008B6C45" w:rsidP="008B6C45">
      <w:pPr>
        <w:jc w:val="both"/>
        <w:rPr>
          <w:sz w:val="21"/>
          <w:szCs w:val="21"/>
        </w:rPr>
      </w:pPr>
      <w:r w:rsidRPr="008B6C45">
        <w:rPr>
          <w:sz w:val="21"/>
          <w:szCs w:val="21"/>
        </w:rPr>
        <w:t>There is no unified national strategy for habilitation and rehabilitation in Iceland that ensures equal access regardless of geography, impairment type, or age. Services remain primarily concentrated in urban centers, particularly the capital area, with rural communities experiencing serious limitations in both availability and continuity of support. Disabled people living outside the capital region often report a lack of access, long waiting times, travel burdens, and a lack of local multidisciplinary teams, which undermines the principle of accessibility and equal opportunity.</w:t>
      </w:r>
    </w:p>
    <w:p w14:paraId="75E6BA2C" w14:textId="77777777" w:rsidR="008B6C45" w:rsidRPr="008B6C45" w:rsidRDefault="008B6C45" w:rsidP="008B6C45">
      <w:pPr>
        <w:jc w:val="both"/>
        <w:rPr>
          <w:sz w:val="21"/>
          <w:szCs w:val="21"/>
        </w:rPr>
      </w:pPr>
      <w:r w:rsidRPr="008B6C45">
        <w:rPr>
          <w:sz w:val="21"/>
          <w:szCs w:val="21"/>
        </w:rPr>
        <w:t>Current models of rehabilitation are largely medicalized and administratively routed through healthcare services, limiting access for disabled people whose needs fall outside conventional clinical frameworks. This includes individuals with intellectual disabilities, neurodivergent people, and those requiring peer-based, community-led support models. The absence of community-based and user-led approaches restricts the transformative potential of habilitation in promoting inclusion and autonomy.</w:t>
      </w:r>
    </w:p>
    <w:p w14:paraId="2F812551" w14:textId="77777777" w:rsidR="008B6C45" w:rsidRPr="008B6C45" w:rsidRDefault="008B6C45" w:rsidP="008B6C45">
      <w:pPr>
        <w:jc w:val="both"/>
        <w:rPr>
          <w:sz w:val="21"/>
          <w:szCs w:val="21"/>
        </w:rPr>
      </w:pPr>
      <w:r w:rsidRPr="008B6C45">
        <w:rPr>
          <w:sz w:val="21"/>
          <w:szCs w:val="21"/>
        </w:rPr>
        <w:t>Access to assistive technologies is constrained by rigid procurement rules, clinical gatekeeping, and limited user involvement. Financial support for assistive devices is inconsistently administered and often lacks transparency, particularly for those outside the dominant health pathways. This results in inequalities and unmet needs that are neither systematically documented nor addressed.</w:t>
      </w:r>
    </w:p>
    <w:p w14:paraId="08816DAB" w14:textId="77777777" w:rsidR="008B6C45" w:rsidRPr="008B6C45" w:rsidRDefault="008B6C45" w:rsidP="008B6C45">
      <w:pPr>
        <w:jc w:val="both"/>
        <w:rPr>
          <w:sz w:val="21"/>
          <w:szCs w:val="21"/>
        </w:rPr>
      </w:pPr>
      <w:r w:rsidRPr="008B6C45">
        <w:rPr>
          <w:sz w:val="21"/>
          <w:szCs w:val="21"/>
        </w:rPr>
        <w:t xml:space="preserve">Another concern is the lack of formal mechanisms for involving disabled people in shaping habilitation and rehabilitation policies and services. Consultation processes, where they exist, </w:t>
      </w:r>
      <w:r w:rsidRPr="008B6C45">
        <w:rPr>
          <w:sz w:val="21"/>
          <w:szCs w:val="21"/>
        </w:rPr>
        <w:lastRenderedPageBreak/>
        <w:t>tend to be ad hoc and tokenistic, and often exclude rural voices and marginalized impairment groups. This directly contravenes the obligations set out in Articles 4(3) and 26 of the CRPD.</w:t>
      </w:r>
    </w:p>
    <w:p w14:paraId="6582E8CA" w14:textId="503BC7DF" w:rsidR="00AC760E" w:rsidRPr="00C62BBA" w:rsidRDefault="008B6C45" w:rsidP="00C62BBA">
      <w:pPr>
        <w:jc w:val="both"/>
        <w:rPr>
          <w:sz w:val="21"/>
          <w:szCs w:val="21"/>
        </w:rPr>
      </w:pPr>
      <w:r w:rsidRPr="008B6C45">
        <w:rPr>
          <w:sz w:val="21"/>
          <w:szCs w:val="21"/>
        </w:rPr>
        <w:t xml:space="preserve">Finally, there is a notable absence of public data on satisfaction with services, regional disparities, or long-term outcomes. Without this, it is impossible to monitor progress or evaluate the extent to which habilitation services support disabled people’s rights to independent living, education, and work. The lack of disaggregated data also limits </w:t>
      </w:r>
      <w:proofErr w:type="gramStart"/>
      <w:r w:rsidRPr="008B6C45">
        <w:rPr>
          <w:sz w:val="21"/>
          <w:szCs w:val="21"/>
        </w:rPr>
        <w:t>accountability</w:t>
      </w:r>
      <w:proofErr w:type="gramEnd"/>
      <w:r w:rsidRPr="008B6C45">
        <w:rPr>
          <w:sz w:val="21"/>
          <w:szCs w:val="21"/>
        </w:rPr>
        <w:t xml:space="preserve"> and the development of evidence-based policies aligned with CRPD principles.</w:t>
      </w:r>
      <w:r w:rsidR="00AC760E">
        <w:rPr>
          <w:sz w:val="21"/>
          <w:szCs w:val="21"/>
        </w:rPr>
        <w:br w:type="page"/>
      </w:r>
    </w:p>
    <w:p w14:paraId="2023A6FC" w14:textId="77777777" w:rsidR="00DF5A70" w:rsidRPr="00DF5A70" w:rsidRDefault="00DF5A70" w:rsidP="00393567">
      <w:pPr>
        <w:pStyle w:val="Heading1"/>
      </w:pPr>
      <w:bookmarkStart w:id="26" w:name="_Toc202095954"/>
      <w:r w:rsidRPr="00DF5A70">
        <w:lastRenderedPageBreak/>
        <w:t>Article 27: Work and employment</w:t>
      </w:r>
      <w:bookmarkEnd w:id="26"/>
    </w:p>
    <w:p w14:paraId="12C9C3C0" w14:textId="243E2215" w:rsidR="00DF5A70" w:rsidRPr="00DF5A70" w:rsidRDefault="00BD48D3" w:rsidP="00393567">
      <w:pPr>
        <w:pStyle w:val="Heading2"/>
      </w:pPr>
      <w:r>
        <w:t>Knowledge status and research gaps</w:t>
      </w:r>
    </w:p>
    <w:p w14:paraId="61676B0C" w14:textId="77777777" w:rsidR="00DF5A70" w:rsidRPr="00DF5A70" w:rsidRDefault="00DF5A70" w:rsidP="00DF5A70">
      <w:pPr>
        <w:jc w:val="both"/>
        <w:rPr>
          <w:sz w:val="21"/>
          <w:szCs w:val="21"/>
        </w:rPr>
      </w:pPr>
      <w:r w:rsidRPr="00DF5A70">
        <w:rPr>
          <w:sz w:val="21"/>
          <w:szCs w:val="21"/>
        </w:rPr>
        <w:t>In recent years, Iceland has seen growing academic interest in the employment situation of disabled people, particularly those with intellectual disabilities or long-term support needs. Research has explored how systemic barriers, such as ableist workplace norms, limited access to individualized support, and fragmented services, affect access to open and inclusive employment. These studies also highlight the role of self-determination, work-related aspirations, and structural discrimination in shaping disabled people’s employment pathways. Despite these contributions, there remains a significant lack of comprehensive and disaggregated national data on employment rates, career progression, and job satisfaction among disabled people. Little is known about how innovation, entrepreneurship, or vocational pathways beyond traditional employment models could support inclusion, but research is underway on that matter. Further research is also needed on the intersection of disability with gender, migration background, and rural residence in relation to work inclusion.</w:t>
      </w:r>
    </w:p>
    <w:p w14:paraId="5782A471" w14:textId="3EC527BA" w:rsidR="00DF5A70" w:rsidRPr="00DF5A70" w:rsidRDefault="00BD48D3" w:rsidP="00DF5A70">
      <w:pPr>
        <w:spacing w:after="0"/>
        <w:jc w:val="both"/>
        <w:rPr>
          <w:rFonts w:ascii="Calibri" w:hAnsi="Calibri" w:cs="Calibri"/>
          <w:b/>
          <w:bCs/>
          <w:color w:val="4C94D8" w:themeColor="text2" w:themeTint="80"/>
          <w:sz w:val="26"/>
          <w:szCs w:val="26"/>
        </w:rPr>
      </w:pPr>
      <w:r>
        <w:rPr>
          <w:rFonts w:ascii="Calibri" w:hAnsi="Calibri" w:cs="Calibri"/>
          <w:b/>
          <w:bCs/>
          <w:color w:val="4C94D8" w:themeColor="text2" w:themeTint="80"/>
          <w:sz w:val="26"/>
          <w:szCs w:val="26"/>
        </w:rPr>
        <w:t>Key findings and reasons for concern</w:t>
      </w:r>
    </w:p>
    <w:p w14:paraId="49EB7145" w14:textId="77777777" w:rsidR="00DF5A70" w:rsidRPr="00DF5A70" w:rsidRDefault="00DF5A70" w:rsidP="00DF5A70">
      <w:pPr>
        <w:jc w:val="both"/>
        <w:rPr>
          <w:sz w:val="21"/>
          <w:szCs w:val="21"/>
        </w:rPr>
      </w:pPr>
      <w:r w:rsidRPr="00DF5A70">
        <w:rPr>
          <w:sz w:val="21"/>
          <w:szCs w:val="21"/>
        </w:rPr>
        <w:t>Disabled people in Iceland continue to face significant barriers to accessing open, inclusive, and sustainable employment. Despite protective legislation and equality objectives, work environments remain predominantly shaped by ableist norms and inflexible systems. Research indicates that many employers lack awareness, resources, or willingness to accommodate diverse support needs, leading to exclusion during recruitment, retention, and career progression. For individuals with intellectual disabilities, employment opportunities are often restricted to sheltered or segregated settings, with limited prospects for meaningful engagement or advancement.</w:t>
      </w:r>
    </w:p>
    <w:p w14:paraId="68654552" w14:textId="77777777" w:rsidR="00DF5A70" w:rsidRPr="00DF5A70" w:rsidRDefault="00DF5A70" w:rsidP="00DF5A70">
      <w:pPr>
        <w:jc w:val="both"/>
        <w:rPr>
          <w:sz w:val="21"/>
          <w:szCs w:val="21"/>
        </w:rPr>
      </w:pPr>
      <w:r w:rsidRPr="00DF5A70">
        <w:rPr>
          <w:sz w:val="21"/>
          <w:szCs w:val="21"/>
        </w:rPr>
        <w:t>Support systems meant to facilitate employment inclusion are often fragmented and bureaucratic. Many disabled people report that they must navigate multiple service providers without coherent or individualized planning. Transition pathways from school to employment are inconsistent and underdeveloped, especially for young people with high support needs. Moreover, social protection schemes may inadvertently disincentivize work, particularly when access to essential services or income support is conditional on being classified as ‘incapable of work.’</w:t>
      </w:r>
    </w:p>
    <w:p w14:paraId="10215227" w14:textId="77777777" w:rsidR="00DF5A70" w:rsidRPr="00DF5A70" w:rsidRDefault="00DF5A70" w:rsidP="00DF5A70">
      <w:pPr>
        <w:jc w:val="both"/>
        <w:rPr>
          <w:sz w:val="21"/>
          <w:szCs w:val="21"/>
        </w:rPr>
      </w:pPr>
      <w:r w:rsidRPr="00DF5A70">
        <w:rPr>
          <w:sz w:val="21"/>
          <w:szCs w:val="21"/>
        </w:rPr>
        <w:t>The inclusion of disabled people in labor market innovation and entrepreneurship remains underexplored. While some research has identified promising examples of user-led innovation and peer-driven business models, there is limited policy support to scale these initiatives. Furthermore, public policies rarely recognize the value of unpaid or invisible labor carried out by disabled people in care roles, advocacy, or community engagement, which contributes to their social and economic marginalization.</w:t>
      </w:r>
    </w:p>
    <w:p w14:paraId="253FB535" w14:textId="56721E19" w:rsidR="00DF5A70" w:rsidRPr="00D66E9E" w:rsidRDefault="00DF5A70" w:rsidP="00D66E9E">
      <w:pPr>
        <w:jc w:val="both"/>
        <w:rPr>
          <w:sz w:val="21"/>
          <w:szCs w:val="21"/>
        </w:rPr>
      </w:pPr>
      <w:r w:rsidRPr="00DF5A70">
        <w:rPr>
          <w:sz w:val="21"/>
          <w:szCs w:val="21"/>
        </w:rPr>
        <w:t xml:space="preserve">Critically, Iceland lacks comprehensive, disaggregated employment data on disabled people. There is no regular reporting on employment outcomes broken down by disability type, gender, age, or region. This lack of systematic data undermines evidence-based policymaking and impedes efforts to monitor compliance with Article 27 or relevant Sustainable Development </w:t>
      </w:r>
      <w:r w:rsidRPr="00DF5A70">
        <w:rPr>
          <w:sz w:val="21"/>
          <w:szCs w:val="21"/>
        </w:rPr>
        <w:lastRenderedPageBreak/>
        <w:t>Goals. It also contributes to a policy silence on the structural and attitudinal barriers faced by disabled people in the labor market.</w:t>
      </w:r>
    </w:p>
    <w:p w14:paraId="05C50699" w14:textId="58052383" w:rsidR="00A7309E" w:rsidRDefault="00A7309E">
      <w:pPr>
        <w:rPr>
          <w:sz w:val="21"/>
          <w:szCs w:val="21"/>
        </w:rPr>
      </w:pPr>
      <w:r>
        <w:rPr>
          <w:sz w:val="21"/>
          <w:szCs w:val="21"/>
        </w:rPr>
        <w:br w:type="page"/>
      </w:r>
    </w:p>
    <w:p w14:paraId="08B27B52" w14:textId="77777777" w:rsidR="00A02A22" w:rsidRPr="00A02A22" w:rsidRDefault="00A02A22" w:rsidP="00393567">
      <w:pPr>
        <w:pStyle w:val="Heading1"/>
      </w:pPr>
      <w:bookmarkStart w:id="27" w:name="_Toc202095955"/>
      <w:r w:rsidRPr="00A02A22">
        <w:lastRenderedPageBreak/>
        <w:t>Article 28: Adequate standard of living and social protection</w:t>
      </w:r>
      <w:bookmarkEnd w:id="27"/>
    </w:p>
    <w:p w14:paraId="4231A7FE" w14:textId="00AB4DC8" w:rsidR="00A02A22" w:rsidRPr="00A02A22" w:rsidRDefault="00BD48D3" w:rsidP="00393567">
      <w:pPr>
        <w:pStyle w:val="Heading2"/>
      </w:pPr>
      <w:r>
        <w:t>Knowledge status and research gaps</w:t>
      </w:r>
    </w:p>
    <w:p w14:paraId="0606A5C0" w14:textId="77777777" w:rsidR="00A02A22" w:rsidRPr="00A02A22" w:rsidRDefault="00A02A22" w:rsidP="00A02A22">
      <w:pPr>
        <w:jc w:val="both"/>
        <w:rPr>
          <w:sz w:val="21"/>
          <w:szCs w:val="21"/>
        </w:rPr>
      </w:pPr>
      <w:r w:rsidRPr="00A02A22">
        <w:rPr>
          <w:sz w:val="21"/>
          <w:szCs w:val="21"/>
        </w:rPr>
        <w:t>There is no comprehensive or systematic body of research on the implementation of Article 28 of the CRPD concerning the right to an adequate standard of living and access to social protection. While statistical data exist on poverty, disability, and income levels through national surveys and registers, these do not consistently disaggregate information by disability type, severity, or support needs, and often fail to reflect lived experience and extra costs. Academic studies have primarily focused on rights, participation, and education, with very limited attention given to the functioning and impact of the welfare and social security system for disabled people. There is a notable absence of longitudinal or impact-based studies that could help assess how policy changes, such as upcoming reforms to the disability pension system, will affect rights realization under Article 28. The Centre and individual researchers have highlighted gaps in knowledge about how access to housing, income support, and basic services aligns with the human rights framework of the CRPD. No national monitoring exists to evaluate the adequacy of the existing system in terms of accessibility, equality, or affordability for disabled people. This lack of evidence makes it difficult to assess the full extent to which Iceland complies with Article 28 obligations. It also means that reforms to the system are being developed in a context where baseline data are missing, limiting the possibility of measuring their impact or ensuring compliance with the CRPD.</w:t>
      </w:r>
    </w:p>
    <w:p w14:paraId="48116E7F" w14:textId="71C3DB08" w:rsidR="00A02A22" w:rsidRPr="00A02A22" w:rsidRDefault="00BD48D3" w:rsidP="00A02A22">
      <w:pPr>
        <w:spacing w:after="0"/>
        <w:jc w:val="both"/>
        <w:rPr>
          <w:rFonts w:ascii="Calibri" w:hAnsi="Calibri" w:cs="Calibri"/>
          <w:b/>
          <w:bCs/>
          <w:color w:val="4C94D8" w:themeColor="text2" w:themeTint="80"/>
          <w:sz w:val="26"/>
          <w:szCs w:val="26"/>
        </w:rPr>
      </w:pPr>
      <w:r>
        <w:rPr>
          <w:rFonts w:ascii="Calibri" w:hAnsi="Calibri" w:cs="Calibri"/>
          <w:b/>
          <w:bCs/>
          <w:color w:val="4C94D8" w:themeColor="text2" w:themeTint="80"/>
          <w:sz w:val="26"/>
          <w:szCs w:val="26"/>
        </w:rPr>
        <w:t>Key findings and reasons for concern</w:t>
      </w:r>
    </w:p>
    <w:p w14:paraId="5FC8DD5E" w14:textId="77777777" w:rsidR="00A02A22" w:rsidRPr="00A02A22" w:rsidRDefault="00A02A22" w:rsidP="00A02A22">
      <w:pPr>
        <w:jc w:val="both"/>
        <w:rPr>
          <w:sz w:val="21"/>
          <w:szCs w:val="21"/>
        </w:rPr>
      </w:pPr>
      <w:r w:rsidRPr="00A02A22">
        <w:rPr>
          <w:sz w:val="21"/>
          <w:szCs w:val="21"/>
        </w:rPr>
        <w:t>Despite formal entitlement to income security and social protection, disabled people in Iceland face significant barriers to enjoying an adequate standard of living as guaranteed by Article 28 of the CRPD. Disability-related benefits are frequently insufficient to cover the actual cost of living, and available social services, such as housing assistance, personal support, or health-related expenses, do not always fill the gap. There is no rights-based assessment mechanism to ensure that support is tailored to individual needs, nor are there consistent safeguards against cumulative disadvantage for people with high support needs.</w:t>
      </w:r>
    </w:p>
    <w:p w14:paraId="37E15A2E" w14:textId="77777777" w:rsidR="00A02A22" w:rsidRPr="00A02A22" w:rsidRDefault="00A02A22" w:rsidP="00A02A22">
      <w:pPr>
        <w:jc w:val="both"/>
        <w:rPr>
          <w:sz w:val="21"/>
          <w:szCs w:val="21"/>
        </w:rPr>
      </w:pPr>
      <w:r w:rsidRPr="00A02A22">
        <w:rPr>
          <w:sz w:val="21"/>
          <w:szCs w:val="21"/>
        </w:rPr>
        <w:t>A central concern is that Iceland lacks a unified and inclusive definition of “adequate standard of living” that reflects the lived realities of disabled people. Public debates and policymaking in this area are rarely framed in human rights terms. Instead, disability benefits are often discussed in terms of financial sustainability or labor market incentives, without reference to the dignity, autonomy, or full inclusion of the person concerned. This economic framing undermines the purpose of Article 28 and risks reinforcing stereotypes of disabled people as passive recipients of state aid.</w:t>
      </w:r>
    </w:p>
    <w:p w14:paraId="5B4D7A4A" w14:textId="77777777" w:rsidR="00A02A22" w:rsidRPr="00A02A22" w:rsidRDefault="00A02A22" w:rsidP="00A02A22">
      <w:pPr>
        <w:jc w:val="both"/>
        <w:rPr>
          <w:sz w:val="21"/>
          <w:szCs w:val="21"/>
        </w:rPr>
      </w:pPr>
      <w:r w:rsidRPr="00A02A22">
        <w:rPr>
          <w:sz w:val="21"/>
          <w:szCs w:val="21"/>
        </w:rPr>
        <w:t xml:space="preserve">Access to housing is one of the most pressing and under-addressed aspects of social protection in Iceland. There is no systematic guarantee of accessible or affordable housing for disabled </w:t>
      </w:r>
      <w:proofErr w:type="gramStart"/>
      <w:r w:rsidRPr="00A02A22">
        <w:rPr>
          <w:sz w:val="21"/>
          <w:szCs w:val="21"/>
        </w:rPr>
        <w:t>people, and</w:t>
      </w:r>
      <w:proofErr w:type="gramEnd"/>
      <w:r w:rsidRPr="00A02A22">
        <w:rPr>
          <w:sz w:val="21"/>
          <w:szCs w:val="21"/>
        </w:rPr>
        <w:t xml:space="preserve"> wait times for adapted or supported housing remain long in many municipalities. Responsibility for housing is largely decentralized, leading to significant regional disparities. In addition, there is no national monitoring of accessibility standards or the proportion of disabled people living in inadequate, unsafe, or segregated housing arrangements. Without clear </w:t>
      </w:r>
      <w:r w:rsidRPr="00A02A22">
        <w:rPr>
          <w:sz w:val="21"/>
          <w:szCs w:val="21"/>
        </w:rPr>
        <w:lastRenderedPageBreak/>
        <w:t>obligations or oversight, disabled people risk being excluded from the general housing market and relegated to institutional or ad hoc solutions that fail to respect their right to independent living.</w:t>
      </w:r>
    </w:p>
    <w:p w14:paraId="46595215" w14:textId="77777777" w:rsidR="00A02A22" w:rsidRPr="00A02A22" w:rsidRDefault="00A02A22" w:rsidP="00A02A22">
      <w:pPr>
        <w:jc w:val="both"/>
        <w:rPr>
          <w:sz w:val="21"/>
          <w:szCs w:val="21"/>
        </w:rPr>
      </w:pPr>
      <w:r w:rsidRPr="00A02A22">
        <w:rPr>
          <w:sz w:val="21"/>
          <w:szCs w:val="21"/>
        </w:rPr>
        <w:t>Ongoing reforms to the Icelandic disability pension and welfare systems are being introduced without robust human rights impact assessments or public benchmarks for compliance with Article 28. No baseline measurements have been established regarding poverty rates, access to services, or the adequacy of support before these reforms. Nor has a plan been presented for how the effects of these changes will be monitored over time. This undermines the ability to ensure that reforms improve realization rather than worsen existing inequalities. The lack of systematic monitoring is particularly concerning given Iceland’s obligations under the CRPD and Sustainable Development Goals (e.g., SDG 1.3 on social protection and 10.2 on reducing inequality).</w:t>
      </w:r>
    </w:p>
    <w:p w14:paraId="6BAECA5D" w14:textId="77777777" w:rsidR="00A02A22" w:rsidRPr="00A02A22" w:rsidRDefault="00A02A22" w:rsidP="00A02A22">
      <w:pPr>
        <w:jc w:val="both"/>
        <w:rPr>
          <w:sz w:val="21"/>
          <w:szCs w:val="21"/>
        </w:rPr>
      </w:pPr>
      <w:r w:rsidRPr="00A02A22">
        <w:rPr>
          <w:sz w:val="21"/>
          <w:szCs w:val="21"/>
        </w:rPr>
        <w:t>Moreover, the absence of disaggregated and longitudinal data makes it difficult to assess the situation of particularly marginalized groups—such as disabled women, children, older adults, immigrants, or people with intellectual or psychosocial disabilities—within the social protection system. Without this information, systemic exclusion may remain invisible and unaddressed.</w:t>
      </w:r>
    </w:p>
    <w:p w14:paraId="58304AC8" w14:textId="1C4A79A4" w:rsidR="00A02A22" w:rsidRPr="00420CD0" w:rsidRDefault="00A02A22" w:rsidP="00420CD0">
      <w:pPr>
        <w:jc w:val="both"/>
        <w:rPr>
          <w:sz w:val="21"/>
          <w:szCs w:val="21"/>
        </w:rPr>
      </w:pPr>
      <w:r w:rsidRPr="00A02A22">
        <w:rPr>
          <w:sz w:val="21"/>
          <w:szCs w:val="21"/>
        </w:rPr>
        <w:t>Finally, administrative procedures for accessing benefits and services remain overly medicalized, rigid, and demeaning. Individuals are frequently required to undergo repeated assessments of impairment, rehabilitation, and work capacity to prove eligibility. This approach not only places a heavy burden on disabled people but also contradicts the CRPD’s recognition of persons with disabilities as autonomous rights-holders entitled to dignity, respect, and non-discrimination.</w:t>
      </w:r>
      <w:r>
        <w:rPr>
          <w:sz w:val="21"/>
          <w:szCs w:val="21"/>
        </w:rPr>
        <w:br w:type="page"/>
      </w:r>
    </w:p>
    <w:p w14:paraId="511C46A1" w14:textId="77777777" w:rsidR="00AF7A79" w:rsidRPr="00AF7A79" w:rsidRDefault="00AF7A79" w:rsidP="00393567">
      <w:pPr>
        <w:pStyle w:val="Heading1"/>
      </w:pPr>
      <w:bookmarkStart w:id="28" w:name="_Toc202095956"/>
      <w:r w:rsidRPr="00AF7A79">
        <w:lastRenderedPageBreak/>
        <w:t>Article 29: Participation in political and public life</w:t>
      </w:r>
      <w:bookmarkEnd w:id="28"/>
      <w:r w:rsidRPr="00AF7A79">
        <w:t xml:space="preserve"> </w:t>
      </w:r>
    </w:p>
    <w:p w14:paraId="44CE7836" w14:textId="3DDDB8C5" w:rsidR="00AF7A79" w:rsidRPr="00AF7A79" w:rsidRDefault="00BD48D3" w:rsidP="00393567">
      <w:pPr>
        <w:pStyle w:val="Heading2"/>
      </w:pPr>
      <w:r>
        <w:t>Knowledge status and research gaps</w:t>
      </w:r>
    </w:p>
    <w:p w14:paraId="3FE694C5" w14:textId="77777777" w:rsidR="00AF7A79" w:rsidRPr="00AF7A79" w:rsidRDefault="00AF7A79" w:rsidP="00AF7A79">
      <w:pPr>
        <w:jc w:val="both"/>
        <w:rPr>
          <w:sz w:val="21"/>
          <w:szCs w:val="21"/>
        </w:rPr>
      </w:pPr>
      <w:r w:rsidRPr="00AF7A79">
        <w:rPr>
          <w:sz w:val="21"/>
          <w:szCs w:val="21"/>
        </w:rPr>
        <w:t>The right of disabled people to participate in political and public life remains underexplored in academic and policy research. While general commitments to equality and inclusion have been emphasized in legal and policy frameworks, limited attention has been given to the concrete implementation of Article 29 of the CRPD. Political participation has often been discussed indirectly through broader themes such as civil society engagement or legal capacity. Very little research has examined the electoral process from the perspective of disabled voters or candidates, including voting accessibility, support measures, and barriers to running for office. The participation of disabled people in public affairs, including consultations, boardrooms, policy development, and representation in decision-making bodies, has received some attention. However, the overall evidence base is fragmented and largely limited to civil society initiatives or thematic analyses of consultation processes. There is an almost complete lack of disaggregated data or systematic monitoring on the effective exercise of political rights by disabled people, including voter turnout, candidacy, or public office-holding. This situation underscores the urgent need for comprehensive, rights-based research focused on the practical realization of political and public participation rights for disabled people in Iceland. Future efforts should include empirical studies, monitoring frameworks aligned with Article 29 indicators, and critical examination of the enabling and disabling conditions for full democratic inclusion.</w:t>
      </w:r>
    </w:p>
    <w:p w14:paraId="0BE62BA7" w14:textId="5AE2A243" w:rsidR="00AF7A79" w:rsidRPr="00AF7A79" w:rsidRDefault="00BD48D3" w:rsidP="00AF7A79">
      <w:pPr>
        <w:spacing w:after="0"/>
        <w:jc w:val="both"/>
        <w:rPr>
          <w:rFonts w:ascii="Calibri" w:hAnsi="Calibri" w:cs="Calibri"/>
          <w:b/>
          <w:bCs/>
          <w:color w:val="4C94D8" w:themeColor="text2" w:themeTint="80"/>
          <w:sz w:val="26"/>
          <w:szCs w:val="26"/>
        </w:rPr>
      </w:pPr>
      <w:r>
        <w:rPr>
          <w:rFonts w:ascii="Calibri" w:hAnsi="Calibri" w:cs="Calibri"/>
          <w:b/>
          <w:bCs/>
          <w:color w:val="4C94D8" w:themeColor="text2" w:themeTint="80"/>
          <w:sz w:val="26"/>
          <w:szCs w:val="26"/>
        </w:rPr>
        <w:t>Key findings and reasons for concern</w:t>
      </w:r>
    </w:p>
    <w:p w14:paraId="1825503B" w14:textId="77777777" w:rsidR="00AF7A79" w:rsidRPr="00AF7A79" w:rsidRDefault="00AF7A79" w:rsidP="00AF7A79">
      <w:pPr>
        <w:jc w:val="both"/>
        <w:rPr>
          <w:sz w:val="21"/>
          <w:szCs w:val="21"/>
        </w:rPr>
      </w:pPr>
      <w:r w:rsidRPr="00AF7A79">
        <w:rPr>
          <w:sz w:val="21"/>
          <w:szCs w:val="21"/>
        </w:rPr>
        <w:t>Despite Iceland's general commitment to democratic principles and equality, there are serious concerns regarding the full realization of political and public participation rights for disabled people. Existing legal frameworks do not adequately address the accessibility of electoral processes or the structural and attitudinal barriers that hinder disabled people from exercising their right to vote, stand for election, and hold public office on an equal basis with others.</w:t>
      </w:r>
    </w:p>
    <w:p w14:paraId="6A83A180" w14:textId="77777777" w:rsidR="00AF7A79" w:rsidRPr="00AF7A79" w:rsidRDefault="00AF7A79" w:rsidP="00AF7A79">
      <w:pPr>
        <w:jc w:val="both"/>
        <w:rPr>
          <w:sz w:val="21"/>
          <w:szCs w:val="21"/>
        </w:rPr>
      </w:pPr>
      <w:r w:rsidRPr="00AF7A79">
        <w:rPr>
          <w:sz w:val="21"/>
          <w:szCs w:val="21"/>
        </w:rPr>
        <w:t>Accessibility barriers remain widespread across multiple dimensions of the electoral process. Physical access to polling stations is inconsistent across municipalities, and there is no nationwide policy or monitoring framework to ensure that electoral materials, procedures, and environments are accessible to all. Accessible formats, reasonable accommodation, and the right to vote independently or with the assistance of one’s choice are not uniformly guaranteed in law or practice. Furthermore, digital and remote voting options, which many political parties use, remain largely inaccessible to certain groups of disabled voters, such as blind, deafblind, or neurodivergent individuals.</w:t>
      </w:r>
    </w:p>
    <w:p w14:paraId="56D7A2EF" w14:textId="77777777" w:rsidR="00AF7A79" w:rsidRPr="00AF7A79" w:rsidRDefault="00AF7A79" w:rsidP="00AF7A79">
      <w:pPr>
        <w:jc w:val="both"/>
        <w:rPr>
          <w:sz w:val="21"/>
          <w:szCs w:val="21"/>
        </w:rPr>
      </w:pPr>
      <w:r w:rsidRPr="00AF7A79">
        <w:rPr>
          <w:sz w:val="21"/>
          <w:szCs w:val="21"/>
        </w:rPr>
        <w:t>Legal capacity and disenfranchisement continue to raise fundamental human rights concerns. Although some reforms have been made to the legal capacity regime, individuals placed under guardianship or deemed to lack "sufficient understanding" or “expressing their opinions in a way that the returning board understands” may still face de facto or de jure restrictions on their right to vote or stand for election. These practices are incompatible with Article 29 and the CRPD Committee's interpretation that all disabled people, regardless of cognitive or psychosocial impairments, retain their full political rights.</w:t>
      </w:r>
    </w:p>
    <w:p w14:paraId="29929932" w14:textId="77777777" w:rsidR="00AF7A79" w:rsidRPr="00AF7A79" w:rsidRDefault="00AF7A79" w:rsidP="00AF7A79">
      <w:pPr>
        <w:jc w:val="both"/>
        <w:rPr>
          <w:sz w:val="21"/>
          <w:szCs w:val="21"/>
        </w:rPr>
      </w:pPr>
      <w:r w:rsidRPr="00AF7A79">
        <w:rPr>
          <w:sz w:val="21"/>
          <w:szCs w:val="21"/>
        </w:rPr>
        <w:lastRenderedPageBreak/>
        <w:t>Structural exclusion from public decision-making is another area of concern. Disabled people are significantly underrepresented in elected bodies, public administration, and consultative processes at all levels of government. There is no requirement to collect disaggregated data on the participation of disabled people in political life, and existing systems of representation often rely on non-disabled advocates or organizations without mechanisms to ensure accountability to disabled constituencies. As a result, policymaking often fails to reflect the lived experiences and priorities of disabled people themselves.</w:t>
      </w:r>
    </w:p>
    <w:p w14:paraId="780BDBFE" w14:textId="77777777" w:rsidR="00AF7A79" w:rsidRPr="00AF7A79" w:rsidRDefault="00AF7A79" w:rsidP="00AF7A79">
      <w:pPr>
        <w:jc w:val="both"/>
        <w:rPr>
          <w:sz w:val="21"/>
          <w:szCs w:val="21"/>
        </w:rPr>
      </w:pPr>
      <w:r w:rsidRPr="00AF7A79">
        <w:rPr>
          <w:sz w:val="21"/>
          <w:szCs w:val="21"/>
        </w:rPr>
        <w:t>Barriers to forming and sustaining representative organizations also persist. Although organizations of disabled people exist, they often face unequal access to public funding, decision-making platforms, and legal recognition. Moreover, fear of retaliation or marginalization may prevent some groups, particularly those critical of existing policies, from engaging freely in political advocacy or public debate. This undermines the freedom of association and expression that underpin meaningful participation in public life.</w:t>
      </w:r>
    </w:p>
    <w:p w14:paraId="1D063180" w14:textId="4F836056" w:rsidR="00AF7A79" w:rsidRPr="00885988" w:rsidRDefault="00AF7A79" w:rsidP="00885988">
      <w:pPr>
        <w:jc w:val="both"/>
        <w:rPr>
          <w:sz w:val="21"/>
          <w:szCs w:val="21"/>
        </w:rPr>
      </w:pPr>
      <w:r w:rsidRPr="00AF7A79">
        <w:rPr>
          <w:sz w:val="21"/>
          <w:szCs w:val="21"/>
        </w:rPr>
        <w:t>Taken together, these gaps represent systemic failures to ensure political equality and democratic inclusion for disabled people in Iceland. Without legal guarantees, structural reforms, and robust accountability mechanisms, the right to participate in political and public life will remain largely aspirational rather than real.</w:t>
      </w:r>
      <w:r>
        <w:rPr>
          <w:sz w:val="21"/>
          <w:szCs w:val="21"/>
        </w:rPr>
        <w:br w:type="page"/>
      </w:r>
    </w:p>
    <w:p w14:paraId="7F565BCA" w14:textId="77777777" w:rsidR="00EA1B4D" w:rsidRPr="00EA1B4D" w:rsidRDefault="00EA1B4D" w:rsidP="00393567">
      <w:pPr>
        <w:pStyle w:val="Heading1"/>
      </w:pPr>
      <w:bookmarkStart w:id="29" w:name="_Toc202095957"/>
      <w:r w:rsidRPr="00EA1B4D">
        <w:lastRenderedPageBreak/>
        <w:t>Article 30: Participation in cultural life, recreation, leisure and sport</w:t>
      </w:r>
      <w:bookmarkEnd w:id="29"/>
    </w:p>
    <w:p w14:paraId="2F0C62F9" w14:textId="4F7FC2D7" w:rsidR="00EA1B4D" w:rsidRPr="00EA1B4D" w:rsidRDefault="00BD48D3" w:rsidP="00393567">
      <w:pPr>
        <w:pStyle w:val="Heading2"/>
      </w:pPr>
      <w:r>
        <w:t>Knowledge status and research gaps</w:t>
      </w:r>
    </w:p>
    <w:p w14:paraId="093DB769" w14:textId="77777777" w:rsidR="00EA1B4D" w:rsidRPr="00EA1B4D" w:rsidRDefault="00EA1B4D" w:rsidP="00EA1B4D">
      <w:pPr>
        <w:jc w:val="both"/>
        <w:rPr>
          <w:sz w:val="21"/>
          <w:szCs w:val="21"/>
        </w:rPr>
      </w:pPr>
      <w:r w:rsidRPr="00EA1B4D">
        <w:rPr>
          <w:sz w:val="21"/>
          <w:szCs w:val="21"/>
        </w:rPr>
        <w:t>There is currently no systematic academic research in Iceland dedicated to monitoring or evaluating the implementation of Article 30 of the CRPD. Participation of disabled people in cultural life, recreation, leisure, and sport has not been the primary focus of empirical studies, policy assessments, or national data collection. Where cultural participation is mentioned, it is often marginal, anecdotal, or embedded in broader studies of inclusion, accessibility, or service provision. Although some research exists on adjacent rights, such as accessibility to public services, accessible communication, and the use of sign language, these findings are not tailored to cultural and leisure contexts, and they do not evaluate the outcomes of national policies or investments in these fields. As a result, there is a lack of baseline data to assess whether disabled people in Iceland have equal opportunities to enjoy and contribute to cultural and recreational life, including as creators, audience members, athletes, or participants in sports and leisure.</w:t>
      </w:r>
    </w:p>
    <w:p w14:paraId="1FB1FF87" w14:textId="77777777" w:rsidR="00EA1B4D" w:rsidRPr="00EA1B4D" w:rsidRDefault="00EA1B4D" w:rsidP="00EA1B4D">
      <w:pPr>
        <w:jc w:val="both"/>
        <w:rPr>
          <w:sz w:val="21"/>
          <w:szCs w:val="21"/>
        </w:rPr>
      </w:pPr>
      <w:r w:rsidRPr="00EA1B4D">
        <w:rPr>
          <w:sz w:val="21"/>
          <w:szCs w:val="21"/>
        </w:rPr>
        <w:t>In recent years, however, some academic work in the humanities has examined how disabled people are portrayed in Icelandic history, folklore, and popular culture. These studies have offered important insights into the symbolic exclusion and stereotypical representations that shape societal perceptions of disability. Nonetheless, this scholarship has not yet been linked to legal or policy discussions regarding the implementation of the CRPD, and it remains largely disconnected from institutional efforts to promote cultural participation. Critical gaps remain in understanding the experiences of disabled people in accessing cultural spaces, participating in sports and leisure activities, and receiving support for professional development in the arts. There is also a complete absence of national indicators aligned with the CRPD or the Sustainable Development Goals to measure inclusion in this domain. Research on children, youth, and disabled people in rural areas is especially lacking.</w:t>
      </w:r>
    </w:p>
    <w:p w14:paraId="0AA4A35B" w14:textId="632F7A3D" w:rsidR="00EA1B4D" w:rsidRPr="00EA1B4D" w:rsidRDefault="00BD48D3" w:rsidP="00EA1B4D">
      <w:pPr>
        <w:spacing w:after="0"/>
        <w:jc w:val="both"/>
        <w:rPr>
          <w:rFonts w:ascii="Calibri" w:hAnsi="Calibri" w:cs="Calibri"/>
          <w:b/>
          <w:bCs/>
          <w:color w:val="4C94D8" w:themeColor="text2" w:themeTint="80"/>
          <w:sz w:val="26"/>
          <w:szCs w:val="26"/>
        </w:rPr>
      </w:pPr>
      <w:r>
        <w:rPr>
          <w:rFonts w:ascii="Calibri" w:hAnsi="Calibri" w:cs="Calibri"/>
          <w:b/>
          <w:bCs/>
          <w:color w:val="4C94D8" w:themeColor="text2" w:themeTint="80"/>
          <w:sz w:val="26"/>
          <w:szCs w:val="26"/>
        </w:rPr>
        <w:t>Key findings and reasons for concern</w:t>
      </w:r>
    </w:p>
    <w:p w14:paraId="691B8E35" w14:textId="77777777" w:rsidR="00EA1B4D" w:rsidRPr="00EA1B4D" w:rsidRDefault="00EA1B4D" w:rsidP="00EA1B4D">
      <w:pPr>
        <w:jc w:val="both"/>
        <w:rPr>
          <w:sz w:val="21"/>
          <w:szCs w:val="21"/>
        </w:rPr>
      </w:pPr>
      <w:r w:rsidRPr="00EA1B4D">
        <w:rPr>
          <w:sz w:val="21"/>
          <w:szCs w:val="21"/>
        </w:rPr>
        <w:t>Despite Iceland's general commitment to cultural and recreational development, there is no evidence that national or local policies on culture, sport, or leisure have been systematically aligned with the requirements of Article 30 of the CRPD. The rights of disabled people to participate in cultural life, either as creators, performers, spectators, or consumers, remain largely invisible in both national law and practice. Cultural policy frameworks rarely include explicit accessibility obligations, and there is no national strategy addressing inclusion in sport, recreation, or cultural programming.</w:t>
      </w:r>
    </w:p>
    <w:p w14:paraId="612B7147" w14:textId="77777777" w:rsidR="00EA1B4D" w:rsidRPr="00EA1B4D" w:rsidRDefault="00EA1B4D" w:rsidP="00EA1B4D">
      <w:pPr>
        <w:jc w:val="both"/>
        <w:rPr>
          <w:sz w:val="21"/>
          <w:szCs w:val="21"/>
        </w:rPr>
      </w:pPr>
      <w:r w:rsidRPr="00EA1B4D">
        <w:rPr>
          <w:sz w:val="21"/>
          <w:szCs w:val="21"/>
        </w:rPr>
        <w:t>Disabled people in Iceland continue to face barriers in accessing museums, cultural venues, festivals, and sports infrastructure. Physical inaccessibility, lack of accessible communication formats (such as captioning, sign language, and easy-to-read materials), and inadequate public transport remain persistent obstacles. These barriers are not systematically monitored, and there is no data collected on disabled people’s participation in these domains, whether as professionals or audience members.</w:t>
      </w:r>
    </w:p>
    <w:p w14:paraId="5AA58B74" w14:textId="77777777" w:rsidR="00EA1B4D" w:rsidRPr="00EA1B4D" w:rsidRDefault="00EA1B4D" w:rsidP="00EA1B4D">
      <w:pPr>
        <w:jc w:val="both"/>
        <w:rPr>
          <w:sz w:val="21"/>
          <w:szCs w:val="21"/>
        </w:rPr>
      </w:pPr>
      <w:r w:rsidRPr="00EA1B4D">
        <w:rPr>
          <w:sz w:val="21"/>
          <w:szCs w:val="21"/>
        </w:rPr>
        <w:t xml:space="preserve">Public funding for cultural and sports programming is not transparently evaluated in terms of its impact on inclusion. No targeted financial support mechanisms exist to enable disabled </w:t>
      </w:r>
      <w:r w:rsidRPr="00EA1B4D">
        <w:rPr>
          <w:sz w:val="21"/>
          <w:szCs w:val="21"/>
        </w:rPr>
        <w:lastRenderedPageBreak/>
        <w:t>individuals to participate in artistic education, cultural professions, or high-level competitive sports inclusively. The absence of designated quotas, inclusive curricula, or dedicated training for cultural and sports professionals exacerbates exclusion.</w:t>
      </w:r>
    </w:p>
    <w:p w14:paraId="1BE3D91A" w14:textId="77777777" w:rsidR="00EA1B4D" w:rsidRPr="00EA1B4D" w:rsidRDefault="00EA1B4D" w:rsidP="00EA1B4D">
      <w:pPr>
        <w:jc w:val="both"/>
        <w:rPr>
          <w:sz w:val="21"/>
          <w:szCs w:val="21"/>
        </w:rPr>
      </w:pPr>
      <w:r w:rsidRPr="00EA1B4D">
        <w:rPr>
          <w:sz w:val="21"/>
          <w:szCs w:val="21"/>
        </w:rPr>
        <w:t xml:space="preserve">There is also a lack of recognition of the cultural and linguistic identities of disabled people, such as DEAF culture or neurodivergent artistic expression. The state has yet to develop awareness-raising campaigns or support for disabled people’s own cultural and artistic initiatives. The Marrakesh Treaty was </w:t>
      </w:r>
      <w:proofErr w:type="gramStart"/>
      <w:r w:rsidRPr="00EA1B4D">
        <w:rPr>
          <w:sz w:val="21"/>
          <w:szCs w:val="21"/>
        </w:rPr>
        <w:t>ratified, but</w:t>
      </w:r>
      <w:proofErr w:type="gramEnd"/>
      <w:r w:rsidRPr="00EA1B4D">
        <w:rPr>
          <w:sz w:val="21"/>
          <w:szCs w:val="21"/>
        </w:rPr>
        <w:t xml:space="preserve"> has not been accompanied by coordinated implementation or monitoring, particularly regarding access to literature and published works for people with print disabilities.</w:t>
      </w:r>
    </w:p>
    <w:p w14:paraId="0F0C8CDF" w14:textId="77777777" w:rsidR="00EA1B4D" w:rsidRPr="00EA1B4D" w:rsidRDefault="00EA1B4D" w:rsidP="00EA1B4D">
      <w:pPr>
        <w:jc w:val="both"/>
        <w:rPr>
          <w:sz w:val="21"/>
          <w:szCs w:val="21"/>
        </w:rPr>
      </w:pPr>
      <w:r w:rsidRPr="00EA1B4D">
        <w:rPr>
          <w:sz w:val="21"/>
          <w:szCs w:val="21"/>
        </w:rPr>
        <w:t>In addition, recent research in the humanities, including in history, folklore, cultural studies, and media analysis, has highlighted the persistent marginalization and stereotypical representation of disabled people in Icelandic cultural heritage and contemporary popular culture. Disabled people are frequently absent from official historical narratives, and when they do appear in media or folklore, they are often portrayed through reductive or paternalistic frames. These patterns of symbolic exclusion contribute to a cultural climate in which disabled people are not recognized as full participants in shaping national identity or cultural expression. Without critically addressing this representational imbalance, both in heritage institutions and popular media, efforts to ensure equal participation in cultural life remain fundamentally limited.</w:t>
      </w:r>
    </w:p>
    <w:p w14:paraId="500DB45C" w14:textId="63575328" w:rsidR="00DA47A0" w:rsidRPr="008D20AF" w:rsidRDefault="00EA1B4D" w:rsidP="008D20AF">
      <w:pPr>
        <w:jc w:val="both"/>
        <w:rPr>
          <w:sz w:val="21"/>
          <w:szCs w:val="21"/>
        </w:rPr>
      </w:pPr>
      <w:r w:rsidRPr="00EA1B4D">
        <w:rPr>
          <w:sz w:val="21"/>
          <w:szCs w:val="21"/>
        </w:rPr>
        <w:t>Finally, there is no consultation mechanism or co-production process in place to ensure the meaningful participation of disabled people and their representative organizations in the design and monitoring of cultural or recreational policy. As a result, Iceland risks breaching its obligation to ensure the full and effective participation of disabled people in cultural life on an equal basis with others. An exception from this relatively new initiative of the Icelandic National Theatre (</w:t>
      </w:r>
      <w:proofErr w:type="spellStart"/>
      <w:r w:rsidRPr="00EA1B4D">
        <w:rPr>
          <w:i/>
          <w:iCs/>
          <w:sz w:val="21"/>
          <w:szCs w:val="21"/>
        </w:rPr>
        <w:t>Þjóðleikhúsið</w:t>
      </w:r>
      <w:proofErr w:type="spellEnd"/>
      <w:r w:rsidRPr="00EA1B4D">
        <w:rPr>
          <w:sz w:val="21"/>
          <w:szCs w:val="21"/>
        </w:rPr>
        <w:t xml:space="preserve">) to acknowledge disabled talent and open its stage for full and equal participation. </w:t>
      </w:r>
      <w:r w:rsidR="00DA47A0">
        <w:rPr>
          <w:sz w:val="21"/>
          <w:szCs w:val="21"/>
        </w:rPr>
        <w:br w:type="page"/>
      </w:r>
    </w:p>
    <w:p w14:paraId="51D49013" w14:textId="77777777" w:rsidR="008537B5" w:rsidRPr="008537B5" w:rsidRDefault="008537B5" w:rsidP="00393567">
      <w:pPr>
        <w:pStyle w:val="Heading1"/>
      </w:pPr>
      <w:bookmarkStart w:id="30" w:name="_Toc202095958"/>
      <w:r w:rsidRPr="008537B5">
        <w:lastRenderedPageBreak/>
        <w:t>Article 31: Statistics and data collection</w:t>
      </w:r>
      <w:bookmarkEnd w:id="30"/>
    </w:p>
    <w:p w14:paraId="62A7F9E6" w14:textId="286B7FE5" w:rsidR="008537B5" w:rsidRPr="008537B5" w:rsidRDefault="00BD48D3" w:rsidP="00393567">
      <w:pPr>
        <w:pStyle w:val="Heading2"/>
      </w:pPr>
      <w:r>
        <w:t>Knowledge status and research gaps</w:t>
      </w:r>
    </w:p>
    <w:p w14:paraId="612AD3F4" w14:textId="77777777" w:rsidR="008537B5" w:rsidRPr="008537B5" w:rsidRDefault="008537B5" w:rsidP="008537B5">
      <w:pPr>
        <w:jc w:val="both"/>
        <w:rPr>
          <w:sz w:val="21"/>
          <w:szCs w:val="21"/>
        </w:rPr>
      </w:pPr>
      <w:r w:rsidRPr="008537B5">
        <w:rPr>
          <w:sz w:val="21"/>
          <w:szCs w:val="21"/>
        </w:rPr>
        <w:t>There is currently no comprehensive academic research in Iceland that specifically addresses the implementation of Article 31 of the CRPD, including the national legal framework, practices, or accessibility of disability-related statistics. Available data on disabled people in Iceland is limited, inconsistently disaggregated, and often inaccessible to the public, particularly to disabled people themselves. While various public authorities collect administrative data relevant to disabled people (e.g., on service use, benefits, or education), there is no unified strategy ensuring coordination across sectors or compliance with international standards such as the Washington Group Questions. Research and publications from the Centre have highlighted systemic barriers in access to services and monitoring, but none have focused on statistical systems or disability data governance specifically. There is also a notable absence of published evaluations on the accessibility of statistical information or the participation of disabled people and their organizations in designing data collection and dissemination processes. No known national mechanism systematically monitors whether public information is made available in accessible formats. These gaps indicate a need for targeted research into the legal, technical, and participatory dimensions of disability-related data systems in Iceland, and for studies assessing the extent to which current practices fulfil the obligations outlined in Article 31.</w:t>
      </w:r>
    </w:p>
    <w:p w14:paraId="43122AF5" w14:textId="2BA64430" w:rsidR="008537B5" w:rsidRPr="008537B5" w:rsidRDefault="00BD48D3" w:rsidP="007024ED">
      <w:pPr>
        <w:spacing w:after="0"/>
        <w:jc w:val="both"/>
        <w:rPr>
          <w:rFonts w:ascii="Calibri" w:hAnsi="Calibri" w:cs="Calibri"/>
          <w:b/>
          <w:bCs/>
          <w:color w:val="4C94D8" w:themeColor="text2" w:themeTint="80"/>
          <w:sz w:val="26"/>
          <w:szCs w:val="26"/>
        </w:rPr>
      </w:pPr>
      <w:r>
        <w:rPr>
          <w:rFonts w:ascii="Calibri" w:hAnsi="Calibri" w:cs="Calibri"/>
          <w:b/>
          <w:bCs/>
          <w:color w:val="4C94D8" w:themeColor="text2" w:themeTint="80"/>
          <w:sz w:val="26"/>
          <w:szCs w:val="26"/>
        </w:rPr>
        <w:t>Key findings and reasons for concern</w:t>
      </w:r>
    </w:p>
    <w:p w14:paraId="2B06C163" w14:textId="77777777" w:rsidR="008537B5" w:rsidRPr="008537B5" w:rsidRDefault="008537B5" w:rsidP="008537B5">
      <w:pPr>
        <w:jc w:val="both"/>
        <w:rPr>
          <w:sz w:val="21"/>
          <w:szCs w:val="21"/>
        </w:rPr>
      </w:pPr>
      <w:r w:rsidRPr="008537B5">
        <w:rPr>
          <w:sz w:val="21"/>
          <w:szCs w:val="21"/>
        </w:rPr>
        <w:t>Despite Iceland’s obligations under Article 31 of the CRPD, there is no national strategy ensuring the systematic collection, coordination, and dissemination of disability-related data. Disaggregated data by disability is not routinely integrated into national statistics, and where such data exists (e.g., within the social security sector), it is often fragmented, inconsistently reported, and unavailable in accessible formats. This undermines evidence-based policymaking and effective monitoring of CRPD implementation.</w:t>
      </w:r>
    </w:p>
    <w:p w14:paraId="3D35B846" w14:textId="77777777" w:rsidR="008537B5" w:rsidRPr="008537B5" w:rsidRDefault="008537B5" w:rsidP="008537B5">
      <w:pPr>
        <w:jc w:val="both"/>
        <w:rPr>
          <w:sz w:val="21"/>
          <w:szCs w:val="21"/>
        </w:rPr>
      </w:pPr>
      <w:r w:rsidRPr="008537B5">
        <w:rPr>
          <w:sz w:val="21"/>
          <w:szCs w:val="21"/>
        </w:rPr>
        <w:t>There are no legal guarantees in place requiring the use of internationally accepted methodologies, such as the Washington Group Short Set of Questions in censuses or surveys. This absence of standardized data collection tools results in unreliable and incomplete statistical coverage of disabled people, particularly in relation to intersecting characteristics such as age, gender, residence, and socio-economic status. It also impedes Iceland’s ability to fulfil SDG target 17.18, which calls for disaggregated data across multiple axes of inequality.</w:t>
      </w:r>
    </w:p>
    <w:p w14:paraId="50EB2FF1" w14:textId="77777777" w:rsidR="008537B5" w:rsidRPr="008537B5" w:rsidRDefault="008537B5" w:rsidP="008537B5">
      <w:pPr>
        <w:jc w:val="both"/>
        <w:rPr>
          <w:sz w:val="21"/>
          <w:szCs w:val="21"/>
        </w:rPr>
      </w:pPr>
      <w:r w:rsidRPr="008537B5">
        <w:rPr>
          <w:sz w:val="21"/>
          <w:szCs w:val="21"/>
        </w:rPr>
        <w:t>Furthermore, there is no evidence that the government systematically involves disabled people or their representative organizations in the design or oversight of data collection systems, despite this being a core requirement under Article 31(2) and General Comment No. 7. This lack of participatory practice increases the risk of exclusion and reinforces top-down approaches to policy development.</w:t>
      </w:r>
    </w:p>
    <w:p w14:paraId="699B1A92" w14:textId="77777777" w:rsidR="008537B5" w:rsidRPr="008537B5" w:rsidRDefault="008537B5" w:rsidP="008537B5">
      <w:pPr>
        <w:jc w:val="both"/>
        <w:rPr>
          <w:sz w:val="21"/>
          <w:szCs w:val="21"/>
        </w:rPr>
      </w:pPr>
      <w:r w:rsidRPr="008537B5">
        <w:rPr>
          <w:sz w:val="21"/>
          <w:szCs w:val="21"/>
        </w:rPr>
        <w:t xml:space="preserve">Concerns also persist regarding the accessibility of statistical data for disabled people. While some information is technically available through public institutions, it is rarely disseminated in formats that are accessible to people with intellectual disabilities, sensory impairments, or </w:t>
      </w:r>
      <w:r w:rsidRPr="008537B5">
        <w:rPr>
          <w:sz w:val="21"/>
          <w:szCs w:val="21"/>
        </w:rPr>
        <w:lastRenderedPageBreak/>
        <w:t>limited digital literacy. This creates a structural information barrier that limits public scrutiny, accountability, and the possibility for meaningful civil society engagement.</w:t>
      </w:r>
    </w:p>
    <w:p w14:paraId="37B0F87A" w14:textId="4B55B848" w:rsidR="00BE3B15" w:rsidRPr="00D365C9" w:rsidRDefault="008537B5" w:rsidP="00D365C9">
      <w:pPr>
        <w:jc w:val="both"/>
        <w:rPr>
          <w:sz w:val="21"/>
          <w:szCs w:val="21"/>
        </w:rPr>
      </w:pPr>
      <w:r w:rsidRPr="008537B5">
        <w:rPr>
          <w:sz w:val="21"/>
          <w:szCs w:val="21"/>
        </w:rPr>
        <w:t xml:space="preserve">Finally, no official monitoring mechanism appears to be in place to assess whether Iceland’s public information systems, including national statistical outputs, are inclusive, accessible, and </w:t>
      </w:r>
      <w:proofErr w:type="gramStart"/>
      <w:r w:rsidRPr="008537B5">
        <w:rPr>
          <w:sz w:val="21"/>
          <w:szCs w:val="21"/>
        </w:rPr>
        <w:t>rights-compliant</w:t>
      </w:r>
      <w:proofErr w:type="gramEnd"/>
      <w:r w:rsidRPr="008537B5">
        <w:rPr>
          <w:sz w:val="21"/>
          <w:szCs w:val="21"/>
        </w:rPr>
        <w:t>. The absence of such oversight reflects a broader institutional gap in the governance of disability data and hinders compliance with Iceland’s international obligations.</w:t>
      </w:r>
      <w:r w:rsidR="00BE3B15">
        <w:rPr>
          <w:sz w:val="21"/>
          <w:szCs w:val="21"/>
        </w:rPr>
        <w:br w:type="page"/>
      </w:r>
    </w:p>
    <w:p w14:paraId="05334A6F" w14:textId="3A558657" w:rsidR="00CF7EF6" w:rsidRPr="00CF7EF6" w:rsidRDefault="00CF7EF6" w:rsidP="00393567">
      <w:pPr>
        <w:pStyle w:val="Heading1"/>
      </w:pPr>
      <w:bookmarkStart w:id="31" w:name="_Toc202095959"/>
      <w:r w:rsidRPr="00CF7EF6">
        <w:lastRenderedPageBreak/>
        <w:t xml:space="preserve">Article 32: International </w:t>
      </w:r>
      <w:r w:rsidR="00393567">
        <w:t>c</w:t>
      </w:r>
      <w:r w:rsidRPr="00CF7EF6">
        <w:t>ooperation</w:t>
      </w:r>
      <w:bookmarkEnd w:id="31"/>
    </w:p>
    <w:p w14:paraId="1BBB47D6" w14:textId="549CE782" w:rsidR="00CF7EF6" w:rsidRPr="00CF7EF6" w:rsidRDefault="00BD48D3" w:rsidP="00393567">
      <w:pPr>
        <w:pStyle w:val="Heading2"/>
      </w:pPr>
      <w:r>
        <w:t>Knowledge status and research gaps</w:t>
      </w:r>
    </w:p>
    <w:p w14:paraId="7ABFA977" w14:textId="77777777" w:rsidR="00CF7EF6" w:rsidRPr="00CF7EF6" w:rsidRDefault="00CF7EF6" w:rsidP="00CF7EF6">
      <w:pPr>
        <w:jc w:val="both"/>
        <w:rPr>
          <w:sz w:val="21"/>
          <w:szCs w:val="21"/>
        </w:rPr>
      </w:pPr>
      <w:r w:rsidRPr="00CF7EF6">
        <w:rPr>
          <w:sz w:val="21"/>
          <w:szCs w:val="21"/>
        </w:rPr>
        <w:t>Iceland’s implementation of Article 32 of the CRPD, concerning international cooperation, remains limited in scope and largely unexplored in national policy and research. While disability-inclusive development is not explicitly mainstreamed in the State’s official development cooperation policies, the Centre has played a significant role in international academic cooperation. Over the past decade, the Centre has been an active participant in Nordic research networks and European projects, contributing to knowledge exchange and comparative disability studies. These efforts, however, have been primarily academic and not embedded in formal government-to-government partnerships or development aid strategies involving disabled people or their representative organizations. There is a notable absence of systematic national monitoring or evaluation of Iceland’s obligations under Article 32, particularly regarding the participation of disabled people in the design and implementation of international cooperation or humanitarian assistance. Moreover, while some bilateral cooperation exists within the Nordic region, it tends to focus on academic or institutional dialogue, rather than targeted efforts to include disabled people as agents and beneficiaries of development. Critical knowledge gaps include the lack of data on whether Iceland’s international cooperation or emergency response projects are inclusive of disabled people, the absence of disaggregated reporting, and no formal mechanisms for involving disabled persons' organizations (DPOs) in international development or crisis-related initiatives. Further research is needed to assess how Iceland aligns its external engagements with the CRPD’s human rights-based approach to development and humanitarian action.</w:t>
      </w:r>
    </w:p>
    <w:p w14:paraId="25D53A6F" w14:textId="29DB39D5" w:rsidR="00CF7EF6" w:rsidRPr="00CF7EF6" w:rsidRDefault="00BD48D3" w:rsidP="00CF7EF6">
      <w:pPr>
        <w:spacing w:after="0"/>
        <w:jc w:val="both"/>
        <w:rPr>
          <w:rFonts w:ascii="Calibri" w:hAnsi="Calibri" w:cs="Calibri"/>
          <w:b/>
          <w:bCs/>
          <w:color w:val="4C94D8" w:themeColor="text2" w:themeTint="80"/>
          <w:sz w:val="26"/>
          <w:szCs w:val="26"/>
        </w:rPr>
      </w:pPr>
      <w:r>
        <w:rPr>
          <w:rFonts w:ascii="Calibri" w:hAnsi="Calibri" w:cs="Calibri"/>
          <w:b/>
          <w:bCs/>
          <w:color w:val="4C94D8" w:themeColor="text2" w:themeTint="80"/>
          <w:sz w:val="26"/>
          <w:szCs w:val="26"/>
        </w:rPr>
        <w:t>Key findings and reasons for concern</w:t>
      </w:r>
    </w:p>
    <w:p w14:paraId="002F8613" w14:textId="77777777" w:rsidR="00CF7EF6" w:rsidRPr="00CF7EF6" w:rsidRDefault="00CF7EF6" w:rsidP="00CF7EF6">
      <w:pPr>
        <w:jc w:val="both"/>
        <w:rPr>
          <w:sz w:val="21"/>
          <w:szCs w:val="21"/>
        </w:rPr>
      </w:pPr>
      <w:r w:rsidRPr="00CF7EF6">
        <w:rPr>
          <w:sz w:val="21"/>
          <w:szCs w:val="21"/>
        </w:rPr>
        <w:t>Despite the commitments outlined in Article 32 of the CRPD, Iceland lacks a systematic approach to ensuring that its international cooperation is inclusive of disabled people. There is no evidence of a national strategy or policy that explicitly integrates the rights of disabled people into the planning, implementation, or evaluation of bilateral or multilateral development assistance. Development cooperation documents make general references to human rights but do not include measurable targets, participation requirements, or disability markers aligned with CRPD principles.</w:t>
      </w:r>
    </w:p>
    <w:p w14:paraId="3A3740E6" w14:textId="77777777" w:rsidR="00CF7EF6" w:rsidRPr="00CF7EF6" w:rsidRDefault="00CF7EF6" w:rsidP="00CF7EF6">
      <w:pPr>
        <w:jc w:val="both"/>
        <w:rPr>
          <w:sz w:val="21"/>
          <w:szCs w:val="21"/>
        </w:rPr>
      </w:pPr>
      <w:r w:rsidRPr="00CF7EF6">
        <w:rPr>
          <w:sz w:val="21"/>
          <w:szCs w:val="21"/>
        </w:rPr>
        <w:t>Disabled persons’ organizations (DPOs) are not systematically involved in Iceland’s international development or humanitarian efforts. No mechanisms are in place to guarantee their consultation or participation, nor are there safeguards to ensure that aid activities do not perpetuate exclusion or fail to address access barriers for disabled people. This omission undermines the principle of “nothing about us without us” and represents a structural gap in fulfilling obligations under Article 32.</w:t>
      </w:r>
    </w:p>
    <w:p w14:paraId="74C181A8" w14:textId="77777777" w:rsidR="00CF7EF6" w:rsidRPr="00CF7EF6" w:rsidRDefault="00CF7EF6" w:rsidP="00CF7EF6">
      <w:pPr>
        <w:jc w:val="both"/>
        <w:rPr>
          <w:sz w:val="21"/>
          <w:szCs w:val="21"/>
        </w:rPr>
      </w:pPr>
      <w:r w:rsidRPr="00CF7EF6">
        <w:rPr>
          <w:sz w:val="21"/>
          <w:szCs w:val="21"/>
        </w:rPr>
        <w:t>Although the Centre has engaged in extensive international research cooperation, particularly within Nordic and European academic networks, this activity remains disconnected from Iceland’s official development policy and is not leveraged as a means of promoting disability-</w:t>
      </w:r>
      <w:r w:rsidRPr="00CF7EF6">
        <w:rPr>
          <w:sz w:val="21"/>
          <w:szCs w:val="21"/>
        </w:rPr>
        <w:lastRenderedPageBreak/>
        <w:t>inclusive international partnerships. No coordinated framework links academic cooperation, development policy, and CRPD implementation.</w:t>
      </w:r>
    </w:p>
    <w:p w14:paraId="3E980AE9" w14:textId="77777777" w:rsidR="00CF7EF6" w:rsidRPr="00CF7EF6" w:rsidRDefault="00CF7EF6" w:rsidP="00CF7EF6">
      <w:pPr>
        <w:jc w:val="both"/>
        <w:rPr>
          <w:sz w:val="21"/>
          <w:szCs w:val="21"/>
        </w:rPr>
      </w:pPr>
      <w:r w:rsidRPr="00CF7EF6">
        <w:rPr>
          <w:sz w:val="21"/>
          <w:szCs w:val="21"/>
        </w:rPr>
        <w:t>Furthermore, Iceland does not collect or publish data on the inclusion of disabled people in development assistance or humanitarian response. This lack of disaggregated data (by disability, age, and gender) limits transparency and accountability. It also impedes efforts to evaluate whether Iceland’s contributions to international development are advancing the rights and well-being of disabled people, as required by both Article 32 and the Sustainable Development Goals (SDGs), particularly Goals 10 (Reduced Inequalities) and 17 (Partnerships for the Goals).</w:t>
      </w:r>
    </w:p>
    <w:p w14:paraId="61B656D9" w14:textId="4B297D36" w:rsidR="00545E5B" w:rsidRPr="00DD31EC" w:rsidRDefault="00CF7EF6" w:rsidP="00DD31EC">
      <w:pPr>
        <w:jc w:val="both"/>
        <w:rPr>
          <w:sz w:val="21"/>
          <w:szCs w:val="21"/>
        </w:rPr>
      </w:pPr>
      <w:r w:rsidRPr="00CF7EF6">
        <w:rPr>
          <w:sz w:val="21"/>
          <w:szCs w:val="21"/>
        </w:rPr>
        <w:t>The absence of disability training for development personnel, no use of accessibility standards in procurement, and lack of universal design requirements in aid programming all suggest that Iceland’s current model of international cooperation does not meet the minimum standards of inclusive development. These deficiencies present a risk of discrimination by omission and reinforce the marginalization of disabled people from global partnerships and resource flows.</w:t>
      </w:r>
      <w:r w:rsidR="00545E5B">
        <w:rPr>
          <w:sz w:val="21"/>
          <w:szCs w:val="21"/>
        </w:rPr>
        <w:br w:type="page"/>
      </w:r>
    </w:p>
    <w:p w14:paraId="0E86A03A" w14:textId="77777777" w:rsidR="005E4169" w:rsidRPr="005E4169" w:rsidRDefault="005E4169" w:rsidP="00393567">
      <w:pPr>
        <w:pStyle w:val="Heading1"/>
      </w:pPr>
      <w:bookmarkStart w:id="32" w:name="_Toc202095960"/>
      <w:r w:rsidRPr="005E4169">
        <w:lastRenderedPageBreak/>
        <w:t>Article 33: National implementation and monitoring</w:t>
      </w:r>
      <w:bookmarkEnd w:id="32"/>
    </w:p>
    <w:p w14:paraId="5DBD9301" w14:textId="655BAD7A" w:rsidR="005E4169" w:rsidRPr="005E4169" w:rsidRDefault="00BD48D3" w:rsidP="00393567">
      <w:pPr>
        <w:pStyle w:val="Heading2"/>
      </w:pPr>
      <w:r>
        <w:t>Knowledge status and research gaps</w:t>
      </w:r>
    </w:p>
    <w:p w14:paraId="4CBD8792" w14:textId="77777777" w:rsidR="005E4169" w:rsidRPr="005E4169" w:rsidRDefault="005E4169" w:rsidP="005E4169">
      <w:pPr>
        <w:jc w:val="both"/>
        <w:rPr>
          <w:sz w:val="21"/>
          <w:szCs w:val="21"/>
        </w:rPr>
      </w:pPr>
      <w:r w:rsidRPr="005E4169">
        <w:rPr>
          <w:sz w:val="21"/>
          <w:szCs w:val="21"/>
        </w:rPr>
        <w:t>The implementation of Article 33 remains underdeveloped and insufficiently studied. There is no dedicated national study assessing the effectiveness of the coordination mechanism or the independent monitoring framework as required under Article 33(1) and 33(2). While some partial initiatives exist, such as the assignment of monitoring responsibilities to the Icelandic Human Rights Institute and the inclusion of DPOs in some consultations, there is no systematic approach to evaluating the fulfilment of the Convention’s monitoring provisions. Academic contributions by disability scholars in Iceland have primarily focused on participation, accessibility, and discrimination, offering useful insights into elements relevant to Article 33(3). However, there is a lack of targeted research on the actual inclusion of DPOs in the monitoring and implementation process. Moreover, no independent evaluations have assessed the structural and functional independence of the designated monitoring mechanisms or their effectiveness in influencing public policy. This gap highlights a serious oversight in human rights research and policy analysis in Iceland. Critical areas for future study include the formal mandate and resources of monitoring bodies, procedural safeguards for DPO participation, and coordination between state and non-state actors in CRPD implementation.</w:t>
      </w:r>
    </w:p>
    <w:p w14:paraId="1E06CFB2" w14:textId="5B169BAC" w:rsidR="005E4169" w:rsidRPr="005E4169" w:rsidRDefault="00BD48D3" w:rsidP="005E4169">
      <w:pPr>
        <w:spacing w:after="0"/>
        <w:jc w:val="both"/>
        <w:rPr>
          <w:rFonts w:ascii="Calibri" w:hAnsi="Calibri" w:cs="Calibri"/>
          <w:b/>
          <w:bCs/>
          <w:color w:val="4C94D8" w:themeColor="text2" w:themeTint="80"/>
          <w:sz w:val="26"/>
          <w:szCs w:val="26"/>
        </w:rPr>
      </w:pPr>
      <w:r>
        <w:rPr>
          <w:rFonts w:ascii="Calibri" w:hAnsi="Calibri" w:cs="Calibri"/>
          <w:b/>
          <w:bCs/>
          <w:color w:val="4C94D8" w:themeColor="text2" w:themeTint="80"/>
          <w:sz w:val="26"/>
          <w:szCs w:val="26"/>
        </w:rPr>
        <w:t>Key findings and reasons for concern</w:t>
      </w:r>
    </w:p>
    <w:p w14:paraId="065AA979" w14:textId="77777777" w:rsidR="005E4169" w:rsidRPr="005E4169" w:rsidRDefault="005E4169" w:rsidP="005E4169">
      <w:pPr>
        <w:jc w:val="both"/>
        <w:rPr>
          <w:sz w:val="21"/>
          <w:szCs w:val="21"/>
        </w:rPr>
      </w:pPr>
      <w:r w:rsidRPr="005E4169">
        <w:rPr>
          <w:sz w:val="21"/>
          <w:szCs w:val="21"/>
        </w:rPr>
        <w:t>Since ratifying the CRPD, Iceland has not yet designated an official focal point(s) or established a structured coordination mechanism as required under Article 33(1). This longstanding omission, spanning the entire period since ratification, has significantly obstructed the effective implementation of the Convention. Responsibility for CRPD coordination remains diffuse and unassigned, and no single body or ministry is publicly accountable for ensuring systematic implementation across sectors.</w:t>
      </w:r>
    </w:p>
    <w:p w14:paraId="5F243736" w14:textId="77777777" w:rsidR="005E4169" w:rsidRPr="005E4169" w:rsidRDefault="005E4169" w:rsidP="005E4169">
      <w:pPr>
        <w:jc w:val="both"/>
        <w:rPr>
          <w:sz w:val="21"/>
          <w:szCs w:val="21"/>
        </w:rPr>
      </w:pPr>
      <w:r w:rsidRPr="005E4169">
        <w:rPr>
          <w:sz w:val="21"/>
          <w:szCs w:val="21"/>
        </w:rPr>
        <w:t>CRPD implementation in Iceland remains heavily service-oriented and shaped by pre-existing legislation and institutional norms, particularly the social services framework. Rather than reframing disability as a human rights issue, authorities continue to address obligations through a medical–administrative lens. This undermines the Convention’s transformative potential and contributes to weak institutional coherence.</w:t>
      </w:r>
    </w:p>
    <w:p w14:paraId="0B66EB90" w14:textId="77777777" w:rsidR="005E4169" w:rsidRPr="005E4169" w:rsidRDefault="005E4169" w:rsidP="005E4169">
      <w:pPr>
        <w:jc w:val="both"/>
        <w:rPr>
          <w:sz w:val="21"/>
          <w:szCs w:val="21"/>
        </w:rPr>
      </w:pPr>
      <w:r w:rsidRPr="005E4169">
        <w:rPr>
          <w:sz w:val="21"/>
          <w:szCs w:val="21"/>
        </w:rPr>
        <w:t>Although an independent monitoring mechanism has been formally designated under Article 33(2), the Icelandic Human Rights Institute lacks A-status accreditation and does not fully meet the Paris Principles of independence, pluralism, or legal security of mandate. Its role in CRPD implementation is not well understood or visible, and there is no clear legal framework guaranteeing its long-term independence or authority. Notably, key oversight roles, such as disabled people’s rights protection officers, are governed by laws and systems that fall under ministerial authority, raising questions about their functional independence and suitability as safeguards under Article 33(2).</w:t>
      </w:r>
    </w:p>
    <w:p w14:paraId="066797BB" w14:textId="77777777" w:rsidR="005E4169" w:rsidRPr="005E4169" w:rsidRDefault="005E4169" w:rsidP="005E4169">
      <w:pPr>
        <w:jc w:val="both"/>
        <w:rPr>
          <w:sz w:val="21"/>
          <w:szCs w:val="21"/>
        </w:rPr>
      </w:pPr>
      <w:r w:rsidRPr="005E4169">
        <w:rPr>
          <w:sz w:val="21"/>
          <w:szCs w:val="21"/>
        </w:rPr>
        <w:t xml:space="preserve">Disabled people’s participation in implementation and monitoring is extremely limited in scope. While two DPOs (or technically only one, the other being a parental organization represented by a non-disabled spokespersons) are formally represented on various official platforms, the national </w:t>
      </w:r>
      <w:r w:rsidRPr="005E4169">
        <w:rPr>
          <w:sz w:val="21"/>
          <w:szCs w:val="21"/>
        </w:rPr>
        <w:lastRenderedPageBreak/>
        <w:t>implementation task force, the advisory board of the monitoring body, and the Ministry’s disability rights “watchdog”, these roles are largely filled by the same two organizations and individuals. This narrow and repetitive participation does not satisfy the Convention’s requirement of broad, inclusive, and diverse involvement of disabled people and their representative organizations, particularly from underrepresented groups.</w:t>
      </w:r>
    </w:p>
    <w:p w14:paraId="4F349F0C" w14:textId="77777777" w:rsidR="005E4169" w:rsidRPr="005E4169" w:rsidRDefault="005E4169" w:rsidP="005E4169">
      <w:pPr>
        <w:jc w:val="both"/>
        <w:rPr>
          <w:sz w:val="21"/>
          <w:szCs w:val="21"/>
        </w:rPr>
      </w:pPr>
      <w:r w:rsidRPr="005E4169">
        <w:rPr>
          <w:sz w:val="21"/>
          <w:szCs w:val="21"/>
        </w:rPr>
        <w:t>No disaggregated data collection system or national indicators have been developed to measure implementation progress, and no systematic monitoring reports have been published. Without meaningful data or evaluative tools, there is no foundation for measuring compliance or holding duty bearers accountable. The monitoring structure remains disconnected from lived experience and is vulnerable to political pressure.</w:t>
      </w:r>
    </w:p>
    <w:p w14:paraId="30C67F74" w14:textId="77777777" w:rsidR="005E4169" w:rsidRDefault="005E4169" w:rsidP="005E4169">
      <w:pPr>
        <w:jc w:val="both"/>
        <w:rPr>
          <w:sz w:val="21"/>
          <w:szCs w:val="21"/>
        </w:rPr>
      </w:pPr>
      <w:r w:rsidRPr="005E4169">
        <w:rPr>
          <w:sz w:val="21"/>
          <w:szCs w:val="21"/>
        </w:rPr>
        <w:t xml:space="preserve">These combined structural deficiencies place Iceland at risk of continued non-compliance with Article 33. Without the establishment of accountable focal points, a fully independent monitoring body, and inclusive and pluralistic participation mechanisms, CRPD implementation will remain fragmented and symbolic rather than systemic and </w:t>
      </w:r>
      <w:proofErr w:type="gramStart"/>
      <w:r w:rsidRPr="005E4169">
        <w:rPr>
          <w:sz w:val="21"/>
          <w:szCs w:val="21"/>
        </w:rPr>
        <w:t>rights-based</w:t>
      </w:r>
      <w:proofErr w:type="gramEnd"/>
      <w:r w:rsidRPr="005E4169">
        <w:rPr>
          <w:sz w:val="21"/>
          <w:szCs w:val="21"/>
        </w:rPr>
        <w:t>.</w:t>
      </w:r>
    </w:p>
    <w:p w14:paraId="73CEFF9E" w14:textId="21D18D41" w:rsidR="00AE4520" w:rsidRDefault="00AE4520">
      <w:pPr>
        <w:rPr>
          <w:sz w:val="21"/>
          <w:szCs w:val="21"/>
        </w:rPr>
      </w:pPr>
      <w:r>
        <w:rPr>
          <w:sz w:val="21"/>
          <w:szCs w:val="21"/>
        </w:rPr>
        <w:br w:type="page"/>
      </w:r>
    </w:p>
    <w:p w14:paraId="3A1809ED" w14:textId="77777777" w:rsidR="00AE4520" w:rsidRPr="00633822" w:rsidRDefault="00AE4520" w:rsidP="00AE4520">
      <w:pPr>
        <w:pBdr>
          <w:bottom w:val="single" w:sz="8" w:space="4" w:color="4F81BD"/>
        </w:pBdr>
        <w:spacing w:after="300" w:line="240" w:lineRule="auto"/>
        <w:contextualSpacing/>
        <w:jc w:val="center"/>
        <w:rPr>
          <w:rFonts w:ascii="Calibri" w:eastAsia="MS Gothic" w:hAnsi="Calibri" w:cs="Times New Roman"/>
          <w:color w:val="17365D"/>
          <w:spacing w:val="5"/>
          <w:kern w:val="28"/>
          <w:sz w:val="52"/>
          <w:szCs w:val="52"/>
          <w14:ligatures w14:val="none"/>
        </w:rPr>
      </w:pPr>
      <w:r w:rsidRPr="00633822">
        <w:rPr>
          <w:rFonts w:ascii="Calibri" w:eastAsia="MS Gothic" w:hAnsi="Calibri" w:cs="Times New Roman"/>
          <w:color w:val="17365D"/>
          <w:spacing w:val="5"/>
          <w:kern w:val="28"/>
          <w:sz w:val="52"/>
          <w:szCs w:val="52"/>
          <w14:ligatures w14:val="none"/>
        </w:rPr>
        <w:lastRenderedPageBreak/>
        <w:t>Appendix</w:t>
      </w:r>
      <w:r>
        <w:rPr>
          <w:rFonts w:ascii="Calibri" w:eastAsia="MS Gothic" w:hAnsi="Calibri" w:cs="Times New Roman"/>
          <w:color w:val="17365D"/>
          <w:spacing w:val="5"/>
          <w:kern w:val="28"/>
          <w:sz w:val="52"/>
          <w:szCs w:val="52"/>
          <w14:ligatures w14:val="none"/>
        </w:rPr>
        <w:t xml:space="preserve"> I</w:t>
      </w:r>
    </w:p>
    <w:p w14:paraId="474197D9" w14:textId="77777777" w:rsidR="00AE4520" w:rsidRPr="00633822" w:rsidRDefault="00AE4520" w:rsidP="00AE4520">
      <w:pPr>
        <w:numPr>
          <w:ilvl w:val="1"/>
          <w:numId w:val="0"/>
        </w:numPr>
        <w:spacing w:after="200" w:line="276" w:lineRule="auto"/>
        <w:jc w:val="center"/>
        <w:rPr>
          <w:rFonts w:ascii="Calibri" w:eastAsia="MS Gothic" w:hAnsi="Calibri" w:cs="Times New Roman"/>
          <w:i/>
          <w:iCs/>
          <w:color w:val="4F81BD"/>
          <w:spacing w:val="15"/>
          <w:kern w:val="0"/>
          <w14:ligatures w14:val="none"/>
        </w:rPr>
      </w:pPr>
      <w:r w:rsidRPr="00633822">
        <w:rPr>
          <w:rFonts w:ascii="Calibri" w:eastAsia="MS Gothic" w:hAnsi="Calibri" w:cs="Times New Roman"/>
          <w:i/>
          <w:iCs/>
          <w:color w:val="4F81BD"/>
          <w:spacing w:val="15"/>
          <w:kern w:val="0"/>
          <w14:ligatures w14:val="none"/>
        </w:rPr>
        <w:t>Proposed Questions to the UN Committee on the Rights of Persons with Disabilities</w:t>
      </w:r>
    </w:p>
    <w:p w14:paraId="3A6B3600" w14:textId="77777777" w:rsidR="00AE4520" w:rsidRPr="00633822" w:rsidRDefault="00AE4520" w:rsidP="00AE4520">
      <w:pPr>
        <w:spacing w:after="200" w:line="276" w:lineRule="auto"/>
        <w:jc w:val="center"/>
        <w:rPr>
          <w:rFonts w:ascii="Georgia" w:eastAsia="MS Mincho" w:hAnsi="Georgia" w:cs="Times New Roman"/>
          <w:kern w:val="0"/>
          <w:sz w:val="22"/>
          <w:szCs w:val="22"/>
          <w14:ligatures w14:val="none"/>
        </w:rPr>
      </w:pPr>
      <w:r w:rsidRPr="00633822">
        <w:rPr>
          <w:rFonts w:ascii="Georgia" w:eastAsia="MS Mincho" w:hAnsi="Georgia" w:cs="Times New Roman"/>
          <w:kern w:val="0"/>
          <w:sz w:val="22"/>
          <w:szCs w:val="22"/>
          <w14:ligatures w14:val="none"/>
        </w:rPr>
        <w:t>This appendix compiles all questions to the Committee as referenced in the main body of the report.</w:t>
      </w:r>
    </w:p>
    <w:p w14:paraId="3E03737E" w14:textId="77777777" w:rsidR="00AE4520" w:rsidRPr="00633822" w:rsidRDefault="00AE4520" w:rsidP="00AE4520">
      <w:pPr>
        <w:spacing w:after="200" w:line="276" w:lineRule="auto"/>
        <w:rPr>
          <w:rFonts w:ascii="Georgia" w:eastAsia="MS Mincho" w:hAnsi="Georgia" w:cs="Times New Roman"/>
          <w:kern w:val="0"/>
          <w:sz w:val="22"/>
          <w:szCs w:val="22"/>
          <w14:ligatures w14:val="none"/>
        </w:rPr>
      </w:pPr>
      <w:r w:rsidRPr="00633822">
        <w:rPr>
          <w:rFonts w:ascii="Georgia" w:eastAsia="MS Mincho" w:hAnsi="Georgia" w:cs="Times New Roman"/>
          <w:kern w:val="0"/>
          <w:sz w:val="22"/>
          <w:szCs w:val="22"/>
          <w14:ligatures w14:val="none"/>
        </w:rPr>
        <w:br w:type="page"/>
      </w:r>
    </w:p>
    <w:p w14:paraId="25728C48" w14:textId="77777777" w:rsidR="00AE4520" w:rsidRPr="00633822" w:rsidRDefault="00AE4520" w:rsidP="00AE4520">
      <w:pPr>
        <w:pStyle w:val="Heading1"/>
      </w:pPr>
      <w:r w:rsidRPr="00633822">
        <w:lastRenderedPageBreak/>
        <w:t>Articles 1 – 4 – General principles and obligations</w:t>
      </w:r>
    </w:p>
    <w:p w14:paraId="367C6206" w14:textId="77777777" w:rsidR="00AE4520" w:rsidRPr="00633822" w:rsidRDefault="00AE4520" w:rsidP="00AE4520">
      <w:pPr>
        <w:pStyle w:val="Heading2"/>
      </w:pPr>
      <w:r w:rsidRPr="00633822">
        <w:t>Proposed Questions:</w:t>
      </w:r>
    </w:p>
    <w:p w14:paraId="5CC95F0A" w14:textId="77777777" w:rsidR="00AE4520" w:rsidRPr="00633822" w:rsidRDefault="00AE4520" w:rsidP="00AE4520">
      <w:pPr>
        <w:spacing w:after="200" w:line="276" w:lineRule="auto"/>
        <w:jc w:val="both"/>
        <w:rPr>
          <w:rFonts w:ascii="Aptos" w:eastAsia="MS Mincho" w:hAnsi="Aptos" w:cs="Times New Roman"/>
          <w:kern w:val="0"/>
          <w:sz w:val="21"/>
          <w:szCs w:val="21"/>
          <w14:ligatures w14:val="none"/>
        </w:rPr>
      </w:pPr>
      <w:r w:rsidRPr="00633822">
        <w:rPr>
          <w:rFonts w:ascii="Aptos" w:eastAsia="Times New Roman" w:hAnsi="Aptos" w:cs="Times New Roman"/>
          <w:b/>
          <w:bCs/>
          <w:kern w:val="0"/>
          <w:sz w:val="21"/>
          <w:szCs w:val="21"/>
          <w14:ligatures w14:val="none"/>
        </w:rPr>
        <w:t xml:space="preserve">How does the State Party ensure that the general principles in Article 3 of the CRPD are systematically integrated into all legislation, policymaking, administrative decision-making processes, and service provision? </w:t>
      </w:r>
      <w:r w:rsidRPr="00633822">
        <w:rPr>
          <w:rFonts w:ascii="Aptos" w:eastAsia="Times New Roman" w:hAnsi="Aptos" w:cs="Times New Roman"/>
          <w:i/>
          <w:iCs/>
          <w:kern w:val="0"/>
          <w:sz w:val="21"/>
          <w:szCs w:val="21"/>
          <w14:ligatures w14:val="none"/>
        </w:rPr>
        <w:t>Please provide examples of tools, guidelines, or screening mechanisms currently in use to assess alignment with the CRPD general principles (e.g., autonomy, inclusion, and accessibility).</w:t>
      </w:r>
    </w:p>
    <w:p w14:paraId="344FDAD3" w14:textId="77777777" w:rsidR="00AE4520" w:rsidRPr="00633822" w:rsidRDefault="00AE4520" w:rsidP="00AE4520">
      <w:pPr>
        <w:spacing w:after="200" w:line="276" w:lineRule="auto"/>
        <w:jc w:val="both"/>
        <w:rPr>
          <w:rFonts w:ascii="Aptos" w:eastAsia="MS Mincho" w:hAnsi="Aptos" w:cs="Times New Roman"/>
          <w:kern w:val="0"/>
          <w:sz w:val="21"/>
          <w:szCs w:val="21"/>
          <w14:ligatures w14:val="none"/>
        </w:rPr>
      </w:pPr>
      <w:r w:rsidRPr="00633822">
        <w:rPr>
          <w:rFonts w:ascii="Aptos" w:eastAsia="Times New Roman" w:hAnsi="Aptos" w:cs="Times New Roman"/>
          <w:b/>
          <w:bCs/>
          <w:kern w:val="0"/>
          <w:sz w:val="21"/>
          <w:szCs w:val="21"/>
          <w14:ligatures w14:val="none"/>
        </w:rPr>
        <w:t>What measures has the State Party taken to operate a human rights-based approach (HRBA) in disability-related governance across sectors? Does the State apply any HRBA methodology, indicators, or assessment criteria when designing or evaluating policies affecting disabled people?</w:t>
      </w:r>
      <w:r w:rsidRPr="00633822">
        <w:rPr>
          <w:rFonts w:ascii="Times New Roman" w:eastAsia="Times New Roman" w:hAnsi="Times New Roman" w:cs="Times New Roman"/>
          <w:b/>
          <w:bCs/>
          <w:i/>
          <w:iCs/>
          <w:kern w:val="0"/>
          <w14:ligatures w14:val="none"/>
        </w:rPr>
        <w:t xml:space="preserve"> </w:t>
      </w:r>
      <w:r w:rsidRPr="00633822">
        <w:rPr>
          <w:rFonts w:ascii="Aptos" w:eastAsia="Times New Roman" w:hAnsi="Aptos" w:cs="Times New Roman"/>
          <w:i/>
          <w:iCs/>
          <w:kern w:val="0"/>
          <w:sz w:val="21"/>
          <w:szCs w:val="21"/>
          <w14:ligatures w14:val="none"/>
        </w:rPr>
        <w:t>Please provide detailed information on any relevant strategies, indicators, training materials, or assessment reports that demonstrate how HRBA has been operationalized in policies or programs affecting disabled people</w:t>
      </w:r>
    </w:p>
    <w:p w14:paraId="768AA279" w14:textId="77777777" w:rsidR="00AE4520" w:rsidRPr="00633822" w:rsidRDefault="00AE4520" w:rsidP="00AE4520">
      <w:pPr>
        <w:spacing w:after="200" w:line="276" w:lineRule="auto"/>
        <w:jc w:val="both"/>
        <w:rPr>
          <w:rFonts w:ascii="Aptos" w:eastAsia="MS Mincho" w:hAnsi="Aptos" w:cs="Times New Roman"/>
          <w:kern w:val="0"/>
          <w:sz w:val="21"/>
          <w:szCs w:val="21"/>
          <w14:ligatures w14:val="none"/>
        </w:rPr>
      </w:pPr>
      <w:r w:rsidRPr="00633822">
        <w:rPr>
          <w:rFonts w:ascii="Aptos" w:eastAsia="Times New Roman" w:hAnsi="Aptos" w:cs="Times New Roman"/>
          <w:b/>
          <w:bCs/>
          <w:kern w:val="0"/>
          <w:sz w:val="21"/>
          <w:szCs w:val="21"/>
          <w14:ligatures w14:val="none"/>
        </w:rPr>
        <w:t xml:space="preserve">How does the State ensure the diverse and meaningful participation of disabled people and their representative organizations (for instance those led by people with intellectual or psychosocial disabilities, disabled women, members of the DEAF community and people living outside of the main capital area) in decision-making processes at all levels, in accordance with Article 4(3) and General Comment nr. 7? </w:t>
      </w:r>
      <w:r w:rsidRPr="00633822">
        <w:rPr>
          <w:rFonts w:ascii="Aptos" w:eastAsia="Times New Roman" w:hAnsi="Aptos" w:cs="Times New Roman"/>
          <w:i/>
          <w:iCs/>
          <w:kern w:val="0"/>
          <w:sz w:val="21"/>
          <w:szCs w:val="21"/>
          <w14:ligatures w14:val="none"/>
        </w:rPr>
        <w:t>Please include data on the nature, frequency, and representativeness of consultations, and explain how their input is reflected in outcomes.</w:t>
      </w:r>
    </w:p>
    <w:p w14:paraId="3F87E349" w14:textId="77777777" w:rsidR="00AE4520" w:rsidRPr="00633822" w:rsidRDefault="00AE4520" w:rsidP="00AE4520">
      <w:pPr>
        <w:spacing w:after="200" w:line="276" w:lineRule="auto"/>
        <w:jc w:val="both"/>
        <w:rPr>
          <w:rFonts w:ascii="Aptos" w:eastAsia="MS Mincho" w:hAnsi="Aptos" w:cs="Times New Roman"/>
          <w:kern w:val="0"/>
          <w:sz w:val="21"/>
          <w:szCs w:val="21"/>
          <w14:ligatures w14:val="none"/>
        </w:rPr>
      </w:pPr>
      <w:r w:rsidRPr="00633822">
        <w:rPr>
          <w:rFonts w:ascii="Aptos" w:eastAsia="Times New Roman" w:hAnsi="Aptos" w:cs="Times New Roman"/>
          <w:b/>
          <w:bCs/>
          <w:kern w:val="0"/>
          <w:sz w:val="21"/>
          <w:szCs w:val="21"/>
          <w14:ligatures w14:val="none"/>
        </w:rPr>
        <w:t>What financial and institutional support is provided to different organizations of disabled people to enable their independent and effective participation in the development and implementation of legislation and policies?  And in the monitoring process?</w:t>
      </w:r>
      <w:r w:rsidRPr="00633822">
        <w:rPr>
          <w:rFonts w:ascii="Aptos" w:eastAsia="Times New Roman" w:hAnsi="Aptos" w:cs="Times New Roman"/>
          <w:kern w:val="0"/>
          <w:sz w:val="21"/>
          <w:szCs w:val="21"/>
          <w14:ligatures w14:val="none"/>
        </w:rPr>
        <w:t xml:space="preserve"> </w:t>
      </w:r>
      <w:r w:rsidRPr="00633822">
        <w:rPr>
          <w:rFonts w:ascii="Aptos" w:eastAsia="Times New Roman" w:hAnsi="Aptos" w:cs="Times New Roman"/>
          <w:i/>
          <w:iCs/>
          <w:kern w:val="0"/>
          <w:sz w:val="21"/>
          <w:szCs w:val="21"/>
          <w14:ligatures w14:val="none"/>
        </w:rPr>
        <w:t>Please provide disaggregated data on the type, amount, allocation criteria, and practical impact of financial and institutional support provided to different organizations of disabled people, including for their participation in policymaking and CRPD monitoring.</w:t>
      </w:r>
    </w:p>
    <w:p w14:paraId="5B272D93" w14:textId="77777777" w:rsidR="00AE4520" w:rsidRPr="00633822" w:rsidRDefault="00AE4520" w:rsidP="00AE4520">
      <w:pPr>
        <w:spacing w:after="200" w:line="276" w:lineRule="auto"/>
        <w:jc w:val="both"/>
        <w:rPr>
          <w:rFonts w:ascii="Aptos" w:eastAsia="MS Mincho" w:hAnsi="Aptos" w:cs="Times New Roman"/>
          <w:kern w:val="0"/>
          <w:sz w:val="21"/>
          <w:szCs w:val="21"/>
          <w14:ligatures w14:val="none"/>
        </w:rPr>
      </w:pPr>
      <w:r w:rsidRPr="00633822">
        <w:rPr>
          <w:rFonts w:ascii="Aptos" w:eastAsia="Times New Roman" w:hAnsi="Aptos" w:cs="Times New Roman"/>
          <w:b/>
          <w:bCs/>
          <w:kern w:val="0"/>
          <w:sz w:val="21"/>
          <w:szCs w:val="21"/>
          <w14:ligatures w14:val="none"/>
        </w:rPr>
        <w:t xml:space="preserve">Are there mechanisms in place to monitor, document, and evaluate the impact of consultations with disabled people on public decision-making? </w:t>
      </w:r>
      <w:r w:rsidRPr="00633822">
        <w:rPr>
          <w:rFonts w:ascii="Aptos" w:eastAsia="Times New Roman" w:hAnsi="Aptos" w:cs="Times New Roman"/>
          <w:i/>
          <w:iCs/>
          <w:kern w:val="0"/>
          <w:sz w:val="21"/>
          <w:szCs w:val="21"/>
          <w14:ligatures w14:val="none"/>
        </w:rPr>
        <w:t>Please provide data sources, measurable benchmarks, indicators, or evaluation tools used to assess the quality and influence of these processes.</w:t>
      </w:r>
    </w:p>
    <w:p w14:paraId="090C5A3D" w14:textId="77777777" w:rsidR="00AE4520" w:rsidRPr="00633822" w:rsidRDefault="00AE4520" w:rsidP="00AE4520">
      <w:pPr>
        <w:spacing w:after="200" w:line="276" w:lineRule="auto"/>
        <w:jc w:val="both"/>
        <w:rPr>
          <w:rFonts w:ascii="Aptos" w:eastAsia="MS Mincho" w:hAnsi="Aptos" w:cs="Times New Roman"/>
          <w:kern w:val="0"/>
          <w:sz w:val="21"/>
          <w:szCs w:val="21"/>
          <w14:ligatures w14:val="none"/>
        </w:rPr>
      </w:pPr>
      <w:r w:rsidRPr="00633822">
        <w:rPr>
          <w:rFonts w:ascii="Aptos" w:eastAsia="Times New Roman" w:hAnsi="Aptos" w:cs="Times New Roman"/>
          <w:b/>
          <w:bCs/>
          <w:kern w:val="0"/>
          <w:sz w:val="21"/>
          <w:szCs w:val="21"/>
          <w14:ligatures w14:val="none"/>
        </w:rPr>
        <w:t xml:space="preserve">In the absence of direct legal incorporation of the CRPD, how does the State Party guarantee the legal effect and interpretive application of Articles 1–4 in domestic law? </w:t>
      </w:r>
      <w:r w:rsidRPr="00633822">
        <w:rPr>
          <w:rFonts w:ascii="Aptos" w:eastAsia="Times New Roman" w:hAnsi="Aptos" w:cs="Times New Roman"/>
          <w:i/>
          <w:iCs/>
          <w:kern w:val="0"/>
          <w:sz w:val="21"/>
          <w:szCs w:val="21"/>
          <w14:ligatures w14:val="none"/>
        </w:rPr>
        <w:t>Please provide examples of how these articles have been invoked in court decisions, administrative rulings, or legal interpretations.</w:t>
      </w:r>
    </w:p>
    <w:p w14:paraId="39EE96F9" w14:textId="77777777" w:rsidR="00AE4520" w:rsidRPr="00633822" w:rsidRDefault="00AE4520" w:rsidP="00AE4520">
      <w:pPr>
        <w:spacing w:after="200" w:line="276" w:lineRule="auto"/>
        <w:jc w:val="both"/>
        <w:rPr>
          <w:rFonts w:ascii="Aptos" w:eastAsia="Times New Roman" w:hAnsi="Aptos" w:cs="Times New Roman"/>
          <w:i/>
          <w:iCs/>
          <w:kern w:val="0"/>
          <w:sz w:val="21"/>
          <w:szCs w:val="21"/>
          <w14:ligatures w14:val="none"/>
        </w:rPr>
      </w:pPr>
      <w:r w:rsidRPr="00633822">
        <w:rPr>
          <w:rFonts w:ascii="Aptos" w:eastAsia="Times New Roman" w:hAnsi="Aptos" w:cs="Times New Roman"/>
          <w:b/>
          <w:bCs/>
          <w:kern w:val="0"/>
          <w:sz w:val="21"/>
          <w:szCs w:val="21"/>
          <w14:ligatures w14:val="none"/>
        </w:rPr>
        <w:t>Has the State Party developed, or does it plan to develop, national benchmarks, monitoring indicators, or assessment tools to evaluate compliance with the cross-cutting principles in Article 3 and the obligations in Article 4? If not, what steps will be taken to address this monitoring gap?</w:t>
      </w:r>
      <w:r w:rsidRPr="00633822">
        <w:rPr>
          <w:rFonts w:ascii="Times New Roman" w:eastAsia="Times New Roman" w:hAnsi="Times New Roman" w:cs="Times New Roman"/>
          <w:b/>
          <w:bCs/>
          <w:i/>
          <w:iCs/>
          <w:kern w:val="0"/>
          <w14:ligatures w14:val="none"/>
        </w:rPr>
        <w:t xml:space="preserve"> </w:t>
      </w:r>
      <w:r w:rsidRPr="00633822">
        <w:rPr>
          <w:rFonts w:ascii="Aptos" w:eastAsia="Times New Roman" w:hAnsi="Aptos" w:cs="Times New Roman"/>
          <w:i/>
          <w:iCs/>
          <w:kern w:val="0"/>
          <w:sz w:val="21"/>
          <w:szCs w:val="21"/>
          <w14:ligatures w14:val="none"/>
        </w:rPr>
        <w:t xml:space="preserve">Please provide details on any adopted or planned assessment tools, relevant </w:t>
      </w:r>
      <w:r w:rsidRPr="00633822">
        <w:rPr>
          <w:rFonts w:ascii="Aptos" w:eastAsia="Times New Roman" w:hAnsi="Aptos" w:cs="Times New Roman"/>
          <w:i/>
          <w:iCs/>
          <w:kern w:val="0"/>
          <w:sz w:val="21"/>
          <w:szCs w:val="21"/>
          <w14:ligatures w14:val="none"/>
        </w:rPr>
        <w:lastRenderedPageBreak/>
        <w:t>data sources, or policy documents that demonstrate how compliance with Articles 3 and 4 is being tracked or evaluated.</w:t>
      </w:r>
    </w:p>
    <w:p w14:paraId="1122ACDF" w14:textId="77777777" w:rsidR="00AE4520" w:rsidRPr="00633822" w:rsidRDefault="00AE4520" w:rsidP="00AE4520">
      <w:pPr>
        <w:keepNext/>
        <w:keepLines/>
        <w:spacing w:before="480" w:after="0" w:line="276" w:lineRule="auto"/>
        <w:outlineLvl w:val="0"/>
        <w:rPr>
          <w:rFonts w:ascii="Calibri" w:eastAsia="MS Gothic" w:hAnsi="Calibri" w:cs="Times New Roman"/>
          <w:b/>
          <w:bCs/>
          <w:color w:val="365F91"/>
          <w:kern w:val="0"/>
          <w:sz w:val="28"/>
          <w:szCs w:val="28"/>
          <w14:ligatures w14:val="none"/>
        </w:rPr>
      </w:pPr>
      <w:r w:rsidRPr="00633822">
        <w:rPr>
          <w:rFonts w:ascii="Calibri" w:eastAsia="MS Gothic" w:hAnsi="Calibri" w:cs="Times New Roman"/>
          <w:b/>
          <w:bCs/>
          <w:color w:val="365F91"/>
          <w:kern w:val="0"/>
          <w:sz w:val="28"/>
          <w:szCs w:val="28"/>
          <w14:ligatures w14:val="none"/>
        </w:rPr>
        <w:t xml:space="preserve">Article </w:t>
      </w:r>
      <w:r>
        <w:rPr>
          <w:rFonts w:ascii="Calibri" w:eastAsia="MS Gothic" w:hAnsi="Calibri" w:cs="Times New Roman"/>
          <w:b/>
          <w:bCs/>
          <w:color w:val="365F91"/>
          <w:kern w:val="0"/>
          <w:sz w:val="28"/>
          <w:szCs w:val="28"/>
          <w14:ligatures w14:val="none"/>
        </w:rPr>
        <w:t>5</w:t>
      </w:r>
      <w:r w:rsidRPr="00633822">
        <w:rPr>
          <w:rFonts w:ascii="Calibri" w:eastAsia="MS Gothic" w:hAnsi="Calibri" w:cs="Times New Roman"/>
          <w:b/>
          <w:bCs/>
          <w:color w:val="365F91"/>
          <w:kern w:val="0"/>
          <w:sz w:val="28"/>
          <w:szCs w:val="28"/>
          <w14:ligatures w14:val="none"/>
        </w:rPr>
        <w:t xml:space="preserve"> – </w:t>
      </w:r>
      <w:r>
        <w:rPr>
          <w:rFonts w:ascii="Calibri" w:eastAsia="MS Gothic" w:hAnsi="Calibri" w:cs="Times New Roman"/>
          <w:b/>
          <w:bCs/>
          <w:color w:val="365F91"/>
          <w:kern w:val="0"/>
          <w:sz w:val="28"/>
          <w:szCs w:val="28"/>
          <w14:ligatures w14:val="none"/>
        </w:rPr>
        <w:t>Equality and non-discrimination</w:t>
      </w:r>
    </w:p>
    <w:p w14:paraId="7A4E9564" w14:textId="77777777" w:rsidR="00AE4520" w:rsidRPr="00633822" w:rsidRDefault="00AE4520" w:rsidP="00AE4520">
      <w:pPr>
        <w:keepNext/>
        <w:keepLines/>
        <w:spacing w:before="200" w:after="0" w:line="276" w:lineRule="auto"/>
        <w:outlineLvl w:val="1"/>
        <w:rPr>
          <w:rFonts w:ascii="Calibri" w:eastAsia="MS Gothic" w:hAnsi="Calibri" w:cs="Times New Roman"/>
          <w:b/>
          <w:bCs/>
          <w:color w:val="4F81BD"/>
          <w:kern w:val="0"/>
          <w:sz w:val="26"/>
          <w:szCs w:val="26"/>
          <w14:ligatures w14:val="none"/>
        </w:rPr>
      </w:pPr>
      <w:r w:rsidRPr="00633822">
        <w:rPr>
          <w:rFonts w:ascii="Calibri" w:eastAsia="MS Gothic" w:hAnsi="Calibri" w:cs="Times New Roman"/>
          <w:b/>
          <w:bCs/>
          <w:color w:val="4F81BD"/>
          <w:kern w:val="0"/>
          <w:sz w:val="26"/>
          <w:szCs w:val="26"/>
          <w14:ligatures w14:val="none"/>
        </w:rPr>
        <w:t>Proposed Questions:</w:t>
      </w:r>
    </w:p>
    <w:p w14:paraId="33C607E1" w14:textId="77777777" w:rsidR="00AE4520" w:rsidRPr="00633822" w:rsidRDefault="00AE4520" w:rsidP="00AE4520">
      <w:pPr>
        <w:jc w:val="both"/>
        <w:rPr>
          <w:rFonts w:ascii="Aptos" w:eastAsia="Aptos" w:hAnsi="Aptos" w:cs="Times New Roman"/>
          <w:color w:val="4C94D8"/>
          <w:sz w:val="21"/>
          <w:szCs w:val="21"/>
        </w:rPr>
      </w:pPr>
      <w:r w:rsidRPr="00633822">
        <w:rPr>
          <w:rFonts w:ascii="Aptos" w:eastAsia="Aptos" w:hAnsi="Aptos" w:cs="Times New Roman"/>
          <w:b/>
          <w:bCs/>
          <w:sz w:val="21"/>
          <w:szCs w:val="21"/>
        </w:rPr>
        <w:t xml:space="preserve">What measures has the State Party taken to ensure that disabled people are aware of their rights under Act No. 85/2018 and Act No. 86/2018, and to promote understanding of disability-based discrimination among duty bearers across all sectors? </w:t>
      </w:r>
      <w:r w:rsidRPr="00633822">
        <w:rPr>
          <w:rFonts w:ascii="Aptos" w:eastAsia="Aptos" w:hAnsi="Aptos" w:cs="Times New Roman"/>
          <w:sz w:val="21"/>
          <w:szCs w:val="21"/>
        </w:rPr>
        <w:t>Please provide disaggregated data on targeted awareness campaigns, outreach activities, or education programs aimed at both disabled people and public or private institutions</w:t>
      </w:r>
      <w:r w:rsidRPr="00633822">
        <w:rPr>
          <w:rFonts w:ascii="Aptos" w:eastAsia="Aptos" w:hAnsi="Aptos" w:cs="Times New Roman"/>
          <w:b/>
          <w:bCs/>
          <w:sz w:val="21"/>
          <w:szCs w:val="21"/>
        </w:rPr>
        <w:t>.</w:t>
      </w:r>
    </w:p>
    <w:p w14:paraId="4F29019A" w14:textId="77777777" w:rsidR="00AE4520" w:rsidRPr="00633822" w:rsidRDefault="00AE4520" w:rsidP="00AE4520">
      <w:pPr>
        <w:jc w:val="both"/>
        <w:rPr>
          <w:rFonts w:ascii="Aptos" w:eastAsia="Aptos" w:hAnsi="Aptos" w:cs="Times New Roman"/>
          <w:color w:val="4C94D8"/>
          <w:sz w:val="21"/>
          <w:szCs w:val="21"/>
        </w:rPr>
      </w:pPr>
      <w:r w:rsidRPr="00633822">
        <w:rPr>
          <w:rFonts w:ascii="Aptos" w:eastAsia="Aptos" w:hAnsi="Aptos" w:cs="Times New Roman"/>
          <w:b/>
          <w:bCs/>
          <w:sz w:val="21"/>
          <w:szCs w:val="21"/>
        </w:rPr>
        <w:t xml:space="preserve">Why has the State Party not issued administrative regulations, interpretative guidelines, or implementation protocols under the Equal Treatment Acts, and how does it ensure uniform application of these laws in the absence of such instruments? </w:t>
      </w:r>
      <w:r w:rsidRPr="00633822">
        <w:rPr>
          <w:rFonts w:ascii="Aptos" w:eastAsia="Aptos" w:hAnsi="Aptos" w:cs="Times New Roman"/>
          <w:sz w:val="21"/>
          <w:szCs w:val="21"/>
        </w:rPr>
        <w:t>Please provide examples of any policy tools, training materials, or enforcement procedures currently in use, and indicate how their effectiveness is monitored</w:t>
      </w:r>
    </w:p>
    <w:p w14:paraId="732F59FE" w14:textId="77777777" w:rsidR="00AE4520" w:rsidRPr="00633822" w:rsidRDefault="00AE4520" w:rsidP="00AE4520">
      <w:pPr>
        <w:jc w:val="both"/>
        <w:rPr>
          <w:rFonts w:ascii="Aptos" w:eastAsia="Aptos" w:hAnsi="Aptos" w:cs="Times New Roman"/>
          <w:color w:val="4C94D8"/>
          <w:sz w:val="21"/>
          <w:szCs w:val="21"/>
        </w:rPr>
      </w:pPr>
      <w:r w:rsidRPr="00633822">
        <w:rPr>
          <w:rFonts w:ascii="Aptos" w:eastAsia="Aptos" w:hAnsi="Aptos" w:cs="Times New Roman"/>
          <w:b/>
          <w:bCs/>
          <w:sz w:val="21"/>
          <w:szCs w:val="21"/>
        </w:rPr>
        <w:t xml:space="preserve">What legal and practical steps has the State Party taken to ensure that denial of reasonable accommodation is effectively recognized and treated as a form of discrimination, in line with Article 5(3) of the CRPD and General Comment No. 6? </w:t>
      </w:r>
      <w:r w:rsidRPr="00633822">
        <w:rPr>
          <w:rFonts w:ascii="Aptos" w:eastAsia="Aptos" w:hAnsi="Aptos" w:cs="Times New Roman"/>
          <w:sz w:val="21"/>
          <w:szCs w:val="21"/>
        </w:rPr>
        <w:t>Please provide information on legal provisions, court cases, or complaint mechanisms that explicitly address the denial of reasonable accommodation.</w:t>
      </w:r>
    </w:p>
    <w:p w14:paraId="7A9C586F" w14:textId="77777777" w:rsidR="00AE4520" w:rsidRPr="00633822" w:rsidRDefault="00AE4520" w:rsidP="00AE4520">
      <w:pPr>
        <w:jc w:val="both"/>
        <w:rPr>
          <w:rFonts w:ascii="Aptos" w:eastAsia="Aptos" w:hAnsi="Aptos" w:cs="Times New Roman"/>
          <w:color w:val="4C94D8"/>
          <w:sz w:val="21"/>
          <w:szCs w:val="21"/>
        </w:rPr>
      </w:pPr>
      <w:r w:rsidRPr="00633822">
        <w:rPr>
          <w:rFonts w:ascii="Aptos" w:eastAsia="Aptos" w:hAnsi="Aptos" w:cs="Times New Roman"/>
          <w:b/>
          <w:bCs/>
          <w:sz w:val="21"/>
          <w:szCs w:val="21"/>
        </w:rPr>
        <w:t>Does the State Party plan to strengthen the mandate of the Equality Complaints Committee (</w:t>
      </w:r>
      <w:proofErr w:type="spellStart"/>
      <w:r w:rsidRPr="00633822">
        <w:rPr>
          <w:rFonts w:ascii="Aptos" w:eastAsia="Aptos" w:hAnsi="Aptos" w:cs="Times New Roman"/>
          <w:b/>
          <w:bCs/>
          <w:sz w:val="21"/>
          <w:szCs w:val="21"/>
        </w:rPr>
        <w:t>Kærunefnd</w:t>
      </w:r>
      <w:proofErr w:type="spellEnd"/>
      <w:r w:rsidRPr="00633822">
        <w:rPr>
          <w:rFonts w:ascii="Aptos" w:eastAsia="Aptos" w:hAnsi="Aptos" w:cs="Times New Roman"/>
          <w:b/>
          <w:bCs/>
          <w:sz w:val="21"/>
          <w:szCs w:val="21"/>
        </w:rPr>
        <w:t xml:space="preserve"> </w:t>
      </w:r>
      <w:proofErr w:type="spellStart"/>
      <w:r w:rsidRPr="00633822">
        <w:rPr>
          <w:rFonts w:ascii="Aptos" w:eastAsia="Aptos" w:hAnsi="Aptos" w:cs="Times New Roman"/>
          <w:b/>
          <w:bCs/>
          <w:sz w:val="21"/>
          <w:szCs w:val="21"/>
        </w:rPr>
        <w:t>jafnréttismála</w:t>
      </w:r>
      <w:proofErr w:type="spellEnd"/>
      <w:r w:rsidRPr="00633822">
        <w:rPr>
          <w:rFonts w:ascii="Aptos" w:eastAsia="Aptos" w:hAnsi="Aptos" w:cs="Times New Roman"/>
          <w:b/>
          <w:bCs/>
          <w:sz w:val="21"/>
          <w:szCs w:val="21"/>
        </w:rPr>
        <w:t xml:space="preserve">), including granting it investigative powers and enforceable remedies (ex officio), to ensure accessible and effective redress for disabled people? </w:t>
      </w:r>
      <w:r w:rsidRPr="00633822">
        <w:rPr>
          <w:rFonts w:ascii="Aptos" w:eastAsia="Aptos" w:hAnsi="Aptos" w:cs="Times New Roman"/>
          <w:sz w:val="21"/>
          <w:szCs w:val="21"/>
        </w:rPr>
        <w:t>Please provide information on the current limitations of the Committee’s mandate and any proposals under consideration to enhance its authority and accessibility.</w:t>
      </w:r>
    </w:p>
    <w:p w14:paraId="5AF9A192" w14:textId="77777777" w:rsidR="00AE4520" w:rsidRPr="00633822" w:rsidRDefault="00AE4520" w:rsidP="00AE4520">
      <w:pPr>
        <w:jc w:val="both"/>
        <w:rPr>
          <w:rFonts w:ascii="Aptos" w:eastAsia="Aptos" w:hAnsi="Aptos" w:cs="Times New Roman"/>
          <w:color w:val="4C94D8"/>
          <w:sz w:val="21"/>
          <w:szCs w:val="21"/>
        </w:rPr>
      </w:pPr>
      <w:r w:rsidRPr="00633822">
        <w:rPr>
          <w:rFonts w:ascii="Aptos" w:eastAsia="Aptos" w:hAnsi="Aptos" w:cs="Times New Roman"/>
          <w:b/>
          <w:bCs/>
          <w:sz w:val="21"/>
          <w:szCs w:val="21"/>
        </w:rPr>
        <w:t xml:space="preserve">How does the State Party intend to address the lack of disaggregated data and the absence of intersectional analysis in the monitoring of equality policies and discrimination complaints involving disabled people? </w:t>
      </w:r>
      <w:r w:rsidRPr="00633822">
        <w:rPr>
          <w:rFonts w:ascii="Aptos" w:eastAsia="Aptos" w:hAnsi="Aptos" w:cs="Times New Roman"/>
          <w:sz w:val="21"/>
          <w:szCs w:val="21"/>
        </w:rPr>
        <w:t>Please provide data collection strategies, relevant datasets (if applicable), and information on how intersectional factors, such as gender, age, or migration status, are considered.</w:t>
      </w:r>
    </w:p>
    <w:p w14:paraId="35B832A2" w14:textId="77777777" w:rsidR="00AE4520" w:rsidRPr="00633822" w:rsidRDefault="00AE4520" w:rsidP="00AE4520">
      <w:pPr>
        <w:jc w:val="both"/>
        <w:rPr>
          <w:rFonts w:ascii="Aptos" w:eastAsia="Aptos" w:hAnsi="Aptos" w:cs="Times New Roman"/>
          <w:sz w:val="21"/>
          <w:szCs w:val="21"/>
        </w:rPr>
      </w:pPr>
      <w:r w:rsidRPr="00633822">
        <w:rPr>
          <w:rFonts w:ascii="Aptos" w:eastAsia="Aptos" w:hAnsi="Aptos" w:cs="Times New Roman"/>
          <w:b/>
          <w:bCs/>
          <w:sz w:val="21"/>
          <w:szCs w:val="21"/>
        </w:rPr>
        <w:t xml:space="preserve">What measures has the State Party taken to ensure that disability is fully integrated as a cross-cutting issue in all national equality strategies, including gender equality, and that intersectional discrimination is systematically addressed in public policies, action plans, and budgeting frameworks? </w:t>
      </w:r>
      <w:r w:rsidRPr="00633822">
        <w:rPr>
          <w:rFonts w:ascii="Aptos" w:eastAsia="Aptos" w:hAnsi="Aptos" w:cs="Times New Roman"/>
          <w:sz w:val="21"/>
          <w:szCs w:val="21"/>
        </w:rPr>
        <w:t>Please provide examples of relevant national strategies, action plans, budget allocations, and implementation monitoring that explicitly mainstream disability.</w:t>
      </w:r>
    </w:p>
    <w:p w14:paraId="767B4D76" w14:textId="77777777" w:rsidR="00AE4520" w:rsidRPr="00633822" w:rsidRDefault="00AE4520" w:rsidP="00AE4520">
      <w:pPr>
        <w:spacing w:after="200" w:line="276" w:lineRule="auto"/>
        <w:rPr>
          <w:rFonts w:ascii="Georgia" w:eastAsia="MS Mincho" w:hAnsi="Georgia" w:cs="Times New Roman"/>
          <w:kern w:val="0"/>
          <w:sz w:val="22"/>
          <w:szCs w:val="22"/>
          <w14:ligatures w14:val="none"/>
        </w:rPr>
      </w:pPr>
    </w:p>
    <w:p w14:paraId="7357952F" w14:textId="77777777" w:rsidR="00AE4520" w:rsidRPr="00633822" w:rsidRDefault="00AE4520" w:rsidP="00AE4520">
      <w:pPr>
        <w:keepNext/>
        <w:keepLines/>
        <w:spacing w:before="480" w:after="0" w:line="276" w:lineRule="auto"/>
        <w:outlineLvl w:val="0"/>
        <w:rPr>
          <w:rFonts w:ascii="Calibri" w:eastAsia="MS Gothic" w:hAnsi="Calibri" w:cs="Times New Roman"/>
          <w:b/>
          <w:bCs/>
          <w:color w:val="365F91"/>
          <w:kern w:val="0"/>
          <w:sz w:val="28"/>
          <w:szCs w:val="28"/>
          <w14:ligatures w14:val="none"/>
        </w:rPr>
      </w:pPr>
      <w:r w:rsidRPr="00633822">
        <w:rPr>
          <w:rFonts w:ascii="Calibri" w:eastAsia="MS Gothic" w:hAnsi="Calibri" w:cs="Times New Roman"/>
          <w:b/>
          <w:bCs/>
          <w:color w:val="365F91"/>
          <w:kern w:val="0"/>
          <w:sz w:val="28"/>
          <w:szCs w:val="28"/>
          <w14:ligatures w14:val="none"/>
        </w:rPr>
        <w:lastRenderedPageBreak/>
        <w:t xml:space="preserve">Article </w:t>
      </w:r>
      <w:r>
        <w:rPr>
          <w:rFonts w:ascii="Calibri" w:eastAsia="MS Gothic" w:hAnsi="Calibri" w:cs="Times New Roman"/>
          <w:b/>
          <w:bCs/>
          <w:color w:val="365F91"/>
          <w:kern w:val="0"/>
          <w:sz w:val="28"/>
          <w:szCs w:val="28"/>
          <w14:ligatures w14:val="none"/>
        </w:rPr>
        <w:t>6</w:t>
      </w:r>
      <w:r w:rsidRPr="00633822">
        <w:rPr>
          <w:rFonts w:ascii="Calibri" w:eastAsia="MS Gothic" w:hAnsi="Calibri" w:cs="Times New Roman"/>
          <w:b/>
          <w:bCs/>
          <w:color w:val="365F91"/>
          <w:kern w:val="0"/>
          <w:sz w:val="28"/>
          <w:szCs w:val="28"/>
          <w14:ligatures w14:val="none"/>
        </w:rPr>
        <w:t xml:space="preserve"> – </w:t>
      </w:r>
      <w:r>
        <w:rPr>
          <w:rFonts w:ascii="Calibri" w:eastAsia="MS Gothic" w:hAnsi="Calibri" w:cs="Times New Roman"/>
          <w:b/>
          <w:bCs/>
          <w:color w:val="365F91"/>
          <w:kern w:val="0"/>
          <w:sz w:val="28"/>
          <w:szCs w:val="28"/>
          <w14:ligatures w14:val="none"/>
        </w:rPr>
        <w:t>Disabled women and girls</w:t>
      </w:r>
    </w:p>
    <w:p w14:paraId="02032CE1" w14:textId="77777777" w:rsidR="00AE4520" w:rsidRPr="00633822" w:rsidRDefault="00AE4520" w:rsidP="00AE4520">
      <w:pPr>
        <w:keepNext/>
        <w:keepLines/>
        <w:spacing w:before="200" w:after="0" w:line="276" w:lineRule="auto"/>
        <w:outlineLvl w:val="1"/>
        <w:rPr>
          <w:rFonts w:ascii="Calibri" w:eastAsia="MS Gothic" w:hAnsi="Calibri" w:cs="Times New Roman"/>
          <w:b/>
          <w:bCs/>
          <w:color w:val="4F81BD"/>
          <w:kern w:val="0"/>
          <w:sz w:val="26"/>
          <w:szCs w:val="26"/>
          <w14:ligatures w14:val="none"/>
        </w:rPr>
      </w:pPr>
      <w:r w:rsidRPr="00633822">
        <w:rPr>
          <w:rFonts w:ascii="Calibri" w:eastAsia="MS Gothic" w:hAnsi="Calibri" w:cs="Times New Roman"/>
          <w:b/>
          <w:bCs/>
          <w:color w:val="4F81BD"/>
          <w:kern w:val="0"/>
          <w:sz w:val="26"/>
          <w:szCs w:val="26"/>
          <w14:ligatures w14:val="none"/>
        </w:rPr>
        <w:t>Proposed Questions:</w:t>
      </w:r>
    </w:p>
    <w:p w14:paraId="4EDD7081"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specific measures has the State taken to ensure the inclusion of disabled women in national gender equality policies, action plans, and budget allocations? </w:t>
      </w:r>
      <w:r w:rsidRPr="00633822">
        <w:rPr>
          <w:rFonts w:ascii="Aptos" w:eastAsia="Aptos" w:hAnsi="Aptos" w:cs="Times New Roman"/>
          <w:i/>
          <w:iCs/>
          <w:sz w:val="21"/>
          <w:szCs w:val="21"/>
        </w:rPr>
        <w:t>Please provide copies of relevant policy documents, budgetary data, and evidence of inclusive consultation processes.</w:t>
      </w:r>
    </w:p>
    <w:p w14:paraId="2031EA9F"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How does the State ensure that sexual and reproductive health services, including inclusive sex education and parenting support, are fully accessible to disabled women, including those with intellectual or psychosocial disabilities? </w:t>
      </w:r>
      <w:r w:rsidRPr="00633822">
        <w:rPr>
          <w:rFonts w:ascii="Aptos" w:eastAsia="Aptos" w:hAnsi="Aptos" w:cs="Times New Roman"/>
          <w:i/>
          <w:iCs/>
          <w:sz w:val="21"/>
          <w:szCs w:val="21"/>
        </w:rPr>
        <w:t>Please provide data on service coverage, accessibility standards, staff training materials, and any monitoring mechanisms in place</w:t>
      </w:r>
    </w:p>
    <w:p w14:paraId="36029381"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safeguards are in place to prevent violations of reproductive autonomy, including forced or coerced sterilization, among disabled women? </w:t>
      </w:r>
      <w:r w:rsidRPr="00633822">
        <w:rPr>
          <w:rFonts w:ascii="Aptos" w:eastAsia="Aptos" w:hAnsi="Aptos" w:cs="Times New Roman"/>
          <w:i/>
          <w:iCs/>
          <w:sz w:val="21"/>
          <w:szCs w:val="21"/>
        </w:rPr>
        <w:t>Please provide information on laws, procedural safeguards, and any investigations or monitoring reports</w:t>
      </w:r>
      <w:r w:rsidRPr="00633822">
        <w:rPr>
          <w:rFonts w:ascii="Aptos" w:eastAsia="Aptos" w:hAnsi="Aptos" w:cs="Times New Roman"/>
          <w:b/>
          <w:bCs/>
          <w:i/>
          <w:iCs/>
          <w:sz w:val="21"/>
          <w:szCs w:val="21"/>
        </w:rPr>
        <w:t>.</w:t>
      </w:r>
    </w:p>
    <w:p w14:paraId="1BE1891E"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steps has the State taken to address the compounded discrimination faced by queer, trans, and gender-diverse disabled women in relation to access to services, legal recognition, and protection from violence? </w:t>
      </w:r>
      <w:r w:rsidRPr="00633822">
        <w:rPr>
          <w:rFonts w:ascii="Aptos" w:eastAsia="Aptos" w:hAnsi="Aptos" w:cs="Times New Roman"/>
          <w:i/>
          <w:iCs/>
          <w:sz w:val="21"/>
          <w:szCs w:val="21"/>
        </w:rPr>
        <w:t>Please provide disaggregated data, inclusive policy frameworks, and evidence of targeted outreach, support services, or protection mechanisms.</w:t>
      </w:r>
    </w:p>
    <w:p w14:paraId="365601CA"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efforts are underway to develop and implement indicators that reflect the specific situation of disabled women, in line with Article 6 and relevant SDG targets on gender equality? </w:t>
      </w:r>
      <w:r w:rsidRPr="00633822">
        <w:rPr>
          <w:rFonts w:ascii="Aptos" w:eastAsia="Aptos" w:hAnsi="Aptos" w:cs="Times New Roman"/>
          <w:i/>
          <w:iCs/>
          <w:sz w:val="21"/>
          <w:szCs w:val="21"/>
        </w:rPr>
        <w:t>Please provide information on indicator frameworks, data collection tools, disaggregation by gender and disability, and how these are used in public monitoring and reporting.</w:t>
      </w:r>
    </w:p>
    <w:p w14:paraId="1C8F7D93"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To what extent have disabled women and their representative organizations, e.g., </w:t>
      </w:r>
      <w:proofErr w:type="spellStart"/>
      <w:r w:rsidRPr="00633822">
        <w:rPr>
          <w:rFonts w:ascii="Aptos" w:eastAsia="Aptos" w:hAnsi="Aptos" w:cs="Times New Roman"/>
          <w:b/>
          <w:bCs/>
          <w:sz w:val="21"/>
          <w:szCs w:val="21"/>
        </w:rPr>
        <w:t>Tabú</w:t>
      </w:r>
      <w:proofErr w:type="spellEnd"/>
      <w:r w:rsidRPr="00633822">
        <w:rPr>
          <w:rFonts w:ascii="Aptos" w:eastAsia="Aptos" w:hAnsi="Aptos" w:cs="Times New Roman"/>
          <w:b/>
          <w:bCs/>
          <w:sz w:val="21"/>
          <w:szCs w:val="21"/>
        </w:rPr>
        <w:t xml:space="preserve">, been meaningfully consulted in the design, implementation, and evaluation of gender equality initiatives? </w:t>
      </w:r>
      <w:r w:rsidRPr="00633822">
        <w:rPr>
          <w:rFonts w:ascii="Aptos" w:eastAsia="Aptos" w:hAnsi="Aptos" w:cs="Times New Roman"/>
          <w:i/>
          <w:iCs/>
          <w:sz w:val="21"/>
          <w:szCs w:val="21"/>
        </w:rPr>
        <w:t>Please provide evidence of consultation processes, participation outcomes, and examples of follow-up actions.</w:t>
      </w:r>
    </w:p>
    <w:p w14:paraId="47D1260D"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Can the State provide evidence of any dedicated programs, funding mechanisms, or institutional partnerships aimed at supporting the empowerment, visibility, and rights advocacy of disabled women, including organizations such as </w:t>
      </w:r>
      <w:proofErr w:type="spellStart"/>
      <w:r w:rsidRPr="00633822">
        <w:rPr>
          <w:rFonts w:ascii="Aptos" w:eastAsia="Aptos" w:hAnsi="Aptos" w:cs="Times New Roman"/>
          <w:b/>
          <w:bCs/>
          <w:sz w:val="21"/>
          <w:szCs w:val="21"/>
        </w:rPr>
        <w:t>Tabú</w:t>
      </w:r>
      <w:proofErr w:type="spellEnd"/>
      <w:r w:rsidRPr="00633822">
        <w:rPr>
          <w:rFonts w:ascii="Aptos" w:eastAsia="Aptos" w:hAnsi="Aptos" w:cs="Times New Roman"/>
          <w:b/>
          <w:bCs/>
          <w:sz w:val="21"/>
          <w:szCs w:val="21"/>
        </w:rPr>
        <w:t xml:space="preserve">? </w:t>
      </w:r>
      <w:r w:rsidRPr="00633822">
        <w:rPr>
          <w:rFonts w:ascii="Aptos" w:eastAsia="Aptos" w:hAnsi="Aptos" w:cs="Times New Roman"/>
          <w:i/>
          <w:iCs/>
          <w:sz w:val="21"/>
          <w:szCs w:val="21"/>
        </w:rPr>
        <w:t>Please provide funding records, program evaluations, and documentation of partnerships or capacity-building initiatives.</w:t>
      </w:r>
    </w:p>
    <w:p w14:paraId="3DAD9CA9" w14:textId="77777777" w:rsidR="00AE4520" w:rsidRDefault="00AE4520" w:rsidP="00AE4520">
      <w:pPr>
        <w:pStyle w:val="Heading1"/>
      </w:pPr>
      <w:r>
        <w:t>Article 7 – Disabled children</w:t>
      </w:r>
    </w:p>
    <w:p w14:paraId="485FD45D" w14:textId="77777777" w:rsidR="00AE4520" w:rsidRDefault="00AE4520" w:rsidP="00AE4520">
      <w:pPr>
        <w:pStyle w:val="Heading2"/>
      </w:pPr>
      <w:r>
        <w:t>Proposed questions:</w:t>
      </w:r>
    </w:p>
    <w:p w14:paraId="1F62CCE1"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concrete measures have been taken to ensure that disabled children are meaningfully consulted in decisions affecting them, both individually and collectively, across all areas of public policy and services? </w:t>
      </w:r>
      <w:r w:rsidRPr="00633822">
        <w:rPr>
          <w:rFonts w:ascii="Aptos" w:eastAsia="Aptos" w:hAnsi="Aptos" w:cs="Times New Roman"/>
          <w:i/>
          <w:iCs/>
          <w:sz w:val="21"/>
          <w:szCs w:val="21"/>
        </w:rPr>
        <w:t>Please provide data and examples of participatory mechanisms that include disabled children at the municipal and national levels.</w:t>
      </w:r>
    </w:p>
    <w:p w14:paraId="2C5A8617"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lastRenderedPageBreak/>
        <w:t xml:space="preserve">How is the State ensuring coordinated and continuous support for disabled children during key life transitions, such as from preschool to compulsory school, from compulsory to upper-secondary education, and from child to adult services? </w:t>
      </w:r>
      <w:r w:rsidRPr="00633822">
        <w:rPr>
          <w:rFonts w:ascii="Aptos" w:eastAsia="Aptos" w:hAnsi="Aptos" w:cs="Times New Roman"/>
          <w:i/>
          <w:iCs/>
          <w:sz w:val="21"/>
          <w:szCs w:val="21"/>
        </w:rPr>
        <w:t>Please provide relevant protocols, standardized transition plans, and data on service continuity and outcomes across these transitions.</w:t>
      </w:r>
    </w:p>
    <w:p w14:paraId="27D6FC98"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steps have been taken to assess and address the impact of ministerial restructuring on the oversight and implementation of the rights of disabled children, particularly regarding the division of responsibilities between ministries for children, education, and social affairs? </w:t>
      </w:r>
      <w:r w:rsidRPr="00633822">
        <w:rPr>
          <w:rFonts w:ascii="Aptos" w:eastAsia="Aptos" w:hAnsi="Aptos" w:cs="Times New Roman"/>
          <w:i/>
          <w:iCs/>
          <w:sz w:val="21"/>
          <w:szCs w:val="21"/>
        </w:rPr>
        <w:t>Please provide a mapping of institutional responsibilities, including coordination mechanisms and accountability structures.</w:t>
      </w:r>
    </w:p>
    <w:p w14:paraId="7DA51DB2"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steps has the State taken to ensure equitable access to services for disabled children across municipalities, considering documented disparities in service availability, eligibility criteria, and support quality? </w:t>
      </w:r>
      <w:r w:rsidRPr="00633822">
        <w:rPr>
          <w:rFonts w:ascii="Aptos" w:eastAsia="Aptos" w:hAnsi="Aptos" w:cs="Times New Roman"/>
          <w:i/>
          <w:iCs/>
          <w:sz w:val="21"/>
          <w:szCs w:val="21"/>
        </w:rPr>
        <w:t>Please provide disaggregated data by municipality, type of service, and demographic characteristics such as age, gender, and type of impairment.</w:t>
      </w:r>
    </w:p>
    <w:p w14:paraId="427124A2"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efforts are made to collect and use disaggregated data on disabled children to inform planning, monitor rights implementation, and identify systemic gaps? </w:t>
      </w:r>
      <w:r w:rsidRPr="00633822">
        <w:rPr>
          <w:rFonts w:ascii="Aptos" w:eastAsia="Aptos" w:hAnsi="Aptos" w:cs="Times New Roman"/>
          <w:i/>
          <w:iCs/>
          <w:sz w:val="21"/>
          <w:szCs w:val="21"/>
        </w:rPr>
        <w:t>Please provide an overview of available data sources, collection methods, and use of the state’s indicators related to Article 7.</w:t>
      </w:r>
    </w:p>
    <w:p w14:paraId="09973525"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safeguards are in place to ensure that decisions affecting disabled children are not based solely on medical diagnoses, but instead reflect their evolving capacities, rights, and individual preferences? </w:t>
      </w:r>
      <w:r w:rsidRPr="00633822">
        <w:rPr>
          <w:rFonts w:ascii="Aptos" w:eastAsia="Aptos" w:hAnsi="Aptos" w:cs="Times New Roman"/>
          <w:i/>
          <w:iCs/>
          <w:sz w:val="21"/>
          <w:szCs w:val="21"/>
        </w:rPr>
        <w:t>Please provide examples of rights-based assessment tools, individualized planning frameworks, and staff training protocols used in practice.</w:t>
      </w:r>
    </w:p>
    <w:p w14:paraId="08DE7B33"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How are complaints, rights violations, or service failures affecting disabled children monitored and addressed in practice, and how are children supported to make complaints themselves? </w:t>
      </w:r>
      <w:r w:rsidRPr="00633822">
        <w:rPr>
          <w:rFonts w:ascii="Aptos" w:eastAsia="Aptos" w:hAnsi="Aptos" w:cs="Times New Roman"/>
          <w:i/>
          <w:iCs/>
          <w:sz w:val="21"/>
          <w:szCs w:val="21"/>
        </w:rPr>
        <w:t>Please provide information on child-accessible complaint mechanisms, the number of complaints received, and resolution outcomes.</w:t>
      </w:r>
    </w:p>
    <w:p w14:paraId="5A291430" w14:textId="77777777" w:rsidR="00AE4520" w:rsidRDefault="00AE4520" w:rsidP="00AE4520">
      <w:pPr>
        <w:pStyle w:val="Heading1"/>
      </w:pPr>
      <w:r>
        <w:t>Article 8 – Awareness-raising</w:t>
      </w:r>
    </w:p>
    <w:p w14:paraId="74F86C45" w14:textId="77777777" w:rsidR="00AE4520" w:rsidRDefault="00AE4520" w:rsidP="00AE4520">
      <w:pPr>
        <w:pStyle w:val="Heading2"/>
      </w:pPr>
      <w:r>
        <w:t>Proposed questions:</w:t>
      </w:r>
    </w:p>
    <w:p w14:paraId="795E966A"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measures has the State taken to develop a national awareness-raising strategy that is grounded in the human rights model of disability and includes clear objectives, measurable indicators, defined target groups, and mechanisms for evaluation? </w:t>
      </w:r>
      <w:r w:rsidRPr="00633822">
        <w:rPr>
          <w:rFonts w:ascii="Aptos" w:eastAsia="Aptos" w:hAnsi="Aptos" w:cs="Times New Roman"/>
          <w:i/>
          <w:iCs/>
          <w:sz w:val="21"/>
          <w:szCs w:val="21"/>
        </w:rPr>
        <w:t>Please provide copies of any strategies, plans, or policy documents that outline such a framework, including indicators and implementation timelines.</w:t>
      </w:r>
    </w:p>
    <w:p w14:paraId="3CBD4A62"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How does the State ensure the direct and meaningful participation of disabled people and their representative organizations in the design, implementation, and monitoring of awareness-raising initiatives, in accordance with Article 8(2)(c)? </w:t>
      </w:r>
      <w:r w:rsidRPr="00633822">
        <w:rPr>
          <w:rFonts w:ascii="Aptos" w:eastAsia="Aptos" w:hAnsi="Aptos" w:cs="Times New Roman"/>
          <w:i/>
          <w:iCs/>
          <w:sz w:val="21"/>
          <w:szCs w:val="21"/>
        </w:rPr>
        <w:t xml:space="preserve">Please provide descriptions </w:t>
      </w:r>
      <w:r w:rsidRPr="00633822">
        <w:rPr>
          <w:rFonts w:ascii="Aptos" w:eastAsia="Aptos" w:hAnsi="Aptos" w:cs="Times New Roman"/>
          <w:i/>
          <w:iCs/>
          <w:sz w:val="21"/>
          <w:szCs w:val="21"/>
        </w:rPr>
        <w:lastRenderedPageBreak/>
        <w:t>of participation mechanisms, consultation processes, or formal agreements with representative organizations.</w:t>
      </w:r>
    </w:p>
    <w:p w14:paraId="44DB5E67"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systems or processes are in place to evaluate the effectiveness of awareness-raising campaigns in changing public attitudes, reducing stigma, and challenging harmful stereotypes about disabled people? </w:t>
      </w:r>
      <w:r w:rsidRPr="00633822">
        <w:rPr>
          <w:rFonts w:ascii="Aptos" w:eastAsia="Aptos" w:hAnsi="Aptos" w:cs="Times New Roman"/>
          <w:i/>
          <w:iCs/>
          <w:sz w:val="21"/>
          <w:szCs w:val="21"/>
        </w:rPr>
        <w:t>Please provide the results of any evaluations, surveys, or monitoring exercises conducted since 2016, including methodologies and key findings.</w:t>
      </w:r>
    </w:p>
    <w:p w14:paraId="2EC1763A"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steps have been taken to ensure that awareness-raising efforts address intersectional discrimination, including the experiences of disabled women, children, migrants, ethnic minorities, and LGBTQ+ individuals? </w:t>
      </w:r>
      <w:r w:rsidRPr="00633822">
        <w:rPr>
          <w:rFonts w:ascii="Aptos" w:eastAsia="Aptos" w:hAnsi="Aptos" w:cs="Times New Roman"/>
          <w:i/>
          <w:iCs/>
          <w:sz w:val="21"/>
          <w:szCs w:val="21"/>
        </w:rPr>
        <w:t>Please provide examples of campaign materials, strategies, or outreach efforts that incorporate an intersectional approach.</w:t>
      </w:r>
    </w:p>
    <w:p w14:paraId="4EE15C9F"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How are awareness-raising measures embedded across sectors, including in school curricula, media regulation, civil service training, and public procurement practices?</w:t>
      </w:r>
      <w:r w:rsidRPr="00633822">
        <w:rPr>
          <w:rFonts w:ascii="Aptos" w:eastAsia="Aptos" w:hAnsi="Aptos" w:cs="Times New Roman"/>
          <w:b/>
          <w:bCs/>
          <w:sz w:val="21"/>
          <w:szCs w:val="21"/>
        </w:rPr>
        <w:br/>
      </w:r>
      <w:r w:rsidRPr="00633822">
        <w:rPr>
          <w:rFonts w:ascii="Aptos" w:eastAsia="Aptos" w:hAnsi="Aptos" w:cs="Times New Roman"/>
          <w:i/>
          <w:iCs/>
          <w:sz w:val="21"/>
          <w:szCs w:val="21"/>
        </w:rPr>
        <w:t>Please provide relevant legal or policy instruments, curriculum content, training materials, or institutional guidelines that demonstrate how awareness-raising is mainstreamed in these areas.</w:t>
      </w:r>
    </w:p>
    <w:p w14:paraId="36AB1987"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regulatory or support mechanisms exist to ensure fully inclusive and respectful media representation of disabled people in public and private media? </w:t>
      </w:r>
      <w:r w:rsidRPr="00633822">
        <w:rPr>
          <w:rFonts w:ascii="Aptos" w:eastAsia="Aptos" w:hAnsi="Aptos" w:cs="Times New Roman"/>
          <w:i/>
          <w:iCs/>
          <w:sz w:val="21"/>
          <w:szCs w:val="21"/>
        </w:rPr>
        <w:t>Please provide codes of ethics, journalist guidelines, training materials, or monitoring reports used by media regulators or broadcasters.</w:t>
      </w:r>
    </w:p>
    <w:p w14:paraId="5CFF1ABF"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measures has the State taken to link awareness-raising efforts with broader strategies to address hate speech, disability-based violence, and harmful practices? </w:t>
      </w:r>
      <w:r w:rsidRPr="00633822">
        <w:rPr>
          <w:rFonts w:ascii="Aptos" w:eastAsia="Aptos" w:hAnsi="Aptos" w:cs="Times New Roman"/>
          <w:i/>
          <w:iCs/>
          <w:sz w:val="21"/>
          <w:szCs w:val="21"/>
        </w:rPr>
        <w:t>Please provide documentation on relevant legal frameworks, training programs for public officials, and awareness components of anti-discrimination or hate crime strategies, including any monitoring or enforcement mechanisms.</w:t>
      </w:r>
    </w:p>
    <w:p w14:paraId="41B1EEE6" w14:textId="77777777" w:rsidR="00AE4520" w:rsidRDefault="00AE4520" w:rsidP="00AE4520">
      <w:pPr>
        <w:pStyle w:val="Heading1"/>
      </w:pPr>
      <w:r>
        <w:t>Article 9 – Accessibility</w:t>
      </w:r>
    </w:p>
    <w:p w14:paraId="6226BB67" w14:textId="77777777" w:rsidR="00AE4520" w:rsidRDefault="00AE4520" w:rsidP="00AE4520">
      <w:pPr>
        <w:pStyle w:val="Heading2"/>
      </w:pPr>
      <w:r>
        <w:t>Proposed questions</w:t>
      </w:r>
    </w:p>
    <w:p w14:paraId="02F0540F"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measures have been taken to ensure consistent and enforceable application of accessibility standards in the built environment across all municipalities, including rural areas? </w:t>
      </w:r>
      <w:r w:rsidRPr="00633822">
        <w:rPr>
          <w:rFonts w:ascii="Aptos" w:eastAsia="Aptos" w:hAnsi="Aptos" w:cs="Times New Roman"/>
          <w:i/>
          <w:iCs/>
          <w:sz w:val="21"/>
          <w:szCs w:val="21"/>
        </w:rPr>
        <w:t>Please provide data on the number and proportion of public buildings at the national and municipal level that comply with accessibility standards, disaggregated by location and type of service.</w:t>
      </w:r>
    </w:p>
    <w:p w14:paraId="58D57DAB"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measures has the State taken to ensure digital accessibility of public websites, online services, and communication platforms, including for persons with visual, hearing, cognitive, or intellectual disabilities? </w:t>
      </w:r>
      <w:r w:rsidRPr="00633822">
        <w:rPr>
          <w:rFonts w:ascii="Aptos" w:eastAsia="Aptos" w:hAnsi="Aptos" w:cs="Times New Roman"/>
          <w:i/>
          <w:iCs/>
          <w:sz w:val="21"/>
          <w:szCs w:val="21"/>
        </w:rPr>
        <w:t>Please provide results of recent accessibility audits, compliance rates with national or international standards (e.g., WCAG), and any enforcement or remediation mechanisms in place.</w:t>
      </w:r>
    </w:p>
    <w:p w14:paraId="1142E823"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steps have been taken to ensure equal access to public transportation, including accessible vehicles, stops, information systems, and booking methods? </w:t>
      </w:r>
      <w:r w:rsidRPr="00633822">
        <w:rPr>
          <w:rFonts w:ascii="Aptos" w:eastAsia="Aptos" w:hAnsi="Aptos" w:cs="Times New Roman"/>
          <w:i/>
          <w:iCs/>
          <w:sz w:val="21"/>
          <w:szCs w:val="21"/>
        </w:rPr>
        <w:t xml:space="preserve">Please provide </w:t>
      </w:r>
      <w:r w:rsidRPr="00633822">
        <w:rPr>
          <w:rFonts w:ascii="Aptos" w:eastAsia="Aptos" w:hAnsi="Aptos" w:cs="Times New Roman"/>
          <w:i/>
          <w:iCs/>
          <w:sz w:val="21"/>
          <w:szCs w:val="21"/>
        </w:rPr>
        <w:lastRenderedPageBreak/>
        <w:t>disaggregated statistics on the availability of accessible public and paratransit services by region, transport mode, and accessibility features (e.g., wheelchair access, signage, audio announcements).</w:t>
      </w:r>
    </w:p>
    <w:p w14:paraId="4ED0371E"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independent mechanisms are in place to monitor and enforce accessibility obligations under national law, and how are violations addressed in practice? </w:t>
      </w:r>
      <w:r w:rsidRPr="00633822">
        <w:rPr>
          <w:rFonts w:ascii="Aptos" w:eastAsia="Aptos" w:hAnsi="Aptos" w:cs="Times New Roman"/>
          <w:i/>
          <w:iCs/>
          <w:sz w:val="21"/>
          <w:szCs w:val="21"/>
        </w:rPr>
        <w:t>Please provide data on complaints received, investigations conducted, sanctions imposed, and remedies granted, disaggregated by sector and year.</w:t>
      </w:r>
    </w:p>
    <w:p w14:paraId="24DF60C7"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How are disabled people, through their representative organizations, consulted and involved in the development, implementation, and monitoring of laws and policies related to accessibility? </w:t>
      </w:r>
      <w:r w:rsidRPr="00633822">
        <w:rPr>
          <w:rFonts w:ascii="Aptos" w:eastAsia="Aptos" w:hAnsi="Aptos" w:cs="Times New Roman"/>
          <w:i/>
          <w:iCs/>
          <w:sz w:val="21"/>
          <w:szCs w:val="21"/>
        </w:rPr>
        <w:t xml:space="preserve">Please provide examples of formal consultation processes undertaken </w:t>
      </w:r>
      <w:proofErr w:type="gramStart"/>
      <w:r w:rsidRPr="00633822">
        <w:rPr>
          <w:rFonts w:ascii="Aptos" w:eastAsia="Aptos" w:hAnsi="Aptos" w:cs="Times New Roman"/>
          <w:i/>
          <w:iCs/>
          <w:sz w:val="21"/>
          <w:szCs w:val="21"/>
        </w:rPr>
        <w:t>in the area of</w:t>
      </w:r>
      <w:proofErr w:type="gramEnd"/>
      <w:r w:rsidRPr="00633822">
        <w:rPr>
          <w:rFonts w:ascii="Aptos" w:eastAsia="Aptos" w:hAnsi="Aptos" w:cs="Times New Roman"/>
          <w:i/>
          <w:iCs/>
          <w:sz w:val="21"/>
          <w:szCs w:val="21"/>
        </w:rPr>
        <w:t xml:space="preserve"> accessibility, including dates, participating organizations, and how feedback was incorporated.</w:t>
      </w:r>
    </w:p>
    <w:p w14:paraId="289074D5"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measures has the State taken to integrate universal design principles in public procurement, service design, and the training of professionals (e.g., architects, engineers, ICT developers, public officials)? </w:t>
      </w:r>
      <w:r w:rsidRPr="00633822">
        <w:rPr>
          <w:rFonts w:ascii="Aptos" w:eastAsia="Aptos" w:hAnsi="Aptos" w:cs="Times New Roman"/>
          <w:i/>
          <w:iCs/>
          <w:sz w:val="21"/>
          <w:szCs w:val="21"/>
        </w:rPr>
        <w:t>Please provide information on mandatory training curricula, procurement guidelines, and monitoring of compliance with universal design obligations.</w:t>
      </w:r>
    </w:p>
    <w:p w14:paraId="48DECE3E"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How is the State ensuring compliance with its obligations under the European Accessibility Act and other EEA-relevant accessibility directives? </w:t>
      </w:r>
      <w:r w:rsidRPr="00633822">
        <w:rPr>
          <w:rFonts w:ascii="Aptos" w:eastAsia="Aptos" w:hAnsi="Aptos" w:cs="Times New Roman"/>
          <w:i/>
          <w:iCs/>
          <w:sz w:val="21"/>
          <w:szCs w:val="21"/>
        </w:rPr>
        <w:t>Please provide an overview of the current national implementation status, including transposition of relevant EU legislation, compliance deadlines, and any communications received from the EFTA Surveillance Authority.</w:t>
      </w:r>
    </w:p>
    <w:p w14:paraId="269B0993" w14:textId="77777777" w:rsidR="00AE4520" w:rsidRDefault="00AE4520" w:rsidP="00AE4520">
      <w:pPr>
        <w:pStyle w:val="Heading1"/>
      </w:pPr>
      <w:r>
        <w:t>Article 10 – Right to life</w:t>
      </w:r>
    </w:p>
    <w:p w14:paraId="24CB1935" w14:textId="77777777" w:rsidR="00AE4520" w:rsidRDefault="00AE4520" w:rsidP="00AE4520">
      <w:pPr>
        <w:pStyle w:val="Heading2"/>
      </w:pPr>
      <w:r>
        <w:t>Proposed questions</w:t>
      </w:r>
    </w:p>
    <w:p w14:paraId="1E92C0B3"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measures has the State Party taken to ensure that the inherent right to life of disabled people is respected and protected in healthcare and institutional settings? </w:t>
      </w:r>
      <w:r w:rsidRPr="00633822">
        <w:rPr>
          <w:rFonts w:ascii="Aptos" w:eastAsia="Aptos" w:hAnsi="Aptos" w:cs="Times New Roman"/>
          <w:i/>
          <w:iCs/>
          <w:sz w:val="21"/>
          <w:szCs w:val="21"/>
        </w:rPr>
        <w:t>Please provide national laws, policies, or protocols that explicitly reference the protection of the right to life for disabled people and are designed with that in mind.</w:t>
      </w:r>
    </w:p>
    <w:p w14:paraId="7EF76093"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safeguards are in place to prevent discrimination against disabled people in triage decisions, access to intensive care, or end-of-life care, particularly during public health emergencies? </w:t>
      </w:r>
      <w:r w:rsidRPr="00633822">
        <w:rPr>
          <w:rFonts w:ascii="Aptos" w:eastAsia="Aptos" w:hAnsi="Aptos" w:cs="Times New Roman"/>
          <w:i/>
          <w:iCs/>
          <w:sz w:val="21"/>
          <w:szCs w:val="21"/>
        </w:rPr>
        <w:t>Please provide clinical guidelines, ethical protocols, or legal frameworks that explicitly prohibit disability-based devaluation and ensure equal access to life-sustaining treatment.</w:t>
      </w:r>
    </w:p>
    <w:p w14:paraId="7340E787"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Has the State Party investigated any deaths or preventable harm involving disabled people during the COVID-19 pandemic or in other crises, e.g., Grindavík? </w:t>
      </w:r>
      <w:r w:rsidRPr="00633822">
        <w:rPr>
          <w:rFonts w:ascii="Aptos" w:eastAsia="Aptos" w:hAnsi="Aptos" w:cs="Times New Roman"/>
          <w:i/>
          <w:iCs/>
          <w:sz w:val="21"/>
          <w:szCs w:val="21"/>
        </w:rPr>
        <w:t>Please provide investigation reports, review findings, or inquiries conducted into deaths or serious incidents involving disabled people.</w:t>
      </w:r>
    </w:p>
    <w:p w14:paraId="1BFF1743"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systems are in place to monitor life expectancy, mortality trends, and systemic risks related to neglect, institutionalization, or service breakdowns affecting disabled people? </w:t>
      </w:r>
      <w:r w:rsidRPr="00633822">
        <w:rPr>
          <w:rFonts w:ascii="Aptos" w:eastAsia="Aptos" w:hAnsi="Aptos" w:cs="Times New Roman"/>
          <w:i/>
          <w:iCs/>
          <w:sz w:val="21"/>
          <w:szCs w:val="21"/>
        </w:rPr>
        <w:lastRenderedPageBreak/>
        <w:t>Please provide disaggregated data, methodologies used, and any findings that inform risk prevention or policy reform.</w:t>
      </w:r>
    </w:p>
    <w:p w14:paraId="242C2A80"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systems are in place to identify and address situations where disabled people may be exposed to life-threatening harm in institutional or dependent care settings? </w:t>
      </w:r>
      <w:r w:rsidRPr="00633822">
        <w:rPr>
          <w:rFonts w:ascii="Aptos" w:eastAsia="Aptos" w:hAnsi="Aptos" w:cs="Times New Roman"/>
          <w:i/>
          <w:iCs/>
          <w:sz w:val="21"/>
          <w:szCs w:val="21"/>
        </w:rPr>
        <w:t>Please provide inspection mechanisms, incident reporting procedures, and protective oversight structures related to residential or supported living services.</w:t>
      </w:r>
    </w:p>
    <w:p w14:paraId="4D673D14"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To what extent are disabled people and their representative organizations meaningfully involved in the design, implementation, and oversight of policies concerning life, safety, and emergency healthcare? </w:t>
      </w:r>
      <w:r w:rsidRPr="00633822">
        <w:rPr>
          <w:rFonts w:ascii="Aptos" w:eastAsia="Aptos" w:hAnsi="Aptos" w:cs="Times New Roman"/>
          <w:i/>
          <w:iCs/>
          <w:sz w:val="21"/>
          <w:szCs w:val="21"/>
        </w:rPr>
        <w:t>Please provide documentation of consultation processes, co-design mechanisms, and legal guarantees of participation.</w:t>
      </w:r>
    </w:p>
    <w:p w14:paraId="0C9EF42C"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Has the State Party adopted human rights-based indicators or monitoring tools to track the implementation of Article 10? </w:t>
      </w:r>
      <w:r w:rsidRPr="00633822">
        <w:rPr>
          <w:rFonts w:ascii="Aptos" w:eastAsia="Aptos" w:hAnsi="Aptos" w:cs="Times New Roman"/>
          <w:i/>
          <w:iCs/>
          <w:sz w:val="21"/>
          <w:szCs w:val="21"/>
        </w:rPr>
        <w:t>Please provide any national indicator frameworks, human rights impact assessments, or evaluation tools used to assess compliance with Article 10.</w:t>
      </w:r>
    </w:p>
    <w:p w14:paraId="4909EF89" w14:textId="77777777" w:rsidR="00AE4520" w:rsidRDefault="00AE4520" w:rsidP="00AE4520">
      <w:pPr>
        <w:pStyle w:val="Heading1"/>
      </w:pPr>
      <w:r>
        <w:t xml:space="preserve">Article 11 - </w:t>
      </w:r>
      <w:r w:rsidRPr="00633822">
        <w:t xml:space="preserve">Situations of risk and humanitarian emergencies </w:t>
      </w:r>
    </w:p>
    <w:p w14:paraId="1D37336A" w14:textId="77777777" w:rsidR="00AE4520" w:rsidRDefault="00AE4520" w:rsidP="00AE4520">
      <w:pPr>
        <w:pStyle w:val="Heading2"/>
      </w:pPr>
      <w:r>
        <w:t>Proposed questions</w:t>
      </w:r>
    </w:p>
    <w:p w14:paraId="69BC1869"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measures has the State Party taken to ensure that civil protection and disaster risk management systems are inclusive of disabled people, in accordance with Article 11 of the CRPD? </w:t>
      </w:r>
      <w:r w:rsidRPr="00633822">
        <w:rPr>
          <w:rFonts w:ascii="Aptos" w:eastAsia="Aptos" w:hAnsi="Aptos" w:cs="Times New Roman"/>
          <w:i/>
          <w:iCs/>
          <w:sz w:val="21"/>
          <w:szCs w:val="21"/>
        </w:rPr>
        <w:t>Please provide national or municipal emergency preparedness and response plans that include disability-specific provisions or indicators.</w:t>
      </w:r>
    </w:p>
    <w:p w14:paraId="7001691B"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Have disabled people and their representative organizations been consulted and actively involved in the development and implementation of civil protection frameworks and emergency protocols? </w:t>
      </w:r>
      <w:r w:rsidRPr="00633822">
        <w:rPr>
          <w:rFonts w:ascii="Aptos" w:eastAsia="Aptos" w:hAnsi="Aptos" w:cs="Times New Roman"/>
          <w:i/>
          <w:iCs/>
          <w:sz w:val="21"/>
          <w:szCs w:val="21"/>
        </w:rPr>
        <w:t>Please provide records of consultation processes, formal mechanisms for DPO participation, and any laws mandating such involvement.</w:t>
      </w:r>
    </w:p>
    <w:p w14:paraId="012A1F68"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measures has the State Party taken to ensure that evacuation, emergency shelter, and recovery processes are accessible and responsive to the needs of disabled people, including those using mobility aids, assistive technology, communication supports, or personal assistance? </w:t>
      </w:r>
      <w:r w:rsidRPr="00633822">
        <w:rPr>
          <w:rFonts w:ascii="Aptos" w:eastAsia="Aptos" w:hAnsi="Aptos" w:cs="Times New Roman"/>
          <w:i/>
          <w:iCs/>
          <w:sz w:val="21"/>
          <w:szCs w:val="21"/>
        </w:rPr>
        <w:t>Please provide accessibility audits, infrastructure standards, and inclusive planning guidelines used in evacuation and temporary accommodation protocols.</w:t>
      </w:r>
    </w:p>
    <w:p w14:paraId="48039027"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protocols are in place to ensure continuity of personal assistance, home-based services, assistive technology, and essential support during emergencies and evacuations? </w:t>
      </w:r>
      <w:r w:rsidRPr="00633822">
        <w:rPr>
          <w:rFonts w:ascii="Aptos" w:eastAsia="Aptos" w:hAnsi="Aptos" w:cs="Times New Roman"/>
          <w:i/>
          <w:iCs/>
          <w:sz w:val="21"/>
          <w:szCs w:val="21"/>
        </w:rPr>
        <w:t>Please provide emergency continuity plans, contingency measures, and contractual arrangements for support services and PA schemes (NPA).</w:t>
      </w:r>
    </w:p>
    <w:p w14:paraId="4BBE0AED"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training is provided to civil protection personnel, first responders, and municipal authorities to ensure respectful, rights-based, and effective responses to the needs of people with diverse disabilities during emergencies? </w:t>
      </w:r>
      <w:r w:rsidRPr="00633822">
        <w:rPr>
          <w:rFonts w:ascii="Aptos" w:eastAsia="Aptos" w:hAnsi="Aptos" w:cs="Times New Roman"/>
          <w:i/>
          <w:iCs/>
          <w:sz w:val="21"/>
          <w:szCs w:val="21"/>
        </w:rPr>
        <w:t>Please provide training curricula, legal mandates, frequency of sessions, and disaggregated data on trained personnel by role and region.</w:t>
      </w:r>
    </w:p>
    <w:p w14:paraId="54B5F479"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lastRenderedPageBreak/>
        <w:t xml:space="preserve">What systems are in place to collect disability-disaggregated data on the impact of emergencies, including evacuation outcomes, institutionalization, mortality, or service disruption? </w:t>
      </w:r>
      <w:r w:rsidRPr="00633822">
        <w:rPr>
          <w:rFonts w:ascii="Aptos" w:eastAsia="Aptos" w:hAnsi="Aptos" w:cs="Times New Roman"/>
          <w:i/>
          <w:iCs/>
          <w:sz w:val="21"/>
          <w:szCs w:val="21"/>
        </w:rPr>
        <w:t>Please provide recent data reports, methodologies for disaggregation, and any indicators aligned with the SDG-CRPD disability framework.</w:t>
      </w:r>
    </w:p>
    <w:p w14:paraId="63709FA5"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Has the State Party conducted any independent evaluations or reviews of its emergency response mechanisms, including lessons learned from the COVID-19 pandemic or the Grindavík evacuation, with a specific focus on the rights and experiences of disabled people? </w:t>
      </w:r>
      <w:r w:rsidRPr="00633822">
        <w:rPr>
          <w:rFonts w:ascii="Aptos" w:eastAsia="Aptos" w:hAnsi="Aptos" w:cs="Times New Roman"/>
          <w:i/>
          <w:iCs/>
          <w:sz w:val="21"/>
          <w:szCs w:val="21"/>
        </w:rPr>
        <w:t>Please provide evaluation reports, post-crisis reviews, or inquiries that assess impact, identify systemic gaps, and propose corrective measures.</w:t>
      </w:r>
    </w:p>
    <w:p w14:paraId="72A96709" w14:textId="77777777" w:rsidR="00AE4520" w:rsidRDefault="00AE4520" w:rsidP="00AE4520">
      <w:pPr>
        <w:pStyle w:val="Heading1"/>
      </w:pPr>
      <w:r>
        <w:t xml:space="preserve">Article 12 - </w:t>
      </w:r>
      <w:r w:rsidRPr="00633822">
        <w:t>Equal recognition before the law</w:t>
      </w:r>
    </w:p>
    <w:p w14:paraId="67E2CC43" w14:textId="77777777" w:rsidR="00AE4520" w:rsidRDefault="00AE4520" w:rsidP="00AE4520">
      <w:pPr>
        <w:pStyle w:val="Heading2"/>
      </w:pPr>
      <w:r>
        <w:t>Proposed questions</w:t>
      </w:r>
    </w:p>
    <w:p w14:paraId="02C31A42"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measures has the State adopted to phase out plenary and partial guardianship and ensure universal recognition of legal capacity for all disabled people, regardless of perceived decision-making ability, in line with Article 12 and General Comment No. 1? </w:t>
      </w:r>
      <w:r w:rsidRPr="00633822">
        <w:rPr>
          <w:rFonts w:ascii="Aptos" w:eastAsia="Aptos" w:hAnsi="Aptos" w:cs="Times New Roman"/>
          <w:i/>
          <w:iCs/>
          <w:sz w:val="21"/>
          <w:szCs w:val="21"/>
        </w:rPr>
        <w:t>Please provide legal and policy documents showing the timeline and strategy for transitioning from substitute decision-making to supported decision-making, including legislative plans, action frameworks, and stakeholder consultations.</w:t>
      </w:r>
    </w:p>
    <w:p w14:paraId="11D30961"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How has the State evaluated the recent legislative changes to Act No. 88/2011, and what safeguards are in place to prevent these amendments from contributing to increased use of guardianship or other forms of substituted decision-making? </w:t>
      </w:r>
      <w:r w:rsidRPr="00633822">
        <w:rPr>
          <w:rFonts w:ascii="Aptos" w:eastAsia="Aptos" w:hAnsi="Aptos" w:cs="Times New Roman"/>
          <w:i/>
          <w:iCs/>
          <w:sz w:val="21"/>
          <w:szCs w:val="21"/>
        </w:rPr>
        <w:t>Please provide data on the number of guardianship decisions issued annually over the past five years, disaggregated by type (plenary/partial), gender, region, disability category, and outcome, with specific analysis of trends following the 2025 legal reforms.</w:t>
      </w:r>
    </w:p>
    <w:p w14:paraId="681B98F1"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mechanisms are in place to ensure that personal spokespersons or other support providers under Act No. 88/2011 act in accordance with the individual's will and preferences, rather than the “best interests” standard? </w:t>
      </w:r>
      <w:r w:rsidRPr="00633822">
        <w:rPr>
          <w:rFonts w:ascii="Aptos" w:eastAsia="Aptos" w:hAnsi="Aptos" w:cs="Times New Roman"/>
          <w:i/>
          <w:iCs/>
          <w:sz w:val="21"/>
          <w:szCs w:val="21"/>
        </w:rPr>
        <w:t>Please provide regulatory frameworks and procedural guidelines governing spokespersons, including training materials, oversight structures, complaints mechanisms, and any evaluations conducted.</w:t>
      </w:r>
    </w:p>
    <w:p w14:paraId="05C74A11"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How does the State monitor and regulate the use of informal substitute decision-making by service providers, particularly in group homes or supported residential arrangements, where staff act on behalf of residents without formal legal authority? </w:t>
      </w:r>
      <w:r w:rsidRPr="00633822">
        <w:rPr>
          <w:rFonts w:ascii="Aptos" w:eastAsia="Aptos" w:hAnsi="Aptos" w:cs="Times New Roman"/>
          <w:i/>
          <w:iCs/>
          <w:sz w:val="21"/>
          <w:szCs w:val="21"/>
        </w:rPr>
        <w:t>Please provide documentation on inspections, regulatory standards, or recorded cases where such practices have been reviewed or challenged.</w:t>
      </w:r>
    </w:p>
    <w:p w14:paraId="497132F6"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steps has the State taken to ensure access to electronic identification (e-ID) and other digital authentication tools for disabled people who require support, including alternative verification methods or supported use protocols? </w:t>
      </w:r>
      <w:r w:rsidRPr="00633822">
        <w:rPr>
          <w:rFonts w:ascii="Aptos" w:eastAsia="Aptos" w:hAnsi="Aptos" w:cs="Times New Roman"/>
          <w:i/>
          <w:iCs/>
          <w:sz w:val="21"/>
          <w:szCs w:val="21"/>
        </w:rPr>
        <w:t>Please provide data on access to e-ID among disabled people, descriptions of barriers identified, and details of accommodations or procedural adjustments introduced (incl. numbers).</w:t>
      </w:r>
    </w:p>
    <w:p w14:paraId="16BCD778"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lastRenderedPageBreak/>
        <w:t xml:space="preserve">Has the State established a centralized registry or data collection system to track the use of guardianship, support arrangements, restoration of legal capacity, or complaints related to denial of legal recognition? </w:t>
      </w:r>
      <w:r w:rsidRPr="00633822">
        <w:rPr>
          <w:rFonts w:ascii="Aptos" w:eastAsia="Aptos" w:hAnsi="Aptos" w:cs="Times New Roman"/>
          <w:i/>
          <w:iCs/>
          <w:sz w:val="21"/>
          <w:szCs w:val="21"/>
        </w:rPr>
        <w:t>Please provide technical documentation or statistical summaries from any such system and explain how this information is used for oversight and CRPD compliance monitoring.</w:t>
      </w:r>
    </w:p>
    <w:p w14:paraId="65A2D0BC"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To what extent have disabled people and their representative organizations been actively involved in designing, evaluating, and reforming legal capacity-related laws and support frameworks, in accordance with Articles 4(3) and 33(3) of the Convention? </w:t>
      </w:r>
      <w:r w:rsidRPr="00633822">
        <w:rPr>
          <w:rFonts w:ascii="Aptos" w:eastAsia="Aptos" w:hAnsi="Aptos" w:cs="Times New Roman"/>
          <w:i/>
          <w:iCs/>
          <w:sz w:val="21"/>
          <w:szCs w:val="21"/>
        </w:rPr>
        <w:t>Please provide evidence of participatory processes, including meeting records, feedback received, and how such input has influenced policy outcomes.</w:t>
      </w:r>
    </w:p>
    <w:p w14:paraId="322EBAB4" w14:textId="77777777" w:rsidR="00AE4520" w:rsidRDefault="00AE4520" w:rsidP="00AE4520">
      <w:pPr>
        <w:pStyle w:val="Heading1"/>
      </w:pPr>
      <w:r>
        <w:t>Article 13 – Access to justice</w:t>
      </w:r>
    </w:p>
    <w:p w14:paraId="45BD4F47" w14:textId="77777777" w:rsidR="00AE4520" w:rsidRDefault="00AE4520" w:rsidP="00AE4520">
      <w:pPr>
        <w:pStyle w:val="Heading2"/>
      </w:pPr>
      <w:r>
        <w:t>Proposed questions</w:t>
      </w:r>
    </w:p>
    <w:p w14:paraId="0A972000"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measures has the State taken to ensure that procedural and age-appropriate accommodations are systematically available to disabled people throughout all stages of legal proceedings, including criminal cases involving disabled complainants? </w:t>
      </w:r>
      <w:r w:rsidRPr="00633822">
        <w:rPr>
          <w:rFonts w:ascii="Aptos" w:eastAsia="Aptos" w:hAnsi="Aptos" w:cs="Times New Roman"/>
          <w:i/>
          <w:iCs/>
          <w:sz w:val="21"/>
          <w:szCs w:val="21"/>
        </w:rPr>
        <w:t>Please provide data or documentation on the number and types of accommodation provided annually, disaggregated by type of case and disability.</w:t>
      </w:r>
    </w:p>
    <w:p w14:paraId="62B3653B"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How does the State guarantee that women with disabilities who are victims of gender-based violence can participate effectively in the investigation and prosecution of crimes committed against them? </w:t>
      </w:r>
      <w:r w:rsidRPr="00633822">
        <w:rPr>
          <w:rFonts w:ascii="Aptos" w:eastAsia="Aptos" w:hAnsi="Aptos" w:cs="Times New Roman"/>
          <w:i/>
          <w:iCs/>
          <w:sz w:val="21"/>
          <w:szCs w:val="21"/>
        </w:rPr>
        <w:t>Please provide information on protocols, guidelines, or case outcomes specifically addressing disabled women’s access to justice in such cases.</w:t>
      </w:r>
    </w:p>
    <w:p w14:paraId="173F8258"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To what extent are police officers, prosecutors, judges, and other justice system personnel trained on the rights of disabled people, including communication accessibility, non-discrimination, and procedural accommodations? </w:t>
      </w:r>
      <w:r w:rsidRPr="00633822">
        <w:rPr>
          <w:rFonts w:ascii="Aptos" w:eastAsia="Aptos" w:hAnsi="Aptos" w:cs="Times New Roman"/>
          <w:i/>
          <w:iCs/>
          <w:sz w:val="21"/>
          <w:szCs w:val="21"/>
        </w:rPr>
        <w:t>Please provide training curricula, frequency, participation rates, and evaluation results from the past five years</w:t>
      </w:r>
    </w:p>
    <w:p w14:paraId="7A7831BF"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legal and procedural safeguards are in place to ensure that people with psychosocial or intellectual disabilities are not excluded from criminal proceedings based on perceived unfitness or lack of credibility? </w:t>
      </w:r>
      <w:r w:rsidRPr="00633822">
        <w:rPr>
          <w:rFonts w:ascii="Aptos" w:eastAsia="Aptos" w:hAnsi="Aptos" w:cs="Times New Roman"/>
          <w:i/>
          <w:iCs/>
          <w:sz w:val="21"/>
          <w:szCs w:val="21"/>
        </w:rPr>
        <w:t>Please provide relevant laws, judicial guidance, and case examples that uphold the right to equal participation in legal processes.</w:t>
      </w:r>
    </w:p>
    <w:p w14:paraId="70196D09"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How does the State ensure that courtrooms, police stations, and victim support services are physically and communicatively accessible to disabled people? </w:t>
      </w:r>
      <w:r w:rsidRPr="00633822">
        <w:rPr>
          <w:rFonts w:ascii="Aptos" w:eastAsia="Aptos" w:hAnsi="Aptos" w:cs="Times New Roman"/>
          <w:i/>
          <w:iCs/>
          <w:sz w:val="21"/>
          <w:szCs w:val="21"/>
        </w:rPr>
        <w:t>Please provide accessibility audit results or statistics on the proportion of facilities that meet accessibility standards, disaggregated by region.</w:t>
      </w:r>
    </w:p>
    <w:p w14:paraId="1A78EDD4"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mechanisms are in place to monitor and report on the experiences and outcomes of disabled people within the justice system, including as complainants, witnesses, and defendants? </w:t>
      </w:r>
      <w:r w:rsidRPr="00633822">
        <w:rPr>
          <w:rFonts w:ascii="Aptos" w:eastAsia="Aptos" w:hAnsi="Aptos" w:cs="Times New Roman"/>
          <w:i/>
          <w:iCs/>
          <w:sz w:val="21"/>
          <w:szCs w:val="21"/>
        </w:rPr>
        <w:t>Please provide disaggregated data by role, impairment type, gender, and case outcome over the past five years</w:t>
      </w:r>
    </w:p>
    <w:p w14:paraId="2C48A5B9"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lastRenderedPageBreak/>
        <w:t xml:space="preserve">How does the State ensure meaningful involvement of disabled people and their representative organizations in the design and evaluation of justice system reforms, policies, and procedures? </w:t>
      </w:r>
      <w:r w:rsidRPr="00633822">
        <w:rPr>
          <w:rFonts w:ascii="Aptos" w:eastAsia="Aptos" w:hAnsi="Aptos" w:cs="Times New Roman"/>
          <w:i/>
          <w:iCs/>
          <w:sz w:val="21"/>
          <w:szCs w:val="21"/>
        </w:rPr>
        <w:t>Please provide documentation on consultations conducted, including dates, formats, participants, and how feedback was integrated into policymaking.</w:t>
      </w:r>
    </w:p>
    <w:p w14:paraId="7A0A7D86" w14:textId="77777777" w:rsidR="00AE4520" w:rsidRDefault="00AE4520" w:rsidP="00AE4520">
      <w:pPr>
        <w:pStyle w:val="Heading1"/>
      </w:pPr>
      <w:r>
        <w:t xml:space="preserve">Article 14 - </w:t>
      </w:r>
      <w:r w:rsidRPr="00633822">
        <w:t xml:space="preserve">Liberty and security of </w:t>
      </w:r>
      <w:proofErr w:type="gramStart"/>
      <w:r w:rsidRPr="00633822">
        <w:t>person</w:t>
      </w:r>
      <w:proofErr w:type="gramEnd"/>
      <w:r w:rsidRPr="00633822">
        <w:t xml:space="preserve"> </w:t>
      </w:r>
    </w:p>
    <w:p w14:paraId="7F7E7D47" w14:textId="77777777" w:rsidR="00AE4520" w:rsidRDefault="00AE4520" w:rsidP="00AE4520">
      <w:pPr>
        <w:pStyle w:val="Heading2"/>
      </w:pPr>
      <w:r>
        <w:t>Proposed questions</w:t>
      </w:r>
    </w:p>
    <w:p w14:paraId="329919E2"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legal and procedural safeguards exist to ensure that disabled people are not deprived of their liberty based on actual or perceived impairment, particularly in psychiatric or security-related settings? </w:t>
      </w:r>
      <w:r w:rsidRPr="00633822">
        <w:rPr>
          <w:rFonts w:ascii="Aptos" w:eastAsia="Aptos" w:hAnsi="Aptos" w:cs="Times New Roman"/>
          <w:i/>
          <w:iCs/>
          <w:sz w:val="21"/>
          <w:szCs w:val="21"/>
        </w:rPr>
        <w:t>Please provide data and legal analysis on the criteria used for involuntary admission, placement in secure psychiatric units, and decisions of unfitness to stand trial.</w:t>
      </w:r>
    </w:p>
    <w:p w14:paraId="3682CE24"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How does the State ensure that people found unfit to stand trial or exempt from criminal liability are not subjected to longer or more restrictive deprivation of liberty than people convicted of comparable offenses? </w:t>
      </w:r>
      <w:r w:rsidRPr="00633822">
        <w:rPr>
          <w:rFonts w:ascii="Aptos" w:eastAsia="Aptos" w:hAnsi="Aptos" w:cs="Times New Roman"/>
          <w:i/>
          <w:iCs/>
          <w:sz w:val="21"/>
          <w:szCs w:val="21"/>
        </w:rPr>
        <w:t>Please provide comparative data on the duration and conditions of security detention versus custodial sentences, disaggregated by legal status and impairment type.</w:t>
      </w:r>
    </w:p>
    <w:p w14:paraId="532B0927"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measures are in place to guarantee that deprivation of liberty is subject to regular, independent judicial review and based on individualized assessments that respect the person’s will and preferences? </w:t>
      </w:r>
      <w:r w:rsidRPr="00633822">
        <w:rPr>
          <w:rFonts w:ascii="Aptos" w:eastAsia="Aptos" w:hAnsi="Aptos" w:cs="Times New Roman"/>
          <w:i/>
          <w:iCs/>
          <w:sz w:val="21"/>
          <w:szCs w:val="21"/>
        </w:rPr>
        <w:t>Please provide documentation on procedures for review, frequency of judicial oversight, and access to legal representation in such cases.</w:t>
      </w:r>
    </w:p>
    <w:p w14:paraId="350B0159"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To what extent does the State provide access to supported decision-making in contexts where individuals are at risk of involuntary admission or treatment?</w:t>
      </w:r>
      <w:r w:rsidRPr="00633822">
        <w:rPr>
          <w:rFonts w:ascii="Aptos" w:eastAsia="Aptos" w:hAnsi="Aptos" w:cs="Times New Roman"/>
          <w:b/>
          <w:bCs/>
          <w:sz w:val="21"/>
          <w:szCs w:val="21"/>
        </w:rPr>
        <w:br/>
      </w:r>
      <w:r w:rsidRPr="00633822">
        <w:rPr>
          <w:rFonts w:ascii="Aptos" w:eastAsia="Aptos" w:hAnsi="Aptos" w:cs="Times New Roman"/>
          <w:i/>
          <w:iCs/>
          <w:sz w:val="21"/>
          <w:szCs w:val="21"/>
        </w:rPr>
        <w:t>Please provide information on the availability, funding, regulation, and uptake of supported decision-making mechanisms in health and criminal justice settings.</w:t>
      </w:r>
    </w:p>
    <w:p w14:paraId="023F878E"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What steps has the State taken to reduce and eliminate the use of coercive measures in mental health and social care institutions, in line with Article 14 and the obligation to ensure liberty on an equal basis with others? </w:t>
      </w:r>
      <w:r w:rsidRPr="00633822">
        <w:rPr>
          <w:rFonts w:ascii="Aptos" w:eastAsia="Aptos" w:hAnsi="Aptos" w:cs="Times New Roman"/>
          <w:i/>
          <w:iCs/>
          <w:sz w:val="21"/>
          <w:szCs w:val="21"/>
        </w:rPr>
        <w:t>Please provide annual reports or evaluations on the implementation of measures to reduce restraint, seclusion, and forced medication.</w:t>
      </w:r>
    </w:p>
    <w:p w14:paraId="5A400C5B"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How are disabled people and their representative organizations involved in reviewing legislation, monitoring practices, and developing alternatives to institutional detention? </w:t>
      </w:r>
      <w:r w:rsidRPr="00633822">
        <w:rPr>
          <w:rFonts w:ascii="Aptos" w:eastAsia="Aptos" w:hAnsi="Aptos" w:cs="Times New Roman"/>
          <w:i/>
          <w:iCs/>
          <w:sz w:val="21"/>
          <w:szCs w:val="21"/>
        </w:rPr>
        <w:t>Please provide evidence of consultation processes, including dates, participants, and how feedback has influenced policy or law reform.</w:t>
      </w:r>
    </w:p>
    <w:p w14:paraId="6626DA9F" w14:textId="77777777" w:rsidR="00AE4520" w:rsidRPr="00633822" w:rsidRDefault="00AE4520" w:rsidP="00AE4520">
      <w:pPr>
        <w:jc w:val="both"/>
        <w:rPr>
          <w:rFonts w:ascii="Aptos" w:eastAsia="Aptos" w:hAnsi="Aptos" w:cs="Times New Roman"/>
          <w:b/>
          <w:bCs/>
          <w:sz w:val="21"/>
          <w:szCs w:val="21"/>
        </w:rPr>
      </w:pPr>
      <w:r w:rsidRPr="00633822">
        <w:rPr>
          <w:rFonts w:ascii="Aptos" w:eastAsia="Aptos" w:hAnsi="Aptos" w:cs="Times New Roman"/>
          <w:b/>
          <w:bCs/>
          <w:sz w:val="21"/>
          <w:szCs w:val="21"/>
        </w:rPr>
        <w:t xml:space="preserve">How does the State ensure transparency and accountability regarding deprivation of liberty based on disability, including through the publication of disaggregated data? </w:t>
      </w:r>
      <w:r w:rsidRPr="00633822">
        <w:rPr>
          <w:rFonts w:ascii="Aptos" w:eastAsia="Aptos" w:hAnsi="Aptos" w:cs="Times New Roman"/>
          <w:i/>
          <w:iCs/>
          <w:sz w:val="21"/>
          <w:szCs w:val="21"/>
        </w:rPr>
        <w:t>Please provide disaggregated data on involuntary hospitalization, security detention, and other forms of deprivation of liberty, broken down by gender, age, impairment type, legal status, and duration.</w:t>
      </w:r>
    </w:p>
    <w:p w14:paraId="7B9DF540" w14:textId="77777777" w:rsidR="00AE4520" w:rsidRPr="00633822" w:rsidRDefault="00AE4520" w:rsidP="00AE4520">
      <w:pPr>
        <w:rPr>
          <w:rFonts w:ascii="Aptos" w:eastAsia="Aptos" w:hAnsi="Aptos" w:cs="Times New Roman"/>
          <w:sz w:val="21"/>
          <w:szCs w:val="21"/>
        </w:rPr>
      </w:pPr>
      <w:r w:rsidRPr="00633822">
        <w:rPr>
          <w:rFonts w:ascii="Aptos" w:eastAsia="Aptos" w:hAnsi="Aptos" w:cs="Times New Roman"/>
          <w:sz w:val="21"/>
          <w:szCs w:val="21"/>
        </w:rPr>
        <w:br w:type="page"/>
      </w:r>
    </w:p>
    <w:p w14:paraId="75D6A33D" w14:textId="77777777" w:rsidR="00AE4520" w:rsidRDefault="00AE4520" w:rsidP="00AE4520">
      <w:pPr>
        <w:pStyle w:val="Heading1"/>
      </w:pPr>
      <w:r>
        <w:lastRenderedPageBreak/>
        <w:t xml:space="preserve">Article 15 - </w:t>
      </w:r>
      <w:r w:rsidRPr="003D3DD1">
        <w:t xml:space="preserve">Freedom from torture or cruel, inhuman or degrading treatment or punishment </w:t>
      </w:r>
    </w:p>
    <w:p w14:paraId="46415944" w14:textId="77777777" w:rsidR="00AE4520" w:rsidRDefault="00AE4520" w:rsidP="00AE4520">
      <w:pPr>
        <w:pStyle w:val="Heading2"/>
      </w:pPr>
      <w:r>
        <w:t>Proposed questions</w:t>
      </w:r>
    </w:p>
    <w:p w14:paraId="540A5427"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What measures has the State taken to eliminate the use of seclusion, restraint, and other coercive practices in mental health and social care settings, in line with the obligation to prevent ill-treatment? </w:t>
      </w:r>
      <w:r w:rsidRPr="003D3DD1">
        <w:rPr>
          <w:rFonts w:ascii="Aptos" w:eastAsia="Aptos" w:hAnsi="Aptos" w:cs="Times New Roman"/>
          <w:i/>
          <w:iCs/>
          <w:sz w:val="21"/>
          <w:szCs w:val="21"/>
        </w:rPr>
        <w:t>Please provide annual statistics on the use of mechanical, chemical, or physical restraints and seclusion, disaggregated by institution type, age, gender, and impairment.</w:t>
      </w:r>
    </w:p>
    <w:p w14:paraId="2B4B3CD4"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What legal and procedural safeguards are in place to ensure that all medical and psychiatric interventions involving disabled people are based on their free and informed consent, regardless of legal capacity status or diagnosis? </w:t>
      </w:r>
      <w:r w:rsidRPr="003D3DD1">
        <w:rPr>
          <w:rFonts w:ascii="Aptos" w:eastAsia="Aptos" w:hAnsi="Aptos" w:cs="Times New Roman"/>
          <w:i/>
          <w:iCs/>
          <w:sz w:val="21"/>
          <w:szCs w:val="21"/>
        </w:rPr>
        <w:t>Please provide information on consent protocols, substitute decision-making practices, and the proportion of interventions conducted without consent.</w:t>
      </w:r>
    </w:p>
    <w:p w14:paraId="006950A2"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What legal protections exist to prevent non-consensual treatment or experimentation on children and adults with disabilities, especially in institutional or closed settings? </w:t>
      </w:r>
      <w:r w:rsidRPr="003D3DD1">
        <w:rPr>
          <w:rFonts w:ascii="Aptos" w:eastAsia="Aptos" w:hAnsi="Aptos" w:cs="Times New Roman"/>
          <w:i/>
          <w:iCs/>
          <w:sz w:val="21"/>
          <w:szCs w:val="21"/>
        </w:rPr>
        <w:t>Please provide copies of legislation or policies prohibiting forced treatment, behavioral interventions, and medical experimentation without informed consent.</w:t>
      </w:r>
    </w:p>
    <w:p w14:paraId="6347127E"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To what extent are oversight and complaints mechanisms mandated, resourced, and empowered to investigate allegations of ill-treatment against disabled people in institutional care, health facilities, or detention settings? </w:t>
      </w:r>
      <w:r w:rsidRPr="003D3DD1">
        <w:rPr>
          <w:rFonts w:ascii="Aptos" w:eastAsia="Aptos" w:hAnsi="Aptos" w:cs="Times New Roman"/>
          <w:i/>
          <w:iCs/>
          <w:sz w:val="21"/>
          <w:szCs w:val="21"/>
        </w:rPr>
        <w:t>Please provide data on complaints filed, investigated, and upheld over the past five years, disaggregated by disability, setting, and outcome</w:t>
      </w:r>
      <w:r w:rsidRPr="003D3DD1">
        <w:rPr>
          <w:rFonts w:ascii="Aptos" w:eastAsia="Aptos" w:hAnsi="Aptos" w:cs="Times New Roman"/>
          <w:b/>
          <w:bCs/>
          <w:i/>
          <w:iCs/>
          <w:sz w:val="21"/>
          <w:szCs w:val="21"/>
        </w:rPr>
        <w:t>.</w:t>
      </w:r>
    </w:p>
    <w:p w14:paraId="389D5C18"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How are disabled people, including children, protected from aversive behavioral techniques, forced medication, and restrictive practices in residential schools or care facilities? </w:t>
      </w:r>
      <w:r w:rsidRPr="003D3DD1">
        <w:rPr>
          <w:rFonts w:ascii="Aptos" w:eastAsia="Aptos" w:hAnsi="Aptos" w:cs="Times New Roman"/>
          <w:i/>
          <w:iCs/>
          <w:sz w:val="21"/>
          <w:szCs w:val="21"/>
        </w:rPr>
        <w:t>Please provide documentation on policies or guidance regulating such interventions and monitoring visits to relevant institutions.</w:t>
      </w:r>
    </w:p>
    <w:p w14:paraId="07E2D14D"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What training is provided to medical, psychiatric, social care, and custodial staff on the rights of disabled people to freedom from ill-treatment and the importance of consent-based, non-coercive practices? </w:t>
      </w:r>
      <w:r w:rsidRPr="003D3DD1">
        <w:rPr>
          <w:rFonts w:ascii="Aptos" w:eastAsia="Aptos" w:hAnsi="Aptos" w:cs="Times New Roman"/>
          <w:i/>
          <w:iCs/>
          <w:sz w:val="21"/>
          <w:szCs w:val="21"/>
        </w:rPr>
        <w:t>Please provide training materials, participation rates, evaluation results, and frequency of training sessions.</w:t>
      </w:r>
    </w:p>
    <w:p w14:paraId="23841C84"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How does the State involve disabled people and their representative organizations in the design, monitoring, and evaluation of safeguards against torture and ill-treatment? </w:t>
      </w:r>
      <w:r w:rsidRPr="003D3DD1">
        <w:rPr>
          <w:rFonts w:ascii="Aptos" w:eastAsia="Aptos" w:hAnsi="Aptos" w:cs="Times New Roman"/>
          <w:i/>
          <w:iCs/>
          <w:sz w:val="21"/>
          <w:szCs w:val="21"/>
        </w:rPr>
        <w:t>Please provide evidence of consultation processes, including participants, topics discussed, and integration of feedback into policies or oversight mechanisms.</w:t>
      </w:r>
    </w:p>
    <w:p w14:paraId="1E46A782" w14:textId="77777777" w:rsidR="00AE4520" w:rsidRDefault="00AE4520" w:rsidP="00AE4520">
      <w:pPr>
        <w:pStyle w:val="Heading1"/>
      </w:pPr>
      <w:r>
        <w:lastRenderedPageBreak/>
        <w:t xml:space="preserve">Article 16 - </w:t>
      </w:r>
      <w:r w:rsidRPr="003D3DD1">
        <w:t xml:space="preserve">Freedom from exploitation, violence and abuse </w:t>
      </w:r>
    </w:p>
    <w:p w14:paraId="1794D882" w14:textId="77777777" w:rsidR="00AE4520" w:rsidRDefault="00AE4520" w:rsidP="00AE4520">
      <w:pPr>
        <w:pStyle w:val="Heading2"/>
      </w:pPr>
      <w:r>
        <w:t>Proposed questions</w:t>
      </w:r>
    </w:p>
    <w:p w14:paraId="4442A222"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What steps has the State taken to ensure that laws, policies, and services addressing violence and abuse explicitly include disabled people, with specific attention to women, children, and persons with intellectual or psychosocial disabilities? </w:t>
      </w:r>
      <w:r w:rsidRPr="003D3DD1">
        <w:rPr>
          <w:rFonts w:ascii="Aptos" w:eastAsia="Aptos" w:hAnsi="Aptos" w:cs="Times New Roman"/>
          <w:i/>
          <w:iCs/>
          <w:sz w:val="21"/>
          <w:szCs w:val="21"/>
        </w:rPr>
        <w:t>Please provide national strategies, legal frameworks, and programmatic documents that address violence against disabled people.</w:t>
      </w:r>
    </w:p>
    <w:p w14:paraId="4B52C0F3"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How does the State ensure that support services for victims of violence—such as shelters, counselling, and protection mechanisms—are physically, communicatively, and institutionally accessible to disabled people, including those with high support needs? </w:t>
      </w:r>
      <w:r w:rsidRPr="003D3DD1">
        <w:rPr>
          <w:rFonts w:ascii="Aptos" w:eastAsia="Aptos" w:hAnsi="Aptos" w:cs="Times New Roman"/>
          <w:i/>
          <w:iCs/>
          <w:sz w:val="21"/>
          <w:szCs w:val="21"/>
        </w:rPr>
        <w:t>Please provide data on accessibility standards, staff training, and service uptake, disaggregated by gender, age, and impairment type.</w:t>
      </w:r>
    </w:p>
    <w:p w14:paraId="40C118DF"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What mechanisms are in place to detect, monitor, and prevent violence and abuse within institutions, care homes, and other residential settings where disabled people reside or receive services? </w:t>
      </w:r>
      <w:r w:rsidRPr="003D3DD1">
        <w:rPr>
          <w:rFonts w:ascii="Aptos" w:eastAsia="Aptos" w:hAnsi="Aptos" w:cs="Times New Roman"/>
          <w:i/>
          <w:iCs/>
          <w:sz w:val="21"/>
          <w:szCs w:val="21"/>
        </w:rPr>
        <w:t>Please provide information on inspection regimes, complaint procedures, and any records of investigations or sanctions related to abuse in such settings.</w:t>
      </w:r>
    </w:p>
    <w:p w14:paraId="4AE400BF"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What training is provided to police, social workers, legal professionals, and frontline staff to identify, prevent, and respond to violence against disabled people, including in institutional and domestic settings? </w:t>
      </w:r>
      <w:r w:rsidRPr="003D3DD1">
        <w:rPr>
          <w:rFonts w:ascii="Aptos" w:eastAsia="Aptos" w:hAnsi="Aptos" w:cs="Times New Roman"/>
          <w:i/>
          <w:iCs/>
          <w:sz w:val="21"/>
          <w:szCs w:val="21"/>
        </w:rPr>
        <w:t>Please provide training curricula, frequency, participation rates, and evaluations of impact.</w:t>
      </w:r>
    </w:p>
    <w:p w14:paraId="27FD8225"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To what extent are disabled people, including women and children, able to report violence safely and confidentially, and to receive support throughout the complaint and justice process? </w:t>
      </w:r>
      <w:r w:rsidRPr="003D3DD1">
        <w:rPr>
          <w:rFonts w:ascii="Aptos" w:eastAsia="Aptos" w:hAnsi="Aptos" w:cs="Times New Roman"/>
          <w:i/>
          <w:iCs/>
          <w:sz w:val="21"/>
          <w:szCs w:val="21"/>
        </w:rPr>
        <w:t>Please provide evidence on the availability and use of accessible reporting mechanisms and support services, disaggregated by gender, age, and impairment.</w:t>
      </w:r>
    </w:p>
    <w:p w14:paraId="4376885A"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How are disabled people and their representative organizations, including those led by women and persons with intellectual or psychosocial disabilities, involved in the design, implementation, and monitoring of violence prevention and protection policies? </w:t>
      </w:r>
      <w:r w:rsidRPr="003D3DD1">
        <w:rPr>
          <w:rFonts w:ascii="Aptos" w:eastAsia="Aptos" w:hAnsi="Aptos" w:cs="Times New Roman"/>
          <w:i/>
          <w:iCs/>
          <w:sz w:val="21"/>
          <w:szCs w:val="21"/>
        </w:rPr>
        <w:t>Please provide records of consultation processes, including organizations involved, topics addressed, and how recommendations were considered.</w:t>
      </w:r>
    </w:p>
    <w:p w14:paraId="3559C667"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What data does the State collect on violence, exploitation, and abuse against disabled people, and how is it used to inform prevention and response strategies? </w:t>
      </w:r>
      <w:r w:rsidRPr="003D3DD1">
        <w:rPr>
          <w:rFonts w:ascii="Aptos" w:eastAsia="Aptos" w:hAnsi="Aptos" w:cs="Times New Roman"/>
          <w:i/>
          <w:iCs/>
          <w:sz w:val="21"/>
          <w:szCs w:val="21"/>
        </w:rPr>
        <w:t>Please provide disaggregated statistics by disability, gender, age, setting, and type of violence, as well as any public reports or policy briefs based on this data.</w:t>
      </w:r>
    </w:p>
    <w:p w14:paraId="501D31DD" w14:textId="77777777" w:rsidR="00AE4520" w:rsidRDefault="00AE4520" w:rsidP="00AE4520">
      <w:pPr>
        <w:pStyle w:val="Heading1"/>
      </w:pPr>
      <w:r>
        <w:lastRenderedPageBreak/>
        <w:t xml:space="preserve">Article 17 - </w:t>
      </w:r>
      <w:r w:rsidRPr="003D3DD1">
        <w:t xml:space="preserve">Protection of the Integrity of the person </w:t>
      </w:r>
    </w:p>
    <w:p w14:paraId="0B0EB9F7" w14:textId="77777777" w:rsidR="00AE4520" w:rsidRDefault="00AE4520" w:rsidP="00AE4520">
      <w:pPr>
        <w:pStyle w:val="Heading2"/>
      </w:pPr>
      <w:r>
        <w:t>Proposed questions</w:t>
      </w:r>
    </w:p>
    <w:p w14:paraId="4F00E191"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What measures has the State taken to ensure that disabled people have the right to free and informed consent to any medical or therapeutic intervention, regardless of diagnosis or legal capacity status? </w:t>
      </w:r>
      <w:r w:rsidRPr="003D3DD1">
        <w:rPr>
          <w:rFonts w:ascii="Aptos" w:eastAsia="Aptos" w:hAnsi="Aptos" w:cs="Times New Roman"/>
          <w:i/>
          <w:iCs/>
          <w:sz w:val="21"/>
          <w:szCs w:val="21"/>
        </w:rPr>
        <w:t xml:space="preserve">Please provide legislation, guidelines, or procedures outlining the conditions under which consent is obtained, including for </w:t>
      </w:r>
      <w:proofErr w:type="gramStart"/>
      <w:r w:rsidRPr="003D3DD1">
        <w:rPr>
          <w:rFonts w:ascii="Aptos" w:eastAsia="Aptos" w:hAnsi="Aptos" w:cs="Times New Roman"/>
          <w:i/>
          <w:iCs/>
          <w:sz w:val="21"/>
          <w:szCs w:val="21"/>
        </w:rPr>
        <w:t>persons</w:t>
      </w:r>
      <w:proofErr w:type="gramEnd"/>
      <w:r w:rsidRPr="003D3DD1">
        <w:rPr>
          <w:rFonts w:ascii="Aptos" w:eastAsia="Aptos" w:hAnsi="Aptos" w:cs="Times New Roman"/>
          <w:i/>
          <w:iCs/>
          <w:sz w:val="21"/>
          <w:szCs w:val="21"/>
        </w:rPr>
        <w:t xml:space="preserve"> deemed to lack capacity.</w:t>
      </w:r>
    </w:p>
    <w:p w14:paraId="6FDA514A"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To what extent does the State Party recognize and implement supported decision-making mechanisms in health care contexts, including the use of </w:t>
      </w:r>
      <w:proofErr w:type="gramStart"/>
      <w:r w:rsidRPr="003D3DD1">
        <w:rPr>
          <w:rFonts w:ascii="Aptos" w:eastAsia="Aptos" w:hAnsi="Aptos" w:cs="Times New Roman"/>
          <w:b/>
          <w:bCs/>
          <w:sz w:val="21"/>
          <w:szCs w:val="21"/>
        </w:rPr>
        <w:t>advance</w:t>
      </w:r>
      <w:proofErr w:type="gramEnd"/>
      <w:r w:rsidRPr="003D3DD1">
        <w:rPr>
          <w:rFonts w:ascii="Aptos" w:eastAsia="Aptos" w:hAnsi="Aptos" w:cs="Times New Roman"/>
          <w:b/>
          <w:bCs/>
          <w:sz w:val="21"/>
          <w:szCs w:val="21"/>
        </w:rPr>
        <w:t xml:space="preserve"> directives, personal spokespersons, and other support arrangements? </w:t>
      </w:r>
      <w:r w:rsidRPr="003D3DD1">
        <w:rPr>
          <w:rFonts w:ascii="Aptos" w:eastAsia="Aptos" w:hAnsi="Aptos" w:cs="Times New Roman"/>
          <w:i/>
          <w:iCs/>
          <w:sz w:val="21"/>
          <w:szCs w:val="21"/>
        </w:rPr>
        <w:t>Please provide information on available supported decision-making frameworks and their application in practice, disaggregated by setting and impairment type.</w:t>
      </w:r>
    </w:p>
    <w:p w14:paraId="256D6704"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What legal safeguards exist to prevent irreversible or non-consensual medical interventions—such as sterilization, hysterectomy, or behavioral modification techniques—particularly on children and women with disabilities? </w:t>
      </w:r>
      <w:r w:rsidRPr="003D3DD1">
        <w:rPr>
          <w:rFonts w:ascii="Aptos" w:eastAsia="Aptos" w:hAnsi="Aptos" w:cs="Times New Roman"/>
          <w:i/>
          <w:iCs/>
          <w:sz w:val="21"/>
          <w:szCs w:val="21"/>
        </w:rPr>
        <w:t>Please provide legal provisions, administrative regulations, and any recorded instances or investigations related to such interventions.</w:t>
      </w:r>
    </w:p>
    <w:p w14:paraId="7115C3EA"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How does the State ensure that disabled people in institutional care or under guardianship are protected from violations of their physical or mental integrity? </w:t>
      </w:r>
      <w:r w:rsidRPr="003D3DD1">
        <w:rPr>
          <w:rFonts w:ascii="Aptos" w:eastAsia="Aptos" w:hAnsi="Aptos" w:cs="Times New Roman"/>
          <w:i/>
          <w:iCs/>
          <w:sz w:val="21"/>
          <w:szCs w:val="21"/>
        </w:rPr>
        <w:t>Please provide documentation on complaint mechanisms, inspections, and outcomes related to integrity violations in care or custodial settings.</w:t>
      </w:r>
    </w:p>
    <w:p w14:paraId="6B09E270"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What efforts has the State Party made to ensure that consent procedures are accessible to people with communication, intellectual, or psychosocial disabilities? </w:t>
      </w:r>
      <w:r w:rsidRPr="003D3DD1">
        <w:rPr>
          <w:rFonts w:ascii="Aptos" w:eastAsia="Aptos" w:hAnsi="Aptos" w:cs="Times New Roman"/>
          <w:i/>
          <w:iCs/>
          <w:sz w:val="21"/>
          <w:szCs w:val="21"/>
        </w:rPr>
        <w:t>Please provide examples of accessible formats, communication supports, and accommodations used in health and care settings, as well as any relevant training for professionals.</w:t>
      </w:r>
    </w:p>
    <w:p w14:paraId="7540DB65"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How are disabled people and their representative organizations involved in the development and monitoring of laws and policies related to bodily autonomy and integrity? </w:t>
      </w:r>
      <w:r w:rsidRPr="003D3DD1">
        <w:rPr>
          <w:rFonts w:ascii="Aptos" w:eastAsia="Aptos" w:hAnsi="Aptos" w:cs="Times New Roman"/>
          <w:i/>
          <w:iCs/>
          <w:sz w:val="21"/>
          <w:szCs w:val="21"/>
        </w:rPr>
        <w:t>Please provide information on consultation processes, including dates, participating organizations, and whether their feedback was integrated.</w:t>
      </w:r>
    </w:p>
    <w:p w14:paraId="542DA382"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How does the State Party monitor and report violations of physical or mental integrity, including coercive practices, non-consensual treatment, and denial of the right to refuse interventions? </w:t>
      </w:r>
      <w:r w:rsidRPr="003D3DD1">
        <w:rPr>
          <w:rFonts w:ascii="Aptos" w:eastAsia="Aptos" w:hAnsi="Aptos" w:cs="Times New Roman"/>
          <w:i/>
          <w:iCs/>
          <w:sz w:val="21"/>
          <w:szCs w:val="21"/>
        </w:rPr>
        <w:t>Please provide data collection protocols, disaggregated statistics, and findings from relevant oversight bodies over the past five years.</w:t>
      </w:r>
    </w:p>
    <w:p w14:paraId="75E688C4" w14:textId="77777777" w:rsidR="00AE4520" w:rsidRDefault="00AE4520" w:rsidP="00AE4520">
      <w:pPr>
        <w:pStyle w:val="Heading1"/>
      </w:pPr>
      <w:r>
        <w:t xml:space="preserve">Article 18 - </w:t>
      </w:r>
      <w:r w:rsidRPr="003D3DD1">
        <w:t xml:space="preserve">Liberty of movement and nationality </w:t>
      </w:r>
    </w:p>
    <w:p w14:paraId="2819BF8A" w14:textId="77777777" w:rsidR="00AE4520" w:rsidRDefault="00AE4520" w:rsidP="00AE4520">
      <w:pPr>
        <w:pStyle w:val="Heading2"/>
      </w:pPr>
      <w:r>
        <w:t>Proposed questions</w:t>
      </w:r>
    </w:p>
    <w:p w14:paraId="7ED5E02E"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What measures has the State taken to ensure that disabled people can obtain national identity documents, digital authentication, and travel documents independently and </w:t>
      </w:r>
      <w:r w:rsidRPr="003D3DD1">
        <w:rPr>
          <w:rFonts w:ascii="Aptos" w:eastAsia="Aptos" w:hAnsi="Aptos" w:cs="Times New Roman"/>
          <w:b/>
          <w:bCs/>
          <w:sz w:val="21"/>
          <w:szCs w:val="21"/>
        </w:rPr>
        <w:lastRenderedPageBreak/>
        <w:t xml:space="preserve">without discrimination? </w:t>
      </w:r>
      <w:r w:rsidRPr="003D3DD1">
        <w:rPr>
          <w:rFonts w:ascii="Aptos" w:eastAsia="Aptos" w:hAnsi="Aptos" w:cs="Times New Roman"/>
          <w:i/>
          <w:iCs/>
          <w:sz w:val="21"/>
          <w:szCs w:val="21"/>
        </w:rPr>
        <w:t>Please provide information on accessibility standards, support services, and statistics on the issuance of ID and electronic certificates to disabled people.</w:t>
      </w:r>
    </w:p>
    <w:p w14:paraId="6E0636C0"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To what extent do guardianship laws and legal capacity restrictions affect the ability of disabled people to choose their residence, register official documents, or travel independently? </w:t>
      </w:r>
      <w:r w:rsidRPr="003D3DD1">
        <w:rPr>
          <w:rFonts w:ascii="Aptos" w:eastAsia="Aptos" w:hAnsi="Aptos" w:cs="Times New Roman"/>
          <w:i/>
          <w:iCs/>
          <w:sz w:val="21"/>
          <w:szCs w:val="21"/>
        </w:rPr>
        <w:t>Please provide legal provisions</w:t>
      </w:r>
      <w:proofErr w:type="gramStart"/>
      <w:r w:rsidRPr="003D3DD1">
        <w:rPr>
          <w:rFonts w:ascii="Aptos" w:eastAsia="Aptos" w:hAnsi="Aptos" w:cs="Times New Roman"/>
          <w:i/>
          <w:iCs/>
          <w:sz w:val="21"/>
          <w:szCs w:val="21"/>
        </w:rPr>
        <w:t>, case</w:t>
      </w:r>
      <w:proofErr w:type="gramEnd"/>
      <w:r w:rsidRPr="003D3DD1">
        <w:rPr>
          <w:rFonts w:ascii="Aptos" w:eastAsia="Aptos" w:hAnsi="Aptos" w:cs="Times New Roman"/>
          <w:i/>
          <w:iCs/>
          <w:sz w:val="21"/>
          <w:szCs w:val="21"/>
        </w:rPr>
        <w:t xml:space="preserve"> examples, and disaggregated data on how guardianship status impacts administrative procedures and freedom of movement.</w:t>
      </w:r>
    </w:p>
    <w:p w14:paraId="7F6F4F45"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How does the State ensure that migration, asylum, and nationality procedures are accessible and inclusive of disabled people, including children, and that CRPD obligations are considered in all cases? </w:t>
      </w:r>
      <w:r w:rsidRPr="003D3DD1">
        <w:rPr>
          <w:rFonts w:ascii="Aptos" w:eastAsia="Aptos" w:hAnsi="Aptos" w:cs="Times New Roman"/>
          <w:i/>
          <w:iCs/>
          <w:sz w:val="21"/>
          <w:szCs w:val="21"/>
        </w:rPr>
        <w:t>Please provide procedural guidelines, reasonable accommodation practices, and disaggregated statistics on disabled persons in asylum, residence, or naturalization processes.</w:t>
      </w:r>
    </w:p>
    <w:p w14:paraId="6C40FD14"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What steps are being taken to ensure accessible internal mobility for disabled people, including through public transportation, regional travel, and intercity connectivity? </w:t>
      </w:r>
      <w:r w:rsidRPr="003D3DD1">
        <w:rPr>
          <w:rFonts w:ascii="Aptos" w:eastAsia="Aptos" w:hAnsi="Aptos" w:cs="Times New Roman"/>
          <w:i/>
          <w:iCs/>
          <w:sz w:val="21"/>
          <w:szCs w:val="21"/>
        </w:rPr>
        <w:t>Please provide data on the accessibility of public transportation systems, including routes from international airports and key travel corridors.</w:t>
      </w:r>
    </w:p>
    <w:p w14:paraId="1439E194"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What measures has the State taken to ensure that disabled people can participate fully and equally in domestic travel and tourism activities? </w:t>
      </w:r>
      <w:r w:rsidRPr="003D3DD1">
        <w:rPr>
          <w:rFonts w:ascii="Aptos" w:eastAsia="Aptos" w:hAnsi="Aptos" w:cs="Times New Roman"/>
          <w:i/>
          <w:iCs/>
          <w:sz w:val="21"/>
          <w:szCs w:val="21"/>
        </w:rPr>
        <w:t>Please provide policy documents, accessibility guidelines, and monitoring data on tourism infrastructure, services, and accommodations.</w:t>
      </w:r>
    </w:p>
    <w:p w14:paraId="0B8FA13E" w14:textId="77777777" w:rsidR="00AE4520" w:rsidRPr="003D3DD1" w:rsidRDefault="00AE4520" w:rsidP="00AE4520">
      <w:pPr>
        <w:jc w:val="both"/>
        <w:rPr>
          <w:rFonts w:ascii="Aptos" w:eastAsia="Aptos" w:hAnsi="Aptos" w:cs="Times New Roman"/>
          <w:sz w:val="21"/>
          <w:szCs w:val="21"/>
        </w:rPr>
      </w:pPr>
      <w:r w:rsidRPr="003D3DD1">
        <w:rPr>
          <w:rFonts w:ascii="Aptos" w:eastAsia="Aptos" w:hAnsi="Aptos" w:cs="Times New Roman"/>
          <w:b/>
          <w:bCs/>
          <w:sz w:val="21"/>
          <w:szCs w:val="21"/>
        </w:rPr>
        <w:t xml:space="preserve">What mechanisms exist to track and address discriminatory barriers that prevent disabled people from exercising their rights under Article 18, particularly in accessing identification, residency, or travel opportunities? </w:t>
      </w:r>
      <w:r w:rsidRPr="003D3DD1">
        <w:rPr>
          <w:rFonts w:ascii="Aptos" w:eastAsia="Aptos" w:hAnsi="Aptos" w:cs="Times New Roman"/>
          <w:i/>
          <w:iCs/>
          <w:sz w:val="21"/>
          <w:szCs w:val="21"/>
        </w:rPr>
        <w:t>Please provide information on complaint procedures, legal remedies, and enforcement mechanisms available in such cases.</w:t>
      </w:r>
    </w:p>
    <w:p w14:paraId="20297D06"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How are disabled people and their representative organizations involved in shaping policies related to identity documentation, mobility, and travel rights? </w:t>
      </w:r>
      <w:r w:rsidRPr="003D3DD1">
        <w:rPr>
          <w:rFonts w:ascii="Aptos" w:eastAsia="Aptos" w:hAnsi="Aptos" w:cs="Times New Roman"/>
          <w:i/>
          <w:iCs/>
          <w:sz w:val="21"/>
          <w:szCs w:val="21"/>
        </w:rPr>
        <w:t>Please provide records of consultation processes, participation statistics, and examples of how input has influenced policy outcomes</w:t>
      </w:r>
    </w:p>
    <w:p w14:paraId="72AE1D2D" w14:textId="77777777" w:rsidR="00AE4520" w:rsidRDefault="00AE4520" w:rsidP="00AE4520">
      <w:pPr>
        <w:pStyle w:val="Heading1"/>
      </w:pPr>
      <w:r>
        <w:t xml:space="preserve">Article 19 - </w:t>
      </w:r>
      <w:r w:rsidRPr="003D3DD1">
        <w:t xml:space="preserve">Living independently and being included in the community </w:t>
      </w:r>
    </w:p>
    <w:p w14:paraId="1CA24AED" w14:textId="77777777" w:rsidR="00AE4520" w:rsidRDefault="00AE4520" w:rsidP="00AE4520">
      <w:pPr>
        <w:pStyle w:val="Heading2"/>
      </w:pPr>
      <w:r>
        <w:t>Proposed questions</w:t>
      </w:r>
    </w:p>
    <w:p w14:paraId="19211814"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What concrete steps has the State taken to ensure that all disabled people, regardless of impairment type or residence, have equal access to user-controlled personal assistance (NPA) as a right under Article 19? </w:t>
      </w:r>
      <w:r w:rsidRPr="003D3DD1">
        <w:rPr>
          <w:rFonts w:ascii="Aptos" w:eastAsia="Aptos" w:hAnsi="Aptos" w:cs="Times New Roman"/>
          <w:i/>
          <w:iCs/>
          <w:sz w:val="21"/>
          <w:szCs w:val="21"/>
        </w:rPr>
        <w:t>Please provide disaggregated data on the number of individuals receiving NPA or equivalent services, broken down by gender, age, municipality, and type of impairment.</w:t>
      </w:r>
    </w:p>
    <w:p w14:paraId="25A570AA"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What measures has the State taken to ensure consistency and equality in the provision of independent living support across municipalities, including rural and remote areas? </w:t>
      </w:r>
      <w:r w:rsidRPr="003D3DD1">
        <w:rPr>
          <w:rFonts w:ascii="Aptos" w:eastAsia="Aptos" w:hAnsi="Aptos" w:cs="Times New Roman"/>
          <w:i/>
          <w:iCs/>
          <w:sz w:val="21"/>
          <w:szCs w:val="21"/>
        </w:rPr>
        <w:t xml:space="preserve">Please </w:t>
      </w:r>
      <w:r w:rsidRPr="003D3DD1">
        <w:rPr>
          <w:rFonts w:ascii="Aptos" w:eastAsia="Aptos" w:hAnsi="Aptos" w:cs="Times New Roman"/>
          <w:i/>
          <w:iCs/>
          <w:sz w:val="21"/>
          <w:szCs w:val="21"/>
        </w:rPr>
        <w:lastRenderedPageBreak/>
        <w:t>provide information on national service standards, minimum guarantees, and mechanisms to monitor and address regional disparities.</w:t>
      </w:r>
    </w:p>
    <w:p w14:paraId="56DFE27A"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What steps has the State taken to ensure that people with intellectual, psychosocial, or complex support needs are not excluded from personal assistance schemes? </w:t>
      </w:r>
      <w:r w:rsidRPr="003D3DD1">
        <w:rPr>
          <w:rFonts w:ascii="Aptos" w:eastAsia="Aptos" w:hAnsi="Aptos" w:cs="Times New Roman"/>
          <w:i/>
          <w:iCs/>
          <w:sz w:val="21"/>
          <w:szCs w:val="21"/>
        </w:rPr>
        <w:t>Please provide data on access rates, eligibility criteria, and any individualized or co-managed service models developed to accommodate diverse support needs.</w:t>
      </w:r>
    </w:p>
    <w:p w14:paraId="66004F6A"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What mechanisms exist to resolve conflicts between the central government and municipalities regarding the funding and provision of services under Article 19? </w:t>
      </w:r>
      <w:r w:rsidRPr="003D3DD1">
        <w:rPr>
          <w:rFonts w:ascii="Aptos" w:eastAsia="Aptos" w:hAnsi="Aptos" w:cs="Times New Roman"/>
          <w:i/>
          <w:iCs/>
          <w:sz w:val="21"/>
          <w:szCs w:val="21"/>
        </w:rPr>
        <w:t>Please provide examples of how financial responsibilities are allocated and monitored to prevent service delays or denials.</w:t>
      </w:r>
    </w:p>
    <w:p w14:paraId="34F38155"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What systems are in place to monitor and evaluate the availability, quality, and adequacy of community-based support under Article 19? </w:t>
      </w:r>
      <w:r w:rsidRPr="003D3DD1">
        <w:rPr>
          <w:rFonts w:ascii="Aptos" w:eastAsia="Aptos" w:hAnsi="Aptos" w:cs="Times New Roman"/>
          <w:i/>
          <w:iCs/>
          <w:sz w:val="21"/>
          <w:szCs w:val="21"/>
        </w:rPr>
        <w:t>Please provide information on national registries, outcome indicators, user satisfaction surveys, and the role of independent oversight bodies.</w:t>
      </w:r>
    </w:p>
    <w:p w14:paraId="7CB55BF6" w14:textId="77777777" w:rsidR="00AE4520" w:rsidRPr="003D3DD1" w:rsidRDefault="00AE4520" w:rsidP="00AE4520">
      <w:pPr>
        <w:jc w:val="both"/>
        <w:rPr>
          <w:rFonts w:ascii="Aptos" w:eastAsia="Aptos" w:hAnsi="Aptos" w:cs="Times New Roman"/>
          <w:i/>
          <w:iCs/>
          <w:sz w:val="21"/>
          <w:szCs w:val="21"/>
        </w:rPr>
      </w:pPr>
      <w:r w:rsidRPr="003D3DD1">
        <w:rPr>
          <w:rFonts w:ascii="Aptos" w:eastAsia="Aptos" w:hAnsi="Aptos" w:cs="Times New Roman"/>
          <w:b/>
          <w:bCs/>
          <w:sz w:val="21"/>
          <w:szCs w:val="21"/>
        </w:rPr>
        <w:t xml:space="preserve">What steps has the State taken to involve organizations of disabled people in the design, implementation, and review of policies related to independent living? </w:t>
      </w:r>
      <w:r w:rsidRPr="003D3DD1">
        <w:rPr>
          <w:rFonts w:ascii="Aptos" w:eastAsia="Aptos" w:hAnsi="Aptos" w:cs="Times New Roman"/>
          <w:i/>
          <w:iCs/>
          <w:sz w:val="21"/>
          <w:szCs w:val="21"/>
        </w:rPr>
        <w:t>Please provide evidence of consultations and how the voices of diverse groups, including women and children with disabilities, are reflected in policy decisions.</w:t>
      </w:r>
    </w:p>
    <w:p w14:paraId="5495F483"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What is the State’s strategy and timeline for transitioning away from institutional and quasi-institutional care toward fully community-based living arrangements? </w:t>
      </w:r>
      <w:r w:rsidRPr="003D3DD1">
        <w:rPr>
          <w:rFonts w:ascii="Aptos" w:eastAsia="Aptos" w:hAnsi="Aptos" w:cs="Times New Roman"/>
          <w:i/>
          <w:iCs/>
          <w:sz w:val="21"/>
          <w:szCs w:val="21"/>
        </w:rPr>
        <w:t>Please provide data on the number of individuals currently in institutional settings, progress made since 2016, and measures taken to support transitions to independent living, including housing, personal assistance, and peer support.</w:t>
      </w:r>
    </w:p>
    <w:p w14:paraId="17D22114" w14:textId="77777777" w:rsidR="00AE4520" w:rsidRDefault="00AE4520" w:rsidP="00AE4520">
      <w:pPr>
        <w:pStyle w:val="Heading1"/>
      </w:pPr>
      <w:r>
        <w:t xml:space="preserve">Article 20 - </w:t>
      </w:r>
      <w:r w:rsidRPr="003D3DD1">
        <w:t xml:space="preserve">Personal mobility </w:t>
      </w:r>
    </w:p>
    <w:p w14:paraId="734BCDC9" w14:textId="77777777" w:rsidR="00AE4520" w:rsidRDefault="00AE4520" w:rsidP="00AE4520">
      <w:pPr>
        <w:pStyle w:val="Heading2"/>
      </w:pPr>
      <w:r>
        <w:t>Proposed questions</w:t>
      </w:r>
    </w:p>
    <w:p w14:paraId="3E2289D6"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What measures has the State taken to ensure timely, affordable, and individualized access to assistive devices and mobility aids for all disabled people? </w:t>
      </w:r>
      <w:r w:rsidRPr="003D3DD1">
        <w:rPr>
          <w:rFonts w:ascii="Aptos" w:eastAsia="Aptos" w:hAnsi="Aptos" w:cs="Times New Roman"/>
          <w:i/>
          <w:iCs/>
          <w:sz w:val="21"/>
          <w:szCs w:val="21"/>
        </w:rPr>
        <w:t>Please provide disaggregated data on access, waiting times, user satisfaction, and regional disparities in the provision of assistive devices.</w:t>
      </w:r>
    </w:p>
    <w:p w14:paraId="4E0EAD49"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ow does the State ensure that protocols for adapted driving and vehicle modification are aligned with a human rights-based approach rather than based solely on medical criteria? </w:t>
      </w:r>
      <w:r w:rsidRPr="003D3DD1">
        <w:rPr>
          <w:rFonts w:ascii="Aptos" w:eastAsia="Aptos" w:hAnsi="Aptos" w:cs="Times New Roman"/>
          <w:i/>
          <w:iCs/>
          <w:sz w:val="21"/>
          <w:szCs w:val="21"/>
        </w:rPr>
        <w:t>Please provide national guidelines, eligibility criteria, and support schemes for adapted driving and vehicle access.</w:t>
      </w:r>
    </w:p>
    <w:p w14:paraId="241A9B7E"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To what extent are disabled people provided with personal assistance or mobility support to facilitate independent movement outside the home and in the community? </w:t>
      </w:r>
      <w:r w:rsidRPr="003D3DD1">
        <w:rPr>
          <w:rFonts w:ascii="Aptos" w:eastAsia="Aptos" w:hAnsi="Aptos" w:cs="Times New Roman"/>
          <w:i/>
          <w:iCs/>
          <w:sz w:val="21"/>
          <w:szCs w:val="21"/>
        </w:rPr>
        <w:t>Please provide information on the availability, funding, and scope of personal mobility assistance services across municipalities.</w:t>
      </w:r>
    </w:p>
    <w:p w14:paraId="2BCBFFAD"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lastRenderedPageBreak/>
        <w:t xml:space="preserve">What training and information are provided to users, professionals, and service providers regarding the selection, use, and maintenance of assistive devices and mobility solutions? </w:t>
      </w:r>
      <w:r w:rsidRPr="003D3DD1">
        <w:rPr>
          <w:rFonts w:ascii="Aptos" w:eastAsia="Aptos" w:hAnsi="Aptos" w:cs="Times New Roman"/>
          <w:i/>
          <w:iCs/>
          <w:sz w:val="21"/>
          <w:szCs w:val="21"/>
        </w:rPr>
        <w:t>Please provide documentation on training programs, outreach materials, and participation statistics.</w:t>
      </w:r>
    </w:p>
    <w:p w14:paraId="4C1C4D97"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How does the State support innovation, local development, and sustainable supply of assistive technology and mobility solutions, particularly outside the capital region? </w:t>
      </w:r>
      <w:r w:rsidRPr="003D3DD1">
        <w:rPr>
          <w:rFonts w:ascii="Aptos" w:eastAsia="Aptos" w:hAnsi="Aptos" w:cs="Times New Roman"/>
          <w:i/>
          <w:iCs/>
          <w:sz w:val="21"/>
          <w:szCs w:val="21"/>
        </w:rPr>
        <w:t>Please provide any strategic plans, funding programs, or incentives related to assistive technology and mobility infrastructure.</w:t>
      </w:r>
    </w:p>
    <w:p w14:paraId="74D9671B" w14:textId="77777777" w:rsidR="00AE4520" w:rsidRPr="003D3DD1" w:rsidRDefault="00AE4520" w:rsidP="00AE4520">
      <w:pPr>
        <w:jc w:val="both"/>
        <w:rPr>
          <w:rFonts w:ascii="Aptos" w:eastAsia="Aptos" w:hAnsi="Aptos" w:cs="Times New Roman"/>
          <w:b/>
          <w:bCs/>
          <w:sz w:val="21"/>
          <w:szCs w:val="21"/>
        </w:rPr>
      </w:pPr>
      <w:r w:rsidRPr="003D3DD1">
        <w:rPr>
          <w:rFonts w:ascii="Aptos" w:eastAsia="Aptos" w:hAnsi="Aptos" w:cs="Times New Roman"/>
          <w:b/>
          <w:bCs/>
          <w:sz w:val="21"/>
          <w:szCs w:val="21"/>
        </w:rPr>
        <w:t xml:space="preserve">What mechanisms are in place to ensure that decisions regarding personal mobility </w:t>
      </w:r>
      <w:proofErr w:type="gramStart"/>
      <w:r w:rsidRPr="003D3DD1">
        <w:rPr>
          <w:rFonts w:ascii="Aptos" w:eastAsia="Aptos" w:hAnsi="Aptos" w:cs="Times New Roman"/>
          <w:b/>
          <w:bCs/>
          <w:sz w:val="21"/>
          <w:szCs w:val="21"/>
        </w:rPr>
        <w:t>supports</w:t>
      </w:r>
      <w:proofErr w:type="gramEnd"/>
      <w:r w:rsidRPr="003D3DD1">
        <w:rPr>
          <w:rFonts w:ascii="Aptos" w:eastAsia="Aptos" w:hAnsi="Aptos" w:cs="Times New Roman"/>
          <w:b/>
          <w:bCs/>
          <w:sz w:val="21"/>
          <w:szCs w:val="21"/>
        </w:rPr>
        <w:t xml:space="preserve"> are made in consultation with the person concerned, based on their will and preferences? </w:t>
      </w:r>
      <w:r w:rsidRPr="003D3DD1">
        <w:rPr>
          <w:rFonts w:ascii="Aptos" w:eastAsia="Aptos" w:hAnsi="Aptos" w:cs="Times New Roman"/>
          <w:i/>
          <w:iCs/>
          <w:sz w:val="21"/>
          <w:szCs w:val="21"/>
        </w:rPr>
        <w:t>Please provide procedural guidelines, consent frameworks, and examples of participatory decision-making in mobility-related services.</w:t>
      </w:r>
    </w:p>
    <w:p w14:paraId="53555B10" w14:textId="77777777" w:rsidR="00AE4520" w:rsidRDefault="00AE4520" w:rsidP="00AE4520">
      <w:pPr>
        <w:jc w:val="both"/>
        <w:rPr>
          <w:rFonts w:ascii="Aptos" w:eastAsia="Aptos" w:hAnsi="Aptos" w:cs="Times New Roman"/>
          <w:i/>
          <w:iCs/>
          <w:sz w:val="21"/>
          <w:szCs w:val="21"/>
        </w:rPr>
      </w:pPr>
      <w:r w:rsidRPr="003D3DD1">
        <w:rPr>
          <w:rFonts w:ascii="Aptos" w:eastAsia="Aptos" w:hAnsi="Aptos" w:cs="Times New Roman"/>
          <w:b/>
          <w:bCs/>
          <w:sz w:val="21"/>
          <w:szCs w:val="21"/>
        </w:rPr>
        <w:t xml:space="preserve">How are complaints, grievances, or rights violations related to personal mobility tracked, resolved, and used to inform system improvements? </w:t>
      </w:r>
      <w:r w:rsidRPr="003D3DD1">
        <w:rPr>
          <w:rFonts w:ascii="Aptos" w:eastAsia="Aptos" w:hAnsi="Aptos" w:cs="Times New Roman"/>
          <w:i/>
          <w:iCs/>
          <w:sz w:val="21"/>
          <w:szCs w:val="21"/>
        </w:rPr>
        <w:t>Please provide information on complaint mechanisms, oversight bodies, and published outcomes related to mobility rights and services.</w:t>
      </w:r>
    </w:p>
    <w:p w14:paraId="0C935027" w14:textId="77777777" w:rsidR="00AE4520" w:rsidRDefault="00AE4520" w:rsidP="00AE4520">
      <w:pPr>
        <w:pStyle w:val="Heading1"/>
      </w:pPr>
      <w:r>
        <w:t xml:space="preserve">Article 21 - </w:t>
      </w:r>
      <w:r w:rsidRPr="00F51C1B">
        <w:t>Freedom of expression and access to information</w:t>
      </w:r>
    </w:p>
    <w:p w14:paraId="0A76ABC2" w14:textId="77777777" w:rsidR="00AE4520" w:rsidRDefault="00AE4520" w:rsidP="00AE4520">
      <w:pPr>
        <w:pStyle w:val="Heading2"/>
      </w:pPr>
      <w:r>
        <w:t>Proposed questions</w:t>
      </w:r>
    </w:p>
    <w:p w14:paraId="05A7DED0" w14:textId="77777777" w:rsidR="00AE4520" w:rsidRPr="00F51C1B" w:rsidRDefault="00AE4520" w:rsidP="00AE4520">
      <w:pPr>
        <w:jc w:val="both"/>
        <w:rPr>
          <w:rFonts w:ascii="Aptos" w:eastAsia="Aptos" w:hAnsi="Aptos" w:cs="Times New Roman"/>
          <w:i/>
          <w:iCs/>
          <w:sz w:val="21"/>
          <w:szCs w:val="21"/>
        </w:rPr>
      </w:pPr>
      <w:r w:rsidRPr="00F51C1B">
        <w:rPr>
          <w:rFonts w:ascii="Aptos" w:eastAsia="Aptos" w:hAnsi="Aptos" w:cs="Times New Roman"/>
          <w:b/>
          <w:bCs/>
          <w:sz w:val="21"/>
          <w:szCs w:val="21"/>
        </w:rPr>
        <w:t xml:space="preserve">What measures has the State taken to ensure that disabled people, including those with intellectual and communication disabilities, can access information intended for the public in formats such as easy-to-read language, sign language, and other alternative communication methods? </w:t>
      </w:r>
      <w:r w:rsidRPr="00F51C1B">
        <w:rPr>
          <w:rFonts w:ascii="Aptos" w:eastAsia="Aptos" w:hAnsi="Aptos" w:cs="Times New Roman"/>
          <w:i/>
          <w:iCs/>
          <w:sz w:val="21"/>
          <w:szCs w:val="21"/>
        </w:rPr>
        <w:t>Please provide legal obligations, implementation practices, and monitoring data on accessibility compliance across ministries and public agencies.</w:t>
      </w:r>
    </w:p>
    <w:p w14:paraId="141B80EC" w14:textId="77777777" w:rsidR="00AE4520" w:rsidRPr="00F51C1B" w:rsidRDefault="00AE4520" w:rsidP="00AE4520">
      <w:pPr>
        <w:jc w:val="both"/>
        <w:rPr>
          <w:rFonts w:ascii="Aptos" w:eastAsia="Aptos" w:hAnsi="Aptos" w:cs="Times New Roman"/>
          <w:b/>
          <w:bCs/>
          <w:sz w:val="21"/>
          <w:szCs w:val="21"/>
        </w:rPr>
      </w:pPr>
      <w:r w:rsidRPr="00F51C1B">
        <w:rPr>
          <w:rFonts w:ascii="Aptos" w:eastAsia="Aptos" w:hAnsi="Aptos" w:cs="Times New Roman"/>
          <w:b/>
          <w:bCs/>
          <w:sz w:val="21"/>
          <w:szCs w:val="21"/>
        </w:rPr>
        <w:t xml:space="preserve">How does the State ensure that disabled people have equal access to media, including public broadcasting, digital platforms, and emergency communication systems? </w:t>
      </w:r>
      <w:r w:rsidRPr="00F51C1B">
        <w:rPr>
          <w:rFonts w:ascii="Aptos" w:eastAsia="Aptos" w:hAnsi="Aptos" w:cs="Times New Roman"/>
          <w:i/>
          <w:iCs/>
          <w:sz w:val="21"/>
          <w:szCs w:val="21"/>
        </w:rPr>
        <w:t>Please provide information on accessibility standards, captioning, and sign language requirements, and any monitoring or enforcement mechanisms in place.</w:t>
      </w:r>
    </w:p>
    <w:p w14:paraId="7E2D896A" w14:textId="77777777" w:rsidR="00AE4520" w:rsidRPr="00F51C1B" w:rsidRDefault="00AE4520" w:rsidP="00AE4520">
      <w:pPr>
        <w:jc w:val="both"/>
        <w:rPr>
          <w:rFonts w:ascii="Aptos" w:eastAsia="Aptos" w:hAnsi="Aptos" w:cs="Times New Roman"/>
          <w:b/>
          <w:bCs/>
          <w:sz w:val="21"/>
          <w:szCs w:val="21"/>
        </w:rPr>
      </w:pPr>
      <w:r w:rsidRPr="00F51C1B">
        <w:rPr>
          <w:rFonts w:ascii="Aptos" w:eastAsia="Aptos" w:hAnsi="Aptos" w:cs="Times New Roman"/>
          <w:b/>
          <w:bCs/>
          <w:sz w:val="21"/>
          <w:szCs w:val="21"/>
        </w:rPr>
        <w:t xml:space="preserve">To what extent are disabled people involved in the design and implementation of public consultation processes, and how does the State ensure that such processes are accessible in practice? </w:t>
      </w:r>
      <w:r w:rsidRPr="00F51C1B">
        <w:rPr>
          <w:rFonts w:ascii="Aptos" w:eastAsia="Aptos" w:hAnsi="Aptos" w:cs="Times New Roman"/>
          <w:i/>
          <w:iCs/>
          <w:sz w:val="21"/>
          <w:szCs w:val="21"/>
        </w:rPr>
        <w:t>Please provide information on the number and type of consultation activities conducted in accessible formats and the number of participants with disabilities, disaggregated by disability type.</w:t>
      </w:r>
    </w:p>
    <w:p w14:paraId="33FDA3BD" w14:textId="77777777" w:rsidR="00AE4520" w:rsidRPr="00F51C1B" w:rsidRDefault="00AE4520" w:rsidP="00AE4520">
      <w:pPr>
        <w:jc w:val="both"/>
        <w:rPr>
          <w:rFonts w:ascii="Aptos" w:eastAsia="Aptos" w:hAnsi="Aptos" w:cs="Times New Roman"/>
          <w:b/>
          <w:bCs/>
          <w:sz w:val="21"/>
          <w:szCs w:val="21"/>
        </w:rPr>
      </w:pPr>
      <w:r w:rsidRPr="00F51C1B">
        <w:rPr>
          <w:rFonts w:ascii="Aptos" w:eastAsia="Aptos" w:hAnsi="Aptos" w:cs="Times New Roman"/>
          <w:b/>
          <w:bCs/>
          <w:sz w:val="21"/>
          <w:szCs w:val="21"/>
        </w:rPr>
        <w:t xml:space="preserve">Has the State developed a national strategy or action plan to promote accessible communication and support the development of communication professionals (e.g., sign language interpreters, communication supporters)? </w:t>
      </w:r>
      <w:r w:rsidRPr="00F51C1B">
        <w:rPr>
          <w:rFonts w:ascii="Aptos" w:eastAsia="Aptos" w:hAnsi="Aptos" w:cs="Times New Roman"/>
          <w:i/>
          <w:iCs/>
          <w:sz w:val="21"/>
          <w:szCs w:val="21"/>
        </w:rPr>
        <w:t>Please provide the contents of any such strategy, including funding allocations, timelines, and benchmarks for implementation.</w:t>
      </w:r>
    </w:p>
    <w:p w14:paraId="247F69CC" w14:textId="77777777" w:rsidR="00AE4520" w:rsidRPr="00F51C1B" w:rsidRDefault="00AE4520" w:rsidP="00AE4520">
      <w:pPr>
        <w:jc w:val="both"/>
        <w:rPr>
          <w:rFonts w:ascii="Aptos" w:eastAsia="Aptos" w:hAnsi="Aptos" w:cs="Times New Roman"/>
          <w:b/>
          <w:bCs/>
          <w:sz w:val="21"/>
          <w:szCs w:val="21"/>
        </w:rPr>
      </w:pPr>
      <w:r w:rsidRPr="00F51C1B">
        <w:rPr>
          <w:rFonts w:ascii="Aptos" w:eastAsia="Aptos" w:hAnsi="Aptos" w:cs="Times New Roman"/>
          <w:b/>
          <w:bCs/>
          <w:sz w:val="21"/>
          <w:szCs w:val="21"/>
        </w:rPr>
        <w:t xml:space="preserve">What steps have been taken to ensure that digital platforms, including government websites and mobile applications, meet accessibility standards for disabled people? </w:t>
      </w:r>
      <w:r w:rsidRPr="00F51C1B">
        <w:rPr>
          <w:rFonts w:ascii="Aptos" w:eastAsia="Aptos" w:hAnsi="Aptos" w:cs="Times New Roman"/>
          <w:i/>
          <w:iCs/>
          <w:sz w:val="21"/>
          <w:szCs w:val="21"/>
        </w:rPr>
        <w:t xml:space="preserve">Please provide </w:t>
      </w:r>
      <w:r w:rsidRPr="00F51C1B">
        <w:rPr>
          <w:rFonts w:ascii="Aptos" w:eastAsia="Aptos" w:hAnsi="Aptos" w:cs="Times New Roman"/>
          <w:i/>
          <w:iCs/>
          <w:sz w:val="21"/>
          <w:szCs w:val="21"/>
        </w:rPr>
        <w:lastRenderedPageBreak/>
        <w:t>monitoring results or audits on the digital accessibility of public websites and services, and specify the standard used.</w:t>
      </w:r>
    </w:p>
    <w:p w14:paraId="470A6C4F" w14:textId="77777777" w:rsidR="00AE4520" w:rsidRPr="00F51C1B" w:rsidRDefault="00AE4520" w:rsidP="00AE4520">
      <w:pPr>
        <w:jc w:val="both"/>
        <w:rPr>
          <w:rFonts w:ascii="Aptos" w:eastAsia="Aptos" w:hAnsi="Aptos" w:cs="Times New Roman"/>
          <w:b/>
          <w:bCs/>
          <w:sz w:val="21"/>
          <w:szCs w:val="21"/>
        </w:rPr>
      </w:pPr>
      <w:r w:rsidRPr="00F51C1B">
        <w:rPr>
          <w:rFonts w:ascii="Aptos" w:eastAsia="Aptos" w:hAnsi="Aptos" w:cs="Times New Roman"/>
          <w:b/>
          <w:bCs/>
          <w:sz w:val="21"/>
          <w:szCs w:val="21"/>
        </w:rPr>
        <w:t xml:space="preserve">How does the State monitor and respond to complaints regarding the denial or restriction of freedom of expression and access to information for disabled people? </w:t>
      </w:r>
      <w:r w:rsidRPr="00F51C1B">
        <w:rPr>
          <w:rFonts w:ascii="Aptos" w:eastAsia="Aptos" w:hAnsi="Aptos" w:cs="Times New Roman"/>
          <w:i/>
          <w:iCs/>
          <w:sz w:val="21"/>
          <w:szCs w:val="21"/>
        </w:rPr>
        <w:t>Please provide statistical data on complaints received, outcomes of investigations, and any corrective actions taken during the past five years.</w:t>
      </w:r>
    </w:p>
    <w:p w14:paraId="75E9EB30" w14:textId="77777777" w:rsidR="00AE4520" w:rsidRPr="00F51C1B" w:rsidRDefault="00AE4520" w:rsidP="00AE4520">
      <w:pPr>
        <w:jc w:val="both"/>
        <w:rPr>
          <w:rFonts w:ascii="Aptos" w:eastAsia="Aptos" w:hAnsi="Aptos" w:cs="Times New Roman"/>
          <w:b/>
          <w:bCs/>
          <w:sz w:val="21"/>
          <w:szCs w:val="21"/>
        </w:rPr>
      </w:pPr>
      <w:r w:rsidRPr="00F51C1B">
        <w:rPr>
          <w:rFonts w:ascii="Aptos" w:eastAsia="Aptos" w:hAnsi="Aptos" w:cs="Times New Roman"/>
          <w:b/>
          <w:bCs/>
          <w:sz w:val="21"/>
          <w:szCs w:val="21"/>
        </w:rPr>
        <w:t xml:space="preserve">What training is provided to public officials, media professionals, and communication staff on accessible communication and the rights of people with disabilities under Article 21? </w:t>
      </w:r>
      <w:r w:rsidRPr="00F51C1B">
        <w:rPr>
          <w:rFonts w:ascii="Aptos" w:eastAsia="Aptos" w:hAnsi="Aptos" w:cs="Times New Roman"/>
          <w:i/>
          <w:iCs/>
          <w:sz w:val="21"/>
          <w:szCs w:val="21"/>
        </w:rPr>
        <w:t>Please provide details of training programs, frequency of delivery, the number of staff trained annually, and evaluation results disaggregated by institution.</w:t>
      </w:r>
    </w:p>
    <w:p w14:paraId="29F07E22" w14:textId="77777777" w:rsidR="00AE4520" w:rsidRPr="00F51C1B" w:rsidRDefault="00AE4520" w:rsidP="00AE4520">
      <w:pPr>
        <w:jc w:val="both"/>
        <w:rPr>
          <w:rFonts w:ascii="Aptos" w:eastAsia="Aptos" w:hAnsi="Aptos" w:cs="Times New Roman"/>
          <w:b/>
          <w:bCs/>
          <w:sz w:val="21"/>
          <w:szCs w:val="21"/>
        </w:rPr>
      </w:pPr>
      <w:r w:rsidRPr="00F51C1B">
        <w:rPr>
          <w:rFonts w:ascii="Aptos" w:eastAsia="Aptos" w:hAnsi="Aptos" w:cs="Times New Roman"/>
          <w:b/>
          <w:bCs/>
          <w:sz w:val="21"/>
          <w:szCs w:val="21"/>
        </w:rPr>
        <w:t xml:space="preserve">How is the right to freedom of expression for disabled people respected in the media sector, both the public and the private one, including access to accessible formats in news and public broadcasting? </w:t>
      </w:r>
      <w:r w:rsidRPr="00F51C1B">
        <w:rPr>
          <w:rFonts w:ascii="Aptos" w:eastAsia="Aptos" w:hAnsi="Aptos" w:cs="Times New Roman"/>
          <w:i/>
          <w:iCs/>
          <w:sz w:val="21"/>
          <w:szCs w:val="21"/>
        </w:rPr>
        <w:t>Please provide data on the proportion of televised content that includes sign language interpretation, captioning, or audio description, disaggregated by broadcaster and content type.</w:t>
      </w:r>
    </w:p>
    <w:p w14:paraId="0A23B532" w14:textId="77777777" w:rsidR="00AE4520" w:rsidRDefault="00AE4520" w:rsidP="00AE4520">
      <w:pPr>
        <w:pStyle w:val="Heading1"/>
      </w:pPr>
      <w:r>
        <w:t xml:space="preserve">Article 22 - </w:t>
      </w:r>
      <w:r w:rsidRPr="000946A0">
        <w:t xml:space="preserve">Respect for privacy, family, home and correspondence </w:t>
      </w:r>
    </w:p>
    <w:p w14:paraId="16EB06A6" w14:textId="77777777" w:rsidR="00AE4520" w:rsidRDefault="00AE4520" w:rsidP="00AE4520">
      <w:pPr>
        <w:pStyle w:val="Heading2"/>
      </w:pPr>
      <w:r>
        <w:t>Proposed questions</w:t>
      </w:r>
    </w:p>
    <w:p w14:paraId="516ACCB8" w14:textId="77777777" w:rsidR="00AE4520" w:rsidRPr="000946A0" w:rsidRDefault="00AE4520" w:rsidP="00AE4520">
      <w:pPr>
        <w:jc w:val="both"/>
        <w:rPr>
          <w:rFonts w:ascii="Aptos" w:eastAsia="Aptos" w:hAnsi="Aptos" w:cs="Times New Roman"/>
          <w:i/>
          <w:iCs/>
          <w:sz w:val="21"/>
          <w:szCs w:val="21"/>
        </w:rPr>
      </w:pPr>
      <w:r w:rsidRPr="000946A0">
        <w:rPr>
          <w:rFonts w:ascii="Aptos" w:eastAsia="Aptos" w:hAnsi="Aptos" w:cs="Times New Roman"/>
          <w:b/>
          <w:bCs/>
          <w:sz w:val="21"/>
          <w:szCs w:val="21"/>
        </w:rPr>
        <w:t xml:space="preserve">What measures has the State taken to ensure that the collection, processing, and sharing of personal data about disabled people is carried out with their free and informed consent, including in situations involving public services, social care, and health systems? </w:t>
      </w:r>
      <w:r w:rsidRPr="000946A0">
        <w:rPr>
          <w:rFonts w:ascii="Aptos" w:eastAsia="Aptos" w:hAnsi="Aptos" w:cs="Times New Roman"/>
          <w:i/>
          <w:iCs/>
          <w:sz w:val="21"/>
          <w:szCs w:val="21"/>
        </w:rPr>
        <w:t>Please provide information on national and municipal-level protocols or legal safeguards regulating data sharing across sectors, and how these protocols ensure accessible consent procedures.</w:t>
      </w:r>
    </w:p>
    <w:p w14:paraId="093C9473"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safeguards are in place to prevent the unauthorized disclosure of disability-related or health-related personal information by public or private actors, including in education, employment, and healthcare settings? </w:t>
      </w:r>
      <w:r w:rsidRPr="000946A0">
        <w:rPr>
          <w:rFonts w:ascii="Aptos" w:eastAsia="Aptos" w:hAnsi="Aptos" w:cs="Times New Roman"/>
          <w:i/>
          <w:iCs/>
          <w:sz w:val="21"/>
          <w:szCs w:val="21"/>
        </w:rPr>
        <w:t>Please provide relevant legislation, data protection protocols, and examples of enforcement or disciplinary action.</w:t>
      </w:r>
    </w:p>
    <w:p w14:paraId="7417BEF0" w14:textId="77777777" w:rsidR="00AE4520" w:rsidRPr="000946A0" w:rsidRDefault="00AE4520" w:rsidP="00AE4520">
      <w:pPr>
        <w:jc w:val="both"/>
        <w:rPr>
          <w:rFonts w:ascii="Aptos" w:eastAsia="Aptos" w:hAnsi="Aptos" w:cs="Times New Roman"/>
          <w:i/>
          <w:iCs/>
          <w:sz w:val="21"/>
          <w:szCs w:val="21"/>
        </w:rPr>
      </w:pPr>
      <w:r w:rsidRPr="000946A0">
        <w:rPr>
          <w:rFonts w:ascii="Aptos" w:eastAsia="Aptos" w:hAnsi="Aptos" w:cs="Times New Roman"/>
          <w:b/>
          <w:bCs/>
          <w:sz w:val="21"/>
          <w:szCs w:val="21"/>
        </w:rPr>
        <w:t xml:space="preserve">What legal remedies and oversight mechanisms are available to disabled individuals whose right to privacy has been violated, particularly in cases involving unauthorized data transfer or breach of confidentiality within public institutions? </w:t>
      </w:r>
      <w:r w:rsidRPr="000946A0">
        <w:rPr>
          <w:rFonts w:ascii="Aptos" w:eastAsia="Aptos" w:hAnsi="Aptos" w:cs="Times New Roman"/>
          <w:i/>
          <w:iCs/>
          <w:sz w:val="21"/>
          <w:szCs w:val="21"/>
        </w:rPr>
        <w:t>Please provide statistical data on complaints filed, adjudicated, and remedied concerning privacy violations involving disabled people, disaggregated by year and sector.</w:t>
      </w:r>
    </w:p>
    <w:p w14:paraId="4E05021C"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measures has the State taken to ensure that disabled people living in institutional or residential settings are protected from arbitrary or unlawful interference with their privacy, correspondence, and family life? </w:t>
      </w:r>
      <w:r w:rsidRPr="000946A0">
        <w:rPr>
          <w:rFonts w:ascii="Aptos" w:eastAsia="Aptos" w:hAnsi="Aptos" w:cs="Times New Roman"/>
          <w:i/>
          <w:iCs/>
          <w:sz w:val="21"/>
          <w:szCs w:val="21"/>
        </w:rPr>
        <w:t>Please provide inspection protocols, complaints data, and examples of corrective action.</w:t>
      </w:r>
    </w:p>
    <w:p w14:paraId="312ECF01"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How does the State ensure that disabled people have effective access to their records, including health, education, and social service files, and that they can contest, correct, or </w:t>
      </w:r>
      <w:r w:rsidRPr="000946A0">
        <w:rPr>
          <w:rFonts w:ascii="Aptos" w:eastAsia="Aptos" w:hAnsi="Aptos" w:cs="Times New Roman"/>
          <w:b/>
          <w:bCs/>
          <w:sz w:val="21"/>
          <w:szCs w:val="21"/>
        </w:rPr>
        <w:lastRenderedPageBreak/>
        <w:t xml:space="preserve">withhold information as needed? </w:t>
      </w:r>
      <w:r w:rsidRPr="000946A0">
        <w:rPr>
          <w:rFonts w:ascii="Aptos" w:eastAsia="Aptos" w:hAnsi="Aptos" w:cs="Times New Roman"/>
          <w:i/>
          <w:iCs/>
          <w:sz w:val="21"/>
          <w:szCs w:val="21"/>
        </w:rPr>
        <w:t>Please provide details on the procedures in place for accessing personal records and how many requests for access or correction have been made and granted in the last five years.</w:t>
      </w:r>
    </w:p>
    <w:p w14:paraId="6BC8233D"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In what ways has the State assessed and addressed privacy risks associated with digital systems and remote services used by disabled people, such as case management tools, assistive technologies, or online communication platforms? </w:t>
      </w:r>
      <w:r w:rsidRPr="000946A0">
        <w:rPr>
          <w:rFonts w:ascii="Aptos" w:eastAsia="Aptos" w:hAnsi="Aptos" w:cs="Times New Roman"/>
          <w:i/>
          <w:iCs/>
          <w:sz w:val="21"/>
          <w:szCs w:val="21"/>
        </w:rPr>
        <w:t>Please provide any assessments, audits, or consultations conducted on digital privacy impacts for disabled people, and relevant findings or action plans.</w:t>
      </w:r>
    </w:p>
    <w:p w14:paraId="77FCDF1B"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training or awareness-raising initiatives have been implemented to promote respect for the privacy of disabled people among public officials, service providers, and private actors? </w:t>
      </w:r>
      <w:r w:rsidRPr="000946A0">
        <w:rPr>
          <w:rFonts w:ascii="Aptos" w:eastAsia="Aptos" w:hAnsi="Aptos" w:cs="Times New Roman"/>
          <w:i/>
          <w:iCs/>
          <w:sz w:val="21"/>
          <w:szCs w:val="21"/>
        </w:rPr>
        <w:t>Please provide information on the content, frequency, and coverage of such training programs, the number of personnel trained in each relevant sector, and evaluation data</w:t>
      </w:r>
      <w:r w:rsidRPr="000946A0">
        <w:rPr>
          <w:rFonts w:ascii="Aptos" w:eastAsia="Aptos" w:hAnsi="Aptos" w:cs="Times New Roman"/>
          <w:b/>
          <w:bCs/>
          <w:sz w:val="21"/>
          <w:szCs w:val="21"/>
        </w:rPr>
        <w:t>.</w:t>
      </w:r>
    </w:p>
    <w:p w14:paraId="3B080A11"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How are disabled people and their representative organizations involved in designing and monitoring privacy-related laws and policies that affect them? </w:t>
      </w:r>
      <w:r w:rsidRPr="000946A0">
        <w:rPr>
          <w:rFonts w:ascii="Aptos" w:eastAsia="Aptos" w:hAnsi="Aptos" w:cs="Times New Roman"/>
          <w:i/>
          <w:iCs/>
          <w:sz w:val="21"/>
          <w:szCs w:val="21"/>
        </w:rPr>
        <w:t>Please provide information on consultation processes conducted in the past five years related to privacy legislation, including how disabled people were involved and whether their input was reflected in final outcomes.</w:t>
      </w:r>
    </w:p>
    <w:p w14:paraId="3E77005F" w14:textId="77777777" w:rsidR="00AE4520" w:rsidRDefault="00AE4520" w:rsidP="00AE4520">
      <w:pPr>
        <w:pStyle w:val="Heading1"/>
      </w:pPr>
      <w:r>
        <w:t xml:space="preserve">Article 23 - </w:t>
      </w:r>
      <w:r w:rsidRPr="000946A0">
        <w:t xml:space="preserve">Right to home and family life </w:t>
      </w:r>
    </w:p>
    <w:p w14:paraId="76562050" w14:textId="77777777" w:rsidR="00AE4520" w:rsidRDefault="00AE4520" w:rsidP="00AE4520">
      <w:pPr>
        <w:pStyle w:val="Heading2"/>
      </w:pPr>
      <w:r>
        <w:t>Proposed questions</w:t>
      </w:r>
    </w:p>
    <w:p w14:paraId="61229B2A"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steps has the State taken to ensure that disability is not used, explicitly or implicitly, as a justification for separating children from their parents in child protection or custody proceedings? </w:t>
      </w:r>
      <w:r w:rsidRPr="000946A0">
        <w:rPr>
          <w:rFonts w:ascii="Aptos" w:eastAsia="Aptos" w:hAnsi="Aptos" w:cs="Times New Roman"/>
          <w:i/>
          <w:iCs/>
          <w:sz w:val="21"/>
          <w:szCs w:val="21"/>
        </w:rPr>
        <w:t>Please provide data on the number of custody decisions over the past 10 years in which parental disability was cited or referenced.</w:t>
      </w:r>
    </w:p>
    <w:p w14:paraId="07A78F13"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How does the State ensure that disabled parents receive adequate support and reasonable accommodation to exercise their parenting responsibilities before any intervention is considered? </w:t>
      </w:r>
      <w:r w:rsidRPr="000946A0">
        <w:rPr>
          <w:rFonts w:ascii="Aptos" w:eastAsia="Aptos" w:hAnsi="Aptos" w:cs="Times New Roman"/>
          <w:i/>
          <w:iCs/>
          <w:sz w:val="21"/>
          <w:szCs w:val="21"/>
        </w:rPr>
        <w:t>Please provide information on available support services, eligibility criteria, uptake rates, and budget allocations, disaggregated by region, impairment type, and gender.</w:t>
      </w:r>
    </w:p>
    <w:p w14:paraId="42288632" w14:textId="77777777" w:rsidR="00AE4520" w:rsidRPr="000946A0" w:rsidRDefault="00AE4520" w:rsidP="00AE4520">
      <w:pPr>
        <w:jc w:val="both"/>
        <w:rPr>
          <w:rFonts w:ascii="Aptos" w:eastAsia="Aptos" w:hAnsi="Aptos" w:cs="Times New Roman"/>
          <w:sz w:val="21"/>
          <w:szCs w:val="21"/>
        </w:rPr>
      </w:pPr>
      <w:r w:rsidRPr="000946A0">
        <w:rPr>
          <w:rFonts w:ascii="Aptos" w:eastAsia="Aptos" w:hAnsi="Aptos" w:cs="Times New Roman"/>
          <w:b/>
          <w:bCs/>
          <w:sz w:val="21"/>
          <w:szCs w:val="21"/>
        </w:rPr>
        <w:t xml:space="preserve">What safeguards are in place to ensure that disabled children are not placed in institutional or alternative care settings when family-based care is feasible with appropriate support? </w:t>
      </w:r>
      <w:r w:rsidRPr="000946A0">
        <w:rPr>
          <w:rFonts w:ascii="Aptos" w:eastAsia="Aptos" w:hAnsi="Aptos" w:cs="Times New Roman"/>
          <w:i/>
          <w:iCs/>
          <w:sz w:val="21"/>
          <w:szCs w:val="21"/>
        </w:rPr>
        <w:t>Please provide disaggregated data on the number of disabled children in institutional versus family-based care, including duration, location, and reasons for placement.</w:t>
      </w:r>
    </w:p>
    <w:p w14:paraId="27B11225"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To what extent have training and awareness-raising programs been implemented for judges, child protection officers, and other professionals on the rights of disabled people in family life? </w:t>
      </w:r>
      <w:r w:rsidRPr="000946A0">
        <w:rPr>
          <w:rFonts w:ascii="Aptos" w:eastAsia="Aptos" w:hAnsi="Aptos" w:cs="Times New Roman"/>
          <w:i/>
          <w:iCs/>
          <w:sz w:val="21"/>
          <w:szCs w:val="21"/>
        </w:rPr>
        <w:t>Please provide details of training modules, participation numbers, and evaluation outcomes since 2018.</w:t>
      </w:r>
    </w:p>
    <w:p w14:paraId="4F11D115"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How does the State ensure that disabled people have access to sexual and reproductive health services and to information necessary to make informed decisions about family life? </w:t>
      </w:r>
      <w:r w:rsidRPr="000946A0">
        <w:rPr>
          <w:rFonts w:ascii="Aptos" w:eastAsia="Aptos" w:hAnsi="Aptos" w:cs="Times New Roman"/>
          <w:i/>
          <w:iCs/>
          <w:sz w:val="21"/>
          <w:szCs w:val="21"/>
        </w:rPr>
        <w:lastRenderedPageBreak/>
        <w:t>Please provide data on accessibility measures, service use, and complaints or barriers reported by disabled individuals, disaggregated by gender, age, and impairment type.</w:t>
      </w:r>
    </w:p>
    <w:p w14:paraId="798F02F1"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mechanisms exist to monitor and prevent discriminatory practices in adoption, custody, or foster care decisions that affect disabled people or their children? </w:t>
      </w:r>
      <w:r w:rsidRPr="000946A0">
        <w:rPr>
          <w:rFonts w:ascii="Aptos" w:eastAsia="Aptos" w:hAnsi="Aptos" w:cs="Times New Roman"/>
          <w:i/>
          <w:iCs/>
          <w:sz w:val="21"/>
          <w:szCs w:val="21"/>
        </w:rPr>
        <w:t>Please provide an overview of complaint mechanisms, the number of complaints received, and any corrective actions taken.</w:t>
      </w:r>
    </w:p>
    <w:p w14:paraId="7E70E277"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How are disabled people and their representative organizations involved in the development and monitoring of laws, policies, and services relating to family life? </w:t>
      </w:r>
      <w:r w:rsidRPr="000946A0">
        <w:rPr>
          <w:rFonts w:ascii="Aptos" w:eastAsia="Aptos" w:hAnsi="Aptos" w:cs="Times New Roman"/>
          <w:i/>
          <w:iCs/>
          <w:sz w:val="21"/>
          <w:szCs w:val="21"/>
        </w:rPr>
        <w:t>Please provide information on consultation processes undertaken, including dates, participants, and how their input was reflected in policy outcomes.</w:t>
      </w:r>
    </w:p>
    <w:p w14:paraId="4BACE671" w14:textId="77777777" w:rsidR="00AE4520" w:rsidRDefault="00AE4520" w:rsidP="00AE4520">
      <w:pPr>
        <w:pStyle w:val="Heading1"/>
      </w:pPr>
      <w:r>
        <w:t>Article 24 – Education</w:t>
      </w:r>
    </w:p>
    <w:p w14:paraId="43115697" w14:textId="77777777" w:rsidR="00AE4520" w:rsidRDefault="00AE4520" w:rsidP="00AE4520">
      <w:pPr>
        <w:pStyle w:val="Heading2"/>
      </w:pPr>
      <w:r>
        <w:t>Proposed questions</w:t>
      </w:r>
    </w:p>
    <w:p w14:paraId="0B33BB05"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measures has the State taken to ensure that inclusive education is fully implemented at all levels, in line with the human rights-based approach outlined in General Comment No. 4? </w:t>
      </w:r>
      <w:r w:rsidRPr="000946A0">
        <w:rPr>
          <w:rFonts w:ascii="Aptos" w:eastAsia="Aptos" w:hAnsi="Aptos" w:cs="Times New Roman"/>
          <w:i/>
          <w:iCs/>
          <w:sz w:val="21"/>
          <w:szCs w:val="21"/>
        </w:rPr>
        <w:t>Please provide data on the proportion of disabled students attending mainstream schools at each level of education, disaggregated by type of impairment, gender, and geographic location.</w:t>
      </w:r>
    </w:p>
    <w:p w14:paraId="5A9A7253"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steps has the State taken to eliminate segregated education pathways, including special schools and classes, and to transition toward inclusive pedagogical environments in line with Article 24(2) (a–d)? </w:t>
      </w:r>
      <w:r w:rsidRPr="000946A0">
        <w:rPr>
          <w:rFonts w:ascii="Aptos" w:eastAsia="Aptos" w:hAnsi="Aptos" w:cs="Times New Roman"/>
          <w:i/>
          <w:iCs/>
          <w:sz w:val="21"/>
          <w:szCs w:val="21"/>
        </w:rPr>
        <w:t>Please provide data on the number and proportion of students in segregated settings, disaggregated by impairment type, age, and region, and describe progress made since 2016.</w:t>
      </w:r>
    </w:p>
    <w:p w14:paraId="7220CD3D"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How does the State ensure the availability of individualized support measures—such as personal assistance, assistive technologies, and adapted learning materials—for disabled students in mainstream schools? </w:t>
      </w:r>
      <w:r w:rsidRPr="000946A0">
        <w:rPr>
          <w:rFonts w:ascii="Aptos" w:eastAsia="Aptos" w:hAnsi="Aptos" w:cs="Times New Roman"/>
          <w:i/>
          <w:iCs/>
          <w:sz w:val="21"/>
          <w:szCs w:val="21"/>
        </w:rPr>
        <w:t xml:space="preserve">Please provide data on the use of individual education plans (IEPs), classroom accommodations, and assistive </w:t>
      </w:r>
      <w:proofErr w:type="gramStart"/>
      <w:r w:rsidRPr="000946A0">
        <w:rPr>
          <w:rFonts w:ascii="Aptos" w:eastAsia="Aptos" w:hAnsi="Aptos" w:cs="Times New Roman"/>
          <w:i/>
          <w:iCs/>
          <w:sz w:val="21"/>
          <w:szCs w:val="21"/>
        </w:rPr>
        <w:t>supports</w:t>
      </w:r>
      <w:proofErr w:type="gramEnd"/>
      <w:r w:rsidRPr="000946A0">
        <w:rPr>
          <w:rFonts w:ascii="Aptos" w:eastAsia="Aptos" w:hAnsi="Aptos" w:cs="Times New Roman"/>
          <w:i/>
          <w:iCs/>
          <w:sz w:val="21"/>
          <w:szCs w:val="21"/>
        </w:rPr>
        <w:t>, disaggregated by education level and impairment type.</w:t>
      </w:r>
    </w:p>
    <w:p w14:paraId="6F6E9D5C"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national strategies or action plans exist to promote inclusive education beyond compulsory schooling, including in upper secondary, vocational, and higher education? </w:t>
      </w:r>
      <w:r w:rsidRPr="000946A0">
        <w:rPr>
          <w:rFonts w:ascii="Aptos" w:eastAsia="Aptos" w:hAnsi="Aptos" w:cs="Times New Roman"/>
          <w:i/>
          <w:iCs/>
          <w:sz w:val="21"/>
          <w:szCs w:val="21"/>
        </w:rPr>
        <w:t>Please provide information on dropout rates, graduation rates, and transitions to higher education or employment for disabled students compared to non-disabled peers.</w:t>
      </w:r>
    </w:p>
    <w:p w14:paraId="0197CA89"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How are disabled students and their representative organizations involved in the development, implementation, and monitoring of education policies? </w:t>
      </w:r>
      <w:r w:rsidRPr="000946A0">
        <w:rPr>
          <w:rFonts w:ascii="Aptos" w:eastAsia="Aptos" w:hAnsi="Aptos" w:cs="Times New Roman"/>
          <w:i/>
          <w:iCs/>
          <w:sz w:val="21"/>
          <w:szCs w:val="21"/>
        </w:rPr>
        <w:t>Please provide details on consultation mechanisms, including how feedback from disabled students has influenced policy or practice</w:t>
      </w:r>
    </w:p>
    <w:p w14:paraId="3741A3D7"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training and professional development opportunities are provided to educators to build capacity for inclusive education and disability rights? </w:t>
      </w:r>
      <w:r w:rsidRPr="000946A0">
        <w:rPr>
          <w:rFonts w:ascii="Aptos" w:eastAsia="Aptos" w:hAnsi="Aptos" w:cs="Times New Roman"/>
          <w:i/>
          <w:iCs/>
          <w:sz w:val="21"/>
          <w:szCs w:val="21"/>
        </w:rPr>
        <w:t xml:space="preserve">Please provide data on the </w:t>
      </w:r>
      <w:r w:rsidRPr="000946A0">
        <w:rPr>
          <w:rFonts w:ascii="Aptos" w:eastAsia="Aptos" w:hAnsi="Aptos" w:cs="Times New Roman"/>
          <w:i/>
          <w:iCs/>
          <w:sz w:val="21"/>
          <w:szCs w:val="21"/>
        </w:rPr>
        <w:lastRenderedPageBreak/>
        <w:t>proportion of teaching staff receiving mandatory training, disaggregated by education level, and describe how training effectiveness is monitored.</w:t>
      </w:r>
    </w:p>
    <w:p w14:paraId="6C37402D"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How does the State monitor and prevent discrimination, bullying, and violence against disabled students in educational settings? </w:t>
      </w:r>
      <w:r w:rsidRPr="000946A0">
        <w:rPr>
          <w:rFonts w:ascii="Aptos" w:eastAsia="Aptos" w:hAnsi="Aptos" w:cs="Times New Roman"/>
          <w:i/>
          <w:iCs/>
          <w:sz w:val="21"/>
          <w:szCs w:val="21"/>
        </w:rPr>
        <w:t xml:space="preserve">Please provide any available data on reported incidents, disaggregated by type of discrimination, age, and disability status, along with </w:t>
      </w:r>
      <w:proofErr w:type="gramStart"/>
      <w:r w:rsidRPr="000946A0">
        <w:rPr>
          <w:rFonts w:ascii="Aptos" w:eastAsia="Aptos" w:hAnsi="Aptos" w:cs="Times New Roman"/>
          <w:i/>
          <w:iCs/>
          <w:sz w:val="21"/>
          <w:szCs w:val="21"/>
        </w:rPr>
        <w:t>outcomes</w:t>
      </w:r>
      <w:proofErr w:type="gramEnd"/>
      <w:r w:rsidRPr="000946A0">
        <w:rPr>
          <w:rFonts w:ascii="Aptos" w:eastAsia="Aptos" w:hAnsi="Aptos" w:cs="Times New Roman"/>
          <w:i/>
          <w:iCs/>
          <w:sz w:val="21"/>
          <w:szCs w:val="21"/>
        </w:rPr>
        <w:t xml:space="preserve"> of complaints.</w:t>
      </w:r>
    </w:p>
    <w:p w14:paraId="1EA5F82F" w14:textId="77777777" w:rsidR="00AE4520" w:rsidRDefault="00AE4520" w:rsidP="00AE4520">
      <w:pPr>
        <w:pStyle w:val="Heading2"/>
      </w:pPr>
      <w:r>
        <w:t>Article 25 – Health</w:t>
      </w:r>
    </w:p>
    <w:p w14:paraId="602EE409" w14:textId="77777777" w:rsidR="00AE4520" w:rsidRDefault="00AE4520" w:rsidP="00AE4520">
      <w:pPr>
        <w:pStyle w:val="Heading2"/>
      </w:pPr>
      <w:r>
        <w:t>Proposed questions</w:t>
      </w:r>
    </w:p>
    <w:p w14:paraId="01EF199F"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systematic steps has the State taken to ensure that disabled people have equal access to quality, affordable, and accessible health care services, including in rural areas and outside the capital region? </w:t>
      </w:r>
      <w:r w:rsidRPr="000946A0">
        <w:rPr>
          <w:rFonts w:ascii="Aptos" w:eastAsia="Aptos" w:hAnsi="Aptos" w:cs="Times New Roman"/>
          <w:i/>
          <w:iCs/>
          <w:sz w:val="21"/>
          <w:szCs w:val="21"/>
        </w:rPr>
        <w:t>Please provide data on the use of public health services by disabled people, disaggregated by age, gender, type of disability, and geographic location.</w:t>
      </w:r>
    </w:p>
    <w:p w14:paraId="4CB68EE6"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How does the State ensure that health care professionals receive adequate training on disability rights, reasonable accommodation, and the principle of free and informed consent? </w:t>
      </w:r>
      <w:r w:rsidRPr="000946A0">
        <w:rPr>
          <w:rFonts w:ascii="Aptos" w:eastAsia="Aptos" w:hAnsi="Aptos" w:cs="Times New Roman"/>
          <w:i/>
          <w:iCs/>
          <w:sz w:val="21"/>
          <w:szCs w:val="21"/>
        </w:rPr>
        <w:t>Please provide data on training curricula, frequency, participation rates, and the proportion of professionals trained, disaggregated by profession and level of education.</w:t>
      </w:r>
    </w:p>
    <w:p w14:paraId="1294F8DC"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legal and procedural safeguards are in place to ensure that free and informed consent is respected for all disabled people, including those with intellectual or psychosocial disabilities? </w:t>
      </w:r>
      <w:r w:rsidRPr="000946A0">
        <w:rPr>
          <w:rFonts w:ascii="Aptos" w:eastAsia="Aptos" w:hAnsi="Aptos" w:cs="Times New Roman"/>
          <w:i/>
          <w:iCs/>
          <w:sz w:val="21"/>
          <w:szCs w:val="21"/>
        </w:rPr>
        <w:t>Please provide information on consent protocols, supported decision-making mechanisms, and the use of substituted decision-making or involuntary treatment.</w:t>
      </w:r>
    </w:p>
    <w:p w14:paraId="781BB83B"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steps has the State taken to phase out coercive practices in mental health care, such as involuntary hospitalization, forced medication, and physical restraints? </w:t>
      </w:r>
      <w:r w:rsidRPr="000946A0">
        <w:rPr>
          <w:rFonts w:ascii="Aptos" w:eastAsia="Aptos" w:hAnsi="Aptos" w:cs="Times New Roman"/>
          <w:i/>
          <w:iCs/>
          <w:sz w:val="21"/>
          <w:szCs w:val="21"/>
        </w:rPr>
        <w:t>Please provide data on the annual number of involuntary hospitalizations and use of coercive interventions, disaggregated by type, facility, and disability status.</w:t>
      </w:r>
    </w:p>
    <w:p w14:paraId="5A77A4FF"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How does the State ensure that disabled people, particularly women and girls, have equal access to sexual and reproductive health services, including during pregnancy and childbirth? </w:t>
      </w:r>
      <w:r w:rsidRPr="000946A0">
        <w:rPr>
          <w:rFonts w:ascii="Aptos" w:eastAsia="Aptos" w:hAnsi="Aptos" w:cs="Times New Roman"/>
          <w:i/>
          <w:iCs/>
          <w:sz w:val="21"/>
          <w:szCs w:val="21"/>
        </w:rPr>
        <w:t>Please provide disaggregated data on service access, regional availability, and any measures taken to ensure autonomy and informed decision-making.</w:t>
      </w:r>
    </w:p>
    <w:p w14:paraId="3B01A454"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How does the State monitor discrimination in access to health care and health insurance, and what complaint mechanisms are available to disabled people? </w:t>
      </w:r>
      <w:r w:rsidRPr="000946A0">
        <w:rPr>
          <w:rFonts w:ascii="Aptos" w:eastAsia="Aptos" w:hAnsi="Aptos" w:cs="Times New Roman"/>
          <w:i/>
          <w:iCs/>
          <w:sz w:val="21"/>
          <w:szCs w:val="21"/>
        </w:rPr>
        <w:t>Please provide statistics on the number and nature of complaints related to disability-based discrimination in health care and the outcomes of these complaints.</w:t>
      </w:r>
    </w:p>
    <w:p w14:paraId="4909EE40" w14:textId="77777777" w:rsidR="00AE4520" w:rsidRPr="000946A0" w:rsidRDefault="00AE4520" w:rsidP="00AE4520">
      <w:pPr>
        <w:jc w:val="both"/>
        <w:rPr>
          <w:rFonts w:ascii="Aptos" w:eastAsia="Aptos" w:hAnsi="Aptos" w:cs="Times New Roman"/>
          <w:sz w:val="21"/>
          <w:szCs w:val="21"/>
        </w:rPr>
      </w:pPr>
      <w:r w:rsidRPr="000946A0">
        <w:rPr>
          <w:rFonts w:ascii="Aptos" w:eastAsia="Aptos" w:hAnsi="Aptos" w:cs="Times New Roman"/>
          <w:b/>
          <w:bCs/>
          <w:sz w:val="21"/>
          <w:szCs w:val="21"/>
        </w:rPr>
        <w:t xml:space="preserve">What lessons has the State drawn from the COVID-19 pandemic regarding access to health care for disabled people, and what reforms have been implemented as a result? </w:t>
      </w:r>
      <w:r w:rsidRPr="000946A0">
        <w:rPr>
          <w:rFonts w:ascii="Aptos" w:eastAsia="Aptos" w:hAnsi="Aptos" w:cs="Times New Roman"/>
          <w:i/>
          <w:iCs/>
          <w:sz w:val="21"/>
          <w:szCs w:val="21"/>
        </w:rPr>
        <w:t>Please provide documentation of evaluations, consultation processes with disabled people, and any post-pandemic reforms aimed at strengthening disability-inclusive health care systems.</w:t>
      </w:r>
    </w:p>
    <w:p w14:paraId="1D05EEE2" w14:textId="77777777" w:rsidR="00AE4520" w:rsidRDefault="00AE4520" w:rsidP="00AE4520">
      <w:pPr>
        <w:pStyle w:val="Heading1"/>
      </w:pPr>
      <w:r>
        <w:lastRenderedPageBreak/>
        <w:t xml:space="preserve">Article 26 - </w:t>
      </w:r>
      <w:r w:rsidRPr="000946A0">
        <w:t xml:space="preserve">Habilitation and rehabilitation </w:t>
      </w:r>
    </w:p>
    <w:p w14:paraId="07AA2195" w14:textId="77777777" w:rsidR="00AE4520" w:rsidRDefault="00AE4520" w:rsidP="00AE4520">
      <w:pPr>
        <w:pStyle w:val="Heading2"/>
      </w:pPr>
      <w:r>
        <w:t>Proposed questions</w:t>
      </w:r>
    </w:p>
    <w:p w14:paraId="24D6FD90"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measures has the State taken to ensure equal access to habilitation and rehabilitation services for disabled people living in rural and remote areas, including cross-sectoral coordination across health, education, and social services? </w:t>
      </w:r>
      <w:r w:rsidRPr="000946A0">
        <w:rPr>
          <w:rFonts w:ascii="Aptos" w:eastAsia="Aptos" w:hAnsi="Aptos" w:cs="Times New Roman"/>
          <w:i/>
          <w:iCs/>
          <w:sz w:val="21"/>
          <w:szCs w:val="21"/>
        </w:rPr>
        <w:t>Please provide disaggregated data on the availability, coverage, and accessibility of services by region, impairment type, and age group.</w:t>
      </w:r>
    </w:p>
    <w:p w14:paraId="66CA4C23" w14:textId="77777777" w:rsidR="00AE4520" w:rsidRPr="000946A0" w:rsidRDefault="00AE4520" w:rsidP="00AE4520">
      <w:pPr>
        <w:jc w:val="both"/>
        <w:rPr>
          <w:rFonts w:ascii="Aptos" w:eastAsia="Aptos" w:hAnsi="Aptos" w:cs="Times New Roman"/>
          <w:i/>
          <w:iCs/>
          <w:sz w:val="21"/>
          <w:szCs w:val="21"/>
        </w:rPr>
      </w:pPr>
      <w:r w:rsidRPr="000946A0">
        <w:rPr>
          <w:rFonts w:ascii="Aptos" w:eastAsia="Aptos" w:hAnsi="Aptos" w:cs="Times New Roman"/>
          <w:b/>
          <w:bCs/>
          <w:sz w:val="21"/>
          <w:szCs w:val="21"/>
        </w:rPr>
        <w:t xml:space="preserve">How does the State ensure that habilitation and rehabilitation services are based on individualized, multidisciplinary assessments of needs and strengths, and that they support full inclusion and participation in the community? </w:t>
      </w:r>
      <w:r w:rsidRPr="000946A0">
        <w:rPr>
          <w:rFonts w:ascii="Aptos" w:eastAsia="Aptos" w:hAnsi="Aptos" w:cs="Times New Roman"/>
          <w:i/>
          <w:iCs/>
          <w:sz w:val="21"/>
          <w:szCs w:val="21"/>
        </w:rPr>
        <w:t>Please provide examples of assessment tools, service models, and data on uptake, disaggregated by age, impairment type, and region.</w:t>
      </w:r>
    </w:p>
    <w:p w14:paraId="79D7B7D9"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steps have been taken to involve disabled people and their representative organizations in the design, implementation, and monitoring of habilitation and rehabilitation services, especially in rural municipalities? </w:t>
      </w:r>
      <w:r w:rsidRPr="000946A0">
        <w:rPr>
          <w:rFonts w:ascii="Aptos" w:eastAsia="Aptos" w:hAnsi="Aptos" w:cs="Times New Roman"/>
          <w:i/>
          <w:iCs/>
          <w:sz w:val="21"/>
          <w:szCs w:val="21"/>
        </w:rPr>
        <w:t>Please provide information on consultation mechanisms used and data on participation rates disaggregated by impairment type, gender, and geographic location.</w:t>
      </w:r>
    </w:p>
    <w:p w14:paraId="63B4F791"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How does the State guarantee timely and affordable access to assistive devices and technologies, and to what extent are end users involved in the assessment, selection, and provision processes? </w:t>
      </w:r>
      <w:r w:rsidRPr="000946A0">
        <w:rPr>
          <w:rFonts w:ascii="Aptos" w:eastAsia="Aptos" w:hAnsi="Aptos" w:cs="Times New Roman"/>
          <w:i/>
          <w:iCs/>
          <w:sz w:val="21"/>
          <w:szCs w:val="21"/>
        </w:rPr>
        <w:t>Please provide statistics on the number of people receiving assistive devices, waiting times, and user satisfaction, disaggregated by region and device type.</w:t>
      </w:r>
    </w:p>
    <w:p w14:paraId="308A59B5"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training is provided to professionals delivering </w:t>
      </w:r>
      <w:proofErr w:type="gramStart"/>
      <w:r w:rsidRPr="000946A0">
        <w:rPr>
          <w:rFonts w:ascii="Aptos" w:eastAsia="Aptos" w:hAnsi="Aptos" w:cs="Times New Roman"/>
          <w:b/>
          <w:bCs/>
          <w:sz w:val="21"/>
          <w:szCs w:val="21"/>
        </w:rPr>
        <w:t>habilitation</w:t>
      </w:r>
      <w:proofErr w:type="gramEnd"/>
      <w:r w:rsidRPr="000946A0">
        <w:rPr>
          <w:rFonts w:ascii="Aptos" w:eastAsia="Aptos" w:hAnsi="Aptos" w:cs="Times New Roman"/>
          <w:b/>
          <w:bCs/>
          <w:sz w:val="21"/>
          <w:szCs w:val="21"/>
        </w:rPr>
        <w:t xml:space="preserve"> and rehabilitation services to ensure alignment with the CRPD and a human rights-based approach? </w:t>
      </w:r>
      <w:r w:rsidRPr="000946A0">
        <w:rPr>
          <w:rFonts w:ascii="Aptos" w:eastAsia="Aptos" w:hAnsi="Aptos" w:cs="Times New Roman"/>
          <w:i/>
          <w:iCs/>
          <w:sz w:val="21"/>
          <w:szCs w:val="21"/>
        </w:rPr>
        <w:t>Please provide curricula, frequency, participation rates, and evaluation results, disaggregated by profession and region.</w:t>
      </w:r>
    </w:p>
    <w:p w14:paraId="46A03B09"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Has the State conducted any evaluation of unmet needs or service satisfaction regarding habilitation and rehabilitation, particularly among people with intellectual, psychosocial, or complex support needs? </w:t>
      </w:r>
      <w:r w:rsidRPr="000946A0">
        <w:rPr>
          <w:rFonts w:ascii="Aptos" w:eastAsia="Aptos" w:hAnsi="Aptos" w:cs="Times New Roman"/>
          <w:i/>
          <w:iCs/>
          <w:sz w:val="21"/>
          <w:szCs w:val="21"/>
        </w:rPr>
        <w:t>Please provide results from such evaluations, if available, and explain how they have influenced policy or service development.</w:t>
      </w:r>
    </w:p>
    <w:p w14:paraId="0C05B0A6"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measures has the State taken to promote the availability, affordability, and use of assistive devices and technologies for habilitation and rehabilitation? </w:t>
      </w:r>
      <w:r w:rsidRPr="000946A0">
        <w:rPr>
          <w:rFonts w:ascii="Aptos" w:eastAsia="Aptos" w:hAnsi="Aptos" w:cs="Times New Roman"/>
          <w:i/>
          <w:iCs/>
          <w:sz w:val="21"/>
          <w:szCs w:val="21"/>
        </w:rPr>
        <w:t>Please provide data on public funding, waiting times, and regional disparities in access to assistive products</w:t>
      </w:r>
      <w:r w:rsidRPr="000946A0">
        <w:rPr>
          <w:rFonts w:ascii="Aptos" w:eastAsia="Aptos" w:hAnsi="Aptos" w:cs="Times New Roman"/>
          <w:b/>
          <w:bCs/>
          <w:sz w:val="21"/>
          <w:szCs w:val="21"/>
        </w:rPr>
        <w:t>.</w:t>
      </w:r>
    </w:p>
    <w:p w14:paraId="515684C1"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budgetary resources are allocated specifically to habilitation and rehabilitation services, and how does the State monitor equity in distribution and impact? </w:t>
      </w:r>
      <w:r w:rsidRPr="000946A0">
        <w:rPr>
          <w:rFonts w:ascii="Aptos" w:eastAsia="Aptos" w:hAnsi="Aptos" w:cs="Times New Roman"/>
          <w:i/>
          <w:iCs/>
          <w:sz w:val="21"/>
          <w:szCs w:val="21"/>
        </w:rPr>
        <w:t>Please provide budgetary data over the last five years, broken down by sector, region, and population served</w:t>
      </w:r>
      <w:r w:rsidRPr="000946A0">
        <w:rPr>
          <w:rFonts w:ascii="Aptos" w:eastAsia="Aptos" w:hAnsi="Aptos" w:cs="Times New Roman"/>
          <w:b/>
          <w:bCs/>
          <w:i/>
          <w:iCs/>
          <w:sz w:val="21"/>
          <w:szCs w:val="21"/>
        </w:rPr>
        <w:t>.</w:t>
      </w:r>
    </w:p>
    <w:p w14:paraId="7F2FBFA5" w14:textId="77777777" w:rsidR="00AE4520" w:rsidRDefault="00AE4520" w:rsidP="00AE4520">
      <w:pPr>
        <w:pStyle w:val="Heading1"/>
      </w:pPr>
      <w:r>
        <w:lastRenderedPageBreak/>
        <w:t xml:space="preserve">Article 27 - </w:t>
      </w:r>
      <w:r w:rsidRPr="000946A0">
        <w:t xml:space="preserve">Work and employment </w:t>
      </w:r>
    </w:p>
    <w:p w14:paraId="65D80D7B" w14:textId="77777777" w:rsidR="00AE4520" w:rsidRDefault="00AE4520" w:rsidP="00AE4520">
      <w:pPr>
        <w:pStyle w:val="Heading2"/>
      </w:pPr>
      <w:r>
        <w:t>Proposed questions</w:t>
      </w:r>
    </w:p>
    <w:p w14:paraId="2C8A214B" w14:textId="77777777" w:rsidR="00AE4520" w:rsidRPr="000946A0" w:rsidRDefault="00AE4520" w:rsidP="00AE4520">
      <w:pPr>
        <w:jc w:val="both"/>
        <w:rPr>
          <w:rFonts w:ascii="Aptos" w:eastAsia="Aptos" w:hAnsi="Aptos" w:cs="Times New Roman"/>
          <w:i/>
          <w:iCs/>
          <w:sz w:val="21"/>
          <w:szCs w:val="21"/>
        </w:rPr>
      </w:pPr>
      <w:r w:rsidRPr="000946A0">
        <w:rPr>
          <w:rFonts w:ascii="Aptos" w:eastAsia="Aptos" w:hAnsi="Aptos" w:cs="Times New Roman"/>
          <w:b/>
          <w:bCs/>
          <w:sz w:val="21"/>
          <w:szCs w:val="21"/>
        </w:rPr>
        <w:t xml:space="preserve">What measures has the State taken to ensure the inclusion of disabled people, particularly those with intellectual disabilities and high support needs, in open, inclusive, and accessible employment settings, rather than segregated or sheltered workshops? </w:t>
      </w:r>
      <w:r w:rsidRPr="000946A0">
        <w:rPr>
          <w:rFonts w:ascii="Aptos" w:eastAsia="Aptos" w:hAnsi="Aptos" w:cs="Times New Roman"/>
          <w:i/>
          <w:iCs/>
          <w:sz w:val="21"/>
          <w:szCs w:val="21"/>
        </w:rPr>
        <w:t>Please provide disaggregated data on the number of disabled people working in the open labor market versus sheltered employment settings, by disability type and gender.</w:t>
      </w:r>
    </w:p>
    <w:p w14:paraId="4A2C0C84" w14:textId="77777777" w:rsidR="00AE4520" w:rsidRPr="000946A0" w:rsidRDefault="00AE4520" w:rsidP="00AE4520">
      <w:pPr>
        <w:jc w:val="both"/>
        <w:rPr>
          <w:rFonts w:ascii="Aptos" w:eastAsia="Aptos" w:hAnsi="Aptos" w:cs="Times New Roman"/>
          <w:i/>
          <w:iCs/>
          <w:sz w:val="21"/>
          <w:szCs w:val="21"/>
        </w:rPr>
      </w:pPr>
      <w:r w:rsidRPr="000946A0">
        <w:rPr>
          <w:rFonts w:ascii="Aptos" w:eastAsia="Aptos" w:hAnsi="Aptos" w:cs="Times New Roman"/>
          <w:b/>
          <w:bCs/>
          <w:sz w:val="21"/>
          <w:szCs w:val="21"/>
        </w:rPr>
        <w:t xml:space="preserve">What measures has the State taken to ensure that reasonable accommodation is provided to disabled people in all stages of employment, including recruitment, retention, and career advancement? </w:t>
      </w:r>
      <w:r w:rsidRPr="000946A0">
        <w:rPr>
          <w:rFonts w:ascii="Aptos" w:eastAsia="Aptos" w:hAnsi="Aptos" w:cs="Times New Roman"/>
          <w:i/>
          <w:iCs/>
          <w:sz w:val="21"/>
          <w:szCs w:val="21"/>
        </w:rPr>
        <w:t>Please provide data on accommodation requests, approval rates, and any complaints or legal actions related to the denial of accommodation.</w:t>
      </w:r>
    </w:p>
    <w:p w14:paraId="16E90EBB"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How does the State ensure that disabled people have equal access to vocational training, career guidance, and continuing education? </w:t>
      </w:r>
      <w:r w:rsidRPr="000946A0">
        <w:rPr>
          <w:rFonts w:ascii="Aptos" w:eastAsia="Aptos" w:hAnsi="Aptos" w:cs="Times New Roman"/>
          <w:i/>
          <w:iCs/>
          <w:sz w:val="21"/>
          <w:szCs w:val="21"/>
        </w:rPr>
        <w:t>Please provide disaggregated data on participation rates, completion outcomes, and any targeted outreach or support measures.</w:t>
      </w:r>
    </w:p>
    <w:p w14:paraId="05E6C932" w14:textId="77777777" w:rsidR="00AE4520" w:rsidRPr="000946A0" w:rsidRDefault="00AE4520" w:rsidP="00AE4520">
      <w:pPr>
        <w:jc w:val="both"/>
        <w:rPr>
          <w:rFonts w:ascii="Aptos" w:eastAsia="Aptos" w:hAnsi="Aptos" w:cs="Times New Roman"/>
          <w:i/>
          <w:iCs/>
          <w:sz w:val="21"/>
          <w:szCs w:val="21"/>
        </w:rPr>
      </w:pPr>
      <w:r w:rsidRPr="000946A0">
        <w:rPr>
          <w:rFonts w:ascii="Aptos" w:eastAsia="Aptos" w:hAnsi="Aptos" w:cs="Times New Roman"/>
          <w:b/>
          <w:bCs/>
          <w:sz w:val="21"/>
          <w:szCs w:val="21"/>
        </w:rPr>
        <w:t xml:space="preserve">What steps has the State taken to ensure that social protection systems do not act as a disincentive to work for disabled people, particularly in relation to eligibility for benefits and services? </w:t>
      </w:r>
      <w:r w:rsidRPr="000946A0">
        <w:rPr>
          <w:rFonts w:ascii="Aptos" w:eastAsia="Aptos" w:hAnsi="Aptos" w:cs="Times New Roman"/>
          <w:i/>
          <w:iCs/>
          <w:sz w:val="21"/>
          <w:szCs w:val="21"/>
        </w:rPr>
        <w:t>Please provide policy documents or evaluations addressing compatibility between income support and participation in employment.</w:t>
      </w:r>
    </w:p>
    <w:p w14:paraId="01C12B8E"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steps has the State taken to promote the employment of disabled people in the public sector, including through affirmative action, quotas, or inclusive recruitment practices? </w:t>
      </w:r>
      <w:r w:rsidRPr="000946A0">
        <w:rPr>
          <w:rFonts w:ascii="Aptos" w:eastAsia="Aptos" w:hAnsi="Aptos" w:cs="Times New Roman"/>
          <w:i/>
          <w:iCs/>
          <w:sz w:val="21"/>
          <w:szCs w:val="21"/>
        </w:rPr>
        <w:t>Please provide data on employment rates in public institutions, disaggregated by role, impairment type, and gender.</w:t>
      </w:r>
    </w:p>
    <w:p w14:paraId="6AB09663" w14:textId="77777777" w:rsidR="00AE4520" w:rsidRPr="000946A0" w:rsidRDefault="00AE4520" w:rsidP="00AE4520">
      <w:pPr>
        <w:jc w:val="both"/>
        <w:rPr>
          <w:rFonts w:ascii="Aptos" w:eastAsia="Aptos" w:hAnsi="Aptos" w:cs="Times New Roman"/>
          <w:i/>
          <w:iCs/>
          <w:sz w:val="21"/>
          <w:szCs w:val="21"/>
        </w:rPr>
      </w:pPr>
      <w:r w:rsidRPr="000946A0">
        <w:rPr>
          <w:rFonts w:ascii="Aptos" w:eastAsia="Aptos" w:hAnsi="Aptos" w:cs="Times New Roman"/>
          <w:b/>
          <w:bCs/>
          <w:sz w:val="21"/>
          <w:szCs w:val="21"/>
        </w:rPr>
        <w:t xml:space="preserve">How are employers in both the public and private sectors supported and monitored in fulfilling their duty to provide reasonable accommodation and promote inclusive hiring practices? </w:t>
      </w:r>
      <w:r w:rsidRPr="000946A0">
        <w:rPr>
          <w:rFonts w:ascii="Aptos" w:eastAsia="Aptos" w:hAnsi="Aptos" w:cs="Times New Roman"/>
          <w:i/>
          <w:iCs/>
          <w:sz w:val="21"/>
          <w:szCs w:val="21"/>
        </w:rPr>
        <w:t>Please provide data on the number of complaints received and resolved concerning disability-based discrimination in employment, and any training programs available for employers.</w:t>
      </w:r>
    </w:p>
    <w:p w14:paraId="13864FD4"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policies or incentives are in place to promote the employment of disabled people in the private sector? </w:t>
      </w:r>
      <w:r w:rsidRPr="000946A0">
        <w:rPr>
          <w:rFonts w:ascii="Aptos" w:eastAsia="Aptos" w:hAnsi="Aptos" w:cs="Times New Roman"/>
          <w:i/>
          <w:iCs/>
          <w:sz w:val="21"/>
          <w:szCs w:val="21"/>
        </w:rPr>
        <w:t>Please provide information on financial incentives, awareness campaigns, and monitoring mechanisms, including data on private sector employment rates and employer compliance</w:t>
      </w:r>
      <w:r w:rsidRPr="000946A0">
        <w:rPr>
          <w:rFonts w:ascii="Aptos" w:eastAsia="Aptos" w:hAnsi="Aptos" w:cs="Times New Roman"/>
          <w:b/>
          <w:bCs/>
          <w:sz w:val="21"/>
          <w:szCs w:val="21"/>
        </w:rPr>
        <w:t>.</w:t>
      </w:r>
    </w:p>
    <w:p w14:paraId="22B125CD"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How are disabled people and their representative organizations involved in the design, implementation, and monitoring of employment policies and labor market reforms? </w:t>
      </w:r>
      <w:r w:rsidRPr="000946A0">
        <w:rPr>
          <w:rFonts w:ascii="Aptos" w:eastAsia="Aptos" w:hAnsi="Aptos" w:cs="Times New Roman"/>
          <w:i/>
          <w:iCs/>
          <w:sz w:val="21"/>
          <w:szCs w:val="21"/>
        </w:rPr>
        <w:t>Please provide documentation of consultation processes, including how input has influenced outcomes.</w:t>
      </w:r>
    </w:p>
    <w:p w14:paraId="0103DC47"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How does the State monitor the employment situation of disabled people, and what indicators are used to track progress over time? </w:t>
      </w:r>
      <w:r w:rsidRPr="000946A0">
        <w:rPr>
          <w:rFonts w:ascii="Aptos" w:eastAsia="Aptos" w:hAnsi="Aptos" w:cs="Times New Roman"/>
          <w:i/>
          <w:iCs/>
          <w:sz w:val="21"/>
          <w:szCs w:val="21"/>
        </w:rPr>
        <w:t>Please provide employment data disaggregated by disability, gender, age, employment type, and sector, as well as any regular reports or evaluations published.</w:t>
      </w:r>
    </w:p>
    <w:p w14:paraId="0C26491E"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lastRenderedPageBreak/>
        <w:t xml:space="preserve">What targeted efforts are being made to support the employment and economic inclusion of disabled people in rural areas and among groups facing multiple forms of discrimination (e.g., disabled migrants or women with disabilities)? </w:t>
      </w:r>
      <w:r w:rsidRPr="000946A0">
        <w:rPr>
          <w:rFonts w:ascii="Aptos" w:eastAsia="Aptos" w:hAnsi="Aptos" w:cs="Times New Roman"/>
          <w:i/>
          <w:iCs/>
          <w:sz w:val="21"/>
          <w:szCs w:val="21"/>
        </w:rPr>
        <w:t>Please provide data and program descriptions addressing intersectional barriers in access to work and employment-related services.</w:t>
      </w:r>
    </w:p>
    <w:p w14:paraId="33CFB5A7" w14:textId="77777777" w:rsidR="00AE4520" w:rsidRDefault="00AE4520" w:rsidP="00AE4520">
      <w:pPr>
        <w:pStyle w:val="Heading1"/>
      </w:pPr>
      <w:r>
        <w:t xml:space="preserve">Article 28 - </w:t>
      </w:r>
      <w:r w:rsidRPr="000946A0">
        <w:t xml:space="preserve">Adequate standard of living and social protection </w:t>
      </w:r>
    </w:p>
    <w:p w14:paraId="42789E06" w14:textId="77777777" w:rsidR="00AE4520" w:rsidRDefault="00AE4520" w:rsidP="00AE4520">
      <w:pPr>
        <w:pStyle w:val="Heading2"/>
      </w:pPr>
      <w:r>
        <w:t>Proposed questions</w:t>
      </w:r>
    </w:p>
    <w:p w14:paraId="28531FEA"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steps has the State taken to ensure that disability-related social protection schemes, such as disability pensions and supplementary services, guarantee an adequate standard of living in line with Article 28 of the CRPD? </w:t>
      </w:r>
      <w:r w:rsidRPr="000946A0">
        <w:rPr>
          <w:rFonts w:ascii="Aptos" w:eastAsia="Aptos" w:hAnsi="Aptos" w:cs="Times New Roman"/>
          <w:i/>
          <w:iCs/>
          <w:sz w:val="21"/>
          <w:szCs w:val="21"/>
        </w:rPr>
        <w:t>Please provide disaggregated data on the average income level of disabled people compared to the national poverty threshold.</w:t>
      </w:r>
    </w:p>
    <w:p w14:paraId="17FC19FE" w14:textId="77777777" w:rsidR="00AE4520" w:rsidRPr="000946A0" w:rsidRDefault="00AE4520" w:rsidP="00AE4520">
      <w:pPr>
        <w:jc w:val="both"/>
        <w:rPr>
          <w:rFonts w:ascii="Aptos" w:eastAsia="Aptos" w:hAnsi="Aptos" w:cs="Times New Roman"/>
          <w:i/>
          <w:iCs/>
          <w:sz w:val="21"/>
          <w:szCs w:val="21"/>
        </w:rPr>
      </w:pPr>
      <w:r w:rsidRPr="000946A0">
        <w:rPr>
          <w:rFonts w:ascii="Aptos" w:eastAsia="Aptos" w:hAnsi="Aptos" w:cs="Times New Roman"/>
          <w:b/>
          <w:bCs/>
          <w:sz w:val="21"/>
          <w:szCs w:val="21"/>
        </w:rPr>
        <w:t xml:space="preserve">How has the State evaluated the compatibility of the planned disability pension reform with the rights and obligations under Article 28 of the CRPD? </w:t>
      </w:r>
      <w:r w:rsidRPr="000946A0">
        <w:rPr>
          <w:rFonts w:ascii="Aptos" w:eastAsia="Aptos" w:hAnsi="Aptos" w:cs="Times New Roman"/>
          <w:i/>
          <w:iCs/>
          <w:sz w:val="21"/>
          <w:szCs w:val="21"/>
        </w:rPr>
        <w:t>Please provide copies of any human rights-based impact assessments conducted prior to or during the reform process.</w:t>
      </w:r>
    </w:p>
    <w:p w14:paraId="3D7DF1C7"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measures has the State taken to ensure that disability-related benefits and allowances are adequate, accessible, and responsive to the actual costs of disability? </w:t>
      </w:r>
      <w:r w:rsidRPr="000946A0">
        <w:rPr>
          <w:rFonts w:ascii="Aptos" w:eastAsia="Aptos" w:hAnsi="Aptos" w:cs="Times New Roman"/>
          <w:i/>
          <w:iCs/>
          <w:sz w:val="21"/>
          <w:szCs w:val="21"/>
        </w:rPr>
        <w:t>Please provide data on benefit levels, eligibility criteria, uptake rates, and regional disparities, disaggregated by impairment type, age, and gender.</w:t>
      </w:r>
    </w:p>
    <w:p w14:paraId="23B1243B"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measures are in place to systematically monitor the impact of changes to the social protection system on the living conditions of disabled people, particularly those with high support needs or multiple marginalizations? </w:t>
      </w:r>
      <w:r w:rsidRPr="000946A0">
        <w:rPr>
          <w:rFonts w:ascii="Aptos" w:eastAsia="Aptos" w:hAnsi="Aptos" w:cs="Times New Roman"/>
          <w:i/>
          <w:iCs/>
          <w:sz w:val="21"/>
          <w:szCs w:val="21"/>
        </w:rPr>
        <w:t>Please provide information on indicators used to track effects on poverty, service access, and equality outcomes.</w:t>
      </w:r>
    </w:p>
    <w:p w14:paraId="5DC7A31B"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How does the State ensure that disabled people have access to affordable, accessible housing and related supports necessary for independent living? </w:t>
      </w:r>
      <w:r w:rsidRPr="000946A0">
        <w:rPr>
          <w:rFonts w:ascii="Aptos" w:eastAsia="Aptos" w:hAnsi="Aptos" w:cs="Times New Roman"/>
          <w:i/>
          <w:iCs/>
          <w:sz w:val="21"/>
          <w:szCs w:val="21"/>
        </w:rPr>
        <w:t>Please provide data on public housing availability, accessibility standards, and the proportion of disabled people benefiting from housing assistance, disaggregated by region and impairment type</w:t>
      </w:r>
    </w:p>
    <w:p w14:paraId="4EC91B13"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safeguards are in place to ensure that access to social protection is not made conditional on renouncing legal capacity or fulfilling requirements that disproportionately disadvantage disabled people? </w:t>
      </w:r>
      <w:r w:rsidRPr="000946A0">
        <w:rPr>
          <w:rFonts w:ascii="Aptos" w:eastAsia="Aptos" w:hAnsi="Aptos" w:cs="Times New Roman"/>
          <w:i/>
          <w:iCs/>
          <w:sz w:val="21"/>
          <w:szCs w:val="21"/>
        </w:rPr>
        <w:t>Please provide legal provisions, administrative guidelines, and examples of how such safeguards are implemented in practice.</w:t>
      </w:r>
    </w:p>
    <w:p w14:paraId="142080B2"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specific data collection mechanisms exist to measure the enjoyment of the right to an adequate standard of living among disabled people, including housing conditions, affordability of basic needs, and coverage of disability-related costs? </w:t>
      </w:r>
      <w:r w:rsidRPr="000946A0">
        <w:rPr>
          <w:rFonts w:ascii="Aptos" w:eastAsia="Aptos" w:hAnsi="Aptos" w:cs="Times New Roman"/>
          <w:i/>
          <w:iCs/>
          <w:sz w:val="21"/>
          <w:szCs w:val="21"/>
        </w:rPr>
        <w:t>Please provide recent survey results or research findings disaggregated by disability type and socioeconomic status.</w:t>
      </w:r>
    </w:p>
    <w:p w14:paraId="3DF5E982"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role have disabled people’s organizations (DPOs) played in shaping and monitoring social protection policies, including recent reforms? </w:t>
      </w:r>
      <w:r w:rsidRPr="000946A0">
        <w:rPr>
          <w:rFonts w:ascii="Aptos" w:eastAsia="Aptos" w:hAnsi="Aptos" w:cs="Times New Roman"/>
          <w:i/>
          <w:iCs/>
          <w:sz w:val="21"/>
          <w:szCs w:val="21"/>
        </w:rPr>
        <w:t xml:space="preserve">Please provide examples of structured </w:t>
      </w:r>
      <w:r w:rsidRPr="000946A0">
        <w:rPr>
          <w:rFonts w:ascii="Aptos" w:eastAsia="Aptos" w:hAnsi="Aptos" w:cs="Times New Roman"/>
          <w:i/>
          <w:iCs/>
          <w:sz w:val="21"/>
          <w:szCs w:val="21"/>
        </w:rPr>
        <w:lastRenderedPageBreak/>
        <w:t>consultation processes and how input from DPOs has been incorporated into legislation or policy design.</w:t>
      </w:r>
    </w:p>
    <w:p w14:paraId="1E0BE696" w14:textId="77777777" w:rsidR="00AE4520" w:rsidRDefault="00AE4520" w:rsidP="00AE4520">
      <w:pPr>
        <w:pStyle w:val="Heading1"/>
      </w:pPr>
      <w:r>
        <w:t xml:space="preserve">Article 29 - </w:t>
      </w:r>
      <w:r w:rsidRPr="000946A0">
        <w:t xml:space="preserve">Participation in political and public life </w:t>
      </w:r>
    </w:p>
    <w:p w14:paraId="4999D179" w14:textId="77777777" w:rsidR="00AE4520" w:rsidRDefault="00AE4520" w:rsidP="00AE4520">
      <w:pPr>
        <w:pStyle w:val="Heading2"/>
      </w:pPr>
      <w:r>
        <w:t>Proposed questions</w:t>
      </w:r>
    </w:p>
    <w:p w14:paraId="2D05E5A7"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measures has the State taken to ensure that all disabled people, including those under guardianship or with psychosocial or intellectual disabilities, can vote and stand for election on an equal basis with others? </w:t>
      </w:r>
      <w:r w:rsidRPr="000946A0">
        <w:rPr>
          <w:rFonts w:ascii="Aptos" w:eastAsia="Aptos" w:hAnsi="Aptos" w:cs="Times New Roman"/>
          <w:i/>
          <w:iCs/>
          <w:sz w:val="21"/>
          <w:szCs w:val="21"/>
        </w:rPr>
        <w:t>Please provide data and legal references on any existing restrictions or eligibility requirements that may limit political rights based on disability or perceived decision-making capacity, including guardianship status or assessments of “sufficient understanding.”</w:t>
      </w:r>
    </w:p>
    <w:p w14:paraId="5647F136"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How does the State guarantee the accessibility of electoral processes—including polling stations, voting materials, and communication formats—for people with diverse disabilities across all regions? </w:t>
      </w:r>
      <w:r w:rsidRPr="000946A0">
        <w:rPr>
          <w:rFonts w:ascii="Aptos" w:eastAsia="Aptos" w:hAnsi="Aptos" w:cs="Times New Roman"/>
          <w:i/>
          <w:iCs/>
          <w:sz w:val="21"/>
          <w:szCs w:val="21"/>
        </w:rPr>
        <w:t>Please provide information on accessibility audits, technical standards, and the proportion of polling stations that meet minimum accessibility requirements.</w:t>
      </w:r>
    </w:p>
    <w:p w14:paraId="20FD91A4"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support measures are in place to ensure that disabled candidates can effectively stand for election and perform public functions, including access to campaign resources, assistive technologies, and reasonable accommodation? </w:t>
      </w:r>
      <w:r w:rsidRPr="000946A0">
        <w:rPr>
          <w:rFonts w:ascii="Aptos" w:eastAsia="Aptos" w:hAnsi="Aptos" w:cs="Times New Roman"/>
          <w:i/>
          <w:iCs/>
          <w:sz w:val="21"/>
          <w:szCs w:val="21"/>
        </w:rPr>
        <w:t>Please provide data on the number of disabled candidates in recent elections, disaggregated by impairment type, and examples of support measures implemented.</w:t>
      </w:r>
    </w:p>
    <w:p w14:paraId="3AC8FF12"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To what extent are organizations of disabled people involved in electoral reform, voting education, and public decision-making processes? </w:t>
      </w:r>
      <w:r w:rsidRPr="000946A0">
        <w:rPr>
          <w:rFonts w:ascii="Aptos" w:eastAsia="Aptos" w:hAnsi="Aptos" w:cs="Times New Roman"/>
          <w:i/>
          <w:iCs/>
          <w:sz w:val="21"/>
          <w:szCs w:val="21"/>
        </w:rPr>
        <w:t>Please provide information on consultation mechanisms, funding structures, and legal guarantees supporting the participation of representative DPOs.</w:t>
      </w:r>
    </w:p>
    <w:p w14:paraId="4BEE1BBF"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targeted and systematic actions has the State taken to promote the representation of disabled people in political parties, public administration, and appointed bodies? </w:t>
      </w:r>
      <w:r w:rsidRPr="000946A0">
        <w:rPr>
          <w:rFonts w:ascii="Aptos" w:eastAsia="Aptos" w:hAnsi="Aptos" w:cs="Times New Roman"/>
          <w:i/>
          <w:iCs/>
          <w:sz w:val="21"/>
          <w:szCs w:val="21"/>
        </w:rPr>
        <w:t>Please provide data on the number of disabled people currently holding elected or appointed public office, disaggregated by level, position, and impairment type</w:t>
      </w:r>
    </w:p>
    <w:p w14:paraId="08AB4FCC"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mechanisms are in place to monitor and respond to complaints related to the political participation of disabled people, including inaccessibility, discrimination, or lack of accommodation? </w:t>
      </w:r>
      <w:r w:rsidRPr="000946A0">
        <w:rPr>
          <w:rFonts w:ascii="Aptos" w:eastAsia="Aptos" w:hAnsi="Aptos" w:cs="Times New Roman"/>
          <w:i/>
          <w:iCs/>
          <w:sz w:val="21"/>
          <w:szCs w:val="21"/>
        </w:rPr>
        <w:t>Please provide statistics on complaints received, their outcomes, and any remedial actions taken, as well as information on how disabled people are informed about these mechanisms.</w:t>
      </w:r>
    </w:p>
    <w:p w14:paraId="2F20FDAE"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How does the State collect and publish disaggregated data on the political participation of disabled people, including voter turnout, candidacy, and office-holding? </w:t>
      </w:r>
      <w:r w:rsidRPr="000946A0">
        <w:rPr>
          <w:rFonts w:ascii="Aptos" w:eastAsia="Aptos" w:hAnsi="Aptos" w:cs="Times New Roman"/>
          <w:i/>
          <w:iCs/>
          <w:sz w:val="21"/>
          <w:szCs w:val="21"/>
        </w:rPr>
        <w:t>Please provide examples of national indicators, data collection systems, and how this information is used to monitor compliance with Article 29.</w:t>
      </w:r>
    </w:p>
    <w:p w14:paraId="1FB0DB5F" w14:textId="77777777" w:rsidR="00AE4520" w:rsidRDefault="00AE4520" w:rsidP="00AE4520">
      <w:pPr>
        <w:pStyle w:val="Heading1"/>
      </w:pPr>
      <w:r>
        <w:lastRenderedPageBreak/>
        <w:t xml:space="preserve">Article 30 - </w:t>
      </w:r>
      <w:r w:rsidRPr="000946A0">
        <w:t xml:space="preserve">Participation in cultural life, recreation, leisure and sport </w:t>
      </w:r>
    </w:p>
    <w:p w14:paraId="5EDC9936" w14:textId="77777777" w:rsidR="00AE4520" w:rsidRDefault="00AE4520" w:rsidP="00AE4520">
      <w:pPr>
        <w:pStyle w:val="Heading2"/>
      </w:pPr>
      <w:r>
        <w:t>Proposed questions</w:t>
      </w:r>
    </w:p>
    <w:p w14:paraId="4FEE9451"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steps has the State taken to adopt a national strategy or action plan to promote the participation of disabled people in cultural life, including as artists, audiences, cultural professionals, and contributors to the nation's cultural memory and public discourse? </w:t>
      </w:r>
      <w:r w:rsidRPr="000946A0">
        <w:rPr>
          <w:rFonts w:ascii="Aptos" w:eastAsia="Aptos" w:hAnsi="Aptos" w:cs="Times New Roman"/>
          <w:i/>
          <w:iCs/>
          <w:sz w:val="21"/>
          <w:szCs w:val="21"/>
        </w:rPr>
        <w:t>Please provide documentation of any national or municipal policies or strategies in place, including implementation timelines and evaluation mechanisms.</w:t>
      </w:r>
    </w:p>
    <w:p w14:paraId="0EBCD041"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measures are in place to ensure that public cultural institutions—such as museums, theatres, libraries, and concert halls—are physically, communicatively, and digitally accessible to all disabled people, including those with sensory, intellectual, and psychosocial disabilities? </w:t>
      </w:r>
      <w:r w:rsidRPr="000946A0">
        <w:rPr>
          <w:rFonts w:ascii="Aptos" w:eastAsia="Aptos" w:hAnsi="Aptos" w:cs="Times New Roman"/>
          <w:i/>
          <w:iCs/>
          <w:sz w:val="21"/>
          <w:szCs w:val="21"/>
        </w:rPr>
        <w:t>Please provide data on accessibility audits, infrastructure adaptations, and funding allocated for accessibility improvements.</w:t>
      </w:r>
    </w:p>
    <w:p w14:paraId="7C8E0582"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How does the State promote the participation of disabled people in sport and leisure, both at grassroots and professional levels, including through public funding, accessible facilities, and training of coaches and staff? </w:t>
      </w:r>
      <w:r w:rsidRPr="000946A0">
        <w:rPr>
          <w:rFonts w:ascii="Aptos" w:eastAsia="Aptos" w:hAnsi="Aptos" w:cs="Times New Roman"/>
          <w:i/>
          <w:iCs/>
          <w:sz w:val="21"/>
          <w:szCs w:val="21"/>
        </w:rPr>
        <w:t>Please provide disaggregated statistics on participation, public funding allocations, accessibility of facilities, and training programs for coaches and staff</w:t>
      </w:r>
    </w:p>
    <w:p w14:paraId="6F763965"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What mechanisms are in place to recognize and support the cultural and linguistic identities of disabled people, including DEAF culture, users of alternative and augmentative communication, and the representation of disabled people in national heritage, folklore, and popular media? </w:t>
      </w:r>
      <w:r w:rsidRPr="000946A0">
        <w:rPr>
          <w:rFonts w:ascii="Aptos" w:eastAsia="Aptos" w:hAnsi="Aptos" w:cs="Times New Roman"/>
          <w:i/>
          <w:iCs/>
          <w:sz w:val="21"/>
          <w:szCs w:val="21"/>
        </w:rPr>
        <w:t>Please provide evidence of policy initiatives, cultural programming, or awareness-raising campaigns in this area.</w:t>
      </w:r>
    </w:p>
    <w:p w14:paraId="2584CA8F"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How are disabled people and their representative organizations consulted and involved in the design, implementation, and monitoring of laws, policies, and programs related to culture, sport, and leisure? </w:t>
      </w:r>
      <w:r w:rsidRPr="000946A0">
        <w:rPr>
          <w:rFonts w:ascii="Aptos" w:eastAsia="Aptos" w:hAnsi="Aptos" w:cs="Times New Roman"/>
          <w:i/>
          <w:iCs/>
          <w:sz w:val="21"/>
          <w:szCs w:val="21"/>
        </w:rPr>
        <w:t>Please provide details of consultation processes, participation records, and how input has influenced policy outcomes</w:t>
      </w:r>
    </w:p>
    <w:p w14:paraId="725B94F5" w14:textId="77777777" w:rsidR="00AE4520" w:rsidRPr="000946A0" w:rsidRDefault="00AE4520" w:rsidP="00AE4520">
      <w:pPr>
        <w:jc w:val="both"/>
        <w:rPr>
          <w:rFonts w:ascii="Aptos" w:eastAsia="Aptos" w:hAnsi="Aptos" w:cs="Times New Roman"/>
          <w:b/>
          <w:bCs/>
          <w:sz w:val="21"/>
          <w:szCs w:val="21"/>
        </w:rPr>
      </w:pPr>
      <w:r w:rsidRPr="000946A0">
        <w:rPr>
          <w:rFonts w:ascii="Aptos" w:eastAsia="Aptos" w:hAnsi="Aptos" w:cs="Times New Roman"/>
          <w:b/>
          <w:bCs/>
          <w:sz w:val="21"/>
          <w:szCs w:val="21"/>
        </w:rPr>
        <w:t xml:space="preserve">Has the State established any monitoring systems or indicators to assess whether disabled people enjoy equal access to cultural life, recreation, and sport, in line with CRPD obligations and the Sustainable Development Goals? </w:t>
      </w:r>
      <w:r w:rsidRPr="000946A0">
        <w:rPr>
          <w:rFonts w:ascii="Aptos" w:eastAsia="Aptos" w:hAnsi="Aptos" w:cs="Times New Roman"/>
          <w:i/>
          <w:iCs/>
          <w:sz w:val="21"/>
          <w:szCs w:val="21"/>
        </w:rPr>
        <w:t xml:space="preserve">Please provide copies of relevant indicators or </w:t>
      </w:r>
      <w:proofErr w:type="gramStart"/>
      <w:r w:rsidRPr="000946A0">
        <w:rPr>
          <w:rFonts w:ascii="Aptos" w:eastAsia="Aptos" w:hAnsi="Aptos" w:cs="Times New Roman"/>
          <w:i/>
          <w:iCs/>
          <w:sz w:val="21"/>
          <w:szCs w:val="21"/>
        </w:rPr>
        <w:t>reports, and</w:t>
      </w:r>
      <w:proofErr w:type="gramEnd"/>
      <w:r w:rsidRPr="000946A0">
        <w:rPr>
          <w:rFonts w:ascii="Aptos" w:eastAsia="Aptos" w:hAnsi="Aptos" w:cs="Times New Roman"/>
          <w:i/>
          <w:iCs/>
          <w:sz w:val="21"/>
          <w:szCs w:val="21"/>
        </w:rPr>
        <w:t xml:space="preserve"> clarify whether disaggregated data is collected and used.</w:t>
      </w:r>
    </w:p>
    <w:p w14:paraId="3E6E6002" w14:textId="77777777" w:rsidR="00AE4520" w:rsidRPr="000946A0" w:rsidRDefault="00AE4520" w:rsidP="00AE4520">
      <w:pPr>
        <w:jc w:val="both"/>
        <w:rPr>
          <w:rFonts w:ascii="Aptos" w:eastAsia="Aptos" w:hAnsi="Aptos" w:cs="Times New Roman"/>
          <w:i/>
          <w:iCs/>
          <w:sz w:val="21"/>
          <w:szCs w:val="21"/>
        </w:rPr>
      </w:pPr>
      <w:r w:rsidRPr="000946A0">
        <w:rPr>
          <w:rFonts w:ascii="Aptos" w:eastAsia="Aptos" w:hAnsi="Aptos" w:cs="Times New Roman"/>
          <w:b/>
          <w:bCs/>
          <w:sz w:val="21"/>
          <w:szCs w:val="21"/>
        </w:rPr>
        <w:t>What steps has the State taken to implement the Marrakesh Treaty and ensure that disabled people have access to books and published materials in accessible formats?</w:t>
      </w:r>
      <w:r w:rsidRPr="000946A0">
        <w:rPr>
          <w:rFonts w:ascii="Aptos" w:eastAsia="Aptos" w:hAnsi="Aptos" w:cs="Times New Roman"/>
          <w:b/>
          <w:bCs/>
          <w:sz w:val="21"/>
          <w:szCs w:val="21"/>
        </w:rPr>
        <w:br/>
      </w:r>
      <w:r w:rsidRPr="000946A0">
        <w:rPr>
          <w:rFonts w:ascii="Aptos" w:eastAsia="Aptos" w:hAnsi="Aptos" w:cs="Times New Roman"/>
          <w:i/>
          <w:iCs/>
          <w:sz w:val="21"/>
          <w:szCs w:val="21"/>
        </w:rPr>
        <w:t>Please provide legislative or policy measures adopted, statistics on accessible publications, and any monitoring or enforcement mechanisms.</w:t>
      </w:r>
    </w:p>
    <w:p w14:paraId="2B6600DF" w14:textId="77777777" w:rsidR="00AE4520" w:rsidRDefault="00AE4520" w:rsidP="00AE4520">
      <w:pPr>
        <w:pStyle w:val="Heading1"/>
      </w:pPr>
      <w:r>
        <w:t xml:space="preserve">Article 31 - </w:t>
      </w:r>
      <w:r w:rsidRPr="00F51C1B">
        <w:t xml:space="preserve">Statistics and data collection </w:t>
      </w:r>
    </w:p>
    <w:p w14:paraId="033C442E" w14:textId="77777777" w:rsidR="00AE4520" w:rsidRPr="00F51C1B" w:rsidRDefault="00AE4520" w:rsidP="00AE4520">
      <w:pPr>
        <w:jc w:val="both"/>
        <w:rPr>
          <w:rFonts w:ascii="Aptos" w:eastAsia="Aptos" w:hAnsi="Aptos" w:cs="Times New Roman"/>
          <w:b/>
          <w:bCs/>
          <w:sz w:val="21"/>
          <w:szCs w:val="21"/>
        </w:rPr>
      </w:pPr>
      <w:r w:rsidRPr="00F51C1B">
        <w:rPr>
          <w:rFonts w:ascii="Aptos" w:eastAsia="Aptos" w:hAnsi="Aptos" w:cs="Times New Roman"/>
          <w:b/>
          <w:bCs/>
          <w:sz w:val="21"/>
          <w:szCs w:val="21"/>
        </w:rPr>
        <w:t xml:space="preserve">What steps has the State taken to establish a national strategy for the systematic collection, coordination, and dissemination of disaggregated data on disabled people across all </w:t>
      </w:r>
      <w:r w:rsidRPr="00F51C1B">
        <w:rPr>
          <w:rFonts w:ascii="Aptos" w:eastAsia="Aptos" w:hAnsi="Aptos" w:cs="Times New Roman"/>
          <w:b/>
          <w:bCs/>
          <w:sz w:val="21"/>
          <w:szCs w:val="21"/>
        </w:rPr>
        <w:lastRenderedPageBreak/>
        <w:t xml:space="preserve">sectors? </w:t>
      </w:r>
      <w:r w:rsidRPr="00F51C1B">
        <w:rPr>
          <w:rFonts w:ascii="Aptos" w:eastAsia="Aptos" w:hAnsi="Aptos" w:cs="Times New Roman"/>
          <w:i/>
          <w:iCs/>
          <w:sz w:val="21"/>
          <w:szCs w:val="21"/>
        </w:rPr>
        <w:t>Please provide a copy of any national policy or strategy addressing disability data collection and coordination across ministries and public agencies.</w:t>
      </w:r>
    </w:p>
    <w:p w14:paraId="3A105208" w14:textId="77777777" w:rsidR="00AE4520" w:rsidRPr="00F51C1B" w:rsidRDefault="00AE4520" w:rsidP="00AE4520">
      <w:pPr>
        <w:jc w:val="both"/>
        <w:rPr>
          <w:rFonts w:ascii="Aptos" w:eastAsia="Aptos" w:hAnsi="Aptos" w:cs="Times New Roman"/>
          <w:b/>
          <w:bCs/>
          <w:sz w:val="21"/>
          <w:szCs w:val="21"/>
        </w:rPr>
      </w:pPr>
      <w:r w:rsidRPr="00F51C1B">
        <w:rPr>
          <w:rFonts w:ascii="Aptos" w:eastAsia="Aptos" w:hAnsi="Aptos" w:cs="Times New Roman"/>
          <w:b/>
          <w:bCs/>
          <w:sz w:val="21"/>
          <w:szCs w:val="21"/>
        </w:rPr>
        <w:t xml:space="preserve">To what extent are internationally accepted methodologies—such as the Washington Group Short Set of Questions—used in censuses, surveys, and administrative data systems in Iceland? </w:t>
      </w:r>
      <w:r w:rsidRPr="00F51C1B">
        <w:rPr>
          <w:rFonts w:ascii="Aptos" w:eastAsia="Aptos" w:hAnsi="Aptos" w:cs="Times New Roman"/>
          <w:i/>
          <w:iCs/>
          <w:sz w:val="21"/>
          <w:szCs w:val="21"/>
        </w:rPr>
        <w:t>Please provide documentation on their incorporation, adaptation, or exclusion, and any evaluations of their effectiveness</w:t>
      </w:r>
    </w:p>
    <w:p w14:paraId="1F27D507" w14:textId="77777777" w:rsidR="00AE4520" w:rsidRPr="00F51C1B" w:rsidRDefault="00AE4520" w:rsidP="00AE4520">
      <w:pPr>
        <w:jc w:val="both"/>
        <w:rPr>
          <w:rFonts w:ascii="Aptos" w:eastAsia="Aptos" w:hAnsi="Aptos" w:cs="Times New Roman"/>
          <w:b/>
          <w:bCs/>
          <w:sz w:val="21"/>
          <w:szCs w:val="21"/>
        </w:rPr>
      </w:pPr>
      <w:r w:rsidRPr="00F51C1B">
        <w:rPr>
          <w:rFonts w:ascii="Aptos" w:eastAsia="Aptos" w:hAnsi="Aptos" w:cs="Times New Roman"/>
          <w:b/>
          <w:bCs/>
          <w:sz w:val="21"/>
          <w:szCs w:val="21"/>
        </w:rPr>
        <w:t xml:space="preserve">How does the State ensure that statistical and research data on disability are made publicly available in accessible formats, including plain language, sign language, and formats suitable for people with intellectual or sensory disabilities? </w:t>
      </w:r>
      <w:r w:rsidRPr="00F51C1B">
        <w:rPr>
          <w:rFonts w:ascii="Aptos" w:eastAsia="Aptos" w:hAnsi="Aptos" w:cs="Times New Roman"/>
          <w:i/>
          <w:iCs/>
          <w:sz w:val="21"/>
          <w:szCs w:val="21"/>
        </w:rPr>
        <w:t>Please provide examples or guidelines outlining accessibility standards applied to statistical and research data.</w:t>
      </w:r>
    </w:p>
    <w:p w14:paraId="56242909" w14:textId="77777777" w:rsidR="00AE4520" w:rsidRPr="00F51C1B" w:rsidRDefault="00AE4520" w:rsidP="00AE4520">
      <w:pPr>
        <w:jc w:val="both"/>
        <w:rPr>
          <w:rFonts w:ascii="Aptos" w:eastAsia="Aptos" w:hAnsi="Aptos" w:cs="Times New Roman"/>
          <w:b/>
          <w:bCs/>
          <w:sz w:val="21"/>
          <w:szCs w:val="21"/>
        </w:rPr>
      </w:pPr>
      <w:r w:rsidRPr="00F51C1B">
        <w:rPr>
          <w:rFonts w:ascii="Aptos" w:eastAsia="Aptos" w:hAnsi="Aptos" w:cs="Times New Roman"/>
          <w:b/>
          <w:bCs/>
          <w:sz w:val="21"/>
          <w:szCs w:val="21"/>
        </w:rPr>
        <w:t xml:space="preserve">What mechanisms are in place to ensure the meaningful participation of disabled people and their representative organizations in the design, implementation, and monitoring of disability data systems? </w:t>
      </w:r>
      <w:r w:rsidRPr="00F51C1B">
        <w:rPr>
          <w:rFonts w:ascii="Aptos" w:eastAsia="Aptos" w:hAnsi="Aptos" w:cs="Times New Roman"/>
          <w:i/>
          <w:iCs/>
          <w:sz w:val="21"/>
          <w:szCs w:val="21"/>
        </w:rPr>
        <w:t>Please provide examples of co-production frameworks, consultation records, and how input has influenced data policy or practice</w:t>
      </w:r>
    </w:p>
    <w:p w14:paraId="444720A7" w14:textId="77777777" w:rsidR="00AE4520" w:rsidRPr="00F51C1B" w:rsidRDefault="00AE4520" w:rsidP="00AE4520">
      <w:pPr>
        <w:jc w:val="both"/>
        <w:rPr>
          <w:rFonts w:ascii="Aptos" w:eastAsia="Aptos" w:hAnsi="Aptos" w:cs="Times New Roman"/>
          <w:b/>
          <w:bCs/>
          <w:sz w:val="21"/>
          <w:szCs w:val="21"/>
        </w:rPr>
      </w:pPr>
      <w:r w:rsidRPr="00F51C1B">
        <w:rPr>
          <w:rFonts w:ascii="Aptos" w:eastAsia="Aptos" w:hAnsi="Aptos" w:cs="Times New Roman"/>
          <w:b/>
          <w:bCs/>
          <w:sz w:val="21"/>
          <w:szCs w:val="21"/>
        </w:rPr>
        <w:t xml:space="preserve">How does the State monitor the implementation of Article 31 and ensure accountability for breaches in access, participation, or reliability of disability-related statistics? </w:t>
      </w:r>
      <w:r w:rsidRPr="00F51C1B">
        <w:rPr>
          <w:rFonts w:ascii="Aptos" w:eastAsia="Aptos" w:hAnsi="Aptos" w:cs="Times New Roman"/>
          <w:i/>
          <w:iCs/>
          <w:sz w:val="21"/>
          <w:szCs w:val="21"/>
        </w:rPr>
        <w:t>Please provide information on any oversight mechanisms, complaint systems, or evaluations related to the accessibility and inclusiveness of the national statistical system.</w:t>
      </w:r>
    </w:p>
    <w:p w14:paraId="77BC6D19" w14:textId="77777777" w:rsidR="00AE4520" w:rsidRPr="00F51C1B" w:rsidRDefault="00AE4520" w:rsidP="00AE4520">
      <w:pPr>
        <w:jc w:val="both"/>
        <w:rPr>
          <w:rFonts w:ascii="Aptos" w:eastAsia="Aptos" w:hAnsi="Aptos" w:cs="Times New Roman"/>
          <w:b/>
          <w:bCs/>
          <w:sz w:val="21"/>
          <w:szCs w:val="21"/>
        </w:rPr>
      </w:pPr>
      <w:r w:rsidRPr="00F51C1B">
        <w:rPr>
          <w:rFonts w:ascii="Aptos" w:eastAsia="Aptos" w:hAnsi="Aptos" w:cs="Times New Roman"/>
          <w:b/>
          <w:bCs/>
          <w:sz w:val="21"/>
          <w:szCs w:val="21"/>
        </w:rPr>
        <w:t xml:space="preserve">What proportion of public spending is earmarked specifically for disability-related research and data collection, including funding for disaggregated data and awareness-raising on accessible information? </w:t>
      </w:r>
      <w:r w:rsidRPr="00F51C1B">
        <w:rPr>
          <w:rFonts w:ascii="Aptos" w:eastAsia="Aptos" w:hAnsi="Aptos" w:cs="Times New Roman"/>
          <w:i/>
          <w:iCs/>
          <w:sz w:val="21"/>
          <w:szCs w:val="21"/>
        </w:rPr>
        <w:t>Please provide a breakdown of budget allocations related to disability data collection and dissemination for the past five years.</w:t>
      </w:r>
    </w:p>
    <w:p w14:paraId="12B24E66" w14:textId="77777777" w:rsidR="00AE4520" w:rsidRPr="00F51C1B" w:rsidRDefault="00AE4520" w:rsidP="00AE4520">
      <w:pPr>
        <w:jc w:val="both"/>
        <w:rPr>
          <w:rFonts w:ascii="Aptos" w:eastAsia="Aptos" w:hAnsi="Aptos" w:cs="Times New Roman"/>
          <w:b/>
          <w:bCs/>
          <w:sz w:val="21"/>
          <w:szCs w:val="21"/>
        </w:rPr>
      </w:pPr>
      <w:r w:rsidRPr="00F51C1B">
        <w:rPr>
          <w:rFonts w:ascii="Aptos" w:eastAsia="Aptos" w:hAnsi="Aptos" w:cs="Times New Roman"/>
          <w:b/>
          <w:bCs/>
          <w:sz w:val="21"/>
          <w:szCs w:val="21"/>
        </w:rPr>
        <w:t xml:space="preserve">Are there any legislative or regulatory provisions mandating that all public data intended for the general population be made available in accessible formats for disabled people? </w:t>
      </w:r>
      <w:r w:rsidRPr="00F51C1B">
        <w:rPr>
          <w:rFonts w:ascii="Aptos" w:eastAsia="Aptos" w:hAnsi="Aptos" w:cs="Times New Roman"/>
          <w:i/>
          <w:iCs/>
          <w:sz w:val="21"/>
          <w:szCs w:val="21"/>
        </w:rPr>
        <w:t>Please provide the relevant legal texts or regulations addressing this obligation.</w:t>
      </w:r>
    </w:p>
    <w:p w14:paraId="5D764B56" w14:textId="77777777" w:rsidR="00AE4520" w:rsidRDefault="00AE4520" w:rsidP="00AE4520">
      <w:pPr>
        <w:pStyle w:val="Heading1"/>
      </w:pPr>
      <w:r>
        <w:t xml:space="preserve">Article 32 - </w:t>
      </w:r>
      <w:r w:rsidRPr="00F51C1B">
        <w:t xml:space="preserve">International cooperation </w:t>
      </w:r>
    </w:p>
    <w:p w14:paraId="1E35097F" w14:textId="77777777" w:rsidR="00AE4520" w:rsidRDefault="00AE4520" w:rsidP="00AE4520">
      <w:pPr>
        <w:pStyle w:val="Heading2"/>
      </w:pPr>
      <w:r>
        <w:t>Proposed questions</w:t>
      </w:r>
    </w:p>
    <w:p w14:paraId="73BA0C26" w14:textId="77777777" w:rsidR="00AE4520" w:rsidRPr="00F51C1B" w:rsidRDefault="00AE4520" w:rsidP="00AE4520">
      <w:pPr>
        <w:jc w:val="both"/>
        <w:rPr>
          <w:rFonts w:ascii="Aptos" w:eastAsia="Aptos" w:hAnsi="Aptos" w:cs="Times New Roman"/>
          <w:b/>
          <w:bCs/>
          <w:sz w:val="21"/>
          <w:szCs w:val="21"/>
        </w:rPr>
      </w:pPr>
      <w:r w:rsidRPr="00F51C1B">
        <w:rPr>
          <w:rFonts w:ascii="Aptos" w:eastAsia="Aptos" w:hAnsi="Aptos" w:cs="Times New Roman"/>
          <w:b/>
          <w:bCs/>
          <w:sz w:val="21"/>
          <w:szCs w:val="21"/>
        </w:rPr>
        <w:t xml:space="preserve">What measures has the State taken to ensure that international cooperation agreements—including development assistance and humanitarian aid—explicitly promote the rights of disabled people in accordance with Article 32 of the CRPD? </w:t>
      </w:r>
      <w:r w:rsidRPr="00F51C1B">
        <w:rPr>
          <w:rFonts w:ascii="Aptos" w:eastAsia="Aptos" w:hAnsi="Aptos" w:cs="Times New Roman"/>
          <w:i/>
          <w:iCs/>
          <w:sz w:val="21"/>
          <w:szCs w:val="21"/>
        </w:rPr>
        <w:t>Please provide examples of agreements, policies, or programs that include disability-specific provisions, markers, or safeguards.</w:t>
      </w:r>
    </w:p>
    <w:p w14:paraId="437104CA" w14:textId="77777777" w:rsidR="00AE4520" w:rsidRPr="00F51C1B" w:rsidRDefault="00AE4520" w:rsidP="00AE4520">
      <w:pPr>
        <w:jc w:val="both"/>
        <w:rPr>
          <w:rFonts w:ascii="Aptos" w:eastAsia="Aptos" w:hAnsi="Aptos" w:cs="Times New Roman"/>
          <w:b/>
          <w:bCs/>
          <w:sz w:val="21"/>
          <w:szCs w:val="21"/>
        </w:rPr>
      </w:pPr>
      <w:r w:rsidRPr="00F51C1B">
        <w:rPr>
          <w:rFonts w:ascii="Aptos" w:eastAsia="Aptos" w:hAnsi="Aptos" w:cs="Times New Roman"/>
          <w:b/>
          <w:bCs/>
          <w:sz w:val="21"/>
          <w:szCs w:val="21"/>
        </w:rPr>
        <w:t xml:space="preserve">To what extent are disabled people and their representative organizations (DPOs) consulted and involved in the planning, implementation, monitoring, and evaluation of Iceland’s international cooperation activities? </w:t>
      </w:r>
      <w:r w:rsidRPr="00F51C1B">
        <w:rPr>
          <w:rFonts w:ascii="Aptos" w:eastAsia="Aptos" w:hAnsi="Aptos" w:cs="Times New Roman"/>
          <w:i/>
          <w:iCs/>
          <w:sz w:val="21"/>
          <w:szCs w:val="21"/>
        </w:rPr>
        <w:t>Please provide data on consultation mechanisms, participation rates, and examples of how DPO input has influenced cooperation projects.</w:t>
      </w:r>
    </w:p>
    <w:p w14:paraId="61D1A44E" w14:textId="77777777" w:rsidR="00AE4520" w:rsidRPr="00F51C1B" w:rsidRDefault="00AE4520" w:rsidP="00AE4520">
      <w:pPr>
        <w:jc w:val="both"/>
        <w:rPr>
          <w:rFonts w:ascii="Aptos" w:eastAsia="Aptos" w:hAnsi="Aptos" w:cs="Times New Roman"/>
          <w:b/>
          <w:bCs/>
          <w:sz w:val="21"/>
          <w:szCs w:val="21"/>
        </w:rPr>
      </w:pPr>
      <w:r w:rsidRPr="00F51C1B">
        <w:rPr>
          <w:rFonts w:ascii="Aptos" w:eastAsia="Aptos" w:hAnsi="Aptos" w:cs="Times New Roman"/>
          <w:b/>
          <w:bCs/>
          <w:sz w:val="21"/>
          <w:szCs w:val="21"/>
        </w:rPr>
        <w:lastRenderedPageBreak/>
        <w:t xml:space="preserve">Has the State adopted any guidelines or training programs for development and humanitarian personnel to ensure inclusive and accessible cooperation, including the use of universal design and accessibility standards? </w:t>
      </w:r>
      <w:r w:rsidRPr="00F51C1B">
        <w:rPr>
          <w:rFonts w:ascii="Aptos" w:eastAsia="Aptos" w:hAnsi="Aptos" w:cs="Times New Roman"/>
          <w:i/>
          <w:iCs/>
          <w:sz w:val="21"/>
          <w:szCs w:val="21"/>
        </w:rPr>
        <w:t>Please provide copies of relevant training materials, policy documents, or accessibility criteria applied in aid programs.</w:t>
      </w:r>
    </w:p>
    <w:p w14:paraId="429925E5" w14:textId="77777777" w:rsidR="00AE4520" w:rsidRPr="00F51C1B" w:rsidRDefault="00AE4520" w:rsidP="00AE4520">
      <w:pPr>
        <w:jc w:val="both"/>
        <w:rPr>
          <w:rFonts w:ascii="Aptos" w:eastAsia="Aptos" w:hAnsi="Aptos" w:cs="Times New Roman"/>
          <w:i/>
          <w:iCs/>
          <w:sz w:val="21"/>
          <w:szCs w:val="21"/>
        </w:rPr>
      </w:pPr>
      <w:r w:rsidRPr="00F51C1B">
        <w:rPr>
          <w:rFonts w:ascii="Aptos" w:eastAsia="Aptos" w:hAnsi="Aptos" w:cs="Times New Roman"/>
          <w:b/>
          <w:bCs/>
          <w:sz w:val="21"/>
          <w:szCs w:val="21"/>
        </w:rPr>
        <w:t xml:space="preserve">Does the State collect and publish disaggregated data on the participation and impact of development aid on disabled people, both as beneficiaries and as actors in cooperation? </w:t>
      </w:r>
      <w:r w:rsidRPr="00F51C1B">
        <w:rPr>
          <w:rFonts w:ascii="Aptos" w:eastAsia="Aptos" w:hAnsi="Aptos" w:cs="Times New Roman"/>
          <w:i/>
          <w:iCs/>
          <w:sz w:val="21"/>
          <w:szCs w:val="21"/>
        </w:rPr>
        <w:t>Please provide statistical information disaggregated by disability, sex, and age, and describe how this data informs inclusive policy and programming.</w:t>
      </w:r>
    </w:p>
    <w:p w14:paraId="084F88B4" w14:textId="77777777" w:rsidR="00AE4520" w:rsidRPr="00F51C1B" w:rsidRDefault="00AE4520" w:rsidP="00AE4520">
      <w:pPr>
        <w:jc w:val="both"/>
        <w:rPr>
          <w:rFonts w:ascii="Aptos" w:eastAsia="Aptos" w:hAnsi="Aptos" w:cs="Times New Roman"/>
          <w:b/>
          <w:bCs/>
          <w:sz w:val="21"/>
          <w:szCs w:val="21"/>
        </w:rPr>
      </w:pPr>
      <w:r w:rsidRPr="00F51C1B">
        <w:rPr>
          <w:rFonts w:ascii="Aptos" w:eastAsia="Aptos" w:hAnsi="Aptos" w:cs="Times New Roman"/>
          <w:b/>
          <w:bCs/>
          <w:sz w:val="21"/>
          <w:szCs w:val="21"/>
        </w:rPr>
        <w:t xml:space="preserve">Is there a formal policy or strategy linking Iceland’s academic cooperation or research partnerships to CRPD implementation in international contexts? </w:t>
      </w:r>
      <w:r w:rsidRPr="00F51C1B">
        <w:rPr>
          <w:rFonts w:ascii="Aptos" w:eastAsia="Aptos" w:hAnsi="Aptos" w:cs="Times New Roman"/>
          <w:i/>
          <w:iCs/>
          <w:sz w:val="21"/>
          <w:szCs w:val="21"/>
        </w:rPr>
        <w:t>Please provide relevant policy statements, strategic documents, or examples of academic initiatives that advance disability-inclusive development.</w:t>
      </w:r>
    </w:p>
    <w:p w14:paraId="6E3C11F1" w14:textId="77777777" w:rsidR="00AE4520" w:rsidRPr="00F51C1B" w:rsidRDefault="00AE4520" w:rsidP="00AE4520">
      <w:pPr>
        <w:jc w:val="both"/>
        <w:rPr>
          <w:rFonts w:ascii="Aptos" w:eastAsia="Aptos" w:hAnsi="Aptos" w:cs="Times New Roman"/>
          <w:b/>
          <w:bCs/>
          <w:sz w:val="21"/>
          <w:szCs w:val="21"/>
        </w:rPr>
      </w:pPr>
      <w:r w:rsidRPr="00F51C1B">
        <w:rPr>
          <w:rFonts w:ascii="Aptos" w:eastAsia="Aptos" w:hAnsi="Aptos" w:cs="Times New Roman"/>
          <w:b/>
          <w:bCs/>
          <w:sz w:val="21"/>
          <w:szCs w:val="21"/>
        </w:rPr>
        <w:t xml:space="preserve">How does the State ensure that international cooperation activities do not inadvertently exclude or harm disabled people, for example, through inaccessible procurement, segregated implementation, or lack of appropriate safeguards? </w:t>
      </w:r>
      <w:r w:rsidRPr="00F51C1B">
        <w:rPr>
          <w:rFonts w:ascii="Aptos" w:eastAsia="Aptos" w:hAnsi="Aptos" w:cs="Times New Roman"/>
          <w:i/>
          <w:iCs/>
          <w:sz w:val="21"/>
          <w:szCs w:val="21"/>
        </w:rPr>
        <w:t>Please provide examples of risk assessments, safeguard mechanisms, or inclusive design protocols used in aid projects.</w:t>
      </w:r>
    </w:p>
    <w:p w14:paraId="11893F5E" w14:textId="77777777" w:rsidR="00AE4520" w:rsidRPr="00F51C1B" w:rsidRDefault="00AE4520" w:rsidP="00AE4520">
      <w:pPr>
        <w:jc w:val="both"/>
        <w:rPr>
          <w:rFonts w:ascii="Aptos" w:eastAsia="Aptos" w:hAnsi="Aptos" w:cs="Times New Roman"/>
          <w:b/>
          <w:bCs/>
          <w:sz w:val="21"/>
          <w:szCs w:val="21"/>
        </w:rPr>
      </w:pPr>
      <w:r w:rsidRPr="00F51C1B">
        <w:rPr>
          <w:rFonts w:ascii="Aptos" w:eastAsia="Aptos" w:hAnsi="Aptos" w:cs="Times New Roman"/>
          <w:b/>
          <w:bCs/>
          <w:sz w:val="21"/>
          <w:szCs w:val="21"/>
        </w:rPr>
        <w:t xml:space="preserve">Is there a formal policy or strategy linking Iceland’s academic cooperation or research partnerships to CRPD implementation in international contexts? </w:t>
      </w:r>
      <w:r w:rsidRPr="00F51C1B">
        <w:rPr>
          <w:rFonts w:ascii="Aptos" w:eastAsia="Aptos" w:hAnsi="Aptos" w:cs="Times New Roman"/>
          <w:i/>
          <w:iCs/>
          <w:sz w:val="21"/>
          <w:szCs w:val="21"/>
        </w:rPr>
        <w:t>Please provide relevant policy statements or strategic documents demonstrating the alignment of academic internationalization with disability rights obligations.</w:t>
      </w:r>
    </w:p>
    <w:p w14:paraId="5950B384" w14:textId="77777777" w:rsidR="00AE4520" w:rsidRPr="00F51C1B" w:rsidRDefault="00AE4520" w:rsidP="00AE4520">
      <w:pPr>
        <w:jc w:val="both"/>
        <w:rPr>
          <w:rFonts w:ascii="Aptos" w:eastAsia="Aptos" w:hAnsi="Aptos" w:cs="Times New Roman"/>
          <w:b/>
          <w:bCs/>
          <w:sz w:val="21"/>
          <w:szCs w:val="21"/>
        </w:rPr>
      </w:pPr>
      <w:r w:rsidRPr="00F51C1B">
        <w:rPr>
          <w:rFonts w:ascii="Aptos" w:eastAsia="Aptos" w:hAnsi="Aptos" w:cs="Times New Roman"/>
          <w:b/>
          <w:bCs/>
          <w:sz w:val="21"/>
          <w:szCs w:val="21"/>
        </w:rPr>
        <w:t xml:space="preserve">Has the State reported any commitments to global disability-inclusive development frameworks, such as the Global Disability Summit, or reported on progress under SDG indicators relevant to people with disabilities? </w:t>
      </w:r>
      <w:r w:rsidRPr="00F51C1B">
        <w:rPr>
          <w:rFonts w:ascii="Aptos" w:eastAsia="Aptos" w:hAnsi="Aptos" w:cs="Times New Roman"/>
          <w:i/>
          <w:iCs/>
          <w:sz w:val="21"/>
          <w:szCs w:val="21"/>
        </w:rPr>
        <w:t xml:space="preserve">Please provide the State’s submissions, commitments, or </w:t>
      </w:r>
      <w:proofErr w:type="gramStart"/>
      <w:r w:rsidRPr="00F51C1B">
        <w:rPr>
          <w:rFonts w:ascii="Aptos" w:eastAsia="Aptos" w:hAnsi="Aptos" w:cs="Times New Roman"/>
          <w:i/>
          <w:iCs/>
          <w:sz w:val="21"/>
          <w:szCs w:val="21"/>
        </w:rPr>
        <w:t>monitoring</w:t>
      </w:r>
      <w:proofErr w:type="gramEnd"/>
      <w:r w:rsidRPr="00F51C1B">
        <w:rPr>
          <w:rFonts w:ascii="Aptos" w:eastAsia="Aptos" w:hAnsi="Aptos" w:cs="Times New Roman"/>
          <w:i/>
          <w:iCs/>
          <w:sz w:val="21"/>
          <w:szCs w:val="21"/>
        </w:rPr>
        <w:t xml:space="preserve"> data related to international disability-inclusive development frameworks.</w:t>
      </w:r>
    </w:p>
    <w:p w14:paraId="0803BBE7" w14:textId="77777777" w:rsidR="00AE4520" w:rsidRDefault="00AE4520" w:rsidP="00AE4520">
      <w:pPr>
        <w:pStyle w:val="Heading1"/>
      </w:pPr>
      <w:r>
        <w:t xml:space="preserve">Article 33 - </w:t>
      </w:r>
      <w:r w:rsidRPr="00F51C1B">
        <w:t xml:space="preserve">National implementation and monitoring </w:t>
      </w:r>
    </w:p>
    <w:p w14:paraId="124C4471" w14:textId="77777777" w:rsidR="00AE4520" w:rsidRDefault="00AE4520" w:rsidP="00AE4520">
      <w:pPr>
        <w:pStyle w:val="Heading2"/>
      </w:pPr>
      <w:r>
        <w:t>Proposed questions</w:t>
      </w:r>
    </w:p>
    <w:p w14:paraId="12EA6D62" w14:textId="77777777" w:rsidR="00AE4520" w:rsidRPr="00F51C1B" w:rsidRDefault="00AE4520" w:rsidP="00AE4520">
      <w:pPr>
        <w:jc w:val="both"/>
        <w:rPr>
          <w:rFonts w:ascii="Aptos" w:eastAsia="Aptos" w:hAnsi="Aptos" w:cs="Times New Roman"/>
          <w:b/>
          <w:bCs/>
          <w:sz w:val="21"/>
          <w:szCs w:val="21"/>
        </w:rPr>
      </w:pPr>
      <w:r w:rsidRPr="00F51C1B">
        <w:rPr>
          <w:rFonts w:ascii="Aptos" w:eastAsia="Aptos" w:hAnsi="Aptos" w:cs="Times New Roman"/>
          <w:b/>
          <w:bCs/>
          <w:sz w:val="21"/>
          <w:szCs w:val="21"/>
        </w:rPr>
        <w:t xml:space="preserve">Why has the State Party failed to designate a national focal point(s) and a coordination mechanism as required under Article 33(1), despite having ratified the CRPD in 2016? </w:t>
      </w:r>
      <w:r w:rsidRPr="00F51C1B">
        <w:rPr>
          <w:rFonts w:ascii="Aptos" w:eastAsia="Aptos" w:hAnsi="Aptos" w:cs="Times New Roman"/>
          <w:i/>
          <w:iCs/>
          <w:sz w:val="21"/>
          <w:szCs w:val="21"/>
        </w:rPr>
        <w:t>Please provide information on any planned legal or institutional reforms to designate a national focal point and establish a coordination mechanism for CRPD implementation, including timelines, responsible authorities, and stakeholder consultation processes.</w:t>
      </w:r>
    </w:p>
    <w:p w14:paraId="46730345" w14:textId="77777777" w:rsidR="00AE4520" w:rsidRPr="00F51C1B" w:rsidRDefault="00AE4520" w:rsidP="00AE4520">
      <w:pPr>
        <w:jc w:val="both"/>
        <w:rPr>
          <w:rFonts w:ascii="Aptos" w:eastAsia="Aptos" w:hAnsi="Aptos" w:cs="Times New Roman"/>
          <w:b/>
          <w:bCs/>
          <w:sz w:val="21"/>
          <w:szCs w:val="21"/>
        </w:rPr>
      </w:pPr>
      <w:r w:rsidRPr="00F51C1B">
        <w:rPr>
          <w:rFonts w:ascii="Aptos" w:eastAsia="Aptos" w:hAnsi="Aptos" w:cs="Times New Roman"/>
          <w:b/>
          <w:bCs/>
          <w:sz w:val="21"/>
          <w:szCs w:val="21"/>
        </w:rPr>
        <w:t xml:space="preserve">What measures have been taken to ensure the independence, legal security, and adequate resourcing of the monitoring mechanism designated under Article 33(2)? </w:t>
      </w:r>
      <w:r w:rsidRPr="00F51C1B">
        <w:rPr>
          <w:rFonts w:ascii="Aptos" w:eastAsia="Aptos" w:hAnsi="Aptos" w:cs="Times New Roman"/>
          <w:i/>
          <w:iCs/>
          <w:sz w:val="21"/>
          <w:szCs w:val="21"/>
        </w:rPr>
        <w:t>Please provide documentation regarding the mandate, funding structure, and independence safeguards of the Icelandic Human Rights Institute in its role as a monitoring body.</w:t>
      </w:r>
    </w:p>
    <w:p w14:paraId="45515086" w14:textId="77777777" w:rsidR="00AE4520" w:rsidRPr="00F51C1B" w:rsidRDefault="00AE4520" w:rsidP="00AE4520">
      <w:pPr>
        <w:jc w:val="both"/>
        <w:rPr>
          <w:rFonts w:ascii="Aptos" w:eastAsia="Aptos" w:hAnsi="Aptos" w:cs="Times New Roman"/>
          <w:b/>
          <w:bCs/>
          <w:sz w:val="21"/>
          <w:szCs w:val="21"/>
        </w:rPr>
      </w:pPr>
      <w:r w:rsidRPr="00F51C1B">
        <w:rPr>
          <w:rFonts w:ascii="Aptos" w:eastAsia="Aptos" w:hAnsi="Aptos" w:cs="Times New Roman"/>
          <w:b/>
          <w:bCs/>
          <w:sz w:val="21"/>
          <w:szCs w:val="21"/>
        </w:rPr>
        <w:lastRenderedPageBreak/>
        <w:t xml:space="preserve">How does the State Party ensure the participation of a diverse and representative range of disabled people and their organizations in the implementation and monitoring of the Convention? </w:t>
      </w:r>
      <w:r w:rsidRPr="00F51C1B">
        <w:rPr>
          <w:rFonts w:ascii="Aptos" w:eastAsia="Aptos" w:hAnsi="Aptos" w:cs="Times New Roman"/>
          <w:i/>
          <w:iCs/>
          <w:sz w:val="21"/>
          <w:szCs w:val="21"/>
        </w:rPr>
        <w:t>Please provide a list of organizations and individuals currently involved, and explain how pluralism, intersectionality, and turnover are promoted.</w:t>
      </w:r>
    </w:p>
    <w:p w14:paraId="5B8AF214" w14:textId="77777777" w:rsidR="00AE4520" w:rsidRPr="00F51C1B" w:rsidRDefault="00AE4520" w:rsidP="00AE4520">
      <w:pPr>
        <w:jc w:val="both"/>
        <w:rPr>
          <w:rFonts w:ascii="Aptos" w:eastAsia="Aptos" w:hAnsi="Aptos" w:cs="Times New Roman"/>
          <w:b/>
          <w:bCs/>
          <w:sz w:val="21"/>
          <w:szCs w:val="21"/>
        </w:rPr>
      </w:pPr>
      <w:r w:rsidRPr="00F51C1B">
        <w:rPr>
          <w:rFonts w:ascii="Aptos" w:eastAsia="Aptos" w:hAnsi="Aptos" w:cs="Times New Roman"/>
          <w:b/>
          <w:bCs/>
          <w:sz w:val="21"/>
          <w:szCs w:val="21"/>
        </w:rPr>
        <w:t xml:space="preserve">What steps has the State Party taken to involve disabled people in the development of indicators and data collection systems for monitoring CRPD implementation? </w:t>
      </w:r>
      <w:r w:rsidRPr="00F51C1B">
        <w:rPr>
          <w:rFonts w:ascii="Aptos" w:eastAsia="Aptos" w:hAnsi="Aptos" w:cs="Times New Roman"/>
          <w:i/>
          <w:iCs/>
          <w:sz w:val="21"/>
          <w:szCs w:val="21"/>
        </w:rPr>
        <w:t>Please provide information on existing or planned national indicators, disaggregated data systems, and any collaboration with DPOs or research institutions in this area.</w:t>
      </w:r>
    </w:p>
    <w:p w14:paraId="7C75DB74" w14:textId="77777777" w:rsidR="00AE4520" w:rsidRPr="00F51C1B" w:rsidRDefault="00AE4520" w:rsidP="00AE4520">
      <w:pPr>
        <w:jc w:val="both"/>
        <w:rPr>
          <w:rFonts w:ascii="Aptos" w:eastAsia="Aptos" w:hAnsi="Aptos" w:cs="Times New Roman"/>
          <w:b/>
          <w:bCs/>
          <w:sz w:val="21"/>
          <w:szCs w:val="21"/>
        </w:rPr>
      </w:pPr>
      <w:r w:rsidRPr="00F51C1B">
        <w:rPr>
          <w:rFonts w:ascii="Aptos" w:eastAsia="Aptos" w:hAnsi="Aptos" w:cs="Times New Roman"/>
          <w:b/>
          <w:bCs/>
          <w:sz w:val="21"/>
          <w:szCs w:val="21"/>
        </w:rPr>
        <w:t>Given that rights protection officers (</w:t>
      </w:r>
      <w:proofErr w:type="spellStart"/>
      <w:r w:rsidRPr="00F51C1B">
        <w:rPr>
          <w:rFonts w:ascii="Aptos" w:eastAsia="Aptos" w:hAnsi="Aptos" w:cs="Times New Roman"/>
          <w:b/>
          <w:bCs/>
          <w:sz w:val="21"/>
          <w:szCs w:val="21"/>
        </w:rPr>
        <w:t>réttindagæslumenn</w:t>
      </w:r>
      <w:proofErr w:type="spellEnd"/>
      <w:r w:rsidRPr="00F51C1B">
        <w:rPr>
          <w:rFonts w:ascii="Aptos" w:eastAsia="Aptos" w:hAnsi="Aptos" w:cs="Times New Roman"/>
          <w:b/>
          <w:bCs/>
          <w:sz w:val="21"/>
          <w:szCs w:val="21"/>
        </w:rPr>
        <w:t xml:space="preserve">) are appointed and operate under laws falling under ministerial authority, how does the State ensure their structural and functional independence in line with Article 33(2) and the Paris Principles? </w:t>
      </w:r>
      <w:r w:rsidRPr="00F51C1B">
        <w:rPr>
          <w:rFonts w:ascii="Aptos" w:eastAsia="Aptos" w:hAnsi="Aptos" w:cs="Times New Roman"/>
          <w:i/>
          <w:iCs/>
          <w:sz w:val="21"/>
          <w:szCs w:val="21"/>
        </w:rPr>
        <w:t>Please provide legal frameworks, oversight mechanisms, and any evaluations of their independence.</w:t>
      </w:r>
    </w:p>
    <w:p w14:paraId="5070EA73" w14:textId="77777777" w:rsidR="00AE4520" w:rsidRPr="00F51C1B" w:rsidRDefault="00AE4520" w:rsidP="00AE4520">
      <w:pPr>
        <w:jc w:val="both"/>
        <w:rPr>
          <w:rFonts w:ascii="Aptos" w:eastAsia="Aptos" w:hAnsi="Aptos" w:cs="Times New Roman"/>
          <w:b/>
          <w:bCs/>
          <w:sz w:val="21"/>
          <w:szCs w:val="21"/>
        </w:rPr>
      </w:pPr>
      <w:r w:rsidRPr="00F51C1B">
        <w:rPr>
          <w:rFonts w:ascii="Aptos" w:eastAsia="Aptos" w:hAnsi="Aptos" w:cs="Times New Roman"/>
          <w:b/>
          <w:bCs/>
          <w:sz w:val="21"/>
          <w:szCs w:val="21"/>
        </w:rPr>
        <w:t xml:space="preserve">Why has the State Party not issued regular public reports or evaluations of CRPD implementation through the national monitoring mechanism? </w:t>
      </w:r>
      <w:r w:rsidRPr="00F51C1B">
        <w:rPr>
          <w:rFonts w:ascii="Aptos" w:eastAsia="Aptos" w:hAnsi="Aptos" w:cs="Times New Roman"/>
          <w:i/>
          <w:iCs/>
          <w:sz w:val="21"/>
          <w:szCs w:val="21"/>
        </w:rPr>
        <w:t>Please provide any internal evaluations, assessments, or unpublished monitoring materials available since ratification.</w:t>
      </w:r>
    </w:p>
    <w:p w14:paraId="16DF1A9E" w14:textId="77777777" w:rsidR="00AE4520" w:rsidRDefault="00AE4520" w:rsidP="00AE4520">
      <w:pPr>
        <w:pStyle w:val="Heading2"/>
      </w:pPr>
    </w:p>
    <w:p w14:paraId="7F24CD9A" w14:textId="488F8C08" w:rsidR="00AE4520" w:rsidRDefault="00AE4520">
      <w:pPr>
        <w:rPr>
          <w:sz w:val="21"/>
          <w:szCs w:val="21"/>
        </w:rPr>
      </w:pPr>
      <w:r>
        <w:rPr>
          <w:sz w:val="21"/>
          <w:szCs w:val="21"/>
        </w:rPr>
        <w:br w:type="page"/>
      </w:r>
    </w:p>
    <w:p w14:paraId="3C9ADFF9" w14:textId="77777777" w:rsidR="00AE4520" w:rsidRPr="00633822" w:rsidRDefault="00AE4520" w:rsidP="00AE4520">
      <w:pPr>
        <w:pBdr>
          <w:bottom w:val="single" w:sz="8" w:space="4" w:color="4F81BD"/>
        </w:pBdr>
        <w:spacing w:after="300" w:line="240" w:lineRule="auto"/>
        <w:contextualSpacing/>
        <w:jc w:val="center"/>
        <w:rPr>
          <w:rFonts w:ascii="Calibri" w:eastAsia="MS Gothic" w:hAnsi="Calibri" w:cs="Times New Roman"/>
          <w:color w:val="17365D"/>
          <w:spacing w:val="5"/>
          <w:kern w:val="28"/>
          <w:sz w:val="52"/>
          <w:szCs w:val="52"/>
          <w14:ligatures w14:val="none"/>
        </w:rPr>
      </w:pPr>
      <w:bookmarkStart w:id="33" w:name="_Toc201855774"/>
      <w:r w:rsidRPr="00633822">
        <w:rPr>
          <w:rFonts w:ascii="Calibri" w:eastAsia="MS Gothic" w:hAnsi="Calibri" w:cs="Times New Roman"/>
          <w:color w:val="17365D"/>
          <w:spacing w:val="5"/>
          <w:kern w:val="28"/>
          <w:sz w:val="52"/>
          <w:szCs w:val="52"/>
          <w14:ligatures w14:val="none"/>
        </w:rPr>
        <w:lastRenderedPageBreak/>
        <w:t>Appendix</w:t>
      </w:r>
      <w:r>
        <w:rPr>
          <w:rFonts w:ascii="Calibri" w:eastAsia="MS Gothic" w:hAnsi="Calibri" w:cs="Times New Roman"/>
          <w:color w:val="17365D"/>
          <w:spacing w:val="5"/>
          <w:kern w:val="28"/>
          <w:sz w:val="52"/>
          <w:szCs w:val="52"/>
          <w14:ligatures w14:val="none"/>
        </w:rPr>
        <w:t xml:space="preserve"> II</w:t>
      </w:r>
    </w:p>
    <w:p w14:paraId="1C8F1CAA" w14:textId="77777777" w:rsidR="00AE4520" w:rsidRPr="00633822" w:rsidRDefault="00AE4520" w:rsidP="00AE4520">
      <w:pPr>
        <w:numPr>
          <w:ilvl w:val="1"/>
          <w:numId w:val="0"/>
        </w:numPr>
        <w:spacing w:after="200" w:line="276" w:lineRule="auto"/>
        <w:jc w:val="center"/>
        <w:rPr>
          <w:rFonts w:ascii="Calibri" w:eastAsia="MS Gothic" w:hAnsi="Calibri" w:cs="Times New Roman"/>
          <w:i/>
          <w:iCs/>
          <w:color w:val="4F81BD"/>
          <w:spacing w:val="15"/>
          <w:kern w:val="0"/>
          <w14:ligatures w14:val="none"/>
        </w:rPr>
      </w:pPr>
      <w:r>
        <w:rPr>
          <w:rFonts w:ascii="Calibri" w:eastAsia="MS Gothic" w:hAnsi="Calibri" w:cs="Times New Roman"/>
          <w:i/>
          <w:iCs/>
          <w:color w:val="4F81BD"/>
          <w:spacing w:val="15"/>
          <w:kern w:val="0"/>
          <w14:ligatures w14:val="none"/>
        </w:rPr>
        <w:t>References</w:t>
      </w:r>
    </w:p>
    <w:p w14:paraId="394B6AFE" w14:textId="77777777" w:rsidR="00AE4520" w:rsidRPr="00633822" w:rsidRDefault="00AE4520" w:rsidP="00AE4520">
      <w:pPr>
        <w:spacing w:after="200" w:line="276" w:lineRule="auto"/>
        <w:jc w:val="center"/>
        <w:rPr>
          <w:rFonts w:ascii="Georgia" w:eastAsia="MS Mincho" w:hAnsi="Georgia" w:cs="Times New Roman"/>
          <w:kern w:val="0"/>
          <w:sz w:val="22"/>
          <w:szCs w:val="22"/>
          <w14:ligatures w14:val="none"/>
        </w:rPr>
      </w:pPr>
      <w:r w:rsidRPr="00633822">
        <w:rPr>
          <w:rFonts w:ascii="Georgia" w:eastAsia="MS Mincho" w:hAnsi="Georgia" w:cs="Times New Roman"/>
          <w:kern w:val="0"/>
          <w:sz w:val="22"/>
          <w:szCs w:val="22"/>
          <w14:ligatures w14:val="none"/>
        </w:rPr>
        <w:t xml:space="preserve">This appendix compiles all </w:t>
      </w:r>
      <w:r>
        <w:rPr>
          <w:rFonts w:ascii="Georgia" w:eastAsia="MS Mincho" w:hAnsi="Georgia" w:cs="Times New Roman"/>
          <w:kern w:val="0"/>
          <w:sz w:val="22"/>
          <w:szCs w:val="22"/>
          <w14:ligatures w14:val="none"/>
        </w:rPr>
        <w:t>research</w:t>
      </w:r>
      <w:r w:rsidRPr="00633822">
        <w:rPr>
          <w:rFonts w:ascii="Georgia" w:eastAsia="MS Mincho" w:hAnsi="Georgia" w:cs="Times New Roman"/>
          <w:kern w:val="0"/>
          <w:sz w:val="22"/>
          <w:szCs w:val="22"/>
          <w14:ligatures w14:val="none"/>
        </w:rPr>
        <w:t xml:space="preserve"> referenced in the main body of the report.</w:t>
      </w:r>
    </w:p>
    <w:p w14:paraId="1D5465D2" w14:textId="77777777" w:rsidR="00AE4520" w:rsidRPr="006B7C78" w:rsidRDefault="00AE4520" w:rsidP="00AE4520">
      <w:pPr>
        <w:spacing w:after="200" w:line="276" w:lineRule="auto"/>
        <w:rPr>
          <w:rFonts w:ascii="Georgia" w:eastAsia="MS Mincho" w:hAnsi="Georgia" w:cs="Times New Roman"/>
          <w:kern w:val="0"/>
          <w:sz w:val="22"/>
          <w:szCs w:val="22"/>
          <w14:ligatures w14:val="none"/>
        </w:rPr>
      </w:pPr>
      <w:r>
        <w:rPr>
          <w:rFonts w:ascii="Calibri" w:eastAsia="MS Gothic" w:hAnsi="Calibri" w:cs="Times New Roman"/>
          <w:b/>
          <w:bCs/>
          <w:color w:val="365F91"/>
          <w:kern w:val="0"/>
          <w:sz w:val="28"/>
          <w:szCs w:val="28"/>
          <w14:ligatures w14:val="none"/>
        </w:rPr>
        <w:br w:type="page"/>
      </w:r>
    </w:p>
    <w:p w14:paraId="49D2F112" w14:textId="77777777" w:rsidR="00AE4520" w:rsidRPr="00AD4173" w:rsidRDefault="00AE4520" w:rsidP="00AE4520">
      <w:pPr>
        <w:keepNext/>
        <w:keepLines/>
        <w:spacing w:before="480" w:after="0" w:line="276" w:lineRule="auto"/>
        <w:outlineLvl w:val="0"/>
        <w:rPr>
          <w:rFonts w:ascii="Calibri" w:eastAsia="MS Gothic" w:hAnsi="Calibri" w:cs="Times New Roman"/>
          <w:b/>
          <w:bCs/>
          <w:color w:val="365F91"/>
          <w:kern w:val="0"/>
          <w:sz w:val="28"/>
          <w:szCs w:val="28"/>
          <w14:ligatures w14:val="none"/>
        </w:rPr>
      </w:pPr>
      <w:r w:rsidRPr="00AD4173">
        <w:rPr>
          <w:rFonts w:ascii="Calibri" w:eastAsia="MS Gothic" w:hAnsi="Calibri" w:cs="Times New Roman"/>
          <w:b/>
          <w:bCs/>
          <w:color w:val="365F91"/>
          <w:kern w:val="0"/>
          <w:sz w:val="28"/>
          <w:szCs w:val="28"/>
          <w14:ligatures w14:val="none"/>
        </w:rPr>
        <w:lastRenderedPageBreak/>
        <w:t>References</w:t>
      </w:r>
      <w:bookmarkEnd w:id="33"/>
    </w:p>
    <w:p w14:paraId="3C7719D4"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Björnsdóttir, K. (2022). Having high hopes for the future. In </w:t>
      </w:r>
      <w:r w:rsidRPr="00AD4173">
        <w:rPr>
          <w:rFonts w:ascii="Aptos" w:eastAsia="Aptos" w:hAnsi="Aptos" w:cs="Times New Roman"/>
          <w:i/>
          <w:iCs/>
          <w:sz w:val="21"/>
          <w:szCs w:val="21"/>
        </w:rPr>
        <w:t>Educating Exceptional Children</w:t>
      </w:r>
      <w:r w:rsidRPr="00AD4173">
        <w:rPr>
          <w:rFonts w:ascii="Aptos" w:eastAsia="Aptos" w:hAnsi="Aptos" w:cs="Times New Roman"/>
          <w:sz w:val="21"/>
          <w:szCs w:val="21"/>
        </w:rPr>
        <w:t xml:space="preserve"> (15 ed., pp. 126-127). Cengage.</w:t>
      </w:r>
    </w:p>
    <w:p w14:paraId="4026AF22"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Björnsdóttir, K. (2022). </w:t>
      </w:r>
      <w:proofErr w:type="spellStart"/>
      <w:r w:rsidRPr="00AD4173">
        <w:rPr>
          <w:rFonts w:ascii="Aptos" w:eastAsia="Aptos" w:hAnsi="Aptos" w:cs="Times New Roman"/>
          <w:sz w:val="21"/>
          <w:szCs w:val="21"/>
        </w:rPr>
        <w:t>Samspil</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sjálfræðis</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og</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kynverundar</w:t>
      </w:r>
      <w:proofErr w:type="spellEnd"/>
      <w:r w:rsidRPr="00AD4173">
        <w:rPr>
          <w:rFonts w:ascii="Aptos" w:eastAsia="Aptos" w:hAnsi="Aptos" w:cs="Times New Roman"/>
          <w:sz w:val="21"/>
          <w:szCs w:val="21"/>
        </w:rPr>
        <w:t xml:space="preserve">. In Á. Stefánsdóttir, G. V. Stefánsdóttir, &amp; K. Björnsdóttir (Eds.), </w:t>
      </w:r>
      <w:proofErr w:type="spellStart"/>
      <w:r w:rsidRPr="00AD4173">
        <w:rPr>
          <w:rFonts w:ascii="Aptos" w:eastAsia="Aptos" w:hAnsi="Aptos" w:cs="Times New Roman"/>
          <w:i/>
          <w:iCs/>
          <w:sz w:val="21"/>
          <w:szCs w:val="21"/>
        </w:rPr>
        <w:t>Aðstæðubundið</w:t>
      </w:r>
      <w:proofErr w:type="spellEnd"/>
      <w:r w:rsidRPr="00AD4173">
        <w:rPr>
          <w:rFonts w:ascii="Aptos" w:eastAsia="Aptos" w:hAnsi="Aptos" w:cs="Times New Roman"/>
          <w:i/>
          <w:iCs/>
          <w:sz w:val="21"/>
          <w:szCs w:val="21"/>
        </w:rPr>
        <w:t xml:space="preserve"> </w:t>
      </w:r>
      <w:proofErr w:type="spellStart"/>
      <w:proofErr w:type="gramStart"/>
      <w:r w:rsidRPr="00AD4173">
        <w:rPr>
          <w:rFonts w:ascii="Aptos" w:eastAsia="Aptos" w:hAnsi="Aptos" w:cs="Times New Roman"/>
          <w:i/>
          <w:iCs/>
          <w:sz w:val="21"/>
          <w:szCs w:val="21"/>
        </w:rPr>
        <w:t>sjálfræði</w:t>
      </w:r>
      <w:proofErr w:type="spellEnd"/>
      <w:r w:rsidRPr="00AD4173">
        <w:rPr>
          <w:rFonts w:ascii="Aptos" w:eastAsia="Aptos" w:hAnsi="Aptos" w:cs="Times New Roman"/>
          <w:i/>
          <w:iCs/>
          <w:sz w:val="21"/>
          <w:szCs w:val="21"/>
        </w:rPr>
        <w:t xml:space="preserve"> :</w:t>
      </w:r>
      <w:proofErr w:type="gram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líf</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aðstæður</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fólks</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með</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þroskahömlun</w:t>
      </w:r>
      <w:proofErr w:type="spellEnd"/>
      <w:r w:rsidRPr="00AD4173">
        <w:rPr>
          <w:rFonts w:ascii="Aptos" w:eastAsia="Aptos" w:hAnsi="Aptos" w:cs="Times New Roman"/>
          <w:i/>
          <w:iCs/>
          <w:sz w:val="21"/>
          <w:szCs w:val="21"/>
        </w:rPr>
        <w:t xml:space="preserve"> </w:t>
      </w:r>
      <w:r w:rsidRPr="00AD4173">
        <w:rPr>
          <w:rFonts w:ascii="Aptos" w:eastAsia="Aptos" w:hAnsi="Aptos" w:cs="Times New Roman"/>
          <w:sz w:val="21"/>
          <w:szCs w:val="21"/>
        </w:rPr>
        <w:t xml:space="preserve">(pp. 121-151). Reykjavík: </w:t>
      </w:r>
      <w:proofErr w:type="spellStart"/>
      <w:r w:rsidRPr="00AD4173">
        <w:rPr>
          <w:rFonts w:ascii="Aptos" w:eastAsia="Aptos" w:hAnsi="Aptos" w:cs="Times New Roman"/>
          <w:sz w:val="21"/>
          <w:szCs w:val="21"/>
        </w:rPr>
        <w:t>Háskólaútgáfan</w:t>
      </w:r>
      <w:proofErr w:type="spellEnd"/>
      <w:r w:rsidRPr="00AD4173">
        <w:rPr>
          <w:rFonts w:ascii="Aptos" w:eastAsia="Aptos" w:hAnsi="Aptos" w:cs="Times New Roman"/>
          <w:sz w:val="21"/>
          <w:szCs w:val="21"/>
        </w:rPr>
        <w:t>.</w:t>
      </w:r>
    </w:p>
    <w:p w14:paraId="27199261"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Björnsdóttir, K. (2022). </w:t>
      </w:r>
      <w:proofErr w:type="spellStart"/>
      <w:r w:rsidRPr="00AD4173">
        <w:rPr>
          <w:rFonts w:ascii="Aptos" w:eastAsia="Aptos" w:hAnsi="Aptos" w:cs="Times New Roman"/>
          <w:sz w:val="21"/>
          <w:szCs w:val="21"/>
        </w:rPr>
        <w:t>Sjálfræði</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karlmennska</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og</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kvenleiki</w:t>
      </w:r>
      <w:proofErr w:type="spellEnd"/>
      <w:r w:rsidRPr="00AD4173">
        <w:rPr>
          <w:rFonts w:ascii="Aptos" w:eastAsia="Aptos" w:hAnsi="Aptos" w:cs="Times New Roman"/>
          <w:sz w:val="21"/>
          <w:szCs w:val="21"/>
        </w:rPr>
        <w:t>. In Á. Stefánsdóttir, G. V. Stefánsdóttir, &amp; K. Björnsdóttir (Eds.),</w:t>
      </w:r>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Aðstæðubundið</w:t>
      </w:r>
      <w:proofErr w:type="spellEnd"/>
      <w:r w:rsidRPr="00AD4173">
        <w:rPr>
          <w:rFonts w:ascii="Aptos" w:eastAsia="Aptos" w:hAnsi="Aptos" w:cs="Times New Roman"/>
          <w:i/>
          <w:iCs/>
          <w:sz w:val="21"/>
          <w:szCs w:val="21"/>
        </w:rPr>
        <w:t xml:space="preserve"> </w:t>
      </w:r>
      <w:proofErr w:type="spellStart"/>
      <w:proofErr w:type="gramStart"/>
      <w:r w:rsidRPr="00AD4173">
        <w:rPr>
          <w:rFonts w:ascii="Aptos" w:eastAsia="Aptos" w:hAnsi="Aptos" w:cs="Times New Roman"/>
          <w:i/>
          <w:iCs/>
          <w:sz w:val="21"/>
          <w:szCs w:val="21"/>
        </w:rPr>
        <w:t>sjálfræði</w:t>
      </w:r>
      <w:proofErr w:type="spellEnd"/>
      <w:r w:rsidRPr="00AD4173">
        <w:rPr>
          <w:rFonts w:ascii="Aptos" w:eastAsia="Aptos" w:hAnsi="Aptos" w:cs="Times New Roman"/>
          <w:i/>
          <w:iCs/>
          <w:sz w:val="21"/>
          <w:szCs w:val="21"/>
        </w:rPr>
        <w:t xml:space="preserve"> :</w:t>
      </w:r>
      <w:proofErr w:type="gram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líf</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aðstæður</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fólks</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með</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þroskahömlun</w:t>
      </w:r>
      <w:proofErr w:type="spellEnd"/>
      <w:r w:rsidRPr="00AD4173">
        <w:rPr>
          <w:rFonts w:ascii="Aptos" w:eastAsia="Aptos" w:hAnsi="Aptos" w:cs="Times New Roman"/>
          <w:i/>
          <w:iCs/>
          <w:sz w:val="21"/>
          <w:szCs w:val="21"/>
        </w:rPr>
        <w:t xml:space="preserve"> </w:t>
      </w:r>
      <w:r w:rsidRPr="00AD4173">
        <w:rPr>
          <w:rFonts w:ascii="Aptos" w:eastAsia="Aptos" w:hAnsi="Aptos" w:cs="Times New Roman"/>
          <w:sz w:val="21"/>
          <w:szCs w:val="21"/>
        </w:rPr>
        <w:t xml:space="preserve">(pp. 153-186). Reykjavík: </w:t>
      </w:r>
      <w:proofErr w:type="spellStart"/>
      <w:r w:rsidRPr="00AD4173">
        <w:rPr>
          <w:rFonts w:ascii="Aptos" w:eastAsia="Aptos" w:hAnsi="Aptos" w:cs="Times New Roman"/>
          <w:sz w:val="21"/>
          <w:szCs w:val="21"/>
        </w:rPr>
        <w:t>Háskólaútgáfan</w:t>
      </w:r>
      <w:proofErr w:type="spellEnd"/>
      <w:r w:rsidRPr="00AD4173">
        <w:rPr>
          <w:rFonts w:ascii="Aptos" w:eastAsia="Aptos" w:hAnsi="Aptos" w:cs="Times New Roman"/>
          <w:sz w:val="21"/>
          <w:szCs w:val="21"/>
        </w:rPr>
        <w:t>.</w:t>
      </w:r>
    </w:p>
    <w:p w14:paraId="1B1163B7"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Björnsdóttir, K. (2024). Lived experiences of people with intellectual disabilities during the COVID-19 pandemic from a crip time perspective. </w:t>
      </w:r>
      <w:r w:rsidRPr="00AD4173">
        <w:rPr>
          <w:rFonts w:ascii="Aptos" w:eastAsia="Aptos" w:hAnsi="Aptos" w:cs="Times New Roman"/>
          <w:i/>
          <w:iCs/>
          <w:sz w:val="21"/>
          <w:szCs w:val="21"/>
        </w:rPr>
        <w:t>Canadian Journal of Disability Studies</w:t>
      </w:r>
      <w:r w:rsidRPr="00AD4173">
        <w:rPr>
          <w:rFonts w:ascii="Aptos" w:eastAsia="Aptos" w:hAnsi="Aptos" w:cs="Times New Roman"/>
          <w:sz w:val="21"/>
          <w:szCs w:val="21"/>
        </w:rPr>
        <w:t xml:space="preserve">, 13(3), 73–104. </w:t>
      </w:r>
      <w:hyperlink r:id="rId9" w:history="1">
        <w:r w:rsidRPr="00AD4173">
          <w:rPr>
            <w:rFonts w:ascii="Aptos" w:eastAsia="Aptos" w:hAnsi="Aptos" w:cs="Times New Roman"/>
            <w:color w:val="467886"/>
            <w:sz w:val="21"/>
            <w:szCs w:val="21"/>
            <w:u w:val="single"/>
          </w:rPr>
          <w:t>https://cjds.uwaterloo.ca/index.php/cjds/article/view/1162</w:t>
        </w:r>
      </w:hyperlink>
      <w:r w:rsidRPr="00AD4173">
        <w:rPr>
          <w:rFonts w:ascii="Aptos" w:eastAsia="Aptos" w:hAnsi="Aptos" w:cs="Times New Roman"/>
          <w:sz w:val="21"/>
          <w:szCs w:val="21"/>
        </w:rPr>
        <w:t xml:space="preserve"> </w:t>
      </w:r>
    </w:p>
    <w:p w14:paraId="052B1A1B"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Björnsdóttir, K. &amp; Jónsson, Ó. P. (2025). “</w:t>
      </w:r>
      <w:proofErr w:type="spellStart"/>
      <w:r w:rsidRPr="00AD4173">
        <w:rPr>
          <w:rFonts w:ascii="Aptos" w:eastAsia="Aptos" w:hAnsi="Aptos" w:cs="Times New Roman"/>
          <w:sz w:val="21"/>
          <w:szCs w:val="21"/>
        </w:rPr>
        <w:t>Ótímabærir</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tímaþjófar</w:t>
      </w:r>
      <w:proofErr w:type="spellEnd"/>
      <w:r w:rsidRPr="00AD4173">
        <w:rPr>
          <w:rFonts w:ascii="Aptos" w:eastAsia="Aptos" w:hAnsi="Aptos" w:cs="Times New Roman"/>
          <w:sz w:val="21"/>
          <w:szCs w:val="21"/>
        </w:rPr>
        <w:t xml:space="preserve"> í </w:t>
      </w:r>
      <w:proofErr w:type="spellStart"/>
      <w:r w:rsidRPr="00AD4173">
        <w:rPr>
          <w:rFonts w:ascii="Aptos" w:eastAsia="Aptos" w:hAnsi="Aptos" w:cs="Times New Roman"/>
          <w:sz w:val="21"/>
          <w:szCs w:val="21"/>
        </w:rPr>
        <w:t>skólakerfinu</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Skólaganga</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fatlaðra</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nemenda</w:t>
      </w:r>
      <w:proofErr w:type="spellEnd"/>
      <w:r w:rsidRPr="00AD4173">
        <w:rPr>
          <w:rFonts w:ascii="Aptos" w:eastAsia="Aptos" w:hAnsi="Aptos" w:cs="Times New Roman"/>
          <w:sz w:val="21"/>
          <w:szCs w:val="21"/>
        </w:rPr>
        <w:t xml:space="preserve">”. In S. Þ. Egilson (Ed.), </w:t>
      </w:r>
      <w:proofErr w:type="spellStart"/>
      <w:r w:rsidRPr="00AD4173">
        <w:rPr>
          <w:rFonts w:ascii="Aptos" w:eastAsia="Aptos" w:hAnsi="Aptos" w:cs="Times New Roman"/>
          <w:i/>
          <w:iCs/>
          <w:sz w:val="21"/>
          <w:szCs w:val="21"/>
        </w:rPr>
        <w:t>Fötlun</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sjálf</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samfélag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Birtingarmyndir</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úrlausnarefni</w:t>
      </w:r>
      <w:proofErr w:type="spellEnd"/>
      <w:r w:rsidRPr="00AD4173">
        <w:rPr>
          <w:rFonts w:ascii="Aptos" w:eastAsia="Aptos" w:hAnsi="Aptos" w:cs="Times New Roman"/>
          <w:sz w:val="21"/>
          <w:szCs w:val="21"/>
        </w:rPr>
        <w:t xml:space="preserve">, 231–262. </w:t>
      </w:r>
      <w:proofErr w:type="spellStart"/>
      <w:r w:rsidRPr="00AD4173">
        <w:rPr>
          <w:rFonts w:ascii="Aptos" w:eastAsia="Aptos" w:hAnsi="Aptos" w:cs="Times New Roman"/>
          <w:sz w:val="21"/>
          <w:szCs w:val="21"/>
        </w:rPr>
        <w:t>Háskólaútgáfan</w:t>
      </w:r>
      <w:proofErr w:type="spellEnd"/>
      <w:r w:rsidRPr="00AD4173">
        <w:rPr>
          <w:rFonts w:ascii="Aptos" w:eastAsia="Aptos" w:hAnsi="Aptos" w:cs="Times New Roman"/>
          <w:sz w:val="21"/>
          <w:szCs w:val="21"/>
        </w:rPr>
        <w:t>.</w:t>
      </w:r>
    </w:p>
    <w:p w14:paraId="6195413E"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Björnsdóttir, K., &amp; Jóhannsdóttir, Á. (2021). </w:t>
      </w:r>
      <w:proofErr w:type="spellStart"/>
      <w:r w:rsidRPr="00AD4173">
        <w:rPr>
          <w:rFonts w:ascii="Aptos" w:eastAsia="Aptos" w:hAnsi="Aptos" w:cs="Times New Roman"/>
          <w:sz w:val="21"/>
          <w:szCs w:val="21"/>
        </w:rPr>
        <w:t>Fatlað</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fólk</w:t>
      </w:r>
      <w:proofErr w:type="spellEnd"/>
      <w:r w:rsidRPr="00AD4173">
        <w:rPr>
          <w:rFonts w:ascii="Aptos" w:eastAsia="Aptos" w:hAnsi="Aptos" w:cs="Times New Roman"/>
          <w:sz w:val="21"/>
          <w:szCs w:val="21"/>
        </w:rPr>
        <w:t xml:space="preserve"> í </w:t>
      </w:r>
      <w:proofErr w:type="spellStart"/>
      <w:r w:rsidRPr="00AD4173">
        <w:rPr>
          <w:rFonts w:ascii="Aptos" w:eastAsia="Aptos" w:hAnsi="Aptos" w:cs="Times New Roman"/>
          <w:sz w:val="21"/>
          <w:szCs w:val="21"/>
        </w:rPr>
        <w:t>hamförum</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Íslenska</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þjóðfélagið</w:t>
      </w:r>
      <w:proofErr w:type="spellEnd"/>
      <w:r w:rsidRPr="00AD4173">
        <w:rPr>
          <w:rFonts w:ascii="Aptos" w:eastAsia="Aptos" w:hAnsi="Aptos" w:cs="Times New Roman"/>
          <w:sz w:val="21"/>
          <w:szCs w:val="21"/>
        </w:rPr>
        <w:t xml:space="preserve">., </w:t>
      </w:r>
      <w:proofErr w:type="gramStart"/>
      <w:r w:rsidRPr="00AD4173">
        <w:rPr>
          <w:rFonts w:ascii="Aptos" w:eastAsia="Aptos" w:hAnsi="Aptos" w:cs="Times New Roman"/>
          <w:sz w:val="21"/>
          <w:szCs w:val="21"/>
        </w:rPr>
        <w:t>1.tbl.(12.árg</w:t>
      </w:r>
      <w:proofErr w:type="gramEnd"/>
      <w:r w:rsidRPr="00AD4173">
        <w:rPr>
          <w:rFonts w:ascii="Aptos" w:eastAsia="Aptos" w:hAnsi="Aptos" w:cs="Times New Roman"/>
          <w:sz w:val="21"/>
          <w:szCs w:val="21"/>
        </w:rPr>
        <w:t>.), 72-86.</w:t>
      </w:r>
    </w:p>
    <w:p w14:paraId="35F4D3A5"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Björnsdóttir, K., &amp; Lorange, K. S. (2022). "Allt um </w:t>
      </w:r>
      <w:proofErr w:type="spellStart"/>
      <w:r w:rsidRPr="00AD4173">
        <w:rPr>
          <w:rFonts w:ascii="Aptos" w:eastAsia="Aptos" w:hAnsi="Aptos" w:cs="Times New Roman"/>
          <w:sz w:val="21"/>
          <w:szCs w:val="21"/>
        </w:rPr>
        <w:t>okkur</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með</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okkur</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Hagsmunabaráttan</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og</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aðstæðubundið</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sjálfræði</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Hagsmunabaráttan</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og</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aðstæðubundið</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sjálfræði</w:t>
      </w:r>
      <w:proofErr w:type="spellEnd"/>
      <w:r w:rsidRPr="00AD4173">
        <w:rPr>
          <w:rFonts w:ascii="Aptos" w:eastAsia="Aptos" w:hAnsi="Aptos" w:cs="Times New Roman"/>
          <w:sz w:val="21"/>
          <w:szCs w:val="21"/>
        </w:rPr>
        <w:t xml:space="preserve">. In Á. Stefánsdóttir, G. V. Stefánsdóttir, &amp; K. Björnsdóttir (Eds.), </w:t>
      </w:r>
      <w:proofErr w:type="spellStart"/>
      <w:r w:rsidRPr="00AD4173">
        <w:rPr>
          <w:rFonts w:ascii="Aptos" w:eastAsia="Aptos" w:hAnsi="Aptos" w:cs="Times New Roman"/>
          <w:i/>
          <w:iCs/>
          <w:sz w:val="21"/>
          <w:szCs w:val="21"/>
        </w:rPr>
        <w:t>Aðstæðubundið</w:t>
      </w:r>
      <w:proofErr w:type="spellEnd"/>
      <w:r w:rsidRPr="00AD4173">
        <w:rPr>
          <w:rFonts w:ascii="Aptos" w:eastAsia="Aptos" w:hAnsi="Aptos" w:cs="Times New Roman"/>
          <w:i/>
          <w:iCs/>
          <w:sz w:val="21"/>
          <w:szCs w:val="21"/>
        </w:rPr>
        <w:t xml:space="preserve"> </w:t>
      </w:r>
      <w:proofErr w:type="spellStart"/>
      <w:proofErr w:type="gramStart"/>
      <w:r w:rsidRPr="00AD4173">
        <w:rPr>
          <w:rFonts w:ascii="Aptos" w:eastAsia="Aptos" w:hAnsi="Aptos" w:cs="Times New Roman"/>
          <w:i/>
          <w:iCs/>
          <w:sz w:val="21"/>
          <w:szCs w:val="21"/>
        </w:rPr>
        <w:t>sjálfræði</w:t>
      </w:r>
      <w:proofErr w:type="spellEnd"/>
      <w:r w:rsidRPr="00AD4173">
        <w:rPr>
          <w:rFonts w:ascii="Aptos" w:eastAsia="Aptos" w:hAnsi="Aptos" w:cs="Times New Roman"/>
          <w:i/>
          <w:iCs/>
          <w:sz w:val="21"/>
          <w:szCs w:val="21"/>
        </w:rPr>
        <w:t xml:space="preserve"> :</w:t>
      </w:r>
      <w:proofErr w:type="gram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líf</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aðstæður</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fólks</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með</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þroskahömlun</w:t>
      </w:r>
      <w:proofErr w:type="spellEnd"/>
      <w:r w:rsidRPr="00AD4173">
        <w:rPr>
          <w:rFonts w:ascii="Aptos" w:eastAsia="Aptos" w:hAnsi="Aptos" w:cs="Times New Roman"/>
          <w:sz w:val="21"/>
          <w:szCs w:val="21"/>
        </w:rPr>
        <w:t xml:space="preserve"> (pp. 307-337). </w:t>
      </w:r>
      <w:proofErr w:type="spellStart"/>
      <w:r w:rsidRPr="00AD4173">
        <w:rPr>
          <w:rFonts w:ascii="Aptos" w:eastAsia="Aptos" w:hAnsi="Aptos" w:cs="Times New Roman"/>
          <w:sz w:val="21"/>
          <w:szCs w:val="21"/>
        </w:rPr>
        <w:t>Háskólaútgáfan</w:t>
      </w:r>
      <w:proofErr w:type="spellEnd"/>
      <w:r w:rsidRPr="00AD4173">
        <w:rPr>
          <w:rFonts w:ascii="Aptos" w:eastAsia="Aptos" w:hAnsi="Aptos" w:cs="Times New Roman"/>
          <w:sz w:val="21"/>
          <w:szCs w:val="21"/>
        </w:rPr>
        <w:t>.</w:t>
      </w:r>
    </w:p>
    <w:p w14:paraId="0C683EE8"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Björnsdóttir, K., &amp; Stefánsdóttir, G. V. (2020). Double Sexual Standards: Sexuality and People with Intellectual Disabilities Who Require Intensive Support. </w:t>
      </w:r>
      <w:r w:rsidRPr="00AD4173">
        <w:rPr>
          <w:rFonts w:ascii="Aptos" w:eastAsia="Aptos" w:hAnsi="Aptos" w:cs="Times New Roman"/>
          <w:i/>
          <w:iCs/>
          <w:sz w:val="21"/>
          <w:szCs w:val="21"/>
        </w:rPr>
        <w:t>Sexuality and Disability</w:t>
      </w:r>
      <w:r w:rsidRPr="00AD4173">
        <w:rPr>
          <w:rFonts w:ascii="Aptos" w:eastAsia="Aptos" w:hAnsi="Aptos" w:cs="Times New Roman"/>
          <w:sz w:val="21"/>
          <w:szCs w:val="21"/>
        </w:rPr>
        <w:t xml:space="preserve">, 38(3), 421-438. </w:t>
      </w:r>
      <w:hyperlink r:id="rId10" w:history="1">
        <w:r w:rsidRPr="00AD4173">
          <w:rPr>
            <w:rFonts w:ascii="Aptos" w:eastAsia="Aptos" w:hAnsi="Aptos" w:cs="Times New Roman"/>
            <w:color w:val="467886"/>
            <w:sz w:val="21"/>
            <w:szCs w:val="21"/>
            <w:u w:val="single"/>
          </w:rPr>
          <w:t>https://doi.org/10.1007/s11195-020-09643-2</w:t>
        </w:r>
      </w:hyperlink>
    </w:p>
    <w:p w14:paraId="1641F538"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Björnsdóttir, K., Gunnarsdóttir, H. S.-. &amp; Gunnarsdóttir, E. D. (2024). The Digital Exclusion of People with Intellectual Disabilities During the COVID-19 Pandemic. </w:t>
      </w:r>
      <w:r w:rsidRPr="00AD4173">
        <w:rPr>
          <w:rFonts w:ascii="Aptos" w:eastAsia="Aptos" w:hAnsi="Aptos" w:cs="Times New Roman"/>
          <w:i/>
          <w:iCs/>
          <w:sz w:val="21"/>
          <w:szCs w:val="21"/>
        </w:rPr>
        <w:t>Scandinavian Journal of Disability Research</w:t>
      </w:r>
      <w:r w:rsidRPr="00AD4173">
        <w:rPr>
          <w:rFonts w:ascii="Aptos" w:eastAsia="Aptos" w:hAnsi="Aptos" w:cs="Times New Roman"/>
          <w:sz w:val="21"/>
          <w:szCs w:val="21"/>
        </w:rPr>
        <w:t xml:space="preserve">, 26(1), 523–535. </w:t>
      </w:r>
      <w:hyperlink r:id="rId11" w:history="1">
        <w:r w:rsidRPr="00AD4173">
          <w:rPr>
            <w:rFonts w:ascii="Aptos" w:eastAsia="Aptos" w:hAnsi="Aptos" w:cs="Times New Roman"/>
            <w:color w:val="467886"/>
            <w:sz w:val="21"/>
            <w:szCs w:val="21"/>
            <w:u w:val="single"/>
          </w:rPr>
          <w:t>https://doi.org/10.16993/sjdr.1131</w:t>
        </w:r>
      </w:hyperlink>
    </w:p>
    <w:p w14:paraId="7B691BE3"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Björnsdóttir, K., Jónsson, Ó. P., &amp; Stefánsdóttir, G. V. (2022). </w:t>
      </w:r>
      <w:proofErr w:type="spellStart"/>
      <w:r w:rsidRPr="00AD4173">
        <w:rPr>
          <w:rFonts w:ascii="Aptos" w:eastAsia="Aptos" w:hAnsi="Aptos" w:cs="Times New Roman"/>
          <w:sz w:val="21"/>
          <w:szCs w:val="21"/>
        </w:rPr>
        <w:t>Háskóli</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fyrir</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alla</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i/>
          <w:iCs/>
          <w:sz w:val="21"/>
          <w:szCs w:val="21"/>
        </w:rPr>
        <w:t>Netla</w:t>
      </w:r>
      <w:proofErr w:type="spellEnd"/>
      <w:r w:rsidRPr="00AD4173">
        <w:rPr>
          <w:rFonts w:ascii="Aptos" w:eastAsia="Aptos" w:hAnsi="Aptos" w:cs="Times New Roman"/>
          <w:sz w:val="21"/>
          <w:szCs w:val="21"/>
        </w:rPr>
        <w:t xml:space="preserve">. </w:t>
      </w:r>
      <w:hyperlink r:id="rId12" w:history="1">
        <w:r w:rsidRPr="00AD4173">
          <w:rPr>
            <w:rFonts w:ascii="Aptos" w:eastAsia="Aptos" w:hAnsi="Aptos" w:cs="Times New Roman"/>
            <w:color w:val="467886"/>
            <w:sz w:val="21"/>
            <w:szCs w:val="21"/>
            <w:u w:val="single"/>
          </w:rPr>
          <w:t>https://doi.org/10.24270/serritnetla.2022.81</w:t>
        </w:r>
      </w:hyperlink>
      <w:r w:rsidRPr="00AD4173">
        <w:rPr>
          <w:rFonts w:ascii="Aptos" w:eastAsia="Aptos" w:hAnsi="Aptos" w:cs="Times New Roman"/>
          <w:sz w:val="21"/>
          <w:szCs w:val="21"/>
        </w:rPr>
        <w:t xml:space="preserve"> </w:t>
      </w:r>
    </w:p>
    <w:p w14:paraId="0A5FDCAA"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Björnsdóttir, K., Stefánsdóttir, G. V., &amp; Stefánsdóttir, Á. (2022). </w:t>
      </w:r>
      <w:proofErr w:type="spellStart"/>
      <w:r w:rsidRPr="00AD4173">
        <w:rPr>
          <w:rFonts w:ascii="Aptos" w:eastAsia="Aptos" w:hAnsi="Aptos" w:cs="Times New Roman"/>
          <w:i/>
          <w:iCs/>
          <w:sz w:val="21"/>
          <w:szCs w:val="21"/>
        </w:rPr>
        <w:t>Aðstæðubundið</w:t>
      </w:r>
      <w:proofErr w:type="spellEnd"/>
      <w:r w:rsidRPr="00AD4173">
        <w:rPr>
          <w:rFonts w:ascii="Aptos" w:eastAsia="Aptos" w:hAnsi="Aptos" w:cs="Times New Roman"/>
          <w:i/>
          <w:iCs/>
          <w:sz w:val="21"/>
          <w:szCs w:val="21"/>
        </w:rPr>
        <w:t xml:space="preserve"> </w:t>
      </w:r>
      <w:proofErr w:type="spellStart"/>
      <w:proofErr w:type="gramStart"/>
      <w:r w:rsidRPr="00AD4173">
        <w:rPr>
          <w:rFonts w:ascii="Aptos" w:eastAsia="Aptos" w:hAnsi="Aptos" w:cs="Times New Roman"/>
          <w:i/>
          <w:iCs/>
          <w:sz w:val="21"/>
          <w:szCs w:val="21"/>
        </w:rPr>
        <w:t>sjálfræði</w:t>
      </w:r>
      <w:proofErr w:type="spellEnd"/>
      <w:r w:rsidRPr="00AD4173">
        <w:rPr>
          <w:rFonts w:ascii="Aptos" w:eastAsia="Aptos" w:hAnsi="Aptos" w:cs="Times New Roman"/>
          <w:i/>
          <w:iCs/>
          <w:sz w:val="21"/>
          <w:szCs w:val="21"/>
        </w:rPr>
        <w:t xml:space="preserve"> :</w:t>
      </w:r>
      <w:proofErr w:type="gram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líf</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aðstæður</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fólks</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með</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þroskahömlun</w:t>
      </w:r>
      <w:proofErr w:type="spellEnd"/>
      <w:r w:rsidRPr="00AD4173">
        <w:rPr>
          <w:rFonts w:ascii="Aptos" w:eastAsia="Aptos" w:hAnsi="Aptos" w:cs="Times New Roman"/>
          <w:sz w:val="21"/>
          <w:szCs w:val="21"/>
        </w:rPr>
        <w:t xml:space="preserve">. Reykjavík: </w:t>
      </w:r>
      <w:proofErr w:type="spellStart"/>
      <w:r w:rsidRPr="00AD4173">
        <w:rPr>
          <w:rFonts w:ascii="Aptos" w:eastAsia="Aptos" w:hAnsi="Aptos" w:cs="Times New Roman"/>
          <w:sz w:val="21"/>
          <w:szCs w:val="21"/>
        </w:rPr>
        <w:t>Háskólaútgáfan</w:t>
      </w:r>
      <w:proofErr w:type="spellEnd"/>
      <w:r w:rsidRPr="00AD4173">
        <w:rPr>
          <w:rFonts w:ascii="Aptos" w:eastAsia="Aptos" w:hAnsi="Aptos" w:cs="Times New Roman"/>
          <w:sz w:val="21"/>
          <w:szCs w:val="21"/>
        </w:rPr>
        <w:t>.</w:t>
      </w:r>
    </w:p>
    <w:p w14:paraId="1AA1095A"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Brennan, C., Rice, J., Traustadóttir, R., &amp; Anderberg, P. (2017). How can states ensure access to personal assistance when service delivery is decentralized? A multi-level analysis of Iceland, Norway and Sweden. </w:t>
      </w:r>
      <w:r w:rsidRPr="00AD4173">
        <w:rPr>
          <w:rFonts w:ascii="Aptos" w:eastAsia="Aptos" w:hAnsi="Aptos" w:cs="Times New Roman"/>
          <w:i/>
          <w:iCs/>
          <w:sz w:val="21"/>
          <w:szCs w:val="21"/>
        </w:rPr>
        <w:t>Scandinavian Journal of Disability Research</w:t>
      </w:r>
      <w:r w:rsidRPr="00AD4173">
        <w:rPr>
          <w:rFonts w:ascii="Aptos" w:eastAsia="Aptos" w:hAnsi="Aptos" w:cs="Times New Roman"/>
          <w:sz w:val="21"/>
          <w:szCs w:val="21"/>
        </w:rPr>
        <w:t xml:space="preserve">, 19(4), 334-346. </w:t>
      </w:r>
      <w:hyperlink r:id="rId13" w:history="1">
        <w:r w:rsidRPr="00AD4173">
          <w:rPr>
            <w:rFonts w:ascii="Aptos" w:eastAsia="Aptos" w:hAnsi="Aptos" w:cs="Times New Roman"/>
            <w:color w:val="467886"/>
            <w:sz w:val="21"/>
            <w:szCs w:val="21"/>
            <w:u w:val="single"/>
          </w:rPr>
          <w:t>https://doi.org/10.1080/15017419.2016.1261737</w:t>
        </w:r>
      </w:hyperlink>
      <w:r w:rsidRPr="00AD4173">
        <w:rPr>
          <w:rFonts w:ascii="Aptos" w:eastAsia="Aptos" w:hAnsi="Aptos" w:cs="Times New Roman"/>
          <w:sz w:val="21"/>
          <w:szCs w:val="21"/>
        </w:rPr>
        <w:t xml:space="preserve"> </w:t>
      </w:r>
    </w:p>
    <w:p w14:paraId="2EF07FE3"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lastRenderedPageBreak/>
        <w:t xml:space="preserve">Brennan, C., Traustadóttir, R. (2020). Implementing Article 19 of the CRPD in Nordic Welfare States: The Culture of Welfare and the CRPD. In: </w:t>
      </w:r>
      <w:proofErr w:type="spellStart"/>
      <w:r w:rsidRPr="00AD4173">
        <w:rPr>
          <w:rFonts w:ascii="Aptos" w:eastAsia="Aptos" w:hAnsi="Aptos" w:cs="Times New Roman"/>
          <w:sz w:val="21"/>
          <w:szCs w:val="21"/>
        </w:rPr>
        <w:t>Kakoullis</w:t>
      </w:r>
      <w:proofErr w:type="spellEnd"/>
      <w:r w:rsidRPr="00AD4173">
        <w:rPr>
          <w:rFonts w:ascii="Aptos" w:eastAsia="Aptos" w:hAnsi="Aptos" w:cs="Times New Roman"/>
          <w:sz w:val="21"/>
          <w:szCs w:val="21"/>
        </w:rPr>
        <w:t xml:space="preserve">, E.J., Johnson, K. (eds) </w:t>
      </w:r>
      <w:proofErr w:type="spellStart"/>
      <w:r w:rsidRPr="00AD4173">
        <w:rPr>
          <w:rFonts w:ascii="Aptos" w:eastAsia="Aptos" w:hAnsi="Aptos" w:cs="Times New Roman"/>
          <w:i/>
          <w:iCs/>
          <w:sz w:val="21"/>
          <w:szCs w:val="21"/>
        </w:rPr>
        <w:t>Recognising</w:t>
      </w:r>
      <w:proofErr w:type="spellEnd"/>
      <w:r w:rsidRPr="00AD4173">
        <w:rPr>
          <w:rFonts w:ascii="Aptos" w:eastAsia="Aptos" w:hAnsi="Aptos" w:cs="Times New Roman"/>
          <w:i/>
          <w:iCs/>
          <w:sz w:val="21"/>
          <w:szCs w:val="21"/>
        </w:rPr>
        <w:t xml:space="preserve"> Human Rights in Different Cultural Contexts</w:t>
      </w:r>
      <w:r w:rsidRPr="00AD4173">
        <w:rPr>
          <w:rFonts w:ascii="Aptos" w:eastAsia="Aptos" w:hAnsi="Aptos" w:cs="Times New Roman"/>
          <w:sz w:val="21"/>
          <w:szCs w:val="21"/>
        </w:rPr>
        <w:t xml:space="preserve">. Palgrave Macmillan, Singapore. </w:t>
      </w:r>
      <w:hyperlink r:id="rId14" w:history="1">
        <w:r w:rsidRPr="00AD4173">
          <w:rPr>
            <w:rFonts w:ascii="Aptos" w:eastAsia="Aptos" w:hAnsi="Aptos" w:cs="Times New Roman"/>
            <w:color w:val="467886"/>
            <w:sz w:val="21"/>
            <w:szCs w:val="21"/>
            <w:u w:val="single"/>
          </w:rPr>
          <w:t>https://doi.org/10.1007/978-981-15-0786-1_12</w:t>
        </w:r>
      </w:hyperlink>
      <w:r w:rsidRPr="00AD4173">
        <w:rPr>
          <w:rFonts w:ascii="Aptos" w:eastAsia="Aptos" w:hAnsi="Aptos" w:cs="Times New Roman"/>
          <w:sz w:val="21"/>
          <w:szCs w:val="21"/>
        </w:rPr>
        <w:t xml:space="preserve"> </w:t>
      </w:r>
    </w:p>
    <w:p w14:paraId="5B66F829"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Cilia, H. (2016). </w:t>
      </w:r>
      <w:r w:rsidRPr="00AD4173">
        <w:rPr>
          <w:rFonts w:ascii="Aptos" w:eastAsia="Aptos" w:hAnsi="Aptos" w:cs="Times New Roman"/>
          <w:i/>
          <w:iCs/>
          <w:sz w:val="21"/>
          <w:szCs w:val="21"/>
        </w:rPr>
        <w:t>Public bus transport and accessibility in Iceland</w:t>
      </w:r>
      <w:r w:rsidRPr="00AD4173">
        <w:rPr>
          <w:rFonts w:ascii="Aptos" w:eastAsia="Aptos" w:hAnsi="Aptos" w:cs="Times New Roman"/>
          <w:sz w:val="21"/>
          <w:szCs w:val="21"/>
        </w:rPr>
        <w:t>. [Unpublished report]. University of Iceland. (No DOI available)</w:t>
      </w:r>
    </w:p>
    <w:p w14:paraId="184B2ECA"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Crocker, C., </w:t>
      </w:r>
      <w:proofErr w:type="spellStart"/>
      <w:r w:rsidRPr="00AD4173">
        <w:rPr>
          <w:rFonts w:ascii="Aptos" w:eastAsia="Aptos" w:hAnsi="Aptos" w:cs="Times New Roman"/>
          <w:sz w:val="21"/>
          <w:szCs w:val="21"/>
        </w:rPr>
        <w:t>Ebenezersdóttir</w:t>
      </w:r>
      <w:proofErr w:type="spellEnd"/>
      <w:r w:rsidRPr="00AD4173">
        <w:rPr>
          <w:rFonts w:ascii="Aptos" w:eastAsia="Aptos" w:hAnsi="Aptos" w:cs="Times New Roman"/>
          <w:sz w:val="21"/>
          <w:szCs w:val="21"/>
        </w:rPr>
        <w:t xml:space="preserve">, E. Þ., Ólafsdóttir, S., Bergsdóttir, A., Haraldsson, H. Þ., Bower, A., … Rice, J. (2022). Multidisciplinary Approaches to Disability in Iceland (Late 9th–Early 20th Century). </w:t>
      </w:r>
      <w:r w:rsidRPr="00AD4173">
        <w:rPr>
          <w:rFonts w:ascii="Aptos" w:eastAsia="Aptos" w:hAnsi="Aptos" w:cs="Times New Roman"/>
          <w:i/>
          <w:iCs/>
          <w:sz w:val="21"/>
          <w:szCs w:val="21"/>
        </w:rPr>
        <w:t>Scandinavian Journal of Disability Research</w:t>
      </w:r>
      <w:r w:rsidRPr="00AD4173">
        <w:rPr>
          <w:rFonts w:ascii="Aptos" w:eastAsia="Aptos" w:hAnsi="Aptos" w:cs="Times New Roman"/>
          <w:sz w:val="21"/>
          <w:szCs w:val="21"/>
        </w:rPr>
        <w:t xml:space="preserve">, 24(1), 151–164. </w:t>
      </w:r>
      <w:hyperlink r:id="rId15" w:history="1">
        <w:r w:rsidRPr="00AD4173">
          <w:rPr>
            <w:rFonts w:ascii="Aptos" w:eastAsia="Aptos" w:hAnsi="Aptos" w:cs="Times New Roman"/>
            <w:color w:val="467886"/>
            <w:sz w:val="21"/>
            <w:szCs w:val="21"/>
            <w:u w:val="single"/>
          </w:rPr>
          <w:t>https://doi.org/10.16993/sjdr.868</w:t>
        </w:r>
      </w:hyperlink>
      <w:r w:rsidRPr="00AD4173">
        <w:rPr>
          <w:rFonts w:ascii="Aptos" w:eastAsia="Aptos" w:hAnsi="Aptos" w:cs="Times New Roman"/>
          <w:sz w:val="21"/>
          <w:szCs w:val="21"/>
        </w:rPr>
        <w:t xml:space="preserve"> </w:t>
      </w:r>
    </w:p>
    <w:p w14:paraId="174EB275"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Egilson, S. T., Ólafsdóttir, L. B., Ingimarsdóttir, A. S., Haraldsdóttir, F., Jóhannsdóttir, Á., Gibson, B. E., &amp; </w:t>
      </w:r>
      <w:proofErr w:type="spellStart"/>
      <w:r w:rsidRPr="00AD4173">
        <w:rPr>
          <w:rFonts w:ascii="Aptos" w:eastAsia="Aptos" w:hAnsi="Aptos" w:cs="Times New Roman"/>
          <w:sz w:val="21"/>
          <w:szCs w:val="21"/>
        </w:rPr>
        <w:t>Hardonk</w:t>
      </w:r>
      <w:proofErr w:type="spellEnd"/>
      <w:r w:rsidRPr="00AD4173">
        <w:rPr>
          <w:rFonts w:ascii="Aptos" w:eastAsia="Aptos" w:hAnsi="Aptos" w:cs="Times New Roman"/>
          <w:sz w:val="21"/>
          <w:szCs w:val="21"/>
        </w:rPr>
        <w:t xml:space="preserve">, S. (2021). Life Quality and Participation of Disabled Children and Young People: Design and Methods of a Transformative Study. </w:t>
      </w:r>
      <w:r w:rsidRPr="00AD4173">
        <w:rPr>
          <w:rFonts w:ascii="Aptos" w:eastAsia="Aptos" w:hAnsi="Aptos" w:cs="Times New Roman"/>
          <w:i/>
          <w:iCs/>
          <w:sz w:val="21"/>
          <w:szCs w:val="21"/>
        </w:rPr>
        <w:t>International Journal of Qualitative Methods</w:t>
      </w:r>
      <w:r w:rsidRPr="00AD4173">
        <w:rPr>
          <w:rFonts w:ascii="Aptos" w:eastAsia="Aptos" w:hAnsi="Aptos" w:cs="Times New Roman"/>
          <w:sz w:val="21"/>
          <w:szCs w:val="21"/>
        </w:rPr>
        <w:t xml:space="preserve">, 20. </w:t>
      </w:r>
      <w:hyperlink r:id="rId16" w:history="1">
        <w:r w:rsidRPr="00AD4173">
          <w:rPr>
            <w:rFonts w:ascii="Aptos" w:eastAsia="Aptos" w:hAnsi="Aptos" w:cs="Times New Roman"/>
            <w:color w:val="467886"/>
            <w:sz w:val="21"/>
            <w:szCs w:val="21"/>
            <w:u w:val="single"/>
          </w:rPr>
          <w:t>https://doi.org/10.1177/16094069211016713</w:t>
        </w:r>
      </w:hyperlink>
      <w:r w:rsidRPr="00AD4173">
        <w:rPr>
          <w:rFonts w:ascii="Aptos" w:eastAsia="Aptos" w:hAnsi="Aptos" w:cs="Times New Roman"/>
          <w:sz w:val="21"/>
          <w:szCs w:val="21"/>
        </w:rPr>
        <w:t xml:space="preserve">  </w:t>
      </w:r>
    </w:p>
    <w:p w14:paraId="4120F963"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Egilson, S. Þ. and Gunnþórsdóttir, H. (2025). “</w:t>
      </w:r>
      <w:proofErr w:type="spellStart"/>
      <w:r w:rsidRPr="00AD4173">
        <w:rPr>
          <w:rFonts w:ascii="Aptos" w:eastAsia="Aptos" w:hAnsi="Aptos" w:cs="Times New Roman"/>
          <w:sz w:val="21"/>
          <w:szCs w:val="21"/>
        </w:rPr>
        <w:t>Fötlun</w:t>
      </w:r>
      <w:proofErr w:type="spellEnd"/>
      <w:r w:rsidRPr="00AD4173">
        <w:rPr>
          <w:rFonts w:ascii="Aptos" w:eastAsia="Aptos" w:hAnsi="Aptos" w:cs="Times New Roman"/>
          <w:sz w:val="21"/>
          <w:szCs w:val="21"/>
        </w:rPr>
        <w:t xml:space="preserve"> og </w:t>
      </w:r>
      <w:proofErr w:type="spellStart"/>
      <w:r w:rsidRPr="00AD4173">
        <w:rPr>
          <w:rFonts w:ascii="Aptos" w:eastAsia="Aptos" w:hAnsi="Aptos" w:cs="Times New Roman"/>
          <w:sz w:val="21"/>
          <w:szCs w:val="21"/>
        </w:rPr>
        <w:t>fjölskyldulíf</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Úrlausnarefni</w:t>
      </w:r>
      <w:proofErr w:type="spellEnd"/>
      <w:r w:rsidRPr="00AD4173">
        <w:rPr>
          <w:rFonts w:ascii="Aptos" w:eastAsia="Aptos" w:hAnsi="Aptos" w:cs="Times New Roman"/>
          <w:sz w:val="21"/>
          <w:szCs w:val="21"/>
        </w:rPr>
        <w:t xml:space="preserve"> í </w:t>
      </w:r>
      <w:proofErr w:type="spellStart"/>
      <w:r w:rsidRPr="00AD4173">
        <w:rPr>
          <w:rFonts w:ascii="Aptos" w:eastAsia="Aptos" w:hAnsi="Aptos" w:cs="Times New Roman"/>
          <w:sz w:val="21"/>
          <w:szCs w:val="21"/>
        </w:rPr>
        <w:t>daglegu</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lífi</w:t>
      </w:r>
      <w:proofErr w:type="spellEnd"/>
      <w:r w:rsidRPr="00AD4173">
        <w:rPr>
          <w:rFonts w:ascii="Aptos" w:eastAsia="Aptos" w:hAnsi="Aptos" w:cs="Times New Roman"/>
          <w:sz w:val="21"/>
          <w:szCs w:val="21"/>
        </w:rPr>
        <w:t xml:space="preserve">.” In S. Þ. Egilson (Ed.), </w:t>
      </w:r>
      <w:proofErr w:type="spellStart"/>
      <w:r w:rsidRPr="00AD4173">
        <w:rPr>
          <w:rFonts w:ascii="Aptos" w:eastAsia="Aptos" w:hAnsi="Aptos" w:cs="Times New Roman"/>
          <w:i/>
          <w:iCs/>
          <w:sz w:val="21"/>
          <w:szCs w:val="21"/>
        </w:rPr>
        <w:t>Fötlun</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sjálf</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samfélag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Birtingarmyndir</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úrlausnarefni</w:t>
      </w:r>
      <w:proofErr w:type="spellEnd"/>
      <w:r w:rsidRPr="00AD4173">
        <w:rPr>
          <w:rFonts w:ascii="Aptos" w:eastAsia="Aptos" w:hAnsi="Aptos" w:cs="Times New Roman"/>
          <w:sz w:val="21"/>
          <w:szCs w:val="21"/>
        </w:rPr>
        <w:t xml:space="preserve">, 201–230. </w:t>
      </w:r>
      <w:proofErr w:type="spellStart"/>
      <w:r w:rsidRPr="00AD4173">
        <w:rPr>
          <w:rFonts w:ascii="Aptos" w:eastAsia="Aptos" w:hAnsi="Aptos" w:cs="Times New Roman"/>
          <w:sz w:val="21"/>
          <w:szCs w:val="21"/>
        </w:rPr>
        <w:t>Háskólaútgáfan</w:t>
      </w:r>
      <w:proofErr w:type="spellEnd"/>
      <w:r w:rsidRPr="00AD4173">
        <w:rPr>
          <w:rFonts w:ascii="Aptos" w:eastAsia="Aptos" w:hAnsi="Aptos" w:cs="Times New Roman"/>
          <w:sz w:val="21"/>
          <w:szCs w:val="21"/>
        </w:rPr>
        <w:t>.</w:t>
      </w:r>
    </w:p>
    <w:p w14:paraId="290C1E5D"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Egilson, S. Þ., &amp; Jónasdóttir, S. K. (2023). Drawing on critical disability and universal design perspectives within occupational therapy. </w:t>
      </w:r>
      <w:r w:rsidRPr="00AD4173">
        <w:rPr>
          <w:rFonts w:ascii="Aptos" w:eastAsia="Aptos" w:hAnsi="Aptos" w:cs="Times New Roman"/>
          <w:i/>
          <w:iCs/>
          <w:sz w:val="21"/>
          <w:szCs w:val="21"/>
        </w:rPr>
        <w:t>Scandinavian Journal of Occupational Therapy</w:t>
      </w:r>
      <w:r w:rsidRPr="00AD4173">
        <w:rPr>
          <w:rFonts w:ascii="Aptos" w:eastAsia="Aptos" w:hAnsi="Aptos" w:cs="Times New Roman"/>
          <w:sz w:val="21"/>
          <w:szCs w:val="21"/>
        </w:rPr>
        <w:t xml:space="preserve">, 30(7), 1102–1112. </w:t>
      </w:r>
      <w:hyperlink r:id="rId17" w:history="1">
        <w:r w:rsidRPr="00AD4173">
          <w:rPr>
            <w:rFonts w:ascii="Aptos" w:eastAsia="Aptos" w:hAnsi="Aptos" w:cs="Times New Roman"/>
            <w:color w:val="467886"/>
            <w:sz w:val="21"/>
            <w:szCs w:val="21"/>
            <w:u w:val="single"/>
          </w:rPr>
          <w:t>https://doi.org/10.1080/11038128.2023.2225755</w:t>
        </w:r>
      </w:hyperlink>
    </w:p>
    <w:p w14:paraId="50F58FA1"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Egilson, S. Þ., Ottósdóttir, G., &amp; </w:t>
      </w:r>
      <w:proofErr w:type="spellStart"/>
      <w:r w:rsidRPr="00AD4173">
        <w:rPr>
          <w:rFonts w:ascii="Aptos" w:eastAsia="Aptos" w:hAnsi="Aptos" w:cs="Times New Roman"/>
          <w:sz w:val="21"/>
          <w:szCs w:val="21"/>
        </w:rPr>
        <w:t>Skaptadóttir</w:t>
      </w:r>
      <w:proofErr w:type="spellEnd"/>
      <w:r w:rsidRPr="00AD4173">
        <w:rPr>
          <w:rFonts w:ascii="Aptos" w:eastAsia="Aptos" w:hAnsi="Aptos" w:cs="Times New Roman"/>
          <w:sz w:val="21"/>
          <w:szCs w:val="21"/>
        </w:rPr>
        <w:t xml:space="preserve">, U. D. (2020). The Intersection of Childhood Disability and Migration in Family Lives. </w:t>
      </w:r>
      <w:r w:rsidRPr="00AD4173">
        <w:rPr>
          <w:rFonts w:ascii="Aptos" w:eastAsia="Aptos" w:hAnsi="Aptos" w:cs="Times New Roman"/>
          <w:i/>
          <w:iCs/>
          <w:sz w:val="21"/>
          <w:szCs w:val="21"/>
        </w:rPr>
        <w:t>Scandinavian Journal of Disability Research</w:t>
      </w:r>
      <w:r w:rsidRPr="00AD4173">
        <w:rPr>
          <w:rFonts w:ascii="Aptos" w:eastAsia="Aptos" w:hAnsi="Aptos" w:cs="Times New Roman"/>
          <w:sz w:val="21"/>
          <w:szCs w:val="21"/>
        </w:rPr>
        <w:t xml:space="preserve">, 22(1), 25–34. </w:t>
      </w:r>
      <w:hyperlink r:id="rId18" w:history="1">
        <w:r w:rsidRPr="00AD4173">
          <w:rPr>
            <w:rFonts w:ascii="Aptos" w:eastAsia="Aptos" w:hAnsi="Aptos" w:cs="Times New Roman"/>
            <w:color w:val="467886"/>
            <w:sz w:val="21"/>
            <w:szCs w:val="21"/>
            <w:u w:val="single"/>
          </w:rPr>
          <w:t>https://doi.org/10.16993/sjdr.689</w:t>
        </w:r>
      </w:hyperlink>
      <w:r w:rsidRPr="00AD4173">
        <w:rPr>
          <w:rFonts w:ascii="Aptos" w:eastAsia="Aptos" w:hAnsi="Aptos" w:cs="Times New Roman"/>
          <w:sz w:val="21"/>
          <w:szCs w:val="21"/>
        </w:rPr>
        <w:t xml:space="preserve"> </w:t>
      </w:r>
    </w:p>
    <w:p w14:paraId="7793F604"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Egilson, S.T. (2022). Use of Ethnographic Data to Critically Reflect on Disabled Children’s Participation and Their Encounters with Rehabilitation Services. In: Hayre, C.M., Muller, D.J., Hackett, P.M.W. (eds) Rehabilitation in Practice. Springer, Singapore. </w:t>
      </w:r>
      <w:hyperlink r:id="rId19" w:history="1">
        <w:r w:rsidRPr="00AD4173">
          <w:rPr>
            <w:rFonts w:ascii="Aptos" w:eastAsia="Aptos" w:hAnsi="Aptos" w:cs="Times New Roman"/>
            <w:color w:val="467886"/>
            <w:sz w:val="21"/>
            <w:szCs w:val="21"/>
            <w:u w:val="single"/>
          </w:rPr>
          <w:t>https://doi.org/10.1007/978-981-16-8317-6_6</w:t>
        </w:r>
      </w:hyperlink>
      <w:r w:rsidRPr="00AD4173">
        <w:rPr>
          <w:rFonts w:ascii="Aptos" w:eastAsia="Aptos" w:hAnsi="Aptos" w:cs="Times New Roman"/>
          <w:sz w:val="21"/>
          <w:szCs w:val="21"/>
        </w:rPr>
        <w:t xml:space="preserve"> </w:t>
      </w:r>
    </w:p>
    <w:p w14:paraId="0251F231"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European Commission: Directorate-General for Employment, Social Affairs and Inclusion, Traustadóttir, R., Rice, J. and Jörgensen, E., </w:t>
      </w:r>
      <w:r w:rsidRPr="00AD4173">
        <w:rPr>
          <w:rFonts w:ascii="Aptos" w:eastAsia="Aptos" w:hAnsi="Aptos" w:cs="Times New Roman"/>
          <w:i/>
          <w:iCs/>
          <w:sz w:val="21"/>
          <w:szCs w:val="21"/>
        </w:rPr>
        <w:t>Disability-relevance of quality assurance systems in social services – Iceland</w:t>
      </w:r>
      <w:r w:rsidRPr="00AD4173">
        <w:rPr>
          <w:rFonts w:ascii="Aptos" w:eastAsia="Aptos" w:hAnsi="Aptos" w:cs="Times New Roman"/>
          <w:sz w:val="21"/>
          <w:szCs w:val="21"/>
        </w:rPr>
        <w:t xml:space="preserve">, Publications Office of the European Union, 2024, </w:t>
      </w:r>
      <w:hyperlink r:id="rId20" w:history="1">
        <w:r w:rsidRPr="00AD4173">
          <w:rPr>
            <w:rFonts w:ascii="Aptos" w:eastAsia="Aptos" w:hAnsi="Aptos" w:cs="Times New Roman"/>
            <w:color w:val="467886"/>
            <w:sz w:val="21"/>
            <w:szCs w:val="21"/>
            <w:u w:val="single"/>
          </w:rPr>
          <w:t>https://data.europa.eu/doi/10.2767/832657</w:t>
        </w:r>
      </w:hyperlink>
      <w:r w:rsidRPr="00AD4173">
        <w:rPr>
          <w:rFonts w:ascii="Aptos" w:eastAsia="Aptos" w:hAnsi="Aptos" w:cs="Times New Roman"/>
          <w:sz w:val="21"/>
          <w:szCs w:val="21"/>
        </w:rPr>
        <w:t xml:space="preserve"> </w:t>
      </w:r>
    </w:p>
    <w:p w14:paraId="1CC4E34C"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Fish, R., &amp; Björnsdóttir, K. (2022). Sexuality and relationships. In H. Atherton, &amp; D. Crickmore (Eds.), </w:t>
      </w:r>
      <w:r w:rsidRPr="00AD4173">
        <w:rPr>
          <w:rFonts w:ascii="Aptos" w:eastAsia="Aptos" w:hAnsi="Aptos" w:cs="Times New Roman"/>
          <w:i/>
          <w:iCs/>
          <w:sz w:val="21"/>
          <w:szCs w:val="21"/>
        </w:rPr>
        <w:t>Intellectual Disabilities: Toward Inclusion</w:t>
      </w:r>
      <w:r w:rsidRPr="00AD4173">
        <w:rPr>
          <w:rFonts w:ascii="Aptos" w:eastAsia="Aptos" w:hAnsi="Aptos" w:cs="Times New Roman"/>
          <w:sz w:val="21"/>
          <w:szCs w:val="21"/>
        </w:rPr>
        <w:t xml:space="preserve"> (7th Edition ed., pp. 451-466). </w:t>
      </w:r>
      <w:proofErr w:type="spellStart"/>
      <w:r w:rsidRPr="00AD4173">
        <w:rPr>
          <w:rFonts w:ascii="Aptos" w:eastAsia="Aptos" w:hAnsi="Aptos" w:cs="Times New Roman"/>
          <w:sz w:val="21"/>
          <w:szCs w:val="21"/>
        </w:rPr>
        <w:t>Elsiver</w:t>
      </w:r>
      <w:proofErr w:type="spellEnd"/>
      <w:r w:rsidRPr="00AD4173">
        <w:rPr>
          <w:rFonts w:ascii="Aptos" w:eastAsia="Aptos" w:hAnsi="Aptos" w:cs="Times New Roman"/>
          <w:sz w:val="21"/>
          <w:szCs w:val="21"/>
        </w:rPr>
        <w:t>.</w:t>
      </w:r>
    </w:p>
    <w:p w14:paraId="48509581" w14:textId="77777777" w:rsidR="00AE4520" w:rsidRPr="00AD4173" w:rsidRDefault="00AE4520" w:rsidP="00AE4520">
      <w:pPr>
        <w:ind w:hanging="288"/>
        <w:jc w:val="both"/>
        <w:rPr>
          <w:rFonts w:ascii="Aptos" w:eastAsia="Aptos" w:hAnsi="Aptos" w:cs="Times New Roman"/>
          <w:sz w:val="21"/>
          <w:szCs w:val="21"/>
        </w:rPr>
      </w:pPr>
      <w:proofErr w:type="spellStart"/>
      <w:r w:rsidRPr="00AD4173">
        <w:rPr>
          <w:rFonts w:ascii="Aptos" w:eastAsia="Aptos" w:hAnsi="Aptos" w:cs="Times New Roman"/>
          <w:sz w:val="21"/>
          <w:szCs w:val="21"/>
        </w:rPr>
        <w:t>Gjecaj</w:t>
      </w:r>
      <w:proofErr w:type="spellEnd"/>
      <w:r w:rsidRPr="00AD4173">
        <w:rPr>
          <w:rFonts w:ascii="Aptos" w:eastAsia="Aptos" w:hAnsi="Aptos" w:cs="Times New Roman"/>
          <w:sz w:val="21"/>
          <w:szCs w:val="21"/>
        </w:rPr>
        <w:t xml:space="preserve">, E., Lawson, A., Traustadóttir, R., &amp; Rice, J. G. (2023). ‘We got lucky with the judge’: Access to justice for disabled women in Iceland. </w:t>
      </w:r>
      <w:r w:rsidRPr="00AD4173">
        <w:rPr>
          <w:rFonts w:ascii="Aptos" w:eastAsia="Aptos" w:hAnsi="Aptos" w:cs="Times New Roman"/>
          <w:i/>
          <w:iCs/>
          <w:sz w:val="21"/>
          <w:szCs w:val="21"/>
        </w:rPr>
        <w:t>Laws</w:t>
      </w:r>
      <w:r w:rsidRPr="00AD4173">
        <w:rPr>
          <w:rFonts w:ascii="Aptos" w:eastAsia="Aptos" w:hAnsi="Aptos" w:cs="Times New Roman"/>
          <w:sz w:val="21"/>
          <w:szCs w:val="21"/>
        </w:rPr>
        <w:t xml:space="preserve">, 12(2), 21. </w:t>
      </w:r>
      <w:hyperlink r:id="rId21" w:history="1">
        <w:r w:rsidRPr="00AD4173">
          <w:rPr>
            <w:rFonts w:ascii="Aptos" w:eastAsia="Aptos" w:hAnsi="Aptos" w:cs="Times New Roman"/>
            <w:color w:val="467886"/>
            <w:sz w:val="21"/>
            <w:szCs w:val="21"/>
            <w:u w:val="single"/>
          </w:rPr>
          <w:t>https://doi.org/10.3390/laws12020021</w:t>
        </w:r>
      </w:hyperlink>
      <w:r w:rsidRPr="00AD4173">
        <w:rPr>
          <w:rFonts w:ascii="Aptos" w:eastAsia="Aptos" w:hAnsi="Aptos" w:cs="Times New Roman"/>
          <w:sz w:val="21"/>
          <w:szCs w:val="21"/>
        </w:rPr>
        <w:t xml:space="preserve"> </w:t>
      </w:r>
    </w:p>
    <w:p w14:paraId="56845DDD" w14:textId="77777777" w:rsidR="00AE4520" w:rsidRPr="00AD4173" w:rsidRDefault="00AE4520" w:rsidP="00AE4520">
      <w:pPr>
        <w:ind w:hanging="288"/>
        <w:jc w:val="both"/>
        <w:rPr>
          <w:rFonts w:ascii="Aptos" w:eastAsia="Aptos" w:hAnsi="Aptos" w:cs="Times New Roman"/>
          <w:sz w:val="21"/>
          <w:szCs w:val="21"/>
        </w:rPr>
      </w:pPr>
      <w:proofErr w:type="spellStart"/>
      <w:r w:rsidRPr="00AD4173">
        <w:rPr>
          <w:rFonts w:ascii="Aptos" w:eastAsia="Aptos" w:hAnsi="Aptos" w:cs="Times New Roman"/>
          <w:sz w:val="21"/>
          <w:szCs w:val="21"/>
        </w:rPr>
        <w:t>Gjecaj</w:t>
      </w:r>
      <w:proofErr w:type="spellEnd"/>
      <w:r w:rsidRPr="00AD4173">
        <w:rPr>
          <w:rFonts w:ascii="Aptos" w:eastAsia="Aptos" w:hAnsi="Aptos" w:cs="Times New Roman"/>
          <w:sz w:val="21"/>
          <w:szCs w:val="21"/>
        </w:rPr>
        <w:t xml:space="preserve">, E., Traustadóttir, R., Rice, J. G., &amp; </w:t>
      </w:r>
      <w:proofErr w:type="spellStart"/>
      <w:r w:rsidRPr="00AD4173">
        <w:rPr>
          <w:rFonts w:ascii="Aptos" w:eastAsia="Aptos" w:hAnsi="Aptos" w:cs="Times New Roman"/>
          <w:sz w:val="21"/>
          <w:szCs w:val="21"/>
        </w:rPr>
        <w:t>Bjargardóttir</w:t>
      </w:r>
      <w:proofErr w:type="spellEnd"/>
      <w:r w:rsidRPr="00AD4173">
        <w:rPr>
          <w:rFonts w:ascii="Aptos" w:eastAsia="Aptos" w:hAnsi="Aptos" w:cs="Times New Roman"/>
          <w:sz w:val="21"/>
          <w:szCs w:val="21"/>
        </w:rPr>
        <w:t xml:space="preserve">, H. B. (2024). ‘They Guarantee Understanding Both Ways’: Rights Protection Officers as Facilitators of Access to Justice for Disabled Women. </w:t>
      </w:r>
      <w:r w:rsidRPr="00AD4173">
        <w:rPr>
          <w:rFonts w:ascii="Aptos" w:eastAsia="Aptos" w:hAnsi="Aptos" w:cs="Times New Roman"/>
          <w:i/>
          <w:iCs/>
          <w:sz w:val="21"/>
          <w:szCs w:val="21"/>
        </w:rPr>
        <w:t>Scandinavian Journal of Disability Research</w:t>
      </w:r>
      <w:r w:rsidRPr="00AD4173">
        <w:rPr>
          <w:rFonts w:ascii="Aptos" w:eastAsia="Aptos" w:hAnsi="Aptos" w:cs="Times New Roman"/>
          <w:sz w:val="21"/>
          <w:szCs w:val="21"/>
        </w:rPr>
        <w:t xml:space="preserve">, 26(1), 464–476. </w:t>
      </w:r>
      <w:hyperlink r:id="rId22" w:history="1">
        <w:r w:rsidRPr="00AD4173">
          <w:rPr>
            <w:rFonts w:ascii="Aptos" w:eastAsia="Aptos" w:hAnsi="Aptos" w:cs="Times New Roman"/>
            <w:color w:val="467886"/>
            <w:sz w:val="21"/>
            <w:szCs w:val="21"/>
            <w:u w:val="single"/>
          </w:rPr>
          <w:t>https://doi.org/10.16993/sjdr.1051</w:t>
        </w:r>
      </w:hyperlink>
      <w:r w:rsidRPr="00AD4173">
        <w:rPr>
          <w:rFonts w:ascii="Aptos" w:eastAsia="Aptos" w:hAnsi="Aptos" w:cs="Times New Roman"/>
          <w:sz w:val="21"/>
          <w:szCs w:val="21"/>
        </w:rPr>
        <w:t xml:space="preserve">  </w:t>
      </w:r>
    </w:p>
    <w:p w14:paraId="2F11C59F"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lastRenderedPageBreak/>
        <w:t xml:space="preserve">Gjertsen, H., </w:t>
      </w:r>
      <w:proofErr w:type="spellStart"/>
      <w:r w:rsidRPr="00AD4173">
        <w:rPr>
          <w:rFonts w:ascii="Aptos" w:eastAsia="Aptos" w:hAnsi="Aptos" w:cs="Times New Roman"/>
          <w:sz w:val="21"/>
          <w:szCs w:val="21"/>
        </w:rPr>
        <w:t>Hardonk</w:t>
      </w:r>
      <w:proofErr w:type="spellEnd"/>
      <w:r w:rsidRPr="00AD4173">
        <w:rPr>
          <w:rFonts w:ascii="Aptos" w:eastAsia="Aptos" w:hAnsi="Aptos" w:cs="Times New Roman"/>
          <w:sz w:val="21"/>
          <w:szCs w:val="21"/>
        </w:rPr>
        <w:t xml:space="preserve">, S., &amp; </w:t>
      </w:r>
      <w:proofErr w:type="spellStart"/>
      <w:r w:rsidRPr="00AD4173">
        <w:rPr>
          <w:rFonts w:ascii="Aptos" w:eastAsia="Aptos" w:hAnsi="Aptos" w:cs="Times New Roman"/>
          <w:sz w:val="21"/>
          <w:szCs w:val="21"/>
        </w:rPr>
        <w:t>Ineland</w:t>
      </w:r>
      <w:proofErr w:type="spellEnd"/>
      <w:r w:rsidRPr="00AD4173">
        <w:rPr>
          <w:rFonts w:ascii="Aptos" w:eastAsia="Aptos" w:hAnsi="Aptos" w:cs="Times New Roman"/>
          <w:sz w:val="21"/>
          <w:szCs w:val="21"/>
        </w:rPr>
        <w:t xml:space="preserve">, J. (2021). Work Inclusion for People with Intellectual Disabilities in Three Nordic Countries: The Current Policy and Challenges. </w:t>
      </w:r>
      <w:r w:rsidRPr="00AD4173">
        <w:rPr>
          <w:rFonts w:ascii="Aptos" w:eastAsia="Aptos" w:hAnsi="Aptos" w:cs="Times New Roman"/>
          <w:i/>
          <w:iCs/>
          <w:sz w:val="21"/>
          <w:szCs w:val="21"/>
        </w:rPr>
        <w:t>Scandinavian Journal of Disability Research</w:t>
      </w:r>
      <w:r w:rsidRPr="00AD4173">
        <w:rPr>
          <w:rFonts w:ascii="Aptos" w:eastAsia="Aptos" w:hAnsi="Aptos" w:cs="Times New Roman"/>
          <w:sz w:val="21"/>
          <w:szCs w:val="21"/>
        </w:rPr>
        <w:t xml:space="preserve">, 23(1), 360–370. </w:t>
      </w:r>
      <w:hyperlink r:id="rId23" w:history="1">
        <w:r w:rsidRPr="00AD4173">
          <w:rPr>
            <w:rFonts w:ascii="Aptos" w:eastAsia="Aptos" w:hAnsi="Aptos" w:cs="Times New Roman"/>
            <w:color w:val="467886"/>
            <w:sz w:val="21"/>
            <w:szCs w:val="21"/>
            <w:u w:val="single"/>
          </w:rPr>
          <w:t>https://doi.org/10.16993/sjdr.821</w:t>
        </w:r>
      </w:hyperlink>
    </w:p>
    <w:p w14:paraId="57D73289"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Guðrún V. Stefánsdóttir and Laufey E. Löve (2025). </w:t>
      </w:r>
      <w:proofErr w:type="spellStart"/>
      <w:r w:rsidRPr="00AD4173">
        <w:rPr>
          <w:rFonts w:ascii="Aptos" w:eastAsia="Aptos" w:hAnsi="Aptos" w:cs="Times New Roman"/>
          <w:sz w:val="21"/>
          <w:szCs w:val="21"/>
        </w:rPr>
        <w:t>Sjálfræði</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og</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sjálfstætt</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líf</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Hver</w:t>
      </w:r>
      <w:proofErr w:type="spellEnd"/>
      <w:r w:rsidRPr="00AD4173">
        <w:rPr>
          <w:rFonts w:ascii="Aptos" w:eastAsia="Aptos" w:hAnsi="Aptos" w:cs="Times New Roman"/>
          <w:sz w:val="21"/>
          <w:szCs w:val="21"/>
        </w:rPr>
        <w:t xml:space="preserve"> á </w:t>
      </w:r>
      <w:proofErr w:type="spellStart"/>
      <w:r w:rsidRPr="00AD4173">
        <w:rPr>
          <w:rFonts w:ascii="Aptos" w:eastAsia="Aptos" w:hAnsi="Aptos" w:cs="Times New Roman"/>
          <w:sz w:val="21"/>
          <w:szCs w:val="21"/>
        </w:rPr>
        <w:t>að</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ráða</w:t>
      </w:r>
      <w:proofErr w:type="spellEnd"/>
      <w:r w:rsidRPr="00AD4173">
        <w:rPr>
          <w:rFonts w:ascii="Aptos" w:eastAsia="Aptos" w:hAnsi="Aptos" w:cs="Times New Roman"/>
          <w:sz w:val="21"/>
          <w:szCs w:val="21"/>
        </w:rPr>
        <w:t xml:space="preserve">? In S. Þ. Egilson (Ed.), </w:t>
      </w:r>
      <w:proofErr w:type="spellStart"/>
      <w:r w:rsidRPr="00AD4173">
        <w:rPr>
          <w:rFonts w:ascii="Aptos" w:eastAsia="Aptos" w:hAnsi="Aptos" w:cs="Times New Roman"/>
          <w:i/>
          <w:iCs/>
          <w:sz w:val="21"/>
          <w:szCs w:val="21"/>
        </w:rPr>
        <w:t>Fötlun</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sjálf</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samfélag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Birtingarmyndir</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úrlausnarefni</w:t>
      </w:r>
      <w:proofErr w:type="spellEnd"/>
      <w:r w:rsidRPr="00AD4173">
        <w:rPr>
          <w:rFonts w:ascii="Aptos" w:eastAsia="Aptos" w:hAnsi="Aptos" w:cs="Times New Roman"/>
          <w:sz w:val="21"/>
          <w:szCs w:val="21"/>
        </w:rPr>
        <w:t xml:space="preserve">, 263–292. </w:t>
      </w:r>
      <w:proofErr w:type="spellStart"/>
      <w:r w:rsidRPr="00AD4173">
        <w:rPr>
          <w:rFonts w:ascii="Aptos" w:eastAsia="Aptos" w:hAnsi="Aptos" w:cs="Times New Roman"/>
          <w:sz w:val="21"/>
          <w:szCs w:val="21"/>
        </w:rPr>
        <w:t>Háskólaútgáfan</w:t>
      </w:r>
      <w:proofErr w:type="spellEnd"/>
      <w:r w:rsidRPr="00AD4173">
        <w:rPr>
          <w:rFonts w:ascii="Aptos" w:eastAsia="Aptos" w:hAnsi="Aptos" w:cs="Times New Roman"/>
          <w:sz w:val="21"/>
          <w:szCs w:val="21"/>
        </w:rPr>
        <w:t>: Reykjavík</w:t>
      </w:r>
    </w:p>
    <w:p w14:paraId="75BAA070" w14:textId="77777777" w:rsidR="00AE4520" w:rsidRPr="00AD4173" w:rsidRDefault="00AE4520" w:rsidP="00AE4520">
      <w:pPr>
        <w:ind w:hanging="288"/>
        <w:jc w:val="both"/>
        <w:rPr>
          <w:rFonts w:ascii="Aptos" w:eastAsia="Aptos" w:hAnsi="Aptos" w:cs="Times New Roman"/>
          <w:sz w:val="21"/>
          <w:szCs w:val="21"/>
        </w:rPr>
      </w:pPr>
      <w:proofErr w:type="spellStart"/>
      <w:r w:rsidRPr="00AD4173">
        <w:rPr>
          <w:rFonts w:ascii="Aptos" w:eastAsia="Aptos" w:hAnsi="Aptos" w:cs="Times New Roman"/>
          <w:sz w:val="21"/>
          <w:szCs w:val="21"/>
        </w:rPr>
        <w:t>Guðrúnar</w:t>
      </w:r>
      <w:proofErr w:type="spellEnd"/>
      <w:r w:rsidRPr="00AD4173">
        <w:rPr>
          <w:rFonts w:ascii="Aptos" w:eastAsia="Aptos" w:hAnsi="Aptos" w:cs="Times New Roman"/>
          <w:sz w:val="21"/>
          <w:szCs w:val="21"/>
        </w:rPr>
        <w:t xml:space="preserve"> Ágústsdóttir, E., Ingimarsdóttir, A.S. and Jóhannsdóttir, Á (2025). </w:t>
      </w:r>
      <w:proofErr w:type="spellStart"/>
      <w:r w:rsidRPr="00AD4173">
        <w:rPr>
          <w:rFonts w:ascii="Aptos" w:eastAsia="Aptos" w:hAnsi="Aptos" w:cs="Times New Roman"/>
          <w:sz w:val="21"/>
          <w:szCs w:val="21"/>
        </w:rPr>
        <w:t>Unglingsárin</w:t>
      </w:r>
      <w:proofErr w:type="spellEnd"/>
      <w:r w:rsidRPr="00AD4173">
        <w:rPr>
          <w:rFonts w:ascii="Aptos" w:eastAsia="Aptos" w:hAnsi="Aptos" w:cs="Times New Roman"/>
          <w:sz w:val="21"/>
          <w:szCs w:val="21"/>
        </w:rPr>
        <w:t xml:space="preserve">. In S. Þ. Egilson (Ed.), </w:t>
      </w:r>
      <w:proofErr w:type="spellStart"/>
      <w:r w:rsidRPr="00AD4173">
        <w:rPr>
          <w:rFonts w:ascii="Aptos" w:eastAsia="Aptos" w:hAnsi="Aptos" w:cs="Times New Roman"/>
          <w:i/>
          <w:iCs/>
          <w:sz w:val="21"/>
          <w:szCs w:val="21"/>
        </w:rPr>
        <w:t>Fötlun</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sjálf</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samfélag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Birtingarmyndir</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úrlausnarefni</w:t>
      </w:r>
      <w:proofErr w:type="spellEnd"/>
      <w:r w:rsidRPr="00AD4173">
        <w:rPr>
          <w:rFonts w:ascii="Aptos" w:eastAsia="Aptos" w:hAnsi="Aptos" w:cs="Times New Roman"/>
          <w:sz w:val="21"/>
          <w:szCs w:val="21"/>
        </w:rPr>
        <w:t xml:space="preserve">, 115–142. </w:t>
      </w:r>
      <w:proofErr w:type="spellStart"/>
      <w:r w:rsidRPr="00AD4173">
        <w:rPr>
          <w:rFonts w:ascii="Aptos" w:eastAsia="Aptos" w:hAnsi="Aptos" w:cs="Times New Roman"/>
          <w:sz w:val="21"/>
          <w:szCs w:val="21"/>
        </w:rPr>
        <w:t>Háskólaútgáfan</w:t>
      </w:r>
      <w:proofErr w:type="spellEnd"/>
      <w:r w:rsidRPr="00AD4173">
        <w:rPr>
          <w:rFonts w:ascii="Aptos" w:eastAsia="Aptos" w:hAnsi="Aptos" w:cs="Times New Roman"/>
          <w:sz w:val="21"/>
          <w:szCs w:val="21"/>
        </w:rPr>
        <w:t>.</w:t>
      </w:r>
    </w:p>
    <w:p w14:paraId="13A9CD65"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Hafsteinsdóttir, Á., &amp; </w:t>
      </w:r>
      <w:proofErr w:type="spellStart"/>
      <w:r w:rsidRPr="00AD4173">
        <w:rPr>
          <w:rFonts w:ascii="Aptos" w:eastAsia="Aptos" w:hAnsi="Aptos" w:cs="Times New Roman"/>
          <w:sz w:val="21"/>
          <w:szCs w:val="21"/>
        </w:rPr>
        <w:t>Hardonk</w:t>
      </w:r>
      <w:proofErr w:type="spellEnd"/>
      <w:r w:rsidRPr="00AD4173">
        <w:rPr>
          <w:rFonts w:ascii="Aptos" w:eastAsia="Aptos" w:hAnsi="Aptos" w:cs="Times New Roman"/>
          <w:sz w:val="21"/>
          <w:szCs w:val="21"/>
        </w:rPr>
        <w:t xml:space="preserve">, S. C. (2023). Understanding work inclusion: Analysis of the perspectives of people with intellectual disabilities on employment in the Icelandic labor market. </w:t>
      </w:r>
      <w:r w:rsidRPr="00AD4173">
        <w:rPr>
          <w:rFonts w:ascii="Aptos" w:eastAsia="Aptos" w:hAnsi="Aptos" w:cs="Times New Roman"/>
          <w:i/>
          <w:iCs/>
          <w:sz w:val="21"/>
          <w:szCs w:val="21"/>
        </w:rPr>
        <w:t>Work</w:t>
      </w:r>
      <w:r w:rsidRPr="00AD4173">
        <w:rPr>
          <w:rFonts w:ascii="Aptos" w:eastAsia="Aptos" w:hAnsi="Aptos" w:cs="Times New Roman"/>
          <w:sz w:val="21"/>
          <w:szCs w:val="21"/>
        </w:rPr>
        <w:t xml:space="preserve">, 75(2), 433–445. </w:t>
      </w:r>
      <w:hyperlink r:id="rId24" w:history="1">
        <w:r w:rsidRPr="00AD4173">
          <w:rPr>
            <w:rFonts w:ascii="Aptos" w:eastAsia="Aptos" w:hAnsi="Aptos" w:cs="Times New Roman"/>
            <w:color w:val="467886"/>
            <w:sz w:val="21"/>
            <w:szCs w:val="21"/>
            <w:u w:val="single"/>
          </w:rPr>
          <w:t>https://doi.org/10.3233/WOR-211219</w:t>
        </w:r>
      </w:hyperlink>
      <w:r w:rsidRPr="00AD4173">
        <w:rPr>
          <w:rFonts w:ascii="Aptos" w:eastAsia="Aptos" w:hAnsi="Aptos" w:cs="Times New Roman"/>
          <w:sz w:val="21"/>
          <w:szCs w:val="21"/>
        </w:rPr>
        <w:t xml:space="preserve"> </w:t>
      </w:r>
    </w:p>
    <w:p w14:paraId="743953F6"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Halldórsdóttir, N. H. and Sigurðardóttir, S. H. (2025). </w:t>
      </w:r>
      <w:proofErr w:type="spellStart"/>
      <w:r w:rsidRPr="00AD4173">
        <w:rPr>
          <w:rFonts w:ascii="Aptos" w:eastAsia="Aptos" w:hAnsi="Aptos" w:cs="Times New Roman"/>
          <w:sz w:val="21"/>
          <w:szCs w:val="21"/>
        </w:rPr>
        <w:t>Öldrun</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og</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fötlun</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Skurðpunktar</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og</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álitamál</w:t>
      </w:r>
      <w:proofErr w:type="spellEnd"/>
      <w:r w:rsidRPr="00AD4173">
        <w:rPr>
          <w:rFonts w:ascii="Aptos" w:eastAsia="Aptos" w:hAnsi="Aptos" w:cs="Times New Roman"/>
          <w:sz w:val="21"/>
          <w:szCs w:val="21"/>
        </w:rPr>
        <w:t xml:space="preserve">. In S. Þ. Egilson (Ed.), </w:t>
      </w:r>
      <w:proofErr w:type="spellStart"/>
      <w:r w:rsidRPr="00AD4173">
        <w:rPr>
          <w:rFonts w:ascii="Aptos" w:eastAsia="Aptos" w:hAnsi="Aptos" w:cs="Times New Roman"/>
          <w:i/>
          <w:iCs/>
          <w:sz w:val="21"/>
          <w:szCs w:val="21"/>
        </w:rPr>
        <w:t>Fötlun</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sjálf</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samfélag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Birtingarmyndir</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úrlausnarefni</w:t>
      </w:r>
      <w:proofErr w:type="spellEnd"/>
      <w:r w:rsidRPr="00AD4173">
        <w:rPr>
          <w:rFonts w:ascii="Aptos" w:eastAsia="Aptos" w:hAnsi="Aptos" w:cs="Times New Roman"/>
          <w:sz w:val="21"/>
          <w:szCs w:val="21"/>
        </w:rPr>
        <w:t xml:space="preserve">, 173–200. </w:t>
      </w:r>
      <w:proofErr w:type="spellStart"/>
      <w:r w:rsidRPr="00AD4173">
        <w:rPr>
          <w:rFonts w:ascii="Aptos" w:eastAsia="Aptos" w:hAnsi="Aptos" w:cs="Times New Roman"/>
          <w:sz w:val="21"/>
          <w:szCs w:val="21"/>
        </w:rPr>
        <w:t>Háskólaútgáfan</w:t>
      </w:r>
      <w:proofErr w:type="spellEnd"/>
      <w:r w:rsidRPr="00AD4173">
        <w:rPr>
          <w:rFonts w:ascii="Aptos" w:eastAsia="Aptos" w:hAnsi="Aptos" w:cs="Times New Roman"/>
          <w:sz w:val="21"/>
          <w:szCs w:val="21"/>
        </w:rPr>
        <w:t>.</w:t>
      </w:r>
    </w:p>
    <w:p w14:paraId="5656EE04"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Haraldsdóttir, F. (2017). </w:t>
      </w:r>
      <w:r w:rsidRPr="00AD4173">
        <w:rPr>
          <w:rFonts w:ascii="Aptos" w:eastAsia="Aptos" w:hAnsi="Aptos" w:cs="Times New Roman"/>
          <w:i/>
          <w:iCs/>
          <w:sz w:val="21"/>
          <w:szCs w:val="21"/>
        </w:rPr>
        <w:t>‘I am discriminated against because I exist’: Psycho-emotional effects of multiple oppressions for disabled women in Iceland</w:t>
      </w:r>
      <w:r w:rsidRPr="00AD4173">
        <w:rPr>
          <w:rFonts w:ascii="Aptos" w:eastAsia="Aptos" w:hAnsi="Aptos" w:cs="Times New Roman"/>
          <w:sz w:val="21"/>
          <w:szCs w:val="21"/>
        </w:rPr>
        <w:t xml:space="preserve"> [</w:t>
      </w:r>
      <w:proofErr w:type="gramStart"/>
      <w:r w:rsidRPr="00AD4173">
        <w:rPr>
          <w:rFonts w:ascii="Aptos" w:eastAsia="Aptos" w:hAnsi="Aptos" w:cs="Times New Roman"/>
          <w:sz w:val="21"/>
          <w:szCs w:val="21"/>
        </w:rPr>
        <w:t>Master’s</w:t>
      </w:r>
      <w:proofErr w:type="gramEnd"/>
      <w:r w:rsidRPr="00AD4173">
        <w:rPr>
          <w:rFonts w:ascii="Aptos" w:eastAsia="Aptos" w:hAnsi="Aptos" w:cs="Times New Roman"/>
          <w:sz w:val="21"/>
          <w:szCs w:val="21"/>
        </w:rPr>
        <w:t xml:space="preserve"> thesis, University of Iceland].</w:t>
      </w:r>
    </w:p>
    <w:p w14:paraId="5FF5EDC9"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Haraldsdóttir, F., Ágústsdóttir, E., &amp; Slater, T. (2018). Becoming intelligible woman: Gender, disability and resistance at the border zone of youth. </w:t>
      </w:r>
      <w:r w:rsidRPr="00AD4173">
        <w:rPr>
          <w:rFonts w:ascii="Aptos" w:eastAsia="Aptos" w:hAnsi="Aptos" w:cs="Times New Roman"/>
          <w:i/>
          <w:iCs/>
          <w:sz w:val="21"/>
          <w:szCs w:val="21"/>
        </w:rPr>
        <w:t>Feminism &amp; Psychology,</w:t>
      </w:r>
      <w:r w:rsidRPr="00AD4173">
        <w:rPr>
          <w:rFonts w:ascii="Aptos" w:eastAsia="Aptos" w:hAnsi="Aptos" w:cs="Times New Roman"/>
          <w:sz w:val="21"/>
          <w:szCs w:val="21"/>
        </w:rPr>
        <w:t xml:space="preserve"> 28(3), 409–426. </w:t>
      </w:r>
      <w:hyperlink r:id="rId25" w:history="1">
        <w:r w:rsidRPr="00AD4173">
          <w:rPr>
            <w:rFonts w:ascii="Aptos" w:eastAsia="Aptos" w:hAnsi="Aptos" w:cs="Times New Roman"/>
            <w:color w:val="467886"/>
            <w:sz w:val="21"/>
            <w:szCs w:val="21"/>
            <w:u w:val="single"/>
          </w:rPr>
          <w:t>https://doi.org/10.1177/0959353518769947</w:t>
        </w:r>
      </w:hyperlink>
      <w:r w:rsidRPr="00AD4173">
        <w:rPr>
          <w:rFonts w:ascii="Aptos" w:eastAsia="Aptos" w:hAnsi="Aptos" w:cs="Times New Roman"/>
          <w:sz w:val="21"/>
          <w:szCs w:val="21"/>
        </w:rPr>
        <w:t xml:space="preserve"> </w:t>
      </w:r>
    </w:p>
    <w:p w14:paraId="78B02C28" w14:textId="77777777" w:rsidR="00AE4520" w:rsidRPr="00AD4173" w:rsidRDefault="00AE4520" w:rsidP="00AE4520">
      <w:pPr>
        <w:ind w:hanging="288"/>
        <w:jc w:val="both"/>
        <w:rPr>
          <w:rFonts w:ascii="Aptos" w:eastAsia="Aptos" w:hAnsi="Aptos" w:cs="Times New Roman"/>
          <w:sz w:val="21"/>
          <w:szCs w:val="21"/>
        </w:rPr>
      </w:pPr>
      <w:proofErr w:type="spellStart"/>
      <w:r w:rsidRPr="00AD4173">
        <w:rPr>
          <w:rFonts w:ascii="Aptos" w:eastAsia="Aptos" w:hAnsi="Aptos" w:cs="Times New Roman"/>
          <w:sz w:val="21"/>
          <w:szCs w:val="21"/>
        </w:rPr>
        <w:t>Hardonk</w:t>
      </w:r>
      <w:proofErr w:type="spellEnd"/>
      <w:r w:rsidRPr="00AD4173">
        <w:rPr>
          <w:rFonts w:ascii="Aptos" w:eastAsia="Aptos" w:hAnsi="Aptos" w:cs="Times New Roman"/>
          <w:sz w:val="21"/>
          <w:szCs w:val="21"/>
        </w:rPr>
        <w:t xml:space="preserve">, S. and Jónasdóttir, S. K. (2025). </w:t>
      </w:r>
      <w:proofErr w:type="spellStart"/>
      <w:r w:rsidRPr="00AD4173">
        <w:rPr>
          <w:rFonts w:ascii="Aptos" w:eastAsia="Aptos" w:hAnsi="Aptos" w:cs="Times New Roman"/>
          <w:sz w:val="21"/>
          <w:szCs w:val="21"/>
        </w:rPr>
        <w:t>Fullorðinsárin</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Atvinnu</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og</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ferlimál</w:t>
      </w:r>
      <w:proofErr w:type="spellEnd"/>
      <w:r w:rsidRPr="00AD4173">
        <w:rPr>
          <w:rFonts w:ascii="Aptos" w:eastAsia="Aptos" w:hAnsi="Aptos" w:cs="Times New Roman"/>
          <w:sz w:val="21"/>
          <w:szCs w:val="21"/>
        </w:rPr>
        <w:t xml:space="preserve">. In S. Þ. Egilson (Ed.), </w:t>
      </w:r>
      <w:proofErr w:type="spellStart"/>
      <w:r w:rsidRPr="00AD4173">
        <w:rPr>
          <w:rFonts w:ascii="Aptos" w:eastAsia="Aptos" w:hAnsi="Aptos" w:cs="Times New Roman"/>
          <w:i/>
          <w:iCs/>
          <w:sz w:val="21"/>
          <w:szCs w:val="21"/>
        </w:rPr>
        <w:t>Fötlun</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sjálf</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samfélag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Birtingarmyndir</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úrlausnarefni</w:t>
      </w:r>
      <w:proofErr w:type="spellEnd"/>
      <w:r w:rsidRPr="00AD4173">
        <w:rPr>
          <w:rFonts w:ascii="Aptos" w:eastAsia="Aptos" w:hAnsi="Aptos" w:cs="Times New Roman"/>
          <w:sz w:val="21"/>
          <w:szCs w:val="21"/>
        </w:rPr>
        <w:t xml:space="preserve">, 143–172. </w:t>
      </w:r>
      <w:proofErr w:type="spellStart"/>
      <w:r w:rsidRPr="00AD4173">
        <w:rPr>
          <w:rFonts w:ascii="Aptos" w:eastAsia="Aptos" w:hAnsi="Aptos" w:cs="Times New Roman"/>
          <w:sz w:val="21"/>
          <w:szCs w:val="21"/>
        </w:rPr>
        <w:t>Háskólaútgáfan</w:t>
      </w:r>
      <w:proofErr w:type="spellEnd"/>
      <w:r w:rsidRPr="00AD4173">
        <w:rPr>
          <w:rFonts w:ascii="Aptos" w:eastAsia="Aptos" w:hAnsi="Aptos" w:cs="Times New Roman"/>
          <w:sz w:val="21"/>
          <w:szCs w:val="21"/>
        </w:rPr>
        <w:t>.</w:t>
      </w:r>
    </w:p>
    <w:p w14:paraId="199AE934" w14:textId="77777777" w:rsidR="00AE4520" w:rsidRPr="00AD4173" w:rsidRDefault="00AE4520" w:rsidP="00AE4520">
      <w:pPr>
        <w:ind w:hanging="288"/>
        <w:jc w:val="both"/>
        <w:rPr>
          <w:rFonts w:ascii="Aptos" w:eastAsia="Aptos" w:hAnsi="Aptos" w:cs="Times New Roman"/>
          <w:sz w:val="21"/>
          <w:szCs w:val="21"/>
        </w:rPr>
      </w:pPr>
      <w:proofErr w:type="spellStart"/>
      <w:r w:rsidRPr="00AD4173">
        <w:rPr>
          <w:rFonts w:ascii="Aptos" w:eastAsia="Aptos" w:hAnsi="Aptos" w:cs="Times New Roman"/>
          <w:sz w:val="21"/>
          <w:szCs w:val="21"/>
        </w:rPr>
        <w:t>Hardonk</w:t>
      </w:r>
      <w:proofErr w:type="spellEnd"/>
      <w:r w:rsidRPr="00AD4173">
        <w:rPr>
          <w:rFonts w:ascii="Aptos" w:eastAsia="Aptos" w:hAnsi="Aptos" w:cs="Times New Roman"/>
          <w:sz w:val="21"/>
          <w:szCs w:val="21"/>
        </w:rPr>
        <w:t xml:space="preserve">, S., &amp; Halldórsdóttir, S. (2021). Work Inclusion through Supported Employment? Perspectives of Job Counsellors in Iceland. </w:t>
      </w:r>
      <w:r w:rsidRPr="00AD4173">
        <w:rPr>
          <w:rFonts w:ascii="Aptos" w:eastAsia="Aptos" w:hAnsi="Aptos" w:cs="Times New Roman"/>
          <w:i/>
          <w:iCs/>
          <w:sz w:val="21"/>
          <w:szCs w:val="21"/>
        </w:rPr>
        <w:t>Scandinavian Journal of Disability Research</w:t>
      </w:r>
      <w:r w:rsidRPr="00AD4173">
        <w:rPr>
          <w:rFonts w:ascii="Aptos" w:eastAsia="Aptos" w:hAnsi="Aptos" w:cs="Times New Roman"/>
          <w:sz w:val="21"/>
          <w:szCs w:val="21"/>
        </w:rPr>
        <w:t xml:space="preserve">, 23(1), 39–49. </w:t>
      </w:r>
      <w:hyperlink r:id="rId26" w:history="1">
        <w:r w:rsidRPr="00AD4173">
          <w:rPr>
            <w:rFonts w:ascii="Aptos" w:eastAsia="Aptos" w:hAnsi="Aptos" w:cs="Times New Roman"/>
            <w:color w:val="467886"/>
            <w:sz w:val="21"/>
            <w:szCs w:val="21"/>
            <w:u w:val="single"/>
          </w:rPr>
          <w:t>https://doi.org/10.16993/sjdr.767</w:t>
        </w:r>
      </w:hyperlink>
      <w:r w:rsidRPr="00AD4173">
        <w:rPr>
          <w:rFonts w:ascii="Aptos" w:eastAsia="Aptos" w:hAnsi="Aptos" w:cs="Times New Roman"/>
          <w:sz w:val="21"/>
          <w:szCs w:val="21"/>
        </w:rPr>
        <w:t xml:space="preserve">  </w:t>
      </w:r>
    </w:p>
    <w:p w14:paraId="66F12E4E"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Hrafnhildur </w:t>
      </w:r>
      <w:proofErr w:type="spellStart"/>
      <w:r w:rsidRPr="00AD4173">
        <w:rPr>
          <w:rFonts w:ascii="Aptos" w:eastAsia="Aptos" w:hAnsi="Aptos" w:cs="Times New Roman"/>
          <w:sz w:val="21"/>
          <w:szCs w:val="21"/>
        </w:rPr>
        <w:t>Snæfríðar</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og</w:t>
      </w:r>
      <w:proofErr w:type="spellEnd"/>
      <w:r w:rsidRPr="00AD4173">
        <w:rPr>
          <w:rFonts w:ascii="Aptos" w:eastAsia="Aptos" w:hAnsi="Aptos" w:cs="Times New Roman"/>
          <w:sz w:val="21"/>
          <w:szCs w:val="21"/>
        </w:rPr>
        <w:t xml:space="preserve"> Gunnarsdóttir &amp; Sara Stefánsdóttir (2025). </w:t>
      </w:r>
      <w:proofErr w:type="spellStart"/>
      <w:r w:rsidRPr="00AD4173">
        <w:rPr>
          <w:rFonts w:ascii="Aptos" w:eastAsia="Aptos" w:hAnsi="Aptos" w:cs="Times New Roman"/>
          <w:sz w:val="21"/>
          <w:szCs w:val="21"/>
        </w:rPr>
        <w:t>Reynsla</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fatlaðs</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fólks</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af</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íslensku</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þjónustukerfi</w:t>
      </w:r>
      <w:proofErr w:type="spellEnd"/>
      <w:r w:rsidRPr="00AD4173">
        <w:rPr>
          <w:rFonts w:ascii="Aptos" w:eastAsia="Aptos" w:hAnsi="Aptos" w:cs="Times New Roman"/>
          <w:sz w:val="21"/>
          <w:szCs w:val="21"/>
        </w:rPr>
        <w:t xml:space="preserve">. In S. Þ. Egilson (Ed.), </w:t>
      </w:r>
      <w:proofErr w:type="spellStart"/>
      <w:r w:rsidRPr="00AD4173">
        <w:rPr>
          <w:rFonts w:ascii="Aptos" w:eastAsia="Aptos" w:hAnsi="Aptos" w:cs="Times New Roman"/>
          <w:i/>
          <w:iCs/>
          <w:sz w:val="21"/>
          <w:szCs w:val="21"/>
        </w:rPr>
        <w:t>Fötlun</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sjálf</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samfélag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Birtingarmyndir</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úrlausnarefni</w:t>
      </w:r>
      <w:proofErr w:type="spellEnd"/>
      <w:r w:rsidRPr="00AD4173">
        <w:rPr>
          <w:rFonts w:ascii="Aptos" w:eastAsia="Aptos" w:hAnsi="Aptos" w:cs="Times New Roman"/>
          <w:sz w:val="21"/>
          <w:szCs w:val="21"/>
        </w:rPr>
        <w:t xml:space="preserve"> (pp. 323–358). </w:t>
      </w:r>
      <w:proofErr w:type="spellStart"/>
      <w:r w:rsidRPr="00AD4173">
        <w:rPr>
          <w:rFonts w:ascii="Aptos" w:eastAsia="Aptos" w:hAnsi="Aptos" w:cs="Times New Roman"/>
          <w:sz w:val="21"/>
          <w:szCs w:val="21"/>
        </w:rPr>
        <w:t>Háskólaútgáfan</w:t>
      </w:r>
      <w:proofErr w:type="spellEnd"/>
    </w:p>
    <w:p w14:paraId="4D8A4BF0"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Ingimarsdóttir, A. S., &amp; Egilson, S. T. (2024). “I Just Want to Live My Life”: Young Disabled People’s Possibilities for Achieving Participation and Wellness. </w:t>
      </w:r>
      <w:r w:rsidRPr="00AD4173">
        <w:rPr>
          <w:rFonts w:ascii="Aptos" w:eastAsia="Aptos" w:hAnsi="Aptos" w:cs="Times New Roman"/>
          <w:i/>
          <w:iCs/>
          <w:sz w:val="21"/>
          <w:szCs w:val="21"/>
        </w:rPr>
        <w:t>Social Sciences</w:t>
      </w:r>
      <w:r w:rsidRPr="00AD4173">
        <w:rPr>
          <w:rFonts w:ascii="Aptos" w:eastAsia="Aptos" w:hAnsi="Aptos" w:cs="Times New Roman"/>
          <w:sz w:val="21"/>
          <w:szCs w:val="21"/>
        </w:rPr>
        <w:t xml:space="preserve">, 13(1), 63. </w:t>
      </w:r>
      <w:hyperlink r:id="rId27" w:history="1">
        <w:r w:rsidRPr="00AD4173">
          <w:rPr>
            <w:rFonts w:ascii="Aptos" w:eastAsia="Aptos" w:hAnsi="Aptos" w:cs="Times New Roman"/>
            <w:color w:val="467886"/>
            <w:sz w:val="21"/>
            <w:szCs w:val="21"/>
            <w:u w:val="single"/>
          </w:rPr>
          <w:t>https://doi.org/10.3390/socsci13010063</w:t>
        </w:r>
      </w:hyperlink>
      <w:r w:rsidRPr="00AD4173">
        <w:rPr>
          <w:rFonts w:ascii="Aptos" w:eastAsia="Aptos" w:hAnsi="Aptos" w:cs="Times New Roman"/>
          <w:sz w:val="21"/>
          <w:szCs w:val="21"/>
        </w:rPr>
        <w:t xml:space="preserve"> </w:t>
      </w:r>
    </w:p>
    <w:p w14:paraId="4D901BB7"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Ingimarsdóttir, A. S., Björnsdóttir, K., Hamdani, Y., &amp; Egilson, S. Þ. (2023). ‘Then you </w:t>
      </w:r>
      <w:proofErr w:type="spellStart"/>
      <w:r w:rsidRPr="00AD4173">
        <w:rPr>
          <w:rFonts w:ascii="Aptos" w:eastAsia="Aptos" w:hAnsi="Aptos" w:cs="Times New Roman"/>
          <w:sz w:val="21"/>
          <w:szCs w:val="21"/>
        </w:rPr>
        <w:t>realise</w:t>
      </w:r>
      <w:proofErr w:type="spellEnd"/>
      <w:r w:rsidRPr="00AD4173">
        <w:rPr>
          <w:rFonts w:ascii="Aptos" w:eastAsia="Aptos" w:hAnsi="Aptos" w:cs="Times New Roman"/>
          <w:sz w:val="21"/>
          <w:szCs w:val="21"/>
        </w:rPr>
        <w:t xml:space="preserve"> you can actually do it’: young disabled people negotiating challenges during times of transitioning into adulthood. </w:t>
      </w:r>
      <w:r w:rsidRPr="00AD4173">
        <w:rPr>
          <w:rFonts w:ascii="Aptos" w:eastAsia="Aptos" w:hAnsi="Aptos" w:cs="Times New Roman"/>
          <w:i/>
          <w:iCs/>
          <w:sz w:val="21"/>
          <w:szCs w:val="21"/>
        </w:rPr>
        <w:t>Disability &amp; Society</w:t>
      </w:r>
      <w:r w:rsidRPr="00AD4173">
        <w:rPr>
          <w:rFonts w:ascii="Aptos" w:eastAsia="Aptos" w:hAnsi="Aptos" w:cs="Times New Roman"/>
          <w:sz w:val="21"/>
          <w:szCs w:val="21"/>
        </w:rPr>
        <w:t xml:space="preserve">, 39(11), 2775–2795. </w:t>
      </w:r>
      <w:hyperlink r:id="rId28" w:history="1">
        <w:r w:rsidRPr="00AD4173">
          <w:rPr>
            <w:rFonts w:ascii="Aptos" w:eastAsia="Aptos" w:hAnsi="Aptos" w:cs="Times New Roman"/>
            <w:color w:val="467886"/>
            <w:sz w:val="21"/>
            <w:szCs w:val="21"/>
            <w:u w:val="single"/>
          </w:rPr>
          <w:t>https://doi.org/10.1080/09687599.2023.2226317</w:t>
        </w:r>
      </w:hyperlink>
      <w:r w:rsidRPr="00AD4173">
        <w:rPr>
          <w:rFonts w:ascii="Aptos" w:eastAsia="Aptos" w:hAnsi="Aptos" w:cs="Times New Roman"/>
          <w:sz w:val="21"/>
          <w:szCs w:val="21"/>
        </w:rPr>
        <w:t xml:space="preserve">  </w:t>
      </w:r>
    </w:p>
    <w:p w14:paraId="2C841A0B"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lastRenderedPageBreak/>
        <w:t>Ingólfsdóttir, J. G., Egilson, S. T., &amp; Traustadóttir, R. (2017). Family-</w:t>
      </w:r>
      <w:proofErr w:type="spellStart"/>
      <w:r w:rsidRPr="00AD4173">
        <w:rPr>
          <w:rFonts w:ascii="Aptos" w:eastAsia="Aptos" w:hAnsi="Aptos" w:cs="Times New Roman"/>
          <w:sz w:val="21"/>
          <w:szCs w:val="21"/>
        </w:rPr>
        <w:t>centred</w:t>
      </w:r>
      <w:proofErr w:type="spellEnd"/>
      <w:r w:rsidRPr="00AD4173">
        <w:rPr>
          <w:rFonts w:ascii="Aptos" w:eastAsia="Aptos" w:hAnsi="Aptos" w:cs="Times New Roman"/>
          <w:sz w:val="21"/>
          <w:szCs w:val="21"/>
        </w:rPr>
        <w:t xml:space="preserve"> services for young children with intellectual disabilities and their families: Theory, policy and practice. </w:t>
      </w:r>
      <w:r w:rsidRPr="00AD4173">
        <w:rPr>
          <w:rFonts w:ascii="Aptos" w:eastAsia="Aptos" w:hAnsi="Aptos" w:cs="Times New Roman"/>
          <w:i/>
          <w:iCs/>
          <w:sz w:val="21"/>
          <w:szCs w:val="21"/>
        </w:rPr>
        <w:t>Journal of Intellectual Disabilities</w:t>
      </w:r>
      <w:r w:rsidRPr="00AD4173">
        <w:rPr>
          <w:rFonts w:ascii="Aptos" w:eastAsia="Aptos" w:hAnsi="Aptos" w:cs="Times New Roman"/>
          <w:sz w:val="21"/>
          <w:szCs w:val="21"/>
        </w:rPr>
        <w:t xml:space="preserve">, 22(4), 361-377. </w:t>
      </w:r>
      <w:hyperlink r:id="rId29" w:history="1">
        <w:r w:rsidRPr="00AD4173">
          <w:rPr>
            <w:rFonts w:ascii="Aptos" w:eastAsia="Aptos" w:hAnsi="Aptos" w:cs="Times New Roman"/>
            <w:color w:val="467886"/>
            <w:sz w:val="21"/>
            <w:szCs w:val="21"/>
            <w:u w:val="single"/>
          </w:rPr>
          <w:t>https://doi.org/10.1177/1744629517714644</w:t>
        </w:r>
      </w:hyperlink>
      <w:r w:rsidRPr="00AD4173">
        <w:rPr>
          <w:rFonts w:ascii="Aptos" w:eastAsia="Aptos" w:hAnsi="Aptos" w:cs="Times New Roman"/>
          <w:sz w:val="21"/>
          <w:szCs w:val="21"/>
        </w:rPr>
        <w:t xml:space="preserve">   </w:t>
      </w:r>
    </w:p>
    <w:p w14:paraId="62E7D450"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Ingólfsdóttir, J. G., Traustadóttir, R., &amp; Egilson, S. Þ. (2021). Rethinking Practices by Rethinking Expertise: A Relational Approach to Family-</w:t>
      </w:r>
      <w:proofErr w:type="spellStart"/>
      <w:r w:rsidRPr="00AD4173">
        <w:rPr>
          <w:rFonts w:ascii="Aptos" w:eastAsia="Aptos" w:hAnsi="Aptos" w:cs="Times New Roman"/>
          <w:sz w:val="21"/>
          <w:szCs w:val="21"/>
        </w:rPr>
        <w:t>Centred</w:t>
      </w:r>
      <w:proofErr w:type="spellEnd"/>
      <w:r w:rsidRPr="00AD4173">
        <w:rPr>
          <w:rFonts w:ascii="Aptos" w:eastAsia="Aptos" w:hAnsi="Aptos" w:cs="Times New Roman"/>
          <w:sz w:val="21"/>
          <w:szCs w:val="21"/>
        </w:rPr>
        <w:t xml:space="preserve"> Inclusive Services. </w:t>
      </w:r>
      <w:r w:rsidRPr="00AD4173">
        <w:rPr>
          <w:rFonts w:ascii="Aptos" w:eastAsia="Aptos" w:hAnsi="Aptos" w:cs="Times New Roman"/>
          <w:i/>
          <w:iCs/>
          <w:sz w:val="21"/>
          <w:szCs w:val="21"/>
        </w:rPr>
        <w:t>Scandinavian Journal of Disability Research</w:t>
      </w:r>
      <w:r w:rsidRPr="00AD4173">
        <w:rPr>
          <w:rFonts w:ascii="Aptos" w:eastAsia="Aptos" w:hAnsi="Aptos" w:cs="Times New Roman"/>
          <w:sz w:val="21"/>
          <w:szCs w:val="21"/>
        </w:rPr>
        <w:t xml:space="preserve">, 23(1), 1–13. </w:t>
      </w:r>
      <w:hyperlink r:id="rId30" w:history="1">
        <w:r w:rsidRPr="00AD4173">
          <w:rPr>
            <w:rFonts w:ascii="Aptos" w:eastAsia="Aptos" w:hAnsi="Aptos" w:cs="Times New Roman"/>
            <w:color w:val="467886"/>
            <w:sz w:val="21"/>
            <w:szCs w:val="21"/>
            <w:u w:val="single"/>
          </w:rPr>
          <w:t>https://doi.org/10.16993/sjdr.734</w:t>
        </w:r>
      </w:hyperlink>
      <w:r w:rsidRPr="00AD4173">
        <w:rPr>
          <w:rFonts w:ascii="Aptos" w:eastAsia="Aptos" w:hAnsi="Aptos" w:cs="Times New Roman"/>
          <w:sz w:val="21"/>
          <w:szCs w:val="21"/>
        </w:rPr>
        <w:t xml:space="preserve"> </w:t>
      </w:r>
    </w:p>
    <w:p w14:paraId="72C8E35E"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Ingólfsdóttir, J.G. (2023). Disabled Children, Families and Services in Iceland: Bridging the Gap Between Theory and Practice [PhD. thesis]. </w:t>
      </w:r>
      <w:proofErr w:type="spellStart"/>
      <w:r w:rsidRPr="00AD4173">
        <w:rPr>
          <w:rFonts w:ascii="Aptos" w:eastAsia="Aptos" w:hAnsi="Aptos" w:cs="Times New Roman"/>
          <w:sz w:val="21"/>
          <w:szCs w:val="21"/>
        </w:rPr>
        <w:t>Háskóli</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Íslands</w:t>
      </w:r>
      <w:proofErr w:type="spellEnd"/>
      <w:r w:rsidRPr="00AD4173">
        <w:rPr>
          <w:rFonts w:ascii="Aptos" w:eastAsia="Aptos" w:hAnsi="Aptos" w:cs="Times New Roman"/>
          <w:sz w:val="21"/>
          <w:szCs w:val="21"/>
        </w:rPr>
        <w:t>.</w:t>
      </w:r>
    </w:p>
    <w:p w14:paraId="1FC772FA"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Jakobsson, Á., Heiniger, A. K., Crocker, C., &amp; Sigurjónsdóttir, H. B. (2020). Disability before disability: Mapping the uncharted in the medieval sagas. </w:t>
      </w:r>
      <w:r w:rsidRPr="00AD4173">
        <w:rPr>
          <w:rFonts w:ascii="Aptos" w:eastAsia="Aptos" w:hAnsi="Aptos" w:cs="Times New Roman"/>
          <w:i/>
          <w:iCs/>
          <w:sz w:val="21"/>
          <w:szCs w:val="21"/>
        </w:rPr>
        <w:t>Scandinavian Studies</w:t>
      </w:r>
      <w:r w:rsidRPr="00AD4173">
        <w:rPr>
          <w:rFonts w:ascii="Aptos" w:eastAsia="Aptos" w:hAnsi="Aptos" w:cs="Times New Roman"/>
          <w:sz w:val="21"/>
          <w:szCs w:val="21"/>
        </w:rPr>
        <w:t xml:space="preserve">, 92(4), 440-460. </w:t>
      </w:r>
      <w:hyperlink r:id="rId31" w:history="1">
        <w:r w:rsidRPr="00AD4173">
          <w:rPr>
            <w:rFonts w:ascii="Aptos" w:eastAsia="Aptos" w:hAnsi="Aptos" w:cs="Times New Roman"/>
            <w:color w:val="467886"/>
            <w:sz w:val="21"/>
            <w:szCs w:val="21"/>
            <w:u w:val="single"/>
          </w:rPr>
          <w:t>https://doi.org/10.5406/scanstud.92.4.0440</w:t>
        </w:r>
      </w:hyperlink>
      <w:r w:rsidRPr="00AD4173">
        <w:rPr>
          <w:rFonts w:ascii="Aptos" w:eastAsia="Aptos" w:hAnsi="Aptos" w:cs="Times New Roman"/>
          <w:sz w:val="21"/>
          <w:szCs w:val="21"/>
        </w:rPr>
        <w:t xml:space="preserve"> </w:t>
      </w:r>
    </w:p>
    <w:p w14:paraId="4192B4F7"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Jóhannsdóttir, Á., Egilson, S. Þ., &amp; Haraldsdóttir, F. Implications of </w:t>
      </w:r>
      <w:proofErr w:type="spellStart"/>
      <w:r w:rsidRPr="00AD4173">
        <w:rPr>
          <w:rFonts w:ascii="Aptos" w:eastAsia="Aptos" w:hAnsi="Aptos" w:cs="Times New Roman"/>
          <w:sz w:val="21"/>
          <w:szCs w:val="21"/>
        </w:rPr>
        <w:t>internalised</w:t>
      </w:r>
      <w:proofErr w:type="spellEnd"/>
      <w:r w:rsidRPr="00AD4173">
        <w:rPr>
          <w:rFonts w:ascii="Aptos" w:eastAsia="Aptos" w:hAnsi="Aptos" w:cs="Times New Roman"/>
          <w:sz w:val="21"/>
          <w:szCs w:val="21"/>
        </w:rPr>
        <w:t xml:space="preserve"> ableism for the health and wellbeing of disabled young people. </w:t>
      </w:r>
      <w:r w:rsidRPr="00AD4173">
        <w:rPr>
          <w:rFonts w:ascii="Aptos" w:eastAsia="Aptos" w:hAnsi="Aptos" w:cs="Times New Roman"/>
          <w:i/>
          <w:iCs/>
          <w:sz w:val="21"/>
          <w:szCs w:val="21"/>
        </w:rPr>
        <w:t>Sociology of Health &amp; Illness</w:t>
      </w:r>
      <w:r w:rsidRPr="00AD4173">
        <w:rPr>
          <w:rFonts w:ascii="Aptos" w:eastAsia="Aptos" w:hAnsi="Aptos" w:cs="Times New Roman"/>
          <w:sz w:val="21"/>
          <w:szCs w:val="21"/>
        </w:rPr>
        <w:t xml:space="preserve">. 2022; 44: 360–376. </w:t>
      </w:r>
      <w:hyperlink r:id="rId32" w:history="1">
        <w:r w:rsidRPr="00AD4173">
          <w:rPr>
            <w:rFonts w:ascii="Aptos" w:eastAsia="Aptos" w:hAnsi="Aptos" w:cs="Times New Roman"/>
            <w:color w:val="467886"/>
            <w:sz w:val="21"/>
            <w:szCs w:val="21"/>
            <w:u w:val="single"/>
          </w:rPr>
          <w:t>https://doi.org/10.1111/1467-9566.13425</w:t>
        </w:r>
      </w:hyperlink>
      <w:r w:rsidRPr="00AD4173">
        <w:rPr>
          <w:rFonts w:ascii="Aptos" w:eastAsia="Aptos" w:hAnsi="Aptos" w:cs="Times New Roman"/>
          <w:sz w:val="21"/>
          <w:szCs w:val="21"/>
        </w:rPr>
        <w:t xml:space="preserve"> </w:t>
      </w:r>
    </w:p>
    <w:p w14:paraId="343540E5"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Jónasdóttir, S. K., Egilson, S. Þ., &amp; Polgar, J. (2020). Services, Systems and Policies Shaping the Built Environment for People with Mobility Impairments. </w:t>
      </w:r>
      <w:r w:rsidRPr="00AD4173">
        <w:rPr>
          <w:rFonts w:ascii="Aptos" w:eastAsia="Aptos" w:hAnsi="Aptos" w:cs="Times New Roman"/>
          <w:i/>
          <w:iCs/>
          <w:sz w:val="21"/>
          <w:szCs w:val="21"/>
        </w:rPr>
        <w:t>Scandinavian Journal of Disability Research</w:t>
      </w:r>
      <w:r w:rsidRPr="00AD4173">
        <w:rPr>
          <w:rFonts w:ascii="Aptos" w:eastAsia="Aptos" w:hAnsi="Aptos" w:cs="Times New Roman"/>
          <w:sz w:val="21"/>
          <w:szCs w:val="21"/>
        </w:rPr>
        <w:t xml:space="preserve">, 22(1), 371–381. </w:t>
      </w:r>
      <w:hyperlink r:id="rId33" w:history="1">
        <w:r w:rsidRPr="00AD4173">
          <w:rPr>
            <w:rFonts w:ascii="Aptos" w:eastAsia="Aptos" w:hAnsi="Aptos" w:cs="Times New Roman"/>
            <w:color w:val="467886"/>
            <w:sz w:val="21"/>
            <w:szCs w:val="21"/>
            <w:u w:val="single"/>
          </w:rPr>
          <w:t>https://doi.org/10.16993/sjdr.730</w:t>
        </w:r>
      </w:hyperlink>
      <w:r w:rsidRPr="00AD4173">
        <w:rPr>
          <w:rFonts w:ascii="Aptos" w:eastAsia="Aptos" w:hAnsi="Aptos" w:cs="Times New Roman"/>
          <w:sz w:val="21"/>
          <w:szCs w:val="21"/>
        </w:rPr>
        <w:t xml:space="preserve"> </w:t>
      </w:r>
    </w:p>
    <w:p w14:paraId="7A0770DF"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Jónasdóttir, S. K., Egilson, S. Þ., &amp; Polgar, J. (2021). Structural factors affecting community mobility for people with mobility impairments in Iceland: A human rights and occupational perspective. </w:t>
      </w:r>
      <w:r w:rsidRPr="00AD4173">
        <w:rPr>
          <w:rFonts w:ascii="Aptos" w:eastAsia="Aptos" w:hAnsi="Aptos" w:cs="Times New Roman"/>
          <w:i/>
          <w:iCs/>
          <w:sz w:val="21"/>
          <w:szCs w:val="21"/>
        </w:rPr>
        <w:t>Journal of Occupational Science</w:t>
      </w:r>
      <w:r w:rsidRPr="00AD4173">
        <w:rPr>
          <w:rFonts w:ascii="Aptos" w:eastAsia="Aptos" w:hAnsi="Aptos" w:cs="Times New Roman"/>
          <w:sz w:val="21"/>
          <w:szCs w:val="21"/>
        </w:rPr>
        <w:t xml:space="preserve">, 28(1), 59–70. </w:t>
      </w:r>
      <w:hyperlink r:id="rId34" w:history="1">
        <w:r w:rsidRPr="00AD4173">
          <w:rPr>
            <w:rFonts w:ascii="Aptos" w:eastAsia="Aptos" w:hAnsi="Aptos" w:cs="Times New Roman"/>
            <w:color w:val="467886"/>
            <w:sz w:val="21"/>
            <w:szCs w:val="21"/>
            <w:u w:val="single"/>
          </w:rPr>
          <w:t>https://doi.org/10.1080/14427591.2021.1896570</w:t>
        </w:r>
      </w:hyperlink>
      <w:r w:rsidRPr="00AD4173">
        <w:rPr>
          <w:rFonts w:ascii="Aptos" w:eastAsia="Aptos" w:hAnsi="Aptos" w:cs="Times New Roman"/>
          <w:sz w:val="21"/>
          <w:szCs w:val="21"/>
        </w:rPr>
        <w:t xml:space="preserve"> </w:t>
      </w:r>
    </w:p>
    <w:p w14:paraId="0A82197F"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Jónasdóttir, S.K., Egilson, S.Þ. and Polgar, J. (2020) ‘Services, Systems and Policies Shaping the Built Environment for People with Mobility Impairments’, </w:t>
      </w:r>
      <w:r w:rsidRPr="00AD4173">
        <w:rPr>
          <w:rFonts w:ascii="Aptos" w:eastAsia="Aptos" w:hAnsi="Aptos" w:cs="Times New Roman"/>
          <w:i/>
          <w:iCs/>
          <w:sz w:val="21"/>
          <w:szCs w:val="21"/>
        </w:rPr>
        <w:t>Scandinavian Journal of Disability Research</w:t>
      </w:r>
      <w:r w:rsidRPr="00AD4173">
        <w:rPr>
          <w:rFonts w:ascii="Aptos" w:eastAsia="Aptos" w:hAnsi="Aptos" w:cs="Times New Roman"/>
          <w:sz w:val="21"/>
          <w:szCs w:val="21"/>
        </w:rPr>
        <w:t xml:space="preserve">, 22(1), 371–381.  </w:t>
      </w:r>
      <w:hyperlink r:id="rId35" w:history="1">
        <w:r w:rsidRPr="00AD4173">
          <w:rPr>
            <w:rFonts w:ascii="Aptos" w:eastAsia="Aptos" w:hAnsi="Aptos" w:cs="Times New Roman"/>
            <w:color w:val="467886"/>
            <w:sz w:val="21"/>
            <w:szCs w:val="21"/>
            <w:u w:val="single"/>
          </w:rPr>
          <w:t>https://doi.org/10.16993/sjdr.730</w:t>
        </w:r>
      </w:hyperlink>
      <w:r w:rsidRPr="00AD4173">
        <w:rPr>
          <w:rFonts w:ascii="Aptos" w:eastAsia="Aptos" w:hAnsi="Aptos" w:cs="Times New Roman"/>
          <w:sz w:val="21"/>
          <w:szCs w:val="21"/>
        </w:rPr>
        <w:t xml:space="preserve">. </w:t>
      </w:r>
    </w:p>
    <w:p w14:paraId="3C18C1A1"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Jónsson, Ari &amp; Arnalds, Asdis &amp; Guðjónsdóttir, Guðbjört &amp; </w:t>
      </w:r>
      <w:proofErr w:type="spellStart"/>
      <w:r w:rsidRPr="00AD4173">
        <w:rPr>
          <w:rFonts w:ascii="Aptos" w:eastAsia="Aptos" w:hAnsi="Aptos" w:cs="Times New Roman"/>
          <w:sz w:val="21"/>
          <w:szCs w:val="21"/>
        </w:rPr>
        <w:t>Tryggvadottir</w:t>
      </w:r>
      <w:proofErr w:type="spellEnd"/>
      <w:r w:rsidRPr="00AD4173">
        <w:rPr>
          <w:rFonts w:ascii="Aptos" w:eastAsia="Aptos" w:hAnsi="Aptos" w:cs="Times New Roman"/>
          <w:sz w:val="21"/>
          <w:szCs w:val="21"/>
        </w:rPr>
        <w:t xml:space="preserve">, Gudny &amp; </w:t>
      </w:r>
      <w:proofErr w:type="spellStart"/>
      <w:r w:rsidRPr="00AD4173">
        <w:rPr>
          <w:rFonts w:ascii="Aptos" w:eastAsia="Aptos" w:hAnsi="Aptos" w:cs="Times New Roman"/>
          <w:sz w:val="21"/>
          <w:szCs w:val="21"/>
        </w:rPr>
        <w:t>Gustafsdottir</w:t>
      </w:r>
      <w:proofErr w:type="spellEnd"/>
      <w:r w:rsidRPr="00AD4173">
        <w:rPr>
          <w:rFonts w:ascii="Aptos" w:eastAsia="Aptos" w:hAnsi="Aptos" w:cs="Times New Roman"/>
          <w:sz w:val="21"/>
          <w:szCs w:val="21"/>
        </w:rPr>
        <w:t xml:space="preserve">, Gudny &amp; Sævarsson, Sindri &amp; </w:t>
      </w:r>
      <w:proofErr w:type="spellStart"/>
      <w:r w:rsidRPr="00AD4173">
        <w:rPr>
          <w:rFonts w:ascii="Aptos" w:eastAsia="Aptos" w:hAnsi="Aptos" w:cs="Times New Roman"/>
          <w:sz w:val="21"/>
          <w:szCs w:val="21"/>
        </w:rPr>
        <w:t>Snæfríðar</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og</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Gunnarsdótir</w:t>
      </w:r>
      <w:proofErr w:type="spellEnd"/>
      <w:r w:rsidRPr="00AD4173">
        <w:rPr>
          <w:rFonts w:ascii="Aptos" w:eastAsia="Aptos" w:hAnsi="Aptos" w:cs="Times New Roman"/>
          <w:sz w:val="21"/>
          <w:szCs w:val="21"/>
        </w:rPr>
        <w:t xml:space="preserve">, Hrafnhildur. (2022). </w:t>
      </w:r>
      <w:proofErr w:type="spellStart"/>
      <w:r w:rsidRPr="00AD4173">
        <w:rPr>
          <w:rFonts w:ascii="Aptos" w:eastAsia="Aptos" w:hAnsi="Aptos" w:cs="Times New Roman"/>
          <w:i/>
          <w:iCs/>
          <w:sz w:val="21"/>
          <w:szCs w:val="21"/>
        </w:rPr>
        <w:t>Þróun</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þjónustu</w:t>
      </w:r>
      <w:proofErr w:type="spellEnd"/>
      <w:r w:rsidRPr="00AD4173">
        <w:rPr>
          <w:rFonts w:ascii="Aptos" w:eastAsia="Aptos" w:hAnsi="Aptos" w:cs="Times New Roman"/>
          <w:i/>
          <w:iCs/>
          <w:sz w:val="21"/>
          <w:szCs w:val="21"/>
        </w:rPr>
        <w:t>:</w:t>
      </w:r>
      <w:r w:rsidRPr="00AD4173">
        <w:rPr>
          <w:rFonts w:ascii="Aptos" w:eastAsia="Aptos" w:hAnsi="Aptos" w:cs="Times New Roman"/>
          <w:sz w:val="21"/>
          <w:szCs w:val="21"/>
        </w:rPr>
        <w:t xml:space="preserve"> </w:t>
      </w:r>
      <w:proofErr w:type="spellStart"/>
      <w:r w:rsidRPr="00AD4173">
        <w:rPr>
          <w:rFonts w:ascii="Aptos" w:eastAsia="Aptos" w:hAnsi="Aptos" w:cs="Times New Roman"/>
          <w:i/>
          <w:iCs/>
          <w:sz w:val="21"/>
          <w:szCs w:val="21"/>
        </w:rPr>
        <w:t>Viðhorf</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fatlaðs</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fólks</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upplifun</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fagfólks</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af</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þjónustu</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sveitarfélaga</w:t>
      </w:r>
      <w:proofErr w:type="spellEnd"/>
      <w:r w:rsidRPr="00AD4173">
        <w:rPr>
          <w:rFonts w:ascii="Aptos" w:eastAsia="Aptos" w:hAnsi="Aptos" w:cs="Times New Roman"/>
          <w:i/>
          <w:iCs/>
          <w:sz w:val="21"/>
          <w:szCs w:val="21"/>
        </w:rPr>
        <w:t xml:space="preserve"> í </w:t>
      </w:r>
      <w:proofErr w:type="spellStart"/>
      <w:r w:rsidRPr="00AD4173">
        <w:rPr>
          <w:rFonts w:ascii="Aptos" w:eastAsia="Aptos" w:hAnsi="Aptos" w:cs="Times New Roman"/>
          <w:i/>
          <w:iCs/>
          <w:sz w:val="21"/>
          <w:szCs w:val="21"/>
        </w:rPr>
        <w:t>málefnum</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fatlaðs</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fólks</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frá</w:t>
      </w:r>
      <w:proofErr w:type="spellEnd"/>
      <w:r w:rsidRPr="00AD4173">
        <w:rPr>
          <w:rFonts w:ascii="Aptos" w:eastAsia="Aptos" w:hAnsi="Aptos" w:cs="Times New Roman"/>
          <w:i/>
          <w:iCs/>
          <w:sz w:val="21"/>
          <w:szCs w:val="21"/>
        </w:rPr>
        <w:t xml:space="preserve"> 2010.</w:t>
      </w:r>
    </w:p>
    <w:p w14:paraId="1CC90293"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Kristensen, H., &amp; Björnsdóttir, K. (2022). </w:t>
      </w:r>
      <w:proofErr w:type="spellStart"/>
      <w:r w:rsidRPr="00AD4173">
        <w:rPr>
          <w:rFonts w:ascii="Aptos" w:eastAsia="Aptos" w:hAnsi="Aptos" w:cs="Times New Roman"/>
          <w:sz w:val="21"/>
          <w:szCs w:val="21"/>
        </w:rPr>
        <w:t>Hlutverk</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aðstoðarfólks</w:t>
      </w:r>
      <w:proofErr w:type="spellEnd"/>
      <w:r w:rsidRPr="00AD4173">
        <w:rPr>
          <w:rFonts w:ascii="Aptos" w:eastAsia="Aptos" w:hAnsi="Aptos" w:cs="Times New Roman"/>
          <w:sz w:val="21"/>
          <w:szCs w:val="21"/>
        </w:rPr>
        <w:t xml:space="preserve"> í </w:t>
      </w:r>
      <w:proofErr w:type="spellStart"/>
      <w:r w:rsidRPr="00AD4173">
        <w:rPr>
          <w:rFonts w:ascii="Aptos" w:eastAsia="Aptos" w:hAnsi="Aptos" w:cs="Times New Roman"/>
          <w:sz w:val="21"/>
          <w:szCs w:val="21"/>
        </w:rPr>
        <w:t>námi</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fólks</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með</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þroskahömlun</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sem</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þarf</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mikinn</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stuðning</w:t>
      </w:r>
      <w:proofErr w:type="spellEnd"/>
      <w:r w:rsidRPr="00AD4173">
        <w:rPr>
          <w:rFonts w:ascii="Aptos" w:eastAsia="Aptos" w:hAnsi="Aptos" w:cs="Times New Roman"/>
          <w:sz w:val="21"/>
          <w:szCs w:val="21"/>
        </w:rPr>
        <w:t xml:space="preserve">. In Á. Stefánsdóttir, G. V. Stefánsdóttir, &amp; K. Björnsdóttir (Eds.), </w:t>
      </w:r>
      <w:proofErr w:type="spellStart"/>
      <w:r w:rsidRPr="00AD4173">
        <w:rPr>
          <w:rFonts w:ascii="Aptos" w:eastAsia="Aptos" w:hAnsi="Aptos" w:cs="Times New Roman"/>
          <w:i/>
          <w:iCs/>
          <w:sz w:val="21"/>
          <w:szCs w:val="21"/>
        </w:rPr>
        <w:t>Aðstæðubundið</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sjálfræði</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líf</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aðstæður</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fólks</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með</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þroskahömlun</w:t>
      </w:r>
      <w:proofErr w:type="spellEnd"/>
      <w:r w:rsidRPr="00AD4173">
        <w:rPr>
          <w:rFonts w:ascii="Aptos" w:eastAsia="Aptos" w:hAnsi="Aptos" w:cs="Times New Roman"/>
          <w:sz w:val="21"/>
          <w:szCs w:val="21"/>
        </w:rPr>
        <w:t xml:space="preserve"> (pp. 279-306). Reykjavík: </w:t>
      </w:r>
      <w:proofErr w:type="spellStart"/>
      <w:r w:rsidRPr="00AD4173">
        <w:rPr>
          <w:rFonts w:ascii="Aptos" w:eastAsia="Aptos" w:hAnsi="Aptos" w:cs="Times New Roman"/>
          <w:sz w:val="21"/>
          <w:szCs w:val="21"/>
        </w:rPr>
        <w:t>Háskólaútgáfan</w:t>
      </w:r>
      <w:proofErr w:type="spellEnd"/>
      <w:r w:rsidRPr="00AD4173">
        <w:rPr>
          <w:rFonts w:ascii="Aptos" w:eastAsia="Aptos" w:hAnsi="Aptos" w:cs="Times New Roman"/>
          <w:sz w:val="21"/>
          <w:szCs w:val="21"/>
        </w:rPr>
        <w:t>.</w:t>
      </w:r>
    </w:p>
    <w:p w14:paraId="66748702"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Leifsson, Á. F., Sigurjónsdóttir, H. B., &amp; Rice, J. G. (2024). Independent But </w:t>
      </w:r>
      <w:proofErr w:type="gramStart"/>
      <w:r w:rsidRPr="00AD4173">
        <w:rPr>
          <w:rFonts w:ascii="Aptos" w:eastAsia="Aptos" w:hAnsi="Aptos" w:cs="Times New Roman"/>
          <w:sz w:val="21"/>
          <w:szCs w:val="21"/>
        </w:rPr>
        <w:t>Alone</w:t>
      </w:r>
      <w:proofErr w:type="gramEnd"/>
      <w:r w:rsidRPr="00AD4173">
        <w:rPr>
          <w:rFonts w:ascii="Aptos" w:eastAsia="Aptos" w:hAnsi="Aptos" w:cs="Times New Roman"/>
          <w:sz w:val="21"/>
          <w:szCs w:val="21"/>
        </w:rPr>
        <w:t xml:space="preserve">? A Story of Discrimination and Ableism within the Icelandic Child Protection System. </w:t>
      </w:r>
      <w:r w:rsidRPr="00AD4173">
        <w:rPr>
          <w:rFonts w:ascii="Aptos" w:eastAsia="Aptos" w:hAnsi="Aptos" w:cs="Times New Roman"/>
          <w:i/>
          <w:iCs/>
          <w:sz w:val="21"/>
          <w:szCs w:val="21"/>
        </w:rPr>
        <w:t>Scandinavian Journal of Disability Research</w:t>
      </w:r>
      <w:r w:rsidRPr="00AD4173">
        <w:rPr>
          <w:rFonts w:ascii="Aptos" w:eastAsia="Aptos" w:hAnsi="Aptos" w:cs="Times New Roman"/>
          <w:sz w:val="21"/>
          <w:szCs w:val="21"/>
        </w:rPr>
        <w:t xml:space="preserve">, 26(1), 337-348. </w:t>
      </w:r>
      <w:hyperlink r:id="rId36" w:history="1">
        <w:r w:rsidRPr="00AD4173">
          <w:rPr>
            <w:rFonts w:ascii="Aptos" w:eastAsia="Aptos" w:hAnsi="Aptos" w:cs="Times New Roman"/>
            <w:color w:val="467886"/>
            <w:sz w:val="21"/>
            <w:szCs w:val="21"/>
            <w:u w:val="single"/>
          </w:rPr>
          <w:t>https://doi.org/10.16993/sjdr.1050</w:t>
        </w:r>
      </w:hyperlink>
      <w:r w:rsidRPr="00AD4173">
        <w:rPr>
          <w:rFonts w:ascii="Aptos" w:eastAsia="Aptos" w:hAnsi="Aptos" w:cs="Times New Roman"/>
          <w:sz w:val="21"/>
          <w:szCs w:val="21"/>
        </w:rPr>
        <w:t xml:space="preserve"> </w:t>
      </w:r>
    </w:p>
    <w:p w14:paraId="1F6C4E1E"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Leonhardt, N., Björnsdóttir, K., Goldbach, A., </w:t>
      </w:r>
      <w:proofErr w:type="spellStart"/>
      <w:r w:rsidRPr="00AD4173">
        <w:rPr>
          <w:rFonts w:ascii="Aptos" w:eastAsia="Aptos" w:hAnsi="Aptos" w:cs="Times New Roman"/>
          <w:sz w:val="21"/>
          <w:szCs w:val="21"/>
        </w:rPr>
        <w:t>Smára</w:t>
      </w:r>
      <w:proofErr w:type="spellEnd"/>
      <w:r w:rsidRPr="00AD4173">
        <w:rPr>
          <w:rFonts w:ascii="Aptos" w:eastAsia="Aptos" w:hAnsi="Aptos" w:cs="Times New Roman"/>
          <w:sz w:val="21"/>
          <w:szCs w:val="21"/>
        </w:rPr>
        <w:t xml:space="preserve">, R., </w:t>
      </w:r>
      <w:proofErr w:type="spellStart"/>
      <w:r w:rsidRPr="00AD4173">
        <w:rPr>
          <w:rFonts w:ascii="Aptos" w:eastAsia="Aptos" w:hAnsi="Aptos" w:cs="Times New Roman"/>
          <w:sz w:val="21"/>
          <w:szCs w:val="21"/>
        </w:rPr>
        <w:t>Martick</w:t>
      </w:r>
      <w:proofErr w:type="spellEnd"/>
      <w:r w:rsidRPr="00AD4173">
        <w:rPr>
          <w:rFonts w:ascii="Aptos" w:eastAsia="Aptos" w:hAnsi="Aptos" w:cs="Times New Roman"/>
          <w:sz w:val="21"/>
          <w:szCs w:val="21"/>
        </w:rPr>
        <w:t xml:space="preserve">, S. and Schlothauer, B. (2025), The Diversity of Voices in Universities: A Critical Reflection on Representation Based on Two </w:t>
      </w:r>
      <w:r w:rsidRPr="00AD4173">
        <w:rPr>
          <w:rFonts w:ascii="Aptos" w:eastAsia="Aptos" w:hAnsi="Aptos" w:cs="Times New Roman"/>
          <w:sz w:val="21"/>
          <w:szCs w:val="21"/>
        </w:rPr>
        <w:lastRenderedPageBreak/>
        <w:t xml:space="preserve">University Projects in Iceland and Germany. </w:t>
      </w:r>
      <w:r w:rsidRPr="00AD4173">
        <w:rPr>
          <w:rFonts w:ascii="Aptos" w:eastAsia="Aptos" w:hAnsi="Aptos" w:cs="Times New Roman"/>
          <w:i/>
          <w:iCs/>
          <w:sz w:val="21"/>
          <w:szCs w:val="21"/>
        </w:rPr>
        <w:t>British Journal of Learning Disabilities</w:t>
      </w:r>
      <w:r w:rsidRPr="00AD4173">
        <w:rPr>
          <w:rFonts w:ascii="Aptos" w:eastAsia="Aptos" w:hAnsi="Aptos" w:cs="Times New Roman"/>
          <w:sz w:val="21"/>
          <w:szCs w:val="21"/>
        </w:rPr>
        <w:t xml:space="preserve">, 53: 124-133. </w:t>
      </w:r>
      <w:hyperlink r:id="rId37" w:history="1">
        <w:r w:rsidRPr="00AD4173">
          <w:rPr>
            <w:rFonts w:ascii="Aptos" w:eastAsia="Aptos" w:hAnsi="Aptos" w:cs="Times New Roman"/>
            <w:color w:val="467886"/>
            <w:sz w:val="21"/>
            <w:szCs w:val="21"/>
            <w:u w:val="single"/>
          </w:rPr>
          <w:t>https://doi.org/10.1111/bld.12623</w:t>
        </w:r>
      </w:hyperlink>
      <w:r w:rsidRPr="00AD4173">
        <w:rPr>
          <w:rFonts w:ascii="Aptos" w:eastAsia="Aptos" w:hAnsi="Aptos" w:cs="Times New Roman"/>
          <w:sz w:val="21"/>
          <w:szCs w:val="21"/>
        </w:rPr>
        <w:t xml:space="preserve"> </w:t>
      </w:r>
    </w:p>
    <w:p w14:paraId="18FD8814"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Löve, L. E. (2014). </w:t>
      </w:r>
      <w:proofErr w:type="spellStart"/>
      <w:r w:rsidRPr="00AD4173">
        <w:rPr>
          <w:rFonts w:ascii="Aptos" w:eastAsia="Aptos" w:hAnsi="Aptos" w:cs="Times New Roman"/>
          <w:sz w:val="21"/>
          <w:szCs w:val="21"/>
        </w:rPr>
        <w:t>Réttur</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fatlaðs</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fólks</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til</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að</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lifa</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sjálfstæðu</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lífi</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og</w:t>
      </w:r>
      <w:proofErr w:type="spellEnd"/>
      <w:r w:rsidRPr="00AD4173">
        <w:rPr>
          <w:rFonts w:ascii="Aptos" w:eastAsia="Aptos" w:hAnsi="Aptos" w:cs="Times New Roman"/>
          <w:sz w:val="21"/>
          <w:szCs w:val="21"/>
        </w:rPr>
        <w:t xml:space="preserve"> taka </w:t>
      </w:r>
      <w:proofErr w:type="spellStart"/>
      <w:r w:rsidRPr="00AD4173">
        <w:rPr>
          <w:rFonts w:ascii="Aptos" w:eastAsia="Aptos" w:hAnsi="Aptos" w:cs="Times New Roman"/>
          <w:sz w:val="21"/>
          <w:szCs w:val="21"/>
        </w:rPr>
        <w:t>virkan</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þátt</w:t>
      </w:r>
      <w:proofErr w:type="spellEnd"/>
      <w:r w:rsidRPr="00AD4173">
        <w:rPr>
          <w:rFonts w:ascii="Aptos" w:eastAsia="Aptos" w:hAnsi="Aptos" w:cs="Times New Roman"/>
          <w:sz w:val="21"/>
          <w:szCs w:val="21"/>
        </w:rPr>
        <w:t xml:space="preserve"> í </w:t>
      </w:r>
      <w:proofErr w:type="spellStart"/>
      <w:r w:rsidRPr="00AD4173">
        <w:rPr>
          <w:rFonts w:ascii="Aptos" w:eastAsia="Aptos" w:hAnsi="Aptos" w:cs="Times New Roman"/>
          <w:sz w:val="21"/>
          <w:szCs w:val="21"/>
        </w:rPr>
        <w:t>samfélaginu</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i/>
          <w:iCs/>
          <w:sz w:val="21"/>
          <w:szCs w:val="21"/>
        </w:rPr>
        <w:t>Netla</w:t>
      </w:r>
      <w:proofErr w:type="spellEnd"/>
      <w:r w:rsidRPr="00AD4173">
        <w:rPr>
          <w:rFonts w:ascii="Aptos" w:eastAsia="Aptos" w:hAnsi="Aptos" w:cs="Times New Roman"/>
          <w:i/>
          <w:iCs/>
          <w:sz w:val="21"/>
          <w:szCs w:val="21"/>
        </w:rPr>
        <w:t xml:space="preserve"> – </w:t>
      </w:r>
      <w:proofErr w:type="spellStart"/>
      <w:r w:rsidRPr="00AD4173">
        <w:rPr>
          <w:rFonts w:ascii="Aptos" w:eastAsia="Aptos" w:hAnsi="Aptos" w:cs="Times New Roman"/>
          <w:i/>
          <w:iCs/>
          <w:sz w:val="21"/>
          <w:szCs w:val="21"/>
        </w:rPr>
        <w:t>Veftímarit</w:t>
      </w:r>
      <w:proofErr w:type="spellEnd"/>
      <w:r w:rsidRPr="00AD4173">
        <w:rPr>
          <w:rFonts w:ascii="Aptos" w:eastAsia="Aptos" w:hAnsi="Aptos" w:cs="Times New Roman"/>
          <w:i/>
          <w:iCs/>
          <w:sz w:val="21"/>
          <w:szCs w:val="21"/>
        </w:rPr>
        <w:t xml:space="preserve"> um </w:t>
      </w:r>
      <w:proofErr w:type="spellStart"/>
      <w:r w:rsidRPr="00AD4173">
        <w:rPr>
          <w:rFonts w:ascii="Aptos" w:eastAsia="Aptos" w:hAnsi="Aptos" w:cs="Times New Roman"/>
          <w:i/>
          <w:iCs/>
          <w:sz w:val="21"/>
          <w:szCs w:val="21"/>
        </w:rPr>
        <w:t>uppeldi</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menntun</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Sérrit</w:t>
      </w:r>
      <w:proofErr w:type="spellEnd"/>
      <w:r w:rsidRPr="00AD4173">
        <w:rPr>
          <w:rFonts w:ascii="Aptos" w:eastAsia="Aptos" w:hAnsi="Aptos" w:cs="Times New Roman"/>
          <w:i/>
          <w:iCs/>
          <w:sz w:val="21"/>
          <w:szCs w:val="21"/>
        </w:rPr>
        <w:t xml:space="preserve"> um </w:t>
      </w:r>
      <w:proofErr w:type="spellStart"/>
      <w:r w:rsidRPr="00AD4173">
        <w:rPr>
          <w:rFonts w:ascii="Aptos" w:eastAsia="Aptos" w:hAnsi="Aptos" w:cs="Times New Roman"/>
          <w:i/>
          <w:iCs/>
          <w:sz w:val="21"/>
          <w:szCs w:val="21"/>
        </w:rPr>
        <w:t>rannsóknir</w:t>
      </w:r>
      <w:proofErr w:type="spellEnd"/>
      <w:r w:rsidRPr="00AD4173">
        <w:rPr>
          <w:rFonts w:ascii="Aptos" w:eastAsia="Aptos" w:hAnsi="Aptos" w:cs="Times New Roman"/>
          <w:i/>
          <w:iCs/>
          <w:sz w:val="21"/>
          <w:szCs w:val="21"/>
        </w:rPr>
        <w:t xml:space="preserve"> í </w:t>
      </w:r>
      <w:proofErr w:type="spellStart"/>
      <w:r w:rsidRPr="00AD4173">
        <w:rPr>
          <w:rFonts w:ascii="Aptos" w:eastAsia="Aptos" w:hAnsi="Aptos" w:cs="Times New Roman"/>
          <w:i/>
          <w:iCs/>
          <w:sz w:val="21"/>
          <w:szCs w:val="21"/>
        </w:rPr>
        <w:t>fötlunarfræðum</w:t>
      </w:r>
      <w:proofErr w:type="spellEnd"/>
      <w:r w:rsidRPr="00AD4173">
        <w:rPr>
          <w:rFonts w:ascii="Aptos" w:eastAsia="Aptos" w:hAnsi="Aptos" w:cs="Times New Roman"/>
          <w:i/>
          <w:iCs/>
          <w:sz w:val="21"/>
          <w:szCs w:val="21"/>
        </w:rPr>
        <w:t xml:space="preserve"> IV</w:t>
      </w:r>
      <w:r w:rsidRPr="00AD4173">
        <w:rPr>
          <w:rFonts w:ascii="Aptos" w:eastAsia="Aptos" w:hAnsi="Aptos" w:cs="Times New Roman"/>
          <w:sz w:val="21"/>
          <w:szCs w:val="21"/>
        </w:rPr>
        <w:t xml:space="preserve">. </w:t>
      </w:r>
      <w:hyperlink r:id="rId38" w:history="1">
        <w:r w:rsidRPr="00AD4173">
          <w:rPr>
            <w:rFonts w:ascii="Aptos" w:eastAsia="Aptos" w:hAnsi="Aptos" w:cs="Times New Roman"/>
            <w:color w:val="467886"/>
            <w:sz w:val="21"/>
            <w:szCs w:val="21"/>
            <w:u w:val="single"/>
          </w:rPr>
          <w:t>https://netla.hi.is/serrit/2014/fjolbreytileiki/004.pdf</w:t>
        </w:r>
      </w:hyperlink>
      <w:r w:rsidRPr="00AD4173">
        <w:rPr>
          <w:rFonts w:ascii="Aptos" w:eastAsia="Aptos" w:hAnsi="Aptos" w:cs="Times New Roman"/>
          <w:sz w:val="21"/>
          <w:szCs w:val="21"/>
        </w:rPr>
        <w:t xml:space="preserve"> </w:t>
      </w:r>
    </w:p>
    <w:p w14:paraId="515A1D10"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Löve, L. E. (2017). Achieving disability equality: Empowering disabled people to take the lead. </w:t>
      </w:r>
      <w:r w:rsidRPr="00AD4173">
        <w:rPr>
          <w:rFonts w:ascii="Aptos" w:eastAsia="Aptos" w:hAnsi="Aptos" w:cs="Times New Roman"/>
          <w:i/>
          <w:iCs/>
          <w:sz w:val="21"/>
          <w:szCs w:val="21"/>
        </w:rPr>
        <w:t>Social Inclusion</w:t>
      </w:r>
      <w:r w:rsidRPr="00AD4173">
        <w:rPr>
          <w:rFonts w:ascii="Aptos" w:eastAsia="Aptos" w:hAnsi="Aptos" w:cs="Times New Roman"/>
          <w:sz w:val="21"/>
          <w:szCs w:val="21"/>
        </w:rPr>
        <w:t xml:space="preserve">, 6(1), 93–101. </w:t>
      </w:r>
      <w:hyperlink r:id="rId39" w:history="1">
        <w:r w:rsidRPr="00AD4173">
          <w:rPr>
            <w:rFonts w:ascii="Aptos" w:eastAsia="Aptos" w:hAnsi="Aptos" w:cs="Times New Roman"/>
            <w:color w:val="467886"/>
            <w:sz w:val="21"/>
            <w:szCs w:val="21"/>
            <w:u w:val="single"/>
          </w:rPr>
          <w:t>https://www.cogitatiopress.com/socialinclusion/article/view/1210</w:t>
        </w:r>
      </w:hyperlink>
      <w:r w:rsidRPr="00AD4173">
        <w:rPr>
          <w:rFonts w:ascii="Aptos" w:eastAsia="Aptos" w:hAnsi="Aptos" w:cs="Times New Roman"/>
          <w:sz w:val="21"/>
          <w:szCs w:val="21"/>
        </w:rPr>
        <w:t xml:space="preserve"> </w:t>
      </w:r>
    </w:p>
    <w:p w14:paraId="0919D8B1"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Löve, L. E. (2023). Exclusion to inclusion: Lived experience of intellectual disabilities in national reporting on the CRPD. </w:t>
      </w:r>
      <w:r w:rsidRPr="00AD4173">
        <w:rPr>
          <w:rFonts w:ascii="Aptos" w:eastAsia="Aptos" w:hAnsi="Aptos" w:cs="Times New Roman"/>
          <w:i/>
          <w:iCs/>
          <w:sz w:val="21"/>
          <w:szCs w:val="21"/>
        </w:rPr>
        <w:t>Social Inclusion</w:t>
      </w:r>
      <w:r w:rsidRPr="00AD4173">
        <w:rPr>
          <w:rFonts w:ascii="Aptos" w:eastAsia="Aptos" w:hAnsi="Aptos" w:cs="Times New Roman"/>
          <w:sz w:val="21"/>
          <w:szCs w:val="21"/>
        </w:rPr>
        <w:t xml:space="preserve">, 11(2), 94–103. </w:t>
      </w:r>
      <w:hyperlink r:id="rId40" w:history="1">
        <w:r w:rsidRPr="00AD4173">
          <w:rPr>
            <w:rFonts w:ascii="Aptos" w:eastAsia="Aptos" w:hAnsi="Aptos" w:cs="Times New Roman"/>
            <w:color w:val="467886"/>
            <w:sz w:val="21"/>
            <w:szCs w:val="21"/>
            <w:u w:val="single"/>
          </w:rPr>
          <w:t>https://doi.org/10.17645/si.v11i2.6398</w:t>
        </w:r>
      </w:hyperlink>
      <w:r w:rsidRPr="00AD4173">
        <w:rPr>
          <w:rFonts w:ascii="Aptos" w:eastAsia="Aptos" w:hAnsi="Aptos" w:cs="Times New Roman"/>
          <w:sz w:val="21"/>
          <w:szCs w:val="21"/>
        </w:rPr>
        <w:t xml:space="preserve"> </w:t>
      </w:r>
    </w:p>
    <w:p w14:paraId="3F9AA4AA"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Löve, L. E. (2024). </w:t>
      </w:r>
      <w:proofErr w:type="spellStart"/>
      <w:r w:rsidRPr="00AD4173">
        <w:rPr>
          <w:rFonts w:ascii="Aptos" w:eastAsia="Aptos" w:hAnsi="Aptos" w:cs="Times New Roman"/>
          <w:sz w:val="21"/>
          <w:szCs w:val="21"/>
        </w:rPr>
        <w:t>Réttur</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fatlaðs</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fólks</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til</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samráðs</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Þróun</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námsefnis</w:t>
      </w:r>
      <w:proofErr w:type="spellEnd"/>
      <w:r w:rsidRPr="00AD4173">
        <w:rPr>
          <w:rFonts w:ascii="Aptos" w:eastAsia="Aptos" w:hAnsi="Aptos" w:cs="Times New Roman"/>
          <w:sz w:val="21"/>
          <w:szCs w:val="21"/>
        </w:rPr>
        <w:t xml:space="preserve"> í </w:t>
      </w:r>
      <w:proofErr w:type="spellStart"/>
      <w:r w:rsidRPr="00AD4173">
        <w:rPr>
          <w:rFonts w:ascii="Aptos" w:eastAsia="Aptos" w:hAnsi="Aptos" w:cs="Times New Roman"/>
          <w:sz w:val="21"/>
          <w:szCs w:val="21"/>
        </w:rPr>
        <w:t>þroskaþjálfafræði</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i/>
          <w:iCs/>
          <w:sz w:val="21"/>
          <w:szCs w:val="21"/>
        </w:rPr>
        <w:t>Netla</w:t>
      </w:r>
      <w:proofErr w:type="spellEnd"/>
      <w:r w:rsidRPr="00AD4173">
        <w:rPr>
          <w:rFonts w:ascii="Aptos" w:eastAsia="Aptos" w:hAnsi="Aptos" w:cs="Times New Roman"/>
          <w:sz w:val="21"/>
          <w:szCs w:val="21"/>
        </w:rPr>
        <w:t xml:space="preserve">, 1-13. </w:t>
      </w:r>
      <w:hyperlink r:id="rId41" w:history="1">
        <w:r w:rsidRPr="00AD4173">
          <w:rPr>
            <w:rFonts w:ascii="Aptos" w:eastAsia="Aptos" w:hAnsi="Aptos" w:cs="Times New Roman"/>
            <w:color w:val="467886"/>
            <w:sz w:val="21"/>
            <w:szCs w:val="21"/>
            <w:u w:val="single"/>
          </w:rPr>
          <w:t>https://doi.org/10.24270/netla.2024/14</w:t>
        </w:r>
      </w:hyperlink>
      <w:r w:rsidRPr="00AD4173">
        <w:rPr>
          <w:rFonts w:ascii="Aptos" w:eastAsia="Aptos" w:hAnsi="Aptos" w:cs="Times New Roman"/>
          <w:sz w:val="21"/>
          <w:szCs w:val="21"/>
        </w:rPr>
        <w:t xml:space="preserve"> </w:t>
      </w:r>
    </w:p>
    <w:p w14:paraId="2AABE799"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Löve, L. E., and Traustadóttir, R. (2022). Disabled people’s mobilization around a human rights approach to enhance their participation in law and policy making in Iceland. In M. H. Rioux, J. Viera, A. </w:t>
      </w:r>
      <w:proofErr w:type="spellStart"/>
      <w:r w:rsidRPr="00AD4173">
        <w:rPr>
          <w:rFonts w:ascii="Aptos" w:eastAsia="Aptos" w:hAnsi="Aptos" w:cs="Times New Roman"/>
          <w:sz w:val="21"/>
          <w:szCs w:val="21"/>
        </w:rPr>
        <w:t>Buettgen</w:t>
      </w:r>
      <w:proofErr w:type="spellEnd"/>
      <w:r w:rsidRPr="00AD4173">
        <w:rPr>
          <w:rFonts w:ascii="Aptos" w:eastAsia="Aptos" w:hAnsi="Aptos" w:cs="Times New Roman"/>
          <w:sz w:val="21"/>
          <w:szCs w:val="21"/>
        </w:rPr>
        <w:t xml:space="preserve">, and E. </w:t>
      </w:r>
      <w:proofErr w:type="spellStart"/>
      <w:r w:rsidRPr="00AD4173">
        <w:rPr>
          <w:rFonts w:ascii="Aptos" w:eastAsia="Aptos" w:hAnsi="Aptos" w:cs="Times New Roman"/>
          <w:sz w:val="21"/>
          <w:szCs w:val="21"/>
        </w:rPr>
        <w:t>Zubrow</w:t>
      </w:r>
      <w:proofErr w:type="spellEnd"/>
      <w:r w:rsidRPr="00AD4173">
        <w:rPr>
          <w:rFonts w:ascii="Aptos" w:eastAsia="Aptos" w:hAnsi="Aptos" w:cs="Times New Roman"/>
          <w:sz w:val="21"/>
          <w:szCs w:val="21"/>
        </w:rPr>
        <w:t xml:space="preserve"> (Eds.), </w:t>
      </w:r>
      <w:r w:rsidRPr="00AD4173">
        <w:rPr>
          <w:rFonts w:ascii="Aptos" w:eastAsia="Aptos" w:hAnsi="Aptos" w:cs="Times New Roman"/>
          <w:i/>
          <w:iCs/>
          <w:sz w:val="21"/>
          <w:szCs w:val="21"/>
        </w:rPr>
        <w:t xml:space="preserve">Handbook of disability: Critical thought and social change </w:t>
      </w:r>
      <w:r w:rsidRPr="00AD4173">
        <w:rPr>
          <w:rFonts w:ascii="Aptos" w:eastAsia="Aptos" w:hAnsi="Aptos" w:cs="Times New Roman"/>
          <w:sz w:val="21"/>
          <w:szCs w:val="21"/>
        </w:rPr>
        <w:t xml:space="preserve">(pp. 1–12). Springer. </w:t>
      </w:r>
      <w:hyperlink r:id="rId42" w:history="1">
        <w:r w:rsidRPr="00AD4173">
          <w:rPr>
            <w:rFonts w:ascii="Aptos" w:eastAsia="Aptos" w:hAnsi="Aptos" w:cs="Times New Roman"/>
            <w:color w:val="467886"/>
            <w:sz w:val="21"/>
            <w:szCs w:val="21"/>
            <w:u w:val="single"/>
          </w:rPr>
          <w:t>https://doi.org/10.1007/978-981-16-1278-7_7-1</w:t>
        </w:r>
      </w:hyperlink>
      <w:r w:rsidRPr="00AD4173">
        <w:rPr>
          <w:rFonts w:ascii="Aptos" w:eastAsia="Aptos" w:hAnsi="Aptos" w:cs="Times New Roman"/>
          <w:sz w:val="21"/>
          <w:szCs w:val="21"/>
        </w:rPr>
        <w:t xml:space="preserve"> </w:t>
      </w:r>
    </w:p>
    <w:p w14:paraId="1FE0AA42"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Löve, L. E., Rice, J. G., and Traustadóttir, R. (2018). Trading autonomy for services: Perceptions of users and providers of services for disabled people in Iceland. </w:t>
      </w:r>
      <w:r w:rsidRPr="00AD4173">
        <w:rPr>
          <w:rFonts w:ascii="Aptos" w:eastAsia="Aptos" w:hAnsi="Aptos" w:cs="Times New Roman"/>
          <w:i/>
          <w:iCs/>
          <w:sz w:val="21"/>
          <w:szCs w:val="21"/>
        </w:rPr>
        <w:t>Alter</w:t>
      </w:r>
      <w:r w:rsidRPr="00AD4173">
        <w:rPr>
          <w:rFonts w:ascii="Aptos" w:eastAsia="Aptos" w:hAnsi="Aptos" w:cs="Times New Roman"/>
          <w:sz w:val="21"/>
          <w:szCs w:val="21"/>
        </w:rPr>
        <w:t xml:space="preserve">, 12(4), 193–207. </w:t>
      </w:r>
      <w:hyperlink r:id="rId43" w:history="1">
        <w:r w:rsidRPr="00AD4173">
          <w:rPr>
            <w:rFonts w:ascii="Aptos" w:eastAsia="Aptos" w:hAnsi="Aptos" w:cs="Times New Roman"/>
            <w:color w:val="467886"/>
            <w:sz w:val="21"/>
            <w:szCs w:val="21"/>
            <w:u w:val="single"/>
          </w:rPr>
          <w:t>https://doi.org/10.1016/j.alter.2018.04.008</w:t>
        </w:r>
      </w:hyperlink>
      <w:r w:rsidRPr="00AD4173">
        <w:rPr>
          <w:rFonts w:ascii="Aptos" w:eastAsia="Aptos" w:hAnsi="Aptos" w:cs="Times New Roman"/>
          <w:sz w:val="21"/>
          <w:szCs w:val="21"/>
        </w:rPr>
        <w:t xml:space="preserve"> </w:t>
      </w:r>
    </w:p>
    <w:p w14:paraId="08F05902"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Löve, L. E., Traustadóttir, R., &amp; Rice, J. G. (2018). Disability Human Rights Law 2018. In A. Arstein-Kerslake (Ed.),</w:t>
      </w:r>
      <w:r w:rsidRPr="00AD4173">
        <w:rPr>
          <w:rFonts w:ascii="Aptos" w:eastAsia="Aptos" w:hAnsi="Aptos" w:cs="Times New Roman"/>
          <w:i/>
          <w:iCs/>
          <w:sz w:val="21"/>
          <w:szCs w:val="21"/>
        </w:rPr>
        <w:t xml:space="preserve"> MDPI</w:t>
      </w:r>
      <w:r w:rsidRPr="00AD4173">
        <w:rPr>
          <w:rFonts w:ascii="Aptos" w:eastAsia="Aptos" w:hAnsi="Aptos" w:cs="Times New Roman"/>
          <w:sz w:val="21"/>
          <w:szCs w:val="21"/>
        </w:rPr>
        <w:t xml:space="preserve"> AG </w:t>
      </w:r>
      <w:hyperlink r:id="rId44" w:history="1">
        <w:r w:rsidRPr="00AD4173">
          <w:rPr>
            <w:rFonts w:ascii="Aptos" w:eastAsia="Aptos" w:hAnsi="Aptos" w:cs="Times New Roman"/>
            <w:color w:val="467886"/>
            <w:sz w:val="21"/>
            <w:szCs w:val="21"/>
            <w:u w:val="single"/>
          </w:rPr>
          <w:t>https://doi.org/10.3390/books978-3-03897-251-8</w:t>
        </w:r>
      </w:hyperlink>
    </w:p>
    <w:p w14:paraId="07934998"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Löve, L. E., Traustadóttir, R., and Rice, J. G. (2019). Shifting the balance of power: The strategic use of the CRPD by disabled people’s organizations in securing ‘a seat at the table’. </w:t>
      </w:r>
      <w:r w:rsidRPr="00AD4173">
        <w:rPr>
          <w:rFonts w:ascii="Aptos" w:eastAsia="Aptos" w:hAnsi="Aptos" w:cs="Times New Roman"/>
          <w:i/>
          <w:iCs/>
          <w:sz w:val="21"/>
          <w:szCs w:val="21"/>
        </w:rPr>
        <w:t>Laws</w:t>
      </w:r>
      <w:r w:rsidRPr="00AD4173">
        <w:rPr>
          <w:rFonts w:ascii="Aptos" w:eastAsia="Aptos" w:hAnsi="Aptos" w:cs="Times New Roman"/>
          <w:sz w:val="21"/>
          <w:szCs w:val="21"/>
        </w:rPr>
        <w:t xml:space="preserve">, 8(2), 11. </w:t>
      </w:r>
      <w:hyperlink r:id="rId45" w:history="1">
        <w:r w:rsidRPr="00AD4173">
          <w:rPr>
            <w:rFonts w:ascii="Aptos" w:eastAsia="Aptos" w:hAnsi="Aptos" w:cs="Times New Roman"/>
            <w:color w:val="467886"/>
            <w:sz w:val="21"/>
            <w:szCs w:val="21"/>
            <w:u w:val="single"/>
          </w:rPr>
          <w:t>https://doi.org/10.3390/laws8020011</w:t>
        </w:r>
      </w:hyperlink>
      <w:r w:rsidRPr="00AD4173">
        <w:rPr>
          <w:rFonts w:ascii="Aptos" w:eastAsia="Aptos" w:hAnsi="Aptos" w:cs="Times New Roman"/>
          <w:sz w:val="21"/>
          <w:szCs w:val="21"/>
        </w:rPr>
        <w:t xml:space="preserve">  </w:t>
      </w:r>
    </w:p>
    <w:p w14:paraId="387AF19C"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Löve, L. E., Traustadóttir, R., Quinn, G., and Rice, J. G. (2017). The inclusion of the lived experience of disability in policymaking. </w:t>
      </w:r>
      <w:r w:rsidRPr="00AD4173">
        <w:rPr>
          <w:rFonts w:ascii="Aptos" w:eastAsia="Aptos" w:hAnsi="Aptos" w:cs="Times New Roman"/>
          <w:i/>
          <w:iCs/>
          <w:sz w:val="21"/>
          <w:szCs w:val="21"/>
        </w:rPr>
        <w:t>Laws</w:t>
      </w:r>
      <w:r w:rsidRPr="00AD4173">
        <w:rPr>
          <w:rFonts w:ascii="Aptos" w:eastAsia="Aptos" w:hAnsi="Aptos" w:cs="Times New Roman"/>
          <w:sz w:val="21"/>
          <w:szCs w:val="21"/>
        </w:rPr>
        <w:t xml:space="preserve">, 6(4), 33. </w:t>
      </w:r>
      <w:hyperlink r:id="rId46" w:history="1">
        <w:r w:rsidRPr="00AD4173">
          <w:rPr>
            <w:rFonts w:ascii="Aptos" w:eastAsia="Aptos" w:hAnsi="Aptos" w:cs="Times New Roman"/>
            <w:color w:val="467886"/>
            <w:sz w:val="21"/>
            <w:szCs w:val="21"/>
            <w:u w:val="single"/>
          </w:rPr>
          <w:t>https://doi.org/10.3390/laws6040033</w:t>
        </w:r>
      </w:hyperlink>
      <w:r w:rsidRPr="00AD4173">
        <w:rPr>
          <w:rFonts w:ascii="Aptos" w:eastAsia="Aptos" w:hAnsi="Aptos" w:cs="Times New Roman"/>
          <w:sz w:val="21"/>
          <w:szCs w:val="21"/>
        </w:rPr>
        <w:t xml:space="preserve"> </w:t>
      </w:r>
    </w:p>
    <w:p w14:paraId="5F93B9A6"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Löve, L., Traustadóttir, R. and Rice, J.G. (2018) Trading autonomy for services: Perceptions of users and providers of services for disabled people in Iceland, </w:t>
      </w:r>
      <w:r w:rsidRPr="00AD4173">
        <w:rPr>
          <w:rFonts w:ascii="Aptos" w:eastAsia="Aptos" w:hAnsi="Aptos" w:cs="Times New Roman"/>
          <w:i/>
          <w:iCs/>
          <w:sz w:val="21"/>
          <w:szCs w:val="21"/>
        </w:rPr>
        <w:t>Alter</w:t>
      </w:r>
      <w:r w:rsidRPr="00AD4173">
        <w:rPr>
          <w:rFonts w:ascii="Aptos" w:eastAsia="Aptos" w:hAnsi="Aptos" w:cs="Times New Roman"/>
          <w:sz w:val="21"/>
          <w:szCs w:val="21"/>
        </w:rPr>
        <w:t xml:space="preserve">, 12, 4, 193-207, </w:t>
      </w:r>
      <w:hyperlink r:id="rId47" w:history="1">
        <w:r w:rsidRPr="00AD4173">
          <w:rPr>
            <w:rFonts w:ascii="Aptos" w:eastAsia="Aptos" w:hAnsi="Aptos" w:cs="Times New Roman"/>
            <w:color w:val="467886"/>
            <w:sz w:val="21"/>
            <w:szCs w:val="21"/>
            <w:u w:val="single"/>
          </w:rPr>
          <w:t>https://doi.org/10.1016/j.alter.2018.04.008</w:t>
        </w:r>
      </w:hyperlink>
      <w:r w:rsidRPr="00AD4173">
        <w:rPr>
          <w:rFonts w:ascii="Aptos" w:eastAsia="Aptos" w:hAnsi="Aptos" w:cs="Times New Roman"/>
          <w:sz w:val="21"/>
          <w:szCs w:val="21"/>
        </w:rPr>
        <w:t xml:space="preserve">. </w:t>
      </w:r>
    </w:p>
    <w:p w14:paraId="4145F630"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Löve, L., Traustadóttir, R., &amp; Rice, J. (2018). Achieving Disability Equality: Empowering Disabled People to Take the Lead. </w:t>
      </w:r>
      <w:r w:rsidRPr="00AD4173">
        <w:rPr>
          <w:rFonts w:ascii="Aptos" w:eastAsia="Aptos" w:hAnsi="Aptos" w:cs="Times New Roman"/>
          <w:i/>
          <w:iCs/>
          <w:sz w:val="21"/>
          <w:szCs w:val="21"/>
        </w:rPr>
        <w:t>Social Inclusion</w:t>
      </w:r>
      <w:r w:rsidRPr="00AD4173">
        <w:rPr>
          <w:rFonts w:ascii="Aptos" w:eastAsia="Aptos" w:hAnsi="Aptos" w:cs="Times New Roman"/>
          <w:sz w:val="21"/>
          <w:szCs w:val="21"/>
        </w:rPr>
        <w:t xml:space="preserve">, 6(1), 1-8. </w:t>
      </w:r>
      <w:hyperlink r:id="rId48" w:history="1">
        <w:r w:rsidRPr="00AD4173">
          <w:rPr>
            <w:rFonts w:ascii="Aptos" w:eastAsia="Aptos" w:hAnsi="Aptos" w:cs="Times New Roman"/>
            <w:color w:val="467886"/>
            <w:sz w:val="21"/>
            <w:szCs w:val="21"/>
            <w:u w:val="single"/>
          </w:rPr>
          <w:t>https://doi.org/10.17645/si.v6i1.1180</w:t>
        </w:r>
      </w:hyperlink>
      <w:r w:rsidRPr="00AD4173">
        <w:rPr>
          <w:rFonts w:ascii="Aptos" w:eastAsia="Aptos" w:hAnsi="Aptos" w:cs="Times New Roman"/>
          <w:sz w:val="21"/>
          <w:szCs w:val="21"/>
        </w:rPr>
        <w:t xml:space="preserve"> </w:t>
      </w:r>
    </w:p>
    <w:p w14:paraId="340263F5"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Löve, L., Traustadóttir, R., &amp; Rice, J. (2019). Shifting the Balance of Power: The Strategic Use of the CRPD by Disabled People’s Organizations in Securing ‘a Seat at the Table’. </w:t>
      </w:r>
      <w:r w:rsidRPr="00AD4173">
        <w:rPr>
          <w:rFonts w:ascii="Aptos" w:eastAsia="Aptos" w:hAnsi="Aptos" w:cs="Times New Roman"/>
          <w:i/>
          <w:iCs/>
          <w:sz w:val="21"/>
          <w:szCs w:val="21"/>
        </w:rPr>
        <w:t>Laws</w:t>
      </w:r>
      <w:r w:rsidRPr="00AD4173">
        <w:rPr>
          <w:rFonts w:ascii="Aptos" w:eastAsia="Aptos" w:hAnsi="Aptos" w:cs="Times New Roman"/>
          <w:sz w:val="21"/>
          <w:szCs w:val="21"/>
        </w:rPr>
        <w:t xml:space="preserve">, 8(2), 11. </w:t>
      </w:r>
      <w:hyperlink r:id="rId49" w:history="1">
        <w:r w:rsidRPr="00AD4173">
          <w:rPr>
            <w:rFonts w:ascii="Aptos" w:eastAsia="Aptos" w:hAnsi="Aptos" w:cs="Times New Roman"/>
            <w:color w:val="467886"/>
            <w:sz w:val="21"/>
            <w:szCs w:val="21"/>
            <w:u w:val="single"/>
          </w:rPr>
          <w:t>https://doi.org/10.3390/laws8020011</w:t>
        </w:r>
      </w:hyperlink>
      <w:r w:rsidRPr="00AD4173">
        <w:rPr>
          <w:rFonts w:ascii="Aptos" w:eastAsia="Aptos" w:hAnsi="Aptos" w:cs="Times New Roman"/>
          <w:sz w:val="21"/>
          <w:szCs w:val="21"/>
        </w:rPr>
        <w:t xml:space="preserve"> </w:t>
      </w:r>
    </w:p>
    <w:p w14:paraId="5AC183A5"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Löve, L.E., Traustadóttir, R. (2022). Disabled People’s Mobilization Around a Human Rights Approach to Enhance Their Participation in Law and Policy Making in Iceland. In: Rioux, M.H., Viera, J., </w:t>
      </w:r>
      <w:proofErr w:type="spellStart"/>
      <w:r w:rsidRPr="00AD4173">
        <w:rPr>
          <w:rFonts w:ascii="Aptos" w:eastAsia="Aptos" w:hAnsi="Aptos" w:cs="Times New Roman"/>
          <w:sz w:val="21"/>
          <w:szCs w:val="21"/>
        </w:rPr>
        <w:lastRenderedPageBreak/>
        <w:t>Buettgen</w:t>
      </w:r>
      <w:proofErr w:type="spellEnd"/>
      <w:r w:rsidRPr="00AD4173">
        <w:rPr>
          <w:rFonts w:ascii="Aptos" w:eastAsia="Aptos" w:hAnsi="Aptos" w:cs="Times New Roman"/>
          <w:sz w:val="21"/>
          <w:szCs w:val="21"/>
        </w:rPr>
        <w:t xml:space="preserve">, A., </w:t>
      </w:r>
      <w:proofErr w:type="spellStart"/>
      <w:r w:rsidRPr="00AD4173">
        <w:rPr>
          <w:rFonts w:ascii="Aptos" w:eastAsia="Aptos" w:hAnsi="Aptos" w:cs="Times New Roman"/>
          <w:sz w:val="21"/>
          <w:szCs w:val="21"/>
        </w:rPr>
        <w:t>Zubrow</w:t>
      </w:r>
      <w:proofErr w:type="spellEnd"/>
      <w:r w:rsidRPr="00AD4173">
        <w:rPr>
          <w:rFonts w:ascii="Aptos" w:eastAsia="Aptos" w:hAnsi="Aptos" w:cs="Times New Roman"/>
          <w:sz w:val="21"/>
          <w:szCs w:val="21"/>
        </w:rPr>
        <w:t xml:space="preserve">, E. (eds) </w:t>
      </w:r>
      <w:r w:rsidRPr="00AD4173">
        <w:rPr>
          <w:rFonts w:ascii="Aptos" w:eastAsia="Aptos" w:hAnsi="Aptos" w:cs="Times New Roman"/>
          <w:i/>
          <w:iCs/>
          <w:sz w:val="21"/>
          <w:szCs w:val="21"/>
        </w:rPr>
        <w:t>Handbook of Disability</w:t>
      </w:r>
      <w:r w:rsidRPr="00AD4173">
        <w:rPr>
          <w:rFonts w:ascii="Aptos" w:eastAsia="Aptos" w:hAnsi="Aptos" w:cs="Times New Roman"/>
          <w:sz w:val="21"/>
          <w:szCs w:val="21"/>
        </w:rPr>
        <w:t xml:space="preserve">. Springer, Singapore. </w:t>
      </w:r>
      <w:hyperlink r:id="rId50" w:history="1">
        <w:r w:rsidRPr="00AD4173">
          <w:rPr>
            <w:rFonts w:ascii="Aptos" w:eastAsia="Aptos" w:hAnsi="Aptos" w:cs="Times New Roman"/>
            <w:color w:val="467886"/>
            <w:sz w:val="21"/>
            <w:szCs w:val="21"/>
            <w:u w:val="single"/>
          </w:rPr>
          <w:t>https://doi.org/10.1007/978-981-16-1278-7_7-1</w:t>
        </w:r>
      </w:hyperlink>
      <w:r w:rsidRPr="00AD4173">
        <w:rPr>
          <w:rFonts w:ascii="Aptos" w:eastAsia="Aptos" w:hAnsi="Aptos" w:cs="Times New Roman"/>
          <w:sz w:val="21"/>
          <w:szCs w:val="21"/>
        </w:rPr>
        <w:t xml:space="preserve"> </w:t>
      </w:r>
    </w:p>
    <w:p w14:paraId="4CE44262" w14:textId="77777777" w:rsidR="00AE4520" w:rsidRPr="00AD4173" w:rsidRDefault="00AE4520" w:rsidP="00AE4520">
      <w:pPr>
        <w:ind w:hanging="288"/>
        <w:jc w:val="both"/>
        <w:rPr>
          <w:rFonts w:ascii="Aptos" w:eastAsia="Aptos" w:hAnsi="Aptos" w:cs="Times New Roman"/>
          <w:sz w:val="21"/>
          <w:szCs w:val="21"/>
        </w:rPr>
      </w:pPr>
      <w:proofErr w:type="spellStart"/>
      <w:r w:rsidRPr="00AD4173">
        <w:rPr>
          <w:rFonts w:ascii="Aptos" w:eastAsia="Aptos" w:hAnsi="Aptos" w:cs="Times New Roman"/>
          <w:sz w:val="21"/>
          <w:szCs w:val="21"/>
        </w:rPr>
        <w:t>Melbøe</w:t>
      </w:r>
      <w:proofErr w:type="spellEnd"/>
      <w:r w:rsidRPr="00AD4173">
        <w:rPr>
          <w:rFonts w:ascii="Aptos" w:eastAsia="Aptos" w:hAnsi="Aptos" w:cs="Times New Roman"/>
          <w:sz w:val="21"/>
          <w:szCs w:val="21"/>
        </w:rPr>
        <w:t xml:space="preserve">, L., &amp; </w:t>
      </w:r>
      <w:proofErr w:type="spellStart"/>
      <w:r w:rsidRPr="00AD4173">
        <w:rPr>
          <w:rFonts w:ascii="Aptos" w:eastAsia="Aptos" w:hAnsi="Aptos" w:cs="Times New Roman"/>
          <w:sz w:val="21"/>
          <w:szCs w:val="21"/>
        </w:rPr>
        <w:t>Hardonk</w:t>
      </w:r>
      <w:proofErr w:type="spellEnd"/>
      <w:r w:rsidRPr="00AD4173">
        <w:rPr>
          <w:rFonts w:ascii="Aptos" w:eastAsia="Aptos" w:hAnsi="Aptos" w:cs="Times New Roman"/>
          <w:sz w:val="21"/>
          <w:szCs w:val="21"/>
        </w:rPr>
        <w:t xml:space="preserve">, S. (2022). Expanding Opportunities for Work and Citizenship: Participation of People with Intellectual Disabilities in Voluntary Work. </w:t>
      </w:r>
      <w:r w:rsidRPr="00AD4173">
        <w:rPr>
          <w:rFonts w:ascii="Aptos" w:eastAsia="Aptos" w:hAnsi="Aptos" w:cs="Times New Roman"/>
          <w:i/>
          <w:iCs/>
          <w:sz w:val="21"/>
          <w:szCs w:val="21"/>
        </w:rPr>
        <w:t>Scandinavian Journal of Disability Research</w:t>
      </w:r>
      <w:r w:rsidRPr="00AD4173">
        <w:rPr>
          <w:rFonts w:ascii="Aptos" w:eastAsia="Aptos" w:hAnsi="Aptos" w:cs="Times New Roman"/>
          <w:sz w:val="21"/>
          <w:szCs w:val="21"/>
        </w:rPr>
        <w:t xml:space="preserve">, 24(1), 109–121. </w:t>
      </w:r>
      <w:hyperlink r:id="rId51" w:history="1">
        <w:r w:rsidRPr="00AD4173">
          <w:rPr>
            <w:rFonts w:ascii="Aptos" w:eastAsia="Aptos" w:hAnsi="Aptos" w:cs="Times New Roman"/>
            <w:color w:val="467886"/>
            <w:sz w:val="21"/>
            <w:szCs w:val="21"/>
            <w:u w:val="single"/>
          </w:rPr>
          <w:t>https://doi.org/10.16993/sjdr.837</w:t>
        </w:r>
      </w:hyperlink>
      <w:r w:rsidRPr="00AD4173">
        <w:rPr>
          <w:rFonts w:ascii="Aptos" w:eastAsia="Aptos" w:hAnsi="Aptos" w:cs="Times New Roman"/>
          <w:sz w:val="21"/>
          <w:szCs w:val="21"/>
        </w:rPr>
        <w:t xml:space="preserve"> </w:t>
      </w:r>
    </w:p>
    <w:p w14:paraId="6BD38397"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Óladóttir, S., Pálmadóttir, G., Óskarsson, G. K., &amp; Egilson, S. T. (2023). Psychometric properties of the client-</w:t>
      </w:r>
      <w:proofErr w:type="spellStart"/>
      <w:r w:rsidRPr="00AD4173">
        <w:rPr>
          <w:rFonts w:ascii="Aptos" w:eastAsia="Aptos" w:hAnsi="Aptos" w:cs="Times New Roman"/>
          <w:sz w:val="21"/>
          <w:szCs w:val="21"/>
        </w:rPr>
        <w:t>centred</w:t>
      </w:r>
      <w:proofErr w:type="spellEnd"/>
      <w:r w:rsidRPr="00AD4173">
        <w:rPr>
          <w:rFonts w:ascii="Aptos" w:eastAsia="Aptos" w:hAnsi="Aptos" w:cs="Times New Roman"/>
          <w:sz w:val="21"/>
          <w:szCs w:val="21"/>
        </w:rPr>
        <w:t xml:space="preserve"> rehabilitation questionnaire-is derived from a large and varied group of rehabilitation users. </w:t>
      </w:r>
      <w:r w:rsidRPr="00AD4173">
        <w:rPr>
          <w:rFonts w:ascii="Aptos" w:eastAsia="Aptos" w:hAnsi="Aptos" w:cs="Times New Roman"/>
          <w:i/>
          <w:iCs/>
          <w:sz w:val="21"/>
          <w:szCs w:val="21"/>
        </w:rPr>
        <w:t>Disability and Rehabilitation</w:t>
      </w:r>
      <w:r w:rsidRPr="00AD4173">
        <w:rPr>
          <w:rFonts w:ascii="Aptos" w:eastAsia="Aptos" w:hAnsi="Aptos" w:cs="Times New Roman"/>
          <w:sz w:val="21"/>
          <w:szCs w:val="21"/>
        </w:rPr>
        <w:t xml:space="preserve">, 46(2), 387–394. </w:t>
      </w:r>
      <w:hyperlink r:id="rId52" w:history="1">
        <w:r w:rsidRPr="00AD4173">
          <w:rPr>
            <w:rFonts w:ascii="Aptos" w:eastAsia="Aptos" w:hAnsi="Aptos" w:cs="Times New Roman"/>
            <w:color w:val="467886"/>
            <w:sz w:val="21"/>
            <w:szCs w:val="21"/>
            <w:u w:val="single"/>
          </w:rPr>
          <w:t>https://doi.org/10.1080/09638288.2022.2160835</w:t>
        </w:r>
      </w:hyperlink>
      <w:r w:rsidRPr="00AD4173">
        <w:rPr>
          <w:rFonts w:ascii="Aptos" w:eastAsia="Aptos" w:hAnsi="Aptos" w:cs="Times New Roman"/>
          <w:sz w:val="21"/>
          <w:szCs w:val="21"/>
        </w:rPr>
        <w:t xml:space="preserve">   </w:t>
      </w:r>
    </w:p>
    <w:p w14:paraId="2C6C1777"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Ólafsdóttir, L. B., Egilson, S. T., Árnadóttir, U., &amp; </w:t>
      </w:r>
      <w:proofErr w:type="spellStart"/>
      <w:r w:rsidRPr="00AD4173">
        <w:rPr>
          <w:rFonts w:ascii="Aptos" w:eastAsia="Aptos" w:hAnsi="Aptos" w:cs="Times New Roman"/>
          <w:sz w:val="21"/>
          <w:szCs w:val="21"/>
        </w:rPr>
        <w:t>Hardonk</w:t>
      </w:r>
      <w:proofErr w:type="spellEnd"/>
      <w:r w:rsidRPr="00AD4173">
        <w:rPr>
          <w:rFonts w:ascii="Aptos" w:eastAsia="Aptos" w:hAnsi="Aptos" w:cs="Times New Roman"/>
          <w:sz w:val="21"/>
          <w:szCs w:val="21"/>
        </w:rPr>
        <w:t xml:space="preserve">, S. C. (2018). Child and parent perspectives of life quality of children with physical impairments compared with non-disabled peers. </w:t>
      </w:r>
      <w:r w:rsidRPr="00AD4173">
        <w:rPr>
          <w:rFonts w:ascii="Aptos" w:eastAsia="Aptos" w:hAnsi="Aptos" w:cs="Times New Roman"/>
          <w:i/>
          <w:iCs/>
          <w:sz w:val="21"/>
          <w:szCs w:val="21"/>
        </w:rPr>
        <w:t>Scandinavian Journal of Occupational Therapy</w:t>
      </w:r>
      <w:r w:rsidRPr="00AD4173">
        <w:rPr>
          <w:rFonts w:ascii="Aptos" w:eastAsia="Aptos" w:hAnsi="Aptos" w:cs="Times New Roman"/>
          <w:sz w:val="21"/>
          <w:szCs w:val="21"/>
        </w:rPr>
        <w:t xml:space="preserve">, 26(7), 496–504. </w:t>
      </w:r>
      <w:hyperlink r:id="rId53" w:history="1">
        <w:r w:rsidRPr="00AD4173">
          <w:rPr>
            <w:rFonts w:ascii="Aptos" w:eastAsia="Aptos" w:hAnsi="Aptos" w:cs="Times New Roman"/>
            <w:color w:val="467886"/>
            <w:sz w:val="21"/>
            <w:szCs w:val="21"/>
            <w:u w:val="single"/>
          </w:rPr>
          <w:t>https://doi.org/10.1080/11038128.2018.1509371</w:t>
        </w:r>
      </w:hyperlink>
      <w:r w:rsidRPr="00AD4173">
        <w:rPr>
          <w:rFonts w:ascii="Aptos" w:eastAsia="Aptos" w:hAnsi="Aptos" w:cs="Times New Roman"/>
          <w:sz w:val="21"/>
          <w:szCs w:val="21"/>
        </w:rPr>
        <w:t xml:space="preserve"> </w:t>
      </w:r>
    </w:p>
    <w:p w14:paraId="49CD0161"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Ólafsdóttir, L.B. and Egilson, S.Þ. (2025). </w:t>
      </w:r>
      <w:proofErr w:type="spellStart"/>
      <w:r w:rsidRPr="00AD4173">
        <w:rPr>
          <w:rFonts w:ascii="Aptos" w:eastAsia="Aptos" w:hAnsi="Aptos" w:cs="Times New Roman"/>
          <w:sz w:val="21"/>
          <w:szCs w:val="21"/>
        </w:rPr>
        <w:t>Bernskan</w:t>
      </w:r>
      <w:proofErr w:type="spellEnd"/>
      <w:r w:rsidRPr="00AD4173">
        <w:rPr>
          <w:rFonts w:ascii="Aptos" w:eastAsia="Aptos" w:hAnsi="Aptos" w:cs="Times New Roman"/>
          <w:sz w:val="21"/>
          <w:szCs w:val="21"/>
        </w:rPr>
        <w:t xml:space="preserve">. In S. Þ. Egilson (Ed.), </w:t>
      </w:r>
      <w:proofErr w:type="spellStart"/>
      <w:r w:rsidRPr="00AD4173">
        <w:rPr>
          <w:rFonts w:ascii="Aptos" w:eastAsia="Aptos" w:hAnsi="Aptos" w:cs="Times New Roman"/>
          <w:i/>
          <w:iCs/>
          <w:sz w:val="21"/>
          <w:szCs w:val="21"/>
        </w:rPr>
        <w:t>Fötlun</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sjálf</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samfélag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Birtingarmyndir</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úrlausnarefni</w:t>
      </w:r>
      <w:proofErr w:type="spellEnd"/>
      <w:r w:rsidRPr="00AD4173">
        <w:rPr>
          <w:rFonts w:ascii="Aptos" w:eastAsia="Aptos" w:hAnsi="Aptos" w:cs="Times New Roman"/>
          <w:i/>
          <w:iCs/>
          <w:sz w:val="21"/>
          <w:szCs w:val="21"/>
        </w:rPr>
        <w:t>,</w:t>
      </w:r>
      <w:r w:rsidRPr="00AD4173">
        <w:rPr>
          <w:rFonts w:ascii="Aptos" w:eastAsia="Aptos" w:hAnsi="Aptos" w:cs="Times New Roman"/>
          <w:sz w:val="21"/>
          <w:szCs w:val="21"/>
        </w:rPr>
        <w:t xml:space="preserve"> 85–114. </w:t>
      </w:r>
      <w:proofErr w:type="spellStart"/>
      <w:r w:rsidRPr="00AD4173">
        <w:rPr>
          <w:rFonts w:ascii="Aptos" w:eastAsia="Aptos" w:hAnsi="Aptos" w:cs="Times New Roman"/>
          <w:sz w:val="21"/>
          <w:szCs w:val="21"/>
        </w:rPr>
        <w:t>Háskólaútgáfan</w:t>
      </w:r>
      <w:proofErr w:type="spellEnd"/>
      <w:r w:rsidRPr="00AD4173">
        <w:rPr>
          <w:rFonts w:ascii="Aptos" w:eastAsia="Aptos" w:hAnsi="Aptos" w:cs="Times New Roman"/>
          <w:sz w:val="21"/>
          <w:szCs w:val="21"/>
        </w:rPr>
        <w:t>.</w:t>
      </w:r>
    </w:p>
    <w:p w14:paraId="58BAB536" w14:textId="77777777" w:rsidR="00AE4520" w:rsidRPr="00AD4173" w:rsidRDefault="00AE4520" w:rsidP="00AE4520">
      <w:pPr>
        <w:ind w:hanging="288"/>
        <w:jc w:val="both"/>
        <w:rPr>
          <w:rFonts w:ascii="Aptos" w:eastAsia="Aptos" w:hAnsi="Aptos" w:cs="Times New Roman"/>
          <w:sz w:val="21"/>
          <w:szCs w:val="21"/>
        </w:rPr>
      </w:pPr>
      <w:proofErr w:type="spellStart"/>
      <w:r w:rsidRPr="00AD4173">
        <w:rPr>
          <w:rFonts w:ascii="Aptos" w:eastAsia="Aptos" w:hAnsi="Aptos" w:cs="Times New Roman"/>
          <w:sz w:val="21"/>
          <w:szCs w:val="21"/>
        </w:rPr>
        <w:t>Rannsóknarsetur</w:t>
      </w:r>
      <w:proofErr w:type="spellEnd"/>
      <w:r w:rsidRPr="00AD4173">
        <w:rPr>
          <w:rFonts w:ascii="Aptos" w:eastAsia="Aptos" w:hAnsi="Aptos" w:cs="Times New Roman"/>
          <w:sz w:val="21"/>
          <w:szCs w:val="21"/>
        </w:rPr>
        <w:t xml:space="preserve"> í </w:t>
      </w:r>
      <w:proofErr w:type="spellStart"/>
      <w:r w:rsidRPr="00AD4173">
        <w:rPr>
          <w:rFonts w:ascii="Aptos" w:eastAsia="Aptos" w:hAnsi="Aptos" w:cs="Times New Roman"/>
          <w:sz w:val="21"/>
          <w:szCs w:val="21"/>
        </w:rPr>
        <w:t>fötlunarfræðum</w:t>
      </w:r>
      <w:proofErr w:type="spellEnd"/>
      <w:r w:rsidRPr="00AD4173">
        <w:rPr>
          <w:rFonts w:ascii="Aptos" w:eastAsia="Aptos" w:hAnsi="Aptos" w:cs="Times New Roman"/>
          <w:sz w:val="21"/>
          <w:szCs w:val="21"/>
        </w:rPr>
        <w:t xml:space="preserve">. (2019). </w:t>
      </w:r>
      <w:r w:rsidRPr="00AD4173">
        <w:rPr>
          <w:rFonts w:ascii="Aptos" w:eastAsia="Aptos" w:hAnsi="Aptos" w:cs="Times New Roman"/>
          <w:i/>
          <w:iCs/>
          <w:sz w:val="21"/>
          <w:szCs w:val="21"/>
        </w:rPr>
        <w:t>ANED Country Report: Living independently and being included in the community – Iceland</w:t>
      </w:r>
      <w:r w:rsidRPr="00AD4173">
        <w:rPr>
          <w:rFonts w:ascii="Aptos" w:eastAsia="Aptos" w:hAnsi="Aptos" w:cs="Times New Roman"/>
          <w:sz w:val="21"/>
          <w:szCs w:val="21"/>
        </w:rPr>
        <w:t xml:space="preserve">. Academic Network of European Disability Experts (ANED). </w:t>
      </w:r>
    </w:p>
    <w:p w14:paraId="0DC6C3B1" w14:textId="77777777" w:rsidR="00AE4520" w:rsidRPr="00AD4173" w:rsidRDefault="00AE4520" w:rsidP="00AE4520">
      <w:pPr>
        <w:ind w:hanging="288"/>
        <w:jc w:val="both"/>
        <w:rPr>
          <w:rFonts w:ascii="Aptos" w:eastAsia="Aptos" w:hAnsi="Aptos" w:cs="Times New Roman"/>
          <w:sz w:val="21"/>
          <w:szCs w:val="21"/>
        </w:rPr>
      </w:pPr>
      <w:proofErr w:type="spellStart"/>
      <w:r w:rsidRPr="00AD4173">
        <w:rPr>
          <w:rFonts w:ascii="Aptos" w:eastAsia="Aptos" w:hAnsi="Aptos" w:cs="Times New Roman"/>
          <w:sz w:val="21"/>
          <w:szCs w:val="21"/>
        </w:rPr>
        <w:t>Rannsóknarsetur</w:t>
      </w:r>
      <w:proofErr w:type="spellEnd"/>
      <w:r w:rsidRPr="00AD4173">
        <w:rPr>
          <w:rFonts w:ascii="Aptos" w:eastAsia="Aptos" w:hAnsi="Aptos" w:cs="Times New Roman"/>
          <w:sz w:val="21"/>
          <w:szCs w:val="21"/>
        </w:rPr>
        <w:t xml:space="preserve"> í </w:t>
      </w:r>
      <w:proofErr w:type="spellStart"/>
      <w:r w:rsidRPr="00AD4173">
        <w:rPr>
          <w:rFonts w:ascii="Aptos" w:eastAsia="Aptos" w:hAnsi="Aptos" w:cs="Times New Roman"/>
          <w:sz w:val="21"/>
          <w:szCs w:val="21"/>
        </w:rPr>
        <w:t>fötlunarfræðum</w:t>
      </w:r>
      <w:proofErr w:type="spellEnd"/>
      <w:r w:rsidRPr="00AD4173">
        <w:rPr>
          <w:rFonts w:ascii="Aptos" w:eastAsia="Aptos" w:hAnsi="Aptos" w:cs="Times New Roman"/>
          <w:sz w:val="21"/>
          <w:szCs w:val="21"/>
        </w:rPr>
        <w:t xml:space="preserve">. (2019). </w:t>
      </w:r>
      <w:r w:rsidRPr="00AD4173">
        <w:rPr>
          <w:rFonts w:ascii="Aptos" w:eastAsia="Aptos" w:hAnsi="Aptos" w:cs="Times New Roman"/>
          <w:i/>
          <w:iCs/>
          <w:sz w:val="21"/>
          <w:szCs w:val="21"/>
        </w:rPr>
        <w:t>ANED Task 2019: EU2020 shadow report on Iceland</w:t>
      </w:r>
      <w:r w:rsidRPr="00AD4173">
        <w:rPr>
          <w:rFonts w:ascii="Aptos" w:eastAsia="Aptos" w:hAnsi="Aptos" w:cs="Times New Roman"/>
          <w:sz w:val="21"/>
          <w:szCs w:val="21"/>
        </w:rPr>
        <w:t>. Academic Network of European Disability Experts (ANED)</w:t>
      </w:r>
    </w:p>
    <w:p w14:paraId="1D4E266F" w14:textId="77777777" w:rsidR="00AE4520" w:rsidRPr="00AD4173" w:rsidRDefault="00AE4520" w:rsidP="00AE4520">
      <w:pPr>
        <w:ind w:hanging="288"/>
        <w:jc w:val="both"/>
        <w:rPr>
          <w:rFonts w:ascii="Aptos" w:eastAsia="Aptos" w:hAnsi="Aptos" w:cs="Times New Roman"/>
          <w:sz w:val="21"/>
          <w:szCs w:val="21"/>
        </w:rPr>
      </w:pPr>
      <w:proofErr w:type="spellStart"/>
      <w:r w:rsidRPr="00AD4173">
        <w:rPr>
          <w:rFonts w:ascii="Aptos" w:eastAsia="Aptos" w:hAnsi="Aptos" w:cs="Times New Roman"/>
          <w:sz w:val="21"/>
          <w:szCs w:val="21"/>
        </w:rPr>
        <w:t>Rannsóknarsetur</w:t>
      </w:r>
      <w:proofErr w:type="spellEnd"/>
      <w:r w:rsidRPr="00AD4173">
        <w:rPr>
          <w:rFonts w:ascii="Aptos" w:eastAsia="Aptos" w:hAnsi="Aptos" w:cs="Times New Roman"/>
          <w:sz w:val="21"/>
          <w:szCs w:val="21"/>
        </w:rPr>
        <w:t xml:space="preserve"> í </w:t>
      </w:r>
      <w:proofErr w:type="spellStart"/>
      <w:r w:rsidRPr="00AD4173">
        <w:rPr>
          <w:rFonts w:ascii="Aptos" w:eastAsia="Aptos" w:hAnsi="Aptos" w:cs="Times New Roman"/>
          <w:sz w:val="21"/>
          <w:szCs w:val="21"/>
        </w:rPr>
        <w:t>fötlunarfræðum</w:t>
      </w:r>
      <w:proofErr w:type="spellEnd"/>
      <w:r w:rsidRPr="00AD4173">
        <w:rPr>
          <w:rFonts w:ascii="Aptos" w:eastAsia="Aptos" w:hAnsi="Aptos" w:cs="Times New Roman"/>
          <w:sz w:val="21"/>
          <w:szCs w:val="21"/>
        </w:rPr>
        <w:t xml:space="preserve">. (2025). </w:t>
      </w:r>
      <w:r w:rsidRPr="00AD4173">
        <w:rPr>
          <w:rFonts w:ascii="Aptos" w:eastAsia="Aptos" w:hAnsi="Aptos" w:cs="Times New Roman"/>
          <w:i/>
          <w:iCs/>
          <w:sz w:val="21"/>
          <w:szCs w:val="21"/>
        </w:rPr>
        <w:t>Report on Iceland</w:t>
      </w:r>
      <w:r w:rsidRPr="00AD4173">
        <w:rPr>
          <w:rFonts w:ascii="Aptos" w:eastAsia="Aptos" w:hAnsi="Aptos" w:cs="Times New Roman"/>
          <w:sz w:val="21"/>
          <w:szCs w:val="21"/>
        </w:rPr>
        <w:t xml:space="preserve">. Academic Network of European Disability Experts (EDE-DOTCOM). </w:t>
      </w:r>
    </w:p>
    <w:p w14:paraId="5A252E97"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Rannveig Traustadóttir, James G. Rice. (2017). </w:t>
      </w:r>
      <w:proofErr w:type="spellStart"/>
      <w:r w:rsidRPr="00AD4173">
        <w:rPr>
          <w:rFonts w:ascii="Aptos" w:eastAsia="Aptos" w:hAnsi="Aptos" w:cs="Times New Roman"/>
          <w:sz w:val="21"/>
          <w:szCs w:val="21"/>
        </w:rPr>
        <w:t>Kosningar</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lýðræði</w:t>
      </w:r>
      <w:proofErr w:type="spellEnd"/>
      <w:r w:rsidRPr="00AD4173">
        <w:rPr>
          <w:rFonts w:ascii="Aptos" w:eastAsia="Aptos" w:hAnsi="Aptos" w:cs="Times New Roman"/>
          <w:sz w:val="21"/>
          <w:szCs w:val="21"/>
        </w:rPr>
        <w:t xml:space="preserve"> og </w:t>
      </w:r>
      <w:proofErr w:type="spellStart"/>
      <w:r w:rsidRPr="00AD4173">
        <w:rPr>
          <w:rFonts w:ascii="Aptos" w:eastAsia="Aptos" w:hAnsi="Aptos" w:cs="Times New Roman"/>
          <w:sz w:val="21"/>
          <w:szCs w:val="21"/>
        </w:rPr>
        <w:t>fatlað</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fólk</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i/>
          <w:iCs/>
          <w:sz w:val="21"/>
          <w:szCs w:val="21"/>
        </w:rPr>
        <w:t>Stjórnmál</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stjórnsýsla</w:t>
      </w:r>
      <w:proofErr w:type="spellEnd"/>
      <w:r w:rsidRPr="00AD4173">
        <w:rPr>
          <w:rFonts w:ascii="Aptos" w:eastAsia="Aptos" w:hAnsi="Aptos" w:cs="Times New Roman"/>
          <w:sz w:val="21"/>
          <w:szCs w:val="21"/>
        </w:rPr>
        <w:t xml:space="preserve">, 13(1), 83-102. </w:t>
      </w:r>
      <w:hyperlink r:id="rId54" w:history="1">
        <w:r w:rsidRPr="00AD4173">
          <w:rPr>
            <w:rFonts w:ascii="Aptos" w:eastAsia="Aptos" w:hAnsi="Aptos" w:cs="Times New Roman"/>
            <w:color w:val="467886"/>
            <w:sz w:val="21"/>
            <w:szCs w:val="21"/>
            <w:u w:val="single"/>
          </w:rPr>
          <w:t>https://doi:10.13177/irpa.a.2017.13.1.4</w:t>
        </w:r>
      </w:hyperlink>
      <w:r w:rsidRPr="00AD4173">
        <w:rPr>
          <w:rFonts w:ascii="Aptos" w:eastAsia="Aptos" w:hAnsi="Aptos" w:cs="Times New Roman"/>
          <w:sz w:val="21"/>
          <w:szCs w:val="21"/>
        </w:rPr>
        <w:t xml:space="preserve"> </w:t>
      </w:r>
    </w:p>
    <w:p w14:paraId="5F792E85"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Rice, J. G., &amp; Sigurjónsdóttir, H. B. (2022). Incorporating </w:t>
      </w:r>
      <w:proofErr w:type="gramStart"/>
      <w:r w:rsidRPr="00AD4173">
        <w:rPr>
          <w:rFonts w:ascii="Aptos" w:eastAsia="Aptos" w:hAnsi="Aptos" w:cs="Times New Roman"/>
          <w:sz w:val="21"/>
          <w:szCs w:val="21"/>
        </w:rPr>
        <w:t>a Reflexive</w:t>
      </w:r>
      <w:proofErr w:type="gramEnd"/>
      <w:r w:rsidRPr="00AD4173">
        <w:rPr>
          <w:rFonts w:ascii="Aptos" w:eastAsia="Aptos" w:hAnsi="Aptos" w:cs="Times New Roman"/>
          <w:sz w:val="21"/>
          <w:szCs w:val="21"/>
        </w:rPr>
        <w:t xml:space="preserve"> Ethnographic Sensitivity in Child Protection Work. In </w:t>
      </w:r>
      <w:r w:rsidRPr="00AD4173">
        <w:rPr>
          <w:rFonts w:ascii="Aptos" w:eastAsia="Aptos" w:hAnsi="Aptos" w:cs="Times New Roman"/>
          <w:i/>
          <w:iCs/>
          <w:sz w:val="21"/>
          <w:szCs w:val="21"/>
        </w:rPr>
        <w:t>Rehabilitation in Practice</w:t>
      </w:r>
      <w:r w:rsidRPr="00AD4173">
        <w:rPr>
          <w:rFonts w:ascii="Aptos" w:eastAsia="Aptos" w:hAnsi="Aptos" w:cs="Times New Roman"/>
          <w:sz w:val="21"/>
          <w:szCs w:val="21"/>
        </w:rPr>
        <w:t xml:space="preserve"> (pp. 83-95). Springer. </w:t>
      </w:r>
      <w:hyperlink r:id="rId55" w:history="1">
        <w:r w:rsidRPr="00AD4173">
          <w:rPr>
            <w:rFonts w:ascii="Aptos" w:eastAsia="Aptos" w:hAnsi="Aptos" w:cs="Times New Roman"/>
            <w:color w:val="467886"/>
            <w:sz w:val="21"/>
            <w:szCs w:val="21"/>
            <w:u w:val="single"/>
          </w:rPr>
          <w:t>https://doi.org/10.1007/978-981-16-8317-6_7</w:t>
        </w:r>
      </w:hyperlink>
      <w:r w:rsidRPr="00AD4173">
        <w:rPr>
          <w:rFonts w:ascii="Aptos" w:eastAsia="Aptos" w:hAnsi="Aptos" w:cs="Times New Roman"/>
          <w:sz w:val="21"/>
          <w:szCs w:val="21"/>
        </w:rPr>
        <w:t xml:space="preserve"> </w:t>
      </w:r>
    </w:p>
    <w:p w14:paraId="46FA9216"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Rice, J. G., </w:t>
      </w:r>
      <w:proofErr w:type="spellStart"/>
      <w:r w:rsidRPr="00AD4173">
        <w:rPr>
          <w:rFonts w:ascii="Aptos" w:eastAsia="Aptos" w:hAnsi="Aptos" w:cs="Times New Roman"/>
          <w:sz w:val="21"/>
          <w:szCs w:val="21"/>
        </w:rPr>
        <w:t>Bjargardóttir</w:t>
      </w:r>
      <w:proofErr w:type="spellEnd"/>
      <w:r w:rsidRPr="00AD4173">
        <w:rPr>
          <w:rFonts w:ascii="Aptos" w:eastAsia="Aptos" w:hAnsi="Aptos" w:cs="Times New Roman"/>
          <w:sz w:val="21"/>
          <w:szCs w:val="21"/>
        </w:rPr>
        <w:t xml:space="preserve">, H. B., &amp; Sigurjónsdóttir, H. B. (2020). Child protection, disability and obstetric violence: three case studies from Iceland. </w:t>
      </w:r>
      <w:r w:rsidRPr="00AD4173">
        <w:rPr>
          <w:rFonts w:ascii="Aptos" w:eastAsia="Aptos" w:hAnsi="Aptos" w:cs="Times New Roman"/>
          <w:i/>
          <w:iCs/>
          <w:sz w:val="21"/>
          <w:szCs w:val="21"/>
        </w:rPr>
        <w:t>International Journal of Environmental Research and Public Health</w:t>
      </w:r>
      <w:r w:rsidRPr="00AD4173">
        <w:rPr>
          <w:rFonts w:ascii="Aptos" w:eastAsia="Aptos" w:hAnsi="Aptos" w:cs="Times New Roman"/>
          <w:sz w:val="21"/>
          <w:szCs w:val="21"/>
        </w:rPr>
        <w:t xml:space="preserve">, 18(1), 1-14. Article 158. </w:t>
      </w:r>
      <w:hyperlink r:id="rId56" w:history="1">
        <w:r w:rsidRPr="00AD4173">
          <w:rPr>
            <w:rFonts w:ascii="Aptos" w:eastAsia="Aptos" w:hAnsi="Aptos" w:cs="Times New Roman"/>
            <w:color w:val="467886"/>
            <w:sz w:val="21"/>
            <w:szCs w:val="21"/>
            <w:u w:val="single"/>
          </w:rPr>
          <w:t>https://doi.org/10.3390/ijerph18010158</w:t>
        </w:r>
      </w:hyperlink>
      <w:r w:rsidRPr="00AD4173">
        <w:rPr>
          <w:rFonts w:ascii="Aptos" w:eastAsia="Aptos" w:hAnsi="Aptos" w:cs="Times New Roman"/>
          <w:sz w:val="21"/>
          <w:szCs w:val="21"/>
        </w:rPr>
        <w:t xml:space="preserve"> </w:t>
      </w:r>
    </w:p>
    <w:p w14:paraId="15C333CE"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Rice, J. G., More, R., &amp; Sigurjónsdóttir, H. B. (2019). Serving neglect: Foodways in child protection cases. </w:t>
      </w:r>
      <w:r w:rsidRPr="00AD4173">
        <w:rPr>
          <w:rFonts w:ascii="Aptos" w:eastAsia="Aptos" w:hAnsi="Aptos" w:cs="Times New Roman"/>
          <w:i/>
          <w:iCs/>
          <w:sz w:val="21"/>
          <w:szCs w:val="21"/>
        </w:rPr>
        <w:t>Food and Foodways</w:t>
      </w:r>
      <w:r w:rsidRPr="00AD4173">
        <w:rPr>
          <w:rFonts w:ascii="Aptos" w:eastAsia="Aptos" w:hAnsi="Aptos" w:cs="Times New Roman"/>
          <w:sz w:val="21"/>
          <w:szCs w:val="21"/>
        </w:rPr>
        <w:t xml:space="preserve">, 27(4), 253-272. </w:t>
      </w:r>
      <w:hyperlink r:id="rId57" w:history="1">
        <w:r w:rsidRPr="00AD4173">
          <w:rPr>
            <w:rFonts w:ascii="Aptos" w:eastAsia="Aptos" w:hAnsi="Aptos" w:cs="Times New Roman"/>
            <w:color w:val="467886"/>
            <w:sz w:val="21"/>
            <w:szCs w:val="21"/>
            <w:u w:val="single"/>
          </w:rPr>
          <w:t>https://doi.org/10.1080/07409710.2019.1677398</w:t>
        </w:r>
      </w:hyperlink>
      <w:r w:rsidRPr="00AD4173">
        <w:rPr>
          <w:rFonts w:ascii="Aptos" w:eastAsia="Aptos" w:hAnsi="Aptos" w:cs="Times New Roman"/>
          <w:sz w:val="21"/>
          <w:szCs w:val="21"/>
        </w:rPr>
        <w:t xml:space="preserve"> </w:t>
      </w:r>
    </w:p>
    <w:p w14:paraId="7CA72931"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Rice, J., &amp; Sigurjónsdóttir, H. B. (2018). Notifying neglect: Child protection as an application of bureaucratic power against marginalized parents. </w:t>
      </w:r>
      <w:r w:rsidRPr="00AD4173">
        <w:rPr>
          <w:rFonts w:ascii="Aptos" w:eastAsia="Aptos" w:hAnsi="Aptos" w:cs="Times New Roman"/>
          <w:i/>
          <w:iCs/>
          <w:sz w:val="21"/>
          <w:szCs w:val="21"/>
        </w:rPr>
        <w:t>Human Organization</w:t>
      </w:r>
      <w:r w:rsidRPr="00AD4173">
        <w:rPr>
          <w:rFonts w:ascii="Aptos" w:eastAsia="Aptos" w:hAnsi="Aptos" w:cs="Times New Roman"/>
          <w:sz w:val="21"/>
          <w:szCs w:val="21"/>
        </w:rPr>
        <w:t xml:space="preserve">, 77(2), 112-121. </w:t>
      </w:r>
      <w:hyperlink r:id="rId58" w:history="1">
        <w:r w:rsidRPr="00AD4173">
          <w:rPr>
            <w:rFonts w:ascii="Aptos" w:eastAsia="Aptos" w:hAnsi="Aptos" w:cs="Times New Roman"/>
            <w:color w:val="467886"/>
            <w:sz w:val="21"/>
            <w:szCs w:val="21"/>
            <w:u w:val="single"/>
          </w:rPr>
          <w:t>https://doi.org/10.17730/0018-7259-77.2.112</w:t>
        </w:r>
      </w:hyperlink>
      <w:r w:rsidRPr="00AD4173">
        <w:rPr>
          <w:rFonts w:ascii="Aptos" w:eastAsia="Aptos" w:hAnsi="Aptos" w:cs="Times New Roman"/>
          <w:sz w:val="21"/>
          <w:szCs w:val="21"/>
        </w:rPr>
        <w:t xml:space="preserve"> </w:t>
      </w:r>
    </w:p>
    <w:p w14:paraId="33E44851"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Rice, James &amp; Bjarnadóttir, Inga. (2022). </w:t>
      </w:r>
      <w:proofErr w:type="spellStart"/>
      <w:r w:rsidRPr="00AD4173">
        <w:rPr>
          <w:rFonts w:ascii="Aptos" w:eastAsia="Aptos" w:hAnsi="Aptos" w:cs="Times New Roman"/>
          <w:i/>
          <w:iCs/>
          <w:sz w:val="21"/>
          <w:szCs w:val="21"/>
        </w:rPr>
        <w:t>Digitalisation</w:t>
      </w:r>
      <w:proofErr w:type="spellEnd"/>
      <w:r w:rsidRPr="00AD4173">
        <w:rPr>
          <w:rFonts w:ascii="Aptos" w:eastAsia="Aptos" w:hAnsi="Aptos" w:cs="Times New Roman"/>
          <w:i/>
          <w:iCs/>
          <w:sz w:val="21"/>
          <w:szCs w:val="21"/>
        </w:rPr>
        <w:t xml:space="preserve"> and digital transformation in Iceland: Implications for persons with disabilities</w:t>
      </w:r>
      <w:r w:rsidRPr="00AD4173">
        <w:rPr>
          <w:rFonts w:ascii="Aptos" w:eastAsia="Aptos" w:hAnsi="Aptos" w:cs="Times New Roman"/>
          <w:sz w:val="21"/>
          <w:szCs w:val="21"/>
        </w:rPr>
        <w:t xml:space="preserve">. </w:t>
      </w:r>
    </w:p>
    <w:p w14:paraId="57B72DA8"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lastRenderedPageBreak/>
        <w:t>Sigurjónsdóttir, H. B. and Margrétar Bjarnadóttir, I. B. (2025). “</w:t>
      </w:r>
      <w:proofErr w:type="spellStart"/>
      <w:r w:rsidRPr="00AD4173">
        <w:rPr>
          <w:rFonts w:ascii="Aptos" w:eastAsia="Aptos" w:hAnsi="Aptos" w:cs="Times New Roman"/>
          <w:sz w:val="21"/>
          <w:szCs w:val="21"/>
        </w:rPr>
        <w:t>Aðgengi</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fatlaðs</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fólks</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að</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foreldrahlutverkinu</w:t>
      </w:r>
      <w:proofErr w:type="spellEnd"/>
      <w:r w:rsidRPr="00AD4173">
        <w:rPr>
          <w:rFonts w:ascii="Aptos" w:eastAsia="Aptos" w:hAnsi="Aptos" w:cs="Times New Roman"/>
          <w:sz w:val="21"/>
          <w:szCs w:val="21"/>
        </w:rPr>
        <w:t xml:space="preserve">”. In S. Þ. Egilson (Ed.), </w:t>
      </w:r>
      <w:proofErr w:type="spellStart"/>
      <w:r w:rsidRPr="00AD4173">
        <w:rPr>
          <w:rFonts w:ascii="Aptos" w:eastAsia="Aptos" w:hAnsi="Aptos" w:cs="Times New Roman"/>
          <w:i/>
          <w:iCs/>
          <w:sz w:val="21"/>
          <w:szCs w:val="21"/>
        </w:rPr>
        <w:t>Fötlun</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sjálf</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samfélag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Birtingarmyndir</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úrlausnarefni</w:t>
      </w:r>
      <w:proofErr w:type="spellEnd"/>
      <w:r w:rsidRPr="00AD4173">
        <w:rPr>
          <w:rFonts w:ascii="Aptos" w:eastAsia="Aptos" w:hAnsi="Aptos" w:cs="Times New Roman"/>
          <w:sz w:val="21"/>
          <w:szCs w:val="21"/>
        </w:rPr>
        <w:t xml:space="preserve">, 293–322. </w:t>
      </w:r>
      <w:proofErr w:type="spellStart"/>
      <w:r w:rsidRPr="00AD4173">
        <w:rPr>
          <w:rFonts w:ascii="Aptos" w:eastAsia="Aptos" w:hAnsi="Aptos" w:cs="Times New Roman"/>
          <w:sz w:val="21"/>
          <w:szCs w:val="21"/>
        </w:rPr>
        <w:t>Háskólaútgáfan</w:t>
      </w:r>
      <w:proofErr w:type="spellEnd"/>
      <w:r w:rsidRPr="00AD4173">
        <w:rPr>
          <w:rFonts w:ascii="Aptos" w:eastAsia="Aptos" w:hAnsi="Aptos" w:cs="Times New Roman"/>
          <w:sz w:val="21"/>
          <w:szCs w:val="21"/>
        </w:rPr>
        <w:t>.</w:t>
      </w:r>
    </w:p>
    <w:p w14:paraId="295F64E4"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Sigurjónsdóttir, H. B., &amp; Rice, J. (2018). ‘Evidence’ of Neglect as a Form of Structural Violence: Parents with Intellectual Disabilities and Custody Deprivation. </w:t>
      </w:r>
      <w:r w:rsidRPr="00AD4173">
        <w:rPr>
          <w:rFonts w:ascii="Aptos" w:eastAsia="Aptos" w:hAnsi="Aptos" w:cs="Times New Roman"/>
          <w:i/>
          <w:iCs/>
          <w:sz w:val="21"/>
          <w:szCs w:val="21"/>
        </w:rPr>
        <w:t>Social Inclusion</w:t>
      </w:r>
      <w:r w:rsidRPr="00AD4173">
        <w:rPr>
          <w:rFonts w:ascii="Aptos" w:eastAsia="Aptos" w:hAnsi="Aptos" w:cs="Times New Roman"/>
          <w:sz w:val="21"/>
          <w:szCs w:val="21"/>
        </w:rPr>
        <w:t xml:space="preserve">, 6(2), 66-73, </w:t>
      </w:r>
      <w:hyperlink r:id="rId59" w:history="1">
        <w:r w:rsidRPr="00AD4173">
          <w:rPr>
            <w:rFonts w:ascii="Aptos" w:eastAsia="Aptos" w:hAnsi="Aptos" w:cs="Times New Roman"/>
            <w:color w:val="467886"/>
            <w:sz w:val="21"/>
            <w:szCs w:val="21"/>
            <w:u w:val="single"/>
          </w:rPr>
          <w:t>https://doi.org/10.17645/si.v6i2.1344</w:t>
        </w:r>
      </w:hyperlink>
      <w:r w:rsidRPr="00AD4173">
        <w:rPr>
          <w:rFonts w:ascii="Aptos" w:eastAsia="Aptos" w:hAnsi="Aptos" w:cs="Times New Roman"/>
          <w:sz w:val="21"/>
          <w:szCs w:val="21"/>
        </w:rPr>
        <w:t xml:space="preserve"> </w:t>
      </w:r>
    </w:p>
    <w:p w14:paraId="4BAE5705"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Sigurjónsdóttir, H. B., &amp; Rice, J. G. (2020). The weight of history: child protection and parenting with a disability in 20th Century Iceland. </w:t>
      </w:r>
      <w:r w:rsidRPr="00AD4173">
        <w:rPr>
          <w:rFonts w:ascii="Aptos" w:eastAsia="Aptos" w:hAnsi="Aptos" w:cs="Times New Roman"/>
          <w:i/>
          <w:iCs/>
          <w:sz w:val="21"/>
          <w:szCs w:val="21"/>
        </w:rPr>
        <w:t>History of the Family</w:t>
      </w:r>
      <w:r w:rsidRPr="00AD4173">
        <w:rPr>
          <w:rFonts w:ascii="Aptos" w:eastAsia="Aptos" w:hAnsi="Aptos" w:cs="Times New Roman"/>
          <w:sz w:val="21"/>
          <w:szCs w:val="21"/>
        </w:rPr>
        <w:t xml:space="preserve">, 25(2), 214-229. </w:t>
      </w:r>
      <w:hyperlink r:id="rId60" w:history="1">
        <w:r w:rsidRPr="00AD4173">
          <w:rPr>
            <w:rFonts w:ascii="Aptos" w:eastAsia="Aptos" w:hAnsi="Aptos" w:cs="Times New Roman"/>
            <w:color w:val="467886"/>
            <w:sz w:val="21"/>
            <w:szCs w:val="21"/>
            <w:u w:val="single"/>
          </w:rPr>
          <w:t>https://doi.org/10.1080/1081602X.2020.1751236</w:t>
        </w:r>
      </w:hyperlink>
    </w:p>
    <w:p w14:paraId="7A4D2CA3"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Sigurjónsdóttir, H. B., &amp; Rice, J. G. (2021). </w:t>
      </w:r>
      <w:r w:rsidRPr="00AD4173">
        <w:rPr>
          <w:rFonts w:ascii="Aptos" w:eastAsia="Aptos" w:hAnsi="Aptos" w:cs="Times New Roman"/>
          <w:i/>
          <w:iCs/>
          <w:sz w:val="21"/>
          <w:szCs w:val="21"/>
        </w:rPr>
        <w:t>Understanding Disability Throughout History: Interdisciplinary Perspectives in Iceland from Settlement to 1936</w:t>
      </w:r>
      <w:r w:rsidRPr="00AD4173">
        <w:rPr>
          <w:rFonts w:ascii="Aptos" w:eastAsia="Aptos" w:hAnsi="Aptos" w:cs="Times New Roman"/>
          <w:sz w:val="21"/>
          <w:szCs w:val="21"/>
        </w:rPr>
        <w:t xml:space="preserve">. Routledge Taylor &amp; Francis Group. </w:t>
      </w:r>
      <w:hyperlink r:id="rId61" w:history="1">
        <w:r w:rsidRPr="00AD4173">
          <w:rPr>
            <w:rFonts w:ascii="Aptos" w:eastAsia="Aptos" w:hAnsi="Aptos" w:cs="Times New Roman"/>
            <w:color w:val="467886"/>
            <w:sz w:val="21"/>
            <w:szCs w:val="21"/>
            <w:u w:val="single"/>
          </w:rPr>
          <w:t>https://doi.org/10.4324/9781003180180</w:t>
        </w:r>
      </w:hyperlink>
      <w:r w:rsidRPr="00AD4173">
        <w:rPr>
          <w:rFonts w:ascii="Aptos" w:eastAsia="Aptos" w:hAnsi="Aptos" w:cs="Times New Roman"/>
          <w:sz w:val="21"/>
          <w:szCs w:val="21"/>
        </w:rPr>
        <w:t xml:space="preserve"> </w:t>
      </w:r>
    </w:p>
    <w:p w14:paraId="7DB6508A"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Sigurjónsdóttir, H. B., &amp; Rice, J. G. (2023). “Alleged Disabilities”: The Evolving Tactics of Child Protection in a Disability Rights Environment. </w:t>
      </w:r>
      <w:r w:rsidRPr="00AD4173">
        <w:rPr>
          <w:rFonts w:ascii="Aptos" w:eastAsia="Aptos" w:hAnsi="Aptos" w:cs="Times New Roman"/>
          <w:i/>
          <w:iCs/>
          <w:sz w:val="21"/>
          <w:szCs w:val="21"/>
        </w:rPr>
        <w:t>Laws,</w:t>
      </w:r>
      <w:r w:rsidRPr="00AD4173">
        <w:rPr>
          <w:rFonts w:ascii="Aptos" w:eastAsia="Aptos" w:hAnsi="Aptos" w:cs="Times New Roman"/>
          <w:sz w:val="21"/>
          <w:szCs w:val="21"/>
        </w:rPr>
        <w:t xml:space="preserve"> 12(2), Article 30. </w:t>
      </w:r>
      <w:hyperlink r:id="rId62" w:history="1">
        <w:r w:rsidRPr="00AD4173">
          <w:rPr>
            <w:rFonts w:ascii="Aptos" w:eastAsia="Aptos" w:hAnsi="Aptos" w:cs="Times New Roman"/>
            <w:color w:val="467886"/>
            <w:sz w:val="21"/>
            <w:szCs w:val="21"/>
            <w:u w:val="single"/>
          </w:rPr>
          <w:t>https://doi.org/10.3390/laws12020030</w:t>
        </w:r>
      </w:hyperlink>
      <w:r w:rsidRPr="00AD4173">
        <w:rPr>
          <w:rFonts w:ascii="Aptos" w:eastAsia="Aptos" w:hAnsi="Aptos" w:cs="Times New Roman"/>
          <w:sz w:val="21"/>
          <w:szCs w:val="21"/>
        </w:rPr>
        <w:t xml:space="preserve"> </w:t>
      </w:r>
    </w:p>
    <w:p w14:paraId="563CAA8E"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Sigurjónsdóttir, H. B., &amp; Rice, J. G. (2025). Can Systematic Justice Be Achieved for Parents with Intellectual Disabilities in Deprivation of Custody Cases? </w:t>
      </w:r>
      <w:r w:rsidRPr="00AD4173">
        <w:rPr>
          <w:rFonts w:ascii="Aptos" w:eastAsia="Aptos" w:hAnsi="Aptos" w:cs="Times New Roman"/>
          <w:i/>
          <w:iCs/>
          <w:sz w:val="21"/>
          <w:szCs w:val="21"/>
        </w:rPr>
        <w:t>Disabilities</w:t>
      </w:r>
      <w:r w:rsidRPr="00AD4173">
        <w:rPr>
          <w:rFonts w:ascii="Aptos" w:eastAsia="Aptos" w:hAnsi="Aptos" w:cs="Times New Roman"/>
          <w:sz w:val="21"/>
          <w:szCs w:val="21"/>
        </w:rPr>
        <w:t xml:space="preserve">, 5(1), Article 22. </w:t>
      </w:r>
      <w:hyperlink r:id="rId63" w:history="1">
        <w:r w:rsidRPr="00AD4173">
          <w:rPr>
            <w:rFonts w:ascii="Aptos" w:eastAsia="Aptos" w:hAnsi="Aptos" w:cs="Times New Roman"/>
            <w:color w:val="467886"/>
            <w:sz w:val="21"/>
            <w:szCs w:val="21"/>
            <w:u w:val="single"/>
          </w:rPr>
          <w:t>https://doi.org/10.3390/disabilities5010022</w:t>
        </w:r>
      </w:hyperlink>
      <w:r w:rsidRPr="00AD4173">
        <w:rPr>
          <w:rFonts w:ascii="Aptos" w:eastAsia="Aptos" w:hAnsi="Aptos" w:cs="Times New Roman"/>
          <w:sz w:val="21"/>
          <w:szCs w:val="21"/>
        </w:rPr>
        <w:t xml:space="preserve"> </w:t>
      </w:r>
    </w:p>
    <w:p w14:paraId="7067DD21"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Sigurjónsdóttir, H. B., Harwick, R., &amp; Rice, J. (2019). Balancing the scales: Custody deprivation and fostering in Iceland. </w:t>
      </w:r>
      <w:r w:rsidRPr="00AD4173">
        <w:rPr>
          <w:rFonts w:ascii="Aptos" w:eastAsia="Aptos" w:hAnsi="Aptos" w:cs="Times New Roman"/>
          <w:i/>
          <w:iCs/>
          <w:sz w:val="21"/>
          <w:szCs w:val="21"/>
        </w:rPr>
        <w:t>International Social Work</w:t>
      </w:r>
      <w:r w:rsidRPr="00AD4173">
        <w:rPr>
          <w:rFonts w:ascii="Aptos" w:eastAsia="Aptos" w:hAnsi="Aptos" w:cs="Times New Roman"/>
          <w:sz w:val="21"/>
          <w:szCs w:val="21"/>
        </w:rPr>
        <w:t xml:space="preserve">, 62(4), 1304-1309. </w:t>
      </w:r>
      <w:hyperlink r:id="rId64" w:history="1">
        <w:r w:rsidRPr="00AD4173">
          <w:rPr>
            <w:rFonts w:ascii="Aptos" w:eastAsia="Aptos" w:hAnsi="Aptos" w:cs="Times New Roman"/>
            <w:color w:val="467886"/>
            <w:sz w:val="21"/>
            <w:szCs w:val="21"/>
            <w:u w:val="single"/>
          </w:rPr>
          <w:t>https://doi.org/10.1177/0020872818819045</w:t>
        </w:r>
      </w:hyperlink>
      <w:r w:rsidRPr="00AD4173">
        <w:rPr>
          <w:rFonts w:ascii="Aptos" w:eastAsia="Aptos" w:hAnsi="Aptos" w:cs="Times New Roman"/>
          <w:sz w:val="21"/>
          <w:szCs w:val="21"/>
        </w:rPr>
        <w:t xml:space="preserve"> </w:t>
      </w:r>
    </w:p>
    <w:p w14:paraId="5B9B2922" w14:textId="77777777" w:rsidR="00AE4520" w:rsidRPr="00AD4173" w:rsidRDefault="00AE4520" w:rsidP="00AE4520">
      <w:pPr>
        <w:ind w:hanging="288"/>
        <w:jc w:val="both"/>
        <w:rPr>
          <w:rFonts w:ascii="Aptos" w:eastAsia="Aptos" w:hAnsi="Aptos" w:cs="Times New Roman"/>
          <w:sz w:val="21"/>
          <w:szCs w:val="21"/>
        </w:rPr>
      </w:pPr>
      <w:proofErr w:type="spellStart"/>
      <w:r w:rsidRPr="00AD4173">
        <w:rPr>
          <w:rFonts w:ascii="Aptos" w:eastAsia="Aptos" w:hAnsi="Aptos" w:cs="Times New Roman"/>
          <w:sz w:val="21"/>
          <w:szCs w:val="21"/>
        </w:rPr>
        <w:t>Skaptadóttir</w:t>
      </w:r>
      <w:proofErr w:type="spellEnd"/>
      <w:r w:rsidRPr="00AD4173">
        <w:rPr>
          <w:rFonts w:ascii="Aptos" w:eastAsia="Aptos" w:hAnsi="Aptos" w:cs="Times New Roman"/>
          <w:sz w:val="21"/>
          <w:szCs w:val="21"/>
        </w:rPr>
        <w:t xml:space="preserve">, U. D., Ottósdóttir, G., &amp; Egilson, S. Þ. (2020). Migrant Families with Disabled Children: "I came here to make my family situation better.". In K. Loftsdóttir, U. D. </w:t>
      </w:r>
      <w:proofErr w:type="spellStart"/>
      <w:r w:rsidRPr="00AD4173">
        <w:rPr>
          <w:rFonts w:ascii="Aptos" w:eastAsia="Aptos" w:hAnsi="Aptos" w:cs="Times New Roman"/>
          <w:sz w:val="21"/>
          <w:szCs w:val="21"/>
        </w:rPr>
        <w:t>Skaptadóttir</w:t>
      </w:r>
      <w:proofErr w:type="spellEnd"/>
      <w:r w:rsidRPr="00AD4173">
        <w:rPr>
          <w:rFonts w:ascii="Aptos" w:eastAsia="Aptos" w:hAnsi="Aptos" w:cs="Times New Roman"/>
          <w:sz w:val="21"/>
          <w:szCs w:val="21"/>
        </w:rPr>
        <w:t xml:space="preserve">, &amp; S. B. Hafsteinsson (Eds.), </w:t>
      </w:r>
      <w:r w:rsidRPr="00AD4173">
        <w:rPr>
          <w:rFonts w:ascii="Aptos" w:eastAsia="Aptos" w:hAnsi="Aptos" w:cs="Times New Roman"/>
          <w:i/>
          <w:iCs/>
          <w:sz w:val="21"/>
          <w:szCs w:val="21"/>
        </w:rPr>
        <w:t>Mobility and Transnational Iceland. Current Transformation and Global Entanglements</w:t>
      </w:r>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Háskólaútgáfan</w:t>
      </w:r>
      <w:proofErr w:type="spellEnd"/>
      <w:r w:rsidRPr="00AD4173">
        <w:rPr>
          <w:rFonts w:ascii="Aptos" w:eastAsia="Aptos" w:hAnsi="Aptos" w:cs="Times New Roman"/>
          <w:sz w:val="21"/>
          <w:szCs w:val="21"/>
        </w:rPr>
        <w:t>.</w:t>
      </w:r>
    </w:p>
    <w:p w14:paraId="6A85D7CA" w14:textId="77777777" w:rsidR="00AE4520" w:rsidRPr="00AD4173" w:rsidRDefault="00AE4520" w:rsidP="00AE4520">
      <w:pPr>
        <w:ind w:hanging="288"/>
        <w:jc w:val="both"/>
        <w:rPr>
          <w:rFonts w:ascii="Aptos" w:eastAsia="Aptos" w:hAnsi="Aptos" w:cs="Times New Roman"/>
          <w:sz w:val="21"/>
          <w:szCs w:val="21"/>
        </w:rPr>
      </w:pPr>
      <w:proofErr w:type="spellStart"/>
      <w:r w:rsidRPr="00AD4173">
        <w:rPr>
          <w:rFonts w:ascii="Aptos" w:eastAsia="Aptos" w:hAnsi="Aptos" w:cs="Times New Roman"/>
          <w:sz w:val="21"/>
          <w:szCs w:val="21"/>
        </w:rPr>
        <w:t>Snæfríðar</w:t>
      </w:r>
      <w:proofErr w:type="spellEnd"/>
      <w:r w:rsidRPr="00AD4173">
        <w:rPr>
          <w:rFonts w:ascii="Aptos" w:eastAsia="Aptos" w:hAnsi="Aptos" w:cs="Times New Roman"/>
          <w:sz w:val="21"/>
          <w:szCs w:val="21"/>
        </w:rPr>
        <w:t xml:space="preserve"> Gunnarsdóttir, H. (2021). </w:t>
      </w:r>
      <w:r w:rsidRPr="00AD4173">
        <w:rPr>
          <w:rFonts w:ascii="Aptos" w:eastAsia="Aptos" w:hAnsi="Aptos" w:cs="Times New Roman"/>
          <w:i/>
          <w:iCs/>
          <w:sz w:val="21"/>
          <w:szCs w:val="21"/>
        </w:rPr>
        <w:t>Prevalence of violence against disabled women in Iceland: An intersectional approach to access to justice</w:t>
      </w:r>
      <w:r w:rsidRPr="00AD4173">
        <w:rPr>
          <w:rFonts w:ascii="Aptos" w:eastAsia="Aptos" w:hAnsi="Aptos" w:cs="Times New Roman"/>
          <w:sz w:val="21"/>
          <w:szCs w:val="21"/>
        </w:rPr>
        <w:t xml:space="preserve"> (M.Phil. thesis). University of Iceland, </w:t>
      </w:r>
    </w:p>
    <w:p w14:paraId="2BB44371" w14:textId="77777777" w:rsidR="00AE4520" w:rsidRPr="00AD4173" w:rsidRDefault="00AE4520" w:rsidP="00AE4520">
      <w:pPr>
        <w:ind w:hanging="288"/>
        <w:jc w:val="both"/>
        <w:rPr>
          <w:rFonts w:ascii="Aptos" w:eastAsia="Aptos" w:hAnsi="Aptos" w:cs="Times New Roman"/>
          <w:sz w:val="21"/>
          <w:szCs w:val="21"/>
        </w:rPr>
      </w:pPr>
      <w:proofErr w:type="spellStart"/>
      <w:r w:rsidRPr="00AD4173">
        <w:rPr>
          <w:rFonts w:ascii="Aptos" w:eastAsia="Aptos" w:hAnsi="Aptos" w:cs="Times New Roman"/>
          <w:sz w:val="21"/>
          <w:szCs w:val="21"/>
        </w:rPr>
        <w:t>Snæfríðar</w:t>
      </w:r>
      <w:proofErr w:type="spellEnd"/>
      <w:r w:rsidRPr="00AD4173">
        <w:rPr>
          <w:rFonts w:ascii="Aptos" w:eastAsia="Aptos" w:hAnsi="Aptos" w:cs="Times New Roman"/>
          <w:sz w:val="21"/>
          <w:szCs w:val="21"/>
        </w:rPr>
        <w:t xml:space="preserve">- Gunnarsdóttir, H., Ólafsdóttir, T., &amp; Björnsdóttir, K. (2023). Risky Obliviousness Within Fragmented Services: Experiences of Families </w:t>
      </w:r>
      <w:proofErr w:type="gramStart"/>
      <w:r w:rsidRPr="00AD4173">
        <w:rPr>
          <w:rFonts w:ascii="Aptos" w:eastAsia="Aptos" w:hAnsi="Aptos" w:cs="Times New Roman"/>
          <w:sz w:val="21"/>
          <w:szCs w:val="21"/>
        </w:rPr>
        <w:t>With</w:t>
      </w:r>
      <w:proofErr w:type="gramEnd"/>
      <w:r w:rsidRPr="00AD4173">
        <w:rPr>
          <w:rFonts w:ascii="Aptos" w:eastAsia="Aptos" w:hAnsi="Aptos" w:cs="Times New Roman"/>
          <w:sz w:val="21"/>
          <w:szCs w:val="21"/>
        </w:rPr>
        <w:t xml:space="preserve"> Disabled Children During the Covid</w:t>
      </w:r>
      <w:r w:rsidRPr="00AD4173">
        <w:rPr>
          <w:rFonts w:ascii="Cambria Math" w:eastAsia="Aptos" w:hAnsi="Cambria Math" w:cs="Cambria Math"/>
          <w:sz w:val="21"/>
          <w:szCs w:val="21"/>
        </w:rPr>
        <w:t>‐</w:t>
      </w:r>
      <w:r w:rsidRPr="00AD4173">
        <w:rPr>
          <w:rFonts w:ascii="Aptos" w:eastAsia="Aptos" w:hAnsi="Aptos" w:cs="Times New Roman"/>
          <w:sz w:val="21"/>
          <w:szCs w:val="21"/>
        </w:rPr>
        <w:t xml:space="preserve">19 Pandemic. </w:t>
      </w:r>
      <w:r w:rsidRPr="00AD4173">
        <w:rPr>
          <w:rFonts w:ascii="Aptos" w:eastAsia="Aptos" w:hAnsi="Aptos" w:cs="Times New Roman"/>
          <w:i/>
          <w:iCs/>
          <w:sz w:val="21"/>
          <w:szCs w:val="21"/>
        </w:rPr>
        <w:t>Social Inclusion</w:t>
      </w:r>
      <w:r w:rsidRPr="00AD4173">
        <w:rPr>
          <w:rFonts w:ascii="Aptos" w:eastAsia="Aptos" w:hAnsi="Aptos" w:cs="Times New Roman"/>
          <w:sz w:val="21"/>
          <w:szCs w:val="21"/>
        </w:rPr>
        <w:t xml:space="preserve">, 11(1), 5-15. </w:t>
      </w:r>
      <w:hyperlink r:id="rId65" w:history="1">
        <w:r w:rsidRPr="00AD4173">
          <w:rPr>
            <w:rFonts w:ascii="Aptos" w:eastAsia="Aptos" w:hAnsi="Aptos" w:cs="Times New Roman"/>
            <w:color w:val="467886"/>
            <w:sz w:val="21"/>
            <w:szCs w:val="21"/>
            <w:u w:val="single"/>
          </w:rPr>
          <w:t>https://doi.org/10.17645/si.v11i1.5642</w:t>
        </w:r>
      </w:hyperlink>
      <w:r w:rsidRPr="00AD4173">
        <w:rPr>
          <w:rFonts w:ascii="Aptos" w:eastAsia="Aptos" w:hAnsi="Aptos" w:cs="Times New Roman"/>
          <w:sz w:val="21"/>
          <w:szCs w:val="21"/>
        </w:rPr>
        <w:t xml:space="preserve">. </w:t>
      </w:r>
    </w:p>
    <w:p w14:paraId="3D8BFE79" w14:textId="77777777" w:rsidR="00AE4520" w:rsidRPr="00AD4173" w:rsidRDefault="00AE4520" w:rsidP="00AE4520">
      <w:pPr>
        <w:ind w:hanging="288"/>
        <w:jc w:val="both"/>
        <w:rPr>
          <w:rFonts w:ascii="Aptos" w:eastAsia="Aptos" w:hAnsi="Aptos" w:cs="Times New Roman"/>
          <w:sz w:val="21"/>
          <w:szCs w:val="21"/>
        </w:rPr>
      </w:pPr>
      <w:proofErr w:type="spellStart"/>
      <w:r w:rsidRPr="00AD4173">
        <w:rPr>
          <w:rFonts w:ascii="Aptos" w:eastAsia="Aptos" w:hAnsi="Aptos" w:cs="Times New Roman"/>
          <w:sz w:val="21"/>
          <w:szCs w:val="21"/>
        </w:rPr>
        <w:t>Snæfríðar</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og</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Gunnarsdótir</w:t>
      </w:r>
      <w:proofErr w:type="spellEnd"/>
      <w:r w:rsidRPr="00AD4173">
        <w:rPr>
          <w:rFonts w:ascii="Aptos" w:eastAsia="Aptos" w:hAnsi="Aptos" w:cs="Times New Roman"/>
          <w:sz w:val="21"/>
          <w:szCs w:val="21"/>
        </w:rPr>
        <w:t xml:space="preserve">, Hrafnhildur &amp; Jóhannsdóttir, Ásta &amp; Haraldsdóttir, Freyja. (2025). "I think they consider themselves free from all responsibility". User Perspectives on Neoliberal Undermining of Welfare Services During the Pandemic. </w:t>
      </w:r>
      <w:r w:rsidRPr="00AD4173">
        <w:rPr>
          <w:rFonts w:ascii="Aptos" w:eastAsia="Aptos" w:hAnsi="Aptos" w:cs="Times New Roman"/>
          <w:i/>
          <w:iCs/>
          <w:sz w:val="21"/>
          <w:szCs w:val="21"/>
        </w:rPr>
        <w:t xml:space="preserve">Nordisk </w:t>
      </w:r>
      <w:proofErr w:type="spellStart"/>
      <w:r w:rsidRPr="00AD4173">
        <w:rPr>
          <w:rFonts w:ascii="Aptos" w:eastAsia="Aptos" w:hAnsi="Aptos" w:cs="Times New Roman"/>
          <w:i/>
          <w:iCs/>
          <w:sz w:val="21"/>
          <w:szCs w:val="21"/>
        </w:rPr>
        <w:t>välfärdsforskning</w:t>
      </w:r>
      <w:proofErr w:type="spellEnd"/>
      <w:r w:rsidRPr="00AD4173">
        <w:rPr>
          <w:rFonts w:ascii="Aptos" w:eastAsia="Aptos" w:hAnsi="Aptos" w:cs="Times New Roman"/>
          <w:i/>
          <w:iCs/>
          <w:sz w:val="21"/>
          <w:szCs w:val="21"/>
        </w:rPr>
        <w:t xml:space="preserve"> | Nordic Welfare Research</w:t>
      </w:r>
      <w:r w:rsidRPr="00AD4173">
        <w:rPr>
          <w:rFonts w:ascii="Aptos" w:eastAsia="Aptos" w:hAnsi="Aptos" w:cs="Times New Roman"/>
          <w:sz w:val="21"/>
          <w:szCs w:val="21"/>
        </w:rPr>
        <w:t xml:space="preserve">. 10. 1-14. </w:t>
      </w:r>
    </w:p>
    <w:p w14:paraId="3EAE392E" w14:textId="77777777" w:rsidR="00AE4520" w:rsidRPr="00AD4173" w:rsidRDefault="00AE4520" w:rsidP="00AE4520">
      <w:pPr>
        <w:ind w:hanging="288"/>
        <w:jc w:val="both"/>
        <w:rPr>
          <w:rFonts w:ascii="Aptos" w:eastAsia="Aptos" w:hAnsi="Aptos" w:cs="Times New Roman"/>
          <w:sz w:val="21"/>
          <w:szCs w:val="21"/>
        </w:rPr>
      </w:pPr>
      <w:proofErr w:type="spellStart"/>
      <w:r w:rsidRPr="00AD4173">
        <w:rPr>
          <w:rFonts w:ascii="Aptos" w:eastAsia="Aptos" w:hAnsi="Aptos" w:cs="Times New Roman"/>
          <w:sz w:val="21"/>
          <w:szCs w:val="21"/>
        </w:rPr>
        <w:t>Snæfríðar</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og</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Gunnarsdótir</w:t>
      </w:r>
      <w:proofErr w:type="spellEnd"/>
      <w:r w:rsidRPr="00AD4173">
        <w:rPr>
          <w:rFonts w:ascii="Aptos" w:eastAsia="Aptos" w:hAnsi="Aptos" w:cs="Times New Roman"/>
          <w:sz w:val="21"/>
          <w:szCs w:val="21"/>
        </w:rPr>
        <w:t xml:space="preserve">, Hrafnhildur. (2019). </w:t>
      </w:r>
      <w:proofErr w:type="spellStart"/>
      <w:r w:rsidRPr="00AD4173">
        <w:rPr>
          <w:rFonts w:ascii="Aptos" w:eastAsia="Aptos" w:hAnsi="Aptos" w:cs="Times New Roman"/>
          <w:i/>
          <w:iCs/>
          <w:sz w:val="21"/>
          <w:szCs w:val="21"/>
        </w:rPr>
        <w:t>Sérfræðihópur</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fatlaðra</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barna</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Samantekt</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úr</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umræðum</w:t>
      </w:r>
      <w:proofErr w:type="spellEnd"/>
      <w:r w:rsidRPr="00AD4173">
        <w:rPr>
          <w:rFonts w:ascii="Aptos" w:eastAsia="Aptos" w:hAnsi="Aptos" w:cs="Times New Roman"/>
          <w:i/>
          <w:iCs/>
          <w:sz w:val="21"/>
          <w:szCs w:val="21"/>
        </w:rPr>
        <w:t>.</w:t>
      </w:r>
    </w:p>
    <w:p w14:paraId="3CD46FA7" w14:textId="77777777" w:rsidR="00AE4520" w:rsidRPr="00AD4173" w:rsidRDefault="00AE4520" w:rsidP="00AE4520">
      <w:pPr>
        <w:ind w:hanging="288"/>
        <w:jc w:val="both"/>
        <w:rPr>
          <w:rFonts w:ascii="Aptos" w:eastAsia="Aptos" w:hAnsi="Aptos" w:cs="Times New Roman"/>
          <w:sz w:val="21"/>
          <w:szCs w:val="21"/>
        </w:rPr>
      </w:pPr>
      <w:proofErr w:type="spellStart"/>
      <w:r w:rsidRPr="00AD4173">
        <w:rPr>
          <w:rFonts w:ascii="Aptos" w:eastAsia="Aptos" w:hAnsi="Aptos" w:cs="Times New Roman"/>
          <w:sz w:val="21"/>
          <w:szCs w:val="21"/>
        </w:rPr>
        <w:lastRenderedPageBreak/>
        <w:t>Snæfríðar</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og</w:t>
      </w:r>
      <w:proofErr w:type="spellEnd"/>
      <w:r w:rsidRPr="00AD4173">
        <w:rPr>
          <w:rFonts w:ascii="Aptos" w:eastAsia="Aptos" w:hAnsi="Aptos" w:cs="Times New Roman"/>
          <w:sz w:val="21"/>
          <w:szCs w:val="21"/>
        </w:rPr>
        <w:t xml:space="preserve"> Gunnarsdóttir, H. and Löve, L.E. (2024) ‘Rights in Crisis: Lived Experience as Knowledge in Policy Development During the COVID-19 Pandemic’, </w:t>
      </w:r>
      <w:r w:rsidRPr="00AD4173">
        <w:rPr>
          <w:rFonts w:ascii="Aptos" w:eastAsia="Aptos" w:hAnsi="Aptos" w:cs="Times New Roman"/>
          <w:i/>
          <w:iCs/>
          <w:sz w:val="21"/>
          <w:szCs w:val="21"/>
        </w:rPr>
        <w:t>Scandinavian Journal of Disability Research</w:t>
      </w:r>
      <w:r w:rsidRPr="00AD4173">
        <w:rPr>
          <w:rFonts w:ascii="Aptos" w:eastAsia="Aptos" w:hAnsi="Aptos" w:cs="Times New Roman"/>
          <w:sz w:val="21"/>
          <w:szCs w:val="21"/>
        </w:rPr>
        <w:t xml:space="preserve">, 26(1), p. 380–392. </w:t>
      </w:r>
      <w:hyperlink r:id="rId66" w:history="1">
        <w:r w:rsidRPr="00AD4173">
          <w:rPr>
            <w:rFonts w:ascii="Aptos" w:eastAsia="Aptos" w:hAnsi="Aptos" w:cs="Times New Roman"/>
            <w:color w:val="467886"/>
            <w:sz w:val="21"/>
            <w:szCs w:val="21"/>
            <w:u w:val="single"/>
          </w:rPr>
          <w:t>https://doi.org/10.16993/sjdr.1062</w:t>
        </w:r>
      </w:hyperlink>
      <w:r w:rsidRPr="00AD4173">
        <w:rPr>
          <w:rFonts w:ascii="Aptos" w:eastAsia="Aptos" w:hAnsi="Aptos" w:cs="Times New Roman"/>
          <w:sz w:val="21"/>
          <w:szCs w:val="21"/>
        </w:rPr>
        <w:t xml:space="preserve">.  </w:t>
      </w:r>
    </w:p>
    <w:p w14:paraId="3CCC409F" w14:textId="77777777" w:rsidR="00AE4520" w:rsidRPr="00AD4173" w:rsidRDefault="00AE4520" w:rsidP="00AE4520">
      <w:pPr>
        <w:ind w:hanging="288"/>
        <w:jc w:val="both"/>
        <w:rPr>
          <w:rFonts w:ascii="Aptos" w:eastAsia="Aptos" w:hAnsi="Aptos" w:cs="Times New Roman"/>
          <w:sz w:val="21"/>
          <w:szCs w:val="21"/>
        </w:rPr>
      </w:pPr>
      <w:proofErr w:type="spellStart"/>
      <w:r w:rsidRPr="00AD4173">
        <w:rPr>
          <w:rFonts w:ascii="Aptos" w:eastAsia="Aptos" w:hAnsi="Aptos" w:cs="Times New Roman"/>
          <w:sz w:val="21"/>
          <w:szCs w:val="21"/>
        </w:rPr>
        <w:t>Snæfríðar</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og</w:t>
      </w:r>
      <w:proofErr w:type="spellEnd"/>
      <w:r w:rsidRPr="00AD4173">
        <w:rPr>
          <w:rFonts w:ascii="Aptos" w:eastAsia="Aptos" w:hAnsi="Aptos" w:cs="Times New Roman"/>
          <w:sz w:val="21"/>
          <w:szCs w:val="21"/>
        </w:rPr>
        <w:t xml:space="preserve"> Gunnarsdóttir, H., Ólafsdóttir, T., &amp; Björnsdóttir, K. (2023). Risky Obliviousness Within Fragmented Services: Experiences of Families </w:t>
      </w:r>
      <w:proofErr w:type="gramStart"/>
      <w:r w:rsidRPr="00AD4173">
        <w:rPr>
          <w:rFonts w:ascii="Aptos" w:eastAsia="Aptos" w:hAnsi="Aptos" w:cs="Times New Roman"/>
          <w:sz w:val="21"/>
          <w:szCs w:val="21"/>
        </w:rPr>
        <w:t>With</w:t>
      </w:r>
      <w:proofErr w:type="gramEnd"/>
      <w:r w:rsidRPr="00AD4173">
        <w:rPr>
          <w:rFonts w:ascii="Aptos" w:eastAsia="Aptos" w:hAnsi="Aptos" w:cs="Times New Roman"/>
          <w:sz w:val="21"/>
          <w:szCs w:val="21"/>
        </w:rPr>
        <w:t xml:space="preserve"> Disabled Children During the Covid</w:t>
      </w:r>
      <w:r w:rsidRPr="00AD4173">
        <w:rPr>
          <w:rFonts w:ascii="Cambria Math" w:eastAsia="Aptos" w:hAnsi="Cambria Math" w:cs="Cambria Math"/>
          <w:sz w:val="21"/>
          <w:szCs w:val="21"/>
        </w:rPr>
        <w:t>‐</w:t>
      </w:r>
      <w:r w:rsidRPr="00AD4173">
        <w:rPr>
          <w:rFonts w:ascii="Aptos" w:eastAsia="Aptos" w:hAnsi="Aptos" w:cs="Times New Roman"/>
          <w:sz w:val="21"/>
          <w:szCs w:val="21"/>
        </w:rPr>
        <w:t xml:space="preserve">19 Pandemic. </w:t>
      </w:r>
      <w:r w:rsidRPr="00AD4173">
        <w:rPr>
          <w:rFonts w:ascii="Aptos" w:eastAsia="Aptos" w:hAnsi="Aptos" w:cs="Times New Roman"/>
          <w:i/>
          <w:iCs/>
          <w:sz w:val="21"/>
          <w:szCs w:val="21"/>
        </w:rPr>
        <w:t>Social Inclusion</w:t>
      </w:r>
      <w:r w:rsidRPr="00AD4173">
        <w:rPr>
          <w:rFonts w:ascii="Aptos" w:eastAsia="Aptos" w:hAnsi="Aptos" w:cs="Times New Roman"/>
          <w:sz w:val="21"/>
          <w:szCs w:val="21"/>
        </w:rPr>
        <w:t xml:space="preserve">, 11(1), 5-15. </w:t>
      </w:r>
      <w:hyperlink r:id="rId67" w:history="1">
        <w:r w:rsidRPr="00AD4173">
          <w:rPr>
            <w:rFonts w:ascii="Aptos" w:eastAsia="Aptos" w:hAnsi="Aptos" w:cs="Times New Roman"/>
            <w:color w:val="467886"/>
            <w:sz w:val="21"/>
            <w:szCs w:val="21"/>
            <w:u w:val="single"/>
          </w:rPr>
          <w:t>https://doi.org/10.17645/si.v11i1.5642</w:t>
        </w:r>
      </w:hyperlink>
      <w:r w:rsidRPr="00AD4173">
        <w:rPr>
          <w:rFonts w:ascii="Aptos" w:eastAsia="Aptos" w:hAnsi="Aptos" w:cs="Times New Roman"/>
          <w:sz w:val="21"/>
          <w:szCs w:val="21"/>
        </w:rPr>
        <w:t xml:space="preserve"> </w:t>
      </w:r>
    </w:p>
    <w:p w14:paraId="02D7DD45" w14:textId="77777777" w:rsidR="00AE4520" w:rsidRPr="00AD4173" w:rsidRDefault="00AE4520" w:rsidP="00AE4520">
      <w:pPr>
        <w:ind w:hanging="288"/>
        <w:jc w:val="both"/>
        <w:rPr>
          <w:rFonts w:ascii="Aptos" w:eastAsia="Aptos" w:hAnsi="Aptos" w:cs="Times New Roman"/>
          <w:sz w:val="21"/>
          <w:szCs w:val="21"/>
        </w:rPr>
      </w:pPr>
      <w:proofErr w:type="spellStart"/>
      <w:r w:rsidRPr="00AD4173">
        <w:rPr>
          <w:rFonts w:ascii="Aptos" w:eastAsia="Aptos" w:hAnsi="Aptos" w:cs="Times New Roman"/>
          <w:sz w:val="21"/>
          <w:szCs w:val="21"/>
        </w:rPr>
        <w:t>Snæfríðar</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og</w:t>
      </w:r>
      <w:proofErr w:type="spellEnd"/>
      <w:r w:rsidRPr="00AD4173">
        <w:rPr>
          <w:rFonts w:ascii="Aptos" w:eastAsia="Aptos" w:hAnsi="Aptos" w:cs="Times New Roman"/>
          <w:sz w:val="21"/>
          <w:szCs w:val="21"/>
        </w:rPr>
        <w:t xml:space="preserve"> Gunnarsdóttir, H., Traustadóttir, R., Einarsdóttir, Þ., &amp; Rice, J. G. (2024). Through an intersectional lens: Prevalence of violence against disabled women in Iceland. </w:t>
      </w:r>
      <w:r w:rsidRPr="00AD4173">
        <w:rPr>
          <w:rFonts w:ascii="Aptos" w:eastAsia="Aptos" w:hAnsi="Aptos" w:cs="Times New Roman"/>
          <w:i/>
          <w:iCs/>
          <w:sz w:val="21"/>
          <w:szCs w:val="21"/>
        </w:rPr>
        <w:t>Violence Against Women</w:t>
      </w:r>
      <w:r w:rsidRPr="00AD4173">
        <w:rPr>
          <w:rFonts w:ascii="Aptos" w:eastAsia="Aptos" w:hAnsi="Aptos" w:cs="Times New Roman"/>
          <w:sz w:val="21"/>
          <w:szCs w:val="21"/>
        </w:rPr>
        <w:t xml:space="preserve">, 30(10), 2421–2441. </w:t>
      </w:r>
      <w:hyperlink r:id="rId68" w:history="1">
        <w:r w:rsidRPr="00AD4173">
          <w:rPr>
            <w:rFonts w:ascii="Aptos" w:eastAsia="Aptos" w:hAnsi="Aptos" w:cs="Times New Roman"/>
            <w:color w:val="467886"/>
            <w:sz w:val="21"/>
            <w:szCs w:val="21"/>
            <w:u w:val="single"/>
          </w:rPr>
          <w:t>https://doi.org/10.1177/1077801223115517</w:t>
        </w:r>
      </w:hyperlink>
      <w:r w:rsidRPr="00AD4173">
        <w:rPr>
          <w:rFonts w:ascii="Aptos" w:eastAsia="Aptos" w:hAnsi="Aptos" w:cs="Times New Roman"/>
          <w:sz w:val="21"/>
          <w:szCs w:val="21"/>
        </w:rPr>
        <w:t xml:space="preserve">       </w:t>
      </w:r>
    </w:p>
    <w:p w14:paraId="2E505AD0" w14:textId="77777777" w:rsidR="00AE4520" w:rsidRPr="00AD4173" w:rsidRDefault="00AE4520" w:rsidP="00AE4520">
      <w:pPr>
        <w:ind w:hanging="288"/>
        <w:jc w:val="both"/>
        <w:rPr>
          <w:rFonts w:ascii="Aptos" w:eastAsia="Aptos" w:hAnsi="Aptos" w:cs="Times New Roman"/>
          <w:sz w:val="21"/>
          <w:szCs w:val="21"/>
        </w:rPr>
      </w:pPr>
      <w:proofErr w:type="spellStart"/>
      <w:r w:rsidRPr="00AD4173">
        <w:rPr>
          <w:rFonts w:ascii="Aptos" w:eastAsia="Aptos" w:hAnsi="Aptos" w:cs="Times New Roman"/>
          <w:sz w:val="21"/>
          <w:szCs w:val="21"/>
        </w:rPr>
        <w:t>Snæfríðar</w:t>
      </w:r>
      <w:proofErr w:type="spellEnd"/>
      <w:r w:rsidRPr="00AD4173">
        <w:rPr>
          <w:rFonts w:ascii="Aptos" w:eastAsia="Aptos" w:hAnsi="Aptos" w:cs="Times New Roman"/>
          <w:sz w:val="21"/>
          <w:szCs w:val="21"/>
        </w:rPr>
        <w:t xml:space="preserve">-Og Gunnarsdóttir, H., &amp; Löve, L. E. (2024). Rights in Crisis: Lived Experience as Knowledge in Policy Development During the COVID-19 Pandemic. </w:t>
      </w:r>
      <w:r w:rsidRPr="00AD4173">
        <w:rPr>
          <w:rFonts w:ascii="Aptos" w:eastAsia="Aptos" w:hAnsi="Aptos" w:cs="Times New Roman"/>
          <w:i/>
          <w:iCs/>
          <w:sz w:val="21"/>
          <w:szCs w:val="21"/>
        </w:rPr>
        <w:t>Scandinavian Journal of Disability Research</w:t>
      </w:r>
      <w:r w:rsidRPr="00AD4173">
        <w:rPr>
          <w:rFonts w:ascii="Aptos" w:eastAsia="Aptos" w:hAnsi="Aptos" w:cs="Times New Roman"/>
          <w:sz w:val="21"/>
          <w:szCs w:val="21"/>
        </w:rPr>
        <w:t xml:space="preserve">, 26(1), 380-392. </w:t>
      </w:r>
      <w:hyperlink r:id="rId69" w:history="1">
        <w:r w:rsidRPr="00AD4173">
          <w:rPr>
            <w:rFonts w:ascii="Aptos" w:eastAsia="Aptos" w:hAnsi="Aptos" w:cs="Times New Roman"/>
            <w:color w:val="467886"/>
            <w:sz w:val="21"/>
            <w:szCs w:val="21"/>
            <w:u w:val="single"/>
          </w:rPr>
          <w:t>https://doi.org/10.16993/sjdr.1062</w:t>
        </w:r>
      </w:hyperlink>
      <w:r w:rsidRPr="00AD4173">
        <w:rPr>
          <w:rFonts w:ascii="Aptos" w:eastAsia="Aptos" w:hAnsi="Aptos" w:cs="Times New Roman"/>
          <w:sz w:val="21"/>
          <w:szCs w:val="21"/>
        </w:rPr>
        <w:t xml:space="preserve"> </w:t>
      </w:r>
    </w:p>
    <w:p w14:paraId="5BB8A0A0"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Stefánsdóttir, Á and </w:t>
      </w:r>
      <w:proofErr w:type="spellStart"/>
      <w:r w:rsidRPr="00AD4173">
        <w:rPr>
          <w:rFonts w:ascii="Aptos" w:eastAsia="Aptos" w:hAnsi="Aptos" w:cs="Times New Roman"/>
          <w:sz w:val="21"/>
          <w:szCs w:val="21"/>
        </w:rPr>
        <w:t>Kalmansson</w:t>
      </w:r>
      <w:proofErr w:type="spellEnd"/>
      <w:r w:rsidRPr="00AD4173">
        <w:rPr>
          <w:rFonts w:ascii="Aptos" w:eastAsia="Aptos" w:hAnsi="Aptos" w:cs="Times New Roman"/>
          <w:sz w:val="21"/>
          <w:szCs w:val="21"/>
        </w:rPr>
        <w:t xml:space="preserve">, J. Á. (2025). </w:t>
      </w:r>
      <w:proofErr w:type="spellStart"/>
      <w:r w:rsidRPr="00AD4173">
        <w:rPr>
          <w:rFonts w:ascii="Aptos" w:eastAsia="Aptos" w:hAnsi="Aptos" w:cs="Times New Roman"/>
          <w:sz w:val="21"/>
          <w:szCs w:val="21"/>
        </w:rPr>
        <w:t>Fósturskimun</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val</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og</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viðhorf</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til</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hins</w:t>
      </w:r>
      <w:proofErr w:type="spellEnd"/>
      <w:r w:rsidRPr="00AD4173">
        <w:rPr>
          <w:rFonts w:ascii="Aptos" w:eastAsia="Aptos" w:hAnsi="Aptos" w:cs="Times New Roman"/>
          <w:sz w:val="21"/>
          <w:szCs w:val="21"/>
        </w:rPr>
        <w:t xml:space="preserve"> </w:t>
      </w:r>
      <w:proofErr w:type="spellStart"/>
      <w:r w:rsidRPr="00AD4173">
        <w:rPr>
          <w:rFonts w:ascii="Aptos" w:eastAsia="Aptos" w:hAnsi="Aptos" w:cs="Times New Roman"/>
          <w:sz w:val="21"/>
          <w:szCs w:val="21"/>
        </w:rPr>
        <w:t>gefna</w:t>
      </w:r>
      <w:proofErr w:type="spellEnd"/>
      <w:r w:rsidRPr="00AD4173">
        <w:rPr>
          <w:rFonts w:ascii="Aptos" w:eastAsia="Aptos" w:hAnsi="Aptos" w:cs="Times New Roman"/>
          <w:sz w:val="21"/>
          <w:szCs w:val="21"/>
        </w:rPr>
        <w:t xml:space="preserve">. In S. Þ. Egilson (Ed.), </w:t>
      </w:r>
      <w:proofErr w:type="spellStart"/>
      <w:r w:rsidRPr="00AD4173">
        <w:rPr>
          <w:rFonts w:ascii="Aptos" w:eastAsia="Aptos" w:hAnsi="Aptos" w:cs="Times New Roman"/>
          <w:i/>
          <w:iCs/>
          <w:sz w:val="21"/>
          <w:szCs w:val="21"/>
        </w:rPr>
        <w:t>Fötlun</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sjálf</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samfélag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Birtingarmyndir</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og</w:t>
      </w:r>
      <w:proofErr w:type="spellEnd"/>
      <w:r w:rsidRPr="00AD4173">
        <w:rPr>
          <w:rFonts w:ascii="Aptos" w:eastAsia="Aptos" w:hAnsi="Aptos" w:cs="Times New Roman"/>
          <w:i/>
          <w:iCs/>
          <w:sz w:val="21"/>
          <w:szCs w:val="21"/>
        </w:rPr>
        <w:t xml:space="preserve"> </w:t>
      </w:r>
      <w:proofErr w:type="spellStart"/>
      <w:r w:rsidRPr="00AD4173">
        <w:rPr>
          <w:rFonts w:ascii="Aptos" w:eastAsia="Aptos" w:hAnsi="Aptos" w:cs="Times New Roman"/>
          <w:i/>
          <w:iCs/>
          <w:sz w:val="21"/>
          <w:szCs w:val="21"/>
        </w:rPr>
        <w:t>úrlausnarefni</w:t>
      </w:r>
      <w:proofErr w:type="spellEnd"/>
      <w:r w:rsidRPr="00AD4173">
        <w:rPr>
          <w:rFonts w:ascii="Aptos" w:eastAsia="Aptos" w:hAnsi="Aptos" w:cs="Times New Roman"/>
          <w:i/>
          <w:iCs/>
          <w:sz w:val="21"/>
          <w:szCs w:val="21"/>
        </w:rPr>
        <w:t>,</w:t>
      </w:r>
      <w:r w:rsidRPr="00AD4173">
        <w:rPr>
          <w:rFonts w:ascii="Aptos" w:eastAsia="Aptos" w:hAnsi="Aptos" w:cs="Times New Roman"/>
          <w:sz w:val="21"/>
          <w:szCs w:val="21"/>
        </w:rPr>
        <w:t xml:space="preserve"> 57–84). </w:t>
      </w:r>
      <w:proofErr w:type="spellStart"/>
      <w:r w:rsidRPr="00AD4173">
        <w:rPr>
          <w:rFonts w:ascii="Aptos" w:eastAsia="Aptos" w:hAnsi="Aptos" w:cs="Times New Roman"/>
          <w:sz w:val="21"/>
          <w:szCs w:val="21"/>
        </w:rPr>
        <w:t>Háskólaútgáfan</w:t>
      </w:r>
      <w:proofErr w:type="spellEnd"/>
      <w:r w:rsidRPr="00AD4173">
        <w:rPr>
          <w:rFonts w:ascii="Aptos" w:eastAsia="Aptos" w:hAnsi="Aptos" w:cs="Times New Roman"/>
          <w:sz w:val="21"/>
          <w:szCs w:val="21"/>
        </w:rPr>
        <w:t>.</w:t>
      </w:r>
    </w:p>
    <w:p w14:paraId="54F6FA68"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Stefánsdóttir, Á., Stefánsdóttir, G. V., &amp; Björnsdóttir, K. (2018). Autonomy and People with Intellectual Disabilities Who Require More Intensive Support. </w:t>
      </w:r>
      <w:r w:rsidRPr="00AD4173">
        <w:rPr>
          <w:rFonts w:ascii="Aptos" w:eastAsia="Aptos" w:hAnsi="Aptos" w:cs="Times New Roman"/>
          <w:i/>
          <w:iCs/>
          <w:sz w:val="21"/>
          <w:szCs w:val="21"/>
        </w:rPr>
        <w:t>Scandinavian Journal of Disability Research</w:t>
      </w:r>
      <w:r w:rsidRPr="00AD4173">
        <w:rPr>
          <w:rFonts w:ascii="Aptos" w:eastAsia="Aptos" w:hAnsi="Aptos" w:cs="Times New Roman"/>
          <w:sz w:val="21"/>
          <w:szCs w:val="21"/>
        </w:rPr>
        <w:t xml:space="preserve">, 20(1), 162-171. </w:t>
      </w:r>
      <w:hyperlink r:id="rId70" w:history="1">
        <w:r w:rsidRPr="00AD4173">
          <w:rPr>
            <w:rFonts w:ascii="Aptos" w:eastAsia="Aptos" w:hAnsi="Aptos" w:cs="Times New Roman"/>
            <w:color w:val="467886"/>
            <w:sz w:val="21"/>
            <w:szCs w:val="21"/>
            <w:u w:val="single"/>
          </w:rPr>
          <w:t>https://doi.org/10.16993/sjdr.21</w:t>
        </w:r>
      </w:hyperlink>
    </w:p>
    <w:p w14:paraId="21F15148"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Stefánsdóttir, S., &amp; Egilson, S. Þ. (2016). Diverging perspectives on children’s rehabilitation services: a mixed-methods study. </w:t>
      </w:r>
      <w:r w:rsidRPr="00AD4173">
        <w:rPr>
          <w:rFonts w:ascii="Aptos" w:eastAsia="Aptos" w:hAnsi="Aptos" w:cs="Times New Roman"/>
          <w:i/>
          <w:iCs/>
          <w:sz w:val="21"/>
          <w:szCs w:val="21"/>
        </w:rPr>
        <w:t>Scandinavian Journal of Occupational Therapy</w:t>
      </w:r>
      <w:r w:rsidRPr="00AD4173">
        <w:rPr>
          <w:rFonts w:ascii="Aptos" w:eastAsia="Aptos" w:hAnsi="Aptos" w:cs="Times New Roman"/>
          <w:sz w:val="21"/>
          <w:szCs w:val="21"/>
        </w:rPr>
        <w:t xml:space="preserve">, 23(5), 374-382. </w:t>
      </w:r>
      <w:hyperlink r:id="rId71" w:history="1">
        <w:r w:rsidRPr="00AD4173">
          <w:rPr>
            <w:rFonts w:ascii="Aptos" w:eastAsia="Aptos" w:hAnsi="Aptos" w:cs="Times New Roman"/>
            <w:color w:val="467886"/>
            <w:sz w:val="21"/>
            <w:szCs w:val="21"/>
            <w:u w:val="single"/>
          </w:rPr>
          <w:t>https://www.tandfonline.com/doi/abs/10.3109/11038128.2015.1105292</w:t>
        </w:r>
      </w:hyperlink>
    </w:p>
    <w:p w14:paraId="41C80768"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Stefánsdóttir, S., Rice, J. G., &amp; Sigurjónsdóttir, H. B. (2024). Safeguarding Families and Rights of Parents with Intellectual Disability Involved in Child Protection: The Role of Rights Protection Officers. </w:t>
      </w:r>
      <w:r w:rsidRPr="00AD4173">
        <w:rPr>
          <w:rFonts w:ascii="Aptos" w:eastAsia="Aptos" w:hAnsi="Aptos" w:cs="Times New Roman"/>
          <w:i/>
          <w:iCs/>
          <w:sz w:val="21"/>
          <w:szCs w:val="21"/>
        </w:rPr>
        <w:t>International Journal of Disability and Social Justice</w:t>
      </w:r>
      <w:r w:rsidRPr="00AD4173">
        <w:rPr>
          <w:rFonts w:ascii="Aptos" w:eastAsia="Aptos" w:hAnsi="Aptos" w:cs="Times New Roman"/>
          <w:sz w:val="21"/>
          <w:szCs w:val="21"/>
        </w:rPr>
        <w:t xml:space="preserve">, 4(2), 91-110. </w:t>
      </w:r>
      <w:hyperlink r:id="rId72" w:history="1">
        <w:r w:rsidRPr="00AD4173">
          <w:rPr>
            <w:rFonts w:ascii="Aptos" w:eastAsia="Aptos" w:hAnsi="Aptos" w:cs="Times New Roman"/>
            <w:color w:val="467886"/>
            <w:sz w:val="21"/>
            <w:szCs w:val="21"/>
            <w:u w:val="single"/>
          </w:rPr>
          <w:t>https://doi.org/10.13169/intljofdissocjus.4.2.0091</w:t>
        </w:r>
      </w:hyperlink>
    </w:p>
    <w:p w14:paraId="31D0E8DD"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Stefánsdóttir, S., Rice, J., </w:t>
      </w:r>
      <w:proofErr w:type="spellStart"/>
      <w:r w:rsidRPr="00AD4173">
        <w:rPr>
          <w:rFonts w:ascii="Aptos" w:eastAsia="Aptos" w:hAnsi="Aptos" w:cs="Times New Roman"/>
          <w:sz w:val="21"/>
          <w:szCs w:val="21"/>
        </w:rPr>
        <w:t>Aunos</w:t>
      </w:r>
      <w:proofErr w:type="spellEnd"/>
      <w:r w:rsidRPr="00AD4173">
        <w:rPr>
          <w:rFonts w:ascii="Aptos" w:eastAsia="Aptos" w:hAnsi="Aptos" w:cs="Times New Roman"/>
          <w:sz w:val="21"/>
          <w:szCs w:val="21"/>
        </w:rPr>
        <w:t xml:space="preserve">, M., &amp; McConnell, D. (2022). Appropriate Measures? Supporting Parents with ID in the Context of the CRPD. </w:t>
      </w:r>
      <w:r w:rsidRPr="00AD4173">
        <w:rPr>
          <w:rFonts w:ascii="Aptos" w:eastAsia="Aptos" w:hAnsi="Aptos" w:cs="Times New Roman"/>
          <w:i/>
          <w:iCs/>
          <w:sz w:val="21"/>
          <w:szCs w:val="21"/>
        </w:rPr>
        <w:t>Scandinavian Journal of Disability Research</w:t>
      </w:r>
      <w:r w:rsidRPr="00AD4173">
        <w:rPr>
          <w:rFonts w:ascii="Aptos" w:eastAsia="Aptos" w:hAnsi="Aptos" w:cs="Times New Roman"/>
          <w:sz w:val="21"/>
          <w:szCs w:val="21"/>
        </w:rPr>
        <w:t xml:space="preserve">, 24(1), 29-41. </w:t>
      </w:r>
      <w:hyperlink r:id="rId73" w:history="1">
        <w:r w:rsidRPr="00AD4173">
          <w:rPr>
            <w:rFonts w:ascii="Aptos" w:eastAsia="Aptos" w:hAnsi="Aptos" w:cs="Times New Roman"/>
            <w:color w:val="467886"/>
            <w:sz w:val="21"/>
            <w:szCs w:val="21"/>
            <w:u w:val="single"/>
          </w:rPr>
          <w:t>https://doi.org/10.16993/sjdr.820</w:t>
        </w:r>
      </w:hyperlink>
      <w:r w:rsidRPr="00AD4173">
        <w:rPr>
          <w:rFonts w:ascii="Aptos" w:eastAsia="Aptos" w:hAnsi="Aptos" w:cs="Times New Roman"/>
          <w:sz w:val="21"/>
          <w:szCs w:val="21"/>
        </w:rPr>
        <w:t xml:space="preserve"> </w:t>
      </w:r>
    </w:p>
    <w:p w14:paraId="36823616" w14:textId="77777777" w:rsidR="00AE4520" w:rsidRPr="00AD4173" w:rsidRDefault="00AE4520" w:rsidP="00AE4520">
      <w:pPr>
        <w:ind w:hanging="288"/>
        <w:jc w:val="both"/>
        <w:rPr>
          <w:rFonts w:ascii="Aptos" w:eastAsia="Aptos" w:hAnsi="Aptos" w:cs="Times New Roman"/>
          <w:sz w:val="21"/>
          <w:szCs w:val="21"/>
        </w:rPr>
      </w:pPr>
      <w:r w:rsidRPr="00AD4173">
        <w:rPr>
          <w:rFonts w:ascii="Aptos" w:eastAsia="Aptos" w:hAnsi="Aptos" w:cs="Times New Roman"/>
          <w:sz w:val="21"/>
          <w:szCs w:val="21"/>
        </w:rPr>
        <w:t xml:space="preserve">Stefánsdóttir, S., Sigurjónsdóttir, H. B., &amp; Rice, J. G. (2022). Weapons and tactics: A story of parents with learning disabilities maintaining family integrity. </w:t>
      </w:r>
      <w:r w:rsidRPr="00AD4173">
        <w:rPr>
          <w:rFonts w:ascii="Aptos" w:eastAsia="Aptos" w:hAnsi="Aptos" w:cs="Times New Roman"/>
          <w:i/>
          <w:iCs/>
          <w:sz w:val="21"/>
          <w:szCs w:val="21"/>
        </w:rPr>
        <w:t>British Journal of Learning Disabilities</w:t>
      </w:r>
      <w:r w:rsidRPr="00AD4173">
        <w:rPr>
          <w:rFonts w:ascii="Aptos" w:eastAsia="Aptos" w:hAnsi="Aptos" w:cs="Times New Roman"/>
          <w:sz w:val="21"/>
          <w:szCs w:val="21"/>
        </w:rPr>
        <w:t xml:space="preserve">. </w:t>
      </w:r>
      <w:hyperlink r:id="rId74" w:history="1">
        <w:r w:rsidRPr="00AD4173">
          <w:rPr>
            <w:rFonts w:ascii="Aptos" w:eastAsia="Aptos" w:hAnsi="Aptos" w:cs="Times New Roman"/>
            <w:color w:val="467886"/>
            <w:sz w:val="21"/>
            <w:szCs w:val="21"/>
            <w:u w:val="single"/>
          </w:rPr>
          <w:t>https://doi.org/10.1111/bld.12492</w:t>
        </w:r>
      </w:hyperlink>
      <w:r w:rsidRPr="00AD4173">
        <w:rPr>
          <w:rFonts w:ascii="Aptos" w:eastAsia="Aptos" w:hAnsi="Aptos" w:cs="Times New Roman"/>
          <w:sz w:val="21"/>
          <w:szCs w:val="21"/>
        </w:rPr>
        <w:t xml:space="preserve"> </w:t>
      </w:r>
    </w:p>
    <w:p w14:paraId="3C61AEA1" w14:textId="77777777" w:rsidR="00AE4520" w:rsidRDefault="00AE4520" w:rsidP="00AE4520"/>
    <w:p w14:paraId="45FBEE37" w14:textId="77777777" w:rsidR="00393567" w:rsidRPr="00665BAB" w:rsidRDefault="00393567" w:rsidP="00E970B2">
      <w:pPr>
        <w:rPr>
          <w:sz w:val="21"/>
          <w:szCs w:val="21"/>
        </w:rPr>
      </w:pPr>
    </w:p>
    <w:sectPr w:rsidR="00393567" w:rsidRPr="00665BAB" w:rsidSect="00184A60">
      <w:footerReference w:type="default" r:id="rId7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2DA08" w14:textId="77777777" w:rsidR="00593651" w:rsidRDefault="00593651" w:rsidP="00F21265">
      <w:pPr>
        <w:spacing w:after="0" w:line="240" w:lineRule="auto"/>
      </w:pPr>
      <w:r>
        <w:separator/>
      </w:r>
    </w:p>
  </w:endnote>
  <w:endnote w:type="continuationSeparator" w:id="0">
    <w:p w14:paraId="65D6A20D" w14:textId="77777777" w:rsidR="00593651" w:rsidRDefault="00593651" w:rsidP="00F21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3901036"/>
      <w:docPartObj>
        <w:docPartGallery w:val="Page Numbers (Bottom of Page)"/>
        <w:docPartUnique/>
      </w:docPartObj>
    </w:sdtPr>
    <w:sdtEndPr>
      <w:rPr>
        <w:noProof/>
      </w:rPr>
    </w:sdtEndPr>
    <w:sdtContent>
      <w:p w14:paraId="0CA6A583" w14:textId="0EE3D9DD" w:rsidR="00F21265" w:rsidRDefault="00F212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98DF6F" w14:textId="77777777" w:rsidR="00F21265" w:rsidRDefault="00F212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03621" w14:textId="77777777" w:rsidR="00593651" w:rsidRDefault="00593651" w:rsidP="00F21265">
      <w:pPr>
        <w:spacing w:after="0" w:line="240" w:lineRule="auto"/>
      </w:pPr>
      <w:r>
        <w:separator/>
      </w:r>
    </w:p>
  </w:footnote>
  <w:footnote w:type="continuationSeparator" w:id="0">
    <w:p w14:paraId="21DC063D" w14:textId="77777777" w:rsidR="00593651" w:rsidRDefault="00593651" w:rsidP="00F212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43DAE"/>
    <w:multiLevelType w:val="hybridMultilevel"/>
    <w:tmpl w:val="0C8259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52374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A60"/>
    <w:rsid w:val="00003D6D"/>
    <w:rsid w:val="00014861"/>
    <w:rsid w:val="00060176"/>
    <w:rsid w:val="000837D6"/>
    <w:rsid w:val="000E1D15"/>
    <w:rsid w:val="00106774"/>
    <w:rsid w:val="0011645D"/>
    <w:rsid w:val="00156BA7"/>
    <w:rsid w:val="001632C8"/>
    <w:rsid w:val="00184A60"/>
    <w:rsid w:val="00186594"/>
    <w:rsid w:val="001D509F"/>
    <w:rsid w:val="00235C21"/>
    <w:rsid w:val="00284A9B"/>
    <w:rsid w:val="002B3837"/>
    <w:rsid w:val="002C2B47"/>
    <w:rsid w:val="002E46E9"/>
    <w:rsid w:val="002E7D04"/>
    <w:rsid w:val="00310962"/>
    <w:rsid w:val="003133EC"/>
    <w:rsid w:val="00327592"/>
    <w:rsid w:val="003309A4"/>
    <w:rsid w:val="00393567"/>
    <w:rsid w:val="003B4902"/>
    <w:rsid w:val="003B75D3"/>
    <w:rsid w:val="003E1E8C"/>
    <w:rsid w:val="003F20FD"/>
    <w:rsid w:val="003F30BB"/>
    <w:rsid w:val="00420A68"/>
    <w:rsid w:val="00420CD0"/>
    <w:rsid w:val="004231AE"/>
    <w:rsid w:val="00424793"/>
    <w:rsid w:val="00427DDB"/>
    <w:rsid w:val="004317C9"/>
    <w:rsid w:val="00446356"/>
    <w:rsid w:val="00456D1F"/>
    <w:rsid w:val="00480733"/>
    <w:rsid w:val="00484B0C"/>
    <w:rsid w:val="00484C19"/>
    <w:rsid w:val="00496835"/>
    <w:rsid w:val="004B40EE"/>
    <w:rsid w:val="00516DF1"/>
    <w:rsid w:val="005257FF"/>
    <w:rsid w:val="0053668C"/>
    <w:rsid w:val="00544592"/>
    <w:rsid w:val="00545E5B"/>
    <w:rsid w:val="00554C14"/>
    <w:rsid w:val="00593651"/>
    <w:rsid w:val="005C2487"/>
    <w:rsid w:val="005E4169"/>
    <w:rsid w:val="00616081"/>
    <w:rsid w:val="00633E61"/>
    <w:rsid w:val="00636E82"/>
    <w:rsid w:val="00637167"/>
    <w:rsid w:val="00665A5F"/>
    <w:rsid w:val="00665BAB"/>
    <w:rsid w:val="006A1B52"/>
    <w:rsid w:val="006B590B"/>
    <w:rsid w:val="006E16F0"/>
    <w:rsid w:val="006F3412"/>
    <w:rsid w:val="006F6225"/>
    <w:rsid w:val="007024ED"/>
    <w:rsid w:val="00733345"/>
    <w:rsid w:val="00764CE0"/>
    <w:rsid w:val="00781EBD"/>
    <w:rsid w:val="00796356"/>
    <w:rsid w:val="007C2998"/>
    <w:rsid w:val="007D17F6"/>
    <w:rsid w:val="008021CC"/>
    <w:rsid w:val="008537B5"/>
    <w:rsid w:val="00881FFD"/>
    <w:rsid w:val="00885988"/>
    <w:rsid w:val="008863B1"/>
    <w:rsid w:val="008B0506"/>
    <w:rsid w:val="008B6C45"/>
    <w:rsid w:val="008D20AF"/>
    <w:rsid w:val="008E738F"/>
    <w:rsid w:val="009135FE"/>
    <w:rsid w:val="0093117D"/>
    <w:rsid w:val="009340FB"/>
    <w:rsid w:val="0094140D"/>
    <w:rsid w:val="009564DB"/>
    <w:rsid w:val="00960BD3"/>
    <w:rsid w:val="00963327"/>
    <w:rsid w:val="00994547"/>
    <w:rsid w:val="009B7FED"/>
    <w:rsid w:val="009D621C"/>
    <w:rsid w:val="00A02A22"/>
    <w:rsid w:val="00A0725D"/>
    <w:rsid w:val="00A23DB7"/>
    <w:rsid w:val="00A61C79"/>
    <w:rsid w:val="00A7309E"/>
    <w:rsid w:val="00A73E7C"/>
    <w:rsid w:val="00A94AEC"/>
    <w:rsid w:val="00AA7743"/>
    <w:rsid w:val="00AC760E"/>
    <w:rsid w:val="00AD05C5"/>
    <w:rsid w:val="00AE4520"/>
    <w:rsid w:val="00AF387D"/>
    <w:rsid w:val="00AF5587"/>
    <w:rsid w:val="00AF7A79"/>
    <w:rsid w:val="00B138D5"/>
    <w:rsid w:val="00B16394"/>
    <w:rsid w:val="00B233F2"/>
    <w:rsid w:val="00B75258"/>
    <w:rsid w:val="00BC7772"/>
    <w:rsid w:val="00BD0B5E"/>
    <w:rsid w:val="00BD48D3"/>
    <w:rsid w:val="00BE3B15"/>
    <w:rsid w:val="00C22569"/>
    <w:rsid w:val="00C24E6D"/>
    <w:rsid w:val="00C2686A"/>
    <w:rsid w:val="00C50838"/>
    <w:rsid w:val="00C61921"/>
    <w:rsid w:val="00C62BBA"/>
    <w:rsid w:val="00C94668"/>
    <w:rsid w:val="00CA0C79"/>
    <w:rsid w:val="00CB3CB3"/>
    <w:rsid w:val="00CB4504"/>
    <w:rsid w:val="00CD4C0A"/>
    <w:rsid w:val="00CF7EF6"/>
    <w:rsid w:val="00D33C09"/>
    <w:rsid w:val="00D365C9"/>
    <w:rsid w:val="00D66E9E"/>
    <w:rsid w:val="00D70166"/>
    <w:rsid w:val="00DA47A0"/>
    <w:rsid w:val="00DA5C4C"/>
    <w:rsid w:val="00DA7D72"/>
    <w:rsid w:val="00DD31EC"/>
    <w:rsid w:val="00DF5A70"/>
    <w:rsid w:val="00E00897"/>
    <w:rsid w:val="00E0702D"/>
    <w:rsid w:val="00E23F30"/>
    <w:rsid w:val="00E34840"/>
    <w:rsid w:val="00E36919"/>
    <w:rsid w:val="00E476F0"/>
    <w:rsid w:val="00E57916"/>
    <w:rsid w:val="00E970B2"/>
    <w:rsid w:val="00EA1B4D"/>
    <w:rsid w:val="00EF3B82"/>
    <w:rsid w:val="00F14E2D"/>
    <w:rsid w:val="00F21265"/>
    <w:rsid w:val="00F240A6"/>
    <w:rsid w:val="00F37040"/>
    <w:rsid w:val="00F42802"/>
    <w:rsid w:val="00F60D62"/>
    <w:rsid w:val="00F7216E"/>
    <w:rsid w:val="00F762B3"/>
    <w:rsid w:val="00F77730"/>
    <w:rsid w:val="00F95868"/>
    <w:rsid w:val="00FB4CD2"/>
    <w:rsid w:val="00FC3226"/>
    <w:rsid w:val="00FC6010"/>
    <w:rsid w:val="00FE74B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E51CF8"/>
  <w15:chartTrackingRefBased/>
  <w15:docId w15:val="{E9F78793-B175-455C-9E3A-0C5EC9CE1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7592"/>
    <w:pPr>
      <w:keepNext/>
      <w:keepLines/>
      <w:spacing w:before="480" w:after="0" w:line="276" w:lineRule="auto"/>
      <w:outlineLvl w:val="0"/>
    </w:pPr>
    <w:rPr>
      <w:rFonts w:ascii="Calibri" w:eastAsia="MS Gothic" w:hAnsi="Calibri" w:cs="Times New Roman"/>
      <w:b/>
      <w:bCs/>
      <w:color w:val="365F91"/>
      <w:kern w:val="0"/>
      <w:sz w:val="28"/>
      <w:szCs w:val="28"/>
      <w14:ligatures w14:val="none"/>
    </w:rPr>
  </w:style>
  <w:style w:type="paragraph" w:styleId="Heading2">
    <w:name w:val="heading 2"/>
    <w:basedOn w:val="Normal"/>
    <w:next w:val="Normal"/>
    <w:link w:val="Heading2Char"/>
    <w:uiPriority w:val="9"/>
    <w:unhideWhenUsed/>
    <w:qFormat/>
    <w:rsid w:val="007C2998"/>
    <w:pPr>
      <w:keepNext/>
      <w:keepLines/>
      <w:spacing w:before="200" w:after="0" w:line="276" w:lineRule="auto"/>
      <w:outlineLvl w:val="1"/>
    </w:pPr>
    <w:rPr>
      <w:rFonts w:ascii="Calibri" w:eastAsia="MS Gothic" w:hAnsi="Calibri" w:cs="Times New Roman"/>
      <w:b/>
      <w:bCs/>
      <w:color w:val="4F81BD"/>
      <w:kern w:val="0"/>
      <w:sz w:val="26"/>
      <w:szCs w:val="26"/>
      <w14:ligatures w14:val="none"/>
    </w:rPr>
  </w:style>
  <w:style w:type="paragraph" w:styleId="Heading3">
    <w:name w:val="heading 3"/>
    <w:basedOn w:val="Normal"/>
    <w:next w:val="Normal"/>
    <w:link w:val="Heading3Char"/>
    <w:uiPriority w:val="9"/>
    <w:semiHidden/>
    <w:unhideWhenUsed/>
    <w:qFormat/>
    <w:rsid w:val="00184A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4A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4A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4A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4A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4A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4A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592"/>
    <w:rPr>
      <w:rFonts w:ascii="Calibri" w:eastAsia="MS Gothic" w:hAnsi="Calibri" w:cs="Times New Roman"/>
      <w:b/>
      <w:bCs/>
      <w:color w:val="365F91"/>
      <w:kern w:val="0"/>
      <w:sz w:val="28"/>
      <w:szCs w:val="28"/>
      <w14:ligatures w14:val="none"/>
    </w:rPr>
  </w:style>
  <w:style w:type="character" w:customStyle="1" w:styleId="Heading2Char">
    <w:name w:val="Heading 2 Char"/>
    <w:basedOn w:val="DefaultParagraphFont"/>
    <w:link w:val="Heading2"/>
    <w:uiPriority w:val="9"/>
    <w:rsid w:val="007C2998"/>
    <w:rPr>
      <w:rFonts w:ascii="Calibri" w:eastAsia="MS Gothic" w:hAnsi="Calibri" w:cs="Times New Roman"/>
      <w:b/>
      <w:bCs/>
      <w:color w:val="4F81BD"/>
      <w:kern w:val="0"/>
      <w:sz w:val="26"/>
      <w:szCs w:val="26"/>
      <w14:ligatures w14:val="none"/>
    </w:rPr>
  </w:style>
  <w:style w:type="character" w:customStyle="1" w:styleId="Heading3Char">
    <w:name w:val="Heading 3 Char"/>
    <w:basedOn w:val="DefaultParagraphFont"/>
    <w:link w:val="Heading3"/>
    <w:uiPriority w:val="9"/>
    <w:semiHidden/>
    <w:rsid w:val="00184A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4A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4A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4A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4A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4A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4A60"/>
    <w:rPr>
      <w:rFonts w:eastAsiaTheme="majorEastAsia" w:cstheme="majorBidi"/>
      <w:color w:val="272727" w:themeColor="text1" w:themeTint="D8"/>
    </w:rPr>
  </w:style>
  <w:style w:type="paragraph" w:styleId="Title">
    <w:name w:val="Title"/>
    <w:basedOn w:val="Normal"/>
    <w:next w:val="Normal"/>
    <w:link w:val="TitleChar"/>
    <w:uiPriority w:val="10"/>
    <w:qFormat/>
    <w:rsid w:val="00184A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4A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4A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4A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4A60"/>
    <w:pPr>
      <w:spacing w:before="160"/>
      <w:jc w:val="center"/>
    </w:pPr>
    <w:rPr>
      <w:i/>
      <w:iCs/>
      <w:color w:val="404040" w:themeColor="text1" w:themeTint="BF"/>
    </w:rPr>
  </w:style>
  <w:style w:type="character" w:customStyle="1" w:styleId="QuoteChar">
    <w:name w:val="Quote Char"/>
    <w:basedOn w:val="DefaultParagraphFont"/>
    <w:link w:val="Quote"/>
    <w:uiPriority w:val="29"/>
    <w:rsid w:val="00184A60"/>
    <w:rPr>
      <w:i/>
      <w:iCs/>
      <w:color w:val="404040" w:themeColor="text1" w:themeTint="BF"/>
    </w:rPr>
  </w:style>
  <w:style w:type="paragraph" w:styleId="ListParagraph">
    <w:name w:val="List Paragraph"/>
    <w:basedOn w:val="Normal"/>
    <w:uiPriority w:val="34"/>
    <w:qFormat/>
    <w:rsid w:val="00184A60"/>
    <w:pPr>
      <w:ind w:left="720"/>
      <w:contextualSpacing/>
    </w:pPr>
  </w:style>
  <w:style w:type="character" w:styleId="IntenseEmphasis">
    <w:name w:val="Intense Emphasis"/>
    <w:basedOn w:val="DefaultParagraphFont"/>
    <w:uiPriority w:val="21"/>
    <w:qFormat/>
    <w:rsid w:val="00184A60"/>
    <w:rPr>
      <w:i/>
      <w:iCs/>
      <w:color w:val="0F4761" w:themeColor="accent1" w:themeShade="BF"/>
    </w:rPr>
  </w:style>
  <w:style w:type="paragraph" w:styleId="IntenseQuote">
    <w:name w:val="Intense Quote"/>
    <w:basedOn w:val="Normal"/>
    <w:next w:val="Normal"/>
    <w:link w:val="IntenseQuoteChar"/>
    <w:uiPriority w:val="30"/>
    <w:qFormat/>
    <w:rsid w:val="00184A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4A60"/>
    <w:rPr>
      <w:i/>
      <w:iCs/>
      <w:color w:val="0F4761" w:themeColor="accent1" w:themeShade="BF"/>
    </w:rPr>
  </w:style>
  <w:style w:type="character" w:styleId="IntenseReference">
    <w:name w:val="Intense Reference"/>
    <w:basedOn w:val="DefaultParagraphFont"/>
    <w:uiPriority w:val="32"/>
    <w:qFormat/>
    <w:rsid w:val="00184A60"/>
    <w:rPr>
      <w:b/>
      <w:bCs/>
      <w:smallCaps/>
      <w:color w:val="0F4761" w:themeColor="accent1" w:themeShade="BF"/>
      <w:spacing w:val="5"/>
    </w:rPr>
  </w:style>
  <w:style w:type="character" w:styleId="Hyperlink">
    <w:name w:val="Hyperlink"/>
    <w:basedOn w:val="DefaultParagraphFont"/>
    <w:uiPriority w:val="99"/>
    <w:unhideWhenUsed/>
    <w:rsid w:val="00184A60"/>
    <w:rPr>
      <w:color w:val="467886" w:themeColor="hyperlink"/>
      <w:u w:val="single"/>
    </w:rPr>
  </w:style>
  <w:style w:type="character" w:styleId="UnresolvedMention">
    <w:name w:val="Unresolved Mention"/>
    <w:basedOn w:val="DefaultParagraphFont"/>
    <w:uiPriority w:val="99"/>
    <w:semiHidden/>
    <w:unhideWhenUsed/>
    <w:rsid w:val="00184A60"/>
    <w:rPr>
      <w:color w:val="605E5C"/>
      <w:shd w:val="clear" w:color="auto" w:fill="E1DFDD"/>
    </w:rPr>
  </w:style>
  <w:style w:type="paragraph" w:styleId="TOCHeading">
    <w:name w:val="TOC Heading"/>
    <w:basedOn w:val="Heading1"/>
    <w:next w:val="Normal"/>
    <w:uiPriority w:val="39"/>
    <w:unhideWhenUsed/>
    <w:qFormat/>
    <w:rsid w:val="007D17F6"/>
    <w:pPr>
      <w:spacing w:before="240" w:line="259" w:lineRule="auto"/>
      <w:outlineLvl w:val="9"/>
    </w:pPr>
    <w:rPr>
      <w:sz w:val="32"/>
      <w:szCs w:val="32"/>
    </w:rPr>
  </w:style>
  <w:style w:type="paragraph" w:styleId="TOC1">
    <w:name w:val="toc 1"/>
    <w:basedOn w:val="Normal"/>
    <w:next w:val="Normal"/>
    <w:autoRedefine/>
    <w:uiPriority w:val="39"/>
    <w:unhideWhenUsed/>
    <w:rsid w:val="007D17F6"/>
    <w:pPr>
      <w:spacing w:after="100"/>
    </w:pPr>
  </w:style>
  <w:style w:type="paragraph" w:styleId="TOC2">
    <w:name w:val="toc 2"/>
    <w:basedOn w:val="Normal"/>
    <w:next w:val="Normal"/>
    <w:autoRedefine/>
    <w:uiPriority w:val="39"/>
    <w:unhideWhenUsed/>
    <w:rsid w:val="007D17F6"/>
    <w:pPr>
      <w:spacing w:after="100"/>
      <w:ind w:left="240"/>
    </w:pPr>
  </w:style>
  <w:style w:type="paragraph" w:customStyle="1" w:styleId="Style1">
    <w:name w:val="Style1"/>
    <w:basedOn w:val="Normal"/>
    <w:link w:val="Style1Char"/>
    <w:qFormat/>
    <w:rsid w:val="00424793"/>
    <w:pPr>
      <w:keepNext/>
      <w:keepLines/>
      <w:spacing w:before="480" w:after="0" w:line="276" w:lineRule="auto"/>
      <w:outlineLvl w:val="0"/>
    </w:pPr>
    <w:rPr>
      <w:rFonts w:ascii="Calibri" w:eastAsia="MS Gothic" w:hAnsi="Calibri" w:cs="Times New Roman"/>
      <w:b/>
      <w:bCs/>
      <w:color w:val="365F91"/>
      <w:kern w:val="0"/>
      <w:sz w:val="28"/>
      <w:szCs w:val="28"/>
      <w14:ligatures w14:val="none"/>
    </w:rPr>
  </w:style>
  <w:style w:type="character" w:customStyle="1" w:styleId="Style1Char">
    <w:name w:val="Style1 Char"/>
    <w:basedOn w:val="DefaultParagraphFont"/>
    <w:link w:val="Style1"/>
    <w:rsid w:val="00424793"/>
    <w:rPr>
      <w:rFonts w:ascii="Calibri" w:eastAsia="MS Gothic" w:hAnsi="Calibri" w:cs="Times New Roman"/>
      <w:b/>
      <w:bCs/>
      <w:color w:val="365F91"/>
      <w:kern w:val="0"/>
      <w:sz w:val="28"/>
      <w:szCs w:val="28"/>
      <w14:ligatures w14:val="none"/>
    </w:rPr>
  </w:style>
  <w:style w:type="paragraph" w:styleId="Header">
    <w:name w:val="header"/>
    <w:basedOn w:val="Normal"/>
    <w:link w:val="HeaderChar"/>
    <w:uiPriority w:val="99"/>
    <w:unhideWhenUsed/>
    <w:rsid w:val="00F212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1265"/>
  </w:style>
  <w:style w:type="paragraph" w:styleId="Footer">
    <w:name w:val="footer"/>
    <w:basedOn w:val="Normal"/>
    <w:link w:val="FooterChar"/>
    <w:uiPriority w:val="99"/>
    <w:unhideWhenUsed/>
    <w:rsid w:val="00F212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12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3033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6993/sjdr.767" TargetMode="External"/><Relationship Id="rId21" Type="http://schemas.openxmlformats.org/officeDocument/2006/relationships/hyperlink" Target="https://doi.org/10.3390/laws12020021" TargetMode="External"/><Relationship Id="rId42" Type="http://schemas.openxmlformats.org/officeDocument/2006/relationships/hyperlink" Target="https://doi.org/10.1007/978-981-16-1278-7_7-1" TargetMode="External"/><Relationship Id="rId47" Type="http://schemas.openxmlformats.org/officeDocument/2006/relationships/hyperlink" Target="https://doi.org/10.1016/j.alter.2018.04.008" TargetMode="External"/><Relationship Id="rId63" Type="http://schemas.openxmlformats.org/officeDocument/2006/relationships/hyperlink" Target="https://doi.org/10.3390/disabilities5010022" TargetMode="External"/><Relationship Id="rId68" Type="http://schemas.openxmlformats.org/officeDocument/2006/relationships/hyperlink" Target="https://doi.org/10.1177/1077801223115517" TargetMode="External"/><Relationship Id="rId16" Type="http://schemas.openxmlformats.org/officeDocument/2006/relationships/hyperlink" Target="https://doi.org/10.1177/16094069211016713" TargetMode="External"/><Relationship Id="rId11" Type="http://schemas.openxmlformats.org/officeDocument/2006/relationships/hyperlink" Target="https://doi.org/10.16993/sjdr.1131" TargetMode="External"/><Relationship Id="rId24" Type="http://schemas.openxmlformats.org/officeDocument/2006/relationships/hyperlink" Target="https://doi.org/10.3233/WOR-211219" TargetMode="External"/><Relationship Id="rId32" Type="http://schemas.openxmlformats.org/officeDocument/2006/relationships/hyperlink" Target="https://doi.org/10.1111/1467-9566.13425" TargetMode="External"/><Relationship Id="rId37" Type="http://schemas.openxmlformats.org/officeDocument/2006/relationships/hyperlink" Target="https://doi.org/10.1111/bld.12623" TargetMode="External"/><Relationship Id="rId40" Type="http://schemas.openxmlformats.org/officeDocument/2006/relationships/hyperlink" Target="https://doi.org/10.17645/si.v11i2.6398" TargetMode="External"/><Relationship Id="rId45" Type="http://schemas.openxmlformats.org/officeDocument/2006/relationships/hyperlink" Target="https://doi.org/10.3390/laws8020011" TargetMode="External"/><Relationship Id="rId53" Type="http://schemas.openxmlformats.org/officeDocument/2006/relationships/hyperlink" Target="https://doi.org/10.1080/11038128.2018.1509371" TargetMode="External"/><Relationship Id="rId58" Type="http://schemas.openxmlformats.org/officeDocument/2006/relationships/hyperlink" Target="https://doi.org/10.17730/0018-7259-77.2.112" TargetMode="External"/><Relationship Id="rId66" Type="http://schemas.openxmlformats.org/officeDocument/2006/relationships/hyperlink" Target="https://doi.org/10.16993/sjdr.1062" TargetMode="External"/><Relationship Id="rId74" Type="http://schemas.openxmlformats.org/officeDocument/2006/relationships/hyperlink" Target="https://doi.org/10.1111/bld.12492" TargetMode="External"/><Relationship Id="rId79" Type="http://schemas.openxmlformats.org/officeDocument/2006/relationships/customXml" Target="../customXml/item3.xml"/><Relationship Id="rId5" Type="http://schemas.openxmlformats.org/officeDocument/2006/relationships/webSettings" Target="webSettings.xml"/><Relationship Id="rId61" Type="http://schemas.openxmlformats.org/officeDocument/2006/relationships/hyperlink" Target="https://doi.org/10.4324/9781003180180" TargetMode="External"/><Relationship Id="rId19" Type="http://schemas.openxmlformats.org/officeDocument/2006/relationships/hyperlink" Target="https://doi.org/10.1007/978-981-16-8317-6_6" TargetMode="External"/><Relationship Id="rId14" Type="http://schemas.openxmlformats.org/officeDocument/2006/relationships/hyperlink" Target="https://doi.org/10.1007/978-981-15-0786-1_12" TargetMode="External"/><Relationship Id="rId22" Type="http://schemas.openxmlformats.org/officeDocument/2006/relationships/hyperlink" Target="https://doi.org/10.16993/sjdr.1051" TargetMode="External"/><Relationship Id="rId27" Type="http://schemas.openxmlformats.org/officeDocument/2006/relationships/hyperlink" Target="https://doi.org/10.3390/socsci13010063" TargetMode="External"/><Relationship Id="rId30" Type="http://schemas.openxmlformats.org/officeDocument/2006/relationships/hyperlink" Target="https://doi.org/10.16993/sjdr.734" TargetMode="External"/><Relationship Id="rId35" Type="http://schemas.openxmlformats.org/officeDocument/2006/relationships/hyperlink" Target="https://doi.org/10.16993/sjdr.730" TargetMode="External"/><Relationship Id="rId43" Type="http://schemas.openxmlformats.org/officeDocument/2006/relationships/hyperlink" Target="https://doi.org/10.1016/j.alter.2018.04.008" TargetMode="External"/><Relationship Id="rId48" Type="http://schemas.openxmlformats.org/officeDocument/2006/relationships/hyperlink" Target="https://doi.org/10.17645/si.v6i1.1180" TargetMode="External"/><Relationship Id="rId56" Type="http://schemas.openxmlformats.org/officeDocument/2006/relationships/hyperlink" Target="https://doi.org/10.3390/ijerph18010158" TargetMode="External"/><Relationship Id="rId64" Type="http://schemas.openxmlformats.org/officeDocument/2006/relationships/hyperlink" Target="https://doi.org/10.1177/0020872818819045" TargetMode="External"/><Relationship Id="rId69" Type="http://schemas.openxmlformats.org/officeDocument/2006/relationships/hyperlink" Target="https://doi.org/10.16993/sjdr.1062" TargetMode="External"/><Relationship Id="rId77" Type="http://schemas.openxmlformats.org/officeDocument/2006/relationships/theme" Target="theme/theme1.xml"/><Relationship Id="rId8" Type="http://schemas.openxmlformats.org/officeDocument/2006/relationships/hyperlink" Target="https://hi.is/uppskera" TargetMode="External"/><Relationship Id="rId51" Type="http://schemas.openxmlformats.org/officeDocument/2006/relationships/hyperlink" Target="https://doi.org/10.16993/sjdr.837" TargetMode="External"/><Relationship Id="rId72" Type="http://schemas.openxmlformats.org/officeDocument/2006/relationships/hyperlink" Target="https://doi.org/10.13169/intljofdissocjus.4.2.0091" TargetMode="External"/><Relationship Id="rId80" Type="http://schemas.openxmlformats.org/officeDocument/2006/relationships/customXml" Target="../customXml/item4.xml"/><Relationship Id="rId3" Type="http://schemas.openxmlformats.org/officeDocument/2006/relationships/styles" Target="styles.xml"/><Relationship Id="rId12" Type="http://schemas.openxmlformats.org/officeDocument/2006/relationships/hyperlink" Target="https://doi.org/10.24270/serritnetla.2022.81" TargetMode="External"/><Relationship Id="rId17" Type="http://schemas.openxmlformats.org/officeDocument/2006/relationships/hyperlink" Target="https://doi.org/10.1080/11038128.2023.2225755" TargetMode="External"/><Relationship Id="rId25" Type="http://schemas.openxmlformats.org/officeDocument/2006/relationships/hyperlink" Target="https://doi.org/10.1177/0959353518769947" TargetMode="External"/><Relationship Id="rId33" Type="http://schemas.openxmlformats.org/officeDocument/2006/relationships/hyperlink" Target="https://doi.org/10.16993/sjdr.730" TargetMode="External"/><Relationship Id="rId38" Type="http://schemas.openxmlformats.org/officeDocument/2006/relationships/hyperlink" Target="https://netla.hi.is/serrit/2014/fjolbreytileiki/004.pdf" TargetMode="External"/><Relationship Id="rId46" Type="http://schemas.openxmlformats.org/officeDocument/2006/relationships/hyperlink" Target="https://doi.org/10.3390/laws6040033" TargetMode="External"/><Relationship Id="rId59" Type="http://schemas.openxmlformats.org/officeDocument/2006/relationships/hyperlink" Target="https://doi.org/10.17645/si.v6i2.1344" TargetMode="External"/><Relationship Id="rId67" Type="http://schemas.openxmlformats.org/officeDocument/2006/relationships/hyperlink" Target="https://doi.org/10.17645/si.v11i1.5642" TargetMode="External"/><Relationship Id="rId20" Type="http://schemas.openxmlformats.org/officeDocument/2006/relationships/hyperlink" Target="https://data.europa.eu/doi/10.2767/832657" TargetMode="External"/><Relationship Id="rId41" Type="http://schemas.openxmlformats.org/officeDocument/2006/relationships/hyperlink" Target="https://doi.org/10.24270/netla.2024/14" TargetMode="External"/><Relationship Id="rId54" Type="http://schemas.openxmlformats.org/officeDocument/2006/relationships/hyperlink" Target="https://doi:10.13177/irpa.a.2017.13.1.4" TargetMode="External"/><Relationship Id="rId62" Type="http://schemas.openxmlformats.org/officeDocument/2006/relationships/hyperlink" Target="https://doi.org/10.3390/laws12020030" TargetMode="External"/><Relationship Id="rId70" Type="http://schemas.openxmlformats.org/officeDocument/2006/relationships/hyperlink" Target="https://doi.org/10.16993/sjdr.21"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6993/sjdr.868" TargetMode="External"/><Relationship Id="rId23" Type="http://schemas.openxmlformats.org/officeDocument/2006/relationships/hyperlink" Target="https://doi.org/10.16993/sjdr.821" TargetMode="External"/><Relationship Id="rId28" Type="http://schemas.openxmlformats.org/officeDocument/2006/relationships/hyperlink" Target="https://doi.org/10.1080/09687599.2023.2226317" TargetMode="External"/><Relationship Id="rId36" Type="http://schemas.openxmlformats.org/officeDocument/2006/relationships/hyperlink" Target="https://doi.org/10.16993/sjdr.1050" TargetMode="External"/><Relationship Id="rId49" Type="http://schemas.openxmlformats.org/officeDocument/2006/relationships/hyperlink" Target="https://doi.org/10.3390/laws8020011" TargetMode="External"/><Relationship Id="rId57" Type="http://schemas.openxmlformats.org/officeDocument/2006/relationships/hyperlink" Target="https://doi.org/10.1080/07409710.2019.1677398" TargetMode="External"/><Relationship Id="rId10" Type="http://schemas.openxmlformats.org/officeDocument/2006/relationships/hyperlink" Target="https://doi.org/10.1007/s11195-020-09643-2" TargetMode="External"/><Relationship Id="rId31" Type="http://schemas.openxmlformats.org/officeDocument/2006/relationships/hyperlink" Target="https://doi.org/10.5406/scanstud.92.4.0440" TargetMode="External"/><Relationship Id="rId44" Type="http://schemas.openxmlformats.org/officeDocument/2006/relationships/hyperlink" Target="https://doi.org/10.3390/books978-3-03897-251-8" TargetMode="External"/><Relationship Id="rId52" Type="http://schemas.openxmlformats.org/officeDocument/2006/relationships/hyperlink" Target="https://doi.org/10.1080/09638288.2022.2160835" TargetMode="External"/><Relationship Id="rId60" Type="http://schemas.openxmlformats.org/officeDocument/2006/relationships/hyperlink" Target="https://doi.org/10.1080/1081602X.2020.1751236" TargetMode="External"/><Relationship Id="rId65" Type="http://schemas.openxmlformats.org/officeDocument/2006/relationships/hyperlink" Target="https://doi.org/10.17645/si.v11i1.5642" TargetMode="External"/><Relationship Id="rId73" Type="http://schemas.openxmlformats.org/officeDocument/2006/relationships/hyperlink" Target="https://doi.org/10.16993/sjdr.820" TargetMode="External"/><Relationship Id="rId78"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s://cjds.uwaterloo.ca/index.php/cjds/article/view/1162" TargetMode="External"/><Relationship Id="rId13" Type="http://schemas.openxmlformats.org/officeDocument/2006/relationships/hyperlink" Target="https://doi.org/10.1080/15017419.2016.1261737" TargetMode="External"/><Relationship Id="rId18" Type="http://schemas.openxmlformats.org/officeDocument/2006/relationships/hyperlink" Target="https://doi.org/10.16993/sjdr.689" TargetMode="External"/><Relationship Id="rId39" Type="http://schemas.openxmlformats.org/officeDocument/2006/relationships/hyperlink" Target="https://www.cogitatiopress.com/socialinclusion/article/view/1210" TargetMode="External"/><Relationship Id="rId34" Type="http://schemas.openxmlformats.org/officeDocument/2006/relationships/hyperlink" Target="https://doi.org/10.1080/14427591.2021.1896570" TargetMode="External"/><Relationship Id="rId50" Type="http://schemas.openxmlformats.org/officeDocument/2006/relationships/hyperlink" Target="https://doi.org/10.1007/978-981-16-1278-7_7-1" TargetMode="External"/><Relationship Id="rId55" Type="http://schemas.openxmlformats.org/officeDocument/2006/relationships/hyperlink" Target="https://doi.org/10.1007/978-981-16-8317-6_7"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tandfonline.com/doi/abs/10.3109/11038128.2015.1105292" TargetMode="External"/><Relationship Id="rId2" Type="http://schemas.openxmlformats.org/officeDocument/2006/relationships/numbering" Target="numbering.xml"/><Relationship Id="rId29" Type="http://schemas.openxmlformats.org/officeDocument/2006/relationships/hyperlink" Target="https://doi.org/10.1177/17446295177146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2025-08-03T18:25:11+00:00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4F1D195-7938-4D00-BEB0-270F8FBF90C9}">
  <ds:schemaRefs>
    <ds:schemaRef ds:uri="http://schemas.openxmlformats.org/officeDocument/2006/bibliography"/>
  </ds:schemaRefs>
</ds:datastoreItem>
</file>

<file path=customXml/itemProps2.xml><?xml version="1.0" encoding="utf-8"?>
<ds:datastoreItem xmlns:ds="http://schemas.openxmlformats.org/officeDocument/2006/customXml" ds:itemID="{CBBB9234-E793-48EC-A6A9-76716968A931}"/>
</file>

<file path=customXml/itemProps3.xml><?xml version="1.0" encoding="utf-8"?>
<ds:datastoreItem xmlns:ds="http://schemas.openxmlformats.org/officeDocument/2006/customXml" ds:itemID="{D70C8ADF-89E3-4EED-9378-9B1998FE51EA}"/>
</file>

<file path=customXml/itemProps4.xml><?xml version="1.0" encoding="utf-8"?>
<ds:datastoreItem xmlns:ds="http://schemas.openxmlformats.org/officeDocument/2006/customXml" ds:itemID="{62C54FE9-9D15-4702-B944-06A05E7EF0DB}"/>
</file>

<file path=docProps/app.xml><?xml version="1.0" encoding="utf-8"?>
<Properties xmlns="http://schemas.openxmlformats.org/officeDocument/2006/extended-properties" xmlns:vt="http://schemas.openxmlformats.org/officeDocument/2006/docPropsVTypes">
  <Template>Normal</Template>
  <TotalTime>1</TotalTime>
  <Pages>101</Pages>
  <Words>32377</Words>
  <Characters>213591</Characters>
  <Application>Microsoft Office Word</Application>
  <DocSecurity>4</DocSecurity>
  <Lines>1779</Lines>
  <Paragraphs>490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Eiríkur Smith</dc:creator>
  <cp:keywords/>
  <dc:description/>
  <cp:lastModifiedBy>Jorge Araya</cp:lastModifiedBy>
  <cp:revision>2</cp:revision>
  <dcterms:created xsi:type="dcterms:W3CDTF">2025-08-03T18:25:00Z</dcterms:created>
  <dcterms:modified xsi:type="dcterms:W3CDTF">2025-08-03T18:25:00Z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73b8983b-bb7e-4f4b-b861-55da9d59b5b6</vt:lpwstr>
  </property>
  <property fmtid="{D5CDD505-2E9C-101B-9397-08002B2CF9AE}" pid="3" name="ContentTypeId">
    <vt:lpwstr>0x0101001A3F5FACD05E93499D4EAF05403D4F75</vt:lpwstr>
  </property>
</Properties>
</file>