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FC1C58" w:rsidRPr="00212184" w:rsidRDefault="00BB5435" w:rsidP="001A1EE5">
      <w:pPr>
        <w:spacing w:before="120" w:after="120" w:line="276" w:lineRule="auto"/>
        <w:jc w:val="both"/>
        <w:rPr>
          <w:rFonts w:ascii="Garamond" w:eastAsia="Times New Roman" w:hAnsi="Garamond" w:cs="Garamond"/>
          <w:sz w:val="24"/>
          <w:szCs w:val="24"/>
        </w:rPr>
      </w:pPr>
      <w:r>
        <w:rPr>
          <w:rFonts w:ascii="Times New Roman" w:eastAsia="Times New Roman" w:hAnsi="Times New Roman" w:cs="Garamond"/>
          <w:noProof/>
          <w:sz w:val="24"/>
          <w:szCs w:val="20"/>
          <w:lang w:eastAsia="fr-FR"/>
        </w:rPr>
        <mc:AlternateContent>
          <mc:Choice Requires="wps">
            <w:drawing>
              <wp:anchor distT="0" distB="0" distL="114300" distR="114300" simplePos="0" relativeHeight="251661312" behindDoc="0" locked="0" layoutInCell="1" allowOverlap="1" wp14:anchorId="77EE1929" wp14:editId="04483814">
                <wp:simplePos x="0" y="0"/>
                <wp:positionH relativeFrom="column">
                  <wp:posOffset>490855</wp:posOffset>
                </wp:positionH>
                <wp:positionV relativeFrom="paragraph">
                  <wp:posOffset>335915</wp:posOffset>
                </wp:positionV>
                <wp:extent cx="4476750" cy="1345565"/>
                <wp:effectExtent l="0" t="0" r="19050" b="26035"/>
                <wp:wrapNone/>
                <wp:docPr id="4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0" cy="1345565"/>
                        </a:xfrm>
                        <a:prstGeom prst="rect">
                          <a:avLst/>
                        </a:prstGeom>
                        <a:solidFill>
                          <a:srgbClr val="FFFFFF"/>
                        </a:solidFill>
                        <a:ln w="9525">
                          <a:solidFill>
                            <a:srgbClr val="000000"/>
                          </a:solidFill>
                          <a:miter lim="800000"/>
                          <a:headEnd/>
                          <a:tailEnd/>
                        </a:ln>
                      </wps:spPr>
                      <wps:txbx>
                        <w:txbxContent>
                          <w:p w:rsidR="005E13E2" w:rsidRPr="007034D6" w:rsidRDefault="005E13E2" w:rsidP="00FC1C58">
                            <w:pPr>
                              <w:pStyle w:val="Corpsdetexte"/>
                              <w:tabs>
                                <w:tab w:val="left" w:pos="9070"/>
                              </w:tabs>
                              <w:ind w:right="-2"/>
                              <w:jc w:val="center"/>
                              <w:rPr>
                                <w:bCs/>
                                <w:color w:val="000080"/>
                                <w:sz w:val="22"/>
                                <w:szCs w:val="22"/>
                              </w:rPr>
                            </w:pPr>
                            <w:r w:rsidRPr="007034D6">
                              <w:rPr>
                                <w:bCs/>
                                <w:color w:val="000080"/>
                                <w:sz w:val="22"/>
                                <w:szCs w:val="22"/>
                              </w:rPr>
                              <w:t>Fédération internationale de l’Action des ch</w:t>
                            </w:r>
                            <w:r>
                              <w:rPr>
                                <w:bCs/>
                                <w:color w:val="000080"/>
                                <w:sz w:val="22"/>
                                <w:szCs w:val="22"/>
                              </w:rPr>
                              <w:t>rétiens pour l’abolition de la t</w:t>
                            </w:r>
                            <w:r w:rsidRPr="007034D6">
                              <w:rPr>
                                <w:bCs/>
                                <w:color w:val="000080"/>
                                <w:sz w:val="22"/>
                                <w:szCs w:val="22"/>
                              </w:rPr>
                              <w:t>orture</w:t>
                            </w:r>
                          </w:p>
                          <w:p w:rsidR="005E13E2" w:rsidRPr="00887472" w:rsidRDefault="005E13E2" w:rsidP="00FC1C58">
                            <w:pPr>
                              <w:pStyle w:val="Corpsdetexte"/>
                              <w:tabs>
                                <w:tab w:val="center" w:pos="4536"/>
                                <w:tab w:val="left" w:pos="8160"/>
                                <w:tab w:val="left" w:pos="9498"/>
                              </w:tabs>
                              <w:ind w:right="-2"/>
                              <w:jc w:val="center"/>
                              <w:rPr>
                                <w:bCs/>
                                <w:color w:val="000080"/>
                                <w:sz w:val="22"/>
                                <w:szCs w:val="22"/>
                              </w:rPr>
                            </w:pPr>
                            <w:r>
                              <w:rPr>
                                <w:bCs/>
                                <w:color w:val="000080"/>
                                <w:sz w:val="22"/>
                                <w:szCs w:val="22"/>
                              </w:rPr>
                              <w:t>FIACAT</w:t>
                            </w:r>
                          </w:p>
                          <w:p w:rsidR="005E13E2" w:rsidRDefault="005E13E2" w:rsidP="00FC1C58">
                            <w:pPr>
                              <w:pStyle w:val="Corpsdetexte"/>
                              <w:tabs>
                                <w:tab w:val="left" w:pos="9498"/>
                              </w:tabs>
                              <w:ind w:right="-2"/>
                              <w:jc w:val="center"/>
                              <w:rPr>
                                <w:bCs/>
                                <w:color w:val="000080"/>
                                <w:sz w:val="22"/>
                                <w:szCs w:val="22"/>
                              </w:rPr>
                            </w:pPr>
                            <w:r w:rsidRPr="00887472">
                              <w:rPr>
                                <w:bCs/>
                                <w:color w:val="000080"/>
                                <w:sz w:val="22"/>
                                <w:szCs w:val="22"/>
                              </w:rPr>
                              <w:t>--------------------------</w:t>
                            </w:r>
                          </w:p>
                          <w:p w:rsidR="005E13E2" w:rsidRPr="009173F2" w:rsidRDefault="005E13E2" w:rsidP="00FC1C58">
                            <w:pPr>
                              <w:pStyle w:val="Corpsdetexte"/>
                              <w:tabs>
                                <w:tab w:val="left" w:pos="9498"/>
                              </w:tabs>
                              <w:ind w:right="-2"/>
                              <w:jc w:val="center"/>
                              <w:rPr>
                                <w:b/>
                                <w:bCs/>
                                <w:color w:val="00B050"/>
                                <w:sz w:val="22"/>
                                <w:szCs w:val="22"/>
                              </w:rPr>
                            </w:pPr>
                            <w:r w:rsidRPr="009173F2">
                              <w:rPr>
                                <w:b/>
                                <w:bCs/>
                                <w:color w:val="00B050"/>
                                <w:sz w:val="22"/>
                                <w:szCs w:val="22"/>
                              </w:rPr>
                              <w:t>Action des Chrétiens pour l’Abolition de la Torture  de Cote d’Ivoire</w:t>
                            </w:r>
                          </w:p>
                          <w:p w:rsidR="005E13E2" w:rsidRPr="001222F6" w:rsidRDefault="005E13E2" w:rsidP="00FC1C58">
                            <w:pPr>
                              <w:pStyle w:val="Corpsdetexte"/>
                              <w:tabs>
                                <w:tab w:val="left" w:pos="9498"/>
                              </w:tabs>
                              <w:ind w:right="-2"/>
                              <w:jc w:val="center"/>
                              <w:rPr>
                                <w:b/>
                                <w:bCs/>
                                <w:color w:val="00B050"/>
                                <w:sz w:val="22"/>
                                <w:szCs w:val="22"/>
                              </w:rPr>
                            </w:pPr>
                            <w:r w:rsidRPr="009173F2">
                              <w:rPr>
                                <w:b/>
                                <w:bCs/>
                                <w:color w:val="00B050"/>
                                <w:sz w:val="22"/>
                                <w:szCs w:val="22"/>
                              </w:rPr>
                              <w:t>ACAT CI</w:t>
                            </w:r>
                          </w:p>
                          <w:p w:rsidR="005E13E2" w:rsidRDefault="005E13E2" w:rsidP="00FC1C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E1929" id="Rectangle 2" o:spid="_x0000_s1026" style="position:absolute;left:0;text-align:left;margin-left:38.65pt;margin-top:26.45pt;width:352.5pt;height:10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">
                <v:textbox>
                  <w:txbxContent>
                    <w:p w:rsidR="005E13E2" w:rsidRPr="007034D6" w:rsidRDefault="005E13E2" w:rsidP="00FC1C58">
                      <w:pPr>
                        <w:pStyle w:val="Corpsdetexte"/>
                        <w:tabs>
                          <w:tab w:val="left" w:pos="9070"/>
                        </w:tabs>
                        <w:ind w:right="-2"/>
                        <w:jc w:val="center"/>
                        <w:rPr>
                          <w:bCs/>
                          <w:color w:val="000080"/>
                          <w:sz w:val="22"/>
                          <w:szCs w:val="22"/>
                        </w:rPr>
                      </w:pPr>
                      <w:r w:rsidRPr="007034D6">
                        <w:rPr>
                          <w:bCs/>
                          <w:color w:val="000080"/>
                          <w:sz w:val="22"/>
                          <w:szCs w:val="22"/>
                        </w:rPr>
                        <w:t>Fédération internationale de l’Action des ch</w:t>
                      </w:r>
                      <w:r>
                        <w:rPr>
                          <w:bCs/>
                          <w:color w:val="000080"/>
                          <w:sz w:val="22"/>
                          <w:szCs w:val="22"/>
                        </w:rPr>
                        <w:t>rétiens pour l’abolition de la t</w:t>
                      </w:r>
                      <w:r w:rsidRPr="007034D6">
                        <w:rPr>
                          <w:bCs/>
                          <w:color w:val="000080"/>
                          <w:sz w:val="22"/>
                          <w:szCs w:val="22"/>
                        </w:rPr>
                        <w:t>orture</w:t>
                      </w:r>
                    </w:p>
                    <w:p w:rsidR="005E13E2" w:rsidRPr="00887472" w:rsidRDefault="005E13E2" w:rsidP="00FC1C58">
                      <w:pPr>
                        <w:pStyle w:val="Corpsdetexte"/>
                        <w:tabs>
                          <w:tab w:val="center" w:pos="4536"/>
                          <w:tab w:val="left" w:pos="8160"/>
                          <w:tab w:val="left" w:pos="9498"/>
                        </w:tabs>
                        <w:ind w:right="-2"/>
                        <w:jc w:val="center"/>
                        <w:rPr>
                          <w:bCs/>
                          <w:color w:val="000080"/>
                          <w:sz w:val="22"/>
                          <w:szCs w:val="22"/>
                        </w:rPr>
                      </w:pPr>
                      <w:r>
                        <w:rPr>
                          <w:bCs/>
                          <w:color w:val="000080"/>
                          <w:sz w:val="22"/>
                          <w:szCs w:val="22"/>
                        </w:rPr>
                        <w:t>FIACAT</w:t>
                      </w:r>
                    </w:p>
                    <w:p w:rsidR="005E13E2" w:rsidRDefault="005E13E2" w:rsidP="00FC1C58">
                      <w:pPr>
                        <w:pStyle w:val="Corpsdetexte"/>
                        <w:tabs>
                          <w:tab w:val="left" w:pos="9498"/>
                        </w:tabs>
                        <w:ind w:right="-2"/>
                        <w:jc w:val="center"/>
                        <w:rPr>
                          <w:bCs/>
                          <w:color w:val="000080"/>
                          <w:sz w:val="22"/>
                          <w:szCs w:val="22"/>
                        </w:rPr>
                      </w:pPr>
                      <w:r w:rsidRPr="00887472">
                        <w:rPr>
                          <w:bCs/>
                          <w:color w:val="000080"/>
                          <w:sz w:val="22"/>
                          <w:szCs w:val="22"/>
                        </w:rPr>
                        <w:t>--------------------------</w:t>
                      </w:r>
                    </w:p>
                    <w:p w:rsidR="005E13E2" w:rsidRPr="009173F2" w:rsidRDefault="005E13E2" w:rsidP="00FC1C58">
                      <w:pPr>
                        <w:pStyle w:val="Corpsdetexte"/>
                        <w:tabs>
                          <w:tab w:val="left" w:pos="9498"/>
                        </w:tabs>
                        <w:ind w:right="-2"/>
                        <w:jc w:val="center"/>
                        <w:rPr>
                          <w:b/>
                          <w:bCs/>
                          <w:color w:val="00B050"/>
                          <w:sz w:val="22"/>
                          <w:szCs w:val="22"/>
                        </w:rPr>
                      </w:pPr>
                      <w:r w:rsidRPr="009173F2">
                        <w:rPr>
                          <w:b/>
                          <w:bCs/>
                          <w:color w:val="00B050"/>
                          <w:sz w:val="22"/>
                          <w:szCs w:val="22"/>
                        </w:rPr>
                        <w:t>Action des Chrétiens pour l’Abolition de la Torture  de Cote d’Ivoire</w:t>
                      </w:r>
                    </w:p>
                    <w:p w:rsidR="005E13E2" w:rsidRPr="001222F6" w:rsidRDefault="005E13E2" w:rsidP="00FC1C58">
                      <w:pPr>
                        <w:pStyle w:val="Corpsdetexte"/>
                        <w:tabs>
                          <w:tab w:val="left" w:pos="9498"/>
                        </w:tabs>
                        <w:ind w:right="-2"/>
                        <w:jc w:val="center"/>
                        <w:rPr>
                          <w:b/>
                          <w:bCs/>
                          <w:color w:val="00B050"/>
                          <w:sz w:val="22"/>
                          <w:szCs w:val="22"/>
                        </w:rPr>
                      </w:pPr>
                      <w:r w:rsidRPr="009173F2">
                        <w:rPr>
                          <w:b/>
                          <w:bCs/>
                          <w:color w:val="00B050"/>
                          <w:sz w:val="22"/>
                          <w:szCs w:val="22"/>
                        </w:rPr>
                        <w:t>ACAT CI</w:t>
                      </w:r>
                    </w:p>
                    <w:p w:rsidR="005E13E2" w:rsidRDefault="005E13E2" w:rsidP="00FC1C58"/>
                  </w:txbxContent>
                </v:textbox>
              </v:rect>
            </w:pict>
          </mc:Fallback>
        </mc:AlternateContent>
      </w:r>
      <w:r w:rsidR="00FC1C58" w:rsidRPr="00212184">
        <w:rPr>
          <w:rFonts w:ascii="Garamond" w:eastAsia="Times New Roman" w:hAnsi="Garamond" w:cs="Garamond"/>
          <w:noProof/>
          <w:sz w:val="24"/>
          <w:szCs w:val="24"/>
          <w:lang w:eastAsia="fr-FR"/>
        </w:rPr>
        <w:drawing>
          <wp:anchor distT="0" distB="0" distL="114300" distR="114300" simplePos="0" relativeHeight="251660288" behindDoc="1" locked="0" layoutInCell="1" allowOverlap="1" wp14:anchorId="619C063E" wp14:editId="39A87475">
            <wp:simplePos x="0" y="0"/>
            <wp:positionH relativeFrom="column">
              <wp:posOffset>-175895</wp:posOffset>
            </wp:positionH>
            <wp:positionV relativeFrom="paragraph">
              <wp:posOffset>271780</wp:posOffset>
            </wp:positionV>
            <wp:extent cx="666750" cy="1485900"/>
            <wp:effectExtent l="19050" t="0" r="0" b="0"/>
            <wp:wrapNone/>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srcRect/>
                    <a:stretch>
                      <a:fillRect/>
                    </a:stretch>
                  </pic:blipFill>
                  <pic:spPr bwMode="auto">
                    <a:xfrm>
                      <a:off x="0" y="0"/>
                      <a:ext cx="666750" cy="1485900"/>
                    </a:xfrm>
                    <a:prstGeom prst="rect">
                      <a:avLst/>
                    </a:prstGeom>
                    <a:noFill/>
                    <a:ln w="9525">
                      <a:noFill/>
                      <a:miter lim="800000"/>
                      <a:headEnd/>
                      <a:tailEnd/>
                    </a:ln>
                  </pic:spPr>
                </pic:pic>
              </a:graphicData>
            </a:graphic>
          </wp:anchor>
        </w:drawing>
      </w:r>
      <w:r w:rsidR="00FC1C58" w:rsidRPr="00212184">
        <w:rPr>
          <w:rFonts w:ascii="Garamond" w:eastAsia="Times New Roman" w:hAnsi="Garamond" w:cs="Garamond"/>
          <w:sz w:val="24"/>
          <w:szCs w:val="24"/>
        </w:rPr>
        <w:tab/>
      </w:r>
      <w:r w:rsidR="00FC1C58" w:rsidRPr="00212184">
        <w:rPr>
          <w:rFonts w:ascii="Garamond" w:eastAsia="Times New Roman" w:hAnsi="Garamond" w:cs="Garamond"/>
          <w:sz w:val="24"/>
          <w:szCs w:val="24"/>
        </w:rPr>
        <w:tab/>
      </w:r>
      <w:r w:rsidR="00FC1C58" w:rsidRPr="00212184">
        <w:rPr>
          <w:rFonts w:ascii="Garamond" w:eastAsia="Times New Roman" w:hAnsi="Garamond" w:cs="Garamond"/>
          <w:sz w:val="24"/>
          <w:szCs w:val="24"/>
        </w:rPr>
        <w:tab/>
      </w:r>
      <w:r w:rsidR="00FC1C58" w:rsidRPr="00212184">
        <w:rPr>
          <w:rFonts w:ascii="Garamond" w:eastAsia="Times New Roman" w:hAnsi="Garamond" w:cs="Garamond"/>
          <w:sz w:val="24"/>
          <w:szCs w:val="24"/>
        </w:rPr>
        <w:tab/>
      </w:r>
    </w:p>
    <w:p w:rsidR="00FC1C58" w:rsidRPr="00212184" w:rsidRDefault="00FC1C58" w:rsidP="001A1EE5">
      <w:pPr>
        <w:tabs>
          <w:tab w:val="left" w:pos="9070"/>
        </w:tabs>
        <w:spacing w:before="120" w:after="120" w:line="276" w:lineRule="auto"/>
        <w:ind w:right="-2"/>
        <w:jc w:val="center"/>
        <w:rPr>
          <w:rFonts w:ascii="Times New Roman" w:eastAsia="Times" w:hAnsi="Times New Roman" w:cs="Times New Roman"/>
          <w:bCs/>
          <w:color w:val="000080"/>
        </w:rPr>
      </w:pPr>
      <w:r w:rsidRPr="00212184">
        <w:rPr>
          <w:rFonts w:ascii="Times New Roman" w:eastAsia="Times" w:hAnsi="Times New Roman" w:cs="Times New Roman"/>
          <w:noProof/>
          <w:sz w:val="24"/>
          <w:szCs w:val="24"/>
          <w:lang w:eastAsia="fr-FR"/>
        </w:rPr>
        <w:t xml:space="preserve">                                                                                                                                 </w:t>
      </w:r>
      <w:r w:rsidRPr="00212184">
        <w:rPr>
          <w:rFonts w:ascii="Times New Roman" w:eastAsia="Times" w:hAnsi="Times New Roman" w:cs="Times New Roman"/>
          <w:bCs/>
          <w:color w:val="000080"/>
        </w:rPr>
        <w:t xml:space="preserve"> </w:t>
      </w:r>
      <w:r w:rsidRPr="00212184">
        <w:rPr>
          <w:rFonts w:ascii="Times New Roman" w:eastAsia="Times" w:hAnsi="Times New Roman" w:cs="Times New Roman"/>
          <w:bCs/>
          <w:noProof/>
          <w:color w:val="000080"/>
          <w:lang w:eastAsia="fr-FR"/>
        </w:rPr>
        <w:drawing>
          <wp:inline distT="0" distB="0" distL="0" distR="0" wp14:anchorId="0E88709E" wp14:editId="23551526">
            <wp:extent cx="768350" cy="1426210"/>
            <wp:effectExtent l="19050" t="0" r="0" b="0"/>
            <wp:docPr id="3" name="Image 1" descr="C:\Users\ACER\Desktop\Logo Cote d'ivo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ACER\Desktop\Logo Cote d'ivoire.jpg"/>
                    <pic:cNvPicPr>
                      <a:picLocks noChangeAspect="1" noChangeArrowheads="1"/>
                    </pic:cNvPicPr>
                  </pic:nvPicPr>
                  <pic:blipFill>
                    <a:blip r:embed="rId9" cstate="print"/>
                    <a:srcRect/>
                    <a:stretch>
                      <a:fillRect/>
                    </a:stretch>
                  </pic:blipFill>
                  <pic:spPr bwMode="auto">
                    <a:xfrm>
                      <a:off x="0" y="0"/>
                      <a:ext cx="768350" cy="1426210"/>
                    </a:xfrm>
                    <a:prstGeom prst="rect">
                      <a:avLst/>
                    </a:prstGeom>
                    <a:noFill/>
                    <a:ln w="9525">
                      <a:noFill/>
                      <a:miter lim="800000"/>
                      <a:headEnd/>
                      <a:tailEnd/>
                    </a:ln>
                  </pic:spPr>
                </pic:pic>
              </a:graphicData>
            </a:graphic>
          </wp:inline>
        </w:drawing>
      </w:r>
    </w:p>
    <w:p w:rsidR="00FC1C58" w:rsidRPr="00212184" w:rsidRDefault="00FC1C58">
      <w:pPr>
        <w:spacing w:before="120" w:after="120" w:line="276" w:lineRule="auto"/>
        <w:jc w:val="both"/>
        <w:rPr>
          <w:rFonts w:ascii="Garamond" w:eastAsia="Times New Roman" w:hAnsi="Garamond" w:cs="Garamond"/>
          <w:sz w:val="24"/>
          <w:szCs w:val="24"/>
        </w:rPr>
      </w:pPr>
    </w:p>
    <w:p w:rsidR="00FC1C58" w:rsidRPr="00212184" w:rsidRDefault="00FC1C58">
      <w:pPr>
        <w:spacing w:before="120" w:after="120" w:line="276" w:lineRule="auto"/>
        <w:jc w:val="both"/>
        <w:rPr>
          <w:rFonts w:ascii="Garamond" w:eastAsia="Times New Roman" w:hAnsi="Garamond" w:cs="Garamond"/>
          <w:sz w:val="24"/>
          <w:szCs w:val="24"/>
        </w:rPr>
      </w:pPr>
    </w:p>
    <w:p w:rsidR="00FC1C58" w:rsidRPr="00212184" w:rsidRDefault="00FC1C58">
      <w:pPr>
        <w:spacing w:before="120" w:after="120" w:line="276" w:lineRule="auto"/>
        <w:jc w:val="both"/>
        <w:rPr>
          <w:rFonts w:ascii="Garamond" w:eastAsia="Times New Roman" w:hAnsi="Garamond" w:cs="Garamond"/>
          <w:sz w:val="24"/>
          <w:szCs w:val="24"/>
        </w:rPr>
      </w:pPr>
    </w:p>
    <w:p w:rsidR="00FC1C58" w:rsidRPr="00212184" w:rsidRDefault="00FC1C58">
      <w:pPr>
        <w:pBdr>
          <w:top w:val="single" w:sz="4" w:space="1" w:color="auto"/>
          <w:left w:val="single" w:sz="4" w:space="4" w:color="auto"/>
          <w:bottom w:val="single" w:sz="4" w:space="1" w:color="auto"/>
          <w:right w:val="single" w:sz="4" w:space="4" w:color="auto"/>
        </w:pBdr>
        <w:spacing w:before="120" w:after="120" w:line="276" w:lineRule="auto"/>
        <w:jc w:val="center"/>
        <w:rPr>
          <w:rFonts w:ascii="Garamond" w:eastAsia="Times New Roman" w:hAnsi="Garamond" w:cs="Garamond"/>
          <w:sz w:val="24"/>
          <w:szCs w:val="24"/>
        </w:rPr>
      </w:pPr>
    </w:p>
    <w:p w:rsidR="00FC1C58" w:rsidRPr="00212184" w:rsidRDefault="00FC1C58">
      <w:pPr>
        <w:pBdr>
          <w:top w:val="single" w:sz="4" w:space="1" w:color="auto"/>
          <w:left w:val="single" w:sz="4" w:space="4" w:color="auto"/>
          <w:bottom w:val="single" w:sz="4" w:space="1" w:color="auto"/>
          <w:right w:val="single" w:sz="4" w:space="4" w:color="auto"/>
        </w:pBdr>
        <w:spacing w:before="120" w:after="120" w:line="276" w:lineRule="auto"/>
        <w:jc w:val="center"/>
        <w:rPr>
          <w:rFonts w:ascii="Garamond" w:eastAsia="Times New Roman" w:hAnsi="Garamond" w:cs="Garamond"/>
          <w:b/>
          <w:sz w:val="36"/>
          <w:szCs w:val="24"/>
        </w:rPr>
      </w:pPr>
      <w:r w:rsidRPr="00212184">
        <w:rPr>
          <w:rFonts w:ascii="Garamond" w:eastAsia="Times New Roman" w:hAnsi="Garamond" w:cs="Garamond"/>
          <w:b/>
          <w:sz w:val="36"/>
          <w:szCs w:val="24"/>
        </w:rPr>
        <w:t xml:space="preserve">RAPPORT ALTERNATIF </w:t>
      </w:r>
    </w:p>
    <w:p w:rsidR="00FC1C58" w:rsidRPr="00212184" w:rsidRDefault="00FC1C58">
      <w:pPr>
        <w:pBdr>
          <w:top w:val="single" w:sz="4" w:space="1" w:color="auto"/>
          <w:left w:val="single" w:sz="4" w:space="4" w:color="auto"/>
          <w:bottom w:val="single" w:sz="4" w:space="1" w:color="auto"/>
          <w:right w:val="single" w:sz="4" w:space="4" w:color="auto"/>
        </w:pBdr>
        <w:spacing w:before="120" w:after="120" w:line="276" w:lineRule="auto"/>
        <w:jc w:val="center"/>
        <w:rPr>
          <w:rFonts w:ascii="Garamond" w:eastAsia="Times New Roman" w:hAnsi="Garamond" w:cs="Garamond"/>
          <w:b/>
          <w:sz w:val="36"/>
          <w:szCs w:val="24"/>
        </w:rPr>
      </w:pPr>
      <w:r w:rsidRPr="00212184">
        <w:rPr>
          <w:rFonts w:ascii="Garamond" w:eastAsia="Times New Roman" w:hAnsi="Garamond" w:cs="Garamond"/>
          <w:b/>
          <w:sz w:val="36"/>
          <w:szCs w:val="24"/>
        </w:rPr>
        <w:t>de la FIACAT et de l’ACAT Côte d’Ivoire en réponse aux  rapports initial et périodiques cumulés du gouvernement ivoirien sur la mise en œuvre du Pacte international relatif aux droits civils et politiques devant le Comité des droits de  l’homme des Nations Unies</w:t>
      </w:r>
    </w:p>
    <w:p w:rsidR="00FC1C58" w:rsidRPr="00212184" w:rsidRDefault="00FC1C58">
      <w:pPr>
        <w:pBdr>
          <w:top w:val="single" w:sz="4" w:space="1" w:color="auto"/>
          <w:left w:val="single" w:sz="4" w:space="4" w:color="auto"/>
          <w:bottom w:val="single" w:sz="4" w:space="1" w:color="auto"/>
          <w:right w:val="single" w:sz="4" w:space="4" w:color="auto"/>
        </w:pBd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b/>
          <w:sz w:val="32"/>
          <w:szCs w:val="24"/>
        </w:rPr>
      </w:pPr>
      <w:r w:rsidRPr="00212184">
        <w:rPr>
          <w:rFonts w:ascii="Garamond" w:eastAsia="Times New Roman" w:hAnsi="Garamond" w:cs="Garamond"/>
          <w:b/>
          <w:sz w:val="32"/>
          <w:szCs w:val="24"/>
        </w:rPr>
        <w:t>Comité des droits de l’homme des Nations Unies</w:t>
      </w:r>
    </w:p>
    <w:p w:rsidR="00FC1C58" w:rsidRPr="00212184" w:rsidRDefault="00FC1C58">
      <w:pPr>
        <w:spacing w:before="120" w:after="120" w:line="276" w:lineRule="auto"/>
        <w:jc w:val="center"/>
        <w:rPr>
          <w:rFonts w:ascii="Garamond" w:eastAsia="Times New Roman" w:hAnsi="Garamond" w:cs="Garamond"/>
          <w:b/>
          <w:sz w:val="32"/>
          <w:szCs w:val="24"/>
        </w:rPr>
      </w:pPr>
    </w:p>
    <w:p w:rsidR="00FC1C58" w:rsidRPr="00212184" w:rsidRDefault="00FC1C58">
      <w:pPr>
        <w:spacing w:before="120" w:after="120" w:line="276" w:lineRule="auto"/>
        <w:jc w:val="center"/>
        <w:rPr>
          <w:rFonts w:ascii="Garamond" w:eastAsia="Times New Roman" w:hAnsi="Garamond" w:cs="Garamond"/>
          <w:b/>
          <w:sz w:val="32"/>
          <w:szCs w:val="24"/>
        </w:rPr>
      </w:pPr>
      <w:r w:rsidRPr="00212184">
        <w:rPr>
          <w:rFonts w:ascii="Garamond" w:eastAsia="Times New Roman" w:hAnsi="Garamond" w:cs="Garamond"/>
          <w:b/>
          <w:sz w:val="32"/>
          <w:szCs w:val="24"/>
        </w:rPr>
        <w:t>113</w:t>
      </w:r>
      <w:r w:rsidRPr="00212184">
        <w:rPr>
          <w:rFonts w:ascii="Garamond" w:eastAsia="Times New Roman" w:hAnsi="Garamond" w:cs="Garamond"/>
          <w:b/>
          <w:sz w:val="32"/>
          <w:szCs w:val="24"/>
          <w:vertAlign w:val="superscript"/>
        </w:rPr>
        <w:t>ème</w:t>
      </w:r>
      <w:r w:rsidRPr="00212184">
        <w:rPr>
          <w:rFonts w:ascii="Garamond" w:eastAsia="Times New Roman" w:hAnsi="Garamond" w:cs="Garamond"/>
          <w:b/>
          <w:sz w:val="32"/>
          <w:szCs w:val="24"/>
        </w:rPr>
        <w:t xml:space="preserve"> session Mars 2015 </w:t>
      </w:r>
    </w:p>
    <w:p w:rsidR="00FC1C58" w:rsidRPr="00212184" w:rsidRDefault="00FC1C58">
      <w:pPr>
        <w:spacing w:before="120" w:after="120" w:line="276" w:lineRule="auto"/>
        <w:jc w:val="center"/>
        <w:rPr>
          <w:rFonts w:ascii="Garamond" w:eastAsia="Times New Roman" w:hAnsi="Garamond" w:cs="Garamond"/>
          <w:b/>
          <w:sz w:val="32"/>
          <w:szCs w:val="24"/>
        </w:rPr>
      </w:pPr>
    </w:p>
    <w:p w:rsidR="00FC1C58" w:rsidRPr="00212184" w:rsidRDefault="00FC1C58">
      <w:pPr>
        <w:spacing w:before="120" w:after="120" w:line="276" w:lineRule="auto"/>
        <w:jc w:val="center"/>
        <w:rPr>
          <w:rFonts w:ascii="Garamond" w:eastAsia="Times New Roman" w:hAnsi="Garamond" w:cs="Garamond"/>
          <w:b/>
          <w:sz w:val="32"/>
          <w:szCs w:val="24"/>
        </w:rPr>
      </w:pPr>
    </w:p>
    <w:p w:rsidR="00FC1C58" w:rsidRPr="00212184" w:rsidRDefault="00FC1C58">
      <w:pPr>
        <w:spacing w:before="120" w:after="120" w:line="276" w:lineRule="auto"/>
        <w:jc w:val="center"/>
        <w:rPr>
          <w:rFonts w:ascii="Garamond" w:eastAsia="Times New Roman" w:hAnsi="Garamond" w:cs="Garamond"/>
          <w:b/>
          <w:sz w:val="32"/>
          <w:szCs w:val="24"/>
        </w:rPr>
      </w:pPr>
    </w:p>
    <w:p w:rsidR="00FC1C58" w:rsidRPr="00212184" w:rsidRDefault="00FC1C58">
      <w:pPr>
        <w:spacing w:before="120" w:after="120" w:line="276" w:lineRule="auto"/>
        <w:jc w:val="center"/>
        <w:rPr>
          <w:rFonts w:ascii="Garamond" w:eastAsia="Times New Roman" w:hAnsi="Garamond" w:cs="Garamond"/>
          <w:b/>
          <w:sz w:val="32"/>
          <w:szCs w:val="24"/>
        </w:rPr>
      </w:pPr>
      <w:r w:rsidRPr="00212184">
        <w:rPr>
          <w:rFonts w:ascii="Garamond" w:eastAsia="Times New Roman" w:hAnsi="Garamond" w:cs="Garamond"/>
          <w:b/>
          <w:sz w:val="32"/>
          <w:szCs w:val="24"/>
        </w:rPr>
        <w:t xml:space="preserve">Février 2015 </w:t>
      </w:r>
    </w:p>
    <w:p w:rsidR="00FC1C58" w:rsidRPr="00212184" w:rsidRDefault="00FC1C58">
      <w:pP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sz w:val="24"/>
          <w:szCs w:val="24"/>
        </w:rPr>
      </w:pPr>
    </w:p>
    <w:p w:rsidR="00FC1C58" w:rsidRPr="00212184" w:rsidRDefault="00FC1C58">
      <w:pPr>
        <w:spacing w:before="120" w:after="120" w:line="276" w:lineRule="auto"/>
        <w:jc w:val="center"/>
        <w:rPr>
          <w:rFonts w:ascii="Garamond" w:eastAsia="Times New Roman" w:hAnsi="Garamond" w:cs="Garamond"/>
          <w:sz w:val="24"/>
          <w:szCs w:val="24"/>
        </w:rPr>
      </w:pPr>
      <w:r w:rsidRPr="00212184">
        <w:rPr>
          <w:rFonts w:ascii="Garamond" w:eastAsia="Times New Roman" w:hAnsi="Garamond" w:cs="Garamond"/>
          <w:noProof/>
          <w:sz w:val="24"/>
          <w:szCs w:val="24"/>
          <w:lang w:eastAsia="fr-FR"/>
        </w:rPr>
        <w:drawing>
          <wp:inline distT="0" distB="0" distL="0" distR="0" wp14:anchorId="12190BAE" wp14:editId="65E1C084">
            <wp:extent cx="5759948" cy="6400800"/>
            <wp:effectExtent l="19050" t="0" r="0" b="0"/>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5760720" cy="6401658"/>
                    </a:xfrm>
                    <a:prstGeom prst="rect">
                      <a:avLst/>
                    </a:prstGeom>
                    <a:noFill/>
                    <a:ln w="9525">
                      <a:noFill/>
                      <a:miter lim="800000"/>
                      <a:headEnd/>
                      <a:tailEnd/>
                    </a:ln>
                  </pic:spPr>
                </pic:pic>
              </a:graphicData>
            </a:graphic>
          </wp:inline>
        </w:drawing>
      </w:r>
    </w:p>
    <w:p w:rsidR="00FC1C58" w:rsidRPr="00212184" w:rsidRDefault="00FC1C58">
      <w:pPr>
        <w:spacing w:before="120" w:after="120" w:line="276" w:lineRule="auto"/>
        <w:jc w:val="both"/>
        <w:outlineLvl w:val="0"/>
        <w:rPr>
          <w:rFonts w:ascii="Garamond" w:eastAsia="Times New Roman" w:hAnsi="Garamond" w:cs="Times New Roman"/>
          <w:b/>
          <w:sz w:val="32"/>
          <w:szCs w:val="24"/>
        </w:rPr>
      </w:pPr>
      <w:r w:rsidRPr="00212184">
        <w:rPr>
          <w:rFonts w:ascii="Garamond" w:eastAsia="Times New Roman" w:hAnsi="Garamond" w:cs="Times New Roman"/>
          <w:b/>
          <w:sz w:val="32"/>
          <w:szCs w:val="24"/>
        </w:rPr>
        <w:br w:type="page"/>
      </w:r>
      <w:bookmarkStart w:id="1" w:name="_Toc386019475"/>
      <w:bookmarkStart w:id="2" w:name="_Toc386036402"/>
      <w:bookmarkStart w:id="3" w:name="_Toc386187664"/>
      <w:bookmarkStart w:id="4" w:name="_Toc386199959"/>
    </w:p>
    <w:p w:rsidR="00FC1C58" w:rsidRPr="00212184" w:rsidRDefault="00FC1C58">
      <w:pPr>
        <w:spacing w:before="120" w:after="120" w:line="276" w:lineRule="auto"/>
        <w:jc w:val="both"/>
        <w:outlineLvl w:val="0"/>
        <w:rPr>
          <w:rFonts w:ascii="Garamond" w:eastAsia="Times New Roman" w:hAnsi="Garamond" w:cs="Times New Roman"/>
          <w:b/>
          <w:sz w:val="32"/>
          <w:szCs w:val="24"/>
        </w:rPr>
      </w:pPr>
    </w:p>
    <w:p w:rsidR="00FC1C58" w:rsidRPr="00212184" w:rsidRDefault="00FC1C58" w:rsidP="00304045">
      <w:pPr>
        <w:spacing w:line="276" w:lineRule="auto"/>
        <w:rPr>
          <w:i/>
          <w:sz w:val="24"/>
        </w:rPr>
      </w:pPr>
      <w:bookmarkStart w:id="5" w:name="_Toc386200894"/>
      <w:r w:rsidRPr="00304045">
        <w:rPr>
          <w:rFonts w:ascii="Garamond" w:hAnsi="Garamond"/>
          <w:b/>
          <w:sz w:val="28"/>
        </w:rPr>
        <w:t>Contacts :</w:t>
      </w:r>
      <w:bookmarkEnd w:id="5"/>
    </w:p>
    <w:tbl>
      <w:tblPr>
        <w:tblW w:w="14141" w:type="dxa"/>
        <w:tblLook w:val="01E0" w:firstRow="1" w:lastRow="1" w:firstColumn="1" w:lastColumn="1" w:noHBand="0" w:noVBand="0"/>
      </w:tblPr>
      <w:tblGrid>
        <w:gridCol w:w="8188"/>
        <w:gridCol w:w="5953"/>
      </w:tblGrid>
      <w:tr w:rsidR="00FC1C58" w:rsidRPr="00212184" w:rsidTr="00304045">
        <w:tc>
          <w:tcPr>
            <w:tcW w:w="8188" w:type="dxa"/>
            <w:shd w:val="clear" w:color="auto" w:fill="auto"/>
          </w:tcPr>
          <w:p w:rsidR="00BB5435" w:rsidRPr="00BB5435" w:rsidRDefault="00BB5435" w:rsidP="00304045">
            <w:pPr>
              <w:spacing w:after="0" w:line="276" w:lineRule="auto"/>
              <w:jc w:val="both"/>
              <w:rPr>
                <w:rFonts w:ascii="Garamond" w:eastAsia="Times" w:hAnsi="Garamond" w:cs="Garamond"/>
                <w:b/>
                <w:sz w:val="24"/>
                <w:szCs w:val="24"/>
              </w:rPr>
            </w:pPr>
            <w:r w:rsidRPr="00BB5435">
              <w:rPr>
                <w:rFonts w:ascii="Garamond" w:eastAsia="Times" w:hAnsi="Garamond" w:cs="Garamond"/>
                <w:b/>
                <w:sz w:val="24"/>
                <w:szCs w:val="24"/>
              </w:rPr>
              <w:t>FIACAT Représentation de la FIACAT auprès des Nations Unies à Genève</w:t>
            </w:r>
          </w:p>
          <w:p w:rsidR="00BB5435" w:rsidRPr="00304045" w:rsidRDefault="00BB5435" w:rsidP="00304045">
            <w:pPr>
              <w:spacing w:after="0" w:line="276" w:lineRule="auto"/>
              <w:jc w:val="both"/>
              <w:rPr>
                <w:rFonts w:ascii="Garamond" w:eastAsia="Times" w:hAnsi="Garamond" w:cs="Garamond"/>
                <w:b/>
                <w:i/>
                <w:sz w:val="24"/>
                <w:szCs w:val="24"/>
                <w:lang w:val="en-GB"/>
              </w:rPr>
            </w:pPr>
            <w:r w:rsidRPr="00304045">
              <w:rPr>
                <w:rFonts w:ascii="Garamond" w:eastAsia="Times" w:hAnsi="Garamond" w:cs="Garamond"/>
                <w:b/>
                <w:i/>
                <w:sz w:val="24"/>
                <w:szCs w:val="24"/>
                <w:lang w:val="en-GB"/>
              </w:rPr>
              <w:t>Lionel GRASSY</w:t>
            </w:r>
          </w:p>
          <w:p w:rsidR="00BB5435" w:rsidRPr="00304045" w:rsidRDefault="00BB5435" w:rsidP="00304045">
            <w:pPr>
              <w:spacing w:after="0" w:line="276" w:lineRule="auto"/>
              <w:jc w:val="both"/>
              <w:rPr>
                <w:rFonts w:ascii="Garamond" w:eastAsia="Times" w:hAnsi="Garamond" w:cs="Garamond"/>
                <w:b/>
                <w:sz w:val="24"/>
                <w:szCs w:val="24"/>
                <w:lang w:val="en-GB"/>
              </w:rPr>
            </w:pPr>
            <w:r w:rsidRPr="00304045">
              <w:rPr>
                <w:rFonts w:ascii="Garamond" w:eastAsia="Times" w:hAnsi="Garamond" w:cs="Garamond"/>
                <w:b/>
                <w:sz w:val="24"/>
                <w:szCs w:val="24"/>
                <w:lang w:val="en-GB"/>
              </w:rPr>
              <w:t>Tél.</w:t>
            </w:r>
            <w:r w:rsidR="00517B3C">
              <w:rPr>
                <w:rFonts w:ascii="Garamond" w:eastAsia="Times" w:hAnsi="Garamond" w:cs="Garamond"/>
                <w:b/>
                <w:sz w:val="24"/>
                <w:szCs w:val="24"/>
                <w:lang w:val="en-GB"/>
              </w:rPr>
              <w:t xml:space="preserve"> :</w:t>
            </w:r>
            <w:r w:rsidRPr="00304045">
              <w:rPr>
                <w:rFonts w:ascii="Garamond" w:eastAsia="Times" w:hAnsi="Garamond" w:cs="Garamond"/>
                <w:b/>
                <w:sz w:val="24"/>
                <w:szCs w:val="24"/>
                <w:lang w:val="en-GB"/>
              </w:rPr>
              <w:t xml:space="preserve"> </w:t>
            </w:r>
            <w:r w:rsidRPr="00304045">
              <w:rPr>
                <w:rFonts w:ascii="Garamond" w:eastAsia="Times" w:hAnsi="Garamond" w:cs="Garamond"/>
                <w:sz w:val="24"/>
                <w:szCs w:val="24"/>
                <w:lang w:val="en-GB"/>
              </w:rPr>
              <w:t>+32 4 70 92 85 10</w:t>
            </w:r>
          </w:p>
          <w:p w:rsidR="00BB5435" w:rsidRPr="00894D05" w:rsidRDefault="00BB5435" w:rsidP="00304045">
            <w:pPr>
              <w:spacing w:after="0" w:line="276" w:lineRule="auto"/>
              <w:jc w:val="both"/>
              <w:rPr>
                <w:rFonts w:ascii="Garamond" w:eastAsia="Times" w:hAnsi="Garamond" w:cs="Garamond"/>
                <w:b/>
                <w:sz w:val="24"/>
                <w:szCs w:val="24"/>
                <w:lang w:val="en-US"/>
              </w:rPr>
            </w:pPr>
            <w:r w:rsidRPr="00894D05">
              <w:rPr>
                <w:rFonts w:ascii="Garamond" w:eastAsia="Times" w:hAnsi="Garamond" w:cs="Garamond"/>
                <w:b/>
                <w:sz w:val="24"/>
                <w:szCs w:val="24"/>
                <w:lang w:val="en-US"/>
              </w:rPr>
              <w:t>E-mail.</w:t>
            </w:r>
            <w:r w:rsidR="005E13E2" w:rsidRPr="00894D05">
              <w:rPr>
                <w:rFonts w:ascii="Garamond" w:eastAsia="Times" w:hAnsi="Garamond" w:cs="Garamond"/>
                <w:b/>
                <w:sz w:val="24"/>
                <w:szCs w:val="24"/>
                <w:lang w:val="en-US"/>
              </w:rPr>
              <w:t>:</w:t>
            </w:r>
            <w:r w:rsidRPr="00894D05">
              <w:rPr>
                <w:rFonts w:ascii="Garamond" w:eastAsia="Times" w:hAnsi="Garamond" w:cs="Garamond"/>
                <w:b/>
                <w:sz w:val="24"/>
                <w:szCs w:val="24"/>
                <w:lang w:val="en-US"/>
              </w:rPr>
              <w:t xml:space="preserve"> </w:t>
            </w:r>
            <w:hyperlink r:id="rId11" w:history="1">
              <w:r w:rsidRPr="00894D05">
                <w:rPr>
                  <w:rStyle w:val="Lienhypertexte"/>
                  <w:lang w:val="en-US"/>
                </w:rPr>
                <w:t>l.grassy@fiacat.org</w:t>
              </w:r>
            </w:hyperlink>
            <w:r w:rsidRPr="00894D05">
              <w:rPr>
                <w:rFonts w:ascii="Garamond" w:eastAsia="Times" w:hAnsi="Garamond" w:cs="Garamond"/>
                <w:sz w:val="24"/>
                <w:szCs w:val="24"/>
                <w:lang w:val="en-US"/>
              </w:rPr>
              <w:t xml:space="preserve"> </w:t>
            </w:r>
          </w:p>
          <w:p w:rsidR="00BB5435" w:rsidRPr="00BA1245" w:rsidRDefault="00BB5435" w:rsidP="00304045">
            <w:pPr>
              <w:spacing w:after="0" w:line="276" w:lineRule="auto"/>
              <w:jc w:val="both"/>
              <w:rPr>
                <w:rFonts w:ascii="Garamond" w:eastAsia="Times" w:hAnsi="Garamond" w:cs="Garamond"/>
                <w:sz w:val="24"/>
                <w:szCs w:val="24"/>
              </w:rPr>
            </w:pPr>
            <w:r w:rsidRPr="00BA1245">
              <w:rPr>
                <w:rFonts w:ascii="Garamond" w:eastAsia="Times" w:hAnsi="Garamond" w:cs="Garamond"/>
                <w:sz w:val="24"/>
                <w:szCs w:val="24"/>
              </w:rPr>
              <w:t>c/o CCIG</w:t>
            </w:r>
          </w:p>
          <w:p w:rsidR="00BB5435" w:rsidRPr="00304045" w:rsidRDefault="00BB5435" w:rsidP="00304045">
            <w:pPr>
              <w:spacing w:after="0" w:line="276" w:lineRule="auto"/>
              <w:jc w:val="both"/>
              <w:rPr>
                <w:rFonts w:ascii="Garamond" w:eastAsia="Times" w:hAnsi="Garamond" w:cs="Garamond"/>
                <w:sz w:val="24"/>
                <w:szCs w:val="24"/>
              </w:rPr>
            </w:pPr>
            <w:r w:rsidRPr="00304045">
              <w:rPr>
                <w:rFonts w:ascii="Garamond" w:eastAsia="Times" w:hAnsi="Garamond" w:cs="Garamond"/>
                <w:sz w:val="24"/>
                <w:szCs w:val="24"/>
              </w:rPr>
              <w:t>1 rue de Varembé</w:t>
            </w:r>
          </w:p>
          <w:p w:rsidR="00BB5435" w:rsidRPr="00304045" w:rsidRDefault="00BB5435" w:rsidP="00304045">
            <w:pPr>
              <w:spacing w:after="0" w:line="276" w:lineRule="auto"/>
              <w:jc w:val="both"/>
              <w:rPr>
                <w:rFonts w:ascii="Garamond" w:eastAsia="Times" w:hAnsi="Garamond" w:cs="Garamond"/>
                <w:sz w:val="24"/>
                <w:szCs w:val="24"/>
              </w:rPr>
            </w:pPr>
            <w:r w:rsidRPr="00304045">
              <w:rPr>
                <w:rFonts w:ascii="Garamond" w:eastAsia="Times" w:hAnsi="Garamond" w:cs="Garamond"/>
                <w:sz w:val="24"/>
                <w:szCs w:val="24"/>
              </w:rPr>
              <w:t>Case Postale 43</w:t>
            </w:r>
          </w:p>
          <w:p w:rsidR="00BB5435" w:rsidRPr="00304045" w:rsidRDefault="00BB5435" w:rsidP="00304045">
            <w:pPr>
              <w:spacing w:after="0" w:line="276" w:lineRule="auto"/>
              <w:jc w:val="both"/>
              <w:rPr>
                <w:rFonts w:ascii="Garamond" w:eastAsia="Times" w:hAnsi="Garamond" w:cs="Garamond"/>
                <w:sz w:val="24"/>
                <w:szCs w:val="24"/>
              </w:rPr>
            </w:pPr>
            <w:r w:rsidRPr="00304045">
              <w:rPr>
                <w:rFonts w:ascii="Garamond" w:eastAsia="Times" w:hAnsi="Garamond" w:cs="Garamond"/>
                <w:sz w:val="24"/>
                <w:szCs w:val="24"/>
              </w:rPr>
              <w:t>1211 Genève 20 – Suisse</w:t>
            </w:r>
          </w:p>
          <w:p w:rsidR="00BB5435" w:rsidRPr="00BB5435" w:rsidRDefault="00517B3C" w:rsidP="00304045">
            <w:pPr>
              <w:spacing w:after="0" w:line="276" w:lineRule="auto"/>
              <w:jc w:val="both"/>
              <w:rPr>
                <w:rFonts w:ascii="Garamond" w:eastAsia="Times" w:hAnsi="Garamond" w:cs="Garamond"/>
                <w:b/>
                <w:sz w:val="24"/>
                <w:szCs w:val="24"/>
              </w:rPr>
            </w:pPr>
            <w:r>
              <w:rPr>
                <w:rFonts w:ascii="Garamond" w:eastAsia="Times" w:hAnsi="Garamond" w:cs="Garamond"/>
                <w:b/>
                <w:sz w:val="24"/>
                <w:szCs w:val="24"/>
              </w:rPr>
              <w:t>Té</w:t>
            </w:r>
            <w:r w:rsidR="00BB5435" w:rsidRPr="00BB5435">
              <w:rPr>
                <w:rFonts w:ascii="Garamond" w:eastAsia="Times" w:hAnsi="Garamond" w:cs="Garamond"/>
                <w:b/>
                <w:sz w:val="24"/>
                <w:szCs w:val="24"/>
              </w:rPr>
              <w:t>l.</w:t>
            </w:r>
            <w:r>
              <w:rPr>
                <w:rFonts w:ascii="Garamond" w:eastAsia="Times" w:hAnsi="Garamond" w:cs="Garamond"/>
                <w:b/>
                <w:sz w:val="24"/>
                <w:szCs w:val="24"/>
              </w:rPr>
              <w:t> :</w:t>
            </w:r>
            <w:r w:rsidR="00BB5435" w:rsidRPr="00BB5435">
              <w:rPr>
                <w:rFonts w:ascii="Garamond" w:eastAsia="Times" w:hAnsi="Garamond" w:cs="Garamond"/>
                <w:b/>
                <w:sz w:val="24"/>
                <w:szCs w:val="24"/>
              </w:rPr>
              <w:t xml:space="preserve"> +</w:t>
            </w:r>
            <w:r w:rsidR="00BB5435" w:rsidRPr="00304045">
              <w:rPr>
                <w:rFonts w:ascii="Garamond" w:eastAsia="Times" w:hAnsi="Garamond" w:cs="Garamond"/>
                <w:sz w:val="24"/>
                <w:szCs w:val="24"/>
              </w:rPr>
              <w:t>41 787499328</w:t>
            </w:r>
          </w:p>
          <w:p w:rsidR="00BB5435" w:rsidRPr="00BB5435" w:rsidRDefault="00BB5435" w:rsidP="00304045">
            <w:pPr>
              <w:spacing w:after="0" w:line="276" w:lineRule="auto"/>
              <w:jc w:val="both"/>
              <w:rPr>
                <w:rFonts w:ascii="Garamond" w:eastAsia="Times" w:hAnsi="Garamond" w:cs="Garamond"/>
                <w:b/>
                <w:sz w:val="24"/>
                <w:szCs w:val="24"/>
              </w:rPr>
            </w:pPr>
            <w:r w:rsidRPr="00BB5435">
              <w:rPr>
                <w:rFonts w:ascii="Garamond" w:eastAsia="Times" w:hAnsi="Garamond" w:cs="Garamond"/>
                <w:b/>
                <w:sz w:val="24"/>
                <w:szCs w:val="24"/>
              </w:rPr>
              <w:t>E-mail.</w:t>
            </w:r>
            <w:r w:rsidR="00517B3C">
              <w:rPr>
                <w:rFonts w:ascii="Garamond" w:eastAsia="Times" w:hAnsi="Garamond" w:cs="Garamond"/>
                <w:b/>
                <w:sz w:val="24"/>
                <w:szCs w:val="24"/>
              </w:rPr>
              <w:t>:</w:t>
            </w:r>
            <w:r w:rsidRPr="00BB5435">
              <w:rPr>
                <w:rFonts w:ascii="Garamond" w:eastAsia="Times" w:hAnsi="Garamond" w:cs="Garamond"/>
                <w:b/>
                <w:sz w:val="24"/>
                <w:szCs w:val="24"/>
              </w:rPr>
              <w:t xml:space="preserve"> </w:t>
            </w:r>
            <w:hyperlink r:id="rId12" w:history="1">
              <w:r w:rsidR="00622595" w:rsidRPr="00EA7890">
                <w:rPr>
                  <w:rStyle w:val="Lienhypertexte"/>
                  <w:rFonts w:ascii="Garamond" w:eastAsia="Times" w:hAnsi="Garamond" w:cs="Garamond"/>
                  <w:sz w:val="24"/>
                  <w:szCs w:val="24"/>
                </w:rPr>
                <w:t>fiacat.onu@fiacat.org</w:t>
              </w:r>
            </w:hyperlink>
            <w:r w:rsidR="00622595">
              <w:rPr>
                <w:rFonts w:ascii="Garamond" w:eastAsia="Times" w:hAnsi="Garamond" w:cs="Garamond"/>
                <w:sz w:val="24"/>
                <w:szCs w:val="24"/>
              </w:rPr>
              <w:t xml:space="preserve"> </w:t>
            </w:r>
          </w:p>
          <w:p w:rsidR="00BB5435" w:rsidRDefault="00BB5435" w:rsidP="00304045">
            <w:pPr>
              <w:spacing w:after="0" w:line="276" w:lineRule="auto"/>
              <w:jc w:val="both"/>
              <w:rPr>
                <w:rFonts w:ascii="Garamond" w:eastAsia="Times" w:hAnsi="Garamond" w:cs="Garamond"/>
                <w:b/>
                <w:sz w:val="24"/>
                <w:szCs w:val="24"/>
              </w:rPr>
            </w:pPr>
          </w:p>
          <w:p w:rsidR="00BB5435" w:rsidRPr="00304045" w:rsidRDefault="00BB5435" w:rsidP="00304045">
            <w:pPr>
              <w:spacing w:after="0" w:line="276" w:lineRule="auto"/>
              <w:jc w:val="both"/>
              <w:rPr>
                <w:rFonts w:ascii="Garamond" w:eastAsia="Times" w:hAnsi="Garamond" w:cs="Garamond"/>
                <w:b/>
                <w:i/>
                <w:sz w:val="24"/>
                <w:szCs w:val="24"/>
              </w:rPr>
            </w:pPr>
            <w:r w:rsidRPr="00304045">
              <w:rPr>
                <w:rFonts w:ascii="Garamond" w:eastAsia="Times" w:hAnsi="Garamond" w:cs="Garamond"/>
                <w:b/>
                <w:i/>
                <w:sz w:val="24"/>
                <w:szCs w:val="24"/>
              </w:rPr>
              <w:t>Marie SALPHATI</w:t>
            </w:r>
          </w:p>
          <w:p w:rsidR="00BB5435" w:rsidRPr="00304045" w:rsidRDefault="00BB5435" w:rsidP="00304045">
            <w:pPr>
              <w:spacing w:after="0" w:line="276" w:lineRule="auto"/>
              <w:jc w:val="both"/>
              <w:rPr>
                <w:rFonts w:ascii="Garamond" w:eastAsia="Times" w:hAnsi="Garamond" w:cs="Garamond"/>
                <w:sz w:val="24"/>
                <w:szCs w:val="24"/>
              </w:rPr>
            </w:pPr>
            <w:r w:rsidRPr="00304045">
              <w:rPr>
                <w:rFonts w:ascii="Garamond" w:eastAsia="Times" w:hAnsi="Garamond" w:cs="Garamond"/>
                <w:sz w:val="24"/>
                <w:szCs w:val="24"/>
              </w:rPr>
              <w:t>FIACAT</w:t>
            </w:r>
          </w:p>
          <w:p w:rsidR="00BB5435" w:rsidRPr="00304045" w:rsidRDefault="00BB5435" w:rsidP="00304045">
            <w:pPr>
              <w:spacing w:after="0" w:line="276" w:lineRule="auto"/>
              <w:jc w:val="both"/>
              <w:rPr>
                <w:rFonts w:ascii="Garamond" w:eastAsia="Times" w:hAnsi="Garamond" w:cs="Garamond"/>
                <w:sz w:val="24"/>
                <w:szCs w:val="24"/>
              </w:rPr>
            </w:pPr>
            <w:r w:rsidRPr="00304045">
              <w:rPr>
                <w:rFonts w:ascii="Garamond" w:eastAsia="Times" w:hAnsi="Garamond" w:cs="Garamond"/>
                <w:sz w:val="24"/>
                <w:szCs w:val="24"/>
              </w:rPr>
              <w:t>27, rue de Maubeuge</w:t>
            </w:r>
          </w:p>
          <w:p w:rsidR="00BB5435" w:rsidRPr="00304045" w:rsidRDefault="00BB5435" w:rsidP="00304045">
            <w:pPr>
              <w:spacing w:after="0" w:line="276" w:lineRule="auto"/>
              <w:jc w:val="both"/>
              <w:rPr>
                <w:rFonts w:ascii="Garamond" w:eastAsia="Times" w:hAnsi="Garamond" w:cs="Garamond"/>
                <w:sz w:val="24"/>
                <w:szCs w:val="24"/>
              </w:rPr>
            </w:pPr>
            <w:r w:rsidRPr="00304045">
              <w:rPr>
                <w:rFonts w:ascii="Garamond" w:eastAsia="Times" w:hAnsi="Garamond" w:cs="Garamond"/>
                <w:sz w:val="24"/>
                <w:szCs w:val="24"/>
              </w:rPr>
              <w:t>75009 Paris – France</w:t>
            </w:r>
          </w:p>
          <w:p w:rsidR="00BB5435" w:rsidRPr="00BB5435" w:rsidRDefault="00517B3C" w:rsidP="00304045">
            <w:pPr>
              <w:spacing w:after="0" w:line="276" w:lineRule="auto"/>
              <w:jc w:val="both"/>
              <w:rPr>
                <w:rFonts w:ascii="Garamond" w:eastAsia="Times" w:hAnsi="Garamond" w:cs="Garamond"/>
                <w:b/>
                <w:sz w:val="24"/>
                <w:szCs w:val="24"/>
              </w:rPr>
            </w:pPr>
            <w:r>
              <w:rPr>
                <w:rFonts w:ascii="Garamond" w:eastAsia="Times" w:hAnsi="Garamond" w:cs="Garamond"/>
                <w:b/>
                <w:sz w:val="24"/>
                <w:szCs w:val="24"/>
              </w:rPr>
              <w:t>Té</w:t>
            </w:r>
            <w:r w:rsidR="00BB5435" w:rsidRPr="00BB5435">
              <w:rPr>
                <w:rFonts w:ascii="Garamond" w:eastAsia="Times" w:hAnsi="Garamond" w:cs="Garamond"/>
                <w:b/>
                <w:sz w:val="24"/>
                <w:szCs w:val="24"/>
              </w:rPr>
              <w:t>l.</w:t>
            </w:r>
            <w:r>
              <w:rPr>
                <w:rFonts w:ascii="Garamond" w:eastAsia="Times" w:hAnsi="Garamond" w:cs="Garamond"/>
                <w:b/>
                <w:sz w:val="24"/>
                <w:szCs w:val="24"/>
              </w:rPr>
              <w:t> :</w:t>
            </w:r>
            <w:r w:rsidR="00BB5435" w:rsidRPr="00BB5435">
              <w:rPr>
                <w:rFonts w:ascii="Garamond" w:eastAsia="Times" w:hAnsi="Garamond" w:cs="Garamond"/>
                <w:b/>
                <w:sz w:val="24"/>
                <w:szCs w:val="24"/>
              </w:rPr>
              <w:t xml:space="preserve"> </w:t>
            </w:r>
            <w:r w:rsidR="00BB5435" w:rsidRPr="00304045">
              <w:rPr>
                <w:rFonts w:ascii="Garamond" w:eastAsia="Times" w:hAnsi="Garamond" w:cs="Garamond"/>
                <w:sz w:val="24"/>
                <w:szCs w:val="24"/>
              </w:rPr>
              <w:t>+33 (0)1 42 80 01 60</w:t>
            </w:r>
          </w:p>
          <w:p w:rsidR="00BB5435" w:rsidRPr="00BB5435" w:rsidRDefault="00BB5435" w:rsidP="00304045">
            <w:pPr>
              <w:spacing w:after="0" w:line="276" w:lineRule="auto"/>
              <w:jc w:val="both"/>
              <w:rPr>
                <w:rFonts w:ascii="Garamond" w:eastAsia="Times" w:hAnsi="Garamond" w:cs="Garamond"/>
                <w:b/>
                <w:sz w:val="24"/>
                <w:szCs w:val="24"/>
              </w:rPr>
            </w:pPr>
            <w:r w:rsidRPr="00BB5435">
              <w:rPr>
                <w:rFonts w:ascii="Garamond" w:eastAsia="Times" w:hAnsi="Garamond" w:cs="Garamond"/>
                <w:b/>
                <w:sz w:val="24"/>
                <w:szCs w:val="24"/>
              </w:rPr>
              <w:t>Fax.</w:t>
            </w:r>
            <w:r w:rsidR="00517B3C">
              <w:rPr>
                <w:rFonts w:ascii="Garamond" w:eastAsia="Times" w:hAnsi="Garamond" w:cs="Garamond"/>
                <w:b/>
                <w:sz w:val="24"/>
                <w:szCs w:val="24"/>
              </w:rPr>
              <w:t> :</w:t>
            </w:r>
            <w:r w:rsidRPr="00BB5435">
              <w:rPr>
                <w:rFonts w:ascii="Garamond" w:eastAsia="Times" w:hAnsi="Garamond" w:cs="Garamond"/>
                <w:b/>
                <w:sz w:val="24"/>
                <w:szCs w:val="24"/>
              </w:rPr>
              <w:t xml:space="preserve"> </w:t>
            </w:r>
            <w:r w:rsidRPr="00304045">
              <w:rPr>
                <w:rFonts w:ascii="Garamond" w:eastAsia="Times" w:hAnsi="Garamond" w:cs="Garamond"/>
                <w:sz w:val="24"/>
                <w:szCs w:val="24"/>
              </w:rPr>
              <w:t>+33 (0)1 42 80 20 89</w:t>
            </w:r>
          </w:p>
          <w:p w:rsidR="00FC1C58" w:rsidRPr="00304045" w:rsidRDefault="00BB5435">
            <w:pPr>
              <w:spacing w:after="0" w:line="276" w:lineRule="auto"/>
              <w:jc w:val="both"/>
              <w:rPr>
                <w:rFonts w:ascii="Garamond" w:eastAsia="Times" w:hAnsi="Garamond" w:cs="Garamond"/>
                <w:sz w:val="24"/>
                <w:szCs w:val="24"/>
              </w:rPr>
            </w:pPr>
            <w:r w:rsidRPr="00BB5435">
              <w:rPr>
                <w:rFonts w:ascii="Garamond" w:eastAsia="Times" w:hAnsi="Garamond" w:cs="Garamond"/>
                <w:b/>
                <w:sz w:val="24"/>
                <w:szCs w:val="24"/>
              </w:rPr>
              <w:t>E-mail</w:t>
            </w:r>
            <w:r w:rsidR="0065203A">
              <w:rPr>
                <w:rFonts w:ascii="Garamond" w:eastAsia="Times" w:hAnsi="Garamond" w:cs="Garamond"/>
                <w:b/>
                <w:sz w:val="24"/>
                <w:szCs w:val="24"/>
              </w:rPr>
              <w:t>.</w:t>
            </w:r>
            <w:r w:rsidR="005E13E2">
              <w:rPr>
                <w:rFonts w:ascii="Garamond" w:eastAsia="Times" w:hAnsi="Garamond" w:cs="Garamond"/>
                <w:b/>
                <w:sz w:val="24"/>
                <w:szCs w:val="24"/>
              </w:rPr>
              <w:t> :</w:t>
            </w:r>
            <w:r w:rsidRPr="00BB5435">
              <w:rPr>
                <w:rFonts w:ascii="Garamond" w:eastAsia="Times" w:hAnsi="Garamond" w:cs="Garamond"/>
                <w:b/>
                <w:sz w:val="24"/>
                <w:szCs w:val="24"/>
              </w:rPr>
              <w:t xml:space="preserve"> </w:t>
            </w:r>
            <w:hyperlink r:id="rId13" w:history="1">
              <w:r w:rsidRPr="00304045">
                <w:rPr>
                  <w:rStyle w:val="Lienhypertexte"/>
                </w:rPr>
                <w:t>intern@fiacat.org</w:t>
              </w:r>
            </w:hyperlink>
            <w:r>
              <w:rPr>
                <w:rFonts w:ascii="Garamond" w:eastAsia="Times" w:hAnsi="Garamond" w:cs="Garamond"/>
                <w:b/>
                <w:sz w:val="24"/>
                <w:szCs w:val="24"/>
              </w:rPr>
              <w:t xml:space="preserve"> </w:t>
            </w:r>
          </w:p>
        </w:tc>
        <w:tc>
          <w:tcPr>
            <w:tcW w:w="5953" w:type="dxa"/>
            <w:shd w:val="clear" w:color="auto" w:fill="auto"/>
          </w:tcPr>
          <w:p w:rsidR="00FC1C58" w:rsidRPr="00212184" w:rsidRDefault="00FC1C58">
            <w:pPr>
              <w:spacing w:after="0" w:line="276" w:lineRule="auto"/>
              <w:jc w:val="both"/>
              <w:rPr>
                <w:rFonts w:ascii="Garamond" w:eastAsia="Times" w:hAnsi="Garamond" w:cs="Arial"/>
                <w:sz w:val="24"/>
                <w:szCs w:val="24"/>
              </w:rPr>
            </w:pPr>
          </w:p>
        </w:tc>
      </w:tr>
    </w:tbl>
    <w:p w:rsidR="00FC1C58" w:rsidRPr="00212184" w:rsidRDefault="00FC1C58" w:rsidP="001A1EE5">
      <w:pPr>
        <w:spacing w:before="120" w:after="120" w:line="276" w:lineRule="auto"/>
        <w:jc w:val="both"/>
        <w:rPr>
          <w:rFonts w:ascii="Garamond" w:eastAsia="Times New Roman" w:hAnsi="Garamond" w:cs="Garamond"/>
          <w:sz w:val="24"/>
          <w:szCs w:val="24"/>
        </w:rPr>
      </w:pPr>
    </w:p>
    <w:p w:rsidR="00FC1C58" w:rsidRPr="00304045" w:rsidRDefault="00FC1C58" w:rsidP="00304045">
      <w:pPr>
        <w:spacing w:line="276" w:lineRule="auto"/>
        <w:rPr>
          <w:rFonts w:ascii="Garamond" w:hAnsi="Garamond"/>
          <w:b/>
          <w:sz w:val="24"/>
        </w:rPr>
      </w:pPr>
      <w:bookmarkStart w:id="6" w:name="_Toc386019483"/>
      <w:bookmarkStart w:id="7" w:name="_Toc386200896"/>
      <w:r w:rsidRPr="00304045">
        <w:rPr>
          <w:rFonts w:ascii="Garamond" w:hAnsi="Garamond"/>
          <w:b/>
          <w:sz w:val="24"/>
        </w:rPr>
        <w:t>ACAT Côte d’Ivoire</w:t>
      </w:r>
      <w:bookmarkEnd w:id="6"/>
      <w:bookmarkEnd w:id="7"/>
    </w:p>
    <w:p w:rsidR="00FC1C58" w:rsidRPr="00304045" w:rsidRDefault="00FC1C58" w:rsidP="001A1EE5">
      <w:pPr>
        <w:spacing w:before="120" w:after="0" w:line="276" w:lineRule="auto"/>
        <w:jc w:val="both"/>
        <w:rPr>
          <w:rFonts w:ascii="Garamond" w:eastAsia="Times New Roman" w:hAnsi="Garamond" w:cs="Garamond"/>
          <w:b/>
          <w:i/>
          <w:sz w:val="24"/>
          <w:szCs w:val="24"/>
        </w:rPr>
      </w:pPr>
      <w:r w:rsidRPr="00304045">
        <w:rPr>
          <w:rFonts w:ascii="Garamond" w:eastAsia="Times New Roman" w:hAnsi="Garamond" w:cs="Garamond"/>
          <w:b/>
          <w:i/>
          <w:sz w:val="24"/>
          <w:szCs w:val="24"/>
        </w:rPr>
        <w:t>Paul ANGAMAN</w:t>
      </w:r>
    </w:p>
    <w:p w:rsidR="00FC1C58" w:rsidRPr="00304045" w:rsidRDefault="00FC1C58">
      <w:pPr>
        <w:spacing w:before="120" w:after="0" w:line="276" w:lineRule="auto"/>
        <w:jc w:val="both"/>
        <w:rPr>
          <w:rFonts w:ascii="Garamond" w:eastAsia="Times New Roman" w:hAnsi="Garamond" w:cs="Garamond"/>
          <w:b/>
          <w:i/>
          <w:sz w:val="24"/>
          <w:szCs w:val="24"/>
        </w:rPr>
      </w:pPr>
      <w:r w:rsidRPr="00304045">
        <w:rPr>
          <w:rFonts w:ascii="Garamond" w:eastAsia="Times New Roman" w:hAnsi="Garamond" w:cs="Garamond"/>
          <w:b/>
          <w:i/>
          <w:sz w:val="24"/>
          <w:szCs w:val="24"/>
        </w:rPr>
        <w:t xml:space="preserve">Eugène KANGAH BILE </w:t>
      </w:r>
    </w:p>
    <w:p w:rsidR="00FC1C58" w:rsidRPr="00BA1245" w:rsidRDefault="00FC1C58">
      <w:pPr>
        <w:spacing w:before="120" w:after="0" w:line="276" w:lineRule="auto"/>
        <w:jc w:val="both"/>
        <w:rPr>
          <w:rFonts w:ascii="Garamond" w:eastAsia="Times New Roman" w:hAnsi="Garamond" w:cs="Garamond"/>
          <w:b/>
          <w:i/>
          <w:sz w:val="24"/>
          <w:szCs w:val="24"/>
          <w:lang w:val="en-US"/>
        </w:rPr>
      </w:pPr>
      <w:r w:rsidRPr="00BA1245">
        <w:rPr>
          <w:rFonts w:ascii="Garamond" w:eastAsia="Times New Roman" w:hAnsi="Garamond" w:cs="Garamond"/>
          <w:b/>
          <w:i/>
          <w:sz w:val="24"/>
          <w:szCs w:val="24"/>
          <w:lang w:val="en-US"/>
        </w:rPr>
        <w:t>Arnold ACHOU</w:t>
      </w:r>
    </w:p>
    <w:p w:rsidR="00FC1C58" w:rsidRPr="00BA1245" w:rsidRDefault="00FC1C58">
      <w:pPr>
        <w:spacing w:before="120" w:after="0" w:line="276" w:lineRule="auto"/>
        <w:jc w:val="both"/>
        <w:rPr>
          <w:rFonts w:ascii="Garamond" w:eastAsia="Times New Roman" w:hAnsi="Garamond" w:cs="Garamond"/>
          <w:b/>
          <w:i/>
          <w:sz w:val="24"/>
          <w:szCs w:val="24"/>
          <w:lang w:val="en-US"/>
        </w:rPr>
      </w:pPr>
      <w:r w:rsidRPr="00BA1245">
        <w:rPr>
          <w:rFonts w:ascii="Garamond" w:eastAsia="Times New Roman" w:hAnsi="Garamond" w:cs="Garamond"/>
          <w:b/>
          <w:i/>
          <w:sz w:val="24"/>
          <w:szCs w:val="24"/>
          <w:lang w:val="en-US"/>
        </w:rPr>
        <w:t>Francis KONE</w:t>
      </w:r>
    </w:p>
    <w:p w:rsidR="00FC1C58" w:rsidRPr="00BA1245" w:rsidRDefault="00FC1C58">
      <w:pPr>
        <w:spacing w:before="120" w:after="0" w:line="276" w:lineRule="auto"/>
        <w:jc w:val="both"/>
        <w:rPr>
          <w:rFonts w:ascii="Garamond" w:eastAsia="Times New Roman" w:hAnsi="Garamond" w:cs="Garamond"/>
          <w:b/>
          <w:i/>
          <w:sz w:val="24"/>
          <w:szCs w:val="24"/>
          <w:lang w:val="en-US"/>
        </w:rPr>
      </w:pPr>
      <w:r w:rsidRPr="00BA1245">
        <w:rPr>
          <w:rFonts w:ascii="Garamond" w:eastAsia="Times New Roman" w:hAnsi="Garamond" w:cs="Garamond"/>
          <w:b/>
          <w:i/>
          <w:sz w:val="24"/>
          <w:szCs w:val="24"/>
          <w:lang w:val="en-US"/>
        </w:rPr>
        <w:t xml:space="preserve">Daniel KOUDOU  </w:t>
      </w:r>
    </w:p>
    <w:p w:rsidR="00FC1C58" w:rsidRPr="00BA1245" w:rsidRDefault="00BB5435" w:rsidP="00304045">
      <w:pPr>
        <w:tabs>
          <w:tab w:val="left" w:pos="3615"/>
        </w:tabs>
        <w:spacing w:after="0" w:line="276" w:lineRule="auto"/>
        <w:jc w:val="both"/>
        <w:rPr>
          <w:rFonts w:ascii="Garamond" w:eastAsia="Times New Roman" w:hAnsi="Garamond" w:cs="Garamond"/>
          <w:sz w:val="24"/>
          <w:szCs w:val="24"/>
          <w:lang w:val="en-US"/>
        </w:rPr>
      </w:pPr>
      <w:r w:rsidRPr="00BA1245">
        <w:rPr>
          <w:rFonts w:ascii="Garamond" w:eastAsia="Times New Roman" w:hAnsi="Garamond" w:cs="Garamond"/>
          <w:sz w:val="24"/>
          <w:szCs w:val="24"/>
          <w:lang w:val="en-US"/>
        </w:rPr>
        <w:t>s/c CARITAS</w:t>
      </w:r>
    </w:p>
    <w:p w:rsidR="00BB5435" w:rsidRPr="00CF5F93" w:rsidRDefault="00BB5435" w:rsidP="00304045">
      <w:pPr>
        <w:tabs>
          <w:tab w:val="left" w:pos="3615"/>
        </w:tabs>
        <w:spacing w:after="0" w:line="276" w:lineRule="auto"/>
        <w:jc w:val="both"/>
        <w:rPr>
          <w:rFonts w:ascii="Garamond" w:eastAsia="Times New Roman" w:hAnsi="Garamond" w:cs="Garamond"/>
          <w:sz w:val="24"/>
          <w:szCs w:val="24"/>
          <w:lang w:val="en-GB"/>
        </w:rPr>
      </w:pPr>
      <w:r w:rsidRPr="00BA1245">
        <w:rPr>
          <w:rFonts w:ascii="Garamond" w:eastAsia="Times New Roman" w:hAnsi="Garamond" w:cs="Garamond"/>
          <w:sz w:val="24"/>
          <w:szCs w:val="24"/>
          <w:lang w:val="en-US"/>
        </w:rPr>
        <w:t xml:space="preserve">01 BP 2590 Abidjan </w:t>
      </w:r>
      <w:r w:rsidRPr="00CF5F93">
        <w:rPr>
          <w:rFonts w:ascii="Garamond" w:eastAsia="Times New Roman" w:hAnsi="Garamond" w:cs="Garamond"/>
          <w:sz w:val="24"/>
          <w:szCs w:val="24"/>
          <w:lang w:val="en-GB"/>
        </w:rPr>
        <w:t>01</w:t>
      </w:r>
    </w:p>
    <w:p w:rsidR="00BB5435" w:rsidRPr="0030334F" w:rsidRDefault="00BB5435" w:rsidP="00304045">
      <w:pPr>
        <w:tabs>
          <w:tab w:val="left" w:pos="3615"/>
        </w:tabs>
        <w:spacing w:after="0" w:line="276" w:lineRule="auto"/>
        <w:jc w:val="both"/>
        <w:rPr>
          <w:rFonts w:ascii="Garamond" w:eastAsia="Times New Roman" w:hAnsi="Garamond" w:cs="Garamond"/>
          <w:sz w:val="24"/>
          <w:szCs w:val="24"/>
        </w:rPr>
      </w:pPr>
      <w:r w:rsidRPr="0030334F">
        <w:rPr>
          <w:rFonts w:ascii="Garamond" w:eastAsia="Times New Roman" w:hAnsi="Garamond" w:cs="Garamond"/>
          <w:sz w:val="24"/>
          <w:szCs w:val="24"/>
        </w:rPr>
        <w:t>Côte d’Ivoire</w:t>
      </w:r>
    </w:p>
    <w:p w:rsidR="00FC1C58" w:rsidRPr="0030334F" w:rsidRDefault="00517B3C" w:rsidP="00304045">
      <w:pPr>
        <w:tabs>
          <w:tab w:val="left" w:pos="3615"/>
        </w:tabs>
        <w:spacing w:after="0" w:line="276" w:lineRule="auto"/>
        <w:jc w:val="both"/>
        <w:rPr>
          <w:rFonts w:ascii="Garamond" w:eastAsia="Times New Roman" w:hAnsi="Garamond" w:cs="Garamond"/>
          <w:sz w:val="24"/>
          <w:szCs w:val="24"/>
        </w:rPr>
      </w:pPr>
      <w:r w:rsidRPr="00517B3C">
        <w:rPr>
          <w:rFonts w:ascii="Garamond" w:eastAsia="Times New Roman" w:hAnsi="Garamond" w:cs="Garamond"/>
          <w:b/>
          <w:sz w:val="24"/>
          <w:szCs w:val="24"/>
        </w:rPr>
        <w:t>Tél </w:t>
      </w:r>
      <w:r w:rsidR="00FC1C58" w:rsidRPr="00517B3C">
        <w:rPr>
          <w:rFonts w:ascii="Garamond" w:eastAsia="Times New Roman" w:hAnsi="Garamond" w:cs="Garamond"/>
          <w:b/>
          <w:sz w:val="24"/>
          <w:szCs w:val="24"/>
        </w:rPr>
        <w:t>:</w:t>
      </w:r>
      <w:r w:rsidR="00FC1C58" w:rsidRPr="0030334F">
        <w:rPr>
          <w:rFonts w:ascii="Garamond" w:eastAsia="Times New Roman" w:hAnsi="Garamond" w:cs="Garamond"/>
          <w:sz w:val="24"/>
          <w:szCs w:val="24"/>
        </w:rPr>
        <w:t xml:space="preserve"> +225 22</w:t>
      </w:r>
      <w:r w:rsidR="00BB5435" w:rsidRPr="0030334F">
        <w:rPr>
          <w:rFonts w:ascii="Garamond" w:eastAsia="Times New Roman" w:hAnsi="Garamond" w:cs="Garamond"/>
          <w:sz w:val="24"/>
          <w:szCs w:val="24"/>
        </w:rPr>
        <w:t xml:space="preserve"> 00 22 55 / +225 05 09 23 05</w:t>
      </w:r>
    </w:p>
    <w:p w:rsidR="00FC1C58" w:rsidRPr="00304045" w:rsidRDefault="00FC1C58" w:rsidP="001A1EE5">
      <w:pPr>
        <w:spacing w:after="0" w:line="276" w:lineRule="auto"/>
        <w:jc w:val="both"/>
        <w:rPr>
          <w:rFonts w:ascii="Garamond" w:eastAsia="Times New Roman" w:hAnsi="Garamond" w:cs="Garamond"/>
          <w:sz w:val="24"/>
          <w:szCs w:val="24"/>
        </w:rPr>
      </w:pPr>
      <w:r w:rsidRPr="00517B3C">
        <w:rPr>
          <w:rFonts w:ascii="Garamond" w:eastAsia="Times New Roman" w:hAnsi="Garamond" w:cs="Garamond"/>
          <w:b/>
          <w:sz w:val="24"/>
          <w:szCs w:val="24"/>
        </w:rPr>
        <w:t>Email</w:t>
      </w:r>
      <w:r w:rsidR="00517B3C" w:rsidRPr="00517B3C">
        <w:rPr>
          <w:rFonts w:ascii="Garamond" w:eastAsia="Times New Roman" w:hAnsi="Garamond" w:cs="Garamond"/>
          <w:b/>
          <w:sz w:val="24"/>
          <w:szCs w:val="24"/>
        </w:rPr>
        <w:t> :</w:t>
      </w:r>
      <w:r w:rsidR="00517B3C">
        <w:rPr>
          <w:rFonts w:ascii="Garamond" w:eastAsia="Times New Roman" w:hAnsi="Garamond" w:cs="Garamond"/>
          <w:sz w:val="24"/>
          <w:szCs w:val="24"/>
        </w:rPr>
        <w:t xml:space="preserve"> </w:t>
      </w:r>
      <w:hyperlink r:id="rId14" w:history="1">
        <w:r w:rsidRPr="00304045">
          <w:rPr>
            <w:rFonts w:ascii="Garamond" w:eastAsia="Times New Roman" w:hAnsi="Garamond" w:cs="Garamond"/>
            <w:color w:val="0000FF"/>
            <w:sz w:val="24"/>
            <w:szCs w:val="24"/>
            <w:u w:val="single"/>
          </w:rPr>
          <w:t>acat_ci2230@yahoo.fr</w:t>
        </w:r>
      </w:hyperlink>
    </w:p>
    <w:p w:rsidR="00FC1C58" w:rsidRPr="00304045" w:rsidRDefault="00FC1C58" w:rsidP="00304045">
      <w:pPr>
        <w:spacing w:after="120" w:line="276" w:lineRule="auto"/>
        <w:jc w:val="both"/>
        <w:outlineLvl w:val="0"/>
        <w:rPr>
          <w:rFonts w:ascii="Garamond" w:eastAsia="Times New Roman" w:hAnsi="Garamond" w:cs="Times New Roman"/>
          <w:b/>
          <w:sz w:val="32"/>
          <w:szCs w:val="24"/>
        </w:rPr>
      </w:pPr>
      <w:r w:rsidRPr="00304045">
        <w:rPr>
          <w:rFonts w:ascii="Garamond" w:eastAsia="Times New Roman" w:hAnsi="Garamond" w:cs="Times New Roman"/>
          <w:b/>
          <w:sz w:val="32"/>
          <w:szCs w:val="24"/>
        </w:rPr>
        <w:br w:type="page"/>
      </w:r>
      <w:bookmarkEnd w:id="1"/>
      <w:bookmarkEnd w:id="2"/>
      <w:bookmarkEnd w:id="3"/>
      <w:bookmarkEnd w:id="4"/>
    </w:p>
    <w:p w:rsidR="001A1EE5" w:rsidRPr="00E477EE" w:rsidRDefault="001A1EE5" w:rsidP="00E477EE">
      <w:pPr>
        <w:pStyle w:val="TM1"/>
      </w:pPr>
      <w:r w:rsidRPr="00E477EE">
        <w:lastRenderedPageBreak/>
        <w:t>TABLE DES MATIERES</w:t>
      </w:r>
    </w:p>
    <w:p w:rsidR="00846768" w:rsidRDefault="001A1EE5">
      <w:pPr>
        <w:pStyle w:val="TM1"/>
        <w:rPr>
          <w:rFonts w:asciiTheme="minorHAnsi" w:eastAsiaTheme="minorEastAsia" w:hAnsiTheme="minorHAnsi" w:cstheme="minorBidi"/>
          <w:b w:val="0"/>
          <w:sz w:val="22"/>
          <w:szCs w:val="22"/>
          <w:lang w:eastAsia="fr-FR"/>
        </w:rPr>
      </w:pPr>
      <w:r w:rsidRPr="008B78B6">
        <w:fldChar w:fldCharType="begin"/>
      </w:r>
      <w:r w:rsidRPr="008B78B6">
        <w:instrText xml:space="preserve"> TOC \o "1-3" \h \z \u </w:instrText>
      </w:r>
      <w:r w:rsidRPr="008B78B6">
        <w:fldChar w:fldCharType="separate"/>
      </w:r>
      <w:hyperlink w:anchor="_Toc412111712" w:history="1">
        <w:r w:rsidR="00846768" w:rsidRPr="006C1CF7">
          <w:rPr>
            <w:rStyle w:val="Lienhypertexte"/>
          </w:rPr>
          <w:t>Liste des principaux acronymes</w:t>
        </w:r>
        <w:r w:rsidR="00846768">
          <w:rPr>
            <w:webHidden/>
          </w:rPr>
          <w:tab/>
        </w:r>
        <w:r w:rsidR="00846768">
          <w:rPr>
            <w:webHidden/>
          </w:rPr>
          <w:fldChar w:fldCharType="begin"/>
        </w:r>
        <w:r w:rsidR="00846768">
          <w:rPr>
            <w:webHidden/>
          </w:rPr>
          <w:instrText xml:space="preserve"> PAGEREF _Toc412111712 \h </w:instrText>
        </w:r>
        <w:r w:rsidR="00846768">
          <w:rPr>
            <w:webHidden/>
          </w:rPr>
        </w:r>
        <w:r w:rsidR="00846768">
          <w:rPr>
            <w:webHidden/>
          </w:rPr>
          <w:fldChar w:fldCharType="separate"/>
        </w:r>
        <w:r w:rsidR="00C603D1">
          <w:rPr>
            <w:webHidden/>
          </w:rPr>
          <w:t>5</w:t>
        </w:r>
        <w:r w:rsidR="00846768">
          <w:rPr>
            <w:webHidden/>
          </w:rPr>
          <w:fldChar w:fldCharType="end"/>
        </w:r>
      </w:hyperlink>
    </w:p>
    <w:p w:rsidR="00846768" w:rsidRDefault="00732F46">
      <w:pPr>
        <w:pStyle w:val="TM1"/>
        <w:rPr>
          <w:rFonts w:asciiTheme="minorHAnsi" w:eastAsiaTheme="minorEastAsia" w:hAnsiTheme="minorHAnsi" w:cstheme="minorBidi"/>
          <w:b w:val="0"/>
          <w:sz w:val="22"/>
          <w:szCs w:val="22"/>
          <w:lang w:eastAsia="fr-FR"/>
        </w:rPr>
      </w:pPr>
      <w:hyperlink w:anchor="_Toc412111713" w:history="1">
        <w:r w:rsidR="00846768" w:rsidRPr="006C1CF7">
          <w:rPr>
            <w:rStyle w:val="Lienhypertexte"/>
          </w:rPr>
          <w:t>Résumé exécutif</w:t>
        </w:r>
        <w:r w:rsidR="00846768">
          <w:rPr>
            <w:webHidden/>
          </w:rPr>
          <w:tab/>
        </w:r>
        <w:r w:rsidR="00846768">
          <w:rPr>
            <w:webHidden/>
          </w:rPr>
          <w:fldChar w:fldCharType="begin"/>
        </w:r>
        <w:r w:rsidR="00846768">
          <w:rPr>
            <w:webHidden/>
          </w:rPr>
          <w:instrText xml:space="preserve"> PAGEREF _Toc412111713 \h </w:instrText>
        </w:r>
        <w:r w:rsidR="00846768">
          <w:rPr>
            <w:webHidden/>
          </w:rPr>
        </w:r>
        <w:r w:rsidR="00846768">
          <w:rPr>
            <w:webHidden/>
          </w:rPr>
          <w:fldChar w:fldCharType="separate"/>
        </w:r>
        <w:r w:rsidR="00C603D1">
          <w:rPr>
            <w:webHidden/>
          </w:rPr>
          <w:t>6</w:t>
        </w:r>
        <w:r w:rsidR="00846768">
          <w:rPr>
            <w:webHidden/>
          </w:rPr>
          <w:fldChar w:fldCharType="end"/>
        </w:r>
      </w:hyperlink>
    </w:p>
    <w:p w:rsidR="00846768" w:rsidRDefault="00732F46">
      <w:pPr>
        <w:pStyle w:val="TM1"/>
        <w:rPr>
          <w:rFonts w:asciiTheme="minorHAnsi" w:eastAsiaTheme="minorEastAsia" w:hAnsiTheme="minorHAnsi" w:cstheme="minorBidi"/>
          <w:b w:val="0"/>
          <w:sz w:val="22"/>
          <w:szCs w:val="22"/>
          <w:lang w:eastAsia="fr-FR"/>
        </w:rPr>
      </w:pPr>
      <w:hyperlink w:anchor="_Toc412111714" w:history="1">
        <w:r w:rsidR="00846768" w:rsidRPr="006C1CF7">
          <w:rPr>
            <w:rStyle w:val="Lienhypertexte"/>
          </w:rPr>
          <w:t>Introduction</w:t>
        </w:r>
        <w:r w:rsidR="00846768">
          <w:rPr>
            <w:webHidden/>
          </w:rPr>
          <w:tab/>
        </w:r>
        <w:r w:rsidR="00846768">
          <w:rPr>
            <w:webHidden/>
          </w:rPr>
          <w:fldChar w:fldCharType="begin"/>
        </w:r>
        <w:r w:rsidR="00846768">
          <w:rPr>
            <w:webHidden/>
          </w:rPr>
          <w:instrText xml:space="preserve"> PAGEREF _Toc412111714 \h </w:instrText>
        </w:r>
        <w:r w:rsidR="00846768">
          <w:rPr>
            <w:webHidden/>
          </w:rPr>
        </w:r>
        <w:r w:rsidR="00846768">
          <w:rPr>
            <w:webHidden/>
          </w:rPr>
          <w:fldChar w:fldCharType="separate"/>
        </w:r>
        <w:r w:rsidR="00C603D1">
          <w:rPr>
            <w:webHidden/>
          </w:rPr>
          <w:t>11</w:t>
        </w:r>
        <w:r w:rsidR="00846768">
          <w:rPr>
            <w:webHidden/>
          </w:rPr>
          <w:fldChar w:fldCharType="end"/>
        </w:r>
      </w:hyperlink>
    </w:p>
    <w:p w:rsidR="00846768" w:rsidRDefault="00732F46">
      <w:pPr>
        <w:pStyle w:val="TM2"/>
        <w:rPr>
          <w:rFonts w:asciiTheme="minorHAnsi" w:eastAsiaTheme="minorEastAsia" w:hAnsiTheme="minorHAnsi" w:cstheme="minorBidi"/>
          <w:b w:val="0"/>
          <w:sz w:val="22"/>
          <w:szCs w:val="22"/>
          <w:lang w:eastAsia="fr-FR"/>
        </w:rPr>
      </w:pPr>
      <w:hyperlink w:anchor="_Toc412111715" w:history="1">
        <w:r w:rsidR="00846768" w:rsidRPr="006C1CF7">
          <w:rPr>
            <w:rStyle w:val="Lienhypertexte"/>
          </w:rPr>
          <w:t>I.</w:t>
        </w:r>
        <w:r w:rsidR="00846768">
          <w:rPr>
            <w:rFonts w:asciiTheme="minorHAnsi" w:eastAsiaTheme="minorEastAsia" w:hAnsiTheme="minorHAnsi" w:cstheme="minorBidi"/>
            <w:b w:val="0"/>
            <w:sz w:val="22"/>
            <w:szCs w:val="22"/>
            <w:lang w:eastAsia="fr-FR"/>
          </w:rPr>
          <w:tab/>
        </w:r>
        <w:r w:rsidR="00846768" w:rsidRPr="006C1CF7">
          <w:rPr>
            <w:rStyle w:val="Lienhypertexte"/>
          </w:rPr>
          <w:t>Les auteurs du rapport</w:t>
        </w:r>
        <w:r w:rsidR="00846768">
          <w:rPr>
            <w:webHidden/>
          </w:rPr>
          <w:tab/>
        </w:r>
        <w:r w:rsidR="00846768">
          <w:rPr>
            <w:webHidden/>
          </w:rPr>
          <w:fldChar w:fldCharType="begin"/>
        </w:r>
        <w:r w:rsidR="00846768">
          <w:rPr>
            <w:webHidden/>
          </w:rPr>
          <w:instrText xml:space="preserve"> PAGEREF _Toc412111715 \h </w:instrText>
        </w:r>
        <w:r w:rsidR="00846768">
          <w:rPr>
            <w:webHidden/>
          </w:rPr>
        </w:r>
        <w:r w:rsidR="00846768">
          <w:rPr>
            <w:webHidden/>
          </w:rPr>
          <w:fldChar w:fldCharType="separate"/>
        </w:r>
        <w:r w:rsidR="00C603D1">
          <w:rPr>
            <w:webHidden/>
          </w:rPr>
          <w:t>11</w:t>
        </w:r>
        <w:r w:rsidR="00846768">
          <w:rPr>
            <w:webHidden/>
          </w:rPr>
          <w:fldChar w:fldCharType="end"/>
        </w:r>
      </w:hyperlink>
    </w:p>
    <w:p w:rsidR="00846768" w:rsidRDefault="00732F46">
      <w:pPr>
        <w:pStyle w:val="TM2"/>
        <w:rPr>
          <w:rFonts w:asciiTheme="minorHAnsi" w:eastAsiaTheme="minorEastAsia" w:hAnsiTheme="minorHAnsi" w:cstheme="minorBidi"/>
          <w:b w:val="0"/>
          <w:sz w:val="22"/>
          <w:szCs w:val="22"/>
          <w:lang w:eastAsia="fr-FR"/>
        </w:rPr>
      </w:pPr>
      <w:hyperlink w:anchor="_Toc412111716" w:history="1">
        <w:r w:rsidR="00846768" w:rsidRPr="006C1CF7">
          <w:rPr>
            <w:rStyle w:val="Lienhypertexte"/>
          </w:rPr>
          <w:t>II.</w:t>
        </w:r>
        <w:r w:rsidR="00846768">
          <w:rPr>
            <w:rFonts w:asciiTheme="minorHAnsi" w:eastAsiaTheme="minorEastAsia" w:hAnsiTheme="minorHAnsi" w:cstheme="minorBidi"/>
            <w:b w:val="0"/>
            <w:sz w:val="22"/>
            <w:szCs w:val="22"/>
            <w:lang w:eastAsia="fr-FR"/>
          </w:rPr>
          <w:tab/>
        </w:r>
        <w:r w:rsidR="00846768" w:rsidRPr="006C1CF7">
          <w:rPr>
            <w:rStyle w:val="Lienhypertexte"/>
          </w:rPr>
          <w:t>Le contexte général</w:t>
        </w:r>
        <w:r w:rsidR="00846768">
          <w:rPr>
            <w:webHidden/>
          </w:rPr>
          <w:tab/>
        </w:r>
        <w:r w:rsidR="00846768">
          <w:rPr>
            <w:webHidden/>
          </w:rPr>
          <w:fldChar w:fldCharType="begin"/>
        </w:r>
        <w:r w:rsidR="00846768">
          <w:rPr>
            <w:webHidden/>
          </w:rPr>
          <w:instrText xml:space="preserve"> PAGEREF _Toc412111716 \h </w:instrText>
        </w:r>
        <w:r w:rsidR="00846768">
          <w:rPr>
            <w:webHidden/>
          </w:rPr>
        </w:r>
        <w:r w:rsidR="00846768">
          <w:rPr>
            <w:webHidden/>
          </w:rPr>
          <w:fldChar w:fldCharType="separate"/>
        </w:r>
        <w:r w:rsidR="00C603D1">
          <w:rPr>
            <w:webHidden/>
          </w:rPr>
          <w:t>12</w:t>
        </w:r>
        <w:r w:rsidR="00846768">
          <w:rPr>
            <w:webHidden/>
          </w:rPr>
          <w:fldChar w:fldCharType="end"/>
        </w:r>
      </w:hyperlink>
    </w:p>
    <w:p w:rsidR="00846768" w:rsidRDefault="00732F46">
      <w:pPr>
        <w:pStyle w:val="TM1"/>
        <w:rPr>
          <w:rFonts w:asciiTheme="minorHAnsi" w:eastAsiaTheme="minorEastAsia" w:hAnsiTheme="minorHAnsi" w:cstheme="minorBidi"/>
          <w:b w:val="0"/>
          <w:sz w:val="22"/>
          <w:szCs w:val="22"/>
          <w:lang w:eastAsia="fr-FR"/>
        </w:rPr>
      </w:pPr>
      <w:hyperlink w:anchor="_Toc412111717" w:history="1">
        <w:r w:rsidR="00846768" w:rsidRPr="006C1CF7">
          <w:rPr>
            <w:rStyle w:val="Lienhypertexte"/>
          </w:rPr>
          <w:t>Examen de la situation des droits de l’homme article par article</w:t>
        </w:r>
        <w:r w:rsidR="00846768">
          <w:rPr>
            <w:webHidden/>
          </w:rPr>
          <w:tab/>
        </w:r>
        <w:r w:rsidR="00846768">
          <w:rPr>
            <w:webHidden/>
          </w:rPr>
          <w:fldChar w:fldCharType="begin"/>
        </w:r>
        <w:r w:rsidR="00846768">
          <w:rPr>
            <w:webHidden/>
          </w:rPr>
          <w:instrText xml:space="preserve"> PAGEREF _Toc412111717 \h </w:instrText>
        </w:r>
        <w:r w:rsidR="00846768">
          <w:rPr>
            <w:webHidden/>
          </w:rPr>
        </w:r>
        <w:r w:rsidR="00846768">
          <w:rPr>
            <w:webHidden/>
          </w:rPr>
          <w:fldChar w:fldCharType="separate"/>
        </w:r>
        <w:r w:rsidR="00C603D1">
          <w:rPr>
            <w:webHidden/>
          </w:rPr>
          <w:t>17</w:t>
        </w:r>
        <w:r w:rsidR="00846768">
          <w:rPr>
            <w:webHidden/>
          </w:rPr>
          <w:fldChar w:fldCharType="end"/>
        </w:r>
      </w:hyperlink>
    </w:p>
    <w:p w:rsidR="00846768" w:rsidRDefault="00732F46">
      <w:pPr>
        <w:pStyle w:val="TM2"/>
        <w:rPr>
          <w:rFonts w:asciiTheme="minorHAnsi" w:eastAsiaTheme="minorEastAsia" w:hAnsiTheme="minorHAnsi" w:cstheme="minorBidi"/>
          <w:b w:val="0"/>
          <w:sz w:val="22"/>
          <w:szCs w:val="22"/>
          <w:lang w:eastAsia="fr-FR"/>
        </w:rPr>
      </w:pPr>
      <w:hyperlink w:anchor="_Toc412111718" w:history="1">
        <w:r w:rsidR="00846768" w:rsidRPr="006C1CF7">
          <w:rPr>
            <w:rStyle w:val="Lienhypertexte"/>
          </w:rPr>
          <w:t>I.</w:t>
        </w:r>
        <w:r w:rsidR="00846768">
          <w:rPr>
            <w:rFonts w:asciiTheme="minorHAnsi" w:eastAsiaTheme="minorEastAsia" w:hAnsiTheme="minorHAnsi" w:cstheme="minorBidi"/>
            <w:b w:val="0"/>
            <w:sz w:val="22"/>
            <w:szCs w:val="22"/>
            <w:lang w:eastAsia="fr-FR"/>
          </w:rPr>
          <w:tab/>
        </w:r>
        <w:r w:rsidR="00846768" w:rsidRPr="006C1CF7">
          <w:rPr>
            <w:rStyle w:val="Lienhypertexte"/>
          </w:rPr>
          <w:t>Article 6 : Le droit à la vie</w:t>
        </w:r>
        <w:r w:rsidR="00846768">
          <w:rPr>
            <w:webHidden/>
          </w:rPr>
          <w:tab/>
        </w:r>
        <w:r w:rsidR="00846768">
          <w:rPr>
            <w:webHidden/>
          </w:rPr>
          <w:fldChar w:fldCharType="begin"/>
        </w:r>
        <w:r w:rsidR="00846768">
          <w:rPr>
            <w:webHidden/>
          </w:rPr>
          <w:instrText xml:space="preserve"> PAGEREF _Toc412111718 \h </w:instrText>
        </w:r>
        <w:r w:rsidR="00846768">
          <w:rPr>
            <w:webHidden/>
          </w:rPr>
        </w:r>
        <w:r w:rsidR="00846768">
          <w:rPr>
            <w:webHidden/>
          </w:rPr>
          <w:fldChar w:fldCharType="separate"/>
        </w:r>
        <w:r w:rsidR="00C603D1">
          <w:rPr>
            <w:webHidden/>
          </w:rPr>
          <w:t>17</w:t>
        </w:r>
        <w:r w:rsidR="00846768">
          <w:rPr>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19" w:history="1">
        <w:r w:rsidR="00846768" w:rsidRPr="006C1CF7">
          <w:rPr>
            <w:rStyle w:val="Lienhypertexte"/>
            <w:noProof/>
          </w:rPr>
          <w:t>A.</w:t>
        </w:r>
        <w:r w:rsidR="00846768">
          <w:rPr>
            <w:rFonts w:asciiTheme="minorHAnsi" w:eastAsiaTheme="minorEastAsia" w:hAnsiTheme="minorHAnsi" w:cstheme="minorBidi"/>
            <w:noProof/>
            <w:sz w:val="22"/>
            <w:szCs w:val="22"/>
            <w:lang w:eastAsia="fr-FR"/>
          </w:rPr>
          <w:tab/>
        </w:r>
        <w:r w:rsidR="00846768" w:rsidRPr="006C1CF7">
          <w:rPr>
            <w:rStyle w:val="Lienhypertexte"/>
            <w:noProof/>
          </w:rPr>
          <w:t>Les exécutions extrajudiciaires</w:t>
        </w:r>
        <w:r w:rsidR="00846768">
          <w:rPr>
            <w:noProof/>
            <w:webHidden/>
          </w:rPr>
          <w:tab/>
        </w:r>
        <w:r w:rsidR="00846768">
          <w:rPr>
            <w:noProof/>
            <w:webHidden/>
          </w:rPr>
          <w:fldChar w:fldCharType="begin"/>
        </w:r>
        <w:r w:rsidR="00846768">
          <w:rPr>
            <w:noProof/>
            <w:webHidden/>
          </w:rPr>
          <w:instrText xml:space="preserve"> PAGEREF _Toc412111719 \h </w:instrText>
        </w:r>
        <w:r w:rsidR="00846768">
          <w:rPr>
            <w:noProof/>
            <w:webHidden/>
          </w:rPr>
        </w:r>
        <w:r w:rsidR="00846768">
          <w:rPr>
            <w:noProof/>
            <w:webHidden/>
          </w:rPr>
          <w:fldChar w:fldCharType="separate"/>
        </w:r>
        <w:r w:rsidR="00C603D1">
          <w:rPr>
            <w:noProof/>
            <w:webHidden/>
          </w:rPr>
          <w:t>17</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20" w:history="1">
        <w:r w:rsidR="00846768" w:rsidRPr="006C1CF7">
          <w:rPr>
            <w:rStyle w:val="Lienhypertexte"/>
            <w:noProof/>
          </w:rPr>
          <w:t>B.</w:t>
        </w:r>
        <w:r w:rsidR="00846768">
          <w:rPr>
            <w:rFonts w:asciiTheme="minorHAnsi" w:eastAsiaTheme="minorEastAsia" w:hAnsiTheme="minorHAnsi" w:cstheme="minorBidi"/>
            <w:noProof/>
            <w:sz w:val="22"/>
            <w:szCs w:val="22"/>
            <w:lang w:eastAsia="fr-FR"/>
          </w:rPr>
          <w:tab/>
        </w:r>
        <w:r w:rsidR="00846768" w:rsidRPr="006C1CF7">
          <w:rPr>
            <w:rStyle w:val="Lienhypertexte"/>
            <w:noProof/>
          </w:rPr>
          <w:t>La peine de mort</w:t>
        </w:r>
        <w:r w:rsidR="00846768">
          <w:rPr>
            <w:noProof/>
            <w:webHidden/>
          </w:rPr>
          <w:tab/>
        </w:r>
        <w:r w:rsidR="00846768">
          <w:rPr>
            <w:noProof/>
            <w:webHidden/>
          </w:rPr>
          <w:fldChar w:fldCharType="begin"/>
        </w:r>
        <w:r w:rsidR="00846768">
          <w:rPr>
            <w:noProof/>
            <w:webHidden/>
          </w:rPr>
          <w:instrText xml:space="preserve"> PAGEREF _Toc412111720 \h </w:instrText>
        </w:r>
        <w:r w:rsidR="00846768">
          <w:rPr>
            <w:noProof/>
            <w:webHidden/>
          </w:rPr>
        </w:r>
        <w:r w:rsidR="00846768">
          <w:rPr>
            <w:noProof/>
            <w:webHidden/>
          </w:rPr>
          <w:fldChar w:fldCharType="separate"/>
        </w:r>
        <w:r w:rsidR="00C603D1">
          <w:rPr>
            <w:noProof/>
            <w:webHidden/>
          </w:rPr>
          <w:t>19</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21" w:history="1">
        <w:r w:rsidR="00846768" w:rsidRPr="006C1CF7">
          <w:rPr>
            <w:rStyle w:val="Lienhypertexte"/>
            <w:noProof/>
          </w:rPr>
          <w:t>C.</w:t>
        </w:r>
        <w:r w:rsidR="00846768">
          <w:rPr>
            <w:rFonts w:asciiTheme="minorHAnsi" w:eastAsiaTheme="minorEastAsia" w:hAnsiTheme="minorHAnsi" w:cstheme="minorBidi"/>
            <w:noProof/>
            <w:sz w:val="22"/>
            <w:szCs w:val="22"/>
            <w:lang w:eastAsia="fr-FR"/>
          </w:rPr>
          <w:tab/>
        </w:r>
        <w:r w:rsidR="00846768" w:rsidRPr="006C1CF7">
          <w:rPr>
            <w:rStyle w:val="Lienhypertexte"/>
            <w:noProof/>
          </w:rPr>
          <w:t>Les disparitions forcées</w:t>
        </w:r>
        <w:r w:rsidR="00846768">
          <w:rPr>
            <w:noProof/>
            <w:webHidden/>
          </w:rPr>
          <w:tab/>
        </w:r>
        <w:r w:rsidR="00846768">
          <w:rPr>
            <w:noProof/>
            <w:webHidden/>
          </w:rPr>
          <w:fldChar w:fldCharType="begin"/>
        </w:r>
        <w:r w:rsidR="00846768">
          <w:rPr>
            <w:noProof/>
            <w:webHidden/>
          </w:rPr>
          <w:instrText xml:space="preserve"> PAGEREF _Toc412111721 \h </w:instrText>
        </w:r>
        <w:r w:rsidR="00846768">
          <w:rPr>
            <w:noProof/>
            <w:webHidden/>
          </w:rPr>
        </w:r>
        <w:r w:rsidR="00846768">
          <w:rPr>
            <w:noProof/>
            <w:webHidden/>
          </w:rPr>
          <w:fldChar w:fldCharType="separate"/>
        </w:r>
        <w:r w:rsidR="00C603D1">
          <w:rPr>
            <w:noProof/>
            <w:webHidden/>
          </w:rPr>
          <w:t>20</w:t>
        </w:r>
        <w:r w:rsidR="00846768">
          <w:rPr>
            <w:noProof/>
            <w:webHidden/>
          </w:rPr>
          <w:fldChar w:fldCharType="end"/>
        </w:r>
      </w:hyperlink>
    </w:p>
    <w:p w:rsidR="00846768" w:rsidRDefault="00732F46">
      <w:pPr>
        <w:pStyle w:val="TM2"/>
        <w:rPr>
          <w:rFonts w:asciiTheme="minorHAnsi" w:eastAsiaTheme="minorEastAsia" w:hAnsiTheme="minorHAnsi" w:cstheme="minorBidi"/>
          <w:b w:val="0"/>
          <w:sz w:val="22"/>
          <w:szCs w:val="22"/>
          <w:lang w:eastAsia="fr-FR"/>
        </w:rPr>
      </w:pPr>
      <w:hyperlink w:anchor="_Toc412111722" w:history="1">
        <w:r w:rsidR="00846768" w:rsidRPr="006C1CF7">
          <w:rPr>
            <w:rStyle w:val="Lienhypertexte"/>
          </w:rPr>
          <w:t>II.</w:t>
        </w:r>
        <w:r w:rsidR="00846768">
          <w:rPr>
            <w:rFonts w:asciiTheme="minorHAnsi" w:eastAsiaTheme="minorEastAsia" w:hAnsiTheme="minorHAnsi" w:cstheme="minorBidi"/>
            <w:b w:val="0"/>
            <w:sz w:val="22"/>
            <w:szCs w:val="22"/>
            <w:lang w:eastAsia="fr-FR"/>
          </w:rPr>
          <w:tab/>
        </w:r>
        <w:r w:rsidR="00846768" w:rsidRPr="006C1CF7">
          <w:rPr>
            <w:rStyle w:val="Lienhypertexte"/>
          </w:rPr>
          <w:t>Article 7 : l’interdiction de la torture</w:t>
        </w:r>
        <w:r w:rsidR="00846768">
          <w:rPr>
            <w:webHidden/>
          </w:rPr>
          <w:tab/>
        </w:r>
        <w:r w:rsidR="00846768">
          <w:rPr>
            <w:webHidden/>
          </w:rPr>
          <w:fldChar w:fldCharType="begin"/>
        </w:r>
        <w:r w:rsidR="00846768">
          <w:rPr>
            <w:webHidden/>
          </w:rPr>
          <w:instrText xml:space="preserve"> PAGEREF _Toc412111722 \h </w:instrText>
        </w:r>
        <w:r w:rsidR="00846768">
          <w:rPr>
            <w:webHidden/>
          </w:rPr>
        </w:r>
        <w:r w:rsidR="00846768">
          <w:rPr>
            <w:webHidden/>
          </w:rPr>
          <w:fldChar w:fldCharType="separate"/>
        </w:r>
        <w:r w:rsidR="00C603D1">
          <w:rPr>
            <w:webHidden/>
          </w:rPr>
          <w:t>21</w:t>
        </w:r>
        <w:r w:rsidR="00846768">
          <w:rPr>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23" w:history="1">
        <w:r w:rsidR="00846768" w:rsidRPr="006C1CF7">
          <w:rPr>
            <w:rStyle w:val="Lienhypertexte"/>
            <w:noProof/>
          </w:rPr>
          <w:t>A.</w:t>
        </w:r>
        <w:r w:rsidR="00846768">
          <w:rPr>
            <w:rFonts w:asciiTheme="minorHAnsi" w:eastAsiaTheme="minorEastAsia" w:hAnsiTheme="minorHAnsi" w:cstheme="minorBidi"/>
            <w:noProof/>
            <w:sz w:val="22"/>
            <w:szCs w:val="22"/>
            <w:lang w:eastAsia="fr-FR"/>
          </w:rPr>
          <w:tab/>
        </w:r>
        <w:r w:rsidR="00846768" w:rsidRPr="006C1CF7">
          <w:rPr>
            <w:rStyle w:val="Lienhypertexte"/>
            <w:noProof/>
          </w:rPr>
          <w:t>L’incrimination de la torture</w:t>
        </w:r>
        <w:r w:rsidR="00846768">
          <w:rPr>
            <w:noProof/>
            <w:webHidden/>
          </w:rPr>
          <w:tab/>
        </w:r>
        <w:r w:rsidR="00846768">
          <w:rPr>
            <w:noProof/>
            <w:webHidden/>
          </w:rPr>
          <w:fldChar w:fldCharType="begin"/>
        </w:r>
        <w:r w:rsidR="00846768">
          <w:rPr>
            <w:noProof/>
            <w:webHidden/>
          </w:rPr>
          <w:instrText xml:space="preserve"> PAGEREF _Toc412111723 \h </w:instrText>
        </w:r>
        <w:r w:rsidR="00846768">
          <w:rPr>
            <w:noProof/>
            <w:webHidden/>
          </w:rPr>
        </w:r>
        <w:r w:rsidR="00846768">
          <w:rPr>
            <w:noProof/>
            <w:webHidden/>
          </w:rPr>
          <w:fldChar w:fldCharType="separate"/>
        </w:r>
        <w:r w:rsidR="00C603D1">
          <w:rPr>
            <w:noProof/>
            <w:webHidden/>
          </w:rPr>
          <w:t>21</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24" w:history="1">
        <w:r w:rsidR="00846768" w:rsidRPr="006C1CF7">
          <w:rPr>
            <w:rStyle w:val="Lienhypertexte"/>
            <w:noProof/>
          </w:rPr>
          <w:t>B.</w:t>
        </w:r>
        <w:r w:rsidR="00846768">
          <w:rPr>
            <w:rFonts w:asciiTheme="minorHAnsi" w:eastAsiaTheme="minorEastAsia" w:hAnsiTheme="minorHAnsi" w:cstheme="minorBidi"/>
            <w:noProof/>
            <w:sz w:val="22"/>
            <w:szCs w:val="22"/>
            <w:lang w:eastAsia="fr-FR"/>
          </w:rPr>
          <w:tab/>
        </w:r>
        <w:r w:rsidR="00846768" w:rsidRPr="006C1CF7">
          <w:rPr>
            <w:rStyle w:val="Lienhypertexte"/>
            <w:noProof/>
          </w:rPr>
          <w:t>L’interdiction d’utiliser les aveux obtenus par la torture dans toute procédure légale</w:t>
        </w:r>
        <w:r w:rsidR="00846768">
          <w:rPr>
            <w:noProof/>
            <w:webHidden/>
          </w:rPr>
          <w:tab/>
        </w:r>
        <w:r w:rsidR="00846768">
          <w:rPr>
            <w:noProof/>
            <w:webHidden/>
          </w:rPr>
          <w:fldChar w:fldCharType="begin"/>
        </w:r>
        <w:r w:rsidR="00846768">
          <w:rPr>
            <w:noProof/>
            <w:webHidden/>
          </w:rPr>
          <w:instrText xml:space="preserve"> PAGEREF _Toc412111724 \h </w:instrText>
        </w:r>
        <w:r w:rsidR="00846768">
          <w:rPr>
            <w:noProof/>
            <w:webHidden/>
          </w:rPr>
        </w:r>
        <w:r w:rsidR="00846768">
          <w:rPr>
            <w:noProof/>
            <w:webHidden/>
          </w:rPr>
          <w:fldChar w:fldCharType="separate"/>
        </w:r>
        <w:r w:rsidR="00C603D1">
          <w:rPr>
            <w:noProof/>
            <w:webHidden/>
          </w:rPr>
          <w:t>25</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25" w:history="1">
        <w:r w:rsidR="00846768" w:rsidRPr="006C1CF7">
          <w:rPr>
            <w:rStyle w:val="Lienhypertexte"/>
            <w:noProof/>
          </w:rPr>
          <w:t>C.</w:t>
        </w:r>
        <w:r w:rsidR="00846768">
          <w:rPr>
            <w:rFonts w:asciiTheme="minorHAnsi" w:eastAsiaTheme="minorEastAsia" w:hAnsiTheme="minorHAnsi" w:cstheme="minorBidi"/>
            <w:noProof/>
            <w:sz w:val="22"/>
            <w:szCs w:val="22"/>
            <w:lang w:eastAsia="fr-FR"/>
          </w:rPr>
          <w:tab/>
        </w:r>
        <w:r w:rsidR="00846768" w:rsidRPr="006C1CF7">
          <w:rPr>
            <w:rStyle w:val="Lienhypertexte"/>
            <w:noProof/>
          </w:rPr>
          <w:t>La formation des agents pénitentiaires</w:t>
        </w:r>
        <w:r w:rsidR="00846768">
          <w:rPr>
            <w:noProof/>
            <w:webHidden/>
          </w:rPr>
          <w:tab/>
        </w:r>
        <w:r w:rsidR="00846768">
          <w:rPr>
            <w:noProof/>
            <w:webHidden/>
          </w:rPr>
          <w:fldChar w:fldCharType="begin"/>
        </w:r>
        <w:r w:rsidR="00846768">
          <w:rPr>
            <w:noProof/>
            <w:webHidden/>
          </w:rPr>
          <w:instrText xml:space="preserve"> PAGEREF _Toc412111725 \h </w:instrText>
        </w:r>
        <w:r w:rsidR="00846768">
          <w:rPr>
            <w:noProof/>
            <w:webHidden/>
          </w:rPr>
        </w:r>
        <w:r w:rsidR="00846768">
          <w:rPr>
            <w:noProof/>
            <w:webHidden/>
          </w:rPr>
          <w:fldChar w:fldCharType="separate"/>
        </w:r>
        <w:r w:rsidR="00C603D1">
          <w:rPr>
            <w:noProof/>
            <w:webHidden/>
          </w:rPr>
          <w:t>26</w:t>
        </w:r>
        <w:r w:rsidR="00846768">
          <w:rPr>
            <w:noProof/>
            <w:webHidden/>
          </w:rPr>
          <w:fldChar w:fldCharType="end"/>
        </w:r>
      </w:hyperlink>
    </w:p>
    <w:p w:rsidR="00846768" w:rsidRDefault="00732F46">
      <w:pPr>
        <w:pStyle w:val="TM2"/>
        <w:rPr>
          <w:rFonts w:asciiTheme="minorHAnsi" w:eastAsiaTheme="minorEastAsia" w:hAnsiTheme="minorHAnsi" w:cstheme="minorBidi"/>
          <w:b w:val="0"/>
          <w:sz w:val="22"/>
          <w:szCs w:val="22"/>
          <w:lang w:eastAsia="fr-FR"/>
        </w:rPr>
      </w:pPr>
      <w:hyperlink w:anchor="_Toc412111726" w:history="1">
        <w:r w:rsidR="00846768" w:rsidRPr="006C1CF7">
          <w:rPr>
            <w:rStyle w:val="Lienhypertexte"/>
          </w:rPr>
          <w:t>III.</w:t>
        </w:r>
        <w:r w:rsidR="00846768">
          <w:rPr>
            <w:rFonts w:asciiTheme="minorHAnsi" w:eastAsiaTheme="minorEastAsia" w:hAnsiTheme="minorHAnsi" w:cstheme="minorBidi"/>
            <w:b w:val="0"/>
            <w:sz w:val="22"/>
            <w:szCs w:val="22"/>
            <w:lang w:eastAsia="fr-FR"/>
          </w:rPr>
          <w:tab/>
        </w:r>
        <w:r w:rsidR="00846768" w:rsidRPr="006C1CF7">
          <w:rPr>
            <w:rStyle w:val="Lienhypertexte"/>
          </w:rPr>
          <w:t>Article 9 : Le droit à la liberté et à la sécurité de la personne</w:t>
        </w:r>
        <w:r w:rsidR="00846768">
          <w:rPr>
            <w:webHidden/>
          </w:rPr>
          <w:tab/>
        </w:r>
        <w:r w:rsidR="00846768">
          <w:rPr>
            <w:webHidden/>
          </w:rPr>
          <w:fldChar w:fldCharType="begin"/>
        </w:r>
        <w:r w:rsidR="00846768">
          <w:rPr>
            <w:webHidden/>
          </w:rPr>
          <w:instrText xml:space="preserve"> PAGEREF _Toc412111726 \h </w:instrText>
        </w:r>
        <w:r w:rsidR="00846768">
          <w:rPr>
            <w:webHidden/>
          </w:rPr>
        </w:r>
        <w:r w:rsidR="00846768">
          <w:rPr>
            <w:webHidden/>
          </w:rPr>
          <w:fldChar w:fldCharType="separate"/>
        </w:r>
        <w:r w:rsidR="00C603D1">
          <w:rPr>
            <w:webHidden/>
          </w:rPr>
          <w:t>27</w:t>
        </w:r>
        <w:r w:rsidR="00846768">
          <w:rPr>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27" w:history="1">
        <w:r w:rsidR="00846768" w:rsidRPr="006C1CF7">
          <w:rPr>
            <w:rStyle w:val="Lienhypertexte"/>
            <w:noProof/>
            <w:lang w:val="fr-CH"/>
          </w:rPr>
          <w:t>A.</w:t>
        </w:r>
        <w:r w:rsidR="00846768">
          <w:rPr>
            <w:rFonts w:asciiTheme="minorHAnsi" w:eastAsiaTheme="minorEastAsia" w:hAnsiTheme="minorHAnsi" w:cstheme="minorBidi"/>
            <w:noProof/>
            <w:sz w:val="22"/>
            <w:szCs w:val="22"/>
            <w:lang w:eastAsia="fr-FR"/>
          </w:rPr>
          <w:tab/>
        </w:r>
        <w:r w:rsidR="00846768" w:rsidRPr="006C1CF7">
          <w:rPr>
            <w:rStyle w:val="Lienhypertexte"/>
            <w:noProof/>
            <w:lang w:val="fr-CH"/>
          </w:rPr>
          <w:t>La mise en place de mesures législatives, administratives, judiciaires pour empêcher que des actes de torture soient commis</w:t>
        </w:r>
        <w:r w:rsidR="00846768">
          <w:rPr>
            <w:noProof/>
            <w:webHidden/>
          </w:rPr>
          <w:tab/>
        </w:r>
        <w:r w:rsidR="00846768">
          <w:rPr>
            <w:noProof/>
            <w:webHidden/>
          </w:rPr>
          <w:fldChar w:fldCharType="begin"/>
        </w:r>
        <w:r w:rsidR="00846768">
          <w:rPr>
            <w:noProof/>
            <w:webHidden/>
          </w:rPr>
          <w:instrText xml:space="preserve"> PAGEREF _Toc412111727 \h </w:instrText>
        </w:r>
        <w:r w:rsidR="00846768">
          <w:rPr>
            <w:noProof/>
            <w:webHidden/>
          </w:rPr>
        </w:r>
        <w:r w:rsidR="00846768">
          <w:rPr>
            <w:noProof/>
            <w:webHidden/>
          </w:rPr>
          <w:fldChar w:fldCharType="separate"/>
        </w:r>
        <w:r w:rsidR="00C603D1">
          <w:rPr>
            <w:noProof/>
            <w:webHidden/>
          </w:rPr>
          <w:t>27</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28" w:history="1">
        <w:r w:rsidR="00846768" w:rsidRPr="006C1CF7">
          <w:rPr>
            <w:rStyle w:val="Lienhypertexte"/>
            <w:noProof/>
          </w:rPr>
          <w:t>B.</w:t>
        </w:r>
        <w:r w:rsidR="00846768">
          <w:rPr>
            <w:rFonts w:asciiTheme="minorHAnsi" w:eastAsiaTheme="minorEastAsia" w:hAnsiTheme="minorHAnsi" w:cstheme="minorBidi"/>
            <w:noProof/>
            <w:sz w:val="22"/>
            <w:szCs w:val="22"/>
            <w:lang w:eastAsia="fr-FR"/>
          </w:rPr>
          <w:tab/>
        </w:r>
        <w:r w:rsidR="00846768" w:rsidRPr="006C1CF7">
          <w:rPr>
            <w:rStyle w:val="Lienhypertexte"/>
            <w:noProof/>
          </w:rPr>
          <w:t>La mise en place d’une Commission nationale des droits de l’homme indépendante</w:t>
        </w:r>
        <w:r w:rsidR="00846768">
          <w:rPr>
            <w:noProof/>
            <w:webHidden/>
          </w:rPr>
          <w:tab/>
        </w:r>
        <w:r w:rsidR="00846768">
          <w:rPr>
            <w:noProof/>
            <w:webHidden/>
          </w:rPr>
          <w:fldChar w:fldCharType="begin"/>
        </w:r>
        <w:r w:rsidR="00846768">
          <w:rPr>
            <w:noProof/>
            <w:webHidden/>
          </w:rPr>
          <w:instrText xml:space="preserve"> PAGEREF _Toc412111728 \h </w:instrText>
        </w:r>
        <w:r w:rsidR="00846768">
          <w:rPr>
            <w:noProof/>
            <w:webHidden/>
          </w:rPr>
        </w:r>
        <w:r w:rsidR="00846768">
          <w:rPr>
            <w:noProof/>
            <w:webHidden/>
          </w:rPr>
          <w:fldChar w:fldCharType="separate"/>
        </w:r>
        <w:r w:rsidR="00C603D1">
          <w:rPr>
            <w:noProof/>
            <w:webHidden/>
          </w:rPr>
          <w:t>29</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29" w:history="1">
        <w:r w:rsidR="00846768" w:rsidRPr="006C1CF7">
          <w:rPr>
            <w:rStyle w:val="Lienhypertexte"/>
            <w:noProof/>
          </w:rPr>
          <w:t>C.</w:t>
        </w:r>
        <w:r w:rsidR="00846768">
          <w:rPr>
            <w:rFonts w:asciiTheme="minorHAnsi" w:eastAsiaTheme="minorEastAsia" w:hAnsiTheme="minorHAnsi" w:cstheme="minorBidi"/>
            <w:noProof/>
            <w:sz w:val="22"/>
            <w:szCs w:val="22"/>
            <w:lang w:eastAsia="fr-FR"/>
          </w:rPr>
          <w:tab/>
        </w:r>
        <w:r w:rsidR="00846768" w:rsidRPr="006C1CF7">
          <w:rPr>
            <w:rStyle w:val="Lienhypertexte"/>
            <w:noProof/>
          </w:rPr>
          <w:t>La surveillance systématique des règles applicables lors des différentes phases de la détention</w:t>
        </w:r>
        <w:r w:rsidR="00846768">
          <w:rPr>
            <w:noProof/>
            <w:webHidden/>
          </w:rPr>
          <w:tab/>
        </w:r>
        <w:r w:rsidR="00846768">
          <w:rPr>
            <w:noProof/>
            <w:webHidden/>
          </w:rPr>
          <w:fldChar w:fldCharType="begin"/>
        </w:r>
        <w:r w:rsidR="00846768">
          <w:rPr>
            <w:noProof/>
            <w:webHidden/>
          </w:rPr>
          <w:instrText xml:space="preserve"> PAGEREF _Toc412111729 \h </w:instrText>
        </w:r>
        <w:r w:rsidR="00846768">
          <w:rPr>
            <w:noProof/>
            <w:webHidden/>
          </w:rPr>
        </w:r>
        <w:r w:rsidR="00846768">
          <w:rPr>
            <w:noProof/>
            <w:webHidden/>
          </w:rPr>
          <w:fldChar w:fldCharType="separate"/>
        </w:r>
        <w:r w:rsidR="00C603D1">
          <w:rPr>
            <w:noProof/>
            <w:webHidden/>
          </w:rPr>
          <w:t>31</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30" w:history="1">
        <w:r w:rsidR="00846768" w:rsidRPr="006C1CF7">
          <w:rPr>
            <w:rStyle w:val="Lienhypertexte"/>
            <w:noProof/>
          </w:rPr>
          <w:t>D.</w:t>
        </w:r>
        <w:r w:rsidR="00846768">
          <w:rPr>
            <w:rFonts w:asciiTheme="minorHAnsi" w:eastAsiaTheme="minorEastAsia" w:hAnsiTheme="minorHAnsi" w:cstheme="minorBidi"/>
            <w:noProof/>
            <w:sz w:val="22"/>
            <w:szCs w:val="22"/>
            <w:lang w:eastAsia="fr-FR"/>
          </w:rPr>
          <w:tab/>
        </w:r>
        <w:r w:rsidR="00846768" w:rsidRPr="006C1CF7">
          <w:rPr>
            <w:rStyle w:val="Lienhypertexte"/>
            <w:noProof/>
          </w:rPr>
          <w:t>Le droit à réparation</w:t>
        </w:r>
        <w:r w:rsidR="00846768">
          <w:rPr>
            <w:noProof/>
            <w:webHidden/>
          </w:rPr>
          <w:tab/>
        </w:r>
        <w:r w:rsidR="00846768">
          <w:rPr>
            <w:noProof/>
            <w:webHidden/>
          </w:rPr>
          <w:fldChar w:fldCharType="begin"/>
        </w:r>
        <w:r w:rsidR="00846768">
          <w:rPr>
            <w:noProof/>
            <w:webHidden/>
          </w:rPr>
          <w:instrText xml:space="preserve"> PAGEREF _Toc412111730 \h </w:instrText>
        </w:r>
        <w:r w:rsidR="00846768">
          <w:rPr>
            <w:noProof/>
            <w:webHidden/>
          </w:rPr>
        </w:r>
        <w:r w:rsidR="00846768">
          <w:rPr>
            <w:noProof/>
            <w:webHidden/>
          </w:rPr>
          <w:fldChar w:fldCharType="separate"/>
        </w:r>
        <w:r w:rsidR="00C603D1">
          <w:rPr>
            <w:noProof/>
            <w:webHidden/>
          </w:rPr>
          <w:t>35</w:t>
        </w:r>
        <w:r w:rsidR="00846768">
          <w:rPr>
            <w:noProof/>
            <w:webHidden/>
          </w:rPr>
          <w:fldChar w:fldCharType="end"/>
        </w:r>
      </w:hyperlink>
    </w:p>
    <w:p w:rsidR="00846768" w:rsidRDefault="00732F46">
      <w:pPr>
        <w:pStyle w:val="TM2"/>
        <w:rPr>
          <w:rFonts w:asciiTheme="minorHAnsi" w:eastAsiaTheme="minorEastAsia" w:hAnsiTheme="minorHAnsi" w:cstheme="minorBidi"/>
          <w:b w:val="0"/>
          <w:sz w:val="22"/>
          <w:szCs w:val="22"/>
          <w:lang w:eastAsia="fr-FR"/>
        </w:rPr>
      </w:pPr>
      <w:hyperlink w:anchor="_Toc412111731" w:history="1">
        <w:r w:rsidR="00846768" w:rsidRPr="006C1CF7">
          <w:rPr>
            <w:rStyle w:val="Lienhypertexte"/>
          </w:rPr>
          <w:t>IV.</w:t>
        </w:r>
        <w:r w:rsidR="00846768">
          <w:rPr>
            <w:rFonts w:asciiTheme="minorHAnsi" w:eastAsiaTheme="minorEastAsia" w:hAnsiTheme="minorHAnsi" w:cstheme="minorBidi"/>
            <w:b w:val="0"/>
            <w:sz w:val="22"/>
            <w:szCs w:val="22"/>
            <w:lang w:eastAsia="fr-FR"/>
          </w:rPr>
          <w:tab/>
        </w:r>
        <w:r w:rsidR="00846768" w:rsidRPr="006C1CF7">
          <w:rPr>
            <w:rStyle w:val="Lienhypertexte"/>
          </w:rPr>
          <w:t>Article 10 : Le traitement des personnes privées de liberté</w:t>
        </w:r>
        <w:r w:rsidR="00846768">
          <w:rPr>
            <w:webHidden/>
          </w:rPr>
          <w:tab/>
        </w:r>
        <w:r w:rsidR="00846768">
          <w:rPr>
            <w:webHidden/>
          </w:rPr>
          <w:fldChar w:fldCharType="begin"/>
        </w:r>
        <w:r w:rsidR="00846768">
          <w:rPr>
            <w:webHidden/>
          </w:rPr>
          <w:instrText xml:space="preserve"> PAGEREF _Toc412111731 \h </w:instrText>
        </w:r>
        <w:r w:rsidR="00846768">
          <w:rPr>
            <w:webHidden/>
          </w:rPr>
        </w:r>
        <w:r w:rsidR="00846768">
          <w:rPr>
            <w:webHidden/>
          </w:rPr>
          <w:fldChar w:fldCharType="separate"/>
        </w:r>
        <w:r w:rsidR="00C603D1">
          <w:rPr>
            <w:webHidden/>
          </w:rPr>
          <w:t>36</w:t>
        </w:r>
        <w:r w:rsidR="00846768">
          <w:rPr>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32" w:history="1">
        <w:r w:rsidR="00846768" w:rsidRPr="006C1CF7">
          <w:rPr>
            <w:rStyle w:val="Lienhypertexte"/>
            <w:noProof/>
          </w:rPr>
          <w:t>A.</w:t>
        </w:r>
        <w:r w:rsidR="00846768">
          <w:rPr>
            <w:rFonts w:asciiTheme="minorHAnsi" w:eastAsiaTheme="minorEastAsia" w:hAnsiTheme="minorHAnsi" w:cstheme="minorBidi"/>
            <w:noProof/>
            <w:sz w:val="22"/>
            <w:szCs w:val="22"/>
            <w:lang w:eastAsia="fr-FR"/>
          </w:rPr>
          <w:tab/>
        </w:r>
        <w:r w:rsidR="00846768" w:rsidRPr="006C1CF7">
          <w:rPr>
            <w:rStyle w:val="Lienhypertexte"/>
            <w:noProof/>
          </w:rPr>
          <w:t>La surpopulation carcérale</w:t>
        </w:r>
        <w:r w:rsidR="00846768">
          <w:rPr>
            <w:noProof/>
            <w:webHidden/>
          </w:rPr>
          <w:tab/>
        </w:r>
        <w:r w:rsidR="00846768">
          <w:rPr>
            <w:noProof/>
            <w:webHidden/>
          </w:rPr>
          <w:fldChar w:fldCharType="begin"/>
        </w:r>
        <w:r w:rsidR="00846768">
          <w:rPr>
            <w:noProof/>
            <w:webHidden/>
          </w:rPr>
          <w:instrText xml:space="preserve"> PAGEREF _Toc412111732 \h </w:instrText>
        </w:r>
        <w:r w:rsidR="00846768">
          <w:rPr>
            <w:noProof/>
            <w:webHidden/>
          </w:rPr>
        </w:r>
        <w:r w:rsidR="00846768">
          <w:rPr>
            <w:noProof/>
            <w:webHidden/>
          </w:rPr>
          <w:fldChar w:fldCharType="separate"/>
        </w:r>
        <w:r w:rsidR="00C603D1">
          <w:rPr>
            <w:noProof/>
            <w:webHidden/>
          </w:rPr>
          <w:t>36</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33" w:history="1">
        <w:r w:rsidR="00846768" w:rsidRPr="006C1CF7">
          <w:rPr>
            <w:rStyle w:val="Lienhypertexte"/>
            <w:noProof/>
          </w:rPr>
          <w:t>B.</w:t>
        </w:r>
        <w:r w:rsidR="00846768">
          <w:rPr>
            <w:rFonts w:asciiTheme="minorHAnsi" w:eastAsiaTheme="minorEastAsia" w:hAnsiTheme="minorHAnsi" w:cstheme="minorBidi"/>
            <w:noProof/>
            <w:sz w:val="22"/>
            <w:szCs w:val="22"/>
            <w:lang w:eastAsia="fr-FR"/>
          </w:rPr>
          <w:tab/>
        </w:r>
        <w:r w:rsidR="00846768" w:rsidRPr="006C1CF7">
          <w:rPr>
            <w:rStyle w:val="Lienhypertexte"/>
            <w:noProof/>
          </w:rPr>
          <w:t>Les sanctions des détenus</w:t>
        </w:r>
        <w:r w:rsidR="00846768">
          <w:rPr>
            <w:noProof/>
            <w:webHidden/>
          </w:rPr>
          <w:tab/>
        </w:r>
        <w:r w:rsidR="00846768">
          <w:rPr>
            <w:noProof/>
            <w:webHidden/>
          </w:rPr>
          <w:fldChar w:fldCharType="begin"/>
        </w:r>
        <w:r w:rsidR="00846768">
          <w:rPr>
            <w:noProof/>
            <w:webHidden/>
          </w:rPr>
          <w:instrText xml:space="preserve"> PAGEREF _Toc412111733 \h </w:instrText>
        </w:r>
        <w:r w:rsidR="00846768">
          <w:rPr>
            <w:noProof/>
            <w:webHidden/>
          </w:rPr>
        </w:r>
        <w:r w:rsidR="00846768">
          <w:rPr>
            <w:noProof/>
            <w:webHidden/>
          </w:rPr>
          <w:fldChar w:fldCharType="separate"/>
        </w:r>
        <w:r w:rsidR="00C603D1">
          <w:rPr>
            <w:noProof/>
            <w:webHidden/>
          </w:rPr>
          <w:t>37</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34" w:history="1">
        <w:r w:rsidR="00846768" w:rsidRPr="006C1CF7">
          <w:rPr>
            <w:rStyle w:val="Lienhypertexte"/>
            <w:noProof/>
          </w:rPr>
          <w:t>C.</w:t>
        </w:r>
        <w:r w:rsidR="00846768">
          <w:rPr>
            <w:rFonts w:asciiTheme="minorHAnsi" w:eastAsiaTheme="minorEastAsia" w:hAnsiTheme="minorHAnsi" w:cstheme="minorBidi"/>
            <w:noProof/>
            <w:sz w:val="22"/>
            <w:szCs w:val="22"/>
            <w:lang w:eastAsia="fr-FR"/>
          </w:rPr>
          <w:tab/>
        </w:r>
        <w:r w:rsidR="00846768" w:rsidRPr="006C1CF7">
          <w:rPr>
            <w:rStyle w:val="Lienhypertexte"/>
            <w:noProof/>
          </w:rPr>
          <w:t>La séparation des personnes détenues suivant leur statut, leur âge ou leur sexe.</w:t>
        </w:r>
        <w:r w:rsidR="00846768">
          <w:rPr>
            <w:noProof/>
            <w:webHidden/>
          </w:rPr>
          <w:tab/>
        </w:r>
        <w:r w:rsidR="00846768">
          <w:rPr>
            <w:noProof/>
            <w:webHidden/>
          </w:rPr>
          <w:fldChar w:fldCharType="begin"/>
        </w:r>
        <w:r w:rsidR="00846768">
          <w:rPr>
            <w:noProof/>
            <w:webHidden/>
          </w:rPr>
          <w:instrText xml:space="preserve"> PAGEREF _Toc412111734 \h </w:instrText>
        </w:r>
        <w:r w:rsidR="00846768">
          <w:rPr>
            <w:noProof/>
            <w:webHidden/>
          </w:rPr>
        </w:r>
        <w:r w:rsidR="00846768">
          <w:rPr>
            <w:noProof/>
            <w:webHidden/>
          </w:rPr>
          <w:fldChar w:fldCharType="separate"/>
        </w:r>
        <w:r w:rsidR="00C603D1">
          <w:rPr>
            <w:noProof/>
            <w:webHidden/>
          </w:rPr>
          <w:t>37</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35" w:history="1">
        <w:r w:rsidR="00846768" w:rsidRPr="006C1CF7">
          <w:rPr>
            <w:rStyle w:val="Lienhypertexte"/>
            <w:noProof/>
          </w:rPr>
          <w:t>D.</w:t>
        </w:r>
        <w:r w:rsidR="00846768">
          <w:rPr>
            <w:rFonts w:asciiTheme="minorHAnsi" w:eastAsiaTheme="minorEastAsia" w:hAnsiTheme="minorHAnsi" w:cstheme="minorBidi"/>
            <w:noProof/>
            <w:sz w:val="22"/>
            <w:szCs w:val="22"/>
            <w:lang w:eastAsia="fr-FR"/>
          </w:rPr>
          <w:tab/>
        </w:r>
        <w:r w:rsidR="00846768" w:rsidRPr="006C1CF7">
          <w:rPr>
            <w:rStyle w:val="Lienhypertexte"/>
            <w:noProof/>
          </w:rPr>
          <w:t>L’accès aux soins et à l’alimentation</w:t>
        </w:r>
        <w:r w:rsidR="00846768">
          <w:rPr>
            <w:noProof/>
            <w:webHidden/>
          </w:rPr>
          <w:tab/>
        </w:r>
        <w:r w:rsidR="00846768">
          <w:rPr>
            <w:noProof/>
            <w:webHidden/>
          </w:rPr>
          <w:fldChar w:fldCharType="begin"/>
        </w:r>
        <w:r w:rsidR="00846768">
          <w:rPr>
            <w:noProof/>
            <w:webHidden/>
          </w:rPr>
          <w:instrText xml:space="preserve"> PAGEREF _Toc412111735 \h </w:instrText>
        </w:r>
        <w:r w:rsidR="00846768">
          <w:rPr>
            <w:noProof/>
            <w:webHidden/>
          </w:rPr>
        </w:r>
        <w:r w:rsidR="00846768">
          <w:rPr>
            <w:noProof/>
            <w:webHidden/>
          </w:rPr>
          <w:fldChar w:fldCharType="separate"/>
        </w:r>
        <w:r w:rsidR="00C603D1">
          <w:rPr>
            <w:noProof/>
            <w:webHidden/>
          </w:rPr>
          <w:t>38</w:t>
        </w:r>
        <w:r w:rsidR="00846768">
          <w:rPr>
            <w:noProof/>
            <w:webHidden/>
          </w:rPr>
          <w:fldChar w:fldCharType="end"/>
        </w:r>
      </w:hyperlink>
    </w:p>
    <w:p w:rsidR="00846768" w:rsidRDefault="00732F46">
      <w:pPr>
        <w:pStyle w:val="TM3"/>
        <w:tabs>
          <w:tab w:val="left" w:pos="960"/>
          <w:tab w:val="right" w:leader="dot" w:pos="9062"/>
        </w:tabs>
        <w:rPr>
          <w:rFonts w:asciiTheme="minorHAnsi" w:eastAsiaTheme="minorEastAsia" w:hAnsiTheme="minorHAnsi" w:cstheme="minorBidi"/>
          <w:noProof/>
          <w:sz w:val="22"/>
          <w:szCs w:val="22"/>
          <w:lang w:eastAsia="fr-FR"/>
        </w:rPr>
      </w:pPr>
      <w:hyperlink w:anchor="_Toc412111736" w:history="1">
        <w:r w:rsidR="00846768" w:rsidRPr="006C1CF7">
          <w:rPr>
            <w:rStyle w:val="Lienhypertexte"/>
            <w:noProof/>
          </w:rPr>
          <w:t>E.</w:t>
        </w:r>
        <w:r w:rsidR="00846768">
          <w:rPr>
            <w:rFonts w:asciiTheme="minorHAnsi" w:eastAsiaTheme="minorEastAsia" w:hAnsiTheme="minorHAnsi" w:cstheme="minorBidi"/>
            <w:noProof/>
            <w:sz w:val="22"/>
            <w:szCs w:val="22"/>
            <w:lang w:eastAsia="fr-FR"/>
          </w:rPr>
          <w:tab/>
        </w:r>
        <w:r w:rsidR="00846768" w:rsidRPr="006C1CF7">
          <w:rPr>
            <w:rStyle w:val="Lienhypertexte"/>
            <w:noProof/>
          </w:rPr>
          <w:t>La réhabilitation des détenus.</w:t>
        </w:r>
        <w:r w:rsidR="00846768">
          <w:rPr>
            <w:noProof/>
            <w:webHidden/>
          </w:rPr>
          <w:tab/>
        </w:r>
        <w:r w:rsidR="00846768">
          <w:rPr>
            <w:noProof/>
            <w:webHidden/>
          </w:rPr>
          <w:fldChar w:fldCharType="begin"/>
        </w:r>
        <w:r w:rsidR="00846768">
          <w:rPr>
            <w:noProof/>
            <w:webHidden/>
          </w:rPr>
          <w:instrText xml:space="preserve"> PAGEREF _Toc412111736 \h </w:instrText>
        </w:r>
        <w:r w:rsidR="00846768">
          <w:rPr>
            <w:noProof/>
            <w:webHidden/>
          </w:rPr>
        </w:r>
        <w:r w:rsidR="00846768">
          <w:rPr>
            <w:noProof/>
            <w:webHidden/>
          </w:rPr>
          <w:fldChar w:fldCharType="separate"/>
        </w:r>
        <w:r w:rsidR="00C603D1">
          <w:rPr>
            <w:noProof/>
            <w:webHidden/>
          </w:rPr>
          <w:t>39</w:t>
        </w:r>
        <w:r w:rsidR="00846768">
          <w:rPr>
            <w:noProof/>
            <w:webHidden/>
          </w:rPr>
          <w:fldChar w:fldCharType="end"/>
        </w:r>
      </w:hyperlink>
    </w:p>
    <w:p w:rsidR="00846768" w:rsidRDefault="00732F46">
      <w:pPr>
        <w:pStyle w:val="TM2"/>
        <w:rPr>
          <w:rFonts w:asciiTheme="minorHAnsi" w:eastAsiaTheme="minorEastAsia" w:hAnsiTheme="minorHAnsi" w:cstheme="minorBidi"/>
          <w:b w:val="0"/>
          <w:sz w:val="22"/>
          <w:szCs w:val="22"/>
          <w:lang w:eastAsia="fr-FR"/>
        </w:rPr>
      </w:pPr>
      <w:hyperlink w:anchor="_Toc412111737" w:history="1">
        <w:r w:rsidR="00846768" w:rsidRPr="006C1CF7">
          <w:rPr>
            <w:rStyle w:val="Lienhypertexte"/>
          </w:rPr>
          <w:t>V.</w:t>
        </w:r>
        <w:r w:rsidR="00846768">
          <w:rPr>
            <w:rFonts w:asciiTheme="minorHAnsi" w:eastAsiaTheme="minorEastAsia" w:hAnsiTheme="minorHAnsi" w:cstheme="minorBidi"/>
            <w:b w:val="0"/>
            <w:sz w:val="22"/>
            <w:szCs w:val="22"/>
            <w:lang w:eastAsia="fr-FR"/>
          </w:rPr>
          <w:tab/>
        </w:r>
        <w:r w:rsidR="00846768" w:rsidRPr="006C1CF7">
          <w:rPr>
            <w:rStyle w:val="Lienhypertexte"/>
          </w:rPr>
          <w:t>Articles 22 : La liberté d’association</w:t>
        </w:r>
        <w:r w:rsidR="00846768">
          <w:rPr>
            <w:webHidden/>
          </w:rPr>
          <w:tab/>
        </w:r>
        <w:r w:rsidR="00846768">
          <w:rPr>
            <w:webHidden/>
          </w:rPr>
          <w:fldChar w:fldCharType="begin"/>
        </w:r>
        <w:r w:rsidR="00846768">
          <w:rPr>
            <w:webHidden/>
          </w:rPr>
          <w:instrText xml:space="preserve"> PAGEREF _Toc412111737 \h </w:instrText>
        </w:r>
        <w:r w:rsidR="00846768">
          <w:rPr>
            <w:webHidden/>
          </w:rPr>
        </w:r>
        <w:r w:rsidR="00846768">
          <w:rPr>
            <w:webHidden/>
          </w:rPr>
          <w:fldChar w:fldCharType="separate"/>
        </w:r>
        <w:r w:rsidR="00C603D1">
          <w:rPr>
            <w:webHidden/>
          </w:rPr>
          <w:t>39</w:t>
        </w:r>
        <w:r w:rsidR="00846768">
          <w:rPr>
            <w:webHidden/>
          </w:rPr>
          <w:fldChar w:fldCharType="end"/>
        </w:r>
      </w:hyperlink>
    </w:p>
    <w:p w:rsidR="00846768" w:rsidRDefault="00732F46">
      <w:pPr>
        <w:pStyle w:val="TM1"/>
        <w:rPr>
          <w:rFonts w:asciiTheme="minorHAnsi" w:eastAsiaTheme="minorEastAsia" w:hAnsiTheme="minorHAnsi" w:cstheme="minorBidi"/>
          <w:b w:val="0"/>
          <w:sz w:val="22"/>
          <w:szCs w:val="22"/>
          <w:lang w:eastAsia="fr-FR"/>
        </w:rPr>
      </w:pPr>
      <w:hyperlink w:anchor="_Toc412111738" w:history="1">
        <w:r w:rsidR="00846768" w:rsidRPr="006C1CF7">
          <w:rPr>
            <w:rStyle w:val="Lienhypertexte"/>
          </w:rPr>
          <w:t>ANNEXES</w:t>
        </w:r>
        <w:r w:rsidR="00846768">
          <w:rPr>
            <w:webHidden/>
          </w:rPr>
          <w:tab/>
        </w:r>
        <w:r w:rsidR="00846768">
          <w:rPr>
            <w:webHidden/>
          </w:rPr>
          <w:fldChar w:fldCharType="begin"/>
        </w:r>
        <w:r w:rsidR="00846768">
          <w:rPr>
            <w:webHidden/>
          </w:rPr>
          <w:instrText xml:space="preserve"> PAGEREF _Toc412111738 \h </w:instrText>
        </w:r>
        <w:r w:rsidR="00846768">
          <w:rPr>
            <w:webHidden/>
          </w:rPr>
        </w:r>
        <w:r w:rsidR="00846768">
          <w:rPr>
            <w:webHidden/>
          </w:rPr>
          <w:fldChar w:fldCharType="separate"/>
        </w:r>
        <w:r w:rsidR="00C603D1">
          <w:rPr>
            <w:webHidden/>
          </w:rPr>
          <w:t>41</w:t>
        </w:r>
        <w:r w:rsidR="00846768">
          <w:rPr>
            <w:webHidden/>
          </w:rPr>
          <w:fldChar w:fldCharType="end"/>
        </w:r>
      </w:hyperlink>
    </w:p>
    <w:p w:rsidR="00846768" w:rsidRDefault="00732F46">
      <w:pPr>
        <w:pStyle w:val="TM2"/>
        <w:rPr>
          <w:rFonts w:asciiTheme="minorHAnsi" w:eastAsiaTheme="minorEastAsia" w:hAnsiTheme="minorHAnsi" w:cstheme="minorBidi"/>
          <w:b w:val="0"/>
          <w:sz w:val="22"/>
          <w:szCs w:val="22"/>
          <w:lang w:eastAsia="fr-FR"/>
        </w:rPr>
      </w:pPr>
      <w:hyperlink w:anchor="_Toc412111739" w:history="1">
        <w:r w:rsidR="00846768" w:rsidRPr="006C1CF7">
          <w:rPr>
            <w:rStyle w:val="Lienhypertexte"/>
          </w:rPr>
          <w:t>Annexe 1 : Statistiques carcérales au 31 décembre 2014</w:t>
        </w:r>
        <w:r w:rsidR="00846768">
          <w:rPr>
            <w:webHidden/>
          </w:rPr>
          <w:tab/>
        </w:r>
        <w:r w:rsidR="00846768">
          <w:rPr>
            <w:webHidden/>
          </w:rPr>
          <w:fldChar w:fldCharType="begin"/>
        </w:r>
        <w:r w:rsidR="00846768">
          <w:rPr>
            <w:webHidden/>
          </w:rPr>
          <w:instrText xml:space="preserve"> PAGEREF _Toc412111739 \h </w:instrText>
        </w:r>
        <w:r w:rsidR="00846768">
          <w:rPr>
            <w:webHidden/>
          </w:rPr>
        </w:r>
        <w:r w:rsidR="00846768">
          <w:rPr>
            <w:webHidden/>
          </w:rPr>
          <w:fldChar w:fldCharType="separate"/>
        </w:r>
        <w:r w:rsidR="00C603D1">
          <w:rPr>
            <w:webHidden/>
          </w:rPr>
          <w:t>41</w:t>
        </w:r>
        <w:r w:rsidR="00846768">
          <w:rPr>
            <w:webHidden/>
          </w:rPr>
          <w:fldChar w:fldCharType="end"/>
        </w:r>
      </w:hyperlink>
    </w:p>
    <w:p w:rsidR="00846768" w:rsidRDefault="00732F46">
      <w:pPr>
        <w:pStyle w:val="TM2"/>
        <w:rPr>
          <w:rFonts w:asciiTheme="minorHAnsi" w:eastAsiaTheme="minorEastAsia" w:hAnsiTheme="minorHAnsi" w:cstheme="minorBidi"/>
          <w:b w:val="0"/>
          <w:sz w:val="22"/>
          <w:szCs w:val="22"/>
          <w:lang w:eastAsia="fr-FR"/>
        </w:rPr>
      </w:pPr>
      <w:hyperlink w:anchor="_Toc412111740" w:history="1">
        <w:r w:rsidR="00846768" w:rsidRPr="006C1CF7">
          <w:rPr>
            <w:rStyle w:val="Lienhypertexte"/>
          </w:rPr>
          <w:t>Annexe 2 : Répartition des juridictions et des établissements pénitentiaires en Côte d’Ivoire au 31 décembre 2014</w:t>
        </w:r>
        <w:r w:rsidR="00846768">
          <w:rPr>
            <w:webHidden/>
          </w:rPr>
          <w:tab/>
        </w:r>
        <w:r w:rsidR="00846768">
          <w:rPr>
            <w:webHidden/>
          </w:rPr>
          <w:fldChar w:fldCharType="begin"/>
        </w:r>
        <w:r w:rsidR="00846768">
          <w:rPr>
            <w:webHidden/>
          </w:rPr>
          <w:instrText xml:space="preserve"> PAGEREF _Toc412111740 \h </w:instrText>
        </w:r>
        <w:r w:rsidR="00846768">
          <w:rPr>
            <w:webHidden/>
          </w:rPr>
        </w:r>
        <w:r w:rsidR="00846768">
          <w:rPr>
            <w:webHidden/>
          </w:rPr>
          <w:fldChar w:fldCharType="separate"/>
        </w:r>
        <w:r w:rsidR="00C603D1">
          <w:rPr>
            <w:webHidden/>
          </w:rPr>
          <w:t>43</w:t>
        </w:r>
        <w:r w:rsidR="00846768">
          <w:rPr>
            <w:webHidden/>
          </w:rPr>
          <w:fldChar w:fldCharType="end"/>
        </w:r>
      </w:hyperlink>
    </w:p>
    <w:p w:rsidR="00B21843" w:rsidRDefault="001A1EE5" w:rsidP="00846768">
      <w:pPr>
        <w:spacing w:before="120" w:after="120" w:line="276" w:lineRule="auto"/>
        <w:jc w:val="both"/>
        <w:outlineLvl w:val="0"/>
        <w:rPr>
          <w:rFonts w:ascii="Garamond" w:eastAsia="Times New Roman" w:hAnsi="Garamond" w:cs="Times New Roman"/>
          <w:b/>
          <w:sz w:val="24"/>
          <w:szCs w:val="24"/>
        </w:rPr>
      </w:pPr>
      <w:r w:rsidRPr="008B78B6">
        <w:rPr>
          <w:rFonts w:ascii="Garamond" w:eastAsia="Times New Roman" w:hAnsi="Garamond" w:cs="Times New Roman"/>
          <w:b/>
          <w:sz w:val="24"/>
          <w:szCs w:val="24"/>
        </w:rPr>
        <w:fldChar w:fldCharType="end"/>
      </w:r>
      <w:bookmarkStart w:id="8" w:name="_Toc386019476"/>
      <w:bookmarkStart w:id="9" w:name="_Toc386200898"/>
      <w:r w:rsidR="00B21843">
        <w:rPr>
          <w:rFonts w:ascii="Garamond" w:eastAsia="Times New Roman" w:hAnsi="Garamond" w:cs="Times New Roman"/>
          <w:b/>
          <w:sz w:val="24"/>
          <w:szCs w:val="24"/>
        </w:rPr>
        <w:br w:type="page"/>
      </w:r>
    </w:p>
    <w:p w:rsidR="00FC1C58" w:rsidRPr="00212184" w:rsidRDefault="00FC1C58" w:rsidP="00846768">
      <w:pPr>
        <w:pStyle w:val="Titre1"/>
      </w:pPr>
      <w:bookmarkStart w:id="10" w:name="_Toc412111712"/>
      <w:r w:rsidRPr="00212184">
        <w:lastRenderedPageBreak/>
        <w:t>Liste des principaux acronymes</w:t>
      </w:r>
      <w:bookmarkEnd w:id="8"/>
      <w:bookmarkEnd w:id="9"/>
      <w:bookmarkEnd w:id="10"/>
    </w:p>
    <w:p w:rsidR="00FC1C58" w:rsidRPr="00212184" w:rsidRDefault="00FC1C58" w:rsidP="001A1EE5">
      <w:pPr>
        <w:spacing w:before="120" w:after="120" w:line="276" w:lineRule="auto"/>
        <w:jc w:val="both"/>
        <w:rPr>
          <w:rFonts w:ascii="Garamond" w:eastAsia="Times New Roman" w:hAnsi="Garamond" w:cs="Garamond"/>
          <w:sz w:val="24"/>
          <w:szCs w:val="24"/>
        </w:rPr>
      </w:pPr>
    </w:p>
    <w:tbl>
      <w:tblPr>
        <w:tblW w:w="0" w:type="auto"/>
        <w:tblLook w:val="01E0" w:firstRow="1" w:lastRow="1" w:firstColumn="1" w:lastColumn="1" w:noHBand="0" w:noVBand="0"/>
      </w:tblPr>
      <w:tblGrid>
        <w:gridCol w:w="1633"/>
        <w:gridCol w:w="7439"/>
      </w:tblGrid>
      <w:tr w:rsidR="00FC1C58" w:rsidRPr="00212184" w:rsidTr="00FC1C58">
        <w:tc>
          <w:tcPr>
            <w:tcW w:w="1653"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ACAT</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Action des chrétiens pour l’abolition de la torture</w:t>
            </w:r>
          </w:p>
        </w:tc>
      </w:tr>
      <w:tr w:rsidR="00FC1C58" w:rsidRPr="00212184" w:rsidTr="00FC1C58">
        <w:tc>
          <w:tcPr>
            <w:tcW w:w="1653" w:type="dxa"/>
            <w:vAlign w:val="center"/>
          </w:tcPr>
          <w:p w:rsidR="00FC1C58" w:rsidRPr="00212184" w:rsidRDefault="00FC1C58" w:rsidP="001A1EE5">
            <w:pPr>
              <w:spacing w:after="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CADHP</w:t>
            </w:r>
          </w:p>
          <w:p w:rsidR="00FC1C58" w:rsidRPr="00212184" w:rsidRDefault="00FC1C58">
            <w:pPr>
              <w:spacing w:after="0" w:line="276" w:lineRule="auto"/>
              <w:jc w:val="both"/>
              <w:rPr>
                <w:rFonts w:ascii="Garamond" w:eastAsia="Times New Roman" w:hAnsi="Garamond" w:cs="Garamond"/>
                <w:sz w:val="24"/>
                <w:szCs w:val="24"/>
              </w:rPr>
            </w:pPr>
          </w:p>
        </w:tc>
        <w:tc>
          <w:tcPr>
            <w:tcW w:w="7635" w:type="dxa"/>
            <w:vAlign w:val="center"/>
          </w:tcPr>
          <w:p w:rsidR="00FC1C58" w:rsidRPr="00212184" w:rsidRDefault="00FC1C58">
            <w:pPr>
              <w:spacing w:after="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xml:space="preserve">Commission africaine des droits de l’homme et des peuples                                                           </w:t>
            </w:r>
          </w:p>
          <w:p w:rsidR="00FC1C58" w:rsidRPr="00212184" w:rsidRDefault="00FC1C58">
            <w:pPr>
              <w:spacing w:after="0" w:line="276" w:lineRule="auto"/>
              <w:jc w:val="both"/>
              <w:rPr>
                <w:rFonts w:ascii="Garamond" w:eastAsia="Times New Roman" w:hAnsi="Garamond" w:cs="Garamond"/>
                <w:sz w:val="24"/>
                <w:szCs w:val="24"/>
              </w:rPr>
            </w:pPr>
          </w:p>
        </w:tc>
      </w:tr>
      <w:tr w:rsidR="00FC1C58" w:rsidRPr="00212184" w:rsidTr="00FC1C58">
        <w:tc>
          <w:tcPr>
            <w:tcW w:w="1653" w:type="dxa"/>
            <w:vAlign w:val="center"/>
          </w:tcPr>
          <w:p w:rsidR="00FC1C58" w:rsidRPr="00212184" w:rsidRDefault="00FC1C58" w:rsidP="001A1EE5">
            <w:pPr>
              <w:spacing w:after="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-CDVR :</w:t>
            </w:r>
          </w:p>
        </w:tc>
        <w:tc>
          <w:tcPr>
            <w:tcW w:w="7635" w:type="dxa"/>
            <w:vAlign w:val="center"/>
          </w:tcPr>
          <w:p w:rsidR="00FC1C58" w:rsidRPr="00212184" w:rsidRDefault="00FC1C58">
            <w:pPr>
              <w:spacing w:after="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Commission Dialogue Vérité Réconciliation</w:t>
            </w:r>
          </w:p>
        </w:tc>
      </w:tr>
      <w:tr w:rsidR="00FC1C58" w:rsidRPr="00212184" w:rsidTr="00FC1C58">
        <w:tc>
          <w:tcPr>
            <w:tcW w:w="1653" w:type="dxa"/>
            <w:vAlign w:val="center"/>
          </w:tcPr>
          <w:p w:rsidR="00FC1C58" w:rsidRPr="00212184" w:rsidRDefault="00FC1C58" w:rsidP="001A1EE5">
            <w:pPr>
              <w:spacing w:after="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CNE</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Commission nationale d’enquête</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CPP</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Code de procédure pénale</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DST</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Direction de la sécurité du territoire</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EPU</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Examen périodique universel</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FANCI</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Forces armées nationales de Côte d’Ivoire</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FIACAT</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Fédération internationale de l’Action des chrétiens pour l’abolition de la torture</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FN</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Forces nouvelles</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FRCI</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Forces républicaines de Côte d’Ivoire</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MAC</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Maison d’arrêt et de correction</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MACA</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Maison d’arrêt et de correction d’Abidjan</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ONG</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Organisation non gouvernementale</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ONU</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Organisation des Nations Unies</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ONUCI</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O</w:t>
            </w:r>
            <w:r w:rsidR="00024A0B">
              <w:rPr>
                <w:rFonts w:ascii="Garamond" w:eastAsia="Times New Roman" w:hAnsi="Garamond" w:cs="Garamond"/>
                <w:sz w:val="24"/>
                <w:szCs w:val="24"/>
              </w:rPr>
              <w:t xml:space="preserve">pération des </w:t>
            </w:r>
            <w:r w:rsidRPr="00212184">
              <w:rPr>
                <w:rFonts w:ascii="Garamond" w:eastAsia="Times New Roman" w:hAnsi="Garamond" w:cs="Garamond"/>
                <w:sz w:val="24"/>
                <w:szCs w:val="24"/>
              </w:rPr>
              <w:t>Nations Unies en Côte d’Ivoire</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OPCAT</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Protocole facultatif à la Convention contre la torture et autres peines ou traitements cruels, inhumains ou dégradants</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OPJ</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Officier de police judiciaire</w:t>
            </w:r>
          </w:p>
        </w:tc>
      </w:tr>
      <w:tr w:rsidR="00FC1C58" w:rsidRPr="00212184" w:rsidTr="00FC1C58">
        <w:tc>
          <w:tcPr>
            <w:tcW w:w="1653" w:type="dxa"/>
            <w:vAlign w:val="center"/>
          </w:tcPr>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PIDCP</w:t>
            </w:r>
          </w:p>
        </w:tc>
        <w:tc>
          <w:tcPr>
            <w:tcW w:w="7635" w:type="dxa"/>
            <w:vAlign w:val="center"/>
          </w:tcPr>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Pacte international relatif aux droits civils et politiques</w:t>
            </w:r>
          </w:p>
        </w:tc>
      </w:tr>
    </w:tbl>
    <w:p w:rsidR="000B1144" w:rsidRPr="009D7709" w:rsidRDefault="00FC1C58" w:rsidP="0095626B">
      <w:pPr>
        <w:pStyle w:val="Titre1"/>
      </w:pPr>
      <w:r w:rsidRPr="00212184">
        <w:br w:type="page"/>
      </w:r>
      <w:bookmarkStart w:id="11" w:name="_Toc412111713"/>
      <w:bookmarkStart w:id="12" w:name="_Toc386019477"/>
      <w:bookmarkStart w:id="13" w:name="_Toc386200899"/>
      <w:r w:rsidR="000B1144" w:rsidRPr="009D7709">
        <w:lastRenderedPageBreak/>
        <w:t>Résumé exécutif</w:t>
      </w:r>
      <w:bookmarkEnd w:id="11"/>
    </w:p>
    <w:p w:rsidR="000B1144" w:rsidRPr="009D7709" w:rsidRDefault="000B1144" w:rsidP="0095626B">
      <w:pPr>
        <w:spacing w:line="276" w:lineRule="auto"/>
        <w:jc w:val="both"/>
        <w:rPr>
          <w:rFonts w:ascii="Garamond" w:hAnsi="Garamond"/>
          <w:b/>
          <w:sz w:val="24"/>
          <w:szCs w:val="24"/>
        </w:rPr>
      </w:pPr>
      <w:r w:rsidRPr="009D7709">
        <w:rPr>
          <w:rFonts w:ascii="Garamond" w:hAnsi="Garamond"/>
          <w:b/>
          <w:sz w:val="24"/>
          <w:szCs w:val="24"/>
        </w:rPr>
        <w:t>I.</w:t>
      </w:r>
      <w:r>
        <w:rPr>
          <w:rFonts w:ascii="Garamond" w:hAnsi="Garamond"/>
          <w:b/>
          <w:sz w:val="24"/>
          <w:szCs w:val="24"/>
        </w:rPr>
        <w:t xml:space="preserve">  </w:t>
      </w:r>
      <w:r w:rsidRPr="009D7709">
        <w:rPr>
          <w:rFonts w:ascii="Garamond" w:hAnsi="Garamond"/>
          <w:b/>
          <w:sz w:val="24"/>
          <w:szCs w:val="24"/>
        </w:rPr>
        <w:t>Article 6 : Le droit à la vie</w:t>
      </w:r>
    </w:p>
    <w:p w:rsidR="000B1144" w:rsidRPr="009D7709" w:rsidRDefault="000B1144" w:rsidP="0095626B">
      <w:pPr>
        <w:pStyle w:val="Paragraphedeliste"/>
        <w:numPr>
          <w:ilvl w:val="0"/>
          <w:numId w:val="30"/>
        </w:numPr>
        <w:spacing w:before="0" w:after="160"/>
        <w:rPr>
          <w:i/>
        </w:rPr>
      </w:pPr>
      <w:r w:rsidRPr="009D7709">
        <w:rPr>
          <w:i/>
        </w:rPr>
        <w:t>Les exécutions extrajudiciaires :</w:t>
      </w:r>
    </w:p>
    <w:p w:rsidR="000B1144" w:rsidRPr="009D7709" w:rsidRDefault="000B1144" w:rsidP="0095626B">
      <w:pPr>
        <w:spacing w:line="276" w:lineRule="auto"/>
        <w:jc w:val="both"/>
        <w:rPr>
          <w:rFonts w:ascii="Garamond" w:hAnsi="Garamond"/>
          <w:sz w:val="24"/>
          <w:szCs w:val="24"/>
        </w:rPr>
      </w:pPr>
      <w:r w:rsidRPr="009D7709">
        <w:rPr>
          <w:rFonts w:ascii="Garamond" w:hAnsi="Garamond"/>
          <w:sz w:val="24"/>
          <w:szCs w:val="24"/>
        </w:rPr>
        <w:t>De nombreuses exécutions extrajudiciaires ont été commises en Côte d’Ivoire depuis les élections présidentielles du 22 octobre 2000. Elles ont augmenté pendant la crise militaro politique qu’a connu</w:t>
      </w:r>
      <w:r w:rsidR="00EC4A5C">
        <w:rPr>
          <w:rFonts w:ascii="Garamond" w:hAnsi="Garamond"/>
          <w:sz w:val="24"/>
          <w:szCs w:val="24"/>
        </w:rPr>
        <w:t>e</w:t>
      </w:r>
      <w:r w:rsidRPr="009D7709">
        <w:rPr>
          <w:rFonts w:ascii="Garamond" w:hAnsi="Garamond"/>
          <w:sz w:val="24"/>
          <w:szCs w:val="24"/>
        </w:rPr>
        <w:t xml:space="preserve"> le pays et notamment pendant la crise postélectorale de 2010. Ce problème, bien qu’en baisse, demeure encore aujourd’hui. Seules les exécutions extrajudiciaires commises pendant la crise postélectorales ont fait l’objet d’enquête</w:t>
      </w:r>
      <w:r w:rsidR="00EC4A5C">
        <w:rPr>
          <w:rFonts w:ascii="Garamond" w:hAnsi="Garamond"/>
          <w:sz w:val="24"/>
          <w:szCs w:val="24"/>
        </w:rPr>
        <w:t>s</w:t>
      </w:r>
      <w:r w:rsidRPr="009D7709">
        <w:rPr>
          <w:rFonts w:ascii="Garamond" w:hAnsi="Garamond"/>
          <w:sz w:val="24"/>
          <w:szCs w:val="24"/>
        </w:rPr>
        <w:t xml:space="preserve"> et aucun </w:t>
      </w:r>
      <w:r>
        <w:rPr>
          <w:rFonts w:ascii="Garamond" w:hAnsi="Garamond"/>
          <w:sz w:val="24"/>
          <w:szCs w:val="24"/>
        </w:rPr>
        <w:t>auteur</w:t>
      </w:r>
      <w:r w:rsidRPr="009D7709">
        <w:rPr>
          <w:rFonts w:ascii="Garamond" w:hAnsi="Garamond"/>
          <w:sz w:val="24"/>
          <w:szCs w:val="24"/>
        </w:rPr>
        <w:t xml:space="preserve"> n’a été sanctionné. L’initiative récente du gouvernement de poursuivre les auteurs des exécutions ayant eu lieu durant la crise postélectorale et documentées par la Commission nationale d’enquête s’avère insuffisante puisqu’elles ne concernent que les </w:t>
      </w:r>
      <w:r>
        <w:rPr>
          <w:rFonts w:ascii="Garamond" w:hAnsi="Garamond"/>
          <w:sz w:val="24"/>
          <w:szCs w:val="24"/>
        </w:rPr>
        <w:t>partisans de Laurent Gbagbo</w:t>
      </w:r>
      <w:r w:rsidRPr="009D7709">
        <w:rPr>
          <w:rFonts w:ascii="Garamond" w:hAnsi="Garamond"/>
          <w:sz w:val="24"/>
          <w:szCs w:val="24"/>
        </w:rPr>
        <w:t xml:space="preserve">. </w:t>
      </w:r>
    </w:p>
    <w:p w:rsidR="000B1144" w:rsidRPr="009D7709" w:rsidRDefault="000B1144" w:rsidP="0095626B">
      <w:pPr>
        <w:spacing w:line="276" w:lineRule="auto"/>
        <w:jc w:val="both"/>
        <w:rPr>
          <w:rFonts w:ascii="Garamond" w:hAnsi="Garamond"/>
          <w:b/>
          <w:color w:val="365F91" w:themeColor="accent1" w:themeShade="BF"/>
          <w:sz w:val="24"/>
          <w:szCs w:val="24"/>
        </w:rPr>
      </w:pPr>
      <w:r w:rsidRPr="009D7709">
        <w:rPr>
          <w:rFonts w:ascii="Garamond" w:hAnsi="Garamond"/>
          <w:b/>
          <w:color w:val="365F91" w:themeColor="accent1" w:themeShade="BF"/>
          <w:sz w:val="24"/>
          <w:szCs w:val="24"/>
        </w:rPr>
        <w:t>La FIACAT et l'ACAT Côte d’Ivoire invitent le Comité des droits de l’homme à recommander à l’Etat partie de :</w:t>
      </w:r>
    </w:p>
    <w:p w:rsidR="000B1144" w:rsidRPr="009D7709" w:rsidRDefault="000B1144" w:rsidP="0095626B">
      <w:pPr>
        <w:pStyle w:val="Paragraphedeliste"/>
        <w:numPr>
          <w:ilvl w:val="0"/>
          <w:numId w:val="27"/>
        </w:numPr>
        <w:spacing w:before="0" w:after="160"/>
        <w:rPr>
          <w:b/>
          <w:color w:val="365F91" w:themeColor="accent1" w:themeShade="BF"/>
        </w:rPr>
      </w:pPr>
      <w:r w:rsidRPr="009D7709">
        <w:rPr>
          <w:b/>
          <w:color w:val="365F91" w:themeColor="accent1" w:themeShade="BF"/>
        </w:rPr>
        <w:t xml:space="preserve">Enquêter sur toutes les </w:t>
      </w:r>
      <w:r w:rsidR="00947B63">
        <w:rPr>
          <w:b/>
          <w:color w:val="365F91" w:themeColor="accent1" w:themeShade="BF"/>
        </w:rPr>
        <w:t>allégations d’</w:t>
      </w:r>
      <w:r w:rsidRPr="009D7709">
        <w:rPr>
          <w:b/>
          <w:color w:val="365F91" w:themeColor="accent1" w:themeShade="BF"/>
        </w:rPr>
        <w:t>exécutions extrajudiciaires</w:t>
      </w:r>
      <w:r w:rsidR="00947B63">
        <w:rPr>
          <w:b/>
          <w:color w:val="365F91" w:themeColor="accent1" w:themeShade="BF"/>
        </w:rPr>
        <w:t>;</w:t>
      </w:r>
    </w:p>
    <w:p w:rsidR="000B1144" w:rsidRPr="009D7709" w:rsidRDefault="000B1144" w:rsidP="0095626B">
      <w:pPr>
        <w:pStyle w:val="Paragraphedeliste"/>
        <w:numPr>
          <w:ilvl w:val="0"/>
          <w:numId w:val="27"/>
        </w:numPr>
        <w:spacing w:before="0" w:after="160"/>
        <w:rPr>
          <w:b/>
          <w:color w:val="365F91" w:themeColor="accent1" w:themeShade="BF"/>
        </w:rPr>
      </w:pPr>
      <w:r w:rsidRPr="009D7709">
        <w:rPr>
          <w:b/>
          <w:color w:val="365F91" w:themeColor="accent1" w:themeShade="BF"/>
        </w:rPr>
        <w:t>Poursuivre en justice tous les auteurs d’exécutions extrajudiciaires conformément aux obligations internationales de la Côte d’Ivoire ;</w:t>
      </w:r>
    </w:p>
    <w:p w:rsidR="000B1144" w:rsidRPr="009D7709" w:rsidRDefault="000B1144" w:rsidP="0095626B">
      <w:pPr>
        <w:pStyle w:val="Paragraphedeliste"/>
        <w:numPr>
          <w:ilvl w:val="0"/>
          <w:numId w:val="27"/>
        </w:numPr>
        <w:spacing w:before="0" w:after="160"/>
        <w:rPr>
          <w:b/>
          <w:color w:val="365F91" w:themeColor="accent1" w:themeShade="BF"/>
        </w:rPr>
      </w:pPr>
      <w:r w:rsidRPr="009D7709">
        <w:rPr>
          <w:b/>
          <w:color w:val="365F91" w:themeColor="accent1" w:themeShade="BF"/>
        </w:rPr>
        <w:t xml:space="preserve">Fournir une assistance aux </w:t>
      </w:r>
      <w:r w:rsidR="00126145">
        <w:rPr>
          <w:b/>
          <w:color w:val="365F91" w:themeColor="accent1" w:themeShade="BF"/>
        </w:rPr>
        <w:t>familles</w:t>
      </w:r>
      <w:r w:rsidR="00126145" w:rsidRPr="009D7709">
        <w:rPr>
          <w:b/>
          <w:color w:val="365F91" w:themeColor="accent1" w:themeShade="BF"/>
        </w:rPr>
        <w:t xml:space="preserve"> </w:t>
      </w:r>
      <w:r w:rsidRPr="009D7709">
        <w:rPr>
          <w:b/>
          <w:color w:val="365F91" w:themeColor="accent1" w:themeShade="BF"/>
        </w:rPr>
        <w:t>des victimes.</w:t>
      </w:r>
    </w:p>
    <w:p w:rsidR="000B1144" w:rsidRPr="009D7709" w:rsidRDefault="000B1144" w:rsidP="0095626B">
      <w:pPr>
        <w:pStyle w:val="Paragraphedeliste"/>
        <w:ind w:left="993"/>
      </w:pPr>
    </w:p>
    <w:p w:rsidR="000B1144" w:rsidRPr="009D7709" w:rsidRDefault="000B1144" w:rsidP="0095626B">
      <w:pPr>
        <w:pStyle w:val="Paragraphedeliste"/>
        <w:numPr>
          <w:ilvl w:val="0"/>
          <w:numId w:val="30"/>
        </w:numPr>
        <w:spacing w:before="0" w:after="160"/>
        <w:rPr>
          <w:i/>
        </w:rPr>
      </w:pPr>
      <w:r w:rsidRPr="009D7709">
        <w:rPr>
          <w:i/>
        </w:rPr>
        <w:t>La peine de mort</w:t>
      </w:r>
    </w:p>
    <w:p w:rsidR="000B1144" w:rsidRPr="009D7709" w:rsidRDefault="000B1144" w:rsidP="0095626B">
      <w:pPr>
        <w:spacing w:line="276" w:lineRule="auto"/>
        <w:jc w:val="both"/>
        <w:rPr>
          <w:rFonts w:ascii="Garamond" w:hAnsi="Garamond"/>
          <w:sz w:val="24"/>
          <w:szCs w:val="24"/>
        </w:rPr>
      </w:pPr>
      <w:r w:rsidRPr="009D7709">
        <w:rPr>
          <w:rFonts w:ascii="Garamond" w:hAnsi="Garamond"/>
          <w:sz w:val="24"/>
          <w:szCs w:val="24"/>
        </w:rPr>
        <w:t>La Constitution du 1</w:t>
      </w:r>
      <w:r w:rsidRPr="009D7709">
        <w:rPr>
          <w:rFonts w:ascii="Garamond" w:hAnsi="Garamond"/>
          <w:sz w:val="24"/>
          <w:szCs w:val="24"/>
          <w:vertAlign w:val="superscript"/>
        </w:rPr>
        <w:t>er</w:t>
      </w:r>
      <w:r w:rsidRPr="009D7709">
        <w:rPr>
          <w:rFonts w:ascii="Garamond" w:hAnsi="Garamond"/>
          <w:sz w:val="24"/>
          <w:szCs w:val="24"/>
        </w:rPr>
        <w:t xml:space="preserve"> août 2000 a aboli la peine de mort à son article 2. Aucune mesure n’avait été prise jusqu’à ce jour pour supprimer les dispositions relatives à la peine de mort présentes dans le C</w:t>
      </w:r>
      <w:r>
        <w:rPr>
          <w:rFonts w:ascii="Garamond" w:hAnsi="Garamond"/>
          <w:sz w:val="24"/>
          <w:szCs w:val="24"/>
        </w:rPr>
        <w:t>ode pénal ivoirien</w:t>
      </w:r>
      <w:r w:rsidR="00126145">
        <w:rPr>
          <w:rFonts w:ascii="Garamond" w:hAnsi="Garamond"/>
          <w:sz w:val="24"/>
          <w:szCs w:val="24"/>
        </w:rPr>
        <w:t>. L</w:t>
      </w:r>
      <w:r>
        <w:rPr>
          <w:rFonts w:ascii="Garamond" w:hAnsi="Garamond"/>
          <w:sz w:val="24"/>
          <w:szCs w:val="24"/>
        </w:rPr>
        <w:t xml:space="preserve">a Côte d’Ivoire n’a toujours pas </w:t>
      </w:r>
      <w:r w:rsidRPr="009D7709">
        <w:rPr>
          <w:rFonts w:ascii="Garamond" w:hAnsi="Garamond"/>
          <w:sz w:val="24"/>
          <w:szCs w:val="24"/>
        </w:rPr>
        <w:t xml:space="preserve">ratifié le deuxième Protocole facultatif se rapportant au Pacte international relatif aux droits civils et politiques. Cependant, le gouvernement a adopté en conseil des ministres le 14 janvier 2015 un projet de loi portant suppression de la peine de mort du Code pénal. </w:t>
      </w:r>
    </w:p>
    <w:p w:rsidR="000B1144" w:rsidRPr="009D7709" w:rsidRDefault="000B1144" w:rsidP="0095626B">
      <w:pPr>
        <w:spacing w:line="276" w:lineRule="auto"/>
        <w:jc w:val="both"/>
        <w:rPr>
          <w:rFonts w:ascii="Garamond" w:hAnsi="Garamond"/>
          <w:b/>
          <w:color w:val="365F91" w:themeColor="accent1" w:themeShade="BF"/>
          <w:sz w:val="24"/>
          <w:szCs w:val="24"/>
        </w:rPr>
      </w:pPr>
      <w:r w:rsidRPr="009D7709">
        <w:rPr>
          <w:rFonts w:ascii="Garamond" w:hAnsi="Garamond"/>
          <w:b/>
          <w:color w:val="365F91" w:themeColor="accent1" w:themeShade="BF"/>
          <w:sz w:val="24"/>
          <w:szCs w:val="24"/>
        </w:rPr>
        <w:t xml:space="preserve">La FIACAT et l'ACAT Côte d’Ivoire invitent le Comité des droits de l’homme à recommander à l’Etat partie de : </w:t>
      </w:r>
    </w:p>
    <w:p w:rsidR="000B1144" w:rsidRPr="009D7709" w:rsidRDefault="000B1144" w:rsidP="0095626B">
      <w:pPr>
        <w:pStyle w:val="Paragraphedeliste"/>
        <w:numPr>
          <w:ilvl w:val="0"/>
          <w:numId w:val="31"/>
        </w:numPr>
        <w:spacing w:before="0" w:after="160"/>
        <w:rPr>
          <w:b/>
          <w:color w:val="365F91" w:themeColor="accent1" w:themeShade="BF"/>
        </w:rPr>
      </w:pPr>
      <w:r w:rsidRPr="009D7709">
        <w:rPr>
          <w:b/>
          <w:color w:val="365F91" w:themeColor="accent1" w:themeShade="BF"/>
        </w:rPr>
        <w:t xml:space="preserve">Soumettre dans les plus brefs délais au parlement le projet de loi  supprimant toutes dispositions relatives à la peine de mort  dans le </w:t>
      </w:r>
      <w:r w:rsidR="00126145">
        <w:rPr>
          <w:b/>
          <w:color w:val="365F91" w:themeColor="accent1" w:themeShade="BF"/>
        </w:rPr>
        <w:t>C</w:t>
      </w:r>
      <w:r w:rsidRPr="009D7709">
        <w:rPr>
          <w:b/>
          <w:color w:val="365F91" w:themeColor="accent1" w:themeShade="BF"/>
        </w:rPr>
        <w:t>ode pénal ;</w:t>
      </w:r>
    </w:p>
    <w:p w:rsidR="000B1144" w:rsidRPr="009D7709" w:rsidRDefault="000B1144" w:rsidP="0095626B">
      <w:pPr>
        <w:pStyle w:val="Paragraphedeliste"/>
        <w:numPr>
          <w:ilvl w:val="0"/>
          <w:numId w:val="31"/>
        </w:numPr>
        <w:spacing w:before="0" w:after="0"/>
        <w:rPr>
          <w:b/>
          <w:color w:val="365F91" w:themeColor="accent1" w:themeShade="BF"/>
        </w:rPr>
      </w:pPr>
      <w:r w:rsidRPr="009D7709">
        <w:rPr>
          <w:b/>
          <w:color w:val="365F91" w:themeColor="accent1" w:themeShade="BF"/>
        </w:rPr>
        <w:t>Ratifier le deuxième Protocole facultatif se rapportant au Pacte international relatif aux droits civils et politiques, visant à abolir la peine de mort.</w:t>
      </w:r>
    </w:p>
    <w:p w:rsidR="000B1144" w:rsidRPr="009D7709" w:rsidRDefault="000B1144" w:rsidP="0095626B">
      <w:pPr>
        <w:pStyle w:val="Paragraphedeliste"/>
        <w:ind w:left="1428"/>
      </w:pPr>
    </w:p>
    <w:p w:rsidR="000B1144" w:rsidRPr="009D7709" w:rsidRDefault="000B1144" w:rsidP="0095626B">
      <w:pPr>
        <w:pStyle w:val="Paragraphedeliste"/>
        <w:numPr>
          <w:ilvl w:val="0"/>
          <w:numId w:val="30"/>
        </w:numPr>
        <w:spacing w:before="0" w:after="160"/>
        <w:rPr>
          <w:i/>
        </w:rPr>
      </w:pPr>
      <w:r w:rsidRPr="009D7709">
        <w:rPr>
          <w:i/>
        </w:rPr>
        <w:t>Les disparitions forcées</w:t>
      </w:r>
    </w:p>
    <w:p w:rsidR="000B1144" w:rsidRPr="009D7709" w:rsidRDefault="000B1144" w:rsidP="0095626B">
      <w:pPr>
        <w:spacing w:line="276" w:lineRule="auto"/>
        <w:jc w:val="both"/>
        <w:rPr>
          <w:rFonts w:ascii="Garamond" w:hAnsi="Garamond"/>
          <w:sz w:val="24"/>
          <w:szCs w:val="24"/>
        </w:rPr>
      </w:pPr>
      <w:r w:rsidRPr="009D7709">
        <w:rPr>
          <w:rFonts w:ascii="Garamond" w:hAnsi="Garamond"/>
          <w:sz w:val="24"/>
          <w:szCs w:val="24"/>
        </w:rPr>
        <w:t xml:space="preserve">Les disparitions forcées sont fréquentes en Côte d’Ivoire et celle-ci n’est toujours pas partie à la Convention internationale pour la protection de toutes les personnes contre les disparitions forcées. Une cellule spéciale d’enquête a été créée le 24 juin 2011 mais celle-ci ne concerne que les disparitions forcées ayant eu lieu durant la période postélectorale et s’avère donc insuffisante. </w:t>
      </w:r>
    </w:p>
    <w:p w:rsidR="000B1144" w:rsidRPr="002E09EF" w:rsidRDefault="000B1144" w:rsidP="0095626B">
      <w:pPr>
        <w:spacing w:line="276" w:lineRule="auto"/>
        <w:jc w:val="both"/>
        <w:rPr>
          <w:rFonts w:ascii="Garamond" w:hAnsi="Garamond"/>
          <w:b/>
          <w:color w:val="365F91" w:themeColor="accent1" w:themeShade="BF"/>
          <w:sz w:val="24"/>
          <w:szCs w:val="24"/>
        </w:rPr>
      </w:pPr>
      <w:r w:rsidRPr="002E09EF">
        <w:rPr>
          <w:rFonts w:ascii="Garamond" w:hAnsi="Garamond"/>
          <w:b/>
          <w:color w:val="365F91" w:themeColor="accent1" w:themeShade="BF"/>
          <w:sz w:val="24"/>
          <w:szCs w:val="24"/>
        </w:rPr>
        <w:t xml:space="preserve">La FIACAT et l'ACAT Côte d’Ivoire invitent le Comité des droits de l’homme à recommander à l’Etat partie de : </w:t>
      </w:r>
    </w:p>
    <w:p w:rsidR="000B1144" w:rsidRPr="002E09EF" w:rsidRDefault="000B1144" w:rsidP="0095626B">
      <w:pPr>
        <w:pStyle w:val="Paragraphedeliste"/>
        <w:numPr>
          <w:ilvl w:val="0"/>
          <w:numId w:val="32"/>
        </w:numPr>
        <w:spacing w:before="0" w:after="160"/>
        <w:rPr>
          <w:b/>
          <w:color w:val="365F91" w:themeColor="accent1" w:themeShade="BF"/>
        </w:rPr>
      </w:pPr>
      <w:r w:rsidRPr="002E09EF">
        <w:rPr>
          <w:b/>
          <w:color w:val="365F91" w:themeColor="accent1" w:themeShade="BF"/>
        </w:rPr>
        <w:lastRenderedPageBreak/>
        <w:t>Ratifier la Convention internationale pour la protection de toutes les personnes contre les disparitions forcées ;</w:t>
      </w:r>
    </w:p>
    <w:p w:rsidR="000B1144" w:rsidRPr="002E09EF" w:rsidRDefault="000B1144" w:rsidP="0095626B">
      <w:pPr>
        <w:pStyle w:val="Paragraphedeliste"/>
        <w:numPr>
          <w:ilvl w:val="0"/>
          <w:numId w:val="32"/>
        </w:numPr>
        <w:spacing w:before="0" w:after="160"/>
        <w:rPr>
          <w:b/>
          <w:color w:val="365F91" w:themeColor="accent1" w:themeShade="BF"/>
        </w:rPr>
      </w:pPr>
      <w:r w:rsidRPr="002E09EF">
        <w:rPr>
          <w:b/>
          <w:color w:val="365F91" w:themeColor="accent1" w:themeShade="BF"/>
        </w:rPr>
        <w:t>Poursuivre les auteurs de disparitions forcées.</w:t>
      </w:r>
    </w:p>
    <w:p w:rsidR="000B1144" w:rsidRPr="009D7709" w:rsidRDefault="000B1144" w:rsidP="0095626B">
      <w:pPr>
        <w:spacing w:line="276" w:lineRule="auto"/>
        <w:jc w:val="both"/>
        <w:rPr>
          <w:rFonts w:ascii="Garamond" w:hAnsi="Garamond"/>
          <w:b/>
          <w:sz w:val="24"/>
          <w:szCs w:val="24"/>
        </w:rPr>
      </w:pPr>
      <w:r w:rsidRPr="009D7709">
        <w:rPr>
          <w:rFonts w:ascii="Garamond" w:hAnsi="Garamond"/>
          <w:b/>
          <w:sz w:val="24"/>
          <w:szCs w:val="24"/>
        </w:rPr>
        <w:t>Article 7 : L’interdiction de la torture</w:t>
      </w:r>
    </w:p>
    <w:p w:rsidR="000B1144" w:rsidRPr="009D7709" w:rsidRDefault="000B1144" w:rsidP="0095626B">
      <w:pPr>
        <w:pStyle w:val="Paragraphedeliste"/>
        <w:numPr>
          <w:ilvl w:val="0"/>
          <w:numId w:val="33"/>
        </w:numPr>
        <w:spacing w:before="0" w:after="160"/>
        <w:rPr>
          <w:i/>
        </w:rPr>
      </w:pPr>
      <w:r w:rsidRPr="009D7709">
        <w:rPr>
          <w:i/>
        </w:rPr>
        <w:t>L’incrimination de la torture</w:t>
      </w:r>
    </w:p>
    <w:p w:rsidR="000B1144" w:rsidRPr="009D7709" w:rsidRDefault="000B1144" w:rsidP="0095626B">
      <w:pPr>
        <w:spacing w:line="276" w:lineRule="auto"/>
        <w:jc w:val="both"/>
        <w:rPr>
          <w:rFonts w:ascii="Garamond" w:hAnsi="Garamond"/>
          <w:sz w:val="24"/>
          <w:szCs w:val="24"/>
        </w:rPr>
      </w:pPr>
      <w:r w:rsidRPr="009D7709">
        <w:rPr>
          <w:rFonts w:ascii="Garamond" w:hAnsi="Garamond"/>
          <w:sz w:val="24"/>
          <w:szCs w:val="24"/>
        </w:rPr>
        <w:t>La Côte d’Ivoire a adhéré à la Convention contre la torture et autres peines ou traitements cruels, inhumains ou dégradants le 18 décembre 1995. La torture est prohibée à l’article 3 de la Constitution de 2000 mais elle n’est ni définie</w:t>
      </w:r>
      <w:r w:rsidR="008A71B4">
        <w:rPr>
          <w:rFonts w:ascii="Garamond" w:hAnsi="Garamond"/>
          <w:sz w:val="24"/>
          <w:szCs w:val="24"/>
        </w:rPr>
        <w:t>,</w:t>
      </w:r>
      <w:r w:rsidRPr="009D7709">
        <w:rPr>
          <w:rFonts w:ascii="Garamond" w:hAnsi="Garamond"/>
          <w:sz w:val="24"/>
          <w:szCs w:val="24"/>
        </w:rPr>
        <w:t xml:space="preserve"> ni incriminée dans le Code pénal. Dans les rares cas où les actes de tortures font l’objet d’enquêtes et de poursuites, ceux-ci ne sont poursuivis que sous l’infraction de coups et blessures et les peines prononcées ne sont pas proportionnelles à la gravité de l’acte. Un comité interministériel chargé de la révision des codes a été créé le 4 juin 2013 afin d’incorporer les engagements internationaux de la Côte d’Ivoire dans le Code pénal mais aucune information sur l’avancée de ses travaux n’est disponible à ce jour. </w:t>
      </w:r>
    </w:p>
    <w:p w:rsidR="000B1144" w:rsidRPr="009D7709" w:rsidRDefault="000B1144" w:rsidP="0095626B">
      <w:pPr>
        <w:spacing w:line="276" w:lineRule="auto"/>
        <w:jc w:val="both"/>
        <w:rPr>
          <w:rFonts w:ascii="Garamond" w:hAnsi="Garamond"/>
          <w:b/>
          <w:color w:val="365F91" w:themeColor="accent1" w:themeShade="BF"/>
          <w:sz w:val="24"/>
          <w:szCs w:val="24"/>
        </w:rPr>
      </w:pPr>
      <w:r w:rsidRPr="009D7709">
        <w:rPr>
          <w:rFonts w:ascii="Garamond" w:hAnsi="Garamond"/>
          <w:b/>
          <w:color w:val="365F91" w:themeColor="accent1" w:themeShade="BF"/>
          <w:sz w:val="24"/>
          <w:szCs w:val="24"/>
        </w:rPr>
        <w:t>L’ACAT Côte d’Ivoire et la FIACAT invitent le Comité des droits de l’homme à recommander à l’Etat partie</w:t>
      </w:r>
      <w:r w:rsidR="008A71B4">
        <w:rPr>
          <w:rFonts w:ascii="Garamond" w:hAnsi="Garamond"/>
          <w:b/>
          <w:color w:val="365F91" w:themeColor="accent1" w:themeShade="BF"/>
          <w:sz w:val="24"/>
          <w:szCs w:val="24"/>
        </w:rPr>
        <w:t xml:space="preserve"> de</w:t>
      </w:r>
      <w:r w:rsidRPr="009D7709">
        <w:rPr>
          <w:rFonts w:ascii="Garamond" w:hAnsi="Garamond"/>
          <w:b/>
          <w:color w:val="365F91" w:themeColor="accent1" w:themeShade="BF"/>
          <w:sz w:val="24"/>
          <w:szCs w:val="24"/>
        </w:rPr>
        <w:t xml:space="preserve"> :</w:t>
      </w:r>
    </w:p>
    <w:p w:rsidR="000B1144" w:rsidRPr="009D7709" w:rsidRDefault="000B1144" w:rsidP="0095626B">
      <w:pPr>
        <w:pStyle w:val="Paragraphedeliste"/>
        <w:numPr>
          <w:ilvl w:val="0"/>
          <w:numId w:val="34"/>
        </w:numPr>
        <w:spacing w:before="0" w:after="160"/>
        <w:rPr>
          <w:b/>
          <w:color w:val="365F91" w:themeColor="accent1" w:themeShade="BF"/>
        </w:rPr>
      </w:pPr>
      <w:r w:rsidRPr="009D7709">
        <w:rPr>
          <w:b/>
          <w:color w:val="365F91" w:themeColor="accent1" w:themeShade="BF"/>
        </w:rPr>
        <w:t>Incriminer dans les plus brefs délais la torture dans le Code pénal ivoirien ;</w:t>
      </w:r>
    </w:p>
    <w:p w:rsidR="000B1144" w:rsidRPr="009D7709" w:rsidRDefault="000B1144" w:rsidP="0095626B">
      <w:pPr>
        <w:pStyle w:val="Paragraphedeliste"/>
        <w:numPr>
          <w:ilvl w:val="0"/>
          <w:numId w:val="34"/>
        </w:numPr>
        <w:spacing w:before="0" w:after="160"/>
        <w:rPr>
          <w:b/>
          <w:color w:val="365F91" w:themeColor="accent1" w:themeShade="BF"/>
        </w:rPr>
      </w:pPr>
      <w:r w:rsidRPr="009D7709">
        <w:rPr>
          <w:b/>
          <w:color w:val="365F91" w:themeColor="accent1" w:themeShade="BF"/>
        </w:rPr>
        <w:t>Poursuivre les auteurs d’actes de torture.</w:t>
      </w:r>
    </w:p>
    <w:p w:rsidR="000B1144" w:rsidRPr="009D7709" w:rsidRDefault="000B1144" w:rsidP="0095626B">
      <w:pPr>
        <w:pStyle w:val="Paragraphedeliste"/>
        <w:numPr>
          <w:ilvl w:val="0"/>
          <w:numId w:val="34"/>
        </w:numPr>
        <w:spacing w:before="0" w:after="160"/>
        <w:rPr>
          <w:b/>
          <w:color w:val="365F91" w:themeColor="accent1" w:themeShade="BF"/>
        </w:rPr>
      </w:pPr>
      <w:r w:rsidRPr="009D7709">
        <w:rPr>
          <w:b/>
          <w:color w:val="365F91" w:themeColor="accent1" w:themeShade="BF"/>
        </w:rPr>
        <w:t xml:space="preserve">Accélérer la révision du </w:t>
      </w:r>
      <w:r w:rsidR="00004F80">
        <w:rPr>
          <w:b/>
          <w:color w:val="365F91" w:themeColor="accent1" w:themeShade="BF"/>
        </w:rPr>
        <w:t>C</w:t>
      </w:r>
      <w:r w:rsidRPr="009D7709">
        <w:rPr>
          <w:b/>
          <w:color w:val="365F91" w:themeColor="accent1" w:themeShade="BF"/>
        </w:rPr>
        <w:t>ode pénal et de procédure pénale pour le</w:t>
      </w:r>
      <w:r w:rsidR="008A71B4">
        <w:rPr>
          <w:b/>
          <w:color w:val="365F91" w:themeColor="accent1" w:themeShade="BF"/>
        </w:rPr>
        <w:t>s</w:t>
      </w:r>
      <w:r w:rsidRPr="009D7709">
        <w:rPr>
          <w:b/>
          <w:color w:val="365F91" w:themeColor="accent1" w:themeShade="BF"/>
        </w:rPr>
        <w:t xml:space="preserve"> rendre conforme</w:t>
      </w:r>
      <w:r w:rsidR="008A71B4">
        <w:rPr>
          <w:b/>
          <w:color w:val="365F91" w:themeColor="accent1" w:themeShade="BF"/>
        </w:rPr>
        <w:t>s</w:t>
      </w:r>
      <w:r w:rsidRPr="009D7709">
        <w:rPr>
          <w:b/>
          <w:color w:val="365F91" w:themeColor="accent1" w:themeShade="BF"/>
        </w:rPr>
        <w:t xml:space="preserve"> aux traités internationaux ratifiés par la Côte d’Ivoire.</w:t>
      </w:r>
    </w:p>
    <w:p w:rsidR="000B1144" w:rsidRPr="009D7709" w:rsidRDefault="000B1144" w:rsidP="0095626B">
      <w:pPr>
        <w:pStyle w:val="Paragraphedeliste"/>
        <w:ind w:left="1428"/>
      </w:pPr>
    </w:p>
    <w:p w:rsidR="000B1144" w:rsidRPr="003B6889" w:rsidRDefault="000B1144" w:rsidP="0095626B">
      <w:pPr>
        <w:pStyle w:val="Paragraphedeliste"/>
        <w:numPr>
          <w:ilvl w:val="0"/>
          <w:numId w:val="33"/>
        </w:numPr>
        <w:spacing w:before="0" w:after="160"/>
        <w:rPr>
          <w:i/>
        </w:rPr>
      </w:pPr>
      <w:r w:rsidRPr="003B6889">
        <w:rPr>
          <w:i/>
        </w:rPr>
        <w:t>L’interdiction d’utiliser les aveux obtenus par la torture dans toute procédure légale</w:t>
      </w:r>
    </w:p>
    <w:p w:rsidR="000B1144" w:rsidRPr="003B6889" w:rsidRDefault="000B1144" w:rsidP="0095626B">
      <w:pPr>
        <w:spacing w:line="276" w:lineRule="auto"/>
        <w:jc w:val="both"/>
        <w:rPr>
          <w:rFonts w:ascii="Garamond" w:hAnsi="Garamond"/>
          <w:sz w:val="24"/>
          <w:szCs w:val="24"/>
        </w:rPr>
      </w:pPr>
      <w:r w:rsidRPr="003B6889">
        <w:rPr>
          <w:rFonts w:ascii="Garamond" w:hAnsi="Garamond"/>
          <w:sz w:val="24"/>
          <w:szCs w:val="24"/>
        </w:rPr>
        <w:t>La torture n’étant pas incriminée dans le Code pénal, aucune disposition de celui-ci n’interdit l’utilisation d’aveux obtenus par la torture comme élément de preuve. Il est donc courant que des personnes inculpées soient soumises à la torture en vue d’obtenir des aveux.</w:t>
      </w:r>
    </w:p>
    <w:p w:rsidR="000B1144" w:rsidRPr="003B6889" w:rsidRDefault="000B1144" w:rsidP="0095626B">
      <w:pPr>
        <w:spacing w:line="276" w:lineRule="auto"/>
        <w:jc w:val="both"/>
        <w:rPr>
          <w:rFonts w:ascii="Garamond" w:hAnsi="Garamond"/>
          <w:b/>
          <w:color w:val="365F91" w:themeColor="accent1" w:themeShade="BF"/>
          <w:sz w:val="24"/>
          <w:szCs w:val="24"/>
        </w:rPr>
      </w:pPr>
      <w:r w:rsidRPr="003B6889">
        <w:rPr>
          <w:rFonts w:ascii="Garamond" w:hAnsi="Garamond"/>
          <w:b/>
          <w:color w:val="365F91" w:themeColor="accent1" w:themeShade="BF"/>
          <w:sz w:val="24"/>
          <w:szCs w:val="24"/>
        </w:rPr>
        <w:t>L’ACAT Côte d’Ivoire et la FIACAT invitent le Comité des droits de l’homme à recommander à l’Etat partie de :</w:t>
      </w:r>
    </w:p>
    <w:p w:rsidR="000B1144" w:rsidRPr="003B6889" w:rsidRDefault="000B1144" w:rsidP="0095626B">
      <w:pPr>
        <w:pStyle w:val="Paragraphedeliste"/>
        <w:numPr>
          <w:ilvl w:val="0"/>
          <w:numId w:val="35"/>
        </w:numPr>
        <w:spacing w:before="0" w:after="160"/>
        <w:rPr>
          <w:b/>
          <w:color w:val="365F91" w:themeColor="accent1" w:themeShade="BF"/>
        </w:rPr>
      </w:pPr>
      <w:r w:rsidRPr="003B6889">
        <w:rPr>
          <w:b/>
          <w:color w:val="365F91" w:themeColor="accent1" w:themeShade="BF"/>
        </w:rPr>
        <w:t>Interdire l’utilisation en tant que preuve de tout aveu obtenu par la torture dans le Code de procédure pénale.</w:t>
      </w:r>
    </w:p>
    <w:p w:rsidR="000B1144" w:rsidRPr="009D7709" w:rsidRDefault="000B1144" w:rsidP="0095626B">
      <w:pPr>
        <w:pStyle w:val="Paragraphedeliste"/>
        <w:ind w:left="1428"/>
      </w:pPr>
    </w:p>
    <w:p w:rsidR="000B1144" w:rsidRPr="003B6889" w:rsidRDefault="000B1144" w:rsidP="0095626B">
      <w:pPr>
        <w:pStyle w:val="Paragraphedeliste"/>
        <w:numPr>
          <w:ilvl w:val="0"/>
          <w:numId w:val="33"/>
        </w:numPr>
        <w:spacing w:before="0" w:after="160"/>
        <w:rPr>
          <w:i/>
        </w:rPr>
      </w:pPr>
      <w:r w:rsidRPr="003B6889">
        <w:rPr>
          <w:i/>
        </w:rPr>
        <w:t>La formation des agents pénitentiaires</w:t>
      </w:r>
    </w:p>
    <w:p w:rsidR="000B1144" w:rsidRPr="003B6889" w:rsidRDefault="000B1144" w:rsidP="0095626B">
      <w:pPr>
        <w:spacing w:line="276" w:lineRule="auto"/>
        <w:jc w:val="both"/>
        <w:rPr>
          <w:rFonts w:ascii="Garamond" w:hAnsi="Garamond"/>
          <w:sz w:val="24"/>
          <w:szCs w:val="24"/>
        </w:rPr>
      </w:pPr>
      <w:r w:rsidRPr="003B6889">
        <w:rPr>
          <w:rFonts w:ascii="Garamond" w:hAnsi="Garamond"/>
          <w:sz w:val="24"/>
          <w:szCs w:val="24"/>
        </w:rPr>
        <w:t xml:space="preserve">La formation aux droits de l’homme du personnel s’avère très insuffisante et discontinue. Les personnes intégrées à la Garde pénitentiaire après le conflit n’ont fait l’objet que d’une formation très rapide ne contenant aucune partie sur les droits des personnes détenues. La société civile organise donc de manière ponctuelle des formations du personnel pénitentiaire dans ce domaine. </w:t>
      </w:r>
    </w:p>
    <w:p w:rsidR="000B1144" w:rsidRPr="003B6889" w:rsidRDefault="000B1144" w:rsidP="0095626B">
      <w:pPr>
        <w:spacing w:line="276" w:lineRule="auto"/>
        <w:jc w:val="both"/>
        <w:rPr>
          <w:rFonts w:ascii="Garamond" w:hAnsi="Garamond"/>
          <w:b/>
          <w:color w:val="365F91" w:themeColor="accent1" w:themeShade="BF"/>
          <w:sz w:val="24"/>
          <w:szCs w:val="24"/>
        </w:rPr>
      </w:pPr>
      <w:r w:rsidRPr="003B6889">
        <w:rPr>
          <w:rFonts w:ascii="Garamond" w:hAnsi="Garamond"/>
          <w:b/>
          <w:color w:val="365F91" w:themeColor="accent1" w:themeShade="BF"/>
          <w:sz w:val="24"/>
          <w:szCs w:val="24"/>
        </w:rPr>
        <w:t>L’ACAT Côte d’Ivoire et la FIACAT invitent le Comité des droits de l’homme à recommander à l’Etat partie de :</w:t>
      </w:r>
    </w:p>
    <w:p w:rsidR="000B1144" w:rsidRPr="00EC4A5C" w:rsidRDefault="000B1144" w:rsidP="0095626B">
      <w:pPr>
        <w:pStyle w:val="Paragraphedeliste"/>
        <w:numPr>
          <w:ilvl w:val="0"/>
          <w:numId w:val="35"/>
        </w:numPr>
        <w:spacing w:before="0" w:after="160"/>
        <w:rPr>
          <w:color w:val="365F91" w:themeColor="accent1" w:themeShade="BF"/>
        </w:rPr>
      </w:pPr>
      <w:r w:rsidRPr="00EC4A5C">
        <w:rPr>
          <w:b/>
          <w:color w:val="365F91" w:themeColor="accent1" w:themeShade="BF"/>
        </w:rPr>
        <w:t xml:space="preserve">Former </w:t>
      </w:r>
      <w:r w:rsidR="008A71B4">
        <w:rPr>
          <w:b/>
          <w:color w:val="365F91" w:themeColor="accent1" w:themeShade="BF"/>
        </w:rPr>
        <w:t>l</w:t>
      </w:r>
      <w:r w:rsidRPr="00EC4A5C">
        <w:rPr>
          <w:b/>
          <w:color w:val="365F91" w:themeColor="accent1" w:themeShade="BF"/>
        </w:rPr>
        <w:t>e personnel pénitentiaire en matière de droits de l’homme et notamment sur l’interdit absolu de la torture</w:t>
      </w:r>
      <w:r w:rsidRPr="00EC4A5C">
        <w:rPr>
          <w:color w:val="365F91" w:themeColor="accent1" w:themeShade="BF"/>
        </w:rPr>
        <w:t>.</w:t>
      </w:r>
    </w:p>
    <w:p w:rsidR="000B1144" w:rsidRPr="003B6889" w:rsidRDefault="000B1144" w:rsidP="0095626B">
      <w:pPr>
        <w:spacing w:line="276" w:lineRule="auto"/>
        <w:jc w:val="both"/>
        <w:rPr>
          <w:rFonts w:ascii="Garamond" w:hAnsi="Garamond"/>
          <w:b/>
          <w:sz w:val="24"/>
          <w:szCs w:val="24"/>
        </w:rPr>
      </w:pPr>
      <w:r w:rsidRPr="003B6889">
        <w:rPr>
          <w:rFonts w:ascii="Garamond" w:hAnsi="Garamond"/>
          <w:b/>
          <w:sz w:val="24"/>
          <w:szCs w:val="24"/>
        </w:rPr>
        <w:t>Article 9 : Le droit à la liberté et à la sécurité de la personne</w:t>
      </w:r>
    </w:p>
    <w:p w:rsidR="000B1144" w:rsidRPr="003B6889" w:rsidRDefault="000B1144" w:rsidP="0095626B">
      <w:pPr>
        <w:pStyle w:val="Paragraphedeliste"/>
        <w:numPr>
          <w:ilvl w:val="0"/>
          <w:numId w:val="36"/>
        </w:numPr>
        <w:spacing w:before="0" w:after="160"/>
        <w:rPr>
          <w:i/>
        </w:rPr>
      </w:pPr>
      <w:r w:rsidRPr="003B6889">
        <w:rPr>
          <w:i/>
        </w:rPr>
        <w:lastRenderedPageBreak/>
        <w:t>La mise en place de mesures législatives, administratives, judiciaires pour empêcher que des actes de torture soient commis</w:t>
      </w:r>
    </w:p>
    <w:p w:rsidR="000B1144" w:rsidRPr="003B6889" w:rsidRDefault="000B1144" w:rsidP="0095626B">
      <w:pPr>
        <w:spacing w:line="276" w:lineRule="auto"/>
        <w:jc w:val="both"/>
        <w:rPr>
          <w:rFonts w:ascii="Garamond" w:hAnsi="Garamond"/>
          <w:sz w:val="24"/>
          <w:szCs w:val="24"/>
        </w:rPr>
      </w:pPr>
      <w:r w:rsidRPr="003B6889">
        <w:rPr>
          <w:rFonts w:ascii="Garamond" w:hAnsi="Garamond"/>
          <w:sz w:val="24"/>
          <w:szCs w:val="24"/>
        </w:rPr>
        <w:t xml:space="preserve">En pratique aucune notification de leurs droits n’est faite aux personnes gardées à vue et les dispositions du Code pénal et du Code de procédure pénale sont méconnues du grand public. Les articles 27 à 31 du Code de procédure pénale prévoient l’aide juridictionnelle. </w:t>
      </w:r>
      <w:r>
        <w:rPr>
          <w:rFonts w:ascii="Garamond" w:hAnsi="Garamond"/>
          <w:sz w:val="24"/>
          <w:szCs w:val="24"/>
        </w:rPr>
        <w:t>E</w:t>
      </w:r>
      <w:r w:rsidRPr="003B6889">
        <w:rPr>
          <w:rFonts w:ascii="Garamond" w:hAnsi="Garamond"/>
          <w:sz w:val="24"/>
          <w:szCs w:val="24"/>
        </w:rPr>
        <w:t xml:space="preserve">n pratique, très peu de justiciables y ont accès et l’unique service existant s’avère insuffisant pour répondre à toutes les demandes. Un projet de réforme de l’assistance judiciaire est en cours mais celle-ci est toujours en attente.  </w:t>
      </w:r>
    </w:p>
    <w:p w:rsidR="000B1144" w:rsidRPr="006D6F50" w:rsidRDefault="000B1144" w:rsidP="0095626B">
      <w:pPr>
        <w:spacing w:line="276" w:lineRule="auto"/>
        <w:jc w:val="both"/>
        <w:rPr>
          <w:rFonts w:ascii="Garamond" w:hAnsi="Garamond"/>
          <w:b/>
          <w:color w:val="365F91" w:themeColor="accent1" w:themeShade="BF"/>
          <w:sz w:val="24"/>
          <w:szCs w:val="24"/>
        </w:rPr>
      </w:pPr>
      <w:r w:rsidRPr="006D6F50">
        <w:rPr>
          <w:rFonts w:ascii="Garamond" w:hAnsi="Garamond"/>
          <w:b/>
          <w:color w:val="365F91" w:themeColor="accent1" w:themeShade="BF"/>
          <w:sz w:val="24"/>
          <w:szCs w:val="24"/>
        </w:rPr>
        <w:t>L’ACAT Côte d’Ivoire et la FIACAT invitent le Comité des droits de l’homme à recommander à l’Etat partie de :</w:t>
      </w:r>
    </w:p>
    <w:p w:rsidR="000B1144" w:rsidRPr="006D6F50" w:rsidRDefault="000B1144" w:rsidP="0095626B">
      <w:pPr>
        <w:pStyle w:val="Paragraphedeliste"/>
        <w:numPr>
          <w:ilvl w:val="0"/>
          <w:numId w:val="35"/>
        </w:numPr>
        <w:spacing w:before="0" w:after="160"/>
        <w:rPr>
          <w:b/>
          <w:color w:val="365F91" w:themeColor="accent1" w:themeShade="BF"/>
        </w:rPr>
      </w:pPr>
      <w:r w:rsidRPr="006D6F50">
        <w:rPr>
          <w:b/>
          <w:color w:val="365F91" w:themeColor="accent1" w:themeShade="BF"/>
        </w:rPr>
        <w:t>Décentraliser l’assistance judiciaire pour la rendre plus proche des justiciables ;</w:t>
      </w:r>
    </w:p>
    <w:p w:rsidR="000B1144" w:rsidRPr="006D6F50" w:rsidRDefault="000B1144" w:rsidP="0095626B">
      <w:pPr>
        <w:pStyle w:val="Paragraphedeliste"/>
        <w:numPr>
          <w:ilvl w:val="0"/>
          <w:numId w:val="35"/>
        </w:numPr>
        <w:spacing w:before="0" w:after="160"/>
        <w:rPr>
          <w:b/>
          <w:color w:val="365F91" w:themeColor="accent1" w:themeShade="BF"/>
        </w:rPr>
      </w:pPr>
      <w:r w:rsidRPr="006D6F50">
        <w:rPr>
          <w:b/>
          <w:color w:val="365F91" w:themeColor="accent1" w:themeShade="BF"/>
        </w:rPr>
        <w:t>Accro</w:t>
      </w:r>
      <w:r w:rsidR="00D204C8">
        <w:rPr>
          <w:b/>
          <w:color w:val="365F91" w:themeColor="accent1" w:themeShade="BF"/>
        </w:rPr>
        <w:t>î</w:t>
      </w:r>
      <w:r w:rsidRPr="006D6F50">
        <w:rPr>
          <w:b/>
          <w:color w:val="365F91" w:themeColor="accent1" w:themeShade="BF"/>
        </w:rPr>
        <w:t>tre le budget de l’assistance judiciaire ;</w:t>
      </w:r>
    </w:p>
    <w:p w:rsidR="000B1144" w:rsidRPr="006D6F50" w:rsidRDefault="000B1144" w:rsidP="0095626B">
      <w:pPr>
        <w:pStyle w:val="Paragraphedeliste"/>
        <w:numPr>
          <w:ilvl w:val="0"/>
          <w:numId w:val="35"/>
        </w:numPr>
        <w:spacing w:before="0" w:after="160"/>
        <w:rPr>
          <w:b/>
          <w:color w:val="365F91" w:themeColor="accent1" w:themeShade="BF"/>
        </w:rPr>
      </w:pPr>
      <w:r w:rsidRPr="006D6F50">
        <w:rPr>
          <w:b/>
          <w:color w:val="365F91" w:themeColor="accent1" w:themeShade="BF"/>
        </w:rPr>
        <w:t>Rendre incitative la rémunération forfaitaire des auxiliaires de justice ;</w:t>
      </w:r>
    </w:p>
    <w:p w:rsidR="000B1144" w:rsidRPr="006D6F50" w:rsidRDefault="000B1144" w:rsidP="0095626B">
      <w:pPr>
        <w:pStyle w:val="Paragraphedeliste"/>
        <w:numPr>
          <w:ilvl w:val="0"/>
          <w:numId w:val="35"/>
        </w:numPr>
        <w:spacing w:before="0" w:after="160"/>
        <w:rPr>
          <w:b/>
          <w:color w:val="365F91" w:themeColor="accent1" w:themeShade="BF"/>
        </w:rPr>
      </w:pPr>
      <w:r w:rsidRPr="006D6F50">
        <w:rPr>
          <w:b/>
          <w:color w:val="365F91" w:themeColor="accent1" w:themeShade="BF"/>
        </w:rPr>
        <w:t>Accélérer la réforme du système judiciaire afin de permettre au justiciable d’avoir confiance en leur justice.</w:t>
      </w:r>
    </w:p>
    <w:p w:rsidR="000B1144" w:rsidRPr="003B6889" w:rsidRDefault="000B1144" w:rsidP="0095626B">
      <w:pPr>
        <w:pStyle w:val="Paragraphedeliste"/>
      </w:pPr>
    </w:p>
    <w:p w:rsidR="000B1144" w:rsidRPr="003B6889" w:rsidRDefault="000B1144" w:rsidP="0095626B">
      <w:pPr>
        <w:pStyle w:val="Paragraphedeliste"/>
        <w:numPr>
          <w:ilvl w:val="0"/>
          <w:numId w:val="36"/>
        </w:numPr>
        <w:spacing w:before="0" w:after="160"/>
        <w:rPr>
          <w:i/>
        </w:rPr>
      </w:pPr>
      <w:r w:rsidRPr="003B6889">
        <w:rPr>
          <w:i/>
        </w:rPr>
        <w:t>La mise en place d’une commission nationale des droits de l’homme indépendante</w:t>
      </w:r>
    </w:p>
    <w:p w:rsidR="000B1144" w:rsidRPr="003B6889" w:rsidRDefault="000B1144" w:rsidP="0095626B">
      <w:pPr>
        <w:spacing w:line="276" w:lineRule="auto"/>
        <w:jc w:val="both"/>
        <w:rPr>
          <w:rFonts w:ascii="Garamond" w:hAnsi="Garamond"/>
          <w:sz w:val="24"/>
          <w:szCs w:val="24"/>
        </w:rPr>
      </w:pPr>
      <w:r w:rsidRPr="003B6889">
        <w:rPr>
          <w:rFonts w:ascii="Garamond" w:hAnsi="Garamond"/>
          <w:sz w:val="24"/>
          <w:szCs w:val="24"/>
        </w:rPr>
        <w:t xml:space="preserve">La Côte d’Ivoire dispose d’une Commission nationale des droits de l’Homme depuis la </w:t>
      </w:r>
      <w:r>
        <w:rPr>
          <w:rFonts w:ascii="Garamond" w:hAnsi="Garamond"/>
          <w:sz w:val="24"/>
          <w:szCs w:val="24"/>
        </w:rPr>
        <w:t>loi du 13 décembre 2012. Cette C</w:t>
      </w:r>
      <w:r w:rsidRPr="003B6889">
        <w:rPr>
          <w:rFonts w:ascii="Garamond" w:hAnsi="Garamond"/>
          <w:sz w:val="24"/>
          <w:szCs w:val="24"/>
        </w:rPr>
        <w:t>ommission ne présente pas tous les gages d’indépendance et d’effectivité énoncés par les Principes de Paris.  En effet, dans les faits elle reste largement dépendante du Ministère de la justice des droits de l’homme et des libertés publiques et du Ministère de l’économie et des finances tant pour ce qui est de la nomination de ses</w:t>
      </w:r>
      <w:r w:rsidR="00EC4A5C">
        <w:rPr>
          <w:rFonts w:ascii="Garamond" w:hAnsi="Garamond"/>
          <w:sz w:val="24"/>
          <w:szCs w:val="24"/>
        </w:rPr>
        <w:t xml:space="preserve"> membres que de son budget. Un C</w:t>
      </w:r>
      <w:r w:rsidRPr="003B6889">
        <w:rPr>
          <w:rFonts w:ascii="Garamond" w:hAnsi="Garamond"/>
          <w:sz w:val="24"/>
          <w:szCs w:val="24"/>
        </w:rPr>
        <w:t xml:space="preserve">omité de visite de prison a été créé au sein de la CNDH mais ses problèmes financiers ralentissent ses actions. </w:t>
      </w:r>
    </w:p>
    <w:p w:rsidR="000B1144" w:rsidRPr="003B6889" w:rsidRDefault="000B1144" w:rsidP="0095626B">
      <w:pPr>
        <w:spacing w:line="276" w:lineRule="auto"/>
        <w:jc w:val="both"/>
        <w:rPr>
          <w:rFonts w:ascii="Garamond" w:hAnsi="Garamond"/>
          <w:b/>
          <w:color w:val="365F91" w:themeColor="accent1" w:themeShade="BF"/>
          <w:sz w:val="24"/>
          <w:szCs w:val="24"/>
        </w:rPr>
      </w:pPr>
      <w:r w:rsidRPr="003B6889">
        <w:rPr>
          <w:rFonts w:ascii="Garamond" w:hAnsi="Garamond"/>
          <w:b/>
          <w:color w:val="365F91" w:themeColor="accent1" w:themeShade="BF"/>
          <w:sz w:val="24"/>
          <w:szCs w:val="24"/>
        </w:rPr>
        <w:t xml:space="preserve">L’ACAT Côte d’Ivoire et la FIACAT invitent le Comité des droits de l’homme à recommander à l’Etat partie de : </w:t>
      </w:r>
    </w:p>
    <w:p w:rsidR="000B1144" w:rsidRPr="003B6889" w:rsidRDefault="000B1144" w:rsidP="0095626B">
      <w:pPr>
        <w:pStyle w:val="Paragraphedeliste"/>
        <w:numPr>
          <w:ilvl w:val="0"/>
          <w:numId w:val="37"/>
        </w:numPr>
        <w:spacing w:before="0" w:after="160"/>
        <w:rPr>
          <w:b/>
          <w:color w:val="365F91" w:themeColor="accent1" w:themeShade="BF"/>
        </w:rPr>
      </w:pPr>
      <w:r w:rsidRPr="003B6889">
        <w:rPr>
          <w:b/>
          <w:color w:val="365F91" w:themeColor="accent1" w:themeShade="BF"/>
        </w:rPr>
        <w:t xml:space="preserve">Engager les réformes nécessaires de la Loi ° 2012-1132 du 13 décembre 2012 en vue de rendre la CNDH conforme aux Principes de Paris ; </w:t>
      </w:r>
    </w:p>
    <w:p w:rsidR="000B1144" w:rsidRPr="003B6889" w:rsidRDefault="000B1144" w:rsidP="0095626B">
      <w:pPr>
        <w:pStyle w:val="Paragraphedeliste"/>
        <w:numPr>
          <w:ilvl w:val="0"/>
          <w:numId w:val="37"/>
        </w:numPr>
        <w:spacing w:before="0" w:after="160"/>
        <w:rPr>
          <w:b/>
          <w:color w:val="365F91" w:themeColor="accent1" w:themeShade="BF"/>
        </w:rPr>
      </w:pPr>
      <w:r w:rsidRPr="003B6889">
        <w:rPr>
          <w:b/>
          <w:color w:val="365F91" w:themeColor="accent1" w:themeShade="BF"/>
        </w:rPr>
        <w:t>Fournir un budget adéquat à la CNDH CI garantissant son autonomie d’action et de gestion de ses ressources.</w:t>
      </w:r>
    </w:p>
    <w:p w:rsidR="000B1144" w:rsidRPr="009D7709" w:rsidRDefault="000B1144" w:rsidP="0095626B">
      <w:pPr>
        <w:pStyle w:val="Paragraphedeliste"/>
        <w:ind w:left="1428"/>
      </w:pPr>
    </w:p>
    <w:p w:rsidR="000B1144" w:rsidRPr="009B77FC" w:rsidRDefault="000B1144" w:rsidP="0095626B">
      <w:pPr>
        <w:pStyle w:val="Paragraphedeliste"/>
        <w:numPr>
          <w:ilvl w:val="0"/>
          <w:numId w:val="36"/>
        </w:numPr>
        <w:spacing w:before="0" w:after="160"/>
        <w:rPr>
          <w:i/>
        </w:rPr>
      </w:pPr>
      <w:r w:rsidRPr="009B77FC">
        <w:rPr>
          <w:i/>
        </w:rPr>
        <w:t>La surveillance systématique des règles applicables lors des différentes phases de la détention</w:t>
      </w:r>
    </w:p>
    <w:p w:rsidR="000B1144" w:rsidRPr="003B6889" w:rsidRDefault="000B1144" w:rsidP="0095626B">
      <w:pPr>
        <w:spacing w:line="276" w:lineRule="auto"/>
        <w:jc w:val="both"/>
        <w:rPr>
          <w:rFonts w:ascii="Garamond" w:hAnsi="Garamond"/>
          <w:sz w:val="24"/>
          <w:szCs w:val="24"/>
        </w:rPr>
      </w:pPr>
      <w:r w:rsidRPr="003B6889">
        <w:rPr>
          <w:rFonts w:ascii="Garamond" w:hAnsi="Garamond"/>
          <w:sz w:val="24"/>
          <w:szCs w:val="24"/>
        </w:rPr>
        <w:t>La Côte d’Ivoire n’est pas partie au Protocole facultatif à la Convention contre la torture et autres peines ou traitements cruels, inhumains ou dégradants et ne dispose pas d’un Mécanisme national de prévention de la torture dans les lieux privatifs de liberté. Les ONG peuvent obtenir le statut de visiteurs de prisons sur demande mais la visite des prisonniers politiques reste problématique.</w:t>
      </w:r>
      <w:r w:rsidRPr="003B6889">
        <w:rPr>
          <w:rFonts w:ascii="Garamond" w:hAnsi="Garamond"/>
          <w:sz w:val="24"/>
          <w:szCs w:val="24"/>
        </w:rPr>
        <w:br/>
        <w:t xml:space="preserve">Les délais de garde à vue excèdent souvent ceux prévus par la législation notamment en raison du manque de formalisme </w:t>
      </w:r>
      <w:r>
        <w:rPr>
          <w:rFonts w:ascii="Garamond" w:hAnsi="Garamond"/>
          <w:sz w:val="24"/>
          <w:szCs w:val="24"/>
        </w:rPr>
        <w:t>prévu par les règles relatives à</w:t>
      </w:r>
      <w:r w:rsidRPr="003B6889">
        <w:rPr>
          <w:rFonts w:ascii="Garamond" w:hAnsi="Garamond"/>
          <w:sz w:val="24"/>
          <w:szCs w:val="24"/>
        </w:rPr>
        <w:t xml:space="preserve"> la prorogation du délai. En outre la DST applique toujours un délai de garde à vue dérogatoire de 60 jours qui n’est plus applicable depuis la suppression de la Cour de Sureté de l’Etat en 1993. De même, les délais de détention préventi</w:t>
      </w:r>
      <w:r>
        <w:rPr>
          <w:rFonts w:ascii="Garamond" w:hAnsi="Garamond"/>
          <w:sz w:val="24"/>
          <w:szCs w:val="24"/>
        </w:rPr>
        <w:t xml:space="preserve">ve </w:t>
      </w:r>
      <w:r w:rsidRPr="003B6889">
        <w:rPr>
          <w:rFonts w:ascii="Garamond" w:hAnsi="Garamond"/>
          <w:sz w:val="24"/>
          <w:szCs w:val="24"/>
        </w:rPr>
        <w:t xml:space="preserve">sont fréquemment dépassés et les </w:t>
      </w:r>
      <w:r w:rsidR="00D204C8">
        <w:rPr>
          <w:rFonts w:ascii="Garamond" w:hAnsi="Garamond"/>
          <w:sz w:val="24"/>
          <w:szCs w:val="24"/>
        </w:rPr>
        <w:t>prévenus</w:t>
      </w:r>
      <w:r w:rsidR="00D204C8" w:rsidRPr="003B6889">
        <w:rPr>
          <w:rFonts w:ascii="Garamond" w:hAnsi="Garamond"/>
          <w:sz w:val="24"/>
          <w:szCs w:val="24"/>
        </w:rPr>
        <w:t xml:space="preserve"> </w:t>
      </w:r>
      <w:r w:rsidRPr="003B6889">
        <w:rPr>
          <w:rFonts w:ascii="Garamond" w:hAnsi="Garamond"/>
          <w:sz w:val="24"/>
          <w:szCs w:val="24"/>
        </w:rPr>
        <w:t xml:space="preserve">représentent près de 35% des détenus. En outre, les </w:t>
      </w:r>
      <w:r w:rsidRPr="003B6889">
        <w:rPr>
          <w:rFonts w:ascii="Garamond" w:hAnsi="Garamond"/>
          <w:sz w:val="24"/>
          <w:szCs w:val="24"/>
        </w:rPr>
        <w:lastRenderedPageBreak/>
        <w:t xml:space="preserve">prisonniers dits politiques sont régulièrement retenus dans des lieux secrets de la DST sans que quiconque ne puissent leur rendre visite. </w:t>
      </w:r>
    </w:p>
    <w:p w:rsidR="000B1144" w:rsidRPr="003B6889" w:rsidRDefault="000B1144" w:rsidP="0095626B">
      <w:pPr>
        <w:spacing w:line="276" w:lineRule="auto"/>
        <w:jc w:val="both"/>
        <w:rPr>
          <w:rFonts w:ascii="Garamond" w:hAnsi="Garamond"/>
          <w:b/>
          <w:color w:val="365F91" w:themeColor="accent1" w:themeShade="BF"/>
          <w:sz w:val="24"/>
          <w:szCs w:val="24"/>
        </w:rPr>
      </w:pPr>
      <w:r w:rsidRPr="003B6889">
        <w:rPr>
          <w:rFonts w:ascii="Garamond" w:hAnsi="Garamond"/>
          <w:b/>
          <w:color w:val="365F91" w:themeColor="accent1" w:themeShade="BF"/>
          <w:sz w:val="24"/>
          <w:szCs w:val="24"/>
        </w:rPr>
        <w:t>La FIACAT et l'ACAT Côte d’Ivoire invitent le Comité des droits de l’homme à recommander à l’Etat partie de:</w:t>
      </w:r>
    </w:p>
    <w:p w:rsidR="000B1144" w:rsidRPr="003B6889" w:rsidRDefault="000B1144" w:rsidP="0095626B">
      <w:pPr>
        <w:pStyle w:val="Paragraphedeliste"/>
        <w:numPr>
          <w:ilvl w:val="0"/>
          <w:numId w:val="38"/>
        </w:numPr>
        <w:spacing w:before="0" w:after="160"/>
        <w:rPr>
          <w:b/>
          <w:color w:val="365F91" w:themeColor="accent1" w:themeShade="BF"/>
        </w:rPr>
      </w:pPr>
      <w:r w:rsidRPr="003B6889">
        <w:rPr>
          <w:b/>
          <w:color w:val="365F91" w:themeColor="accent1" w:themeShade="BF"/>
        </w:rPr>
        <w:t>Faciliter l’accès de la société civile aux lieux privatifs de liberté ;</w:t>
      </w:r>
    </w:p>
    <w:p w:rsidR="000B1144" w:rsidRPr="003B6889" w:rsidRDefault="000B1144" w:rsidP="0095626B">
      <w:pPr>
        <w:pStyle w:val="Paragraphedeliste"/>
        <w:numPr>
          <w:ilvl w:val="0"/>
          <w:numId w:val="38"/>
        </w:numPr>
        <w:spacing w:before="0" w:after="160"/>
        <w:rPr>
          <w:b/>
          <w:color w:val="365F91" w:themeColor="accent1" w:themeShade="BF"/>
        </w:rPr>
      </w:pPr>
      <w:r w:rsidRPr="003B6889">
        <w:rPr>
          <w:b/>
          <w:color w:val="365F91" w:themeColor="accent1" w:themeShade="BF"/>
        </w:rPr>
        <w:t>Ratifier le Protocole facultatif à la Convention contre la torture et autres peines ou traitements cruels, inhumains ou dégradants (OPCAT) ;</w:t>
      </w:r>
    </w:p>
    <w:p w:rsidR="000B1144" w:rsidRPr="003B6889" w:rsidRDefault="000B1144" w:rsidP="0095626B">
      <w:pPr>
        <w:pStyle w:val="Paragraphedeliste"/>
        <w:numPr>
          <w:ilvl w:val="0"/>
          <w:numId w:val="38"/>
        </w:numPr>
        <w:spacing w:before="0" w:after="160"/>
        <w:rPr>
          <w:b/>
          <w:color w:val="365F91" w:themeColor="accent1" w:themeShade="BF"/>
        </w:rPr>
      </w:pPr>
      <w:r w:rsidRPr="003B6889">
        <w:rPr>
          <w:b/>
          <w:color w:val="365F91" w:themeColor="accent1" w:themeShade="BF"/>
        </w:rPr>
        <w:t>Veiller au strict respect des procédures entourant la garde à vue par les officiers de police judiciaire et par le ministère public ;</w:t>
      </w:r>
    </w:p>
    <w:p w:rsidR="000B1144" w:rsidRPr="003B6889" w:rsidRDefault="000B1144" w:rsidP="0095626B">
      <w:pPr>
        <w:pStyle w:val="Paragraphedeliste"/>
        <w:numPr>
          <w:ilvl w:val="0"/>
          <w:numId w:val="38"/>
        </w:numPr>
        <w:spacing w:before="0" w:after="160"/>
        <w:rPr>
          <w:b/>
          <w:color w:val="365F91" w:themeColor="accent1" w:themeShade="BF"/>
        </w:rPr>
      </w:pPr>
      <w:r w:rsidRPr="003B6889">
        <w:rPr>
          <w:b/>
          <w:color w:val="365F91" w:themeColor="accent1" w:themeShade="BF"/>
        </w:rPr>
        <w:t>Mettre fin aux gardes à vue illégales ;</w:t>
      </w:r>
    </w:p>
    <w:p w:rsidR="000B1144" w:rsidRPr="003B6889" w:rsidRDefault="000B1144" w:rsidP="0095626B">
      <w:pPr>
        <w:pStyle w:val="Paragraphedeliste"/>
        <w:numPr>
          <w:ilvl w:val="0"/>
          <w:numId w:val="38"/>
        </w:numPr>
        <w:spacing w:before="0" w:after="160"/>
        <w:rPr>
          <w:b/>
          <w:color w:val="365F91" w:themeColor="accent1" w:themeShade="BF"/>
        </w:rPr>
      </w:pPr>
      <w:r w:rsidRPr="003B6889">
        <w:rPr>
          <w:b/>
          <w:color w:val="365F91" w:themeColor="accent1" w:themeShade="BF"/>
        </w:rPr>
        <w:t>Veiller au respect strict des procédures entourant la détention préventive ;</w:t>
      </w:r>
    </w:p>
    <w:p w:rsidR="000B1144" w:rsidRPr="003B6889" w:rsidRDefault="000B1144" w:rsidP="0095626B">
      <w:pPr>
        <w:pStyle w:val="Paragraphedeliste"/>
        <w:numPr>
          <w:ilvl w:val="0"/>
          <w:numId w:val="38"/>
        </w:numPr>
        <w:spacing w:before="0" w:after="160"/>
        <w:rPr>
          <w:b/>
          <w:color w:val="365F91" w:themeColor="accent1" w:themeShade="BF"/>
        </w:rPr>
      </w:pPr>
      <w:r w:rsidRPr="003B6889">
        <w:rPr>
          <w:b/>
          <w:color w:val="365F91" w:themeColor="accent1" w:themeShade="BF"/>
        </w:rPr>
        <w:t>Promouvoir la diffusion des textes de lois, pour une meilleure connaissance de ses droits par la population ivoirienne ;</w:t>
      </w:r>
    </w:p>
    <w:p w:rsidR="000B1144" w:rsidRPr="009D7709" w:rsidRDefault="000B1144" w:rsidP="0095626B">
      <w:pPr>
        <w:pStyle w:val="Paragraphedeliste"/>
        <w:ind w:left="1428"/>
      </w:pPr>
    </w:p>
    <w:p w:rsidR="000B1144" w:rsidRPr="003B6889" w:rsidRDefault="000B1144" w:rsidP="0095626B">
      <w:pPr>
        <w:pStyle w:val="Paragraphedeliste"/>
        <w:numPr>
          <w:ilvl w:val="0"/>
          <w:numId w:val="36"/>
        </w:numPr>
        <w:spacing w:before="0" w:after="160"/>
        <w:rPr>
          <w:i/>
        </w:rPr>
      </w:pPr>
      <w:r w:rsidRPr="003B6889">
        <w:rPr>
          <w:i/>
        </w:rPr>
        <w:t xml:space="preserve">Droit à réparation </w:t>
      </w:r>
    </w:p>
    <w:p w:rsidR="000B1144" w:rsidRPr="003B6889" w:rsidRDefault="000B1144" w:rsidP="0095626B">
      <w:pPr>
        <w:spacing w:line="276" w:lineRule="auto"/>
        <w:jc w:val="both"/>
        <w:rPr>
          <w:rFonts w:ascii="Garamond" w:hAnsi="Garamond"/>
          <w:sz w:val="24"/>
          <w:szCs w:val="24"/>
        </w:rPr>
      </w:pPr>
      <w:r w:rsidRPr="003B6889">
        <w:rPr>
          <w:rFonts w:ascii="Garamond" w:hAnsi="Garamond"/>
          <w:sz w:val="24"/>
          <w:szCs w:val="24"/>
        </w:rPr>
        <w:t xml:space="preserve">La torture n’étant pas incriminée dans le Code pénal et la Côte d’Ivoire n’ayant pas reconnu la compétence du Comité contre la torture pour recevoir des plaintes individuelles les victimes ne peuvent obtenir réparation ni au plan national ni international. Néanmoins, le </w:t>
      </w:r>
      <w:r w:rsidR="00F3089F">
        <w:rPr>
          <w:rFonts w:ascii="Garamond" w:hAnsi="Garamond"/>
          <w:sz w:val="24"/>
          <w:szCs w:val="24"/>
        </w:rPr>
        <w:t>P</w:t>
      </w:r>
      <w:r w:rsidRPr="003B6889">
        <w:rPr>
          <w:rFonts w:ascii="Garamond" w:hAnsi="Garamond"/>
          <w:sz w:val="24"/>
          <w:szCs w:val="24"/>
        </w:rPr>
        <w:t xml:space="preserve">résident </w:t>
      </w:r>
      <w:r w:rsidR="00F3089F">
        <w:rPr>
          <w:rFonts w:ascii="Garamond" w:hAnsi="Garamond"/>
          <w:sz w:val="24"/>
          <w:szCs w:val="24"/>
        </w:rPr>
        <w:t xml:space="preserve">ivoirien </w:t>
      </w:r>
      <w:r w:rsidRPr="003B6889">
        <w:rPr>
          <w:rFonts w:ascii="Garamond" w:hAnsi="Garamond"/>
          <w:sz w:val="24"/>
          <w:szCs w:val="24"/>
        </w:rPr>
        <w:t>a annoncé au début de l’année 2015 la création d’un fond de soutien aux victimes de guerre. De plus,</w:t>
      </w:r>
      <w:r>
        <w:rPr>
          <w:rFonts w:ascii="Garamond" w:hAnsi="Garamond"/>
          <w:sz w:val="24"/>
          <w:szCs w:val="24"/>
        </w:rPr>
        <w:t xml:space="preserve"> en raison de l’absence de protection d</w:t>
      </w:r>
      <w:r w:rsidRPr="003B6889">
        <w:rPr>
          <w:rFonts w:ascii="Garamond" w:hAnsi="Garamond"/>
          <w:sz w:val="24"/>
          <w:szCs w:val="24"/>
        </w:rPr>
        <w:t>es victimes de torture et de mauvais traitements</w:t>
      </w:r>
      <w:r>
        <w:rPr>
          <w:rFonts w:ascii="Garamond" w:hAnsi="Garamond"/>
          <w:sz w:val="24"/>
          <w:szCs w:val="24"/>
        </w:rPr>
        <w:t>, celles-ci</w:t>
      </w:r>
      <w:r w:rsidRPr="003B6889">
        <w:rPr>
          <w:rFonts w:ascii="Garamond" w:hAnsi="Garamond"/>
          <w:sz w:val="24"/>
          <w:szCs w:val="24"/>
        </w:rPr>
        <w:t xml:space="preserve"> font souvent l’objet de menace de la part de leurs bourreaux</w:t>
      </w:r>
      <w:r>
        <w:rPr>
          <w:rFonts w:ascii="Garamond" w:hAnsi="Garamond"/>
          <w:sz w:val="24"/>
          <w:szCs w:val="24"/>
        </w:rPr>
        <w:t>.</w:t>
      </w:r>
      <w:r w:rsidRPr="003B6889">
        <w:rPr>
          <w:rFonts w:ascii="Garamond" w:hAnsi="Garamond"/>
          <w:sz w:val="24"/>
          <w:szCs w:val="24"/>
        </w:rPr>
        <w:t xml:space="preserve"> </w:t>
      </w:r>
    </w:p>
    <w:p w:rsidR="000B1144" w:rsidRPr="003B6889" w:rsidRDefault="000B1144" w:rsidP="0095626B">
      <w:pPr>
        <w:spacing w:line="276" w:lineRule="auto"/>
        <w:jc w:val="both"/>
        <w:rPr>
          <w:rFonts w:ascii="Garamond" w:hAnsi="Garamond"/>
          <w:b/>
          <w:color w:val="365F91" w:themeColor="accent1" w:themeShade="BF"/>
          <w:sz w:val="24"/>
          <w:szCs w:val="24"/>
        </w:rPr>
      </w:pPr>
      <w:r w:rsidRPr="003B6889">
        <w:rPr>
          <w:rFonts w:ascii="Garamond" w:hAnsi="Garamond"/>
          <w:b/>
          <w:color w:val="365F91" w:themeColor="accent1" w:themeShade="BF"/>
          <w:sz w:val="24"/>
          <w:szCs w:val="24"/>
        </w:rPr>
        <w:t xml:space="preserve">La FIACAT et l'ACAT Côte d’Ivoire invitent le Comité des droits de l’homme à recommander à l’Etat partie de: </w:t>
      </w:r>
    </w:p>
    <w:p w:rsidR="000B1144" w:rsidRPr="003B6889" w:rsidRDefault="000B1144" w:rsidP="0095626B">
      <w:pPr>
        <w:pStyle w:val="Paragraphedeliste"/>
        <w:numPr>
          <w:ilvl w:val="0"/>
          <w:numId w:val="39"/>
        </w:numPr>
        <w:spacing w:before="0" w:after="160"/>
        <w:rPr>
          <w:b/>
          <w:color w:val="365F91" w:themeColor="accent1" w:themeShade="BF"/>
        </w:rPr>
      </w:pPr>
      <w:r w:rsidRPr="003B6889">
        <w:rPr>
          <w:b/>
          <w:color w:val="365F91" w:themeColor="accent1" w:themeShade="BF"/>
        </w:rPr>
        <w:t>Procéder à la réparation sans délais des victimes de la torture et de mauvais traitements ;</w:t>
      </w:r>
    </w:p>
    <w:p w:rsidR="000B1144" w:rsidRDefault="000B1144" w:rsidP="0095626B">
      <w:pPr>
        <w:pStyle w:val="Paragraphedeliste"/>
        <w:numPr>
          <w:ilvl w:val="0"/>
          <w:numId w:val="39"/>
        </w:numPr>
        <w:spacing w:before="0" w:after="160"/>
        <w:rPr>
          <w:color w:val="365F91" w:themeColor="accent1" w:themeShade="BF"/>
        </w:rPr>
      </w:pPr>
      <w:r w:rsidRPr="003E123F">
        <w:rPr>
          <w:b/>
          <w:color w:val="365F91" w:themeColor="accent1" w:themeShade="BF"/>
        </w:rPr>
        <w:t>Assurer la sécurité des victimes, des familles des victimes et des témoins d’actes de torture et de mauvais traitements contre les menaces des auteurs de tels actes</w:t>
      </w:r>
      <w:r w:rsidR="009A3814">
        <w:rPr>
          <w:b/>
          <w:color w:val="365F91" w:themeColor="accent1" w:themeShade="BF"/>
        </w:rPr>
        <w:t> </w:t>
      </w:r>
      <w:r w:rsidR="009A3814">
        <w:rPr>
          <w:color w:val="365F91" w:themeColor="accent1" w:themeShade="BF"/>
        </w:rPr>
        <w:t>;</w:t>
      </w:r>
    </w:p>
    <w:p w:rsidR="009A3814" w:rsidRPr="00E477EE" w:rsidRDefault="009A3814" w:rsidP="009A3814">
      <w:pPr>
        <w:pStyle w:val="Paragraphedeliste"/>
        <w:numPr>
          <w:ilvl w:val="0"/>
          <w:numId w:val="39"/>
        </w:numPr>
        <w:rPr>
          <w:b/>
          <w:color w:val="365F91" w:themeColor="accent1" w:themeShade="BF"/>
        </w:rPr>
      </w:pPr>
      <w:r w:rsidRPr="00E477EE">
        <w:rPr>
          <w:b/>
          <w:color w:val="365F91" w:themeColor="accent1" w:themeShade="BF"/>
        </w:rPr>
        <w:t>Diligenter la création d’un fond de soutien aux victimes de guerre dans les plus brefs délais.</w:t>
      </w:r>
    </w:p>
    <w:p w:rsidR="009A3814" w:rsidRPr="003E123F" w:rsidRDefault="009A3814" w:rsidP="00E477EE">
      <w:pPr>
        <w:pStyle w:val="Paragraphedeliste"/>
        <w:spacing w:before="0" w:after="160"/>
        <w:rPr>
          <w:color w:val="365F91" w:themeColor="accent1" w:themeShade="BF"/>
        </w:rPr>
      </w:pPr>
    </w:p>
    <w:p w:rsidR="000B1144" w:rsidRPr="003B6889" w:rsidRDefault="000B1144" w:rsidP="0095626B">
      <w:pPr>
        <w:spacing w:line="276" w:lineRule="auto"/>
        <w:jc w:val="both"/>
        <w:rPr>
          <w:rFonts w:ascii="Garamond" w:hAnsi="Garamond"/>
          <w:b/>
          <w:sz w:val="24"/>
          <w:szCs w:val="24"/>
        </w:rPr>
      </w:pPr>
      <w:r w:rsidRPr="003B6889">
        <w:rPr>
          <w:rFonts w:ascii="Garamond" w:hAnsi="Garamond"/>
          <w:b/>
          <w:sz w:val="24"/>
          <w:szCs w:val="24"/>
        </w:rPr>
        <w:t>Article 10 : Le traitement des personnes privées de liberté</w:t>
      </w:r>
    </w:p>
    <w:p w:rsidR="000B1144" w:rsidRPr="009D7709" w:rsidRDefault="000B1144" w:rsidP="0095626B">
      <w:pPr>
        <w:spacing w:line="276" w:lineRule="auto"/>
        <w:jc w:val="both"/>
        <w:rPr>
          <w:rFonts w:ascii="Garamond" w:hAnsi="Garamond"/>
          <w:sz w:val="24"/>
          <w:szCs w:val="24"/>
        </w:rPr>
      </w:pPr>
      <w:r w:rsidRPr="009D7709">
        <w:rPr>
          <w:rFonts w:ascii="Garamond" w:hAnsi="Garamond"/>
          <w:sz w:val="24"/>
          <w:szCs w:val="24"/>
        </w:rPr>
        <w:t>De manière globale, les prisons de Côte d’Ivoire sont surpeuplées avec un taux d</w:t>
      </w:r>
      <w:r>
        <w:rPr>
          <w:rFonts w:ascii="Garamond" w:hAnsi="Garamond"/>
          <w:sz w:val="24"/>
          <w:szCs w:val="24"/>
        </w:rPr>
        <w:t xml:space="preserve">’occupation </w:t>
      </w:r>
      <w:r w:rsidRPr="009D7709">
        <w:rPr>
          <w:rFonts w:ascii="Garamond" w:hAnsi="Garamond"/>
          <w:sz w:val="24"/>
          <w:szCs w:val="24"/>
        </w:rPr>
        <w:t xml:space="preserve">de près de 243% en septembre 2014. Dans la plupart des Maisons d’arrêt et de correction, les prévenus ne sont pas séparés des condamnés et ne bénéficient pas d’un régime distinct. </w:t>
      </w:r>
      <w:r w:rsidR="003A5F6D">
        <w:rPr>
          <w:rFonts w:ascii="Garamond" w:hAnsi="Garamond"/>
          <w:sz w:val="24"/>
          <w:szCs w:val="24"/>
        </w:rPr>
        <w:t xml:space="preserve">Il est également préoccupant de constater l’existence de détenus soumis à la contrainte par le corps, statut qui ne dispose pas d’un régime prédéfini. </w:t>
      </w:r>
      <w:r w:rsidR="009649E3">
        <w:rPr>
          <w:rFonts w:ascii="Garamond" w:hAnsi="Garamond"/>
          <w:sz w:val="24"/>
          <w:szCs w:val="24"/>
        </w:rPr>
        <w:t>En outre</w:t>
      </w:r>
      <w:r w:rsidRPr="009D7709">
        <w:rPr>
          <w:rFonts w:ascii="Garamond" w:hAnsi="Garamond"/>
          <w:sz w:val="24"/>
          <w:szCs w:val="24"/>
        </w:rPr>
        <w:t>, il n’existe pas de séparation entre mineurs et adultes dans toutes les prisons. Enfin, l’alimentation et l’accès aux soins des détenus s’avèrent très insuffisant</w:t>
      </w:r>
      <w:r w:rsidR="003E123F">
        <w:rPr>
          <w:rFonts w:ascii="Garamond" w:hAnsi="Garamond"/>
          <w:sz w:val="24"/>
          <w:szCs w:val="24"/>
        </w:rPr>
        <w:t>s</w:t>
      </w:r>
      <w:r w:rsidRPr="009D7709">
        <w:rPr>
          <w:rFonts w:ascii="Garamond" w:hAnsi="Garamond"/>
          <w:sz w:val="24"/>
          <w:szCs w:val="24"/>
        </w:rPr>
        <w:t xml:space="preserve">.  </w:t>
      </w:r>
    </w:p>
    <w:p w:rsidR="000B1144" w:rsidRPr="003B6889" w:rsidRDefault="000B1144" w:rsidP="0095626B">
      <w:pPr>
        <w:spacing w:line="276" w:lineRule="auto"/>
        <w:jc w:val="both"/>
        <w:rPr>
          <w:rFonts w:ascii="Garamond" w:hAnsi="Garamond"/>
          <w:b/>
          <w:color w:val="365F91" w:themeColor="accent1" w:themeShade="BF"/>
          <w:sz w:val="24"/>
          <w:szCs w:val="24"/>
        </w:rPr>
      </w:pPr>
      <w:r w:rsidRPr="003B6889">
        <w:rPr>
          <w:rFonts w:ascii="Garamond" w:hAnsi="Garamond"/>
          <w:b/>
          <w:color w:val="365F91" w:themeColor="accent1" w:themeShade="BF"/>
          <w:sz w:val="24"/>
          <w:szCs w:val="24"/>
        </w:rPr>
        <w:t xml:space="preserve">La FIACAT et l'ACAT Côte d’Ivoire invitent le Comité des droits de l’homme à recommander à l’Etat partie de : </w:t>
      </w:r>
    </w:p>
    <w:p w:rsidR="000B1144" w:rsidRPr="003B6889" w:rsidRDefault="000B1144" w:rsidP="0095626B">
      <w:pPr>
        <w:pStyle w:val="Paragraphedeliste"/>
        <w:numPr>
          <w:ilvl w:val="0"/>
          <w:numId w:val="28"/>
        </w:numPr>
        <w:spacing w:before="0" w:after="160"/>
        <w:rPr>
          <w:b/>
          <w:color w:val="365F91" w:themeColor="accent1" w:themeShade="BF"/>
        </w:rPr>
      </w:pPr>
      <w:r w:rsidRPr="003B6889">
        <w:rPr>
          <w:b/>
          <w:color w:val="365F91" w:themeColor="accent1" w:themeShade="BF"/>
        </w:rPr>
        <w:lastRenderedPageBreak/>
        <w:t xml:space="preserve">Réduire la surpopulation carcérale en luttant contre la détention préventive abusive et en prévoyant des peines alternatives </w:t>
      </w:r>
      <w:r w:rsidR="008320FA">
        <w:rPr>
          <w:b/>
          <w:color w:val="365F91" w:themeColor="accent1" w:themeShade="BF"/>
        </w:rPr>
        <w:t>à</w:t>
      </w:r>
      <w:r w:rsidR="008320FA" w:rsidRPr="003B6889">
        <w:rPr>
          <w:b/>
          <w:color w:val="365F91" w:themeColor="accent1" w:themeShade="BF"/>
        </w:rPr>
        <w:t xml:space="preserve"> </w:t>
      </w:r>
      <w:r w:rsidRPr="003B6889">
        <w:rPr>
          <w:b/>
          <w:color w:val="365F91" w:themeColor="accent1" w:themeShade="BF"/>
        </w:rPr>
        <w:t>la détention pour certains délits ;</w:t>
      </w:r>
    </w:p>
    <w:p w:rsidR="000B1144" w:rsidRPr="003B6889" w:rsidRDefault="000B1144" w:rsidP="0095626B">
      <w:pPr>
        <w:pStyle w:val="Paragraphedeliste"/>
        <w:numPr>
          <w:ilvl w:val="0"/>
          <w:numId w:val="28"/>
        </w:numPr>
        <w:spacing w:before="0" w:after="160"/>
        <w:rPr>
          <w:b/>
          <w:color w:val="365F91" w:themeColor="accent1" w:themeShade="BF"/>
        </w:rPr>
      </w:pPr>
      <w:r w:rsidRPr="003B6889">
        <w:rPr>
          <w:b/>
          <w:color w:val="365F91" w:themeColor="accent1" w:themeShade="BF"/>
        </w:rPr>
        <w:t>Veiller à ce qu’aucun détenu ne dispose d’un statut pour lequel il n’existe pas de régime prédéfini, veiller notamment à la suppression du statut de contrainte par corps ;</w:t>
      </w:r>
    </w:p>
    <w:p w:rsidR="000B1144" w:rsidRPr="003B6889" w:rsidRDefault="000B1144" w:rsidP="0095626B">
      <w:pPr>
        <w:pStyle w:val="Paragraphedeliste"/>
        <w:numPr>
          <w:ilvl w:val="0"/>
          <w:numId w:val="28"/>
        </w:numPr>
        <w:spacing w:before="0" w:after="160"/>
        <w:rPr>
          <w:b/>
          <w:color w:val="365F91" w:themeColor="accent1" w:themeShade="BF"/>
        </w:rPr>
      </w:pPr>
      <w:r w:rsidRPr="003B6889">
        <w:rPr>
          <w:b/>
          <w:color w:val="365F91" w:themeColor="accent1" w:themeShade="BF"/>
        </w:rPr>
        <w:t>Supprimer du Code pénal toute sanction équivalant à des traitements cruels, inhumains ou dégradants ;</w:t>
      </w:r>
    </w:p>
    <w:p w:rsidR="000B1144" w:rsidRPr="003B6889" w:rsidRDefault="000B1144" w:rsidP="0095626B">
      <w:pPr>
        <w:pStyle w:val="Paragraphedeliste"/>
        <w:numPr>
          <w:ilvl w:val="0"/>
          <w:numId w:val="28"/>
        </w:numPr>
        <w:spacing w:before="0" w:after="160"/>
        <w:rPr>
          <w:b/>
          <w:color w:val="365F91" w:themeColor="accent1" w:themeShade="BF"/>
        </w:rPr>
      </w:pPr>
      <w:r w:rsidRPr="003B6889">
        <w:rPr>
          <w:b/>
          <w:color w:val="365F91" w:themeColor="accent1" w:themeShade="BF"/>
        </w:rPr>
        <w:t>Améliorer l’alimentation et les conditions sanitaires dans les lieux de détention.</w:t>
      </w:r>
    </w:p>
    <w:p w:rsidR="000B1144" w:rsidRPr="003B6889" w:rsidRDefault="000B1144" w:rsidP="0095626B">
      <w:pPr>
        <w:spacing w:line="276" w:lineRule="auto"/>
        <w:jc w:val="both"/>
        <w:rPr>
          <w:rFonts w:ascii="Garamond" w:hAnsi="Garamond"/>
          <w:b/>
          <w:sz w:val="24"/>
          <w:szCs w:val="24"/>
        </w:rPr>
      </w:pPr>
      <w:r w:rsidRPr="003B6889">
        <w:rPr>
          <w:rFonts w:ascii="Garamond" w:hAnsi="Garamond"/>
          <w:b/>
          <w:sz w:val="24"/>
          <w:szCs w:val="24"/>
        </w:rPr>
        <w:t>Article 22 : La liberté d’association</w:t>
      </w:r>
    </w:p>
    <w:p w:rsidR="000B1144" w:rsidRPr="009D7709" w:rsidRDefault="000B1144" w:rsidP="0095626B">
      <w:pPr>
        <w:spacing w:line="276" w:lineRule="auto"/>
        <w:jc w:val="both"/>
        <w:rPr>
          <w:rFonts w:ascii="Garamond" w:hAnsi="Garamond"/>
          <w:sz w:val="24"/>
          <w:szCs w:val="24"/>
        </w:rPr>
      </w:pPr>
      <w:r w:rsidRPr="009D7709">
        <w:rPr>
          <w:rFonts w:ascii="Garamond" w:hAnsi="Garamond"/>
          <w:sz w:val="24"/>
          <w:szCs w:val="24"/>
        </w:rPr>
        <w:t>La situation</w:t>
      </w:r>
      <w:r w:rsidR="007B5E51">
        <w:rPr>
          <w:rFonts w:ascii="Garamond" w:hAnsi="Garamond"/>
          <w:sz w:val="24"/>
          <w:szCs w:val="24"/>
        </w:rPr>
        <w:t xml:space="preserve"> des défenseurs des droits et du</w:t>
      </w:r>
      <w:r w:rsidRPr="009D7709">
        <w:rPr>
          <w:rFonts w:ascii="Garamond" w:hAnsi="Garamond"/>
          <w:sz w:val="24"/>
          <w:szCs w:val="24"/>
        </w:rPr>
        <w:t xml:space="preserve"> respect de la liberté de réunion et d’association </w:t>
      </w:r>
      <w:r w:rsidR="007B5E51">
        <w:rPr>
          <w:rFonts w:ascii="Garamond" w:hAnsi="Garamond"/>
          <w:sz w:val="24"/>
          <w:szCs w:val="24"/>
        </w:rPr>
        <w:t>est préoccupante</w:t>
      </w:r>
      <w:r>
        <w:rPr>
          <w:rFonts w:ascii="Garamond" w:hAnsi="Garamond"/>
          <w:sz w:val="24"/>
          <w:szCs w:val="24"/>
        </w:rPr>
        <w:t xml:space="preserve"> </w:t>
      </w:r>
      <w:r w:rsidRPr="009D7709">
        <w:rPr>
          <w:rFonts w:ascii="Garamond" w:hAnsi="Garamond"/>
          <w:sz w:val="24"/>
          <w:szCs w:val="24"/>
        </w:rPr>
        <w:t xml:space="preserve">en Côte d’Ivoire. Plusieurs syndicats et associations ont connu des entraves à leur </w:t>
      </w:r>
      <w:r w:rsidR="003E123F">
        <w:rPr>
          <w:rFonts w:ascii="Garamond" w:hAnsi="Garamond"/>
          <w:sz w:val="24"/>
          <w:szCs w:val="24"/>
        </w:rPr>
        <w:t xml:space="preserve">liberté de </w:t>
      </w:r>
      <w:r w:rsidRPr="009D7709">
        <w:rPr>
          <w:rFonts w:ascii="Garamond" w:hAnsi="Garamond"/>
          <w:sz w:val="24"/>
          <w:szCs w:val="24"/>
        </w:rPr>
        <w:t>réunion</w:t>
      </w:r>
      <w:r>
        <w:rPr>
          <w:rFonts w:ascii="Garamond" w:hAnsi="Garamond"/>
          <w:sz w:val="24"/>
          <w:szCs w:val="24"/>
        </w:rPr>
        <w:t>.</w:t>
      </w:r>
    </w:p>
    <w:p w:rsidR="000B1144" w:rsidRPr="003B6889" w:rsidRDefault="000B1144" w:rsidP="0095626B">
      <w:pPr>
        <w:spacing w:line="276" w:lineRule="auto"/>
        <w:jc w:val="both"/>
        <w:rPr>
          <w:rFonts w:ascii="Garamond" w:hAnsi="Garamond"/>
          <w:b/>
          <w:color w:val="365F91" w:themeColor="accent1" w:themeShade="BF"/>
          <w:sz w:val="24"/>
          <w:szCs w:val="24"/>
        </w:rPr>
      </w:pPr>
      <w:r w:rsidRPr="003B6889">
        <w:rPr>
          <w:rFonts w:ascii="Garamond" w:hAnsi="Garamond"/>
          <w:b/>
          <w:color w:val="365F91" w:themeColor="accent1" w:themeShade="BF"/>
          <w:sz w:val="24"/>
          <w:szCs w:val="24"/>
        </w:rPr>
        <w:t>La FIACAT et l’ACAT Côte d’Ivoire invitent le Comité des droits de l’homme à recommander à l’Etat partie de :</w:t>
      </w:r>
    </w:p>
    <w:p w:rsidR="000B1144" w:rsidRPr="003B6889" w:rsidRDefault="000B1144" w:rsidP="0095626B">
      <w:pPr>
        <w:pStyle w:val="Paragraphedeliste"/>
        <w:numPr>
          <w:ilvl w:val="0"/>
          <w:numId w:val="29"/>
        </w:numPr>
        <w:spacing w:before="0" w:after="160"/>
        <w:rPr>
          <w:b/>
          <w:color w:val="365F91" w:themeColor="accent1" w:themeShade="BF"/>
        </w:rPr>
      </w:pPr>
      <w:r w:rsidRPr="003B6889">
        <w:rPr>
          <w:b/>
          <w:color w:val="365F91" w:themeColor="accent1" w:themeShade="BF"/>
        </w:rPr>
        <w:t>Accepter la « pluralité démocratique » en permettant que les défenseurs des droits de l’homme en Côte d’Ivoire expriment leurs opinions sans crainte d’être persécutés.</w:t>
      </w:r>
    </w:p>
    <w:p w:rsidR="000B1144" w:rsidRPr="009D7709" w:rsidRDefault="000B1144" w:rsidP="000B1144">
      <w:pPr>
        <w:jc w:val="both"/>
        <w:rPr>
          <w:rFonts w:ascii="Garamond" w:hAnsi="Garamond"/>
          <w:sz w:val="24"/>
          <w:szCs w:val="24"/>
        </w:rPr>
      </w:pPr>
    </w:p>
    <w:p w:rsidR="000B1144" w:rsidRDefault="000B1144">
      <w:pPr>
        <w:spacing w:after="200" w:line="276" w:lineRule="auto"/>
        <w:rPr>
          <w:rFonts w:ascii="Garamond" w:eastAsia="Times New Roman" w:hAnsi="Garamond" w:cs="Times New Roman"/>
          <w:b/>
          <w:sz w:val="32"/>
          <w:szCs w:val="24"/>
        </w:rPr>
      </w:pPr>
      <w:r>
        <w:br w:type="page"/>
      </w:r>
    </w:p>
    <w:p w:rsidR="00FC1C58" w:rsidRPr="00212184" w:rsidRDefault="00FC1C58" w:rsidP="00304045">
      <w:pPr>
        <w:pStyle w:val="Titre1"/>
      </w:pPr>
      <w:bookmarkStart w:id="14" w:name="_Toc412111714"/>
      <w:r w:rsidRPr="00212184">
        <w:lastRenderedPageBreak/>
        <w:t>Introduction</w:t>
      </w:r>
      <w:bookmarkEnd w:id="12"/>
      <w:bookmarkEnd w:id="13"/>
      <w:bookmarkEnd w:id="14"/>
    </w:p>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xml:space="preserve">La Côte d’Ivoire a adhéré au Pacte international relatif aux droits civils et politiques (PIDCP) le 26 mars 1992 ; pourtant, </w:t>
      </w:r>
      <w:r w:rsidR="007666BE">
        <w:rPr>
          <w:rFonts w:ascii="Garamond" w:eastAsia="Times New Roman" w:hAnsi="Garamond" w:cs="Garamond"/>
          <w:sz w:val="24"/>
          <w:szCs w:val="24"/>
        </w:rPr>
        <w:t>pendant 21 ans</w:t>
      </w:r>
      <w:r w:rsidRPr="00212184">
        <w:rPr>
          <w:rFonts w:ascii="Garamond" w:eastAsia="Times New Roman" w:hAnsi="Garamond" w:cs="Garamond"/>
          <w:sz w:val="24"/>
          <w:szCs w:val="24"/>
        </w:rPr>
        <w:t xml:space="preserve">, le Gouvernement </w:t>
      </w:r>
      <w:r w:rsidR="007666BE">
        <w:rPr>
          <w:rFonts w:ascii="Garamond" w:eastAsia="Times New Roman" w:hAnsi="Garamond" w:cs="Garamond"/>
          <w:sz w:val="24"/>
          <w:szCs w:val="24"/>
        </w:rPr>
        <w:t>n’a pas</w:t>
      </w:r>
      <w:r w:rsidRPr="00212184">
        <w:rPr>
          <w:rFonts w:ascii="Garamond" w:eastAsia="Times New Roman" w:hAnsi="Garamond" w:cs="Garamond"/>
          <w:sz w:val="24"/>
          <w:szCs w:val="24"/>
        </w:rPr>
        <w:t xml:space="preserve"> présenté au Comité des droits de l’homme (CDH) de rapport initial. L’État a finalement soumis son rapport le 19 mars 2013. A l’occasion de l’examen de ce rapport initial et des rapports périodiques cumulés de la Côte d’Ivoire sur la mise en œuvre du PIDCP lors de la 113</w:t>
      </w:r>
      <w:r w:rsidRPr="00212184">
        <w:rPr>
          <w:rFonts w:ascii="Garamond" w:eastAsia="Times New Roman" w:hAnsi="Garamond" w:cs="Garamond"/>
          <w:sz w:val="24"/>
          <w:szCs w:val="24"/>
          <w:vertAlign w:val="superscript"/>
        </w:rPr>
        <w:t>ème</w:t>
      </w:r>
      <w:r w:rsidRPr="00212184">
        <w:rPr>
          <w:rFonts w:ascii="Garamond" w:eastAsia="Times New Roman" w:hAnsi="Garamond" w:cs="Garamond"/>
          <w:sz w:val="24"/>
          <w:szCs w:val="24"/>
        </w:rPr>
        <w:t xml:space="preserve"> session du Comité des droits de l’homme, la FIACAT, organisation non gouvernementale dotée du statut </w:t>
      </w:r>
      <w:r w:rsidR="00F16F61">
        <w:rPr>
          <w:rFonts w:ascii="Garamond" w:eastAsia="Times New Roman" w:hAnsi="Garamond" w:cs="Garamond"/>
          <w:sz w:val="24"/>
          <w:szCs w:val="24"/>
        </w:rPr>
        <w:t>consultatif</w:t>
      </w:r>
      <w:r w:rsidR="00F16F61" w:rsidRPr="00212184">
        <w:rPr>
          <w:rFonts w:ascii="Garamond" w:eastAsia="Times New Roman" w:hAnsi="Garamond" w:cs="Garamond"/>
          <w:sz w:val="24"/>
          <w:szCs w:val="24"/>
        </w:rPr>
        <w:t xml:space="preserve"> </w:t>
      </w:r>
      <w:r w:rsidRPr="00212184">
        <w:rPr>
          <w:rFonts w:ascii="Garamond" w:eastAsia="Times New Roman" w:hAnsi="Garamond" w:cs="Garamond"/>
          <w:sz w:val="24"/>
          <w:szCs w:val="24"/>
        </w:rPr>
        <w:t>auprès des Nations Unies</w:t>
      </w:r>
      <w:r w:rsidR="00F16F61">
        <w:rPr>
          <w:rFonts w:ascii="Garamond" w:eastAsia="Times New Roman" w:hAnsi="Garamond" w:cs="Garamond"/>
          <w:sz w:val="24"/>
          <w:szCs w:val="24"/>
        </w:rPr>
        <w:t>,</w:t>
      </w:r>
      <w:r w:rsidRPr="00212184">
        <w:rPr>
          <w:rFonts w:ascii="Garamond" w:eastAsia="Times New Roman" w:hAnsi="Garamond" w:cs="Garamond"/>
          <w:sz w:val="24"/>
          <w:szCs w:val="24"/>
        </w:rPr>
        <w:t xml:space="preserve"> et l’ACAT Côte d’Ivoire souhaitent présenter aux membres du Comité des droits de l’homme un rapport alternatif au rapport de l’Etat. </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Le présent rapport comprend des informations fiables et vérifiées sur la torture, les conditions de détention, les exécutions extrajudiciaires, les disparitions forcées, la liberté d’association et la peine de mort en Côte d’Ivoire.</w:t>
      </w:r>
    </w:p>
    <w:p w:rsidR="00FC1C58" w:rsidRPr="00212184" w:rsidRDefault="00FC1C58">
      <w:pPr>
        <w:spacing w:before="120" w:after="120" w:line="276" w:lineRule="auto"/>
        <w:jc w:val="both"/>
        <w:rPr>
          <w:rFonts w:ascii="Garamond" w:eastAsia="Times New Roman" w:hAnsi="Garamond" w:cs="Garamond"/>
          <w:sz w:val="24"/>
          <w:szCs w:val="24"/>
        </w:rPr>
      </w:pPr>
    </w:p>
    <w:p w:rsidR="00FC1C58" w:rsidRPr="00212184" w:rsidRDefault="00FC1C58" w:rsidP="00304045">
      <w:pPr>
        <w:pStyle w:val="Titre2"/>
      </w:pPr>
      <w:bookmarkStart w:id="15" w:name="_Toc386019478"/>
      <w:bookmarkStart w:id="16" w:name="_Toc386200900"/>
      <w:bookmarkStart w:id="17" w:name="_Toc412111715"/>
      <w:r w:rsidRPr="00212184">
        <w:t>Les auteurs du rapport</w:t>
      </w:r>
      <w:bookmarkEnd w:id="15"/>
      <w:bookmarkEnd w:id="16"/>
      <w:bookmarkEnd w:id="17"/>
    </w:p>
    <w:p w:rsidR="00FC1C58" w:rsidRPr="00212184" w:rsidRDefault="00FC1C58" w:rsidP="001A1EE5">
      <w:pPr>
        <w:spacing w:before="120" w:after="120" w:line="276" w:lineRule="auto"/>
        <w:jc w:val="both"/>
        <w:rPr>
          <w:rFonts w:ascii="Garamond" w:eastAsia="Times New Roman" w:hAnsi="Garamond" w:cs="Garamond"/>
          <w:sz w:val="24"/>
          <w:szCs w:val="24"/>
        </w:rPr>
      </w:pPr>
    </w:p>
    <w:p w:rsidR="00FC1C58" w:rsidRPr="00E477EE" w:rsidRDefault="00FC1C58" w:rsidP="00E477EE">
      <w:pPr>
        <w:rPr>
          <w:rFonts w:ascii="Garamond" w:hAnsi="Garamond"/>
          <w:b/>
          <w:i/>
          <w:sz w:val="24"/>
          <w:szCs w:val="24"/>
        </w:rPr>
      </w:pPr>
      <w:bookmarkStart w:id="18" w:name="_Toc386019479"/>
      <w:bookmarkStart w:id="19" w:name="_Toc386200901"/>
      <w:r w:rsidRPr="00E477EE">
        <w:rPr>
          <w:rFonts w:ascii="Garamond" w:hAnsi="Garamond"/>
          <w:b/>
          <w:i/>
          <w:sz w:val="24"/>
          <w:szCs w:val="24"/>
        </w:rPr>
        <w:t>La FIACAT</w:t>
      </w:r>
      <w:bookmarkEnd w:id="18"/>
      <w:bookmarkEnd w:id="19"/>
    </w:p>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La Fédération internationale de l’Action des chrétiens pour l’abolition de la torture, la FIACAT, créée en 1987, est une organisation internationale non gouvernementale de défense des droits de l’homme qui lutte pour l’abolition de la torture et de la peine de mort. La Fédération regroupe une trentaine d’associations nationales, les ACAT, présentes sur quatre continents.</w:t>
      </w:r>
    </w:p>
    <w:p w:rsidR="00FC1C58" w:rsidRPr="00212184" w:rsidRDefault="00FC1C58">
      <w:pPr>
        <w:spacing w:before="120" w:after="120" w:line="276" w:lineRule="auto"/>
        <w:jc w:val="both"/>
        <w:rPr>
          <w:rFonts w:ascii="Garamond" w:eastAsia="Times New Roman" w:hAnsi="Garamond" w:cs="Garamond"/>
          <w:sz w:val="24"/>
          <w:szCs w:val="24"/>
        </w:rPr>
      </w:pPr>
    </w:p>
    <w:p w:rsidR="00FC1C58" w:rsidRPr="00212184" w:rsidRDefault="00FC1C58">
      <w:pPr>
        <w:numPr>
          <w:ilvl w:val="0"/>
          <w:numId w:val="3"/>
        </w:numPr>
        <w:spacing w:before="120" w:after="120" w:line="276" w:lineRule="auto"/>
        <w:jc w:val="both"/>
        <w:rPr>
          <w:rFonts w:ascii="Garamond" w:eastAsia="Times New Roman" w:hAnsi="Garamond" w:cs="Garamond"/>
          <w:b/>
          <w:sz w:val="24"/>
          <w:szCs w:val="24"/>
        </w:rPr>
      </w:pPr>
      <w:r w:rsidRPr="00212184">
        <w:rPr>
          <w:rFonts w:ascii="Garamond" w:eastAsia="Times New Roman" w:hAnsi="Garamond" w:cs="Garamond"/>
          <w:b/>
          <w:sz w:val="24"/>
          <w:szCs w:val="24"/>
        </w:rPr>
        <w:t>La FIACAT représente ses membres auprès des organismes internationaux et régionaux</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Elle bénéficie du Statut consultatif auprès des Nations Unies (ONU), du Statut participatif auprès du Conseil de l’Europe et du Statut d’Observateur auprès de la Commission africaine des droits de l’homme et des peuples (CADHP). La FIACAT est également accréditée auprès des instances de l’Organisation internationale de la Francophonie (OIF).</w:t>
      </w:r>
    </w:p>
    <w:p w:rsidR="00FC1C58" w:rsidRPr="00212184" w:rsidRDefault="00FC1C58">
      <w:pPr>
        <w:spacing w:before="120" w:after="120" w:line="276" w:lineRule="auto"/>
        <w:ind w:left="709" w:right="850"/>
        <w:jc w:val="both"/>
        <w:rPr>
          <w:rFonts w:ascii="Garamond" w:eastAsia="Times New Roman" w:hAnsi="Garamond" w:cs="Garamond"/>
          <w:i/>
          <w:sz w:val="24"/>
          <w:szCs w:val="24"/>
        </w:rPr>
      </w:pPr>
      <w:r w:rsidRPr="00212184">
        <w:rPr>
          <w:rFonts w:ascii="Garamond" w:eastAsia="Times New Roman" w:hAnsi="Garamond" w:cs="Garamond"/>
          <w:i/>
          <w:sz w:val="24"/>
          <w:szCs w:val="24"/>
        </w:rPr>
        <w:t>En relayant les préoccupations de terrain de ses membres devant les instances internationales, la FIACAT vise l’adoption de recommandations pertinentes et leur mise en œuvre par les gouvernements. La FIACAT concoure à l’application des Conventions internationales de défense des droits de l’homme, à la prévention des actes de torture dans les lieux privatifs de liberté, à la lutte contre les disparitions forcées et au combat contre l’impunité. Elle participe également à la lutte contre la peine de mort en incitant les États à abolir cette disposition dans leur législation.</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Pour être encore mieux entendue, la FIACAT est membre-fondateur de plusieurs collectifs d’action, notamment la Coalition mondiale contre la peine de mort (WCADP), la Coalition des ONG Internationales contre la Torture (CINAT) et la Coalition internationale contre les disparitions forcées (ICAED).</w:t>
      </w:r>
    </w:p>
    <w:p w:rsidR="000E59BD" w:rsidRPr="00212184" w:rsidRDefault="000E59BD">
      <w:pPr>
        <w:spacing w:before="120" w:after="120" w:line="276" w:lineRule="auto"/>
        <w:jc w:val="both"/>
        <w:rPr>
          <w:rFonts w:ascii="Garamond" w:eastAsia="Times New Roman" w:hAnsi="Garamond" w:cs="Garamond"/>
          <w:sz w:val="24"/>
          <w:szCs w:val="24"/>
        </w:rPr>
      </w:pPr>
    </w:p>
    <w:p w:rsidR="00FC1C58" w:rsidRPr="00212184" w:rsidRDefault="00FC1C58">
      <w:pPr>
        <w:numPr>
          <w:ilvl w:val="0"/>
          <w:numId w:val="3"/>
        </w:numPr>
        <w:spacing w:before="120" w:after="120" w:line="276" w:lineRule="auto"/>
        <w:jc w:val="both"/>
        <w:rPr>
          <w:rFonts w:ascii="Garamond" w:eastAsia="Times New Roman" w:hAnsi="Garamond" w:cs="Garamond"/>
          <w:b/>
          <w:sz w:val="24"/>
          <w:szCs w:val="24"/>
        </w:rPr>
      </w:pPr>
      <w:r w:rsidRPr="00212184">
        <w:rPr>
          <w:rFonts w:ascii="Garamond" w:eastAsia="Times New Roman" w:hAnsi="Garamond" w:cs="Garamond"/>
          <w:b/>
          <w:sz w:val="24"/>
          <w:szCs w:val="24"/>
        </w:rPr>
        <w:t>La FIACAT renforce les capacités de son réseau de trente ACAT</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lastRenderedPageBreak/>
        <w:t>La FIACAT aide ses associations membres à se structurer. Elle soutient le processus qui permet aux ACAT d’être des acteurs de poids de la société civile, capables de sensibiliser l’opinion publique et d’avoir un impact sur les autorités de leur pays.</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Elle contribue à faire vivre le réseau en favorisant les échanges, en proposant des formations régionales ou internationales et des initiatives communes d’intervention. Ainsi, elle soutient les actions des ACAT et leur apporte un relais sur le plan international.</w:t>
      </w:r>
    </w:p>
    <w:p w:rsidR="00FC1C58" w:rsidRPr="00212184" w:rsidRDefault="00FC1C58">
      <w:pPr>
        <w:spacing w:before="120" w:after="120" w:line="276" w:lineRule="auto"/>
        <w:jc w:val="both"/>
        <w:rPr>
          <w:rFonts w:ascii="Garamond" w:eastAsia="Times New Roman" w:hAnsi="Garamond" w:cs="Garamond"/>
          <w:sz w:val="24"/>
          <w:szCs w:val="24"/>
        </w:rPr>
      </w:pPr>
    </w:p>
    <w:p w:rsidR="00FC1C58" w:rsidRPr="00212184" w:rsidRDefault="00FC1C58">
      <w:pPr>
        <w:numPr>
          <w:ilvl w:val="0"/>
          <w:numId w:val="3"/>
        </w:numPr>
        <w:spacing w:before="120" w:after="120" w:line="276" w:lineRule="auto"/>
        <w:jc w:val="both"/>
        <w:rPr>
          <w:rFonts w:ascii="Garamond" w:eastAsia="Times New Roman" w:hAnsi="Garamond" w:cs="Garamond"/>
          <w:b/>
          <w:sz w:val="24"/>
          <w:szCs w:val="24"/>
        </w:rPr>
      </w:pPr>
      <w:r w:rsidRPr="00212184">
        <w:rPr>
          <w:rFonts w:ascii="Garamond" w:eastAsia="Times New Roman" w:hAnsi="Garamond" w:cs="Garamond"/>
          <w:b/>
          <w:sz w:val="24"/>
          <w:szCs w:val="24"/>
        </w:rPr>
        <w:t>La FIACAT, un réseau de chrétiens unis pour l’abolition de la torture et de la peine de mort</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La FIACAT a pour mission de sensibiliser les Églises et les organisations chrétiennes à la torture et à la problématique de la peine de mort et de les convaincre d’agir pour leur abolition.</w:t>
      </w:r>
    </w:p>
    <w:p w:rsidR="00FC1C58" w:rsidRPr="00212184" w:rsidRDefault="00FC1C58">
      <w:pPr>
        <w:spacing w:before="120" w:after="120" w:line="276" w:lineRule="auto"/>
        <w:jc w:val="both"/>
        <w:rPr>
          <w:rFonts w:ascii="Garamond" w:eastAsia="Times New Roman" w:hAnsi="Garamond" w:cs="Garamond"/>
          <w:sz w:val="24"/>
          <w:szCs w:val="24"/>
        </w:rPr>
      </w:pPr>
    </w:p>
    <w:p w:rsidR="00FC1C58" w:rsidRPr="00E477EE" w:rsidRDefault="00FC1C58" w:rsidP="00E477EE">
      <w:pPr>
        <w:rPr>
          <w:rFonts w:ascii="Garamond" w:hAnsi="Garamond"/>
          <w:b/>
          <w:i/>
          <w:sz w:val="24"/>
          <w:szCs w:val="24"/>
        </w:rPr>
      </w:pPr>
      <w:bookmarkStart w:id="20" w:name="_Toc386019480"/>
      <w:bookmarkStart w:id="21" w:name="_Toc386200902"/>
      <w:r w:rsidRPr="00E477EE">
        <w:rPr>
          <w:rFonts w:ascii="Garamond" w:hAnsi="Garamond"/>
          <w:b/>
          <w:i/>
          <w:sz w:val="24"/>
          <w:szCs w:val="24"/>
        </w:rPr>
        <w:t>L’ACAT Côte d’Ivoire</w:t>
      </w:r>
      <w:bookmarkEnd w:id="20"/>
      <w:bookmarkEnd w:id="21"/>
    </w:p>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L’ACAT Côte d’Ivoire a été créé</w:t>
      </w:r>
      <w:r w:rsidR="000E59BD">
        <w:rPr>
          <w:rFonts w:ascii="Garamond" w:eastAsia="Times New Roman" w:hAnsi="Garamond" w:cs="Garamond"/>
          <w:sz w:val="24"/>
          <w:szCs w:val="24"/>
        </w:rPr>
        <w:t>e</w:t>
      </w:r>
      <w:r w:rsidRPr="00212184">
        <w:rPr>
          <w:rFonts w:ascii="Garamond" w:eastAsia="Times New Roman" w:hAnsi="Garamond" w:cs="Garamond"/>
          <w:sz w:val="24"/>
          <w:szCs w:val="24"/>
        </w:rPr>
        <w:t xml:space="preserve"> le 10 mars 1991 </w:t>
      </w:r>
      <w:r w:rsidR="000E59BD">
        <w:rPr>
          <w:rFonts w:ascii="Garamond" w:eastAsia="Times New Roman" w:hAnsi="Garamond" w:cs="Garamond"/>
          <w:sz w:val="24"/>
          <w:szCs w:val="24"/>
        </w:rPr>
        <w:t xml:space="preserve"> et</w:t>
      </w:r>
      <w:r w:rsidRPr="00212184">
        <w:rPr>
          <w:rFonts w:ascii="Garamond" w:eastAsia="Times New Roman" w:hAnsi="Garamond" w:cs="Garamond"/>
          <w:sz w:val="24"/>
          <w:szCs w:val="24"/>
        </w:rPr>
        <w:t xml:space="preserve"> c’est en 1993 qu’elle a reçu son récépissé de reconnaissance. Elle regroupait trois antennes à Abidjan, Anyama et Korhogo. Depuis la guerre déclenchée en septembre 2002, le groupe d’Abidjan reste très actif avec deux cellules : Abidjan nord et Abidjan sud. Elle dispose de trois points focaux dans trois villes : Grand Bassam, Agboville, Adzopé, autour desquels des groupes ACAT sont en formation. </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L’ACAT Côte d’Ivoire est affiliée à la FIACAT depuis 1993.</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xml:space="preserve">L’ACAT Côte d’Ivoire est membre fondateur de la Convention de la société civile ivoirienne (CSCI) et </w:t>
      </w:r>
      <w:r w:rsidR="00C630D8">
        <w:rPr>
          <w:rFonts w:ascii="Garamond" w:eastAsia="Times New Roman" w:hAnsi="Garamond" w:cs="Garamond"/>
          <w:sz w:val="24"/>
          <w:szCs w:val="24"/>
        </w:rPr>
        <w:t>en particulier</w:t>
      </w:r>
      <w:r w:rsidR="00C630D8" w:rsidRPr="00212184">
        <w:rPr>
          <w:rFonts w:ascii="Garamond" w:eastAsia="Times New Roman" w:hAnsi="Garamond" w:cs="Garamond"/>
          <w:sz w:val="24"/>
          <w:szCs w:val="24"/>
        </w:rPr>
        <w:t xml:space="preserve"> </w:t>
      </w:r>
      <w:r w:rsidRPr="00212184">
        <w:rPr>
          <w:rFonts w:ascii="Garamond" w:eastAsia="Times New Roman" w:hAnsi="Garamond" w:cs="Garamond"/>
          <w:sz w:val="24"/>
          <w:szCs w:val="24"/>
        </w:rPr>
        <w:t xml:space="preserve">de la Commission Etat de droit et égalité de chance (CEDEC), de la Coalition ivoirienne pour la Cour pénale internationale (CICPI) et du Réseau des Educateurs des Droits de l’Homme de Côte d’Ivoire (REDHCI). </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xml:space="preserve">Conformément à ses statuts, l’ACAT Côte d’Ivoire mène des actions de plaidoyer (Appels urgents, dénonciations de violations des droits de l’homme et particulièrement de cas de torture) de sensibilisation aux droits de l’homme (encadrement du Club droits de l’homme du Lycée Sainte Marie, animation d’une émission de radio bimensuelle ZOKOUEZO, qui signifie </w:t>
      </w:r>
      <w:r w:rsidRPr="00212184">
        <w:rPr>
          <w:rFonts w:ascii="Garamond" w:eastAsia="Times New Roman" w:hAnsi="Garamond" w:cs="Garamond"/>
          <w:i/>
          <w:sz w:val="24"/>
          <w:szCs w:val="24"/>
        </w:rPr>
        <w:t>« tout homme est homme »</w:t>
      </w:r>
      <w:r w:rsidRPr="00212184">
        <w:rPr>
          <w:rFonts w:ascii="Garamond" w:eastAsia="Times New Roman" w:hAnsi="Garamond" w:cs="Garamond"/>
          <w:sz w:val="24"/>
          <w:szCs w:val="24"/>
        </w:rPr>
        <w:t xml:space="preserve"> en langue centrafricaine Sango, consacrée à la protection des droits de l’homme, animation de conférences et projections de films), de visite des lieux de détention et d’observation électorale.</w:t>
      </w:r>
    </w:p>
    <w:p w:rsidR="00FB376A" w:rsidRPr="00212184" w:rsidRDefault="00FC1C58">
      <w:pPr>
        <w:spacing w:before="120" w:after="120" w:line="276" w:lineRule="auto"/>
        <w:jc w:val="both"/>
        <w:rPr>
          <w:rFonts w:ascii="Garamond" w:eastAsia="Times New Roman" w:hAnsi="Garamond" w:cs="Garamond"/>
          <w:color w:val="FF0000"/>
          <w:sz w:val="24"/>
          <w:szCs w:val="24"/>
        </w:rPr>
      </w:pPr>
      <w:r w:rsidRPr="00212184">
        <w:rPr>
          <w:rFonts w:ascii="Garamond" w:eastAsia="Times New Roman" w:hAnsi="Garamond" w:cs="Garamond"/>
          <w:sz w:val="24"/>
          <w:szCs w:val="24"/>
        </w:rPr>
        <w:t>Depuis 2013, l’ACAT Côte d’Ivoire mène des visites régulières dans les prisons de Grand Bassam Adzopé et Agboville, elle y anime des ateliers de formation sur les droits de l’homme</w:t>
      </w:r>
      <w:r w:rsidR="00C630D8">
        <w:rPr>
          <w:rFonts w:ascii="Garamond" w:eastAsia="Times New Roman" w:hAnsi="Garamond" w:cs="Garamond"/>
          <w:sz w:val="24"/>
          <w:szCs w:val="24"/>
        </w:rPr>
        <w:t>,</w:t>
      </w:r>
      <w:r w:rsidRPr="00212184">
        <w:rPr>
          <w:rFonts w:ascii="Garamond" w:eastAsia="Times New Roman" w:hAnsi="Garamond" w:cs="Garamond"/>
          <w:sz w:val="24"/>
          <w:szCs w:val="24"/>
        </w:rPr>
        <w:t xml:space="preserve"> et notamment les droits des personnes détenues</w:t>
      </w:r>
      <w:r w:rsidR="00C630D8">
        <w:rPr>
          <w:rFonts w:ascii="Garamond" w:eastAsia="Times New Roman" w:hAnsi="Garamond" w:cs="Garamond"/>
          <w:sz w:val="24"/>
          <w:szCs w:val="24"/>
        </w:rPr>
        <w:t>,</w:t>
      </w:r>
      <w:r w:rsidRPr="00212184">
        <w:rPr>
          <w:rFonts w:ascii="Garamond" w:eastAsia="Times New Roman" w:hAnsi="Garamond" w:cs="Garamond"/>
          <w:sz w:val="24"/>
          <w:szCs w:val="24"/>
        </w:rPr>
        <w:t xml:space="preserve"> à l’attention du personnel pénitentiaire</w:t>
      </w:r>
      <w:r w:rsidRPr="00212184">
        <w:rPr>
          <w:rFonts w:ascii="Garamond" w:eastAsia="Times New Roman" w:hAnsi="Garamond" w:cs="Garamond"/>
          <w:color w:val="FF0000"/>
          <w:sz w:val="24"/>
          <w:szCs w:val="24"/>
        </w:rPr>
        <w:t xml:space="preserve">. </w:t>
      </w:r>
      <w:r w:rsidRPr="00212184">
        <w:rPr>
          <w:rFonts w:ascii="Garamond" w:eastAsia="Times New Roman" w:hAnsi="Garamond" w:cs="Garamond"/>
          <w:sz w:val="24"/>
          <w:szCs w:val="24"/>
        </w:rPr>
        <w:t>Elle exécute actuellement avec la FIACAT un projet sur les détentions préventives abusives (DPA). A cet effet, elle mettra bientôt à disposition des prévenus un guide pour leur permettre d’utiliser les voies légales de recours en vue d’accélérer les procédures judiciaires.</w:t>
      </w:r>
    </w:p>
    <w:p w:rsidR="00FC1C58" w:rsidRPr="00212184" w:rsidRDefault="00FC1C58">
      <w:pPr>
        <w:spacing w:before="120" w:after="0" w:line="276" w:lineRule="auto"/>
        <w:ind w:left="720"/>
        <w:jc w:val="both"/>
        <w:outlineLvl w:val="1"/>
        <w:rPr>
          <w:rFonts w:ascii="Garamond" w:eastAsia="Times New Roman" w:hAnsi="Garamond" w:cs="Times New Roman"/>
          <w:b/>
          <w:sz w:val="28"/>
          <w:szCs w:val="24"/>
        </w:rPr>
      </w:pPr>
      <w:r w:rsidRPr="00212184">
        <w:rPr>
          <w:rFonts w:ascii="Garamond" w:eastAsia="Times New Roman" w:hAnsi="Garamond" w:cs="Times New Roman"/>
          <w:b/>
          <w:sz w:val="28"/>
          <w:szCs w:val="24"/>
        </w:rPr>
        <w:t xml:space="preserve"> </w:t>
      </w:r>
    </w:p>
    <w:p w:rsidR="00FC1C58" w:rsidRDefault="00FC1C58" w:rsidP="00304045">
      <w:pPr>
        <w:pStyle w:val="Titre2"/>
      </w:pPr>
      <w:bookmarkStart w:id="22" w:name="_Toc386019484"/>
      <w:bookmarkStart w:id="23" w:name="_Toc386200903"/>
      <w:bookmarkStart w:id="24" w:name="_Toc412111716"/>
      <w:r w:rsidRPr="00212184">
        <w:t>Le contexte général</w:t>
      </w:r>
      <w:bookmarkEnd w:id="22"/>
      <w:bookmarkEnd w:id="23"/>
      <w:bookmarkEnd w:id="24"/>
    </w:p>
    <w:p w:rsidR="00A913E9" w:rsidRPr="00895FAB" w:rsidRDefault="00A913E9" w:rsidP="001D25B1"/>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xml:space="preserve">La Côte d’Ivoire vit depuis les années 2000 une situation de crise sociale, économique, politique et militaire. Les actes de torture, les arrestations arbitraires, les extorsions, les viols, les exécutions </w:t>
      </w:r>
      <w:r w:rsidRPr="00212184">
        <w:rPr>
          <w:rFonts w:ascii="Garamond" w:eastAsia="Times New Roman" w:hAnsi="Garamond" w:cs="Garamond"/>
          <w:sz w:val="24"/>
          <w:szCs w:val="24"/>
        </w:rPr>
        <w:lastRenderedPageBreak/>
        <w:t xml:space="preserve">extrajudiciaires et les disparitions forcées ont été le lot quotidien de la population aux moments de la crise militaro politique (2002-2011) qui a atteint son paroxysme au lendemain de la crise </w:t>
      </w:r>
      <w:r w:rsidR="008B78B6" w:rsidRPr="00212184">
        <w:rPr>
          <w:rFonts w:ascii="Garamond" w:eastAsia="Times New Roman" w:hAnsi="Garamond" w:cs="Garamond"/>
          <w:sz w:val="24"/>
          <w:szCs w:val="24"/>
        </w:rPr>
        <w:t>post-électorale</w:t>
      </w:r>
      <w:r w:rsidRPr="00212184">
        <w:rPr>
          <w:rFonts w:ascii="Garamond" w:eastAsia="Times New Roman" w:hAnsi="Garamond" w:cs="Garamond"/>
          <w:sz w:val="24"/>
          <w:szCs w:val="24"/>
        </w:rPr>
        <w:t xml:space="preserve">. </w:t>
      </w:r>
      <w:r w:rsidR="00C630D8">
        <w:rPr>
          <w:rFonts w:ascii="Garamond" w:eastAsia="Times New Roman" w:hAnsi="Garamond" w:cs="Garamond"/>
          <w:sz w:val="24"/>
          <w:szCs w:val="24"/>
        </w:rPr>
        <w:t xml:space="preserve"> Les responsables de ces crimes sont a</w:t>
      </w:r>
      <w:r w:rsidRPr="00212184">
        <w:rPr>
          <w:rFonts w:ascii="Garamond" w:eastAsia="Times New Roman" w:hAnsi="Garamond" w:cs="Garamond"/>
          <w:sz w:val="24"/>
          <w:szCs w:val="24"/>
        </w:rPr>
        <w:t>utant les partisans de l’ex-Président Laurent Gbagbo que les forces du pouvoir en place du Président Alassane Ouattara</w:t>
      </w:r>
      <w:r w:rsidRPr="00212184">
        <w:rPr>
          <w:rFonts w:ascii="Garamond" w:eastAsia="Times New Roman" w:hAnsi="Garamond" w:cs="Garamond"/>
          <w:sz w:val="24"/>
          <w:szCs w:val="24"/>
          <w:vertAlign w:val="superscript"/>
        </w:rPr>
        <w:footnoteReference w:id="1"/>
      </w:r>
      <w:r w:rsidRPr="00212184">
        <w:rPr>
          <w:rFonts w:ascii="Garamond" w:eastAsia="Times New Roman" w:hAnsi="Garamond" w:cs="Garamond"/>
          <w:sz w:val="24"/>
          <w:szCs w:val="24"/>
        </w:rPr>
        <w:t xml:space="preserve">. </w:t>
      </w:r>
    </w:p>
    <w:p w:rsidR="00FC1C58" w:rsidRPr="00212184" w:rsidRDefault="00FC1C58" w:rsidP="006D0349">
      <w:pPr>
        <w:numPr>
          <w:ilvl w:val="0"/>
          <w:numId w:val="15"/>
        </w:numPr>
        <w:spacing w:before="120" w:after="120" w:line="276" w:lineRule="auto"/>
        <w:jc w:val="both"/>
        <w:rPr>
          <w:rFonts w:ascii="Garamond" w:eastAsia="Times New Roman" w:hAnsi="Garamond" w:cs="Garamond"/>
          <w:b/>
          <w:sz w:val="24"/>
          <w:szCs w:val="24"/>
        </w:rPr>
      </w:pPr>
      <w:r w:rsidRPr="00212184">
        <w:rPr>
          <w:rFonts w:ascii="Garamond" w:eastAsia="Times New Roman" w:hAnsi="Garamond" w:cs="Garamond"/>
          <w:b/>
          <w:sz w:val="24"/>
          <w:szCs w:val="24"/>
        </w:rPr>
        <w:t>Tensions dans un pays prospère</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Jusqu’aux années 1980, la Côte d’Ivoire était politiquement et économiquement stable et considérée comme un exemple de paix et de croissance économique sur le continent africain. De 1980 à 2000 plusieurs évènements ont fragilisé la cohésion sociale du pays : la crise économique, le passage du parti unique au multipartisme dans un contexte d’impréparation, la mort au pouvoir du premier Président suivie d’une lutte de succession au pouvoir, la dévaluation du franc CFA en 1994 et le premier coup d’Etat de 1999 contre le président Konan Bédié</w:t>
      </w:r>
      <w:r w:rsidRPr="00212184">
        <w:rPr>
          <w:rFonts w:ascii="Garamond" w:eastAsia="Times New Roman" w:hAnsi="Garamond" w:cs="Garamond"/>
          <w:sz w:val="24"/>
          <w:szCs w:val="24"/>
          <w:vertAlign w:val="superscript"/>
        </w:rPr>
        <w:footnoteReference w:id="2"/>
      </w:r>
      <w:r w:rsidRPr="00212184">
        <w:rPr>
          <w:rFonts w:ascii="Garamond" w:eastAsia="Times New Roman" w:hAnsi="Garamond" w:cs="Garamond"/>
          <w:sz w:val="24"/>
          <w:szCs w:val="24"/>
        </w:rPr>
        <w:t xml:space="preserve">. </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L’arrivée au pouvoir du Président Laurent Gbagbo en 2000, suite à un scrutin controversé, a plongé le pays dans un climat de tensions. A sa politique teintée de socialisme, de nationalisme identitaire et d’anticolonialisme s’est opposée une rébellion venant du nord. La guerre civile qui s’en est suivie a div</w:t>
      </w:r>
      <w:r w:rsidR="00917120">
        <w:rPr>
          <w:rFonts w:ascii="Garamond" w:eastAsia="Times New Roman" w:hAnsi="Garamond" w:cs="Garamond"/>
          <w:sz w:val="24"/>
          <w:szCs w:val="24"/>
        </w:rPr>
        <w:t>isé le territoire en deux zones ;</w:t>
      </w:r>
      <w:r w:rsidRPr="00212184">
        <w:rPr>
          <w:rFonts w:ascii="Garamond" w:eastAsia="Times New Roman" w:hAnsi="Garamond" w:cs="Garamond"/>
          <w:sz w:val="24"/>
          <w:szCs w:val="24"/>
        </w:rPr>
        <w:t xml:space="preserve"> le nord, contrôlé par les Forces Nouvelles (FN), et le sud, contrôlé par les Forces armées nationales de Côte d’Ivoire (FANCI). </w:t>
      </w:r>
    </w:p>
    <w:p w:rsidR="00FC1C58" w:rsidRDefault="00BB5435">
      <w:pPr>
        <w:spacing w:before="120" w:after="120" w:line="276" w:lineRule="auto"/>
        <w:rPr>
          <w:rFonts w:ascii="Garamond" w:eastAsia="Times New Roman" w:hAnsi="Garamond" w:cs="Garamond"/>
          <w:sz w:val="24"/>
          <w:szCs w:val="24"/>
        </w:rPr>
      </w:pPr>
      <w:r>
        <w:rPr>
          <w:rFonts w:ascii="Garamond" w:eastAsia="Times New Roman" w:hAnsi="Garamond" w:cs="Garamond"/>
          <w:noProof/>
          <w:sz w:val="24"/>
          <w:szCs w:val="24"/>
          <w:lang w:eastAsia="fr-FR"/>
        </w:rPr>
        <mc:AlternateContent>
          <mc:Choice Requires="wps">
            <w:drawing>
              <wp:anchor distT="0" distB="0" distL="114300" distR="114300" simplePos="0" relativeHeight="251663360" behindDoc="0" locked="0" layoutInCell="1" allowOverlap="1" wp14:anchorId="35F34788" wp14:editId="510BEDE5">
                <wp:simplePos x="0" y="0"/>
                <wp:positionH relativeFrom="column">
                  <wp:posOffset>3386455</wp:posOffset>
                </wp:positionH>
                <wp:positionV relativeFrom="paragraph">
                  <wp:posOffset>1231265</wp:posOffset>
                </wp:positionV>
                <wp:extent cx="314325" cy="266700"/>
                <wp:effectExtent l="0" t="0" r="28575" b="19050"/>
                <wp:wrapNone/>
                <wp:docPr id="4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66700"/>
                        </a:xfrm>
                        <a:prstGeom prst="rect">
                          <a:avLst/>
                        </a:prstGeom>
                        <a:solidFill>
                          <a:srgbClr val="FFCC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EF9E2" id="Rectangle 6" o:spid="_x0000_s1026" style="position:absolute;margin-left:266.65pt;margin-top:96.95pt;width:24.7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" fillcolor="#fcf"/>
            </w:pict>
          </mc:Fallback>
        </mc:AlternateContent>
      </w:r>
      <w:r>
        <w:rPr>
          <w:rFonts w:ascii="Garamond" w:eastAsia="Times New Roman" w:hAnsi="Garamond" w:cs="Garamond"/>
          <w:noProof/>
          <w:sz w:val="24"/>
          <w:szCs w:val="24"/>
          <w:lang w:eastAsia="fr-FR"/>
        </w:rPr>
        <mc:AlternateContent>
          <mc:Choice Requires="wps">
            <w:drawing>
              <wp:anchor distT="0" distB="0" distL="114300" distR="114300" simplePos="0" relativeHeight="251662336" behindDoc="0" locked="0" layoutInCell="1" allowOverlap="1" wp14:anchorId="51B23A97" wp14:editId="3D7E88E0">
                <wp:simplePos x="0" y="0"/>
                <wp:positionH relativeFrom="column">
                  <wp:posOffset>3281680</wp:posOffset>
                </wp:positionH>
                <wp:positionV relativeFrom="paragraph">
                  <wp:posOffset>269240</wp:posOffset>
                </wp:positionV>
                <wp:extent cx="2562225" cy="1428750"/>
                <wp:effectExtent l="0" t="0" r="28575" b="19050"/>
                <wp:wrapNone/>
                <wp:docPr id="4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2225" cy="1428750"/>
                        </a:xfrm>
                        <a:prstGeom prst="rect">
                          <a:avLst/>
                        </a:prstGeom>
                        <a:solidFill>
                          <a:srgbClr val="FFFFFF"/>
                        </a:solidFill>
                        <a:ln w="9525">
                          <a:solidFill>
                            <a:srgbClr val="000000"/>
                          </a:solidFill>
                          <a:miter lim="800000"/>
                          <a:headEnd/>
                          <a:tailEnd/>
                        </a:ln>
                      </wps:spPr>
                      <wps:txbx>
                        <w:txbxContent>
                          <w:p w:rsidR="005E13E2" w:rsidRDefault="005E13E2" w:rsidP="00FC1C58">
                            <w:r>
                              <w:rPr>
                                <w:noProof/>
                                <w:lang w:eastAsia="fr-FR"/>
                              </w:rPr>
                              <w:t xml:space="preserve">             </w:t>
                            </w:r>
                            <w:r>
                              <w:t>Zone tenue par la rébellion</w:t>
                            </w:r>
                          </w:p>
                          <w:p w:rsidR="005E13E2" w:rsidRDefault="005E13E2" w:rsidP="00FC1C58">
                            <w:pPr>
                              <w:spacing w:after="0"/>
                              <w:ind w:firstLine="708"/>
                            </w:pPr>
                            <w:r>
                              <w:t xml:space="preserve">  </w:t>
                            </w:r>
                          </w:p>
                          <w:p w:rsidR="005E13E2" w:rsidRDefault="005E13E2" w:rsidP="00FC1C58">
                            <w:pPr>
                              <w:spacing w:after="0"/>
                              <w:ind w:firstLine="708"/>
                            </w:pPr>
                            <w:r>
                              <w:t>Zone tampon tenue  par  l’ONUCI</w:t>
                            </w:r>
                          </w:p>
                          <w:p w:rsidR="005E13E2" w:rsidRDefault="005E13E2" w:rsidP="00FC1C58">
                            <w:r>
                              <w:tab/>
                              <w:t xml:space="preserve"> </w:t>
                            </w:r>
                          </w:p>
                          <w:p w:rsidR="005E13E2" w:rsidRDefault="005E13E2" w:rsidP="00FC1C58">
                            <w:pPr>
                              <w:ind w:firstLine="708"/>
                            </w:pPr>
                            <w:r>
                              <w:t>Zone gouvernementale</w:t>
                            </w:r>
                          </w:p>
                          <w:p w:rsidR="005E13E2" w:rsidRDefault="005E13E2" w:rsidP="00FC1C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23A97" id="Rectangle 3" o:spid="_x0000_s1027" style="position:absolute;margin-left:258.4pt;margin-top:21.2pt;width:201.7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">
                <v:textbox>
                  <w:txbxContent>
                    <w:p w:rsidR="005E13E2" w:rsidRDefault="005E13E2" w:rsidP="00FC1C58">
                      <w:r>
                        <w:rPr>
                          <w:noProof/>
                          <w:lang w:eastAsia="fr-FR"/>
                        </w:rPr>
                        <w:t xml:space="preserve">             </w:t>
                      </w:r>
                      <w:r>
                        <w:t>Zone tenue par la rébellion</w:t>
                      </w:r>
                    </w:p>
                    <w:p w:rsidR="005E13E2" w:rsidRDefault="005E13E2" w:rsidP="00FC1C58">
                      <w:pPr>
                        <w:spacing w:after="0"/>
                        <w:ind w:firstLine="708"/>
                      </w:pPr>
                      <w:r>
                        <w:t xml:space="preserve">  </w:t>
                      </w:r>
                    </w:p>
                    <w:p w:rsidR="005E13E2" w:rsidRDefault="005E13E2" w:rsidP="00FC1C58">
                      <w:pPr>
                        <w:spacing w:after="0"/>
                        <w:ind w:firstLine="708"/>
                      </w:pPr>
                      <w:r>
                        <w:t>Zone tampon tenue  par  l’ONUCI</w:t>
                      </w:r>
                    </w:p>
                    <w:p w:rsidR="005E13E2" w:rsidRDefault="005E13E2" w:rsidP="00FC1C58">
                      <w:r>
                        <w:tab/>
                        <w:t xml:space="preserve"> </w:t>
                      </w:r>
                    </w:p>
                    <w:p w:rsidR="005E13E2" w:rsidRDefault="005E13E2" w:rsidP="00FC1C58">
                      <w:pPr>
                        <w:ind w:firstLine="708"/>
                      </w:pPr>
                      <w:r>
                        <w:t>Zone gouvernementale</w:t>
                      </w:r>
                    </w:p>
                    <w:p w:rsidR="005E13E2" w:rsidRDefault="005E13E2" w:rsidP="00FC1C58"/>
                  </w:txbxContent>
                </v:textbox>
              </v:rect>
            </w:pict>
          </mc:Fallback>
        </mc:AlternateContent>
      </w:r>
      <w:r>
        <w:rPr>
          <w:rFonts w:ascii="Garamond" w:eastAsia="Times New Roman" w:hAnsi="Garamond" w:cs="Garamond"/>
          <w:noProof/>
          <w:sz w:val="24"/>
          <w:szCs w:val="24"/>
          <w:lang w:eastAsia="fr-FR"/>
        </w:rPr>
        <mc:AlternateContent>
          <mc:Choice Requires="wps">
            <w:drawing>
              <wp:anchor distT="0" distB="0" distL="114300" distR="114300" simplePos="0" relativeHeight="251664384" behindDoc="0" locked="0" layoutInCell="1" allowOverlap="1" wp14:anchorId="3A55C0EF" wp14:editId="06D75636">
                <wp:simplePos x="0" y="0"/>
                <wp:positionH relativeFrom="column">
                  <wp:posOffset>3357880</wp:posOffset>
                </wp:positionH>
                <wp:positionV relativeFrom="paragraph">
                  <wp:posOffset>783590</wp:posOffset>
                </wp:positionV>
                <wp:extent cx="342900" cy="257175"/>
                <wp:effectExtent l="0" t="0" r="19050" b="28575"/>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57175"/>
                        </a:xfrm>
                        <a:prstGeom prst="rect">
                          <a:avLst/>
                        </a:prstGeom>
                        <a:solidFill>
                          <a:schemeClr val="accent6">
                            <a:lumMod val="20000"/>
                            <a:lumOff val="8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98B2A" id="Rectangle 5" o:spid="_x0000_s1026" style="position:absolute;margin-left:264.4pt;margin-top:61.7pt;width:27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" fillcolor="#fde9d9 [665]"/>
            </w:pict>
          </mc:Fallback>
        </mc:AlternateContent>
      </w:r>
      <w:r>
        <w:rPr>
          <w:rFonts w:ascii="Garamond" w:eastAsia="Times New Roman" w:hAnsi="Garamond" w:cs="Garamond"/>
          <w:noProof/>
          <w:sz w:val="24"/>
          <w:szCs w:val="24"/>
          <w:lang w:eastAsia="fr-FR"/>
        </w:rPr>
        <mc:AlternateContent>
          <mc:Choice Requires="wps">
            <w:drawing>
              <wp:anchor distT="0" distB="0" distL="114300" distR="114300" simplePos="0" relativeHeight="251665408" behindDoc="0" locked="0" layoutInCell="1" allowOverlap="1" wp14:anchorId="0E1310BD" wp14:editId="0C75E234">
                <wp:simplePos x="0" y="0"/>
                <wp:positionH relativeFrom="column">
                  <wp:posOffset>3338830</wp:posOffset>
                </wp:positionH>
                <wp:positionV relativeFrom="paragraph">
                  <wp:posOffset>297815</wp:posOffset>
                </wp:positionV>
                <wp:extent cx="342900" cy="266700"/>
                <wp:effectExtent l="0" t="0" r="19050" b="19050"/>
                <wp:wrapNone/>
                <wp:docPr id="3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66700"/>
                        </a:xfrm>
                        <a:prstGeom prst="rect">
                          <a:avLst/>
                        </a:prstGeom>
                        <a:solidFill>
                          <a:srgbClr val="CCEC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A5992" id="Rectangle 4" o:spid="_x0000_s1026" style="position:absolute;margin-left:262.9pt;margin-top:23.45pt;width:27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" fillcolor="#ccecff"/>
            </w:pict>
          </mc:Fallback>
        </mc:AlternateContent>
      </w:r>
      <w:r w:rsidR="00FC1C58" w:rsidRPr="00212184">
        <w:rPr>
          <w:rFonts w:ascii="Garamond" w:eastAsia="Times New Roman" w:hAnsi="Garamond" w:cs="Garamond"/>
          <w:noProof/>
          <w:sz w:val="24"/>
          <w:szCs w:val="24"/>
          <w:lang w:eastAsia="fr-FR"/>
        </w:rPr>
        <w:drawing>
          <wp:inline distT="0" distB="0" distL="0" distR="0" wp14:anchorId="21739991" wp14:editId="6AD71DC0">
            <wp:extent cx="3076575" cy="3053100"/>
            <wp:effectExtent l="19050" t="0" r="952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3077947" cy="3054461"/>
                    </a:xfrm>
                    <a:prstGeom prst="rect">
                      <a:avLst/>
                    </a:prstGeom>
                    <a:noFill/>
                    <a:ln w="9525">
                      <a:noFill/>
                      <a:miter lim="800000"/>
                      <a:headEnd/>
                      <a:tailEnd/>
                    </a:ln>
                  </pic:spPr>
                </pic:pic>
              </a:graphicData>
            </a:graphic>
          </wp:inline>
        </w:drawing>
      </w:r>
    </w:p>
    <w:p w:rsidR="00490964" w:rsidRPr="001D25B1" w:rsidRDefault="00917120" w:rsidP="00304045">
      <w:pPr>
        <w:pStyle w:val="NormalWeb"/>
        <w:spacing w:line="276" w:lineRule="auto"/>
        <w:jc w:val="both"/>
        <w:rPr>
          <w:rFonts w:ascii="Garamond" w:hAnsi="Garamond" w:cs="Garamond"/>
        </w:rPr>
      </w:pPr>
      <w:r w:rsidRPr="000D0A05">
        <w:rPr>
          <w:rFonts w:ascii="Garamond" w:hAnsi="Garamond" w:cs="Garamond"/>
        </w:rPr>
        <w:t>Il s’en est suivi une grande et longue période d’impunité - amnistie des auteurs du premier coup</w:t>
      </w:r>
      <w:r w:rsidR="00490964" w:rsidRPr="00895FAB">
        <w:rPr>
          <w:rFonts w:ascii="Garamond" w:hAnsi="Garamond" w:cs="Garamond"/>
        </w:rPr>
        <w:t xml:space="preserve"> </w:t>
      </w:r>
      <w:r w:rsidRPr="001D25B1">
        <w:rPr>
          <w:rFonts w:ascii="Garamond" w:hAnsi="Garamond" w:cs="Garamond"/>
        </w:rPr>
        <w:t>d’Etat</w:t>
      </w:r>
      <w:r w:rsidR="00490964" w:rsidRPr="001D25B1">
        <w:rPr>
          <w:rFonts w:ascii="Garamond" w:hAnsi="Garamond" w:cs="Garamond"/>
        </w:rPr>
        <w:t xml:space="preserve"> dans la constitution du 1</w:t>
      </w:r>
      <w:r w:rsidR="00490964" w:rsidRPr="001D25B1">
        <w:rPr>
          <w:rFonts w:ascii="Garamond" w:hAnsi="Garamond" w:cs="Garamond"/>
          <w:vertAlign w:val="superscript"/>
        </w:rPr>
        <w:t>er</w:t>
      </w:r>
      <w:r w:rsidR="00490964" w:rsidRPr="001D25B1">
        <w:rPr>
          <w:rFonts w:ascii="Garamond" w:hAnsi="Garamond" w:cs="Garamond"/>
        </w:rPr>
        <w:t xml:space="preserve"> Août 2000 (</w:t>
      </w:r>
      <w:r w:rsidR="00490964" w:rsidRPr="001D25B1">
        <w:rPr>
          <w:rFonts w:ascii="Garamond" w:hAnsi="Garamond" w:cs="Garamond"/>
          <w:i/>
        </w:rPr>
        <w:t xml:space="preserve">Article 132 : Il est accordé l'immunité civile et pénale aux membres du Comité national de Salut public (CNSP) et à tous les auteurs des évènements ayant entraîné le changement de régime intervenu le 24 décembre 1999) </w:t>
      </w:r>
      <w:r w:rsidR="00490964" w:rsidRPr="001D25B1">
        <w:rPr>
          <w:rFonts w:ascii="Garamond" w:hAnsi="Garamond" w:cs="Garamond"/>
        </w:rPr>
        <w:t xml:space="preserve"> </w:t>
      </w:r>
      <w:r w:rsidRPr="001D25B1">
        <w:rPr>
          <w:rFonts w:ascii="Garamond" w:hAnsi="Garamond" w:cs="Garamond"/>
        </w:rPr>
        <w:t xml:space="preserve">puis de la rébellion - qui a abouti à la crise postélectorale de 2010. </w:t>
      </w:r>
    </w:p>
    <w:p w:rsidR="00FC1C58" w:rsidRPr="001D25B1" w:rsidRDefault="00FC1C58" w:rsidP="006D0349">
      <w:pPr>
        <w:numPr>
          <w:ilvl w:val="0"/>
          <w:numId w:val="15"/>
        </w:numPr>
        <w:spacing w:before="120" w:after="120" w:line="276" w:lineRule="auto"/>
        <w:jc w:val="both"/>
        <w:rPr>
          <w:rFonts w:ascii="Garamond" w:eastAsia="Times New Roman" w:hAnsi="Garamond" w:cs="Garamond"/>
          <w:b/>
          <w:sz w:val="24"/>
          <w:szCs w:val="24"/>
        </w:rPr>
      </w:pPr>
      <w:r w:rsidRPr="001D25B1">
        <w:rPr>
          <w:rFonts w:ascii="Garamond" w:eastAsia="Times New Roman" w:hAnsi="Garamond" w:cs="Garamond"/>
          <w:b/>
          <w:sz w:val="24"/>
          <w:szCs w:val="24"/>
        </w:rPr>
        <w:lastRenderedPageBreak/>
        <w:t>La crise postélectorale de 2010</w:t>
      </w:r>
    </w:p>
    <w:p w:rsidR="00FB376A" w:rsidRPr="001D25B1" w:rsidRDefault="00FC1C58">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Lors des élections présidentielles de novembre 2010, la Côte d’Ivoire a vécu sa pire crise depuis l’indépendance en 1960. Le candidat Alassane Ouattara, soutenu par les FN rebaptisées Forces républicaines de Côte d’Ivoire (FRCI), est considéré comme vainqueur par la Commission électorale indépendante et la communauté internationale. Cependant, le résultat est invalidé par le Conseil constitutionnel et rejeté par le Président sortant, Laurent Gbagbo. Ce dernier engage des troupes de l’armée, des forces paramilitaires et des mercenaires pour maintenir son poste et écraser l’opposition. </w:t>
      </w:r>
    </w:p>
    <w:p w:rsidR="00742AFB" w:rsidRPr="000D0A05" w:rsidRDefault="00FC1C58">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Le 11 avril 2011, Laurent Gbagbo est arrêté par les FRCI avec le soutien des forces françaises et de l’Opération des Nations </w:t>
      </w:r>
      <w:r w:rsidR="00936C38" w:rsidRPr="001D25B1">
        <w:rPr>
          <w:rFonts w:ascii="Garamond" w:eastAsia="Times New Roman" w:hAnsi="Garamond" w:cs="Garamond"/>
          <w:sz w:val="24"/>
          <w:szCs w:val="24"/>
        </w:rPr>
        <w:t>U</w:t>
      </w:r>
      <w:r w:rsidRPr="001D25B1">
        <w:rPr>
          <w:rFonts w:ascii="Garamond" w:eastAsia="Times New Roman" w:hAnsi="Garamond" w:cs="Garamond"/>
          <w:sz w:val="24"/>
          <w:szCs w:val="24"/>
        </w:rPr>
        <w:t>nies en Côte d’Ivoire (ONUCI).</w:t>
      </w:r>
      <w:r w:rsidR="00742AFB" w:rsidRPr="001D25B1">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00742AFB" w:rsidRPr="000D0A05">
        <w:rPr>
          <w:rFonts w:ascii="Garamond" w:eastAsia="Times New Roman" w:hAnsi="Garamond" w:cs="Garamond"/>
          <w:sz w:val="24"/>
          <w:szCs w:val="24"/>
        </w:rPr>
        <w:t xml:space="preserve"> </w:t>
      </w:r>
    </w:p>
    <w:p w:rsidR="00FC1C58" w:rsidRPr="001D25B1" w:rsidRDefault="00FC1C58">
      <w:pPr>
        <w:spacing w:before="120" w:after="120" w:line="276" w:lineRule="auto"/>
        <w:jc w:val="both"/>
        <w:rPr>
          <w:rFonts w:ascii="Garamond" w:eastAsia="Times New Roman" w:hAnsi="Garamond" w:cs="Garamond"/>
          <w:sz w:val="24"/>
          <w:szCs w:val="24"/>
        </w:rPr>
      </w:pPr>
      <w:r w:rsidRPr="00895FAB">
        <w:rPr>
          <w:rFonts w:ascii="Garamond" w:eastAsia="Times New Roman" w:hAnsi="Garamond" w:cs="Garamond"/>
          <w:sz w:val="24"/>
          <w:szCs w:val="24"/>
        </w:rPr>
        <w:t xml:space="preserve"> Soupçonné de crimes contre l’humanité, le Président déchu est incarcéré au centre de détention de la Cou</w:t>
      </w:r>
      <w:r w:rsidRPr="001D25B1">
        <w:rPr>
          <w:rFonts w:ascii="Garamond" w:eastAsia="Times New Roman" w:hAnsi="Garamond" w:cs="Garamond"/>
          <w:sz w:val="24"/>
          <w:szCs w:val="24"/>
        </w:rPr>
        <w:t>r pénale internationale (CPI) de la Haye où il attend son jugement. Durant les six mois de crise, des centaines de personnes ont été victimes d’exécutions extrajudiciaires, arbitraires et sommaires, souvent sur la seule base de leur origine ethnique. La responsabilité de ces crimes de guerre, tout comme celle des crimes contre l’humanité, dont le bilan s’élève à 3 000 morts, un million de déplacés et un nombre incalculable d’autres victimes, incombe aux deux parties en conflit.</w:t>
      </w:r>
    </w:p>
    <w:p w:rsidR="00FC1C58" w:rsidRPr="001D25B1" w:rsidRDefault="00FC1C58" w:rsidP="006D0349">
      <w:pPr>
        <w:numPr>
          <w:ilvl w:val="0"/>
          <w:numId w:val="15"/>
        </w:numPr>
        <w:spacing w:before="120" w:after="120" w:line="276" w:lineRule="auto"/>
        <w:jc w:val="both"/>
        <w:rPr>
          <w:rFonts w:ascii="Garamond" w:eastAsia="Times New Roman" w:hAnsi="Garamond" w:cs="Garamond"/>
          <w:b/>
          <w:sz w:val="24"/>
          <w:szCs w:val="24"/>
        </w:rPr>
      </w:pPr>
      <w:r w:rsidRPr="001D25B1">
        <w:rPr>
          <w:rFonts w:ascii="Garamond" w:eastAsia="Times New Roman" w:hAnsi="Garamond" w:cs="Garamond"/>
          <w:b/>
          <w:sz w:val="24"/>
          <w:szCs w:val="24"/>
        </w:rPr>
        <w:t xml:space="preserve">La crise aujourd’hui </w:t>
      </w:r>
    </w:p>
    <w:p w:rsidR="00A7576C" w:rsidRPr="001D25B1" w:rsidRDefault="00FC1C58">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Même si les tensions ont diminué, la Côte d’Ivoire continue d’être le théâtre de sérieuses violations des droits humains, notamment commises à l’encontre de partisans présumés de Laurent Gbagbo. Les centres </w:t>
      </w:r>
      <w:r w:rsidR="007A4F4C" w:rsidRPr="001D25B1">
        <w:rPr>
          <w:rFonts w:ascii="Garamond" w:eastAsia="Times New Roman" w:hAnsi="Garamond" w:cs="Garamond"/>
          <w:sz w:val="24"/>
          <w:szCs w:val="24"/>
        </w:rPr>
        <w:t xml:space="preserve">illégaux </w:t>
      </w:r>
      <w:r w:rsidRPr="001D25B1">
        <w:rPr>
          <w:rFonts w:ascii="Garamond" w:eastAsia="Times New Roman" w:hAnsi="Garamond" w:cs="Garamond"/>
          <w:sz w:val="24"/>
          <w:szCs w:val="24"/>
        </w:rPr>
        <w:t xml:space="preserve">de détention, dont le but est d’immobiliser les individus suspectés de mettre en danger la sécurité publique, </w:t>
      </w:r>
      <w:r w:rsidR="00715EFD" w:rsidRPr="001D25B1">
        <w:rPr>
          <w:rFonts w:ascii="Garamond" w:eastAsia="Times New Roman" w:hAnsi="Garamond" w:cs="Garamond"/>
          <w:sz w:val="24"/>
          <w:szCs w:val="24"/>
        </w:rPr>
        <w:t xml:space="preserve">se sont </w:t>
      </w:r>
      <w:r w:rsidRPr="001D25B1">
        <w:rPr>
          <w:rFonts w:ascii="Garamond" w:eastAsia="Times New Roman" w:hAnsi="Garamond" w:cs="Garamond"/>
          <w:sz w:val="24"/>
          <w:szCs w:val="24"/>
        </w:rPr>
        <w:t xml:space="preserve">multipliés. Les FRCI et la police militaire ont procédé à de nombreuses arrestations arbitraires et à des détentions illégales sur la base de motifs autant politiques qu’ethniques. Les personnes arrêtées ont été souvent détenues au secret, durant de longues périodes </w:t>
      </w:r>
      <w:r w:rsidR="00715EFD" w:rsidRPr="001D25B1">
        <w:rPr>
          <w:rFonts w:ascii="Garamond" w:eastAsia="Times New Roman" w:hAnsi="Garamond" w:cs="Garamond"/>
          <w:sz w:val="24"/>
          <w:szCs w:val="24"/>
        </w:rPr>
        <w:t>et dans des conditions inhumaines et dégradantes</w:t>
      </w:r>
      <w:r w:rsidR="00715EFD" w:rsidRPr="000D0A05">
        <w:rPr>
          <w:rFonts w:ascii="Garamond" w:eastAsia="Times New Roman" w:hAnsi="Garamond" w:cs="Garamond"/>
          <w:sz w:val="24"/>
          <w:szCs w:val="24"/>
          <w:vertAlign w:val="superscript"/>
        </w:rPr>
        <w:footnoteReference w:id="3"/>
      </w:r>
      <w:r w:rsidR="00715EFD" w:rsidRPr="000D0A05">
        <w:rPr>
          <w:rFonts w:ascii="Garamond" w:eastAsia="Times New Roman" w:hAnsi="Garamond" w:cs="Garamond"/>
          <w:sz w:val="24"/>
          <w:szCs w:val="24"/>
        </w:rPr>
        <w:t>. Les cas de BLE GOUDE détenu pendant 13 mois  (du 17 janvier 2013 au 22 mars 2</w:t>
      </w:r>
      <w:r w:rsidR="00116834" w:rsidRPr="00895FAB">
        <w:rPr>
          <w:rFonts w:ascii="Garamond" w:eastAsia="Times New Roman" w:hAnsi="Garamond" w:cs="Garamond"/>
          <w:sz w:val="24"/>
          <w:szCs w:val="24"/>
        </w:rPr>
        <w:t>0</w:t>
      </w:r>
      <w:r w:rsidR="00715EFD" w:rsidRPr="001D25B1">
        <w:rPr>
          <w:rFonts w:ascii="Garamond" w:eastAsia="Times New Roman" w:hAnsi="Garamond" w:cs="Garamond"/>
          <w:sz w:val="24"/>
          <w:szCs w:val="24"/>
        </w:rPr>
        <w:t xml:space="preserve">14 date de son transfèrement à la Haye) et de DIPOBIEU JEAN YVES détenu du 5 février au 31 mai 2014 en sont des exemples. </w:t>
      </w:r>
      <w:r w:rsidR="00715EFD" w:rsidRPr="001D25B1" w:rsidDel="00715EFD">
        <w:rPr>
          <w:rFonts w:ascii="Garamond" w:eastAsia="Times New Roman" w:hAnsi="Garamond" w:cs="Garamond"/>
          <w:color w:val="FF0000"/>
          <w:sz w:val="24"/>
          <w:szCs w:val="24"/>
        </w:rPr>
        <w:t xml:space="preserve"> </w:t>
      </w:r>
    </w:p>
    <w:p w:rsidR="00A7576C" w:rsidRPr="000D0A05" w:rsidRDefault="00715EFD">
      <w:pPr>
        <w:spacing w:before="120" w:after="120" w:line="276" w:lineRule="auto"/>
        <w:jc w:val="both"/>
        <w:rPr>
          <w:rFonts w:ascii="Garamond" w:eastAsia="Times New Roman" w:hAnsi="Garamond" w:cs="Garamond"/>
          <w:sz w:val="24"/>
          <w:szCs w:val="24"/>
        </w:rPr>
      </w:pPr>
      <w:r w:rsidRPr="000D0A05">
        <w:rPr>
          <w:rFonts w:ascii="Garamond" w:eastAsia="Times New Roman" w:hAnsi="Garamond" w:cs="Garamond"/>
          <w:noProof/>
          <w:sz w:val="24"/>
          <w:szCs w:val="24"/>
          <w:lang w:eastAsia="fr-FR"/>
        </w:rPr>
        <mc:AlternateContent>
          <mc:Choice Requires="wps">
            <w:drawing>
              <wp:inline distT="0" distB="0" distL="0" distR="0" wp14:anchorId="599D32EE" wp14:editId="7EB7A8C0">
                <wp:extent cx="5738884" cy="1722475"/>
                <wp:effectExtent l="0" t="0" r="14605" b="11430"/>
                <wp:docPr id="3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8884" cy="1722475"/>
                        </a:xfrm>
                        <a:prstGeom prst="rect">
                          <a:avLst/>
                        </a:prstGeom>
                        <a:solidFill>
                          <a:srgbClr val="FFFFFF"/>
                        </a:solidFill>
                        <a:ln w="9525">
                          <a:solidFill>
                            <a:srgbClr val="000000"/>
                          </a:solidFill>
                          <a:miter lim="800000"/>
                          <a:headEnd/>
                          <a:tailEnd/>
                        </a:ln>
                      </wps:spPr>
                      <wps:txbx>
                        <w:txbxContent>
                          <w:p w:rsidR="005E13E2" w:rsidRPr="001D25B1" w:rsidRDefault="005E13E2" w:rsidP="0095626B">
                            <w:pPr>
                              <w:shd w:val="clear" w:color="auto" w:fill="D9D9D9" w:themeFill="background1" w:themeFillShade="D9"/>
                              <w:spacing w:line="276" w:lineRule="auto"/>
                              <w:jc w:val="both"/>
                              <w:rPr>
                                <w:rFonts w:ascii="Garamond" w:hAnsi="Garamond"/>
                                <w:sz w:val="24"/>
                              </w:rPr>
                            </w:pPr>
                            <w:r w:rsidRPr="001D25B1">
                              <w:rPr>
                                <w:rFonts w:ascii="Garamond" w:hAnsi="Garamond"/>
                                <w:sz w:val="24"/>
                              </w:rPr>
                              <w:t xml:space="preserve">Blé GOUDE et Jean- Yves DIBOPIEU sont des anciens responsables de la FESCI. Cette dernière née en 1990 a d’abord été un instrument de l’opposition dans le monde scolaire. Elle a été traquée au départ par le pouvoir PDCI avant d’être au service du pouvoir de Laurent Gbagbo. Elle s’est rendue célèbre dans le milieu scolaire par ses actes de violence et ses batailles à la machette sur les campus universitaires. Elle a bénéficié d’impunité au point que plusieurs affaires la concernant et ayant fait l’objet d’ouverture d’enquête n’ont jamais abouti : </w:t>
                            </w:r>
                            <w:r w:rsidRPr="001D25B1">
                              <w:rPr>
                                <w:rFonts w:ascii="Garamond" w:hAnsi="Garamond"/>
                                <w:i/>
                                <w:sz w:val="24"/>
                              </w:rPr>
                              <w:t>la casse de la LIDHO et de l’APDH, l’assassinat de l’étudiant Habib Dodo, sa participation éventuelle au côté du GPP, à la répression de la marche du RHDP du 25 mars 2004…..Elle est interdite depuis 2011.</w:t>
                            </w:r>
                          </w:p>
                        </w:txbxContent>
                      </wps:txbx>
                      <wps:bodyPr rot="0" vert="horz" wrap="square" lIns="91440" tIns="45720" rIns="91440" bIns="45720" anchor="t" anchorCtr="0" upright="1">
                        <a:noAutofit/>
                      </wps:bodyPr>
                    </wps:wsp>
                  </a:graphicData>
                </a:graphic>
              </wp:inline>
            </w:drawing>
          </mc:Choice>
          <mc:Fallback>
            <w:pict>
              <v:rect w14:anchorId="599D32EE" id="Rectangle 36" o:spid="_x0000_s1028" style="width:451.9pt;height:13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">
                <v:textbox>
                  <w:txbxContent>
                    <w:p w:rsidR="005E13E2" w:rsidRPr="001D25B1" w:rsidRDefault="005E13E2" w:rsidP="0095626B">
                      <w:pPr>
                        <w:shd w:val="clear" w:color="auto" w:fill="D9D9D9" w:themeFill="background1" w:themeFillShade="D9"/>
                        <w:spacing w:line="276" w:lineRule="auto"/>
                        <w:jc w:val="both"/>
                        <w:rPr>
                          <w:rFonts w:ascii="Garamond" w:hAnsi="Garamond"/>
                          <w:sz w:val="24"/>
                        </w:rPr>
                      </w:pPr>
                      <w:r w:rsidRPr="001D25B1">
                        <w:rPr>
                          <w:rFonts w:ascii="Garamond" w:hAnsi="Garamond"/>
                          <w:sz w:val="24"/>
                        </w:rPr>
                        <w:t xml:space="preserve">Blé GOUDE et Jean- Yves DIBOPIEU sont des anciens responsables de la FESCI. Cette dernière née en 1990 a d’abord été un instrument de l’opposition dans le monde scolaire. Elle a été traquée au départ par le pouvoir PDCI avant d’être au service du pouvoir de Laurent Gbagbo. Elle s’est rendue célèbre dans le milieu scolaire par ses actes de violence et ses batailles à la machette sur les campus universitaires. Elle a bénéficié d’impunité au point que plusieurs affaires la concernant et ayant fait l’objet d’ouverture d’enquête n’ont jamais abouti : </w:t>
                      </w:r>
                      <w:r w:rsidRPr="001D25B1">
                        <w:rPr>
                          <w:rFonts w:ascii="Garamond" w:hAnsi="Garamond"/>
                          <w:i/>
                          <w:sz w:val="24"/>
                        </w:rPr>
                        <w:t>la casse de la LIDHO et de l’APDH, l’assassinat de l’étudiant Habib Dodo, sa participation éventuelle au côté du GPP, à la répression de la marche du RHDP du 25 mars 2004…..Elle est interdite depuis 2011.</w:t>
                      </w:r>
                    </w:p>
                  </w:txbxContent>
                </v:textbox>
                <w10:anchorlock/>
              </v:rect>
            </w:pict>
          </mc:Fallback>
        </mc:AlternateContent>
      </w:r>
    </w:p>
    <w:p w:rsidR="00FC1C58" w:rsidRPr="000D0A05" w:rsidRDefault="00FC1C58">
      <w:pPr>
        <w:spacing w:before="120" w:after="120" w:line="276" w:lineRule="auto"/>
        <w:jc w:val="both"/>
        <w:rPr>
          <w:rFonts w:ascii="Garamond" w:eastAsia="Times New Roman" w:hAnsi="Garamond" w:cs="Garamond"/>
          <w:sz w:val="24"/>
          <w:szCs w:val="24"/>
        </w:rPr>
      </w:pPr>
      <w:r w:rsidRPr="000D0A05">
        <w:rPr>
          <w:rFonts w:ascii="Garamond" w:eastAsia="Times New Roman" w:hAnsi="Garamond" w:cs="Garamond"/>
          <w:sz w:val="24"/>
          <w:szCs w:val="24"/>
        </w:rPr>
        <w:lastRenderedPageBreak/>
        <w:t xml:space="preserve">Beaucoup </w:t>
      </w:r>
      <w:r w:rsidR="00715EFD" w:rsidRPr="000D0A05">
        <w:rPr>
          <w:rFonts w:ascii="Garamond" w:eastAsia="Times New Roman" w:hAnsi="Garamond" w:cs="Garamond"/>
          <w:sz w:val="24"/>
          <w:szCs w:val="24"/>
        </w:rPr>
        <w:t xml:space="preserve">des personnes arrêtées </w:t>
      </w:r>
      <w:r w:rsidRPr="00895FAB">
        <w:rPr>
          <w:rFonts w:ascii="Garamond" w:eastAsia="Times New Roman" w:hAnsi="Garamond" w:cs="Garamond"/>
          <w:sz w:val="24"/>
          <w:szCs w:val="24"/>
        </w:rPr>
        <w:t>ont été torturées ou subissent encore de</w:t>
      </w:r>
      <w:r w:rsidR="0054510F"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 mauvais traitements. Certaines ont été libérées sous caution. Il existe encore un nombre important de détenus pro Gbagbo en détention préventive injustifiée</w:t>
      </w:r>
      <w:r w:rsidR="006B50AF"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ayant dépassé</w:t>
      </w:r>
      <w:r w:rsidR="00DD214E" w:rsidRPr="001D25B1">
        <w:rPr>
          <w:rFonts w:ascii="Garamond" w:eastAsia="Times New Roman" w:hAnsi="Garamond" w:cs="Garamond"/>
          <w:sz w:val="24"/>
          <w:szCs w:val="24"/>
        </w:rPr>
        <w:t>e</w:t>
      </w:r>
      <w:r w:rsidRPr="001D25B1">
        <w:rPr>
          <w:rFonts w:ascii="Garamond" w:eastAsia="Times New Roman" w:hAnsi="Garamond" w:cs="Garamond"/>
          <w:sz w:val="24"/>
          <w:szCs w:val="24"/>
        </w:rPr>
        <w:t xml:space="preserve"> les délais légaux. Une cinquantaine de détenus </w:t>
      </w:r>
      <w:r w:rsidR="006B50AF" w:rsidRPr="001D25B1">
        <w:rPr>
          <w:rFonts w:ascii="Garamond" w:eastAsia="Times New Roman" w:hAnsi="Garamond" w:cs="Garamond"/>
          <w:sz w:val="24"/>
          <w:szCs w:val="24"/>
        </w:rPr>
        <w:t>ont été</w:t>
      </w:r>
      <w:r w:rsidRPr="001D25B1">
        <w:rPr>
          <w:rFonts w:ascii="Garamond" w:eastAsia="Times New Roman" w:hAnsi="Garamond" w:cs="Garamond"/>
          <w:sz w:val="24"/>
          <w:szCs w:val="24"/>
        </w:rPr>
        <w:t xml:space="preserve"> libérés </w:t>
      </w:r>
      <w:r w:rsidR="006B50AF" w:rsidRPr="001D25B1">
        <w:rPr>
          <w:rFonts w:ascii="Garamond" w:eastAsia="Times New Roman" w:hAnsi="Garamond" w:cs="Garamond"/>
          <w:sz w:val="24"/>
          <w:szCs w:val="24"/>
        </w:rPr>
        <w:t>en</w:t>
      </w:r>
      <w:r w:rsidRPr="001D25B1">
        <w:rPr>
          <w:rFonts w:ascii="Garamond" w:eastAsia="Times New Roman" w:hAnsi="Garamond" w:cs="Garamond"/>
          <w:sz w:val="24"/>
          <w:szCs w:val="24"/>
        </w:rPr>
        <w:t xml:space="preserve"> janvier 2015 à l’issue des procès en assises des prisonniers pro GBAGBO arrêté</w:t>
      </w:r>
      <w:r w:rsidR="0054510F"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 dans le cadre de la crise </w:t>
      </w:r>
      <w:r w:rsidR="008C688A" w:rsidRPr="001D25B1">
        <w:rPr>
          <w:rFonts w:ascii="Garamond" w:eastAsia="Times New Roman" w:hAnsi="Garamond" w:cs="Garamond"/>
          <w:sz w:val="24"/>
          <w:szCs w:val="24"/>
        </w:rPr>
        <w:t>post-électorale</w:t>
      </w:r>
      <w:r w:rsidR="006B50AF"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débuté le 26 décembre 2014 et qui se poursuivent </w:t>
      </w:r>
      <w:r w:rsidR="006B50AF" w:rsidRPr="001D25B1">
        <w:rPr>
          <w:rFonts w:ascii="Garamond" w:eastAsia="Times New Roman" w:hAnsi="Garamond" w:cs="Garamond"/>
          <w:sz w:val="24"/>
          <w:szCs w:val="24"/>
        </w:rPr>
        <w:t>au moment de la rédaction du rapport</w:t>
      </w:r>
      <w:r w:rsidRPr="001D25B1">
        <w:rPr>
          <w:rFonts w:ascii="Garamond" w:eastAsia="Times New Roman" w:hAnsi="Garamond" w:cs="Garamond"/>
          <w:sz w:val="24"/>
          <w:szCs w:val="24"/>
        </w:rPr>
        <w:t xml:space="preserve">. Au-delà des détenus liés à la crise </w:t>
      </w:r>
      <w:r w:rsidR="009D75D0" w:rsidRPr="001D25B1">
        <w:rPr>
          <w:rFonts w:ascii="Garamond" w:eastAsia="Times New Roman" w:hAnsi="Garamond" w:cs="Garamond"/>
          <w:sz w:val="24"/>
          <w:szCs w:val="24"/>
        </w:rPr>
        <w:t>post-électorale</w:t>
      </w:r>
      <w:r w:rsidRPr="001D25B1">
        <w:rPr>
          <w:rFonts w:ascii="Garamond" w:eastAsia="Times New Roman" w:hAnsi="Garamond" w:cs="Garamond"/>
          <w:sz w:val="24"/>
          <w:szCs w:val="24"/>
        </w:rPr>
        <w:t>, il reste une autre problématique, celle des détentions préventives abusives. Ce problème est encore très présent actuellement puisque les détentions préventives abusives représentent environ 40% de la population carcérale</w:t>
      </w:r>
      <w:r w:rsidRPr="000D0A05">
        <w:rPr>
          <w:rStyle w:val="Appelnotedebasdep"/>
          <w:rFonts w:ascii="Garamond" w:eastAsia="Times New Roman" w:hAnsi="Garamond" w:cs="Garamond"/>
          <w:sz w:val="24"/>
          <w:szCs w:val="24"/>
        </w:rPr>
        <w:footnoteReference w:id="4"/>
      </w:r>
      <w:r w:rsidRPr="000D0A05">
        <w:rPr>
          <w:rFonts w:ascii="Garamond" w:eastAsia="Times New Roman" w:hAnsi="Garamond" w:cs="Garamond"/>
          <w:sz w:val="24"/>
          <w:szCs w:val="24"/>
        </w:rPr>
        <w:t xml:space="preserve">. </w:t>
      </w:r>
    </w:p>
    <w:p w:rsidR="00FC1C58" w:rsidRPr="00895FAB" w:rsidRDefault="00FC1C58" w:rsidP="006D0349">
      <w:pPr>
        <w:numPr>
          <w:ilvl w:val="0"/>
          <w:numId w:val="15"/>
        </w:numPr>
        <w:spacing w:before="120" w:after="120" w:line="276" w:lineRule="auto"/>
        <w:jc w:val="both"/>
        <w:rPr>
          <w:rFonts w:ascii="Garamond" w:eastAsia="Times New Roman" w:hAnsi="Garamond" w:cs="Garamond"/>
          <w:b/>
          <w:sz w:val="24"/>
          <w:szCs w:val="24"/>
        </w:rPr>
      </w:pPr>
      <w:r w:rsidRPr="00895FAB">
        <w:rPr>
          <w:rFonts w:ascii="Garamond" w:eastAsia="Times New Roman" w:hAnsi="Garamond" w:cs="Garamond"/>
          <w:b/>
          <w:sz w:val="24"/>
          <w:szCs w:val="24"/>
        </w:rPr>
        <w:t>Des exactions par milliers et une Constitution violée</w:t>
      </w:r>
    </w:p>
    <w:p w:rsidR="00FC1C58" w:rsidRPr="00895FAB" w:rsidRDefault="00FC1C58">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 Côte d’Ivoire agit en violation de nombreuses dispositions juridiques de sa Constitution, notamment les articles</w:t>
      </w:r>
      <w:r w:rsidR="00245290">
        <w:rPr>
          <w:rStyle w:val="Appelnotedebasdep"/>
          <w:rFonts w:ascii="Garamond" w:eastAsia="Times New Roman" w:hAnsi="Garamond" w:cs="Garamond"/>
          <w:sz w:val="24"/>
          <w:szCs w:val="24"/>
        </w:rPr>
        <w:footnoteReference w:id="5"/>
      </w:r>
      <w:r w:rsidRPr="001D25B1">
        <w:rPr>
          <w:rFonts w:ascii="Garamond" w:eastAsia="Times New Roman" w:hAnsi="Garamond" w:cs="Garamond"/>
          <w:sz w:val="24"/>
          <w:szCs w:val="24"/>
        </w:rPr>
        <w:t xml:space="preserve"> </w:t>
      </w:r>
      <w:r w:rsidRPr="000D0A05">
        <w:rPr>
          <w:rFonts w:ascii="Garamond" w:eastAsia="Times New Roman" w:hAnsi="Garamond" w:cs="Garamond"/>
          <w:sz w:val="24"/>
          <w:szCs w:val="24"/>
        </w:rPr>
        <w:t>qui statuent sur le droit à la vie, l’interdiction de la torture et des peines ou traitements cruels, inhumains ou dégradants, l’interdiction de toute arrestation arbitraire ou de détention arbitraire et enfin le droit à une pr</w:t>
      </w:r>
      <w:r w:rsidRPr="00895FAB">
        <w:rPr>
          <w:rFonts w:ascii="Garamond" w:eastAsia="Times New Roman" w:hAnsi="Garamond" w:cs="Garamond"/>
          <w:sz w:val="24"/>
          <w:szCs w:val="24"/>
        </w:rPr>
        <w:t xml:space="preserve">océdure judiciaire juste, équitable et exhaustive. </w:t>
      </w:r>
    </w:p>
    <w:p w:rsidR="00FC1C58" w:rsidRPr="001D25B1" w:rsidRDefault="00FC1C58">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Les personnes inculpées sont fréquemment soumises à la torture en vue d’obtenir des aveux. Comme aucune disposition du Code pénal ne la définit explicitement ni ne la criminalise, la torture est assimilée à des coups et blessures, à la violence et aux voies </w:t>
      </w:r>
      <w:r w:rsidR="00B7194D" w:rsidRPr="001D25B1">
        <w:rPr>
          <w:rFonts w:ascii="Garamond" w:eastAsia="Times New Roman" w:hAnsi="Garamond" w:cs="Garamond"/>
          <w:sz w:val="24"/>
          <w:szCs w:val="24"/>
        </w:rPr>
        <w:t>de fait et est punie comme tel</w:t>
      </w:r>
      <w:r w:rsidRPr="001D25B1">
        <w:rPr>
          <w:rFonts w:ascii="Garamond" w:eastAsia="Times New Roman" w:hAnsi="Garamond" w:cs="Garamond"/>
          <w:sz w:val="24"/>
          <w:szCs w:val="24"/>
        </w:rPr>
        <w:t>s. Aucune disposition n’interdit l’utilisation d’aveux obtenus sous la torture comme élément de preuve devant la justice.</w:t>
      </w:r>
    </w:p>
    <w:p w:rsidR="00FC1C58" w:rsidRPr="000D0A05" w:rsidRDefault="00FC1C58">
      <w:pPr>
        <w:spacing w:before="120" w:after="120" w:line="276" w:lineRule="auto"/>
        <w:jc w:val="both"/>
        <w:rPr>
          <w:rFonts w:ascii="Garamond" w:eastAsia="Times New Roman" w:hAnsi="Garamond" w:cs="Arial"/>
          <w:sz w:val="24"/>
          <w:szCs w:val="24"/>
        </w:rPr>
      </w:pPr>
      <w:r w:rsidRPr="001D25B1">
        <w:rPr>
          <w:rFonts w:ascii="Garamond" w:eastAsia="Times New Roman" w:hAnsi="Garamond" w:cs="Garamond"/>
          <w:sz w:val="24"/>
          <w:szCs w:val="24"/>
        </w:rPr>
        <w:t xml:space="preserve">Dans les prisons, la surpopulation </w:t>
      </w:r>
      <w:r w:rsidRPr="001D25B1">
        <w:rPr>
          <w:rFonts w:ascii="Garamond" w:eastAsia="Times New Roman" w:hAnsi="Garamond" w:cs="Garamond"/>
          <w:sz w:val="24"/>
          <w:szCs w:val="24"/>
          <w:bdr w:val="none" w:sz="0" w:space="0" w:color="auto" w:frame="1"/>
        </w:rPr>
        <w:t>(11 003 détenus en mars 2014 pour une capacité d’accueil de 4 078</w:t>
      </w:r>
      <w:r w:rsidRPr="000D0A05">
        <w:rPr>
          <w:rFonts w:ascii="Garamond" w:eastAsia="Times New Roman" w:hAnsi="Garamond" w:cs="Garamond"/>
          <w:sz w:val="24"/>
          <w:szCs w:val="24"/>
          <w:bdr w:val="none" w:sz="0" w:space="0" w:color="auto" w:frame="1"/>
          <w:vertAlign w:val="superscript"/>
        </w:rPr>
        <w:footnoteReference w:id="6"/>
      </w:r>
      <w:r w:rsidRPr="000D0A05">
        <w:rPr>
          <w:rFonts w:ascii="Garamond" w:eastAsia="Times New Roman" w:hAnsi="Garamond" w:cs="Garamond"/>
          <w:sz w:val="24"/>
          <w:szCs w:val="24"/>
          <w:bdr w:val="none" w:sz="0" w:space="0" w:color="auto" w:frame="1"/>
        </w:rPr>
        <w:t>)</w:t>
      </w:r>
      <w:r w:rsidRPr="000D0A05">
        <w:rPr>
          <w:rFonts w:ascii="Garamond" w:eastAsia="Times New Roman" w:hAnsi="Garamond" w:cs="Garamond"/>
          <w:sz w:val="24"/>
          <w:szCs w:val="24"/>
        </w:rPr>
        <w:t>, la malnutrition (un seul repas par jour de qualité discutable), l’insalubrité, les mineurs incarcérés avec les adultes, les prévenus en cellules communes avec les condamnés et soumis aux mêmes traitemen</w:t>
      </w:r>
      <w:r w:rsidRPr="00895FAB">
        <w:rPr>
          <w:rFonts w:ascii="Garamond" w:eastAsia="Times New Roman" w:hAnsi="Garamond" w:cs="Garamond"/>
          <w:sz w:val="24"/>
          <w:szCs w:val="24"/>
        </w:rPr>
        <w:t>ts,</w:t>
      </w:r>
      <w:r w:rsidRPr="001D25B1">
        <w:rPr>
          <w:rFonts w:ascii="Garamond" w:eastAsia="Times New Roman" w:hAnsi="Garamond" w:cs="Garamond"/>
          <w:sz w:val="24"/>
          <w:szCs w:val="24"/>
          <w:bdr w:val="none" w:sz="0" w:space="0" w:color="auto" w:frame="1"/>
        </w:rPr>
        <w:t xml:space="preserve"> les services de santé des prisons mal équipés et l’insuffisance de médicaments, les activités de resocialisation quasi inexistantes et les dotations budgétaires insuffisantes,</w:t>
      </w:r>
      <w:r w:rsidRPr="001D25B1">
        <w:rPr>
          <w:rFonts w:ascii="Garamond" w:eastAsia="Times New Roman" w:hAnsi="Garamond" w:cs="Garamond"/>
          <w:sz w:val="24"/>
          <w:szCs w:val="24"/>
        </w:rPr>
        <w:t xml:space="preserve"> sont autant d’éléments préoccupants</w:t>
      </w:r>
      <w:r w:rsidRPr="001D25B1">
        <w:rPr>
          <w:rFonts w:ascii="Garamond" w:eastAsia="Times New Roman" w:hAnsi="Garamond" w:cs="Garamond"/>
          <w:sz w:val="24"/>
          <w:szCs w:val="24"/>
          <w:bdr w:val="none" w:sz="0" w:space="0" w:color="auto" w:frame="1"/>
        </w:rPr>
        <w:t>. Sur ce dernier point, la FIACAT et l’ACAT CI félicitent le Gouvernement ivoirien qui a annoncé une revalorisation du budget 2014 des établissements pénitentiaires par rapport à celui de 2013</w:t>
      </w:r>
      <w:r w:rsidRPr="000D0A05">
        <w:rPr>
          <w:rFonts w:ascii="Garamond" w:eastAsia="Times New Roman" w:hAnsi="Garamond" w:cs="Arial"/>
          <w:sz w:val="24"/>
          <w:szCs w:val="24"/>
        </w:rPr>
        <w:t>.</w:t>
      </w:r>
    </w:p>
    <w:p w:rsidR="00FC1C58" w:rsidRPr="001D25B1" w:rsidRDefault="00FC1C58">
      <w:pPr>
        <w:spacing w:before="120" w:after="120" w:line="276" w:lineRule="auto"/>
        <w:jc w:val="both"/>
        <w:rPr>
          <w:rFonts w:ascii="Garamond" w:eastAsia="Times New Roman" w:hAnsi="Garamond" w:cs="Garamond"/>
          <w:sz w:val="24"/>
          <w:szCs w:val="24"/>
        </w:rPr>
      </w:pPr>
      <w:r w:rsidRPr="00895FAB">
        <w:rPr>
          <w:rFonts w:ascii="Garamond" w:eastAsia="Times New Roman" w:hAnsi="Garamond" w:cs="Garamond"/>
          <w:sz w:val="24"/>
          <w:szCs w:val="24"/>
        </w:rPr>
        <w:t>Les délais légaux de détention préventive sont rarement respectés et la garde-à-vue peut souvent dure</w:t>
      </w:r>
      <w:r w:rsidRPr="001D25B1">
        <w:rPr>
          <w:rFonts w:ascii="Garamond" w:eastAsia="Times New Roman" w:hAnsi="Garamond" w:cs="Garamond"/>
          <w:sz w:val="24"/>
          <w:szCs w:val="24"/>
        </w:rPr>
        <w:t>r jusqu’à 60 jours, au lieu des 48 heures légales</w:t>
      </w:r>
      <w:r w:rsidR="009F0E58"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surtout à la Direction de la surveillance territorial (DST) dont </w:t>
      </w:r>
      <w:r w:rsidR="00A53B74" w:rsidRPr="001D25B1">
        <w:rPr>
          <w:rFonts w:ascii="Garamond" w:eastAsia="Times New Roman" w:hAnsi="Garamond" w:cs="Garamond"/>
          <w:sz w:val="24"/>
          <w:szCs w:val="24"/>
        </w:rPr>
        <w:t>l’accès reste difficile aux ONG</w:t>
      </w:r>
      <w:r w:rsidRPr="001D25B1">
        <w:rPr>
          <w:rFonts w:ascii="Garamond" w:eastAsia="Times New Roman" w:hAnsi="Garamond" w:cs="Garamond"/>
          <w:sz w:val="24"/>
          <w:szCs w:val="24"/>
        </w:rPr>
        <w:t>.</w:t>
      </w:r>
    </w:p>
    <w:p w:rsidR="00FC1C58" w:rsidRPr="001D25B1" w:rsidRDefault="00FC1C58">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Durant le conflit postélectoral de novembre 2010 à avril 2011, 2 018 cas d’exécutions sommaires et 265 cas de disparitions forcées ont été relevés par la CNE. Même s’ils ont diminué, les cas d’exécutions extrajudiciaires restent actuels et sont majoritairement commis par les FRCI, des ex-combattants non démobilisés ou des milices non désarmées. Dans plusieurs affaires, des poursuites pénales sont engagées contre des membres des FRCI mais elles impliquent des subalternes et non </w:t>
      </w:r>
      <w:r w:rsidRPr="001D25B1">
        <w:rPr>
          <w:rFonts w:ascii="Garamond" w:eastAsia="Times New Roman" w:hAnsi="Garamond" w:cs="Garamond"/>
          <w:sz w:val="24"/>
          <w:szCs w:val="24"/>
        </w:rPr>
        <w:lastRenderedPageBreak/>
        <w:t>leurs responsables hiérarchiques. Ainsi, l’impunité fait de la situation sécuritaire une véritable préoccupation pour les populations civiles.</w:t>
      </w:r>
    </w:p>
    <w:p w:rsidR="00FC1C58" w:rsidRPr="00212184" w:rsidRDefault="00FC1C58" w:rsidP="00304045">
      <w:pPr>
        <w:pStyle w:val="Titre1"/>
      </w:pPr>
      <w:r w:rsidRPr="001D25B1">
        <w:rPr>
          <w:sz w:val="24"/>
        </w:rPr>
        <w:br w:type="page"/>
      </w:r>
      <w:bookmarkStart w:id="25" w:name="_Toc386019485"/>
      <w:bookmarkStart w:id="26" w:name="_Toc386200904"/>
      <w:bookmarkStart w:id="27" w:name="_Toc412111717"/>
      <w:r w:rsidRPr="00212184">
        <w:lastRenderedPageBreak/>
        <w:t>Examen de la situation des droits de l’homme article par article</w:t>
      </w:r>
      <w:bookmarkEnd w:id="25"/>
      <w:bookmarkEnd w:id="26"/>
      <w:bookmarkEnd w:id="27"/>
    </w:p>
    <w:p w:rsidR="00FC1C58" w:rsidRPr="00212184" w:rsidRDefault="00FC1C58" w:rsidP="001A1EE5">
      <w:pPr>
        <w:spacing w:before="120" w:after="120" w:line="276" w:lineRule="auto"/>
        <w:jc w:val="both"/>
        <w:rPr>
          <w:rFonts w:ascii="Garamond" w:eastAsia="Times New Roman" w:hAnsi="Garamond" w:cs="Garamond"/>
          <w:sz w:val="24"/>
          <w:szCs w:val="24"/>
        </w:rPr>
      </w:pPr>
    </w:p>
    <w:p w:rsidR="00FC1C58" w:rsidRPr="00212184" w:rsidRDefault="00FC1C58" w:rsidP="006D0349">
      <w:pPr>
        <w:pStyle w:val="Titre2"/>
        <w:numPr>
          <w:ilvl w:val="0"/>
          <w:numId w:val="20"/>
        </w:numPr>
      </w:pPr>
      <w:bookmarkStart w:id="28" w:name="_Toc386200905"/>
      <w:bookmarkStart w:id="29" w:name="_Toc412111718"/>
      <w:bookmarkStart w:id="30" w:name="_Toc386019486"/>
      <w:r w:rsidRPr="00212184">
        <w:t>Article 6 : Le droit à la vie</w:t>
      </w:r>
      <w:bookmarkEnd w:id="28"/>
      <w:bookmarkEnd w:id="29"/>
    </w:p>
    <w:p w:rsidR="00FC1C58" w:rsidRPr="00212184" w:rsidRDefault="00FC1C58" w:rsidP="001A1EE5">
      <w:pPr>
        <w:spacing w:before="120" w:after="120" w:line="276" w:lineRule="auto"/>
        <w:jc w:val="both"/>
        <w:rPr>
          <w:rFonts w:ascii="Garamond" w:eastAsia="Times New Roman" w:hAnsi="Garamond" w:cs="Garamond"/>
          <w:sz w:val="24"/>
          <w:szCs w:val="24"/>
        </w:rPr>
      </w:pPr>
    </w:p>
    <w:p w:rsidR="00FC1C58" w:rsidRPr="00212184" w:rsidRDefault="00FC1C58" w:rsidP="006D0349">
      <w:pPr>
        <w:pStyle w:val="Titre3"/>
        <w:numPr>
          <w:ilvl w:val="0"/>
          <w:numId w:val="21"/>
        </w:numPr>
      </w:pPr>
      <w:bookmarkStart w:id="31" w:name="_Toc366598971"/>
      <w:bookmarkStart w:id="32" w:name="_Toc366599011"/>
      <w:bookmarkStart w:id="33" w:name="_Toc386200906"/>
      <w:bookmarkStart w:id="34" w:name="_Toc412111719"/>
      <w:r w:rsidRPr="00212184">
        <w:t>Les exécutions extrajudiciaires</w:t>
      </w:r>
      <w:bookmarkEnd w:id="31"/>
      <w:bookmarkEnd w:id="32"/>
      <w:bookmarkEnd w:id="33"/>
      <w:bookmarkEnd w:id="34"/>
    </w:p>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Les exécutions extrajudiciaires sont considérées comme des meurtres et des assassinats commis avec préméditation définis à l’article 342</w:t>
      </w:r>
      <w:r w:rsidRPr="00D93805">
        <w:rPr>
          <w:rFonts w:ascii="Garamond" w:eastAsia="Times New Roman" w:hAnsi="Garamond" w:cs="Garamond"/>
          <w:sz w:val="24"/>
          <w:szCs w:val="24"/>
        </w:rPr>
        <w:t xml:space="preserve"> </w:t>
      </w:r>
      <w:r w:rsidRPr="00212184">
        <w:rPr>
          <w:rFonts w:ascii="Garamond" w:eastAsia="Times New Roman" w:hAnsi="Garamond" w:cs="Garamond"/>
          <w:sz w:val="24"/>
          <w:szCs w:val="24"/>
        </w:rPr>
        <w:t>du Code pénal ivoirien</w:t>
      </w:r>
      <w:r>
        <w:rPr>
          <w:rFonts w:ascii="Garamond" w:eastAsia="Times New Roman" w:hAnsi="Garamond" w:cs="Garamond"/>
          <w:sz w:val="24"/>
          <w:szCs w:val="24"/>
        </w:rPr>
        <w:t xml:space="preserve"> </w:t>
      </w:r>
      <w:r w:rsidR="009A20DE">
        <w:rPr>
          <w:rFonts w:ascii="Garamond" w:eastAsia="Times New Roman" w:hAnsi="Garamond" w:cs="Garamond"/>
          <w:sz w:val="24"/>
          <w:szCs w:val="24"/>
        </w:rPr>
        <w:t>comme suit</w:t>
      </w:r>
      <w:r w:rsidR="000B50C6">
        <w:rPr>
          <w:rFonts w:ascii="Garamond" w:eastAsia="Times New Roman" w:hAnsi="Garamond" w:cs="Garamond"/>
          <w:sz w:val="24"/>
          <w:szCs w:val="24"/>
        </w:rPr>
        <w:t xml:space="preserve"> : </w:t>
      </w:r>
      <w:r w:rsidR="009A20DE" w:rsidRPr="001A1EE5">
        <w:rPr>
          <w:rFonts w:ascii="Garamond" w:eastAsia="Times New Roman" w:hAnsi="Garamond" w:cs="Garamond"/>
          <w:sz w:val="24"/>
          <w:szCs w:val="24"/>
        </w:rPr>
        <w:t>« </w:t>
      </w:r>
      <w:r w:rsidRPr="00B7194D">
        <w:rPr>
          <w:rFonts w:ascii="Garamond" w:eastAsia="Times New Roman" w:hAnsi="Garamond" w:cs="Garamond"/>
          <w:i/>
          <w:sz w:val="24"/>
          <w:szCs w:val="24"/>
        </w:rPr>
        <w:t>est qualifié : 1 « Meurtre, l’homicide commis volontairement</w:t>
      </w:r>
      <w:r w:rsidRPr="00304045">
        <w:rPr>
          <w:rFonts w:ascii="Garamond" w:eastAsia="Times New Roman" w:hAnsi="Garamond" w:cs="Garamond"/>
          <w:sz w:val="24"/>
          <w:szCs w:val="24"/>
        </w:rPr>
        <w:t>» et 2 « </w:t>
      </w:r>
      <w:r w:rsidRPr="00B7194D">
        <w:rPr>
          <w:rFonts w:ascii="Garamond" w:eastAsia="Times New Roman" w:hAnsi="Garamond" w:cs="Garamond"/>
          <w:i/>
          <w:sz w:val="24"/>
          <w:szCs w:val="24"/>
        </w:rPr>
        <w:t>Assassinat, le meurtre commis avec préméditation</w:t>
      </w:r>
      <w:r w:rsidRPr="00304045">
        <w:rPr>
          <w:rFonts w:ascii="Garamond" w:eastAsia="Times New Roman" w:hAnsi="Garamond" w:cs="Garamond"/>
          <w:sz w:val="24"/>
          <w:szCs w:val="24"/>
        </w:rPr>
        <w:t> </w:t>
      </w:r>
      <w:r w:rsidRPr="001A1EE5">
        <w:rPr>
          <w:rFonts w:ascii="Garamond" w:eastAsia="Times New Roman" w:hAnsi="Garamond" w:cs="Garamond"/>
          <w:sz w:val="24"/>
          <w:szCs w:val="24"/>
        </w:rPr>
        <w:t>»</w:t>
      </w:r>
      <w:r w:rsidRPr="00212184">
        <w:rPr>
          <w:rFonts w:ascii="Garamond" w:eastAsia="Times New Roman" w:hAnsi="Garamond" w:cs="Garamond"/>
          <w:sz w:val="24"/>
          <w:szCs w:val="24"/>
        </w:rPr>
        <w:t xml:space="preserve"> Elles sont punies par les articles  343</w:t>
      </w:r>
      <w:r w:rsidRPr="00212184">
        <w:rPr>
          <w:rFonts w:ascii="Garamond" w:eastAsia="Times New Roman" w:hAnsi="Garamond" w:cs="Garamond"/>
          <w:sz w:val="24"/>
          <w:szCs w:val="24"/>
          <w:vertAlign w:val="superscript"/>
        </w:rPr>
        <w:footnoteReference w:id="7"/>
      </w:r>
      <w:r w:rsidRPr="00212184">
        <w:rPr>
          <w:rFonts w:ascii="Garamond" w:eastAsia="Times New Roman" w:hAnsi="Garamond" w:cs="Garamond"/>
          <w:sz w:val="24"/>
          <w:szCs w:val="24"/>
        </w:rPr>
        <w:t xml:space="preserve"> et 344</w:t>
      </w:r>
      <w:r w:rsidRPr="00212184">
        <w:rPr>
          <w:rFonts w:ascii="Garamond" w:eastAsia="Times New Roman" w:hAnsi="Garamond" w:cs="Garamond"/>
          <w:sz w:val="24"/>
          <w:szCs w:val="24"/>
          <w:vertAlign w:val="superscript"/>
        </w:rPr>
        <w:footnoteReference w:id="8"/>
      </w:r>
      <w:r w:rsidRPr="00212184">
        <w:rPr>
          <w:rFonts w:ascii="Garamond" w:eastAsia="Times New Roman" w:hAnsi="Garamond" w:cs="Garamond"/>
          <w:sz w:val="24"/>
          <w:szCs w:val="24"/>
        </w:rPr>
        <w:t xml:space="preserve"> du Code pénal.</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De nombreuses exécutions extrajudiciaires ont été commises par des forces de l’ordre, des forces armées, des milices</w:t>
      </w:r>
      <w:r w:rsidR="004D70E9">
        <w:rPr>
          <w:rFonts w:ascii="Garamond" w:eastAsia="Times New Roman" w:hAnsi="Garamond" w:cs="Garamond"/>
          <w:sz w:val="24"/>
          <w:szCs w:val="24"/>
        </w:rPr>
        <w:t xml:space="preserve"> et groupes d’auto-défense</w:t>
      </w:r>
      <w:r w:rsidRPr="00212184">
        <w:rPr>
          <w:rFonts w:ascii="Garamond" w:eastAsia="Times New Roman" w:hAnsi="Garamond" w:cs="Garamond"/>
          <w:sz w:val="24"/>
          <w:szCs w:val="24"/>
        </w:rPr>
        <w:t>, des groupes armés et des ex-combattants. En effet, à la suite des élections présidentielles du 22 octobre 2000 et du refus du général Robert Guéi de reconna</w:t>
      </w:r>
      <w:r w:rsidR="000B50C6">
        <w:rPr>
          <w:rFonts w:ascii="Garamond" w:eastAsia="Times New Roman" w:hAnsi="Garamond" w:cs="Garamond"/>
          <w:sz w:val="24"/>
          <w:szCs w:val="24"/>
        </w:rPr>
        <w:t>î</w:t>
      </w:r>
      <w:r w:rsidRPr="00212184">
        <w:rPr>
          <w:rFonts w:ascii="Garamond" w:eastAsia="Times New Roman" w:hAnsi="Garamond" w:cs="Garamond"/>
          <w:sz w:val="24"/>
          <w:szCs w:val="24"/>
        </w:rPr>
        <w:t>tre sa défaite, les 24 et 25 octobre, des dizaines de milliers de personnes sont descendues dans la rue. Des éléments des forces de sécu</w:t>
      </w:r>
      <w:r w:rsidR="008C688A">
        <w:rPr>
          <w:rFonts w:ascii="Garamond" w:eastAsia="Times New Roman" w:hAnsi="Garamond" w:cs="Garamond"/>
          <w:sz w:val="24"/>
          <w:szCs w:val="24"/>
        </w:rPr>
        <w:t>rité, favorables au général Guéi</w:t>
      </w:r>
      <w:r w:rsidRPr="00212184">
        <w:rPr>
          <w:rFonts w:ascii="Garamond" w:eastAsia="Times New Roman" w:hAnsi="Garamond" w:cs="Garamond"/>
          <w:sz w:val="24"/>
          <w:szCs w:val="24"/>
        </w:rPr>
        <w:t xml:space="preserve">, ont tiré sur la foule, faisant des dizaines de morts. Plusieurs rapports d’enquête dont celui des Nations Unies ont été réalisés. Cependant, il n’y a pas eu de poursuites engagées contre les auteurs, essentiellement des militaires appartenant à différentes milices à la solde du général Guéi. </w:t>
      </w:r>
    </w:p>
    <w:p w:rsidR="00FC1C58" w:rsidRPr="00212184"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Un autre exemple a été la découverte, le 26 octobre 2000, du charnier de Yopougon</w:t>
      </w:r>
      <w:r w:rsidRPr="00212184">
        <w:rPr>
          <w:rFonts w:ascii="Garamond" w:eastAsia="Times New Roman" w:hAnsi="Garamond" w:cs="Garamond"/>
          <w:sz w:val="24"/>
          <w:szCs w:val="24"/>
          <w:vertAlign w:val="superscript"/>
        </w:rPr>
        <w:footnoteReference w:id="9"/>
      </w:r>
      <w:r w:rsidRPr="00212184">
        <w:rPr>
          <w:rFonts w:ascii="Garamond" w:eastAsia="Times New Roman" w:hAnsi="Garamond" w:cs="Garamond"/>
          <w:sz w:val="24"/>
          <w:szCs w:val="24"/>
        </w:rPr>
        <w:t xml:space="preserve">. Malgré les différents rapports suspectant huit gendarmes, ces derniers ont tous été relaxés en avril 2001, </w:t>
      </w:r>
      <w:r w:rsidR="00B7194D">
        <w:rPr>
          <w:rFonts w:ascii="Garamond" w:eastAsia="Times New Roman" w:hAnsi="Garamond" w:cs="Garamond"/>
          <w:sz w:val="24"/>
          <w:szCs w:val="24"/>
        </w:rPr>
        <w:t>en raison de l’absence</w:t>
      </w:r>
      <w:r w:rsidRPr="00212184">
        <w:rPr>
          <w:rFonts w:ascii="Garamond" w:eastAsia="Times New Roman" w:hAnsi="Garamond" w:cs="Garamond"/>
          <w:sz w:val="24"/>
          <w:szCs w:val="24"/>
        </w:rPr>
        <w:t xml:space="preserve"> des parties civiles, victimes d’intimidation. Treize ans après la découverte du charnier de Yopougon, le Collectif des victimes en Côte d’Ivoire réclame toujours la vérité</w:t>
      </w:r>
      <w:r w:rsidRPr="00212184">
        <w:rPr>
          <w:rFonts w:ascii="Garamond" w:eastAsia="Times New Roman" w:hAnsi="Garamond" w:cs="Garamond"/>
          <w:sz w:val="24"/>
          <w:szCs w:val="24"/>
          <w:vertAlign w:val="superscript"/>
        </w:rPr>
        <w:footnoteReference w:id="10"/>
      </w:r>
      <w:r w:rsidRPr="00212184">
        <w:rPr>
          <w:rFonts w:ascii="Garamond" w:eastAsia="Times New Roman" w:hAnsi="Garamond" w:cs="Garamond"/>
          <w:sz w:val="24"/>
          <w:szCs w:val="24"/>
        </w:rPr>
        <w:t xml:space="preserve">. </w:t>
      </w:r>
    </w:p>
    <w:p w:rsidR="00A16D12" w:rsidRPr="00A16D12" w:rsidRDefault="00FC1C58">
      <w:pPr>
        <w:spacing w:before="120" w:after="120" w:line="276" w:lineRule="auto"/>
        <w:jc w:val="both"/>
        <w:rPr>
          <w:rFonts w:ascii="Garamond" w:eastAsia="Times New Roman" w:hAnsi="Garamond" w:cs="Garamond"/>
          <w:color w:val="000000"/>
          <w:sz w:val="24"/>
          <w:szCs w:val="24"/>
        </w:rPr>
      </w:pPr>
      <w:r w:rsidRPr="00212184">
        <w:rPr>
          <w:rFonts w:ascii="Garamond" w:eastAsia="Times New Roman" w:hAnsi="Garamond" w:cs="Garamond"/>
          <w:sz w:val="24"/>
          <w:szCs w:val="24"/>
        </w:rPr>
        <w:t xml:space="preserve">Les exécutions extra judiciaires ont augmenté durant la décennie de crise militaro politique. Plusieurs situations sont restées sans sanction : </w:t>
      </w:r>
      <w:r w:rsidRPr="00304045">
        <w:rPr>
          <w:rFonts w:ascii="Garamond" w:eastAsia="Times New Roman" w:hAnsi="Garamond" w:cs="Garamond"/>
          <w:sz w:val="24"/>
          <w:szCs w:val="24"/>
        </w:rPr>
        <w:t>le cas des gendarmes tué le 6 octobre 2002</w:t>
      </w:r>
      <w:r w:rsidR="00DC5889" w:rsidRPr="00304045">
        <w:rPr>
          <w:rStyle w:val="Appelnotedebasdep"/>
          <w:rFonts w:ascii="Garamond" w:eastAsia="Times New Roman" w:hAnsi="Garamond" w:cs="Garamond"/>
          <w:sz w:val="24"/>
          <w:szCs w:val="24"/>
        </w:rPr>
        <w:footnoteReference w:id="11"/>
      </w:r>
      <w:r w:rsidRPr="00304045">
        <w:rPr>
          <w:rFonts w:ascii="Garamond" w:eastAsia="Times New Roman" w:hAnsi="Garamond" w:cs="Garamond"/>
          <w:sz w:val="24"/>
          <w:szCs w:val="24"/>
        </w:rPr>
        <w:t>, par les éléments de la rébellion</w:t>
      </w:r>
      <w:r w:rsidR="00ED2797" w:rsidRPr="00304045">
        <w:rPr>
          <w:rFonts w:ascii="Garamond" w:eastAsia="Times New Roman" w:hAnsi="Garamond" w:cs="Garamond"/>
          <w:sz w:val="24"/>
          <w:szCs w:val="24"/>
        </w:rPr>
        <w:t xml:space="preserve"> ( MPCI) à Bouaké, </w:t>
      </w:r>
      <w:r w:rsidR="00C13125" w:rsidRPr="00304045">
        <w:rPr>
          <w:rFonts w:ascii="Garamond" w:eastAsia="Times New Roman" w:hAnsi="Garamond" w:cs="Garamond"/>
          <w:sz w:val="24"/>
          <w:szCs w:val="24"/>
        </w:rPr>
        <w:t>la marche du RHDP du 25 mars 2004 contre le manque de progrès dans l’application des accord</w:t>
      </w:r>
      <w:r w:rsidR="00B914CC">
        <w:rPr>
          <w:rFonts w:ascii="Garamond" w:eastAsia="Times New Roman" w:hAnsi="Garamond" w:cs="Garamond"/>
          <w:sz w:val="24"/>
          <w:szCs w:val="24"/>
        </w:rPr>
        <w:t>s</w:t>
      </w:r>
      <w:r w:rsidR="00C13125" w:rsidRPr="00304045">
        <w:rPr>
          <w:rFonts w:ascii="Garamond" w:eastAsia="Times New Roman" w:hAnsi="Garamond" w:cs="Garamond"/>
          <w:sz w:val="24"/>
          <w:szCs w:val="24"/>
        </w:rPr>
        <w:t xml:space="preserve"> de paix </w:t>
      </w:r>
      <w:r w:rsidR="00352514" w:rsidRPr="00304045">
        <w:rPr>
          <w:rFonts w:ascii="Garamond" w:eastAsia="Times New Roman" w:hAnsi="Garamond" w:cs="Garamond"/>
          <w:sz w:val="24"/>
          <w:szCs w:val="24"/>
        </w:rPr>
        <w:t xml:space="preserve">violemment </w:t>
      </w:r>
      <w:r w:rsidR="00C13125" w:rsidRPr="00304045">
        <w:rPr>
          <w:rFonts w:ascii="Garamond" w:eastAsia="Times New Roman" w:hAnsi="Garamond" w:cs="Garamond"/>
          <w:sz w:val="24"/>
          <w:szCs w:val="24"/>
        </w:rPr>
        <w:t>réprimé</w:t>
      </w:r>
      <w:r w:rsidR="008364E8" w:rsidRPr="00304045">
        <w:rPr>
          <w:rFonts w:ascii="Garamond" w:eastAsia="Times New Roman" w:hAnsi="Garamond" w:cs="Garamond"/>
          <w:sz w:val="24"/>
          <w:szCs w:val="24"/>
        </w:rPr>
        <w:t>e</w:t>
      </w:r>
      <w:r w:rsidR="00C13125" w:rsidRPr="00304045">
        <w:rPr>
          <w:rStyle w:val="Appelnotedebasdep"/>
          <w:rFonts w:ascii="Garamond" w:eastAsia="Times New Roman" w:hAnsi="Garamond" w:cs="Garamond"/>
          <w:sz w:val="24"/>
          <w:szCs w:val="24"/>
        </w:rPr>
        <w:footnoteReference w:id="12"/>
      </w:r>
      <w:r w:rsidR="00C13125" w:rsidRPr="00304045">
        <w:rPr>
          <w:rFonts w:ascii="Garamond" w:eastAsia="Times New Roman" w:hAnsi="Garamond" w:cs="Garamond"/>
          <w:sz w:val="24"/>
          <w:szCs w:val="24"/>
        </w:rPr>
        <w:t xml:space="preserve">, </w:t>
      </w:r>
      <w:r w:rsidRPr="00304045">
        <w:rPr>
          <w:rFonts w:ascii="Garamond" w:eastAsia="Times New Roman" w:hAnsi="Garamond" w:cs="Garamond"/>
          <w:sz w:val="24"/>
          <w:szCs w:val="24"/>
        </w:rPr>
        <w:t xml:space="preserve">les exécutions </w:t>
      </w:r>
      <w:r w:rsidRPr="00304045">
        <w:rPr>
          <w:rFonts w:ascii="Garamond" w:eastAsia="Times New Roman" w:hAnsi="Garamond" w:cs="Garamond"/>
          <w:sz w:val="24"/>
          <w:szCs w:val="24"/>
        </w:rPr>
        <w:lastRenderedPageBreak/>
        <w:t xml:space="preserve">de </w:t>
      </w:r>
      <w:r w:rsidR="00ED2797" w:rsidRPr="00304045">
        <w:rPr>
          <w:rFonts w:ascii="Garamond" w:eastAsia="Times New Roman" w:hAnsi="Garamond" w:cs="Garamond"/>
          <w:sz w:val="24"/>
          <w:szCs w:val="24"/>
        </w:rPr>
        <w:t>combattants appartenant à une faction rivale au sein</w:t>
      </w:r>
      <w:r w:rsidRPr="00304045">
        <w:rPr>
          <w:rFonts w:ascii="Garamond" w:eastAsia="Times New Roman" w:hAnsi="Garamond" w:cs="Garamond"/>
          <w:sz w:val="24"/>
          <w:szCs w:val="24"/>
        </w:rPr>
        <w:t xml:space="preserve"> de la rébellion dans un </w:t>
      </w:r>
      <w:r w:rsidR="000E09D5" w:rsidRPr="00304045">
        <w:rPr>
          <w:rFonts w:ascii="Garamond" w:eastAsia="Times New Roman" w:hAnsi="Garamond" w:cs="Garamond"/>
          <w:sz w:val="24"/>
          <w:szCs w:val="24"/>
        </w:rPr>
        <w:t>c</w:t>
      </w:r>
      <w:r w:rsidR="00155025" w:rsidRPr="00304045">
        <w:rPr>
          <w:rFonts w:ascii="Garamond" w:eastAsia="Times New Roman" w:hAnsi="Garamond" w:cs="Garamond"/>
          <w:sz w:val="24"/>
          <w:szCs w:val="24"/>
        </w:rPr>
        <w:t>onte</w:t>
      </w:r>
      <w:r w:rsidR="000E09D5" w:rsidRPr="00304045">
        <w:rPr>
          <w:rFonts w:ascii="Garamond" w:eastAsia="Times New Roman" w:hAnsi="Garamond" w:cs="Garamond"/>
          <w:sz w:val="24"/>
          <w:szCs w:val="24"/>
        </w:rPr>
        <w:t>ne</w:t>
      </w:r>
      <w:r w:rsidR="00155025" w:rsidRPr="00304045">
        <w:rPr>
          <w:rFonts w:ascii="Garamond" w:eastAsia="Times New Roman" w:hAnsi="Garamond" w:cs="Garamond"/>
          <w:sz w:val="24"/>
          <w:szCs w:val="24"/>
        </w:rPr>
        <w:t>u</w:t>
      </w:r>
      <w:r w:rsidR="000E09D5" w:rsidRPr="00304045">
        <w:rPr>
          <w:rFonts w:ascii="Garamond" w:eastAsia="Times New Roman" w:hAnsi="Garamond" w:cs="Garamond"/>
          <w:sz w:val="24"/>
          <w:szCs w:val="24"/>
        </w:rPr>
        <w:t>r</w:t>
      </w:r>
      <w:r w:rsidR="00ED2797" w:rsidRPr="00304045">
        <w:rPr>
          <w:rFonts w:ascii="Garamond" w:eastAsia="Times New Roman" w:hAnsi="Garamond" w:cs="Garamond"/>
          <w:sz w:val="24"/>
          <w:szCs w:val="24"/>
        </w:rPr>
        <w:t xml:space="preserve"> à Korhogo</w:t>
      </w:r>
      <w:r w:rsidR="00DC5889" w:rsidRPr="00304045">
        <w:rPr>
          <w:rStyle w:val="Appelnotedebasdep"/>
          <w:rFonts w:ascii="Garamond" w:eastAsia="Times New Roman" w:hAnsi="Garamond" w:cs="Garamond"/>
          <w:sz w:val="24"/>
          <w:szCs w:val="24"/>
        </w:rPr>
        <w:footnoteReference w:id="13"/>
      </w:r>
      <w:r w:rsidRPr="00304045">
        <w:rPr>
          <w:rFonts w:ascii="Garamond" w:eastAsia="Times New Roman" w:hAnsi="Garamond" w:cs="Garamond"/>
          <w:sz w:val="24"/>
          <w:szCs w:val="24"/>
        </w:rPr>
        <w:t>, l’attaque du camp de Nahibly, près de Douekoué</w:t>
      </w:r>
      <w:r w:rsidRPr="00304045">
        <w:rPr>
          <w:rFonts w:ascii="Garamond" w:eastAsia="Times New Roman" w:hAnsi="Garamond" w:cs="Garamond"/>
          <w:sz w:val="24"/>
          <w:szCs w:val="24"/>
          <w:vertAlign w:val="superscript"/>
        </w:rPr>
        <w:footnoteReference w:id="14"/>
      </w:r>
      <w:r w:rsidRPr="00304045">
        <w:rPr>
          <w:rFonts w:ascii="Garamond" w:eastAsia="Times New Roman" w:hAnsi="Garamond" w:cs="Garamond"/>
          <w:sz w:val="24"/>
          <w:szCs w:val="24"/>
        </w:rPr>
        <w:t xml:space="preserve"> le 20 juillet 2012 et </w:t>
      </w:r>
      <w:r w:rsidR="00C038C3" w:rsidRPr="00304045">
        <w:rPr>
          <w:rFonts w:ascii="Garamond" w:eastAsia="Times New Roman" w:hAnsi="Garamond" w:cs="Garamond"/>
          <w:sz w:val="24"/>
          <w:szCs w:val="24"/>
        </w:rPr>
        <w:t>le charnier de Torguei</w:t>
      </w:r>
      <w:r w:rsidR="006A5915" w:rsidRPr="00304045">
        <w:rPr>
          <w:rFonts w:ascii="Garamond" w:eastAsia="Times New Roman" w:hAnsi="Garamond" w:cs="Garamond"/>
          <w:sz w:val="24"/>
          <w:szCs w:val="24"/>
        </w:rPr>
        <w:t xml:space="preserve"> découvert </w:t>
      </w:r>
      <w:r w:rsidR="00496A69" w:rsidRPr="00304045">
        <w:rPr>
          <w:rFonts w:ascii="Garamond" w:eastAsia="Times New Roman" w:hAnsi="Garamond" w:cs="Garamond"/>
          <w:sz w:val="24"/>
          <w:szCs w:val="24"/>
        </w:rPr>
        <w:t>peu de temps après l’attaque du camps de Nahibl</w:t>
      </w:r>
      <w:r w:rsidR="003E0F2E" w:rsidRPr="00304045">
        <w:rPr>
          <w:rFonts w:ascii="Garamond" w:eastAsia="Times New Roman" w:hAnsi="Garamond" w:cs="Garamond"/>
          <w:sz w:val="24"/>
          <w:szCs w:val="24"/>
        </w:rPr>
        <w:t>y</w:t>
      </w:r>
      <w:r w:rsidRPr="00304045">
        <w:rPr>
          <w:rFonts w:ascii="Garamond" w:eastAsia="Times New Roman" w:hAnsi="Garamond" w:cs="Garamond"/>
          <w:sz w:val="24"/>
          <w:szCs w:val="24"/>
          <w:vertAlign w:val="superscript"/>
        </w:rPr>
        <w:footnoteReference w:id="15"/>
      </w:r>
      <w:r w:rsidRPr="00304045">
        <w:rPr>
          <w:rFonts w:ascii="Garamond" w:eastAsia="Times New Roman" w:hAnsi="Garamond" w:cs="Garamond"/>
          <w:sz w:val="24"/>
          <w:szCs w:val="24"/>
        </w:rPr>
        <w:t>.</w:t>
      </w:r>
      <w:r w:rsidR="00A16D12" w:rsidRPr="00304045">
        <w:rPr>
          <w:rFonts w:ascii="Times New Roman" w:eastAsia="Times New Roman" w:hAnsi="Times New Roman" w:cs="Times New Roman"/>
          <w:snapToGrid w:val="0"/>
          <w:w w:val="0"/>
          <w:sz w:val="0"/>
          <w:szCs w:val="0"/>
          <w:u w:color="000000"/>
          <w:bdr w:val="none" w:sz="0" w:space="0" w:color="000000"/>
          <w:shd w:val="clear" w:color="000000" w:fill="000000"/>
        </w:rPr>
        <w:t xml:space="preserve"> </w:t>
      </w:r>
    </w:p>
    <w:p w:rsidR="002A6737" w:rsidRDefault="00BB5435">
      <w:pPr>
        <w:spacing w:before="120" w:after="120" w:line="276" w:lineRule="auto"/>
        <w:jc w:val="both"/>
        <w:rPr>
          <w:rFonts w:ascii="Garamond" w:eastAsia="Times New Roman" w:hAnsi="Garamond" w:cs="Garamond"/>
          <w:color w:val="000000"/>
          <w:sz w:val="24"/>
          <w:szCs w:val="24"/>
        </w:rPr>
      </w:pPr>
      <w:r>
        <w:rPr>
          <w:rFonts w:ascii="Garamond" w:eastAsia="Times New Roman" w:hAnsi="Garamond" w:cs="Garamond"/>
          <w:noProof/>
          <w:color w:val="000000"/>
          <w:sz w:val="24"/>
          <w:szCs w:val="24"/>
          <w:lang w:eastAsia="fr-FR"/>
        </w:rPr>
        <mc:AlternateContent>
          <mc:Choice Requires="wps">
            <w:drawing>
              <wp:anchor distT="0" distB="0" distL="114300" distR="114300" simplePos="0" relativeHeight="251679744" behindDoc="0" locked="0" layoutInCell="0" allowOverlap="1" wp14:anchorId="66D1DB36" wp14:editId="1BD3A46D">
                <wp:simplePos x="0" y="0"/>
                <wp:positionH relativeFrom="margin">
                  <wp:posOffset>3034030</wp:posOffset>
                </wp:positionH>
                <wp:positionV relativeFrom="page">
                  <wp:posOffset>1348740</wp:posOffset>
                </wp:positionV>
                <wp:extent cx="2695575" cy="2346960"/>
                <wp:effectExtent l="0" t="0" r="0" b="0"/>
                <wp:wrapTight wrapText="bothSides">
                  <wp:wrapPolygon edited="0">
                    <wp:start x="-122" y="0"/>
                    <wp:lineTo x="-122" y="21542"/>
                    <wp:lineTo x="21600" y="21542"/>
                    <wp:lineTo x="21600" y="0"/>
                    <wp:lineTo x="-122" y="0"/>
                  </wp:wrapPolygon>
                </wp:wrapTight>
                <wp:docPr id="3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5575" cy="2346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13E2" w:rsidRDefault="005E13E2">
                            <w:pPr>
                              <w:jc w:val="center"/>
                              <w:rPr>
                                <w:rFonts w:asciiTheme="majorHAnsi" w:eastAsiaTheme="majorEastAsia" w:hAnsiTheme="majorHAnsi" w:cstheme="majorBidi"/>
                                <w:color w:val="E36C0A" w:themeColor="accent6" w:themeShade="BF"/>
                                <w:sz w:val="28"/>
                                <w:szCs w:val="28"/>
                              </w:rPr>
                            </w:pPr>
                            <w:r w:rsidRPr="0086248A">
                              <w:rPr>
                                <w:rFonts w:asciiTheme="majorHAnsi" w:eastAsiaTheme="majorEastAsia" w:hAnsiTheme="majorHAnsi" w:cstheme="majorBidi"/>
                                <w:noProof/>
                                <w:color w:val="E36C0A" w:themeColor="accent6" w:themeShade="BF"/>
                                <w:sz w:val="28"/>
                                <w:szCs w:val="28"/>
                                <w:lang w:eastAsia="fr-FR"/>
                              </w:rPr>
                              <w:drawing>
                                <wp:inline distT="0" distB="0" distL="0" distR="0" wp14:anchorId="7DF40508" wp14:editId="1571F307">
                                  <wp:extent cx="2381250" cy="1783639"/>
                                  <wp:effectExtent l="19050" t="0" r="0" b="0"/>
                                  <wp:docPr id="16" name="Image 21" descr="F:\images nahib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ages nahibly.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81250" cy="1783639"/>
                                          </a:xfrm>
                                          <a:prstGeom prst="rect">
                                            <a:avLst/>
                                          </a:prstGeom>
                                          <a:noFill/>
                                          <a:ln>
                                            <a:noFill/>
                                          </a:ln>
                                        </pic:spPr>
                                      </pic:pic>
                                    </a:graphicData>
                                  </a:graphic>
                                </wp:inline>
                              </w:drawing>
                            </w:r>
                          </w:p>
                          <w:p w:rsidR="005E13E2" w:rsidRPr="006D5803" w:rsidRDefault="005E13E2">
                            <w:pPr>
                              <w:jc w:val="center"/>
                              <w:rPr>
                                <w:rFonts w:ascii="Garamond" w:hAnsi="Garamond"/>
                              </w:rPr>
                            </w:pPr>
                            <w:r w:rsidRPr="006D5803">
                              <w:rPr>
                                <w:rFonts w:ascii="Garamond" w:hAnsi="Garamond"/>
                              </w:rPr>
                              <w:t xml:space="preserve">Un camp abandonné et pourtant sous protection de l’ONUCI </w:t>
                            </w:r>
                          </w:p>
                          <w:p w:rsidR="005E13E2" w:rsidRDefault="005E13E2">
                            <w:pPr>
                              <w:spacing w:after="0" w:line="240" w:lineRule="auto"/>
                              <w:rPr>
                                <w:sz w:val="2"/>
                                <w:szCs w:val="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6D1DB36" id="Rectangle 17" o:spid="_x0000_s1029" style="position:absolute;left:0;text-align:left;margin-left:238.9pt;margin-top:106.2pt;width:212.25pt;height:184.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" o:allowincell="f" stroked="f">
                <v:textbox>
                  <w:txbxContent>
                    <w:p w:rsidR="005E13E2" w:rsidRDefault="005E13E2">
                      <w:pPr>
                        <w:jc w:val="center"/>
                        <w:rPr>
                          <w:rFonts w:asciiTheme="majorHAnsi" w:eastAsiaTheme="majorEastAsia" w:hAnsiTheme="majorHAnsi" w:cstheme="majorBidi"/>
                          <w:color w:val="E36C0A" w:themeColor="accent6" w:themeShade="BF"/>
                          <w:sz w:val="28"/>
                          <w:szCs w:val="28"/>
                        </w:rPr>
                      </w:pPr>
                      <w:r w:rsidRPr="0086248A">
                        <w:rPr>
                          <w:rFonts w:asciiTheme="majorHAnsi" w:eastAsiaTheme="majorEastAsia" w:hAnsiTheme="majorHAnsi" w:cstheme="majorBidi"/>
                          <w:noProof/>
                          <w:color w:val="E36C0A" w:themeColor="accent6" w:themeShade="BF"/>
                          <w:sz w:val="28"/>
                          <w:szCs w:val="28"/>
                          <w:lang w:eastAsia="fr-FR"/>
                        </w:rPr>
                        <w:drawing>
                          <wp:inline distT="0" distB="0" distL="0" distR="0" wp14:anchorId="7DF40508" wp14:editId="1571F307">
                            <wp:extent cx="2381250" cy="1783639"/>
                            <wp:effectExtent l="19050" t="0" r="0" b="0"/>
                            <wp:docPr id="16" name="Image 21" descr="F:\images nahib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ages nahibly.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81250" cy="1783639"/>
                                    </a:xfrm>
                                    <a:prstGeom prst="rect">
                                      <a:avLst/>
                                    </a:prstGeom>
                                    <a:noFill/>
                                    <a:ln>
                                      <a:noFill/>
                                    </a:ln>
                                  </pic:spPr>
                                </pic:pic>
                              </a:graphicData>
                            </a:graphic>
                          </wp:inline>
                        </w:drawing>
                      </w:r>
                    </w:p>
                    <w:p w:rsidR="005E13E2" w:rsidRPr="006D5803" w:rsidRDefault="005E13E2">
                      <w:pPr>
                        <w:jc w:val="center"/>
                        <w:rPr>
                          <w:rFonts w:ascii="Garamond" w:hAnsi="Garamond"/>
                        </w:rPr>
                      </w:pPr>
                      <w:r w:rsidRPr="006D5803">
                        <w:rPr>
                          <w:rFonts w:ascii="Garamond" w:hAnsi="Garamond"/>
                        </w:rPr>
                        <w:t xml:space="preserve">Un camp abandonné et pourtant sous protection de l’ONUCI </w:t>
                      </w:r>
                    </w:p>
                    <w:p w:rsidR="005E13E2" w:rsidRDefault="005E13E2">
                      <w:pPr>
                        <w:spacing w:after="0" w:line="240" w:lineRule="auto"/>
                        <w:rPr>
                          <w:sz w:val="2"/>
                          <w:szCs w:val="2"/>
                        </w:rPr>
                      </w:pPr>
                    </w:p>
                  </w:txbxContent>
                </v:textbox>
                <w10:wrap type="tight" anchorx="margin" anchory="page"/>
              </v:rect>
            </w:pict>
          </mc:Fallback>
        </mc:AlternateContent>
      </w:r>
      <w:r>
        <w:rPr>
          <w:rFonts w:ascii="Garamond" w:eastAsia="Times New Roman" w:hAnsi="Garamond" w:cs="Garamond"/>
          <w:noProof/>
          <w:color w:val="000000"/>
          <w:sz w:val="24"/>
          <w:szCs w:val="24"/>
          <w:lang w:eastAsia="fr-FR"/>
        </w:rPr>
        <mc:AlternateContent>
          <mc:Choice Requires="wps">
            <w:drawing>
              <wp:anchor distT="0" distB="0" distL="114300" distR="114300" simplePos="0" relativeHeight="251681792" behindDoc="0" locked="0" layoutInCell="0" allowOverlap="1" wp14:anchorId="21579C1A" wp14:editId="390C5542">
                <wp:simplePos x="0" y="0"/>
                <wp:positionH relativeFrom="margin">
                  <wp:posOffset>1270</wp:posOffset>
                </wp:positionH>
                <wp:positionV relativeFrom="page">
                  <wp:posOffset>1367790</wp:posOffset>
                </wp:positionV>
                <wp:extent cx="2708910" cy="2280285"/>
                <wp:effectExtent l="0" t="0" r="0" b="0"/>
                <wp:wrapTight wrapText="bothSides">
                  <wp:wrapPolygon edited="0">
                    <wp:start x="-122" y="0"/>
                    <wp:lineTo x="-122" y="21546"/>
                    <wp:lineTo x="21600" y="21546"/>
                    <wp:lineTo x="21600" y="0"/>
                    <wp:lineTo x="-122" y="0"/>
                  </wp:wrapPolygon>
                </wp:wrapTight>
                <wp:docPr id="2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8910" cy="2280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13E2" w:rsidRDefault="005E13E2">
                            <w:pPr>
                              <w:jc w:val="center"/>
                              <w:rPr>
                                <w:rFonts w:asciiTheme="majorHAnsi" w:eastAsiaTheme="majorEastAsia" w:hAnsiTheme="majorHAnsi" w:cstheme="majorBidi"/>
                                <w:color w:val="E36C0A" w:themeColor="accent6" w:themeShade="BF"/>
                                <w:sz w:val="28"/>
                                <w:szCs w:val="28"/>
                              </w:rPr>
                            </w:pPr>
                            <w:r w:rsidRPr="000F43E0">
                              <w:rPr>
                                <w:rFonts w:asciiTheme="majorHAnsi" w:eastAsiaTheme="majorEastAsia" w:hAnsiTheme="majorHAnsi" w:cstheme="majorBidi"/>
                                <w:noProof/>
                                <w:color w:val="E36C0A" w:themeColor="accent6" w:themeShade="BF"/>
                                <w:sz w:val="28"/>
                                <w:szCs w:val="28"/>
                                <w:lang w:eastAsia="fr-FR"/>
                              </w:rPr>
                              <w:drawing>
                                <wp:inline distT="0" distB="0" distL="0" distR="0" wp14:anchorId="658393A0" wp14:editId="03C34EAD">
                                  <wp:extent cx="2543175" cy="1695450"/>
                                  <wp:effectExtent l="19050" t="0" r="9525" b="0"/>
                                  <wp:docPr id="20" name="Image 26" descr="F:\nahibly 29 Juillet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nahibly 29 Juillet 201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43175" cy="1695450"/>
                                          </a:xfrm>
                                          <a:prstGeom prst="rect">
                                            <a:avLst/>
                                          </a:prstGeom>
                                          <a:noFill/>
                                          <a:ln>
                                            <a:noFill/>
                                          </a:ln>
                                        </pic:spPr>
                                      </pic:pic>
                                    </a:graphicData>
                                  </a:graphic>
                                </wp:inline>
                              </w:drawing>
                            </w:r>
                          </w:p>
                          <w:p w:rsidR="005E13E2" w:rsidRPr="006D5803" w:rsidRDefault="005E13E2" w:rsidP="003E0F2E">
                            <w:pPr>
                              <w:spacing w:after="0"/>
                              <w:jc w:val="center"/>
                              <w:rPr>
                                <w:rFonts w:ascii="Garamond" w:eastAsiaTheme="majorEastAsia" w:hAnsi="Garamond" w:cstheme="majorBidi"/>
                              </w:rPr>
                            </w:pPr>
                            <w:r w:rsidRPr="006D5803">
                              <w:rPr>
                                <w:rFonts w:ascii="Garamond" w:eastAsiaTheme="majorEastAsia" w:hAnsi="Garamond" w:cstheme="majorBidi"/>
                                <w:szCs w:val="28"/>
                              </w:rPr>
                              <w:t xml:space="preserve">Pleurs et désolation pour cette femme rescapée au milieu de ruine de Nahibly </w:t>
                            </w:r>
                          </w:p>
                          <w:p w:rsidR="005E13E2" w:rsidRDefault="005E13E2">
                            <w:pPr>
                              <w:spacing w:after="0" w:line="240" w:lineRule="auto"/>
                              <w:rPr>
                                <w:sz w:val="2"/>
                                <w:szCs w:val="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1579C1A" id="Rectangle 18" o:spid="_x0000_s1030" style="position:absolute;left:0;text-align:left;margin-left:.1pt;margin-top:107.7pt;width:213.3pt;height:179.5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" o:allowincell="f" stroked="f">
                <v:textbox>
                  <w:txbxContent>
                    <w:p w:rsidR="005E13E2" w:rsidRDefault="005E13E2">
                      <w:pPr>
                        <w:jc w:val="center"/>
                        <w:rPr>
                          <w:rFonts w:asciiTheme="majorHAnsi" w:eastAsiaTheme="majorEastAsia" w:hAnsiTheme="majorHAnsi" w:cstheme="majorBidi"/>
                          <w:color w:val="E36C0A" w:themeColor="accent6" w:themeShade="BF"/>
                          <w:sz w:val="28"/>
                          <w:szCs w:val="28"/>
                        </w:rPr>
                      </w:pPr>
                      <w:r w:rsidRPr="000F43E0">
                        <w:rPr>
                          <w:rFonts w:asciiTheme="majorHAnsi" w:eastAsiaTheme="majorEastAsia" w:hAnsiTheme="majorHAnsi" w:cstheme="majorBidi"/>
                          <w:noProof/>
                          <w:color w:val="E36C0A" w:themeColor="accent6" w:themeShade="BF"/>
                          <w:sz w:val="28"/>
                          <w:szCs w:val="28"/>
                          <w:lang w:eastAsia="fr-FR"/>
                        </w:rPr>
                        <w:drawing>
                          <wp:inline distT="0" distB="0" distL="0" distR="0" wp14:anchorId="658393A0" wp14:editId="03C34EAD">
                            <wp:extent cx="2543175" cy="1695450"/>
                            <wp:effectExtent l="19050" t="0" r="9525" b="0"/>
                            <wp:docPr id="20" name="Image 26" descr="F:\nahibly 29 Juillet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nahibly 29 Juillet 201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43175" cy="1695450"/>
                                    </a:xfrm>
                                    <a:prstGeom prst="rect">
                                      <a:avLst/>
                                    </a:prstGeom>
                                    <a:noFill/>
                                    <a:ln>
                                      <a:noFill/>
                                    </a:ln>
                                  </pic:spPr>
                                </pic:pic>
                              </a:graphicData>
                            </a:graphic>
                          </wp:inline>
                        </w:drawing>
                      </w:r>
                    </w:p>
                    <w:p w:rsidR="005E13E2" w:rsidRPr="006D5803" w:rsidRDefault="005E13E2" w:rsidP="003E0F2E">
                      <w:pPr>
                        <w:spacing w:after="0"/>
                        <w:jc w:val="center"/>
                        <w:rPr>
                          <w:rFonts w:ascii="Garamond" w:eastAsiaTheme="majorEastAsia" w:hAnsi="Garamond" w:cstheme="majorBidi"/>
                        </w:rPr>
                      </w:pPr>
                      <w:r w:rsidRPr="006D5803">
                        <w:rPr>
                          <w:rFonts w:ascii="Garamond" w:eastAsiaTheme="majorEastAsia" w:hAnsi="Garamond" w:cstheme="majorBidi"/>
                          <w:szCs w:val="28"/>
                        </w:rPr>
                        <w:t xml:space="preserve">Pleurs et désolation pour cette femme rescapée au milieu de ruine de Nahibly </w:t>
                      </w:r>
                    </w:p>
                    <w:p w:rsidR="005E13E2" w:rsidRDefault="005E13E2">
                      <w:pPr>
                        <w:spacing w:after="0" w:line="240" w:lineRule="auto"/>
                        <w:rPr>
                          <w:sz w:val="2"/>
                          <w:szCs w:val="2"/>
                        </w:rPr>
                      </w:pPr>
                    </w:p>
                  </w:txbxContent>
                </v:textbox>
                <w10:wrap type="tight" anchorx="margin" anchory="page"/>
              </v:rect>
            </w:pict>
          </mc:Fallback>
        </mc:AlternateContent>
      </w:r>
      <w:r w:rsidR="00FC1C58" w:rsidRPr="00212184">
        <w:rPr>
          <w:rFonts w:ascii="Garamond" w:eastAsia="Times New Roman" w:hAnsi="Garamond" w:cs="Garamond"/>
          <w:color w:val="000000"/>
          <w:sz w:val="24"/>
          <w:szCs w:val="24"/>
        </w:rPr>
        <w:t xml:space="preserve"> </w:t>
      </w:r>
    </w:p>
    <w:p w:rsidR="0068343F" w:rsidRDefault="0068343F">
      <w:pPr>
        <w:spacing w:before="120" w:after="120" w:line="276" w:lineRule="auto"/>
        <w:jc w:val="both"/>
        <w:rPr>
          <w:rFonts w:ascii="Garamond" w:eastAsia="Times New Roman" w:hAnsi="Garamond" w:cs="Garamond"/>
          <w:sz w:val="24"/>
          <w:szCs w:val="24"/>
        </w:rPr>
      </w:pPr>
    </w:p>
    <w:p w:rsidR="00FC1C58" w:rsidRPr="001D25B1" w:rsidRDefault="00FC1C58" w:rsidP="0095626B">
      <w:pPr>
        <w:spacing w:before="120" w:after="120" w:line="276" w:lineRule="auto"/>
        <w:jc w:val="both"/>
        <w:rPr>
          <w:rFonts w:ascii="Garamond" w:eastAsia="Times New Roman" w:hAnsi="Garamond" w:cs="Garamond"/>
          <w:sz w:val="24"/>
          <w:szCs w:val="24"/>
        </w:rPr>
      </w:pPr>
      <w:r w:rsidRPr="00C425A9">
        <w:rPr>
          <w:rFonts w:ascii="Garamond" w:eastAsia="Times New Roman" w:hAnsi="Garamond" w:cs="Garamond"/>
          <w:sz w:val="24"/>
          <w:szCs w:val="24"/>
        </w:rPr>
        <w:t>Les lois d’amnistie votées par le parlement</w:t>
      </w:r>
      <w:r w:rsidR="00A641E0" w:rsidRPr="00895FAB">
        <w:rPr>
          <w:rFonts w:ascii="Garamond" w:eastAsia="Times New Roman" w:hAnsi="Garamond" w:cs="Garamond"/>
          <w:sz w:val="24"/>
          <w:szCs w:val="24"/>
          <w:vertAlign w:val="superscript"/>
        </w:rPr>
        <w:t xml:space="preserve"> </w:t>
      </w:r>
      <w:r w:rsidR="00746C5C" w:rsidRPr="001D25B1">
        <w:rPr>
          <w:rFonts w:ascii="Garamond" w:eastAsia="Times New Roman" w:hAnsi="Garamond" w:cs="Garamond"/>
          <w:sz w:val="24"/>
          <w:szCs w:val="24"/>
        </w:rPr>
        <w:t xml:space="preserve">ont </w:t>
      </w:r>
      <w:r w:rsidRPr="001D25B1">
        <w:rPr>
          <w:rFonts w:ascii="Garamond" w:eastAsia="Times New Roman" w:hAnsi="Garamond" w:cs="Garamond"/>
          <w:sz w:val="24"/>
          <w:szCs w:val="24"/>
        </w:rPr>
        <w:t xml:space="preserve">favorisé l’impunité des auteurs de violations graves des droits humains commises durant cette période.    </w:t>
      </w:r>
    </w:p>
    <w:p w:rsidR="00FC1C58" w:rsidRPr="001D25B1" w:rsidRDefault="00FC1C58" w:rsidP="00C30265">
      <w:pPr>
        <w:spacing w:before="120" w:after="120" w:line="276" w:lineRule="auto"/>
        <w:jc w:val="both"/>
        <w:rPr>
          <w:rFonts w:ascii="Garamond" w:eastAsia="Times New Roman" w:hAnsi="Garamond" w:cs="Garamond"/>
          <w:bCs/>
          <w:i/>
          <w:sz w:val="24"/>
          <w:szCs w:val="24"/>
        </w:rPr>
      </w:pPr>
      <w:r w:rsidRPr="001D25B1">
        <w:rPr>
          <w:rFonts w:ascii="Garamond" w:eastAsia="Times New Roman" w:hAnsi="Garamond" w:cs="Garamond"/>
          <w:sz w:val="24"/>
          <w:szCs w:val="24"/>
        </w:rPr>
        <w:t>Les exécutions extrajudiciaires ont connu leur paroxysme après les élections présidentielles de 2010.</w:t>
      </w:r>
    </w:p>
    <w:p w:rsidR="00FC1C58" w:rsidRPr="00895FAB" w:rsidRDefault="00FC1C58" w:rsidP="00C30265">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 Commission nationale d’enquête mise en place le 20 juillet 2011</w:t>
      </w:r>
      <w:r w:rsidRPr="00C425A9">
        <w:rPr>
          <w:rFonts w:ascii="Garamond" w:eastAsia="Times New Roman" w:hAnsi="Garamond" w:cs="Garamond"/>
          <w:sz w:val="24"/>
          <w:szCs w:val="24"/>
          <w:vertAlign w:val="superscript"/>
        </w:rPr>
        <w:footnoteReference w:id="16"/>
      </w:r>
      <w:r w:rsidRPr="00C425A9">
        <w:rPr>
          <w:rFonts w:ascii="Garamond" w:eastAsia="Times New Roman" w:hAnsi="Garamond" w:cs="Garamond"/>
          <w:sz w:val="24"/>
          <w:szCs w:val="24"/>
        </w:rPr>
        <w:t xml:space="preserve"> pour enquêter sur les violations des droits de l’homme et du droit international humanitaire commises pendant la période postélectorale allant du 31 octobre 2010 au 15 mai 2011, a relevé 2 018 cas d’exé</w:t>
      </w:r>
      <w:r w:rsidRPr="00895FAB">
        <w:rPr>
          <w:rFonts w:ascii="Garamond" w:eastAsia="Times New Roman" w:hAnsi="Garamond" w:cs="Garamond"/>
          <w:sz w:val="24"/>
          <w:szCs w:val="24"/>
        </w:rPr>
        <w:t>cutions sommaires pour des raisons politiques et/ou ethniques. Les exécutions sommaires représentent plus de 62 % des atteintes au droit à la vie relevées par la CNE pendant la période postélectorale.</w:t>
      </w:r>
    </w:p>
    <w:p w:rsidR="00FC1C58" w:rsidRPr="00C425A9" w:rsidRDefault="00FC1C58" w:rsidP="00C425A9">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Les cas d’exécutions extrajudiciaires ont progressivement baissé. Cependant, du 11 juillet au 10 août 2011 « </w:t>
      </w:r>
      <w:r w:rsidRPr="001D25B1">
        <w:rPr>
          <w:rFonts w:ascii="Garamond" w:eastAsia="Times New Roman" w:hAnsi="Garamond" w:cs="Garamond"/>
          <w:i/>
          <w:sz w:val="24"/>
          <w:szCs w:val="24"/>
        </w:rPr>
        <w:t>26 cas d'exécutions extrajudiciaires, sommaires ou arbitraires</w:t>
      </w:r>
      <w:r w:rsidRPr="001D25B1">
        <w:rPr>
          <w:rFonts w:ascii="Garamond" w:eastAsia="Times New Roman" w:hAnsi="Garamond" w:cs="Garamond"/>
          <w:sz w:val="24"/>
          <w:szCs w:val="24"/>
        </w:rPr>
        <w:t xml:space="preserve"> » ont été relevés, avait déclaré lors d'un point presse Guillaume NGEFA, alors en charge des droits de l'Homme au sein de la mission de l'ONU (ONUCI). Il a ajouté que les "nombreuses </w:t>
      </w:r>
      <w:r w:rsidRPr="001D25B1">
        <w:rPr>
          <w:rFonts w:ascii="Garamond" w:eastAsia="Times New Roman" w:hAnsi="Garamond" w:cs="Garamond"/>
          <w:i/>
          <w:sz w:val="24"/>
          <w:szCs w:val="24"/>
        </w:rPr>
        <w:t>violations des droits de l'Homme</w:t>
      </w:r>
      <w:r w:rsidRPr="001D25B1">
        <w:rPr>
          <w:rFonts w:ascii="Garamond" w:eastAsia="Times New Roman" w:hAnsi="Garamond" w:cs="Garamond"/>
          <w:sz w:val="24"/>
          <w:szCs w:val="24"/>
        </w:rPr>
        <w:t xml:space="preserve">" ont impliqué </w:t>
      </w:r>
      <w:r w:rsidRPr="001D25B1">
        <w:rPr>
          <w:rFonts w:ascii="Garamond" w:eastAsia="Times New Roman" w:hAnsi="Garamond" w:cs="Garamond"/>
          <w:sz w:val="24"/>
          <w:szCs w:val="24"/>
        </w:rPr>
        <w:lastRenderedPageBreak/>
        <w:t>"</w:t>
      </w:r>
      <w:r w:rsidRPr="001D25B1">
        <w:rPr>
          <w:rFonts w:ascii="Garamond" w:eastAsia="Times New Roman" w:hAnsi="Garamond" w:cs="Garamond"/>
          <w:i/>
          <w:sz w:val="24"/>
          <w:szCs w:val="24"/>
        </w:rPr>
        <w:t>principalement</w:t>
      </w:r>
      <w:r w:rsidRPr="001D25B1">
        <w:rPr>
          <w:rFonts w:ascii="Garamond" w:eastAsia="Times New Roman" w:hAnsi="Garamond" w:cs="Garamond"/>
          <w:sz w:val="24"/>
          <w:szCs w:val="24"/>
        </w:rPr>
        <w:t>" des éléments identifiés par les habitants comme appartenant aux Forces républicaines (FRCI)</w:t>
      </w:r>
      <w:r w:rsidRPr="00C425A9">
        <w:rPr>
          <w:rFonts w:ascii="Garamond" w:eastAsia="Times New Roman" w:hAnsi="Garamond" w:cs="Garamond"/>
          <w:sz w:val="24"/>
          <w:szCs w:val="24"/>
          <w:vertAlign w:val="superscript"/>
        </w:rPr>
        <w:footnoteReference w:id="17"/>
      </w:r>
      <w:r w:rsidRPr="00C425A9">
        <w:rPr>
          <w:rFonts w:ascii="Garamond" w:eastAsia="Times New Roman" w:hAnsi="Garamond" w:cs="Garamond"/>
          <w:sz w:val="24"/>
          <w:szCs w:val="24"/>
        </w:rPr>
        <w:t xml:space="preserve">.  </w:t>
      </w:r>
    </w:p>
    <w:p w:rsidR="00FC1C58" w:rsidRPr="001D25B1" w:rsidRDefault="00FC1C58" w:rsidP="00C425A9">
      <w:pPr>
        <w:spacing w:before="120" w:after="120" w:line="276" w:lineRule="auto"/>
        <w:jc w:val="both"/>
        <w:rPr>
          <w:rFonts w:ascii="Garamond" w:eastAsia="Times New Roman" w:hAnsi="Garamond" w:cs="Garamond"/>
          <w:sz w:val="24"/>
          <w:szCs w:val="24"/>
        </w:rPr>
      </w:pPr>
      <w:r w:rsidRPr="00C425A9">
        <w:rPr>
          <w:rFonts w:ascii="Garamond" w:eastAsia="Times New Roman" w:hAnsi="Garamond" w:cs="Garamond"/>
          <w:sz w:val="24"/>
          <w:szCs w:val="24"/>
        </w:rPr>
        <w:t xml:space="preserve">En 2012, cette diminution s’est poursuivie. Cependant des cas d’exécution sommaire ont </w:t>
      </w:r>
      <w:r w:rsidR="0046258F" w:rsidRPr="00895FAB">
        <w:rPr>
          <w:rFonts w:ascii="Garamond" w:eastAsia="Times New Roman" w:hAnsi="Garamond" w:cs="Garamond"/>
          <w:sz w:val="24"/>
          <w:szCs w:val="24"/>
        </w:rPr>
        <w:t xml:space="preserve">continué à </w:t>
      </w:r>
      <w:r w:rsidR="0046258F" w:rsidRPr="001D25B1">
        <w:rPr>
          <w:rFonts w:ascii="Garamond" w:eastAsia="Times New Roman" w:hAnsi="Garamond" w:cs="Garamond"/>
          <w:sz w:val="24"/>
          <w:szCs w:val="24"/>
        </w:rPr>
        <w:t>ê</w:t>
      </w:r>
      <w:r w:rsidRPr="001D25B1">
        <w:rPr>
          <w:rFonts w:ascii="Garamond" w:eastAsia="Times New Roman" w:hAnsi="Garamond" w:cs="Garamond"/>
          <w:sz w:val="24"/>
          <w:szCs w:val="24"/>
        </w:rPr>
        <w:t>t</w:t>
      </w:r>
      <w:r w:rsidR="0046258F" w:rsidRPr="001D25B1">
        <w:rPr>
          <w:rFonts w:ascii="Garamond" w:eastAsia="Times New Roman" w:hAnsi="Garamond" w:cs="Garamond"/>
          <w:sz w:val="24"/>
          <w:szCs w:val="24"/>
        </w:rPr>
        <w:t>re</w:t>
      </w:r>
      <w:r w:rsidRPr="001D25B1">
        <w:rPr>
          <w:rFonts w:ascii="Garamond" w:eastAsia="Times New Roman" w:hAnsi="Garamond" w:cs="Garamond"/>
          <w:sz w:val="24"/>
          <w:szCs w:val="24"/>
        </w:rPr>
        <w:t xml:space="preserve"> relevés. A titre d’exemple, un sous-officier de police, M. Yacouba Koné, arrêté par les FRCI dans la commune de Port-Bouët à Abidjan le 20 août </w:t>
      </w:r>
      <w:smartTag w:uri="urn:schemas-microsoft-com:office:smarttags" w:element="metricconverter">
        <w:smartTagPr>
          <w:attr w:name="ProductID" w:val="2012 a"/>
        </w:smartTagPr>
        <w:r w:rsidRPr="001D25B1">
          <w:rPr>
            <w:rFonts w:ascii="Garamond" w:eastAsia="Times New Roman" w:hAnsi="Garamond" w:cs="Garamond"/>
            <w:sz w:val="24"/>
            <w:szCs w:val="24"/>
          </w:rPr>
          <w:t>2012 a</w:t>
        </w:r>
      </w:smartTag>
      <w:r w:rsidRPr="001D25B1">
        <w:rPr>
          <w:rFonts w:ascii="Garamond" w:eastAsia="Times New Roman" w:hAnsi="Garamond" w:cs="Garamond"/>
          <w:sz w:val="24"/>
          <w:szCs w:val="24"/>
        </w:rPr>
        <w:t xml:space="preserve"> été retrouvé mort, le corps criblé de balles, le lendemain dans la même commune. </w:t>
      </w:r>
    </w:p>
    <w:p w:rsidR="00FC1C58" w:rsidRPr="00C425A9" w:rsidRDefault="00FC1C58" w:rsidP="00C425A9">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Aujourd’hui, des cas sont encore enregistrés</w:t>
      </w:r>
      <w:r w:rsidRPr="00C425A9">
        <w:rPr>
          <w:rFonts w:ascii="Garamond" w:eastAsia="Times New Roman" w:hAnsi="Garamond" w:cs="Garamond"/>
          <w:sz w:val="24"/>
          <w:szCs w:val="24"/>
        </w:rPr>
        <w:t> ; ils sont majoritairement commis par les Forces républicaines de Côte d’Ivoire (FRCI)</w:t>
      </w:r>
      <w:r w:rsidRPr="00C425A9">
        <w:rPr>
          <w:rFonts w:ascii="Garamond" w:eastAsia="Times New Roman" w:hAnsi="Garamond" w:cs="Garamond"/>
          <w:sz w:val="24"/>
          <w:szCs w:val="24"/>
          <w:vertAlign w:val="superscript"/>
        </w:rPr>
        <w:footnoteReference w:id="18"/>
      </w:r>
      <w:r w:rsidRPr="00C425A9">
        <w:rPr>
          <w:rFonts w:ascii="Garamond" w:eastAsia="Times New Roman" w:hAnsi="Garamond" w:cs="Garamond"/>
          <w:sz w:val="24"/>
          <w:szCs w:val="24"/>
        </w:rPr>
        <w:t>, par des ex-combattants non démobilisés ou par des milices non désarmées.</w:t>
      </w:r>
    </w:p>
    <w:p w:rsidR="001A1A80" w:rsidRPr="001D25B1" w:rsidRDefault="00FC1C58" w:rsidP="00F63D32">
      <w:pPr>
        <w:spacing w:before="120" w:after="120" w:line="276" w:lineRule="auto"/>
        <w:jc w:val="both"/>
        <w:rPr>
          <w:rFonts w:ascii="Garamond" w:eastAsia="Times New Roman" w:hAnsi="Garamond" w:cs="Garamond"/>
          <w:sz w:val="24"/>
          <w:szCs w:val="24"/>
        </w:rPr>
      </w:pPr>
      <w:r w:rsidRPr="00895FAB">
        <w:rPr>
          <w:rFonts w:ascii="Garamond" w:eastAsia="Times New Roman" w:hAnsi="Garamond" w:cs="Garamond"/>
          <w:sz w:val="24"/>
          <w:szCs w:val="24"/>
        </w:rPr>
        <w:t xml:space="preserve">Le Gouvernement a décidé d’accorder une suite aux cas d’exécution extrajudiciaire documentés par la CNE. La justice vient de déclencher des procès. Malheureusement, ils ne visent qu’un seul camp : les pro </w:t>
      </w:r>
      <w:r w:rsidR="00F77313" w:rsidRPr="001D25B1">
        <w:rPr>
          <w:rFonts w:ascii="Garamond" w:eastAsia="Times New Roman" w:hAnsi="Garamond" w:cs="Garamond"/>
          <w:sz w:val="24"/>
          <w:szCs w:val="24"/>
        </w:rPr>
        <w:t>Gbagbo</w:t>
      </w:r>
      <w:r w:rsidRPr="00C425A9">
        <w:rPr>
          <w:rFonts w:ascii="Garamond" w:eastAsia="Times New Roman" w:hAnsi="Garamond" w:cs="Garamond"/>
          <w:sz w:val="24"/>
          <w:szCs w:val="24"/>
          <w:vertAlign w:val="superscript"/>
        </w:rPr>
        <w:footnoteReference w:id="19"/>
      </w:r>
      <w:r w:rsidRPr="00C425A9">
        <w:rPr>
          <w:rFonts w:ascii="Garamond" w:eastAsia="Times New Roman" w:hAnsi="Garamond" w:cs="Garamond"/>
          <w:sz w:val="24"/>
          <w:szCs w:val="24"/>
        </w:rPr>
        <w:t>. Ainsi, après le Général Dogbo Blé et 4 autres inculpés pour exécutions extrajudiciaires dans l’affaire de l’assassinat du Colonel major Dosso et condamnés entre  5 et 15 ans de prison</w:t>
      </w:r>
      <w:r w:rsidRPr="00C425A9">
        <w:rPr>
          <w:rFonts w:ascii="Garamond" w:eastAsia="Times New Roman" w:hAnsi="Garamond" w:cs="Garamond"/>
          <w:sz w:val="24"/>
          <w:szCs w:val="24"/>
          <w:vertAlign w:val="superscript"/>
        </w:rPr>
        <w:footnoteReference w:id="20"/>
      </w:r>
      <w:r w:rsidRPr="00C425A9">
        <w:rPr>
          <w:rFonts w:ascii="Garamond" w:eastAsia="Times New Roman" w:hAnsi="Garamond" w:cs="Garamond"/>
          <w:sz w:val="24"/>
          <w:szCs w:val="24"/>
        </w:rPr>
        <w:t xml:space="preserve">, 83 pro </w:t>
      </w:r>
      <w:r w:rsidR="00F77313" w:rsidRPr="00C425A9">
        <w:rPr>
          <w:rFonts w:ascii="Garamond" w:eastAsia="Times New Roman" w:hAnsi="Garamond" w:cs="Garamond"/>
          <w:sz w:val="24"/>
          <w:szCs w:val="24"/>
        </w:rPr>
        <w:t>Gbagbo</w:t>
      </w:r>
      <w:r w:rsidRPr="00895FAB">
        <w:rPr>
          <w:rFonts w:ascii="Garamond" w:eastAsia="Times New Roman" w:hAnsi="Garamond" w:cs="Garamond"/>
          <w:sz w:val="24"/>
          <w:szCs w:val="24"/>
        </w:rPr>
        <w:t xml:space="preserve"> comparaissent en assise</w:t>
      </w:r>
      <w:r w:rsidR="000A6A40" w:rsidRPr="00895FAB">
        <w:rPr>
          <w:rFonts w:ascii="Garamond" w:eastAsia="Times New Roman" w:hAnsi="Garamond" w:cs="Garamond"/>
          <w:sz w:val="24"/>
          <w:szCs w:val="24"/>
        </w:rPr>
        <w:t>s</w:t>
      </w:r>
      <w:r w:rsidRPr="001D25B1">
        <w:rPr>
          <w:rFonts w:ascii="Garamond" w:eastAsia="Times New Roman" w:hAnsi="Garamond" w:cs="Garamond"/>
          <w:sz w:val="24"/>
          <w:szCs w:val="24"/>
        </w:rPr>
        <w:t xml:space="preserve"> au tribunal d’Abidjan- plateau dont l’épouse de l’ex-président : Simone Gbagbo. </w:t>
      </w:r>
    </w:p>
    <w:p w:rsidR="00FC1C58" w:rsidRPr="001D25B1" w:rsidRDefault="00FC1C58" w:rsidP="00895FAB">
      <w:pPr>
        <w:spacing w:before="120" w:after="120" w:line="276" w:lineRule="auto"/>
        <w:jc w:val="both"/>
        <w:rPr>
          <w:rFonts w:ascii="Garamond" w:eastAsia="Times New Roman" w:hAnsi="Garamond" w:cs="Garamond"/>
          <w:b/>
          <w:bCs/>
          <w:i/>
          <w:color w:val="365F91"/>
          <w:sz w:val="24"/>
          <w:szCs w:val="24"/>
        </w:rPr>
      </w:pPr>
      <w:r w:rsidRPr="001D25B1">
        <w:rPr>
          <w:rFonts w:ascii="Garamond" w:eastAsia="Times New Roman" w:hAnsi="Garamond" w:cs="Garamond"/>
          <w:b/>
          <w:bCs/>
          <w:i/>
          <w:color w:val="365F91"/>
          <w:sz w:val="24"/>
          <w:szCs w:val="24"/>
        </w:rPr>
        <w:t>La FIACAT et l'ACAT Côte d’Ivoire invitent le Comité des droits de l’homme à recommander à l’Etat partie de :</w:t>
      </w:r>
    </w:p>
    <w:p w:rsidR="00B8069B" w:rsidRPr="00B8069B" w:rsidRDefault="00B8069B" w:rsidP="00B8069B">
      <w:pPr>
        <w:pStyle w:val="Paragraphedeliste"/>
        <w:numPr>
          <w:ilvl w:val="1"/>
          <w:numId w:val="43"/>
        </w:numPr>
        <w:rPr>
          <w:b/>
          <w:i/>
          <w:color w:val="365F91"/>
        </w:rPr>
      </w:pPr>
      <w:r w:rsidRPr="00B8069B">
        <w:rPr>
          <w:b/>
          <w:i/>
          <w:color w:val="365F91"/>
        </w:rPr>
        <w:t>Enquêter sur toutes les allégations d’exécutions extrajudiciaires;</w:t>
      </w:r>
    </w:p>
    <w:p w:rsidR="00FC1C58" w:rsidRPr="001D25B1" w:rsidRDefault="00411581" w:rsidP="001D25B1">
      <w:pPr>
        <w:pStyle w:val="Paragraphedeliste"/>
        <w:numPr>
          <w:ilvl w:val="1"/>
          <w:numId w:val="43"/>
        </w:numPr>
        <w:rPr>
          <w:b/>
          <w:i/>
          <w:color w:val="365F91"/>
        </w:rPr>
      </w:pPr>
      <w:r w:rsidRPr="001D25B1">
        <w:rPr>
          <w:b/>
          <w:bCs/>
          <w:i/>
          <w:color w:val="365F91"/>
        </w:rPr>
        <w:t>P</w:t>
      </w:r>
      <w:r w:rsidR="00FC1C58" w:rsidRPr="001D25B1">
        <w:rPr>
          <w:b/>
          <w:bCs/>
          <w:i/>
          <w:color w:val="365F91"/>
        </w:rPr>
        <w:t>oursuivre en justice tous les auteurs</w:t>
      </w:r>
      <w:r w:rsidR="00FC1C58" w:rsidRPr="001D25B1">
        <w:rPr>
          <w:b/>
          <w:i/>
          <w:color w:val="365F91"/>
        </w:rPr>
        <w:t xml:space="preserve"> d’exécutions extrajudiciaires conformément aux obligations internationales de la Côte d’Ivoire ;</w:t>
      </w:r>
    </w:p>
    <w:p w:rsidR="00FC1C58" w:rsidRPr="001D25B1" w:rsidRDefault="00411581" w:rsidP="001D25B1">
      <w:pPr>
        <w:pStyle w:val="Paragraphedeliste"/>
        <w:numPr>
          <w:ilvl w:val="1"/>
          <w:numId w:val="43"/>
        </w:numPr>
        <w:rPr>
          <w:b/>
          <w:i/>
          <w:color w:val="365F91"/>
        </w:rPr>
      </w:pPr>
      <w:r w:rsidRPr="001D25B1">
        <w:rPr>
          <w:b/>
          <w:i/>
          <w:color w:val="365F91"/>
        </w:rPr>
        <w:t>F</w:t>
      </w:r>
      <w:r w:rsidR="00FC1C58" w:rsidRPr="001D25B1">
        <w:rPr>
          <w:b/>
          <w:i/>
          <w:color w:val="365F91"/>
        </w:rPr>
        <w:t xml:space="preserve">ournir une assistance aux </w:t>
      </w:r>
      <w:r w:rsidR="00DE5FD1">
        <w:rPr>
          <w:b/>
          <w:i/>
          <w:color w:val="365F91"/>
        </w:rPr>
        <w:t>familles</w:t>
      </w:r>
      <w:r w:rsidR="00DE5FD1" w:rsidRPr="001D25B1">
        <w:rPr>
          <w:b/>
          <w:i/>
          <w:color w:val="365F91"/>
        </w:rPr>
        <w:t xml:space="preserve"> </w:t>
      </w:r>
      <w:r w:rsidR="00FC1C58" w:rsidRPr="001D25B1">
        <w:rPr>
          <w:b/>
          <w:i/>
          <w:color w:val="365F91"/>
        </w:rPr>
        <w:t xml:space="preserve">des victimes. </w:t>
      </w:r>
    </w:p>
    <w:p w:rsidR="00FC1C58" w:rsidRPr="001D25B1" w:rsidRDefault="00FC1C58" w:rsidP="0095626B">
      <w:pPr>
        <w:spacing w:before="120" w:after="120" w:line="276" w:lineRule="auto"/>
        <w:jc w:val="both"/>
        <w:rPr>
          <w:rFonts w:ascii="Garamond" w:eastAsia="Times New Roman" w:hAnsi="Garamond" w:cs="Garamond"/>
          <w:sz w:val="24"/>
          <w:szCs w:val="24"/>
        </w:rPr>
      </w:pPr>
      <w:bookmarkStart w:id="35" w:name="_Toc335226253"/>
      <w:bookmarkStart w:id="36" w:name="_Toc363654398"/>
      <w:bookmarkStart w:id="37" w:name="_Toc363654722"/>
    </w:p>
    <w:p w:rsidR="00FC1C58" w:rsidRPr="001D25B1" w:rsidRDefault="00FC1C58" w:rsidP="00C30265">
      <w:pPr>
        <w:pStyle w:val="Titre3"/>
      </w:pPr>
      <w:bookmarkStart w:id="38" w:name="_Toc366598972"/>
      <w:bookmarkStart w:id="39" w:name="_Toc366599012"/>
      <w:bookmarkStart w:id="40" w:name="_Toc386200907"/>
      <w:bookmarkStart w:id="41" w:name="_Toc412111720"/>
      <w:r w:rsidRPr="001D25B1">
        <w:t>La peine de mort</w:t>
      </w:r>
      <w:bookmarkEnd w:id="35"/>
      <w:bookmarkEnd w:id="36"/>
      <w:bookmarkEnd w:id="37"/>
      <w:bookmarkEnd w:id="38"/>
      <w:bookmarkEnd w:id="39"/>
      <w:bookmarkEnd w:id="40"/>
      <w:bookmarkEnd w:id="41"/>
    </w:p>
    <w:p w:rsidR="00FC1C58" w:rsidRPr="001D25B1" w:rsidRDefault="00FC1C58" w:rsidP="00C30265">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 Constitution du 1</w:t>
      </w:r>
      <w:r w:rsidRPr="001D25B1">
        <w:rPr>
          <w:rFonts w:ascii="Garamond" w:eastAsia="Times New Roman" w:hAnsi="Garamond" w:cs="Garamond"/>
          <w:sz w:val="24"/>
          <w:szCs w:val="24"/>
          <w:vertAlign w:val="superscript"/>
        </w:rPr>
        <w:t>er</w:t>
      </w:r>
      <w:r w:rsidRPr="001D25B1">
        <w:rPr>
          <w:rFonts w:ascii="Garamond" w:eastAsia="Times New Roman" w:hAnsi="Garamond" w:cs="Garamond"/>
          <w:sz w:val="24"/>
          <w:szCs w:val="24"/>
        </w:rPr>
        <w:t xml:space="preserve"> août 2000 a aboli la peine de mort en son article 2 : « </w:t>
      </w:r>
      <w:r w:rsidRPr="001D25B1">
        <w:rPr>
          <w:rFonts w:ascii="Garamond" w:eastAsia="Times New Roman" w:hAnsi="Garamond" w:cs="Garamond"/>
          <w:i/>
          <w:sz w:val="24"/>
          <w:szCs w:val="24"/>
        </w:rPr>
        <w:t>La personne humaine est sacrée. Toute sanction tendant à la privation de la vie humaine est interdite</w:t>
      </w:r>
      <w:r w:rsidRPr="001D25B1">
        <w:rPr>
          <w:rFonts w:ascii="Garamond" w:eastAsia="Times New Roman" w:hAnsi="Garamond" w:cs="Garamond"/>
          <w:sz w:val="24"/>
          <w:szCs w:val="24"/>
        </w:rPr>
        <w:t> »</w:t>
      </w:r>
      <w:r w:rsidRPr="001D25B1">
        <w:rPr>
          <w:rFonts w:ascii="Garamond" w:eastAsia="Times New Roman" w:hAnsi="Garamond" w:cs="Tahoma"/>
          <w:sz w:val="24"/>
          <w:szCs w:val="24"/>
        </w:rPr>
        <w:t>.</w:t>
      </w:r>
      <w:r w:rsidRPr="00C425A9">
        <w:rPr>
          <w:rFonts w:ascii="Garamond" w:eastAsia="Times New Roman" w:hAnsi="Garamond" w:cs="Garamond"/>
          <w:sz w:val="24"/>
          <w:szCs w:val="24"/>
        </w:rPr>
        <w:t xml:space="preserve"> La Côte d’Ivoire est donc un Etat abolitionniste de droit pour tous les crimes.  Néanmoins, jusqu’au 14 janvier 2015, la peine de mort subsistait dans le Code pénal ivoirien. Un projet de loi du gouvernement adopté en conseil de ministre le 14 janvier 2015 à Yamoussoukro</w:t>
      </w:r>
      <w:r w:rsidR="004D03D0" w:rsidRPr="00895FAB">
        <w:rPr>
          <w:rFonts w:ascii="Garamond" w:eastAsia="Times New Roman" w:hAnsi="Garamond" w:cs="Garamond"/>
          <w:sz w:val="24"/>
          <w:szCs w:val="24"/>
        </w:rPr>
        <w:t>,</w:t>
      </w:r>
      <w:r w:rsidRPr="00895FAB">
        <w:rPr>
          <w:rFonts w:ascii="Garamond" w:eastAsia="Times New Roman" w:hAnsi="Garamond" w:cs="Garamond"/>
          <w:sz w:val="24"/>
          <w:szCs w:val="24"/>
        </w:rPr>
        <w:t xml:space="preserve"> </w:t>
      </w:r>
      <w:r w:rsidRPr="001D25B1">
        <w:rPr>
          <w:rFonts w:ascii="Garamond" w:eastAsia="Times New Roman" w:hAnsi="Garamond" w:cs="Garamond"/>
          <w:sz w:val="24"/>
          <w:szCs w:val="24"/>
        </w:rPr>
        <w:t xml:space="preserve">prévoit désormais sa suppression du code pénal. </w:t>
      </w:r>
      <w:r w:rsidR="00245290">
        <w:rPr>
          <w:rFonts w:ascii="Garamond" w:eastAsia="Times New Roman" w:hAnsi="Garamond" w:cs="Garamond"/>
          <w:sz w:val="24"/>
          <w:szCs w:val="24"/>
        </w:rPr>
        <w:t>A l’heure de la publication de ce rapport, ce projet de loi n’était pas encore parvenu aux députés.</w:t>
      </w:r>
    </w:p>
    <w:p w:rsidR="00FC1C58" w:rsidRPr="001D25B1" w:rsidRDefault="00FC1C58" w:rsidP="00C425A9">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On peut noter qu’après la ratification du PIDCP par la Côte d’Ivoire le 26 mars 1992, il y a eu entre 1993 à 1997, 12 condamnations à mort. Cependant aucune exécution n’a été faite. Depuis, </w:t>
      </w:r>
      <w:r w:rsidRPr="001D25B1">
        <w:rPr>
          <w:rFonts w:ascii="Garamond" w:eastAsia="Times New Roman" w:hAnsi="Garamond" w:cs="Garamond"/>
          <w:sz w:val="24"/>
          <w:szCs w:val="24"/>
        </w:rPr>
        <w:lastRenderedPageBreak/>
        <w:t>l’adoption de la nouvelle Constitution, toutes les condamnations à la peine capitale ont été systématiquement commuées en peines de prison à perpétuité. Cependant, il n’a pas été possible de conna</w:t>
      </w:r>
      <w:r w:rsidR="004D03D0" w:rsidRPr="001D25B1">
        <w:rPr>
          <w:rFonts w:ascii="Garamond" w:eastAsia="Times New Roman" w:hAnsi="Garamond" w:cs="Garamond"/>
          <w:sz w:val="24"/>
          <w:szCs w:val="24"/>
        </w:rPr>
        <w:t>î</w:t>
      </w:r>
      <w:r w:rsidRPr="001D25B1">
        <w:rPr>
          <w:rFonts w:ascii="Garamond" w:eastAsia="Times New Roman" w:hAnsi="Garamond" w:cs="Garamond"/>
          <w:sz w:val="24"/>
          <w:szCs w:val="24"/>
        </w:rPr>
        <w:t xml:space="preserve">tre la situation actuelle de ces condamnés. Les services de la direction de l’administration pénitentiaire (DAP) nous ont informés qu’en raison de la crise militaro-politique, et plus spécifiquement de la crise </w:t>
      </w:r>
      <w:r w:rsidR="008B78B6" w:rsidRPr="001D25B1">
        <w:rPr>
          <w:rFonts w:ascii="Garamond" w:eastAsia="Times New Roman" w:hAnsi="Garamond" w:cs="Garamond"/>
          <w:sz w:val="24"/>
          <w:szCs w:val="24"/>
        </w:rPr>
        <w:t>post-électorale</w:t>
      </w:r>
      <w:r w:rsidRPr="001D25B1">
        <w:rPr>
          <w:rFonts w:ascii="Garamond" w:eastAsia="Times New Roman" w:hAnsi="Garamond" w:cs="Garamond"/>
          <w:sz w:val="24"/>
          <w:szCs w:val="24"/>
        </w:rPr>
        <w:t xml:space="preserve">, les prisons ont été ouvertes et ces condamnés se sont évadés. </w:t>
      </w:r>
    </w:p>
    <w:p w:rsidR="00FC1C58" w:rsidRPr="00C425A9" w:rsidRDefault="00FC1C58" w:rsidP="00895FAB">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La Côte d’Ivoire n’a pas ratifié le deuxième Protocole facultatif se rapportant au Pacte international relatif aux droits civils et politiques (PIDCP), visant à abolir la peine de mort. La Côte d’Ivoire a pourtant adhéré au Pacte en 1992. </w:t>
      </w:r>
      <w:r w:rsidR="00163251" w:rsidRPr="001D25B1">
        <w:rPr>
          <w:rFonts w:ascii="Garamond" w:eastAsia="Times New Roman" w:hAnsi="Garamond" w:cs="Garamond"/>
          <w:sz w:val="24"/>
          <w:szCs w:val="24"/>
        </w:rPr>
        <w:t>D</w:t>
      </w:r>
      <w:r w:rsidRPr="001D25B1">
        <w:rPr>
          <w:rFonts w:ascii="Garamond" w:eastAsia="Times New Roman" w:hAnsi="Garamond" w:cs="Garamond"/>
          <w:sz w:val="24"/>
          <w:szCs w:val="24"/>
        </w:rPr>
        <w:t xml:space="preserve">ans son rapport, le Gouvernement a </w:t>
      </w:r>
      <w:r w:rsidR="00163251" w:rsidRPr="001D25B1">
        <w:rPr>
          <w:rFonts w:ascii="Garamond" w:eastAsia="Times New Roman" w:hAnsi="Garamond" w:cs="Garamond"/>
          <w:sz w:val="24"/>
          <w:szCs w:val="24"/>
        </w:rPr>
        <w:t xml:space="preserve">indiqué </w:t>
      </w:r>
      <w:r w:rsidRPr="001D25B1">
        <w:rPr>
          <w:rFonts w:ascii="Garamond" w:eastAsia="Times New Roman" w:hAnsi="Garamond" w:cs="Garamond"/>
          <w:sz w:val="24"/>
          <w:szCs w:val="24"/>
        </w:rPr>
        <w:t xml:space="preserve">que </w:t>
      </w:r>
      <w:r w:rsidRPr="001D25B1">
        <w:rPr>
          <w:rFonts w:ascii="Garamond" w:eastAsia="Times New Roman" w:hAnsi="Garamond" w:cs="Garamond"/>
          <w:i/>
          <w:sz w:val="24"/>
          <w:szCs w:val="24"/>
        </w:rPr>
        <w:t xml:space="preserve">« La Côte d’Ivoire soutient activement les initiatives internationales en faveur de l’abolition de la peine de mort. </w:t>
      </w:r>
      <w:r w:rsidRPr="001D25B1">
        <w:rPr>
          <w:rFonts w:ascii="Garamond" w:eastAsia="Times New Roman" w:hAnsi="Garamond" w:cs="Garamond"/>
          <w:i/>
          <w:color w:val="000000"/>
          <w:sz w:val="24"/>
          <w:szCs w:val="24"/>
        </w:rPr>
        <w:t xml:space="preserve">Les engagements internationaux en matière de peine de mort. Elle projette de procéder à la ratification du </w:t>
      </w:r>
      <w:r w:rsidRPr="001D25B1">
        <w:rPr>
          <w:rFonts w:ascii="Garamond" w:eastAsia="Times New Roman" w:hAnsi="Garamond" w:cs="Garamond"/>
          <w:i/>
          <w:sz w:val="24"/>
          <w:szCs w:val="24"/>
        </w:rPr>
        <w:t>deuxième Protocole facultatif se rapportant au Pacte international relatif aux droits civils et politiques, visant à abolir la peine de mort. »</w:t>
      </w:r>
      <w:r w:rsidRPr="00C425A9">
        <w:rPr>
          <w:rFonts w:ascii="Garamond" w:eastAsia="Times New Roman" w:hAnsi="Garamond" w:cs="Garamond"/>
          <w:i/>
          <w:sz w:val="24"/>
          <w:szCs w:val="24"/>
          <w:vertAlign w:val="superscript"/>
        </w:rPr>
        <w:footnoteReference w:id="21"/>
      </w:r>
    </w:p>
    <w:p w:rsidR="00FC1C58" w:rsidRPr="001D25B1" w:rsidRDefault="00FC1C58" w:rsidP="00895FAB">
      <w:pPr>
        <w:spacing w:before="120" w:after="120" w:line="276" w:lineRule="auto"/>
        <w:jc w:val="both"/>
        <w:rPr>
          <w:rFonts w:ascii="Garamond" w:eastAsia="Times New Roman" w:hAnsi="Garamond" w:cs="Garamond"/>
          <w:sz w:val="24"/>
          <w:szCs w:val="24"/>
        </w:rPr>
      </w:pPr>
      <w:r w:rsidRPr="00895FAB">
        <w:rPr>
          <w:rFonts w:ascii="Garamond" w:eastAsia="Times New Roman" w:hAnsi="Garamond" w:cs="Garamond"/>
          <w:sz w:val="24"/>
          <w:szCs w:val="24"/>
        </w:rPr>
        <w:t xml:space="preserve">L’adhésion au deuxième Protocole facultatif au PIDCP est extrêmement importante car c’est le seul texte de portée universelle qui vise à abolir la peine de mort. La Commission africaine des droits de l’homme et des peuples l’a rappelé en 2008 en appelant </w:t>
      </w:r>
      <w:r w:rsidRPr="001D25B1">
        <w:rPr>
          <w:rFonts w:ascii="Garamond" w:eastAsia="Times New Roman" w:hAnsi="Garamond" w:cs="Garamond"/>
          <w:i/>
          <w:iCs/>
          <w:sz w:val="24"/>
          <w:szCs w:val="24"/>
        </w:rPr>
        <w:t xml:space="preserve">« les États qui ne l'ont pas encore fait, à ratifier le </w:t>
      </w:r>
      <w:r w:rsidR="004D03D0" w:rsidRPr="001D25B1">
        <w:rPr>
          <w:rFonts w:ascii="Garamond" w:eastAsia="Times New Roman" w:hAnsi="Garamond" w:cs="Garamond"/>
          <w:i/>
          <w:iCs/>
          <w:sz w:val="24"/>
          <w:szCs w:val="24"/>
        </w:rPr>
        <w:t>s</w:t>
      </w:r>
      <w:r w:rsidRPr="001D25B1">
        <w:rPr>
          <w:rFonts w:ascii="Garamond" w:eastAsia="Times New Roman" w:hAnsi="Garamond" w:cs="Garamond"/>
          <w:i/>
          <w:iCs/>
          <w:sz w:val="24"/>
          <w:szCs w:val="24"/>
        </w:rPr>
        <w:t>econd Protocole facultatif au Pacte international relatif aux droits civils et politiques visant l'abolition de la peine de mort »</w:t>
      </w:r>
      <w:r w:rsidRPr="00C425A9">
        <w:rPr>
          <w:rFonts w:ascii="Garamond" w:eastAsia="Times New Roman" w:hAnsi="Garamond" w:cs="Garamond"/>
          <w:sz w:val="24"/>
          <w:szCs w:val="24"/>
          <w:vertAlign w:val="superscript"/>
        </w:rPr>
        <w:footnoteReference w:id="22"/>
      </w:r>
      <w:r w:rsidRPr="00C425A9">
        <w:rPr>
          <w:rFonts w:ascii="Garamond" w:eastAsia="Times New Roman" w:hAnsi="Garamond" w:cs="Garamond"/>
          <w:sz w:val="24"/>
          <w:szCs w:val="24"/>
        </w:rPr>
        <w:t xml:space="preserve">. Par ailleurs, à l’issue de l’examen de la Côte d’Ivoire lors de la </w:t>
      </w:r>
      <w:r w:rsidRPr="00C425A9">
        <w:rPr>
          <w:rFonts w:ascii="Garamond" w:eastAsia="Times New Roman" w:hAnsi="Garamond" w:cs="Times New Roman"/>
          <w:sz w:val="24"/>
          <w:szCs w:val="24"/>
          <w:lang w:eastAsia="fr-FR"/>
        </w:rPr>
        <w:t>52</w:t>
      </w:r>
      <w:r w:rsidR="004D03D0" w:rsidRPr="00895FAB">
        <w:rPr>
          <w:rFonts w:ascii="Garamond" w:eastAsia="Times New Roman" w:hAnsi="Garamond" w:cs="Times New Roman"/>
          <w:sz w:val="24"/>
          <w:szCs w:val="24"/>
          <w:vertAlign w:val="superscript"/>
          <w:lang w:eastAsia="fr-FR"/>
        </w:rPr>
        <w:t>ème</w:t>
      </w:r>
      <w:r w:rsidR="004D03D0" w:rsidRPr="00895FAB">
        <w:rPr>
          <w:rFonts w:ascii="Garamond" w:eastAsia="Times New Roman" w:hAnsi="Garamond" w:cs="Times New Roman"/>
          <w:sz w:val="24"/>
          <w:szCs w:val="24"/>
          <w:lang w:eastAsia="fr-FR"/>
        </w:rPr>
        <w:t xml:space="preserve"> </w:t>
      </w:r>
      <w:r w:rsidRPr="001D25B1">
        <w:rPr>
          <w:rFonts w:ascii="Garamond" w:eastAsia="Times New Roman" w:hAnsi="Garamond" w:cs="Times New Roman"/>
          <w:sz w:val="24"/>
          <w:szCs w:val="24"/>
          <w:lang w:eastAsia="fr-FR"/>
        </w:rPr>
        <w:t xml:space="preserve">session ordinaire de la Commission africaine qui s’est tenue à Yamoussoukro du 8 au 22 octobre 2012, </w:t>
      </w:r>
      <w:r w:rsidRPr="001D25B1">
        <w:rPr>
          <w:rFonts w:ascii="Garamond" w:eastAsia="Times New Roman" w:hAnsi="Garamond" w:cs="Garamond"/>
          <w:sz w:val="24"/>
          <w:szCs w:val="24"/>
        </w:rPr>
        <w:t>la CADHP</w:t>
      </w:r>
      <w:r w:rsidRPr="001D25B1">
        <w:rPr>
          <w:rFonts w:ascii="Garamond" w:eastAsia="Times New Roman" w:hAnsi="Garamond" w:cs="Times New Roman"/>
          <w:sz w:val="24"/>
          <w:szCs w:val="24"/>
          <w:lang w:eastAsia="fr-FR"/>
        </w:rPr>
        <w:t xml:space="preserve"> a, dans ses recommandations, invité la Côte d’Ivoire à ratifier le </w:t>
      </w:r>
      <w:r w:rsidR="004D03D0" w:rsidRPr="001D25B1">
        <w:rPr>
          <w:rFonts w:ascii="Garamond" w:eastAsia="Times New Roman" w:hAnsi="Garamond" w:cs="Times New Roman"/>
          <w:sz w:val="24"/>
          <w:szCs w:val="24"/>
          <w:lang w:eastAsia="fr-FR"/>
        </w:rPr>
        <w:t>s</w:t>
      </w:r>
      <w:r w:rsidRPr="001D25B1">
        <w:rPr>
          <w:rFonts w:ascii="Garamond" w:eastAsia="Times New Roman" w:hAnsi="Garamond" w:cs="Times New Roman"/>
          <w:sz w:val="24"/>
          <w:szCs w:val="24"/>
          <w:lang w:eastAsia="fr-FR"/>
        </w:rPr>
        <w:t xml:space="preserve">econd Protocole facultatif se rapportant au PIDCP. Enfin, lors de l’Examen périodique universel d’avril 2014, la </w:t>
      </w:r>
      <w:r w:rsidRPr="001D25B1">
        <w:rPr>
          <w:rFonts w:ascii="Garamond" w:eastAsia="Times New Roman" w:hAnsi="Garamond" w:cs="Garamond"/>
          <w:sz w:val="24"/>
          <w:szCs w:val="24"/>
        </w:rPr>
        <w:t xml:space="preserve">Côte d’Ivoire </w:t>
      </w:r>
      <w:r w:rsidRPr="001D25B1">
        <w:rPr>
          <w:rFonts w:ascii="Garamond" w:eastAsia="Times New Roman" w:hAnsi="Garamond" w:cs="Times New Roman"/>
          <w:sz w:val="24"/>
          <w:szCs w:val="24"/>
          <w:lang w:eastAsia="fr-FR"/>
        </w:rPr>
        <w:t xml:space="preserve">a accepté une des recommandations visant la ratification du deuxième Protocole facultatif. </w:t>
      </w:r>
    </w:p>
    <w:p w:rsidR="00FC1C58" w:rsidRPr="001D25B1" w:rsidRDefault="00FC1C58" w:rsidP="001D25B1">
      <w:pPr>
        <w:spacing w:after="0" w:line="276" w:lineRule="auto"/>
        <w:rPr>
          <w:rFonts w:ascii="Garamond" w:eastAsia="Times New Roman" w:hAnsi="Garamond" w:cs="Times New Roman"/>
          <w:sz w:val="24"/>
          <w:szCs w:val="24"/>
          <w:lang w:eastAsia="fr-FR"/>
        </w:rPr>
      </w:pPr>
      <w:r w:rsidRPr="001D25B1">
        <w:rPr>
          <w:rFonts w:ascii="Garamond" w:eastAsia="Times New Roman" w:hAnsi="Garamond" w:cs="Times New Roman"/>
          <w:sz w:val="24"/>
          <w:szCs w:val="24"/>
          <w:lang w:eastAsia="fr-FR"/>
        </w:rPr>
        <w:t>Cependant, la Côte d'Ivoire qui s’est main</w:t>
      </w:r>
      <w:r w:rsidR="00BB4A25" w:rsidRPr="001D25B1">
        <w:rPr>
          <w:rFonts w:ascii="Garamond" w:eastAsia="Times New Roman" w:hAnsi="Garamond" w:cs="Times New Roman"/>
          <w:sz w:val="24"/>
          <w:szCs w:val="24"/>
          <w:lang w:eastAsia="fr-FR"/>
        </w:rPr>
        <w:t>tes fois engagée à ratifier ce P</w:t>
      </w:r>
      <w:r w:rsidRPr="001D25B1">
        <w:rPr>
          <w:rFonts w:ascii="Garamond" w:eastAsia="Times New Roman" w:hAnsi="Garamond" w:cs="Times New Roman"/>
          <w:sz w:val="24"/>
          <w:szCs w:val="24"/>
          <w:lang w:eastAsia="fr-FR"/>
        </w:rPr>
        <w:t xml:space="preserve">rotocole ne l’a pas encore fait et n’a pas donné d’indications claires sur une date de ratification. L’ACAT CI n’a pas connaissance d’un projet de loi dans ce sens.  </w:t>
      </w:r>
    </w:p>
    <w:p w:rsidR="00A913E9"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La FIACAT et l’ACAT Côte d’ivoire invitent le Gouvernement à ratifier le deuxième Protocole facultatif se rapportant au PIDCP dans les plus brefs délais. La Côte d’Ivoire ayant déjà aboli la peine de mort, une telle ratification ne nécessite pas de transposition supplémentaire en droit interne. </w:t>
      </w:r>
    </w:p>
    <w:p w:rsidR="00FC1C58" w:rsidRPr="00895FAB" w:rsidRDefault="00FC1C58" w:rsidP="001D25B1">
      <w:pPr>
        <w:spacing w:before="120" w:after="120" w:line="276" w:lineRule="auto"/>
        <w:jc w:val="both"/>
        <w:rPr>
          <w:rFonts w:ascii="Garamond" w:eastAsia="Times New Roman" w:hAnsi="Garamond" w:cs="Garamond"/>
          <w:b/>
          <w:bCs/>
          <w:i/>
          <w:color w:val="365F91"/>
          <w:sz w:val="24"/>
          <w:szCs w:val="24"/>
        </w:rPr>
      </w:pPr>
      <w:r w:rsidRPr="00895FAB">
        <w:rPr>
          <w:rFonts w:ascii="Garamond" w:eastAsia="Times New Roman" w:hAnsi="Garamond" w:cs="Garamond"/>
          <w:b/>
          <w:bCs/>
          <w:i/>
          <w:color w:val="365F91"/>
          <w:sz w:val="24"/>
          <w:szCs w:val="24"/>
        </w:rPr>
        <w:t xml:space="preserve">La FIACAT et l'ACAT Côte d’Ivoire invitent le Comité des droits de l’homme à recommander à l’Etat partie de : </w:t>
      </w:r>
    </w:p>
    <w:p w:rsidR="00FC1C58" w:rsidRPr="001D25B1" w:rsidRDefault="00FC1C58" w:rsidP="001D25B1">
      <w:pPr>
        <w:pStyle w:val="Paragraphedeliste"/>
        <w:numPr>
          <w:ilvl w:val="1"/>
          <w:numId w:val="43"/>
        </w:numPr>
        <w:rPr>
          <w:b/>
          <w:i/>
          <w:color w:val="365F91"/>
        </w:rPr>
      </w:pPr>
      <w:r w:rsidRPr="001D25B1">
        <w:rPr>
          <w:b/>
          <w:i/>
          <w:color w:val="365F91"/>
        </w:rPr>
        <w:t xml:space="preserve">Soumettre dans les plus brefs délais au parlement le projet de loi  supprimant toutes dispositions relatives à la peine de mort dans le </w:t>
      </w:r>
      <w:r w:rsidR="00A6022A" w:rsidRPr="001D25B1">
        <w:rPr>
          <w:b/>
          <w:i/>
          <w:color w:val="365F91"/>
        </w:rPr>
        <w:t>C</w:t>
      </w:r>
      <w:r w:rsidRPr="001D25B1">
        <w:rPr>
          <w:b/>
          <w:i/>
          <w:color w:val="365F91"/>
        </w:rPr>
        <w:t>ode pénal ;</w:t>
      </w:r>
    </w:p>
    <w:p w:rsidR="00FC1C58" w:rsidRPr="001D25B1" w:rsidRDefault="00FC1C58" w:rsidP="001D25B1">
      <w:pPr>
        <w:pStyle w:val="Paragraphedeliste"/>
        <w:numPr>
          <w:ilvl w:val="1"/>
          <w:numId w:val="43"/>
        </w:numPr>
        <w:rPr>
          <w:b/>
          <w:i/>
          <w:color w:val="365F91"/>
        </w:rPr>
      </w:pPr>
      <w:r w:rsidRPr="001D25B1">
        <w:rPr>
          <w:b/>
          <w:i/>
          <w:color w:val="365F91"/>
        </w:rPr>
        <w:t xml:space="preserve">Ratifier le deuxième Protocole facultatif se rapportant au Pacte international relatif aux droits civils et politiques, visant à abolir la peine de mort. </w:t>
      </w:r>
      <w:bookmarkStart w:id="42" w:name="_Toc335123556"/>
      <w:bookmarkStart w:id="43" w:name="_Toc335209032"/>
      <w:bookmarkStart w:id="44" w:name="_Toc335226260"/>
      <w:bookmarkStart w:id="45" w:name="_Toc363654399"/>
      <w:bookmarkStart w:id="46" w:name="_Toc363654723"/>
      <w:bookmarkStart w:id="47" w:name="_Toc366598973"/>
      <w:bookmarkStart w:id="48" w:name="_Toc366599013"/>
    </w:p>
    <w:p w:rsidR="00FC1C58" w:rsidRPr="001D25B1" w:rsidRDefault="00FC1C58" w:rsidP="001D25B1">
      <w:pPr>
        <w:spacing w:before="120" w:after="120" w:line="276" w:lineRule="auto"/>
        <w:jc w:val="both"/>
        <w:rPr>
          <w:rFonts w:ascii="Garamond" w:eastAsia="Times New Roman" w:hAnsi="Garamond" w:cs="Garamond"/>
          <w:sz w:val="24"/>
          <w:szCs w:val="24"/>
        </w:rPr>
      </w:pPr>
    </w:p>
    <w:p w:rsidR="00FC1C58" w:rsidRPr="001D25B1" w:rsidRDefault="00FC1C58" w:rsidP="001D25B1">
      <w:pPr>
        <w:pStyle w:val="Titre3"/>
      </w:pPr>
      <w:bookmarkStart w:id="49" w:name="_Toc386200908"/>
      <w:bookmarkStart w:id="50" w:name="_Toc412111721"/>
      <w:r w:rsidRPr="001D25B1">
        <w:t>Les disparitions forcées</w:t>
      </w:r>
      <w:bookmarkEnd w:id="42"/>
      <w:bookmarkEnd w:id="43"/>
      <w:bookmarkEnd w:id="44"/>
      <w:bookmarkEnd w:id="45"/>
      <w:bookmarkEnd w:id="46"/>
      <w:bookmarkEnd w:id="47"/>
      <w:bookmarkEnd w:id="48"/>
      <w:bookmarkEnd w:id="49"/>
      <w:bookmarkEnd w:id="50"/>
    </w:p>
    <w:p w:rsidR="00FC1C58" w:rsidRPr="001D25B1" w:rsidRDefault="00FC1C58" w:rsidP="001D25B1">
      <w:pPr>
        <w:spacing w:before="120" w:after="120" w:line="276" w:lineRule="auto"/>
        <w:jc w:val="both"/>
        <w:rPr>
          <w:rFonts w:ascii="Garamond" w:eastAsia="Times New Roman" w:hAnsi="Garamond" w:cs="Garamond"/>
          <w:i/>
          <w:sz w:val="24"/>
          <w:szCs w:val="24"/>
        </w:rPr>
      </w:pPr>
      <w:r w:rsidRPr="001D25B1">
        <w:rPr>
          <w:rFonts w:ascii="Garamond" w:eastAsia="Times New Roman" w:hAnsi="Garamond" w:cs="Garamond"/>
          <w:sz w:val="24"/>
          <w:szCs w:val="24"/>
        </w:rPr>
        <w:t xml:space="preserve">Les disparitions forcées sont fréquentes en Côte d’Ivoire et de nombreux cas se sont produits durant la crise militaro politique. Elles se sont accentuées avec la crise postélectorale. Le rapport </w:t>
      </w:r>
      <w:r w:rsidRPr="001D25B1">
        <w:rPr>
          <w:rFonts w:ascii="Garamond" w:eastAsia="Times New Roman" w:hAnsi="Garamond" w:cs="Garamond"/>
          <w:sz w:val="24"/>
          <w:szCs w:val="24"/>
        </w:rPr>
        <w:lastRenderedPageBreak/>
        <w:t>de la Commission nationale d’enquête a recensé de nombreux cas de personnes disparues</w:t>
      </w:r>
      <w:r w:rsidR="006B36D7">
        <w:rPr>
          <w:rFonts w:ascii="Garamond" w:eastAsia="Times New Roman" w:hAnsi="Garamond" w:cs="Garamond"/>
          <w:sz w:val="24"/>
          <w:szCs w:val="24"/>
        </w:rPr>
        <w:t>.</w:t>
      </w:r>
      <w:r w:rsidRPr="00C425A9">
        <w:rPr>
          <w:rFonts w:ascii="Garamond" w:eastAsia="Times New Roman" w:hAnsi="Garamond" w:cs="Garamond"/>
          <w:sz w:val="24"/>
          <w:szCs w:val="24"/>
        </w:rPr>
        <w:t xml:space="preserve"> La CNE a dénombré pour la seule période allant du 31 octobre 2010 au 15 mai 2011, 265 cas </w:t>
      </w:r>
      <w:r w:rsidRPr="00895FAB">
        <w:rPr>
          <w:rFonts w:ascii="Garamond" w:eastAsia="Times New Roman" w:hAnsi="Garamond" w:cs="Garamond"/>
          <w:sz w:val="24"/>
          <w:szCs w:val="24"/>
        </w:rPr>
        <w:t>de disparitions forcées</w:t>
      </w:r>
      <w:r w:rsidRPr="00C425A9">
        <w:rPr>
          <w:rFonts w:ascii="Garamond" w:eastAsia="Times New Roman" w:hAnsi="Garamond" w:cs="Garamond"/>
          <w:sz w:val="24"/>
          <w:szCs w:val="24"/>
        </w:rPr>
        <w:t xml:space="preserve">. Ces cas de disparitions forcées interviennent alors même que la Côte d’Ivoire avait promis dans son rapport national, présenté lors du premier cycle d’EPU, </w:t>
      </w:r>
      <w:r w:rsidRPr="00895FAB">
        <w:rPr>
          <w:rFonts w:ascii="Garamond" w:eastAsia="Times New Roman" w:hAnsi="Garamond" w:cs="Garamond"/>
          <w:bCs/>
          <w:sz w:val="24"/>
          <w:szCs w:val="24"/>
        </w:rPr>
        <w:t>d’</w:t>
      </w:r>
      <w:r w:rsidRPr="00895FAB">
        <w:rPr>
          <w:rFonts w:ascii="Garamond" w:eastAsia="Times New Roman" w:hAnsi="Garamond" w:cs="Garamond"/>
          <w:bCs/>
          <w:i/>
          <w:sz w:val="24"/>
          <w:szCs w:val="24"/>
        </w:rPr>
        <w:t> « envisager de signer et ratifier la Convention internationale pour la protection de toutes les personnes contre l</w:t>
      </w:r>
      <w:r w:rsidRPr="001D25B1">
        <w:rPr>
          <w:rFonts w:ascii="Garamond" w:eastAsia="Times New Roman" w:hAnsi="Garamond" w:cs="Garamond"/>
          <w:bCs/>
          <w:i/>
          <w:sz w:val="24"/>
          <w:szCs w:val="24"/>
        </w:rPr>
        <w:t>es disparitions forcées, ainsi que de reconnaître la compétence du Comité correspondant »</w:t>
      </w:r>
      <w:r w:rsidRPr="001D25B1">
        <w:rPr>
          <w:rFonts w:ascii="Garamond" w:eastAsia="Times New Roman" w:hAnsi="Garamond" w:cs="Garamond"/>
          <w:bCs/>
          <w:sz w:val="24"/>
          <w:szCs w:val="24"/>
        </w:rPr>
        <w:t>. C’est pourquoi, lors de la dix-neuvième session du groupe</w:t>
      </w:r>
      <w:r w:rsidRPr="001D25B1">
        <w:rPr>
          <w:rFonts w:ascii="Times New Roman" w:eastAsia="Times New Roman" w:hAnsi="Times New Roman" w:cs="Times New Roman"/>
          <w:b/>
          <w:bCs/>
          <w:sz w:val="24"/>
          <w:szCs w:val="24"/>
          <w:lang w:eastAsia="fr-FR"/>
        </w:rPr>
        <w:t xml:space="preserve"> </w:t>
      </w:r>
      <w:r w:rsidRPr="001D25B1">
        <w:rPr>
          <w:rFonts w:ascii="Garamond" w:eastAsia="Times New Roman" w:hAnsi="Garamond" w:cs="Garamond"/>
          <w:bCs/>
          <w:sz w:val="24"/>
          <w:szCs w:val="24"/>
        </w:rPr>
        <w:t>de travail de l’Examen périodique universel portant sur la Côte d’Ivoire le mardi 29 avril 2014, dans son intervention, la France a recommandé à la Côte d’Ivoire « </w:t>
      </w:r>
      <w:r w:rsidRPr="001D25B1">
        <w:rPr>
          <w:rFonts w:ascii="Garamond" w:eastAsia="Times New Roman" w:hAnsi="Garamond" w:cs="Garamond"/>
          <w:bCs/>
          <w:i/>
          <w:sz w:val="24"/>
          <w:szCs w:val="24"/>
        </w:rPr>
        <w:t xml:space="preserve">la </w:t>
      </w:r>
      <w:r w:rsidRPr="001D25B1">
        <w:rPr>
          <w:rFonts w:ascii="Garamond" w:eastAsia="Times New Roman" w:hAnsi="Garamond" w:cs="Garamond"/>
          <w:i/>
          <w:sz w:val="24"/>
          <w:szCs w:val="24"/>
        </w:rPr>
        <w:t xml:space="preserve">Ratification de la Convention internationale sur les disparitions forcées ». </w:t>
      </w:r>
      <w:r w:rsidRPr="001D25B1">
        <w:rPr>
          <w:rFonts w:ascii="Garamond" w:eastAsia="Times New Roman" w:hAnsi="Garamond" w:cs="Garamond"/>
          <w:sz w:val="24"/>
          <w:szCs w:val="24"/>
        </w:rPr>
        <w:t>La Côte d’Ivoire, n’ayant pas remis en cause son engagement de 2009, a accepté cette recommandation à l’issue du deuxième passage de la Côte d’Ivoire à l’EPU en avril 2014.</w:t>
      </w:r>
      <w:r w:rsidRPr="001D25B1">
        <w:rPr>
          <w:rFonts w:ascii="Garamond" w:eastAsia="Times New Roman" w:hAnsi="Garamond" w:cs="Garamond"/>
          <w:i/>
          <w:sz w:val="24"/>
          <w:szCs w:val="24"/>
        </w:rPr>
        <w:t xml:space="preserve"> </w:t>
      </w:r>
    </w:p>
    <w:p w:rsidR="00A913E9"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La cellule spéciale d’enquête créée par arrêté interministériel </w:t>
      </w:r>
      <w:r w:rsidR="00B03A81" w:rsidRPr="001D25B1">
        <w:rPr>
          <w:rFonts w:ascii="Garamond" w:eastAsia="Times New Roman" w:hAnsi="Garamond" w:cs="Garamond"/>
          <w:sz w:val="24"/>
          <w:szCs w:val="24"/>
        </w:rPr>
        <w:t xml:space="preserve">le 24 </w:t>
      </w:r>
      <w:r w:rsidRPr="001D25B1">
        <w:rPr>
          <w:rFonts w:ascii="Garamond" w:eastAsia="Times New Roman" w:hAnsi="Garamond" w:cs="Garamond"/>
          <w:sz w:val="24"/>
          <w:szCs w:val="24"/>
        </w:rPr>
        <w:t>juin 2011 puis transformée en cellule spéciale d’enquête et d’instruction par décret présidentiel n° 2013-93 signé le 30 décembre</w:t>
      </w:r>
      <w:r w:rsidRPr="001D25B1">
        <w:rPr>
          <w:rStyle w:val="apple-style-span"/>
          <w:rFonts w:ascii="Arial" w:hAnsi="Arial" w:cs="Arial"/>
          <w:color w:val="111111"/>
          <w:sz w:val="24"/>
          <w:szCs w:val="24"/>
        </w:rPr>
        <w:t xml:space="preserve"> </w:t>
      </w:r>
      <w:r w:rsidRPr="00C425A9">
        <w:rPr>
          <w:rStyle w:val="apple-style-span"/>
          <w:rFonts w:ascii="Garamond" w:hAnsi="Garamond" w:cs="Arial"/>
          <w:color w:val="111111"/>
          <w:sz w:val="24"/>
          <w:szCs w:val="24"/>
        </w:rPr>
        <w:t>2013</w:t>
      </w:r>
      <w:r w:rsidRPr="00C425A9">
        <w:rPr>
          <w:rFonts w:ascii="Garamond" w:eastAsia="Times New Roman" w:hAnsi="Garamond" w:cs="Garamond"/>
          <w:sz w:val="24"/>
          <w:szCs w:val="24"/>
        </w:rPr>
        <w:t xml:space="preserve"> travaille sur ces questions et enregistre les plaintes des victimes</w:t>
      </w:r>
      <w:r w:rsidRPr="00C425A9">
        <w:rPr>
          <w:rFonts w:ascii="Garamond" w:eastAsia="Times New Roman" w:hAnsi="Garamond" w:cs="Garamond"/>
          <w:sz w:val="24"/>
          <w:szCs w:val="24"/>
          <w:vertAlign w:val="superscript"/>
        </w:rPr>
        <w:footnoteReference w:id="23"/>
      </w:r>
      <w:r w:rsidRPr="00C425A9">
        <w:rPr>
          <w:rFonts w:ascii="Garamond" w:eastAsia="Times New Roman" w:hAnsi="Garamond" w:cs="Garamond"/>
          <w:sz w:val="24"/>
          <w:szCs w:val="24"/>
        </w:rPr>
        <w:t>. Cela témoigne d’une volonté de l’Etat de faire la lumière sur tous les crimes commis. Cependant, eu égard au caractère confidentiel de l’instruction, il nous est impossible de savoi</w:t>
      </w:r>
      <w:r w:rsidRPr="00895FAB">
        <w:rPr>
          <w:rFonts w:ascii="Garamond" w:eastAsia="Times New Roman" w:hAnsi="Garamond" w:cs="Garamond"/>
          <w:sz w:val="24"/>
          <w:szCs w:val="24"/>
        </w:rPr>
        <w:t xml:space="preserve">r combien de personnes sont aujourd’hui suspectées, inculpées et détenues et si toutes les parties au conflit sont concernées par cette procédure. Notons que cette cellule ne concerne que la période </w:t>
      </w:r>
      <w:r w:rsidR="00F77313" w:rsidRPr="001D25B1">
        <w:rPr>
          <w:rFonts w:ascii="Garamond" w:eastAsia="Times New Roman" w:hAnsi="Garamond" w:cs="Garamond"/>
          <w:sz w:val="24"/>
          <w:szCs w:val="24"/>
        </w:rPr>
        <w:t>postélectorale</w:t>
      </w:r>
      <w:r w:rsidRPr="001D25B1">
        <w:rPr>
          <w:rFonts w:ascii="Garamond" w:eastAsia="Times New Roman" w:hAnsi="Garamond" w:cs="Garamond"/>
          <w:sz w:val="24"/>
          <w:szCs w:val="24"/>
        </w:rPr>
        <w:t xml:space="preserve"> alors que les disparitions forcées étaient déjà nombreuses suite au déclenchement de la guerre en septembre 2002. </w:t>
      </w:r>
    </w:p>
    <w:p w:rsidR="00FC1C58" w:rsidRPr="00895FAB" w:rsidRDefault="00FC1C58" w:rsidP="001D25B1">
      <w:pPr>
        <w:spacing w:before="120" w:after="120" w:line="276" w:lineRule="auto"/>
        <w:jc w:val="both"/>
        <w:rPr>
          <w:rFonts w:ascii="Garamond" w:eastAsia="Times New Roman" w:hAnsi="Garamond" w:cs="Garamond"/>
          <w:b/>
          <w:bCs/>
          <w:i/>
          <w:color w:val="365F91"/>
          <w:sz w:val="24"/>
          <w:szCs w:val="24"/>
        </w:rPr>
      </w:pPr>
      <w:r w:rsidRPr="00895FAB">
        <w:rPr>
          <w:rFonts w:ascii="Garamond" w:eastAsia="Times New Roman" w:hAnsi="Garamond" w:cs="Garamond"/>
          <w:b/>
          <w:bCs/>
          <w:i/>
          <w:color w:val="365F91"/>
          <w:sz w:val="24"/>
          <w:szCs w:val="24"/>
        </w:rPr>
        <w:t xml:space="preserve">La FIACAT et l'ACAT Côte d’Ivoire invitent le Comité des droits de l’homme à recommander à l’Etat partie de : </w:t>
      </w:r>
    </w:p>
    <w:p w:rsidR="00FC1C58" w:rsidRPr="001D25B1" w:rsidRDefault="00FC1C58" w:rsidP="001D25B1">
      <w:pPr>
        <w:pStyle w:val="Paragraphedeliste"/>
        <w:numPr>
          <w:ilvl w:val="1"/>
          <w:numId w:val="43"/>
        </w:numPr>
        <w:rPr>
          <w:b/>
          <w:i/>
          <w:color w:val="365F91"/>
        </w:rPr>
      </w:pPr>
      <w:r w:rsidRPr="001D25B1">
        <w:rPr>
          <w:b/>
          <w:i/>
          <w:color w:val="365F91"/>
        </w:rPr>
        <w:t>Ratifier la Convention internationale pour la protection de toutes les personnes contre les disparitions forcées ;</w:t>
      </w:r>
    </w:p>
    <w:p w:rsidR="00FC1C58" w:rsidRPr="001D25B1" w:rsidRDefault="00FC1C58" w:rsidP="001D25B1">
      <w:pPr>
        <w:pStyle w:val="Paragraphedeliste"/>
        <w:numPr>
          <w:ilvl w:val="1"/>
          <w:numId w:val="43"/>
        </w:numPr>
        <w:rPr>
          <w:b/>
          <w:i/>
          <w:color w:val="365F91"/>
        </w:rPr>
      </w:pPr>
      <w:r w:rsidRPr="001D25B1">
        <w:rPr>
          <w:b/>
          <w:i/>
          <w:color w:val="365F91"/>
        </w:rPr>
        <w:t>Poursuivre les auteurs de disparitions forcées.</w:t>
      </w:r>
    </w:p>
    <w:p w:rsidR="00FC1C58" w:rsidRPr="00212184" w:rsidRDefault="00FC1C58" w:rsidP="001D25B1">
      <w:pPr>
        <w:spacing w:before="120" w:after="120" w:line="276" w:lineRule="auto"/>
        <w:jc w:val="both"/>
        <w:rPr>
          <w:rFonts w:ascii="Garamond" w:eastAsia="Times New Roman" w:hAnsi="Garamond" w:cs="Garamond"/>
          <w:sz w:val="24"/>
          <w:szCs w:val="24"/>
        </w:rPr>
      </w:pPr>
    </w:p>
    <w:p w:rsidR="00FC1C58" w:rsidRPr="00212184" w:rsidRDefault="00FC1C58" w:rsidP="001D25B1">
      <w:pPr>
        <w:pStyle w:val="Titre2"/>
      </w:pPr>
      <w:bookmarkStart w:id="51" w:name="_Toc386200909"/>
      <w:bookmarkStart w:id="52" w:name="_Toc412111722"/>
      <w:bookmarkEnd w:id="30"/>
      <w:r w:rsidRPr="00212184">
        <w:t>Article 7 : l’interdiction de la torture</w:t>
      </w:r>
      <w:bookmarkEnd w:id="51"/>
      <w:bookmarkEnd w:id="52"/>
    </w:p>
    <w:p w:rsidR="00FC1C58" w:rsidRPr="00212184" w:rsidRDefault="00FC1C58" w:rsidP="001D25B1">
      <w:pPr>
        <w:spacing w:before="120" w:after="120" w:line="276" w:lineRule="auto"/>
        <w:jc w:val="both"/>
        <w:rPr>
          <w:rFonts w:ascii="Garamond" w:eastAsia="Times New Roman" w:hAnsi="Garamond" w:cs="Garamond"/>
          <w:sz w:val="24"/>
          <w:szCs w:val="24"/>
        </w:rPr>
      </w:pPr>
    </w:p>
    <w:p w:rsidR="00FC1C58" w:rsidRPr="00C425A9" w:rsidRDefault="00FC1C58" w:rsidP="001D25B1">
      <w:pPr>
        <w:pStyle w:val="Titre3"/>
        <w:numPr>
          <w:ilvl w:val="0"/>
          <w:numId w:val="22"/>
        </w:numPr>
      </w:pPr>
      <w:bookmarkStart w:id="53" w:name="_Toc386200910"/>
      <w:bookmarkStart w:id="54" w:name="_Toc412111723"/>
      <w:r w:rsidRPr="00C425A9">
        <w:t>L’incrimination de la torture</w:t>
      </w:r>
      <w:bookmarkEnd w:id="53"/>
      <w:bookmarkEnd w:id="54"/>
    </w:p>
    <w:p w:rsidR="00FC1C58" w:rsidRPr="00895FAB" w:rsidRDefault="00FC1C58" w:rsidP="001D25B1">
      <w:pPr>
        <w:spacing w:before="120" w:after="120" w:line="276" w:lineRule="auto"/>
        <w:jc w:val="both"/>
        <w:rPr>
          <w:rFonts w:ascii="Garamond" w:eastAsia="Times New Roman" w:hAnsi="Garamond" w:cs="Garamond"/>
          <w:sz w:val="24"/>
          <w:szCs w:val="24"/>
        </w:rPr>
      </w:pPr>
      <w:r w:rsidRPr="00895FAB">
        <w:rPr>
          <w:rFonts w:ascii="Garamond" w:eastAsia="Times New Roman" w:hAnsi="Garamond" w:cs="Garamond"/>
          <w:sz w:val="24"/>
          <w:szCs w:val="24"/>
        </w:rPr>
        <w:t xml:space="preserve">La Côte d’Ivoire a adhéré à la Convention contre la torture et autres peines ou traitements cruels, inhumains ou dégradants des Nations Unies le 18 décembre 1995.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L’article 3 de la Constitution ivoirienne adoptée en 2000 dispose que </w:t>
      </w:r>
      <w:r w:rsidRPr="001D25B1">
        <w:rPr>
          <w:rFonts w:ascii="Garamond" w:eastAsia="Times New Roman" w:hAnsi="Garamond" w:cs="Garamond"/>
          <w:i/>
          <w:sz w:val="24"/>
          <w:szCs w:val="24"/>
        </w:rPr>
        <w:t>« Sont interdits et punis par la loi, l’esclavage, le travail forcé, les traitements inhumains et cruels, dégradants et humiliants, la torture physique ou morale, les violences physiques et les mutilations et toutes les formes d’avilissement de l’être humain »</w:t>
      </w:r>
      <w:r w:rsidRPr="001D25B1">
        <w:rPr>
          <w:rFonts w:ascii="Garamond" w:eastAsia="Times New Roman" w:hAnsi="Garamond" w:cs="Garamond"/>
          <w:sz w:val="24"/>
          <w:szCs w:val="24"/>
        </w:rPr>
        <w:t>.</w:t>
      </w:r>
    </w:p>
    <w:p w:rsidR="00FC1C58" w:rsidRPr="001D25B1" w:rsidRDefault="00FC1C58" w:rsidP="001D25B1">
      <w:pPr>
        <w:autoSpaceDE w:val="0"/>
        <w:autoSpaceDN w:val="0"/>
        <w:adjustRightInd w:val="0"/>
        <w:spacing w:before="120" w:after="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Cependant, en dehors de cette disposition, il existe un vide juridique sur la torture et les mauvais traitements dans le droit positif ivoirien. En effet, on y relève les insuffisances suivantes : </w:t>
      </w:r>
    </w:p>
    <w:p w:rsidR="00FC1C58" w:rsidRPr="001D25B1" w:rsidRDefault="00887AE7" w:rsidP="001D25B1">
      <w:pPr>
        <w:pStyle w:val="Paragraphedeliste"/>
        <w:numPr>
          <w:ilvl w:val="1"/>
          <w:numId w:val="41"/>
        </w:numPr>
        <w:autoSpaceDE w:val="0"/>
        <w:autoSpaceDN w:val="0"/>
        <w:adjustRightInd w:val="0"/>
        <w:spacing w:after="0"/>
      </w:pPr>
      <w:r w:rsidRPr="001D25B1">
        <w:t>l’absence de</w:t>
      </w:r>
      <w:r w:rsidR="00FC1C58" w:rsidRPr="001D25B1">
        <w:t xml:space="preserve"> définition de la torture et des mauvais traitements dans le Code Pénal ivoirien</w:t>
      </w:r>
    </w:p>
    <w:p w:rsidR="00FC1C58" w:rsidRPr="00C425A9" w:rsidRDefault="00FC1C58" w:rsidP="001D25B1">
      <w:pPr>
        <w:pStyle w:val="Paragraphedeliste"/>
        <w:numPr>
          <w:ilvl w:val="1"/>
          <w:numId w:val="41"/>
        </w:numPr>
        <w:autoSpaceDE w:val="0"/>
        <w:autoSpaceDN w:val="0"/>
        <w:adjustRightInd w:val="0"/>
        <w:spacing w:after="0"/>
      </w:pPr>
      <w:r w:rsidRPr="001D25B1">
        <w:lastRenderedPageBreak/>
        <w:t>la torture est assimilée aux coups et blessures</w:t>
      </w:r>
      <w:r w:rsidRPr="00C425A9">
        <w:rPr>
          <w:vertAlign w:val="superscript"/>
        </w:rPr>
        <w:footnoteReference w:id="24"/>
      </w:r>
      <w:r w:rsidRPr="00C425A9">
        <w:t xml:space="preserve"> ce qui n’est pas conforme à la définition de la torture selon l’article premier de la Convention contre la torture </w:t>
      </w:r>
    </w:p>
    <w:p w:rsidR="00FC1C58" w:rsidRPr="00895FAB" w:rsidRDefault="00FC1C58" w:rsidP="001D25B1">
      <w:pPr>
        <w:pStyle w:val="Paragraphedeliste"/>
        <w:numPr>
          <w:ilvl w:val="1"/>
          <w:numId w:val="41"/>
        </w:numPr>
        <w:autoSpaceDE w:val="0"/>
        <w:autoSpaceDN w:val="0"/>
        <w:adjustRightInd w:val="0"/>
        <w:spacing w:after="0"/>
      </w:pPr>
      <w:r w:rsidRPr="00895FAB">
        <w:t xml:space="preserve">la non criminalisation de la torture dans le Code Pénal </w:t>
      </w:r>
    </w:p>
    <w:p w:rsidR="00FC1C58" w:rsidRPr="00C425A9" w:rsidRDefault="00FC1C58" w:rsidP="001D25B1">
      <w:pPr>
        <w:pStyle w:val="Paragraphedeliste"/>
        <w:numPr>
          <w:ilvl w:val="1"/>
          <w:numId w:val="41"/>
        </w:numPr>
        <w:autoSpaceDE w:val="0"/>
        <w:autoSpaceDN w:val="0"/>
        <w:adjustRightInd w:val="0"/>
        <w:spacing w:after="0"/>
      </w:pPr>
      <w:r w:rsidRPr="001D25B1">
        <w:t xml:space="preserve">l’inexistence d’une infraction autonome liée à la torture. Elle est considérée comme une circonstance aggravante </w:t>
      </w:r>
      <w:r w:rsidRPr="00C425A9">
        <w:rPr>
          <w:vertAlign w:val="superscript"/>
        </w:rPr>
        <w:footnoteReference w:id="25"/>
      </w:r>
    </w:p>
    <w:p w:rsidR="00FC1C58" w:rsidRPr="00C425A9" w:rsidRDefault="00FC1C58" w:rsidP="001D25B1">
      <w:pPr>
        <w:pStyle w:val="Paragraphedeliste"/>
        <w:numPr>
          <w:ilvl w:val="1"/>
          <w:numId w:val="41"/>
        </w:numPr>
        <w:autoSpaceDE w:val="0"/>
        <w:autoSpaceDN w:val="0"/>
        <w:adjustRightInd w:val="0"/>
        <w:spacing w:after="0"/>
      </w:pPr>
      <w:r w:rsidRPr="00895FAB">
        <w:t>l’absence de peines appropriées et proportionnées à la gravité des actes de torture et aux mauvais traitements</w:t>
      </w:r>
      <w:r w:rsidRPr="00C425A9">
        <w:rPr>
          <w:rStyle w:val="Appelnotedebasdep"/>
        </w:rPr>
        <w:footnoteReference w:id="26"/>
      </w:r>
    </w:p>
    <w:p w:rsidR="00FC1C58" w:rsidRPr="00895FAB" w:rsidRDefault="00FC1C58" w:rsidP="001D25B1">
      <w:pPr>
        <w:pStyle w:val="Paragraphedeliste"/>
        <w:numPr>
          <w:ilvl w:val="1"/>
          <w:numId w:val="41"/>
        </w:numPr>
        <w:autoSpaceDE w:val="0"/>
        <w:autoSpaceDN w:val="0"/>
        <w:adjustRightInd w:val="0"/>
        <w:spacing w:after="0"/>
      </w:pPr>
      <w:r w:rsidRPr="00895FAB">
        <w:t>les aveux obtenus sous la torture sont laissés à la libre appréciation du juge d’instruction</w:t>
      </w:r>
    </w:p>
    <w:p w:rsidR="00FC1C58" w:rsidRPr="001D25B1" w:rsidRDefault="00FC1C58" w:rsidP="001D25B1">
      <w:pPr>
        <w:autoSpaceDE w:val="0"/>
        <w:autoSpaceDN w:val="0"/>
        <w:adjustRightInd w:val="0"/>
        <w:spacing w:before="120" w:after="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Ainsi, s’il n’existe qu’une très faible jurisprudence en matière de torture et de mauvais traitement</w:t>
      </w:r>
      <w:r w:rsidR="003A6560"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 en droit ivoirien, ce n’est pas tant qu’il n’y ait pas eu de plaintes relatives à ces infractions mais c’est plutôt dû à l’absence de textes</w:t>
      </w:r>
      <w:r w:rsidR="00887AE7"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rendant irrecevables ces plaintes. Cependant, dans plusieurs poursuites par le ministère public, contre des inculpés suite à la crise </w:t>
      </w:r>
      <w:r w:rsidR="00F77313" w:rsidRPr="001D25B1">
        <w:rPr>
          <w:rFonts w:ascii="Garamond" w:eastAsia="Times New Roman" w:hAnsi="Garamond" w:cs="Garamond"/>
          <w:sz w:val="24"/>
          <w:szCs w:val="24"/>
        </w:rPr>
        <w:t>postélectorale</w:t>
      </w:r>
      <w:r w:rsidRPr="001D25B1">
        <w:rPr>
          <w:rFonts w:ascii="Garamond" w:eastAsia="Times New Roman" w:hAnsi="Garamond" w:cs="Garamond"/>
          <w:sz w:val="24"/>
          <w:szCs w:val="24"/>
        </w:rPr>
        <w:t xml:space="preserve">, les infractions de torture sont citées. Ce vide profite donc plus aux bourreaux qui poursuivent cette pratique prohibée sans être pour autant inquiétés. Les victimes ne peuvent, quant à elles, pas obtenir justice devant les tribunaux ivoiriens </w:t>
      </w:r>
      <w:r w:rsidR="004633DD" w:rsidRPr="001D25B1">
        <w:rPr>
          <w:rFonts w:ascii="Garamond" w:eastAsia="Times New Roman" w:hAnsi="Garamond" w:cs="Garamond"/>
          <w:sz w:val="24"/>
          <w:szCs w:val="24"/>
        </w:rPr>
        <w:t xml:space="preserve">car </w:t>
      </w:r>
      <w:r w:rsidRPr="001D25B1">
        <w:rPr>
          <w:rFonts w:ascii="Garamond" w:eastAsia="Times New Roman" w:hAnsi="Garamond" w:cs="Garamond"/>
          <w:sz w:val="24"/>
          <w:szCs w:val="24"/>
        </w:rPr>
        <w:t xml:space="preserve">leur plainte ne sera pas recevable puisque visant une infraction inexistante. Dans le meilleur des cas, les faits seront requalifiés en une infraction qui ne correspond pas  aux faits vécus. Les victimes ne peuvent non plus saisir le Comité contre la torture car l’Etat de Côte d’Ivoire au titre l’article 22 de la </w:t>
      </w:r>
      <w:r w:rsidR="0079799E" w:rsidRPr="001D25B1">
        <w:rPr>
          <w:rFonts w:ascii="Garamond" w:eastAsia="Times New Roman" w:hAnsi="Garamond" w:cs="Garamond"/>
          <w:sz w:val="24"/>
          <w:szCs w:val="24"/>
        </w:rPr>
        <w:t>C</w:t>
      </w:r>
      <w:r w:rsidRPr="001D25B1">
        <w:rPr>
          <w:rFonts w:ascii="Garamond" w:eastAsia="Times New Roman" w:hAnsi="Garamond" w:cs="Garamond"/>
          <w:sz w:val="24"/>
          <w:szCs w:val="24"/>
        </w:rPr>
        <w:t xml:space="preserve">onvention devrait faire une déclaration </w:t>
      </w:r>
      <w:r w:rsidR="003A6560" w:rsidRPr="001D25B1">
        <w:rPr>
          <w:rFonts w:ascii="Garamond" w:eastAsia="Times New Roman" w:hAnsi="Garamond" w:cs="Garamond"/>
          <w:sz w:val="24"/>
          <w:szCs w:val="24"/>
        </w:rPr>
        <w:t>reconnaissant la compétence du C</w:t>
      </w:r>
      <w:r w:rsidR="004F06E7" w:rsidRPr="001D25B1">
        <w:rPr>
          <w:rFonts w:ascii="Garamond" w:eastAsia="Times New Roman" w:hAnsi="Garamond" w:cs="Garamond"/>
          <w:sz w:val="24"/>
          <w:szCs w:val="24"/>
        </w:rPr>
        <w:t>omité contre la torture (C</w:t>
      </w:r>
      <w:r w:rsidRPr="001D25B1">
        <w:rPr>
          <w:rFonts w:ascii="Garamond" w:eastAsia="Times New Roman" w:hAnsi="Garamond" w:cs="Garamond"/>
          <w:sz w:val="24"/>
          <w:szCs w:val="24"/>
        </w:rPr>
        <w:t>AT</w:t>
      </w:r>
      <w:r w:rsidR="004F06E7"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pour recevoir les plaintes individuelles de ses ressortissants</w:t>
      </w:r>
      <w:r w:rsidR="0079799E" w:rsidRPr="001D25B1">
        <w:rPr>
          <w:rFonts w:ascii="Garamond" w:eastAsia="Times New Roman" w:hAnsi="Garamond" w:cs="Garamond"/>
          <w:sz w:val="24"/>
          <w:szCs w:val="24"/>
        </w:rPr>
        <w:t>, c</w:t>
      </w:r>
      <w:r w:rsidRPr="001D25B1">
        <w:rPr>
          <w:rFonts w:ascii="Garamond" w:eastAsia="Times New Roman" w:hAnsi="Garamond" w:cs="Garamond"/>
          <w:sz w:val="24"/>
          <w:szCs w:val="24"/>
        </w:rPr>
        <w:t>e qu’il n’a pas fait. Ainsi, les victimes ne peuvent ni au plan national</w:t>
      </w:r>
      <w:r w:rsidR="004633DD"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ni au plan international obtenir justice et une réparation appropriée. Et pourtant</w:t>
      </w:r>
      <w:r w:rsidRPr="001D25B1">
        <w:rPr>
          <w:rFonts w:ascii="Candara" w:eastAsia="Times New Roman" w:hAnsi="Candara" w:cs="Calibri"/>
          <w:sz w:val="24"/>
          <w:szCs w:val="24"/>
        </w:rPr>
        <w:t xml:space="preserve"> </w:t>
      </w:r>
      <w:r w:rsidRPr="001D25B1">
        <w:rPr>
          <w:rFonts w:ascii="Garamond" w:eastAsia="Times New Roman" w:hAnsi="Garamond" w:cs="Garamond"/>
          <w:sz w:val="24"/>
          <w:szCs w:val="24"/>
        </w:rPr>
        <w:t xml:space="preserve">elles sont nombreuses surtout après la décennie de guerre que la Côte d’Ivoire a connue.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Ainsi, aucune disposition du Code pénal</w:t>
      </w:r>
      <w:r w:rsidR="004F06E7" w:rsidRPr="001D25B1">
        <w:rPr>
          <w:rFonts w:ascii="Garamond" w:eastAsia="Times New Roman" w:hAnsi="Garamond" w:cs="Garamond"/>
          <w:sz w:val="24"/>
          <w:szCs w:val="24"/>
        </w:rPr>
        <w:t xml:space="preserve"> (CP)</w:t>
      </w:r>
      <w:r w:rsidRPr="001D25B1">
        <w:rPr>
          <w:rFonts w:ascii="Garamond" w:eastAsia="Times New Roman" w:hAnsi="Garamond" w:cs="Garamond"/>
          <w:sz w:val="24"/>
          <w:szCs w:val="24"/>
        </w:rPr>
        <w:t xml:space="preserve"> en vigueur ne définit explicitement la torture ni ne la criminalise. Cette absence de définition vide de son sens l’interdiction de la torture prévue par la Constitution et ne permet dès lors pas de la prévenir et de la réprimer efficacement. Cette absence de définition de la torture ne permet pas de sanctionner le caractère particulièrement grave de ce crime et de prévenir son occurrence.</w:t>
      </w:r>
    </w:p>
    <w:p w:rsidR="006F03B5"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La Commission nationale d’enquête (CNE) mise en place le 20 juillet 2011 pour enquêter sur les violations des droits de l’homme et du droit international humanitaire commises pendant la période </w:t>
      </w:r>
      <w:r w:rsidRPr="001D25B1">
        <w:rPr>
          <w:rFonts w:ascii="Garamond" w:eastAsia="Times New Roman" w:hAnsi="Garamond" w:cs="Garamond"/>
          <w:sz w:val="24"/>
          <w:szCs w:val="24"/>
        </w:rPr>
        <w:lastRenderedPageBreak/>
        <w:t>postélectorale</w:t>
      </w:r>
      <w:r w:rsidR="002D6D10"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allant du 31 octobre 2010 au 15 mai 2011</w:t>
      </w:r>
      <w:r w:rsidR="002D6D10"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a pourtant relevé, pendant la seule période postélectorale</w:t>
      </w:r>
      <w:r w:rsidR="006F03B5" w:rsidRPr="001D25B1">
        <w:rPr>
          <w:rFonts w:ascii="Garamond" w:eastAsia="Times New Roman" w:hAnsi="Garamond" w:cs="Garamond"/>
          <w:sz w:val="24"/>
          <w:szCs w:val="24"/>
        </w:rPr>
        <w:t xml:space="preserve"> : </w:t>
      </w:r>
    </w:p>
    <w:p w:rsidR="006F03B5" w:rsidRPr="001D25B1" w:rsidRDefault="00FC1C58" w:rsidP="001D25B1">
      <w:pPr>
        <w:pStyle w:val="Paragraphedeliste"/>
        <w:numPr>
          <w:ilvl w:val="0"/>
          <w:numId w:val="42"/>
        </w:numPr>
      </w:pPr>
      <w:r w:rsidRPr="001D25B1">
        <w:t xml:space="preserve"> 296 cas de torture ayant entraîné la mort, </w:t>
      </w:r>
    </w:p>
    <w:p w:rsidR="006F03B5" w:rsidRPr="001D25B1" w:rsidRDefault="00FC1C58" w:rsidP="001D25B1">
      <w:pPr>
        <w:pStyle w:val="Paragraphedeliste"/>
        <w:numPr>
          <w:ilvl w:val="0"/>
          <w:numId w:val="42"/>
        </w:numPr>
      </w:pPr>
      <w:r w:rsidRPr="001D25B1">
        <w:t xml:space="preserve">1 354 cas de torture et </w:t>
      </w:r>
    </w:p>
    <w:p w:rsidR="006F03B5" w:rsidRPr="00895FAB" w:rsidRDefault="00FC1C58" w:rsidP="00F63D32">
      <w:pPr>
        <w:pStyle w:val="Paragraphedeliste"/>
        <w:numPr>
          <w:ilvl w:val="0"/>
          <w:numId w:val="42"/>
        </w:numPr>
      </w:pPr>
      <w:r w:rsidRPr="001D25B1">
        <w:t>1 135 cas de traitements cruels, inhumains et dégradants</w:t>
      </w:r>
      <w:r w:rsidRPr="00C425A9">
        <w:rPr>
          <w:vertAlign w:val="superscript"/>
        </w:rPr>
        <w:footnoteReference w:id="27"/>
      </w:r>
      <w:r w:rsidRPr="00C425A9">
        <w:t xml:space="preserve">. </w:t>
      </w:r>
    </w:p>
    <w:p w:rsidR="00FC1C58" w:rsidRPr="001D25B1" w:rsidRDefault="00FC1C58" w:rsidP="001D25B1">
      <w:pPr>
        <w:spacing w:line="276" w:lineRule="auto"/>
        <w:ind w:left="360"/>
        <w:jc w:val="both"/>
        <w:rPr>
          <w:rFonts w:ascii="Garamond" w:hAnsi="Garamond"/>
          <w:sz w:val="24"/>
          <w:szCs w:val="24"/>
        </w:rPr>
      </w:pPr>
      <w:r w:rsidRPr="00895FAB">
        <w:rPr>
          <w:rFonts w:ascii="Garamond" w:hAnsi="Garamond"/>
          <w:sz w:val="24"/>
          <w:szCs w:val="24"/>
        </w:rPr>
        <w:t>L</w:t>
      </w:r>
      <w:r w:rsidRPr="001D25B1">
        <w:rPr>
          <w:rFonts w:ascii="Garamond" w:hAnsi="Garamond"/>
          <w:sz w:val="24"/>
          <w:szCs w:val="24"/>
        </w:rPr>
        <w:t>a CNE a recommandé que les auteurs de ces actes soient poursuivis mais, faute d’incrimination, la poursuite des auteurs d’actes de torture est aujourd’hui impossible en Côte d’Ivoire. L’Etat ivoirien n’ayant jusque-là jamais présenté de rapport devant le Comité contre la torture, il n’est pas possible d’avoir des indicateurs précis sur le nombre d’actes de torture et de mauvais traitements. Plusieurs rapports d’organisations de droits de l’homme et des Nations Unies font mention de la pratique courante de la torture en Côte d’Ivoire et du fait qu’elle soit encouragée par l’impunité et les différentes amnisties intervenues en Côte d’Ivoire (cité</w:t>
      </w:r>
      <w:r w:rsidR="0079799E" w:rsidRPr="001D25B1">
        <w:rPr>
          <w:rFonts w:ascii="Garamond" w:hAnsi="Garamond"/>
          <w:sz w:val="24"/>
          <w:szCs w:val="24"/>
        </w:rPr>
        <w:t>e</w:t>
      </w:r>
      <w:r w:rsidRPr="001D25B1">
        <w:rPr>
          <w:rFonts w:ascii="Garamond" w:hAnsi="Garamond"/>
          <w:sz w:val="24"/>
          <w:szCs w:val="24"/>
        </w:rPr>
        <w:t xml:space="preserve">s plus haut). Pour preuve, le dernier rapport de l’expert indépendant sur la Côte d’Ivoire </w:t>
      </w:r>
      <w:r w:rsidRPr="001D25B1">
        <w:rPr>
          <w:rFonts w:ascii="Garamond" w:hAnsi="Garamond"/>
          <w:color w:val="555555"/>
          <w:sz w:val="24"/>
          <w:szCs w:val="24"/>
        </w:rPr>
        <w:t>(A/HRC/25/73)</w:t>
      </w:r>
      <w:r w:rsidRPr="001D25B1">
        <w:rPr>
          <w:rFonts w:ascii="Garamond" w:hAnsi="Garamond"/>
          <w:sz w:val="24"/>
          <w:szCs w:val="24"/>
        </w:rPr>
        <w:t>, mentionne  à propos de la torture </w:t>
      </w:r>
      <w:r w:rsidR="00F77313" w:rsidRPr="001D25B1">
        <w:rPr>
          <w:rFonts w:ascii="Garamond" w:hAnsi="Garamond"/>
          <w:sz w:val="24"/>
          <w:szCs w:val="24"/>
        </w:rPr>
        <w:t xml:space="preserve">: </w:t>
      </w:r>
    </w:p>
    <w:p w:rsidR="00FC1C58" w:rsidRPr="001D25B1" w:rsidRDefault="006F03B5" w:rsidP="0095626B">
      <w:pPr>
        <w:numPr>
          <w:ilvl w:val="2"/>
          <w:numId w:val="16"/>
        </w:numPr>
        <w:tabs>
          <w:tab w:val="num" w:pos="0"/>
        </w:tabs>
        <w:suppressAutoHyphens/>
        <w:spacing w:before="120" w:after="120" w:line="276" w:lineRule="auto"/>
        <w:jc w:val="both"/>
        <w:rPr>
          <w:rFonts w:ascii="Garamond" w:eastAsia="Times New Roman" w:hAnsi="Garamond" w:cs="Times New Roman"/>
          <w:i/>
          <w:color w:val="000000"/>
          <w:sz w:val="24"/>
          <w:szCs w:val="24"/>
          <w:lang w:val="fr-CH"/>
        </w:rPr>
      </w:pPr>
      <w:r w:rsidRPr="001D25B1">
        <w:rPr>
          <w:rFonts w:ascii="Garamond" w:hAnsi="Garamond"/>
          <w:sz w:val="24"/>
          <w:szCs w:val="24"/>
        </w:rPr>
        <w:t>« </w:t>
      </w:r>
      <w:r w:rsidR="00FC1C58" w:rsidRPr="001D25B1">
        <w:rPr>
          <w:rFonts w:ascii="Garamond" w:eastAsia="Times New Roman" w:hAnsi="Garamond" w:cs="Times New Roman"/>
          <w:i/>
          <w:color w:val="000000"/>
          <w:sz w:val="24"/>
          <w:szCs w:val="24"/>
          <w:lang w:val="fr-CH"/>
        </w:rPr>
        <w:t>L’Expert indépendant a été informé d’actes de torture commis dans plusieurs centres de détention du pays, notamment des bastonnades et d’autres traitements cruels, inhumains ou dégradants imputables à des éléments de la DST, du Centre de coordination des décisions opérationnelles (CCDO) et des FRCI.</w:t>
      </w:r>
    </w:p>
    <w:p w:rsidR="00FC1C58" w:rsidRPr="001D25B1" w:rsidRDefault="00FC1C58" w:rsidP="006D0349">
      <w:pPr>
        <w:numPr>
          <w:ilvl w:val="2"/>
          <w:numId w:val="16"/>
        </w:numPr>
        <w:tabs>
          <w:tab w:val="num" w:pos="0"/>
        </w:tabs>
        <w:suppressAutoHyphens/>
        <w:spacing w:before="120" w:after="120" w:line="276" w:lineRule="auto"/>
        <w:jc w:val="both"/>
        <w:rPr>
          <w:rFonts w:ascii="Garamond" w:eastAsia="Times New Roman" w:hAnsi="Garamond" w:cs="Times New Roman"/>
          <w:color w:val="000000"/>
          <w:sz w:val="24"/>
          <w:szCs w:val="24"/>
          <w:lang w:val="fr-CH"/>
        </w:rPr>
      </w:pPr>
      <w:r w:rsidRPr="001D25B1">
        <w:rPr>
          <w:rFonts w:ascii="Garamond" w:eastAsia="Times New Roman" w:hAnsi="Garamond" w:cs="Times New Roman"/>
          <w:i/>
          <w:color w:val="000000"/>
          <w:sz w:val="24"/>
          <w:szCs w:val="24"/>
          <w:lang w:val="fr-CH"/>
        </w:rPr>
        <w:t>À San Pedro, le 1</w:t>
      </w:r>
      <w:r w:rsidRPr="001D25B1">
        <w:rPr>
          <w:rFonts w:ascii="Garamond" w:eastAsia="Times New Roman" w:hAnsi="Garamond" w:cs="Times New Roman"/>
          <w:i/>
          <w:color w:val="000000"/>
          <w:sz w:val="24"/>
          <w:szCs w:val="24"/>
          <w:vertAlign w:val="superscript"/>
          <w:lang w:val="fr-CH"/>
        </w:rPr>
        <w:t>er</w:t>
      </w:r>
      <w:r w:rsidRPr="001D25B1">
        <w:rPr>
          <w:rFonts w:ascii="Garamond" w:eastAsia="Times New Roman" w:hAnsi="Garamond" w:cs="Times New Roman"/>
          <w:i/>
          <w:color w:val="000000"/>
          <w:sz w:val="24"/>
          <w:szCs w:val="24"/>
          <w:lang w:val="fr-CH"/>
        </w:rPr>
        <w:t xml:space="preserve"> janvier 2014, des éléments des FRCI sont entrés par effraction au domicile d’un citoyen, ont procédé à son arrestation et battu sévèrement les quatre autres occupants de la maison, dont une femme. Ces derniers ont été arrêtés puis libérés contre le versement de 95 000 francs CFA. Des cas de mauvais traitements infligés par des membres des FRCI, avec extorsion et menaces de mort, ont été aussi rapportés aux environs de San Pedro, le 14 janvier. Certains des détenus arrêtés en février pour atteinte à la sûreté de l’État et incarcérés à la MACA auraient été battus au moment de leur interpellation et lors de leur passage au camp des FRCI de Grabo. De sérieuses blessures ont été relevées sur une quinzaine d’entre eux par la Division des droits de l’homme de l’ONUCI</w:t>
      </w:r>
      <w:r w:rsidRPr="001D25B1">
        <w:rPr>
          <w:rFonts w:ascii="Garamond" w:eastAsia="Times New Roman" w:hAnsi="Garamond" w:cs="Times New Roman"/>
          <w:color w:val="000000"/>
          <w:sz w:val="24"/>
          <w:szCs w:val="24"/>
          <w:lang w:val="fr-CH"/>
        </w:rPr>
        <w:t xml:space="preserve">.» </w:t>
      </w:r>
    </w:p>
    <w:p w:rsidR="00FC1C58" w:rsidRPr="00212184" w:rsidRDefault="00BB5435" w:rsidP="00304045">
      <w:pPr>
        <w:suppressAutoHyphens/>
        <w:spacing w:after="0" w:line="276" w:lineRule="auto"/>
        <w:ind w:right="1134"/>
        <w:rPr>
          <w:rFonts w:ascii="Times New Roman" w:eastAsia="Times New Roman" w:hAnsi="Times New Roman" w:cs="Times New Roman"/>
          <w:color w:val="000000"/>
          <w:sz w:val="24"/>
          <w:szCs w:val="20"/>
        </w:rPr>
      </w:pPr>
      <w:r>
        <w:rPr>
          <w:rFonts w:ascii="Times New Roman" w:eastAsia="Times New Roman" w:hAnsi="Times New Roman" w:cs="Times New Roman"/>
          <w:noProof/>
          <w:color w:val="000000"/>
          <w:sz w:val="24"/>
          <w:szCs w:val="20"/>
          <w:lang w:eastAsia="fr-FR"/>
        </w:rPr>
        <mc:AlternateContent>
          <mc:Choice Requires="wps">
            <w:drawing>
              <wp:anchor distT="0" distB="0" distL="114300" distR="114300" simplePos="0" relativeHeight="251666432" behindDoc="0" locked="0" layoutInCell="1" allowOverlap="1" wp14:anchorId="292F8737" wp14:editId="1F631256">
                <wp:simplePos x="0" y="0"/>
                <wp:positionH relativeFrom="column">
                  <wp:posOffset>3055517</wp:posOffset>
                </wp:positionH>
                <wp:positionV relativeFrom="paragraph">
                  <wp:posOffset>384794</wp:posOffset>
                </wp:positionV>
                <wp:extent cx="2290445" cy="1148317"/>
                <wp:effectExtent l="0" t="0" r="19685" b="13970"/>
                <wp:wrapNone/>
                <wp:docPr id="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0445" cy="1148317"/>
                        </a:xfrm>
                        <a:prstGeom prst="rect">
                          <a:avLst/>
                        </a:prstGeom>
                        <a:solidFill>
                          <a:srgbClr val="FFFFFF"/>
                        </a:solidFill>
                        <a:ln w="9525">
                          <a:solidFill>
                            <a:srgbClr val="000000"/>
                          </a:solidFill>
                          <a:miter lim="800000"/>
                          <a:headEnd/>
                          <a:tailEnd/>
                        </a:ln>
                      </wps:spPr>
                      <wps:txbx>
                        <w:txbxContent>
                          <w:p w:rsidR="005E13E2" w:rsidRPr="006D5803" w:rsidRDefault="005E13E2" w:rsidP="00C30265">
                            <w:pPr>
                              <w:pStyle w:val="SingleTxtG"/>
                              <w:spacing w:after="0" w:line="276" w:lineRule="auto"/>
                              <w:ind w:left="0" w:right="-102"/>
                              <w:rPr>
                                <w:rFonts w:ascii="Garamond" w:hAnsi="Garamond"/>
                                <w:color w:val="000000"/>
                                <w:sz w:val="22"/>
                                <w:szCs w:val="22"/>
                                <w:lang w:val="fr-FR"/>
                              </w:rPr>
                            </w:pPr>
                            <w:r w:rsidRPr="006D5803">
                              <w:rPr>
                                <w:rFonts w:ascii="Garamond" w:hAnsi="Garamond"/>
                                <w:sz w:val="22"/>
                                <w:szCs w:val="22"/>
                              </w:rPr>
                              <w:t xml:space="preserve"> Des soldats des forces républicaines dét</w:t>
                            </w:r>
                            <w:r w:rsidRPr="006D5803">
                              <w:rPr>
                                <w:rFonts w:ascii="Garamond" w:hAnsi="Garamond"/>
                                <w:color w:val="000000"/>
                                <w:sz w:val="22"/>
                                <w:szCs w:val="22"/>
                                <w:lang w:val="fr-FR"/>
                              </w:rPr>
                              <w:t>enant</w:t>
                            </w:r>
                            <w:r w:rsidRPr="006D5803">
                              <w:rPr>
                                <w:rFonts w:ascii="Garamond" w:hAnsi="Garamond"/>
                                <w:sz w:val="22"/>
                                <w:szCs w:val="22"/>
                              </w:rPr>
                              <w:t xml:space="preserve"> </w:t>
                            </w:r>
                            <w:r w:rsidRPr="006D5803">
                              <w:rPr>
                                <w:rFonts w:ascii="Garamond" w:hAnsi="Garamond"/>
                                <w:color w:val="000000"/>
                                <w:sz w:val="22"/>
                                <w:szCs w:val="22"/>
                                <w:lang w:val="fr-FR"/>
                              </w:rPr>
                              <w:t>deux miliciens présumés fidèles à l'ancien président Laurent Gbagbo dans le quartier de Riviera I d'Abidjan en Côte d'Ivoire le 13 Avril 2011.</w:t>
                            </w:r>
                          </w:p>
                          <w:p w:rsidR="005E13E2" w:rsidRDefault="005E13E2" w:rsidP="00FC1C58"/>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w14:anchorId="292F8737" id="_x0000_t202" coordsize="21600,21600" o:spt="202" path="m,l,21600r21600,l21600,xe">
                <v:stroke joinstyle="miter"/>
                <v:path gradientshapeok="t" o:connecttype="rect"/>
              </v:shapetype>
              <v:shape id="Text Box 7" o:spid="_x0000_s1031" type="#_x0000_t202" style="position:absolute;margin-left:240.6pt;margin-top:30.3pt;width:180.35pt;height:90.4pt;z-index:25166643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">
                <v:textbox>
                  <w:txbxContent>
                    <w:p w:rsidR="005E13E2" w:rsidRPr="006D5803" w:rsidRDefault="005E13E2" w:rsidP="00C30265">
                      <w:pPr>
                        <w:pStyle w:val="SingleTxtG"/>
                        <w:spacing w:after="0" w:line="276" w:lineRule="auto"/>
                        <w:ind w:left="0" w:right="-102"/>
                        <w:rPr>
                          <w:rFonts w:ascii="Garamond" w:hAnsi="Garamond"/>
                          <w:color w:val="000000"/>
                          <w:sz w:val="22"/>
                          <w:szCs w:val="22"/>
                          <w:lang w:val="fr-FR"/>
                        </w:rPr>
                      </w:pPr>
                      <w:r w:rsidRPr="006D5803">
                        <w:rPr>
                          <w:rFonts w:ascii="Garamond" w:hAnsi="Garamond"/>
                          <w:sz w:val="22"/>
                          <w:szCs w:val="22"/>
                        </w:rPr>
                        <w:t xml:space="preserve"> Des soldats des forces républicaines dét</w:t>
                      </w:r>
                      <w:r w:rsidRPr="006D5803">
                        <w:rPr>
                          <w:rFonts w:ascii="Garamond" w:hAnsi="Garamond"/>
                          <w:color w:val="000000"/>
                          <w:sz w:val="22"/>
                          <w:szCs w:val="22"/>
                          <w:lang w:val="fr-FR"/>
                        </w:rPr>
                        <w:t>enant</w:t>
                      </w:r>
                      <w:r w:rsidRPr="006D5803">
                        <w:rPr>
                          <w:rFonts w:ascii="Garamond" w:hAnsi="Garamond"/>
                          <w:sz w:val="22"/>
                          <w:szCs w:val="22"/>
                        </w:rPr>
                        <w:t xml:space="preserve"> </w:t>
                      </w:r>
                      <w:r w:rsidRPr="006D5803">
                        <w:rPr>
                          <w:rFonts w:ascii="Garamond" w:hAnsi="Garamond"/>
                          <w:color w:val="000000"/>
                          <w:sz w:val="22"/>
                          <w:szCs w:val="22"/>
                          <w:lang w:val="fr-FR"/>
                        </w:rPr>
                        <w:t>deux miliciens présumés fidèles à l'ancien président Laurent Gbagbo dans le quartier de Riviera I d'Abidjan en Côte d'Ivoire le 13 Avril 2011.</w:t>
                      </w:r>
                    </w:p>
                    <w:p w:rsidR="005E13E2" w:rsidRDefault="005E13E2" w:rsidP="00FC1C58"/>
                  </w:txbxContent>
                </v:textbox>
              </v:shape>
            </w:pict>
          </mc:Fallback>
        </mc:AlternateContent>
      </w:r>
      <w:r w:rsidR="00FC1C58" w:rsidRPr="00212184">
        <w:rPr>
          <w:rFonts w:ascii="Times New Roman" w:eastAsia="Times New Roman" w:hAnsi="Times New Roman" w:cs="Times New Roman"/>
          <w:noProof/>
          <w:color w:val="000000"/>
          <w:sz w:val="24"/>
          <w:szCs w:val="20"/>
          <w:lang w:eastAsia="fr-FR"/>
        </w:rPr>
        <w:drawing>
          <wp:inline distT="0" distB="0" distL="0" distR="0" wp14:anchorId="36C3406A" wp14:editId="7B8AEDCF">
            <wp:extent cx="2438400" cy="1724025"/>
            <wp:effectExtent l="19050" t="0" r="0" b="0"/>
            <wp:docPr id="6" name="Image 1" descr="C:\Users\ACER\Desktop\2011_CDI_Republicanforces.jpg"/>
            <wp:cNvGraphicFramePr/>
            <a:graphic xmlns:a="http://schemas.openxmlformats.org/drawingml/2006/main">
              <a:graphicData uri="http://schemas.openxmlformats.org/drawingml/2006/picture">
                <pic:pic xmlns:pic="http://schemas.openxmlformats.org/drawingml/2006/picture">
                  <pic:nvPicPr>
                    <pic:cNvPr id="7" name="Picture 2" descr="C:\Users\ACER\Desktop\2011_CDI_Republicanforces.jpg"/>
                    <pic:cNvPicPr>
                      <a:picLocks noChangeAspect="1" noChangeArrowheads="1"/>
                    </pic:cNvPicPr>
                  </pic:nvPicPr>
                  <pic:blipFill>
                    <a:blip r:embed="rId20" cstate="print"/>
                    <a:srcRect/>
                    <a:stretch>
                      <a:fillRect/>
                    </a:stretch>
                  </pic:blipFill>
                  <pic:spPr bwMode="auto">
                    <a:xfrm>
                      <a:off x="0" y="0"/>
                      <a:ext cx="2443572" cy="1727682"/>
                    </a:xfrm>
                    <a:prstGeom prst="rect">
                      <a:avLst/>
                    </a:prstGeom>
                    <a:noFill/>
                  </pic:spPr>
                </pic:pic>
              </a:graphicData>
            </a:graphic>
          </wp:inline>
        </w:drawing>
      </w:r>
      <w:r w:rsidR="00FC1C58" w:rsidRPr="00212184">
        <w:rPr>
          <w:rFonts w:ascii="Times New Roman" w:eastAsia="Times New Roman" w:hAnsi="Times New Roman" w:cs="Times New Roman"/>
          <w:color w:val="000000"/>
          <w:sz w:val="24"/>
          <w:szCs w:val="20"/>
        </w:rPr>
        <w:t xml:space="preserve"> </w:t>
      </w:r>
    </w:p>
    <w:p w:rsidR="00FC1C58" w:rsidRPr="00212184" w:rsidRDefault="00FC1C58" w:rsidP="00304045">
      <w:pPr>
        <w:suppressAutoHyphens/>
        <w:spacing w:after="120" w:line="276" w:lineRule="auto"/>
        <w:ind w:left="1134" w:right="1134"/>
        <w:jc w:val="both"/>
        <w:rPr>
          <w:rFonts w:ascii="Times New Roman" w:eastAsia="Times New Roman" w:hAnsi="Times New Roman" w:cs="Times New Roman"/>
          <w:color w:val="000000"/>
          <w:sz w:val="20"/>
          <w:szCs w:val="20"/>
        </w:rPr>
      </w:pPr>
    </w:p>
    <w:p w:rsidR="00FC1C58" w:rsidRPr="00212184" w:rsidRDefault="00BB5435" w:rsidP="00304045">
      <w:pPr>
        <w:suppressAutoHyphens/>
        <w:spacing w:after="120" w:line="276" w:lineRule="auto"/>
        <w:ind w:right="1134"/>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lang w:eastAsia="fr-FR"/>
        </w:rPr>
        <w:lastRenderedPageBreak/>
        <mc:AlternateContent>
          <mc:Choice Requires="wps">
            <w:drawing>
              <wp:anchor distT="0" distB="0" distL="114300" distR="114300" simplePos="0" relativeHeight="251667456" behindDoc="0" locked="0" layoutInCell="1" allowOverlap="1" wp14:anchorId="1BD20D18" wp14:editId="644D24F6">
                <wp:simplePos x="0" y="0"/>
                <wp:positionH relativeFrom="column">
                  <wp:posOffset>2236810</wp:posOffset>
                </wp:positionH>
                <wp:positionV relativeFrom="paragraph">
                  <wp:posOffset>33035</wp:posOffset>
                </wp:positionV>
                <wp:extent cx="3733800" cy="1977656"/>
                <wp:effectExtent l="19050" t="19050" r="19050" b="41910"/>
                <wp:wrapNone/>
                <wp:docPr id="2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1977656"/>
                        </a:xfrm>
                        <a:prstGeom prst="leftArrow">
                          <a:avLst>
                            <a:gd name="adj1" fmla="val 50000"/>
                            <a:gd name="adj2" fmla="val 49615"/>
                          </a:avLst>
                        </a:prstGeom>
                        <a:solidFill>
                          <a:srgbClr val="FFFFFF"/>
                        </a:solidFill>
                        <a:ln w="9525">
                          <a:solidFill>
                            <a:srgbClr val="000000"/>
                          </a:solidFill>
                          <a:miter lim="800000"/>
                          <a:headEnd/>
                          <a:tailEnd/>
                        </a:ln>
                      </wps:spPr>
                      <wps:txbx>
                        <w:txbxContent>
                          <w:p w:rsidR="005E13E2" w:rsidRPr="006D5803" w:rsidRDefault="005E13E2" w:rsidP="001D25B1">
                            <w:pPr>
                              <w:pStyle w:val="SingleTxtG"/>
                              <w:spacing w:line="276" w:lineRule="auto"/>
                              <w:ind w:left="0" w:right="0"/>
                              <w:rPr>
                                <w:rFonts w:ascii="Garamond" w:hAnsi="Garamond"/>
                                <w:color w:val="000000"/>
                                <w:sz w:val="22"/>
                                <w:szCs w:val="22"/>
                                <w:lang w:val="fr-FR"/>
                              </w:rPr>
                            </w:pPr>
                            <w:r w:rsidRPr="006D5803">
                              <w:rPr>
                                <w:rFonts w:ascii="Garamond" w:hAnsi="Garamond"/>
                                <w:color w:val="000000"/>
                                <w:sz w:val="22"/>
                                <w:szCs w:val="22"/>
                                <w:lang w:val="fr-FR"/>
                              </w:rPr>
                              <w:t xml:space="preserve">Le 7 avril 2011 dans le quartier d’Attiécoubé des personnes armées ont aspergé la maison d’essence et y ont mis le feu, détruisant toute la maison. Les habitants ont réussi à fuir. Une femme de 36 ans a été grièvement brûlée. </w:t>
                            </w:r>
                          </w:p>
                          <w:p w:rsidR="005E13E2" w:rsidRDefault="005E13E2" w:rsidP="00FC1C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D20D1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8" o:spid="_x0000_s1032" type="#_x0000_t66" style="position:absolute;left:0;text-align:left;margin-left:176.15pt;margin-top:2.6pt;width:294pt;height:15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" adj="5676">
                <v:textbox>
                  <w:txbxContent>
                    <w:p w:rsidR="005E13E2" w:rsidRPr="006D5803" w:rsidRDefault="005E13E2" w:rsidP="001D25B1">
                      <w:pPr>
                        <w:pStyle w:val="SingleTxtG"/>
                        <w:spacing w:line="276" w:lineRule="auto"/>
                        <w:ind w:left="0" w:right="0"/>
                        <w:rPr>
                          <w:rFonts w:ascii="Garamond" w:hAnsi="Garamond"/>
                          <w:color w:val="000000"/>
                          <w:sz w:val="22"/>
                          <w:szCs w:val="22"/>
                          <w:lang w:val="fr-FR"/>
                        </w:rPr>
                      </w:pPr>
                      <w:r w:rsidRPr="006D5803">
                        <w:rPr>
                          <w:rFonts w:ascii="Garamond" w:hAnsi="Garamond"/>
                          <w:color w:val="000000"/>
                          <w:sz w:val="22"/>
                          <w:szCs w:val="22"/>
                          <w:lang w:val="fr-FR"/>
                        </w:rPr>
                        <w:t xml:space="preserve">Le 7 avril 2011 dans le quartier d’Attiécoubé des personnes armées ont aspergé la maison d’essence et y ont mis le feu, détruisant toute la maison. Les habitants ont réussi à fuir. Une femme de 36 ans a été grièvement brûlée. </w:t>
                      </w:r>
                    </w:p>
                    <w:p w:rsidR="005E13E2" w:rsidRDefault="005E13E2" w:rsidP="00FC1C58"/>
                  </w:txbxContent>
                </v:textbox>
              </v:shape>
            </w:pict>
          </mc:Fallback>
        </mc:AlternateContent>
      </w:r>
      <w:r w:rsidR="00FC1C58" w:rsidRPr="00212184">
        <w:rPr>
          <w:rFonts w:ascii="Times New Roman" w:eastAsia="Times New Roman" w:hAnsi="Times New Roman" w:cs="Times New Roman"/>
          <w:noProof/>
          <w:color w:val="000000"/>
          <w:sz w:val="20"/>
          <w:szCs w:val="20"/>
          <w:lang w:eastAsia="fr-FR"/>
        </w:rPr>
        <w:drawing>
          <wp:inline distT="0" distB="0" distL="0" distR="0" wp14:anchorId="7E8FEA00" wp14:editId="7210ECC5">
            <wp:extent cx="2019300" cy="1885950"/>
            <wp:effectExtent l="19050" t="0" r="0" b="0"/>
            <wp:docPr id="11" name="Image 2"/>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21" cstate="print"/>
                    <a:srcRect/>
                    <a:stretch>
                      <a:fillRect/>
                    </a:stretch>
                  </pic:blipFill>
                  <pic:spPr bwMode="auto">
                    <a:xfrm>
                      <a:off x="0" y="0"/>
                      <a:ext cx="2022176" cy="1888636"/>
                    </a:xfrm>
                    <a:prstGeom prst="rect">
                      <a:avLst/>
                    </a:prstGeom>
                    <a:noFill/>
                    <a:ln w="9525">
                      <a:noFill/>
                      <a:miter lim="800000"/>
                      <a:headEnd/>
                      <a:tailEnd/>
                    </a:ln>
                  </pic:spPr>
                </pic:pic>
              </a:graphicData>
            </a:graphic>
          </wp:inline>
        </w:drawing>
      </w:r>
    </w:p>
    <w:p w:rsidR="00FC1C58" w:rsidRPr="00212184" w:rsidRDefault="00BB5435" w:rsidP="00304045">
      <w:pPr>
        <w:suppressAutoHyphens/>
        <w:spacing w:after="120" w:line="276" w:lineRule="auto"/>
        <w:ind w:left="1134" w:right="1134"/>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lang w:eastAsia="fr-FR"/>
        </w:rPr>
        <mc:AlternateContent>
          <mc:Choice Requires="wps">
            <w:drawing>
              <wp:anchor distT="0" distB="0" distL="114300" distR="114300" simplePos="0" relativeHeight="251668480" behindDoc="0" locked="0" layoutInCell="1" allowOverlap="1" wp14:anchorId="0E583BA1" wp14:editId="69F43EEA">
                <wp:simplePos x="0" y="0"/>
                <wp:positionH relativeFrom="column">
                  <wp:posOffset>-42545</wp:posOffset>
                </wp:positionH>
                <wp:positionV relativeFrom="paragraph">
                  <wp:posOffset>43180</wp:posOffset>
                </wp:positionV>
                <wp:extent cx="6153150" cy="685800"/>
                <wp:effectExtent l="0" t="0" r="19050" b="19050"/>
                <wp:wrapNone/>
                <wp:docPr id="2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0" cy="685800"/>
                        </a:xfrm>
                        <a:prstGeom prst="roundRect">
                          <a:avLst>
                            <a:gd name="adj" fmla="val 16667"/>
                          </a:avLst>
                        </a:prstGeom>
                        <a:solidFill>
                          <a:srgbClr val="FFFFFF"/>
                        </a:solidFill>
                        <a:ln w="9525">
                          <a:solidFill>
                            <a:srgbClr val="000000"/>
                          </a:solidFill>
                          <a:round/>
                          <a:headEnd/>
                          <a:tailEnd/>
                        </a:ln>
                      </wps:spPr>
                      <wps:txbx>
                        <w:txbxContent>
                          <w:p w:rsidR="005E13E2" w:rsidRPr="001D25B1" w:rsidRDefault="005E13E2" w:rsidP="001D25B1">
                            <w:pPr>
                              <w:pStyle w:val="SingleTxtG"/>
                              <w:spacing w:line="276" w:lineRule="auto"/>
                              <w:ind w:left="0" w:right="0"/>
                              <w:rPr>
                                <w:rFonts w:ascii="Garamond" w:hAnsi="Garamond"/>
                                <w:color w:val="000000"/>
                                <w:sz w:val="22"/>
                                <w:lang w:val="fr-FR"/>
                              </w:rPr>
                            </w:pPr>
                            <w:r w:rsidRPr="001D25B1">
                              <w:rPr>
                                <w:rFonts w:ascii="Garamond" w:hAnsi="Garamond"/>
                                <w:color w:val="000000"/>
                                <w:sz w:val="22"/>
                                <w:lang w:val="fr-FR"/>
                              </w:rPr>
                              <w:t>« Le 7/04/2011, ce jour-là, selon certaines sources, les mercenaires libériens accompagnés d’un groupe de miliciens et des membres des FDS ont encerclé le quartier. Ils lançaient des roquettes et tiraient en direction des habitations. »</w:t>
                            </w:r>
                          </w:p>
                          <w:p w:rsidR="005E13E2" w:rsidRDefault="005E13E2" w:rsidP="00FC1C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583BA1" id="AutoShape 9" o:spid="_x0000_s1033" style="position:absolute;left:0;text-align:left;margin-left:-3.35pt;margin-top:3.4pt;width:484.5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">
                <v:textbox>
                  <w:txbxContent>
                    <w:p w:rsidR="005E13E2" w:rsidRPr="001D25B1" w:rsidRDefault="005E13E2" w:rsidP="001D25B1">
                      <w:pPr>
                        <w:pStyle w:val="SingleTxtG"/>
                        <w:spacing w:line="276" w:lineRule="auto"/>
                        <w:ind w:left="0" w:right="0"/>
                        <w:rPr>
                          <w:rFonts w:ascii="Garamond" w:hAnsi="Garamond"/>
                          <w:color w:val="000000"/>
                          <w:sz w:val="22"/>
                          <w:lang w:val="fr-FR"/>
                        </w:rPr>
                      </w:pPr>
                      <w:r w:rsidRPr="001D25B1">
                        <w:rPr>
                          <w:rFonts w:ascii="Garamond" w:hAnsi="Garamond"/>
                          <w:color w:val="000000"/>
                          <w:sz w:val="22"/>
                          <w:lang w:val="fr-FR"/>
                        </w:rPr>
                        <w:t>« Le 7/04/2011, ce jour-là, selon certaines sources, les mercenaires libériens accompagnés d’un groupe de miliciens et des membres des FDS ont encerclé le quartier. Ils lançaient des roquettes et tiraient en direction des habitations. »</w:t>
                      </w:r>
                    </w:p>
                    <w:p w:rsidR="005E13E2" w:rsidRDefault="005E13E2" w:rsidP="00FC1C58"/>
                  </w:txbxContent>
                </v:textbox>
              </v:roundrect>
            </w:pict>
          </mc:Fallback>
        </mc:AlternateContent>
      </w:r>
    </w:p>
    <w:p w:rsidR="00FC1C58" w:rsidRPr="00212184" w:rsidRDefault="00FC1C58" w:rsidP="00304045">
      <w:pPr>
        <w:suppressAutoHyphens/>
        <w:spacing w:after="120" w:line="276" w:lineRule="auto"/>
        <w:ind w:right="1134"/>
        <w:jc w:val="both"/>
        <w:rPr>
          <w:rFonts w:ascii="Times New Roman" w:eastAsia="Times New Roman" w:hAnsi="Times New Roman" w:cs="Times New Roman"/>
          <w:color w:val="000000"/>
          <w:sz w:val="24"/>
          <w:szCs w:val="20"/>
        </w:rPr>
      </w:pPr>
    </w:p>
    <w:p w:rsidR="00081305" w:rsidRDefault="00081305" w:rsidP="00304045">
      <w:pPr>
        <w:suppressAutoHyphens/>
        <w:spacing w:after="120" w:line="276" w:lineRule="auto"/>
        <w:jc w:val="both"/>
        <w:rPr>
          <w:rFonts w:ascii="Times New Roman" w:eastAsia="Times New Roman" w:hAnsi="Times New Roman" w:cs="Times New Roman"/>
          <w:color w:val="000000"/>
          <w:sz w:val="24"/>
          <w:szCs w:val="20"/>
        </w:rPr>
      </w:pPr>
    </w:p>
    <w:p w:rsidR="00C425A9" w:rsidRDefault="00C425A9" w:rsidP="00304045">
      <w:pPr>
        <w:suppressAutoHyphens/>
        <w:spacing w:after="120" w:line="276" w:lineRule="auto"/>
        <w:jc w:val="both"/>
        <w:rPr>
          <w:rFonts w:ascii="Garamond" w:eastAsia="Times New Roman" w:hAnsi="Garamond" w:cs="Times New Roman"/>
          <w:color w:val="000000"/>
          <w:sz w:val="24"/>
          <w:szCs w:val="20"/>
        </w:rPr>
      </w:pPr>
    </w:p>
    <w:p w:rsidR="002B41AE" w:rsidRPr="001D25B1" w:rsidRDefault="00081305" w:rsidP="00304045">
      <w:pPr>
        <w:suppressAutoHyphens/>
        <w:spacing w:after="120" w:line="276" w:lineRule="auto"/>
        <w:jc w:val="both"/>
        <w:rPr>
          <w:rFonts w:ascii="Garamond" w:eastAsia="Times New Roman" w:hAnsi="Garamond" w:cs="Times New Roman"/>
          <w:color w:val="000000"/>
          <w:sz w:val="24"/>
          <w:szCs w:val="24"/>
        </w:rPr>
      </w:pPr>
      <w:r w:rsidRPr="00895FAB">
        <w:rPr>
          <w:rFonts w:ascii="Garamond" w:eastAsia="Times New Roman" w:hAnsi="Garamond" w:cs="Times New Roman"/>
          <w:color w:val="000000"/>
          <w:sz w:val="24"/>
          <w:szCs w:val="24"/>
        </w:rPr>
        <w:t xml:space="preserve">Ces témoignages ont été extrait du rapport de l’APDH, </w:t>
      </w:r>
      <w:r w:rsidRPr="00895FAB">
        <w:rPr>
          <w:rFonts w:ascii="Garamond" w:eastAsia="Times New Roman" w:hAnsi="Garamond" w:cs="Times New Roman"/>
          <w:i/>
          <w:color w:val="000000"/>
          <w:sz w:val="24"/>
          <w:szCs w:val="24"/>
        </w:rPr>
        <w:t>la justice nous a oublié</w:t>
      </w:r>
      <w:r w:rsidRPr="001D25B1">
        <w:rPr>
          <w:rFonts w:ascii="Garamond" w:eastAsia="Times New Roman" w:hAnsi="Garamond" w:cs="Times New Roman"/>
          <w:color w:val="000000"/>
          <w:sz w:val="24"/>
          <w:szCs w:val="24"/>
        </w:rPr>
        <w:t>, février 2013</w:t>
      </w:r>
    </w:p>
    <w:p w:rsidR="00FC1C58" w:rsidRPr="00895FAB" w:rsidRDefault="00081305" w:rsidP="00304045">
      <w:pPr>
        <w:suppressAutoHyphens/>
        <w:spacing w:after="120" w:line="276" w:lineRule="auto"/>
        <w:jc w:val="both"/>
        <w:rPr>
          <w:rFonts w:ascii="Times New Roman" w:eastAsia="Times New Roman" w:hAnsi="Times New Roman" w:cs="Times New Roman"/>
          <w:color w:val="000000"/>
          <w:sz w:val="24"/>
          <w:szCs w:val="24"/>
        </w:rPr>
      </w:pPr>
      <w:r w:rsidRPr="001D25B1">
        <w:rPr>
          <w:rFonts w:ascii="Times New Roman" w:eastAsia="Times New Roman" w:hAnsi="Times New Roman" w:cs="Times New Roman"/>
          <w:noProof/>
          <w:color w:val="000000"/>
          <w:sz w:val="24"/>
          <w:szCs w:val="24"/>
          <w:lang w:eastAsia="fr-FR"/>
        </w:rPr>
        <mc:AlternateContent>
          <mc:Choice Requires="wps">
            <w:drawing>
              <wp:inline distT="0" distB="0" distL="0" distR="0" wp14:anchorId="5A1E9662" wp14:editId="627C25B6">
                <wp:extent cx="5565258" cy="2466754"/>
                <wp:effectExtent l="0" t="0" r="16510" b="10160"/>
                <wp:docPr id="1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5258" cy="2466754"/>
                        </a:xfrm>
                        <a:prstGeom prst="rect">
                          <a:avLst/>
                        </a:prstGeom>
                        <a:solidFill>
                          <a:srgbClr val="FFFFFF"/>
                        </a:solidFill>
                        <a:ln w="9525">
                          <a:solidFill>
                            <a:srgbClr val="000000"/>
                          </a:solidFill>
                          <a:miter lim="800000"/>
                          <a:headEnd/>
                          <a:tailEnd/>
                        </a:ln>
                      </wps:spPr>
                      <wps:txbx>
                        <w:txbxContent>
                          <w:p w:rsidR="005E13E2" w:rsidRPr="00304045" w:rsidRDefault="005E13E2" w:rsidP="001D25B1">
                            <w:pPr>
                              <w:pStyle w:val="Default"/>
                              <w:shd w:val="clear" w:color="auto" w:fill="D9D9D9" w:themeFill="background1" w:themeFillShade="D9"/>
                              <w:spacing w:line="276" w:lineRule="auto"/>
                              <w:rPr>
                                <w:rFonts w:ascii="Garamond" w:eastAsia="Times New Roman" w:hAnsi="Garamond" w:cs="Garamond"/>
                                <w:color w:val="auto"/>
                                <w:szCs w:val="22"/>
                                <w:lang w:val="fr-FR"/>
                              </w:rPr>
                            </w:pPr>
                            <w:r w:rsidRPr="001A1EE5">
                              <w:rPr>
                                <w:rFonts w:ascii="Garamond" w:eastAsia="Times New Roman" w:hAnsi="Garamond" w:cs="Garamond"/>
                                <w:color w:val="auto"/>
                                <w:szCs w:val="22"/>
                                <w:lang w:val="fr-FR"/>
                              </w:rPr>
                              <w:t>Dans la nuit du 06 au 07 Mars 2011, le village d’Anonkoua-Kouté, situ</w:t>
                            </w:r>
                            <w:r w:rsidRPr="00304045">
                              <w:rPr>
                                <w:rFonts w:ascii="Garamond" w:eastAsia="Times New Roman" w:hAnsi="Garamond" w:cs="Garamond"/>
                                <w:color w:val="auto"/>
                                <w:szCs w:val="22"/>
                                <w:lang w:val="fr-FR"/>
                              </w:rPr>
                              <w:t xml:space="preserve">é dans la commune d’Abobo (Abidjan) a fait l’objet d’une attaque généralisée de la part d’un groupe armé se réclamant du commando dit invisible. Le bilan de cette attaque est de : </w:t>
                            </w:r>
                          </w:p>
                          <w:p w:rsidR="005E13E2" w:rsidRPr="005D2B70" w:rsidRDefault="005E13E2" w:rsidP="001D25B1">
                            <w:pPr>
                              <w:pStyle w:val="Paragraphedeliste"/>
                              <w:numPr>
                                <w:ilvl w:val="0"/>
                                <w:numId w:val="44"/>
                              </w:numPr>
                              <w:shd w:val="clear" w:color="auto" w:fill="D9D9D9" w:themeFill="background1" w:themeFillShade="D9"/>
                              <w:autoSpaceDE w:val="0"/>
                              <w:autoSpaceDN w:val="0"/>
                              <w:adjustRightInd w:val="0"/>
                              <w:spacing w:after="0"/>
                            </w:pPr>
                            <w:r w:rsidRPr="005D2B70">
                              <w:t xml:space="preserve">Neuf personnes tuées de manières diverses pendant l’attaque; </w:t>
                            </w:r>
                          </w:p>
                          <w:p w:rsidR="005E13E2" w:rsidRPr="006A1F27" w:rsidRDefault="005E13E2" w:rsidP="001D25B1">
                            <w:pPr>
                              <w:pStyle w:val="Paragraphedeliste"/>
                              <w:numPr>
                                <w:ilvl w:val="0"/>
                                <w:numId w:val="44"/>
                              </w:numPr>
                              <w:shd w:val="clear" w:color="auto" w:fill="D9D9D9" w:themeFill="background1" w:themeFillShade="D9"/>
                              <w:autoSpaceDE w:val="0"/>
                              <w:autoSpaceDN w:val="0"/>
                              <w:adjustRightInd w:val="0"/>
                              <w:spacing w:after="0"/>
                            </w:pPr>
                            <w:r w:rsidRPr="006A1F27">
                              <w:t>Quarante autres décédées plus tard des suites de cette attaque; (une femme a été emportée par une crise cardiaque en voyant l’état horrible de sa maison à son retour au village) ;</w:t>
                            </w:r>
                          </w:p>
                          <w:p w:rsidR="005E13E2" w:rsidRPr="00BE4F31" w:rsidRDefault="005E13E2" w:rsidP="001D25B1">
                            <w:pPr>
                              <w:pStyle w:val="Paragraphedeliste"/>
                              <w:numPr>
                                <w:ilvl w:val="0"/>
                                <w:numId w:val="44"/>
                              </w:numPr>
                              <w:shd w:val="clear" w:color="auto" w:fill="D9D9D9" w:themeFill="background1" w:themeFillShade="D9"/>
                              <w:autoSpaceDE w:val="0"/>
                              <w:autoSpaceDN w:val="0"/>
                              <w:adjustRightInd w:val="0"/>
                              <w:spacing w:after="0"/>
                            </w:pPr>
                            <w:r w:rsidRPr="00BE4F31">
                              <w:t xml:space="preserve">Une dizaine de portés disparus; </w:t>
                            </w:r>
                          </w:p>
                          <w:p w:rsidR="005E13E2" w:rsidRPr="006F2B9A" w:rsidRDefault="005E13E2" w:rsidP="001D25B1">
                            <w:pPr>
                              <w:pStyle w:val="Paragraphedeliste"/>
                              <w:numPr>
                                <w:ilvl w:val="0"/>
                                <w:numId w:val="44"/>
                              </w:numPr>
                              <w:shd w:val="clear" w:color="auto" w:fill="D9D9D9" w:themeFill="background1" w:themeFillShade="D9"/>
                              <w:autoSpaceDE w:val="0"/>
                              <w:autoSpaceDN w:val="0"/>
                              <w:adjustRightInd w:val="0"/>
                              <w:spacing w:after="0"/>
                            </w:pPr>
                            <w:r w:rsidRPr="007B1543">
                              <w:t xml:space="preserve">Plusieurs blessés graves ont été enregistrés </w:t>
                            </w:r>
                          </w:p>
                          <w:p w:rsidR="005E13E2" w:rsidRPr="006F2B9A" w:rsidRDefault="005E13E2" w:rsidP="001D25B1">
                            <w:pPr>
                              <w:pStyle w:val="Paragraphedeliste"/>
                              <w:numPr>
                                <w:ilvl w:val="0"/>
                                <w:numId w:val="44"/>
                              </w:numPr>
                              <w:shd w:val="clear" w:color="auto" w:fill="D9D9D9" w:themeFill="background1" w:themeFillShade="D9"/>
                              <w:autoSpaceDE w:val="0"/>
                              <w:autoSpaceDN w:val="0"/>
                              <w:adjustRightInd w:val="0"/>
                              <w:spacing w:after="0"/>
                              <w:rPr>
                                <w:rFonts w:cs="Times New Roman"/>
                                <w:color w:val="000000"/>
                              </w:rPr>
                            </w:pPr>
                            <w:r w:rsidRPr="006F2B9A">
                              <w:t xml:space="preserve">Parmi les personnes décédées, un homme âgé de 81 ans aurait été brûlé vif. </w:t>
                            </w:r>
                          </w:p>
                          <w:p w:rsidR="005E13E2" w:rsidRPr="006D5803" w:rsidRDefault="005E13E2" w:rsidP="006D5803">
                            <w:pPr>
                              <w:pStyle w:val="Paragraphedeliste"/>
                              <w:numPr>
                                <w:ilvl w:val="0"/>
                                <w:numId w:val="44"/>
                              </w:numPr>
                              <w:shd w:val="clear" w:color="auto" w:fill="D9D9D9" w:themeFill="background1" w:themeFillShade="D9"/>
                              <w:autoSpaceDE w:val="0"/>
                              <w:autoSpaceDN w:val="0"/>
                              <w:adjustRightInd w:val="0"/>
                              <w:spacing w:after="0" w:line="240" w:lineRule="auto"/>
                              <w:rPr>
                                <w:rFonts w:cs="Times New Roman"/>
                                <w:color w:val="000000"/>
                              </w:rPr>
                            </w:pPr>
                            <w:r w:rsidRPr="006D5803">
                              <w:rPr>
                                <w:rFonts w:cs="Times New Roman"/>
                                <w:color w:val="000000"/>
                              </w:rPr>
                              <w:t>Et de nombreux dégâts matériels.</w:t>
                            </w:r>
                          </w:p>
                          <w:p w:rsidR="005E13E2" w:rsidRDefault="005E13E2" w:rsidP="00FC1C58"/>
                        </w:txbxContent>
                      </wps:txbx>
                      <wps:bodyPr rot="0" vert="horz" wrap="square" lIns="91440" tIns="45720" rIns="91440" bIns="45720" anchor="t" anchorCtr="0" upright="1">
                        <a:noAutofit/>
                      </wps:bodyPr>
                    </wps:wsp>
                  </a:graphicData>
                </a:graphic>
              </wp:inline>
            </w:drawing>
          </mc:Choice>
          <mc:Fallback>
            <w:pict>
              <v:rect w14:anchorId="5A1E9662" id="Rectangle 10" o:spid="_x0000_s1034" style="width:438.2pt;height:19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">
                <v:textbox>
                  <w:txbxContent>
                    <w:p w:rsidR="005E13E2" w:rsidRPr="00304045" w:rsidRDefault="005E13E2" w:rsidP="001D25B1">
                      <w:pPr>
                        <w:pStyle w:val="Default"/>
                        <w:shd w:val="clear" w:color="auto" w:fill="D9D9D9" w:themeFill="background1" w:themeFillShade="D9"/>
                        <w:spacing w:line="276" w:lineRule="auto"/>
                        <w:rPr>
                          <w:rFonts w:ascii="Garamond" w:eastAsia="Times New Roman" w:hAnsi="Garamond" w:cs="Garamond"/>
                          <w:color w:val="auto"/>
                          <w:szCs w:val="22"/>
                          <w:lang w:val="fr-FR"/>
                        </w:rPr>
                      </w:pPr>
                      <w:r w:rsidRPr="001A1EE5">
                        <w:rPr>
                          <w:rFonts w:ascii="Garamond" w:eastAsia="Times New Roman" w:hAnsi="Garamond" w:cs="Garamond"/>
                          <w:color w:val="auto"/>
                          <w:szCs w:val="22"/>
                          <w:lang w:val="fr-FR"/>
                        </w:rPr>
                        <w:t>Dans la nuit du 06 au 07 Mars 2011, le village d’Anonkoua-Kouté, situ</w:t>
                      </w:r>
                      <w:r w:rsidRPr="00304045">
                        <w:rPr>
                          <w:rFonts w:ascii="Garamond" w:eastAsia="Times New Roman" w:hAnsi="Garamond" w:cs="Garamond"/>
                          <w:color w:val="auto"/>
                          <w:szCs w:val="22"/>
                          <w:lang w:val="fr-FR"/>
                        </w:rPr>
                        <w:t xml:space="preserve">é dans la commune d’Abobo (Abidjan) a fait l’objet d’une attaque généralisée de la part d’un groupe armé se réclamant du commando dit invisible. Le bilan de cette attaque est de : </w:t>
                      </w:r>
                    </w:p>
                    <w:p w:rsidR="005E13E2" w:rsidRPr="005D2B70" w:rsidRDefault="005E13E2" w:rsidP="001D25B1">
                      <w:pPr>
                        <w:pStyle w:val="Paragraphedeliste"/>
                        <w:numPr>
                          <w:ilvl w:val="0"/>
                          <w:numId w:val="44"/>
                        </w:numPr>
                        <w:shd w:val="clear" w:color="auto" w:fill="D9D9D9" w:themeFill="background1" w:themeFillShade="D9"/>
                        <w:autoSpaceDE w:val="0"/>
                        <w:autoSpaceDN w:val="0"/>
                        <w:adjustRightInd w:val="0"/>
                        <w:spacing w:after="0"/>
                      </w:pPr>
                      <w:r w:rsidRPr="005D2B70">
                        <w:t xml:space="preserve">Neuf personnes tuées de manières diverses pendant l’attaque; </w:t>
                      </w:r>
                    </w:p>
                    <w:p w:rsidR="005E13E2" w:rsidRPr="006A1F27" w:rsidRDefault="005E13E2" w:rsidP="001D25B1">
                      <w:pPr>
                        <w:pStyle w:val="Paragraphedeliste"/>
                        <w:numPr>
                          <w:ilvl w:val="0"/>
                          <w:numId w:val="44"/>
                        </w:numPr>
                        <w:shd w:val="clear" w:color="auto" w:fill="D9D9D9" w:themeFill="background1" w:themeFillShade="D9"/>
                        <w:autoSpaceDE w:val="0"/>
                        <w:autoSpaceDN w:val="0"/>
                        <w:adjustRightInd w:val="0"/>
                        <w:spacing w:after="0"/>
                      </w:pPr>
                      <w:r w:rsidRPr="006A1F27">
                        <w:t>Quarante autres décédées plus tard des suites de cette attaque; (une femme a été emportée par une crise cardiaque en voyant l’état horrible de sa maison à son retour au village) ;</w:t>
                      </w:r>
                    </w:p>
                    <w:p w:rsidR="005E13E2" w:rsidRPr="00BE4F31" w:rsidRDefault="005E13E2" w:rsidP="001D25B1">
                      <w:pPr>
                        <w:pStyle w:val="Paragraphedeliste"/>
                        <w:numPr>
                          <w:ilvl w:val="0"/>
                          <w:numId w:val="44"/>
                        </w:numPr>
                        <w:shd w:val="clear" w:color="auto" w:fill="D9D9D9" w:themeFill="background1" w:themeFillShade="D9"/>
                        <w:autoSpaceDE w:val="0"/>
                        <w:autoSpaceDN w:val="0"/>
                        <w:adjustRightInd w:val="0"/>
                        <w:spacing w:after="0"/>
                      </w:pPr>
                      <w:r w:rsidRPr="00BE4F31">
                        <w:t xml:space="preserve">Une dizaine de portés disparus; </w:t>
                      </w:r>
                    </w:p>
                    <w:p w:rsidR="005E13E2" w:rsidRPr="006F2B9A" w:rsidRDefault="005E13E2" w:rsidP="001D25B1">
                      <w:pPr>
                        <w:pStyle w:val="Paragraphedeliste"/>
                        <w:numPr>
                          <w:ilvl w:val="0"/>
                          <w:numId w:val="44"/>
                        </w:numPr>
                        <w:shd w:val="clear" w:color="auto" w:fill="D9D9D9" w:themeFill="background1" w:themeFillShade="D9"/>
                        <w:autoSpaceDE w:val="0"/>
                        <w:autoSpaceDN w:val="0"/>
                        <w:adjustRightInd w:val="0"/>
                        <w:spacing w:after="0"/>
                      </w:pPr>
                      <w:r w:rsidRPr="007B1543">
                        <w:t xml:space="preserve">Plusieurs blessés graves ont été enregistrés </w:t>
                      </w:r>
                    </w:p>
                    <w:p w:rsidR="005E13E2" w:rsidRPr="006F2B9A" w:rsidRDefault="005E13E2" w:rsidP="001D25B1">
                      <w:pPr>
                        <w:pStyle w:val="Paragraphedeliste"/>
                        <w:numPr>
                          <w:ilvl w:val="0"/>
                          <w:numId w:val="44"/>
                        </w:numPr>
                        <w:shd w:val="clear" w:color="auto" w:fill="D9D9D9" w:themeFill="background1" w:themeFillShade="D9"/>
                        <w:autoSpaceDE w:val="0"/>
                        <w:autoSpaceDN w:val="0"/>
                        <w:adjustRightInd w:val="0"/>
                        <w:spacing w:after="0"/>
                        <w:rPr>
                          <w:rFonts w:cs="Times New Roman"/>
                          <w:color w:val="000000"/>
                        </w:rPr>
                      </w:pPr>
                      <w:r w:rsidRPr="006F2B9A">
                        <w:t xml:space="preserve">Parmi les personnes décédées, un homme âgé de 81 ans aurait été brûlé vif. </w:t>
                      </w:r>
                    </w:p>
                    <w:p w:rsidR="005E13E2" w:rsidRPr="006D5803" w:rsidRDefault="005E13E2" w:rsidP="006D5803">
                      <w:pPr>
                        <w:pStyle w:val="Paragraphedeliste"/>
                        <w:numPr>
                          <w:ilvl w:val="0"/>
                          <w:numId w:val="44"/>
                        </w:numPr>
                        <w:shd w:val="clear" w:color="auto" w:fill="D9D9D9" w:themeFill="background1" w:themeFillShade="D9"/>
                        <w:autoSpaceDE w:val="0"/>
                        <w:autoSpaceDN w:val="0"/>
                        <w:adjustRightInd w:val="0"/>
                        <w:spacing w:after="0" w:line="240" w:lineRule="auto"/>
                        <w:rPr>
                          <w:rFonts w:cs="Times New Roman"/>
                          <w:color w:val="000000"/>
                        </w:rPr>
                      </w:pPr>
                      <w:r w:rsidRPr="006D5803">
                        <w:rPr>
                          <w:rFonts w:cs="Times New Roman"/>
                          <w:color w:val="000000"/>
                        </w:rPr>
                        <w:t>Et de nombreux dégâts matériels.</w:t>
                      </w:r>
                    </w:p>
                    <w:p w:rsidR="005E13E2" w:rsidRDefault="005E13E2" w:rsidP="00FC1C58"/>
                  </w:txbxContent>
                </v:textbox>
                <w10:anchorlock/>
              </v:rect>
            </w:pict>
          </mc:Fallback>
        </mc:AlternateContent>
      </w:r>
      <w:r w:rsidR="00FC1C58" w:rsidRPr="00895FAB">
        <w:rPr>
          <w:rFonts w:ascii="Times New Roman" w:eastAsia="Times New Roman" w:hAnsi="Times New Roman" w:cs="Times New Roman"/>
          <w:color w:val="000000"/>
          <w:sz w:val="24"/>
          <w:szCs w:val="24"/>
        </w:rPr>
        <w:t xml:space="preserve">   </w:t>
      </w:r>
    </w:p>
    <w:p w:rsidR="00FC1C58" w:rsidRPr="001D25B1" w:rsidRDefault="00FC1C58" w:rsidP="00304045">
      <w:pPr>
        <w:suppressAutoHyphens/>
        <w:spacing w:after="120" w:line="276" w:lineRule="auto"/>
        <w:ind w:right="1134"/>
        <w:jc w:val="both"/>
        <w:rPr>
          <w:rFonts w:ascii="Times New Roman" w:eastAsia="Times New Roman" w:hAnsi="Times New Roman" w:cs="Times New Roman"/>
          <w:color w:val="000000"/>
          <w:sz w:val="24"/>
          <w:szCs w:val="24"/>
          <w:lang w:val="fr-CH"/>
        </w:rPr>
      </w:pPr>
    </w:p>
    <w:p w:rsidR="00FC1C58" w:rsidRPr="001D25B1" w:rsidRDefault="00FC1C58" w:rsidP="00C30265">
      <w:pPr>
        <w:shd w:val="clear" w:color="auto" w:fill="FFFFFF"/>
        <w:spacing w:before="120" w:after="120" w:line="276" w:lineRule="auto"/>
        <w:jc w:val="both"/>
        <w:rPr>
          <w:rFonts w:ascii="Garamond" w:eastAsia="Times New Roman" w:hAnsi="Garamond" w:cs="Garamond"/>
          <w:color w:val="FFFFFF"/>
          <w:sz w:val="24"/>
          <w:szCs w:val="24"/>
        </w:rPr>
      </w:pPr>
      <w:r w:rsidRPr="00895FAB">
        <w:rPr>
          <w:rFonts w:ascii="Garamond" w:eastAsia="Times New Roman" w:hAnsi="Garamond" w:cs="Garamond"/>
          <w:sz w:val="24"/>
          <w:szCs w:val="24"/>
        </w:rPr>
        <w:t xml:space="preserve">Un Comité </w:t>
      </w:r>
      <w:r w:rsidR="00A07767" w:rsidRPr="00895FAB">
        <w:rPr>
          <w:rFonts w:ascii="Garamond" w:eastAsia="Times New Roman" w:hAnsi="Garamond" w:cs="Garamond"/>
          <w:sz w:val="24"/>
          <w:szCs w:val="24"/>
        </w:rPr>
        <w:t xml:space="preserve">interministériel </w:t>
      </w:r>
      <w:r w:rsidRPr="001D25B1">
        <w:rPr>
          <w:rFonts w:ascii="Garamond" w:eastAsia="Times New Roman" w:hAnsi="Garamond" w:cs="Garamond"/>
          <w:sz w:val="24"/>
          <w:szCs w:val="24"/>
        </w:rPr>
        <w:t xml:space="preserve">chargé de la révision des codes usuels a été créé </w:t>
      </w:r>
      <w:r w:rsidR="00A07767" w:rsidRPr="001D25B1">
        <w:rPr>
          <w:rFonts w:ascii="Garamond" w:eastAsia="Times New Roman" w:hAnsi="Garamond" w:cs="Garamond"/>
          <w:sz w:val="24"/>
          <w:szCs w:val="24"/>
        </w:rPr>
        <w:t>selon l’arrêté 60 MJDHLP/DACP/du 4 juin 2013</w:t>
      </w:r>
      <w:r w:rsidR="001300F8" w:rsidRPr="00895FAB">
        <w:rPr>
          <w:rStyle w:val="Appelnotedebasdep"/>
          <w:rFonts w:ascii="Garamond" w:eastAsia="Times New Roman" w:hAnsi="Garamond" w:cs="Garamond"/>
          <w:sz w:val="24"/>
          <w:szCs w:val="24"/>
        </w:rPr>
        <w:footnoteReference w:id="28"/>
      </w:r>
      <w:r w:rsidR="00A07767" w:rsidRPr="00895FAB">
        <w:rPr>
          <w:rFonts w:ascii="Garamond" w:eastAsia="Times New Roman" w:hAnsi="Garamond" w:cs="Garamond"/>
          <w:sz w:val="24"/>
          <w:szCs w:val="24"/>
        </w:rPr>
        <w:t xml:space="preserve"> </w:t>
      </w:r>
      <w:r w:rsidRPr="00895FAB">
        <w:rPr>
          <w:rFonts w:ascii="Garamond" w:eastAsia="Times New Roman" w:hAnsi="Garamond" w:cs="Garamond"/>
          <w:sz w:val="24"/>
          <w:szCs w:val="24"/>
        </w:rPr>
        <w:t>pour intég</w:t>
      </w:r>
      <w:r w:rsidRPr="001D25B1">
        <w:rPr>
          <w:rFonts w:ascii="Garamond" w:eastAsia="Times New Roman" w:hAnsi="Garamond" w:cs="Garamond"/>
          <w:sz w:val="24"/>
          <w:szCs w:val="24"/>
        </w:rPr>
        <w:t xml:space="preserve">rer les engagements internationaux de l’État dans la législation ivoirienne. Le Comité est composé d’experts (notamment de représentants de </w:t>
      </w:r>
      <w:r w:rsidR="00BD092B" w:rsidRPr="001D25B1">
        <w:rPr>
          <w:rFonts w:ascii="Garamond" w:eastAsia="Times New Roman" w:hAnsi="Garamond" w:cs="Garamond"/>
          <w:sz w:val="24"/>
          <w:szCs w:val="24"/>
        </w:rPr>
        <w:t>l’</w:t>
      </w:r>
      <w:r w:rsidRPr="001D25B1">
        <w:rPr>
          <w:rFonts w:ascii="Garamond" w:eastAsia="Times New Roman" w:hAnsi="Garamond" w:cs="Garamond"/>
          <w:sz w:val="24"/>
          <w:szCs w:val="24"/>
        </w:rPr>
        <w:t>ONUCI</w:t>
      </w:r>
      <w:r w:rsidR="00BD092B" w:rsidRPr="001D25B1">
        <w:rPr>
          <w:rFonts w:ascii="Garamond" w:eastAsia="Times New Roman" w:hAnsi="Garamond" w:cs="Garamond"/>
          <w:sz w:val="24"/>
          <w:szCs w:val="24"/>
        </w:rPr>
        <w:t xml:space="preserve"> et</w:t>
      </w:r>
      <w:r w:rsidRPr="001D25B1">
        <w:rPr>
          <w:rFonts w:ascii="Garamond" w:eastAsia="Times New Roman" w:hAnsi="Garamond" w:cs="Garamond"/>
          <w:sz w:val="24"/>
          <w:szCs w:val="24"/>
        </w:rPr>
        <w:t xml:space="preserve"> de la CNDH CI) et de magistrats. A la date de publication de ce rapport, </w:t>
      </w:r>
      <w:r w:rsidR="00BD092B" w:rsidRPr="001D25B1">
        <w:rPr>
          <w:rFonts w:ascii="Garamond" w:eastAsia="Times New Roman" w:hAnsi="Garamond" w:cs="Garamond"/>
          <w:sz w:val="24"/>
          <w:szCs w:val="24"/>
        </w:rPr>
        <w:t xml:space="preserve">l’ACAT CI et </w:t>
      </w:r>
      <w:r w:rsidRPr="001D25B1">
        <w:rPr>
          <w:rFonts w:ascii="Garamond" w:eastAsia="Times New Roman" w:hAnsi="Garamond" w:cs="Garamond"/>
          <w:sz w:val="24"/>
          <w:szCs w:val="24"/>
        </w:rPr>
        <w:t>la FIACAT ne connai</w:t>
      </w:r>
      <w:r w:rsidR="00BD092B" w:rsidRPr="001D25B1">
        <w:rPr>
          <w:rFonts w:ascii="Garamond" w:eastAsia="Times New Roman" w:hAnsi="Garamond" w:cs="Garamond"/>
          <w:sz w:val="24"/>
          <w:szCs w:val="24"/>
        </w:rPr>
        <w:t>ssent</w:t>
      </w:r>
      <w:r w:rsidRPr="001D25B1">
        <w:rPr>
          <w:rFonts w:ascii="Garamond" w:eastAsia="Times New Roman" w:hAnsi="Garamond" w:cs="Garamond"/>
          <w:sz w:val="24"/>
          <w:szCs w:val="24"/>
        </w:rPr>
        <w:t xml:space="preserve"> pas l’état d’avancement de la révision du Code pénal.  L’incrimination de la torture figure comme une de ses priorités selon les responsables du </w:t>
      </w:r>
      <w:r w:rsidR="00BD092B" w:rsidRPr="001D25B1">
        <w:rPr>
          <w:rFonts w:ascii="Garamond" w:eastAsia="Times New Roman" w:hAnsi="Garamond" w:cs="Garamond"/>
          <w:sz w:val="24"/>
          <w:szCs w:val="24"/>
        </w:rPr>
        <w:t>M</w:t>
      </w:r>
      <w:r w:rsidRPr="001D25B1">
        <w:rPr>
          <w:rFonts w:ascii="Garamond" w:eastAsia="Times New Roman" w:hAnsi="Garamond" w:cs="Garamond"/>
          <w:sz w:val="24"/>
          <w:szCs w:val="24"/>
        </w:rPr>
        <w:t>inistère de la justice, des droits de l’homme et des libertés publiques. Cependant, à ce jour, il n’existe pas d’</w:t>
      </w:r>
      <w:r w:rsidR="008B78B6" w:rsidRPr="001D25B1">
        <w:rPr>
          <w:rFonts w:ascii="Garamond" w:eastAsia="Times New Roman" w:hAnsi="Garamond" w:cs="Garamond"/>
          <w:sz w:val="24"/>
          <w:szCs w:val="24"/>
        </w:rPr>
        <w:t>avant-projet</w:t>
      </w:r>
      <w:r w:rsidRPr="001D25B1">
        <w:rPr>
          <w:rFonts w:ascii="Garamond" w:eastAsia="Times New Roman" w:hAnsi="Garamond" w:cs="Garamond"/>
          <w:sz w:val="24"/>
          <w:szCs w:val="24"/>
        </w:rPr>
        <w:t xml:space="preserve"> de loi incriminant la torture. La FIACAT et l’ACAT Côte d’Ivoire ont pu transmettre leurs priorités concernant l’incrimination de la torture à certains membres de ce Comité en amont de sa réunion de novembre 2013.</w:t>
      </w:r>
    </w:p>
    <w:p w:rsidR="00FC1C58" w:rsidRPr="001D25B1" w:rsidRDefault="00FC1C58" w:rsidP="00C30265">
      <w:pPr>
        <w:spacing w:before="120" w:after="120" w:line="276" w:lineRule="auto"/>
        <w:jc w:val="both"/>
        <w:rPr>
          <w:rFonts w:ascii="Garamond" w:eastAsia="Times New Roman" w:hAnsi="Garamond" w:cs="Garamond"/>
          <w:b/>
          <w:i/>
          <w:color w:val="365F91"/>
          <w:sz w:val="24"/>
          <w:szCs w:val="24"/>
        </w:rPr>
      </w:pPr>
      <w:r w:rsidRPr="001D25B1">
        <w:rPr>
          <w:rFonts w:ascii="Garamond" w:eastAsia="Times New Roman" w:hAnsi="Garamond" w:cs="Garamond"/>
          <w:b/>
          <w:bCs/>
          <w:i/>
          <w:color w:val="365F91"/>
          <w:sz w:val="24"/>
          <w:szCs w:val="24"/>
        </w:rPr>
        <w:lastRenderedPageBreak/>
        <w:t>L’ACAT Côte d’Ivoire et la FIACAT invitent le Comité des droits de l’homme à recommander à l’Etat partie</w:t>
      </w:r>
      <w:r w:rsidR="008E080F" w:rsidRPr="001D25B1">
        <w:rPr>
          <w:rFonts w:ascii="Garamond" w:eastAsia="Times New Roman" w:hAnsi="Garamond" w:cs="Garamond"/>
          <w:b/>
          <w:bCs/>
          <w:i/>
          <w:color w:val="365F91"/>
          <w:sz w:val="24"/>
          <w:szCs w:val="24"/>
        </w:rPr>
        <w:t xml:space="preserve"> de</w:t>
      </w:r>
      <w:r w:rsidRPr="001D25B1">
        <w:rPr>
          <w:rFonts w:ascii="Garamond" w:eastAsia="Times New Roman" w:hAnsi="Garamond" w:cs="Garamond"/>
          <w:b/>
          <w:bCs/>
          <w:i/>
          <w:color w:val="365F91"/>
          <w:sz w:val="24"/>
          <w:szCs w:val="24"/>
        </w:rPr>
        <w:t> :</w:t>
      </w:r>
    </w:p>
    <w:p w:rsidR="00FC1C58" w:rsidRPr="001D25B1" w:rsidRDefault="00FC1C58" w:rsidP="00C30265">
      <w:pPr>
        <w:pStyle w:val="Paragraphedeliste"/>
        <w:numPr>
          <w:ilvl w:val="1"/>
          <w:numId w:val="43"/>
        </w:numPr>
        <w:rPr>
          <w:b/>
          <w:i/>
          <w:color w:val="365F91"/>
        </w:rPr>
      </w:pPr>
      <w:r w:rsidRPr="001D25B1">
        <w:rPr>
          <w:b/>
          <w:i/>
          <w:color w:val="365F91"/>
        </w:rPr>
        <w:t xml:space="preserve"> Incriminer dans les plus brefs délais la torture dans le Code pénal ivoirien ;</w:t>
      </w:r>
    </w:p>
    <w:p w:rsidR="00FC1C58" w:rsidRPr="001D25B1" w:rsidRDefault="00FC1C58" w:rsidP="00C30265">
      <w:pPr>
        <w:pStyle w:val="Paragraphedeliste"/>
        <w:numPr>
          <w:ilvl w:val="1"/>
          <w:numId w:val="43"/>
        </w:numPr>
        <w:rPr>
          <w:b/>
          <w:i/>
          <w:color w:val="365F91"/>
        </w:rPr>
      </w:pPr>
      <w:r w:rsidRPr="001D25B1">
        <w:rPr>
          <w:b/>
          <w:i/>
          <w:color w:val="365F91"/>
        </w:rPr>
        <w:t>Poursuivre</w:t>
      </w:r>
      <w:r w:rsidR="00CB40E1" w:rsidRPr="001D25B1">
        <w:rPr>
          <w:b/>
          <w:i/>
          <w:color w:val="365F91"/>
        </w:rPr>
        <w:t xml:space="preserve"> les auteurs d’actes de torture ;</w:t>
      </w:r>
    </w:p>
    <w:p w:rsidR="00FC1C58" w:rsidRPr="001D25B1" w:rsidRDefault="00CB40E1" w:rsidP="00895FAB">
      <w:pPr>
        <w:pStyle w:val="Paragraphedeliste"/>
        <w:numPr>
          <w:ilvl w:val="1"/>
          <w:numId w:val="43"/>
        </w:numPr>
        <w:rPr>
          <w:b/>
          <w:i/>
          <w:color w:val="365F91"/>
        </w:rPr>
      </w:pPr>
      <w:r w:rsidRPr="001D25B1">
        <w:rPr>
          <w:b/>
          <w:i/>
          <w:color w:val="365F91"/>
        </w:rPr>
        <w:t>Accélérer la révision des C</w:t>
      </w:r>
      <w:r w:rsidR="00FC1C58" w:rsidRPr="001D25B1">
        <w:rPr>
          <w:b/>
          <w:i/>
          <w:color w:val="365F91"/>
        </w:rPr>
        <w:t xml:space="preserve">ode pénal et </w:t>
      </w:r>
      <w:r w:rsidRPr="001D25B1">
        <w:rPr>
          <w:b/>
          <w:i/>
          <w:color w:val="365F91"/>
        </w:rPr>
        <w:t xml:space="preserve">Code </w:t>
      </w:r>
      <w:r w:rsidR="00FC1C58" w:rsidRPr="001D25B1">
        <w:rPr>
          <w:b/>
          <w:i/>
          <w:color w:val="365F91"/>
        </w:rPr>
        <w:t>de procédure pénale pour le</w:t>
      </w:r>
      <w:r w:rsidRPr="001D25B1">
        <w:rPr>
          <w:b/>
          <w:i/>
          <w:color w:val="365F91"/>
        </w:rPr>
        <w:t>s</w:t>
      </w:r>
      <w:r w:rsidR="00FC1C58" w:rsidRPr="001D25B1">
        <w:rPr>
          <w:b/>
          <w:i/>
          <w:color w:val="365F91"/>
        </w:rPr>
        <w:t xml:space="preserve"> rendre conforme</w:t>
      </w:r>
      <w:r w:rsidRPr="001D25B1">
        <w:rPr>
          <w:b/>
          <w:i/>
          <w:color w:val="365F91"/>
        </w:rPr>
        <w:t>s</w:t>
      </w:r>
      <w:r w:rsidR="00FC1C58" w:rsidRPr="001D25B1">
        <w:rPr>
          <w:b/>
          <w:i/>
          <w:color w:val="365F91"/>
        </w:rPr>
        <w:t xml:space="preserve"> aux traités internationaux ratifiés par la Côte d’Ivoire. </w:t>
      </w:r>
    </w:p>
    <w:p w:rsidR="00FC1C58" w:rsidRPr="001D25B1" w:rsidRDefault="00FC1C58" w:rsidP="001D25B1">
      <w:pPr>
        <w:spacing w:before="120" w:after="120" w:line="276" w:lineRule="auto"/>
        <w:ind w:left="567"/>
        <w:jc w:val="both"/>
        <w:rPr>
          <w:rFonts w:ascii="Garamond" w:eastAsia="Times New Roman" w:hAnsi="Garamond" w:cs="Garamond"/>
          <w:b/>
          <w:i/>
          <w:color w:val="365F91"/>
          <w:sz w:val="24"/>
          <w:szCs w:val="24"/>
        </w:rPr>
      </w:pPr>
    </w:p>
    <w:p w:rsidR="00FC1C58" w:rsidRPr="001D25B1" w:rsidRDefault="00FC1C58" w:rsidP="005D1C8E">
      <w:pPr>
        <w:pStyle w:val="Titre3"/>
        <w:rPr>
          <w:rFonts w:cs="Garamond"/>
        </w:rPr>
      </w:pPr>
      <w:bookmarkStart w:id="55" w:name="_Toc386019503"/>
      <w:bookmarkStart w:id="56" w:name="_Toc386200911"/>
      <w:bookmarkStart w:id="57" w:name="_Toc412111724"/>
      <w:r w:rsidRPr="001D25B1">
        <w:t xml:space="preserve">L’interdiction d’utiliser </w:t>
      </w:r>
      <w:r w:rsidR="009D02F1" w:rsidRPr="001D25B1">
        <w:t xml:space="preserve">les aveux obtenus par </w:t>
      </w:r>
      <w:r w:rsidRPr="001D25B1">
        <w:t>la torture dans toute procédure légale</w:t>
      </w:r>
      <w:bookmarkEnd w:id="55"/>
      <w:bookmarkEnd w:id="56"/>
      <w:bookmarkEnd w:id="57"/>
    </w:p>
    <w:p w:rsidR="00FC1C58" w:rsidRPr="001D25B1" w:rsidRDefault="00FC1C58" w:rsidP="00895FAB">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Comme la torture n’est pas incriminée dans le Code pénal, aucune des dispositions de ce Code n’interdit l’utilisation d’aveux obtenus par la torture comme élément de preuve.</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Selon l’article 419 du Code de procédure pénale, </w:t>
      </w:r>
      <w:r w:rsidRPr="001D25B1">
        <w:rPr>
          <w:rFonts w:ascii="Garamond" w:eastAsia="Times New Roman" w:hAnsi="Garamond" w:cs="Garamond"/>
          <w:i/>
          <w:iCs/>
          <w:sz w:val="24"/>
          <w:szCs w:val="24"/>
        </w:rPr>
        <w:t>« L’aveu, comme tout élément de preuve, est laissé à la libre appréciation des juges »</w:t>
      </w:r>
      <w:r w:rsidRPr="001D25B1">
        <w:rPr>
          <w:rFonts w:ascii="Garamond" w:eastAsia="Times New Roman" w:hAnsi="Garamond" w:cs="Garamond"/>
          <w:sz w:val="24"/>
          <w:szCs w:val="24"/>
        </w:rPr>
        <w:t xml:space="preserve">. Les déclarations et les dépositions faites à la police sont donc considérées comme de simples renseignements et peuvent être prise en compte ou non par le juge chargé de l’affaire. </w:t>
      </w:r>
    </w:p>
    <w:p w:rsidR="00FC1C58" w:rsidRPr="001D25B1" w:rsidRDefault="00CB40E1"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w:t>
      </w:r>
      <w:r w:rsidR="00FC1C58" w:rsidRPr="001D25B1">
        <w:rPr>
          <w:rFonts w:ascii="Garamond" w:eastAsia="Times New Roman" w:hAnsi="Garamond" w:cs="Garamond"/>
          <w:sz w:val="24"/>
          <w:szCs w:val="24"/>
        </w:rPr>
        <w:t xml:space="preserve">ors de l’enquête préliminaire, il est courant que les personnes inculpées soient soumises à la torture en vue d’obtenir des aveux. Ces tortures peuvent conduire à la mort de la victime.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Ainsi, le commissaire Amani Kouadio Alain, Chef de service au commissariat du 29</w:t>
      </w:r>
      <w:r w:rsidRPr="001D25B1">
        <w:rPr>
          <w:rFonts w:ascii="Garamond" w:eastAsia="Times New Roman" w:hAnsi="Garamond" w:cs="Garamond"/>
          <w:sz w:val="24"/>
          <w:szCs w:val="24"/>
          <w:vertAlign w:val="superscript"/>
        </w:rPr>
        <w:t>ème</w:t>
      </w:r>
      <w:r w:rsidRPr="001D25B1">
        <w:rPr>
          <w:rFonts w:ascii="Garamond" w:eastAsia="Times New Roman" w:hAnsi="Garamond" w:cs="Garamond"/>
          <w:sz w:val="24"/>
          <w:szCs w:val="24"/>
        </w:rPr>
        <w:t xml:space="preserve"> arrondissement de Treichville-Biafra a été arrêté le </w:t>
      </w:r>
      <w:r w:rsidRPr="001D25B1">
        <w:rPr>
          <w:rStyle w:val="apple-style-span"/>
          <w:rFonts w:ascii="Garamond" w:hAnsi="Garamond" w:cs="Helvetica"/>
          <w:sz w:val="24"/>
          <w:szCs w:val="24"/>
        </w:rPr>
        <w:t>lundi 2</w:t>
      </w:r>
      <w:r w:rsidR="00BD386B" w:rsidRPr="001D25B1">
        <w:rPr>
          <w:rStyle w:val="apple-style-span"/>
          <w:rFonts w:ascii="Garamond" w:hAnsi="Garamond" w:cs="Helvetica"/>
          <w:sz w:val="24"/>
          <w:szCs w:val="24"/>
        </w:rPr>
        <w:t>6</w:t>
      </w:r>
      <w:r w:rsidRPr="001D25B1">
        <w:rPr>
          <w:rStyle w:val="apple-style-span"/>
          <w:rFonts w:ascii="Garamond" w:hAnsi="Garamond" w:cs="Helvetica"/>
          <w:sz w:val="24"/>
          <w:szCs w:val="24"/>
        </w:rPr>
        <w:t xml:space="preserve"> août 2012</w:t>
      </w:r>
      <w:r w:rsidRPr="001D25B1">
        <w:rPr>
          <w:rFonts w:ascii="Garamond" w:eastAsia="Times New Roman" w:hAnsi="Garamond" w:cs="Garamond"/>
          <w:sz w:val="24"/>
          <w:szCs w:val="24"/>
        </w:rPr>
        <w:t xml:space="preserve"> par les FRCI à Sikensi (</w:t>
      </w:r>
      <w:smartTag w:uri="urn:schemas-microsoft-com:office:smarttags" w:element="metricconverter">
        <w:smartTagPr>
          <w:attr w:name="ProductID" w:val="70 km"/>
        </w:smartTagPr>
        <w:r w:rsidRPr="001D25B1">
          <w:rPr>
            <w:rFonts w:ascii="Garamond" w:eastAsia="Times New Roman" w:hAnsi="Garamond" w:cs="Garamond"/>
            <w:sz w:val="24"/>
            <w:szCs w:val="24"/>
          </w:rPr>
          <w:t>70 km</w:t>
        </w:r>
      </w:smartTag>
      <w:r w:rsidRPr="001D25B1">
        <w:rPr>
          <w:rFonts w:ascii="Garamond" w:eastAsia="Times New Roman" w:hAnsi="Garamond" w:cs="Garamond"/>
          <w:sz w:val="24"/>
          <w:szCs w:val="24"/>
        </w:rPr>
        <w:t xml:space="preserve"> au nord d’Abidjan). Il est </w:t>
      </w:r>
      <w:r w:rsidR="00BD092B" w:rsidRPr="001D25B1">
        <w:rPr>
          <w:rFonts w:ascii="Garamond" w:eastAsia="Times New Roman" w:hAnsi="Garamond" w:cs="Garamond"/>
          <w:sz w:val="24"/>
          <w:szCs w:val="24"/>
        </w:rPr>
        <w:t xml:space="preserve">décédé </w:t>
      </w:r>
      <w:r w:rsidRPr="001D25B1">
        <w:rPr>
          <w:rFonts w:ascii="Garamond" w:eastAsia="Times New Roman" w:hAnsi="Garamond" w:cs="Garamond"/>
          <w:sz w:val="24"/>
          <w:szCs w:val="24"/>
        </w:rPr>
        <w:t xml:space="preserve">des suites de torture le </w:t>
      </w:r>
      <w:r w:rsidR="00BD092B" w:rsidRPr="001D25B1">
        <w:rPr>
          <w:rFonts w:ascii="Garamond" w:eastAsia="Times New Roman" w:hAnsi="Garamond" w:cs="Garamond"/>
          <w:sz w:val="24"/>
          <w:szCs w:val="24"/>
        </w:rPr>
        <w:t>même jour</w:t>
      </w:r>
      <w:r w:rsidRPr="001D25B1">
        <w:rPr>
          <w:rFonts w:ascii="Garamond" w:eastAsia="Times New Roman" w:hAnsi="Garamond" w:cs="Garamond"/>
          <w:sz w:val="24"/>
          <w:szCs w:val="24"/>
        </w:rPr>
        <w:t xml:space="preserve"> dans l’après-midi lors de son transfert à l’hôpital militaire d’Abidjan.</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De même, le sergent-chef, Serge Herve Kribié, matricule 8632, ex-agent à la direction de la police des stupéfiants et des drogues de l’antenne de San Pedro a été interpelé par le Préfet de police de San Pedro le 20 août 2012 et remis aux FRCI</w:t>
      </w:r>
      <w:r w:rsidR="002D199F" w:rsidRPr="001D25B1">
        <w:rPr>
          <w:rFonts w:ascii="Garamond" w:eastAsia="Times New Roman" w:hAnsi="Garamond" w:cs="Garamond"/>
          <w:sz w:val="24"/>
          <w:szCs w:val="24"/>
        </w:rPr>
        <w:t>. A</w:t>
      </w:r>
      <w:r w:rsidRPr="001D25B1">
        <w:rPr>
          <w:rFonts w:ascii="Garamond" w:eastAsia="Times New Roman" w:hAnsi="Garamond" w:cs="Garamond"/>
          <w:sz w:val="24"/>
          <w:szCs w:val="24"/>
        </w:rPr>
        <w:t>près</w:t>
      </w:r>
      <w:r w:rsidR="002D199F" w:rsidRPr="001D25B1">
        <w:rPr>
          <w:rFonts w:ascii="Garamond" w:eastAsia="Times New Roman" w:hAnsi="Garamond" w:cs="Garamond"/>
          <w:sz w:val="24"/>
          <w:szCs w:val="24"/>
        </w:rPr>
        <w:t xml:space="preserve"> son</w:t>
      </w:r>
      <w:r w:rsidRPr="001D25B1">
        <w:rPr>
          <w:rFonts w:ascii="Garamond" w:eastAsia="Times New Roman" w:hAnsi="Garamond" w:cs="Garamond"/>
          <w:sz w:val="24"/>
          <w:szCs w:val="24"/>
        </w:rPr>
        <w:t xml:space="preserve"> interrogatoire, il est décédé</w:t>
      </w:r>
      <w:r w:rsidR="002D199F"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le 21 août 2012 selon le certificat de décès ou mortalité n° 178/12 de l’hôpital de Dabou.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Le rapport de constat du 21 août 2012 du médecin-chef de l’hôpital général de Dabou, fait le constat suivant : </w:t>
      </w:r>
    </w:p>
    <w:p w:rsidR="00FC1C58" w:rsidRPr="001D25B1" w:rsidRDefault="00FC1C58" w:rsidP="001D25B1">
      <w:pPr>
        <w:numPr>
          <w:ilvl w:val="0"/>
          <w:numId w:val="9"/>
        </w:num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un corps en décubitus dorsal ;</w:t>
      </w:r>
    </w:p>
    <w:p w:rsidR="00FC1C58" w:rsidRPr="001D25B1" w:rsidRDefault="00FC1C58" w:rsidP="001D25B1">
      <w:pPr>
        <w:numPr>
          <w:ilvl w:val="0"/>
          <w:numId w:val="9"/>
        </w:num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une large plaie traumatisante à l’épaule gauche ;</w:t>
      </w:r>
    </w:p>
    <w:p w:rsidR="00FC1C58" w:rsidRPr="001D25B1" w:rsidRDefault="00FC1C58" w:rsidP="001D25B1">
      <w:pPr>
        <w:numPr>
          <w:ilvl w:val="0"/>
          <w:numId w:val="9"/>
        </w:num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une rotation du cou traduisant une fracture cervicale.</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Le sergent-chef Hervé Kribié serait donc mort des suites de torture.</w:t>
      </w:r>
    </w:p>
    <w:p w:rsidR="00FC1C58" w:rsidRPr="00895FAB"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Faute d’incrimination autonome, les actes de torture sont assimilés à des coups et blessures, à la violence et aux voies de fait et sont punis comme t</w:t>
      </w:r>
      <w:r w:rsidR="004F06E7" w:rsidRPr="001D25B1">
        <w:rPr>
          <w:rFonts w:ascii="Garamond" w:eastAsia="Times New Roman" w:hAnsi="Garamond" w:cs="Garamond"/>
          <w:sz w:val="24"/>
          <w:szCs w:val="24"/>
        </w:rPr>
        <w:t>els</w:t>
      </w:r>
      <w:r w:rsidRPr="00895FAB">
        <w:rPr>
          <w:rStyle w:val="Appelnotedebasdep"/>
          <w:rFonts w:ascii="Garamond" w:eastAsia="Times New Roman" w:hAnsi="Garamond" w:cs="Garamond"/>
          <w:sz w:val="24"/>
          <w:szCs w:val="24"/>
        </w:rPr>
        <w:footnoteReference w:id="29"/>
      </w:r>
      <w:r w:rsidRPr="00895FAB">
        <w:rPr>
          <w:rFonts w:ascii="Garamond" w:eastAsia="Times New Roman" w:hAnsi="Garamond" w:cs="Garamond"/>
          <w:sz w:val="24"/>
          <w:szCs w:val="24"/>
        </w:rPr>
        <w:t xml:space="preserve"> </w:t>
      </w:r>
    </w:p>
    <w:p w:rsidR="00FC1C58" w:rsidRPr="00895FAB" w:rsidRDefault="00FC1C58" w:rsidP="001D25B1">
      <w:pPr>
        <w:spacing w:before="120" w:after="120" w:line="276" w:lineRule="auto"/>
        <w:jc w:val="both"/>
        <w:rPr>
          <w:rFonts w:ascii="Garamond" w:eastAsia="Times New Roman" w:hAnsi="Garamond" w:cs="Garamond"/>
          <w:i/>
          <w:sz w:val="24"/>
          <w:szCs w:val="24"/>
        </w:rPr>
      </w:pPr>
      <w:r w:rsidRPr="00895FAB">
        <w:rPr>
          <w:rFonts w:ascii="Garamond" w:eastAsia="Times New Roman" w:hAnsi="Garamond" w:cs="Garamond"/>
          <w:sz w:val="24"/>
          <w:szCs w:val="24"/>
        </w:rPr>
        <w:t>Nous avons recueilli plusieurs témoignages qu’il ne nous est pas permis de divulguer en raison d</w:t>
      </w:r>
      <w:r w:rsidR="00CB40E1" w:rsidRPr="00895FAB">
        <w:rPr>
          <w:rFonts w:ascii="Garamond" w:eastAsia="Times New Roman" w:hAnsi="Garamond" w:cs="Garamond"/>
          <w:sz w:val="24"/>
          <w:szCs w:val="24"/>
        </w:rPr>
        <w:t>e l’</w:t>
      </w:r>
      <w:r w:rsidR="003E01F9" w:rsidRPr="001D25B1">
        <w:rPr>
          <w:rFonts w:ascii="Garamond" w:eastAsia="Times New Roman" w:hAnsi="Garamond" w:cs="Garamond"/>
          <w:sz w:val="24"/>
          <w:szCs w:val="24"/>
        </w:rPr>
        <w:t xml:space="preserve">absence </w:t>
      </w:r>
      <w:r w:rsidRPr="001D25B1">
        <w:rPr>
          <w:rFonts w:ascii="Garamond" w:eastAsia="Times New Roman" w:hAnsi="Garamond" w:cs="Garamond"/>
          <w:sz w:val="24"/>
          <w:szCs w:val="24"/>
        </w:rPr>
        <w:t>de</w:t>
      </w:r>
      <w:r w:rsidR="003E01F9" w:rsidRPr="001D25B1">
        <w:rPr>
          <w:rFonts w:ascii="Garamond" w:eastAsia="Times New Roman" w:hAnsi="Garamond" w:cs="Garamond"/>
          <w:sz w:val="24"/>
          <w:szCs w:val="24"/>
        </w:rPr>
        <w:t xml:space="preserve"> mécanisme </w:t>
      </w:r>
      <w:r w:rsidR="0067596B" w:rsidRPr="001D25B1">
        <w:rPr>
          <w:rFonts w:ascii="Garamond" w:eastAsia="Times New Roman" w:hAnsi="Garamond" w:cs="Garamond"/>
          <w:sz w:val="24"/>
          <w:szCs w:val="24"/>
        </w:rPr>
        <w:t xml:space="preserve">efficace </w:t>
      </w:r>
      <w:r w:rsidR="003E01F9" w:rsidRPr="001D25B1">
        <w:rPr>
          <w:rFonts w:ascii="Garamond" w:eastAsia="Times New Roman" w:hAnsi="Garamond" w:cs="Garamond"/>
          <w:sz w:val="24"/>
          <w:szCs w:val="24"/>
        </w:rPr>
        <w:t xml:space="preserve">de </w:t>
      </w:r>
      <w:r w:rsidRPr="001D25B1">
        <w:rPr>
          <w:rFonts w:ascii="Garamond" w:eastAsia="Times New Roman" w:hAnsi="Garamond" w:cs="Garamond"/>
          <w:sz w:val="24"/>
          <w:szCs w:val="24"/>
        </w:rPr>
        <w:t xml:space="preserve">protection des victimes. Cependant, celui-ci est illustratif  de ce qui </w:t>
      </w:r>
      <w:r w:rsidR="0067596B" w:rsidRPr="001D25B1">
        <w:rPr>
          <w:rFonts w:ascii="Garamond" w:eastAsia="Times New Roman" w:hAnsi="Garamond" w:cs="Garamond"/>
          <w:sz w:val="24"/>
          <w:szCs w:val="24"/>
        </w:rPr>
        <w:t>peut se</w:t>
      </w:r>
      <w:r w:rsidRPr="001D25B1">
        <w:rPr>
          <w:rFonts w:ascii="Garamond" w:eastAsia="Times New Roman" w:hAnsi="Garamond" w:cs="Garamond"/>
          <w:sz w:val="24"/>
          <w:szCs w:val="24"/>
        </w:rPr>
        <w:t xml:space="preserve"> passe</w:t>
      </w:r>
      <w:r w:rsidR="0067596B" w:rsidRPr="001D25B1">
        <w:rPr>
          <w:rFonts w:ascii="Garamond" w:eastAsia="Times New Roman" w:hAnsi="Garamond" w:cs="Garamond"/>
          <w:sz w:val="24"/>
          <w:szCs w:val="24"/>
        </w:rPr>
        <w:t>r</w:t>
      </w:r>
      <w:r w:rsidRPr="001D25B1">
        <w:rPr>
          <w:rFonts w:ascii="Garamond" w:eastAsia="Times New Roman" w:hAnsi="Garamond" w:cs="Garamond"/>
          <w:sz w:val="24"/>
          <w:szCs w:val="24"/>
        </w:rPr>
        <w:t xml:space="preserve"> lors des interrogatoires. Il est tiré du livre témoignage d’un ex détenu de la Maison d’Arrêt et de Correction d’Abidjan : « </w:t>
      </w:r>
      <w:r w:rsidRPr="001D25B1">
        <w:rPr>
          <w:rFonts w:ascii="Garamond" w:eastAsia="Times New Roman" w:hAnsi="Garamond" w:cs="Garamond"/>
          <w:i/>
          <w:iCs/>
          <w:sz w:val="24"/>
          <w:szCs w:val="24"/>
        </w:rPr>
        <w:t>pendant trois jours, ils m’ont</w:t>
      </w:r>
      <w:r w:rsidRPr="001D25B1">
        <w:rPr>
          <w:rFonts w:ascii="Garamond" w:eastAsia="Times New Roman" w:hAnsi="Garamond" w:cs="Garamond"/>
          <w:bCs/>
          <w:i/>
          <w:iCs/>
          <w:sz w:val="24"/>
          <w:szCs w:val="24"/>
        </w:rPr>
        <w:t xml:space="preserve"> frappé </w:t>
      </w:r>
      <w:r w:rsidRPr="001D25B1">
        <w:rPr>
          <w:rFonts w:ascii="Garamond" w:eastAsia="Times New Roman" w:hAnsi="Garamond" w:cs="Garamond"/>
          <w:i/>
          <w:iCs/>
          <w:sz w:val="24"/>
          <w:szCs w:val="24"/>
        </w:rPr>
        <w:t xml:space="preserve">sans rien me demander. Quand la nuit tombe et qu’il n’y a plus de monde au plateau, ils me sortent de la cellule et me conduisent dans une salle (…). Là, ils me </w:t>
      </w:r>
      <w:r w:rsidRPr="001D25B1">
        <w:rPr>
          <w:rFonts w:ascii="Garamond" w:eastAsia="Times New Roman" w:hAnsi="Garamond" w:cs="Garamond"/>
          <w:bCs/>
          <w:i/>
          <w:iCs/>
          <w:sz w:val="24"/>
          <w:szCs w:val="24"/>
        </w:rPr>
        <w:t>menottaient les mains dans le dos</w:t>
      </w:r>
      <w:r w:rsidRPr="001D25B1">
        <w:rPr>
          <w:rFonts w:ascii="Garamond" w:eastAsia="Times New Roman" w:hAnsi="Garamond" w:cs="Garamond"/>
          <w:i/>
          <w:iCs/>
          <w:sz w:val="24"/>
          <w:szCs w:val="24"/>
        </w:rPr>
        <w:t xml:space="preserve">. Et, à l’aide d’une machette, d’une chaine et d’un marteau, ils me </w:t>
      </w:r>
      <w:r w:rsidRPr="001D25B1">
        <w:rPr>
          <w:rFonts w:ascii="Garamond" w:eastAsia="Times New Roman" w:hAnsi="Garamond" w:cs="Garamond"/>
          <w:bCs/>
          <w:i/>
          <w:iCs/>
          <w:sz w:val="24"/>
          <w:szCs w:val="24"/>
        </w:rPr>
        <w:lastRenderedPageBreak/>
        <w:t>frappaient jusqu’à ce que je perde connaissance</w:t>
      </w:r>
      <w:r w:rsidRPr="001D25B1">
        <w:rPr>
          <w:rFonts w:ascii="Garamond" w:eastAsia="Times New Roman" w:hAnsi="Garamond" w:cs="Garamond"/>
          <w:i/>
          <w:iCs/>
          <w:sz w:val="24"/>
          <w:szCs w:val="24"/>
        </w:rPr>
        <w:t xml:space="preserve">. C’est avec la machette qu’ils m’ont fait toutes ses </w:t>
      </w:r>
      <w:r w:rsidRPr="001D25B1">
        <w:rPr>
          <w:rFonts w:ascii="Garamond" w:eastAsia="Times New Roman" w:hAnsi="Garamond" w:cs="Garamond"/>
          <w:bCs/>
          <w:i/>
          <w:iCs/>
          <w:sz w:val="24"/>
          <w:szCs w:val="24"/>
        </w:rPr>
        <w:t>blessures sur le corps</w:t>
      </w:r>
      <w:r w:rsidRPr="001D25B1">
        <w:rPr>
          <w:rFonts w:ascii="Garamond" w:eastAsia="Times New Roman" w:hAnsi="Garamond" w:cs="Garamond"/>
          <w:i/>
          <w:iCs/>
          <w:sz w:val="24"/>
          <w:szCs w:val="24"/>
        </w:rPr>
        <w:t xml:space="preserve">. Les </w:t>
      </w:r>
      <w:r w:rsidRPr="001D25B1">
        <w:rPr>
          <w:rFonts w:ascii="Garamond" w:eastAsia="Times New Roman" w:hAnsi="Garamond" w:cs="Garamond"/>
          <w:bCs/>
          <w:i/>
          <w:iCs/>
          <w:sz w:val="24"/>
          <w:szCs w:val="24"/>
        </w:rPr>
        <w:t>blessures sur ma tête</w:t>
      </w:r>
      <w:r w:rsidRPr="001D25B1">
        <w:rPr>
          <w:rFonts w:ascii="Garamond" w:eastAsia="Times New Roman" w:hAnsi="Garamond" w:cs="Garamond"/>
          <w:i/>
          <w:iCs/>
          <w:sz w:val="24"/>
          <w:szCs w:val="24"/>
        </w:rPr>
        <w:t xml:space="preserve"> ont été faites avec une lame. </w:t>
      </w:r>
      <w:r w:rsidRPr="001D25B1">
        <w:rPr>
          <w:rFonts w:ascii="Garamond" w:eastAsia="Times New Roman" w:hAnsi="Garamond" w:cs="Garamond"/>
          <w:sz w:val="24"/>
          <w:szCs w:val="24"/>
        </w:rPr>
        <w:t xml:space="preserve">» </w:t>
      </w:r>
      <w:r w:rsidR="000852A0" w:rsidRPr="00895FAB">
        <w:rPr>
          <w:rStyle w:val="Appelnotedebasdep"/>
          <w:rFonts w:ascii="Garamond" w:eastAsia="Times New Roman" w:hAnsi="Garamond" w:cs="Garamond"/>
          <w:sz w:val="24"/>
          <w:szCs w:val="24"/>
        </w:rPr>
        <w:footnoteReference w:id="30"/>
      </w:r>
    </w:p>
    <w:p w:rsidR="00E66061" w:rsidRPr="001D25B1" w:rsidRDefault="000852A0" w:rsidP="001D25B1">
      <w:pPr>
        <w:spacing w:before="120" w:after="120" w:line="276" w:lineRule="auto"/>
        <w:jc w:val="both"/>
        <w:rPr>
          <w:rFonts w:ascii="Garamond" w:eastAsia="Times New Roman" w:hAnsi="Garamond" w:cs="Garamond"/>
          <w:i/>
          <w:sz w:val="24"/>
          <w:szCs w:val="24"/>
        </w:rPr>
      </w:pPr>
      <w:r w:rsidRPr="00895FAB">
        <w:rPr>
          <w:rFonts w:ascii="Garamond" w:eastAsia="Times New Roman" w:hAnsi="Garamond" w:cs="Garamond"/>
          <w:sz w:val="24"/>
          <w:szCs w:val="24"/>
        </w:rPr>
        <w:t xml:space="preserve">Il est également possible de citer </w:t>
      </w:r>
      <w:r w:rsidR="00E66061" w:rsidRPr="001D25B1">
        <w:rPr>
          <w:rFonts w:ascii="Garamond" w:eastAsia="Times New Roman" w:hAnsi="Garamond" w:cs="Garamond"/>
          <w:sz w:val="24"/>
          <w:szCs w:val="24"/>
        </w:rPr>
        <w:t>un autre témoignage rendu public par le rapport 2009</w:t>
      </w:r>
      <w:r w:rsidRPr="001D25B1">
        <w:rPr>
          <w:rFonts w:ascii="Garamond" w:eastAsia="Times New Roman" w:hAnsi="Garamond" w:cs="Garamond"/>
          <w:sz w:val="24"/>
          <w:szCs w:val="24"/>
        </w:rPr>
        <w:t xml:space="preserve"> </w:t>
      </w:r>
      <w:r w:rsidR="00E66061" w:rsidRPr="001D25B1">
        <w:rPr>
          <w:rFonts w:ascii="Garamond" w:eastAsia="Times New Roman" w:hAnsi="Garamond" w:cs="Garamond"/>
          <w:sz w:val="24"/>
          <w:szCs w:val="24"/>
        </w:rPr>
        <w:t>de la CNDHCI</w:t>
      </w:r>
      <w:r w:rsidR="00634147" w:rsidRPr="00895FAB">
        <w:rPr>
          <w:rStyle w:val="Appelnotedebasdep"/>
          <w:rFonts w:ascii="Garamond" w:eastAsia="Times New Roman" w:hAnsi="Garamond" w:cs="Garamond"/>
          <w:sz w:val="24"/>
          <w:szCs w:val="24"/>
        </w:rPr>
        <w:footnoteReference w:id="31"/>
      </w:r>
      <w:r w:rsidR="00E66061" w:rsidRPr="00895FAB">
        <w:rPr>
          <w:rFonts w:ascii="Garamond" w:eastAsia="Times New Roman" w:hAnsi="Garamond" w:cs="Garamond"/>
          <w:sz w:val="24"/>
          <w:szCs w:val="24"/>
        </w:rPr>
        <w:t> : « </w:t>
      </w:r>
      <w:r w:rsidR="00E66061" w:rsidRPr="00895FAB">
        <w:rPr>
          <w:rFonts w:ascii="Garamond" w:eastAsia="Times New Roman" w:hAnsi="Garamond" w:cs="Garamond"/>
          <w:i/>
          <w:sz w:val="24"/>
          <w:szCs w:val="24"/>
        </w:rPr>
        <w:t>le samedi  12 septembre 2009, KS et LO ont été arrêtés</w:t>
      </w:r>
      <w:r w:rsidR="00E66061" w:rsidRPr="001D25B1">
        <w:rPr>
          <w:rFonts w:ascii="Garamond" w:eastAsia="Times New Roman" w:hAnsi="Garamond" w:cs="Garamond"/>
          <w:i/>
          <w:sz w:val="24"/>
          <w:szCs w:val="24"/>
        </w:rPr>
        <w:t xml:space="preserve"> par des éléments du centre de commandement des opérations de sécurité(CECOS) et détenus pendant plusieurs jours à la base de cette unité de lutte contre la criminalité.</w:t>
      </w:r>
      <w:r w:rsidR="00E66061" w:rsidRPr="001D25B1">
        <w:rPr>
          <w:rFonts w:ascii="Garamond" w:eastAsia="Times New Roman" w:hAnsi="Garamond" w:cs="Garamond"/>
          <w:sz w:val="24"/>
          <w:szCs w:val="24"/>
        </w:rPr>
        <w:t xml:space="preserve"> (…) </w:t>
      </w:r>
      <w:r w:rsidR="00E66061" w:rsidRPr="001D25B1">
        <w:rPr>
          <w:rFonts w:ascii="Garamond" w:eastAsia="Times New Roman" w:hAnsi="Garamond" w:cs="Garamond"/>
          <w:i/>
          <w:sz w:val="24"/>
          <w:szCs w:val="24"/>
        </w:rPr>
        <w:t xml:space="preserve">en ce lieu j’ai été séparé de LO. Ils m’ont alors conduit dans un couloir attenant au bureau pour me torturer durant des heures. J’ai été brûlé avec un fer à repasser à plusieurs endroits du corps. J’ai été battu avec des matraques, des rangers, </w:t>
      </w:r>
      <w:r w:rsidR="00AB7AC5" w:rsidRPr="001D25B1">
        <w:rPr>
          <w:rFonts w:ascii="Garamond" w:eastAsia="Times New Roman" w:hAnsi="Garamond" w:cs="Garamond"/>
          <w:i/>
          <w:sz w:val="24"/>
          <w:szCs w:val="24"/>
        </w:rPr>
        <w:t xml:space="preserve">des </w:t>
      </w:r>
      <w:r w:rsidR="00810156" w:rsidRPr="001D25B1">
        <w:rPr>
          <w:rFonts w:ascii="Garamond" w:eastAsia="Times New Roman" w:hAnsi="Garamond" w:cs="Garamond"/>
          <w:i/>
          <w:sz w:val="24"/>
          <w:szCs w:val="24"/>
        </w:rPr>
        <w:t>branchages</w:t>
      </w:r>
      <w:r w:rsidR="00AB7AC5" w:rsidRPr="001D25B1">
        <w:rPr>
          <w:rFonts w:ascii="Garamond" w:eastAsia="Times New Roman" w:hAnsi="Garamond" w:cs="Garamond"/>
          <w:i/>
          <w:sz w:val="24"/>
          <w:szCs w:val="24"/>
        </w:rPr>
        <w:t xml:space="preserve"> et des cordelettes. J’ai reçu un coup à la nuque qui m’a fait perdre connaissance ;</w:t>
      </w:r>
      <w:r w:rsidR="002E6879">
        <w:rPr>
          <w:rFonts w:ascii="Garamond" w:eastAsia="Times New Roman" w:hAnsi="Garamond" w:cs="Garamond"/>
          <w:i/>
          <w:sz w:val="24"/>
          <w:szCs w:val="24"/>
        </w:rPr>
        <w:t xml:space="preserve"> </w:t>
      </w:r>
      <w:r w:rsidR="00AB7AC5" w:rsidRPr="001D25B1">
        <w:rPr>
          <w:rFonts w:ascii="Garamond" w:eastAsia="Times New Roman" w:hAnsi="Garamond" w:cs="Garamond"/>
          <w:i/>
          <w:sz w:val="24"/>
          <w:szCs w:val="24"/>
        </w:rPr>
        <w:t>je vous montre ces blessures »</w:t>
      </w:r>
    </w:p>
    <w:p w:rsidR="00EE6A66" w:rsidRPr="001D25B1" w:rsidRDefault="00EE6A66" w:rsidP="001D25B1">
      <w:pPr>
        <w:spacing w:before="120" w:after="120" w:line="276" w:lineRule="auto"/>
        <w:jc w:val="both"/>
        <w:rPr>
          <w:rFonts w:ascii="Garamond" w:eastAsia="Times New Roman" w:hAnsi="Garamond" w:cs="Garamond"/>
          <w:i/>
          <w:sz w:val="24"/>
          <w:szCs w:val="24"/>
        </w:rPr>
      </w:pPr>
      <w:r w:rsidRPr="001D25B1">
        <w:rPr>
          <w:rFonts w:ascii="Garamond" w:eastAsia="Times New Roman" w:hAnsi="Garamond" w:cs="Garamond"/>
          <w:sz w:val="24"/>
          <w:szCs w:val="24"/>
        </w:rPr>
        <w:t>Intervenant à son tour, LO raconte :</w:t>
      </w:r>
      <w:r w:rsidRPr="001D25B1">
        <w:rPr>
          <w:rFonts w:ascii="Garamond" w:eastAsia="Times New Roman" w:hAnsi="Garamond" w:cs="Garamond"/>
          <w:i/>
          <w:sz w:val="24"/>
          <w:szCs w:val="24"/>
        </w:rPr>
        <w:t> « J’ai été tabassé. Je saigne, depuis lors, de l’anus. J’en suis réduit à mettre du papier hygiénique dans ma culotte pour ne pas me salir. Ils m’ont porté des coups, de matraques, de ceinturons, de branchages, de poings sur le corps, notamment au visage et dans l’ab</w:t>
      </w:r>
      <w:r w:rsidR="000852A0" w:rsidRPr="001D25B1">
        <w:rPr>
          <w:rFonts w:ascii="Garamond" w:eastAsia="Times New Roman" w:hAnsi="Garamond" w:cs="Garamond"/>
          <w:i/>
          <w:sz w:val="24"/>
          <w:szCs w:val="24"/>
        </w:rPr>
        <w:t>domen</w:t>
      </w:r>
      <w:r w:rsidRPr="001D25B1">
        <w:rPr>
          <w:rFonts w:ascii="Garamond" w:eastAsia="Times New Roman" w:hAnsi="Garamond" w:cs="Garamond"/>
          <w:i/>
          <w:sz w:val="24"/>
          <w:szCs w:val="24"/>
        </w:rPr>
        <w:t>.</w:t>
      </w:r>
      <w:r w:rsidR="002E6879">
        <w:rPr>
          <w:rFonts w:ascii="Garamond" w:eastAsia="Times New Roman" w:hAnsi="Garamond" w:cs="Garamond"/>
          <w:i/>
          <w:sz w:val="24"/>
          <w:szCs w:val="24"/>
        </w:rPr>
        <w:t xml:space="preserve"> </w:t>
      </w:r>
      <w:r w:rsidRPr="001D25B1">
        <w:rPr>
          <w:rFonts w:ascii="Garamond" w:eastAsia="Times New Roman" w:hAnsi="Garamond" w:cs="Garamond"/>
          <w:i/>
          <w:sz w:val="24"/>
          <w:szCs w:val="24"/>
        </w:rPr>
        <w:t xml:space="preserve">(…) L’un des éléments du CECOS m’a assené un coup de ceinturon sur la </w:t>
      </w:r>
      <w:r w:rsidR="00634147" w:rsidRPr="001D25B1">
        <w:rPr>
          <w:rFonts w:ascii="Garamond" w:eastAsia="Times New Roman" w:hAnsi="Garamond" w:cs="Garamond"/>
          <w:i/>
          <w:sz w:val="24"/>
          <w:szCs w:val="24"/>
        </w:rPr>
        <w:t>colonne</w:t>
      </w:r>
      <w:r w:rsidRPr="001D25B1">
        <w:rPr>
          <w:rFonts w:ascii="Garamond" w:eastAsia="Times New Roman" w:hAnsi="Garamond" w:cs="Garamond"/>
          <w:i/>
          <w:sz w:val="24"/>
          <w:szCs w:val="24"/>
        </w:rPr>
        <w:t xml:space="preserve"> vertébrale. Le coup était tellement violent que je me suis évanoui.</w:t>
      </w:r>
      <w:r w:rsidRPr="001D25B1">
        <w:rPr>
          <w:rFonts w:ascii="Garamond" w:eastAsia="Times New Roman" w:hAnsi="Garamond" w:cs="Garamond"/>
          <w:sz w:val="24"/>
          <w:szCs w:val="24"/>
        </w:rPr>
        <w:t>»</w:t>
      </w:r>
      <w:r w:rsidR="00634147" w:rsidRPr="001D25B1">
        <w:rPr>
          <w:rFonts w:ascii="Garamond" w:eastAsia="Times New Roman" w:hAnsi="Garamond" w:cs="Garamond"/>
          <w:sz w:val="24"/>
          <w:szCs w:val="24"/>
        </w:rPr>
        <w:t xml:space="preserve"> P</w:t>
      </w:r>
      <w:r w:rsidRPr="001D25B1">
        <w:rPr>
          <w:rFonts w:ascii="Garamond" w:eastAsia="Times New Roman" w:hAnsi="Garamond" w:cs="Garamond"/>
          <w:sz w:val="24"/>
          <w:szCs w:val="24"/>
        </w:rPr>
        <w:t xml:space="preserve">lusieurs </w:t>
      </w:r>
      <w:r w:rsidR="00634147" w:rsidRPr="001D25B1">
        <w:rPr>
          <w:rFonts w:ascii="Garamond" w:eastAsia="Times New Roman" w:hAnsi="Garamond" w:cs="Garamond"/>
          <w:sz w:val="24"/>
          <w:szCs w:val="24"/>
        </w:rPr>
        <w:t>lésions</w:t>
      </w:r>
      <w:r w:rsidRPr="001D25B1">
        <w:rPr>
          <w:rFonts w:ascii="Garamond" w:eastAsia="Times New Roman" w:hAnsi="Garamond" w:cs="Garamond"/>
          <w:sz w:val="24"/>
          <w:szCs w:val="24"/>
        </w:rPr>
        <w:t xml:space="preserve"> ont été constatées sur le corps de KS</w:t>
      </w:r>
      <w:r w:rsidR="00634147" w:rsidRPr="001D25B1">
        <w:rPr>
          <w:rFonts w:ascii="Garamond" w:eastAsia="Times New Roman" w:hAnsi="Garamond" w:cs="Garamond"/>
          <w:sz w:val="24"/>
          <w:szCs w:val="24"/>
        </w:rPr>
        <w:t>.</w:t>
      </w:r>
      <w:r w:rsidRPr="001D25B1">
        <w:rPr>
          <w:rFonts w:ascii="Garamond" w:eastAsia="Times New Roman" w:hAnsi="Garamond" w:cs="Garamond"/>
          <w:i/>
          <w:sz w:val="24"/>
          <w:szCs w:val="24"/>
        </w:rPr>
        <w:t xml:space="preserve"> </w:t>
      </w:r>
    </w:p>
    <w:p w:rsidR="00FC1C58" w:rsidRPr="001D25B1" w:rsidRDefault="00FC1C58" w:rsidP="001D25B1">
      <w:pPr>
        <w:spacing w:after="0" w:line="276" w:lineRule="auto"/>
        <w:jc w:val="both"/>
        <w:rPr>
          <w:rFonts w:ascii="Garamond" w:eastAsia="Times New Roman" w:hAnsi="Garamond" w:cs="Garamond"/>
          <w:b/>
          <w:bCs/>
          <w:i/>
          <w:color w:val="365F91"/>
          <w:sz w:val="24"/>
          <w:szCs w:val="24"/>
        </w:rPr>
      </w:pPr>
      <w:r w:rsidRPr="001D25B1">
        <w:rPr>
          <w:rFonts w:ascii="Garamond" w:eastAsia="Times New Roman" w:hAnsi="Garamond" w:cs="Garamond"/>
          <w:b/>
          <w:bCs/>
          <w:i/>
          <w:color w:val="365F91"/>
          <w:sz w:val="24"/>
          <w:szCs w:val="24"/>
        </w:rPr>
        <w:t>L’ACAT Côte d’Ivoire et la FIACAT invitent le Comité des droits de l’homme à recommander à l’Etat partie de :</w:t>
      </w:r>
    </w:p>
    <w:p w:rsidR="00FC1C58" w:rsidRPr="001D25B1" w:rsidRDefault="00FC1C58" w:rsidP="001D25B1">
      <w:pPr>
        <w:pStyle w:val="Paragraphedeliste"/>
        <w:numPr>
          <w:ilvl w:val="1"/>
          <w:numId w:val="43"/>
        </w:numPr>
        <w:rPr>
          <w:b/>
          <w:i/>
          <w:color w:val="365F91"/>
        </w:rPr>
      </w:pPr>
      <w:r w:rsidRPr="001D25B1">
        <w:rPr>
          <w:b/>
          <w:i/>
          <w:color w:val="365F91"/>
        </w:rPr>
        <w:t xml:space="preserve">Interdire l’utilisation en tant que preuve de tout aveu obtenu </w:t>
      </w:r>
      <w:r w:rsidR="000852A0" w:rsidRPr="001D25B1">
        <w:rPr>
          <w:b/>
          <w:i/>
          <w:color w:val="365F91"/>
        </w:rPr>
        <w:t xml:space="preserve">par </w:t>
      </w:r>
      <w:r w:rsidRPr="001D25B1">
        <w:rPr>
          <w:b/>
          <w:i/>
          <w:color w:val="365F91"/>
        </w:rPr>
        <w:t xml:space="preserve">la torture dans le </w:t>
      </w:r>
      <w:r w:rsidR="000852A0" w:rsidRPr="001D25B1">
        <w:rPr>
          <w:b/>
          <w:i/>
          <w:color w:val="365F91"/>
        </w:rPr>
        <w:t>C</w:t>
      </w:r>
      <w:r w:rsidRPr="001D25B1">
        <w:rPr>
          <w:b/>
          <w:i/>
          <w:color w:val="365F91"/>
        </w:rPr>
        <w:t>ode de procédure pénale.</w:t>
      </w:r>
    </w:p>
    <w:p w:rsidR="00FC1C58" w:rsidRPr="001D25B1" w:rsidRDefault="00FC1C58" w:rsidP="001D25B1">
      <w:pPr>
        <w:spacing w:before="120" w:after="120" w:line="276" w:lineRule="auto"/>
        <w:ind w:left="567"/>
        <w:jc w:val="both"/>
        <w:rPr>
          <w:rFonts w:ascii="Garamond" w:eastAsia="Times New Roman" w:hAnsi="Garamond" w:cs="Garamond"/>
          <w:sz w:val="24"/>
          <w:szCs w:val="24"/>
        </w:rPr>
      </w:pPr>
    </w:p>
    <w:p w:rsidR="00FC1C58" w:rsidRPr="001D25B1" w:rsidRDefault="00FC1C58" w:rsidP="001D25B1">
      <w:pPr>
        <w:pStyle w:val="Titre3"/>
      </w:pPr>
      <w:bookmarkStart w:id="58" w:name="_Toc386200912"/>
      <w:bookmarkStart w:id="59" w:name="_Toc412111725"/>
      <w:r w:rsidRPr="001D25B1">
        <w:t>La formation des agents péni</w:t>
      </w:r>
      <w:r w:rsidRPr="001D25B1">
        <w:rPr>
          <w:rStyle w:val="Titre3Car"/>
          <w:b/>
          <w:i/>
        </w:rPr>
        <w:t>t</w:t>
      </w:r>
      <w:r w:rsidRPr="001D25B1">
        <w:t>entiaires</w:t>
      </w:r>
      <w:bookmarkEnd w:id="58"/>
      <w:bookmarkEnd w:id="59"/>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Lors de sa rencontre avec la FIACAT en novembre 2013, la CNDH CI s’est montrée préoccupée par le manque de formation aux droits de l’homme du personnel carcéral. </w:t>
      </w:r>
      <w:r w:rsidRPr="00895FAB">
        <w:rPr>
          <w:rFonts w:ascii="Garamond" w:eastAsia="Times New Roman" w:hAnsi="Garamond" w:cs="Garamond"/>
          <w:sz w:val="24"/>
          <w:szCs w:val="24"/>
        </w:rPr>
        <w:t>On note une absence de plan de formation conti</w:t>
      </w:r>
      <w:r w:rsidRPr="001D25B1">
        <w:rPr>
          <w:rFonts w:ascii="Garamond" w:eastAsia="Times New Roman" w:hAnsi="Garamond" w:cs="Garamond"/>
          <w:sz w:val="24"/>
          <w:szCs w:val="24"/>
        </w:rPr>
        <w:t>nue du personnel et de bibliothèque dans les établissements pénitentiaires à l’usage du personnel et des détenus. De plus, dans leur curricul</w:t>
      </w:r>
      <w:r w:rsidR="00817CED" w:rsidRPr="001D25B1">
        <w:rPr>
          <w:rFonts w:ascii="Garamond" w:eastAsia="Times New Roman" w:hAnsi="Garamond" w:cs="Garamond"/>
          <w:sz w:val="24"/>
          <w:szCs w:val="24"/>
        </w:rPr>
        <w:t>um</w:t>
      </w:r>
      <w:r w:rsidRPr="001D25B1">
        <w:rPr>
          <w:rFonts w:ascii="Garamond" w:eastAsia="Times New Roman" w:hAnsi="Garamond" w:cs="Garamond"/>
          <w:sz w:val="24"/>
          <w:szCs w:val="24"/>
        </w:rPr>
        <w:t xml:space="preserve"> de formation, il n’existe pas de module de formation sur la torture comme pour nombre d’agents de l’Etat civils ou militaires chargés d’appliquer les lois</w:t>
      </w:r>
      <w:r w:rsidRPr="00895FAB">
        <w:rPr>
          <w:rFonts w:ascii="Garamond" w:eastAsia="Times New Roman" w:hAnsi="Garamond" w:cs="Garamond"/>
          <w:sz w:val="24"/>
          <w:szCs w:val="24"/>
          <w:vertAlign w:val="superscript"/>
        </w:rPr>
        <w:footnoteReference w:id="32"/>
      </w:r>
      <w:r w:rsidR="001A1A80" w:rsidRPr="00895FAB">
        <w:rPr>
          <w:rFonts w:ascii="Garamond" w:eastAsia="Times New Roman" w:hAnsi="Garamond" w:cs="Garamond"/>
          <w:sz w:val="24"/>
          <w:szCs w:val="24"/>
        </w:rPr>
        <w:t>.</w:t>
      </w:r>
      <w:r w:rsidR="004C749F" w:rsidRPr="00895FAB">
        <w:rPr>
          <w:rFonts w:ascii="Garamond" w:eastAsia="Times New Roman" w:hAnsi="Garamond" w:cs="Garamond"/>
          <w:sz w:val="24"/>
          <w:szCs w:val="24"/>
        </w:rPr>
        <w:t xml:space="preserve">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De même, l’ONUCI a informé la FIACAT que parmi les 65 000 personnes qui ont été démobilisées après le conflit, 2 000 ont été intégrées à la Garde pénitentiaire. Ce personnel a été très rapidement formé sur les méthodes de sécurité mais n’a pas reçu de formation sur les droits des personnes détenues. Les formations se sont </w:t>
      </w:r>
      <w:r w:rsidR="003E01F9" w:rsidRPr="001D25B1">
        <w:rPr>
          <w:rFonts w:ascii="Garamond" w:eastAsia="Times New Roman" w:hAnsi="Garamond" w:cs="Garamond"/>
          <w:sz w:val="24"/>
          <w:szCs w:val="24"/>
        </w:rPr>
        <w:t>déroulées</w:t>
      </w:r>
      <w:r w:rsidRPr="001D25B1">
        <w:rPr>
          <w:rFonts w:ascii="Garamond" w:eastAsia="Times New Roman" w:hAnsi="Garamond" w:cs="Garamond"/>
          <w:sz w:val="24"/>
          <w:szCs w:val="24"/>
        </w:rPr>
        <w:t xml:space="preserve"> en</w:t>
      </w:r>
      <w:r w:rsidR="003E01F9" w:rsidRPr="001D25B1">
        <w:rPr>
          <w:rFonts w:ascii="Garamond" w:eastAsia="Times New Roman" w:hAnsi="Garamond" w:cs="Garamond"/>
          <w:sz w:val="24"/>
          <w:szCs w:val="24"/>
        </w:rPr>
        <w:t xml:space="preserve"> trois vagues</w:t>
      </w:r>
      <w:r w:rsidR="007D60A4" w:rsidRPr="001D25B1">
        <w:rPr>
          <w:rFonts w:ascii="Garamond" w:eastAsia="Times New Roman" w:hAnsi="Garamond" w:cs="Garamond"/>
          <w:sz w:val="24"/>
          <w:szCs w:val="24"/>
        </w:rPr>
        <w:t xml:space="preserve"> de</w:t>
      </w:r>
      <w:r w:rsidR="003E01F9" w:rsidRPr="001D25B1">
        <w:rPr>
          <w:rFonts w:ascii="Garamond" w:eastAsia="Times New Roman" w:hAnsi="Garamond" w:cs="Garamond"/>
          <w:sz w:val="24"/>
          <w:szCs w:val="24"/>
        </w:rPr>
        <w:t xml:space="preserve"> deux mois chacune au lieu d’un an minimum</w:t>
      </w:r>
      <w:r w:rsidR="003E01F9" w:rsidRPr="00895FAB">
        <w:rPr>
          <w:rStyle w:val="Appelnotedebasdep"/>
          <w:rFonts w:ascii="Garamond" w:eastAsia="Times New Roman" w:hAnsi="Garamond" w:cs="Garamond"/>
          <w:sz w:val="24"/>
          <w:szCs w:val="24"/>
        </w:rPr>
        <w:footnoteReference w:id="33"/>
      </w:r>
      <w:r w:rsidR="003E01F9" w:rsidRPr="00895FAB">
        <w:rPr>
          <w:rFonts w:ascii="Garamond" w:eastAsia="Times New Roman" w:hAnsi="Garamond" w:cs="Garamond"/>
          <w:sz w:val="24"/>
          <w:szCs w:val="24"/>
        </w:rPr>
        <w:t>.</w:t>
      </w:r>
      <w:r w:rsidR="003E01F9" w:rsidRPr="00895FAB">
        <w:rPr>
          <w:rFonts w:ascii="Garamond" w:eastAsia="Times New Roman" w:hAnsi="Garamond" w:cs="Garamond"/>
          <w:i/>
          <w:sz w:val="24"/>
          <w:szCs w:val="24"/>
        </w:rPr>
        <w:t xml:space="preserve"> </w:t>
      </w:r>
      <w:r w:rsidRPr="001D25B1">
        <w:rPr>
          <w:rFonts w:ascii="Garamond" w:eastAsia="Times New Roman" w:hAnsi="Garamond" w:cs="Garamond"/>
          <w:sz w:val="24"/>
          <w:szCs w:val="24"/>
        </w:rPr>
        <w:t xml:space="preserve">La </w:t>
      </w:r>
      <w:r w:rsidR="003A59D6" w:rsidRPr="001D25B1">
        <w:rPr>
          <w:rFonts w:ascii="Garamond" w:eastAsia="Times New Roman" w:hAnsi="Garamond" w:cs="Garamond"/>
          <w:sz w:val="24"/>
          <w:szCs w:val="24"/>
        </w:rPr>
        <w:t>plupart de ces agents ne remplissent</w:t>
      </w:r>
      <w:r w:rsidRPr="001D25B1">
        <w:rPr>
          <w:rFonts w:ascii="Garamond" w:eastAsia="Times New Roman" w:hAnsi="Garamond" w:cs="Garamond"/>
          <w:sz w:val="24"/>
          <w:szCs w:val="24"/>
        </w:rPr>
        <w:t xml:space="preserve"> pas les critères de sélection et certains d’entre eux sont illettrés. Ils sont responsables de la grande majorité des incidents dans les prisons de Côte d’Ivoire.</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lastRenderedPageBreak/>
        <w:t>La formation du personnel pénitentiaire sur l’interdit de la torture est donc assurée par des membres de la société civile travaillant dans le milieu carcéral. A titre d’exemple, l’ACAT Côte d’Ivoire a organisé, le 22 avril 2014, une formation destinée au personnel pénitentiaire de la Maison d’arrêt et de correction de Grand-Bassam. Un module portant sur les normes internationales relatives aux droits de l’homme à l’usage des agents pénitentiaires a été animé par le Sous-directeur de l’Administration pénitentiaire chargé des activités de la réinsertion sociale. Un autre module portant sur l’interdit de la torture a été animé par le Président de l’ACAT. Vingt agents de la garde pénitentiaire et le régisseur de la prison ont bénéficié de cette formation.</w:t>
      </w:r>
    </w:p>
    <w:p w:rsidR="007277A5" w:rsidRDefault="00D84A16" w:rsidP="001D25B1">
      <w:pPr>
        <w:spacing w:before="120" w:after="120" w:line="276" w:lineRule="auto"/>
        <w:jc w:val="both"/>
        <w:rPr>
          <w:rFonts w:ascii="Garamond" w:eastAsia="Times New Roman" w:hAnsi="Garamond" w:cs="Garamond"/>
          <w:b/>
          <w:bCs/>
          <w:i/>
          <w:color w:val="365F91"/>
          <w:sz w:val="24"/>
          <w:szCs w:val="24"/>
        </w:rPr>
      </w:pPr>
      <w:r>
        <w:rPr>
          <w:rFonts w:ascii="Garamond" w:eastAsia="Times New Roman" w:hAnsi="Garamond" w:cs="Garamond"/>
          <w:b/>
          <w:bCs/>
          <w:i/>
          <w:color w:val="365F91"/>
          <w:sz w:val="24"/>
          <w:szCs w:val="24"/>
        </w:rPr>
        <w:t xml:space="preserve">       </w:t>
      </w:r>
      <w:r>
        <w:rPr>
          <w:rFonts w:ascii="Garamond" w:eastAsia="Times New Roman" w:hAnsi="Garamond" w:cs="Garamond"/>
          <w:b/>
          <w:bCs/>
          <w:i/>
          <w:color w:val="365F91"/>
          <w:sz w:val="24"/>
          <w:szCs w:val="24"/>
        </w:rPr>
        <w:tab/>
      </w:r>
      <w:r>
        <w:rPr>
          <w:rFonts w:ascii="Garamond" w:eastAsia="Times New Roman" w:hAnsi="Garamond" w:cs="Garamond"/>
          <w:b/>
          <w:bCs/>
          <w:i/>
          <w:color w:val="365F91"/>
          <w:sz w:val="24"/>
          <w:szCs w:val="24"/>
        </w:rPr>
        <w:tab/>
      </w:r>
      <w:r>
        <w:rPr>
          <w:rFonts w:ascii="Garamond" w:eastAsia="Times New Roman" w:hAnsi="Garamond" w:cs="Garamond"/>
          <w:b/>
          <w:bCs/>
          <w:i/>
          <w:color w:val="365F91"/>
          <w:sz w:val="24"/>
          <w:szCs w:val="24"/>
        </w:rPr>
        <w:tab/>
        <w:t xml:space="preserve">   </w:t>
      </w:r>
      <w:r w:rsidR="007277A5">
        <w:rPr>
          <w:b/>
          <w:i/>
          <w:noProof/>
          <w:color w:val="365F91"/>
          <w:lang w:eastAsia="fr-FR"/>
        </w:rPr>
        <mc:AlternateContent>
          <mc:Choice Requires="wps">
            <w:drawing>
              <wp:inline distT="0" distB="0" distL="0" distR="0" wp14:anchorId="4FBF9779" wp14:editId="0422ED6E">
                <wp:extent cx="2781300" cy="2362200"/>
                <wp:effectExtent l="0" t="0" r="19050" b="19050"/>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300" cy="2362200"/>
                        </a:xfrm>
                        <a:prstGeom prst="rect">
                          <a:avLst/>
                        </a:prstGeom>
                        <a:solidFill>
                          <a:srgbClr val="FFFFFF"/>
                        </a:solidFill>
                        <a:ln w="9525">
                          <a:solidFill>
                            <a:srgbClr val="000000"/>
                          </a:solidFill>
                          <a:miter lim="800000"/>
                          <a:headEnd/>
                          <a:tailEnd/>
                        </a:ln>
                      </wps:spPr>
                      <wps:txbx>
                        <w:txbxContent>
                          <w:p w:rsidR="005E13E2" w:rsidRDefault="005E13E2" w:rsidP="00D84A16">
                            <w:pPr>
                              <w:jc w:val="center"/>
                            </w:pPr>
                            <w:r w:rsidRPr="00564D2B">
                              <w:rPr>
                                <w:noProof/>
                                <w:lang w:eastAsia="fr-FR"/>
                              </w:rPr>
                              <w:drawing>
                                <wp:inline distT="0" distB="0" distL="0" distR="0" wp14:anchorId="42AEA368" wp14:editId="40BFAB31">
                                  <wp:extent cx="2588895" cy="1807342"/>
                                  <wp:effectExtent l="19050" t="0" r="1905" b="0"/>
                                  <wp:docPr id="45" name="Image 1" descr="C:\Users\ACER\Pictures\07-05-2014\DSC03377.JPG"/>
                                  <wp:cNvGraphicFramePr/>
                                  <a:graphic xmlns:a="http://schemas.openxmlformats.org/drawingml/2006/main">
                                    <a:graphicData uri="http://schemas.openxmlformats.org/drawingml/2006/picture">
                                      <pic:pic xmlns:pic="http://schemas.openxmlformats.org/drawingml/2006/picture">
                                        <pic:nvPicPr>
                                          <pic:cNvPr id="10" name="Image 9" descr="C:\Users\ACER\Pictures\07-05-2014\DSC03377.JPG"/>
                                          <pic:cNvPicPr/>
                                        </pic:nvPicPr>
                                        <pic:blipFill>
                                          <a:blip r:embed="rId22" cstate="print"/>
                                          <a:srcRect/>
                                          <a:stretch>
                                            <a:fillRect/>
                                          </a:stretch>
                                        </pic:blipFill>
                                        <pic:spPr bwMode="auto">
                                          <a:xfrm>
                                            <a:off x="0" y="0"/>
                                            <a:ext cx="2588895" cy="1807342"/>
                                          </a:xfrm>
                                          <a:prstGeom prst="rect">
                                            <a:avLst/>
                                          </a:prstGeom>
                                          <a:noFill/>
                                          <a:ln w="9525">
                                            <a:noFill/>
                                            <a:miter lim="800000"/>
                                            <a:headEnd/>
                                            <a:tailEnd/>
                                          </a:ln>
                                        </pic:spPr>
                                      </pic:pic>
                                    </a:graphicData>
                                  </a:graphic>
                                </wp:inline>
                              </w:drawing>
                            </w:r>
                            <w:r>
                              <w:t>Les gardes pénitentiaires suivent avec intérêt la formation dispensée par l’ACAT CI</w:t>
                            </w:r>
                          </w:p>
                        </w:txbxContent>
                      </wps:txbx>
                      <wps:bodyPr rot="0" vert="horz" wrap="square" lIns="91440" tIns="45720" rIns="91440" bIns="45720" anchor="t" anchorCtr="0" upright="1">
                        <a:noAutofit/>
                      </wps:bodyPr>
                    </wps:wsp>
                  </a:graphicData>
                </a:graphic>
              </wp:inline>
            </w:drawing>
          </mc:Choice>
          <mc:Fallback>
            <w:pict>
              <v:rect w14:anchorId="4FBF9779" id="Rectangle 14" o:spid="_x0000_s1035" style="width:219pt;height:1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">
                <v:textbox>
                  <w:txbxContent>
                    <w:p w:rsidR="005E13E2" w:rsidRDefault="005E13E2" w:rsidP="00D84A16">
                      <w:pPr>
                        <w:jc w:val="center"/>
                      </w:pPr>
                      <w:r w:rsidRPr="00564D2B">
                        <w:rPr>
                          <w:noProof/>
                          <w:lang w:eastAsia="fr-FR"/>
                        </w:rPr>
                        <w:drawing>
                          <wp:inline distT="0" distB="0" distL="0" distR="0" wp14:anchorId="42AEA368" wp14:editId="40BFAB31">
                            <wp:extent cx="2588895" cy="1807342"/>
                            <wp:effectExtent l="19050" t="0" r="1905" b="0"/>
                            <wp:docPr id="45" name="Image 1" descr="C:\Users\ACER\Pictures\07-05-2014\DSC03377.JPG"/>
                            <wp:cNvGraphicFramePr/>
                            <a:graphic xmlns:a="http://schemas.openxmlformats.org/drawingml/2006/main">
                              <a:graphicData uri="http://schemas.openxmlformats.org/drawingml/2006/picture">
                                <pic:pic xmlns:pic="http://schemas.openxmlformats.org/drawingml/2006/picture">
                                  <pic:nvPicPr>
                                    <pic:cNvPr id="10" name="Image 9" descr="C:\Users\ACER\Pictures\07-05-2014\DSC03377.JPG"/>
                                    <pic:cNvPicPr/>
                                  </pic:nvPicPr>
                                  <pic:blipFill>
                                    <a:blip r:embed="rId23" cstate="print"/>
                                    <a:srcRect/>
                                    <a:stretch>
                                      <a:fillRect/>
                                    </a:stretch>
                                  </pic:blipFill>
                                  <pic:spPr bwMode="auto">
                                    <a:xfrm>
                                      <a:off x="0" y="0"/>
                                      <a:ext cx="2588895" cy="1807342"/>
                                    </a:xfrm>
                                    <a:prstGeom prst="rect">
                                      <a:avLst/>
                                    </a:prstGeom>
                                    <a:noFill/>
                                    <a:ln w="9525">
                                      <a:noFill/>
                                      <a:miter lim="800000"/>
                                      <a:headEnd/>
                                      <a:tailEnd/>
                                    </a:ln>
                                  </pic:spPr>
                                </pic:pic>
                              </a:graphicData>
                            </a:graphic>
                          </wp:inline>
                        </w:drawing>
                      </w:r>
                      <w:r>
                        <w:t>Les gardes pénitentiaires suivent avec intérêt la formation dispensée par l’ACAT CI</w:t>
                      </w:r>
                    </w:p>
                  </w:txbxContent>
                </v:textbox>
                <w10:anchorlock/>
              </v:rect>
            </w:pict>
          </mc:Fallback>
        </mc:AlternateContent>
      </w:r>
    </w:p>
    <w:p w:rsidR="00FC1C58" w:rsidRPr="001D25B1" w:rsidRDefault="00FC1C58" w:rsidP="001D25B1">
      <w:pPr>
        <w:spacing w:before="120" w:after="120" w:line="276" w:lineRule="auto"/>
        <w:jc w:val="both"/>
        <w:rPr>
          <w:rFonts w:ascii="Garamond" w:eastAsia="Times New Roman" w:hAnsi="Garamond" w:cs="Garamond"/>
          <w:b/>
          <w:bCs/>
          <w:i/>
          <w:color w:val="365F91"/>
          <w:sz w:val="24"/>
          <w:szCs w:val="24"/>
        </w:rPr>
      </w:pPr>
      <w:r w:rsidRPr="001D25B1">
        <w:rPr>
          <w:rFonts w:ascii="Garamond" w:eastAsia="Times New Roman" w:hAnsi="Garamond" w:cs="Garamond"/>
          <w:b/>
          <w:bCs/>
          <w:i/>
          <w:color w:val="365F91"/>
          <w:sz w:val="24"/>
          <w:szCs w:val="24"/>
        </w:rPr>
        <w:t>L’ACAT Côte d’Ivoire et la FIACAT invitent le Comité des droits de l’homme à recommander à l’Etat partie de :</w:t>
      </w:r>
    </w:p>
    <w:p w:rsidR="007277A5" w:rsidRPr="00E477EE" w:rsidRDefault="00FC1C58" w:rsidP="00E477EE">
      <w:pPr>
        <w:pStyle w:val="Paragraphedeliste"/>
        <w:numPr>
          <w:ilvl w:val="1"/>
          <w:numId w:val="43"/>
        </w:numPr>
        <w:rPr>
          <w:b/>
          <w:i/>
          <w:color w:val="365F91"/>
        </w:rPr>
      </w:pPr>
      <w:r w:rsidRPr="001D25B1">
        <w:rPr>
          <w:b/>
          <w:i/>
          <w:color w:val="365F91"/>
        </w:rPr>
        <w:t xml:space="preserve">Former </w:t>
      </w:r>
      <w:r w:rsidR="00281BFA">
        <w:rPr>
          <w:b/>
          <w:i/>
          <w:color w:val="365F91"/>
        </w:rPr>
        <w:t>l</w:t>
      </w:r>
      <w:r w:rsidRPr="001D25B1">
        <w:rPr>
          <w:b/>
          <w:i/>
          <w:color w:val="365F91"/>
        </w:rPr>
        <w:t>e personnel pénitentiaire en matière de droits de l’homme et notamment sur l’interdit absolu de la torture.</w:t>
      </w:r>
    </w:p>
    <w:p w:rsidR="00895FAB" w:rsidRPr="00895FAB" w:rsidRDefault="00895FAB" w:rsidP="001D25B1">
      <w:pPr>
        <w:rPr>
          <w:b/>
          <w:i/>
          <w:color w:val="365F91"/>
        </w:rPr>
      </w:pPr>
    </w:p>
    <w:p w:rsidR="00FC1C58" w:rsidRPr="00895FAB" w:rsidRDefault="00FC1C58" w:rsidP="00895FAB">
      <w:pPr>
        <w:pStyle w:val="Titre2"/>
      </w:pPr>
      <w:bookmarkStart w:id="60" w:name="_Toc386200913"/>
      <w:bookmarkStart w:id="61" w:name="_Toc412111726"/>
      <w:r w:rsidRPr="00895FAB">
        <w:t>Article 9 : Le droit à la liberté et à la sécurité de la personne</w:t>
      </w:r>
      <w:bookmarkEnd w:id="60"/>
      <w:bookmarkEnd w:id="61"/>
    </w:p>
    <w:p w:rsidR="00FC1C58" w:rsidRPr="001D25B1" w:rsidRDefault="00FC1C58" w:rsidP="001D25B1">
      <w:pPr>
        <w:spacing w:before="120" w:after="120" w:line="276" w:lineRule="auto"/>
        <w:jc w:val="both"/>
        <w:rPr>
          <w:rFonts w:ascii="Garamond" w:eastAsia="Times New Roman" w:hAnsi="Garamond" w:cs="Garamond"/>
          <w:sz w:val="24"/>
          <w:szCs w:val="24"/>
        </w:rPr>
      </w:pPr>
    </w:p>
    <w:p w:rsidR="00FC1C58" w:rsidRPr="001D25B1" w:rsidRDefault="00FC1C58" w:rsidP="005D1C8E">
      <w:pPr>
        <w:pStyle w:val="Titre3"/>
        <w:numPr>
          <w:ilvl w:val="0"/>
          <w:numId w:val="23"/>
        </w:numPr>
        <w:rPr>
          <w:rFonts w:cs="Garamond"/>
          <w:lang w:val="fr-CH"/>
        </w:rPr>
      </w:pPr>
      <w:bookmarkStart w:id="62" w:name="_Toc386019488"/>
      <w:bookmarkStart w:id="63" w:name="_Toc386200914"/>
      <w:bookmarkStart w:id="64" w:name="_Toc412111727"/>
      <w:r w:rsidRPr="001D25B1">
        <w:rPr>
          <w:lang w:val="fr-CH"/>
        </w:rPr>
        <w:t>La mise en place de mesures législatives, administratives, judiciaires pour empêcher que des actes de torture soient commis</w:t>
      </w:r>
      <w:bookmarkEnd w:id="62"/>
      <w:bookmarkEnd w:id="63"/>
      <w:bookmarkEnd w:id="64"/>
    </w:p>
    <w:p w:rsidR="00FC1C58" w:rsidRPr="001D25B1" w:rsidRDefault="00FC1C58" w:rsidP="001D25B1">
      <w:pPr>
        <w:pStyle w:val="Titre4"/>
        <w:spacing w:before="240"/>
      </w:pPr>
      <w:bookmarkStart w:id="65" w:name="_Toc386019489"/>
      <w:bookmarkStart w:id="66" w:name="_Toc386200915"/>
      <w:r w:rsidRPr="001D25B1">
        <w:t>La notification des droits</w:t>
      </w:r>
      <w:bookmarkEnd w:id="65"/>
      <w:bookmarkEnd w:id="66"/>
    </w:p>
    <w:p w:rsidR="00FC1C58" w:rsidRPr="001D25B1" w:rsidRDefault="00FC1C58" w:rsidP="00895FAB">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Depuis la loi n°69-371 du 12 août 1969 et la loi de 98-747 du 23 décembre 1998 le droit pénal ivoirien prévoit explicitement la notification des droits des personnes gardées à vue, le droit à la présence d’un avocat et à un examen médical dès les premières heures de la garde à vue.</w:t>
      </w:r>
    </w:p>
    <w:p w:rsidR="00452A77" w:rsidRDefault="00FC1C58" w:rsidP="00452A77">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Dans la pratique, aucune notification n’est faite aux personnes gardées à vue sauf à une petite catégorie de personnes arrêtées qui connaît les dispositions du Code de procédure pénale et du Code pénal ; il s’agit généralement de juristes. La grande majorité de la population ivoirienne ne connaît pas ses droits en raison notamment de l’analphabétisme</w:t>
      </w:r>
      <w:r w:rsidR="00B20C0F" w:rsidRPr="001D25B1">
        <w:rPr>
          <w:rFonts w:ascii="Garamond" w:eastAsia="Times New Roman" w:hAnsi="Garamond" w:cs="Garamond"/>
          <w:sz w:val="24"/>
          <w:szCs w:val="24"/>
        </w:rPr>
        <w:t xml:space="preserve"> et du manque de politique de communication autour du système judiciaire</w:t>
      </w:r>
      <w:r w:rsidRPr="001D25B1">
        <w:rPr>
          <w:rFonts w:ascii="Garamond" w:eastAsia="Times New Roman" w:hAnsi="Garamond" w:cs="Garamond"/>
          <w:sz w:val="24"/>
          <w:szCs w:val="24"/>
        </w:rPr>
        <w:t xml:space="preserve">. Les dispositions du Code de procédure pénale et du Code pénal ne sont pas connues. Les textes sont payants et ne bénéficient pas d’une grande diffusion ni d’une grande promotion de la part de l’État et des ONG. Une charte d’éthique et de bonne conduite du personnel de la police est affichée dans tous les commissariats. Il n’est nullement </w:t>
      </w:r>
      <w:r w:rsidRPr="001D25B1">
        <w:rPr>
          <w:rFonts w:ascii="Garamond" w:eastAsia="Times New Roman" w:hAnsi="Garamond" w:cs="Garamond"/>
          <w:sz w:val="24"/>
          <w:szCs w:val="24"/>
        </w:rPr>
        <w:lastRenderedPageBreak/>
        <w:t xml:space="preserve">fait mention dans </w:t>
      </w:r>
      <w:r w:rsidR="007E3EAC">
        <w:rPr>
          <w:rFonts w:ascii="Garamond" w:eastAsia="Times New Roman" w:hAnsi="Garamond" w:cs="Garamond"/>
          <w:sz w:val="24"/>
          <w:szCs w:val="24"/>
        </w:rPr>
        <w:t>cette charte</w:t>
      </w:r>
      <w:r w:rsidRPr="001D25B1">
        <w:rPr>
          <w:rFonts w:ascii="Garamond" w:eastAsia="Times New Roman" w:hAnsi="Garamond" w:cs="Garamond"/>
          <w:sz w:val="24"/>
          <w:szCs w:val="24"/>
        </w:rPr>
        <w:t xml:space="preserve"> du droit de tout justiciable </w:t>
      </w:r>
      <w:r w:rsidR="00334E45">
        <w:rPr>
          <w:rFonts w:ascii="Garamond" w:eastAsia="Times New Roman" w:hAnsi="Garamond" w:cs="Garamond"/>
          <w:sz w:val="24"/>
          <w:szCs w:val="24"/>
        </w:rPr>
        <w:t>à</w:t>
      </w:r>
      <w:r w:rsidR="00334E45"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la présence d’un avocat dès les pre</w:t>
      </w:r>
      <w:r w:rsidR="00BD386B" w:rsidRPr="001D25B1">
        <w:rPr>
          <w:rFonts w:ascii="Garamond" w:eastAsia="Times New Roman" w:hAnsi="Garamond" w:cs="Garamond"/>
          <w:sz w:val="24"/>
          <w:szCs w:val="24"/>
        </w:rPr>
        <w:t>mières heures de la garde à v</w:t>
      </w:r>
      <w:r w:rsidR="00D4076B" w:rsidRPr="001D25B1">
        <w:rPr>
          <w:rFonts w:ascii="Garamond" w:eastAsia="Times New Roman" w:hAnsi="Garamond" w:cs="Garamond"/>
          <w:sz w:val="24"/>
          <w:szCs w:val="24"/>
        </w:rPr>
        <w:t>ue</w:t>
      </w:r>
      <w:r w:rsidR="00334E45">
        <w:rPr>
          <w:rFonts w:ascii="Garamond" w:eastAsia="Times New Roman" w:hAnsi="Garamond" w:cs="Garamond"/>
          <w:sz w:val="24"/>
          <w:szCs w:val="24"/>
        </w:rPr>
        <w:t>,</w:t>
      </w:r>
      <w:r w:rsidR="00D4076B" w:rsidRPr="001D25B1">
        <w:rPr>
          <w:rFonts w:ascii="Garamond" w:eastAsia="Times New Roman" w:hAnsi="Garamond" w:cs="Garamond"/>
          <w:sz w:val="24"/>
          <w:szCs w:val="24"/>
        </w:rPr>
        <w:t xml:space="preserve"> alors que l’article 76-1 du C</w:t>
      </w:r>
      <w:r w:rsidR="00BD386B" w:rsidRPr="001D25B1">
        <w:rPr>
          <w:rFonts w:ascii="Garamond" w:eastAsia="Times New Roman" w:hAnsi="Garamond" w:cs="Garamond"/>
          <w:sz w:val="24"/>
          <w:szCs w:val="24"/>
        </w:rPr>
        <w:t xml:space="preserve">ode procédure pénale indique </w:t>
      </w:r>
      <w:r w:rsidR="007D60A4" w:rsidRPr="001D25B1">
        <w:rPr>
          <w:rFonts w:ascii="Garamond" w:eastAsia="Times New Roman" w:hAnsi="Garamond" w:cs="Garamond"/>
          <w:sz w:val="24"/>
          <w:szCs w:val="24"/>
        </w:rPr>
        <w:t>que</w:t>
      </w:r>
      <w:r w:rsidR="00BD386B" w:rsidRPr="001D25B1">
        <w:rPr>
          <w:rFonts w:ascii="Garamond" w:eastAsia="Times New Roman" w:hAnsi="Garamond" w:cs="Garamond"/>
          <w:sz w:val="24"/>
          <w:szCs w:val="24"/>
        </w:rPr>
        <w:t xml:space="preserve">: «  </w:t>
      </w:r>
      <w:r w:rsidR="00BD386B" w:rsidRPr="001D25B1">
        <w:rPr>
          <w:rFonts w:ascii="Garamond" w:eastAsia="Times New Roman" w:hAnsi="Garamond" w:cs="Garamond"/>
          <w:i/>
          <w:sz w:val="24"/>
          <w:szCs w:val="24"/>
        </w:rPr>
        <w:t xml:space="preserve">toute personne contre qui il existe des indices graves et concordants de participation à une infraction, ou qui en a été victime ou qui est appelé à apporter son concours à la manifestation de la vérité peut au cours des enquêtes </w:t>
      </w:r>
      <w:r w:rsidR="0060008E" w:rsidRPr="001D25B1">
        <w:rPr>
          <w:rFonts w:ascii="Garamond" w:eastAsia="Times New Roman" w:hAnsi="Garamond" w:cs="Garamond"/>
          <w:i/>
          <w:sz w:val="24"/>
          <w:szCs w:val="24"/>
        </w:rPr>
        <w:t>se faire assister d’un avocat.</w:t>
      </w:r>
      <w:r w:rsidR="00D84A16">
        <w:rPr>
          <w:rFonts w:ascii="Garamond" w:eastAsia="Times New Roman" w:hAnsi="Garamond" w:cs="Garamond"/>
          <w:i/>
          <w:sz w:val="24"/>
          <w:szCs w:val="24"/>
        </w:rPr>
        <w:t xml:space="preserve"> </w:t>
      </w:r>
      <w:r w:rsidR="0060008E" w:rsidRPr="001D25B1">
        <w:rPr>
          <w:rFonts w:ascii="Garamond" w:eastAsia="Times New Roman" w:hAnsi="Garamond" w:cs="Garamond"/>
          <w:i/>
          <w:sz w:val="24"/>
          <w:szCs w:val="24"/>
        </w:rPr>
        <w:t xml:space="preserve">Toutefois, à titre exceptionnel, dans les localités où il n’existe pas d’avocat, la personne </w:t>
      </w:r>
      <w:r w:rsidR="00D84A16" w:rsidRPr="001D25B1">
        <w:rPr>
          <w:rFonts w:ascii="Garamond" w:eastAsia="Times New Roman" w:hAnsi="Garamond" w:cs="Garamond"/>
          <w:i/>
          <w:sz w:val="24"/>
          <w:szCs w:val="24"/>
        </w:rPr>
        <w:t>peut être</w:t>
      </w:r>
      <w:r w:rsidR="0060008E" w:rsidRPr="001D25B1">
        <w:rPr>
          <w:rFonts w:ascii="Garamond" w:eastAsia="Times New Roman" w:hAnsi="Garamond" w:cs="Garamond"/>
          <w:i/>
          <w:sz w:val="24"/>
          <w:szCs w:val="24"/>
        </w:rPr>
        <w:t xml:space="preserve"> autorisée à se faire assister d’un parent ou d’un ami. Les magistrats ou les fonctionnaires chargés de la mise en mouvement et de l’exercice de l’action publique doivent l’avertir de ce droit. Mention de cet avertissement et </w:t>
      </w:r>
      <w:r w:rsidR="006D7CD9" w:rsidRPr="001D25B1">
        <w:rPr>
          <w:rFonts w:ascii="Garamond" w:eastAsia="Times New Roman" w:hAnsi="Garamond" w:cs="Garamond"/>
          <w:i/>
          <w:sz w:val="24"/>
          <w:szCs w:val="24"/>
        </w:rPr>
        <w:t>éventuellement</w:t>
      </w:r>
      <w:r w:rsidR="0060008E" w:rsidRPr="001D25B1">
        <w:rPr>
          <w:rFonts w:ascii="Garamond" w:eastAsia="Times New Roman" w:hAnsi="Garamond" w:cs="Garamond"/>
          <w:i/>
          <w:sz w:val="24"/>
          <w:szCs w:val="24"/>
        </w:rPr>
        <w:t xml:space="preserve"> du nom de l’avocat, du parent ou de l’ami est portée au </w:t>
      </w:r>
      <w:r w:rsidR="00D84A16" w:rsidRPr="001D25B1">
        <w:rPr>
          <w:rFonts w:ascii="Garamond" w:eastAsia="Times New Roman" w:hAnsi="Garamond" w:cs="Garamond"/>
          <w:i/>
          <w:sz w:val="24"/>
          <w:szCs w:val="24"/>
        </w:rPr>
        <w:t>procès-verbal</w:t>
      </w:r>
      <w:r w:rsidR="0060008E" w:rsidRPr="00895FAB">
        <w:rPr>
          <w:rFonts w:ascii="Garamond" w:eastAsia="Times New Roman" w:hAnsi="Garamond" w:cs="Garamond"/>
          <w:sz w:val="24"/>
          <w:szCs w:val="24"/>
        </w:rPr>
        <w:t>. »</w:t>
      </w:r>
      <w:r w:rsidR="00452A77">
        <w:rPr>
          <w:rFonts w:ascii="Garamond" w:eastAsia="Times New Roman" w:hAnsi="Garamond" w:cs="Garamond"/>
          <w:sz w:val="24"/>
          <w:szCs w:val="24"/>
        </w:rPr>
        <w:t xml:space="preserve">. </w:t>
      </w:r>
    </w:p>
    <w:p w:rsidR="00D84A16" w:rsidRPr="00895FAB" w:rsidRDefault="00452A77" w:rsidP="001D25B1">
      <w:pPr>
        <w:spacing w:before="120" w:after="120" w:line="276" w:lineRule="auto"/>
        <w:jc w:val="both"/>
        <w:rPr>
          <w:rFonts w:ascii="Garamond" w:eastAsia="Times New Roman" w:hAnsi="Garamond" w:cs="Garamond"/>
          <w:sz w:val="24"/>
          <w:szCs w:val="24"/>
        </w:rPr>
      </w:pPr>
      <w:r>
        <w:rPr>
          <w:rFonts w:ascii="Garamond" w:eastAsia="Times New Roman" w:hAnsi="Garamond" w:cs="Garamond"/>
          <w:sz w:val="24"/>
          <w:szCs w:val="24"/>
        </w:rPr>
        <w:t>En outre, cette charte ne contient pas non plus les dispositions de l’article 64 du Code de procédure pénale prévoyant : « </w:t>
      </w:r>
      <w:r w:rsidRPr="00E477EE">
        <w:rPr>
          <w:rFonts w:ascii="Garamond" w:eastAsia="Times New Roman" w:hAnsi="Garamond" w:cs="Garamond"/>
          <w:i/>
          <w:sz w:val="24"/>
          <w:szCs w:val="24"/>
        </w:rPr>
        <w:t>S'il l'estime nécessaire, même à la requête d'un membre de la famille de la personne gardée à vue, le Procureur de la République peu</w:t>
      </w:r>
      <w:r w:rsidR="00964E62">
        <w:rPr>
          <w:rFonts w:ascii="Garamond" w:eastAsia="Times New Roman" w:hAnsi="Garamond" w:cs="Garamond"/>
          <w:i/>
          <w:sz w:val="24"/>
          <w:szCs w:val="24"/>
        </w:rPr>
        <w:t>t</w:t>
      </w:r>
      <w:r w:rsidRPr="00E477EE">
        <w:rPr>
          <w:rFonts w:ascii="Garamond" w:eastAsia="Times New Roman" w:hAnsi="Garamond" w:cs="Garamond"/>
          <w:i/>
          <w:sz w:val="24"/>
          <w:szCs w:val="24"/>
        </w:rPr>
        <w:t xml:space="preserve"> désigner un médecin qui examinera cette dernière à n'importe quel moment des délais prévus par l'article 63. Après quarante-huit heures, l'examen médical sera de droit si la personne retenue le demande. </w:t>
      </w:r>
      <w:r>
        <w:rPr>
          <w:rFonts w:ascii="Garamond" w:eastAsia="Times New Roman" w:hAnsi="Garamond" w:cs="Garamond"/>
          <w:sz w:val="24"/>
          <w:szCs w:val="24"/>
        </w:rPr>
        <w:t xml:space="preserve">». </w:t>
      </w:r>
      <w:r w:rsidR="0017608A">
        <w:rPr>
          <w:rFonts w:ascii="Garamond" w:eastAsia="Times New Roman" w:hAnsi="Garamond" w:cs="Garamond"/>
          <w:sz w:val="24"/>
          <w:szCs w:val="24"/>
        </w:rPr>
        <w:t>Cette disposition n’est pas conforme aux normes internationales relatives aux garanties juridiques du gardé à vue</w:t>
      </w:r>
      <w:r w:rsidR="00236BBC">
        <w:rPr>
          <w:rFonts w:ascii="Garamond" w:eastAsia="Times New Roman" w:hAnsi="Garamond" w:cs="Garamond"/>
          <w:sz w:val="24"/>
          <w:szCs w:val="24"/>
        </w:rPr>
        <w:t xml:space="preserve"> puisque le Procureur de la République peut refuser un examen médical lors des premières 48h de la garde à vue.</w:t>
      </w:r>
    </w:p>
    <w:p w:rsidR="00FC1C58" w:rsidRPr="001D25B1" w:rsidRDefault="00FC1C58" w:rsidP="001D25B1">
      <w:pPr>
        <w:pStyle w:val="Titre4"/>
      </w:pPr>
      <w:bookmarkStart w:id="67" w:name="_Toc386019490"/>
      <w:bookmarkStart w:id="68" w:name="_Toc386200916"/>
      <w:r w:rsidRPr="001D25B1">
        <w:t>L’aide juridictionnelle</w:t>
      </w:r>
      <w:bookmarkEnd w:id="67"/>
      <w:bookmarkEnd w:id="68"/>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L’aide juridictionnelle est prévue par les articles 27 à 31 du Code de procédure pénale. Elle doit permettre au bénéficiaire d’obtenir la gratuité totale du recours aux auxiliaires de justice.</w:t>
      </w:r>
    </w:p>
    <w:p w:rsidR="00FC1C58" w:rsidRPr="001D25B1" w:rsidRDefault="00FC1C58" w:rsidP="001D25B1">
      <w:pPr>
        <w:spacing w:before="120" w:after="120" w:line="276" w:lineRule="auto"/>
        <w:jc w:val="both"/>
        <w:rPr>
          <w:rFonts w:ascii="Garamond" w:eastAsia="Times New Roman" w:hAnsi="Garamond" w:cs="Garamond"/>
          <w:i/>
          <w:sz w:val="24"/>
          <w:szCs w:val="24"/>
        </w:rPr>
      </w:pPr>
      <w:r w:rsidRPr="001D25B1">
        <w:rPr>
          <w:rFonts w:ascii="Garamond" w:eastAsia="Times New Roman" w:hAnsi="Garamond" w:cs="Garamond"/>
          <w:sz w:val="24"/>
          <w:szCs w:val="24"/>
        </w:rPr>
        <w:t>L’article 27 d</w:t>
      </w:r>
      <w:r w:rsidR="00236BBC">
        <w:rPr>
          <w:rFonts w:ascii="Garamond" w:eastAsia="Times New Roman" w:hAnsi="Garamond" w:cs="Garamond"/>
          <w:sz w:val="24"/>
          <w:szCs w:val="24"/>
        </w:rPr>
        <w:t>e ce</w:t>
      </w:r>
      <w:r w:rsidRPr="001D25B1">
        <w:rPr>
          <w:rFonts w:ascii="Garamond" w:eastAsia="Times New Roman" w:hAnsi="Garamond" w:cs="Garamond"/>
          <w:sz w:val="24"/>
          <w:szCs w:val="24"/>
        </w:rPr>
        <w:t xml:space="preserve"> Code dispose : </w:t>
      </w:r>
      <w:r w:rsidRPr="001D25B1">
        <w:rPr>
          <w:rFonts w:ascii="Garamond" w:eastAsia="Times New Roman" w:hAnsi="Garamond" w:cs="Garamond"/>
          <w:i/>
          <w:sz w:val="24"/>
          <w:szCs w:val="24"/>
        </w:rPr>
        <w:t xml:space="preserve">« L’assistance judiciaire, hors le cas où elle est de droit, a pour but de permettre à ceux qui n’ont pas de ressources suffisantes, d’exercer leurs droits en justice, en qualité de demandeur ou de défendeur, sans aucun frais. </w:t>
      </w:r>
    </w:p>
    <w:p w:rsidR="00FC1C58" w:rsidRPr="001D25B1" w:rsidRDefault="00FC1C58" w:rsidP="001D25B1">
      <w:pPr>
        <w:spacing w:before="120" w:after="120" w:line="276" w:lineRule="auto"/>
        <w:jc w:val="both"/>
        <w:rPr>
          <w:rFonts w:ascii="Garamond" w:eastAsia="Times New Roman" w:hAnsi="Garamond" w:cs="Garamond"/>
          <w:i/>
          <w:sz w:val="24"/>
          <w:szCs w:val="24"/>
        </w:rPr>
      </w:pPr>
      <w:r w:rsidRPr="001D25B1">
        <w:rPr>
          <w:rFonts w:ascii="Garamond" w:eastAsia="Times New Roman" w:hAnsi="Garamond" w:cs="Garamond"/>
          <w:i/>
          <w:sz w:val="24"/>
          <w:szCs w:val="24"/>
        </w:rPr>
        <w:t>L’assistance judiciaire peut être accordée en tout état de cause à toute personne physique, ainsi qu’aux associations privées ayant pour objet une œuvre d’assistance et jouissant de la personnalité civile.</w:t>
      </w:r>
    </w:p>
    <w:p w:rsidR="00FC1C58" w:rsidRPr="001D25B1" w:rsidRDefault="00FC1C58" w:rsidP="001D25B1">
      <w:pPr>
        <w:spacing w:before="120" w:after="120" w:line="276" w:lineRule="auto"/>
        <w:jc w:val="both"/>
        <w:rPr>
          <w:rFonts w:ascii="Garamond" w:eastAsia="Times New Roman" w:hAnsi="Garamond" w:cs="Garamond"/>
          <w:i/>
          <w:sz w:val="24"/>
          <w:szCs w:val="24"/>
        </w:rPr>
      </w:pPr>
      <w:r w:rsidRPr="001D25B1">
        <w:rPr>
          <w:rFonts w:ascii="Garamond" w:eastAsia="Times New Roman" w:hAnsi="Garamond" w:cs="Garamond"/>
          <w:i/>
          <w:sz w:val="24"/>
          <w:szCs w:val="24"/>
        </w:rPr>
        <w:t>Elle est applicable :</w:t>
      </w:r>
    </w:p>
    <w:p w:rsidR="00FC1C58" w:rsidRPr="001D25B1" w:rsidRDefault="00FC1C58" w:rsidP="001D25B1">
      <w:pPr>
        <w:pStyle w:val="Paragraphedeliste"/>
        <w:numPr>
          <w:ilvl w:val="0"/>
          <w:numId w:val="46"/>
        </w:numPr>
        <w:rPr>
          <w:i/>
        </w:rPr>
      </w:pPr>
      <w:r w:rsidRPr="001D25B1">
        <w:rPr>
          <w:i/>
        </w:rPr>
        <w:t>A tous litiges portés devant toutes les juridictions ;</w:t>
      </w:r>
    </w:p>
    <w:p w:rsidR="00FC1C58" w:rsidRPr="001D25B1" w:rsidRDefault="00FC1C58" w:rsidP="001D25B1">
      <w:pPr>
        <w:pStyle w:val="Paragraphedeliste"/>
        <w:numPr>
          <w:ilvl w:val="0"/>
          <w:numId w:val="46"/>
        </w:numPr>
        <w:rPr>
          <w:i/>
        </w:rPr>
      </w:pPr>
      <w:r w:rsidRPr="001D25B1">
        <w:rPr>
          <w:i/>
        </w:rPr>
        <w:t>En dehors de tout litige, aux actes de juridiction gracieuse et aux actes conservatoires. »</w:t>
      </w:r>
    </w:p>
    <w:p w:rsidR="00FC1C58" w:rsidRPr="001D25B1" w:rsidRDefault="00FC1C58" w:rsidP="00C30265">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Au regard de ce texte, l’assistance judiciaire peut être demandée tant en matière civile, commerciale, administrative que pénale. Les articles 28 à 31 définissent son champ d’application et les conditions de retrait du bénéfice de l’assistance judiciaire. </w:t>
      </w:r>
    </w:p>
    <w:p w:rsidR="00FC1C58" w:rsidRPr="001D25B1" w:rsidRDefault="00FC1C58" w:rsidP="00C30265">
      <w:pPr>
        <w:spacing w:before="120" w:after="120" w:line="276" w:lineRule="auto"/>
        <w:jc w:val="both"/>
        <w:rPr>
          <w:rFonts w:ascii="Garamond" w:eastAsia="Times New Roman" w:hAnsi="Garamond" w:cs="Garamond"/>
          <w:i/>
          <w:sz w:val="24"/>
          <w:szCs w:val="24"/>
        </w:rPr>
      </w:pPr>
      <w:r w:rsidRPr="001D25B1">
        <w:rPr>
          <w:rFonts w:ascii="Garamond" w:eastAsia="Times New Roman" w:hAnsi="Garamond" w:cs="Garamond"/>
          <w:sz w:val="24"/>
          <w:szCs w:val="24"/>
        </w:rPr>
        <w:t xml:space="preserve">En matière criminelle, en raison de la gravité de la sanction encourue, l’article 317 du Code de procédure pénale dispose : </w:t>
      </w:r>
      <w:r w:rsidRPr="001D25B1">
        <w:rPr>
          <w:rFonts w:ascii="Garamond" w:eastAsia="Times New Roman" w:hAnsi="Garamond" w:cs="Garamond"/>
          <w:i/>
          <w:sz w:val="24"/>
          <w:szCs w:val="24"/>
        </w:rPr>
        <w:t>« A l’audience, la présence d’un défenseur auprès de l’accusé est obligatoire. Si le défenseur choisi ou désigné conformément à l’article 274 ne se présente pas, le Président en commet un d’office. »</w:t>
      </w:r>
    </w:p>
    <w:p w:rsidR="00FC1C58" w:rsidRPr="001D25B1" w:rsidRDefault="00FC1C58" w:rsidP="00C30265">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Dans la pratique, très peu de justiciables ont recours à l’assistance judiciaire</w:t>
      </w:r>
      <w:r w:rsidR="00136569" w:rsidRPr="001D25B1">
        <w:rPr>
          <w:rFonts w:ascii="Garamond" w:eastAsia="Times New Roman" w:hAnsi="Garamond" w:cs="Garamond"/>
          <w:sz w:val="24"/>
          <w:szCs w:val="24"/>
        </w:rPr>
        <w:t xml:space="preserve"> car </w:t>
      </w:r>
      <w:r w:rsidR="004B1934" w:rsidRPr="001D25B1">
        <w:rPr>
          <w:rFonts w:ascii="Garamond" w:eastAsia="Times New Roman" w:hAnsi="Garamond" w:cs="Garamond"/>
          <w:sz w:val="24"/>
          <w:szCs w:val="24"/>
        </w:rPr>
        <w:t xml:space="preserve">celle-ci est </w:t>
      </w:r>
      <w:r w:rsidR="00136569" w:rsidRPr="001D25B1">
        <w:rPr>
          <w:rFonts w:ascii="Garamond" w:eastAsia="Times New Roman" w:hAnsi="Garamond" w:cs="Garamond"/>
          <w:sz w:val="24"/>
          <w:szCs w:val="24"/>
        </w:rPr>
        <w:t>peu connu</w:t>
      </w:r>
      <w:r w:rsidR="004B1934" w:rsidRPr="001D25B1">
        <w:rPr>
          <w:rFonts w:ascii="Garamond" w:eastAsia="Times New Roman" w:hAnsi="Garamond" w:cs="Garamond"/>
          <w:sz w:val="24"/>
          <w:szCs w:val="24"/>
        </w:rPr>
        <w:t>e</w:t>
      </w:r>
      <w:r w:rsidR="00136569" w:rsidRPr="001D25B1">
        <w:rPr>
          <w:rFonts w:ascii="Garamond" w:eastAsia="Times New Roman" w:hAnsi="Garamond" w:cs="Garamond"/>
          <w:sz w:val="24"/>
          <w:szCs w:val="24"/>
        </w:rPr>
        <w:t xml:space="preserve"> des justiciables. </w:t>
      </w:r>
      <w:r w:rsidRPr="001D25B1">
        <w:rPr>
          <w:rFonts w:ascii="Garamond" w:eastAsia="Times New Roman" w:hAnsi="Garamond" w:cs="Garamond"/>
          <w:sz w:val="24"/>
          <w:szCs w:val="24"/>
        </w:rPr>
        <w:t xml:space="preserve"> L’assistance judiciaire en Côte d’Ivoire est submergée par les dossiers et s’avère trop centralisée pour être accessible : il n’existe qu’un seul service à Abidjan pour tout le pays. Alors qu’il est prévu une audience par semaine du Bureau national de l’assistance judiciaire, en 2012 il n’y a eu que 14 audiences. Pour ces raisons, le </w:t>
      </w:r>
      <w:r w:rsidR="004B1934" w:rsidRPr="001D25B1">
        <w:rPr>
          <w:rFonts w:ascii="Garamond" w:eastAsia="Times New Roman" w:hAnsi="Garamond" w:cs="Garamond"/>
          <w:sz w:val="24"/>
          <w:szCs w:val="24"/>
        </w:rPr>
        <w:t>B</w:t>
      </w:r>
      <w:r w:rsidRPr="001D25B1">
        <w:rPr>
          <w:rFonts w:ascii="Garamond" w:eastAsia="Times New Roman" w:hAnsi="Garamond" w:cs="Garamond"/>
          <w:sz w:val="24"/>
          <w:szCs w:val="24"/>
        </w:rPr>
        <w:t>ureau de l’assistance judiciaire ne peut traiter que 110 à 125 cas par an.</w:t>
      </w:r>
    </w:p>
    <w:p w:rsidR="00FC1C58" w:rsidRPr="001D25B1" w:rsidRDefault="00FC1C58" w:rsidP="00C30265">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En outre, le décret du 29 janvier 1975 portant tarification des émoluments, frais et débours des avocats et huissiers, dispose qu’ils doivent percevoir de la part de l’État le remboursement des frais et dépenses. L’attente de cette rémunération peut durer plus de 6 mois. Ces arriérés constituent un </w:t>
      </w:r>
      <w:r w:rsidRPr="001D25B1">
        <w:rPr>
          <w:rFonts w:ascii="Garamond" w:eastAsia="Times New Roman" w:hAnsi="Garamond" w:cs="Garamond"/>
          <w:sz w:val="24"/>
          <w:szCs w:val="24"/>
        </w:rPr>
        <w:lastRenderedPageBreak/>
        <w:t>obstacle supplémentaire à l’efficacité de l’assistance judiciaire puisque les auxiliaires de justice ne souhaitent plus se porter volontaire.</w:t>
      </w:r>
    </w:p>
    <w:p w:rsidR="00FC1C58" w:rsidRPr="001D25B1" w:rsidRDefault="00FC1C58" w:rsidP="00C30265">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Un projet de réforme de l’assistance judiciaire est en cours pour améliorer son fonctionnement. </w:t>
      </w:r>
      <w:r w:rsidR="001C522A">
        <w:rPr>
          <w:rFonts w:ascii="Garamond" w:eastAsia="Times New Roman" w:hAnsi="Garamond" w:cs="Garamond"/>
          <w:sz w:val="24"/>
          <w:szCs w:val="24"/>
        </w:rPr>
        <w:t>Ce projet fait partie de la réforme du système judiciaire dont le financement est pris en charge par le Contrat Désendettement Développement</w:t>
      </w:r>
      <w:r w:rsidR="00236BBC">
        <w:rPr>
          <w:rFonts w:ascii="Garamond" w:eastAsia="Times New Roman" w:hAnsi="Garamond" w:cs="Garamond"/>
          <w:sz w:val="24"/>
          <w:szCs w:val="24"/>
        </w:rPr>
        <w:t xml:space="preserve"> (C2D)</w:t>
      </w:r>
      <w:r w:rsidR="001C522A">
        <w:rPr>
          <w:rFonts w:ascii="Garamond" w:eastAsia="Times New Roman" w:hAnsi="Garamond" w:cs="Garamond"/>
          <w:sz w:val="24"/>
          <w:szCs w:val="24"/>
        </w:rPr>
        <w:t xml:space="preserve"> dans le cadre de l’initiative Pays Pauvres Très Endettés (PPTE)</w:t>
      </w:r>
      <w:r w:rsidR="001C522A">
        <w:rPr>
          <w:rStyle w:val="Appelnotedebasdep"/>
          <w:rFonts w:ascii="Garamond" w:eastAsia="Times New Roman" w:hAnsi="Garamond" w:cs="Garamond"/>
          <w:sz w:val="24"/>
          <w:szCs w:val="24"/>
        </w:rPr>
        <w:footnoteReference w:id="34"/>
      </w:r>
      <w:r w:rsidRPr="001D25B1">
        <w:rPr>
          <w:rFonts w:ascii="Garamond" w:eastAsia="Times New Roman" w:hAnsi="Garamond" w:cs="Garamond"/>
          <w:sz w:val="24"/>
          <w:szCs w:val="24"/>
        </w:rPr>
        <w:t xml:space="preserve">. </w:t>
      </w:r>
      <w:r w:rsidRPr="00895FAB">
        <w:rPr>
          <w:rFonts w:ascii="Garamond" w:eastAsia="Times New Roman" w:hAnsi="Garamond" w:cs="Garamond"/>
          <w:sz w:val="24"/>
          <w:szCs w:val="24"/>
        </w:rPr>
        <w:t>Une des idées avancées serait de décentraliser ce bureau au niveau des trois Cours d’appel que compte le pays</w:t>
      </w:r>
      <w:r w:rsidR="001C522A">
        <w:rPr>
          <w:rStyle w:val="Appelnotedebasdep"/>
          <w:rFonts w:ascii="Garamond" w:eastAsia="Times New Roman" w:hAnsi="Garamond" w:cs="Garamond"/>
          <w:sz w:val="24"/>
          <w:szCs w:val="24"/>
        </w:rPr>
        <w:footnoteReference w:id="35"/>
      </w:r>
      <w:r w:rsidRPr="00895FAB">
        <w:rPr>
          <w:rFonts w:ascii="Garamond" w:eastAsia="Times New Roman" w:hAnsi="Garamond" w:cs="Garamond"/>
          <w:sz w:val="24"/>
          <w:szCs w:val="24"/>
        </w:rPr>
        <w:t xml:space="preserve">. Une augmentation du budget permettrait également d’assister correctement les avocats. Un </w:t>
      </w:r>
      <w:r w:rsidRPr="001D25B1">
        <w:rPr>
          <w:rFonts w:ascii="Garamond" w:eastAsia="Times New Roman" w:hAnsi="Garamond" w:cs="Garamond"/>
          <w:sz w:val="24"/>
          <w:szCs w:val="24"/>
        </w:rPr>
        <w:t xml:space="preserve">mapping a été fait pour voir d’où provenaient les demandes d’assistance mais la FIACAT et l’ACAT Côte d’Ivoire n’ont pas eu accès à ces données lors de leur rencontre avec l’assistance judiciaire en novembre 2013. </w:t>
      </w:r>
      <w:r w:rsidR="008969C4">
        <w:rPr>
          <w:rFonts w:ascii="Garamond" w:eastAsia="Times New Roman" w:hAnsi="Garamond" w:cs="Garamond"/>
          <w:sz w:val="24"/>
          <w:szCs w:val="24"/>
        </w:rPr>
        <w:t>Ce projet rentre dans le cadre des grands chantiers amorcés par le Ministère de la justice et pour lesquels les travaux sont en cours. Ceux-ci ont néanmoins pris du retard en raison de l’absence d’un calendrier précis de présentation des résultats. Ainsi, l</w:t>
      </w:r>
      <w:r w:rsidRPr="001D25B1">
        <w:rPr>
          <w:rFonts w:ascii="Garamond" w:eastAsia="Times New Roman" w:hAnsi="Garamond" w:cs="Garamond"/>
          <w:sz w:val="24"/>
          <w:szCs w:val="24"/>
        </w:rPr>
        <w:t xml:space="preserve">a reforme elle-même est toujours en attente. </w:t>
      </w:r>
    </w:p>
    <w:p w:rsidR="00FC1C58" w:rsidRPr="001D25B1" w:rsidRDefault="00FC1C58" w:rsidP="00C30265">
      <w:pPr>
        <w:spacing w:before="120" w:after="120" w:line="276" w:lineRule="auto"/>
        <w:jc w:val="both"/>
        <w:rPr>
          <w:rFonts w:ascii="Garamond" w:eastAsia="Times New Roman" w:hAnsi="Garamond" w:cs="Garamond"/>
          <w:b/>
          <w:bCs/>
          <w:i/>
          <w:color w:val="365F91"/>
          <w:sz w:val="24"/>
          <w:szCs w:val="24"/>
        </w:rPr>
      </w:pPr>
      <w:r w:rsidRPr="001D25B1">
        <w:rPr>
          <w:rFonts w:ascii="Garamond" w:eastAsia="Times New Roman" w:hAnsi="Garamond" w:cs="Garamond"/>
          <w:b/>
          <w:bCs/>
          <w:i/>
          <w:color w:val="365F91"/>
          <w:sz w:val="24"/>
          <w:szCs w:val="24"/>
        </w:rPr>
        <w:t>L’ACAT Côte d’Ivoire et la FIACAT invitent le Comité des droits de l’homme à recommander à l’Etat partie de :</w:t>
      </w:r>
    </w:p>
    <w:p w:rsidR="00FC1C58" w:rsidRPr="001D25B1" w:rsidRDefault="00FC1C58" w:rsidP="00895FAB">
      <w:pPr>
        <w:pStyle w:val="Paragraphedeliste"/>
        <w:numPr>
          <w:ilvl w:val="1"/>
          <w:numId w:val="43"/>
        </w:numPr>
        <w:rPr>
          <w:b/>
          <w:i/>
          <w:color w:val="365F91"/>
        </w:rPr>
      </w:pPr>
      <w:r w:rsidRPr="001D25B1">
        <w:rPr>
          <w:b/>
          <w:i/>
          <w:color w:val="365F91"/>
        </w:rPr>
        <w:t>Décentraliser l’assistance judiciaire pour la rendre plus proche des justiciables ;</w:t>
      </w:r>
    </w:p>
    <w:p w:rsidR="00FC1C58" w:rsidRPr="001D25B1" w:rsidRDefault="00FC1C58" w:rsidP="001D25B1">
      <w:pPr>
        <w:pStyle w:val="Paragraphedeliste"/>
        <w:numPr>
          <w:ilvl w:val="1"/>
          <w:numId w:val="43"/>
        </w:numPr>
        <w:rPr>
          <w:b/>
          <w:i/>
          <w:color w:val="365F91"/>
        </w:rPr>
      </w:pPr>
      <w:r w:rsidRPr="001D25B1">
        <w:rPr>
          <w:b/>
          <w:i/>
          <w:color w:val="365F91"/>
        </w:rPr>
        <w:t>Accro</w:t>
      </w:r>
      <w:r w:rsidR="00041D65" w:rsidRPr="001D25B1">
        <w:rPr>
          <w:b/>
          <w:i/>
          <w:color w:val="365F91"/>
        </w:rPr>
        <w:t>î</w:t>
      </w:r>
      <w:r w:rsidRPr="001D25B1">
        <w:rPr>
          <w:b/>
          <w:i/>
          <w:color w:val="365F91"/>
        </w:rPr>
        <w:t>tre le budget de l’assistance judiciaire ;</w:t>
      </w:r>
    </w:p>
    <w:p w:rsidR="00FC1C58" w:rsidRPr="001D25B1" w:rsidRDefault="00FC1C58" w:rsidP="001D25B1">
      <w:pPr>
        <w:pStyle w:val="Paragraphedeliste"/>
        <w:numPr>
          <w:ilvl w:val="1"/>
          <w:numId w:val="43"/>
        </w:numPr>
        <w:rPr>
          <w:b/>
          <w:i/>
          <w:color w:val="365F91"/>
        </w:rPr>
      </w:pPr>
      <w:r w:rsidRPr="001D25B1">
        <w:rPr>
          <w:b/>
          <w:i/>
          <w:color w:val="365F91"/>
        </w:rPr>
        <w:t>Rendre incitative la rémunération forfaitaire des auxiliaires de justice ;</w:t>
      </w:r>
    </w:p>
    <w:p w:rsidR="00FC1C58" w:rsidRPr="001D25B1" w:rsidRDefault="00FC1C58" w:rsidP="001D25B1">
      <w:pPr>
        <w:pStyle w:val="Paragraphedeliste"/>
        <w:numPr>
          <w:ilvl w:val="1"/>
          <w:numId w:val="43"/>
        </w:numPr>
        <w:rPr>
          <w:b/>
          <w:i/>
          <w:color w:val="365F91"/>
        </w:rPr>
      </w:pPr>
      <w:r w:rsidRPr="001D25B1">
        <w:rPr>
          <w:b/>
          <w:i/>
          <w:color w:val="365F91"/>
        </w:rPr>
        <w:t>Accélérer la réforme du système judiciaire afin de permettre au justiciable d’avoir confiance en leur justice. </w:t>
      </w:r>
    </w:p>
    <w:p w:rsidR="00FC1C58" w:rsidRPr="001D25B1" w:rsidRDefault="00FC1C58" w:rsidP="001D25B1">
      <w:pPr>
        <w:spacing w:before="120" w:after="120" w:line="276" w:lineRule="auto"/>
        <w:jc w:val="both"/>
        <w:rPr>
          <w:rFonts w:ascii="Garamond" w:eastAsia="Times New Roman" w:hAnsi="Garamond" w:cs="Garamond"/>
          <w:sz w:val="24"/>
          <w:szCs w:val="24"/>
        </w:rPr>
      </w:pPr>
    </w:p>
    <w:p w:rsidR="00FC1C58" w:rsidRPr="001D25B1" w:rsidRDefault="00FC1C58" w:rsidP="001D25B1">
      <w:pPr>
        <w:pStyle w:val="Titre3"/>
      </w:pPr>
      <w:bookmarkStart w:id="69" w:name="_Toc386019491"/>
      <w:bookmarkStart w:id="70" w:name="_Toc386200917"/>
      <w:bookmarkStart w:id="71" w:name="_Toc412111728"/>
      <w:r w:rsidRPr="001D25B1">
        <w:t>La mise en place d’une Commission nationale des droits de l’homme indépendante</w:t>
      </w:r>
      <w:bookmarkEnd w:id="69"/>
      <w:bookmarkEnd w:id="70"/>
      <w:bookmarkEnd w:id="71"/>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En octobre 2012, lors de l’examen du rapport initial de la Côte d’Ivoire, la CADHP avait recommandé au Gouvernement d’</w:t>
      </w:r>
      <w:r w:rsidRPr="001D25B1">
        <w:rPr>
          <w:rFonts w:ascii="Garamond" w:eastAsia="Times New Roman" w:hAnsi="Garamond" w:cs="Garamond"/>
          <w:i/>
          <w:sz w:val="24"/>
          <w:szCs w:val="24"/>
        </w:rPr>
        <w:t xml:space="preserve">« Accélérer la mise en place d’une Commission nationale indépendante des droits de l’homme conforme aux principes de Paris et la doter des moyens financiers, matériels et humains lui permettant d’assumer effectivement son mandat de promotion et de protection des droits de l’homme. » </w:t>
      </w:r>
      <w:r w:rsidRPr="001D25B1">
        <w:rPr>
          <w:rFonts w:ascii="Garamond" w:eastAsia="Times New Roman" w:hAnsi="Garamond" w:cs="Garamond"/>
          <w:sz w:val="24"/>
          <w:szCs w:val="24"/>
        </w:rPr>
        <w:t>(Recommandation XXVI)</w:t>
      </w:r>
    </w:p>
    <w:p w:rsidR="009A1788" w:rsidRPr="001D25B1" w:rsidRDefault="00FC1C58" w:rsidP="00F63D32">
      <w:pPr>
        <w:spacing w:before="100" w:beforeAutospacing="1" w:after="0" w:line="276" w:lineRule="auto"/>
        <w:jc w:val="both"/>
        <w:rPr>
          <w:rFonts w:ascii="Garamond" w:eastAsia="Times New Roman" w:hAnsi="Garamond" w:cs="Garamond"/>
          <w:sz w:val="24"/>
          <w:szCs w:val="24"/>
          <w:lang w:eastAsia="fr-FR"/>
        </w:rPr>
      </w:pPr>
      <w:r w:rsidRPr="001D25B1">
        <w:rPr>
          <w:rFonts w:ascii="Garamond" w:eastAsia="Times New Roman" w:hAnsi="Garamond" w:cs="Garamond"/>
          <w:sz w:val="24"/>
          <w:szCs w:val="24"/>
        </w:rPr>
        <w:t>La Côte d’Ivoire a amélioré le cadre juridique de la Commission créée désormais par la Loi n° 2012-1132 du 13 décembre 2012. Cependant, selon les propos de sa présidente actuelle, Madame Paulette BADJO EZOUEHU</w:t>
      </w:r>
      <w:r w:rsidRPr="00895FAB">
        <w:rPr>
          <w:rFonts w:ascii="Garamond" w:eastAsia="Times New Roman" w:hAnsi="Garamond" w:cs="Garamond"/>
          <w:sz w:val="24"/>
          <w:szCs w:val="24"/>
          <w:vertAlign w:val="superscript"/>
        </w:rPr>
        <w:footnoteReference w:id="36"/>
      </w:r>
      <w:r w:rsidRPr="00895FAB">
        <w:rPr>
          <w:rFonts w:ascii="Garamond" w:eastAsia="Times New Roman" w:hAnsi="Garamond" w:cs="Garamond"/>
          <w:sz w:val="24"/>
          <w:szCs w:val="24"/>
        </w:rPr>
        <w:t xml:space="preserve">, certaines dispositions de ce texte entravent son indépendance et donc sa conformité aux Principes de Paris et à la jurisprudence </w:t>
      </w:r>
      <w:r w:rsidRPr="001D25B1">
        <w:rPr>
          <w:rFonts w:ascii="Garamond" w:eastAsia="Times New Roman" w:hAnsi="Garamond" w:cs="Garamond"/>
          <w:sz w:val="24"/>
          <w:szCs w:val="24"/>
        </w:rPr>
        <w:t xml:space="preserve">du </w:t>
      </w:r>
      <w:r w:rsidR="00450597" w:rsidRPr="001D25B1">
        <w:rPr>
          <w:rFonts w:ascii="Garamond" w:eastAsia="Calibri" w:hAnsi="Garamond" w:cs="Times New Roman"/>
          <w:color w:val="000000"/>
          <w:sz w:val="24"/>
          <w:szCs w:val="24"/>
        </w:rPr>
        <w:t>Comité International de Coordination des Institutions pour la promotion et la protection des Droits de l’Homme (CIC)</w:t>
      </w:r>
      <w:r w:rsidRPr="001D25B1">
        <w:rPr>
          <w:rFonts w:ascii="Garamond" w:eastAsia="Times New Roman" w:hAnsi="Garamond" w:cs="Garamond"/>
          <w:sz w:val="24"/>
          <w:szCs w:val="24"/>
        </w:rPr>
        <w:t xml:space="preserve"> Ces dispositions sont entre autres</w:t>
      </w:r>
      <w:r w:rsidRPr="001D25B1">
        <w:rPr>
          <w:rFonts w:ascii="Garamond" w:eastAsia="Times New Roman" w:hAnsi="Garamond" w:cs="Garamond"/>
          <w:sz w:val="24"/>
          <w:szCs w:val="24"/>
          <w:lang w:eastAsia="fr-FR"/>
        </w:rPr>
        <w:t> :</w:t>
      </w:r>
    </w:p>
    <w:p w:rsidR="00FC1C58" w:rsidRPr="00895FAB" w:rsidRDefault="00FC1C58" w:rsidP="00895FAB">
      <w:pPr>
        <w:pStyle w:val="Paragraphedeliste"/>
        <w:numPr>
          <w:ilvl w:val="0"/>
          <w:numId w:val="47"/>
        </w:numPr>
        <w:spacing w:after="200"/>
      </w:pPr>
      <w:r w:rsidRPr="00895FAB">
        <w:t xml:space="preserve">Désignation des Commissaires Régionaux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lastRenderedPageBreak/>
        <w:t xml:space="preserve">Les Commissaires Régionaux sont nommés, aux termes de l’article 12 de la Loi, </w:t>
      </w:r>
      <w:r w:rsidRPr="001D25B1">
        <w:rPr>
          <w:rFonts w:ascii="Garamond" w:eastAsia="Times New Roman" w:hAnsi="Garamond" w:cs="Garamond"/>
          <w:i/>
          <w:sz w:val="24"/>
          <w:szCs w:val="24"/>
        </w:rPr>
        <w:t>«… par arrêté du Ministre en charge des Droits de l'Homme, sur proposition de chaque Préfet de Région. »</w:t>
      </w:r>
    </w:p>
    <w:p w:rsidR="009A1788" w:rsidRPr="001D25B1" w:rsidRDefault="00FC1C58" w:rsidP="001D25B1">
      <w:pPr>
        <w:spacing w:before="120" w:after="120" w:line="276" w:lineRule="auto"/>
        <w:contextualSpacing/>
        <w:jc w:val="both"/>
        <w:rPr>
          <w:rFonts w:ascii="Garamond" w:eastAsia="Times New Roman" w:hAnsi="Garamond" w:cs="Garamond"/>
          <w:sz w:val="24"/>
          <w:szCs w:val="24"/>
        </w:rPr>
      </w:pPr>
      <w:r w:rsidRPr="001D25B1">
        <w:rPr>
          <w:rFonts w:ascii="Garamond" w:eastAsia="Times New Roman" w:hAnsi="Garamond" w:cs="Garamond"/>
          <w:sz w:val="24"/>
          <w:szCs w:val="24"/>
        </w:rPr>
        <w:t xml:space="preserve">La Commission Centrale de la CNDHCI n’intervient à aucun moment et n’exerce aucun contrôle dans le processus de désignation  et de  nomination des membres des Commissions Régionales. </w:t>
      </w:r>
    </w:p>
    <w:p w:rsidR="009A1788" w:rsidRPr="001D25B1" w:rsidRDefault="00FC1C58" w:rsidP="001D25B1">
      <w:pPr>
        <w:pStyle w:val="Paragraphedeliste"/>
        <w:numPr>
          <w:ilvl w:val="0"/>
          <w:numId w:val="47"/>
        </w:numPr>
        <w:tabs>
          <w:tab w:val="left" w:pos="284"/>
        </w:tabs>
        <w:spacing w:after="200"/>
      </w:pPr>
      <w:r w:rsidRPr="001D25B1">
        <w:t xml:space="preserve">Régime financier de la CNDHCI </w:t>
      </w:r>
    </w:p>
    <w:p w:rsidR="009A1788" w:rsidRPr="001D25B1" w:rsidRDefault="00FC1C58" w:rsidP="001D25B1">
      <w:pPr>
        <w:tabs>
          <w:tab w:val="left" w:pos="284"/>
        </w:tabs>
        <w:spacing w:before="240" w:line="276" w:lineRule="auto"/>
        <w:contextualSpacing/>
        <w:jc w:val="both"/>
        <w:rPr>
          <w:rFonts w:ascii="Garamond" w:eastAsia="Times New Roman" w:hAnsi="Garamond" w:cs="Garamond"/>
          <w:sz w:val="24"/>
          <w:szCs w:val="24"/>
        </w:rPr>
      </w:pPr>
      <w:r w:rsidRPr="001D25B1">
        <w:rPr>
          <w:rFonts w:ascii="Garamond" w:eastAsia="Times New Roman" w:hAnsi="Garamond" w:cs="Garamond"/>
          <w:sz w:val="24"/>
          <w:szCs w:val="24"/>
        </w:rPr>
        <w:t xml:space="preserve">Aux termes de l’article 25 de la Loi,  </w:t>
      </w:r>
      <w:r w:rsidRPr="001D25B1">
        <w:rPr>
          <w:rFonts w:ascii="Garamond" w:eastAsia="Times New Roman" w:hAnsi="Garamond" w:cs="Garamond"/>
          <w:i/>
          <w:sz w:val="24"/>
          <w:szCs w:val="24"/>
        </w:rPr>
        <w:t>« Les traitements, indemnités et avantages en nature dont bénéficient les membres du Bureau Exécutif sont déterminés par arrêté du Ministre chargé de l’Economie et des Finances, sur proposition du Ministre chargé des Droits de l'Homme</w:t>
      </w:r>
      <w:r w:rsidRPr="001D25B1">
        <w:rPr>
          <w:rFonts w:ascii="Garamond" w:eastAsia="Times New Roman" w:hAnsi="Garamond" w:cs="Garamond"/>
          <w:sz w:val="24"/>
          <w:szCs w:val="24"/>
        </w:rPr>
        <w:t>. »</w:t>
      </w:r>
    </w:p>
    <w:p w:rsidR="009A1788" w:rsidRPr="001D25B1" w:rsidRDefault="009A1788" w:rsidP="001D25B1">
      <w:pPr>
        <w:tabs>
          <w:tab w:val="left" w:pos="284"/>
        </w:tabs>
        <w:spacing w:before="240" w:line="276" w:lineRule="auto"/>
        <w:contextualSpacing/>
        <w:jc w:val="both"/>
        <w:rPr>
          <w:rFonts w:ascii="Garamond" w:eastAsia="Times New Roman" w:hAnsi="Garamond" w:cs="Garamond"/>
          <w:sz w:val="24"/>
          <w:szCs w:val="24"/>
        </w:rPr>
      </w:pPr>
    </w:p>
    <w:p w:rsidR="009A1788" w:rsidRPr="001D25B1" w:rsidRDefault="00FC1C58" w:rsidP="001D25B1">
      <w:pPr>
        <w:tabs>
          <w:tab w:val="left" w:pos="284"/>
        </w:tabs>
        <w:spacing w:before="240" w:line="276" w:lineRule="auto"/>
        <w:contextualSpacing/>
        <w:jc w:val="both"/>
        <w:rPr>
          <w:rFonts w:ascii="Garamond" w:eastAsia="Times New Roman" w:hAnsi="Garamond" w:cs="Garamond"/>
          <w:sz w:val="24"/>
          <w:szCs w:val="24"/>
        </w:rPr>
      </w:pPr>
      <w:r w:rsidRPr="001D25B1">
        <w:rPr>
          <w:rFonts w:ascii="Garamond" w:eastAsia="Times New Roman" w:hAnsi="Garamond" w:cs="Garamond"/>
          <w:sz w:val="24"/>
          <w:szCs w:val="24"/>
        </w:rPr>
        <w:t>En outre, l’article 35 de la Loi dispose que « </w:t>
      </w:r>
      <w:r w:rsidRPr="001D25B1">
        <w:rPr>
          <w:rFonts w:ascii="Garamond" w:eastAsia="Times New Roman" w:hAnsi="Garamond" w:cs="Garamond"/>
          <w:i/>
          <w:sz w:val="24"/>
          <w:szCs w:val="24"/>
        </w:rPr>
        <w:t>Les membres de la CNDHCI, autres que ceux du Bureau Exécutif, bénéficient d’une indemnité de session dont le montant est fixé par arrêté du Ministre chargé de l’Economie et des Finances, sur proposition du Ministre chargé des Droits de l'Homme. »</w:t>
      </w:r>
    </w:p>
    <w:p w:rsidR="009A1788" w:rsidRPr="001D25B1" w:rsidRDefault="009A1788" w:rsidP="001D25B1">
      <w:pPr>
        <w:spacing w:before="120" w:line="276" w:lineRule="auto"/>
        <w:contextualSpacing/>
        <w:jc w:val="both"/>
        <w:rPr>
          <w:rFonts w:ascii="Garamond" w:eastAsia="Times New Roman" w:hAnsi="Garamond" w:cs="Garamond"/>
          <w:sz w:val="24"/>
          <w:szCs w:val="24"/>
        </w:rPr>
      </w:pPr>
    </w:p>
    <w:p w:rsidR="009A1788" w:rsidRPr="001D25B1" w:rsidRDefault="00FC1C58" w:rsidP="001D25B1">
      <w:pPr>
        <w:spacing w:before="120" w:line="276" w:lineRule="auto"/>
        <w:contextualSpacing/>
        <w:jc w:val="both"/>
        <w:rPr>
          <w:rFonts w:ascii="Garamond" w:eastAsia="Times New Roman" w:hAnsi="Garamond" w:cs="Garamond"/>
          <w:sz w:val="24"/>
          <w:szCs w:val="24"/>
        </w:rPr>
      </w:pPr>
      <w:r w:rsidRPr="001D25B1">
        <w:rPr>
          <w:rFonts w:ascii="Garamond" w:eastAsia="Times New Roman" w:hAnsi="Garamond" w:cs="Garamond"/>
          <w:sz w:val="24"/>
          <w:szCs w:val="24"/>
        </w:rPr>
        <w:t>En ce qui concerne le budget de la CNDHCI, l’article 38 dispose que « </w:t>
      </w:r>
      <w:r w:rsidRPr="001D25B1">
        <w:rPr>
          <w:rFonts w:ascii="Garamond" w:eastAsia="Times New Roman" w:hAnsi="Garamond" w:cs="Garamond"/>
          <w:i/>
          <w:sz w:val="24"/>
          <w:szCs w:val="24"/>
        </w:rPr>
        <w:t>les propositions de budget de la CNDHCI sont soumises par le Bureau Exécutif, à l’Assemblée Générale, avant sa transmission au Ministre chargé des Droits de l'Homme, en vue de son approbation et de son inscription au budget de l’Etat »</w:t>
      </w:r>
      <w:r w:rsidRPr="001D25B1">
        <w:rPr>
          <w:rFonts w:ascii="Garamond" w:eastAsia="Times New Roman" w:hAnsi="Garamond" w:cs="Garamond"/>
          <w:sz w:val="24"/>
          <w:szCs w:val="24"/>
        </w:rPr>
        <w:t xml:space="preserve">.                     </w:t>
      </w:r>
      <w:r w:rsidRPr="001D25B1">
        <w:rPr>
          <w:rFonts w:ascii="Garamond" w:eastAsia="Calibri" w:hAnsi="Garamond" w:cs="Times New Roman"/>
          <w:color w:val="000000"/>
          <w:sz w:val="24"/>
          <w:szCs w:val="24"/>
        </w:rPr>
        <w:t xml:space="preserve">Alors que l’indépendance des Institutions Nationales est au cœur des normes consacrées par les Principes de Paris et la jurisprudence </w:t>
      </w:r>
      <w:r w:rsidR="00A6022A" w:rsidRPr="001D25B1">
        <w:rPr>
          <w:rFonts w:ascii="Garamond" w:eastAsia="Calibri" w:hAnsi="Garamond" w:cs="Times New Roman"/>
          <w:color w:val="000000"/>
          <w:sz w:val="24"/>
          <w:szCs w:val="24"/>
        </w:rPr>
        <w:t xml:space="preserve">du </w:t>
      </w:r>
      <w:r w:rsidRPr="001D25B1">
        <w:rPr>
          <w:rFonts w:ascii="Garamond" w:eastAsia="Calibri" w:hAnsi="Garamond" w:cs="Times New Roman"/>
          <w:color w:val="000000"/>
          <w:sz w:val="24"/>
          <w:szCs w:val="24"/>
        </w:rPr>
        <w:t xml:space="preserve">CIC, l’on relève que la Loi n° 2012-1132 du 13 décembre 2012, instituant la CNDHCI, contient des articles qui, à n’en point douter, la place sous la tutelle du Ministère en charge des Droits de l'Homme. En effet, les Principes de Paris insistent sur la nécessité pour une Institution nationale « </w:t>
      </w:r>
      <w:r w:rsidRPr="001D25B1">
        <w:rPr>
          <w:rFonts w:ascii="Garamond" w:eastAsia="Calibri" w:hAnsi="Garamond" w:cs="Times New Roman"/>
          <w:i/>
          <w:color w:val="000000"/>
          <w:sz w:val="24"/>
          <w:szCs w:val="24"/>
        </w:rPr>
        <w:t>…d'être autonome vis-à-vis de l'Etat et de n'être soumise qu'à un contrôle financier respectant son indépendance ».</w:t>
      </w:r>
      <w:r w:rsidRPr="001D25B1">
        <w:rPr>
          <w:rFonts w:ascii="Garamond" w:eastAsia="Calibri" w:hAnsi="Garamond" w:cs="Times New Roman"/>
          <w:color w:val="000000"/>
          <w:sz w:val="24"/>
          <w:szCs w:val="24"/>
        </w:rPr>
        <w:t xml:space="preserve"> </w:t>
      </w:r>
    </w:p>
    <w:p w:rsidR="009A1788" w:rsidRPr="001D25B1" w:rsidRDefault="009A1788" w:rsidP="001D25B1">
      <w:pPr>
        <w:spacing w:before="120" w:line="276" w:lineRule="auto"/>
        <w:contextualSpacing/>
        <w:jc w:val="both"/>
        <w:rPr>
          <w:rFonts w:ascii="Garamond" w:eastAsia="Calibri" w:hAnsi="Garamond" w:cs="Times New Roman"/>
          <w:color w:val="000000"/>
          <w:sz w:val="24"/>
          <w:szCs w:val="24"/>
        </w:rPr>
      </w:pPr>
    </w:p>
    <w:p w:rsidR="009A1788" w:rsidRPr="001D25B1" w:rsidRDefault="00FC1C58" w:rsidP="001D25B1">
      <w:pPr>
        <w:spacing w:before="120" w:line="276" w:lineRule="auto"/>
        <w:contextualSpacing/>
        <w:jc w:val="both"/>
        <w:rPr>
          <w:rFonts w:ascii="Garamond" w:eastAsia="Times New Roman" w:hAnsi="Garamond" w:cs="Garamond"/>
          <w:sz w:val="24"/>
          <w:szCs w:val="24"/>
        </w:rPr>
      </w:pPr>
      <w:r w:rsidRPr="001D25B1">
        <w:rPr>
          <w:rFonts w:ascii="Garamond" w:eastAsia="Times New Roman" w:hAnsi="Garamond" w:cs="Garamond"/>
          <w:sz w:val="24"/>
          <w:szCs w:val="24"/>
        </w:rPr>
        <w:t>La Présidente de la CNDH CI note que son institution n’est pas réellement indépendante puisqu’elle reste, dans les faits, dépendante du Ministère de la justice des droits de l’homme et des libertés publiques et du Ministère de l’économie et des finances. Cela ne lui permet pas d’avoir une liberté d’action et d’accéder au statut A des Institutions nationales des droits de l’homme tel que prévu dans les principes de Paris. Sur ce point, Monsieur Gnenema Coulibaly, Ministre de la justice, des droits de l’homme et des libertés publiques a affirmé publiquement lors du deuxième passage de la Côte d’Ivoire à l’Examen périodique universel</w:t>
      </w:r>
      <w:r w:rsidR="00450597"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le 29 avril 2014, que la CNDH CI avait le statut B. </w:t>
      </w:r>
      <w:r w:rsidR="00450597" w:rsidRPr="001D25B1">
        <w:rPr>
          <w:rFonts w:ascii="Garamond" w:eastAsia="Times New Roman" w:hAnsi="Garamond" w:cs="Garamond"/>
          <w:sz w:val="24"/>
          <w:szCs w:val="24"/>
        </w:rPr>
        <w:t xml:space="preserve">Il </w:t>
      </w:r>
      <w:r w:rsidRPr="001D25B1">
        <w:rPr>
          <w:rFonts w:ascii="Garamond" w:eastAsia="Times New Roman" w:hAnsi="Garamond" w:cs="Garamond"/>
          <w:sz w:val="24"/>
          <w:szCs w:val="24"/>
        </w:rPr>
        <w:t xml:space="preserve">ne nous a pas </w:t>
      </w:r>
      <w:r w:rsidR="00D104B5" w:rsidRPr="001D25B1">
        <w:rPr>
          <w:rFonts w:ascii="Garamond" w:eastAsia="Times New Roman" w:hAnsi="Garamond" w:cs="Garamond"/>
          <w:sz w:val="24"/>
          <w:szCs w:val="24"/>
        </w:rPr>
        <w:t xml:space="preserve">été </w:t>
      </w:r>
      <w:r w:rsidRPr="001D25B1">
        <w:rPr>
          <w:rFonts w:ascii="Garamond" w:eastAsia="Times New Roman" w:hAnsi="Garamond" w:cs="Garamond"/>
          <w:sz w:val="24"/>
          <w:szCs w:val="24"/>
        </w:rPr>
        <w:t xml:space="preserve">possible de vérifier </w:t>
      </w:r>
      <w:r w:rsidR="00450597" w:rsidRPr="001D25B1">
        <w:rPr>
          <w:rFonts w:ascii="Garamond" w:eastAsia="Times New Roman" w:hAnsi="Garamond" w:cs="Garamond"/>
          <w:sz w:val="24"/>
          <w:szCs w:val="24"/>
        </w:rPr>
        <w:t xml:space="preserve">ceci </w:t>
      </w:r>
      <w:r w:rsidRPr="001D25B1">
        <w:rPr>
          <w:rFonts w:ascii="Garamond" w:eastAsia="Times New Roman" w:hAnsi="Garamond" w:cs="Garamond"/>
          <w:sz w:val="24"/>
          <w:szCs w:val="24"/>
        </w:rPr>
        <w:t>sur l’échelle de notation des commissions nationales des droits de l’homme.</w:t>
      </w:r>
    </w:p>
    <w:p w:rsidR="009A1788" w:rsidRPr="001D25B1" w:rsidRDefault="009A1788" w:rsidP="001D25B1">
      <w:pPr>
        <w:spacing w:before="120" w:line="276" w:lineRule="auto"/>
        <w:contextualSpacing/>
        <w:jc w:val="both"/>
        <w:rPr>
          <w:rFonts w:ascii="Garamond" w:eastAsia="Times New Roman" w:hAnsi="Garamond" w:cs="Garamond"/>
          <w:sz w:val="24"/>
          <w:szCs w:val="24"/>
        </w:rPr>
      </w:pPr>
    </w:p>
    <w:p w:rsidR="009A1788" w:rsidRPr="001D25B1" w:rsidRDefault="00FC1C58" w:rsidP="001D25B1">
      <w:pPr>
        <w:spacing w:before="120" w:line="276" w:lineRule="auto"/>
        <w:contextualSpacing/>
        <w:jc w:val="both"/>
        <w:rPr>
          <w:rFonts w:ascii="Garamond" w:eastAsia="Times New Roman" w:hAnsi="Garamond" w:cs="Garamond"/>
          <w:sz w:val="24"/>
          <w:szCs w:val="24"/>
        </w:rPr>
      </w:pPr>
      <w:r w:rsidRPr="001D25B1">
        <w:rPr>
          <w:rFonts w:ascii="Garamond" w:eastAsia="Times New Roman" w:hAnsi="Garamond" w:cs="Garamond"/>
          <w:sz w:val="24"/>
          <w:szCs w:val="24"/>
        </w:rPr>
        <w:t xml:space="preserve">Un Commissaire de la CNDH CI est membre du Ministère de la justice, à titre consultatif, et fait </w:t>
      </w:r>
      <w:r w:rsidR="00F77313" w:rsidRPr="001D25B1">
        <w:rPr>
          <w:rFonts w:ascii="Garamond" w:eastAsia="Times New Roman" w:hAnsi="Garamond" w:cs="Garamond"/>
          <w:sz w:val="24"/>
          <w:szCs w:val="24"/>
        </w:rPr>
        <w:t>partie</w:t>
      </w:r>
      <w:r w:rsidRPr="001D25B1">
        <w:rPr>
          <w:rFonts w:ascii="Garamond" w:eastAsia="Times New Roman" w:hAnsi="Garamond" w:cs="Garamond"/>
          <w:sz w:val="24"/>
          <w:szCs w:val="24"/>
        </w:rPr>
        <w:t xml:space="preserve"> du Comité qui a pour objectif d’harmoniser la Constitution, le Code pénal et le Code procédure pénale avec les instruments internationaux qui lient la Côte d’Ivoire. A ce jour, l’ACAT Côte d’Ivoire n’a pas reçu d’invitation officielle à participer, à la réforme du Code pénal concernant l’incrimination de la torture et des disparitions forcées.  </w:t>
      </w:r>
    </w:p>
    <w:p w:rsidR="009A1788" w:rsidRPr="001D25B1" w:rsidRDefault="009A1788" w:rsidP="001D25B1">
      <w:pPr>
        <w:spacing w:before="120" w:line="276" w:lineRule="auto"/>
        <w:contextualSpacing/>
        <w:jc w:val="both"/>
        <w:rPr>
          <w:rFonts w:ascii="Garamond" w:eastAsia="Times New Roman" w:hAnsi="Garamond" w:cs="Garamond"/>
          <w:sz w:val="24"/>
          <w:szCs w:val="24"/>
        </w:rPr>
      </w:pPr>
    </w:p>
    <w:p w:rsidR="009A1788" w:rsidRPr="001D25B1" w:rsidRDefault="00FC1C58" w:rsidP="001D25B1">
      <w:pPr>
        <w:spacing w:before="120" w:line="276" w:lineRule="auto"/>
        <w:contextualSpacing/>
        <w:jc w:val="both"/>
        <w:rPr>
          <w:rFonts w:ascii="Garamond" w:eastAsia="Times New Roman" w:hAnsi="Garamond" w:cs="Garamond"/>
          <w:sz w:val="24"/>
          <w:szCs w:val="24"/>
        </w:rPr>
      </w:pPr>
      <w:r w:rsidRPr="001D25B1">
        <w:rPr>
          <w:rFonts w:ascii="Garamond" w:eastAsia="Times New Roman" w:hAnsi="Garamond" w:cs="Garamond"/>
          <w:sz w:val="24"/>
          <w:szCs w:val="24"/>
        </w:rPr>
        <w:t>Un Comité de visite de prison a été créé au sein de la CNDH CI. Une visite de toutes les prisons du pays a été programmée pour la fin de l’année 2013 et doit conduire à dresser un état des lieux et formuler des recommandations.</w:t>
      </w:r>
      <w:r w:rsidR="00E06BF3" w:rsidRPr="001D25B1">
        <w:rPr>
          <w:rFonts w:ascii="Garamond" w:eastAsia="Times New Roman" w:hAnsi="Garamond" w:cs="Garamond"/>
          <w:sz w:val="24"/>
          <w:szCs w:val="24"/>
        </w:rPr>
        <w:t xml:space="preserve"> </w:t>
      </w:r>
      <w:r w:rsidR="00AC6D85" w:rsidRPr="001D25B1">
        <w:rPr>
          <w:rFonts w:ascii="Garamond" w:eastAsia="Times New Roman" w:hAnsi="Garamond" w:cs="Garamond"/>
          <w:sz w:val="24"/>
          <w:szCs w:val="24"/>
        </w:rPr>
        <w:t>Le C</w:t>
      </w:r>
      <w:r w:rsidR="00E06BF3" w:rsidRPr="001D25B1">
        <w:rPr>
          <w:rFonts w:ascii="Garamond" w:eastAsia="Times New Roman" w:hAnsi="Garamond" w:cs="Garamond"/>
          <w:sz w:val="24"/>
          <w:szCs w:val="24"/>
        </w:rPr>
        <w:t>omité a effectué 11 visites en 2013 et 6 en 2014.</w:t>
      </w:r>
      <w:r w:rsidRPr="001D25B1">
        <w:rPr>
          <w:rFonts w:ascii="Garamond" w:eastAsia="Times New Roman" w:hAnsi="Garamond" w:cs="Garamond"/>
          <w:sz w:val="24"/>
          <w:szCs w:val="24"/>
        </w:rPr>
        <w:t xml:space="preserve"> L</w:t>
      </w:r>
      <w:r w:rsidR="00D104B5" w:rsidRPr="001D25B1">
        <w:rPr>
          <w:rFonts w:ascii="Garamond" w:eastAsia="Times New Roman" w:hAnsi="Garamond" w:cs="Garamond"/>
          <w:sz w:val="24"/>
          <w:szCs w:val="24"/>
        </w:rPr>
        <w:t xml:space="preserve">e problème </w:t>
      </w:r>
      <w:r w:rsidRPr="001D25B1">
        <w:rPr>
          <w:rFonts w:ascii="Garamond" w:eastAsia="Times New Roman" w:hAnsi="Garamond" w:cs="Garamond"/>
          <w:sz w:val="24"/>
          <w:szCs w:val="24"/>
        </w:rPr>
        <w:t>des disponibilités financières</w:t>
      </w:r>
      <w:r w:rsidR="00D104B5" w:rsidRPr="001D25B1">
        <w:rPr>
          <w:rFonts w:ascii="Garamond" w:eastAsia="Times New Roman" w:hAnsi="Garamond" w:cs="Garamond"/>
          <w:sz w:val="24"/>
          <w:szCs w:val="24"/>
        </w:rPr>
        <w:t xml:space="preserve"> de la CNDH CI,</w:t>
      </w:r>
      <w:r w:rsidR="00E06BF3" w:rsidRPr="001D25B1">
        <w:rPr>
          <w:rFonts w:ascii="Garamond" w:eastAsia="Times New Roman" w:hAnsi="Garamond" w:cs="Garamond"/>
          <w:sz w:val="24"/>
          <w:szCs w:val="24"/>
        </w:rPr>
        <w:t xml:space="preserve"> liée à la question essentielle de son indépendance</w:t>
      </w:r>
      <w:r w:rsidR="00D104B5"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ralentit </w:t>
      </w:r>
      <w:r w:rsidR="00D104B5"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es actions. </w:t>
      </w:r>
    </w:p>
    <w:p w:rsidR="009A1788" w:rsidRPr="001D25B1" w:rsidRDefault="009A1788" w:rsidP="001D25B1">
      <w:pPr>
        <w:spacing w:before="120" w:line="276" w:lineRule="auto"/>
        <w:contextualSpacing/>
        <w:jc w:val="both"/>
        <w:rPr>
          <w:rFonts w:ascii="Garamond" w:eastAsia="Times New Roman" w:hAnsi="Garamond" w:cs="Garamond"/>
          <w:sz w:val="24"/>
          <w:szCs w:val="24"/>
        </w:rPr>
      </w:pPr>
    </w:p>
    <w:p w:rsidR="00FC1C58" w:rsidRPr="001D25B1" w:rsidRDefault="00FC1C58" w:rsidP="001D25B1">
      <w:pPr>
        <w:spacing w:before="120" w:after="0" w:line="276" w:lineRule="auto"/>
        <w:contextualSpacing/>
        <w:jc w:val="both"/>
        <w:rPr>
          <w:rFonts w:ascii="Garamond" w:eastAsia="Times New Roman" w:hAnsi="Garamond" w:cs="Garamond"/>
          <w:sz w:val="24"/>
          <w:szCs w:val="24"/>
        </w:rPr>
      </w:pPr>
      <w:r w:rsidRPr="001D25B1">
        <w:rPr>
          <w:rFonts w:ascii="Garamond" w:eastAsia="Times New Roman" w:hAnsi="Garamond" w:cs="Garamond"/>
          <w:sz w:val="24"/>
          <w:szCs w:val="24"/>
        </w:rPr>
        <w:t>La CNDH CI plaide également pour la ratification de l’OPCAT par les autorités ivoiriennes et aimerait devenir le Mécanisme national de prévention de la torture.</w:t>
      </w:r>
    </w:p>
    <w:p w:rsidR="00FC1C58" w:rsidRPr="001D25B1" w:rsidRDefault="00FC1C58" w:rsidP="00895FAB">
      <w:pPr>
        <w:spacing w:before="120" w:after="120" w:line="276" w:lineRule="auto"/>
        <w:jc w:val="both"/>
        <w:rPr>
          <w:rFonts w:ascii="Garamond" w:eastAsia="Times New Roman" w:hAnsi="Garamond" w:cs="Garamond"/>
          <w:b/>
          <w:bCs/>
          <w:i/>
          <w:color w:val="365F91"/>
          <w:sz w:val="24"/>
          <w:szCs w:val="24"/>
        </w:rPr>
      </w:pPr>
      <w:r w:rsidRPr="001D25B1">
        <w:rPr>
          <w:rFonts w:ascii="Garamond" w:eastAsia="Times New Roman" w:hAnsi="Garamond" w:cs="Garamond"/>
          <w:b/>
          <w:bCs/>
          <w:i/>
          <w:color w:val="365F91"/>
          <w:sz w:val="24"/>
          <w:szCs w:val="24"/>
        </w:rPr>
        <w:t xml:space="preserve">L’ACAT Côte d’Ivoire et la FIACAT invitent le Comité des droits de l’homme à recommander à l’Etat partie de : </w:t>
      </w:r>
    </w:p>
    <w:p w:rsidR="00FC1C58" w:rsidRPr="001D25B1" w:rsidRDefault="00FC1C58" w:rsidP="001D25B1">
      <w:pPr>
        <w:pStyle w:val="Paragraphedeliste"/>
        <w:numPr>
          <w:ilvl w:val="1"/>
          <w:numId w:val="43"/>
        </w:numPr>
        <w:rPr>
          <w:b/>
          <w:i/>
          <w:color w:val="365F91"/>
        </w:rPr>
      </w:pPr>
      <w:r w:rsidRPr="001D25B1">
        <w:rPr>
          <w:b/>
          <w:i/>
          <w:color w:val="365F91"/>
        </w:rPr>
        <w:t>Engager les réformes nécessaires de la Loi ° 2012-1132 du 13 décembre 2012 en vue de rendre la CNDH conforme aux Principes de Paris ; </w:t>
      </w:r>
    </w:p>
    <w:p w:rsidR="00FC1C58" w:rsidRPr="001D25B1" w:rsidRDefault="00FC1C58" w:rsidP="001D25B1">
      <w:pPr>
        <w:pStyle w:val="Paragraphedeliste"/>
        <w:numPr>
          <w:ilvl w:val="1"/>
          <w:numId w:val="43"/>
        </w:numPr>
        <w:rPr>
          <w:b/>
          <w:i/>
          <w:color w:val="365F91"/>
        </w:rPr>
      </w:pPr>
      <w:r w:rsidRPr="001D25B1">
        <w:rPr>
          <w:b/>
          <w:i/>
          <w:color w:val="365F91"/>
        </w:rPr>
        <w:t xml:space="preserve">Fournir un budget adéquat à la CNDH CI garantissant son autonomie d’action et de gestion de ses ressources. </w:t>
      </w:r>
    </w:p>
    <w:p w:rsidR="00FC1C58" w:rsidRPr="001D25B1" w:rsidRDefault="00FC1C58" w:rsidP="001D25B1">
      <w:pPr>
        <w:spacing w:before="120" w:after="120" w:line="276" w:lineRule="auto"/>
        <w:jc w:val="both"/>
        <w:rPr>
          <w:rFonts w:ascii="Garamond" w:eastAsia="Times New Roman" w:hAnsi="Garamond" w:cs="Garamond"/>
          <w:sz w:val="24"/>
          <w:szCs w:val="24"/>
        </w:rPr>
      </w:pPr>
    </w:p>
    <w:p w:rsidR="00FC1C58" w:rsidRPr="001D25B1" w:rsidRDefault="00FC1C58" w:rsidP="001D25B1">
      <w:pPr>
        <w:pStyle w:val="Titre3"/>
      </w:pPr>
      <w:bookmarkStart w:id="72" w:name="_Toc386019495"/>
      <w:bookmarkStart w:id="73" w:name="_Toc386200918"/>
      <w:bookmarkStart w:id="74" w:name="_Toc412111729"/>
      <w:r w:rsidRPr="001D25B1">
        <w:t>La surveillance systématique des règles applicables lors des différentes phases de la détention</w:t>
      </w:r>
      <w:bookmarkEnd w:id="72"/>
      <w:bookmarkEnd w:id="73"/>
      <w:bookmarkEnd w:id="74"/>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Sur demande expresse adressée au Directeur de l’Administration pénitentiaire, les associations peuvent obtenir le statut de visiteurs de prisons. Les autorisations sont délivrées individuellement à chaque membre d’ONG en ayant fait la demande. Ainsi, l’ACAT Côte d’Ivoire dispose d’une autorisation dite permanente pour onze de ses membres qui en réalité est annuelle. La direction de l’administration pénitentiaire, fait preuve d’une grande ouverture et disponibilité pour ce qui est des visites des prisons. Ce qui n’est pas le cas des commissariats et des brigades de gendarmerie.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Cependant, les demandes de visite des prisonniers « politiques » par les ONG nationales restent </w:t>
      </w:r>
      <w:r w:rsidR="00D513C2" w:rsidRPr="001D25B1">
        <w:rPr>
          <w:rFonts w:ascii="Garamond" w:eastAsia="Times New Roman" w:hAnsi="Garamond" w:cs="Garamond"/>
          <w:sz w:val="24"/>
          <w:szCs w:val="24"/>
        </w:rPr>
        <w:t xml:space="preserve">souvent </w:t>
      </w:r>
      <w:r w:rsidRPr="001D25B1">
        <w:rPr>
          <w:rFonts w:ascii="Garamond" w:eastAsia="Times New Roman" w:hAnsi="Garamond" w:cs="Garamond"/>
          <w:sz w:val="24"/>
          <w:szCs w:val="24"/>
        </w:rPr>
        <w:t xml:space="preserve">sans suite. </w:t>
      </w:r>
      <w:r w:rsidR="00243F2B" w:rsidRPr="001D25B1">
        <w:rPr>
          <w:rFonts w:ascii="Garamond" w:eastAsia="Times New Roman" w:hAnsi="Garamond" w:cs="Garamond"/>
          <w:sz w:val="24"/>
          <w:szCs w:val="24"/>
        </w:rPr>
        <w:t xml:space="preserve">A titre d’exemple, </w:t>
      </w:r>
      <w:r w:rsidRPr="001D25B1">
        <w:rPr>
          <w:rFonts w:ascii="Garamond" w:eastAsia="Times New Roman" w:hAnsi="Garamond" w:cs="Garamond"/>
          <w:sz w:val="24"/>
          <w:szCs w:val="24"/>
        </w:rPr>
        <w:t xml:space="preserve">une demande a été faite </w:t>
      </w:r>
      <w:r w:rsidR="00243F2B" w:rsidRPr="001D25B1">
        <w:rPr>
          <w:rFonts w:ascii="Garamond" w:eastAsia="Times New Roman" w:hAnsi="Garamond" w:cs="Garamond"/>
          <w:sz w:val="24"/>
          <w:szCs w:val="24"/>
        </w:rPr>
        <w:t>avec la</w:t>
      </w:r>
      <w:r w:rsidR="0020146D" w:rsidRPr="001D25B1">
        <w:rPr>
          <w:rFonts w:ascii="Garamond" w:eastAsia="Times New Roman" w:hAnsi="Garamond" w:cs="Garamond"/>
          <w:sz w:val="24"/>
          <w:szCs w:val="24"/>
        </w:rPr>
        <w:t xml:space="preserve"> Coalition ivoirienne pour la Cour pénale Internationale (</w:t>
      </w:r>
      <w:r w:rsidR="00243F2B" w:rsidRPr="001D25B1">
        <w:rPr>
          <w:rFonts w:ascii="Garamond" w:eastAsia="Times New Roman" w:hAnsi="Garamond" w:cs="Garamond"/>
          <w:sz w:val="24"/>
          <w:szCs w:val="24"/>
        </w:rPr>
        <w:t>CICPI</w:t>
      </w:r>
      <w:r w:rsidR="0020146D" w:rsidRPr="001D25B1">
        <w:rPr>
          <w:rFonts w:ascii="Garamond" w:eastAsia="Times New Roman" w:hAnsi="Garamond" w:cs="Garamond"/>
          <w:sz w:val="24"/>
          <w:szCs w:val="24"/>
        </w:rPr>
        <w:t>)</w:t>
      </w:r>
      <w:r w:rsidR="00243F2B"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 xml:space="preserve">pour </w:t>
      </w:r>
      <w:r w:rsidR="00243F2B" w:rsidRPr="001D25B1">
        <w:rPr>
          <w:rFonts w:ascii="Garamond" w:eastAsia="Times New Roman" w:hAnsi="Garamond" w:cs="Garamond"/>
          <w:sz w:val="24"/>
          <w:szCs w:val="24"/>
        </w:rPr>
        <w:t>des</w:t>
      </w:r>
      <w:r w:rsidRPr="001D25B1">
        <w:rPr>
          <w:rFonts w:ascii="Garamond" w:eastAsia="Times New Roman" w:hAnsi="Garamond" w:cs="Garamond"/>
          <w:sz w:val="24"/>
          <w:szCs w:val="24"/>
        </w:rPr>
        <w:t xml:space="preserve"> visite</w:t>
      </w:r>
      <w:r w:rsidR="00243F2B"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 dans les villes de BOUNA, BONDOUKOU, KOROGHO. Malheureusement, cette demande est restée sans suite.</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 Côte d’Ivoire n’est pas partie au Protocole facultatif à la Convention contre la torture et autres peines ou traitements cruels, inhumains ou dégradants (OPCAT) et ne dispose pas d’un Mécanisme national de prévention de la torture dans les lieux privatifs de liberté.</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L’article 111 du décret du 14 mai 1969 portant réglementation des établissements pénitentiaires et fixant les modalités d’exécution des peines privatives de liberté prévoit les modalités de visite des prisons de Côte d’Ivoire. Ainsi : </w:t>
      </w:r>
      <w:r w:rsidRPr="001D25B1">
        <w:rPr>
          <w:rFonts w:ascii="Garamond" w:eastAsia="Times New Roman" w:hAnsi="Garamond" w:cs="Garamond"/>
          <w:i/>
          <w:sz w:val="24"/>
          <w:szCs w:val="24"/>
        </w:rPr>
        <w:t>« les magistrats, les préfets peuvent visiter les prisons, le juge des enfants une fois par mois, le juge d’application des peines 1 fois par mois, le procureur 1 fois par trimestre, le président du tribunal 1 fois par trimestre, le président de la chambre d’accusation 1 fois par an »</w:t>
      </w:r>
    </w:p>
    <w:p w:rsidR="006169DF" w:rsidRPr="00895FAB"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Au dire des détenus et de certains responsables de l’administration judiciaire et administrative interrogés par la FIACAT et l’ACAT Côte d’Ivoire, cette disposition n’est pas appliquée</w:t>
      </w:r>
      <w:r w:rsidR="00A642F7">
        <w:rPr>
          <w:rFonts w:ascii="Garamond" w:eastAsia="Times New Roman" w:hAnsi="Garamond" w:cs="Garamond"/>
          <w:sz w:val="24"/>
          <w:szCs w:val="24"/>
        </w:rPr>
        <w:t xml:space="preserve"> et il n’y a eu que très peu de visites. </w:t>
      </w:r>
    </w:p>
    <w:p w:rsidR="00FC1C58" w:rsidRPr="001D25B1" w:rsidRDefault="00FC1C58" w:rsidP="001D25B1">
      <w:pPr>
        <w:pStyle w:val="Titre4"/>
        <w:numPr>
          <w:ilvl w:val="0"/>
          <w:numId w:val="26"/>
        </w:numPr>
      </w:pPr>
      <w:bookmarkStart w:id="75" w:name="_Toc366761808"/>
      <w:bookmarkStart w:id="76" w:name="_Toc386019496"/>
      <w:bookmarkStart w:id="77" w:name="_Toc386200919"/>
      <w:r w:rsidRPr="001D25B1">
        <w:t>La garde à vue</w:t>
      </w:r>
      <w:bookmarkStart w:id="78" w:name="_Toc335226267"/>
      <w:bookmarkStart w:id="79" w:name="_Toc366761809"/>
      <w:bookmarkEnd w:id="75"/>
      <w:bookmarkEnd w:id="76"/>
      <w:bookmarkEnd w:id="77"/>
    </w:p>
    <w:bookmarkEnd w:id="78"/>
    <w:bookmarkEnd w:id="79"/>
    <w:p w:rsidR="00FC1C58" w:rsidRPr="00895FAB" w:rsidRDefault="00FC1C58" w:rsidP="001D25B1">
      <w:pPr>
        <w:tabs>
          <w:tab w:val="num" w:pos="1134"/>
        </w:tabs>
        <w:spacing w:before="120" w:after="120" w:line="276" w:lineRule="auto"/>
        <w:ind w:left="1134" w:hanging="54"/>
        <w:jc w:val="both"/>
        <w:outlineLvl w:val="4"/>
        <w:rPr>
          <w:rFonts w:ascii="Garamond" w:eastAsia="Times New Roman" w:hAnsi="Garamond" w:cs="Times New Roman"/>
          <w:bCs/>
          <w:i/>
          <w:sz w:val="24"/>
          <w:szCs w:val="24"/>
        </w:rPr>
      </w:pPr>
      <w:r w:rsidRPr="001D25B1">
        <w:rPr>
          <w:rFonts w:ascii="Garamond" w:eastAsia="Times New Roman" w:hAnsi="Garamond" w:cs="Times New Roman"/>
          <w:bCs/>
          <w:i/>
          <w:sz w:val="24"/>
          <w:szCs w:val="24"/>
        </w:rPr>
        <w:t>Selon l’article 63</w:t>
      </w:r>
      <w:r w:rsidRPr="00895FAB">
        <w:rPr>
          <w:rFonts w:ascii="Garamond" w:eastAsia="Times New Roman" w:hAnsi="Garamond" w:cs="Times New Roman"/>
          <w:bCs/>
          <w:i/>
          <w:sz w:val="24"/>
          <w:szCs w:val="24"/>
          <w:vertAlign w:val="superscript"/>
        </w:rPr>
        <w:footnoteReference w:id="37"/>
      </w:r>
      <w:r w:rsidRPr="00895FAB">
        <w:rPr>
          <w:rFonts w:ascii="Garamond" w:eastAsia="Times New Roman" w:hAnsi="Garamond" w:cs="Times New Roman"/>
          <w:bCs/>
          <w:i/>
          <w:sz w:val="24"/>
          <w:szCs w:val="24"/>
        </w:rPr>
        <w:t xml:space="preserve"> du CPP le délai légal de la garde à vue est de quarante-huit heures. Ce délai peut être prolongé d’un nouveau délai de quarante-huit heures sur autorisation du Procureur de la République ou du Juge d’instruction.</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lastRenderedPageBreak/>
        <w:t>Une enquête montre que les gardes à vue excèdent bien souvent les 96 h légales</w:t>
      </w:r>
      <w:r w:rsidRPr="00895FAB">
        <w:rPr>
          <w:rFonts w:ascii="Garamond" w:eastAsia="Times New Roman" w:hAnsi="Garamond" w:cs="Garamond"/>
          <w:sz w:val="24"/>
          <w:szCs w:val="24"/>
          <w:vertAlign w:val="superscript"/>
        </w:rPr>
        <w:footnoteReference w:id="38"/>
      </w:r>
      <w:r w:rsidRPr="00895FAB">
        <w:rPr>
          <w:rFonts w:ascii="Garamond" w:eastAsia="Times New Roman" w:hAnsi="Garamond" w:cs="Garamond"/>
          <w:sz w:val="24"/>
          <w:szCs w:val="24"/>
        </w:rPr>
        <w:t>. En effet, devant l’inertie des parquetiers, les Officiers de police judiciaire</w:t>
      </w:r>
      <w:r w:rsidR="00025449" w:rsidRPr="001D25B1">
        <w:rPr>
          <w:rFonts w:ascii="Garamond" w:eastAsia="Times New Roman" w:hAnsi="Garamond" w:cs="Garamond"/>
          <w:sz w:val="24"/>
          <w:szCs w:val="24"/>
        </w:rPr>
        <w:t xml:space="preserve"> (OPJ)</w:t>
      </w:r>
      <w:r w:rsidRPr="001D25B1">
        <w:rPr>
          <w:rFonts w:ascii="Garamond" w:eastAsia="Times New Roman" w:hAnsi="Garamond" w:cs="Garamond"/>
          <w:sz w:val="24"/>
          <w:szCs w:val="24"/>
        </w:rPr>
        <w:t xml:space="preserve"> décident unilatéralement de la prolongation des gardes à vue.</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Le Code de procédure pénale oblige l’OPJ à demander l’autorisation du Procureur de la République avant toute prorogation du délai de garde à vue. Cependant, cette demande ne doit pas obéir à un formalisme particulier. Pour cette raison, les OPJ prennent souvent l’initiative de la prorogation de la durée de la garde à vue en affirmant avoir averti le Procureur préalablement par téléphone.</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Comme les contrôles des registres de garde à vue par les magistrats sont rares, </w:t>
      </w:r>
      <w:r w:rsidR="00F77313" w:rsidRPr="001D25B1">
        <w:rPr>
          <w:rFonts w:ascii="Garamond" w:eastAsia="Times New Roman" w:hAnsi="Garamond" w:cs="Garamond"/>
          <w:sz w:val="24"/>
          <w:szCs w:val="24"/>
        </w:rPr>
        <w:t>voire</w:t>
      </w:r>
      <w:r w:rsidRPr="001D25B1">
        <w:rPr>
          <w:rFonts w:ascii="Garamond" w:eastAsia="Times New Roman" w:hAnsi="Garamond" w:cs="Garamond"/>
          <w:sz w:val="24"/>
          <w:szCs w:val="24"/>
        </w:rPr>
        <w:t xml:space="preserve"> inexistants, cette pratique tend à se généraliser. Ainsi, l’ACAT Côte d’Ivoire a pu constater que dans les services de la police judiciaire d’Abidjan-Plateau, des personnes gardées à vue y ont séjourné pendant plus d’un mois.</w:t>
      </w:r>
      <w:r w:rsidR="008239C6" w:rsidRPr="001D25B1">
        <w:rPr>
          <w:rFonts w:ascii="Garamond" w:eastAsia="Times New Roman" w:hAnsi="Garamond" w:cs="Garamond"/>
          <w:sz w:val="24"/>
          <w:szCs w:val="24"/>
        </w:rPr>
        <w:t xml:space="preserve"> Sur dix détenus en préventi</w:t>
      </w:r>
      <w:r w:rsidR="00DB0D4F" w:rsidRPr="001D25B1">
        <w:rPr>
          <w:rFonts w:ascii="Garamond" w:eastAsia="Times New Roman" w:hAnsi="Garamond" w:cs="Garamond"/>
          <w:sz w:val="24"/>
          <w:szCs w:val="24"/>
        </w:rPr>
        <w:t>ve</w:t>
      </w:r>
      <w:r w:rsidR="008239C6" w:rsidRPr="001D25B1">
        <w:rPr>
          <w:rFonts w:ascii="Garamond" w:eastAsia="Times New Roman" w:hAnsi="Garamond" w:cs="Garamond"/>
          <w:sz w:val="24"/>
          <w:szCs w:val="24"/>
        </w:rPr>
        <w:t xml:space="preserve"> que l’ACAT CI a interrogés à la maison d’arrêt et de correction de Grand-Bassam, 8 avaient dépassé les délais légaux de garde à vue.  </w:t>
      </w:r>
    </w:p>
    <w:p w:rsidR="00702E83"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On assiste même au placement en garde à vue de personnes pour des motifs purement civils tel</w:t>
      </w:r>
      <w:r w:rsidR="00DB0D4F"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 que le </w:t>
      </w:r>
      <w:r w:rsidR="00F77313" w:rsidRPr="001D25B1">
        <w:rPr>
          <w:rFonts w:ascii="Garamond" w:eastAsia="Times New Roman" w:hAnsi="Garamond" w:cs="Garamond"/>
          <w:sz w:val="24"/>
          <w:szCs w:val="24"/>
        </w:rPr>
        <w:t>non-paiement</w:t>
      </w:r>
      <w:r w:rsidRPr="001D25B1">
        <w:rPr>
          <w:rFonts w:ascii="Garamond" w:eastAsia="Times New Roman" w:hAnsi="Garamond" w:cs="Garamond"/>
          <w:sz w:val="24"/>
          <w:szCs w:val="24"/>
        </w:rPr>
        <w:t xml:space="preserve"> de loyers, le </w:t>
      </w:r>
      <w:r w:rsidR="00F77313" w:rsidRPr="001D25B1">
        <w:rPr>
          <w:rFonts w:ascii="Garamond" w:eastAsia="Times New Roman" w:hAnsi="Garamond" w:cs="Garamond"/>
          <w:sz w:val="24"/>
          <w:szCs w:val="24"/>
        </w:rPr>
        <w:t>non-paiement</w:t>
      </w:r>
      <w:r w:rsidRPr="001D25B1">
        <w:rPr>
          <w:rFonts w:ascii="Garamond" w:eastAsia="Times New Roman" w:hAnsi="Garamond" w:cs="Garamond"/>
          <w:sz w:val="24"/>
          <w:szCs w:val="24"/>
        </w:rPr>
        <w:t xml:space="preserve"> de pension alimentaire ou l’occupation de terrain sans titre foncier.</w:t>
      </w:r>
      <w:bookmarkStart w:id="80" w:name="_Toc335226269"/>
      <w:bookmarkStart w:id="81" w:name="_Toc366761811"/>
    </w:p>
    <w:p w:rsidR="00FC1C58" w:rsidRPr="001D25B1" w:rsidRDefault="00FC1C58" w:rsidP="001D25B1">
      <w:pPr>
        <w:tabs>
          <w:tab w:val="num" w:pos="1440"/>
        </w:tabs>
        <w:spacing w:before="120" w:after="120" w:line="276" w:lineRule="auto"/>
        <w:ind w:left="1440" w:hanging="360"/>
        <w:jc w:val="both"/>
        <w:outlineLvl w:val="4"/>
        <w:rPr>
          <w:rFonts w:ascii="Garamond" w:eastAsia="Times New Roman" w:hAnsi="Garamond" w:cs="Times New Roman"/>
          <w:bCs/>
          <w:i/>
          <w:sz w:val="24"/>
          <w:szCs w:val="24"/>
        </w:rPr>
      </w:pPr>
      <w:bookmarkStart w:id="82" w:name="_Toc386019498"/>
      <w:bookmarkStart w:id="83" w:name="_Toc386200921"/>
      <w:r w:rsidRPr="001D25B1">
        <w:rPr>
          <w:rFonts w:ascii="Garamond" w:eastAsia="Times New Roman" w:hAnsi="Garamond" w:cs="Times New Roman"/>
          <w:bCs/>
          <w:i/>
          <w:sz w:val="24"/>
          <w:szCs w:val="24"/>
        </w:rPr>
        <w:t>La question de la garde à vue dans les locaux de la Direction de la sécurité du territoire (DST)</w:t>
      </w:r>
      <w:bookmarkEnd w:id="82"/>
      <w:bookmarkEnd w:id="83"/>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Le personnel de la DST se fonde sur un texte qui a été supprimé du droit pénal depuis 1993 pour imposer une garde à vue de 60 jours en cas d’atteinte à la sureté de l’État.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En 1963 a été créé</w:t>
      </w:r>
      <w:r w:rsidR="00CA5A22" w:rsidRPr="001D25B1">
        <w:rPr>
          <w:rFonts w:ascii="Garamond" w:eastAsia="Times New Roman" w:hAnsi="Garamond" w:cs="Garamond"/>
          <w:sz w:val="24"/>
          <w:szCs w:val="24"/>
        </w:rPr>
        <w:t>e</w:t>
      </w:r>
      <w:r w:rsidRPr="001D25B1">
        <w:rPr>
          <w:rFonts w:ascii="Garamond" w:eastAsia="Times New Roman" w:hAnsi="Garamond" w:cs="Garamond"/>
          <w:sz w:val="24"/>
          <w:szCs w:val="24"/>
        </w:rPr>
        <w:t xml:space="preserve"> par décret la Cour de sureté de l’État qui prévoyait que la garde à vue pouvait être de 60 jours pour les atteintes à la sureté de l’État. La Cour a été supprimée en 1993, les personnes poursuivies pour atteinte à la sureté de l’État doivent dorénavant l’être devant les juridictions ordinaires. En conséquence le délai de garde à vue de droit commun de 48 heures renouvelable une fois doit leur être appliqué. Cependant, la DST continue de garder les personnes à vue pendant 60 jours.</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 DST est encore vue comme une police spéciale sur laquelle il n’y a pratiquement pas de contrôle du ministère public. Le Procureur général n’exerce pas vraiment de contrôle sur le délai de garde à vue.</w:t>
      </w:r>
    </w:p>
    <w:p w:rsidR="00FC1C58" w:rsidRPr="00895FAB"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En outre, le délai de 60 jours est très souvent dépassé. L’ONU</w:t>
      </w:r>
      <w:r w:rsidR="00236BBC">
        <w:rPr>
          <w:rFonts w:ascii="Garamond" w:eastAsia="Times New Roman" w:hAnsi="Garamond" w:cs="Garamond"/>
          <w:sz w:val="24"/>
          <w:szCs w:val="24"/>
        </w:rPr>
        <w:t>CI</w:t>
      </w:r>
      <w:r w:rsidRPr="001D25B1">
        <w:rPr>
          <w:rFonts w:ascii="Garamond" w:eastAsia="Times New Roman" w:hAnsi="Garamond" w:cs="Garamond"/>
          <w:sz w:val="24"/>
          <w:szCs w:val="24"/>
        </w:rPr>
        <w:t xml:space="preserve"> </w:t>
      </w:r>
      <w:r w:rsidRPr="00895FAB">
        <w:rPr>
          <w:rFonts w:ascii="Garamond" w:eastAsia="Times New Roman" w:hAnsi="Garamond" w:cs="Garamond"/>
          <w:sz w:val="24"/>
          <w:szCs w:val="24"/>
        </w:rPr>
        <w:t xml:space="preserve">avait ainsi connaissance de deux personnes qui se trouvaient en garde à vue à la DST depuis plus de 7 mois en novembre 2013. </w:t>
      </w:r>
    </w:p>
    <w:p w:rsidR="00D35A42"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Les détenus à la DST n’ont pas accès à leurs avocats et leurs familles. En principe l’accès à un médecin est prévu mais le processus est assez lent et c’est souvent un infirmier et non un médecin qui intervient. Les détenus ont un repas par jour et certains n’ont pas le droit de sortir à l’air libre.</w:t>
      </w:r>
    </w:p>
    <w:p w:rsidR="00FC1C58" w:rsidRPr="00947B63" w:rsidRDefault="00FC1C58" w:rsidP="008408A8">
      <w:pPr>
        <w:pStyle w:val="Titre4"/>
      </w:pPr>
      <w:bookmarkStart w:id="84" w:name="_Toc386019499"/>
      <w:bookmarkStart w:id="85" w:name="_Toc386200922"/>
      <w:r w:rsidRPr="001D25B1">
        <w:t>La détention préventive</w:t>
      </w:r>
      <w:bookmarkEnd w:id="80"/>
      <w:bookmarkEnd w:id="81"/>
      <w:bookmarkEnd w:id="84"/>
      <w:bookmarkEnd w:id="85"/>
    </w:p>
    <w:p w:rsidR="00FC1C58" w:rsidRPr="00895FAB"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 durée maximale de la détention préventive est de 6 mois en matière correctionnelle et de 18 mois en matière criminelle</w:t>
      </w:r>
      <w:r w:rsidRPr="00895FAB">
        <w:rPr>
          <w:rFonts w:ascii="Garamond" w:eastAsia="Times New Roman" w:hAnsi="Garamond" w:cs="Garamond"/>
          <w:sz w:val="24"/>
          <w:szCs w:val="24"/>
          <w:vertAlign w:val="superscript"/>
        </w:rPr>
        <w:footnoteReference w:id="39"/>
      </w:r>
      <w:r w:rsidRPr="00895FAB">
        <w:rPr>
          <w:rFonts w:ascii="Garamond" w:eastAsia="Times New Roman" w:hAnsi="Garamond" w:cs="Garamond"/>
          <w:sz w:val="24"/>
          <w:szCs w:val="24"/>
        </w:rPr>
        <w:t>.</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lastRenderedPageBreak/>
        <w:t>En vertu de l’article 140 du CPP, le Procureur de la République peut s’opposer à la mise en liberté à la fin du délai légal de détention préventive prévue par l’article 138. La prolongation doit être motivée et ne peut dépasser 4 mois.</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En outre, pour les crimes de sang, certains vols, le trafic de stupéfiants, les attentats aux mœurs, les évasions, les détournements de deniers publics et les atteintes contre les biens commises avec les circonstances prévues à l’article 110 du Code pénal, la détention préventive est prononcée pour une durée de quatre mois. Ce délai peut être prolongé de quatre mois supplémentaires par le Juge d’instruction par ordonnance motivée rendue sur réquisition du Procureur de la République. Le Code de procédure pénale ne prévoit pas de </w:t>
      </w:r>
      <w:r w:rsidRPr="001D25B1">
        <w:rPr>
          <w:rFonts w:ascii="Garamond" w:eastAsia="Times New Roman" w:hAnsi="Garamond" w:cs="Garamond"/>
          <w:b/>
          <w:sz w:val="24"/>
          <w:szCs w:val="24"/>
        </w:rPr>
        <w:t xml:space="preserve">limite </w:t>
      </w:r>
      <w:r w:rsidRPr="001D25B1">
        <w:rPr>
          <w:rFonts w:ascii="Garamond" w:eastAsia="Times New Roman" w:hAnsi="Garamond" w:cs="Garamond"/>
          <w:sz w:val="24"/>
          <w:szCs w:val="24"/>
        </w:rPr>
        <w:t>au nombre</w:t>
      </w:r>
      <w:r w:rsidR="00957C6C" w:rsidRPr="001D25B1">
        <w:rPr>
          <w:rFonts w:ascii="Garamond" w:eastAsia="Times New Roman" w:hAnsi="Garamond" w:cs="Garamond"/>
          <w:sz w:val="24"/>
          <w:szCs w:val="24"/>
        </w:rPr>
        <w:t xml:space="preserve"> de renouvellement dans ces cas</w:t>
      </w:r>
    </w:p>
    <w:p w:rsidR="006D7CD9" w:rsidRPr="00895FAB"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Ainsi, les détenus restent trop souvent en détention préventive au–delà des durées légales. </w:t>
      </w:r>
      <w:r w:rsidR="00351DCC" w:rsidRPr="001D25B1">
        <w:rPr>
          <w:rFonts w:ascii="Garamond" w:eastAsia="Times New Roman" w:hAnsi="Garamond" w:cs="Garamond"/>
          <w:sz w:val="24"/>
          <w:szCs w:val="24"/>
        </w:rPr>
        <w:t>Ceci constitue à la fois,  une détention abusive et une violation grave des droits des prévenus qui, il faut le rappeler, bénéficient de la présomption d’innocence</w:t>
      </w:r>
      <w:r w:rsidR="00351DCC" w:rsidRPr="00895FAB">
        <w:rPr>
          <w:rStyle w:val="Appelnotedebasdep"/>
          <w:rFonts w:ascii="Garamond" w:eastAsia="Times New Roman" w:hAnsi="Garamond" w:cs="Garamond"/>
          <w:sz w:val="24"/>
          <w:szCs w:val="24"/>
        </w:rPr>
        <w:footnoteReference w:id="40"/>
      </w:r>
      <w:r w:rsidR="00351DCC" w:rsidRPr="00895FAB">
        <w:rPr>
          <w:rFonts w:ascii="Garamond" w:eastAsia="Times New Roman" w:hAnsi="Garamond" w:cs="Garamond"/>
          <w:sz w:val="24"/>
          <w:szCs w:val="24"/>
        </w:rPr>
        <w:t xml:space="preserve">. </w:t>
      </w:r>
    </w:p>
    <w:p w:rsidR="00927EF5" w:rsidRDefault="0030334F" w:rsidP="00E477EE">
      <w:pPr>
        <w:spacing w:line="276" w:lineRule="auto"/>
        <w:jc w:val="both"/>
        <w:rPr>
          <w:rFonts w:ascii="Garamond" w:hAnsi="Garamond" w:cs="Times New Roman"/>
          <w:b/>
          <w:sz w:val="24"/>
          <w:szCs w:val="28"/>
          <w:u w:val="single"/>
        </w:rPr>
      </w:pPr>
      <w:r w:rsidRPr="001D25B1">
        <w:rPr>
          <w:rFonts w:ascii="Garamond" w:hAnsi="Garamond" w:cs="Times New Roman"/>
          <w:b/>
          <w:sz w:val="24"/>
          <w:szCs w:val="24"/>
          <w:u w:val="single"/>
        </w:rPr>
        <w:t>Cas de détention abusive relevés par l’ACAT CI lors de sa visite de décembre 2014 de 3 prisons du pays dans le cadre d’un projet de lutte contre la détention abusive menée par la FIACAT et l’ACAT Côte d’Ivoire</w:t>
      </w:r>
    </w:p>
    <w:p w:rsidR="006D7CD9" w:rsidRPr="00087913" w:rsidRDefault="006D7CD9" w:rsidP="0030334F">
      <w:pPr>
        <w:spacing w:before="120" w:after="120" w:line="276" w:lineRule="auto"/>
        <w:jc w:val="center"/>
        <w:rPr>
          <w:rFonts w:ascii="Garamond" w:eastAsia="Times New Roman" w:hAnsi="Garamond" w:cs="Garamond"/>
          <w:sz w:val="24"/>
          <w:szCs w:val="24"/>
        </w:rPr>
      </w:pPr>
      <w:r w:rsidRPr="00752650">
        <w:rPr>
          <w:rFonts w:ascii="Garamond" w:hAnsi="Garamond" w:cs="Times New Roman"/>
          <w:b/>
          <w:sz w:val="24"/>
          <w:szCs w:val="28"/>
          <w:u w:val="single"/>
        </w:rPr>
        <w:t>ADZOPE</w:t>
      </w:r>
    </w:p>
    <w:tbl>
      <w:tblPr>
        <w:tblStyle w:val="Grilledutableau"/>
        <w:tblpPr w:leftFromText="141" w:rightFromText="141" w:vertAnchor="text" w:tblpY="343"/>
        <w:tblW w:w="7661" w:type="dxa"/>
        <w:tblLook w:val="04A0" w:firstRow="1" w:lastRow="0" w:firstColumn="1" w:lastColumn="0" w:noHBand="0" w:noVBand="1"/>
      </w:tblPr>
      <w:tblGrid>
        <w:gridCol w:w="3085"/>
        <w:gridCol w:w="2875"/>
        <w:gridCol w:w="1701"/>
      </w:tblGrid>
      <w:tr w:rsidR="0030334F" w:rsidRPr="00752650" w:rsidTr="0030334F">
        <w:tc>
          <w:tcPr>
            <w:tcW w:w="3085" w:type="dxa"/>
          </w:tcPr>
          <w:p w:rsidR="0030334F" w:rsidRPr="00752650" w:rsidRDefault="0030334F" w:rsidP="00304045">
            <w:pPr>
              <w:spacing w:line="276" w:lineRule="auto"/>
              <w:jc w:val="center"/>
              <w:rPr>
                <w:rFonts w:ascii="Garamond" w:hAnsi="Garamond"/>
                <w:b/>
                <w:sz w:val="22"/>
                <w:szCs w:val="22"/>
              </w:rPr>
            </w:pPr>
            <w:r w:rsidRPr="00752650">
              <w:rPr>
                <w:rFonts w:ascii="Garamond" w:hAnsi="Garamond"/>
                <w:b/>
                <w:sz w:val="22"/>
                <w:szCs w:val="22"/>
              </w:rPr>
              <w:t>NOMS ET PRENOMS</w:t>
            </w:r>
            <w:r w:rsidRPr="00752650">
              <w:rPr>
                <w:rFonts w:ascii="Garamond" w:hAnsi="Garamond"/>
                <w:b/>
                <w:sz w:val="22"/>
                <w:szCs w:val="22"/>
              </w:rPr>
              <w:br/>
              <w:t>(Initiales</w:t>
            </w:r>
            <w:r w:rsidR="003000AF" w:rsidRPr="00752650">
              <w:rPr>
                <w:rStyle w:val="Appelnotedebasdep"/>
                <w:rFonts w:ascii="Garamond" w:hAnsi="Garamond"/>
                <w:b/>
                <w:sz w:val="22"/>
                <w:szCs w:val="22"/>
              </w:rPr>
              <w:footnoteReference w:id="41"/>
            </w:r>
            <w:r w:rsidRPr="00752650">
              <w:rPr>
                <w:rFonts w:ascii="Garamond" w:hAnsi="Garamond"/>
                <w:b/>
                <w:sz w:val="22"/>
                <w:szCs w:val="22"/>
              </w:rPr>
              <w:t>)</w:t>
            </w:r>
          </w:p>
        </w:tc>
        <w:tc>
          <w:tcPr>
            <w:tcW w:w="2875" w:type="dxa"/>
          </w:tcPr>
          <w:p w:rsidR="0030334F" w:rsidRPr="00752650" w:rsidRDefault="0030334F" w:rsidP="00304045">
            <w:pPr>
              <w:spacing w:line="276" w:lineRule="auto"/>
              <w:jc w:val="center"/>
              <w:rPr>
                <w:rFonts w:ascii="Garamond" w:hAnsi="Garamond"/>
                <w:b/>
                <w:sz w:val="22"/>
                <w:szCs w:val="22"/>
              </w:rPr>
            </w:pPr>
            <w:r w:rsidRPr="00752650">
              <w:rPr>
                <w:rFonts w:ascii="Garamond" w:hAnsi="Garamond"/>
                <w:b/>
                <w:sz w:val="22"/>
                <w:szCs w:val="22"/>
              </w:rPr>
              <w:t>INFRACTIONS</w:t>
            </w:r>
          </w:p>
        </w:tc>
        <w:tc>
          <w:tcPr>
            <w:tcW w:w="1701" w:type="dxa"/>
          </w:tcPr>
          <w:p w:rsidR="0030334F" w:rsidRPr="00752650" w:rsidRDefault="0030334F" w:rsidP="00304045">
            <w:pPr>
              <w:spacing w:line="276" w:lineRule="auto"/>
              <w:jc w:val="center"/>
              <w:rPr>
                <w:rFonts w:ascii="Garamond" w:hAnsi="Garamond"/>
                <w:b/>
                <w:sz w:val="22"/>
                <w:szCs w:val="22"/>
              </w:rPr>
            </w:pPr>
            <w:r w:rsidRPr="00752650">
              <w:rPr>
                <w:rFonts w:ascii="Garamond" w:hAnsi="Garamond"/>
                <w:b/>
                <w:sz w:val="22"/>
                <w:szCs w:val="22"/>
              </w:rPr>
              <w:t>DUREE DE DETENTION</w:t>
            </w:r>
          </w:p>
        </w:tc>
      </w:tr>
      <w:tr w:rsidR="0030334F" w:rsidRPr="00752650" w:rsidTr="0030334F">
        <w:tc>
          <w:tcPr>
            <w:tcW w:w="3085" w:type="dxa"/>
          </w:tcPr>
          <w:p w:rsidR="0030334F" w:rsidRPr="00752650" w:rsidRDefault="0030334F" w:rsidP="003000AF">
            <w:pPr>
              <w:spacing w:line="276" w:lineRule="auto"/>
              <w:rPr>
                <w:rFonts w:ascii="Garamond" w:hAnsi="Garamond"/>
                <w:sz w:val="22"/>
                <w:szCs w:val="22"/>
              </w:rPr>
            </w:pPr>
            <w:r w:rsidRPr="00752650">
              <w:rPr>
                <w:rFonts w:ascii="Garamond" w:hAnsi="Garamond"/>
                <w:sz w:val="22"/>
                <w:szCs w:val="22"/>
              </w:rPr>
              <w:t>M</w:t>
            </w:r>
            <w:r w:rsidR="003000AF" w:rsidRPr="00752650">
              <w:rPr>
                <w:rFonts w:ascii="Garamond" w:hAnsi="Garamond"/>
                <w:sz w:val="22"/>
                <w:szCs w:val="22"/>
              </w:rPr>
              <w:t xml:space="preserve">. </w:t>
            </w:r>
            <w:r w:rsidRPr="00752650">
              <w:rPr>
                <w:rFonts w:ascii="Garamond" w:hAnsi="Garamond"/>
                <w:sz w:val="22"/>
                <w:szCs w:val="22"/>
              </w:rPr>
              <w:t>E</w:t>
            </w:r>
            <w:r w:rsidR="003000AF" w:rsidRPr="00752650">
              <w:rPr>
                <w:rFonts w:ascii="Garamond" w:hAnsi="Garamond"/>
                <w:sz w:val="22"/>
                <w:szCs w:val="22"/>
              </w:rPr>
              <w:t xml:space="preserve">. </w:t>
            </w:r>
            <w:r w:rsidRPr="00752650">
              <w:rPr>
                <w:rFonts w:ascii="Garamond" w:hAnsi="Garamond"/>
                <w:sz w:val="22"/>
                <w:szCs w:val="22"/>
              </w:rPr>
              <w:t>N</w:t>
            </w:r>
            <w:r w:rsidR="003000AF"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Infanticide</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33 mois</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K</w:t>
            </w:r>
            <w:r w:rsidR="003000AF" w:rsidRPr="00752650">
              <w:rPr>
                <w:rFonts w:ascii="Garamond" w:hAnsi="Garamond"/>
                <w:sz w:val="22"/>
                <w:szCs w:val="22"/>
              </w:rPr>
              <w:t>.</w:t>
            </w:r>
            <w:r w:rsidRPr="00752650">
              <w:rPr>
                <w:rFonts w:ascii="Garamond" w:hAnsi="Garamond"/>
                <w:sz w:val="22"/>
                <w:szCs w:val="22"/>
              </w:rPr>
              <w:t xml:space="preserve"> A</w:t>
            </w:r>
            <w:r w:rsidR="003000AF" w:rsidRPr="00752650">
              <w:rPr>
                <w:rFonts w:ascii="Garamond" w:hAnsi="Garamond"/>
                <w:sz w:val="22"/>
                <w:szCs w:val="22"/>
              </w:rPr>
              <w:t>.</w:t>
            </w:r>
            <w:r w:rsidRPr="00752650">
              <w:rPr>
                <w:rFonts w:ascii="Garamond" w:hAnsi="Garamond"/>
                <w:sz w:val="22"/>
                <w:szCs w:val="22"/>
              </w:rPr>
              <w:t xml:space="preserve"> J</w:t>
            </w:r>
            <w:r w:rsidR="003000AF" w:rsidRPr="00752650">
              <w:rPr>
                <w:rFonts w:ascii="Garamond" w:hAnsi="Garamond"/>
                <w:sz w:val="22"/>
                <w:szCs w:val="22"/>
              </w:rPr>
              <w:t>.</w:t>
            </w:r>
            <w:r w:rsidRPr="00752650">
              <w:rPr>
                <w:rFonts w:ascii="Garamond" w:hAnsi="Garamond"/>
                <w:sz w:val="22"/>
                <w:szCs w:val="22"/>
              </w:rPr>
              <w:t xml:space="preserve"> M</w:t>
            </w:r>
            <w:r w:rsidR="003000AF"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Escroquerie</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7 mois</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Y</w:t>
            </w:r>
            <w:r w:rsidR="003000AF" w:rsidRPr="00752650">
              <w:rPr>
                <w:rFonts w:ascii="Garamond" w:hAnsi="Garamond"/>
                <w:sz w:val="22"/>
                <w:szCs w:val="22"/>
              </w:rPr>
              <w:t xml:space="preserve">. </w:t>
            </w:r>
            <w:r w:rsidRPr="00752650">
              <w:rPr>
                <w:rFonts w:ascii="Garamond" w:hAnsi="Garamond"/>
                <w:sz w:val="22"/>
                <w:szCs w:val="22"/>
              </w:rPr>
              <w:t>A. Y</w:t>
            </w:r>
            <w:r w:rsidR="003000AF" w:rsidRPr="00752650">
              <w:rPr>
                <w:rFonts w:ascii="Garamond" w:hAnsi="Garamond"/>
                <w:sz w:val="22"/>
                <w:szCs w:val="22"/>
              </w:rPr>
              <w:t>.</w:t>
            </w:r>
            <w:r w:rsidRPr="00752650">
              <w:rPr>
                <w:rFonts w:ascii="Garamond" w:hAnsi="Garamond"/>
                <w:sz w:val="22"/>
                <w:szCs w:val="22"/>
              </w:rPr>
              <w:t xml:space="preserve"> M</w:t>
            </w:r>
            <w:r w:rsidR="003000AF"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 xml:space="preserve">Meurtre </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36 mois</w:t>
            </w:r>
          </w:p>
        </w:tc>
      </w:tr>
      <w:tr w:rsidR="0030334F" w:rsidRPr="00752650" w:rsidTr="0030334F">
        <w:tc>
          <w:tcPr>
            <w:tcW w:w="3085" w:type="dxa"/>
          </w:tcPr>
          <w:p w:rsidR="0030334F" w:rsidRPr="00752650" w:rsidRDefault="0030334F" w:rsidP="003000AF">
            <w:pPr>
              <w:spacing w:line="276" w:lineRule="auto"/>
              <w:rPr>
                <w:rFonts w:ascii="Garamond" w:hAnsi="Garamond"/>
                <w:sz w:val="22"/>
                <w:szCs w:val="22"/>
              </w:rPr>
            </w:pPr>
            <w:r w:rsidRPr="00752650">
              <w:rPr>
                <w:rFonts w:ascii="Garamond" w:hAnsi="Garamond"/>
                <w:sz w:val="22"/>
                <w:szCs w:val="22"/>
              </w:rPr>
              <w:t>Y</w:t>
            </w:r>
            <w:r w:rsidR="003000AF" w:rsidRPr="00752650">
              <w:rPr>
                <w:rFonts w:ascii="Garamond" w:hAnsi="Garamond"/>
                <w:sz w:val="22"/>
                <w:szCs w:val="22"/>
              </w:rPr>
              <w:t>.</w:t>
            </w:r>
            <w:r w:rsidRPr="00752650">
              <w:rPr>
                <w:rFonts w:ascii="Garamond" w:hAnsi="Garamond"/>
                <w:sz w:val="22"/>
                <w:szCs w:val="22"/>
              </w:rPr>
              <w:t xml:space="preserve"> Y</w:t>
            </w:r>
            <w:r w:rsidR="003000AF" w:rsidRPr="00752650">
              <w:rPr>
                <w:rFonts w:ascii="Garamond" w:hAnsi="Garamond"/>
                <w:sz w:val="22"/>
                <w:szCs w:val="22"/>
              </w:rPr>
              <w:t>.</w:t>
            </w:r>
            <w:r w:rsidRPr="00752650">
              <w:rPr>
                <w:rFonts w:ascii="Garamond" w:hAnsi="Garamond"/>
                <w:sz w:val="22"/>
                <w:szCs w:val="22"/>
              </w:rPr>
              <w:t xml:space="preserve"> E</w:t>
            </w:r>
            <w:r w:rsidR="003000AF"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Viol</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26 mois</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L</w:t>
            </w:r>
            <w:r w:rsidR="00717837" w:rsidRPr="00752650">
              <w:rPr>
                <w:rFonts w:ascii="Garamond" w:hAnsi="Garamond"/>
                <w:sz w:val="22"/>
                <w:szCs w:val="22"/>
              </w:rPr>
              <w:t>.</w:t>
            </w:r>
            <w:r w:rsidRPr="00752650">
              <w:rPr>
                <w:rFonts w:ascii="Garamond" w:hAnsi="Garamond"/>
                <w:sz w:val="22"/>
                <w:szCs w:val="22"/>
              </w:rPr>
              <w:t xml:space="preserve"> A</w:t>
            </w:r>
            <w:r w:rsidR="00717837"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Vol de nuit</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20 mois</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Y</w:t>
            </w:r>
            <w:r w:rsidR="00717837" w:rsidRPr="00752650">
              <w:rPr>
                <w:rFonts w:ascii="Garamond" w:hAnsi="Garamond"/>
                <w:sz w:val="22"/>
                <w:szCs w:val="22"/>
              </w:rPr>
              <w:t>.</w:t>
            </w:r>
            <w:r w:rsidRPr="00752650">
              <w:rPr>
                <w:rFonts w:ascii="Garamond" w:hAnsi="Garamond"/>
                <w:sz w:val="22"/>
                <w:szCs w:val="22"/>
              </w:rPr>
              <w:t xml:space="preserve"> A</w:t>
            </w:r>
            <w:r w:rsidR="00717837" w:rsidRPr="00752650">
              <w:rPr>
                <w:rFonts w:ascii="Garamond" w:hAnsi="Garamond"/>
                <w:sz w:val="22"/>
                <w:szCs w:val="22"/>
              </w:rPr>
              <w:t>.</w:t>
            </w:r>
            <w:r w:rsidRPr="00752650">
              <w:rPr>
                <w:rFonts w:ascii="Garamond" w:hAnsi="Garamond"/>
                <w:sz w:val="22"/>
                <w:szCs w:val="22"/>
              </w:rPr>
              <w:t xml:space="preserve"> F</w:t>
            </w:r>
            <w:r w:rsidR="00717837"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Tentative d’assassinat</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14 mois</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M</w:t>
            </w:r>
            <w:r w:rsidR="00717837" w:rsidRPr="00752650">
              <w:rPr>
                <w:rFonts w:ascii="Garamond" w:hAnsi="Garamond"/>
                <w:sz w:val="22"/>
                <w:szCs w:val="22"/>
              </w:rPr>
              <w:t>.</w:t>
            </w:r>
            <w:r w:rsidRPr="00752650">
              <w:rPr>
                <w:rFonts w:ascii="Garamond" w:hAnsi="Garamond"/>
                <w:sz w:val="22"/>
                <w:szCs w:val="22"/>
              </w:rPr>
              <w:t xml:space="preserve"> M</w:t>
            </w:r>
            <w:r w:rsidR="00717837"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Coup</w:t>
            </w:r>
            <w:r w:rsidR="00717837" w:rsidRPr="00752650">
              <w:rPr>
                <w:rFonts w:ascii="Garamond" w:hAnsi="Garamond"/>
                <w:sz w:val="22"/>
                <w:szCs w:val="22"/>
              </w:rPr>
              <w:t>s</w:t>
            </w:r>
            <w:r w:rsidRPr="00752650">
              <w:rPr>
                <w:rFonts w:ascii="Garamond" w:hAnsi="Garamond"/>
                <w:sz w:val="22"/>
                <w:szCs w:val="22"/>
              </w:rPr>
              <w:t xml:space="preserve"> et blessure</w:t>
            </w:r>
            <w:r w:rsidR="00717837" w:rsidRPr="00752650">
              <w:rPr>
                <w:rFonts w:ascii="Garamond" w:hAnsi="Garamond"/>
                <w:sz w:val="22"/>
                <w:szCs w:val="22"/>
              </w:rPr>
              <w:t>s</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24 mois</w:t>
            </w:r>
          </w:p>
        </w:tc>
      </w:tr>
    </w:tbl>
    <w:p w:rsidR="006D7CD9" w:rsidRPr="00752650" w:rsidRDefault="006D7CD9" w:rsidP="00304045">
      <w:pPr>
        <w:spacing w:line="276" w:lineRule="auto"/>
        <w:rPr>
          <w:rFonts w:ascii="Garamond" w:hAnsi="Garamond" w:cs="Times New Roman"/>
          <w:b/>
          <w:u w:val="single"/>
        </w:rPr>
      </w:pPr>
    </w:p>
    <w:p w:rsidR="0030334F" w:rsidRPr="00752650" w:rsidRDefault="0030334F" w:rsidP="00304045">
      <w:pPr>
        <w:spacing w:line="276" w:lineRule="auto"/>
        <w:jc w:val="center"/>
        <w:rPr>
          <w:rFonts w:ascii="Garamond" w:hAnsi="Garamond" w:cs="Times New Roman"/>
          <w:b/>
          <w:u w:val="single"/>
        </w:rPr>
      </w:pPr>
    </w:p>
    <w:p w:rsidR="0030334F" w:rsidRPr="00752650" w:rsidRDefault="0030334F" w:rsidP="00304045">
      <w:pPr>
        <w:spacing w:line="276" w:lineRule="auto"/>
        <w:jc w:val="center"/>
        <w:rPr>
          <w:rFonts w:ascii="Garamond" w:hAnsi="Garamond" w:cs="Times New Roman"/>
          <w:b/>
          <w:u w:val="single"/>
        </w:rPr>
      </w:pPr>
    </w:p>
    <w:p w:rsidR="0030334F" w:rsidRPr="00752650" w:rsidRDefault="0030334F" w:rsidP="00304045">
      <w:pPr>
        <w:spacing w:line="276" w:lineRule="auto"/>
        <w:jc w:val="center"/>
        <w:rPr>
          <w:rFonts w:ascii="Garamond" w:hAnsi="Garamond" w:cs="Times New Roman"/>
          <w:b/>
          <w:u w:val="single"/>
        </w:rPr>
      </w:pPr>
    </w:p>
    <w:p w:rsidR="0030334F" w:rsidRPr="00752650" w:rsidRDefault="0030334F" w:rsidP="00304045">
      <w:pPr>
        <w:spacing w:line="276" w:lineRule="auto"/>
        <w:jc w:val="center"/>
        <w:rPr>
          <w:rFonts w:ascii="Garamond" w:hAnsi="Garamond" w:cs="Times New Roman"/>
          <w:b/>
          <w:u w:val="single"/>
        </w:rPr>
      </w:pPr>
    </w:p>
    <w:p w:rsidR="00BA1245" w:rsidRDefault="00BA1245">
      <w:pPr>
        <w:spacing w:after="200" w:line="276" w:lineRule="auto"/>
        <w:rPr>
          <w:rFonts w:ascii="Garamond" w:hAnsi="Garamond" w:cs="Times New Roman"/>
          <w:b/>
          <w:u w:val="single"/>
        </w:rPr>
      </w:pPr>
      <w:r>
        <w:rPr>
          <w:rFonts w:ascii="Garamond" w:hAnsi="Garamond" w:cs="Times New Roman"/>
          <w:b/>
          <w:u w:val="single"/>
        </w:rPr>
        <w:br w:type="page"/>
      </w:r>
    </w:p>
    <w:p w:rsidR="006D7CD9" w:rsidRPr="00752650" w:rsidRDefault="006D7CD9" w:rsidP="00304045">
      <w:pPr>
        <w:spacing w:line="276" w:lineRule="auto"/>
        <w:jc w:val="center"/>
        <w:rPr>
          <w:rFonts w:ascii="Garamond" w:hAnsi="Garamond" w:cs="Times New Roman"/>
          <w:b/>
        </w:rPr>
      </w:pPr>
      <w:r w:rsidRPr="00752650">
        <w:rPr>
          <w:rFonts w:ascii="Garamond" w:hAnsi="Garamond" w:cs="Times New Roman"/>
          <w:b/>
          <w:u w:val="single"/>
        </w:rPr>
        <w:lastRenderedPageBreak/>
        <w:t>AGBOVILLE</w:t>
      </w:r>
      <w:r w:rsidRPr="00752650">
        <w:rPr>
          <w:rFonts w:ascii="Garamond" w:hAnsi="Garamond" w:cs="Times New Roman"/>
          <w:b/>
        </w:rPr>
        <w:t xml:space="preserve"> </w:t>
      </w:r>
    </w:p>
    <w:tbl>
      <w:tblPr>
        <w:tblStyle w:val="Grilledutableau"/>
        <w:tblW w:w="7655" w:type="dxa"/>
        <w:tblInd w:w="-34" w:type="dxa"/>
        <w:tblLook w:val="04A0" w:firstRow="1" w:lastRow="0" w:firstColumn="1" w:lastColumn="0" w:noHBand="0" w:noVBand="1"/>
      </w:tblPr>
      <w:tblGrid>
        <w:gridCol w:w="3119"/>
        <w:gridCol w:w="2835"/>
        <w:gridCol w:w="1701"/>
      </w:tblGrid>
      <w:tr w:rsidR="0030334F" w:rsidRPr="00752650" w:rsidTr="0030334F">
        <w:tc>
          <w:tcPr>
            <w:tcW w:w="3119" w:type="dxa"/>
          </w:tcPr>
          <w:p w:rsidR="0030334F" w:rsidRPr="00752650" w:rsidRDefault="0030334F" w:rsidP="00304045">
            <w:pPr>
              <w:spacing w:line="276" w:lineRule="auto"/>
              <w:jc w:val="center"/>
              <w:rPr>
                <w:rFonts w:ascii="Garamond" w:hAnsi="Garamond"/>
                <w:b/>
                <w:sz w:val="22"/>
                <w:szCs w:val="22"/>
              </w:rPr>
            </w:pPr>
            <w:r w:rsidRPr="00752650">
              <w:rPr>
                <w:rFonts w:ascii="Garamond" w:hAnsi="Garamond"/>
                <w:b/>
                <w:sz w:val="22"/>
                <w:szCs w:val="22"/>
              </w:rPr>
              <w:t>NOMS ET PRENOMS</w:t>
            </w:r>
            <w:r w:rsidRPr="00752650">
              <w:rPr>
                <w:rFonts w:ascii="Garamond" w:hAnsi="Garamond"/>
                <w:b/>
                <w:sz w:val="22"/>
                <w:szCs w:val="22"/>
              </w:rPr>
              <w:br/>
              <w:t>(Initiales)</w:t>
            </w:r>
          </w:p>
        </w:tc>
        <w:tc>
          <w:tcPr>
            <w:tcW w:w="2835" w:type="dxa"/>
          </w:tcPr>
          <w:p w:rsidR="0030334F" w:rsidRPr="00752650" w:rsidRDefault="0030334F" w:rsidP="00304045">
            <w:pPr>
              <w:spacing w:line="276" w:lineRule="auto"/>
              <w:jc w:val="center"/>
              <w:rPr>
                <w:rFonts w:ascii="Garamond" w:hAnsi="Garamond"/>
                <w:b/>
                <w:sz w:val="22"/>
                <w:szCs w:val="22"/>
              </w:rPr>
            </w:pPr>
            <w:r w:rsidRPr="00752650">
              <w:rPr>
                <w:rFonts w:ascii="Garamond" w:hAnsi="Garamond"/>
                <w:b/>
                <w:sz w:val="22"/>
                <w:szCs w:val="22"/>
              </w:rPr>
              <w:t>INFRACTIONS</w:t>
            </w:r>
          </w:p>
        </w:tc>
        <w:tc>
          <w:tcPr>
            <w:tcW w:w="1701" w:type="dxa"/>
          </w:tcPr>
          <w:p w:rsidR="0030334F" w:rsidRPr="00752650" w:rsidRDefault="0030334F" w:rsidP="00304045">
            <w:pPr>
              <w:spacing w:line="276" w:lineRule="auto"/>
              <w:jc w:val="center"/>
              <w:rPr>
                <w:rFonts w:ascii="Garamond" w:hAnsi="Garamond"/>
                <w:b/>
                <w:sz w:val="22"/>
                <w:szCs w:val="22"/>
              </w:rPr>
            </w:pPr>
            <w:r w:rsidRPr="00752650">
              <w:rPr>
                <w:rFonts w:ascii="Garamond" w:hAnsi="Garamond"/>
                <w:b/>
                <w:sz w:val="22"/>
                <w:szCs w:val="22"/>
              </w:rPr>
              <w:t>DUREE DE DETENTION</w:t>
            </w:r>
          </w:p>
        </w:tc>
      </w:tr>
      <w:tr w:rsidR="0030334F" w:rsidRPr="00752650" w:rsidTr="0030334F">
        <w:tc>
          <w:tcPr>
            <w:tcW w:w="3119" w:type="dxa"/>
          </w:tcPr>
          <w:p w:rsidR="0030334F" w:rsidRPr="00752650" w:rsidRDefault="0030334F" w:rsidP="0030334F">
            <w:pPr>
              <w:spacing w:line="276" w:lineRule="auto"/>
              <w:rPr>
                <w:rFonts w:ascii="Garamond" w:hAnsi="Garamond"/>
                <w:sz w:val="22"/>
                <w:szCs w:val="22"/>
              </w:rPr>
            </w:pPr>
            <w:r w:rsidRPr="00752650">
              <w:rPr>
                <w:rFonts w:ascii="Garamond" w:hAnsi="Garamond"/>
                <w:sz w:val="22"/>
                <w:szCs w:val="22"/>
              </w:rPr>
              <w:t>A</w:t>
            </w:r>
            <w:r w:rsidR="00717837" w:rsidRPr="00752650">
              <w:rPr>
                <w:rFonts w:ascii="Garamond" w:hAnsi="Garamond"/>
                <w:sz w:val="22"/>
                <w:szCs w:val="22"/>
              </w:rPr>
              <w:t>.</w:t>
            </w:r>
            <w:r w:rsidRPr="00752650">
              <w:rPr>
                <w:rFonts w:ascii="Garamond" w:hAnsi="Garamond"/>
                <w:sz w:val="22"/>
                <w:szCs w:val="22"/>
              </w:rPr>
              <w:t xml:space="preserve"> J</w:t>
            </w:r>
            <w:r w:rsidR="00717837" w:rsidRPr="00752650">
              <w:rPr>
                <w:rFonts w:ascii="Garamond" w:hAnsi="Garamond"/>
                <w:sz w:val="22"/>
                <w:szCs w:val="22"/>
              </w:rPr>
              <w:t>.</w:t>
            </w:r>
            <w:r w:rsidRPr="00752650">
              <w:rPr>
                <w:rFonts w:ascii="Garamond" w:hAnsi="Garamond"/>
                <w:sz w:val="22"/>
                <w:szCs w:val="22"/>
              </w:rPr>
              <w:t xml:space="preserve"> C</w:t>
            </w:r>
            <w:r w:rsidR="00717837" w:rsidRPr="00752650">
              <w:rPr>
                <w:rFonts w:ascii="Garamond" w:hAnsi="Garamond"/>
                <w:sz w:val="22"/>
                <w:szCs w:val="22"/>
              </w:rPr>
              <w:t>.</w:t>
            </w:r>
          </w:p>
        </w:tc>
        <w:tc>
          <w:tcPr>
            <w:tcW w:w="2835"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Homicide volontaire</w:t>
            </w:r>
          </w:p>
        </w:tc>
        <w:tc>
          <w:tcPr>
            <w:tcW w:w="1701"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30 mois</w:t>
            </w:r>
          </w:p>
        </w:tc>
      </w:tr>
      <w:tr w:rsidR="0030334F" w:rsidRPr="00752650" w:rsidTr="0030334F">
        <w:tc>
          <w:tcPr>
            <w:tcW w:w="3119" w:type="dxa"/>
          </w:tcPr>
          <w:p w:rsidR="0030334F" w:rsidRPr="00752650" w:rsidRDefault="0030334F" w:rsidP="00717837">
            <w:pPr>
              <w:spacing w:line="276" w:lineRule="auto"/>
              <w:rPr>
                <w:rFonts w:ascii="Garamond" w:hAnsi="Garamond"/>
                <w:sz w:val="22"/>
                <w:szCs w:val="22"/>
              </w:rPr>
            </w:pPr>
            <w:r w:rsidRPr="00752650">
              <w:rPr>
                <w:rFonts w:ascii="Garamond" w:hAnsi="Garamond"/>
                <w:sz w:val="22"/>
                <w:szCs w:val="22"/>
              </w:rPr>
              <w:t>K</w:t>
            </w:r>
            <w:r w:rsidR="00717837" w:rsidRPr="00752650">
              <w:rPr>
                <w:rFonts w:ascii="Garamond" w:hAnsi="Garamond"/>
                <w:sz w:val="22"/>
                <w:szCs w:val="22"/>
              </w:rPr>
              <w:t>.</w:t>
            </w:r>
            <w:r w:rsidRPr="00752650">
              <w:rPr>
                <w:rFonts w:ascii="Garamond" w:hAnsi="Garamond"/>
                <w:sz w:val="22"/>
                <w:szCs w:val="22"/>
              </w:rPr>
              <w:t xml:space="preserve"> Y</w:t>
            </w:r>
            <w:r w:rsidR="00717837" w:rsidRPr="00752650">
              <w:rPr>
                <w:rFonts w:ascii="Garamond" w:hAnsi="Garamond"/>
                <w:sz w:val="22"/>
                <w:szCs w:val="22"/>
              </w:rPr>
              <w:t>.</w:t>
            </w:r>
            <w:r w:rsidRPr="00752650">
              <w:rPr>
                <w:rFonts w:ascii="Garamond" w:hAnsi="Garamond"/>
                <w:sz w:val="22"/>
                <w:szCs w:val="22"/>
              </w:rPr>
              <w:t xml:space="preserve"> B</w:t>
            </w:r>
            <w:r w:rsidR="00717837" w:rsidRPr="00752650">
              <w:rPr>
                <w:rFonts w:ascii="Garamond" w:hAnsi="Garamond"/>
                <w:sz w:val="22"/>
                <w:szCs w:val="22"/>
              </w:rPr>
              <w:t>.</w:t>
            </w:r>
          </w:p>
        </w:tc>
        <w:tc>
          <w:tcPr>
            <w:tcW w:w="2835"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Homicide volontaire</w:t>
            </w:r>
          </w:p>
        </w:tc>
        <w:tc>
          <w:tcPr>
            <w:tcW w:w="1701"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39 mois</w:t>
            </w:r>
          </w:p>
        </w:tc>
      </w:tr>
      <w:tr w:rsidR="0030334F" w:rsidRPr="00752650" w:rsidTr="0030334F">
        <w:tc>
          <w:tcPr>
            <w:tcW w:w="3119" w:type="dxa"/>
          </w:tcPr>
          <w:p w:rsidR="0030334F" w:rsidRPr="00752650" w:rsidRDefault="0030334F" w:rsidP="0030334F">
            <w:pPr>
              <w:spacing w:line="276" w:lineRule="auto"/>
              <w:rPr>
                <w:rFonts w:ascii="Garamond" w:hAnsi="Garamond"/>
                <w:sz w:val="22"/>
                <w:szCs w:val="22"/>
              </w:rPr>
            </w:pPr>
            <w:r w:rsidRPr="00752650">
              <w:rPr>
                <w:rFonts w:ascii="Garamond" w:hAnsi="Garamond"/>
                <w:sz w:val="22"/>
                <w:szCs w:val="22"/>
              </w:rPr>
              <w:t>I</w:t>
            </w:r>
            <w:r w:rsidR="00717837" w:rsidRPr="00752650">
              <w:rPr>
                <w:rFonts w:ascii="Garamond" w:hAnsi="Garamond"/>
                <w:sz w:val="22"/>
                <w:szCs w:val="22"/>
              </w:rPr>
              <w:t>.</w:t>
            </w:r>
            <w:r w:rsidRPr="00752650">
              <w:rPr>
                <w:rFonts w:ascii="Garamond" w:hAnsi="Garamond"/>
                <w:sz w:val="22"/>
                <w:szCs w:val="22"/>
              </w:rPr>
              <w:t xml:space="preserve"> D</w:t>
            </w:r>
            <w:r w:rsidR="00717837" w:rsidRPr="00752650">
              <w:rPr>
                <w:rFonts w:ascii="Garamond" w:hAnsi="Garamond"/>
                <w:sz w:val="22"/>
                <w:szCs w:val="22"/>
              </w:rPr>
              <w:t>.</w:t>
            </w:r>
          </w:p>
        </w:tc>
        <w:tc>
          <w:tcPr>
            <w:tcW w:w="2835"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Homicide volontaire</w:t>
            </w:r>
          </w:p>
        </w:tc>
        <w:tc>
          <w:tcPr>
            <w:tcW w:w="1701"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39 mois</w:t>
            </w:r>
          </w:p>
        </w:tc>
      </w:tr>
      <w:tr w:rsidR="0030334F" w:rsidRPr="00752650" w:rsidTr="0030334F">
        <w:tc>
          <w:tcPr>
            <w:tcW w:w="3119" w:type="dxa"/>
          </w:tcPr>
          <w:p w:rsidR="0030334F" w:rsidRPr="00752650" w:rsidRDefault="0030334F" w:rsidP="0030334F">
            <w:pPr>
              <w:spacing w:line="276" w:lineRule="auto"/>
              <w:rPr>
                <w:rFonts w:ascii="Garamond" w:hAnsi="Garamond"/>
                <w:sz w:val="22"/>
                <w:szCs w:val="22"/>
              </w:rPr>
            </w:pPr>
            <w:r w:rsidRPr="00752650">
              <w:rPr>
                <w:rFonts w:ascii="Garamond" w:hAnsi="Garamond"/>
                <w:sz w:val="22"/>
                <w:szCs w:val="22"/>
              </w:rPr>
              <w:t>K</w:t>
            </w:r>
            <w:r w:rsidR="00717837" w:rsidRPr="00752650">
              <w:rPr>
                <w:rFonts w:ascii="Garamond" w:hAnsi="Garamond"/>
                <w:sz w:val="22"/>
                <w:szCs w:val="22"/>
              </w:rPr>
              <w:t>.</w:t>
            </w:r>
            <w:r w:rsidRPr="00752650">
              <w:rPr>
                <w:rFonts w:ascii="Garamond" w:hAnsi="Garamond"/>
                <w:sz w:val="22"/>
                <w:szCs w:val="22"/>
              </w:rPr>
              <w:t xml:space="preserve"> D</w:t>
            </w:r>
            <w:r w:rsidR="00717837" w:rsidRPr="00752650">
              <w:rPr>
                <w:rFonts w:ascii="Garamond" w:hAnsi="Garamond"/>
                <w:sz w:val="22"/>
                <w:szCs w:val="22"/>
              </w:rPr>
              <w:t>.</w:t>
            </w:r>
          </w:p>
        </w:tc>
        <w:tc>
          <w:tcPr>
            <w:tcW w:w="2835"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Homicide volontaire</w:t>
            </w:r>
          </w:p>
        </w:tc>
        <w:tc>
          <w:tcPr>
            <w:tcW w:w="1701"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39 mois</w:t>
            </w:r>
          </w:p>
        </w:tc>
      </w:tr>
      <w:tr w:rsidR="0030334F" w:rsidRPr="00752650" w:rsidTr="0030334F">
        <w:tc>
          <w:tcPr>
            <w:tcW w:w="3119" w:type="dxa"/>
          </w:tcPr>
          <w:p w:rsidR="0030334F" w:rsidRPr="00752650" w:rsidRDefault="0030334F" w:rsidP="0030334F">
            <w:pPr>
              <w:spacing w:line="276" w:lineRule="auto"/>
              <w:rPr>
                <w:rFonts w:ascii="Garamond" w:hAnsi="Garamond"/>
                <w:sz w:val="22"/>
                <w:szCs w:val="22"/>
              </w:rPr>
            </w:pPr>
            <w:r w:rsidRPr="00752650">
              <w:rPr>
                <w:rFonts w:ascii="Garamond" w:hAnsi="Garamond"/>
                <w:sz w:val="22"/>
                <w:szCs w:val="22"/>
              </w:rPr>
              <w:t>D</w:t>
            </w:r>
            <w:r w:rsidR="00717837" w:rsidRPr="00752650">
              <w:rPr>
                <w:rFonts w:ascii="Garamond" w:hAnsi="Garamond"/>
                <w:sz w:val="22"/>
                <w:szCs w:val="22"/>
              </w:rPr>
              <w:t>.</w:t>
            </w:r>
            <w:r w:rsidRPr="00752650">
              <w:rPr>
                <w:rFonts w:ascii="Garamond" w:hAnsi="Garamond"/>
                <w:sz w:val="22"/>
                <w:szCs w:val="22"/>
              </w:rPr>
              <w:t xml:space="preserve"> D</w:t>
            </w:r>
            <w:r w:rsidR="00717837" w:rsidRPr="00752650">
              <w:rPr>
                <w:rFonts w:ascii="Garamond" w:hAnsi="Garamond"/>
                <w:sz w:val="22"/>
                <w:szCs w:val="22"/>
              </w:rPr>
              <w:t>.</w:t>
            </w:r>
          </w:p>
        </w:tc>
        <w:tc>
          <w:tcPr>
            <w:tcW w:w="2835"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 xml:space="preserve">Homicide volontaire </w:t>
            </w:r>
          </w:p>
        </w:tc>
        <w:tc>
          <w:tcPr>
            <w:tcW w:w="1701" w:type="dxa"/>
          </w:tcPr>
          <w:p w:rsidR="0030334F" w:rsidRPr="00752650" w:rsidRDefault="0030334F" w:rsidP="00304045">
            <w:pPr>
              <w:spacing w:line="276" w:lineRule="auto"/>
              <w:jc w:val="center"/>
              <w:rPr>
                <w:rFonts w:ascii="Garamond" w:hAnsi="Garamond"/>
                <w:sz w:val="22"/>
                <w:szCs w:val="22"/>
              </w:rPr>
            </w:pPr>
            <w:r w:rsidRPr="00752650">
              <w:rPr>
                <w:rFonts w:ascii="Garamond" w:hAnsi="Garamond"/>
                <w:sz w:val="22"/>
                <w:szCs w:val="22"/>
              </w:rPr>
              <w:t>27 mois</w:t>
            </w:r>
          </w:p>
        </w:tc>
      </w:tr>
    </w:tbl>
    <w:p w:rsidR="006D7CD9" w:rsidRPr="00752650" w:rsidRDefault="006D7CD9" w:rsidP="001A1EE5">
      <w:pPr>
        <w:spacing w:line="276" w:lineRule="auto"/>
        <w:jc w:val="both"/>
        <w:rPr>
          <w:rFonts w:ascii="Garamond" w:hAnsi="Garamond" w:cs="Times New Roman"/>
        </w:rPr>
      </w:pPr>
    </w:p>
    <w:p w:rsidR="006D7CD9" w:rsidRPr="00752650" w:rsidRDefault="006D7CD9" w:rsidP="00304045">
      <w:pPr>
        <w:spacing w:line="276" w:lineRule="auto"/>
        <w:jc w:val="center"/>
        <w:rPr>
          <w:rFonts w:ascii="Garamond" w:hAnsi="Garamond" w:cs="Times New Roman"/>
          <w:b/>
        </w:rPr>
      </w:pPr>
      <w:r w:rsidRPr="00752650">
        <w:rPr>
          <w:rFonts w:ascii="Garamond" w:hAnsi="Garamond" w:cs="Times New Roman"/>
          <w:b/>
          <w:u w:val="single"/>
        </w:rPr>
        <w:t xml:space="preserve">GRAND BASSAM </w:t>
      </w:r>
    </w:p>
    <w:tbl>
      <w:tblPr>
        <w:tblStyle w:val="Grilledutableau"/>
        <w:tblW w:w="7661" w:type="dxa"/>
        <w:tblLook w:val="04A0" w:firstRow="1" w:lastRow="0" w:firstColumn="1" w:lastColumn="0" w:noHBand="0" w:noVBand="1"/>
      </w:tblPr>
      <w:tblGrid>
        <w:gridCol w:w="3085"/>
        <w:gridCol w:w="2875"/>
        <w:gridCol w:w="1701"/>
      </w:tblGrid>
      <w:tr w:rsidR="0030334F" w:rsidRPr="00752650" w:rsidTr="0030334F">
        <w:tc>
          <w:tcPr>
            <w:tcW w:w="3085" w:type="dxa"/>
          </w:tcPr>
          <w:p w:rsidR="0030334F" w:rsidRPr="00752650" w:rsidRDefault="0030334F" w:rsidP="00304045">
            <w:pPr>
              <w:spacing w:line="276" w:lineRule="auto"/>
              <w:jc w:val="center"/>
              <w:rPr>
                <w:rFonts w:ascii="Garamond" w:hAnsi="Garamond"/>
                <w:b/>
                <w:sz w:val="22"/>
                <w:szCs w:val="22"/>
              </w:rPr>
            </w:pPr>
            <w:r w:rsidRPr="00752650">
              <w:rPr>
                <w:rFonts w:ascii="Garamond" w:hAnsi="Garamond"/>
                <w:b/>
                <w:sz w:val="22"/>
                <w:szCs w:val="22"/>
              </w:rPr>
              <w:t>NOMS ET PRENOMS</w:t>
            </w:r>
            <w:r w:rsidRPr="00752650">
              <w:rPr>
                <w:rFonts w:ascii="Garamond" w:hAnsi="Garamond"/>
                <w:b/>
                <w:sz w:val="22"/>
                <w:szCs w:val="22"/>
              </w:rPr>
              <w:br/>
              <w:t>(Initiales)</w:t>
            </w:r>
          </w:p>
        </w:tc>
        <w:tc>
          <w:tcPr>
            <w:tcW w:w="2875" w:type="dxa"/>
          </w:tcPr>
          <w:p w:rsidR="0030334F" w:rsidRPr="00752650" w:rsidRDefault="0030334F" w:rsidP="00304045">
            <w:pPr>
              <w:spacing w:line="276" w:lineRule="auto"/>
              <w:jc w:val="center"/>
              <w:rPr>
                <w:rFonts w:ascii="Garamond" w:hAnsi="Garamond"/>
                <w:b/>
                <w:sz w:val="22"/>
                <w:szCs w:val="22"/>
              </w:rPr>
            </w:pPr>
            <w:r w:rsidRPr="00752650">
              <w:rPr>
                <w:rFonts w:ascii="Garamond" w:hAnsi="Garamond"/>
                <w:b/>
                <w:sz w:val="22"/>
                <w:szCs w:val="22"/>
              </w:rPr>
              <w:t>INFRACTIONS</w:t>
            </w:r>
          </w:p>
        </w:tc>
        <w:tc>
          <w:tcPr>
            <w:tcW w:w="1701" w:type="dxa"/>
          </w:tcPr>
          <w:p w:rsidR="0030334F" w:rsidRPr="00752650" w:rsidRDefault="0030334F" w:rsidP="00304045">
            <w:pPr>
              <w:spacing w:line="276" w:lineRule="auto"/>
              <w:jc w:val="center"/>
              <w:rPr>
                <w:rFonts w:ascii="Garamond" w:hAnsi="Garamond"/>
                <w:b/>
                <w:sz w:val="22"/>
                <w:szCs w:val="22"/>
              </w:rPr>
            </w:pPr>
            <w:r w:rsidRPr="00752650">
              <w:rPr>
                <w:rFonts w:ascii="Garamond" w:hAnsi="Garamond"/>
                <w:b/>
                <w:sz w:val="22"/>
                <w:szCs w:val="22"/>
              </w:rPr>
              <w:t>DUREE DE DETENTION</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S</w:t>
            </w:r>
            <w:r w:rsidR="00717837" w:rsidRPr="00752650">
              <w:rPr>
                <w:rFonts w:ascii="Garamond" w:hAnsi="Garamond"/>
                <w:sz w:val="22"/>
                <w:szCs w:val="22"/>
              </w:rPr>
              <w:t>.</w:t>
            </w:r>
            <w:r w:rsidRPr="00752650">
              <w:rPr>
                <w:rFonts w:ascii="Garamond" w:hAnsi="Garamond"/>
                <w:sz w:val="22"/>
                <w:szCs w:val="22"/>
              </w:rPr>
              <w:t xml:space="preserve"> O</w:t>
            </w:r>
            <w:r w:rsidR="00717837"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 xml:space="preserve">Braquage </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32 mois</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S</w:t>
            </w:r>
            <w:r w:rsidR="00717837" w:rsidRPr="00752650">
              <w:rPr>
                <w:rFonts w:ascii="Garamond" w:hAnsi="Garamond"/>
                <w:sz w:val="22"/>
                <w:szCs w:val="22"/>
              </w:rPr>
              <w:t>.</w:t>
            </w:r>
            <w:r w:rsidRPr="00752650">
              <w:rPr>
                <w:rFonts w:ascii="Garamond" w:hAnsi="Garamond"/>
                <w:sz w:val="22"/>
                <w:szCs w:val="22"/>
              </w:rPr>
              <w:t xml:space="preserve"> B</w:t>
            </w:r>
            <w:r w:rsidR="00717837" w:rsidRPr="00752650">
              <w:rPr>
                <w:rFonts w:ascii="Garamond" w:hAnsi="Garamond"/>
                <w:sz w:val="22"/>
                <w:szCs w:val="22"/>
              </w:rPr>
              <w:t>.</w:t>
            </w:r>
            <w:r w:rsidRPr="00752650">
              <w:rPr>
                <w:rFonts w:ascii="Garamond" w:hAnsi="Garamond"/>
                <w:sz w:val="22"/>
                <w:szCs w:val="22"/>
              </w:rPr>
              <w:t xml:space="preserve"> E</w:t>
            </w:r>
            <w:r w:rsidR="00717837"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Homicide</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36 mois</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D</w:t>
            </w:r>
            <w:r w:rsidR="00717837" w:rsidRPr="00752650">
              <w:rPr>
                <w:rFonts w:ascii="Garamond" w:hAnsi="Garamond"/>
                <w:sz w:val="22"/>
                <w:szCs w:val="22"/>
              </w:rPr>
              <w:t>.</w:t>
            </w:r>
            <w:r w:rsidRPr="00752650">
              <w:rPr>
                <w:rFonts w:ascii="Garamond" w:hAnsi="Garamond"/>
                <w:sz w:val="22"/>
                <w:szCs w:val="22"/>
              </w:rPr>
              <w:t xml:space="preserve"> A</w:t>
            </w:r>
            <w:r w:rsidR="00717837" w:rsidRPr="00752650">
              <w:rPr>
                <w:rFonts w:ascii="Garamond" w:hAnsi="Garamond"/>
                <w:sz w:val="22"/>
                <w:szCs w:val="22"/>
              </w:rPr>
              <w:t>.</w:t>
            </w:r>
            <w:r w:rsidRPr="00752650">
              <w:rPr>
                <w:rFonts w:ascii="Garamond" w:hAnsi="Garamond"/>
                <w:sz w:val="22"/>
                <w:szCs w:val="22"/>
              </w:rPr>
              <w:t xml:space="preserve"> </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Braquage</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20 mois</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O</w:t>
            </w:r>
            <w:r w:rsidR="00717837" w:rsidRPr="00752650">
              <w:rPr>
                <w:rFonts w:ascii="Garamond" w:hAnsi="Garamond"/>
                <w:sz w:val="22"/>
                <w:szCs w:val="22"/>
              </w:rPr>
              <w:t>.</w:t>
            </w:r>
            <w:r w:rsidRPr="00752650">
              <w:rPr>
                <w:rFonts w:ascii="Garamond" w:hAnsi="Garamond"/>
                <w:sz w:val="22"/>
                <w:szCs w:val="22"/>
              </w:rPr>
              <w:t xml:space="preserve"> T</w:t>
            </w:r>
            <w:r w:rsidR="00717837" w:rsidRPr="00752650">
              <w:rPr>
                <w:rFonts w:ascii="Garamond" w:hAnsi="Garamond"/>
                <w:sz w:val="22"/>
                <w:szCs w:val="22"/>
              </w:rPr>
              <w:t>.</w:t>
            </w:r>
            <w:r w:rsidRPr="00752650">
              <w:rPr>
                <w:rFonts w:ascii="Garamond" w:hAnsi="Garamond"/>
                <w:sz w:val="22"/>
                <w:szCs w:val="22"/>
              </w:rPr>
              <w:t xml:space="preserve"> A</w:t>
            </w:r>
            <w:r w:rsidR="00717837"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 xml:space="preserve">Meurtre </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36 mois</w:t>
            </w:r>
          </w:p>
        </w:tc>
      </w:tr>
      <w:tr w:rsidR="0030334F" w:rsidRPr="00752650" w:rsidTr="0030334F">
        <w:tc>
          <w:tcPr>
            <w:tcW w:w="308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D</w:t>
            </w:r>
            <w:r w:rsidR="00717837" w:rsidRPr="00752650">
              <w:rPr>
                <w:rFonts w:ascii="Garamond" w:hAnsi="Garamond"/>
                <w:sz w:val="22"/>
                <w:szCs w:val="22"/>
              </w:rPr>
              <w:t>.</w:t>
            </w:r>
            <w:r w:rsidRPr="00752650">
              <w:rPr>
                <w:rFonts w:ascii="Garamond" w:hAnsi="Garamond"/>
                <w:sz w:val="22"/>
                <w:szCs w:val="22"/>
              </w:rPr>
              <w:t xml:space="preserve"> B</w:t>
            </w:r>
            <w:r w:rsidR="00717837" w:rsidRPr="00752650">
              <w:rPr>
                <w:rFonts w:ascii="Garamond" w:hAnsi="Garamond"/>
                <w:sz w:val="22"/>
                <w:szCs w:val="22"/>
              </w:rPr>
              <w:t>.</w:t>
            </w:r>
            <w:r w:rsidRPr="00752650">
              <w:rPr>
                <w:rFonts w:ascii="Garamond" w:hAnsi="Garamond"/>
                <w:sz w:val="22"/>
                <w:szCs w:val="22"/>
              </w:rPr>
              <w:t xml:space="preserve"> S</w:t>
            </w:r>
            <w:r w:rsidR="00717837" w:rsidRPr="00752650">
              <w:rPr>
                <w:rFonts w:ascii="Garamond" w:hAnsi="Garamond"/>
                <w:sz w:val="22"/>
                <w:szCs w:val="22"/>
              </w:rPr>
              <w:t>.</w:t>
            </w:r>
          </w:p>
        </w:tc>
        <w:tc>
          <w:tcPr>
            <w:tcW w:w="2875"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Vol de nuit</w:t>
            </w:r>
          </w:p>
        </w:tc>
        <w:tc>
          <w:tcPr>
            <w:tcW w:w="1701" w:type="dxa"/>
          </w:tcPr>
          <w:p w:rsidR="0030334F" w:rsidRPr="00752650" w:rsidRDefault="0030334F" w:rsidP="00304045">
            <w:pPr>
              <w:spacing w:line="276" w:lineRule="auto"/>
              <w:rPr>
                <w:rFonts w:ascii="Garamond" w:hAnsi="Garamond"/>
                <w:sz w:val="22"/>
                <w:szCs w:val="22"/>
              </w:rPr>
            </w:pPr>
            <w:r w:rsidRPr="00752650">
              <w:rPr>
                <w:rFonts w:ascii="Garamond" w:hAnsi="Garamond"/>
                <w:sz w:val="22"/>
                <w:szCs w:val="22"/>
              </w:rPr>
              <w:t>12 mois</w:t>
            </w:r>
          </w:p>
        </w:tc>
      </w:tr>
    </w:tbl>
    <w:p w:rsidR="00090D1A" w:rsidRPr="001D25B1" w:rsidRDefault="00FC1C58">
      <w:pPr>
        <w:spacing w:before="120" w:after="120" w:line="276" w:lineRule="auto"/>
        <w:jc w:val="both"/>
        <w:rPr>
          <w:rFonts w:ascii="Garamond" w:eastAsia="Times New Roman" w:hAnsi="Garamond" w:cs="Garamond"/>
          <w:sz w:val="24"/>
          <w:szCs w:val="24"/>
        </w:rPr>
      </w:pPr>
      <w:r w:rsidRPr="00895FAB">
        <w:rPr>
          <w:rFonts w:ascii="Garamond" w:eastAsia="Times New Roman" w:hAnsi="Garamond" w:cs="Garamond"/>
          <w:sz w:val="24"/>
          <w:szCs w:val="24"/>
        </w:rPr>
        <w:t xml:space="preserve">Les statistiques de l’administration pénitentiaire indiquent un taux supérieur à 35 % de prévenus parmi les détenus. Certains totalisent plus </w:t>
      </w:r>
      <w:r w:rsidR="00512AA1" w:rsidRPr="001D25B1">
        <w:rPr>
          <w:rFonts w:ascii="Garamond" w:eastAsia="Times New Roman" w:hAnsi="Garamond" w:cs="Garamond"/>
          <w:sz w:val="24"/>
          <w:szCs w:val="24"/>
        </w:rPr>
        <w:t xml:space="preserve">de </w:t>
      </w:r>
      <w:r w:rsidRPr="001D25B1">
        <w:rPr>
          <w:rFonts w:ascii="Garamond" w:eastAsia="Times New Roman" w:hAnsi="Garamond" w:cs="Garamond"/>
          <w:sz w:val="24"/>
          <w:szCs w:val="24"/>
        </w:rPr>
        <w:t xml:space="preserve">39 mois de détention préventive. Cette situation est non seulement inacceptable </w:t>
      </w:r>
      <w:r w:rsidR="00717837" w:rsidRPr="001D25B1">
        <w:rPr>
          <w:rFonts w:ascii="Garamond" w:eastAsia="Times New Roman" w:hAnsi="Garamond" w:cs="Garamond"/>
          <w:sz w:val="24"/>
          <w:szCs w:val="24"/>
        </w:rPr>
        <w:t xml:space="preserve">au regard du droit </w:t>
      </w:r>
      <w:r w:rsidRPr="001D25B1">
        <w:rPr>
          <w:rFonts w:ascii="Garamond" w:eastAsia="Times New Roman" w:hAnsi="Garamond" w:cs="Garamond"/>
          <w:sz w:val="24"/>
          <w:szCs w:val="24"/>
        </w:rPr>
        <w:t>mais elle contribue grandement à la surpopulation carcérale déjà préoccupante. En outre, dans plusieurs maisons d’arrêt et de correction, les prévenus ne sont pas séparés des condamnés</w:t>
      </w:r>
      <w:r w:rsidR="00D068F6" w:rsidRPr="001D25B1">
        <w:rPr>
          <w:rFonts w:ascii="Garamond" w:eastAsia="Times New Roman" w:hAnsi="Garamond" w:cs="Garamond"/>
          <w:color w:val="FF0000"/>
          <w:sz w:val="24"/>
          <w:szCs w:val="24"/>
        </w:rPr>
        <w:t xml:space="preserve"> </w:t>
      </w:r>
      <w:r w:rsidRPr="001D25B1">
        <w:rPr>
          <w:rFonts w:ascii="Garamond" w:eastAsia="Times New Roman" w:hAnsi="Garamond" w:cs="Garamond"/>
          <w:sz w:val="24"/>
          <w:szCs w:val="24"/>
        </w:rPr>
        <w:t>et ne bénéficient pas de régime distinct</w:t>
      </w:r>
      <w:r w:rsidRPr="001D25B1">
        <w:rPr>
          <w:rFonts w:ascii="Garamond" w:eastAsia="Times New Roman" w:hAnsi="Garamond" w:cs="Garamond"/>
          <w:sz w:val="24"/>
          <w:szCs w:val="24"/>
          <w:vertAlign w:val="superscript"/>
        </w:rPr>
        <w:footnoteReference w:id="42"/>
      </w:r>
      <w:r w:rsidRPr="001D25B1">
        <w:rPr>
          <w:rFonts w:ascii="Garamond" w:eastAsia="Times New Roman" w:hAnsi="Garamond" w:cs="Garamond"/>
          <w:sz w:val="24"/>
          <w:szCs w:val="24"/>
        </w:rPr>
        <w:t xml:space="preserve">. </w:t>
      </w:r>
      <w:r w:rsidR="0030334F" w:rsidRPr="001D25B1">
        <w:rPr>
          <w:rFonts w:ascii="Garamond" w:eastAsia="Times New Roman" w:hAnsi="Garamond" w:cs="Garamond"/>
          <w:sz w:val="24"/>
          <w:szCs w:val="24"/>
        </w:rPr>
        <w:t>C’est notamment le cas dans l</w:t>
      </w:r>
      <w:r w:rsidR="00D068F6" w:rsidRPr="001D25B1">
        <w:rPr>
          <w:rFonts w:ascii="Garamond" w:eastAsia="Times New Roman" w:hAnsi="Garamond" w:cs="Garamond"/>
          <w:sz w:val="24"/>
          <w:szCs w:val="24"/>
        </w:rPr>
        <w:t>es prisons dans lesquelles l’ACAT et la FIACAT exécutent le projet DPA</w:t>
      </w:r>
      <w:r w:rsidR="0030334F" w:rsidRPr="001D25B1">
        <w:rPr>
          <w:rFonts w:ascii="Garamond" w:eastAsia="Times New Roman" w:hAnsi="Garamond" w:cs="Garamond"/>
          <w:sz w:val="24"/>
          <w:szCs w:val="24"/>
        </w:rPr>
        <w:t xml:space="preserve"> (Agboville, Adzopé et Grand Bassam)</w:t>
      </w:r>
      <w:r w:rsidR="00D068F6" w:rsidRPr="001D25B1">
        <w:rPr>
          <w:rFonts w:ascii="Garamond" w:eastAsia="Times New Roman" w:hAnsi="Garamond" w:cs="Garamond"/>
          <w:sz w:val="24"/>
          <w:szCs w:val="24"/>
          <w:vertAlign w:val="superscript"/>
        </w:rPr>
        <w:footnoteReference w:id="43"/>
      </w:r>
      <w:r w:rsidR="00D068F6"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Aux dires des détenus, les visites régulières des lieux de détention prévues dans le mandat de l’administration judiciaire</w:t>
      </w:r>
      <w:r w:rsidRPr="001D25B1">
        <w:rPr>
          <w:rFonts w:ascii="Garamond" w:eastAsia="Times New Roman" w:hAnsi="Garamond" w:cs="Garamond"/>
          <w:sz w:val="24"/>
          <w:szCs w:val="24"/>
          <w:vertAlign w:val="superscript"/>
        </w:rPr>
        <w:footnoteReference w:id="44"/>
      </w:r>
      <w:r w:rsidRPr="001D25B1">
        <w:rPr>
          <w:rFonts w:ascii="Garamond" w:eastAsia="Times New Roman" w:hAnsi="Garamond" w:cs="Garamond"/>
          <w:sz w:val="24"/>
          <w:szCs w:val="24"/>
        </w:rPr>
        <w:t xml:space="preserve"> qui auraient pu révéler ces anomalies ne sont pas faites. Or, les conditions de détention dans les prisons en Côte d’Ivoire, malgré les efforts du gouvernement, sont encore loin de satisfaire les standards internationaux.</w:t>
      </w:r>
    </w:p>
    <w:p w:rsidR="00FC1C58" w:rsidRPr="001D25B1" w:rsidRDefault="00FC1C58" w:rsidP="00304045">
      <w:pPr>
        <w:pStyle w:val="Titre4"/>
      </w:pPr>
      <w:bookmarkStart w:id="86" w:name="_Toc386019500"/>
      <w:bookmarkStart w:id="87" w:name="_Toc386200923"/>
      <w:r w:rsidRPr="001D25B1">
        <w:t>La détention dans des lieux secrets</w:t>
      </w:r>
      <w:bookmarkEnd w:id="86"/>
      <w:bookmarkEnd w:id="87"/>
    </w:p>
    <w:p w:rsidR="00A93D04" w:rsidRPr="00895FAB" w:rsidRDefault="00FC1C58" w:rsidP="000D4E07">
      <w:pPr>
        <w:spacing w:before="120" w:after="120" w:line="276" w:lineRule="auto"/>
        <w:jc w:val="both"/>
        <w:rPr>
          <w:rFonts w:ascii="Garamond" w:eastAsia="Times New Roman" w:hAnsi="Garamond" w:cs="Garamond"/>
          <w:i/>
          <w:sz w:val="24"/>
          <w:szCs w:val="24"/>
        </w:rPr>
      </w:pPr>
      <w:r w:rsidRPr="001D25B1">
        <w:rPr>
          <w:rFonts w:ascii="Garamond" w:eastAsia="Times New Roman" w:hAnsi="Garamond" w:cs="Garamond"/>
          <w:sz w:val="24"/>
          <w:szCs w:val="24"/>
        </w:rPr>
        <w:t xml:space="preserve">Lorsqu’il s’agit de prisonniers « politiques » ou dont la détention a des </w:t>
      </w:r>
      <w:r w:rsidR="000D4E07" w:rsidRPr="001D25B1">
        <w:rPr>
          <w:rFonts w:ascii="Garamond" w:eastAsia="Times New Roman" w:hAnsi="Garamond" w:cs="Garamond"/>
          <w:sz w:val="24"/>
          <w:szCs w:val="24"/>
        </w:rPr>
        <w:t xml:space="preserve">incidences </w:t>
      </w:r>
      <w:r w:rsidRPr="001D25B1">
        <w:rPr>
          <w:rFonts w:ascii="Garamond" w:eastAsia="Times New Roman" w:hAnsi="Garamond" w:cs="Garamond"/>
          <w:sz w:val="24"/>
          <w:szCs w:val="24"/>
        </w:rPr>
        <w:t>politiques</w:t>
      </w:r>
      <w:r w:rsidR="00D35A42" w:rsidRPr="001D25B1">
        <w:rPr>
          <w:rFonts w:ascii="Garamond" w:eastAsia="Times New Roman" w:hAnsi="Garamond" w:cs="Garamond"/>
          <w:sz w:val="24"/>
          <w:szCs w:val="24"/>
        </w:rPr>
        <w:t xml:space="preserve"> et /ou militaires</w:t>
      </w:r>
      <w:r w:rsidRPr="001D25B1">
        <w:rPr>
          <w:rFonts w:ascii="Garamond" w:eastAsia="Times New Roman" w:hAnsi="Garamond" w:cs="Garamond"/>
          <w:sz w:val="24"/>
          <w:szCs w:val="24"/>
        </w:rPr>
        <w:t>, ces dispositions ne sont pas toujours respectées. En outre, certains de ces détenus tels que Seka-Seka, Jean-Noël Abehi</w:t>
      </w:r>
      <w:r w:rsidR="002D10EA"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 xml:space="preserve"> et Amadé Ouérémi</w:t>
      </w:r>
      <w:r w:rsidR="002D10EA"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 xml:space="preserve">sont </w:t>
      </w:r>
      <w:r w:rsidR="00A642F7">
        <w:rPr>
          <w:rFonts w:ascii="Garamond" w:eastAsia="Times New Roman" w:hAnsi="Garamond" w:cs="Garamond"/>
          <w:sz w:val="24"/>
          <w:szCs w:val="24"/>
        </w:rPr>
        <w:t xml:space="preserve">toujours </w:t>
      </w:r>
      <w:r w:rsidRPr="001D25B1">
        <w:rPr>
          <w:rFonts w:ascii="Garamond" w:eastAsia="Times New Roman" w:hAnsi="Garamond" w:cs="Garamond"/>
          <w:sz w:val="24"/>
          <w:szCs w:val="24"/>
        </w:rPr>
        <w:t>incarcérés dans des lieux secrets sous la supervision de la DST</w:t>
      </w:r>
      <w:r w:rsidRPr="00895FAB">
        <w:rPr>
          <w:rFonts w:ascii="Garamond" w:eastAsia="Times New Roman" w:hAnsi="Garamond" w:cs="Garamond"/>
          <w:sz w:val="24"/>
          <w:szCs w:val="24"/>
        </w:rPr>
        <w:t xml:space="preserve">. </w:t>
      </w:r>
    </w:p>
    <w:p w:rsidR="00FC1C58" w:rsidRPr="001D25B1" w:rsidRDefault="00FC1C58">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Même l’ONUCI n’a</w:t>
      </w:r>
      <w:r w:rsidR="00F523EF" w:rsidRPr="001D25B1">
        <w:rPr>
          <w:rFonts w:ascii="Garamond" w:eastAsia="Times New Roman" w:hAnsi="Garamond" w:cs="Garamond"/>
          <w:sz w:val="24"/>
          <w:szCs w:val="24"/>
        </w:rPr>
        <w:t>urait</w:t>
      </w:r>
      <w:r w:rsidRPr="001D25B1">
        <w:rPr>
          <w:rFonts w:ascii="Garamond" w:eastAsia="Times New Roman" w:hAnsi="Garamond" w:cs="Garamond"/>
          <w:sz w:val="24"/>
          <w:szCs w:val="24"/>
        </w:rPr>
        <w:t xml:space="preserve"> </w:t>
      </w:r>
      <w:r w:rsidR="000D4E07" w:rsidRPr="001D25B1">
        <w:rPr>
          <w:rFonts w:ascii="Garamond" w:eastAsia="Times New Roman" w:hAnsi="Garamond" w:cs="Garamond"/>
          <w:sz w:val="24"/>
          <w:szCs w:val="24"/>
        </w:rPr>
        <w:t xml:space="preserve">ni </w:t>
      </w:r>
      <w:r w:rsidRPr="001D25B1">
        <w:rPr>
          <w:rFonts w:ascii="Garamond" w:eastAsia="Times New Roman" w:hAnsi="Garamond" w:cs="Garamond"/>
          <w:sz w:val="24"/>
          <w:szCs w:val="24"/>
        </w:rPr>
        <w:t>accès à ces personnes</w:t>
      </w:r>
      <w:r w:rsidR="000D4E07"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 xml:space="preserve">ni aux lieux où ils sont détenus. </w:t>
      </w:r>
    </w:p>
    <w:p w:rsidR="00E3726C" w:rsidRPr="001D25B1" w:rsidRDefault="00F77313" w:rsidP="00304045">
      <w:pPr>
        <w:spacing w:line="276" w:lineRule="auto"/>
        <w:jc w:val="both"/>
        <w:rPr>
          <w:rFonts w:ascii="Garamond" w:hAnsi="Garamond"/>
          <w:sz w:val="24"/>
          <w:szCs w:val="24"/>
        </w:rPr>
      </w:pPr>
      <w:bookmarkStart w:id="88" w:name="_Toc386019502"/>
      <w:bookmarkStart w:id="89" w:name="_Toc386200924"/>
      <w:r w:rsidRPr="001D25B1">
        <w:rPr>
          <w:rFonts w:ascii="Garamond" w:hAnsi="Garamond"/>
          <w:sz w:val="24"/>
          <w:szCs w:val="24"/>
        </w:rPr>
        <w:lastRenderedPageBreak/>
        <w:t>L’ACAT</w:t>
      </w:r>
      <w:r w:rsidR="00D35A42" w:rsidRPr="001D25B1">
        <w:rPr>
          <w:rFonts w:ascii="Garamond" w:hAnsi="Garamond"/>
          <w:sz w:val="24"/>
          <w:szCs w:val="24"/>
        </w:rPr>
        <w:t xml:space="preserve"> Côte d’Ivoire a été informée qu’un </w:t>
      </w:r>
      <w:r w:rsidR="008B78B6" w:rsidRPr="001D25B1">
        <w:rPr>
          <w:rFonts w:ascii="Garamond" w:hAnsi="Garamond"/>
          <w:sz w:val="24"/>
          <w:szCs w:val="24"/>
        </w:rPr>
        <w:t>sous-préfet</w:t>
      </w:r>
      <w:r w:rsidR="00D35A42" w:rsidRPr="001D25B1">
        <w:rPr>
          <w:rFonts w:ascii="Garamond" w:hAnsi="Garamond"/>
          <w:sz w:val="24"/>
          <w:szCs w:val="24"/>
        </w:rPr>
        <w:t xml:space="preserve"> de la localité de Gabiadji </w:t>
      </w:r>
      <w:r w:rsidR="001E4DFE" w:rsidRPr="001D25B1">
        <w:rPr>
          <w:rFonts w:ascii="Garamond" w:hAnsi="Garamond"/>
          <w:sz w:val="24"/>
          <w:szCs w:val="24"/>
        </w:rPr>
        <w:t>dans l</w:t>
      </w:r>
      <w:r w:rsidR="00D35A42" w:rsidRPr="001D25B1">
        <w:rPr>
          <w:rFonts w:ascii="Garamond" w:hAnsi="Garamond"/>
          <w:sz w:val="24"/>
          <w:szCs w:val="24"/>
        </w:rPr>
        <w:t>e département de S</w:t>
      </w:r>
      <w:r w:rsidR="001E4DFE" w:rsidRPr="001D25B1">
        <w:rPr>
          <w:rFonts w:ascii="Garamond" w:hAnsi="Garamond"/>
          <w:sz w:val="24"/>
          <w:szCs w:val="24"/>
        </w:rPr>
        <w:t xml:space="preserve">an Pédros </w:t>
      </w:r>
      <w:r w:rsidR="0060008E" w:rsidRPr="001D25B1">
        <w:rPr>
          <w:rFonts w:ascii="Garamond" w:hAnsi="Garamond"/>
          <w:sz w:val="24"/>
          <w:szCs w:val="24"/>
        </w:rPr>
        <w:t>(sud</w:t>
      </w:r>
      <w:r w:rsidR="007B1543" w:rsidRPr="001D25B1">
        <w:rPr>
          <w:rFonts w:ascii="Garamond" w:hAnsi="Garamond"/>
          <w:sz w:val="24"/>
          <w:szCs w:val="24"/>
        </w:rPr>
        <w:t>-</w:t>
      </w:r>
      <w:r w:rsidR="00D35A42" w:rsidRPr="001D25B1">
        <w:rPr>
          <w:rFonts w:ascii="Garamond" w:hAnsi="Garamond"/>
          <w:sz w:val="24"/>
          <w:szCs w:val="24"/>
        </w:rPr>
        <w:t xml:space="preserve">ouest de la Côte d’Ivoire) </w:t>
      </w:r>
      <w:r w:rsidR="000D3059" w:rsidRPr="001D25B1">
        <w:rPr>
          <w:rFonts w:ascii="Garamond" w:hAnsi="Garamond"/>
          <w:sz w:val="24"/>
          <w:szCs w:val="24"/>
        </w:rPr>
        <w:t xml:space="preserve">M. KAPHET </w:t>
      </w:r>
      <w:r w:rsidR="007B1543" w:rsidRPr="001D25B1">
        <w:rPr>
          <w:rFonts w:ascii="Garamond" w:hAnsi="Garamond"/>
          <w:sz w:val="24"/>
          <w:szCs w:val="24"/>
        </w:rPr>
        <w:t xml:space="preserve">a été </w:t>
      </w:r>
      <w:r w:rsidR="001E4DFE" w:rsidRPr="001D25B1">
        <w:rPr>
          <w:rFonts w:ascii="Garamond" w:hAnsi="Garamond"/>
          <w:sz w:val="24"/>
          <w:szCs w:val="24"/>
        </w:rPr>
        <w:t>arrêté dans sa tenue le 24 août 2012</w:t>
      </w:r>
      <w:r w:rsidR="007B1543" w:rsidRPr="001D25B1">
        <w:rPr>
          <w:rFonts w:ascii="Garamond" w:hAnsi="Garamond"/>
          <w:sz w:val="24"/>
          <w:szCs w:val="24"/>
        </w:rPr>
        <w:t xml:space="preserve"> et</w:t>
      </w:r>
      <w:r w:rsidR="001E4DFE" w:rsidRPr="001D25B1">
        <w:rPr>
          <w:rFonts w:ascii="Garamond" w:hAnsi="Garamond"/>
          <w:sz w:val="24"/>
          <w:szCs w:val="24"/>
        </w:rPr>
        <w:t xml:space="preserve"> </w:t>
      </w:r>
      <w:r w:rsidR="0060008E" w:rsidRPr="001D25B1">
        <w:rPr>
          <w:rFonts w:ascii="Garamond" w:hAnsi="Garamond"/>
          <w:sz w:val="24"/>
          <w:szCs w:val="24"/>
        </w:rPr>
        <w:t xml:space="preserve">a été transféré à la DST. Il y </w:t>
      </w:r>
      <w:r w:rsidR="001E4DFE" w:rsidRPr="001D25B1">
        <w:rPr>
          <w:rFonts w:ascii="Garamond" w:hAnsi="Garamond"/>
          <w:sz w:val="24"/>
          <w:szCs w:val="24"/>
        </w:rPr>
        <w:t>a séjourné 12 jours sans se laver</w:t>
      </w:r>
      <w:r w:rsidR="007B1543" w:rsidRPr="001D25B1">
        <w:rPr>
          <w:rFonts w:ascii="Garamond" w:hAnsi="Garamond"/>
          <w:sz w:val="24"/>
          <w:szCs w:val="24"/>
        </w:rPr>
        <w:t>,</w:t>
      </w:r>
      <w:r w:rsidR="001E4DFE" w:rsidRPr="001D25B1">
        <w:rPr>
          <w:rFonts w:ascii="Garamond" w:hAnsi="Garamond"/>
          <w:sz w:val="24"/>
          <w:szCs w:val="24"/>
        </w:rPr>
        <w:t xml:space="preserve"> ni prendre ses médicaments. Il était interdit de visite. C’est le 5</w:t>
      </w:r>
      <w:r w:rsidR="000D3059" w:rsidRPr="001D25B1">
        <w:rPr>
          <w:rFonts w:ascii="Garamond" w:hAnsi="Garamond"/>
          <w:sz w:val="24"/>
          <w:szCs w:val="24"/>
        </w:rPr>
        <w:t xml:space="preserve"> </w:t>
      </w:r>
      <w:r w:rsidR="001E4DFE" w:rsidRPr="001D25B1">
        <w:rPr>
          <w:rFonts w:ascii="Garamond" w:hAnsi="Garamond"/>
          <w:sz w:val="24"/>
          <w:szCs w:val="24"/>
        </w:rPr>
        <w:t>septembre 2012</w:t>
      </w:r>
      <w:r w:rsidR="007B1543" w:rsidRPr="001D25B1">
        <w:rPr>
          <w:rFonts w:ascii="Garamond" w:hAnsi="Garamond"/>
          <w:sz w:val="24"/>
          <w:szCs w:val="24"/>
        </w:rPr>
        <w:t>,</w:t>
      </w:r>
      <w:r w:rsidR="001E4DFE" w:rsidRPr="001D25B1">
        <w:rPr>
          <w:rFonts w:ascii="Garamond" w:hAnsi="Garamond"/>
          <w:sz w:val="24"/>
          <w:szCs w:val="24"/>
        </w:rPr>
        <w:t xml:space="preserve"> après avoir été entendu par la cellule spéciale d’enquête qu’il a été tr</w:t>
      </w:r>
      <w:r w:rsidR="00D513C2" w:rsidRPr="001D25B1">
        <w:rPr>
          <w:rFonts w:ascii="Garamond" w:hAnsi="Garamond"/>
          <w:sz w:val="24"/>
          <w:szCs w:val="24"/>
        </w:rPr>
        <w:t>ansféré à la MACA où il séjourn</w:t>
      </w:r>
      <w:r w:rsidR="0060008E" w:rsidRPr="001D25B1">
        <w:rPr>
          <w:rFonts w:ascii="Garamond" w:hAnsi="Garamond"/>
          <w:sz w:val="24"/>
          <w:szCs w:val="24"/>
        </w:rPr>
        <w:t>e</w:t>
      </w:r>
      <w:r w:rsidR="00566EC9" w:rsidRPr="001D25B1">
        <w:rPr>
          <w:rFonts w:ascii="Garamond" w:hAnsi="Garamond"/>
          <w:sz w:val="24"/>
          <w:szCs w:val="24"/>
        </w:rPr>
        <w:t xml:space="preserve"> </w:t>
      </w:r>
      <w:r w:rsidR="001E4DFE" w:rsidRPr="001D25B1">
        <w:rPr>
          <w:rFonts w:ascii="Garamond" w:hAnsi="Garamond"/>
          <w:sz w:val="24"/>
          <w:szCs w:val="24"/>
        </w:rPr>
        <w:t>en détention préventive</w:t>
      </w:r>
      <w:r w:rsidR="007B1543" w:rsidRPr="001D25B1">
        <w:rPr>
          <w:rFonts w:ascii="Garamond" w:hAnsi="Garamond"/>
          <w:sz w:val="24"/>
          <w:szCs w:val="24"/>
        </w:rPr>
        <w:t xml:space="preserve"> depuis cette date</w:t>
      </w:r>
      <w:r w:rsidR="001E4DFE" w:rsidRPr="001D25B1">
        <w:rPr>
          <w:rFonts w:ascii="Garamond" w:hAnsi="Garamond"/>
          <w:sz w:val="24"/>
          <w:szCs w:val="24"/>
        </w:rPr>
        <w:t xml:space="preserve">. C’est dans le journal « l’expression» proche du pouvoir du 25 août  2012 </w:t>
      </w:r>
      <w:r w:rsidR="000D3059" w:rsidRPr="001D25B1">
        <w:rPr>
          <w:rFonts w:ascii="Garamond" w:hAnsi="Garamond"/>
          <w:sz w:val="24"/>
          <w:szCs w:val="24"/>
        </w:rPr>
        <w:t xml:space="preserve">que son entourage a appris qu’il lui était reproché d’avoir porté atteinte à la sureté d’Etat. Son avocat n’a </w:t>
      </w:r>
      <w:r w:rsidR="008B78B6" w:rsidRPr="001D25B1">
        <w:rPr>
          <w:rFonts w:ascii="Garamond" w:hAnsi="Garamond"/>
          <w:sz w:val="24"/>
          <w:szCs w:val="24"/>
        </w:rPr>
        <w:t>jusque-là</w:t>
      </w:r>
      <w:r w:rsidR="000D3059" w:rsidRPr="001D25B1">
        <w:rPr>
          <w:rFonts w:ascii="Garamond" w:hAnsi="Garamond"/>
          <w:sz w:val="24"/>
          <w:szCs w:val="24"/>
        </w:rPr>
        <w:t xml:space="preserve"> pas obtenu la liberté provisoire alors qu’il se trouverait en détention préventive injustifiée. En réalité sa situation </w:t>
      </w:r>
      <w:r w:rsidR="007B1543" w:rsidRPr="001D25B1">
        <w:rPr>
          <w:rFonts w:ascii="Garamond" w:hAnsi="Garamond"/>
          <w:sz w:val="24"/>
          <w:szCs w:val="24"/>
        </w:rPr>
        <w:t>serait liée</w:t>
      </w:r>
      <w:r w:rsidR="000D3059" w:rsidRPr="001D25B1">
        <w:rPr>
          <w:rFonts w:ascii="Garamond" w:hAnsi="Garamond"/>
          <w:sz w:val="24"/>
          <w:szCs w:val="24"/>
        </w:rPr>
        <w:t xml:space="preserve"> avec ses </w:t>
      </w:r>
      <w:r w:rsidR="007B1543" w:rsidRPr="001D25B1">
        <w:rPr>
          <w:rFonts w:ascii="Garamond" w:hAnsi="Garamond"/>
          <w:sz w:val="24"/>
          <w:szCs w:val="24"/>
        </w:rPr>
        <w:t xml:space="preserve">relations </w:t>
      </w:r>
      <w:r w:rsidR="000D3059" w:rsidRPr="001D25B1">
        <w:rPr>
          <w:rFonts w:ascii="Garamond" w:hAnsi="Garamond"/>
          <w:sz w:val="24"/>
          <w:szCs w:val="24"/>
        </w:rPr>
        <w:t>avec l’ancien pouvoir.</w:t>
      </w:r>
    </w:p>
    <w:p w:rsidR="00EF35C5" w:rsidRPr="001D25B1" w:rsidRDefault="00EF35C5" w:rsidP="00EF35C5">
      <w:pPr>
        <w:spacing w:before="120" w:after="120" w:line="276" w:lineRule="auto"/>
        <w:jc w:val="both"/>
        <w:rPr>
          <w:rFonts w:ascii="Garamond" w:eastAsia="Times New Roman" w:hAnsi="Garamond" w:cs="Garamond"/>
          <w:b/>
          <w:i/>
          <w:color w:val="365F91"/>
          <w:sz w:val="24"/>
          <w:szCs w:val="24"/>
        </w:rPr>
      </w:pPr>
      <w:r w:rsidRPr="001D25B1">
        <w:rPr>
          <w:rFonts w:ascii="Garamond" w:eastAsia="Times New Roman" w:hAnsi="Garamond" w:cs="Garamond"/>
          <w:b/>
          <w:i/>
          <w:color w:val="365F91"/>
          <w:sz w:val="24"/>
          <w:szCs w:val="24"/>
        </w:rPr>
        <w:t xml:space="preserve">La FIACAT et l'ACAT Côte d’Ivoire invitent le Comité des droits de l’homme à recommander à l’Etat partie de: </w:t>
      </w:r>
    </w:p>
    <w:p w:rsidR="00EF35C5" w:rsidRPr="001D25B1" w:rsidRDefault="00EF35C5" w:rsidP="00A6022A">
      <w:pPr>
        <w:pStyle w:val="Paragraphedeliste"/>
        <w:numPr>
          <w:ilvl w:val="1"/>
          <w:numId w:val="43"/>
        </w:numPr>
        <w:rPr>
          <w:b/>
          <w:i/>
          <w:color w:val="365F91"/>
        </w:rPr>
      </w:pPr>
      <w:r w:rsidRPr="001D25B1">
        <w:rPr>
          <w:b/>
          <w:i/>
          <w:color w:val="365F91"/>
        </w:rPr>
        <w:t>Faciliter l’accès de la société civile aux lieux privatifs de liberté ;</w:t>
      </w:r>
    </w:p>
    <w:p w:rsidR="00EF35C5" w:rsidRPr="001D25B1" w:rsidRDefault="00EF35C5" w:rsidP="00A6022A">
      <w:pPr>
        <w:pStyle w:val="Paragraphedeliste"/>
        <w:numPr>
          <w:ilvl w:val="1"/>
          <w:numId w:val="43"/>
        </w:numPr>
        <w:rPr>
          <w:b/>
          <w:i/>
          <w:color w:val="365F91"/>
        </w:rPr>
      </w:pPr>
      <w:r w:rsidRPr="001D25B1">
        <w:rPr>
          <w:b/>
          <w:i/>
          <w:color w:val="365F91"/>
        </w:rPr>
        <w:t>Ratifier le Protocole facultatif à la Convention contre la torture et autres peines ou traitements cruels, inhumains ou dégradants (OPCAT) ;</w:t>
      </w:r>
    </w:p>
    <w:p w:rsidR="00EF35C5" w:rsidRPr="001D25B1" w:rsidRDefault="00EF35C5" w:rsidP="00A6022A">
      <w:pPr>
        <w:pStyle w:val="Paragraphedeliste"/>
        <w:numPr>
          <w:ilvl w:val="1"/>
          <w:numId w:val="43"/>
        </w:numPr>
        <w:rPr>
          <w:b/>
          <w:i/>
          <w:color w:val="365F91"/>
        </w:rPr>
      </w:pPr>
      <w:r w:rsidRPr="001D25B1">
        <w:rPr>
          <w:b/>
          <w:i/>
          <w:color w:val="365F91"/>
        </w:rPr>
        <w:t xml:space="preserve">Veiller au strict respect des procédures entourant la garde à vue par les officiers de police judiciaire et par le </w:t>
      </w:r>
      <w:r w:rsidR="00DD5732" w:rsidRPr="001D25B1">
        <w:rPr>
          <w:b/>
          <w:i/>
          <w:color w:val="365F91"/>
        </w:rPr>
        <w:t>M</w:t>
      </w:r>
      <w:r w:rsidRPr="001D25B1">
        <w:rPr>
          <w:b/>
          <w:i/>
          <w:color w:val="365F91"/>
        </w:rPr>
        <w:t>inistère public ;</w:t>
      </w:r>
    </w:p>
    <w:p w:rsidR="00EF35C5" w:rsidRPr="001D25B1" w:rsidRDefault="00EF35C5" w:rsidP="00A6022A">
      <w:pPr>
        <w:pStyle w:val="Paragraphedeliste"/>
        <w:numPr>
          <w:ilvl w:val="1"/>
          <w:numId w:val="43"/>
        </w:numPr>
        <w:rPr>
          <w:b/>
          <w:i/>
          <w:color w:val="365F91"/>
        </w:rPr>
      </w:pPr>
      <w:r w:rsidRPr="001D25B1">
        <w:rPr>
          <w:b/>
          <w:i/>
          <w:color w:val="365F91"/>
        </w:rPr>
        <w:t>Mettre fin aux gardes à vue illégales ;</w:t>
      </w:r>
    </w:p>
    <w:p w:rsidR="00EF35C5" w:rsidRPr="001D25B1" w:rsidRDefault="00EF35C5" w:rsidP="00A6022A">
      <w:pPr>
        <w:pStyle w:val="Paragraphedeliste"/>
        <w:numPr>
          <w:ilvl w:val="1"/>
          <w:numId w:val="43"/>
        </w:numPr>
        <w:rPr>
          <w:b/>
          <w:i/>
          <w:color w:val="365F91"/>
        </w:rPr>
      </w:pPr>
      <w:r w:rsidRPr="001D25B1">
        <w:rPr>
          <w:b/>
          <w:i/>
          <w:color w:val="365F91"/>
        </w:rPr>
        <w:t>Veiller au respect strict des procédures entourant la détention préventive ;</w:t>
      </w:r>
    </w:p>
    <w:p w:rsidR="00EF35C5" w:rsidRDefault="00EF35C5" w:rsidP="00A6022A">
      <w:pPr>
        <w:pStyle w:val="Paragraphedeliste"/>
        <w:numPr>
          <w:ilvl w:val="1"/>
          <w:numId w:val="43"/>
        </w:numPr>
        <w:rPr>
          <w:b/>
          <w:i/>
          <w:color w:val="365F91"/>
        </w:rPr>
      </w:pPr>
      <w:r w:rsidRPr="001D25B1">
        <w:rPr>
          <w:b/>
          <w:i/>
          <w:color w:val="365F91"/>
        </w:rPr>
        <w:t>Promouvoir la diffusion des textes de lois, pour une meilleure connaissance de ses droits par la population ivoirienne ;</w:t>
      </w:r>
    </w:p>
    <w:p w:rsidR="00895FAB" w:rsidRPr="001D25B1" w:rsidRDefault="00895FAB" w:rsidP="001D25B1">
      <w:pPr>
        <w:pStyle w:val="Paragraphedeliste"/>
        <w:ind w:left="1440"/>
        <w:rPr>
          <w:b/>
          <w:i/>
          <w:color w:val="365F91"/>
        </w:rPr>
      </w:pPr>
    </w:p>
    <w:p w:rsidR="00FC1C58" w:rsidRPr="001D25B1" w:rsidRDefault="00FC1C58" w:rsidP="00304045">
      <w:pPr>
        <w:pStyle w:val="Titre3"/>
      </w:pPr>
      <w:bookmarkStart w:id="90" w:name="_Toc412111730"/>
      <w:r w:rsidRPr="001D25B1">
        <w:t>Le droit à réparation</w:t>
      </w:r>
      <w:bookmarkEnd w:id="90"/>
      <w:r w:rsidRPr="001D25B1">
        <w:t xml:space="preserve"> </w:t>
      </w:r>
      <w:bookmarkEnd w:id="88"/>
      <w:bookmarkEnd w:id="89"/>
    </w:p>
    <w:p w:rsidR="00FC1C58" w:rsidRPr="001D25B1" w:rsidRDefault="001553FC" w:rsidP="001A1EE5">
      <w:pPr>
        <w:spacing w:before="120" w:after="120" w:line="276" w:lineRule="auto"/>
        <w:jc w:val="both"/>
        <w:rPr>
          <w:rFonts w:ascii="Garamond" w:eastAsia="Times New Roman" w:hAnsi="Garamond" w:cs="Garamond"/>
          <w:sz w:val="24"/>
          <w:szCs w:val="24"/>
        </w:rPr>
      </w:pPr>
      <w:r>
        <w:rPr>
          <w:rFonts w:ascii="Garamond" w:eastAsia="Times New Roman" w:hAnsi="Garamond" w:cs="Garamond"/>
          <w:sz w:val="24"/>
          <w:szCs w:val="24"/>
        </w:rPr>
        <w:t xml:space="preserve">Faute d’incrimination de la torture dans le Code pénal, </w:t>
      </w:r>
      <w:r w:rsidR="00FC1C58" w:rsidRPr="001D25B1">
        <w:rPr>
          <w:rFonts w:ascii="Garamond" w:eastAsia="Times New Roman" w:hAnsi="Garamond" w:cs="Garamond"/>
          <w:sz w:val="24"/>
          <w:szCs w:val="24"/>
        </w:rPr>
        <w:t>les victimes ne peuvent ni au plan national</w:t>
      </w:r>
      <w:r w:rsidR="00763E1C" w:rsidRPr="001D25B1">
        <w:rPr>
          <w:rFonts w:ascii="Garamond" w:eastAsia="Times New Roman" w:hAnsi="Garamond" w:cs="Garamond"/>
          <w:sz w:val="24"/>
          <w:szCs w:val="24"/>
        </w:rPr>
        <w:t>,</w:t>
      </w:r>
      <w:r w:rsidR="00FC1C58" w:rsidRPr="001D25B1">
        <w:rPr>
          <w:rFonts w:ascii="Garamond" w:eastAsia="Times New Roman" w:hAnsi="Garamond" w:cs="Garamond"/>
          <w:sz w:val="24"/>
          <w:szCs w:val="24"/>
        </w:rPr>
        <w:t xml:space="preserve"> ni au plan international obtenir justice et réparation. Pour la plupart analphabète</w:t>
      </w:r>
      <w:r w:rsidR="004E44BA">
        <w:rPr>
          <w:rFonts w:ascii="Garamond" w:eastAsia="Times New Roman" w:hAnsi="Garamond" w:cs="Garamond"/>
          <w:sz w:val="24"/>
          <w:szCs w:val="24"/>
        </w:rPr>
        <w:t>s</w:t>
      </w:r>
      <w:r w:rsidR="00FC1C58" w:rsidRPr="001D25B1">
        <w:rPr>
          <w:rFonts w:ascii="Garamond" w:eastAsia="Times New Roman" w:hAnsi="Garamond" w:cs="Garamond"/>
          <w:sz w:val="24"/>
          <w:szCs w:val="24"/>
        </w:rPr>
        <w:t xml:space="preserve"> et pauvre</w:t>
      </w:r>
      <w:r w:rsidR="004E44BA">
        <w:rPr>
          <w:rFonts w:ascii="Garamond" w:eastAsia="Times New Roman" w:hAnsi="Garamond" w:cs="Garamond"/>
          <w:sz w:val="24"/>
          <w:szCs w:val="24"/>
        </w:rPr>
        <w:t>s</w:t>
      </w:r>
      <w:r w:rsidR="00FC1C58" w:rsidRPr="001D25B1">
        <w:rPr>
          <w:rFonts w:ascii="Garamond" w:eastAsia="Times New Roman" w:hAnsi="Garamond" w:cs="Garamond"/>
          <w:sz w:val="24"/>
          <w:szCs w:val="24"/>
        </w:rPr>
        <w:t xml:space="preserve">, elles n’ont pas les moyens </w:t>
      </w:r>
      <w:r w:rsidR="00C850AC" w:rsidRPr="001D25B1">
        <w:rPr>
          <w:rFonts w:ascii="Garamond" w:eastAsia="Times New Roman" w:hAnsi="Garamond" w:cs="Garamond"/>
          <w:sz w:val="24"/>
          <w:szCs w:val="24"/>
        </w:rPr>
        <w:t>d’obtenir</w:t>
      </w:r>
      <w:r w:rsidR="00FC1C58" w:rsidRPr="001D25B1">
        <w:rPr>
          <w:rFonts w:ascii="Garamond" w:eastAsia="Times New Roman" w:hAnsi="Garamond" w:cs="Garamond"/>
          <w:sz w:val="24"/>
          <w:szCs w:val="24"/>
        </w:rPr>
        <w:t xml:space="preserve"> les services d’un auxiliaire de justice pour exercer </w:t>
      </w:r>
      <w:r>
        <w:rPr>
          <w:rFonts w:ascii="Garamond" w:eastAsia="Times New Roman" w:hAnsi="Garamond" w:cs="Garamond"/>
          <w:sz w:val="24"/>
          <w:szCs w:val="24"/>
        </w:rPr>
        <w:t>d</w:t>
      </w:r>
      <w:r w:rsidR="00FC1C58" w:rsidRPr="001D25B1">
        <w:rPr>
          <w:rFonts w:ascii="Garamond" w:eastAsia="Times New Roman" w:hAnsi="Garamond" w:cs="Garamond"/>
          <w:sz w:val="24"/>
          <w:szCs w:val="24"/>
        </w:rPr>
        <w:t>es recours devant</w:t>
      </w:r>
      <w:r w:rsidR="00763E1C" w:rsidRPr="001D25B1">
        <w:rPr>
          <w:rFonts w:ascii="Garamond" w:eastAsia="Times New Roman" w:hAnsi="Garamond" w:cs="Garamond"/>
          <w:sz w:val="24"/>
          <w:szCs w:val="24"/>
        </w:rPr>
        <w:t xml:space="preserve"> </w:t>
      </w:r>
      <w:r>
        <w:rPr>
          <w:rFonts w:ascii="Garamond" w:eastAsia="Times New Roman" w:hAnsi="Garamond" w:cs="Garamond"/>
          <w:sz w:val="24"/>
          <w:szCs w:val="24"/>
        </w:rPr>
        <w:t xml:space="preserve">les juridictions nationales. </w:t>
      </w:r>
      <w:r w:rsidR="00FC1C58" w:rsidRPr="001D25B1">
        <w:rPr>
          <w:rFonts w:ascii="Garamond" w:eastAsia="Times New Roman" w:hAnsi="Garamond" w:cs="Garamond"/>
          <w:sz w:val="24"/>
          <w:szCs w:val="24"/>
        </w:rPr>
        <w:t xml:space="preserve">Les ONG locales ne disposent pas toujours de moyens suffisants pour accompagner les victimes devant les mécanismes </w:t>
      </w:r>
      <w:r>
        <w:rPr>
          <w:rFonts w:ascii="Garamond" w:eastAsia="Times New Roman" w:hAnsi="Garamond" w:cs="Garamond"/>
          <w:sz w:val="24"/>
          <w:szCs w:val="24"/>
        </w:rPr>
        <w:t xml:space="preserve">internationaux et régionaux </w:t>
      </w:r>
      <w:r w:rsidR="00FC1C58" w:rsidRPr="001D25B1">
        <w:rPr>
          <w:rFonts w:ascii="Garamond" w:eastAsia="Times New Roman" w:hAnsi="Garamond" w:cs="Garamond"/>
          <w:sz w:val="24"/>
          <w:szCs w:val="24"/>
        </w:rPr>
        <w:t xml:space="preserve">de protection des droits de l’homme.  </w:t>
      </w:r>
    </w:p>
    <w:p w:rsidR="00FC1C58" w:rsidRPr="001D25B1" w:rsidRDefault="00FC1C58" w:rsidP="001A1EE5">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En outre, en l’absence de protection des victimes de torture et de mauvais traitement, celles-ci font l’objet de menace de la part de leurs bourreaux. </w:t>
      </w:r>
    </w:p>
    <w:p w:rsidR="00FC1C58" w:rsidRPr="001D25B1" w:rsidRDefault="00FC1C58">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Au cours de la présentation de son rapport, qui n’a pas encore été rendu public, le </w:t>
      </w:r>
      <w:r w:rsidR="0028068B">
        <w:rPr>
          <w:rFonts w:ascii="Garamond" w:eastAsia="Times New Roman" w:hAnsi="Garamond" w:cs="Garamond"/>
          <w:sz w:val="24"/>
          <w:szCs w:val="24"/>
        </w:rPr>
        <w:t>P</w:t>
      </w:r>
      <w:r w:rsidRPr="001D25B1">
        <w:rPr>
          <w:rFonts w:ascii="Garamond" w:eastAsia="Times New Roman" w:hAnsi="Garamond" w:cs="Garamond"/>
          <w:sz w:val="24"/>
          <w:szCs w:val="24"/>
        </w:rPr>
        <w:t>résident de la CDVR, a chiffré à plus de 75 000 le nombre de victimes de guerre</w:t>
      </w:r>
      <w:r w:rsidR="004E44BA">
        <w:rPr>
          <w:rFonts w:ascii="Garamond" w:eastAsia="Times New Roman" w:hAnsi="Garamond" w:cs="Garamond"/>
          <w:sz w:val="24"/>
          <w:szCs w:val="24"/>
        </w:rPr>
        <w:t>,</w:t>
      </w:r>
      <w:r w:rsidRPr="001D25B1">
        <w:rPr>
          <w:rFonts w:ascii="Garamond" w:eastAsia="Times New Roman" w:hAnsi="Garamond" w:cs="Garamond"/>
          <w:sz w:val="24"/>
          <w:szCs w:val="24"/>
        </w:rPr>
        <w:t xml:space="preserve"> dont de nombreux cas de torture et de mauvais traitements. Le nombre de victimes qui sont en attente de réparation est donc très important. Or, le droit à réparation des victimes est une obligation pour les Etats</w:t>
      </w:r>
      <w:r w:rsidRPr="001D25B1">
        <w:rPr>
          <w:rFonts w:ascii="Garamond" w:eastAsia="Times New Roman" w:hAnsi="Garamond" w:cs="Garamond"/>
          <w:sz w:val="24"/>
          <w:szCs w:val="24"/>
          <w:vertAlign w:val="superscript"/>
        </w:rPr>
        <w:footnoteReference w:id="45"/>
      </w:r>
      <w:r w:rsidRPr="001D25B1">
        <w:rPr>
          <w:rFonts w:ascii="Garamond" w:eastAsia="Times New Roman" w:hAnsi="Garamond" w:cs="Garamond"/>
          <w:sz w:val="24"/>
          <w:szCs w:val="24"/>
        </w:rPr>
        <w:t>.  Devant l’inaction des autorités ivoiriennes et l’injustice de plus en plus exprimée par les associations de victimes de guerre, l’expert indépendant, Doudou Diène a organisé une conférence internationale sur la situation des victimes de la crise ivoirienne, du 12 au 14 février 2014, à Abidjan. Au cours de cette rencontre, il a affirmé que : « </w:t>
      </w:r>
      <w:r w:rsidRPr="001D25B1">
        <w:rPr>
          <w:rFonts w:ascii="Garamond" w:eastAsia="Times New Roman" w:hAnsi="Garamond" w:cs="Garamond"/>
          <w:i/>
          <w:sz w:val="24"/>
          <w:szCs w:val="24"/>
        </w:rPr>
        <w:t>La responsabilité étatique en matière de réparation des violations des droits de l’homme répond à des critères objectifs tant au niveau des détenteurs de la puissance publique qu’au niveau de ceux qui en sont victimes. Cette responsabilité inclut la réparation des préjudices subis par toutes les victimes</w:t>
      </w:r>
      <w:r w:rsidRPr="001D25B1">
        <w:rPr>
          <w:rFonts w:ascii="Garamond" w:eastAsia="Times New Roman" w:hAnsi="Garamond" w:cs="Garamond"/>
          <w:sz w:val="24"/>
          <w:szCs w:val="24"/>
        </w:rPr>
        <w:t xml:space="preserve"> ». Il a également </w:t>
      </w:r>
      <w:r w:rsidR="00C850AC" w:rsidRPr="001D25B1">
        <w:rPr>
          <w:rFonts w:ascii="Garamond" w:eastAsia="Times New Roman" w:hAnsi="Garamond" w:cs="Garamond"/>
          <w:sz w:val="24"/>
          <w:szCs w:val="24"/>
        </w:rPr>
        <w:t xml:space="preserve">relevé </w:t>
      </w:r>
      <w:r w:rsidRPr="001D25B1">
        <w:rPr>
          <w:rFonts w:ascii="Garamond" w:eastAsia="Times New Roman" w:hAnsi="Garamond" w:cs="Garamond"/>
          <w:sz w:val="24"/>
          <w:szCs w:val="24"/>
        </w:rPr>
        <w:t>les fondements juridiques de la réparation en ces termes: « </w:t>
      </w:r>
      <w:r w:rsidRPr="001D25B1">
        <w:rPr>
          <w:rFonts w:ascii="Garamond" w:eastAsia="Times New Roman" w:hAnsi="Garamond" w:cs="Garamond"/>
          <w:i/>
          <w:sz w:val="24"/>
          <w:szCs w:val="24"/>
        </w:rPr>
        <w:t xml:space="preserve">La Constitution ivoirienne </w:t>
      </w:r>
      <w:r w:rsidRPr="001D25B1">
        <w:rPr>
          <w:rFonts w:ascii="Garamond" w:eastAsia="Times New Roman" w:hAnsi="Garamond" w:cs="Garamond"/>
          <w:i/>
          <w:sz w:val="24"/>
          <w:szCs w:val="24"/>
        </w:rPr>
        <w:lastRenderedPageBreak/>
        <w:t>reconnaît l’autorité des traités ou accords internationaux régulièrement ratifiés comme ayant force de loi. À ce titre la Côte d’Ivoire a ratifié plusieurs conventions internationales qui fondent la responsabilité de l’État en matière de réparation des victimes de violations des droits de l’homme et du droit international humanitaire ».</w:t>
      </w:r>
      <w:r w:rsidRPr="001D25B1">
        <w:rPr>
          <w:rFonts w:ascii="Garamond" w:eastAsia="Times New Roman" w:hAnsi="Garamond" w:cs="Garamond"/>
          <w:i/>
          <w:sz w:val="24"/>
          <w:szCs w:val="24"/>
          <w:vertAlign w:val="superscript"/>
        </w:rPr>
        <w:footnoteReference w:id="46"/>
      </w:r>
    </w:p>
    <w:p w:rsidR="00FC1C58" w:rsidRPr="00895FAB" w:rsidRDefault="00FC1C58">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Dans son message du nouvel an 2015, le chef de l’Etat a annoncé la création d’un fond de soutien aux victimes de guerre. </w:t>
      </w:r>
    </w:p>
    <w:p w:rsidR="00FC1C58" w:rsidRPr="001D25B1" w:rsidRDefault="00FC1C58">
      <w:pPr>
        <w:spacing w:before="120" w:after="120" w:line="276" w:lineRule="auto"/>
        <w:jc w:val="both"/>
        <w:rPr>
          <w:rFonts w:ascii="Garamond" w:eastAsia="Times New Roman" w:hAnsi="Garamond" w:cs="Garamond"/>
          <w:b/>
          <w:i/>
          <w:color w:val="365F91"/>
          <w:sz w:val="24"/>
          <w:szCs w:val="24"/>
        </w:rPr>
      </w:pPr>
      <w:r w:rsidRPr="001D25B1">
        <w:rPr>
          <w:rFonts w:ascii="Garamond" w:eastAsia="Times New Roman" w:hAnsi="Garamond" w:cs="Garamond"/>
          <w:b/>
          <w:i/>
          <w:color w:val="365F91"/>
          <w:sz w:val="24"/>
          <w:szCs w:val="24"/>
        </w:rPr>
        <w:t xml:space="preserve">La FIACAT et l'ACAT Côte d’Ivoire invitent le Comité des droits de l’homme à recommander à l’Etat partie de: </w:t>
      </w:r>
    </w:p>
    <w:p w:rsidR="00FC1C58" w:rsidRPr="001D25B1" w:rsidRDefault="00FC1C58" w:rsidP="00A6022A">
      <w:pPr>
        <w:pStyle w:val="Paragraphedeliste"/>
        <w:numPr>
          <w:ilvl w:val="1"/>
          <w:numId w:val="43"/>
        </w:numPr>
        <w:rPr>
          <w:b/>
          <w:i/>
          <w:color w:val="365F91"/>
        </w:rPr>
      </w:pPr>
      <w:r w:rsidRPr="001D25B1">
        <w:rPr>
          <w:b/>
          <w:i/>
          <w:color w:val="365F91"/>
        </w:rPr>
        <w:t xml:space="preserve">Procéder à la réparation sans délais des victimes de la torture et de mauvais traitements ; </w:t>
      </w:r>
    </w:p>
    <w:p w:rsidR="008E3AB0" w:rsidRDefault="00FC1C58" w:rsidP="00A6022A">
      <w:pPr>
        <w:pStyle w:val="Paragraphedeliste"/>
        <w:numPr>
          <w:ilvl w:val="1"/>
          <w:numId w:val="43"/>
        </w:numPr>
        <w:rPr>
          <w:b/>
          <w:i/>
          <w:color w:val="365F91"/>
        </w:rPr>
      </w:pPr>
      <w:r w:rsidRPr="001D25B1">
        <w:rPr>
          <w:b/>
          <w:i/>
          <w:color w:val="365F91"/>
        </w:rPr>
        <w:t>Assurer la sécurité des victimes, des familles des victimes et des témoins d’actes de torture et de mauvais traitements contre les menaces des auteurs de tels actes</w:t>
      </w:r>
      <w:r w:rsidR="008E3AB0">
        <w:rPr>
          <w:b/>
          <w:i/>
          <w:color w:val="365F91"/>
        </w:rPr>
        <w:t> ;</w:t>
      </w:r>
    </w:p>
    <w:p w:rsidR="00090D1A" w:rsidRPr="001D25B1" w:rsidRDefault="008E3AB0" w:rsidP="00A6022A">
      <w:pPr>
        <w:pStyle w:val="Paragraphedeliste"/>
        <w:numPr>
          <w:ilvl w:val="1"/>
          <w:numId w:val="43"/>
        </w:numPr>
        <w:rPr>
          <w:b/>
          <w:i/>
          <w:color w:val="365F91"/>
        </w:rPr>
      </w:pPr>
      <w:r>
        <w:rPr>
          <w:b/>
          <w:i/>
          <w:color w:val="365F91"/>
        </w:rPr>
        <w:t>Diligenter la création d’un fond de soutien aux victimes de guerre dans les plus brefs délais.</w:t>
      </w:r>
    </w:p>
    <w:p w:rsidR="00090D1A" w:rsidRPr="00212184" w:rsidRDefault="00090D1A">
      <w:pPr>
        <w:spacing w:before="120" w:after="120" w:line="276" w:lineRule="auto"/>
        <w:jc w:val="both"/>
        <w:rPr>
          <w:rFonts w:ascii="Garamond" w:eastAsia="Times New Roman" w:hAnsi="Garamond" w:cs="Garamond"/>
          <w:sz w:val="24"/>
          <w:szCs w:val="24"/>
        </w:rPr>
      </w:pPr>
    </w:p>
    <w:p w:rsidR="00FC1C58" w:rsidRPr="00212184" w:rsidRDefault="00FC1C58" w:rsidP="00304045">
      <w:pPr>
        <w:pStyle w:val="Titre2"/>
      </w:pPr>
      <w:bookmarkStart w:id="91" w:name="_Toc386200925"/>
      <w:bookmarkStart w:id="92" w:name="_Toc412111731"/>
      <w:r w:rsidRPr="00212184">
        <w:t>Article 10 : Le traitement des personnes privées de liberté</w:t>
      </w:r>
      <w:bookmarkEnd w:id="91"/>
      <w:bookmarkEnd w:id="92"/>
    </w:p>
    <w:p w:rsidR="00FC1C58" w:rsidRPr="00212184" w:rsidRDefault="00FC1C58" w:rsidP="001A1EE5">
      <w:pPr>
        <w:spacing w:before="120" w:after="120" w:line="276" w:lineRule="auto"/>
        <w:jc w:val="both"/>
        <w:rPr>
          <w:rFonts w:ascii="Garamond" w:eastAsia="Times New Roman" w:hAnsi="Garamond" w:cs="Garamond"/>
          <w:sz w:val="24"/>
          <w:szCs w:val="24"/>
        </w:rPr>
      </w:pPr>
    </w:p>
    <w:p w:rsidR="00FC1C58" w:rsidRPr="00212184" w:rsidRDefault="00FC1C58" w:rsidP="006D0349">
      <w:pPr>
        <w:pStyle w:val="Titre3"/>
        <w:numPr>
          <w:ilvl w:val="0"/>
          <w:numId w:val="25"/>
        </w:numPr>
      </w:pPr>
      <w:bookmarkStart w:id="93" w:name="_Toc366598960"/>
      <w:bookmarkStart w:id="94" w:name="_Toc366599000"/>
      <w:bookmarkStart w:id="95" w:name="_Toc386019506"/>
      <w:bookmarkStart w:id="96" w:name="_Toc386200926"/>
      <w:bookmarkStart w:id="97" w:name="_Toc412111732"/>
      <w:r w:rsidRPr="00212184">
        <w:t>La surpopulation carcérale</w:t>
      </w:r>
      <w:bookmarkEnd w:id="93"/>
      <w:bookmarkEnd w:id="94"/>
      <w:bookmarkEnd w:id="95"/>
      <w:bookmarkEnd w:id="96"/>
      <w:bookmarkEnd w:id="97"/>
    </w:p>
    <w:p w:rsidR="00FC1C58" w:rsidRPr="00212184" w:rsidRDefault="00FC1C58" w:rsidP="001A1EE5">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xml:space="preserve">La Côte d’Ivoire compte 34 établissements pénitentiaires, 3 </w:t>
      </w:r>
      <w:r w:rsidR="00A805AE">
        <w:rPr>
          <w:rFonts w:ascii="Garamond" w:eastAsia="Times New Roman" w:hAnsi="Garamond" w:cs="Garamond"/>
          <w:sz w:val="24"/>
          <w:szCs w:val="24"/>
        </w:rPr>
        <w:t>c</w:t>
      </w:r>
      <w:r w:rsidRPr="00212184">
        <w:rPr>
          <w:rFonts w:ascii="Garamond" w:eastAsia="Times New Roman" w:hAnsi="Garamond" w:cs="Garamond"/>
          <w:sz w:val="24"/>
          <w:szCs w:val="24"/>
        </w:rPr>
        <w:t xml:space="preserve">entres d’observation et 2 </w:t>
      </w:r>
      <w:r w:rsidR="00A805AE">
        <w:rPr>
          <w:rFonts w:ascii="Garamond" w:eastAsia="Times New Roman" w:hAnsi="Garamond" w:cs="Garamond"/>
          <w:sz w:val="24"/>
          <w:szCs w:val="24"/>
        </w:rPr>
        <w:t>c</w:t>
      </w:r>
      <w:r w:rsidRPr="00212184">
        <w:rPr>
          <w:rFonts w:ascii="Garamond" w:eastAsia="Times New Roman" w:hAnsi="Garamond" w:cs="Garamond"/>
          <w:sz w:val="24"/>
          <w:szCs w:val="24"/>
        </w:rPr>
        <w:t>entres de rééducation pour les mineurs.</w:t>
      </w:r>
    </w:p>
    <w:p w:rsidR="00F523EF" w:rsidRPr="00090D1A" w:rsidRDefault="00FC1C58">
      <w:pPr>
        <w:spacing w:before="120" w:after="120" w:line="276" w:lineRule="auto"/>
        <w:jc w:val="both"/>
        <w:rPr>
          <w:rFonts w:ascii="Garamond" w:eastAsia="Times New Roman" w:hAnsi="Garamond" w:cs="Garamond"/>
          <w:sz w:val="24"/>
          <w:szCs w:val="24"/>
        </w:rPr>
      </w:pPr>
      <w:r w:rsidRPr="00212184">
        <w:rPr>
          <w:rFonts w:ascii="Garamond" w:eastAsia="Times New Roman" w:hAnsi="Garamond" w:cs="Garamond"/>
          <w:sz w:val="24"/>
          <w:szCs w:val="24"/>
        </w:rPr>
        <w:t xml:space="preserve">La population carcérale s’élevait, le 31 </w:t>
      </w:r>
      <w:r w:rsidR="00AA1047">
        <w:rPr>
          <w:rFonts w:ascii="Garamond" w:eastAsia="Times New Roman" w:hAnsi="Garamond" w:cs="Garamond"/>
          <w:sz w:val="24"/>
          <w:szCs w:val="24"/>
        </w:rPr>
        <w:t>décembre</w:t>
      </w:r>
      <w:r w:rsidRPr="00212184">
        <w:rPr>
          <w:rFonts w:ascii="Garamond" w:eastAsia="Times New Roman" w:hAnsi="Garamond" w:cs="Garamond"/>
          <w:sz w:val="24"/>
          <w:szCs w:val="24"/>
        </w:rPr>
        <w:t xml:space="preserve"> 2014, à </w:t>
      </w:r>
      <w:r w:rsidR="00AA1047">
        <w:rPr>
          <w:rFonts w:ascii="Garamond" w:eastAsia="Times New Roman" w:hAnsi="Garamond" w:cs="Garamond"/>
          <w:sz w:val="24"/>
          <w:szCs w:val="24"/>
        </w:rPr>
        <w:t>11 338</w:t>
      </w:r>
      <w:r w:rsidRPr="00212184">
        <w:rPr>
          <w:rFonts w:ascii="Garamond" w:eastAsia="Times New Roman" w:hAnsi="Garamond" w:cs="Garamond"/>
          <w:sz w:val="24"/>
          <w:szCs w:val="24"/>
        </w:rPr>
        <w:t xml:space="preserve"> détenus sur l’ensemble du territoire. On dénombrait 4 </w:t>
      </w:r>
      <w:r w:rsidR="00AA1047">
        <w:rPr>
          <w:rFonts w:ascii="Garamond" w:eastAsia="Times New Roman" w:hAnsi="Garamond" w:cs="Garamond"/>
          <w:sz w:val="24"/>
          <w:szCs w:val="24"/>
        </w:rPr>
        <w:t>521</w:t>
      </w:r>
      <w:r w:rsidRPr="00212184">
        <w:rPr>
          <w:rFonts w:ascii="Garamond" w:eastAsia="Times New Roman" w:hAnsi="Garamond" w:cs="Garamond"/>
          <w:sz w:val="24"/>
          <w:szCs w:val="24"/>
        </w:rPr>
        <w:t xml:space="preserve"> prévenus (</w:t>
      </w:r>
      <w:r w:rsidR="00AA1047">
        <w:rPr>
          <w:rFonts w:ascii="Garamond" w:eastAsia="Times New Roman" w:hAnsi="Garamond" w:cs="Garamond"/>
          <w:sz w:val="24"/>
          <w:szCs w:val="24"/>
        </w:rPr>
        <w:t>39,87%)</w:t>
      </w:r>
      <w:r w:rsidRPr="00212184">
        <w:rPr>
          <w:rFonts w:ascii="Garamond" w:eastAsia="Times New Roman" w:hAnsi="Garamond" w:cs="Garamond"/>
          <w:sz w:val="24"/>
          <w:szCs w:val="24"/>
        </w:rPr>
        <w:t xml:space="preserve"> et </w:t>
      </w:r>
      <w:r w:rsidR="00AA1047">
        <w:rPr>
          <w:rFonts w:ascii="Garamond" w:eastAsia="Times New Roman" w:hAnsi="Garamond" w:cs="Garamond"/>
          <w:sz w:val="24"/>
          <w:szCs w:val="24"/>
        </w:rPr>
        <w:t>6813</w:t>
      </w:r>
      <w:r w:rsidRPr="00212184">
        <w:rPr>
          <w:rFonts w:ascii="Garamond" w:eastAsia="Times New Roman" w:hAnsi="Garamond" w:cs="Garamond"/>
          <w:sz w:val="24"/>
          <w:szCs w:val="24"/>
        </w:rPr>
        <w:t xml:space="preserve"> condamnés (</w:t>
      </w:r>
      <w:r w:rsidR="00AA1047">
        <w:rPr>
          <w:rFonts w:ascii="Garamond" w:eastAsia="Times New Roman" w:hAnsi="Garamond" w:cs="Garamond"/>
          <w:sz w:val="24"/>
          <w:szCs w:val="24"/>
        </w:rPr>
        <w:t>60,09%)</w:t>
      </w:r>
      <w:r w:rsidR="00AA1047">
        <w:rPr>
          <w:rStyle w:val="Appelnotedebasdep"/>
          <w:rFonts w:ascii="Garamond" w:eastAsia="Times New Roman" w:hAnsi="Garamond" w:cs="Garamond"/>
          <w:sz w:val="24"/>
          <w:szCs w:val="24"/>
        </w:rPr>
        <w:footnoteReference w:id="47"/>
      </w:r>
    </w:p>
    <w:p w:rsidR="00F523EF" w:rsidRPr="00212184" w:rsidRDefault="00F523EF">
      <w:pPr>
        <w:spacing w:before="120" w:after="120" w:line="276" w:lineRule="auto"/>
        <w:jc w:val="both"/>
        <w:rPr>
          <w:rFonts w:ascii="Garamond" w:eastAsia="Times New Roman" w:hAnsi="Garamond" w:cs="Garamond"/>
          <w:sz w:val="20"/>
          <w:szCs w:val="20"/>
        </w:rPr>
      </w:pPr>
    </w:p>
    <w:p w:rsidR="00FC1C58" w:rsidRPr="00212184" w:rsidRDefault="00FC1C58">
      <w:pPr>
        <w:spacing w:before="120" w:after="120" w:line="276" w:lineRule="auto"/>
        <w:jc w:val="center"/>
        <w:rPr>
          <w:rFonts w:ascii="Garamond" w:eastAsia="Times New Roman" w:hAnsi="Garamond" w:cs="Garamond"/>
          <w:b/>
          <w:sz w:val="24"/>
          <w:szCs w:val="24"/>
        </w:rPr>
      </w:pPr>
      <w:r w:rsidRPr="00212184">
        <w:rPr>
          <w:rFonts w:ascii="Garamond" w:eastAsia="Times New Roman" w:hAnsi="Garamond" w:cs="Garamond"/>
          <w:b/>
          <w:sz w:val="24"/>
          <w:szCs w:val="24"/>
        </w:rPr>
        <w:t xml:space="preserve">Population carcérale en Côte d’Ivoire au 31 </w:t>
      </w:r>
      <w:r w:rsidR="00F523EF">
        <w:rPr>
          <w:rFonts w:ascii="Garamond" w:eastAsia="Times New Roman" w:hAnsi="Garamond" w:cs="Garamond"/>
          <w:b/>
          <w:sz w:val="24"/>
          <w:szCs w:val="24"/>
        </w:rPr>
        <w:t xml:space="preserve">décembre </w:t>
      </w:r>
      <w:r w:rsidRPr="00212184">
        <w:rPr>
          <w:rFonts w:ascii="Garamond" w:eastAsia="Times New Roman" w:hAnsi="Garamond" w:cs="Garamond"/>
          <w:b/>
          <w:sz w:val="24"/>
          <w:szCs w:val="24"/>
        </w:rPr>
        <w:t xml:space="preserve">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7"/>
        <w:gridCol w:w="1865"/>
        <w:gridCol w:w="1838"/>
        <w:gridCol w:w="1826"/>
        <w:gridCol w:w="1576"/>
      </w:tblGrid>
      <w:tr w:rsidR="00FC1C58" w:rsidRPr="00212184" w:rsidTr="00FC1C58">
        <w:trPr>
          <w:trHeight w:val="340"/>
        </w:trPr>
        <w:tc>
          <w:tcPr>
            <w:tcW w:w="1991" w:type="dxa"/>
            <w:shd w:val="clear" w:color="auto" w:fill="8DB3E2"/>
            <w:vAlign w:val="center"/>
          </w:tcPr>
          <w:p w:rsidR="00FC1C58" w:rsidRPr="00212184" w:rsidRDefault="00FC1C58">
            <w:pPr>
              <w:spacing w:before="120" w:after="120" w:line="276" w:lineRule="auto"/>
              <w:jc w:val="both"/>
              <w:rPr>
                <w:rFonts w:ascii="Garamond" w:eastAsia="Times New Roman" w:hAnsi="Garamond" w:cs="Garamond"/>
                <w:b/>
                <w:sz w:val="24"/>
                <w:szCs w:val="24"/>
              </w:rPr>
            </w:pPr>
          </w:p>
        </w:tc>
        <w:tc>
          <w:tcPr>
            <w:tcW w:w="1909" w:type="dxa"/>
            <w:shd w:val="clear" w:color="auto" w:fill="8DB3E2"/>
            <w:vAlign w:val="center"/>
          </w:tcPr>
          <w:p w:rsidR="00FC1C58" w:rsidRPr="00212184" w:rsidRDefault="00FC1C58">
            <w:pPr>
              <w:spacing w:before="120" w:after="120" w:line="276" w:lineRule="auto"/>
              <w:jc w:val="center"/>
              <w:rPr>
                <w:rFonts w:ascii="Garamond" w:eastAsia="Times New Roman" w:hAnsi="Garamond" w:cs="Garamond"/>
                <w:b/>
                <w:sz w:val="24"/>
                <w:szCs w:val="24"/>
              </w:rPr>
            </w:pPr>
            <w:r w:rsidRPr="00212184">
              <w:rPr>
                <w:rFonts w:ascii="Garamond" w:eastAsia="Times New Roman" w:hAnsi="Garamond" w:cs="Garamond"/>
                <w:b/>
                <w:sz w:val="24"/>
                <w:szCs w:val="24"/>
              </w:rPr>
              <w:t>Hommes</w:t>
            </w:r>
          </w:p>
        </w:tc>
        <w:tc>
          <w:tcPr>
            <w:tcW w:w="1885" w:type="dxa"/>
            <w:shd w:val="clear" w:color="auto" w:fill="8DB3E2"/>
            <w:vAlign w:val="center"/>
          </w:tcPr>
          <w:p w:rsidR="00FC1C58" w:rsidRPr="00212184" w:rsidRDefault="00FC1C58">
            <w:pPr>
              <w:spacing w:before="120" w:after="120" w:line="276" w:lineRule="auto"/>
              <w:jc w:val="center"/>
              <w:rPr>
                <w:rFonts w:ascii="Garamond" w:eastAsia="Times New Roman" w:hAnsi="Garamond" w:cs="Garamond"/>
                <w:b/>
                <w:sz w:val="24"/>
                <w:szCs w:val="24"/>
              </w:rPr>
            </w:pPr>
            <w:r w:rsidRPr="00212184">
              <w:rPr>
                <w:rFonts w:ascii="Garamond" w:eastAsia="Times New Roman" w:hAnsi="Garamond" w:cs="Garamond"/>
                <w:b/>
                <w:sz w:val="24"/>
                <w:szCs w:val="24"/>
              </w:rPr>
              <w:t>Femmes</w:t>
            </w:r>
          </w:p>
        </w:tc>
        <w:tc>
          <w:tcPr>
            <w:tcW w:w="1875" w:type="dxa"/>
            <w:shd w:val="clear" w:color="auto" w:fill="8DB3E2"/>
            <w:vAlign w:val="center"/>
          </w:tcPr>
          <w:p w:rsidR="00FC1C58" w:rsidRPr="00212184" w:rsidRDefault="00FC1C58">
            <w:pPr>
              <w:spacing w:before="120" w:after="120" w:line="276" w:lineRule="auto"/>
              <w:jc w:val="center"/>
              <w:rPr>
                <w:rFonts w:ascii="Garamond" w:eastAsia="Times New Roman" w:hAnsi="Garamond" w:cs="Garamond"/>
                <w:b/>
                <w:sz w:val="24"/>
                <w:szCs w:val="24"/>
              </w:rPr>
            </w:pPr>
            <w:r w:rsidRPr="00212184">
              <w:rPr>
                <w:rFonts w:ascii="Garamond" w:eastAsia="Times New Roman" w:hAnsi="Garamond" w:cs="Garamond"/>
                <w:b/>
                <w:sz w:val="24"/>
                <w:szCs w:val="24"/>
              </w:rPr>
              <w:t>Mineurs</w:t>
            </w:r>
          </w:p>
        </w:tc>
        <w:tc>
          <w:tcPr>
            <w:tcW w:w="1628" w:type="dxa"/>
            <w:shd w:val="clear" w:color="auto" w:fill="8DB3E2"/>
            <w:vAlign w:val="center"/>
          </w:tcPr>
          <w:p w:rsidR="00FC1C58" w:rsidRPr="00212184" w:rsidRDefault="00FC1C58">
            <w:pPr>
              <w:spacing w:before="120" w:after="120" w:line="276" w:lineRule="auto"/>
              <w:jc w:val="center"/>
              <w:rPr>
                <w:rFonts w:ascii="Garamond" w:eastAsia="Times New Roman" w:hAnsi="Garamond" w:cs="Garamond"/>
                <w:b/>
                <w:sz w:val="24"/>
                <w:szCs w:val="24"/>
              </w:rPr>
            </w:pPr>
            <w:r w:rsidRPr="00212184">
              <w:rPr>
                <w:rFonts w:ascii="Garamond" w:eastAsia="Times New Roman" w:hAnsi="Garamond" w:cs="Garamond"/>
                <w:b/>
                <w:sz w:val="24"/>
                <w:szCs w:val="24"/>
              </w:rPr>
              <w:t>Total</w:t>
            </w:r>
          </w:p>
        </w:tc>
      </w:tr>
      <w:tr w:rsidR="00FC1C58" w:rsidRPr="00212184" w:rsidTr="00FC1C58">
        <w:trPr>
          <w:trHeight w:val="340"/>
        </w:trPr>
        <w:tc>
          <w:tcPr>
            <w:tcW w:w="1991" w:type="dxa"/>
            <w:shd w:val="clear" w:color="auto" w:fill="FABF8F"/>
            <w:vAlign w:val="center"/>
          </w:tcPr>
          <w:p w:rsidR="00FC1C58" w:rsidRPr="00212184" w:rsidRDefault="00FC1C58" w:rsidP="001A1EE5">
            <w:pPr>
              <w:spacing w:before="120" w:after="120" w:line="276" w:lineRule="auto"/>
              <w:jc w:val="both"/>
              <w:rPr>
                <w:rFonts w:ascii="Garamond" w:eastAsia="Times New Roman" w:hAnsi="Garamond" w:cs="Garamond"/>
                <w:b/>
                <w:sz w:val="24"/>
                <w:szCs w:val="24"/>
              </w:rPr>
            </w:pPr>
            <w:r w:rsidRPr="00212184">
              <w:rPr>
                <w:rFonts w:ascii="Garamond" w:eastAsia="Times New Roman" w:hAnsi="Garamond" w:cs="Garamond"/>
                <w:b/>
                <w:sz w:val="24"/>
                <w:szCs w:val="24"/>
              </w:rPr>
              <w:t>Prévenus</w:t>
            </w:r>
          </w:p>
        </w:tc>
        <w:tc>
          <w:tcPr>
            <w:tcW w:w="1909" w:type="dxa"/>
            <w:vAlign w:val="center"/>
          </w:tcPr>
          <w:p w:rsidR="00FC1C58" w:rsidRPr="00212184" w:rsidRDefault="00F523E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4167</w:t>
            </w:r>
            <w:r w:rsidR="00FC1C58" w:rsidRPr="00212184">
              <w:rPr>
                <w:rFonts w:ascii="Garamond" w:eastAsia="Times New Roman" w:hAnsi="Garamond" w:cs="Garamond"/>
                <w:sz w:val="24"/>
                <w:szCs w:val="24"/>
              </w:rPr>
              <w:t xml:space="preserve"> </w:t>
            </w:r>
          </w:p>
        </w:tc>
        <w:tc>
          <w:tcPr>
            <w:tcW w:w="1885" w:type="dxa"/>
            <w:vAlign w:val="center"/>
          </w:tcPr>
          <w:p w:rsidR="00FC1C58" w:rsidRPr="00212184" w:rsidRDefault="00F523E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179</w:t>
            </w:r>
          </w:p>
        </w:tc>
        <w:tc>
          <w:tcPr>
            <w:tcW w:w="1875" w:type="dxa"/>
            <w:vAlign w:val="center"/>
          </w:tcPr>
          <w:p w:rsidR="00FC1C58" w:rsidRPr="00212184" w:rsidRDefault="00F523E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175</w:t>
            </w:r>
          </w:p>
        </w:tc>
        <w:tc>
          <w:tcPr>
            <w:tcW w:w="1628" w:type="dxa"/>
            <w:vAlign w:val="center"/>
          </w:tcPr>
          <w:p w:rsidR="00FC1C58" w:rsidRPr="00212184" w:rsidRDefault="00F523E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4521</w:t>
            </w:r>
          </w:p>
        </w:tc>
      </w:tr>
      <w:tr w:rsidR="00FC1C58" w:rsidRPr="00212184" w:rsidTr="00FC1C58">
        <w:trPr>
          <w:trHeight w:val="340"/>
        </w:trPr>
        <w:tc>
          <w:tcPr>
            <w:tcW w:w="1991" w:type="dxa"/>
            <w:shd w:val="clear" w:color="auto" w:fill="FABF8F"/>
            <w:vAlign w:val="center"/>
          </w:tcPr>
          <w:p w:rsidR="00FC1C58" w:rsidRPr="00212184" w:rsidRDefault="00FC1C58" w:rsidP="001A1EE5">
            <w:pPr>
              <w:spacing w:before="120" w:after="120" w:line="276" w:lineRule="auto"/>
              <w:jc w:val="both"/>
              <w:rPr>
                <w:rFonts w:ascii="Garamond" w:eastAsia="Times New Roman" w:hAnsi="Garamond" w:cs="Garamond"/>
                <w:b/>
                <w:sz w:val="24"/>
                <w:szCs w:val="24"/>
              </w:rPr>
            </w:pPr>
            <w:r w:rsidRPr="00212184">
              <w:rPr>
                <w:rFonts w:ascii="Garamond" w:eastAsia="Times New Roman" w:hAnsi="Garamond" w:cs="Garamond"/>
                <w:b/>
                <w:sz w:val="24"/>
                <w:szCs w:val="24"/>
              </w:rPr>
              <w:t>Condamnés</w:t>
            </w:r>
          </w:p>
        </w:tc>
        <w:tc>
          <w:tcPr>
            <w:tcW w:w="1909" w:type="dxa"/>
            <w:vAlign w:val="center"/>
          </w:tcPr>
          <w:p w:rsidR="00FC1C58" w:rsidRPr="00212184" w:rsidRDefault="00F523E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6713</w:t>
            </w:r>
          </w:p>
        </w:tc>
        <w:tc>
          <w:tcPr>
            <w:tcW w:w="1885" w:type="dxa"/>
            <w:vAlign w:val="center"/>
          </w:tcPr>
          <w:p w:rsidR="00FC1C58" w:rsidRPr="00212184" w:rsidRDefault="00F523E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91</w:t>
            </w:r>
          </w:p>
        </w:tc>
        <w:tc>
          <w:tcPr>
            <w:tcW w:w="1875" w:type="dxa"/>
            <w:vAlign w:val="center"/>
          </w:tcPr>
          <w:p w:rsidR="00FC1C58" w:rsidRPr="00212184" w:rsidRDefault="00F523E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9</w:t>
            </w:r>
          </w:p>
        </w:tc>
        <w:tc>
          <w:tcPr>
            <w:tcW w:w="1628" w:type="dxa"/>
            <w:vAlign w:val="center"/>
          </w:tcPr>
          <w:p w:rsidR="00FC1C58" w:rsidRPr="00212184" w:rsidRDefault="00F523E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6813</w:t>
            </w:r>
          </w:p>
        </w:tc>
      </w:tr>
      <w:tr w:rsidR="00FC1C58" w:rsidRPr="00212184" w:rsidTr="00FC1C58">
        <w:trPr>
          <w:trHeight w:val="340"/>
        </w:trPr>
        <w:tc>
          <w:tcPr>
            <w:tcW w:w="1991" w:type="dxa"/>
            <w:shd w:val="clear" w:color="auto" w:fill="FABF8F"/>
            <w:vAlign w:val="center"/>
          </w:tcPr>
          <w:p w:rsidR="00FC1C58" w:rsidRPr="00212184" w:rsidRDefault="00FC1C58" w:rsidP="001A1EE5">
            <w:pPr>
              <w:spacing w:before="120" w:after="120" w:line="276" w:lineRule="auto"/>
              <w:jc w:val="both"/>
              <w:rPr>
                <w:rFonts w:ascii="Garamond" w:eastAsia="Times New Roman" w:hAnsi="Garamond" w:cs="Garamond"/>
                <w:b/>
                <w:sz w:val="24"/>
                <w:szCs w:val="24"/>
              </w:rPr>
            </w:pPr>
            <w:r w:rsidRPr="00212184">
              <w:rPr>
                <w:rFonts w:ascii="Garamond" w:eastAsia="Times New Roman" w:hAnsi="Garamond" w:cs="Garamond"/>
                <w:b/>
                <w:sz w:val="24"/>
                <w:szCs w:val="24"/>
              </w:rPr>
              <w:t>Total</w:t>
            </w:r>
          </w:p>
        </w:tc>
        <w:tc>
          <w:tcPr>
            <w:tcW w:w="1909" w:type="dxa"/>
            <w:vAlign w:val="center"/>
          </w:tcPr>
          <w:p w:rsidR="00FC1C58" w:rsidRPr="00212184" w:rsidRDefault="009028F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10 880</w:t>
            </w:r>
            <w:r w:rsidR="00FC1C58" w:rsidRPr="00212184">
              <w:rPr>
                <w:rFonts w:ascii="Garamond" w:eastAsia="Times New Roman" w:hAnsi="Garamond" w:cs="Garamond"/>
                <w:sz w:val="24"/>
                <w:szCs w:val="24"/>
              </w:rPr>
              <w:t xml:space="preserve"> </w:t>
            </w:r>
          </w:p>
        </w:tc>
        <w:tc>
          <w:tcPr>
            <w:tcW w:w="1885" w:type="dxa"/>
            <w:vAlign w:val="center"/>
          </w:tcPr>
          <w:p w:rsidR="00FC1C58" w:rsidRPr="00212184" w:rsidRDefault="009028F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270</w:t>
            </w:r>
          </w:p>
        </w:tc>
        <w:tc>
          <w:tcPr>
            <w:tcW w:w="1875" w:type="dxa"/>
            <w:vAlign w:val="center"/>
          </w:tcPr>
          <w:p w:rsidR="00FC1C58" w:rsidRPr="00212184" w:rsidRDefault="009028FF">
            <w:pPr>
              <w:spacing w:before="120" w:after="120" w:line="276" w:lineRule="auto"/>
              <w:jc w:val="center"/>
              <w:rPr>
                <w:rFonts w:ascii="Garamond" w:eastAsia="Times New Roman" w:hAnsi="Garamond" w:cs="Garamond"/>
                <w:sz w:val="24"/>
                <w:szCs w:val="24"/>
              </w:rPr>
            </w:pPr>
            <w:r>
              <w:rPr>
                <w:rFonts w:ascii="Garamond" w:eastAsia="Times New Roman" w:hAnsi="Garamond" w:cs="Garamond"/>
                <w:sz w:val="24"/>
                <w:szCs w:val="24"/>
              </w:rPr>
              <w:t>184</w:t>
            </w:r>
          </w:p>
        </w:tc>
        <w:tc>
          <w:tcPr>
            <w:tcW w:w="1628" w:type="dxa"/>
            <w:vAlign w:val="center"/>
          </w:tcPr>
          <w:p w:rsidR="00FC1C58" w:rsidRPr="00212184" w:rsidRDefault="009028FF">
            <w:pPr>
              <w:spacing w:before="120" w:after="120" w:line="276" w:lineRule="auto"/>
              <w:jc w:val="center"/>
              <w:rPr>
                <w:rFonts w:ascii="Garamond" w:eastAsia="Times New Roman" w:hAnsi="Garamond" w:cs="Garamond"/>
                <w:b/>
                <w:sz w:val="24"/>
                <w:szCs w:val="24"/>
              </w:rPr>
            </w:pPr>
            <w:r>
              <w:rPr>
                <w:rFonts w:ascii="Garamond" w:eastAsia="Times New Roman" w:hAnsi="Garamond" w:cs="Garamond"/>
                <w:b/>
                <w:sz w:val="24"/>
                <w:szCs w:val="24"/>
              </w:rPr>
              <w:t xml:space="preserve">11338 </w:t>
            </w:r>
          </w:p>
        </w:tc>
      </w:tr>
    </w:tbl>
    <w:p w:rsidR="00FC1C58" w:rsidRPr="00212184" w:rsidRDefault="00FC1C58" w:rsidP="001A1EE5">
      <w:pPr>
        <w:spacing w:before="120" w:after="120" w:line="276" w:lineRule="auto"/>
        <w:jc w:val="both"/>
        <w:rPr>
          <w:rFonts w:ascii="Garamond" w:eastAsia="Times New Roman" w:hAnsi="Garamond" w:cs="Garamond"/>
          <w:sz w:val="24"/>
          <w:szCs w:val="24"/>
        </w:rPr>
      </w:pPr>
    </w:p>
    <w:p w:rsidR="005C451C" w:rsidRDefault="00FC1C58" w:rsidP="00C30265">
      <w:pPr>
        <w:spacing w:before="120" w:after="120" w:line="276" w:lineRule="auto"/>
        <w:jc w:val="both"/>
        <w:rPr>
          <w:rFonts w:ascii="Garamond" w:eastAsia="Times New Roman" w:hAnsi="Garamond" w:cs="Garamond"/>
          <w:sz w:val="24"/>
          <w:szCs w:val="24"/>
        </w:rPr>
      </w:pPr>
      <w:r w:rsidRPr="00895FAB">
        <w:rPr>
          <w:rFonts w:ascii="Garamond" w:eastAsia="Times New Roman" w:hAnsi="Garamond" w:cs="Garamond"/>
          <w:sz w:val="24"/>
          <w:szCs w:val="24"/>
        </w:rPr>
        <w:t>De façon générale, les prisons de Côte d’Ivoire sont surpeuplées. La capacité d’accueil des 34 prisons</w:t>
      </w:r>
      <w:r w:rsidR="00A805AE" w:rsidRPr="00895FAB">
        <w:rPr>
          <w:rFonts w:ascii="Garamond" w:eastAsia="Times New Roman" w:hAnsi="Garamond" w:cs="Garamond"/>
          <w:sz w:val="24"/>
          <w:szCs w:val="24"/>
        </w:rPr>
        <w:t>,</w:t>
      </w:r>
      <w:r w:rsidRPr="001D25B1">
        <w:rPr>
          <w:rFonts w:ascii="Garamond" w:eastAsia="Times New Roman" w:hAnsi="Garamond" w:cs="Garamond"/>
          <w:sz w:val="24"/>
          <w:szCs w:val="24"/>
        </w:rPr>
        <w:t xml:space="preserve"> sur la base d’un espace de </w:t>
      </w:r>
      <w:smartTag w:uri="urn:schemas-microsoft-com:office:smarttags" w:element="metricconverter">
        <w:smartTagPr>
          <w:attr w:name="ProductID" w:val="5 m2"/>
        </w:smartTagPr>
        <w:r w:rsidRPr="001D25B1">
          <w:rPr>
            <w:rFonts w:ascii="Garamond" w:eastAsia="Times New Roman" w:hAnsi="Garamond" w:cs="Garamond"/>
            <w:sz w:val="24"/>
            <w:szCs w:val="24"/>
          </w:rPr>
          <w:t>5 m</w:t>
        </w:r>
        <w:r w:rsidRPr="001D25B1">
          <w:rPr>
            <w:rFonts w:ascii="Garamond" w:eastAsia="Times New Roman" w:hAnsi="Garamond" w:cs="Garamond"/>
            <w:sz w:val="24"/>
            <w:szCs w:val="24"/>
            <w:vertAlign w:val="superscript"/>
          </w:rPr>
          <w:t>2</w:t>
        </w:r>
      </w:smartTag>
      <w:r w:rsidRPr="001D25B1">
        <w:rPr>
          <w:rFonts w:ascii="Garamond" w:eastAsia="Times New Roman" w:hAnsi="Garamond" w:cs="Garamond"/>
          <w:sz w:val="24"/>
          <w:szCs w:val="24"/>
        </w:rPr>
        <w:t xml:space="preserve"> par individus</w:t>
      </w:r>
      <w:r w:rsidR="00A805AE"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est estimée à</w:t>
      </w:r>
      <w:r w:rsidRPr="001D25B1">
        <w:rPr>
          <w:rFonts w:ascii="Garamond" w:eastAsia="Times New Roman" w:hAnsi="Garamond" w:cs="Garamond"/>
          <w:color w:val="000000"/>
          <w:sz w:val="24"/>
          <w:szCs w:val="24"/>
        </w:rPr>
        <w:t xml:space="preserve"> </w:t>
      </w:r>
      <w:r w:rsidRPr="001D25B1">
        <w:rPr>
          <w:rFonts w:ascii="Garamond" w:eastAsia="Times New Roman" w:hAnsi="Garamond" w:cs="Garamond"/>
          <w:sz w:val="24"/>
          <w:szCs w:val="24"/>
        </w:rPr>
        <w:t>4 078 détenus. Sur cette base on not</w:t>
      </w:r>
      <w:r w:rsidR="00FA6DD7">
        <w:rPr>
          <w:rFonts w:ascii="Garamond" w:eastAsia="Times New Roman" w:hAnsi="Garamond" w:cs="Garamond"/>
          <w:sz w:val="24"/>
          <w:szCs w:val="24"/>
        </w:rPr>
        <w:t>ait</w:t>
      </w:r>
      <w:r w:rsidRPr="001D25B1">
        <w:rPr>
          <w:rFonts w:ascii="Garamond" w:eastAsia="Times New Roman" w:hAnsi="Garamond" w:cs="Garamond"/>
          <w:sz w:val="24"/>
          <w:szCs w:val="24"/>
        </w:rPr>
        <w:t xml:space="preserve"> </w:t>
      </w:r>
      <w:r w:rsidR="00FA6DD7">
        <w:rPr>
          <w:rFonts w:ascii="Garamond" w:eastAsia="Times New Roman" w:hAnsi="Garamond" w:cs="Garamond"/>
          <w:sz w:val="24"/>
          <w:szCs w:val="24"/>
        </w:rPr>
        <w:t>au 31 décembre 2014 un taux d’occupation</w:t>
      </w:r>
      <w:r w:rsidRPr="001D25B1">
        <w:rPr>
          <w:rFonts w:ascii="Garamond" w:eastAsia="Times New Roman" w:hAnsi="Garamond" w:cs="Garamond"/>
          <w:sz w:val="24"/>
          <w:szCs w:val="24"/>
        </w:rPr>
        <w:t xml:space="preserve"> d’environ </w:t>
      </w:r>
      <w:r w:rsidR="00FA6DD7">
        <w:rPr>
          <w:rFonts w:ascii="Garamond" w:eastAsia="Times New Roman" w:hAnsi="Garamond" w:cs="Garamond"/>
          <w:sz w:val="24"/>
          <w:szCs w:val="24"/>
        </w:rPr>
        <w:t>278</w:t>
      </w:r>
      <w:r w:rsidR="00FA6DD7"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 sur l’ensemble du territoire</w:t>
      </w:r>
      <w:r w:rsidRPr="00895FAB">
        <w:rPr>
          <w:rFonts w:ascii="Garamond" w:eastAsia="Times New Roman" w:hAnsi="Garamond" w:cs="Garamond"/>
          <w:sz w:val="24"/>
          <w:szCs w:val="24"/>
        </w:rPr>
        <w:t xml:space="preserve">. Les détenus sont entassés dans les cellules. </w:t>
      </w:r>
      <w:r w:rsidR="005C451C" w:rsidRPr="00895FAB">
        <w:rPr>
          <w:rFonts w:ascii="Garamond" w:eastAsia="Times New Roman" w:hAnsi="Garamond" w:cs="Garamond"/>
          <w:sz w:val="24"/>
          <w:szCs w:val="24"/>
        </w:rPr>
        <w:t xml:space="preserve">Ainsi, à la prison d’Agboville, les détenus sont entre 30 </w:t>
      </w:r>
      <w:r w:rsidR="005C451C" w:rsidRPr="00895FAB">
        <w:rPr>
          <w:rFonts w:ascii="Garamond" w:eastAsia="Times New Roman" w:hAnsi="Garamond" w:cs="Garamond"/>
          <w:sz w:val="24"/>
          <w:szCs w:val="24"/>
        </w:rPr>
        <w:lastRenderedPageBreak/>
        <w:t xml:space="preserve">et 35 dans des cellules de 30 à </w:t>
      </w:r>
      <w:smartTag w:uri="urn:schemas-microsoft-com:office:smarttags" w:element="metricconverter">
        <w:smartTagPr>
          <w:attr w:name="ProductID" w:val="40 m2"/>
        </w:smartTagPr>
        <w:r w:rsidR="005C451C" w:rsidRPr="00895FAB">
          <w:rPr>
            <w:rFonts w:ascii="Garamond" w:eastAsia="Times New Roman" w:hAnsi="Garamond" w:cs="Garamond"/>
            <w:sz w:val="24"/>
            <w:szCs w:val="24"/>
          </w:rPr>
          <w:t>40 m</w:t>
        </w:r>
        <w:r w:rsidR="005C451C" w:rsidRPr="001D25B1">
          <w:rPr>
            <w:rFonts w:ascii="Garamond" w:eastAsia="Times New Roman" w:hAnsi="Garamond" w:cs="Garamond"/>
            <w:sz w:val="24"/>
            <w:szCs w:val="24"/>
            <w:vertAlign w:val="superscript"/>
          </w:rPr>
          <w:t>2</w:t>
        </w:r>
      </w:smartTag>
      <w:r w:rsidR="005C451C" w:rsidRPr="001D25B1">
        <w:rPr>
          <w:rFonts w:ascii="Garamond" w:eastAsia="Times New Roman" w:hAnsi="Garamond" w:cs="Garamond"/>
          <w:sz w:val="24"/>
          <w:szCs w:val="24"/>
        </w:rPr>
        <w:t xml:space="preserve">, ce qui représente un espace d’un peu plus de </w:t>
      </w:r>
      <w:smartTag w:uri="urn:schemas-microsoft-com:office:smarttags" w:element="metricconverter">
        <w:smartTagPr>
          <w:attr w:name="ProductID" w:val="1 m2"/>
        </w:smartTagPr>
        <w:r w:rsidR="005C451C" w:rsidRPr="001D25B1">
          <w:rPr>
            <w:rFonts w:ascii="Garamond" w:eastAsia="Times New Roman" w:hAnsi="Garamond" w:cs="Garamond"/>
            <w:sz w:val="24"/>
            <w:szCs w:val="24"/>
          </w:rPr>
          <w:t>1 m</w:t>
        </w:r>
        <w:r w:rsidR="005C451C" w:rsidRPr="001D25B1">
          <w:rPr>
            <w:rFonts w:ascii="Garamond" w:eastAsia="Times New Roman" w:hAnsi="Garamond" w:cs="Garamond"/>
            <w:sz w:val="24"/>
            <w:szCs w:val="24"/>
            <w:vertAlign w:val="superscript"/>
          </w:rPr>
          <w:t>2</w:t>
        </w:r>
      </w:smartTag>
      <w:r w:rsidR="005C451C" w:rsidRPr="001D25B1">
        <w:rPr>
          <w:rFonts w:ascii="Garamond" w:eastAsia="Times New Roman" w:hAnsi="Garamond" w:cs="Garamond"/>
          <w:sz w:val="24"/>
          <w:szCs w:val="24"/>
          <w:vertAlign w:val="superscript"/>
        </w:rPr>
        <w:t xml:space="preserve">  </w:t>
      </w:r>
      <w:r w:rsidR="005C451C" w:rsidRPr="001D25B1">
        <w:rPr>
          <w:rFonts w:ascii="Garamond" w:eastAsia="Times New Roman" w:hAnsi="Garamond" w:cs="Garamond"/>
          <w:sz w:val="24"/>
          <w:szCs w:val="24"/>
        </w:rPr>
        <w:t>par personne détenue, et dorment à même le sol sur des nattes</w:t>
      </w:r>
    </w:p>
    <w:p w:rsidR="00FC1C58" w:rsidRPr="001D25B1" w:rsidRDefault="005C451C" w:rsidP="00C30265">
      <w:pPr>
        <w:spacing w:before="120" w:after="120" w:line="276" w:lineRule="auto"/>
        <w:jc w:val="both"/>
        <w:rPr>
          <w:rFonts w:ascii="Garamond" w:eastAsia="Times New Roman" w:hAnsi="Garamond" w:cs="Garamond"/>
          <w:sz w:val="24"/>
          <w:szCs w:val="24"/>
        </w:rPr>
      </w:pPr>
      <w:r>
        <w:rPr>
          <w:rFonts w:ascii="Garamond" w:eastAsia="Times New Roman" w:hAnsi="Garamond" w:cs="Garamond"/>
          <w:sz w:val="24"/>
          <w:szCs w:val="24"/>
        </w:rPr>
        <w:t>Il est important de noter que la direction de l’administration pénitentiaire utilise à présent une base de 3m</w:t>
      </w:r>
      <w:r w:rsidRPr="00F63D32">
        <w:rPr>
          <w:rFonts w:ascii="Garamond" w:eastAsia="Times New Roman" w:hAnsi="Garamond" w:cs="Garamond"/>
          <w:sz w:val="24"/>
          <w:szCs w:val="24"/>
          <w:vertAlign w:val="superscript"/>
        </w:rPr>
        <w:t>2</w:t>
      </w:r>
      <w:r>
        <w:rPr>
          <w:rFonts w:ascii="Garamond" w:eastAsia="Times New Roman" w:hAnsi="Garamond" w:cs="Garamond"/>
          <w:sz w:val="24"/>
          <w:szCs w:val="24"/>
        </w:rPr>
        <w:t xml:space="preserve"> par détenu afin de calculer l</w:t>
      </w:r>
      <w:r w:rsidR="00947B63">
        <w:rPr>
          <w:rFonts w:ascii="Garamond" w:eastAsia="Times New Roman" w:hAnsi="Garamond" w:cs="Garamond"/>
          <w:sz w:val="24"/>
          <w:szCs w:val="24"/>
        </w:rPr>
        <w:t>a</w:t>
      </w:r>
      <w:r>
        <w:rPr>
          <w:rFonts w:ascii="Garamond" w:eastAsia="Times New Roman" w:hAnsi="Garamond" w:cs="Garamond"/>
          <w:sz w:val="24"/>
          <w:szCs w:val="24"/>
        </w:rPr>
        <w:t xml:space="preserve"> capacité d’accueil des différentes prisons du pays. Les taux d’occupation présentés par l’administration pénitentiaire sont donc nettement plus faibles que ceux des années précédentes</w:t>
      </w:r>
      <w:r w:rsidR="00947B63">
        <w:rPr>
          <w:rFonts w:ascii="Garamond" w:eastAsia="Times New Roman" w:hAnsi="Garamond" w:cs="Garamond"/>
          <w:sz w:val="24"/>
          <w:szCs w:val="24"/>
        </w:rPr>
        <w:t>, lorsqu’ils étaient calculés sur la base d’un espace de 5m</w:t>
      </w:r>
      <w:r w:rsidR="00947B63" w:rsidRPr="00947B63">
        <w:rPr>
          <w:rFonts w:ascii="Garamond" w:eastAsia="Times New Roman" w:hAnsi="Garamond" w:cs="Garamond"/>
          <w:sz w:val="24"/>
          <w:szCs w:val="24"/>
          <w:vertAlign w:val="superscript"/>
        </w:rPr>
        <w:t>2</w:t>
      </w:r>
      <w:r w:rsidR="00947B63">
        <w:rPr>
          <w:rFonts w:ascii="Garamond" w:eastAsia="Times New Roman" w:hAnsi="Garamond" w:cs="Garamond"/>
          <w:sz w:val="24"/>
          <w:szCs w:val="24"/>
        </w:rPr>
        <w:t xml:space="preserve"> par détenu</w:t>
      </w:r>
      <w:r>
        <w:rPr>
          <w:rFonts w:ascii="Garamond" w:eastAsia="Times New Roman" w:hAnsi="Garamond" w:cs="Garamond"/>
          <w:sz w:val="24"/>
          <w:szCs w:val="24"/>
        </w:rPr>
        <w:t>.</w:t>
      </w:r>
      <w:r w:rsidR="00FC1C58" w:rsidRPr="001D25B1">
        <w:rPr>
          <w:rFonts w:ascii="Garamond" w:eastAsia="Times New Roman" w:hAnsi="Garamond" w:cs="Garamond"/>
          <w:sz w:val="24"/>
          <w:szCs w:val="24"/>
        </w:rPr>
        <w:t xml:space="preserve"> </w:t>
      </w:r>
      <w:r w:rsidR="004C6BAC">
        <w:rPr>
          <w:rFonts w:ascii="Garamond" w:eastAsia="Times New Roman" w:hAnsi="Garamond" w:cs="Garamond"/>
          <w:sz w:val="24"/>
          <w:szCs w:val="24"/>
        </w:rPr>
        <w:t>Ainsi, au 31 décembre 2014 et sur la base d’un espace de 5m</w:t>
      </w:r>
      <w:r w:rsidR="004C6BAC" w:rsidRPr="00F63D32">
        <w:rPr>
          <w:rFonts w:ascii="Garamond" w:eastAsia="Times New Roman" w:hAnsi="Garamond" w:cs="Garamond"/>
          <w:sz w:val="24"/>
          <w:szCs w:val="24"/>
          <w:vertAlign w:val="superscript"/>
        </w:rPr>
        <w:t>2</w:t>
      </w:r>
      <w:r w:rsidR="004C6BAC">
        <w:rPr>
          <w:rFonts w:ascii="Garamond" w:eastAsia="Times New Roman" w:hAnsi="Garamond" w:cs="Garamond"/>
          <w:sz w:val="24"/>
          <w:szCs w:val="24"/>
        </w:rPr>
        <w:t xml:space="preserve"> par détenu, l</w:t>
      </w:r>
      <w:r w:rsidR="00FC1C58" w:rsidRPr="001D25B1">
        <w:rPr>
          <w:rFonts w:ascii="Garamond" w:eastAsia="Times New Roman" w:hAnsi="Garamond" w:cs="Garamond"/>
          <w:sz w:val="24"/>
          <w:szCs w:val="24"/>
        </w:rPr>
        <w:t xml:space="preserve">e taux d’occupation de </w:t>
      </w:r>
      <w:r w:rsidR="004C6BAC">
        <w:rPr>
          <w:rFonts w:ascii="Garamond" w:eastAsia="Times New Roman" w:hAnsi="Garamond" w:cs="Garamond"/>
          <w:sz w:val="24"/>
          <w:szCs w:val="24"/>
        </w:rPr>
        <w:t>la</w:t>
      </w:r>
      <w:r w:rsidR="004C6BAC" w:rsidRPr="001D25B1">
        <w:rPr>
          <w:rFonts w:ascii="Garamond" w:eastAsia="Times New Roman" w:hAnsi="Garamond" w:cs="Garamond"/>
          <w:sz w:val="24"/>
          <w:szCs w:val="24"/>
        </w:rPr>
        <w:t xml:space="preserve"> </w:t>
      </w:r>
      <w:r w:rsidR="00FC1C58" w:rsidRPr="001D25B1">
        <w:rPr>
          <w:rFonts w:ascii="Garamond" w:eastAsia="Times New Roman" w:hAnsi="Garamond" w:cs="Garamond"/>
          <w:sz w:val="24"/>
          <w:szCs w:val="24"/>
        </w:rPr>
        <w:t>prison</w:t>
      </w:r>
      <w:r w:rsidR="004C6BAC">
        <w:rPr>
          <w:rFonts w:ascii="Garamond" w:eastAsia="Times New Roman" w:hAnsi="Garamond" w:cs="Garamond"/>
          <w:sz w:val="24"/>
          <w:szCs w:val="24"/>
        </w:rPr>
        <w:t xml:space="preserve"> d’Agboville</w:t>
      </w:r>
      <w:r w:rsidR="00FC1C58" w:rsidRPr="001D25B1">
        <w:rPr>
          <w:rFonts w:ascii="Garamond" w:eastAsia="Times New Roman" w:hAnsi="Garamond" w:cs="Garamond"/>
          <w:sz w:val="24"/>
          <w:szCs w:val="24"/>
        </w:rPr>
        <w:t xml:space="preserve"> </w:t>
      </w:r>
      <w:r w:rsidR="00F63D32">
        <w:rPr>
          <w:rFonts w:ascii="Garamond" w:eastAsia="Times New Roman" w:hAnsi="Garamond" w:cs="Garamond"/>
          <w:sz w:val="24"/>
          <w:szCs w:val="24"/>
        </w:rPr>
        <w:t>était</w:t>
      </w:r>
      <w:r w:rsidR="00FC1C58" w:rsidRPr="001D25B1">
        <w:rPr>
          <w:rFonts w:ascii="Garamond" w:eastAsia="Times New Roman" w:hAnsi="Garamond" w:cs="Garamond"/>
          <w:sz w:val="24"/>
          <w:szCs w:val="24"/>
        </w:rPr>
        <w:t xml:space="preserve"> de </w:t>
      </w:r>
      <w:r w:rsidR="004C6BAC">
        <w:rPr>
          <w:rFonts w:ascii="Garamond" w:eastAsia="Times New Roman" w:hAnsi="Garamond" w:cs="Garamond"/>
          <w:sz w:val="24"/>
          <w:szCs w:val="24"/>
        </w:rPr>
        <w:t>154</w:t>
      </w:r>
      <w:r w:rsidR="00FC1C58" w:rsidRPr="001D25B1">
        <w:rPr>
          <w:rFonts w:ascii="Garamond" w:eastAsia="Times New Roman" w:hAnsi="Garamond" w:cs="Garamond"/>
          <w:sz w:val="24"/>
          <w:szCs w:val="24"/>
        </w:rPr>
        <w:t xml:space="preserve">%. </w:t>
      </w:r>
    </w:p>
    <w:p w:rsidR="00FC1C58" w:rsidRPr="001D25B1" w:rsidRDefault="00FC1C58" w:rsidP="00895FAB">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Les espaces communs varient selon les prisons ; à la prison de Bassam la cour est grande mais à </w:t>
      </w:r>
      <w:r w:rsidR="004363E2" w:rsidRPr="001D25B1">
        <w:rPr>
          <w:rFonts w:ascii="Garamond" w:eastAsia="Times New Roman" w:hAnsi="Garamond" w:cs="Garamond"/>
          <w:sz w:val="24"/>
          <w:szCs w:val="24"/>
        </w:rPr>
        <w:t xml:space="preserve">la </w:t>
      </w:r>
      <w:r w:rsidRPr="001D25B1">
        <w:rPr>
          <w:rFonts w:ascii="Garamond" w:eastAsia="Times New Roman" w:hAnsi="Garamond" w:cs="Garamond"/>
          <w:sz w:val="24"/>
          <w:szCs w:val="24"/>
        </w:rPr>
        <w:t>maison d’arrêt d’Agboville</w:t>
      </w:r>
      <w:r w:rsidR="004363E2"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elle n’est que de </w:t>
      </w:r>
      <w:smartTag w:uri="urn:schemas-microsoft-com:office:smarttags" w:element="metricconverter">
        <w:smartTagPr>
          <w:attr w:name="ProductID" w:val="50 m2"/>
        </w:smartTagPr>
        <w:r w:rsidRPr="001D25B1">
          <w:rPr>
            <w:rFonts w:ascii="Garamond" w:eastAsia="Times New Roman" w:hAnsi="Garamond" w:cs="Garamond"/>
            <w:sz w:val="24"/>
            <w:szCs w:val="24"/>
          </w:rPr>
          <w:t>50 m</w:t>
        </w:r>
        <w:r w:rsidRPr="001D25B1">
          <w:rPr>
            <w:rFonts w:ascii="Garamond" w:eastAsia="Times New Roman" w:hAnsi="Garamond" w:cs="Garamond"/>
            <w:sz w:val="24"/>
            <w:szCs w:val="24"/>
            <w:vertAlign w:val="superscript"/>
          </w:rPr>
          <w:t>2</w:t>
        </w:r>
      </w:smartTag>
      <w:r w:rsidRPr="001D25B1">
        <w:rPr>
          <w:rFonts w:ascii="Garamond" w:eastAsia="Times New Roman" w:hAnsi="Garamond" w:cs="Garamond"/>
          <w:sz w:val="24"/>
          <w:szCs w:val="24"/>
        </w:rPr>
        <w:t xml:space="preserve"> pour </w:t>
      </w:r>
      <w:r w:rsidR="00AA1047" w:rsidRPr="001D25B1">
        <w:rPr>
          <w:rFonts w:ascii="Garamond" w:eastAsia="Times New Roman" w:hAnsi="Garamond" w:cs="Garamond"/>
          <w:sz w:val="24"/>
          <w:szCs w:val="24"/>
        </w:rPr>
        <w:t>111</w:t>
      </w:r>
      <w:r w:rsidRPr="001D25B1">
        <w:rPr>
          <w:rFonts w:ascii="Garamond" w:eastAsia="Times New Roman" w:hAnsi="Garamond" w:cs="Garamond"/>
          <w:sz w:val="24"/>
          <w:szCs w:val="24"/>
        </w:rPr>
        <w:t xml:space="preserve"> prisonniers. </w:t>
      </w:r>
    </w:p>
    <w:p w:rsidR="00FC1C58" w:rsidRPr="001D25B1" w:rsidRDefault="004C6BAC" w:rsidP="001D25B1">
      <w:pPr>
        <w:spacing w:before="120" w:after="120" w:line="276" w:lineRule="auto"/>
        <w:jc w:val="both"/>
        <w:rPr>
          <w:rFonts w:ascii="Garamond" w:eastAsia="Times New Roman" w:hAnsi="Garamond" w:cs="Garamond"/>
          <w:sz w:val="24"/>
          <w:szCs w:val="24"/>
        </w:rPr>
      </w:pPr>
      <w:r>
        <w:rPr>
          <w:rFonts w:ascii="Garamond" w:eastAsia="Times New Roman" w:hAnsi="Garamond" w:cs="Garamond"/>
          <w:sz w:val="24"/>
          <w:szCs w:val="24"/>
        </w:rPr>
        <w:t>Au 31 décembre 2014 et sur la base d’un espace de 5m</w:t>
      </w:r>
      <w:r w:rsidRPr="00F63D32">
        <w:rPr>
          <w:rFonts w:ascii="Garamond" w:eastAsia="Times New Roman" w:hAnsi="Garamond" w:cs="Garamond"/>
          <w:sz w:val="24"/>
          <w:szCs w:val="24"/>
          <w:vertAlign w:val="superscript"/>
        </w:rPr>
        <w:t xml:space="preserve">2 </w:t>
      </w:r>
      <w:r>
        <w:rPr>
          <w:rFonts w:ascii="Garamond" w:eastAsia="Times New Roman" w:hAnsi="Garamond" w:cs="Garamond"/>
          <w:sz w:val="24"/>
          <w:szCs w:val="24"/>
        </w:rPr>
        <w:t>par détenu, l</w:t>
      </w:r>
      <w:r w:rsidR="00FC1C58" w:rsidRPr="001D25B1">
        <w:rPr>
          <w:rFonts w:ascii="Garamond" w:eastAsia="Times New Roman" w:hAnsi="Garamond" w:cs="Garamond"/>
          <w:sz w:val="24"/>
          <w:szCs w:val="24"/>
        </w:rPr>
        <w:t xml:space="preserve">a prison de Korhogo atteint un taux d’occupation de </w:t>
      </w:r>
      <w:r w:rsidR="00AA1047" w:rsidRPr="001D25B1">
        <w:rPr>
          <w:rFonts w:ascii="Garamond" w:eastAsia="Times New Roman" w:hAnsi="Garamond" w:cs="Garamond"/>
          <w:sz w:val="24"/>
          <w:szCs w:val="24"/>
        </w:rPr>
        <w:t>652%</w:t>
      </w:r>
      <w:r w:rsidR="00FC1C58" w:rsidRPr="001D25B1">
        <w:rPr>
          <w:rFonts w:ascii="Garamond" w:eastAsia="Times New Roman" w:hAnsi="Garamond" w:cs="Garamond"/>
          <w:sz w:val="24"/>
          <w:szCs w:val="24"/>
        </w:rPr>
        <w:t>, celle de Dabou 51</w:t>
      </w:r>
      <w:r w:rsidR="00114A73" w:rsidRPr="001D25B1">
        <w:rPr>
          <w:rFonts w:ascii="Garamond" w:eastAsia="Times New Roman" w:hAnsi="Garamond" w:cs="Garamond"/>
          <w:sz w:val="24"/>
          <w:szCs w:val="24"/>
        </w:rPr>
        <w:t>0</w:t>
      </w:r>
      <w:r w:rsidR="00FC1C58" w:rsidRPr="001D25B1">
        <w:rPr>
          <w:rFonts w:ascii="Garamond" w:eastAsia="Times New Roman" w:hAnsi="Garamond" w:cs="Garamond"/>
          <w:sz w:val="24"/>
          <w:szCs w:val="24"/>
        </w:rPr>
        <w:t xml:space="preserve"> %, celle de Bouaké 5</w:t>
      </w:r>
      <w:r w:rsidR="00114A73" w:rsidRPr="001D25B1">
        <w:rPr>
          <w:rFonts w:ascii="Garamond" w:eastAsia="Times New Roman" w:hAnsi="Garamond" w:cs="Garamond"/>
          <w:sz w:val="24"/>
          <w:szCs w:val="24"/>
        </w:rPr>
        <w:t>00</w:t>
      </w:r>
      <w:r w:rsidR="00FC1C58" w:rsidRPr="001D25B1">
        <w:rPr>
          <w:rFonts w:ascii="Garamond" w:eastAsia="Times New Roman" w:hAnsi="Garamond" w:cs="Garamond"/>
          <w:sz w:val="24"/>
          <w:szCs w:val="24"/>
        </w:rPr>
        <w:t xml:space="preserve"> % et celle de Sassandra, avec 3</w:t>
      </w:r>
      <w:r w:rsidR="00114A73" w:rsidRPr="001D25B1">
        <w:rPr>
          <w:rFonts w:ascii="Garamond" w:eastAsia="Times New Roman" w:hAnsi="Garamond" w:cs="Garamond"/>
          <w:sz w:val="24"/>
          <w:szCs w:val="24"/>
        </w:rPr>
        <w:t>34</w:t>
      </w:r>
      <w:r w:rsidR="00FC1C58" w:rsidRPr="001D25B1">
        <w:rPr>
          <w:rFonts w:ascii="Garamond" w:eastAsia="Times New Roman" w:hAnsi="Garamond" w:cs="Garamond"/>
          <w:sz w:val="24"/>
          <w:szCs w:val="24"/>
        </w:rPr>
        <w:t xml:space="preserve"> personnes détenues pour 32 places atteint un taux d’occupation de </w:t>
      </w:r>
      <w:r w:rsidR="00114A73" w:rsidRPr="001D25B1">
        <w:rPr>
          <w:rFonts w:ascii="Garamond" w:eastAsia="Times New Roman" w:hAnsi="Garamond" w:cs="Garamond"/>
          <w:sz w:val="24"/>
          <w:szCs w:val="24"/>
        </w:rPr>
        <w:t>1043</w:t>
      </w:r>
      <w:r w:rsidR="00FC1C58" w:rsidRPr="001D25B1">
        <w:rPr>
          <w:rFonts w:ascii="Garamond" w:eastAsia="Times New Roman" w:hAnsi="Garamond" w:cs="Garamond"/>
          <w:sz w:val="24"/>
          <w:szCs w:val="24"/>
        </w:rPr>
        <w:t xml:space="preserve"> %.</w:t>
      </w:r>
    </w:p>
    <w:p w:rsidR="00114A73" w:rsidRPr="001D25B1" w:rsidRDefault="00FC1C58" w:rsidP="001D25B1">
      <w:pPr>
        <w:spacing w:before="120" w:after="120" w:line="276" w:lineRule="auto"/>
        <w:jc w:val="both"/>
        <w:rPr>
          <w:rFonts w:ascii="Garamond" w:eastAsia="Times" w:hAnsi="Garamond" w:cs="Garamond"/>
          <w:sz w:val="24"/>
          <w:szCs w:val="24"/>
        </w:rPr>
      </w:pPr>
      <w:r w:rsidRPr="001D25B1">
        <w:rPr>
          <w:rFonts w:ascii="Garamond" w:eastAsia="Times New Roman" w:hAnsi="Garamond" w:cs="Garamond"/>
          <w:sz w:val="24"/>
          <w:szCs w:val="24"/>
        </w:rPr>
        <w:t>La Maison d’arrêt et de correction d’Abidjan (MACA), la principale prison du pays, est de loin la plus peuplée. Comme le note le rapport initial de la Côte d’Ivoire auprès de la CADHP</w:t>
      </w:r>
      <w:r w:rsidRPr="00895FAB">
        <w:rPr>
          <w:rFonts w:ascii="Garamond" w:eastAsia="Times New Roman" w:hAnsi="Garamond" w:cs="Garamond"/>
          <w:sz w:val="24"/>
          <w:szCs w:val="24"/>
          <w:vertAlign w:val="superscript"/>
        </w:rPr>
        <w:footnoteReference w:id="48"/>
      </w:r>
      <w:r w:rsidRPr="00895FAB">
        <w:rPr>
          <w:rFonts w:ascii="Garamond" w:eastAsia="Times New Roman" w:hAnsi="Garamond" w:cs="Garamond"/>
          <w:sz w:val="24"/>
          <w:szCs w:val="24"/>
        </w:rPr>
        <w:t>, cette prison hébergea</w:t>
      </w:r>
      <w:r w:rsidRPr="001D25B1">
        <w:rPr>
          <w:rFonts w:ascii="Garamond" w:eastAsia="Times New Roman" w:hAnsi="Garamond" w:cs="Garamond"/>
          <w:sz w:val="24"/>
          <w:szCs w:val="24"/>
        </w:rPr>
        <w:t xml:space="preserve">it, </w:t>
      </w:r>
      <w:r w:rsidRPr="001D25B1">
        <w:rPr>
          <w:rFonts w:ascii="Garamond" w:eastAsia="Times" w:hAnsi="Garamond" w:cs="Garamond"/>
          <w:sz w:val="24"/>
          <w:szCs w:val="24"/>
        </w:rPr>
        <w:t xml:space="preserve">au 31 janvier 2011, 5 286 détenus pour une capacité d’accueil de 1 500. L’État se félicite dans ce même rapport d’avoir rénové cette prison et d’avoir réduit la population carcérale à 2 102 détenus au 30 avril 2012. Cette réduction est en réalité liée à une libération des prisonniers dans le cadre de la bataille d’Abidjan ; beaucoup de détenus ont participé aux combats en avril 2011.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w:hAnsi="Garamond" w:cs="Garamond"/>
          <w:sz w:val="24"/>
          <w:szCs w:val="24"/>
        </w:rPr>
        <w:t xml:space="preserve">La FIACAT et l’ACAT Côte d’Ivoire félicitent l’État pour les efforts de rénovation de la prison. Néanmoins, la population carcérale de la MACA est en constante augmentation. Au 31 </w:t>
      </w:r>
      <w:r w:rsidR="00114A73" w:rsidRPr="001D25B1">
        <w:rPr>
          <w:rFonts w:ascii="Garamond" w:eastAsia="Times" w:hAnsi="Garamond" w:cs="Garamond"/>
          <w:sz w:val="24"/>
          <w:szCs w:val="24"/>
        </w:rPr>
        <w:t xml:space="preserve">décembre </w:t>
      </w:r>
      <w:r w:rsidRPr="001D25B1">
        <w:rPr>
          <w:rFonts w:ascii="Garamond" w:eastAsia="Times" w:hAnsi="Garamond" w:cs="Garamond"/>
          <w:sz w:val="24"/>
          <w:szCs w:val="24"/>
        </w:rPr>
        <w:t>2014</w:t>
      </w:r>
      <w:r w:rsidRPr="001D25B1">
        <w:rPr>
          <w:rFonts w:ascii="Garamond" w:eastAsia="Times New Roman" w:hAnsi="Garamond" w:cs="Garamond"/>
          <w:sz w:val="24"/>
          <w:szCs w:val="24"/>
        </w:rPr>
        <w:t>, on y dénombrait 4 </w:t>
      </w:r>
      <w:r w:rsidR="00114A73" w:rsidRPr="001D25B1">
        <w:rPr>
          <w:rFonts w:ascii="Garamond" w:eastAsia="Times New Roman" w:hAnsi="Garamond" w:cs="Garamond"/>
          <w:sz w:val="24"/>
          <w:szCs w:val="24"/>
        </w:rPr>
        <w:t>628 détenus dont 2144</w:t>
      </w:r>
      <w:r w:rsidRPr="001D25B1">
        <w:rPr>
          <w:rFonts w:ascii="Garamond" w:eastAsia="Times New Roman" w:hAnsi="Garamond" w:cs="Garamond"/>
          <w:sz w:val="24"/>
          <w:szCs w:val="24"/>
        </w:rPr>
        <w:t xml:space="preserve"> prévenus</w:t>
      </w:r>
      <w:r w:rsidR="00114A73" w:rsidRPr="001D25B1">
        <w:rPr>
          <w:rFonts w:ascii="Garamond" w:eastAsia="Times New Roman" w:hAnsi="Garamond" w:cs="Garamond"/>
          <w:sz w:val="24"/>
          <w:szCs w:val="24"/>
        </w:rPr>
        <w:t xml:space="preserve"> soit 46,32% </w:t>
      </w:r>
      <w:r w:rsidRPr="001D25B1">
        <w:rPr>
          <w:rFonts w:ascii="Garamond" w:eastAsia="Times New Roman" w:hAnsi="Garamond" w:cs="Garamond"/>
          <w:sz w:val="24"/>
          <w:szCs w:val="24"/>
        </w:rPr>
        <w:t>et 2</w:t>
      </w:r>
      <w:r w:rsidR="00114A73" w:rsidRPr="001D25B1">
        <w:rPr>
          <w:rFonts w:ascii="Garamond" w:eastAsia="Times New Roman" w:hAnsi="Garamond" w:cs="Garamond"/>
          <w:sz w:val="24"/>
          <w:szCs w:val="24"/>
        </w:rPr>
        <w:t xml:space="preserve"> 483 </w:t>
      </w:r>
      <w:r w:rsidRPr="001D25B1">
        <w:rPr>
          <w:rFonts w:ascii="Garamond" w:eastAsia="Times New Roman" w:hAnsi="Garamond" w:cs="Garamond"/>
          <w:sz w:val="24"/>
          <w:szCs w:val="24"/>
        </w:rPr>
        <w:t>condamnés</w:t>
      </w:r>
      <w:r w:rsidR="00114A73" w:rsidRPr="001D25B1">
        <w:rPr>
          <w:rFonts w:ascii="Garamond" w:eastAsia="Times New Roman" w:hAnsi="Garamond" w:cs="Garamond"/>
          <w:sz w:val="24"/>
          <w:szCs w:val="24"/>
        </w:rPr>
        <w:t xml:space="preserve"> soit</w:t>
      </w:r>
      <w:r w:rsidR="0048117D" w:rsidRPr="001D25B1">
        <w:rPr>
          <w:rFonts w:ascii="Garamond" w:eastAsia="Times New Roman" w:hAnsi="Garamond" w:cs="Garamond"/>
          <w:sz w:val="24"/>
          <w:szCs w:val="24"/>
        </w:rPr>
        <w:t xml:space="preserve"> </w:t>
      </w:r>
      <w:r w:rsidR="00114A73" w:rsidRPr="001D25B1">
        <w:rPr>
          <w:rFonts w:ascii="Garamond" w:eastAsia="Times New Roman" w:hAnsi="Garamond" w:cs="Garamond"/>
          <w:sz w:val="24"/>
          <w:szCs w:val="24"/>
        </w:rPr>
        <w:t>53,65</w:t>
      </w:r>
      <w:r w:rsidR="00F77313"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 xml:space="preserve">Cela représente une augmentation de plus de </w:t>
      </w:r>
      <w:r w:rsidR="00E244BC" w:rsidRPr="001D25B1">
        <w:rPr>
          <w:rFonts w:ascii="Garamond" w:eastAsia="Times New Roman" w:hAnsi="Garamond" w:cs="Garamond"/>
          <w:sz w:val="24"/>
          <w:szCs w:val="24"/>
        </w:rPr>
        <w:t>220</w:t>
      </w:r>
      <w:r w:rsidRPr="001D25B1">
        <w:rPr>
          <w:rFonts w:ascii="Garamond" w:eastAsia="Times New Roman" w:hAnsi="Garamond" w:cs="Garamond"/>
          <w:sz w:val="24"/>
          <w:szCs w:val="24"/>
        </w:rPr>
        <w:t xml:space="preserve">% </w:t>
      </w:r>
      <w:r w:rsidR="004363E2" w:rsidRPr="001D25B1">
        <w:rPr>
          <w:rFonts w:ascii="Garamond" w:eastAsia="Times New Roman" w:hAnsi="Garamond" w:cs="Garamond"/>
          <w:sz w:val="24"/>
          <w:szCs w:val="24"/>
        </w:rPr>
        <w:t xml:space="preserve">de la population carcérale en </w:t>
      </w:r>
      <w:r w:rsidR="00E244BC" w:rsidRPr="001D25B1">
        <w:rPr>
          <w:rFonts w:ascii="Garamond" w:eastAsia="Times New Roman" w:hAnsi="Garamond" w:cs="Garamond"/>
          <w:sz w:val="24"/>
          <w:szCs w:val="24"/>
        </w:rPr>
        <w:t xml:space="preserve">seulement </w:t>
      </w:r>
      <w:r w:rsidRPr="001D25B1">
        <w:rPr>
          <w:rFonts w:ascii="Garamond" w:eastAsia="Times" w:hAnsi="Garamond" w:cs="Garamond"/>
          <w:sz w:val="24"/>
          <w:szCs w:val="24"/>
        </w:rPr>
        <w:t>deux ans</w:t>
      </w:r>
      <w:r w:rsidRPr="001D25B1">
        <w:rPr>
          <w:rFonts w:ascii="Garamond" w:eastAsia="Times New Roman" w:hAnsi="Garamond" w:cs="Garamond"/>
          <w:sz w:val="24"/>
          <w:szCs w:val="24"/>
        </w:rPr>
        <w:t>.</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 corruption dans les greffes des parquets empêchent certains prisonniers de recouvrer la liberté quand bien même des décisions ont été rendues en leur faveur. Des billets de sortie sont parfois conditionnés par un déboursement d’argent d</w:t>
      </w:r>
      <w:r w:rsidR="004363E2" w:rsidRPr="001D25B1">
        <w:rPr>
          <w:rFonts w:ascii="Garamond" w:eastAsia="Times New Roman" w:hAnsi="Garamond" w:cs="Garamond"/>
          <w:sz w:val="24"/>
          <w:szCs w:val="24"/>
        </w:rPr>
        <w:t>’</w:t>
      </w:r>
      <w:r w:rsidRPr="001D25B1">
        <w:rPr>
          <w:rFonts w:ascii="Garamond" w:eastAsia="Times New Roman" w:hAnsi="Garamond" w:cs="Garamond"/>
          <w:sz w:val="24"/>
          <w:szCs w:val="24"/>
        </w:rPr>
        <w:t>e</w:t>
      </w:r>
      <w:r w:rsidR="004363E2" w:rsidRPr="001D25B1">
        <w:rPr>
          <w:rFonts w:ascii="Garamond" w:eastAsia="Times New Roman" w:hAnsi="Garamond" w:cs="Garamond"/>
          <w:sz w:val="24"/>
          <w:szCs w:val="24"/>
        </w:rPr>
        <w:t>nviron</w:t>
      </w:r>
      <w:r w:rsidRPr="001D25B1">
        <w:rPr>
          <w:rFonts w:ascii="Garamond" w:eastAsia="Times New Roman" w:hAnsi="Garamond" w:cs="Garamond"/>
          <w:sz w:val="24"/>
          <w:szCs w:val="24"/>
        </w:rPr>
        <w:t xml:space="preserve"> </w:t>
      </w:r>
      <w:smartTag w:uri="urn:schemas-microsoft-com:office:smarttags" w:element="metricconverter">
        <w:smartTagPr>
          <w:attr w:name="ProductID" w:val="κ㼰ץFǕȌ祴כǀȈLa1ǇȈ&#10;eur.ǈȈ裈ポ䂀םםǍȈ㬸κǵȈ脔ヵ躈篬ヵ蝐ポ윸םꘀמ繈羨 ǽȌ飐ヵ袜ポ颠ヵ䂀틴ブם ǪȈםםםǯȈ裈ポ䂀奌λםƐȈpersonnes ƕȌ飐ヵ袜ポ颠ヵ䂀틴ブם ƂȈםםםƇȈ裈ポ䂀םם ƈȌ飐ヵ袜ポ颠ヵ䂀틴ブם ƱȈםםםƺȈ裈ポ䂀&#10;㑔םם ƿȌ飐ヵ袜ポ颠ヵ䂀틴ブם ƤȈםםםƩȈ裈ポ䂀םם ŒȌ飐ヵ袜ポ颠ヵ䂀틴ブם śȈםםםŜȈ裈ポ䂀 םם ŁȌ飐ヵ袜ポ颠ヵ䂀틴ブם ŎȈםםםųȈ裈ポ䂀םם ŴȌ飐ヵ袜ポ颠ヵ䂀틴ブם ŽȈםםםŦȈdétenuesūȈ裈ポ䂀'םם ŬȌ飐ヵ袜ポ颠ヵ䂀틴ブם ĕȈםםםĞȈsuivantăȈ裈ポ䂀/̔ιם ĄȌ飐ヵ袜ポ颠ヵ䂀틴ブם čȈםםםĶȈ裈ポ䂀4םם ĻȌ飐ヵ袜ポ颠ヵ䂀틴ブם ĠȈםםםĥȈstatutĮȈ裈ポ䂀:妬λם ǓȌ飐ヵ袜ポ颠ヵ䂀틴ブם ǘȈםםםǝȈ裈ポ䂀&lt;םם ǆȌ飐ヵ袜ポ颠ヵ䂀틴ブם ǏȈםםםǰȈleurǷȈ裈ポ䂀Aםם ǸȌ飐ヵ袜ポ颠ヵ䂀틴ブם ǡȈםםםǪȈâgeǩȈ裈ポ䂀Eםם ƒȌ飐ヵ袜ポ颠ヵ䂀틴ブם ƛȈםםםƜȈouƃȈ裈ポ䂀Hםם ƄȌ飐ヵ袜ポ颠ヵ䂀틴ブם ƍȈםםםƶȈleurƵȈ裈ポ䂀Mםם ƾȌ飐ヵ袜ポ颠ヵ䂀틴ブם ƧȈםםםƨȈsexeƯȈ裈ポ䂀Qםם ŐȌ飐ヵ袜ポ颠ヵ䂀틴ブם řȈם落םםłȈ.ŁȈ裈ポ䂀R祿םם ŊȌ飐ヵ袜ポ颠ヵ䂀틴ブ蘿ם ųȈם煮םםŴȈ&#10;ŻȈdesžȈ&#10;ŽȈMaisonsŦȈplupartstūȈ裈ポ䂀塞ם笠ם ŬȌ飐ヵ袜ポ颠ヵ䂀틴ブ懲ם ĕȈ靖ם﬈ם落םĞȈ裈ポ䂀躌ι視םăȈdistinction ĄȌ飐ヵ袜ポ颠ヵ䂀틴ブﬀם čȈ﫜םﮠם煮םĶȈ裈ポ䂀םﭐם ĻȌ飐ヵ袜ポ颠ヵ䂀틴ブﮘם ĠȈﭴםﰸם﬈םĥȈ裈ポ䂀 怜םﯨם ĮȌ飐ヵ袜ポ颠ヵ䂀틴ブﰰם ǗȈﰌםﳐםﮠםǘȈ裈ポ䂀凜םﲀם ǝȌ飐ヵ袜ポ颠ヵ䂀틴ブﳈם ǊȈﲤםﵨםﰸםǏȈ裈ポ䂀濾םﴘם ǰȌ飐ヵ袜ポ颠ヵ䂀틴ブﵠם ǹȈﴼם︀םﳐםǢȈ裈ポ䂀魌ﶰם ǧȌ飐ヵ袜ポ颠ヵ䂀틴ブﷸם ǬȈ﷔םﺘםﵨםƑȈ裈ポ䂀ﺼם﹈ם ƚȌ飐ヵ袜ポ颠ヵ䂀틴ブﺐם ƃȈ﹬םｈם︀םƄȈ’ƋȈ裈ポ䂀ｬםﻸם ƌȌ飐ヵ袜ポ颠ヵ䂀틴ブ｀ם ƵȈ＜ם￸םﺘםƾȈ&#10;arrêtƽȈ裈ポ䂀%מﾨם ƦȌ飐ヵ袜ポ颠ヵ䂀틴ブ￰ם ƯȈￌם¨מｈםŐȈetŗȈ裈ポ䂀(ÌמXמ ŘȌ飐ヵ袜ポ颠ヵ䂀틴ブ מ ŁȈ|מŘמ￸םŊȈdeŉȈ裈ポ䂀+&#10;żמĈמ ŲȌ飐ヵ袜ポ颠ヵ䂀틴ブŐמ ŻȈĬמȘמ¨מżȈcorrectionšȈ裈ポ䂀6ȼמǈמ ŪȌ飐ヵ袜ポ颠ヵ䂀틴ブȐמ ēȈǬמˈמŘמĔȈ(ěȈ裈ポ䂀7ˬמɸמ ĜȌ飐ヵ袜ポ颠ヵ䂀틴ブˀמ ąȈʜמ͸מȘמĎȈMACčȈ裈ポ䂀:Μמ̨מ ĶȌ飐ヵ袜ポ颠ヵ䂀틴ブͰמ ĿȈ͌מШמˈמĠȈ)ħȈ裈ポ䂀;ьמϘמ ĨȌ飐ヵ袜ポ颠ヵ䂀틴ブРמ ǑȈϼמӘמ͸מǚȈ,ǙȈ裈ポ䂀=Ӽמ҈מ ǂȌ飐ヵ袜ポ颠ヵ䂀틴ブӐמ ǋȈҬמֈמШמǌȈlesǳȈ裈ポ䂀A֬מԸמ ǴȌ飐ヵ袜ポ颠ヵ䂀틴ブրמ ǽȈ՜מوמӘמǦȈprévenusǫȈ裈ポ䂀J٬מ׸מ ǬȌ飐ヵ袜ポ颠ヵ䂀틴ブـמ ƕȈ؜מ۸מֈמƞȈneƝȈ裈ポ䂀Mܜמڨמ ƆȌ飐ヵ袜ポ颠ヵ䂀틴ブ۰מ ƏȈیמިמوמưȈsontƷȈ裈ポ䂀Rߌמݘמ ƸȌ飐ヵ袜ポ颠ヵ䂀틴ブޠמ ơȈݼמࡘמ۸מƪȈpasƩȈ裈ポ䂀Vࡼמࠈמ ŒȌ飐ヵ袜ポ颠ヵ䂀틴ブࡐמ śȈࠬמघמިמŜȈséparésŁȈ裈ポ䂀^़מࣈמ ŊȌ飐ヵ袜ポ颠ヵ䂀틴ブऐמ ųȈ࣬מৈמࡘמŴȈdesŻȈ裈ポ䂀b ৬מॸמ żȌ飐ヵ袜ポ颠ヵ䂀틴ブীמ ťȈজמઈמघמŮȈcondamnésēȈ裈ポ䂀lબמਸמ ĔȌ飐ヵ袜ポ颠ヵ䂀틴ブ઀מ ĝȈੜמସמৈמĆȈetąȈ裈ポ䂀oଡ଼מ૨מ ĎȌ飐ヵ袜ポ颠ヵ䂀틴ブରמ ķȈଌמ௨מઈמĸȈneĿȈ裈ポ䂀rఌמ஘מ ĠȌ飐ヵ袜ポ颠ヵ䂀틴ブ௠מ ĩȈ஼מನמସמǒȈbénéficientǗȈ裈ポ䂀~ೌמౘמ ǘȌ飐ヵ袜ポ颠ヵ䂀틴ブಠמ ǁȈ౼מ൘מ௨מǊȈpasǉȈ裈ポ䂀ർמഈמ ǲȌ飐ヵ袜ポ颠ヵ䂀틴ブ൐מ ǻȈബמจמನמǼȈdǣȈ裈ポ䂀ฬמමמ ǤȌ飐ヵ袜ポ颠ヵ䂀틴ブ฀מ ǭȈොמຸמ൘מƖȈ’ƕȈ裈ポ䂀ໜמ๨מ ƞȌ飐ヵ袜ポ颠ヵ䂀틴ブະמ ƇȈຌמཨמจמƈȈunƏȈ裈ポ䂀ྌמ༘מ ưȌ飐ヵ袜ポ颠ヵ䂀틴ブའמ ƹȈ༼מဨמຸמƢȈrégimeƧȈ裈ポ䂀၌מ࿘מ ƨȌ飐ヵ袜ポ颠ヵ䂀틴ブဠמ őȈ࿼מშמཨמŚȈdistinctşȈ裈ポ䂀ᄌמ႘מ ŀȌ飐ヵ袜ポ颠ヵ䂀틴ブრמ ŉȈႼמᆘמဨמŲȈ,űȈ裈ポ䂀 ᆼמᅈמ źȌ飐ヵ袜ポ颠ヵ䂀틴ブᆐמ ţȈᅬמቘמშמŤȈappropriéũȈ裈ポ䂀¢ቼמለמ ĒȌ飐ヵ袜ポ颠ヵ䂀틴ブቐמ ěȈሬמገמᆘמĜȈàăȈ裈ポ䂀¤ጬמኸמ ĄȌ飐ヵ袜ポ颠ヵ䂀틴ブጀמ čȈዜמᎸמቘמĶȈleurĵȈ裈ポ䂀© Ꮬמ፨מ ľȌ飐ヵ袜ポ颠ヵ䂀틴ブᎰמ ħȈᎌמᑸמገמĨȈconditionĭȈ裈ポ䂀³ᒜמᐨמ ǖȌ飐ヵ袜ポ颠ヵ䂀틴ブᑰמ ǟȈᑌמᔨמᎸמǀȈdeǇȈ裈ポ䂀¶ᕌמᓘמ ǈȌ飐ヵ袜ポ颠ヵ䂀틴ブᔠמ ǱȈᓼמᗨמᑸמǺȈpersonneǿȈ裈ポ䂀¿ᘌמᖘמ ǠȌ飐ヵ袜ポ颠ヵ䂀틴ブᗠמ ǩȈᖼמᚘמᔨמƒȈnonƑȈ裈ポ䂀Ã&#10;ᚼמᙈמ ƚȌ飐ヵ袜ポ颠ヵ䂀틴ブᚐמ ƃȈᙬמ᝘מᗨמƄȈcondamnéesƉȈ裈ポ䂀Î᝼מᜈמ ƲȌ飐ヵ袜ポ颠ヵ䂀틴ブᝐמ ƻȈᜬמ᠘מᚘמƼȈconformémentơȈ裈ポ䂀Ûᠼמៈמ ƪȌ飐ヵ袜ポ颠ヵ䂀틴ブ᠐מ œȈ៬מᣈמ᝘מŔȈàśȈ裈ポ䂀Ýᣬמᡸמ ŜȌ飐ヵ袜ポ颠ヵ䂀틴ブᣀמ ŅȈᢜמ᥸מ᠘מŎȈlōȈ裈ポ䂀Þᦜמᤨמ ŶȌ飐ヵ袜ポ颠ヵ䂀틴ブᥰמ ſȈ᥌מᨨמᣈמŠȈ’ŧȈ裈ポ䂀ßᩌמ᧘מ ŨȌ飐ヵ袜ポ颠ヵ䂀틴ブᨠמ đȈ᧼מ᫨מ᥸מĚȈarticleğȈ裈ポ䂀çᬌמ᪘מ ĀȌ飐ヵ袜ポ颠ヵ䂀틴ブ᫠מ ĉȈ᪼מᮘמᨨמĲȈ10ıȈ裈ポ䂀êᮼמᭈמ ĺȌ飐ヵ袜ポ颠ヵ䂀틴ブᮐמ ģȈ᭬מ᱘מ᫨מĤȈalinéaĩȈ裈ポ䂀ñᱼמᰈמ ǒȌ飐ヵ袜ポ颠ヵ䂀틴ブ᱐מ ǛȈᰬמᴈמᮘמǜȈ2ǃȈ裈ポ䂀óᴬמᲸמ ǄȌ飐ヵ袜ポ颠ヵ䂀틴ブᴀמ ǍȈ᳜מᶸמ᱘מǶȈduǵȈ裈ポ䂀öᷜמᵨמ ǾȌ飐ヵ袜ポ颠ヵ䂀틴ブᶰמ ǧȈᶌמṨמᴈמǨȈ&#10;PacteǯȈ裈ポ䂀ü&#10;ẌמḘמ ƐȌ飐ヵ袜ポ颠ヵ䂀틴ブṠמ ƙȈḼמἨמᶸמƂȈinternationalƇȈ裈ポ䂀ĊὌמỘמ ƈȌ飐ヵ袜ポ颠ヵ䂀틴ブἠמ ƱȈỼמῨמṨמƺȈrelatifƿȈ裈ポ䂀Ē‌מᾘמ ƠȌ飐ヵ袜ポ颠ヵ䂀틴ブῠמ ƩȈᾼמₘמἨמŒȈauxőȈ裈ポ䂀Ė₼מ⁈מ ŚȌ飐ヵ袜ポ颠ヵ䂀틴ブₐמ ŃȈ⁬מ⅘מῨמńȈdroitsŉȈ裈ポ䂀ĝⅼמ℈מ ŲȌ飐ヵ袜ポ颠ヵ䂀틴ブ⅐מ ŻȈℬמ∘מₘמżȈcivilsšȈ裈ポ䂀Ĥ∼מ⇈מ ŪȌ飐ヵ袜ポ颠ヵ䂀틴ブ∐מ ēȈ⇬מ⋈מ⅘מĔȈetěȈ裈ポ䂀ħ&#10;⋬מ≸מ ĜȌ飐ヵ袜ポ颠ヵ䂀틴ブ⋀מ ąȈ⊜מ⎈מ∘מĎȈpolitiquesĳȈ裈ポ䂀ı⎬מ⌸מ ĴȌ飐ヵ袜ポ颠ヵ䂀틴ブ⎀מ ĽȈ⍜מ␸מ⋈מĦȈ(ĥȈ裈ポ䂀Ĳ⑜מ⏨מ ĮȌ飐ヵ袜ポ颠ヵ䂀틴ブ␰מ ǗȈ␌מⓨמ⎈מǘȈ&#10;PIDCPǟȈ裈ポ䂀ķ┌מ⒘מ ǀȌ飐ヵ袜ポ颠ヵ䂀틴ブⓠמ ǉȈⒼמ▘מ␸מǲȈ)ǱȈ裈ポ䂀ĸ▼מ╈מ ǺȌ飐ヵ袜ポ颠ヵ䂀틴ブ▐מ ǣȈ╬מ♈מⓨמǤȈ.ǫȈ裈ポ䂀ĺ♬מ◸מ ǬȌ飐ヵ袜ポ颠ヵ䂀틴ブ♀מ ƕȈ☜מ❸מ▘מƞȈ&#10;ƝȈ&#10;y1ƀȈdeuxƇȈcatégorieslƈȈ&#10;entreListtƍȈ裈ポ䂀⚄מ✨מ ƶȌ飐ヵ袜ポ颠ヵ䂀틴ブ❰מ ƿȈ❌מ⠸מ♈מƠȈ裈ポ䂀髜⟨מƥȈlesn List ƮȌ飐ヵ袜ポ颠ヵ䂀틴ブ⠰מ ŗȈ⠌מ⣐מ❸מŘȈ裈ポ䂀杖ם⢀מ ŝȌ飐ヵ袜ポ颠ヵ䂀틴ブ⣈מ ŊȈ⢤מ⥨מ⠸מŏȈ裈ポ䂀⛜מ⤘מ ŰȌ飐ヵ袜ポ颠ヵ䂀틴ブ⥠מ ŹȈ⤼מ⨀מ⣐מŢȈ裈ポ䂀⚜מ⦰מ ŧȌ飐ヵ袜ポ颠ヵ䂀틴ブ⧸מ ŬȈ⧔מ⪘מ⥨מđȈ裈ポ䂀&#10;⚴מ⩈מ ĚȌ飐ヵ袜ポ颠ヵ䂀틴ブ⪐מ ăȈ⩬מ⬰מ⨀מĄȈ裈ポ䂀&amp;姌λ⫠מ ĉȌ飐ヵ袜ポ颠ヵ䂀틴ブ⬨מ ĶȈ⬄מ⯈מ⪘מĻȈ裈ポ䂀)⯬מ⭸מ ļȌ飐ヵ袜ポ颠ヵ䂀틴ブ⯀מ ĥȈ⮜מⲈמ⬰מĮȈdétenusǓȈ裈ポ䂀1Ⲭמⰸמ ǔȌ飐ヵ袜ポ颠ヵ䂀틴ブⲀמ ǝȈⱜמⵈמ⯈מǆȈhéritéeǋȈ裈ポ䂀9⵬מ⳸מ ǌȌ飐ヵ袜ポ颠ヵ䂀틴ブⵀמ ǵȈⴜמⷸמⲈמǾȈdeǽȈ裈ポ䂀&lt;⸜מⶨמ ǦȌ飐ヵ袜ポ颠ヵ䂀틴ブⷰמ ǯȈⷌמ⺨מⵈמƐȈlaƗȈ裈ポ䂀?⻌מ⹘מ ƘȌ飐ヵ袜ポ颠ヵ䂀틴ブ⺠מ ƁȈ⹼מ⽨מⷸמƊȈpériodeƏȈ裈ポ䂀G ⾌מ⼘מ ưȌ飐ヵ袜ポ颠ヵ䂀틴ブ⽠מ ƹȈ⼼מ〨מ⺨מƢȈcolonialeƧȈ裈ポ䂀Qがמ⿘מ ƨȌ飐ヵ袜ポ颠ヵ䂀틴ブ〠מ őȈ⿼מヘמ⽨מŚȈestřȈ裈ポ䂀Uーמよמ łȌ飐ヵ袜ポ颠ヵ䂀틴ブバמ ŋȈガמ㆘מ〨מŌȈencoreűȈ裈ポ䂀\ㆼמㅈמ źȌ飐ヵ袜ポ颠ヵ䂀틴ブ㆐מ ţȈㅬמ㉈מヘמŤȈenūȈ裈ポ䂀_㉬מㇸמ ŬȌ飐ヵ袜ポ颠ヵ䂀틴ブ㉀מ ĕȈ㈜מ㌈מ㆘מĞȈvigueurăȈ裈ポ䂀g㌬מ㊸מ ĄȌ飐ヵ袜ポ颠ヵ䂀틴ブ㌀מ čȈ㋜מ㎸מ㉈מĶȈenĵȈ裈ポ䂀j㏜מ㍨מ ľȌ飐ヵ袜ポ颠ヵ䂀틴ブ㎰מ ħȈ㎌מ㑨מ㌈מĨȈCôteįȈ裈ポ䂀o㒌מ㐘מ ǐȌ飐ヵ袜ポ颠ヵ䂀틴ブ㑠מ ǙȈ㐼מ㔘מ㎸מǂȈdǁȈ裈ポ䂀p㔼מ㓈מ ǊȌ飐ヵ袜ポ颠ヵ䂀틴ブ㔐מ ǳȈ㓬מ㗈מ㑨מǴȈ’ǻȈ裈ポ䂀q㗬מ㕸מ ǼȌ飐ヵ袜ポ颠ヵ䂀틴ブ㗀מ ǥȈ㖜מ㚈מ㔘מǮȈIvoireƓȈ裈ポ䂀w㚬מ㘸מ ƔȌ飐ヵ袜ポ颠ヵ䂀틴ブ㚀מ ƝȈ㙜מ㜸מ㗈מƆȈ.ƅȈ裈ポ䂀y㝜מ㛨מ ƎȌ飐ヵ袜ポ颠ヵ䂀틴ブ㜰מ ƷȈ㜌מ㟨מ㚈מƸȈEnƿȈ裈ポ䂀|㠌מ㞘מ ƠȌ飐ヵ袜ポ颠ヵ䂀틴ブ㟠מ ƩȈ㞼מ㢘מ㜸מŒȈ&#10;effetőȈ裈ポ䂀㢼מ㡈מ ŚȌ飐ヵ袜ポ颠ヵ䂀틴ブ㢐מ ŃȈ㡬מ㥈מ㟨מńȈ,ŋȈ裈ポ䂀㥬מ㣸מ ŌȌ飐ヵ袜ポ颠ヵ䂀틴ブ㥀מ ŵȈ㤜מ㨈מ㢘מžȈpendantţȈ裈ポ䂀㨬מ㦸מ ŤȌ飐ヵ袜ポ颠ヵ䂀틴ブ㨀מ ŭȈ㧜מ㪸מ㥈מĖȈlaĕȈ裈ポ䂀㫜מ㩨מ ĞȌ飐ヵ袜ポ颠ヵ䂀틴ブ㪰מ ćȈ㪌מ㭸מ㨈מĈȈpériodečȈ裈ポ䂀 㮜מ㬨מ ĶȌ飐ヵ袜ポ颠ヵ䂀틴ブ㭰מ ĿȈ㭌מ㰸מ㪸מĠȈcolonialeĥȈ裈ポ䂀㱜מ㯨מ ĮȌ飐ヵ袜ポ颠ヵ䂀틴ブ㰰מ ǗȈ㰌מ㳨מ㭸מǘȈ,ǟȈ裈ポ䂀¡㴌מ㲘מ ǀȌ飐ヵ袜ポ颠ヵ䂀틴ブ㳠מ ǉȈ㲼מ㶘מ㰸מǲȈlesǱȈ裈ポ䂀¥㶼מ㵈מ ǺȌ飐ヵ袜ポ颠ヵ䂀틴ブ㶐מ ǣȈ㵬מ㹘מ㳨מǤȈdétenusǩȈ裈ポ䂀­㹼מ㸈מ ƒȌ飐ヵ袜ポ颠ヵ䂀틴ブ㹐מ ƛȈ㸬מ㼈מ㶘מƜȈdeƃȈ裈ポ䂀°㼬מ㺸מ ƄȌ飐ヵ袜ポ颠ヵ䂀틴ブ㼀מ ƍȈ㻜מ㿈מ㹘מƶȈstatutƻȈ裈ポ䂀·㿬מ㽸מ ƼȌ飐ヵ袜ポ颠ヵ䂀틴ブ㿀מ ƥȈ㾜מ䂀מ㼈מƮȐ&#10;civilŒȈ裈ポ䂀½䂤מ䀰מ ŗȌ飐ヵ袜ポ颠ヵ䂀틴ブ䁸מ ŜȈ䁔מ䅀מ㿈מŁȈeuropéenŊȈ裈ポ䂀Æ䅤מ䃰מ ŏȌ飐ヵ袜ポ颠ヵ䂀틴ブ䄸מ ŴȈ䄔מ䇰מ䂀מŹȈetżȈ裈ポ䂀É䈔מ䆠מ šȌ飐ヵ袜ポ颠ヵ䂀틴ブ䇨מ ŮȈ䇄מ䊠מ䅀מēȈlesĖȈ裈ポ䂀Í 䋄מ䉐מ ěȌ飐ヵ袜ポ颠ヵ䂀틴ブ䊘מ ĀȈ䉴מ䍠מ䇰מąȈassimilésĎȈ裈ポ䂀Ö䎄מ䌐מ ĳȌ飐ヵ袜ポ颠ヵ䂀틴ブ䍘מ ĸȈ䌴מ䐐מ䊠מĽȈ,ĠȈ裈ポ䂀Ø䐴מ䏀מ ĥȌ飐ヵ袜ポ颠ヵ䂀틴ブ䐈מ ǒȈ䏤מ䓀מ䍠מǗȈcǚȈ裈ポ䂀Ù䓤מ䑰מ ǟȌ飐ヵ袜ポ颠ヵ䂀틴ブ䒸מ ǄȈ䒔מ䕰מ䐐מǉȈ'ǌȈ裈ポ䂀Ú䖔מ䔠מ ǱȌ飐ヵ袜ポ颠ヵ䂀틴ブ䕨מ ǾȈ䕄מ䘠מ䓀מǣȈestǦȈ裈ポ䂀Ý䙄מ䗐מ ǫȌ飐ヵ袜ポ颠ヵ䂀틴ブ䘘מ ƐȈ䗴מ䛐מ䕰מƕȈ-ƘȈ裈ポ䂀Þ䛴מ䚀מ ƝȌ飐ヵ袜ポ颠ヵ䂀틴ブ䛈מ ƊȈ䚤מ䞀מ䘠מƏȈàƲȈ裈ポ䂀ß䞤מ䜰מ ƷȌ飐ヵ袜ポ颠ヵ䂀틴ブ䝸מ ƼȈ䝔מ䠰מ䛐מơȈ-ƤȈ裈ポ䂀à䡔מ䟠מ ƩȌ飐ヵ袜ポ颠ヵ䂀틴ブ䠨מ ŖȈ䠄מ䣠מ䞀מśȈdireŞȈ裈ポ䂀å䤄מ䢐מ ŃȌ飐ヵ袜ポ颠ヵ䂀틴ブ䣘מ ňȈ䢴מ䦐מ䠰מōȈlesŰȈ裈ポ䂀é 䦴מ䥀מ ŵȌ飐ヵ袜ポ颠ヵ䂀틴ブ䦈מ ŢȈ䥤מ䩐מ䣠מŧȈivoiriensŨȈ裈ポ䂀ó䩴מ䨀מ ŭȌ飐ヵ袜ポ颠ヵ䂀틴ブ䩈מ ĚȈ䨤מ䬀מ䦐מğȈquiĂȈ裈ポ䂀÷䬤מ䪰מ ćȌ飐ヵ袜ポ颠ヵ䂀틴ブ䫸מ ČȈ䫔מ䮰מ䩐מıȈontĴȈ裈ポ䂀û䯔מ䭠מ ĹȌ飐ヵ袜ポ颠ヵ䂀틴ブ䮨מ ĦȈ䮄מ䱰מ䬀מīȈacquisĬȈ裈ポ䂀Ă䲔מ䰠מ ǑȌ飐ヵ袜ポ颠ヵ䂀틴ブ䱨מ ǞȈ䱄מ䴠מ䮰מǃȈlaǆȈ裈ポ䂀ą䵄מ䳐מ ǋȌ飐ヵ袜ポ颠ヵ䂀틴ブ䴘מ ǰȈ䳴מ䷠מ䱰מǵȈnationalitéǾȈ裈ポ䂀đ 丄מ䶐מ ǣȌ飐ヵ袜ポ颠ヵ䂀틴ブ䷘מ ǨȈ䶴מ亠מ䴠מǭȈfrançaiseƖȈ裈ポ䂀Ě仄מ乐מ ƛȌ飐ヵ袜ポ颠ヵ䂀틴ブ亘מ ƀȈ乴מ佐מ䷠מƅȈ,ƈȈ裈ポ䂀Ĝ佴מ伀מ ƍȌ飐ヵ袜ポ颠ヵ䂀틴ブ佈מ ƺȈ伤מ倀מ亠מƿȈnƢȈ裈ポ䂀ĝ値מ侰מ ƧȌ飐ヵ袜ポ颠ヵ䂀틴ブ俸מ ƬȈ俔מ傰מ佐מőȈ’ŔȈ裈ポ䂀Ğ僔מ偠מ řȌ飐ヵ袜ポ颠ヵ䂀틴ブ储מ ņȈ傄מ兠מ倀מŋȈ&#10;étaitŎȈ裈ポ䂀Ĥ冄מ儐מ ųȌ飐ヵ袜ポ颠ヵ䂀틴ブ兘מ ŸȈ儴מ刐מ傰מŽȈpasŠȈ裈ポ䂀Ĩ刴מ净מ ťȌ飐ヵ袜ポ颠ヵ䂀틴ブ刈מ ĒȈ凤מ勐מ兠מėȈtraitéĘȈ裈ポ䂀į勴מ劀מ ĝȌ飐ヵ袜ポ颠ヵ䂀틴ブ勈מ ĊȈ劤מ厀מ刐מďȈdeĲȈ裈ポ䂀Ĳ厤מ匰מ ķȌ飐ヵ袜ポ颠ヵ䂀틴ブ卸מ ļȈ協מ吰מ勐מġȈlaĤȈ裈ポ䂀ĵ呔מ叠מ ĩȌ飐ヵ袜ポ颠ヵ䂀틴ブ吨מ ǖȈ各מ哠מ厀מǛȈmêmeǞȈ裈ポ䂀ĺ唄מ咐מ ǃȌ飐ヵ袜ポ颠ヵ䂀틴ブ哘מ ǈȈ咴מ喐מ吰מǍȈ&#10;façonǰȈ裈ポ䂀ŀ喴מ啀מ ǵȌ飐ヵ袜ポ颠ヵ䂀틴ブ喈מ ǢȈ啤מ噀מ哠מǧȈqueǪȈ裈ポ䂀ń噤מ嗰מ ǯȌ飐ヵ袜ポ颠ヵ䂀틴ブ嘸מ ƔȈ嘔מ困מ喐מƙȈlesƜȈ裈ポ䂀ň圔מ嚠מ ƁȌ飐ヵ袜ポ颠ヵ䂀틴ブ囨מ ƎȈ囄מ垰מ噀מƳȈdétenusƴȈ裈ポ䂀Ő埔מ坠מ ƹȌ飐ヵ袜ポ颠ヵ䂀틴ブ垨מ ƦȈ垄מ塠מ困מƫȈdeƮȈ裈ポ䂀œ墄מ堐מ œȌ飐ヵ袜ポ颠ヵ䂀틴ブ塘מ ŘȈ場מ夠מ垰מŝȈstatutņȈ裈ポ䂀Ś奄מ壐מ ŋȌ飐ヵ袜ポ颠ヵ䂀틴ブ夘מ ŰȈ壴מ姐מ塠מŵȈ&#10;civilŸȈ裈ポ䂀Š姴מ妀מ ŽȌ飐ヵ袜ポ颠ヵ䂀틴ブ姈מ ŪȈ妤מ媐מ夠מůȈafricainĐȈ裈ポ䂀Ũ媴מ婀מ ĕȌ飐ヵ袜ポ颠ヵ䂀틴ブ媈מ ĂȈ婤מ孀מ姐מćȈ,ĊȈ裈ポ䂀Ū孤מ嫰מ ďȌ飐ヵ袜ポ颠ヵ䂀틴ブ嬸מ ĴȈ嬔מ寰מ媐מĹȈlesļȈ裈ポ䂀Ů 尔מ宠מ ġȌ飐ヵ袜ポ颠ヵ䂀틴ブ寨מ ĮȈ寄מ岰מ孀מǓȈindigènesǔȈ裈ポ䂀ŷ峔מ屠מ ǙȌ飐ヵ袜ポ颠ヵ䂀틴ブ岨מ ǆȈ岄מ嵠מ寰מǋȈ.ǎȈ裈ポ䂀Ź嶄מ崐מ ǳȌ飐ヵ袜ポ颠ヵ䂀틴ブ嵘מ ǸȈ崴מ廸מ岰מǽȈ&#10;ǠȈhuiǧȈ'ǪȈséparationǯȈ-imilésƐȈ’aitƗȈ,igènes.ƘȈAujourds.ƝȈ裈ポ䂀幜מ庨מ ƆȌ飐ヵ袜ポ颠ヵ䂀틴ブ廰מ ƏȈ廌מ徐מ嵠מưȈ裈ポ䂀帜מ彀מ ƵȌ飐ヵ袜ポ颠ヵ䂀틴ブ很מ ƢȈ彤מ怨מ廸מƧȈ裈ポ䂀 嶜מ忘מ ƨȌ飐ヵ袜ポ颠ヵ䂀틴ブ怠מ őȈ忼מ惀מ徐מŚȈ裈ポ䂀帴מ恰מ şȌ飐ヵ袜ポ颠ヵ䂀틴ブ悸מ ńȈ悔מ慘מ怨מŉȈ裈ポ䂀⟄מ愈מ ŲȌ飐ヵ袜ポ颠ヵ䂀틴ブ慐מ ŻȈ愬מ懰מ惀מżȈ裈ポ䂀祴כ憠מ šȌ飐ヵ袜ポ颠ヵ䂀틴ブ懨מ ŮȈ懄מ抈מ慘מēȈ裈ポ䂀 嘼λ戸מ ĔȌ飐ヵ袜ポ颠ヵ䂀틴ブ技מ ĝȈ扜מ挠מ懰מĆȈ裈ポ䂀&quot;捄מ拐מ ċȌ飐ヵ袜ポ颠ヵ䂀틴ブ挘מ İȈ拴מ提מ抈מĵȈlesĸȈ裈ポ䂀&amp;援מ掀מ ĽȌ飐ヵ袜ポ颠ヵ䂀틴ブ揈מ ĪȈ掤מ撐מ挠מįȈcadresǐȈ裈ポ䂀-撴מ摀מ ǕȌ飐ヵ袜ポ颠ヵ䂀틴ブ撈מ ǂȈ摤מ敀מ提מǇȈduǊȈ裈ポ䂀0敤מ擰מ ǏȌ飐ヵ袜ポ颠ヵ䂀틴ブ攸מ ǴȈ攔מ旰מ撐מǹȈ&#10;privéǼȈ裈ポ䂀6昔מ斠מ ǡȌ飐ヵ袜ポ颠ヵ䂀틴ブ旨מ ǮȈ旄מ暠מ敀מƓȈetƖȈ裈ポ䂀9曄מ晐מ ƛȌ飐ヵ袜ポ颠ヵ䂀틴ブ暘מ ƀȈ晴מ材מ旰מƅȈlesƈȈ裈ポ䂀=杴מ最מ ƍȌ飐ヵ袜ポ颠ヵ䂀틴ブ杈מ ƺȈ朤מ栐מ暠מƿȈhommesƠȈ裈ポ䂀D&#10;栴מ柀מ ƥȌ飐ヵ袜ポ颠ヵ䂀틴ブ栈מ ŒȈ柤מ棐מ材מŗȈpolitiquesŘȈ裈ポ䂀O棴מ梀מ ŝȌ飐ヵ袜ポ颠ヵ䂀틴ブ棈מ ŊȈ梤מ榐מ栐מŏȈbénéficientŰȈ裈ポ䂀[榴מ楀מ ŵȌ飐ヵ袜ポ颠ヵ䂀틴ブ榈מ ŢȈ楤מ橀מ棐מŧȈduŪȈ裈ポ䂀^橤מ槰מ ůȌ飐ヵ袜ポ颠ヵ䂀틴ブ樸מ ĔȈ樔מ欀מ榐מęȈstatutĂȈ裈ポ䂀e欤מ檰מ ćȌ飐ヵ袜ポ颠ヵ䂀틴ブ櫸מ ČȈ櫔מ殰מ橀מıȈdĴȈ裈ポ䂀f比מ歠מ ĹȌ飐ヵ袜ポ颠ヵ䂀틴ブ殨מ ĦȈ殄מ池מ欀מīȈ’ĮȈ裈ポ䂀g 沄מ氐מ ǓȌ飐ヵ袜ポ颠ヵ䂀틴ブ汘מ ǘȈ水מ洠מ殰מǝȈassimilésǆȈ裈ポ䂀p浄מ泐מ ǋȌ飐ヵ袜ポ颠ヵ䂀틴ブ洘מ ǰȈ泴מ淐מ池מǵȈ ǸȈ裈ポ䂀q淴מ涀מ ǽȌ飐ヵ袜ポ颠ヵ䂀틴ブ淈מ ǪȈ涤מ満מ洠מǯȈ;ƒȈ裈ポ䂀s溤מ渰מ ƗȌ飐ヵ袜ポ颠ヵ䂀틴ブ湸מ ƜȈ湔מ漰מ淐מƁȈilsƄȈ裈ポ䂀w潔מ滠מ ƉȌ飐ヵ袜ポ颠ヵ䂀틴ブ漨מ ƶȈ漄מ濠מ満מƻȈsontƾȈ裈ポ䂀|瀌מ澐מ ƣȌ飐ヵ袜ポ颠ヵ䂀틴ブ濘מ ƨȐ澴מ炨מ漰מŒȈdétenusŗȈ裈ポ䂀烌מ灘מ ŘȌ飐ヵ袜ポ颠ヵ䂀틴ブ炠מ ŁȈ灼מ煘מ濠מŊȈdansŉȈ裈ポ䂀煼מ焈מ ŲȌ飐ヵ袜ポ颠ヵ䂀틴ブ煐מ ŻȈ焬מ爈מ炨מżȈunţȈ裈ポ䂀爬מ熸מ ŤȌ飐ヵ袜ポ颠ヵ䂀틴ブ爀מ ŭȈ燜מ狈מ煘מĖȈbâtimentěȈ裈ポ䂀独מ牸מ ĜȌ飐ヵ袜ポ颠ヵ䂀틴ブ狀מ ąȈ犜מ獸מ爈מĎȈàčȈ裈ポ䂀玜מ猨מ ĶȌ飐ヵ袜ポ颠ヵ䂀틴ブ獰מ ĿȈ獌מ琨מ狈מĠȈpartħȈ裈ポ䂀瑌מ珘מ ĨȌ飐ヵ袜ポ颠ヵ䂀틴ブ琠מ ǑȈ珼מ瓘מ獸מǚȈàǙȈ裈ポ䂀瓼מ璈מ ǂȌ飐ヵ袜ポ颠ヵ䂀틴ブ瓐מ ǋȈ璬מ疈מ琨מǌȈlaǳȈ裈ポ䂀¡疬מ甸מ ǴȌ飐ヵ袜ポ颠ヵ䂀틴ブ疀מ ǽȈ畜מ瘸מ瓘מǦȈMACAǥȈ裈ポ䂀¥癜מ痨מ ǮȌ飐ヵ袜ポ颠ヵ䂀틴ブ瘰מ ƗȈ瘌מ盨מ疈מƘȈ.ƟȈ裈ポ䂀§県מ皘מ ƀȌ飐ヵ袜ポ颠ヵ䂀틴ブ盠מ ƉȈ皼מ瞘מ瘸מƲȈCeƱȈ裈ポ䂀ª瞼מ睈מ ƺȌ飐ヵ袜ポ颠ヵ䂀틴ブ瞐מ ƣȈ睬מ硈מ盨מƤȈnƫȈ裈ポ䂀«硬מ矸מ ƬȌ飐ヵ袜ポ颠ヵ䂀틴ブ础מ ŕȈ砜מ磸מ瞘מŞȈ’ŝȈ裈ポ䂀¬礜מ碨מ ņȌ飐ヵ袜ポ颠ヵ䂀틴ブ磰מ ŏȈ磌מ禨מ硈מŰȈestŷȈ裈ポ䂀°秌מ祘מ ŸȌ飐ヵ袜ポ颠ヵ䂀틴ブ禠מ šȈ祼מ穘מ磸מŪȈpasũȈ裈ポ䂀´穼מ稈מ ĒȌ飐ヵ袜ポ颠ヵ䂀틴ブ穐מ ěȈ稬מ笈מ禨מĜȈleăȈ裈ポ䂀·第מ窸מ ĄȌ飐ヵ袜ポ颠ヵ䂀틴ブ笀מ čȈ竜מ箸מ穘מĶȈcasĵȈ裈ポ䂀»篜מ筨מ ľȌ飐ヵ袜ポ颠ヵ䂀틴ブ箰מ ħȈ箌מ籨מ笈מĨȈdansįȈ裈ポ䂀À粌מ簘מ ǐȌ飐ヵ袜ポ颠ヵ䂀틴ブ籠מ ǙȈ簼מ紘מ箸מǂȈlesǁȈ裈ポ䂀Ä紼מ糈מ ǊȌ飐ヵ袜ポ颠ヵ䂀틴ブ紐מ ǳȈ糬מ緘מ籨מǴȈautresǹȈ裈ポ䂀Ë緼מ綈מ ǢȌ飐ヵ袜ポ颠ヵ䂀틴ブ緐מ ǫȈ綬מ纘מ紘מǬȈprisonsƑȈ裈ポ䂀Ó纼מ繈מ ƚȌ飐ヵ袜ポ颠ヵ䂀틴ブ纐מ ƃȈ繬מ罈מ緘מƄȈouƋȈ裈ポ䂀Ö罬מ绸מ ƌȌ飐ヵ袜ポ颠ヵ䂀틴ブ罀מ ƵȈ缜מ翸מ纘מƾȈlesƽȈ裈ポ䂀Ú 耜מ羨מ ƦȌ飐ヵ袜ポ颠ヵ䂀틴ブ翰מ ƯȈ翌מ肸מ罈מŐȈassimilésŕȈ裈ポ䂀ä胜מ聨מ ŞȌ飐ヵ袜ポ颠ヵ䂀틴ブ肰מ ŇȈ肌מ腨מ翸מňȈetŏȈ裈ポ䂀ç膌מ脘מ ŰȌ飐ヵ袜ポ颠ヵ䂀틴ブ腠מ ŹȈ脼מ舘מ肸מŢȈlesšȈ裈ポ䂀ë舼מ臈מ ŪȌ飐ヵ袜ポ颠ヵ䂀틴ブ舐מ ēȈ臬מ苘מ腨מĔȈprisonniersęȈ裈ポ䂀÷&#10;苼מ芈מ ĂȌ飐ヵ袜ポ颠ヵ䂀틴ブ苐מ ċȈ芬מ莘מ舘מČȈordinairesıȈ裈ポ䂀Ă莼מ荈מ ĺȌ飐ヵ袜ポ颠ヵ䂀틴ブ莐מ ģȈ荬מ葈מ苘מĤȈseīȈ裈ポ䂀ą葬מ菸מ ĬȌ飐ヵ袜ポ颠ヵ䂀틴ブ葀מ ǕȈ萜מ蔈מ莘מǞȈcôtoientǃȈ裈ポ䂀Ď蔬מ蒸מ ǄȌ飐ヵ袜ポ颠ヵ䂀틴ブ蔀מ ǍȈ蓜מ薸מ葈מǶȈetǵȈ裈ポ䂀đ 藜מ蕨מ ǾȌ飐ヵ袜ポ颠ヵ䂀틴ブ薰מ ǧȈ薌מ虸מ蔈מǨȈpartagentǭȈ裈ポ䂀ě蚜מ蘨מ ƖȌ飐ヵ袜ポ颠ヵ䂀틴ブ虰מ ƟȈ虌מ蜨מ薸מƀȈlesƇȈ裈ポ䂀ğ蝌מ蛘מ ƈȌ飐ヵ袜ポ颠ヵ䂀틴ブ蜠מ ƱȈ蛼מ蟘מ虸מƺȈ&#10;mêmesƹȈ裈ポ䂀ĥ蟼מ螈מ ƢȌ飐ヵ袜ポ颠ヵ䂀틴ブ蟐מ ƫȈ螬מ袘מ蜨מƬȈespacesőȈ裈ポ䂀ĭ袼מ衈מ ŚȌ飐ヵ袜ポ颠ヵ䂀틴ブ袐מ ŃȈ衬מ襘מ蟘מńȈcommunsŉȈ裈ポ䂀Ĵ襼מ褈מ ŲȌ飐ヵ袜ポ颠ヵ䂀틴ブ襐מ ŻȈ褬מ計מ袘מżȈ.ţȈ裈ポ䂀Ķ訬מ覸מ ŤȌ飐ヵ袜ポ颠ヵ䂀틴ブ言מ ŭȈ觜מ貈מ襘מĖȈ&#10;ĕȈexisteistĞȈIl1ns.ăȈ&#10;y1ĆȈbienąȈunue1ĎȈ裈ポ䂀ק䬨μĳȌ인ם謠מıȌ닐נ㙸ןķȈ裈ポ䂀誔מ谸מĸȈ脔ヵ醘篬ヵ蝐ポ볠ן㣠נ繈䯀ĠȈ脔ヵ絠ς篬ヵ蝐ポ㟐ן웸ם秨ι䯀ĨȈ&#10;&#10;ʄǹʄǿʄȌʄȑʄȝʄȨʄȳʄȿʄ ǔȌ飐ヵ袜ポ颠ヵ䂀틴ブ貀מ ǝȈ豜מ贠מ計מǆȈ裈ポ䂀詬מ賐מ ǋȌ飐ヵ袜ポ颠ヵ䂀틴ブ贘מ ǰȈ賴מ趸מ貈מǵȈ裈ポ䂀詄מ赨מ ǾȌ飐ヵ袜ポ颠ヵ䂀틴ブ趰מ ǧȈ趌מ蹐מ贠מǨȈ裈ポ䂀説מ踀מ ǭȌ飐ヵ袜ポ颠ヵ䂀틴ブ蹈מ ƚȈ踤מ軨מ趸מƟȈ裈ポ䂀諄מ躘מ ƀȌ飐ヵ袜ポ颠ヵ䂀틴ブ軠מ ƉȈ躼מ辀מ蹐מƲȈ裈ポ䂀辤מ輰מ ƷȌ飐ヵ袜ポ颠ヵ䂀틴ブ轸מ ƼȈ轔מ遀מ軨מơȈCentreƪȈ裈ポ䂀嘜λ述מ ƯȌ飐ヵ袜ポ颠ヵ䂀틴ブ逸מ ŔȈ途מ郘מ辀מřȈ裈ポ䂀郼מ邈מ łȌ飐ヵ袜ポ颠ヵ䂀틴ブ郐מ ŋȈ邬מ醘מ遀מŌȈmineurűȈ裈ポ䂀&amp;輴ι酈מ źȌ飐ヵ袜ポ颠ヵ䂀틴ブ醐מ ţȈ酬מ鈰מ郘מŤȈ裈ポ䂀+鉔מ釠מ ũȌ飐ヵ袜ポ颠ヵ䂀틴ブ鈨מ ĖȈ鈄מ鋠מ醘מěȈilĞȈ裈ポ䂀.錄מ銐מ ăȌ飐ヵ袜ポ颠ヵ䂀틴ブ鋘מ ĈȈ銴מ鎐מ鈰מčȈestİȈ裈ポ䂀2&#10;鎴מ鍀מ ĵȌ飐ヵ袜ポ颠ヵ䂀틴ブ鎈מ ĢȈ鍤מ鑐מ鋠מħȈcentraliséĨȈ裈ポ䂀=鑴מ鐀מ ĭȌ飐ヵ袜ポ颠ヵ䂀틴ブ鑈מ ǚȈ鐤מ销מ鎐מǟȈàǂȈ裈ポ䂀?锤מ钰מ ǇȌ飐ヵ袜ポ颠ヵ䂀틴ブ铸מ ǌȈ铔מ闀מ鑐מǱȈAbidjanǺȈ裈ポ䂀F闤מ镰מ ǿȌ飐ヵ袜ポ颠ヵ䂀틴ブ"/>
        </w:smartTagPr>
        <w:r w:rsidRPr="001D25B1">
          <w:rPr>
            <w:rFonts w:ascii="Garamond" w:eastAsia="Times New Roman" w:hAnsi="Garamond" w:cs="Garamond"/>
            <w:sz w:val="24"/>
            <w:szCs w:val="24"/>
          </w:rPr>
          <w:t>20 000 F</w:t>
        </w:r>
      </w:smartTag>
      <w:r w:rsidRPr="001D25B1">
        <w:rPr>
          <w:rFonts w:ascii="Garamond" w:eastAsia="Times New Roman" w:hAnsi="Garamond" w:cs="Garamond"/>
          <w:sz w:val="24"/>
          <w:szCs w:val="24"/>
        </w:rPr>
        <w:t xml:space="preserve"> CFA (30 €).</w:t>
      </w:r>
    </w:p>
    <w:p w:rsidR="00E244BC"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L’ACAT CI et la FIACAT sont également préoccupées par l’existence d’une catégorie de détenus, ceux soumis à la contrainte par corps</w:t>
      </w:r>
      <w:r w:rsidR="00E244BC" w:rsidRPr="001D25B1">
        <w:rPr>
          <w:rFonts w:ascii="Garamond" w:eastAsia="Times New Roman" w:hAnsi="Garamond" w:cs="Garamond"/>
          <w:sz w:val="24"/>
          <w:szCs w:val="24"/>
        </w:rPr>
        <w:t xml:space="preserve"> (CPC)</w:t>
      </w:r>
      <w:r w:rsidRPr="001D25B1">
        <w:rPr>
          <w:rFonts w:ascii="Garamond" w:eastAsia="Times New Roman" w:hAnsi="Garamond" w:cs="Garamond"/>
          <w:sz w:val="24"/>
          <w:szCs w:val="24"/>
        </w:rPr>
        <w:t xml:space="preserve">, sans pour autant que ce statut corresponde à un régime prédéfini. </w:t>
      </w:r>
    </w:p>
    <w:p w:rsidR="00FC1C58" w:rsidRPr="001D25B1" w:rsidRDefault="00FC1C58" w:rsidP="001D25B1">
      <w:pPr>
        <w:pStyle w:val="Titre3"/>
      </w:pPr>
      <w:bookmarkStart w:id="98" w:name="_Toc386200927"/>
      <w:bookmarkStart w:id="99" w:name="_Toc412111733"/>
      <w:bookmarkStart w:id="100" w:name="_Toc366598961"/>
      <w:bookmarkStart w:id="101" w:name="_Toc366599001"/>
      <w:bookmarkStart w:id="102" w:name="_Toc386019507"/>
      <w:r w:rsidRPr="001D25B1">
        <w:t>Les sanctions des détenus</w:t>
      </w:r>
      <w:bookmarkEnd w:id="98"/>
      <w:bookmarkEnd w:id="99"/>
    </w:p>
    <w:p w:rsidR="00FC1C58" w:rsidRPr="00895FAB"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L’article 397 du Code pénal ivoirien prévoit qu’en cas de tentative d’évasion, </w:t>
      </w:r>
      <w:r w:rsidRPr="001D25B1">
        <w:rPr>
          <w:rFonts w:ascii="Garamond" w:eastAsia="Times New Roman" w:hAnsi="Garamond" w:cs="Garamond"/>
          <w:i/>
          <w:sz w:val="24"/>
          <w:szCs w:val="24"/>
        </w:rPr>
        <w:t>« les condamnés sont soumis au port du fer ou de la chaîne pour prévenir toute évasion et sont employés aux travaux les plus durs dans les préfectures et les sous-préfectures ».</w:t>
      </w:r>
      <w:r w:rsidRPr="001D25B1">
        <w:rPr>
          <w:rFonts w:ascii="Garamond" w:eastAsia="Times New Roman" w:hAnsi="Garamond" w:cs="Garamond"/>
          <w:sz w:val="24"/>
          <w:szCs w:val="24"/>
        </w:rPr>
        <w:t xml:space="preserve"> </w:t>
      </w:r>
    </w:p>
    <w:p w:rsidR="00FC1C58" w:rsidRPr="001D25B1" w:rsidRDefault="00FC1C58" w:rsidP="001D25B1">
      <w:pPr>
        <w:pStyle w:val="Titre3"/>
      </w:pPr>
      <w:bookmarkStart w:id="103" w:name="_Toc386200928"/>
      <w:bookmarkStart w:id="104" w:name="_Toc412111734"/>
      <w:r w:rsidRPr="001D25B1">
        <w:t>La séparation des personnes détenues suivant leur statut, leur âge ou leur sexe.</w:t>
      </w:r>
      <w:bookmarkEnd w:id="100"/>
      <w:bookmarkEnd w:id="101"/>
      <w:bookmarkEnd w:id="102"/>
      <w:bookmarkEnd w:id="103"/>
      <w:bookmarkEnd w:id="104"/>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Dans la plupart des Maisons d’arrêt et de correction, les prévenus ne sont pas séparés des condamnés et ne bénéficient pas d’un régime distinct, approprié à leur condition de personne</w:t>
      </w:r>
      <w:r w:rsidR="008B5B2C"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 non </w:t>
      </w:r>
      <w:r w:rsidRPr="001D25B1">
        <w:rPr>
          <w:rFonts w:ascii="Garamond" w:eastAsia="Times New Roman" w:hAnsi="Garamond" w:cs="Garamond"/>
          <w:sz w:val="24"/>
          <w:szCs w:val="24"/>
        </w:rPr>
        <w:lastRenderedPageBreak/>
        <w:t xml:space="preserve">condamnées conformément à l’article 10 alinéa 2 du Pacte international relatif aux droits civils et politiques.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 distinction entre deux catégories de détenus héritée de la période coloniale est encore en vigueur en Côte d’Ivoire. En effet, pendant la période coloniale, les détenus de statut civil européen et les assimilés, c’est-à-dire les ivoiriens qui ont acquis la nationalité française, n’étaient pas traités de la même façon que les détenus de statut civil africain : les indigènes.</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Aujourd’hui, les fonctionnaires, les cadres du privé et les hommes politiques bénéficient du statut d’assimilés ; ils sont détenus dans un bâtiment à part </w:t>
      </w:r>
      <w:r w:rsidR="007D3AC9" w:rsidRPr="001D25B1">
        <w:rPr>
          <w:rFonts w:ascii="Garamond" w:eastAsia="Times New Roman" w:hAnsi="Garamond" w:cs="Garamond"/>
          <w:sz w:val="24"/>
          <w:szCs w:val="24"/>
        </w:rPr>
        <w:t>au sein de</w:t>
      </w:r>
      <w:r w:rsidRPr="001D25B1">
        <w:rPr>
          <w:rFonts w:ascii="Garamond" w:eastAsia="Times New Roman" w:hAnsi="Garamond" w:cs="Garamond"/>
          <w:sz w:val="24"/>
          <w:szCs w:val="24"/>
        </w:rPr>
        <w:t xml:space="preserve"> la MACA. Ce n’est pas le cas dans les autres prisons où les assimilés et les prisonniers ordinaires se côtoient et partagent les mêmes espaces communs. </w:t>
      </w:r>
    </w:p>
    <w:p w:rsidR="00FC1C58" w:rsidRPr="00895FAB"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Il n’existe pas de séparation entre mineurs et majeurs dans toutes les prisons de Côte d’Ivoire. Il existe deux </w:t>
      </w:r>
      <w:r w:rsidR="004D7AFD">
        <w:rPr>
          <w:rFonts w:ascii="Garamond" w:eastAsia="Times New Roman" w:hAnsi="Garamond" w:cs="Garamond"/>
          <w:sz w:val="24"/>
          <w:szCs w:val="24"/>
        </w:rPr>
        <w:t>c</w:t>
      </w:r>
      <w:r w:rsidRPr="001D25B1">
        <w:rPr>
          <w:rFonts w:ascii="Garamond" w:eastAsia="Times New Roman" w:hAnsi="Garamond" w:cs="Garamond"/>
          <w:sz w:val="24"/>
          <w:szCs w:val="24"/>
        </w:rPr>
        <w:t>entre</w:t>
      </w:r>
      <w:r w:rsidR="008B5B2C"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 pour mineurs, un à Abidjan à l’intérieur de la MACA où les mineurs sont en contact avec des détenus adultes</w:t>
      </w:r>
      <w:r w:rsidR="004C4068"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ce qui ne favorise pas leur éducation et leur réinsertion sociale</w:t>
      </w:r>
      <w:r w:rsidR="004C4068"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et l’autre à Bouaké à l’extérieur de la </w:t>
      </w:r>
      <w:r w:rsidR="001D76C0">
        <w:rPr>
          <w:rFonts w:ascii="Garamond" w:eastAsia="Times New Roman" w:hAnsi="Garamond" w:cs="Garamond"/>
          <w:sz w:val="24"/>
          <w:szCs w:val="24"/>
        </w:rPr>
        <w:t>p</w:t>
      </w:r>
      <w:r w:rsidRPr="001D25B1">
        <w:rPr>
          <w:rFonts w:ascii="Garamond" w:eastAsia="Times New Roman" w:hAnsi="Garamond" w:cs="Garamond"/>
          <w:sz w:val="24"/>
          <w:szCs w:val="24"/>
        </w:rPr>
        <w:t xml:space="preserve">rison. Ce dernier vient d’être rouvert </w:t>
      </w:r>
      <w:r w:rsidR="004D7AFD">
        <w:rPr>
          <w:rFonts w:ascii="Garamond" w:eastAsia="Times New Roman" w:hAnsi="Garamond" w:cs="Garamond"/>
          <w:sz w:val="24"/>
          <w:szCs w:val="24"/>
        </w:rPr>
        <w:t xml:space="preserve">le vendredi 12 décembre 2014 </w:t>
      </w:r>
      <w:r w:rsidRPr="001D25B1">
        <w:rPr>
          <w:rFonts w:ascii="Garamond" w:eastAsia="Times New Roman" w:hAnsi="Garamond" w:cs="Garamond"/>
          <w:sz w:val="24"/>
          <w:szCs w:val="24"/>
        </w:rPr>
        <w:t>après sa réhabilitation</w:t>
      </w:r>
      <w:r w:rsidR="004D7AFD">
        <w:rPr>
          <w:rFonts w:ascii="Garamond" w:eastAsia="Times New Roman" w:hAnsi="Garamond" w:cs="Garamond"/>
          <w:sz w:val="24"/>
          <w:szCs w:val="24"/>
        </w:rPr>
        <w:t xml:space="preserve"> par PRisonniers Sans Frontières (PRSF) avec l’appui financier de l’Union européenne</w:t>
      </w:r>
      <w:r w:rsidRPr="00895FAB">
        <w:rPr>
          <w:rFonts w:ascii="Garamond" w:eastAsia="Times New Roman" w:hAnsi="Garamond" w:cs="Garamond"/>
          <w:sz w:val="24"/>
          <w:szCs w:val="24"/>
        </w:rPr>
        <w:t xml:space="preserve">. Cependant, il manque d’équipement. Le centre pour mineurs de Dabou, situé à </w:t>
      </w:r>
      <w:smartTag w:uri="urn:schemas-microsoft-com:office:smarttags" w:element="metricconverter">
        <w:smartTagPr>
          <w:attr w:name="ProductID" w:val="40 km"/>
        </w:smartTagPr>
        <w:r w:rsidRPr="00895FAB">
          <w:rPr>
            <w:rFonts w:ascii="Garamond" w:eastAsia="Times New Roman" w:hAnsi="Garamond" w:cs="Garamond"/>
            <w:sz w:val="24"/>
            <w:szCs w:val="24"/>
          </w:rPr>
          <w:t>40 km</w:t>
        </w:r>
      </w:smartTag>
      <w:r w:rsidRPr="00895FAB">
        <w:rPr>
          <w:rFonts w:ascii="Garamond" w:eastAsia="Times New Roman" w:hAnsi="Garamond" w:cs="Garamond"/>
          <w:sz w:val="24"/>
          <w:szCs w:val="24"/>
        </w:rPr>
        <w:t xml:space="preserve"> au nord d’Abidjan, ne fonctionne pas faute de moyens.</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La séparation homme et femme en détention est globalement respectée dans les MAC.</w:t>
      </w:r>
    </w:p>
    <w:p w:rsidR="00FC1C58" w:rsidRPr="001D25B1" w:rsidRDefault="00FC1C58" w:rsidP="001D25B1">
      <w:pPr>
        <w:pStyle w:val="Titre3"/>
      </w:pPr>
      <w:bookmarkStart w:id="105" w:name="_Toc366598962"/>
      <w:bookmarkStart w:id="106" w:name="_Toc366599002"/>
      <w:bookmarkStart w:id="107" w:name="_Toc386019508"/>
      <w:bookmarkStart w:id="108" w:name="_Toc386200929"/>
      <w:bookmarkStart w:id="109" w:name="_Toc412111735"/>
      <w:r w:rsidRPr="001D25B1">
        <w:t>L’accès aux soins et à l’alimentation</w:t>
      </w:r>
      <w:bookmarkEnd w:id="105"/>
      <w:bookmarkEnd w:id="106"/>
      <w:bookmarkEnd w:id="107"/>
      <w:bookmarkEnd w:id="108"/>
      <w:bookmarkEnd w:id="109"/>
      <w:r w:rsidRPr="001D25B1">
        <w:t xml:space="preserve"> </w:t>
      </w:r>
    </w:p>
    <w:p w:rsidR="00FC1C58" w:rsidRPr="00895FAB"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Les budgets annuels des prisons ont été réduits presque de moitié en 2013 ; ils sont ainsi passés de 20 million de francs CFA à 12 millions à la prison de Bassam (30 535 € / 18 320 €). Le budget de la prison d’Agboville est maintenant de 13 million</w:t>
      </w:r>
      <w:r w:rsidR="00B32EBF"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 de F CFA pour 193 détenus</w:t>
      </w:r>
      <w:r w:rsidRPr="00895FAB">
        <w:rPr>
          <w:rFonts w:ascii="Garamond" w:eastAsia="Times New Roman" w:hAnsi="Garamond" w:cs="Garamond"/>
          <w:sz w:val="24"/>
          <w:szCs w:val="24"/>
          <w:vertAlign w:val="superscript"/>
        </w:rPr>
        <w:footnoteReference w:id="49"/>
      </w:r>
      <w:r w:rsidRPr="00895FAB">
        <w:rPr>
          <w:rFonts w:ascii="Garamond" w:eastAsia="Times New Roman" w:hAnsi="Garamond" w:cs="Garamond"/>
          <w:sz w:val="24"/>
          <w:szCs w:val="24"/>
        </w:rPr>
        <w:t xml:space="preserve">, soit moins de 185 F CFA par jour et par détenus (28 centimes d’euro).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Au niveau national, chaque prisonnier vit avec environ </w:t>
      </w:r>
      <w:smartTag w:uri="urn:schemas-microsoft-com:office:smarttags" w:element="metricconverter">
        <w:smartTagPr>
          <w:attr w:name="ProductID" w:val="200 F"/>
        </w:smartTagPr>
        <w:r w:rsidRPr="001D25B1">
          <w:rPr>
            <w:rFonts w:ascii="Garamond" w:eastAsia="Times New Roman" w:hAnsi="Garamond" w:cs="Garamond"/>
            <w:sz w:val="24"/>
            <w:szCs w:val="24"/>
          </w:rPr>
          <w:t>200 F</w:t>
        </w:r>
      </w:smartTag>
      <w:r w:rsidRPr="001D25B1">
        <w:rPr>
          <w:rFonts w:ascii="Garamond" w:eastAsia="Times New Roman" w:hAnsi="Garamond" w:cs="Garamond"/>
          <w:sz w:val="24"/>
          <w:szCs w:val="24"/>
        </w:rPr>
        <w:t xml:space="preserve"> CFA par jour alors que le taux de rationnement journalier était de </w:t>
      </w:r>
      <w:smartTag w:uri="urn:schemas-microsoft-com:office:smarttags" w:element="metricconverter">
        <w:smartTagPr>
          <w:attr w:name="ProductID" w:val="347 F"/>
        </w:smartTagPr>
        <w:r w:rsidRPr="001D25B1">
          <w:rPr>
            <w:rFonts w:ascii="Garamond" w:eastAsia="Times New Roman" w:hAnsi="Garamond" w:cs="Garamond"/>
            <w:sz w:val="24"/>
            <w:szCs w:val="24"/>
          </w:rPr>
          <w:t>347 F</w:t>
        </w:r>
      </w:smartTag>
      <w:r w:rsidRPr="001D25B1">
        <w:rPr>
          <w:rFonts w:ascii="Garamond" w:eastAsia="Times New Roman" w:hAnsi="Garamond" w:cs="Garamond"/>
          <w:sz w:val="24"/>
          <w:szCs w:val="24"/>
        </w:rPr>
        <w:t xml:space="preserve"> CFA par jour par détenu en 2011. Ceci est très nettement en deçà de l’arrêté du 19 avril de 1952</w:t>
      </w:r>
      <w:r w:rsidRPr="00895FAB">
        <w:rPr>
          <w:rFonts w:ascii="Garamond" w:eastAsia="Times New Roman" w:hAnsi="Garamond" w:cs="Garamond"/>
          <w:sz w:val="24"/>
          <w:szCs w:val="24"/>
          <w:vertAlign w:val="superscript"/>
        </w:rPr>
        <w:footnoteReference w:id="50"/>
      </w:r>
      <w:r w:rsidRPr="00895FAB">
        <w:rPr>
          <w:rFonts w:ascii="Garamond" w:eastAsia="Times New Roman" w:hAnsi="Garamond" w:cs="Garamond"/>
          <w:sz w:val="24"/>
          <w:szCs w:val="24"/>
        </w:rPr>
        <w:t xml:space="preserve"> qui fixe le rationnement journalier des détenus à </w:t>
      </w:r>
      <w:smartTag w:uri="urn:schemas-microsoft-com:office:smarttags" w:element="metricconverter">
        <w:smartTagPr>
          <w:attr w:name="ProductID" w:val="980 F"/>
        </w:smartTagPr>
        <w:r w:rsidRPr="00895FAB">
          <w:rPr>
            <w:rFonts w:ascii="Garamond" w:eastAsia="Times New Roman" w:hAnsi="Garamond" w:cs="Garamond"/>
            <w:sz w:val="24"/>
            <w:szCs w:val="24"/>
          </w:rPr>
          <w:t>980 F</w:t>
        </w:r>
      </w:smartTag>
      <w:r w:rsidRPr="00895FAB">
        <w:rPr>
          <w:rFonts w:ascii="Garamond" w:eastAsia="Times New Roman" w:hAnsi="Garamond" w:cs="Garamond"/>
          <w:sz w:val="24"/>
          <w:szCs w:val="24"/>
        </w:rPr>
        <w:t xml:space="preserve"> CFA par jour par détenu</w:t>
      </w:r>
      <w:r w:rsidR="00B32EBF"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pour les détenus de statut ordinaire et à 1 160 F CFA par jour par détenu pour les détenus de statut amélioré ou assimilé. </w:t>
      </w:r>
    </w:p>
    <w:p w:rsidR="00FC1C58" w:rsidRPr="001D25B1" w:rsidRDefault="00FC1C58" w:rsidP="001D25B1">
      <w:pPr>
        <w:spacing w:before="120" w:after="120" w:line="276" w:lineRule="auto"/>
        <w:jc w:val="both"/>
        <w:rPr>
          <w:rFonts w:ascii="Garamond" w:eastAsia="Times New Roman" w:hAnsi="Garamond" w:cs="Garamond"/>
          <w:color w:val="FF0000"/>
          <w:sz w:val="24"/>
          <w:szCs w:val="24"/>
        </w:rPr>
      </w:pPr>
      <w:r w:rsidRPr="001D25B1">
        <w:rPr>
          <w:rFonts w:ascii="Garamond" w:eastAsia="Times New Roman" w:hAnsi="Garamond" w:cs="Garamond"/>
          <w:sz w:val="24"/>
          <w:szCs w:val="24"/>
        </w:rPr>
        <w:t>Ce même arrêté fixe une dotation hebdomadaire pour les soins de propreté de 135 grammes de savon de ménage. Or, à Bassam,</w:t>
      </w:r>
      <w:r w:rsidR="008239C6" w:rsidRPr="001D25B1">
        <w:rPr>
          <w:rFonts w:ascii="Garamond" w:eastAsia="Times New Roman" w:hAnsi="Garamond" w:cs="Garamond"/>
          <w:sz w:val="24"/>
          <w:szCs w:val="24"/>
        </w:rPr>
        <w:t xml:space="preserve"> à Adzopé et à Agboville </w:t>
      </w:r>
      <w:r w:rsidRPr="001D25B1">
        <w:rPr>
          <w:rFonts w:ascii="Garamond" w:eastAsia="Times New Roman" w:hAnsi="Garamond" w:cs="Garamond"/>
          <w:sz w:val="24"/>
          <w:szCs w:val="24"/>
        </w:rPr>
        <w:t>les détenus ne reçoivent qu’un morceau de savon par mois d’environ 250 grammes</w:t>
      </w:r>
      <w:r w:rsidRPr="001D25B1">
        <w:rPr>
          <w:rFonts w:ascii="Garamond" w:eastAsia="Times New Roman" w:hAnsi="Garamond" w:cs="Garamond"/>
          <w:color w:val="FF0000"/>
          <w:sz w:val="24"/>
          <w:szCs w:val="24"/>
        </w:rPr>
        <w:t xml:space="preserve">.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Les prisonniers, prévenus comme détenus, ne sont pas soumis à un bilan de santé à leur entrée et à la leur sortie des MAC. Ils ont pourtant un carnet de santé individuel. Il est donc impossible d’évaluer les mauvais traitements dont ils ont éventuellement fait l’objet. Les établissements pénitentiaires ne disposent pas toujours de personnes agréées (médecins,</w:t>
      </w:r>
      <w:r w:rsidR="00BF5084" w:rsidRPr="001D25B1">
        <w:rPr>
          <w:rFonts w:ascii="Garamond" w:eastAsia="Times New Roman" w:hAnsi="Garamond" w:cs="Garamond"/>
          <w:sz w:val="24"/>
          <w:szCs w:val="24"/>
        </w:rPr>
        <w:t xml:space="preserve"> psychologues…)</w:t>
      </w:r>
      <w:r w:rsidRPr="001D25B1">
        <w:rPr>
          <w:rFonts w:ascii="Garamond" w:eastAsia="Times New Roman" w:hAnsi="Garamond" w:cs="Garamond"/>
          <w:sz w:val="24"/>
          <w:szCs w:val="24"/>
        </w:rPr>
        <w:t xml:space="preserve"> ou du matériel nécessaire pour réaliser des soins</w:t>
      </w:r>
      <w:r w:rsidR="00D00BDF" w:rsidRPr="001D25B1">
        <w:rPr>
          <w:rFonts w:ascii="Garamond" w:eastAsia="Times New Roman" w:hAnsi="Garamond" w:cs="Garamond"/>
          <w:sz w:val="24"/>
          <w:szCs w:val="24"/>
        </w:rPr>
        <w:t xml:space="preserve"> et</w:t>
      </w:r>
      <w:r w:rsidR="008239C6" w:rsidRPr="001D25B1">
        <w:rPr>
          <w:rFonts w:ascii="Garamond" w:eastAsia="Times New Roman" w:hAnsi="Garamond" w:cs="Garamond"/>
          <w:sz w:val="24"/>
          <w:szCs w:val="24"/>
        </w:rPr>
        <w:t xml:space="preserve"> faire des analyses médicales sommaires</w:t>
      </w:r>
      <w:r w:rsidRPr="001D25B1">
        <w:rPr>
          <w:rFonts w:ascii="Garamond" w:eastAsia="Times New Roman" w:hAnsi="Garamond" w:cs="Garamond"/>
          <w:sz w:val="24"/>
          <w:szCs w:val="24"/>
        </w:rPr>
        <w:t>.</w:t>
      </w:r>
      <w:r w:rsidR="00BF5084" w:rsidRPr="001D25B1">
        <w:rPr>
          <w:rFonts w:ascii="Garamond" w:eastAsia="Times New Roman" w:hAnsi="Garamond" w:cs="Garamond"/>
          <w:sz w:val="24"/>
          <w:szCs w:val="24"/>
        </w:rPr>
        <w:t xml:space="preserve"> </w:t>
      </w:r>
      <w:r w:rsidR="00BF5084" w:rsidRPr="00895FAB">
        <w:rPr>
          <w:rFonts w:ascii="Garamond" w:eastAsia="Times New Roman" w:hAnsi="Garamond" w:cs="Garamond"/>
          <w:sz w:val="24"/>
          <w:szCs w:val="24"/>
        </w:rPr>
        <w:t>Les pharmacies des maisons d’arrêt sont pauvres en médicament</w:t>
      </w:r>
      <w:r w:rsidR="00D00BDF" w:rsidRPr="001D25B1">
        <w:rPr>
          <w:rFonts w:ascii="Garamond" w:eastAsia="Times New Roman" w:hAnsi="Garamond" w:cs="Garamond"/>
          <w:sz w:val="24"/>
          <w:szCs w:val="24"/>
        </w:rPr>
        <w:t>s</w:t>
      </w:r>
      <w:r w:rsidR="00BF5084" w:rsidRPr="001D25B1">
        <w:rPr>
          <w:rFonts w:ascii="Garamond" w:eastAsia="Times New Roman" w:hAnsi="Garamond" w:cs="Garamond"/>
          <w:sz w:val="24"/>
          <w:szCs w:val="24"/>
        </w:rPr>
        <w:t xml:space="preserve"> et les régisseurs </w:t>
      </w:r>
      <w:r w:rsidR="007D3AC9" w:rsidRPr="001D25B1">
        <w:rPr>
          <w:rFonts w:ascii="Garamond" w:eastAsia="Times New Roman" w:hAnsi="Garamond" w:cs="Garamond"/>
          <w:sz w:val="24"/>
          <w:szCs w:val="24"/>
        </w:rPr>
        <w:t>s</w:t>
      </w:r>
      <w:r w:rsidR="00BF5084" w:rsidRPr="001D25B1">
        <w:rPr>
          <w:rFonts w:ascii="Garamond" w:eastAsia="Times New Roman" w:hAnsi="Garamond" w:cs="Garamond"/>
          <w:sz w:val="24"/>
          <w:szCs w:val="24"/>
        </w:rPr>
        <w:t xml:space="preserve">e plaignent d’épuiser  avant la fin de l’année la ligne budgétaire prévue pour les médicaments. </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lastRenderedPageBreak/>
        <w:t xml:space="preserve">Le gouvernement ivoirien a annoncé </w:t>
      </w:r>
      <w:r w:rsidR="00BF5084" w:rsidRPr="001D25B1">
        <w:rPr>
          <w:rFonts w:ascii="Garamond" w:eastAsia="Times New Roman" w:hAnsi="Garamond" w:cs="Garamond"/>
          <w:sz w:val="24"/>
          <w:szCs w:val="24"/>
        </w:rPr>
        <w:t xml:space="preserve">une augmentation du </w:t>
      </w:r>
      <w:r w:rsidRPr="001D25B1">
        <w:rPr>
          <w:rFonts w:ascii="Garamond" w:eastAsia="Times New Roman" w:hAnsi="Garamond" w:cs="Garamond"/>
          <w:sz w:val="24"/>
          <w:szCs w:val="24"/>
        </w:rPr>
        <w:t>budget</w:t>
      </w:r>
      <w:r w:rsidR="00BF5084" w:rsidRPr="001D25B1">
        <w:rPr>
          <w:rFonts w:ascii="Garamond" w:eastAsia="Times New Roman" w:hAnsi="Garamond" w:cs="Garamond"/>
          <w:sz w:val="24"/>
          <w:szCs w:val="24"/>
        </w:rPr>
        <w:t xml:space="preserve"> de 2014</w:t>
      </w:r>
      <w:r w:rsidRPr="001D25B1">
        <w:rPr>
          <w:rFonts w:ascii="Garamond" w:eastAsia="Times New Roman" w:hAnsi="Garamond" w:cs="Garamond"/>
          <w:sz w:val="24"/>
          <w:szCs w:val="24"/>
        </w:rPr>
        <w:t xml:space="preserve"> des établissements pénitentiaires. </w:t>
      </w:r>
      <w:r w:rsidR="00BF5084" w:rsidRPr="001D25B1">
        <w:rPr>
          <w:rFonts w:ascii="Garamond" w:eastAsia="Times New Roman" w:hAnsi="Garamond" w:cs="Garamond"/>
          <w:sz w:val="24"/>
          <w:szCs w:val="24"/>
        </w:rPr>
        <w:t xml:space="preserve">Cela a permis de fournir depuis lors 2 repas par jour aux détenus. Une bouillie matinale en guise de petit déjeuner et un repas principal en </w:t>
      </w:r>
      <w:r w:rsidR="008B78B6" w:rsidRPr="001D25B1">
        <w:rPr>
          <w:rFonts w:ascii="Garamond" w:eastAsia="Times New Roman" w:hAnsi="Garamond" w:cs="Garamond"/>
          <w:sz w:val="24"/>
          <w:szCs w:val="24"/>
        </w:rPr>
        <w:t>mi-journée</w:t>
      </w:r>
      <w:r w:rsidR="0033779D" w:rsidRPr="001D25B1">
        <w:rPr>
          <w:rFonts w:ascii="Garamond" w:eastAsia="Times New Roman" w:hAnsi="Garamond" w:cs="Garamond"/>
          <w:sz w:val="24"/>
          <w:szCs w:val="24"/>
        </w:rPr>
        <w:t>,</w:t>
      </w:r>
      <w:r w:rsidR="00BF5084" w:rsidRPr="001D25B1">
        <w:rPr>
          <w:rFonts w:ascii="Garamond" w:eastAsia="Times New Roman" w:hAnsi="Garamond" w:cs="Garamond"/>
          <w:sz w:val="24"/>
          <w:szCs w:val="24"/>
        </w:rPr>
        <w:t xml:space="preserve"> de qualité variable. </w:t>
      </w:r>
    </w:p>
    <w:p w:rsidR="00FC1C58" w:rsidRPr="001D25B1" w:rsidRDefault="00FC1C58" w:rsidP="001D25B1">
      <w:pPr>
        <w:pStyle w:val="Titre3"/>
      </w:pPr>
      <w:bookmarkStart w:id="110" w:name="_Toc366598963"/>
      <w:bookmarkStart w:id="111" w:name="_Toc366599003"/>
      <w:bookmarkStart w:id="112" w:name="_Toc386019509"/>
      <w:bookmarkStart w:id="113" w:name="_Toc386200930"/>
      <w:bookmarkStart w:id="114" w:name="_Toc412111736"/>
      <w:r w:rsidRPr="001D25B1">
        <w:t>La réhabilitation des détenus.</w:t>
      </w:r>
      <w:bookmarkEnd w:id="110"/>
      <w:bookmarkEnd w:id="111"/>
      <w:bookmarkEnd w:id="112"/>
      <w:bookmarkEnd w:id="113"/>
      <w:bookmarkEnd w:id="114"/>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Les activités de reclassement social, énoncées par l’alinéa 3 de l’article 10 du PIDCP, sont quasi inexistantes. Même après la réhabilitation dont parle l’État dans son Rapport initial auprès de la CADHP, les centres de formation de la MACA ne sont pas fonctionnels sauf deux : l’alphabétisation et la couture. Les autres n’ont pas encore été rendus opérationnels faute d’équipement. Il n’existe pas de plan de mise œuvre des activités de resocialisation. La </w:t>
      </w:r>
      <w:r w:rsidR="008B78B6" w:rsidRPr="001D25B1">
        <w:rPr>
          <w:rFonts w:ascii="Garamond" w:eastAsia="Times New Roman" w:hAnsi="Garamond" w:cs="Garamond"/>
          <w:sz w:val="24"/>
          <w:szCs w:val="24"/>
        </w:rPr>
        <w:t>sous-direction</w:t>
      </w:r>
      <w:r w:rsidRPr="001D25B1">
        <w:rPr>
          <w:rFonts w:ascii="Garamond" w:eastAsia="Times New Roman" w:hAnsi="Garamond" w:cs="Garamond"/>
          <w:sz w:val="24"/>
          <w:szCs w:val="24"/>
        </w:rPr>
        <w:t xml:space="preserve"> de l’administration pénitentiaire chargée de la réinsertion sociale ne dispose pratiquement pas de budget pour sa mission. Il n’existe pas de convention avec les différents ministères tels que celui de l’éducation nationale et de l’enseignement technique en vue de mettre en </w:t>
      </w:r>
      <w:r w:rsidR="00C425A9" w:rsidRPr="001D25B1">
        <w:rPr>
          <w:rFonts w:ascii="Garamond" w:eastAsia="Times New Roman" w:hAnsi="Garamond" w:cs="Garamond"/>
          <w:sz w:val="24"/>
          <w:szCs w:val="24"/>
        </w:rPr>
        <w:t>œuvre</w:t>
      </w:r>
      <w:r w:rsidR="0033779D" w:rsidRPr="001D25B1">
        <w:rPr>
          <w:rFonts w:ascii="Garamond" w:eastAsia="Times New Roman" w:hAnsi="Garamond" w:cs="Garamond"/>
          <w:sz w:val="24"/>
          <w:szCs w:val="24"/>
        </w:rPr>
        <w:t xml:space="preserve"> </w:t>
      </w:r>
      <w:r w:rsidRPr="001D25B1">
        <w:rPr>
          <w:rFonts w:ascii="Garamond" w:eastAsia="Times New Roman" w:hAnsi="Garamond" w:cs="Garamond"/>
          <w:sz w:val="24"/>
          <w:szCs w:val="24"/>
        </w:rPr>
        <w:t xml:space="preserve">des programmes de formation appropriés. Seules des ONG telles que </w:t>
      </w:r>
      <w:r w:rsidR="0033779D" w:rsidRPr="001D25B1">
        <w:rPr>
          <w:rFonts w:ascii="Garamond" w:eastAsia="Times New Roman" w:hAnsi="Garamond" w:cs="Garamond"/>
          <w:sz w:val="24"/>
          <w:szCs w:val="24"/>
        </w:rPr>
        <w:t>P</w:t>
      </w:r>
      <w:r w:rsidRPr="001D25B1">
        <w:rPr>
          <w:rFonts w:ascii="Garamond" w:eastAsia="Times New Roman" w:hAnsi="Garamond" w:cs="Garamond"/>
          <w:sz w:val="24"/>
          <w:szCs w:val="24"/>
        </w:rPr>
        <w:t>risonnier</w:t>
      </w:r>
      <w:r w:rsidR="0033779D"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 sans frontière</w:t>
      </w:r>
      <w:r w:rsidR="0033779D" w:rsidRPr="001D25B1">
        <w:rPr>
          <w:rFonts w:ascii="Garamond" w:eastAsia="Times New Roman" w:hAnsi="Garamond" w:cs="Garamond"/>
          <w:sz w:val="24"/>
          <w:szCs w:val="24"/>
        </w:rPr>
        <w:t>s et</w:t>
      </w:r>
      <w:r w:rsidRPr="001D25B1">
        <w:rPr>
          <w:rFonts w:ascii="Garamond" w:eastAsia="Times New Roman" w:hAnsi="Garamond" w:cs="Garamond"/>
          <w:sz w:val="24"/>
          <w:szCs w:val="24"/>
        </w:rPr>
        <w:t xml:space="preserve"> l’Association </w:t>
      </w:r>
      <w:r w:rsidR="0033779D" w:rsidRPr="001D25B1">
        <w:rPr>
          <w:rFonts w:ascii="Garamond" w:eastAsia="Times New Roman" w:hAnsi="Garamond" w:cs="Garamond"/>
          <w:sz w:val="24"/>
          <w:szCs w:val="24"/>
        </w:rPr>
        <w:t>n</w:t>
      </w:r>
      <w:r w:rsidRPr="001D25B1">
        <w:rPr>
          <w:rFonts w:ascii="Garamond" w:eastAsia="Times New Roman" w:hAnsi="Garamond" w:cs="Garamond"/>
          <w:sz w:val="24"/>
          <w:szCs w:val="24"/>
        </w:rPr>
        <w:t>ationale d’</w:t>
      </w:r>
      <w:r w:rsidR="0033779D" w:rsidRPr="001D25B1">
        <w:rPr>
          <w:rFonts w:ascii="Garamond" w:eastAsia="Times New Roman" w:hAnsi="Garamond" w:cs="Garamond"/>
          <w:sz w:val="24"/>
          <w:szCs w:val="24"/>
        </w:rPr>
        <w:t>a</w:t>
      </w:r>
      <w:r w:rsidRPr="001D25B1">
        <w:rPr>
          <w:rFonts w:ascii="Garamond" w:eastAsia="Times New Roman" w:hAnsi="Garamond" w:cs="Garamond"/>
          <w:sz w:val="24"/>
          <w:szCs w:val="24"/>
        </w:rPr>
        <w:t xml:space="preserve">ide aux </w:t>
      </w:r>
      <w:r w:rsidR="0033779D" w:rsidRPr="001D25B1">
        <w:rPr>
          <w:rFonts w:ascii="Garamond" w:eastAsia="Times New Roman" w:hAnsi="Garamond" w:cs="Garamond"/>
          <w:sz w:val="24"/>
          <w:szCs w:val="24"/>
        </w:rPr>
        <w:t>p</w:t>
      </w:r>
      <w:r w:rsidRPr="001D25B1">
        <w:rPr>
          <w:rFonts w:ascii="Garamond" w:eastAsia="Times New Roman" w:hAnsi="Garamond" w:cs="Garamond"/>
          <w:sz w:val="24"/>
          <w:szCs w:val="24"/>
        </w:rPr>
        <w:t xml:space="preserve">risonniers, essaient de combler ce vide. </w:t>
      </w:r>
    </w:p>
    <w:p w:rsidR="00FC1C58" w:rsidRPr="001D25B1" w:rsidRDefault="00FC1C58" w:rsidP="001D25B1">
      <w:pPr>
        <w:spacing w:before="120" w:after="120" w:line="276" w:lineRule="auto"/>
        <w:jc w:val="both"/>
        <w:rPr>
          <w:rFonts w:ascii="Garamond" w:eastAsia="Times New Roman" w:hAnsi="Garamond" w:cs="Garamond"/>
          <w:b/>
          <w:bCs/>
          <w:i/>
          <w:color w:val="365F91"/>
          <w:sz w:val="24"/>
          <w:szCs w:val="24"/>
        </w:rPr>
      </w:pPr>
      <w:r w:rsidRPr="001D25B1">
        <w:rPr>
          <w:rFonts w:ascii="Garamond" w:eastAsia="Times New Roman" w:hAnsi="Garamond" w:cs="Garamond"/>
          <w:b/>
          <w:bCs/>
          <w:i/>
          <w:color w:val="365F91"/>
          <w:sz w:val="24"/>
          <w:szCs w:val="24"/>
        </w:rPr>
        <w:t xml:space="preserve">La FIACAT et l'ACAT Côte d’Ivoire invitent le Comité des droits de l’homme à recommander à l’Etat partie de : </w:t>
      </w:r>
    </w:p>
    <w:p w:rsidR="00FC1C58" w:rsidRPr="001D25B1" w:rsidRDefault="00FC1C58" w:rsidP="001D25B1">
      <w:pPr>
        <w:pStyle w:val="Paragraphedeliste"/>
        <w:numPr>
          <w:ilvl w:val="1"/>
          <w:numId w:val="43"/>
        </w:numPr>
        <w:rPr>
          <w:b/>
          <w:i/>
          <w:color w:val="365F91"/>
        </w:rPr>
      </w:pPr>
      <w:r w:rsidRPr="001D25B1">
        <w:rPr>
          <w:b/>
          <w:i/>
          <w:color w:val="365F91"/>
        </w:rPr>
        <w:t xml:space="preserve">Réduire la surpopulation carcérale en luttant contre la détention préventive abusive et en prévoyant des peines alternatives </w:t>
      </w:r>
      <w:r w:rsidR="00F77313" w:rsidRPr="001D25B1">
        <w:rPr>
          <w:b/>
          <w:i/>
          <w:color w:val="365F91"/>
        </w:rPr>
        <w:t>à</w:t>
      </w:r>
      <w:r w:rsidRPr="001D25B1">
        <w:rPr>
          <w:b/>
          <w:i/>
          <w:color w:val="365F91"/>
        </w:rPr>
        <w:t xml:space="preserve"> la détention pour certains délits ;</w:t>
      </w:r>
    </w:p>
    <w:p w:rsidR="00FC1C58" w:rsidRPr="001D25B1" w:rsidRDefault="00FC1C58" w:rsidP="001D25B1">
      <w:pPr>
        <w:pStyle w:val="Paragraphedeliste"/>
        <w:numPr>
          <w:ilvl w:val="1"/>
          <w:numId w:val="43"/>
        </w:numPr>
        <w:rPr>
          <w:b/>
          <w:i/>
          <w:color w:val="365F91"/>
        </w:rPr>
      </w:pPr>
      <w:r w:rsidRPr="001D25B1">
        <w:rPr>
          <w:b/>
          <w:i/>
          <w:color w:val="365F91"/>
        </w:rPr>
        <w:t>Veiller à ce qu’aucun détenu ne dispose d’un statut pour lequel il n’existe pas de régime prédéfini, veiller notamment à la suppression du statut de contrainte par corps ;</w:t>
      </w:r>
    </w:p>
    <w:p w:rsidR="00FC1C58" w:rsidRPr="001D25B1" w:rsidRDefault="00FC1C58" w:rsidP="001D25B1">
      <w:pPr>
        <w:pStyle w:val="Paragraphedeliste"/>
        <w:numPr>
          <w:ilvl w:val="1"/>
          <w:numId w:val="43"/>
        </w:numPr>
        <w:rPr>
          <w:b/>
          <w:i/>
          <w:color w:val="365F91"/>
        </w:rPr>
      </w:pPr>
      <w:r w:rsidRPr="001D25B1">
        <w:rPr>
          <w:b/>
          <w:i/>
          <w:color w:val="365F91"/>
        </w:rPr>
        <w:t>Supprimer du Code pénal toute sanction équival</w:t>
      </w:r>
      <w:r w:rsidR="007D3AC9" w:rsidRPr="001D25B1">
        <w:rPr>
          <w:b/>
          <w:i/>
          <w:color w:val="365F91"/>
        </w:rPr>
        <w:t>a</w:t>
      </w:r>
      <w:r w:rsidRPr="001D25B1">
        <w:rPr>
          <w:b/>
          <w:i/>
          <w:color w:val="365F91"/>
        </w:rPr>
        <w:t xml:space="preserve">nt </w:t>
      </w:r>
      <w:r w:rsidR="007D3AC9" w:rsidRPr="001D25B1">
        <w:rPr>
          <w:b/>
          <w:i/>
          <w:color w:val="365F91"/>
        </w:rPr>
        <w:t>à</w:t>
      </w:r>
      <w:r w:rsidRPr="001D25B1">
        <w:rPr>
          <w:b/>
          <w:i/>
          <w:color w:val="365F91"/>
        </w:rPr>
        <w:t xml:space="preserve"> des traitements cruels, inhumains ou dégradants ;</w:t>
      </w:r>
    </w:p>
    <w:p w:rsidR="00FC1C58" w:rsidRPr="001D25B1" w:rsidRDefault="00FC1C58" w:rsidP="001D25B1">
      <w:pPr>
        <w:pStyle w:val="Paragraphedeliste"/>
        <w:numPr>
          <w:ilvl w:val="1"/>
          <w:numId w:val="43"/>
        </w:numPr>
        <w:rPr>
          <w:b/>
          <w:i/>
          <w:color w:val="365F91"/>
        </w:rPr>
      </w:pPr>
      <w:r w:rsidRPr="001D25B1">
        <w:rPr>
          <w:b/>
          <w:i/>
          <w:color w:val="365F91"/>
        </w:rPr>
        <w:t>Améliorer l’alimentation et les conditions sanitaires dans les lieux de détention.</w:t>
      </w:r>
    </w:p>
    <w:p w:rsidR="00FC1C58" w:rsidRPr="00212184" w:rsidRDefault="00FC1C58" w:rsidP="001D25B1">
      <w:pPr>
        <w:spacing w:before="120" w:after="120" w:line="276" w:lineRule="auto"/>
        <w:ind w:left="720"/>
        <w:jc w:val="both"/>
        <w:rPr>
          <w:rFonts w:ascii="Garamond" w:eastAsia="Times New Roman" w:hAnsi="Garamond" w:cs="Garamond"/>
          <w:b/>
          <w:i/>
          <w:color w:val="365F91"/>
          <w:sz w:val="24"/>
          <w:szCs w:val="24"/>
        </w:rPr>
      </w:pPr>
    </w:p>
    <w:p w:rsidR="00FC1C58" w:rsidRPr="00212184" w:rsidRDefault="00FC1C58" w:rsidP="001D25B1">
      <w:pPr>
        <w:pStyle w:val="Titre2"/>
      </w:pPr>
      <w:bookmarkStart w:id="115" w:name="_Toc386200931"/>
      <w:bookmarkStart w:id="116" w:name="_Toc412111737"/>
      <w:r w:rsidRPr="00212184">
        <w:t>Articles 22 : La liberté d’association</w:t>
      </w:r>
      <w:bookmarkEnd w:id="115"/>
      <w:bookmarkEnd w:id="116"/>
    </w:p>
    <w:p w:rsidR="00FC1C58" w:rsidRPr="00212184" w:rsidRDefault="00FC1C58" w:rsidP="001D25B1">
      <w:pPr>
        <w:spacing w:before="120" w:after="120" w:line="276" w:lineRule="auto"/>
        <w:jc w:val="both"/>
        <w:rPr>
          <w:rFonts w:ascii="Garamond" w:eastAsia="Times New Roman" w:hAnsi="Garamond" w:cs="Garamond"/>
          <w:sz w:val="24"/>
          <w:szCs w:val="24"/>
        </w:rPr>
      </w:pPr>
    </w:p>
    <w:p w:rsidR="00FC1C58" w:rsidRPr="001D25B1" w:rsidRDefault="00FC1C58" w:rsidP="001D25B1">
      <w:pPr>
        <w:spacing w:before="120" w:after="120" w:line="276" w:lineRule="auto"/>
        <w:jc w:val="both"/>
        <w:rPr>
          <w:rFonts w:ascii="Garamond" w:eastAsia="Times New Roman" w:hAnsi="Garamond" w:cs="Garamond"/>
          <w:sz w:val="24"/>
          <w:szCs w:val="24"/>
        </w:rPr>
      </w:pPr>
      <w:r w:rsidRPr="00895FAB">
        <w:rPr>
          <w:rFonts w:ascii="Garamond" w:eastAsia="Times New Roman" w:hAnsi="Garamond" w:cs="Garamond"/>
          <w:sz w:val="24"/>
          <w:szCs w:val="24"/>
        </w:rPr>
        <w:t>La FIACAT et l’ACAT Côte d’Ivoire s’inquiètent de la situation des défenseurs des droits de l’homme et des atteintes manifestes à la liberté de réunion et d’association dans le pays. Ainsi, la Conven</w:t>
      </w:r>
      <w:r w:rsidRPr="001D25B1">
        <w:rPr>
          <w:rFonts w:ascii="Garamond" w:eastAsia="Times New Roman" w:hAnsi="Garamond" w:cs="Garamond"/>
          <w:sz w:val="24"/>
          <w:szCs w:val="24"/>
        </w:rPr>
        <w:t>tion de la société civile ivoirienne (CSCI)</w:t>
      </w:r>
      <w:r w:rsidRPr="00895FAB">
        <w:rPr>
          <w:rFonts w:ascii="Garamond" w:eastAsia="Times New Roman" w:hAnsi="Garamond" w:cs="Garamond"/>
          <w:sz w:val="24"/>
          <w:szCs w:val="24"/>
          <w:vertAlign w:val="superscript"/>
        </w:rPr>
        <w:footnoteReference w:id="51"/>
      </w:r>
      <w:r w:rsidRPr="00895FAB">
        <w:rPr>
          <w:rFonts w:ascii="Garamond" w:eastAsia="Times New Roman" w:hAnsi="Garamond" w:cs="Garamond"/>
          <w:sz w:val="24"/>
          <w:szCs w:val="24"/>
        </w:rPr>
        <w:t xml:space="preserve"> n’a pu se réunir au Centre de recherche et d’action pour la paix d’Abidjan</w:t>
      </w:r>
      <w:r w:rsidR="00FE3B4E"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le 27 février 2014</w:t>
      </w:r>
      <w:r w:rsidR="00FE3B4E"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à l’occasion d’un séminaire de remobilisation sur le thème </w:t>
      </w:r>
      <w:r w:rsidRPr="001D25B1">
        <w:rPr>
          <w:rFonts w:ascii="Garamond" w:eastAsia="Times New Roman" w:hAnsi="Garamond" w:cs="Garamond"/>
          <w:i/>
          <w:sz w:val="24"/>
          <w:szCs w:val="24"/>
        </w:rPr>
        <w:t>« la société civile face aux défis de son indépendance »</w:t>
      </w:r>
      <w:r w:rsidRPr="001D25B1">
        <w:rPr>
          <w:rFonts w:ascii="Garamond" w:eastAsia="Times New Roman" w:hAnsi="Garamond" w:cs="Garamond"/>
          <w:sz w:val="24"/>
          <w:szCs w:val="24"/>
        </w:rPr>
        <w:t>. Un détachement du commissariat du 8</w:t>
      </w:r>
      <w:r w:rsidRPr="001D25B1">
        <w:rPr>
          <w:rFonts w:ascii="Garamond" w:eastAsia="Times New Roman" w:hAnsi="Garamond" w:cs="Garamond"/>
          <w:sz w:val="24"/>
          <w:szCs w:val="24"/>
          <w:vertAlign w:val="superscript"/>
        </w:rPr>
        <w:t>ème</w:t>
      </w:r>
      <w:r w:rsidRPr="001D25B1">
        <w:rPr>
          <w:rFonts w:ascii="Garamond" w:eastAsia="Times New Roman" w:hAnsi="Garamond" w:cs="Garamond"/>
          <w:sz w:val="24"/>
          <w:szCs w:val="24"/>
        </w:rPr>
        <w:t xml:space="preserve"> arrondissement de Cocody, sur </w:t>
      </w:r>
      <w:r w:rsidRPr="001D25B1">
        <w:rPr>
          <w:rFonts w:ascii="Garamond" w:eastAsia="Times New Roman" w:hAnsi="Garamond" w:cs="Garamond"/>
          <w:i/>
          <w:sz w:val="24"/>
          <w:szCs w:val="24"/>
        </w:rPr>
        <w:t>« instigation du Ministère de l’Intérieur »</w:t>
      </w:r>
      <w:r w:rsidRPr="001D25B1">
        <w:rPr>
          <w:rFonts w:ascii="Garamond" w:eastAsia="Times New Roman" w:hAnsi="Garamond" w:cs="Garamond"/>
          <w:sz w:val="24"/>
          <w:szCs w:val="24"/>
        </w:rPr>
        <w:t xml:space="preserve"> selon les propos du Commissaire, l’en a empêché.</w:t>
      </w:r>
    </w:p>
    <w:p w:rsidR="00FC1C58" w:rsidRPr="001D25B1" w:rsidRDefault="00FC1C58"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Selon Paul Angaman, Président de l’ACAT Côte d’Ivoire, et Président du Comité d’organisation de cette Convention générale ordinaire </w:t>
      </w:r>
      <w:r w:rsidRPr="001D25B1">
        <w:rPr>
          <w:rFonts w:ascii="Garamond" w:eastAsia="Times New Roman" w:hAnsi="Garamond" w:cs="Garamond"/>
          <w:i/>
          <w:sz w:val="24"/>
          <w:szCs w:val="24"/>
        </w:rPr>
        <w:t xml:space="preserve">« malgré la présence de représentants de l’Ambassade de France, de </w:t>
      </w:r>
      <w:r w:rsidRPr="001D25B1">
        <w:rPr>
          <w:rFonts w:ascii="Garamond" w:eastAsia="Times New Roman" w:hAnsi="Garamond" w:cs="Garamond"/>
          <w:i/>
          <w:sz w:val="24"/>
          <w:szCs w:val="24"/>
        </w:rPr>
        <w:lastRenderedPageBreak/>
        <w:t>l’Union européenne, de la Communauté des États d’Afrique de l’Ouest et même du Ministère de la Justice, et alors qu’aucun trouble public n’était à craindre, nous avons assisté à un déploiement policier clairement destiné à empêcher ce rassemblement ».</w:t>
      </w:r>
    </w:p>
    <w:p w:rsidR="00FC1C58" w:rsidRPr="001D25B1" w:rsidRDefault="00FC1C58" w:rsidP="001D25B1">
      <w:pPr>
        <w:spacing w:before="120" w:after="120" w:line="276" w:lineRule="auto"/>
        <w:jc w:val="both"/>
        <w:rPr>
          <w:rFonts w:ascii="Garamond" w:eastAsia="Times New Roman" w:hAnsi="Garamond" w:cs="Garamond"/>
          <w:i/>
          <w:sz w:val="24"/>
          <w:szCs w:val="24"/>
        </w:rPr>
      </w:pPr>
      <w:r w:rsidRPr="001D25B1">
        <w:rPr>
          <w:rFonts w:ascii="Garamond" w:eastAsia="Times New Roman" w:hAnsi="Garamond" w:cs="Garamond"/>
          <w:sz w:val="24"/>
          <w:szCs w:val="24"/>
        </w:rPr>
        <w:t>Suite à l’interdiction de ce</w:t>
      </w:r>
      <w:r w:rsidR="00183EC3" w:rsidRPr="001D25B1">
        <w:rPr>
          <w:rFonts w:ascii="Garamond" w:eastAsia="Times New Roman" w:hAnsi="Garamond" w:cs="Garamond"/>
          <w:sz w:val="24"/>
          <w:szCs w:val="24"/>
        </w:rPr>
        <w:t>tte activité</w:t>
      </w:r>
      <w:r w:rsidRPr="001D25B1">
        <w:rPr>
          <w:rFonts w:ascii="Garamond" w:eastAsia="Times New Roman" w:hAnsi="Garamond" w:cs="Garamond"/>
          <w:sz w:val="24"/>
          <w:szCs w:val="24"/>
        </w:rPr>
        <w:t xml:space="preserve">, l’Expert indépendant du Conseil des droits de l’homme des Nations Unies sur la situation des droits de l’homme en Côte d’Ivoire, Doudou Diène, a appelé, le 7 mars 2014, les autorités à </w:t>
      </w:r>
      <w:r w:rsidRPr="001D25B1">
        <w:rPr>
          <w:rFonts w:ascii="Garamond" w:eastAsia="Times New Roman" w:hAnsi="Garamond" w:cs="Garamond"/>
          <w:i/>
          <w:sz w:val="24"/>
          <w:szCs w:val="24"/>
        </w:rPr>
        <w:t>« prendre les mesures nécessaires pour permettre aux organisations de la société civile de jouer leur rôle dans la réconciliation et la consolidation du progrès dans le pays. »</w:t>
      </w:r>
    </w:p>
    <w:p w:rsidR="00FD41D9" w:rsidRPr="001D25B1" w:rsidRDefault="00183EC3" w:rsidP="001D25B1">
      <w:pPr>
        <w:autoSpaceDE w:val="0"/>
        <w:autoSpaceDN w:val="0"/>
        <w:adjustRightInd w:val="0"/>
        <w:spacing w:after="0" w:line="276" w:lineRule="auto"/>
        <w:jc w:val="both"/>
        <w:rPr>
          <w:rFonts w:ascii="Candara" w:hAnsi="Candara" w:cs="Garamond"/>
          <w:sz w:val="24"/>
          <w:szCs w:val="24"/>
        </w:rPr>
      </w:pPr>
      <w:r w:rsidRPr="001D25B1">
        <w:rPr>
          <w:rFonts w:ascii="Garamond" w:eastAsia="Times New Roman" w:hAnsi="Garamond" w:cs="Garamond"/>
          <w:sz w:val="24"/>
          <w:szCs w:val="24"/>
        </w:rPr>
        <w:t xml:space="preserve">En effet, </w:t>
      </w:r>
      <w:r w:rsidR="00FD41D9" w:rsidRPr="001D25B1">
        <w:rPr>
          <w:rFonts w:ascii="Garamond" w:eastAsia="Times New Roman" w:hAnsi="Garamond" w:cs="Garamond"/>
          <w:sz w:val="24"/>
          <w:szCs w:val="24"/>
        </w:rPr>
        <w:t xml:space="preserve">après le 3ème congrès de la CSCI, </w:t>
      </w:r>
      <w:r w:rsidR="00896A9A">
        <w:rPr>
          <w:rFonts w:ascii="Garamond" w:eastAsia="Times New Roman" w:hAnsi="Garamond" w:cs="Garamond"/>
          <w:sz w:val="24"/>
          <w:szCs w:val="24"/>
        </w:rPr>
        <w:t xml:space="preserve">qui s’est tenu les 3 et 4 juillet 2012 à Abidjan-Plateau, </w:t>
      </w:r>
      <w:r w:rsidR="00FD41D9" w:rsidRPr="001D25B1">
        <w:rPr>
          <w:rFonts w:ascii="Garamond" w:eastAsia="Times New Roman" w:hAnsi="Garamond" w:cs="Garamond"/>
          <w:sz w:val="24"/>
          <w:szCs w:val="24"/>
        </w:rPr>
        <w:t xml:space="preserve">une dissidence s’est créée en </w:t>
      </w:r>
      <w:r w:rsidR="00FE3B4E" w:rsidRPr="001D25B1">
        <w:rPr>
          <w:rFonts w:ascii="Garamond" w:eastAsia="Times New Roman" w:hAnsi="Garamond" w:cs="Garamond"/>
          <w:sz w:val="24"/>
          <w:szCs w:val="24"/>
        </w:rPr>
        <w:t xml:space="preserve">son </w:t>
      </w:r>
      <w:r w:rsidR="00FD41D9" w:rsidRPr="001D25B1">
        <w:rPr>
          <w:rFonts w:ascii="Garamond" w:eastAsia="Times New Roman" w:hAnsi="Garamond" w:cs="Garamond"/>
          <w:sz w:val="24"/>
          <w:szCs w:val="24"/>
        </w:rPr>
        <w:t>sein avec 11 organisations sur 132</w:t>
      </w:r>
      <w:r w:rsidR="00FD41D9" w:rsidRPr="001D25B1">
        <w:rPr>
          <w:rFonts w:ascii="Garamond" w:eastAsia="Times New Roman" w:hAnsi="Garamond" w:cs="Garamond"/>
          <w:i/>
          <w:color w:val="FF0000"/>
          <w:sz w:val="24"/>
          <w:szCs w:val="24"/>
        </w:rPr>
        <w:t xml:space="preserve">. </w:t>
      </w:r>
      <w:r w:rsidR="00FD41D9" w:rsidRPr="001D25B1">
        <w:rPr>
          <w:rFonts w:ascii="Garamond" w:eastAsia="Times New Roman" w:hAnsi="Garamond" w:cs="Garamond"/>
          <w:sz w:val="24"/>
          <w:szCs w:val="24"/>
        </w:rPr>
        <w:t xml:space="preserve">Bénéficiant du soutien d’autorités policières et administratives, </w:t>
      </w:r>
      <w:r w:rsidR="00913DB2" w:rsidRPr="001D25B1">
        <w:rPr>
          <w:rFonts w:ascii="Garamond" w:eastAsia="Times New Roman" w:hAnsi="Garamond" w:cs="Garamond"/>
          <w:sz w:val="24"/>
          <w:szCs w:val="24"/>
        </w:rPr>
        <w:t>e</w:t>
      </w:r>
      <w:r w:rsidR="00FD41D9" w:rsidRPr="001D25B1">
        <w:rPr>
          <w:rFonts w:ascii="Garamond" w:eastAsia="Times New Roman" w:hAnsi="Garamond" w:cs="Garamond"/>
          <w:sz w:val="24"/>
          <w:szCs w:val="24"/>
        </w:rPr>
        <w:t xml:space="preserve">lle a réussi à </w:t>
      </w:r>
      <w:r w:rsidR="00F77313" w:rsidRPr="001D25B1">
        <w:rPr>
          <w:rFonts w:ascii="Garamond" w:eastAsia="Times New Roman" w:hAnsi="Garamond" w:cs="Garamond"/>
          <w:sz w:val="24"/>
          <w:szCs w:val="24"/>
        </w:rPr>
        <w:t>occuper</w:t>
      </w:r>
      <w:r w:rsidR="00FD41D9" w:rsidRPr="001D25B1">
        <w:rPr>
          <w:rFonts w:ascii="Garamond" w:eastAsia="Times New Roman" w:hAnsi="Garamond" w:cs="Garamond"/>
          <w:sz w:val="24"/>
          <w:szCs w:val="24"/>
        </w:rPr>
        <w:t xml:space="preserve"> impunément le siège de la CSCI dès le 8 avril 2013 jusqu’à leur expulsion par huissier </w:t>
      </w:r>
      <w:r w:rsidR="00C96C11" w:rsidRPr="001D25B1">
        <w:rPr>
          <w:rFonts w:ascii="Garamond" w:eastAsia="Times New Roman" w:hAnsi="Garamond" w:cs="Garamond"/>
          <w:sz w:val="24"/>
          <w:szCs w:val="24"/>
        </w:rPr>
        <w:t>demandé par le</w:t>
      </w:r>
      <w:r w:rsidR="00FD41D9" w:rsidRPr="001D25B1">
        <w:rPr>
          <w:rFonts w:ascii="Garamond" w:eastAsia="Times New Roman" w:hAnsi="Garamond" w:cs="Garamond"/>
          <w:sz w:val="24"/>
          <w:szCs w:val="24"/>
        </w:rPr>
        <w:t xml:space="preserve"> propriétaire de la villa. </w:t>
      </w:r>
      <w:r w:rsidR="00C96C11" w:rsidRPr="001D25B1">
        <w:rPr>
          <w:rFonts w:ascii="Garamond" w:eastAsia="Times New Roman" w:hAnsi="Garamond" w:cs="Garamond"/>
          <w:sz w:val="24"/>
          <w:szCs w:val="24"/>
        </w:rPr>
        <w:t xml:space="preserve">Cette dissidence </w:t>
      </w:r>
      <w:r w:rsidR="00FD41D9" w:rsidRPr="001D25B1">
        <w:rPr>
          <w:rFonts w:ascii="Garamond" w:eastAsia="Times New Roman" w:hAnsi="Garamond" w:cs="Garamond"/>
          <w:sz w:val="24"/>
          <w:szCs w:val="24"/>
        </w:rPr>
        <w:t>s’est vu</w:t>
      </w:r>
      <w:r w:rsidR="00913DB2" w:rsidRPr="001D25B1">
        <w:rPr>
          <w:rFonts w:ascii="Garamond" w:eastAsia="Times New Roman" w:hAnsi="Garamond" w:cs="Garamond"/>
          <w:sz w:val="24"/>
          <w:szCs w:val="24"/>
        </w:rPr>
        <w:t>e</w:t>
      </w:r>
      <w:r w:rsidR="00FD41D9" w:rsidRPr="001D25B1">
        <w:rPr>
          <w:rFonts w:ascii="Garamond" w:eastAsia="Times New Roman" w:hAnsi="Garamond" w:cs="Garamond"/>
          <w:sz w:val="24"/>
          <w:szCs w:val="24"/>
        </w:rPr>
        <w:t xml:space="preserve"> attribuée, à ce propos et bien ultérieurement, soit le 14 juin 2013, un acte curieux d’ « </w:t>
      </w:r>
      <w:r w:rsidR="00FD41D9" w:rsidRPr="001D25B1">
        <w:rPr>
          <w:rFonts w:ascii="Garamond" w:eastAsia="Times New Roman" w:hAnsi="Garamond" w:cs="Garamond"/>
          <w:b/>
          <w:i/>
          <w:sz w:val="24"/>
          <w:szCs w:val="24"/>
        </w:rPr>
        <w:t>attestation de constatation de changement de coordonnateur </w:t>
      </w:r>
      <w:r w:rsidR="00FD41D9" w:rsidRPr="001D25B1">
        <w:rPr>
          <w:rFonts w:ascii="Garamond" w:eastAsia="Times New Roman" w:hAnsi="Garamond" w:cs="Garamond"/>
          <w:sz w:val="24"/>
          <w:szCs w:val="24"/>
        </w:rPr>
        <w:t xml:space="preserve">» par le préfet du district d’Abidjan. </w:t>
      </w:r>
      <w:r w:rsidR="00FD41D9" w:rsidRPr="00895FAB">
        <w:rPr>
          <w:rFonts w:ascii="Garamond" w:eastAsia="Times New Roman" w:hAnsi="Garamond" w:cs="Garamond"/>
          <w:sz w:val="24"/>
          <w:szCs w:val="24"/>
        </w:rPr>
        <w:t>A cela, s’est ajouté le gel des comptes de la CSCI, dans les banques ECOBANK et BIAO-CI. Sommées par un huissier mandaté par la CSCI d’expliquer ces mesures, les banques n’ont fourni aucune pièce justificative et ont cependan</w:t>
      </w:r>
      <w:r w:rsidR="00FD41D9" w:rsidRPr="001D25B1">
        <w:rPr>
          <w:rFonts w:ascii="Garamond" w:eastAsia="Times New Roman" w:hAnsi="Garamond" w:cs="Garamond"/>
          <w:sz w:val="24"/>
          <w:szCs w:val="24"/>
        </w:rPr>
        <w:t xml:space="preserve">t maintenu le blocage des comptes </w:t>
      </w:r>
      <w:r w:rsidR="00C96C11" w:rsidRPr="001D25B1">
        <w:rPr>
          <w:rFonts w:ascii="Garamond" w:eastAsia="Times New Roman" w:hAnsi="Garamond" w:cs="Garamond"/>
          <w:sz w:val="24"/>
          <w:szCs w:val="24"/>
        </w:rPr>
        <w:t>jusqu’au moment de la publication de ce rapport</w:t>
      </w:r>
      <w:r w:rsidR="00FD41D9" w:rsidRPr="001D25B1">
        <w:rPr>
          <w:rFonts w:ascii="Garamond" w:eastAsia="Times New Roman" w:hAnsi="Garamond" w:cs="Garamond"/>
          <w:sz w:val="24"/>
          <w:szCs w:val="24"/>
        </w:rPr>
        <w:t xml:space="preserve">. </w:t>
      </w:r>
      <w:r w:rsidR="00C96C11" w:rsidRPr="001D25B1">
        <w:rPr>
          <w:rFonts w:ascii="Garamond" w:eastAsia="Times New Roman" w:hAnsi="Garamond" w:cs="Garamond"/>
          <w:sz w:val="24"/>
          <w:szCs w:val="24"/>
        </w:rPr>
        <w:t xml:space="preserve">Cette </w:t>
      </w:r>
      <w:r w:rsidR="00FD41D9" w:rsidRPr="001D25B1">
        <w:rPr>
          <w:rFonts w:ascii="Garamond" w:eastAsia="Times New Roman" w:hAnsi="Garamond" w:cs="Garamond"/>
          <w:sz w:val="24"/>
          <w:szCs w:val="24"/>
        </w:rPr>
        <w:t xml:space="preserve">situation </w:t>
      </w:r>
      <w:r w:rsidR="00C96C11" w:rsidRPr="001D25B1">
        <w:rPr>
          <w:rFonts w:ascii="Garamond" w:eastAsia="Times New Roman" w:hAnsi="Garamond" w:cs="Garamond"/>
          <w:sz w:val="24"/>
          <w:szCs w:val="24"/>
        </w:rPr>
        <w:t>prend la</w:t>
      </w:r>
      <w:r w:rsidR="00FD41D9" w:rsidRPr="001D25B1">
        <w:rPr>
          <w:rFonts w:ascii="Garamond" w:eastAsia="Times New Roman" w:hAnsi="Garamond" w:cs="Garamond"/>
          <w:sz w:val="24"/>
          <w:szCs w:val="24"/>
        </w:rPr>
        <w:t xml:space="preserve"> une forme de cabale visant à museler la CSCI à défaut de la mettre aux ordres.</w:t>
      </w:r>
      <w:r w:rsidR="00FD41D9" w:rsidRPr="001D25B1">
        <w:rPr>
          <w:rFonts w:ascii="Candara" w:hAnsi="Candara" w:cs="Garamond"/>
          <w:sz w:val="24"/>
          <w:szCs w:val="24"/>
        </w:rPr>
        <w:t xml:space="preserve">  </w:t>
      </w:r>
    </w:p>
    <w:p w:rsidR="00FD41D9" w:rsidRPr="001D25B1" w:rsidRDefault="00FD41D9" w:rsidP="001D25B1">
      <w:pPr>
        <w:autoSpaceDE w:val="0"/>
        <w:autoSpaceDN w:val="0"/>
        <w:adjustRightInd w:val="0"/>
        <w:spacing w:after="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En son temps, l’expert Doudou DIENE , avait dénoncé dans son rapport sur la situation des droits de l’homme en Côte d’Ivoire que </w:t>
      </w:r>
      <w:r w:rsidRPr="001D25B1">
        <w:rPr>
          <w:rFonts w:ascii="Garamond" w:eastAsia="Times New Roman" w:hAnsi="Garamond" w:cs="Garamond"/>
          <w:i/>
          <w:sz w:val="24"/>
          <w:szCs w:val="24"/>
        </w:rPr>
        <w:t>« la décision du Parquet d’Abidjan de ne pas donner accès à la Convention de la Société civile ivoirienne (CSCI) à ses locaux administratifs, suite à un litige interne, en dépit d’une décision de justice, est de nature à faire douter de la volonté de certaines branches du pouvoir de garantir la liberté d’association</w:t>
      </w:r>
      <w:r w:rsidRPr="001D25B1">
        <w:rPr>
          <w:rFonts w:ascii="Garamond" w:eastAsia="Times New Roman" w:hAnsi="Garamond" w:cs="Garamond"/>
          <w:sz w:val="24"/>
          <w:szCs w:val="24"/>
        </w:rPr>
        <w:t>».</w:t>
      </w:r>
    </w:p>
    <w:p w:rsidR="00B06827" w:rsidRPr="001D25B1" w:rsidRDefault="006969A7"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En dépit d</w:t>
      </w:r>
      <w:r w:rsidR="00B06827" w:rsidRPr="001D25B1">
        <w:rPr>
          <w:rFonts w:ascii="Garamond" w:eastAsia="Times New Roman" w:hAnsi="Garamond" w:cs="Garamond"/>
          <w:sz w:val="24"/>
          <w:szCs w:val="24"/>
        </w:rPr>
        <w:t xml:space="preserve">u jugement </w:t>
      </w:r>
      <w:r w:rsidRPr="001D25B1">
        <w:rPr>
          <w:rFonts w:ascii="Garamond" w:eastAsia="Times New Roman" w:hAnsi="Garamond" w:cs="Garamond"/>
          <w:sz w:val="24"/>
          <w:szCs w:val="24"/>
        </w:rPr>
        <w:t xml:space="preserve">de la chambre administrative de la </w:t>
      </w:r>
      <w:r w:rsidR="002E7238" w:rsidRPr="001D25B1">
        <w:rPr>
          <w:rFonts w:ascii="Garamond" w:eastAsia="Times New Roman" w:hAnsi="Garamond" w:cs="Garamond"/>
          <w:sz w:val="24"/>
          <w:szCs w:val="24"/>
        </w:rPr>
        <w:t>C</w:t>
      </w:r>
      <w:r w:rsidRPr="001D25B1">
        <w:rPr>
          <w:rFonts w:ascii="Garamond" w:eastAsia="Times New Roman" w:hAnsi="Garamond" w:cs="Garamond"/>
          <w:sz w:val="24"/>
          <w:szCs w:val="24"/>
        </w:rPr>
        <w:t xml:space="preserve">our suprême </w:t>
      </w:r>
      <w:r w:rsidR="00B06827" w:rsidRPr="001D25B1">
        <w:rPr>
          <w:rFonts w:ascii="Garamond" w:eastAsia="Times New Roman" w:hAnsi="Garamond" w:cs="Garamond"/>
          <w:sz w:val="24"/>
          <w:szCs w:val="24"/>
        </w:rPr>
        <w:t xml:space="preserve">du </w:t>
      </w:r>
      <w:r w:rsidR="00FD41D9" w:rsidRPr="001D25B1">
        <w:rPr>
          <w:rFonts w:ascii="Garamond" w:eastAsia="Times New Roman" w:hAnsi="Garamond" w:cs="Garamond"/>
          <w:sz w:val="24"/>
          <w:szCs w:val="24"/>
        </w:rPr>
        <w:t xml:space="preserve">15 mai 2014 </w:t>
      </w:r>
      <w:r w:rsidRPr="00895FAB">
        <w:rPr>
          <w:rStyle w:val="Appelnotedebasdep"/>
          <w:rFonts w:ascii="Garamond" w:eastAsia="Times New Roman" w:hAnsi="Garamond" w:cs="Garamond"/>
          <w:sz w:val="24"/>
          <w:szCs w:val="24"/>
        </w:rPr>
        <w:footnoteReference w:id="52"/>
      </w:r>
      <w:r w:rsidR="00FD41D9" w:rsidRPr="00895FAB">
        <w:rPr>
          <w:rFonts w:ascii="Garamond" w:eastAsia="Times New Roman" w:hAnsi="Garamond" w:cs="Garamond"/>
          <w:sz w:val="24"/>
          <w:szCs w:val="24"/>
        </w:rPr>
        <w:t xml:space="preserve"> </w:t>
      </w:r>
      <w:r w:rsidRPr="001D25B1">
        <w:rPr>
          <w:rFonts w:ascii="Garamond" w:eastAsia="Times New Roman" w:hAnsi="Garamond" w:cs="Garamond"/>
          <w:sz w:val="24"/>
          <w:szCs w:val="24"/>
        </w:rPr>
        <w:t xml:space="preserve">qui </w:t>
      </w:r>
      <w:r w:rsidR="00FD41D9" w:rsidRPr="001D25B1">
        <w:rPr>
          <w:rFonts w:ascii="Garamond" w:eastAsia="Times New Roman" w:hAnsi="Garamond" w:cs="Garamond"/>
          <w:sz w:val="24"/>
          <w:szCs w:val="24"/>
        </w:rPr>
        <w:t>reconna</w:t>
      </w:r>
      <w:r w:rsidR="002E7238" w:rsidRPr="001D25B1">
        <w:rPr>
          <w:rFonts w:ascii="Garamond" w:eastAsia="Times New Roman" w:hAnsi="Garamond" w:cs="Garamond"/>
          <w:sz w:val="24"/>
          <w:szCs w:val="24"/>
        </w:rPr>
        <w:t>î</w:t>
      </w:r>
      <w:r w:rsidR="00FD41D9" w:rsidRPr="001D25B1">
        <w:rPr>
          <w:rFonts w:ascii="Garamond" w:eastAsia="Times New Roman" w:hAnsi="Garamond" w:cs="Garamond"/>
          <w:sz w:val="24"/>
          <w:szCs w:val="24"/>
        </w:rPr>
        <w:t>t l’élection de KOUAME Christophe, comme coordonnateur et sursoit à l’exécution de la décision n°295 du préfet d’Abidjan</w:t>
      </w:r>
      <w:r w:rsidR="002E7238" w:rsidRPr="001D25B1">
        <w:rPr>
          <w:rFonts w:ascii="Garamond" w:eastAsia="Times New Roman" w:hAnsi="Garamond" w:cs="Garamond"/>
          <w:sz w:val="24"/>
          <w:szCs w:val="24"/>
        </w:rPr>
        <w:t>,</w:t>
      </w:r>
      <w:r w:rsidR="00FD41D9" w:rsidRPr="001D25B1">
        <w:rPr>
          <w:rFonts w:ascii="Garamond" w:eastAsia="Times New Roman" w:hAnsi="Garamond" w:cs="Garamond"/>
          <w:sz w:val="24"/>
          <w:szCs w:val="24"/>
        </w:rPr>
        <w:t xml:space="preserve"> portant attestation de changement de coordinateur</w:t>
      </w:r>
      <w:r w:rsidRPr="001D25B1">
        <w:rPr>
          <w:rFonts w:ascii="Garamond" w:eastAsia="Times New Roman" w:hAnsi="Garamond" w:cs="Garamond"/>
          <w:sz w:val="24"/>
          <w:szCs w:val="24"/>
        </w:rPr>
        <w:t xml:space="preserve">, la CSCI n’a pu réintégrer </w:t>
      </w:r>
      <w:r w:rsidR="00B06827"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es locaux ni avoir accès à </w:t>
      </w:r>
      <w:r w:rsidR="00B06827" w:rsidRPr="001D25B1">
        <w:rPr>
          <w:rFonts w:ascii="Garamond" w:eastAsia="Times New Roman" w:hAnsi="Garamond" w:cs="Garamond"/>
          <w:sz w:val="24"/>
          <w:szCs w:val="24"/>
        </w:rPr>
        <w:t>s</w:t>
      </w:r>
      <w:r w:rsidRPr="001D25B1">
        <w:rPr>
          <w:rFonts w:ascii="Garamond" w:eastAsia="Times New Roman" w:hAnsi="Garamond" w:cs="Garamond"/>
          <w:sz w:val="24"/>
          <w:szCs w:val="24"/>
        </w:rPr>
        <w:t xml:space="preserve">es </w:t>
      </w:r>
      <w:r w:rsidR="00B06827" w:rsidRPr="001D25B1">
        <w:rPr>
          <w:rFonts w:ascii="Garamond" w:eastAsia="Times New Roman" w:hAnsi="Garamond" w:cs="Garamond"/>
          <w:sz w:val="24"/>
          <w:szCs w:val="24"/>
        </w:rPr>
        <w:t>comptes</w:t>
      </w:r>
      <w:r w:rsidRPr="001D25B1">
        <w:rPr>
          <w:rFonts w:ascii="Garamond" w:eastAsia="Times New Roman" w:hAnsi="Garamond" w:cs="Garamond"/>
          <w:sz w:val="24"/>
          <w:szCs w:val="24"/>
        </w:rPr>
        <w:t xml:space="preserve">. Un nouveau congrès a eu lieu les 8 et 9 décembre 2014 </w:t>
      </w:r>
      <w:r w:rsidR="00B06827" w:rsidRPr="001D25B1">
        <w:rPr>
          <w:rFonts w:ascii="Garamond" w:eastAsia="Times New Roman" w:hAnsi="Garamond" w:cs="Garamond"/>
          <w:sz w:val="24"/>
          <w:szCs w:val="24"/>
        </w:rPr>
        <w:t xml:space="preserve">au cours duquel </w:t>
      </w:r>
      <w:r w:rsidRPr="001D25B1">
        <w:rPr>
          <w:rFonts w:ascii="Garamond" w:eastAsia="Times New Roman" w:hAnsi="Garamond" w:cs="Garamond"/>
          <w:sz w:val="24"/>
          <w:szCs w:val="24"/>
        </w:rPr>
        <w:t>a</w:t>
      </w:r>
      <w:r w:rsidR="00B06827" w:rsidRPr="001D25B1">
        <w:rPr>
          <w:rFonts w:ascii="Garamond" w:eastAsia="Times New Roman" w:hAnsi="Garamond" w:cs="Garamond"/>
          <w:sz w:val="24"/>
          <w:szCs w:val="24"/>
        </w:rPr>
        <w:t xml:space="preserve"> été</w:t>
      </w:r>
      <w:r w:rsidRPr="001D25B1">
        <w:rPr>
          <w:rFonts w:ascii="Garamond" w:eastAsia="Times New Roman" w:hAnsi="Garamond" w:cs="Garamond"/>
          <w:sz w:val="24"/>
          <w:szCs w:val="24"/>
        </w:rPr>
        <w:t xml:space="preserve"> é</w:t>
      </w:r>
      <w:r w:rsidR="00B06827" w:rsidRPr="001D25B1">
        <w:rPr>
          <w:rFonts w:ascii="Garamond" w:eastAsia="Times New Roman" w:hAnsi="Garamond" w:cs="Garamond"/>
          <w:sz w:val="24"/>
          <w:szCs w:val="24"/>
        </w:rPr>
        <w:t>l</w:t>
      </w:r>
      <w:r w:rsidRPr="001D25B1">
        <w:rPr>
          <w:rFonts w:ascii="Garamond" w:eastAsia="Times New Roman" w:hAnsi="Garamond" w:cs="Garamond"/>
          <w:sz w:val="24"/>
          <w:szCs w:val="24"/>
        </w:rPr>
        <w:t>u</w:t>
      </w:r>
      <w:r w:rsidR="00B06827" w:rsidRPr="001D25B1">
        <w:rPr>
          <w:rFonts w:ascii="Garamond" w:eastAsia="Times New Roman" w:hAnsi="Garamond" w:cs="Garamond"/>
          <w:sz w:val="24"/>
          <w:szCs w:val="24"/>
        </w:rPr>
        <w:t>e</w:t>
      </w:r>
      <w:r w:rsidRPr="001D25B1">
        <w:rPr>
          <w:rFonts w:ascii="Garamond" w:eastAsia="Times New Roman" w:hAnsi="Garamond" w:cs="Garamond"/>
          <w:sz w:val="24"/>
          <w:szCs w:val="24"/>
        </w:rPr>
        <w:t xml:space="preserve"> une nouvelle coordinatrice</w:t>
      </w:r>
      <w:r w:rsidR="002E7238"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Mme GN</w:t>
      </w:r>
      <w:r w:rsidR="004504D6" w:rsidRPr="001D25B1">
        <w:rPr>
          <w:rFonts w:ascii="Garamond" w:eastAsia="Times New Roman" w:hAnsi="Garamond" w:cs="Garamond"/>
          <w:sz w:val="24"/>
          <w:szCs w:val="24"/>
        </w:rPr>
        <w:t>I</w:t>
      </w:r>
      <w:r w:rsidRPr="001D25B1">
        <w:rPr>
          <w:rFonts w:ascii="Garamond" w:eastAsia="Times New Roman" w:hAnsi="Garamond" w:cs="Garamond"/>
          <w:sz w:val="24"/>
          <w:szCs w:val="24"/>
        </w:rPr>
        <w:t>ONSAHE Hélène</w:t>
      </w:r>
      <w:r w:rsidR="002E7238" w:rsidRPr="001D25B1">
        <w:rPr>
          <w:rFonts w:ascii="Garamond" w:eastAsia="Times New Roman" w:hAnsi="Garamond" w:cs="Garamond"/>
          <w:sz w:val="24"/>
          <w:szCs w:val="24"/>
        </w:rPr>
        <w:t>,</w:t>
      </w:r>
      <w:r w:rsidRPr="001D25B1">
        <w:rPr>
          <w:rFonts w:ascii="Garamond" w:eastAsia="Times New Roman" w:hAnsi="Garamond" w:cs="Garamond"/>
          <w:sz w:val="24"/>
          <w:szCs w:val="24"/>
        </w:rPr>
        <w:t xml:space="preserve"> issue de la centrale syndicale UGTCI. </w:t>
      </w:r>
    </w:p>
    <w:p w:rsidR="00FD41D9" w:rsidRPr="001D25B1" w:rsidRDefault="00B06827" w:rsidP="001D25B1">
      <w:pPr>
        <w:spacing w:before="120" w:after="120" w:line="276" w:lineRule="auto"/>
        <w:jc w:val="both"/>
        <w:rPr>
          <w:rFonts w:ascii="Garamond" w:eastAsia="Times New Roman" w:hAnsi="Garamond" w:cs="Garamond"/>
          <w:sz w:val="24"/>
          <w:szCs w:val="24"/>
        </w:rPr>
      </w:pPr>
      <w:r w:rsidRPr="001D25B1">
        <w:rPr>
          <w:rFonts w:ascii="Garamond" w:eastAsia="Times New Roman" w:hAnsi="Garamond" w:cs="Garamond"/>
          <w:sz w:val="24"/>
          <w:szCs w:val="24"/>
        </w:rPr>
        <w:t xml:space="preserve">Il est important de noter que la CSCI n’est </w:t>
      </w:r>
      <w:r w:rsidR="002E7238" w:rsidRPr="001D25B1">
        <w:rPr>
          <w:rFonts w:ascii="Garamond" w:eastAsia="Times New Roman" w:hAnsi="Garamond" w:cs="Garamond"/>
          <w:sz w:val="24"/>
          <w:szCs w:val="24"/>
        </w:rPr>
        <w:t xml:space="preserve">pas </w:t>
      </w:r>
      <w:r w:rsidRPr="001D25B1">
        <w:rPr>
          <w:rFonts w:ascii="Garamond" w:eastAsia="Times New Roman" w:hAnsi="Garamond" w:cs="Garamond"/>
          <w:sz w:val="24"/>
          <w:szCs w:val="24"/>
        </w:rPr>
        <w:t xml:space="preserve">la seule victime </w:t>
      </w:r>
      <w:r w:rsidR="0019322C" w:rsidRPr="001D25B1">
        <w:rPr>
          <w:rFonts w:ascii="Garamond" w:eastAsia="Times New Roman" w:hAnsi="Garamond" w:cs="Garamond"/>
          <w:sz w:val="24"/>
          <w:szCs w:val="24"/>
        </w:rPr>
        <w:t>d’entraves de ce type</w:t>
      </w:r>
      <w:r w:rsidRPr="001D25B1">
        <w:rPr>
          <w:rFonts w:ascii="Garamond" w:eastAsia="Times New Roman" w:hAnsi="Garamond" w:cs="Garamond"/>
          <w:sz w:val="24"/>
          <w:szCs w:val="24"/>
        </w:rPr>
        <w:t xml:space="preserve">, </w:t>
      </w:r>
      <w:r w:rsidR="00913DB2" w:rsidRPr="001D25B1">
        <w:rPr>
          <w:rFonts w:ascii="Garamond" w:eastAsia="Times New Roman" w:hAnsi="Garamond" w:cs="Garamond"/>
          <w:sz w:val="24"/>
          <w:szCs w:val="24"/>
        </w:rPr>
        <w:t>plusieurs syndicats et association</w:t>
      </w:r>
      <w:r w:rsidR="002E7238" w:rsidRPr="001D25B1">
        <w:rPr>
          <w:rFonts w:ascii="Garamond" w:eastAsia="Times New Roman" w:hAnsi="Garamond" w:cs="Garamond"/>
          <w:sz w:val="24"/>
          <w:szCs w:val="24"/>
        </w:rPr>
        <w:t>s</w:t>
      </w:r>
      <w:r w:rsidR="00913DB2" w:rsidRPr="001D25B1">
        <w:rPr>
          <w:rFonts w:ascii="Garamond" w:eastAsia="Times New Roman" w:hAnsi="Garamond" w:cs="Garamond"/>
          <w:sz w:val="24"/>
          <w:szCs w:val="24"/>
        </w:rPr>
        <w:t xml:space="preserve"> </w:t>
      </w:r>
      <w:r w:rsidR="0019322C" w:rsidRPr="001D25B1">
        <w:rPr>
          <w:rFonts w:ascii="Garamond" w:eastAsia="Times New Roman" w:hAnsi="Garamond" w:cs="Garamond"/>
          <w:sz w:val="24"/>
          <w:szCs w:val="24"/>
        </w:rPr>
        <w:t xml:space="preserve">en </w:t>
      </w:r>
      <w:r w:rsidR="00913DB2" w:rsidRPr="001D25B1">
        <w:rPr>
          <w:rFonts w:ascii="Garamond" w:eastAsia="Times New Roman" w:hAnsi="Garamond" w:cs="Garamond"/>
          <w:sz w:val="24"/>
          <w:szCs w:val="24"/>
        </w:rPr>
        <w:t>on</w:t>
      </w:r>
      <w:r w:rsidRPr="001D25B1">
        <w:rPr>
          <w:rFonts w:ascii="Garamond" w:eastAsia="Times New Roman" w:hAnsi="Garamond" w:cs="Garamond"/>
          <w:sz w:val="24"/>
          <w:szCs w:val="24"/>
        </w:rPr>
        <w:t>t</w:t>
      </w:r>
      <w:r w:rsidR="00913DB2" w:rsidRPr="001D25B1">
        <w:rPr>
          <w:rFonts w:ascii="Garamond" w:eastAsia="Times New Roman" w:hAnsi="Garamond" w:cs="Garamond"/>
          <w:sz w:val="24"/>
          <w:szCs w:val="24"/>
        </w:rPr>
        <w:t xml:space="preserve"> connu</w:t>
      </w:r>
      <w:r w:rsidR="0019322C" w:rsidRPr="001D25B1">
        <w:rPr>
          <w:rFonts w:ascii="Garamond" w:eastAsia="Times New Roman" w:hAnsi="Garamond" w:cs="Garamond"/>
          <w:sz w:val="24"/>
          <w:szCs w:val="24"/>
        </w:rPr>
        <w:t>es</w:t>
      </w:r>
      <w:r w:rsidR="00913DB2" w:rsidRPr="001D25B1">
        <w:rPr>
          <w:rFonts w:ascii="Garamond" w:eastAsia="Times New Roman" w:hAnsi="Garamond" w:cs="Garamond"/>
          <w:sz w:val="24"/>
          <w:szCs w:val="24"/>
        </w:rPr>
        <w:t xml:space="preserve">. </w:t>
      </w:r>
    </w:p>
    <w:p w:rsidR="00FC1C58" w:rsidRPr="001D25B1" w:rsidRDefault="00FC1C58" w:rsidP="001D25B1">
      <w:pPr>
        <w:spacing w:before="120" w:after="120" w:line="276" w:lineRule="auto"/>
        <w:jc w:val="both"/>
        <w:rPr>
          <w:rFonts w:ascii="Garamond" w:eastAsia="Times New Roman" w:hAnsi="Garamond" w:cs="Garamond"/>
          <w:b/>
          <w:i/>
          <w:color w:val="365F91"/>
          <w:sz w:val="24"/>
          <w:szCs w:val="24"/>
        </w:rPr>
      </w:pPr>
      <w:r w:rsidRPr="001D25B1">
        <w:rPr>
          <w:rFonts w:ascii="Garamond" w:eastAsia="Times New Roman" w:hAnsi="Garamond" w:cs="Garamond"/>
          <w:b/>
          <w:i/>
          <w:color w:val="365F91"/>
          <w:sz w:val="24"/>
          <w:szCs w:val="24"/>
        </w:rPr>
        <w:t>La FIACAT et l’ACAT Côte d’Ivoire rappellent à l’État ivoirien que la liberté de réunion et de manifestation sont garanties par l’article 11 de la Constitution de 2000.</w:t>
      </w:r>
    </w:p>
    <w:p w:rsidR="00FC1C58" w:rsidRPr="001D25B1" w:rsidRDefault="00FC1C58" w:rsidP="001D25B1">
      <w:pPr>
        <w:spacing w:before="120" w:after="120" w:line="276" w:lineRule="auto"/>
        <w:jc w:val="both"/>
        <w:rPr>
          <w:rFonts w:ascii="Garamond" w:eastAsia="Times New Roman" w:hAnsi="Garamond" w:cs="Garamond"/>
          <w:b/>
          <w:i/>
          <w:color w:val="365F91" w:themeColor="accent1" w:themeShade="BF"/>
          <w:sz w:val="24"/>
          <w:szCs w:val="24"/>
        </w:rPr>
      </w:pPr>
      <w:r w:rsidRPr="001D25B1">
        <w:rPr>
          <w:rFonts w:ascii="Garamond" w:eastAsia="Times New Roman" w:hAnsi="Garamond" w:cs="Garamond"/>
          <w:b/>
          <w:i/>
          <w:color w:val="365F91"/>
          <w:sz w:val="24"/>
          <w:szCs w:val="24"/>
        </w:rPr>
        <w:t xml:space="preserve">La FIACAT et l’ACAT Côte d’Ivoire invitent le Comité des droits de l’homme à </w:t>
      </w:r>
      <w:r w:rsidRPr="001D25B1">
        <w:rPr>
          <w:rFonts w:ascii="Garamond" w:eastAsia="Times New Roman" w:hAnsi="Garamond" w:cs="Garamond"/>
          <w:b/>
          <w:i/>
          <w:color w:val="365F91" w:themeColor="accent1" w:themeShade="BF"/>
          <w:sz w:val="24"/>
          <w:szCs w:val="24"/>
        </w:rPr>
        <w:t>recommander à l’Etat partie de :</w:t>
      </w:r>
    </w:p>
    <w:p w:rsidR="00521893" w:rsidRDefault="00FC1C58" w:rsidP="001D25B1">
      <w:pPr>
        <w:pStyle w:val="Paragraphedeliste"/>
        <w:numPr>
          <w:ilvl w:val="1"/>
          <w:numId w:val="43"/>
        </w:numPr>
      </w:pPr>
      <w:r w:rsidRPr="001D25B1">
        <w:rPr>
          <w:b/>
          <w:i/>
          <w:color w:val="365F91" w:themeColor="accent1" w:themeShade="BF"/>
        </w:rPr>
        <w:t>Accepter la « pluralité démocratique » en permettant que les défenseurs des droits de l’homme en Côte d’Ivoire expriment leurs opinions sans crainte d’être persécutés.</w:t>
      </w:r>
    </w:p>
    <w:p w:rsidR="009A1788" w:rsidRDefault="009A1788">
      <w:pPr>
        <w:spacing w:after="200" w:line="276" w:lineRule="auto"/>
        <w:rPr>
          <w:rFonts w:ascii="Garamond" w:eastAsia="Times New Roman" w:hAnsi="Garamond" w:cs="Times New Roman"/>
          <w:b/>
          <w:sz w:val="32"/>
          <w:szCs w:val="24"/>
        </w:rPr>
      </w:pPr>
      <w:r>
        <w:br w:type="page"/>
      </w:r>
    </w:p>
    <w:p w:rsidR="00DD60F1" w:rsidRPr="008B5B2C" w:rsidRDefault="00DD60F1" w:rsidP="008B5B2C">
      <w:pPr>
        <w:pStyle w:val="Titre2"/>
        <w:numPr>
          <w:ilvl w:val="0"/>
          <w:numId w:val="0"/>
        </w:numPr>
        <w:ind w:left="720" w:hanging="360"/>
        <w:rPr>
          <w:b w:val="0"/>
        </w:rPr>
        <w:sectPr w:rsidR="00DD60F1" w:rsidRPr="008B5B2C" w:rsidSect="006E3214">
          <w:footerReference w:type="default" r:id="rId24"/>
          <w:footerReference w:type="first" r:id="rId25"/>
          <w:pgSz w:w="11906" w:h="16838"/>
          <w:pgMar w:top="1134" w:right="1417" w:bottom="1417" w:left="1417" w:header="284" w:footer="107" w:gutter="0"/>
          <w:cols w:space="708"/>
          <w:titlePg/>
          <w:docGrid w:linePitch="360"/>
        </w:sectPr>
      </w:pPr>
      <w:bookmarkStart w:id="117" w:name="_Toc411432718"/>
      <w:bookmarkEnd w:id="117"/>
    </w:p>
    <w:p w:rsidR="008B5B2C" w:rsidRDefault="008B5B2C" w:rsidP="008B5B2C">
      <w:pPr>
        <w:pStyle w:val="Titre1"/>
        <w:jc w:val="center"/>
      </w:pPr>
      <w:bookmarkStart w:id="118" w:name="_Toc411432307"/>
      <w:bookmarkStart w:id="119" w:name="_Toc411432500"/>
      <w:bookmarkStart w:id="120" w:name="_Toc411432720"/>
      <w:bookmarkStart w:id="121" w:name="_Toc411432721"/>
      <w:bookmarkStart w:id="122" w:name="_Toc412111738"/>
      <w:bookmarkEnd w:id="118"/>
      <w:bookmarkEnd w:id="119"/>
      <w:bookmarkEnd w:id="120"/>
      <w:bookmarkEnd w:id="121"/>
      <w:r>
        <w:lastRenderedPageBreak/>
        <w:t>ANNEXES</w:t>
      </w:r>
      <w:bookmarkEnd w:id="122"/>
    </w:p>
    <w:p w:rsidR="001A1EE5" w:rsidRPr="001A1EE5" w:rsidRDefault="000A42F4" w:rsidP="008B5B2C">
      <w:pPr>
        <w:pStyle w:val="Titre2"/>
        <w:numPr>
          <w:ilvl w:val="0"/>
          <w:numId w:val="0"/>
        </w:numPr>
      </w:pPr>
      <w:bookmarkStart w:id="123" w:name="_Toc412111739"/>
      <w:r>
        <w:t>Annexe</w:t>
      </w:r>
      <w:r w:rsidR="008F3193">
        <w:t xml:space="preserve"> </w:t>
      </w:r>
      <w:r>
        <w:t>1 :</w:t>
      </w:r>
      <w:r w:rsidR="001A1EE5">
        <w:t xml:space="preserve"> </w:t>
      </w:r>
      <w:r w:rsidR="00F14DBE" w:rsidRPr="001A1EE5">
        <w:t xml:space="preserve">Statistiques carcérales au 31 </w:t>
      </w:r>
      <w:r w:rsidR="00DF7F4C">
        <w:t>d</w:t>
      </w:r>
      <w:r w:rsidR="00F14DBE" w:rsidRPr="001A1EE5">
        <w:t>écembre 201</w:t>
      </w:r>
      <w:r w:rsidR="001F56D0" w:rsidRPr="001A1EE5">
        <w:t>4</w:t>
      </w:r>
      <w:bookmarkEnd w:id="123"/>
    </w:p>
    <w:p w:rsidR="00F14DBE" w:rsidRPr="001A1EE5" w:rsidRDefault="00F14DBE" w:rsidP="00304045">
      <w:pPr>
        <w:pStyle w:val="Titre2"/>
        <w:numPr>
          <w:ilvl w:val="0"/>
          <w:numId w:val="0"/>
        </w:numPr>
        <w:ind w:left="720"/>
      </w:pPr>
    </w:p>
    <w:p w:rsidR="00F14DBE" w:rsidRPr="00212184" w:rsidRDefault="00F14DBE" w:rsidP="001A1EE5">
      <w:pPr>
        <w:spacing w:after="0" w:line="276" w:lineRule="auto"/>
        <w:jc w:val="center"/>
        <w:rPr>
          <w:rFonts w:ascii="Garamond" w:eastAsia="Times New Roman" w:hAnsi="Garamond" w:cs="Garamond"/>
          <w:b/>
          <w:sz w:val="24"/>
          <w:szCs w:val="24"/>
        </w:rPr>
      </w:pPr>
      <w:r w:rsidRPr="00212184">
        <w:rPr>
          <w:rFonts w:ascii="Garamond" w:eastAsia="Times New Roman" w:hAnsi="Garamond" w:cs="Garamond"/>
          <w:b/>
          <w:sz w:val="24"/>
          <w:szCs w:val="24"/>
        </w:rPr>
        <w:t>DIRECTION DE L'ADMINISTRATION PENITENTIAIRE</w:t>
      </w:r>
    </w:p>
    <w:p w:rsidR="00F14DBE" w:rsidRPr="00212184" w:rsidRDefault="00F14DBE">
      <w:pPr>
        <w:spacing w:after="0" w:line="276" w:lineRule="auto"/>
        <w:jc w:val="center"/>
        <w:rPr>
          <w:rFonts w:ascii="Garamond" w:eastAsia="Times New Roman" w:hAnsi="Garamond" w:cs="Garamond"/>
          <w:sz w:val="24"/>
          <w:szCs w:val="24"/>
        </w:rPr>
      </w:pPr>
      <w:r w:rsidRPr="00212184">
        <w:rPr>
          <w:rFonts w:ascii="Garamond" w:eastAsia="Times New Roman" w:hAnsi="Garamond" w:cs="Garamond"/>
          <w:sz w:val="24"/>
          <w:szCs w:val="24"/>
        </w:rPr>
        <w:t>Statistiques carcérales effectif</w:t>
      </w:r>
      <w:r>
        <w:rPr>
          <w:rFonts w:ascii="Garamond" w:eastAsia="Times New Roman" w:hAnsi="Garamond" w:cs="Garamond"/>
          <w:sz w:val="24"/>
          <w:szCs w:val="24"/>
        </w:rPr>
        <w:t>s des détenus à la date du 31-12</w:t>
      </w:r>
      <w:r w:rsidRPr="00212184">
        <w:rPr>
          <w:rFonts w:ascii="Garamond" w:eastAsia="Times New Roman" w:hAnsi="Garamond" w:cs="Garamond"/>
          <w:sz w:val="24"/>
          <w:szCs w:val="24"/>
        </w:rPr>
        <w:t>-2014</w:t>
      </w:r>
    </w:p>
    <w:p w:rsidR="00FC1C58" w:rsidRDefault="00FC1C58">
      <w:pPr>
        <w:spacing w:after="0" w:line="276" w:lineRule="auto"/>
        <w:jc w:val="center"/>
        <w:rPr>
          <w:rFonts w:ascii="Garamond" w:eastAsia="Times New Roman" w:hAnsi="Garamond" w:cs="Garamond"/>
          <w:sz w:val="24"/>
          <w:szCs w:val="24"/>
        </w:rPr>
      </w:pPr>
    </w:p>
    <w:tbl>
      <w:tblPr>
        <w:tblW w:w="15465" w:type="dxa"/>
        <w:tblInd w:w="-811" w:type="dxa"/>
        <w:tblLayout w:type="fixed"/>
        <w:tblCellMar>
          <w:left w:w="40" w:type="dxa"/>
          <w:right w:w="40" w:type="dxa"/>
        </w:tblCellMar>
        <w:tblLook w:val="0000" w:firstRow="0" w:lastRow="0" w:firstColumn="0" w:lastColumn="0" w:noHBand="0" w:noVBand="0"/>
      </w:tblPr>
      <w:tblGrid>
        <w:gridCol w:w="743"/>
        <w:gridCol w:w="552"/>
        <w:gridCol w:w="849"/>
        <w:gridCol w:w="985"/>
        <w:gridCol w:w="742"/>
        <w:gridCol w:w="244"/>
        <w:gridCol w:w="850"/>
        <w:gridCol w:w="706"/>
        <w:gridCol w:w="994"/>
        <w:gridCol w:w="459"/>
        <w:gridCol w:w="535"/>
        <w:gridCol w:w="835"/>
        <w:gridCol w:w="857"/>
        <w:gridCol w:w="706"/>
        <w:gridCol w:w="308"/>
        <w:gridCol w:w="513"/>
        <w:gridCol w:w="986"/>
        <w:gridCol w:w="1274"/>
        <w:gridCol w:w="860"/>
        <w:gridCol w:w="616"/>
        <w:gridCol w:w="851"/>
      </w:tblGrid>
      <w:tr w:rsidR="00F14DBE" w:rsidRPr="00212184" w:rsidTr="00F14DBE">
        <w:trPr>
          <w:trHeight w:hRule="exact" w:val="454"/>
        </w:trPr>
        <w:tc>
          <w:tcPr>
            <w:tcW w:w="1295" w:type="dxa"/>
            <w:gridSpan w:val="2"/>
            <w:vMerge w:val="restart"/>
            <w:tcBorders>
              <w:top w:val="single" w:sz="6" w:space="0" w:color="auto"/>
              <w:left w:val="single" w:sz="6" w:space="0" w:color="auto"/>
              <w:right w:val="single" w:sz="6" w:space="0" w:color="auto"/>
            </w:tcBorders>
            <w:shd w:val="clear" w:color="auto" w:fill="8DB3E2"/>
            <w:vAlign w:val="center"/>
          </w:tcPr>
          <w:p w:rsidR="00F14DBE" w:rsidRPr="00212184" w:rsidRDefault="00F14DBE">
            <w:pPr>
              <w:spacing w:after="0" w:line="276" w:lineRule="auto"/>
              <w:jc w:val="center"/>
              <w:rPr>
                <w:rFonts w:ascii="Arial" w:eastAsia="Times New Roman" w:hAnsi="Arial" w:cs="Arial"/>
                <w:sz w:val="16"/>
                <w:szCs w:val="16"/>
              </w:rPr>
            </w:pPr>
            <w:r w:rsidRPr="00212184">
              <w:rPr>
                <w:rFonts w:ascii="Arial" w:eastAsia="Times New Roman" w:hAnsi="Arial" w:cs="Arial"/>
                <w:sz w:val="16"/>
                <w:szCs w:val="16"/>
              </w:rPr>
              <w:t>Établissements</w:t>
            </w:r>
          </w:p>
        </w:tc>
        <w:tc>
          <w:tcPr>
            <w:tcW w:w="849" w:type="dxa"/>
            <w:vMerge w:val="restart"/>
            <w:tcBorders>
              <w:top w:val="single" w:sz="6" w:space="0" w:color="auto"/>
              <w:left w:val="single" w:sz="6"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Surface Dortoirs Cellules (m2)</w:t>
            </w:r>
          </w:p>
        </w:tc>
        <w:tc>
          <w:tcPr>
            <w:tcW w:w="985" w:type="dxa"/>
            <w:tcBorders>
              <w:top w:val="single" w:sz="6" w:space="0" w:color="auto"/>
              <w:left w:val="single" w:sz="6" w:space="0" w:color="auto"/>
              <w:bottom w:val="single" w:sz="6" w:space="0" w:color="auto"/>
              <w:right w:val="nil"/>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1836" w:type="dxa"/>
            <w:gridSpan w:val="3"/>
            <w:tcBorders>
              <w:top w:val="single" w:sz="6" w:space="0" w:color="auto"/>
              <w:left w:val="nil"/>
              <w:bottom w:val="single" w:sz="6" w:space="0" w:color="auto"/>
              <w:right w:val="nil"/>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Prévenus</w:t>
            </w:r>
          </w:p>
        </w:tc>
        <w:tc>
          <w:tcPr>
            <w:tcW w:w="706" w:type="dxa"/>
            <w:tcBorders>
              <w:top w:val="single" w:sz="6" w:space="0" w:color="auto"/>
              <w:left w:val="nil"/>
              <w:bottom w:val="single" w:sz="6"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3680" w:type="dxa"/>
            <w:gridSpan w:val="5"/>
            <w:tcBorders>
              <w:top w:val="single" w:sz="6" w:space="0" w:color="auto"/>
              <w:left w:val="single" w:sz="6" w:space="0" w:color="auto"/>
              <w:bottom w:val="single" w:sz="6"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Condamnés</w:t>
            </w:r>
          </w:p>
        </w:tc>
        <w:tc>
          <w:tcPr>
            <w:tcW w:w="706" w:type="dxa"/>
            <w:vMerge w:val="restart"/>
            <w:tcBorders>
              <w:top w:val="single" w:sz="6" w:space="0" w:color="auto"/>
              <w:left w:val="single" w:sz="6"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C.P.C</w:t>
            </w:r>
          </w:p>
        </w:tc>
        <w:tc>
          <w:tcPr>
            <w:tcW w:w="821" w:type="dxa"/>
            <w:gridSpan w:val="2"/>
            <w:vMerge w:val="restart"/>
            <w:tcBorders>
              <w:top w:val="single" w:sz="6" w:space="0" w:color="auto"/>
              <w:left w:val="single" w:sz="6"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TOTAL</w:t>
            </w:r>
          </w:p>
        </w:tc>
        <w:tc>
          <w:tcPr>
            <w:tcW w:w="986" w:type="dxa"/>
            <w:vMerge w:val="restart"/>
            <w:tcBorders>
              <w:top w:val="single" w:sz="6" w:space="0" w:color="auto"/>
              <w:left w:val="single" w:sz="6"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Capacité d'accueil {si 3</w:t>
            </w:r>
            <w:r w:rsidRPr="00212184">
              <w:rPr>
                <w:rFonts w:ascii="Arial" w:eastAsia="Times New Roman" w:hAnsi="Arial" w:cs="Arial"/>
                <w:sz w:val="16"/>
                <w:szCs w:val="16"/>
              </w:rPr>
              <w:t>m 2 détenu)</w:t>
            </w:r>
          </w:p>
        </w:tc>
        <w:tc>
          <w:tcPr>
            <w:tcW w:w="1274" w:type="dxa"/>
            <w:vMerge w:val="restart"/>
            <w:tcBorders>
              <w:top w:val="single" w:sz="6" w:space="0" w:color="auto"/>
              <w:left w:val="single" w:sz="6"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Populations Carcérales</w:t>
            </w:r>
          </w:p>
        </w:tc>
        <w:tc>
          <w:tcPr>
            <w:tcW w:w="1476" w:type="dxa"/>
            <w:gridSpan w:val="2"/>
            <w:vMerge w:val="restart"/>
            <w:tcBorders>
              <w:top w:val="single" w:sz="6" w:space="0" w:color="auto"/>
              <w:left w:val="single" w:sz="6"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Évasion /</w:t>
            </w:r>
          </w:p>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 xml:space="preserve">Décès </w:t>
            </w:r>
          </w:p>
          <w:p w:rsidR="00F14DBE" w:rsidRPr="00212184" w:rsidRDefault="00F77313">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Décembre</w:t>
            </w:r>
          </w:p>
        </w:tc>
        <w:tc>
          <w:tcPr>
            <w:tcW w:w="851" w:type="dxa"/>
            <w:tcBorders>
              <w:top w:val="single" w:sz="6" w:space="0" w:color="auto"/>
              <w:left w:val="single" w:sz="6" w:space="0" w:color="auto"/>
              <w:right w:val="single" w:sz="6" w:space="0" w:color="auto"/>
            </w:tcBorders>
            <w:shd w:val="clear" w:color="auto" w:fill="8DB3E2" w:themeFill="text2" w:themeFillTint="66"/>
          </w:tcPr>
          <w:p w:rsidR="00F14DBE" w:rsidRPr="00212184" w:rsidRDefault="00F14DBE">
            <w:pPr>
              <w:spacing w:before="60" w:after="60" w:line="276" w:lineRule="auto"/>
              <w:jc w:val="center"/>
              <w:rPr>
                <w:rFonts w:ascii="Arial" w:eastAsia="Times New Roman" w:hAnsi="Arial" w:cs="Arial"/>
                <w:sz w:val="16"/>
                <w:szCs w:val="16"/>
              </w:rPr>
            </w:pPr>
          </w:p>
        </w:tc>
      </w:tr>
      <w:tr w:rsidR="00F14DBE" w:rsidRPr="00212184" w:rsidTr="00F14DBE">
        <w:trPr>
          <w:trHeight w:hRule="exact" w:val="446"/>
        </w:trPr>
        <w:tc>
          <w:tcPr>
            <w:tcW w:w="1295" w:type="dxa"/>
            <w:gridSpan w:val="2"/>
            <w:vMerge/>
            <w:tcBorders>
              <w:left w:val="single" w:sz="6" w:space="0" w:color="auto"/>
              <w:bottom w:val="single" w:sz="4"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849" w:type="dxa"/>
            <w:vMerge/>
            <w:tcBorders>
              <w:left w:val="single" w:sz="6" w:space="0" w:color="auto"/>
              <w:bottom w:val="single" w:sz="4"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985" w:type="dxa"/>
            <w:tcBorders>
              <w:top w:val="single" w:sz="6" w:space="0" w:color="auto"/>
              <w:left w:val="single" w:sz="6" w:space="0" w:color="auto"/>
              <w:bottom w:val="single" w:sz="4"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Hommes</w:t>
            </w:r>
          </w:p>
        </w:tc>
        <w:tc>
          <w:tcPr>
            <w:tcW w:w="986" w:type="dxa"/>
            <w:gridSpan w:val="2"/>
            <w:tcBorders>
              <w:top w:val="single" w:sz="6" w:space="0" w:color="auto"/>
              <w:left w:val="single" w:sz="6" w:space="0" w:color="auto"/>
              <w:bottom w:val="single" w:sz="4"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Femmes</w:t>
            </w:r>
          </w:p>
        </w:tc>
        <w:tc>
          <w:tcPr>
            <w:tcW w:w="850" w:type="dxa"/>
            <w:tcBorders>
              <w:top w:val="single" w:sz="6" w:space="0" w:color="auto"/>
              <w:left w:val="single" w:sz="6" w:space="0" w:color="auto"/>
              <w:bottom w:val="single" w:sz="4"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Mineurs</w:t>
            </w:r>
          </w:p>
        </w:tc>
        <w:tc>
          <w:tcPr>
            <w:tcW w:w="706" w:type="dxa"/>
            <w:tcBorders>
              <w:top w:val="single" w:sz="6" w:space="0" w:color="auto"/>
              <w:left w:val="single" w:sz="6" w:space="0" w:color="auto"/>
              <w:bottom w:val="single" w:sz="4"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Total</w:t>
            </w:r>
          </w:p>
        </w:tc>
        <w:tc>
          <w:tcPr>
            <w:tcW w:w="994" w:type="dxa"/>
            <w:tcBorders>
              <w:top w:val="single" w:sz="6" w:space="0" w:color="auto"/>
              <w:left w:val="single" w:sz="6" w:space="0" w:color="auto"/>
              <w:bottom w:val="single" w:sz="4"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Hommes</w:t>
            </w:r>
          </w:p>
        </w:tc>
        <w:tc>
          <w:tcPr>
            <w:tcW w:w="994" w:type="dxa"/>
            <w:gridSpan w:val="2"/>
            <w:tcBorders>
              <w:top w:val="single" w:sz="6" w:space="0" w:color="auto"/>
              <w:left w:val="single" w:sz="6" w:space="0" w:color="auto"/>
              <w:bottom w:val="single" w:sz="4"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Femmes</w:t>
            </w:r>
          </w:p>
        </w:tc>
        <w:tc>
          <w:tcPr>
            <w:tcW w:w="835" w:type="dxa"/>
            <w:tcBorders>
              <w:top w:val="single" w:sz="6" w:space="0" w:color="auto"/>
              <w:left w:val="single" w:sz="6" w:space="0" w:color="auto"/>
              <w:bottom w:val="single" w:sz="4"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Mineurs</w:t>
            </w:r>
          </w:p>
        </w:tc>
        <w:tc>
          <w:tcPr>
            <w:tcW w:w="857" w:type="dxa"/>
            <w:tcBorders>
              <w:top w:val="single" w:sz="6" w:space="0" w:color="auto"/>
              <w:left w:val="single" w:sz="6" w:space="0" w:color="auto"/>
              <w:bottom w:val="single" w:sz="4" w:space="0" w:color="auto"/>
              <w:right w:val="single" w:sz="6" w:space="0" w:color="auto"/>
            </w:tcBorders>
            <w:shd w:val="clear" w:color="auto" w:fill="8DB3E2"/>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Total</w:t>
            </w:r>
          </w:p>
        </w:tc>
        <w:tc>
          <w:tcPr>
            <w:tcW w:w="706" w:type="dxa"/>
            <w:vMerge/>
            <w:tcBorders>
              <w:left w:val="single" w:sz="6" w:space="0" w:color="auto"/>
              <w:bottom w:val="single" w:sz="4"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821" w:type="dxa"/>
            <w:gridSpan w:val="2"/>
            <w:vMerge/>
            <w:tcBorders>
              <w:left w:val="single" w:sz="6" w:space="0" w:color="auto"/>
              <w:bottom w:val="single" w:sz="4"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986" w:type="dxa"/>
            <w:vMerge/>
            <w:tcBorders>
              <w:left w:val="single" w:sz="6" w:space="0" w:color="auto"/>
              <w:bottom w:val="single" w:sz="4"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1274" w:type="dxa"/>
            <w:vMerge/>
            <w:tcBorders>
              <w:left w:val="single" w:sz="6" w:space="0" w:color="auto"/>
              <w:bottom w:val="single" w:sz="4"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1476" w:type="dxa"/>
            <w:gridSpan w:val="2"/>
            <w:vMerge/>
            <w:tcBorders>
              <w:left w:val="single" w:sz="6" w:space="0" w:color="auto"/>
              <w:bottom w:val="single" w:sz="4"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851" w:type="dxa"/>
            <w:tcBorders>
              <w:left w:val="single" w:sz="6" w:space="0" w:color="auto"/>
              <w:bottom w:val="single" w:sz="4" w:space="0" w:color="auto"/>
              <w:right w:val="single" w:sz="6" w:space="0" w:color="auto"/>
            </w:tcBorders>
            <w:shd w:val="clear" w:color="auto" w:fill="8DB3E2" w:themeFill="text2" w:themeFillTint="66"/>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 xml:space="preserve">Nombre de </w:t>
            </w:r>
            <w:r w:rsidR="00F77313">
              <w:rPr>
                <w:rFonts w:ascii="Arial" w:eastAsia="Times New Roman" w:hAnsi="Arial" w:cs="Arial"/>
                <w:sz w:val="16"/>
                <w:szCs w:val="16"/>
              </w:rPr>
              <w:t>repas</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Abengourou</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364</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67</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03</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74</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176</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177</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251</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121</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b/>
                <w:bCs/>
                <w:sz w:val="16"/>
                <w:szCs w:val="16"/>
              </w:rPr>
              <w:t>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Abidjan</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9740</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1985</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60</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2144</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2446</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30</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07</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2483</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4628</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3246</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Aboisso</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450</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55</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71</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151</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152</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223</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150</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Adzopé</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221</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49</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55</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85</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02</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87</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140</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73</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Agboville</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361</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w:t>
            </w:r>
            <w:r w:rsidRPr="00212184">
              <w:rPr>
                <w:rFonts w:ascii="Arial" w:eastAsia="Times New Roman" w:hAnsi="Arial" w:cs="Arial"/>
                <w:sz w:val="16"/>
                <w:szCs w:val="16"/>
              </w:rPr>
              <w:t>3</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35</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75</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rPr>
                <w:rFonts w:ascii="Arial" w:eastAsia="Times New Roman" w:hAnsi="Arial" w:cs="Arial"/>
                <w:sz w:val="16"/>
                <w:szCs w:val="16"/>
              </w:rPr>
            </w:pPr>
            <w:r>
              <w:rPr>
                <w:rFonts w:ascii="Arial" w:eastAsia="Times New Roman" w:hAnsi="Arial" w:cs="Arial"/>
                <w:sz w:val="16"/>
                <w:szCs w:val="16"/>
              </w:rPr>
              <w:t>76</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111</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120</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Sous 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Bondoukou</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167</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45</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04</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50</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102</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03</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105</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155</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55</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Bongouanou</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485</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22</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22</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63</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02</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65</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87</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161</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Bouaflé</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304</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152</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155</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61</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04</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65</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220</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101</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Bouaké</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404</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73</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04</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81</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310</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09</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319</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400</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134</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Eouaké c p</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542</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542</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542</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Bouna</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375</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48</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03</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53</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42</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42</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r>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95</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125</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Boundiali</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300</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44</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44</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51</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52</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96</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100</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Dabou</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197</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82</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06</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90</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108</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109</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199</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65</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Daloa</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810</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265</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24</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299</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478</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488</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787</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27</w:t>
            </w:r>
            <w:r w:rsidRPr="00212184">
              <w:rPr>
                <w:rFonts w:ascii="Arial" w:eastAsia="Times New Roman" w:hAnsi="Arial" w:cs="Arial"/>
                <w:sz w:val="16"/>
                <w:szCs w:val="16"/>
              </w:rPr>
              <w:t>0</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Danané</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500</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46</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49</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81</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05</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w:t>
            </w:r>
            <w:r w:rsidRPr="00212184">
              <w:rPr>
                <w:rFonts w:ascii="Arial" w:eastAsia="Times New Roman" w:hAnsi="Arial" w:cs="Arial"/>
                <w:sz w:val="16"/>
                <w:szCs w:val="16"/>
              </w:rPr>
              <w:t>6</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r>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135</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166</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Dimbokro</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803</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54</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05</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62</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216</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01</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217</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r>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27</w:t>
            </w:r>
            <w:r w:rsidRPr="00212184">
              <w:rPr>
                <w:rFonts w:ascii="Arial" w:eastAsia="Times New Roman" w:hAnsi="Arial" w:cs="Arial"/>
                <w:sz w:val="16"/>
                <w:szCs w:val="16"/>
              </w:rPr>
              <w:t>9</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267</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Sur</w:t>
            </w:r>
            <w:r w:rsidRPr="00212184">
              <w:rPr>
                <w:rFonts w:ascii="Arial" w:eastAsia="Times New Roman" w:hAnsi="Arial" w:cs="Arial"/>
                <w:sz w:val="16"/>
                <w:szCs w:val="16"/>
              </w:rPr>
              <w:t xml:space="preserve"> 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Pr>
                <w:rFonts w:ascii="Arial" w:eastAsia="Times New Roman" w:hAnsi="Arial" w:cs="Arial"/>
                <w:sz w:val="16"/>
                <w:szCs w:val="16"/>
              </w:rPr>
              <w:t>Dimbokro mc</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32</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32</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32</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Divo</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424</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68</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01</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73</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97</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97</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170</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141</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lastRenderedPageBreak/>
              <w:t>Gagnoa</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324</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87</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92</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146</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149</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01</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242</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108</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Gd-Bassam</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491</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38</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39</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82</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02</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84</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123</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163</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Katiola</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410</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27</w:t>
            </w:r>
          </w:p>
        </w:tc>
        <w:tc>
          <w:tcPr>
            <w:tcW w:w="9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28</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54</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54</w:t>
            </w:r>
          </w:p>
        </w:tc>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w:t>
            </w:r>
            <w:r>
              <w:rPr>
                <w:rFonts w:ascii="Arial" w:eastAsia="Times New Roman" w:hAnsi="Arial" w:cs="Arial"/>
                <w:sz w:val="16"/>
                <w:szCs w:val="16"/>
              </w:rPr>
              <w:t>0</w:t>
            </w:r>
          </w:p>
        </w:tc>
        <w:tc>
          <w:tcPr>
            <w:tcW w:w="8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82</w:t>
            </w:r>
          </w:p>
        </w:tc>
        <w:tc>
          <w:tcPr>
            <w:tcW w:w="98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136</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4"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Korhogo</w:t>
            </w:r>
          </w:p>
        </w:tc>
        <w:tc>
          <w:tcPr>
            <w:tcW w:w="849"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250</w:t>
            </w:r>
          </w:p>
        </w:tc>
        <w:tc>
          <w:tcPr>
            <w:tcW w:w="985"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148</w:t>
            </w:r>
          </w:p>
        </w:tc>
        <w:tc>
          <w:tcPr>
            <w:tcW w:w="986" w:type="dxa"/>
            <w:gridSpan w:val="2"/>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05</w:t>
            </w:r>
          </w:p>
        </w:tc>
        <w:tc>
          <w:tcPr>
            <w:tcW w:w="850"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15</w:t>
            </w:r>
          </w:p>
        </w:tc>
        <w:tc>
          <w:tcPr>
            <w:tcW w:w="706"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168</w:t>
            </w:r>
          </w:p>
        </w:tc>
        <w:tc>
          <w:tcPr>
            <w:tcW w:w="994"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115</w:t>
            </w:r>
          </w:p>
        </w:tc>
        <w:tc>
          <w:tcPr>
            <w:tcW w:w="994" w:type="dxa"/>
            <w:gridSpan w:val="2"/>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03</w:t>
            </w:r>
          </w:p>
        </w:tc>
        <w:tc>
          <w:tcPr>
            <w:tcW w:w="835"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158</w:t>
            </w:r>
          </w:p>
        </w:tc>
        <w:tc>
          <w:tcPr>
            <w:tcW w:w="706"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326</w:t>
            </w:r>
          </w:p>
        </w:tc>
        <w:tc>
          <w:tcPr>
            <w:tcW w:w="986"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83</w:t>
            </w:r>
          </w:p>
        </w:tc>
        <w:tc>
          <w:tcPr>
            <w:tcW w:w="1274"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616" w:type="dxa"/>
            <w:tcBorders>
              <w:top w:val="single" w:sz="4"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4"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Lakota</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365</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32</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32</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42</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121</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Man</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750</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251</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09</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12</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272</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307</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06</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313</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585</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250</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M'Bahiakro</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150</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18</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18</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20</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50</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Odienné</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375</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14</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15</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42</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42</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57</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125</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Oumé</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206</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07</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03</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11</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45</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45</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56</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68</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Sassandra</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200</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126</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06</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134</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198</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199</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334</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66</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Séquéla</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250</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50</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03</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53</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79</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79</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132</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83</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Soubré</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256</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89</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91</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53</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153</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244</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85</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Tabou</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163</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43</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47</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98</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99</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46</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54</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Surpeuplé</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Touba</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250</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13</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01</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02</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16</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24</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02</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26</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42</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83</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Tiassalé</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352</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55</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04</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59</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49</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49</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108</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117</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Sous 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DBE5F1"/>
            <w:vAlign w:val="center"/>
          </w:tcPr>
          <w:p w:rsidR="00F14DBE" w:rsidRPr="00212184" w:rsidRDefault="00F14DBE" w:rsidP="001A1EE5">
            <w:pPr>
              <w:spacing w:before="60" w:after="60" w:line="276" w:lineRule="auto"/>
              <w:rPr>
                <w:rFonts w:ascii="Arial" w:eastAsia="Times New Roman" w:hAnsi="Arial" w:cs="Arial"/>
                <w:sz w:val="16"/>
                <w:szCs w:val="16"/>
              </w:rPr>
            </w:pPr>
            <w:r w:rsidRPr="00212184">
              <w:rPr>
                <w:rFonts w:ascii="Arial" w:eastAsia="Times New Roman" w:hAnsi="Arial" w:cs="Arial"/>
                <w:sz w:val="16"/>
                <w:szCs w:val="16"/>
              </w:rPr>
              <w:t>Toumodi</w:t>
            </w:r>
          </w:p>
        </w:tc>
        <w:tc>
          <w:tcPr>
            <w:tcW w:w="849"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308</w:t>
            </w:r>
          </w:p>
        </w:tc>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119</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03</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07</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129</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115</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04</w:t>
            </w:r>
          </w:p>
        </w:tc>
        <w:tc>
          <w:tcPr>
            <w:tcW w:w="835"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7"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119</w:t>
            </w:r>
          </w:p>
        </w:tc>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01</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249</w:t>
            </w:r>
          </w:p>
        </w:tc>
        <w:tc>
          <w:tcPr>
            <w:tcW w:w="98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102</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sidRPr="00212184">
              <w:rPr>
                <w:rFonts w:ascii="Arial" w:eastAsia="Times New Roman" w:hAnsi="Arial" w:cs="Arial"/>
                <w:sz w:val="16"/>
                <w:szCs w:val="16"/>
              </w:rPr>
              <w:t>surpeuplée</w:t>
            </w:r>
          </w:p>
        </w:tc>
        <w:tc>
          <w:tcPr>
            <w:tcW w:w="860"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616" w:type="dxa"/>
            <w:tcBorders>
              <w:top w:val="single" w:sz="6" w:space="0" w:color="auto"/>
              <w:left w:val="single" w:sz="6" w:space="0" w:color="auto"/>
              <w:bottom w:val="single" w:sz="6" w:space="0" w:color="auto"/>
              <w:right w:val="single" w:sz="6" w:space="0" w:color="auto"/>
            </w:tcBorders>
            <w:shd w:val="clear" w:color="auto" w:fill="FFFFFF"/>
            <w:vAlign w:val="center"/>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00</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14DBE" w:rsidRPr="00212184" w:rsidRDefault="00F14DBE">
            <w:pPr>
              <w:spacing w:before="60" w:after="60" w:line="276" w:lineRule="auto"/>
              <w:jc w:val="center"/>
              <w:rPr>
                <w:rFonts w:ascii="Arial" w:eastAsia="Times New Roman" w:hAnsi="Arial" w:cs="Arial"/>
                <w:sz w:val="16"/>
                <w:szCs w:val="16"/>
              </w:rPr>
            </w:pPr>
            <w:r>
              <w:rPr>
                <w:rFonts w:ascii="Arial" w:eastAsia="Times New Roman" w:hAnsi="Arial" w:cs="Arial"/>
                <w:sz w:val="16"/>
                <w:szCs w:val="16"/>
              </w:rPr>
              <w:t>2</w:t>
            </w:r>
          </w:p>
        </w:tc>
      </w:tr>
      <w:tr w:rsidR="00F14DBE" w:rsidRPr="00212184" w:rsidTr="00F14DBE">
        <w:trPr>
          <w:trHeight w:val="57"/>
        </w:trPr>
        <w:tc>
          <w:tcPr>
            <w:tcW w:w="1295" w:type="dxa"/>
            <w:gridSpan w:val="2"/>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rsidP="001A1EE5">
            <w:pPr>
              <w:spacing w:before="60" w:after="60" w:line="276" w:lineRule="auto"/>
              <w:jc w:val="center"/>
              <w:rPr>
                <w:rFonts w:ascii="Arial" w:eastAsia="Times New Roman" w:hAnsi="Arial" w:cs="Arial"/>
                <w:b/>
                <w:sz w:val="16"/>
                <w:szCs w:val="16"/>
              </w:rPr>
            </w:pPr>
            <w:r w:rsidRPr="00212184">
              <w:rPr>
                <w:rFonts w:ascii="Arial" w:eastAsia="Times New Roman" w:hAnsi="Arial" w:cs="Arial"/>
                <w:b/>
                <w:sz w:val="16"/>
                <w:szCs w:val="16"/>
              </w:rPr>
              <w:t>TOTAL</w:t>
            </w:r>
          </w:p>
        </w:tc>
        <w:tc>
          <w:tcPr>
            <w:tcW w:w="849"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sidRPr="00212184">
              <w:rPr>
                <w:rFonts w:ascii="Arial" w:eastAsia="Times New Roman" w:hAnsi="Arial" w:cs="Arial"/>
                <w:b/>
                <w:sz w:val="16"/>
                <w:szCs w:val="16"/>
              </w:rPr>
              <w:t>21005</w:t>
            </w:r>
          </w:p>
        </w:tc>
        <w:tc>
          <w:tcPr>
            <w:tcW w:w="985"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4167</w:t>
            </w:r>
          </w:p>
        </w:tc>
        <w:tc>
          <w:tcPr>
            <w:tcW w:w="986" w:type="dxa"/>
            <w:gridSpan w:val="2"/>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179</w:t>
            </w:r>
          </w:p>
        </w:tc>
        <w:tc>
          <w:tcPr>
            <w:tcW w:w="850"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175</w:t>
            </w:r>
          </w:p>
        </w:tc>
        <w:tc>
          <w:tcPr>
            <w:tcW w:w="706"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4521</w:t>
            </w:r>
          </w:p>
        </w:tc>
        <w:tc>
          <w:tcPr>
            <w:tcW w:w="994"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6713</w:t>
            </w:r>
          </w:p>
        </w:tc>
        <w:tc>
          <w:tcPr>
            <w:tcW w:w="994" w:type="dxa"/>
            <w:gridSpan w:val="2"/>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91</w:t>
            </w:r>
          </w:p>
        </w:tc>
        <w:tc>
          <w:tcPr>
            <w:tcW w:w="835"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09</w:t>
            </w:r>
          </w:p>
        </w:tc>
        <w:tc>
          <w:tcPr>
            <w:tcW w:w="857"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6813</w:t>
            </w:r>
          </w:p>
        </w:tc>
        <w:tc>
          <w:tcPr>
            <w:tcW w:w="706"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sidRPr="00212184">
              <w:rPr>
                <w:rFonts w:ascii="Arial" w:eastAsia="Times New Roman" w:hAnsi="Arial" w:cs="Arial"/>
                <w:b/>
                <w:sz w:val="16"/>
                <w:szCs w:val="16"/>
              </w:rPr>
              <w:t>04</w:t>
            </w:r>
          </w:p>
        </w:tc>
        <w:tc>
          <w:tcPr>
            <w:tcW w:w="821" w:type="dxa"/>
            <w:gridSpan w:val="2"/>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11338</w:t>
            </w:r>
          </w:p>
        </w:tc>
        <w:tc>
          <w:tcPr>
            <w:tcW w:w="986"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6989</w:t>
            </w:r>
          </w:p>
        </w:tc>
        <w:tc>
          <w:tcPr>
            <w:tcW w:w="1274"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p>
        </w:tc>
        <w:tc>
          <w:tcPr>
            <w:tcW w:w="860"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01</w:t>
            </w:r>
          </w:p>
        </w:tc>
        <w:tc>
          <w:tcPr>
            <w:tcW w:w="616" w:type="dxa"/>
            <w:tcBorders>
              <w:top w:val="single" w:sz="6" w:space="0" w:color="auto"/>
              <w:left w:val="single" w:sz="6" w:space="0" w:color="auto"/>
              <w:bottom w:val="single" w:sz="6" w:space="0" w:color="auto"/>
              <w:right w:val="single" w:sz="6" w:space="0" w:color="auto"/>
            </w:tcBorders>
            <w:shd w:val="clear" w:color="auto" w:fill="FFC000"/>
            <w:vAlign w:val="center"/>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12</w:t>
            </w:r>
          </w:p>
        </w:tc>
        <w:tc>
          <w:tcPr>
            <w:tcW w:w="851" w:type="dxa"/>
            <w:tcBorders>
              <w:top w:val="single" w:sz="6" w:space="0" w:color="auto"/>
              <w:left w:val="single" w:sz="6" w:space="0" w:color="auto"/>
              <w:bottom w:val="single" w:sz="6" w:space="0" w:color="auto"/>
              <w:right w:val="single" w:sz="6" w:space="0" w:color="auto"/>
            </w:tcBorders>
            <w:shd w:val="clear" w:color="auto" w:fill="FFC000"/>
          </w:tcPr>
          <w:p w:rsidR="00F14DBE" w:rsidRPr="00212184" w:rsidRDefault="00F14DBE">
            <w:pPr>
              <w:spacing w:before="60" w:after="60" w:line="276" w:lineRule="auto"/>
              <w:jc w:val="center"/>
              <w:rPr>
                <w:rFonts w:ascii="Arial" w:eastAsia="Times New Roman" w:hAnsi="Arial" w:cs="Arial"/>
                <w:b/>
                <w:sz w:val="16"/>
                <w:szCs w:val="16"/>
              </w:rPr>
            </w:pPr>
            <w:r>
              <w:rPr>
                <w:rFonts w:ascii="Arial" w:eastAsia="Times New Roman" w:hAnsi="Arial" w:cs="Arial"/>
                <w:b/>
                <w:sz w:val="16"/>
                <w:szCs w:val="16"/>
              </w:rPr>
              <w:t>71</w:t>
            </w:r>
          </w:p>
        </w:tc>
      </w:tr>
      <w:tr w:rsidR="00F14DBE" w:rsidRPr="00212184" w:rsidTr="00F14DBE">
        <w:tblPrEx>
          <w:tblCellMar>
            <w:left w:w="108" w:type="dxa"/>
            <w:right w:w="108" w:type="dxa"/>
          </w:tblCellMar>
          <w:tblLook w:val="04A0" w:firstRow="1" w:lastRow="0" w:firstColumn="1" w:lastColumn="0" w:noHBand="0" w:noVBand="1"/>
        </w:tblPrEx>
        <w:trPr>
          <w:gridBefore w:val="1"/>
          <w:gridAfter w:val="6"/>
          <w:wBefore w:w="743" w:type="dxa"/>
          <w:wAfter w:w="5100" w:type="dxa"/>
        </w:trPr>
        <w:tc>
          <w:tcPr>
            <w:tcW w:w="3128" w:type="dxa"/>
            <w:gridSpan w:val="4"/>
            <w:vAlign w:val="center"/>
          </w:tcPr>
          <w:p w:rsidR="002E7238" w:rsidRDefault="00F14DBE" w:rsidP="00304045">
            <w:pPr>
              <w:shd w:val="clear" w:color="auto" w:fill="FFFFFF"/>
              <w:spacing w:after="0" w:line="276" w:lineRule="auto"/>
              <w:rPr>
                <w:rFonts w:ascii="Garamond" w:eastAsia="Times New Roman" w:hAnsi="Garamond" w:cs="Garamond"/>
                <w:color w:val="000000"/>
                <w:spacing w:val="11"/>
                <w:sz w:val="24"/>
                <w:szCs w:val="16"/>
              </w:rPr>
            </w:pPr>
            <w:r w:rsidRPr="00212184">
              <w:rPr>
                <w:rFonts w:ascii="Garamond" w:eastAsia="Times New Roman" w:hAnsi="Garamond" w:cs="Garamond"/>
                <w:color w:val="000000"/>
                <w:spacing w:val="11"/>
                <w:sz w:val="24"/>
                <w:szCs w:val="16"/>
              </w:rPr>
              <w:t>Pr</w:t>
            </w:r>
            <w:r w:rsidRPr="00212184">
              <w:rPr>
                <w:rFonts w:ascii="Garamond" w:eastAsia="Times New Roman" w:hAnsi="Garamond" w:cs="Times New Roman"/>
                <w:color w:val="000000"/>
                <w:spacing w:val="11"/>
                <w:sz w:val="24"/>
                <w:szCs w:val="16"/>
              </w:rPr>
              <w:t>é</w:t>
            </w:r>
            <w:r>
              <w:rPr>
                <w:rFonts w:ascii="Garamond" w:eastAsia="Times New Roman" w:hAnsi="Garamond" w:cs="Garamond"/>
                <w:color w:val="000000"/>
                <w:spacing w:val="11"/>
                <w:sz w:val="24"/>
                <w:szCs w:val="16"/>
              </w:rPr>
              <w:t xml:space="preserve">venus hommes </w:t>
            </w:r>
          </w:p>
          <w:p w:rsidR="00F14DBE" w:rsidRPr="00212184" w:rsidRDefault="00F14DBE" w:rsidP="00304045">
            <w:pPr>
              <w:shd w:val="clear" w:color="auto" w:fill="FFFFFF"/>
              <w:spacing w:after="0" w:line="276" w:lineRule="auto"/>
              <w:rPr>
                <w:rFonts w:ascii="Garamond" w:eastAsia="Times New Roman" w:hAnsi="Garamond" w:cs="Garamond"/>
                <w:color w:val="000000"/>
                <w:spacing w:val="11"/>
                <w:sz w:val="24"/>
                <w:szCs w:val="16"/>
              </w:rPr>
            </w:pPr>
            <w:r>
              <w:rPr>
                <w:rFonts w:ascii="Garamond" w:eastAsia="Times New Roman" w:hAnsi="Garamond" w:cs="Garamond"/>
                <w:color w:val="000000"/>
                <w:spacing w:val="11"/>
                <w:sz w:val="24"/>
                <w:szCs w:val="16"/>
              </w:rPr>
              <w:t>4167= 92,17</w:t>
            </w:r>
            <w:r w:rsidRPr="00212184">
              <w:rPr>
                <w:rFonts w:ascii="Garamond" w:eastAsia="Times New Roman" w:hAnsi="Garamond" w:cs="Garamond"/>
                <w:color w:val="000000"/>
                <w:spacing w:val="11"/>
                <w:sz w:val="24"/>
                <w:szCs w:val="16"/>
              </w:rPr>
              <w:t xml:space="preserve"> % </w:t>
            </w:r>
          </w:p>
          <w:p w:rsidR="002E7238" w:rsidRDefault="00F14DBE" w:rsidP="00304045">
            <w:pPr>
              <w:shd w:val="clear" w:color="auto" w:fill="FFFFFF"/>
              <w:spacing w:after="0" w:line="276" w:lineRule="auto"/>
              <w:rPr>
                <w:rFonts w:ascii="Garamond" w:eastAsia="Times New Roman" w:hAnsi="Garamond" w:cs="Garamond"/>
                <w:color w:val="000000"/>
                <w:spacing w:val="13"/>
                <w:sz w:val="24"/>
                <w:szCs w:val="16"/>
              </w:rPr>
            </w:pPr>
            <w:r w:rsidRPr="00212184">
              <w:rPr>
                <w:rFonts w:ascii="Garamond" w:eastAsia="Times New Roman" w:hAnsi="Garamond" w:cs="Garamond"/>
                <w:color w:val="000000"/>
                <w:spacing w:val="13"/>
                <w:sz w:val="24"/>
                <w:szCs w:val="16"/>
              </w:rPr>
              <w:t>Pr</w:t>
            </w:r>
            <w:r w:rsidRPr="00212184">
              <w:rPr>
                <w:rFonts w:ascii="Garamond" w:eastAsia="Times New Roman" w:hAnsi="Garamond" w:cs="Times New Roman"/>
                <w:color w:val="000000"/>
                <w:spacing w:val="13"/>
                <w:sz w:val="24"/>
                <w:szCs w:val="16"/>
              </w:rPr>
              <w:t>é</w:t>
            </w:r>
            <w:r>
              <w:rPr>
                <w:rFonts w:ascii="Garamond" w:eastAsia="Times New Roman" w:hAnsi="Garamond" w:cs="Garamond"/>
                <w:color w:val="000000"/>
                <w:spacing w:val="13"/>
                <w:sz w:val="24"/>
                <w:szCs w:val="16"/>
              </w:rPr>
              <w:t xml:space="preserve">venus femmes </w:t>
            </w:r>
          </w:p>
          <w:p w:rsidR="00F14DBE" w:rsidRPr="00212184" w:rsidRDefault="00F14DBE" w:rsidP="00304045">
            <w:pPr>
              <w:shd w:val="clear" w:color="auto" w:fill="FFFFFF"/>
              <w:spacing w:after="0" w:line="276" w:lineRule="auto"/>
              <w:rPr>
                <w:rFonts w:ascii="Garamond" w:eastAsia="Times New Roman" w:hAnsi="Garamond" w:cs="Garamond"/>
                <w:color w:val="000000"/>
                <w:spacing w:val="13"/>
                <w:sz w:val="24"/>
                <w:szCs w:val="16"/>
              </w:rPr>
            </w:pPr>
            <w:r>
              <w:rPr>
                <w:rFonts w:ascii="Garamond" w:eastAsia="Times New Roman" w:hAnsi="Garamond" w:cs="Garamond"/>
                <w:color w:val="000000"/>
                <w:spacing w:val="13"/>
                <w:sz w:val="24"/>
                <w:szCs w:val="16"/>
              </w:rPr>
              <w:t>179= 3,96</w:t>
            </w:r>
            <w:r w:rsidRPr="00212184">
              <w:rPr>
                <w:rFonts w:ascii="Garamond" w:eastAsia="Times New Roman" w:hAnsi="Garamond" w:cs="Garamond"/>
                <w:color w:val="000000"/>
                <w:spacing w:val="13"/>
                <w:sz w:val="24"/>
                <w:szCs w:val="16"/>
              </w:rPr>
              <w:t xml:space="preserve">% </w:t>
            </w:r>
          </w:p>
          <w:p w:rsidR="002E7238" w:rsidRDefault="00F14DBE" w:rsidP="00304045">
            <w:pPr>
              <w:shd w:val="clear" w:color="auto" w:fill="FFFFFF"/>
              <w:spacing w:after="0" w:line="276" w:lineRule="auto"/>
              <w:rPr>
                <w:rFonts w:ascii="Garamond" w:eastAsia="Times New Roman" w:hAnsi="Garamond" w:cs="Garamond"/>
                <w:color w:val="000000"/>
                <w:spacing w:val="12"/>
                <w:sz w:val="24"/>
                <w:szCs w:val="16"/>
              </w:rPr>
            </w:pPr>
            <w:r w:rsidRPr="00212184">
              <w:rPr>
                <w:rFonts w:ascii="Garamond" w:eastAsia="Times New Roman" w:hAnsi="Garamond" w:cs="Garamond"/>
                <w:color w:val="000000"/>
                <w:spacing w:val="12"/>
                <w:sz w:val="24"/>
                <w:szCs w:val="16"/>
              </w:rPr>
              <w:t>Pr</w:t>
            </w:r>
            <w:r w:rsidRPr="00212184">
              <w:rPr>
                <w:rFonts w:ascii="Garamond" w:eastAsia="Times New Roman" w:hAnsi="Garamond" w:cs="Times New Roman"/>
                <w:color w:val="000000"/>
                <w:spacing w:val="12"/>
                <w:sz w:val="24"/>
                <w:szCs w:val="16"/>
              </w:rPr>
              <w:t>é</w:t>
            </w:r>
            <w:r>
              <w:rPr>
                <w:rFonts w:ascii="Garamond" w:eastAsia="Times New Roman" w:hAnsi="Garamond" w:cs="Garamond"/>
                <w:color w:val="000000"/>
                <w:spacing w:val="12"/>
                <w:sz w:val="24"/>
                <w:szCs w:val="16"/>
              </w:rPr>
              <w:t xml:space="preserve">venus mineurs </w:t>
            </w:r>
          </w:p>
          <w:p w:rsidR="00F14DBE" w:rsidRPr="00212184" w:rsidRDefault="00F14DBE" w:rsidP="00304045">
            <w:pPr>
              <w:shd w:val="clear" w:color="auto" w:fill="FFFFFF"/>
              <w:spacing w:after="0" w:line="276" w:lineRule="auto"/>
              <w:rPr>
                <w:rFonts w:ascii="Garamond" w:eastAsia="Times New Roman" w:hAnsi="Garamond" w:cs="Garamond"/>
                <w:color w:val="000000"/>
                <w:spacing w:val="12"/>
                <w:sz w:val="24"/>
                <w:szCs w:val="16"/>
              </w:rPr>
            </w:pPr>
            <w:r>
              <w:rPr>
                <w:rFonts w:ascii="Garamond" w:eastAsia="Times New Roman" w:hAnsi="Garamond" w:cs="Garamond"/>
                <w:color w:val="000000"/>
                <w:spacing w:val="12"/>
                <w:sz w:val="24"/>
                <w:szCs w:val="16"/>
              </w:rPr>
              <w:t>175= 3,87</w:t>
            </w:r>
            <w:r w:rsidRPr="00212184">
              <w:rPr>
                <w:rFonts w:ascii="Garamond" w:eastAsia="Times New Roman" w:hAnsi="Garamond" w:cs="Garamond"/>
                <w:color w:val="000000"/>
                <w:spacing w:val="12"/>
                <w:sz w:val="24"/>
                <w:szCs w:val="16"/>
              </w:rPr>
              <w:t xml:space="preserve"> % </w:t>
            </w:r>
          </w:p>
          <w:p w:rsidR="002E7238" w:rsidRDefault="00F14DBE" w:rsidP="00304045">
            <w:pPr>
              <w:shd w:val="clear" w:color="auto" w:fill="FFFFFF"/>
              <w:spacing w:after="0" w:line="276" w:lineRule="auto"/>
              <w:rPr>
                <w:rFonts w:ascii="Garamond" w:eastAsia="Times New Roman" w:hAnsi="Garamond" w:cs="Garamond"/>
                <w:color w:val="000000"/>
                <w:spacing w:val="12"/>
                <w:sz w:val="24"/>
                <w:szCs w:val="16"/>
              </w:rPr>
            </w:pPr>
            <w:r w:rsidRPr="00212184">
              <w:rPr>
                <w:rFonts w:ascii="Garamond" w:eastAsia="Times New Roman" w:hAnsi="Garamond" w:cs="Garamond"/>
                <w:color w:val="000000"/>
                <w:spacing w:val="12"/>
                <w:sz w:val="24"/>
                <w:szCs w:val="16"/>
              </w:rPr>
              <w:t>Total pr</w:t>
            </w:r>
            <w:r w:rsidRPr="00212184">
              <w:rPr>
                <w:rFonts w:ascii="Garamond" w:eastAsia="Times New Roman" w:hAnsi="Garamond" w:cs="Times New Roman"/>
                <w:color w:val="000000"/>
                <w:spacing w:val="12"/>
                <w:sz w:val="24"/>
                <w:szCs w:val="16"/>
              </w:rPr>
              <w:t>é</w:t>
            </w:r>
            <w:r>
              <w:rPr>
                <w:rFonts w:ascii="Garamond" w:eastAsia="Times New Roman" w:hAnsi="Garamond" w:cs="Garamond"/>
                <w:color w:val="000000"/>
                <w:spacing w:val="12"/>
                <w:sz w:val="24"/>
                <w:szCs w:val="16"/>
              </w:rPr>
              <w:t xml:space="preserve">venus </w:t>
            </w:r>
          </w:p>
          <w:p w:rsidR="00F14DBE" w:rsidRPr="00212184" w:rsidRDefault="00F14DBE" w:rsidP="00304045">
            <w:pPr>
              <w:shd w:val="clear" w:color="auto" w:fill="FFFFFF"/>
              <w:spacing w:after="0" w:line="276" w:lineRule="auto"/>
              <w:rPr>
                <w:rFonts w:ascii="Garamond" w:eastAsia="Times New Roman" w:hAnsi="Garamond" w:cs="Garamond"/>
                <w:sz w:val="24"/>
                <w:szCs w:val="24"/>
              </w:rPr>
            </w:pPr>
            <w:r>
              <w:rPr>
                <w:rFonts w:ascii="Garamond" w:eastAsia="Times New Roman" w:hAnsi="Garamond" w:cs="Garamond"/>
                <w:color w:val="000000"/>
                <w:spacing w:val="12"/>
                <w:sz w:val="24"/>
                <w:szCs w:val="16"/>
              </w:rPr>
              <w:t>4521 = 39,87</w:t>
            </w:r>
            <w:r w:rsidRPr="00212184">
              <w:rPr>
                <w:rFonts w:ascii="Garamond" w:eastAsia="Times New Roman" w:hAnsi="Garamond" w:cs="Garamond"/>
                <w:color w:val="000000"/>
                <w:spacing w:val="12"/>
                <w:sz w:val="24"/>
                <w:szCs w:val="16"/>
              </w:rPr>
              <w:t>%</w:t>
            </w:r>
          </w:p>
        </w:tc>
        <w:tc>
          <w:tcPr>
            <w:tcW w:w="3253" w:type="dxa"/>
            <w:gridSpan w:val="5"/>
            <w:vAlign w:val="center"/>
          </w:tcPr>
          <w:p w:rsidR="002E7238" w:rsidRDefault="00F14DBE" w:rsidP="001A1EE5">
            <w:pPr>
              <w:spacing w:after="0" w:line="276" w:lineRule="auto"/>
              <w:rPr>
                <w:rFonts w:ascii="Garamond" w:eastAsia="Times New Roman" w:hAnsi="Garamond" w:cs="Garamond"/>
                <w:color w:val="000000"/>
                <w:spacing w:val="12"/>
                <w:sz w:val="24"/>
                <w:szCs w:val="16"/>
              </w:rPr>
            </w:pPr>
            <w:r w:rsidRPr="00212184">
              <w:rPr>
                <w:rFonts w:ascii="Garamond" w:eastAsia="Times New Roman" w:hAnsi="Garamond" w:cs="Garamond"/>
                <w:color w:val="000000"/>
                <w:spacing w:val="12"/>
                <w:sz w:val="24"/>
                <w:szCs w:val="16"/>
              </w:rPr>
              <w:t>Condamn</w:t>
            </w:r>
            <w:r w:rsidRPr="00212184">
              <w:rPr>
                <w:rFonts w:ascii="Garamond" w:eastAsia="Times New Roman" w:hAnsi="Garamond" w:cs="Times New Roman"/>
                <w:color w:val="000000"/>
                <w:spacing w:val="12"/>
                <w:sz w:val="24"/>
                <w:szCs w:val="16"/>
              </w:rPr>
              <w:t>é</w:t>
            </w:r>
            <w:r>
              <w:rPr>
                <w:rFonts w:ascii="Garamond" w:eastAsia="Times New Roman" w:hAnsi="Garamond" w:cs="Garamond"/>
                <w:color w:val="000000"/>
                <w:spacing w:val="12"/>
                <w:sz w:val="24"/>
                <w:szCs w:val="16"/>
              </w:rPr>
              <w:t xml:space="preserve">s hommes </w:t>
            </w:r>
          </w:p>
          <w:p w:rsidR="00F14DBE" w:rsidRPr="00212184" w:rsidRDefault="00F14DBE" w:rsidP="001A1EE5">
            <w:pPr>
              <w:spacing w:after="0" w:line="276" w:lineRule="auto"/>
              <w:rPr>
                <w:rFonts w:ascii="Garamond" w:eastAsia="Times New Roman" w:hAnsi="Garamond" w:cs="Garamond"/>
                <w:i/>
                <w:iCs/>
                <w:color w:val="000000"/>
                <w:spacing w:val="12"/>
                <w:sz w:val="24"/>
                <w:szCs w:val="16"/>
              </w:rPr>
            </w:pPr>
            <w:r>
              <w:rPr>
                <w:rFonts w:ascii="Garamond" w:eastAsia="Times New Roman" w:hAnsi="Garamond" w:cs="Garamond"/>
                <w:color w:val="000000"/>
                <w:spacing w:val="12"/>
                <w:sz w:val="24"/>
                <w:szCs w:val="16"/>
              </w:rPr>
              <w:t>6713= 98,53</w:t>
            </w:r>
            <w:r w:rsidRPr="00212184">
              <w:rPr>
                <w:rFonts w:ascii="Garamond" w:eastAsia="Times New Roman" w:hAnsi="Garamond" w:cs="Garamond"/>
                <w:color w:val="000000"/>
                <w:spacing w:val="12"/>
                <w:sz w:val="24"/>
                <w:szCs w:val="16"/>
              </w:rPr>
              <w:t xml:space="preserve"> </w:t>
            </w:r>
            <w:r w:rsidRPr="00212184">
              <w:rPr>
                <w:rFonts w:ascii="Garamond" w:eastAsia="Times New Roman" w:hAnsi="Garamond" w:cs="Garamond"/>
                <w:i/>
                <w:iCs/>
                <w:color w:val="000000"/>
                <w:spacing w:val="12"/>
                <w:sz w:val="24"/>
                <w:szCs w:val="16"/>
              </w:rPr>
              <w:t xml:space="preserve">% </w:t>
            </w:r>
          </w:p>
          <w:p w:rsidR="00F14DBE" w:rsidRPr="00212184" w:rsidRDefault="00F14DBE">
            <w:pPr>
              <w:spacing w:after="0" w:line="276" w:lineRule="auto"/>
              <w:rPr>
                <w:rFonts w:ascii="Garamond" w:eastAsia="Times New Roman" w:hAnsi="Garamond" w:cs="Garamond"/>
                <w:color w:val="000000"/>
                <w:spacing w:val="14"/>
                <w:sz w:val="24"/>
                <w:szCs w:val="16"/>
              </w:rPr>
            </w:pPr>
            <w:r w:rsidRPr="00212184">
              <w:rPr>
                <w:rFonts w:ascii="Garamond" w:eastAsia="Times New Roman" w:hAnsi="Garamond" w:cs="Garamond"/>
                <w:color w:val="000000"/>
                <w:spacing w:val="14"/>
                <w:sz w:val="24"/>
                <w:szCs w:val="16"/>
              </w:rPr>
              <w:t>Condamn</w:t>
            </w:r>
            <w:r w:rsidRPr="00212184">
              <w:rPr>
                <w:rFonts w:ascii="Garamond" w:eastAsia="Times New Roman" w:hAnsi="Garamond" w:cs="Times New Roman"/>
                <w:color w:val="000000"/>
                <w:spacing w:val="14"/>
                <w:sz w:val="24"/>
                <w:szCs w:val="16"/>
              </w:rPr>
              <w:t>é</w:t>
            </w:r>
            <w:r>
              <w:rPr>
                <w:rFonts w:ascii="Garamond" w:eastAsia="Times New Roman" w:hAnsi="Garamond" w:cs="Garamond"/>
                <w:color w:val="000000"/>
                <w:spacing w:val="14"/>
                <w:sz w:val="24"/>
                <w:szCs w:val="16"/>
              </w:rPr>
              <w:t>s femmes  91=1,34</w:t>
            </w:r>
            <w:r w:rsidRPr="00212184">
              <w:rPr>
                <w:rFonts w:ascii="Garamond" w:eastAsia="Times New Roman" w:hAnsi="Garamond" w:cs="Garamond"/>
                <w:color w:val="000000"/>
                <w:spacing w:val="14"/>
                <w:sz w:val="24"/>
                <w:szCs w:val="16"/>
              </w:rPr>
              <w:t xml:space="preserve">% </w:t>
            </w:r>
          </w:p>
          <w:p w:rsidR="002E7238" w:rsidRDefault="00F14DBE">
            <w:pPr>
              <w:spacing w:after="0" w:line="276" w:lineRule="auto"/>
              <w:rPr>
                <w:rFonts w:ascii="Garamond" w:eastAsia="Times New Roman" w:hAnsi="Garamond" w:cs="Garamond"/>
                <w:color w:val="000000"/>
                <w:spacing w:val="14"/>
                <w:sz w:val="24"/>
                <w:szCs w:val="16"/>
              </w:rPr>
            </w:pPr>
            <w:r w:rsidRPr="00212184">
              <w:rPr>
                <w:rFonts w:ascii="Garamond" w:eastAsia="Times New Roman" w:hAnsi="Garamond" w:cs="Garamond"/>
                <w:color w:val="000000"/>
                <w:spacing w:val="14"/>
                <w:sz w:val="24"/>
                <w:szCs w:val="16"/>
              </w:rPr>
              <w:t>Condamn</w:t>
            </w:r>
            <w:r w:rsidRPr="00212184">
              <w:rPr>
                <w:rFonts w:ascii="Garamond" w:eastAsia="Times New Roman" w:hAnsi="Garamond" w:cs="Times New Roman"/>
                <w:color w:val="000000"/>
                <w:spacing w:val="14"/>
                <w:sz w:val="24"/>
                <w:szCs w:val="16"/>
              </w:rPr>
              <w:t>é</w:t>
            </w:r>
            <w:r>
              <w:rPr>
                <w:rFonts w:ascii="Garamond" w:eastAsia="Times New Roman" w:hAnsi="Garamond" w:cs="Garamond"/>
                <w:color w:val="000000"/>
                <w:spacing w:val="14"/>
                <w:sz w:val="24"/>
                <w:szCs w:val="16"/>
              </w:rPr>
              <w:t>s mineurs</w:t>
            </w:r>
          </w:p>
          <w:p w:rsidR="00F14DBE" w:rsidRPr="00212184" w:rsidRDefault="00F14DBE">
            <w:pPr>
              <w:spacing w:after="0" w:line="276" w:lineRule="auto"/>
              <w:rPr>
                <w:rFonts w:ascii="Garamond" w:eastAsia="Times New Roman" w:hAnsi="Garamond" w:cs="Garamond"/>
                <w:color w:val="000000"/>
                <w:spacing w:val="14"/>
                <w:sz w:val="24"/>
                <w:szCs w:val="16"/>
              </w:rPr>
            </w:pPr>
            <w:r>
              <w:rPr>
                <w:rFonts w:ascii="Garamond" w:eastAsia="Times New Roman" w:hAnsi="Garamond" w:cs="Garamond"/>
                <w:color w:val="000000"/>
                <w:spacing w:val="14"/>
                <w:sz w:val="24"/>
                <w:szCs w:val="16"/>
              </w:rPr>
              <w:t>09= 0,13</w:t>
            </w:r>
            <w:r w:rsidRPr="00212184">
              <w:rPr>
                <w:rFonts w:ascii="Garamond" w:eastAsia="Times New Roman" w:hAnsi="Garamond" w:cs="Garamond"/>
                <w:color w:val="000000"/>
                <w:spacing w:val="14"/>
                <w:sz w:val="24"/>
                <w:szCs w:val="16"/>
              </w:rPr>
              <w:t xml:space="preserve">% </w:t>
            </w:r>
          </w:p>
          <w:p w:rsidR="00F35C0A" w:rsidRDefault="00F14DBE" w:rsidP="00F35C0A">
            <w:pPr>
              <w:spacing w:after="0" w:line="276" w:lineRule="auto"/>
              <w:rPr>
                <w:rFonts w:ascii="Garamond" w:eastAsia="Times New Roman" w:hAnsi="Garamond" w:cs="Garamond"/>
                <w:color w:val="000000"/>
                <w:spacing w:val="13"/>
                <w:sz w:val="24"/>
                <w:szCs w:val="16"/>
              </w:rPr>
            </w:pPr>
            <w:r w:rsidRPr="00212184">
              <w:rPr>
                <w:rFonts w:ascii="Garamond" w:eastAsia="Times New Roman" w:hAnsi="Garamond" w:cs="Garamond"/>
                <w:color w:val="000000"/>
                <w:spacing w:val="13"/>
                <w:sz w:val="24"/>
                <w:szCs w:val="16"/>
              </w:rPr>
              <w:t>Total condamn</w:t>
            </w:r>
            <w:r w:rsidRPr="00212184">
              <w:rPr>
                <w:rFonts w:ascii="Garamond" w:eastAsia="Times New Roman" w:hAnsi="Garamond" w:cs="Times New Roman"/>
                <w:color w:val="000000"/>
                <w:spacing w:val="13"/>
                <w:sz w:val="24"/>
                <w:szCs w:val="16"/>
              </w:rPr>
              <w:t>é</w:t>
            </w:r>
            <w:r>
              <w:rPr>
                <w:rFonts w:ascii="Garamond" w:eastAsia="Times New Roman" w:hAnsi="Garamond" w:cs="Garamond"/>
                <w:color w:val="000000"/>
                <w:spacing w:val="13"/>
                <w:sz w:val="24"/>
                <w:szCs w:val="16"/>
              </w:rPr>
              <w:t xml:space="preserve">s </w:t>
            </w:r>
          </w:p>
          <w:p w:rsidR="00F14DBE" w:rsidRPr="00212184" w:rsidRDefault="00F14DBE" w:rsidP="00F35C0A">
            <w:pPr>
              <w:spacing w:after="0" w:line="276" w:lineRule="auto"/>
              <w:rPr>
                <w:rFonts w:ascii="Garamond" w:eastAsia="Times New Roman" w:hAnsi="Garamond" w:cs="Garamond"/>
                <w:sz w:val="24"/>
                <w:szCs w:val="24"/>
              </w:rPr>
            </w:pPr>
            <w:r>
              <w:rPr>
                <w:rFonts w:ascii="Garamond" w:eastAsia="Times New Roman" w:hAnsi="Garamond" w:cs="Garamond"/>
                <w:color w:val="000000"/>
                <w:spacing w:val="13"/>
                <w:sz w:val="24"/>
                <w:szCs w:val="16"/>
              </w:rPr>
              <w:t>6813</w:t>
            </w:r>
            <w:r w:rsidRPr="00212184">
              <w:rPr>
                <w:rFonts w:ascii="Garamond" w:eastAsia="Times New Roman" w:hAnsi="Garamond" w:cs="Garamond"/>
                <w:color w:val="000000"/>
                <w:spacing w:val="13"/>
                <w:sz w:val="24"/>
                <w:szCs w:val="16"/>
              </w:rPr>
              <w:t>= 6</w:t>
            </w:r>
            <w:r>
              <w:rPr>
                <w:rFonts w:ascii="Garamond" w:eastAsia="Times New Roman" w:hAnsi="Garamond" w:cs="Garamond"/>
                <w:color w:val="000000"/>
                <w:spacing w:val="13"/>
                <w:sz w:val="24"/>
                <w:szCs w:val="16"/>
              </w:rPr>
              <w:t>0,09</w:t>
            </w:r>
            <w:r w:rsidRPr="00212184">
              <w:rPr>
                <w:rFonts w:ascii="Garamond" w:eastAsia="Times New Roman" w:hAnsi="Garamond" w:cs="Garamond"/>
                <w:color w:val="000000"/>
                <w:spacing w:val="13"/>
                <w:sz w:val="24"/>
                <w:szCs w:val="16"/>
              </w:rPr>
              <w:t>%</w:t>
            </w:r>
          </w:p>
        </w:tc>
        <w:tc>
          <w:tcPr>
            <w:tcW w:w="3241" w:type="dxa"/>
            <w:gridSpan w:val="5"/>
            <w:vAlign w:val="center"/>
          </w:tcPr>
          <w:p w:rsidR="00F14DBE" w:rsidRPr="00212184" w:rsidRDefault="00F14DBE">
            <w:pPr>
              <w:spacing w:after="0" w:line="276" w:lineRule="auto"/>
              <w:rPr>
                <w:rFonts w:ascii="Garamond" w:eastAsia="Times New Roman" w:hAnsi="Garamond" w:cs="Garamond"/>
                <w:color w:val="000000"/>
                <w:spacing w:val="17"/>
                <w:sz w:val="24"/>
                <w:szCs w:val="16"/>
              </w:rPr>
            </w:pPr>
            <w:r>
              <w:rPr>
                <w:rFonts w:ascii="Garamond" w:eastAsia="Times New Roman" w:hAnsi="Garamond" w:cs="Garamond"/>
                <w:color w:val="000000"/>
                <w:spacing w:val="17"/>
                <w:sz w:val="24"/>
                <w:szCs w:val="16"/>
              </w:rPr>
              <w:t>Effectif total homme 10880= 95,96%</w:t>
            </w:r>
            <w:r w:rsidRPr="00212184">
              <w:rPr>
                <w:rFonts w:ascii="Garamond" w:eastAsia="Times New Roman" w:hAnsi="Garamond" w:cs="Garamond"/>
                <w:color w:val="000000"/>
                <w:spacing w:val="17"/>
                <w:sz w:val="24"/>
                <w:szCs w:val="16"/>
              </w:rPr>
              <w:t xml:space="preserve"> </w:t>
            </w:r>
          </w:p>
          <w:p w:rsidR="00F35C0A" w:rsidRDefault="00F14DBE">
            <w:pPr>
              <w:spacing w:after="0" w:line="276" w:lineRule="auto"/>
              <w:rPr>
                <w:rFonts w:ascii="Garamond" w:eastAsia="Times New Roman" w:hAnsi="Garamond" w:cs="Garamond"/>
                <w:color w:val="000000"/>
                <w:spacing w:val="18"/>
                <w:sz w:val="24"/>
                <w:szCs w:val="16"/>
              </w:rPr>
            </w:pPr>
            <w:r>
              <w:rPr>
                <w:rFonts w:ascii="Garamond" w:eastAsia="Times New Roman" w:hAnsi="Garamond" w:cs="Garamond"/>
                <w:color w:val="000000"/>
                <w:spacing w:val="18"/>
                <w:sz w:val="24"/>
                <w:szCs w:val="16"/>
              </w:rPr>
              <w:t xml:space="preserve">Effectif total femme </w:t>
            </w:r>
          </w:p>
          <w:p w:rsidR="00F14DBE" w:rsidRPr="00212184" w:rsidRDefault="00F14DBE">
            <w:pPr>
              <w:spacing w:after="0" w:line="276" w:lineRule="auto"/>
              <w:rPr>
                <w:rFonts w:ascii="Garamond" w:eastAsia="Times New Roman" w:hAnsi="Garamond" w:cs="Garamond"/>
                <w:color w:val="000000"/>
                <w:spacing w:val="18"/>
                <w:sz w:val="24"/>
                <w:szCs w:val="16"/>
              </w:rPr>
            </w:pPr>
            <w:r>
              <w:rPr>
                <w:rFonts w:ascii="Garamond" w:eastAsia="Times New Roman" w:hAnsi="Garamond" w:cs="Garamond"/>
                <w:color w:val="000000"/>
                <w:spacing w:val="18"/>
                <w:sz w:val="24"/>
                <w:szCs w:val="16"/>
              </w:rPr>
              <w:t>270= 2,38%</w:t>
            </w:r>
            <w:r w:rsidRPr="00212184">
              <w:rPr>
                <w:rFonts w:ascii="Garamond" w:eastAsia="Times New Roman" w:hAnsi="Garamond" w:cs="Garamond"/>
                <w:color w:val="000000"/>
                <w:spacing w:val="18"/>
                <w:sz w:val="24"/>
                <w:szCs w:val="16"/>
              </w:rPr>
              <w:t xml:space="preserve"> </w:t>
            </w:r>
          </w:p>
          <w:p w:rsidR="00F35C0A" w:rsidRDefault="00F14DBE" w:rsidP="00F35C0A">
            <w:pPr>
              <w:spacing w:after="0" w:line="276" w:lineRule="auto"/>
              <w:rPr>
                <w:rFonts w:ascii="Garamond" w:eastAsia="Times New Roman" w:hAnsi="Garamond" w:cs="Garamond"/>
                <w:color w:val="000000"/>
                <w:spacing w:val="14"/>
                <w:sz w:val="24"/>
                <w:szCs w:val="16"/>
              </w:rPr>
            </w:pPr>
            <w:r>
              <w:rPr>
                <w:rFonts w:ascii="Garamond" w:eastAsia="Times New Roman" w:hAnsi="Garamond" w:cs="Garamond"/>
                <w:color w:val="000000"/>
                <w:spacing w:val="14"/>
                <w:sz w:val="24"/>
                <w:szCs w:val="16"/>
              </w:rPr>
              <w:t xml:space="preserve">Effectif total mineurs </w:t>
            </w:r>
          </w:p>
          <w:p w:rsidR="00F14DBE" w:rsidRPr="00212184" w:rsidRDefault="00F14DBE" w:rsidP="00F35C0A">
            <w:pPr>
              <w:spacing w:after="0" w:line="276" w:lineRule="auto"/>
              <w:rPr>
                <w:rFonts w:ascii="Garamond" w:eastAsia="Times New Roman" w:hAnsi="Garamond" w:cs="Garamond"/>
                <w:sz w:val="24"/>
                <w:szCs w:val="24"/>
              </w:rPr>
            </w:pPr>
            <w:r>
              <w:rPr>
                <w:rFonts w:ascii="Garamond" w:eastAsia="Times New Roman" w:hAnsi="Garamond" w:cs="Garamond"/>
                <w:color w:val="000000"/>
                <w:spacing w:val="14"/>
                <w:sz w:val="24"/>
                <w:szCs w:val="16"/>
              </w:rPr>
              <w:t>184=1,62%</w:t>
            </w:r>
          </w:p>
        </w:tc>
      </w:tr>
    </w:tbl>
    <w:p w:rsidR="008F3193" w:rsidRDefault="00F14DBE" w:rsidP="00304045">
      <w:pPr>
        <w:spacing w:line="276" w:lineRule="auto"/>
        <w:rPr>
          <w:rFonts w:ascii="Garamond" w:eastAsia="Times New Roman" w:hAnsi="Garamond" w:cs="Garamond"/>
          <w:sz w:val="24"/>
          <w:szCs w:val="24"/>
        </w:rPr>
      </w:pPr>
      <w:r w:rsidRPr="00212184">
        <w:rPr>
          <w:rFonts w:ascii="Garamond" w:eastAsia="Times New Roman" w:hAnsi="Garamond" w:cs="Garamond"/>
          <w:sz w:val="24"/>
          <w:szCs w:val="24"/>
        </w:rPr>
        <w:t>NB. : TOTAL HOMMES</w:t>
      </w:r>
      <w:r w:rsidR="00F35C0A">
        <w:rPr>
          <w:rFonts w:ascii="Garamond" w:eastAsia="Times New Roman" w:hAnsi="Garamond" w:cs="Garamond"/>
          <w:sz w:val="24"/>
          <w:szCs w:val="24"/>
        </w:rPr>
        <w:t> :</w:t>
      </w:r>
      <w:r w:rsidRPr="00212184">
        <w:rPr>
          <w:rFonts w:ascii="Garamond" w:eastAsia="Times New Roman" w:hAnsi="Garamond" w:cs="Garamond"/>
          <w:sz w:val="24"/>
          <w:szCs w:val="24"/>
        </w:rPr>
        <w:t xml:space="preserve"> 10490= 95,33 %      TOTAL FEMMES</w:t>
      </w:r>
      <w:r w:rsidR="00F35C0A">
        <w:rPr>
          <w:rFonts w:ascii="Garamond" w:eastAsia="Times New Roman" w:hAnsi="Garamond" w:cs="Garamond"/>
          <w:sz w:val="24"/>
          <w:szCs w:val="24"/>
        </w:rPr>
        <w:t> :</w:t>
      </w:r>
      <w:r w:rsidRPr="00212184">
        <w:rPr>
          <w:rFonts w:ascii="Garamond" w:eastAsia="Times New Roman" w:hAnsi="Garamond" w:cs="Garamond"/>
          <w:sz w:val="24"/>
          <w:szCs w:val="24"/>
        </w:rPr>
        <w:t xml:space="preserve"> 275= 2,49%      TOTAL MINEURS</w:t>
      </w:r>
      <w:r w:rsidR="00F35C0A">
        <w:rPr>
          <w:rFonts w:ascii="Garamond" w:eastAsia="Times New Roman" w:hAnsi="Garamond" w:cs="Garamond"/>
          <w:sz w:val="24"/>
          <w:szCs w:val="24"/>
        </w:rPr>
        <w:t xml:space="preserve"> : </w:t>
      </w:r>
      <w:r w:rsidRPr="00212184">
        <w:rPr>
          <w:rFonts w:ascii="Garamond" w:eastAsia="Times New Roman" w:hAnsi="Garamond" w:cs="Garamond"/>
          <w:sz w:val="24"/>
          <w:szCs w:val="24"/>
        </w:rPr>
        <w:t>234= 2,12%       CPC (Contrainte par corps)</w:t>
      </w:r>
      <w:r w:rsidR="00F35C0A">
        <w:rPr>
          <w:rFonts w:ascii="Garamond" w:eastAsia="Times New Roman" w:hAnsi="Garamond" w:cs="Garamond"/>
          <w:sz w:val="24"/>
          <w:szCs w:val="24"/>
        </w:rPr>
        <w:t> :</w:t>
      </w:r>
      <w:r w:rsidRPr="00212184">
        <w:rPr>
          <w:rFonts w:ascii="Garamond" w:eastAsia="Times New Roman" w:hAnsi="Garamond" w:cs="Garamond"/>
          <w:sz w:val="24"/>
          <w:szCs w:val="24"/>
        </w:rPr>
        <w:t xml:space="preserve"> 04 = 0,03 %</w:t>
      </w:r>
    </w:p>
    <w:p w:rsidR="00236330" w:rsidRDefault="00236330" w:rsidP="008F3193">
      <w:pPr>
        <w:pStyle w:val="Titre2"/>
        <w:numPr>
          <w:ilvl w:val="0"/>
          <w:numId w:val="0"/>
        </w:numPr>
        <w:sectPr w:rsidR="00236330" w:rsidSect="00F14DBE">
          <w:pgSz w:w="16838" w:h="11906" w:orient="landscape"/>
          <w:pgMar w:top="1417" w:right="1417" w:bottom="993" w:left="1417" w:header="284" w:footer="107" w:gutter="0"/>
          <w:cols w:space="708"/>
          <w:docGrid w:linePitch="360"/>
        </w:sectPr>
      </w:pPr>
    </w:p>
    <w:p w:rsidR="007955CB" w:rsidRDefault="008F3193" w:rsidP="00E477EE">
      <w:pPr>
        <w:pStyle w:val="Titre2"/>
        <w:numPr>
          <w:ilvl w:val="0"/>
          <w:numId w:val="0"/>
        </w:numPr>
      </w:pPr>
      <w:bookmarkStart w:id="124" w:name="_Toc412111740"/>
      <w:r>
        <w:lastRenderedPageBreak/>
        <w:t>Annexe 2 : Répartition des juridictions et des établissements pénitentiaires en Côte d’Ivoire au 31 décembre 2014</w:t>
      </w:r>
      <w:bookmarkEnd w:id="124"/>
    </w:p>
    <w:p w:rsidR="008F3193" w:rsidRDefault="008F3193" w:rsidP="00E477EE"/>
    <w:p w:rsidR="008F3193" w:rsidRPr="00E477EE" w:rsidRDefault="008F3193" w:rsidP="00E477EE">
      <w:pPr>
        <w:jc w:val="both"/>
        <w:rPr>
          <w:rFonts w:ascii="Garamond" w:hAnsi="Garamond"/>
          <w:sz w:val="24"/>
          <w:szCs w:val="24"/>
        </w:rPr>
      </w:pPr>
      <w:r w:rsidRPr="00E477EE">
        <w:rPr>
          <w:rFonts w:ascii="Garamond" w:hAnsi="Garamond"/>
          <w:sz w:val="24"/>
          <w:szCs w:val="24"/>
        </w:rPr>
        <w:t>Sur 108 départements que compte la Côte d’Ivoire, il y</w:t>
      </w:r>
      <w:r>
        <w:rPr>
          <w:rFonts w:ascii="Garamond" w:hAnsi="Garamond"/>
          <w:sz w:val="24"/>
          <w:szCs w:val="24"/>
        </w:rPr>
        <w:t xml:space="preserve"> </w:t>
      </w:r>
      <w:r w:rsidRPr="00E477EE">
        <w:rPr>
          <w:rFonts w:ascii="Garamond" w:hAnsi="Garamond"/>
          <w:sz w:val="24"/>
          <w:szCs w:val="24"/>
        </w:rPr>
        <w:t xml:space="preserve">a : </w:t>
      </w:r>
    </w:p>
    <w:p w:rsidR="008F3193" w:rsidRPr="00E477EE" w:rsidRDefault="008F3193" w:rsidP="00E477EE">
      <w:pPr>
        <w:jc w:val="both"/>
        <w:rPr>
          <w:rFonts w:ascii="Garamond" w:hAnsi="Garamond"/>
          <w:sz w:val="24"/>
          <w:szCs w:val="24"/>
        </w:rPr>
      </w:pPr>
      <w:r w:rsidRPr="00E477EE">
        <w:rPr>
          <w:rFonts w:ascii="Garamond" w:hAnsi="Garamond"/>
          <w:sz w:val="24"/>
          <w:szCs w:val="24"/>
        </w:rPr>
        <w:t xml:space="preserve">- 3 cours d’appel </w:t>
      </w:r>
    </w:p>
    <w:p w:rsidR="008F3193" w:rsidRPr="00E477EE" w:rsidRDefault="008F3193" w:rsidP="00E477EE">
      <w:pPr>
        <w:jc w:val="both"/>
        <w:rPr>
          <w:rFonts w:ascii="Garamond" w:hAnsi="Garamond"/>
          <w:sz w:val="24"/>
          <w:szCs w:val="24"/>
        </w:rPr>
      </w:pPr>
      <w:r w:rsidRPr="00E477EE">
        <w:rPr>
          <w:rFonts w:ascii="Garamond" w:hAnsi="Garamond"/>
          <w:sz w:val="24"/>
          <w:szCs w:val="24"/>
        </w:rPr>
        <w:t xml:space="preserve">- 9 tribunaux de première instance </w:t>
      </w:r>
    </w:p>
    <w:p w:rsidR="008F3193" w:rsidRPr="00E477EE" w:rsidRDefault="008F3193" w:rsidP="00E477EE">
      <w:pPr>
        <w:jc w:val="both"/>
        <w:rPr>
          <w:rFonts w:ascii="Garamond" w:hAnsi="Garamond"/>
          <w:sz w:val="24"/>
          <w:szCs w:val="24"/>
        </w:rPr>
      </w:pPr>
      <w:r w:rsidRPr="00E477EE">
        <w:rPr>
          <w:rFonts w:ascii="Garamond" w:hAnsi="Garamond"/>
          <w:sz w:val="24"/>
          <w:szCs w:val="24"/>
        </w:rPr>
        <w:t xml:space="preserve">- 27 sections détachées </w:t>
      </w:r>
    </w:p>
    <w:p w:rsidR="008F3193" w:rsidRPr="00E477EE" w:rsidRDefault="008F3193" w:rsidP="00E477EE">
      <w:pPr>
        <w:jc w:val="both"/>
        <w:rPr>
          <w:rFonts w:ascii="Garamond" w:hAnsi="Garamond"/>
          <w:sz w:val="24"/>
          <w:szCs w:val="24"/>
        </w:rPr>
      </w:pPr>
      <w:r w:rsidRPr="00E477EE">
        <w:rPr>
          <w:rFonts w:ascii="Garamond" w:hAnsi="Garamond"/>
          <w:sz w:val="24"/>
          <w:szCs w:val="24"/>
        </w:rPr>
        <w:t xml:space="preserve">- 1 tribunal de Commerce  à Abidjan </w:t>
      </w:r>
    </w:p>
    <w:p w:rsidR="008F3193" w:rsidRPr="00E477EE" w:rsidRDefault="008F3193" w:rsidP="00E477EE">
      <w:pPr>
        <w:jc w:val="both"/>
        <w:rPr>
          <w:rFonts w:ascii="Garamond" w:hAnsi="Garamond"/>
          <w:sz w:val="24"/>
          <w:szCs w:val="24"/>
        </w:rPr>
      </w:pPr>
      <w:r w:rsidRPr="00E477EE">
        <w:rPr>
          <w:rFonts w:ascii="Garamond" w:hAnsi="Garamond"/>
          <w:sz w:val="24"/>
          <w:szCs w:val="24"/>
        </w:rPr>
        <w:t xml:space="preserve">- 34 établissements pénitentiaires </w:t>
      </w:r>
    </w:p>
    <w:p w:rsidR="008F3193" w:rsidRPr="00E477EE" w:rsidRDefault="008F3193" w:rsidP="00E477EE">
      <w:pPr>
        <w:jc w:val="both"/>
        <w:rPr>
          <w:rFonts w:ascii="Garamond" w:hAnsi="Garamond"/>
          <w:sz w:val="24"/>
          <w:szCs w:val="24"/>
        </w:rPr>
      </w:pPr>
      <w:r w:rsidRPr="00E477EE">
        <w:rPr>
          <w:rFonts w:ascii="Garamond" w:hAnsi="Garamond"/>
          <w:sz w:val="24"/>
          <w:szCs w:val="24"/>
        </w:rPr>
        <w:t>Ainsi près des deux tiers (2/3) des départem</w:t>
      </w:r>
      <w:r w:rsidR="00236330" w:rsidRPr="00E477EE">
        <w:rPr>
          <w:rFonts w:ascii="Garamond" w:hAnsi="Garamond"/>
          <w:sz w:val="24"/>
          <w:szCs w:val="24"/>
        </w:rPr>
        <w:t>ents de Côte d’Ivoire n’ont pas</w:t>
      </w:r>
      <w:r w:rsidRPr="00E477EE">
        <w:rPr>
          <w:rFonts w:ascii="Garamond" w:hAnsi="Garamond"/>
          <w:sz w:val="24"/>
          <w:szCs w:val="24"/>
        </w:rPr>
        <w:t xml:space="preserve"> de tribunal. Il existe un seul</w:t>
      </w:r>
      <w:r w:rsidR="00236330" w:rsidRPr="00E477EE">
        <w:rPr>
          <w:rFonts w:ascii="Garamond" w:hAnsi="Garamond"/>
          <w:sz w:val="24"/>
          <w:szCs w:val="24"/>
        </w:rPr>
        <w:t xml:space="preserve"> tribunal de commerce à Abidjan. L</w:t>
      </w:r>
      <w:r w:rsidRPr="00E477EE">
        <w:rPr>
          <w:rFonts w:ascii="Garamond" w:hAnsi="Garamond"/>
          <w:sz w:val="24"/>
          <w:szCs w:val="24"/>
        </w:rPr>
        <w:t>a capitale politique et administrative de l</w:t>
      </w:r>
      <w:r w:rsidR="00236330" w:rsidRPr="00E477EE">
        <w:rPr>
          <w:rFonts w:ascii="Garamond" w:hAnsi="Garamond"/>
          <w:sz w:val="24"/>
          <w:szCs w:val="24"/>
        </w:rPr>
        <w:t xml:space="preserve">a Côte d’Ivoire (Yamoussoukro) </w:t>
      </w:r>
      <w:r w:rsidRPr="00E477EE">
        <w:rPr>
          <w:rFonts w:ascii="Garamond" w:hAnsi="Garamond"/>
          <w:sz w:val="24"/>
          <w:szCs w:val="24"/>
        </w:rPr>
        <w:t xml:space="preserve">n’a pas de tribunal. </w:t>
      </w:r>
      <w:r w:rsidR="00236330">
        <w:rPr>
          <w:rFonts w:ascii="Garamond" w:hAnsi="Garamond"/>
          <w:sz w:val="24"/>
          <w:szCs w:val="24"/>
        </w:rPr>
        <w:t>L</w:t>
      </w:r>
      <w:r w:rsidRPr="00E477EE">
        <w:rPr>
          <w:rFonts w:ascii="Garamond" w:hAnsi="Garamond"/>
          <w:sz w:val="24"/>
          <w:szCs w:val="24"/>
        </w:rPr>
        <w:t>’accès à la justice reste encore problématique</w:t>
      </w:r>
      <w:r w:rsidR="00236330">
        <w:rPr>
          <w:rFonts w:ascii="Garamond" w:hAnsi="Garamond"/>
          <w:sz w:val="24"/>
          <w:szCs w:val="24"/>
        </w:rPr>
        <w:t xml:space="preserve"> sur une partie du territoire</w:t>
      </w:r>
      <w:r w:rsidRPr="00E477EE">
        <w:rPr>
          <w:rFonts w:ascii="Garamond" w:hAnsi="Garamond"/>
          <w:sz w:val="24"/>
          <w:szCs w:val="24"/>
        </w:rPr>
        <w:t xml:space="preserve">. </w:t>
      </w:r>
      <w:r w:rsidR="00236330">
        <w:rPr>
          <w:rFonts w:ascii="Garamond" w:hAnsi="Garamond"/>
          <w:sz w:val="24"/>
          <w:szCs w:val="24"/>
        </w:rPr>
        <w:t>Les</w:t>
      </w:r>
      <w:r w:rsidRPr="00E477EE">
        <w:rPr>
          <w:rFonts w:ascii="Garamond" w:hAnsi="Garamond"/>
          <w:sz w:val="24"/>
          <w:szCs w:val="24"/>
        </w:rPr>
        <w:t xml:space="preserve"> justiciable</w:t>
      </w:r>
      <w:r w:rsidR="00236330">
        <w:rPr>
          <w:rFonts w:ascii="Garamond" w:hAnsi="Garamond"/>
          <w:sz w:val="24"/>
          <w:szCs w:val="24"/>
        </w:rPr>
        <w:t>s doivent</w:t>
      </w:r>
      <w:r w:rsidRPr="00E477EE">
        <w:rPr>
          <w:rFonts w:ascii="Garamond" w:hAnsi="Garamond"/>
          <w:sz w:val="24"/>
          <w:szCs w:val="24"/>
        </w:rPr>
        <w:t xml:space="preserve"> parcourir de longues distance</w:t>
      </w:r>
      <w:r w:rsidR="00236330" w:rsidRPr="00E477EE">
        <w:rPr>
          <w:rFonts w:ascii="Garamond" w:hAnsi="Garamond"/>
          <w:sz w:val="24"/>
          <w:szCs w:val="24"/>
        </w:rPr>
        <w:t>s pour se rendre à un tribunal c</w:t>
      </w:r>
      <w:r w:rsidRPr="00E477EE">
        <w:rPr>
          <w:rFonts w:ascii="Garamond" w:hAnsi="Garamond"/>
          <w:sz w:val="24"/>
          <w:szCs w:val="24"/>
        </w:rPr>
        <w:t>e qui décourage nombre d’entre eux. En effet, les coûts de transport sont élevés, les routes ne son</w:t>
      </w:r>
      <w:r w:rsidR="00236330" w:rsidRPr="00E477EE">
        <w:rPr>
          <w:rFonts w:ascii="Garamond" w:hAnsi="Garamond"/>
          <w:sz w:val="24"/>
          <w:szCs w:val="24"/>
        </w:rPr>
        <w:t>t souvent pas en bon état</w:t>
      </w:r>
      <w:r w:rsidRPr="00E477EE">
        <w:rPr>
          <w:rFonts w:ascii="Garamond" w:hAnsi="Garamond"/>
          <w:sz w:val="24"/>
          <w:szCs w:val="24"/>
        </w:rPr>
        <w:t xml:space="preserve"> et les risques sécuritaires sur les routes demeurent</w:t>
      </w:r>
      <w:r w:rsidR="004E44BA">
        <w:rPr>
          <w:rFonts w:ascii="Garamond" w:hAnsi="Garamond"/>
          <w:sz w:val="24"/>
          <w:szCs w:val="24"/>
        </w:rPr>
        <w:t>,</w:t>
      </w:r>
      <w:r w:rsidRPr="00E477EE">
        <w:rPr>
          <w:rFonts w:ascii="Garamond" w:hAnsi="Garamond"/>
          <w:sz w:val="24"/>
          <w:szCs w:val="24"/>
        </w:rPr>
        <w:t xml:space="preserve"> en raison du phénomène de</w:t>
      </w:r>
      <w:r w:rsidR="00236330">
        <w:rPr>
          <w:rFonts w:ascii="Garamond" w:hAnsi="Garamond"/>
          <w:sz w:val="24"/>
          <w:szCs w:val="24"/>
        </w:rPr>
        <w:t>s</w:t>
      </w:r>
      <w:r w:rsidRPr="00E477EE">
        <w:rPr>
          <w:rFonts w:ascii="Garamond" w:hAnsi="Garamond"/>
          <w:sz w:val="24"/>
          <w:szCs w:val="24"/>
        </w:rPr>
        <w:t xml:space="preserve"> </w:t>
      </w:r>
      <w:r w:rsidR="00236330">
        <w:rPr>
          <w:rFonts w:ascii="Garamond" w:hAnsi="Garamond"/>
          <w:sz w:val="24"/>
          <w:szCs w:val="24"/>
        </w:rPr>
        <w:t>« </w:t>
      </w:r>
      <w:r w:rsidRPr="00E477EE">
        <w:rPr>
          <w:rFonts w:ascii="Garamond" w:hAnsi="Garamond"/>
          <w:i/>
          <w:sz w:val="24"/>
          <w:szCs w:val="24"/>
        </w:rPr>
        <w:t>coupeur</w:t>
      </w:r>
      <w:r w:rsidR="00236330" w:rsidRPr="00E477EE">
        <w:rPr>
          <w:rFonts w:ascii="Garamond" w:hAnsi="Garamond"/>
          <w:i/>
          <w:sz w:val="24"/>
          <w:szCs w:val="24"/>
        </w:rPr>
        <w:t>s de route</w:t>
      </w:r>
      <w:r w:rsidR="00236330">
        <w:rPr>
          <w:rFonts w:ascii="Garamond" w:hAnsi="Garamond"/>
          <w:sz w:val="24"/>
          <w:szCs w:val="24"/>
        </w:rPr>
        <w:t> »</w:t>
      </w:r>
      <w:r w:rsidR="00236330">
        <w:rPr>
          <w:rStyle w:val="Appelnotedebasdep"/>
          <w:rFonts w:ascii="Garamond" w:hAnsi="Garamond"/>
          <w:sz w:val="24"/>
          <w:szCs w:val="24"/>
        </w:rPr>
        <w:footnoteReference w:id="53"/>
      </w:r>
      <w:r w:rsidR="00236330" w:rsidRPr="00E477EE">
        <w:rPr>
          <w:rFonts w:ascii="Garamond" w:hAnsi="Garamond"/>
          <w:sz w:val="24"/>
          <w:szCs w:val="24"/>
        </w:rPr>
        <w:t>. Ces</w:t>
      </w:r>
      <w:r w:rsidRPr="00E477EE">
        <w:rPr>
          <w:rFonts w:ascii="Garamond" w:hAnsi="Garamond"/>
          <w:sz w:val="24"/>
          <w:szCs w:val="24"/>
        </w:rPr>
        <w:t xml:space="preserve"> situation</w:t>
      </w:r>
      <w:r w:rsidR="00236330">
        <w:rPr>
          <w:rFonts w:ascii="Garamond" w:hAnsi="Garamond"/>
          <w:sz w:val="24"/>
          <w:szCs w:val="24"/>
        </w:rPr>
        <w:t>s</w:t>
      </w:r>
      <w:r w:rsidR="00236330" w:rsidRPr="00E477EE">
        <w:rPr>
          <w:rFonts w:ascii="Garamond" w:hAnsi="Garamond"/>
          <w:sz w:val="24"/>
          <w:szCs w:val="24"/>
        </w:rPr>
        <w:t xml:space="preserve"> découragent les victimes à porter plainte et favorisent ainsi l’impunité. </w:t>
      </w:r>
      <w:r w:rsidR="00E477EE" w:rsidRPr="00E477EE">
        <w:rPr>
          <w:rFonts w:ascii="Garamond" w:hAnsi="Garamond"/>
          <w:sz w:val="24"/>
          <w:szCs w:val="24"/>
        </w:rPr>
        <w:t>Les violences conjugales</w:t>
      </w:r>
      <w:r w:rsidRPr="00E477EE">
        <w:rPr>
          <w:rFonts w:ascii="Garamond" w:hAnsi="Garamond"/>
          <w:sz w:val="24"/>
          <w:szCs w:val="24"/>
        </w:rPr>
        <w:t xml:space="preserve">, les viols, les crimes rituels </w:t>
      </w:r>
      <w:r w:rsidR="00E477EE">
        <w:rPr>
          <w:rFonts w:ascii="Garamond" w:hAnsi="Garamond"/>
          <w:sz w:val="24"/>
          <w:szCs w:val="24"/>
        </w:rPr>
        <w:t>tels que ceux envers</w:t>
      </w:r>
      <w:r w:rsidR="00E477EE" w:rsidRPr="00E477EE">
        <w:rPr>
          <w:rFonts w:ascii="Garamond" w:hAnsi="Garamond"/>
          <w:sz w:val="24"/>
          <w:szCs w:val="24"/>
        </w:rPr>
        <w:t xml:space="preserve"> les enfants trisomiques</w:t>
      </w:r>
      <w:r w:rsidRPr="00E477EE">
        <w:rPr>
          <w:rFonts w:ascii="Garamond" w:hAnsi="Garamond"/>
          <w:sz w:val="24"/>
          <w:szCs w:val="24"/>
        </w:rPr>
        <w:t xml:space="preserve"> ou le phénomène d’excision font </w:t>
      </w:r>
      <w:r w:rsidR="00E477EE">
        <w:rPr>
          <w:rFonts w:ascii="Garamond" w:hAnsi="Garamond"/>
          <w:sz w:val="24"/>
          <w:szCs w:val="24"/>
        </w:rPr>
        <w:t>rarement</w:t>
      </w:r>
      <w:r w:rsidRPr="00E477EE">
        <w:rPr>
          <w:rFonts w:ascii="Garamond" w:hAnsi="Garamond"/>
          <w:sz w:val="24"/>
          <w:szCs w:val="24"/>
        </w:rPr>
        <w:t xml:space="preserve"> l’objet de plaintes en justice. </w:t>
      </w:r>
    </w:p>
    <w:p w:rsidR="00236330" w:rsidRDefault="00236330" w:rsidP="00236330">
      <w:pPr>
        <w:spacing w:after="200" w:line="276" w:lineRule="auto"/>
        <w:rPr>
          <w:rFonts w:ascii="Garamond" w:hAnsi="Garamond"/>
          <w:sz w:val="24"/>
          <w:szCs w:val="24"/>
        </w:rPr>
      </w:pPr>
      <w:r>
        <w:rPr>
          <w:rFonts w:ascii="Garamond" w:hAnsi="Garamond"/>
          <w:sz w:val="24"/>
          <w:szCs w:val="24"/>
        </w:rPr>
        <w:br w:type="page"/>
      </w:r>
    </w:p>
    <w:p w:rsidR="008F3193" w:rsidRDefault="008F3193" w:rsidP="00E477EE">
      <w:pPr>
        <w:spacing w:after="200" w:line="276" w:lineRule="auto"/>
        <w:rPr>
          <w:rFonts w:ascii="Garamond" w:hAnsi="Garamond"/>
          <w:sz w:val="24"/>
          <w:szCs w:val="24"/>
        </w:rPr>
      </w:pPr>
      <w:r w:rsidRPr="00E477EE">
        <w:rPr>
          <w:rFonts w:ascii="Garamond" w:hAnsi="Garamond"/>
          <w:sz w:val="24"/>
          <w:szCs w:val="24"/>
        </w:rPr>
        <w:lastRenderedPageBreak/>
        <w:t>La cartographie des juridictions se présente selon le tableau suivant :</w:t>
      </w:r>
    </w:p>
    <w:tbl>
      <w:tblPr>
        <w:tblStyle w:val="Grilledutableau"/>
        <w:tblW w:w="0" w:type="auto"/>
        <w:tblLook w:val="04A0" w:firstRow="1" w:lastRow="0" w:firstColumn="1" w:lastColumn="0" w:noHBand="0" w:noVBand="1"/>
      </w:tblPr>
      <w:tblGrid>
        <w:gridCol w:w="1427"/>
        <w:gridCol w:w="2931"/>
        <w:gridCol w:w="1810"/>
        <w:gridCol w:w="2625"/>
      </w:tblGrid>
      <w:tr w:rsidR="008F3193" w:rsidRPr="00E477EE" w:rsidTr="005E13E2">
        <w:trPr>
          <w:trHeight w:val="486"/>
        </w:trPr>
        <w:tc>
          <w:tcPr>
            <w:tcW w:w="0" w:type="auto"/>
            <w:shd w:val="clear" w:color="auto" w:fill="D9D9D9" w:themeFill="background1" w:themeFillShade="D9"/>
          </w:tcPr>
          <w:p w:rsidR="008F3193" w:rsidRPr="00E477EE" w:rsidRDefault="008F3193" w:rsidP="005E13E2">
            <w:pPr>
              <w:spacing w:after="0"/>
              <w:jc w:val="center"/>
              <w:rPr>
                <w:rFonts w:ascii="Garamond" w:hAnsi="Garamond"/>
                <w:b/>
              </w:rPr>
            </w:pPr>
            <w:r w:rsidRPr="00E477EE">
              <w:rPr>
                <w:rFonts w:ascii="Garamond" w:hAnsi="Garamond"/>
                <w:b/>
              </w:rPr>
              <w:t>Cours d’Appel</w:t>
            </w:r>
          </w:p>
        </w:tc>
        <w:tc>
          <w:tcPr>
            <w:tcW w:w="0" w:type="auto"/>
            <w:shd w:val="clear" w:color="auto" w:fill="D9D9D9" w:themeFill="background1" w:themeFillShade="D9"/>
          </w:tcPr>
          <w:p w:rsidR="008F3193" w:rsidRPr="00E477EE" w:rsidRDefault="008F3193" w:rsidP="005E13E2">
            <w:pPr>
              <w:spacing w:after="0"/>
              <w:jc w:val="center"/>
              <w:rPr>
                <w:rFonts w:ascii="Garamond" w:hAnsi="Garamond"/>
                <w:b/>
              </w:rPr>
            </w:pPr>
            <w:r w:rsidRPr="00E477EE">
              <w:rPr>
                <w:rFonts w:ascii="Garamond" w:hAnsi="Garamond"/>
                <w:b/>
              </w:rPr>
              <w:t>Tribunaux de première instance</w:t>
            </w:r>
          </w:p>
        </w:tc>
        <w:tc>
          <w:tcPr>
            <w:tcW w:w="0" w:type="auto"/>
            <w:shd w:val="clear" w:color="auto" w:fill="D9D9D9" w:themeFill="background1" w:themeFillShade="D9"/>
          </w:tcPr>
          <w:p w:rsidR="008F3193" w:rsidRPr="00E477EE" w:rsidRDefault="008F3193" w:rsidP="005E13E2">
            <w:pPr>
              <w:spacing w:after="0"/>
              <w:jc w:val="center"/>
              <w:rPr>
                <w:rFonts w:ascii="Garamond" w:hAnsi="Garamond"/>
                <w:b/>
              </w:rPr>
            </w:pPr>
            <w:r w:rsidRPr="00E477EE">
              <w:rPr>
                <w:rFonts w:ascii="Garamond" w:hAnsi="Garamond"/>
                <w:b/>
              </w:rPr>
              <w:t>Sections détachées</w:t>
            </w:r>
          </w:p>
        </w:tc>
        <w:tc>
          <w:tcPr>
            <w:tcW w:w="0" w:type="auto"/>
            <w:shd w:val="clear" w:color="auto" w:fill="D9D9D9" w:themeFill="background1" w:themeFillShade="D9"/>
          </w:tcPr>
          <w:p w:rsidR="008F3193" w:rsidRPr="00E477EE" w:rsidRDefault="008F3193" w:rsidP="005E13E2">
            <w:pPr>
              <w:spacing w:after="0"/>
              <w:jc w:val="center"/>
              <w:rPr>
                <w:rFonts w:ascii="Garamond" w:hAnsi="Garamond"/>
                <w:b/>
              </w:rPr>
            </w:pPr>
            <w:r w:rsidRPr="00E477EE">
              <w:rPr>
                <w:rFonts w:ascii="Garamond" w:hAnsi="Garamond"/>
                <w:b/>
              </w:rPr>
              <w:t>Etablissement pénitentiaire</w:t>
            </w:r>
          </w:p>
        </w:tc>
      </w:tr>
      <w:tr w:rsidR="008F3193" w:rsidRPr="00E477EE" w:rsidTr="005E13E2">
        <w:tc>
          <w:tcPr>
            <w:tcW w:w="0" w:type="auto"/>
            <w:vMerge w:val="restart"/>
            <w:shd w:val="clear" w:color="auto" w:fill="8DB3E2" w:themeFill="text2" w:themeFillTint="66"/>
          </w:tcPr>
          <w:p w:rsidR="008F3193" w:rsidRPr="00E477EE" w:rsidRDefault="008F3193" w:rsidP="005E13E2">
            <w:pPr>
              <w:spacing w:after="0"/>
              <w:rPr>
                <w:rFonts w:ascii="Garamond" w:hAnsi="Garamond"/>
              </w:rPr>
            </w:pPr>
          </w:p>
          <w:p w:rsidR="008F3193" w:rsidRPr="00E477EE" w:rsidRDefault="008F3193" w:rsidP="005E13E2">
            <w:pPr>
              <w:spacing w:after="0"/>
              <w:rPr>
                <w:rFonts w:ascii="Garamond" w:hAnsi="Garamond"/>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line="240" w:lineRule="auto"/>
              <w:rPr>
                <w:rFonts w:ascii="Garamond" w:hAnsi="Garamond"/>
                <w:b/>
              </w:rPr>
            </w:pPr>
            <w:r w:rsidRPr="00E477EE">
              <w:rPr>
                <w:rFonts w:ascii="Garamond" w:hAnsi="Garamond"/>
                <w:b/>
              </w:rPr>
              <w:t xml:space="preserve">ABIDJAN </w:t>
            </w:r>
          </w:p>
        </w:tc>
        <w:tc>
          <w:tcPr>
            <w:tcW w:w="0" w:type="auto"/>
            <w:vMerge w:val="restart"/>
            <w:shd w:val="clear" w:color="auto" w:fill="8DB3E2" w:themeFill="text2" w:themeFillTint="66"/>
          </w:tcPr>
          <w:p w:rsidR="008F3193" w:rsidRPr="00E477EE" w:rsidRDefault="008F3193" w:rsidP="005E13E2">
            <w:pPr>
              <w:spacing w:after="0"/>
              <w:rPr>
                <w:rFonts w:ascii="Garamond" w:hAnsi="Garamond"/>
              </w:rPr>
            </w:pPr>
          </w:p>
          <w:p w:rsidR="008F3193" w:rsidRPr="00E477EE" w:rsidRDefault="008F3193" w:rsidP="005E13E2">
            <w:pPr>
              <w:spacing w:after="0"/>
              <w:rPr>
                <w:rFonts w:ascii="Garamond" w:hAnsi="Garamond"/>
              </w:rPr>
            </w:pPr>
          </w:p>
          <w:p w:rsidR="008F3193" w:rsidRPr="00E477EE" w:rsidRDefault="008F3193" w:rsidP="005E13E2">
            <w:pPr>
              <w:spacing w:after="0" w:line="240" w:lineRule="auto"/>
              <w:rPr>
                <w:rFonts w:ascii="Garamond" w:hAnsi="Garamond"/>
              </w:rPr>
            </w:pPr>
            <w:r w:rsidRPr="00E477EE">
              <w:rPr>
                <w:rFonts w:ascii="Garamond" w:hAnsi="Garamond"/>
              </w:rPr>
              <w:t>Abidjan</w:t>
            </w:r>
          </w:p>
        </w:tc>
        <w:tc>
          <w:tcPr>
            <w:tcW w:w="0" w:type="auto"/>
            <w:shd w:val="clear" w:color="auto" w:fill="8DB3E2" w:themeFill="text2" w:themeFillTint="66"/>
          </w:tcPr>
          <w:p w:rsidR="008F3193" w:rsidRPr="00E477EE" w:rsidRDefault="008F3193" w:rsidP="005E13E2">
            <w:pPr>
              <w:spacing w:after="0"/>
              <w:rPr>
                <w:rFonts w:ascii="Garamond" w:hAnsi="Garamond"/>
              </w:rPr>
            </w:pP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MAC  Abidjan</w:t>
            </w:r>
          </w:p>
        </w:tc>
      </w:tr>
      <w:tr w:rsidR="008F3193" w:rsidRPr="00E477EE" w:rsidTr="005E13E2">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Grand- Bassam</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MAC  Grand-Bassam</w:t>
            </w:r>
          </w:p>
        </w:tc>
      </w:tr>
      <w:tr w:rsidR="008F3193" w:rsidRPr="00E477EE" w:rsidTr="005E13E2">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Adzopé</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MAC  Adzopé</w:t>
            </w:r>
          </w:p>
        </w:tc>
      </w:tr>
      <w:tr w:rsidR="008F3193" w:rsidRPr="00E477EE" w:rsidTr="005E13E2">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Agboville</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 xml:space="preserve">MAC Agboville </w:t>
            </w:r>
          </w:p>
        </w:tc>
      </w:tr>
      <w:tr w:rsidR="008F3193" w:rsidRPr="00E477EE" w:rsidTr="005E13E2">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Aboisso</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MAC  Aboisso</w:t>
            </w:r>
          </w:p>
        </w:tc>
      </w:tr>
      <w:tr w:rsidR="008F3193" w:rsidRPr="00E477EE" w:rsidTr="005E13E2">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vMerge w:val="restart"/>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Yopougon</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Dabou</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MAC Dabou</w:t>
            </w:r>
          </w:p>
        </w:tc>
      </w:tr>
      <w:tr w:rsidR="008F3193" w:rsidRPr="00E477EE" w:rsidTr="005E13E2">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Tiassale</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 xml:space="preserve">MAC Tiassalé </w:t>
            </w:r>
          </w:p>
        </w:tc>
      </w:tr>
      <w:tr w:rsidR="008F3193" w:rsidRPr="00E477EE" w:rsidTr="005E13E2">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vMerge w:val="restart"/>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 xml:space="preserve">Abengourou </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Bondoukou</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MAC  Bondoukou</w:t>
            </w:r>
          </w:p>
        </w:tc>
      </w:tr>
      <w:tr w:rsidR="008F3193" w:rsidRPr="00E477EE" w:rsidTr="005E13E2">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vMerge/>
            <w:shd w:val="clear" w:color="auto" w:fill="8DB3E2" w:themeFill="text2" w:themeFillTint="66"/>
          </w:tcPr>
          <w:p w:rsidR="008F3193" w:rsidRPr="00E477EE" w:rsidRDefault="008F3193" w:rsidP="005E13E2">
            <w:pPr>
              <w:spacing w:after="0"/>
              <w:rPr>
                <w:rFonts w:ascii="Garamond" w:hAnsi="Garamond"/>
              </w:rPr>
            </w:pP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Bouna</w:t>
            </w:r>
          </w:p>
        </w:tc>
        <w:tc>
          <w:tcPr>
            <w:tcW w:w="0" w:type="auto"/>
            <w:shd w:val="clear" w:color="auto" w:fill="8DB3E2" w:themeFill="text2" w:themeFillTint="66"/>
          </w:tcPr>
          <w:p w:rsidR="008F3193" w:rsidRPr="00E477EE" w:rsidRDefault="008F3193" w:rsidP="005E13E2">
            <w:pPr>
              <w:spacing w:after="0"/>
              <w:rPr>
                <w:rFonts w:ascii="Garamond" w:hAnsi="Garamond"/>
              </w:rPr>
            </w:pPr>
            <w:r w:rsidRPr="00E477EE">
              <w:rPr>
                <w:rFonts w:ascii="Garamond" w:hAnsi="Garamond"/>
              </w:rPr>
              <w:t>MAC Bouna</w:t>
            </w:r>
          </w:p>
        </w:tc>
      </w:tr>
      <w:tr w:rsidR="008F3193" w:rsidRPr="00E477EE" w:rsidTr="005E13E2">
        <w:tc>
          <w:tcPr>
            <w:tcW w:w="0" w:type="auto"/>
            <w:vMerge w:val="restart"/>
            <w:shd w:val="clear" w:color="auto" w:fill="FFFF00"/>
          </w:tcPr>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r w:rsidRPr="00E477EE">
              <w:rPr>
                <w:rFonts w:ascii="Garamond" w:hAnsi="Garamond"/>
                <w:b/>
              </w:rPr>
              <w:t>BOUAKE</w:t>
            </w:r>
          </w:p>
        </w:tc>
        <w:tc>
          <w:tcPr>
            <w:tcW w:w="0" w:type="auto"/>
            <w:vMerge w:val="restart"/>
            <w:shd w:val="clear" w:color="auto" w:fill="FFFF00"/>
          </w:tcPr>
          <w:p w:rsidR="008F3193" w:rsidRPr="00E477EE" w:rsidRDefault="008F3193" w:rsidP="005E13E2">
            <w:pPr>
              <w:spacing w:after="0"/>
              <w:rPr>
                <w:rFonts w:ascii="Garamond" w:hAnsi="Garamond"/>
              </w:rPr>
            </w:pPr>
            <w:r w:rsidRPr="00E477EE">
              <w:rPr>
                <w:rFonts w:ascii="Garamond" w:hAnsi="Garamond"/>
              </w:rPr>
              <w:t xml:space="preserve">Bouaké </w:t>
            </w:r>
          </w:p>
        </w:tc>
        <w:tc>
          <w:tcPr>
            <w:tcW w:w="0" w:type="auto"/>
            <w:vMerge w:val="restart"/>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Prison civile de Bouaké</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Camp pénal de Bouaké</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Mbahiakro</w:t>
            </w: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MAC  Mbahiakro</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vMerge w:val="restart"/>
            <w:shd w:val="clear" w:color="auto" w:fill="FFFF00"/>
          </w:tcPr>
          <w:p w:rsidR="008F3193" w:rsidRPr="00E477EE" w:rsidRDefault="008F3193" w:rsidP="005E13E2">
            <w:pPr>
              <w:spacing w:after="0"/>
              <w:rPr>
                <w:rFonts w:ascii="Garamond" w:hAnsi="Garamond"/>
              </w:rPr>
            </w:pPr>
            <w:r w:rsidRPr="00E477EE">
              <w:rPr>
                <w:rFonts w:ascii="Garamond" w:hAnsi="Garamond"/>
              </w:rPr>
              <w:t>Dimbokro</w:t>
            </w: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MAC Dimbokro</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MC  Dimbokro ( SALIEKRO)</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Katiola</w:t>
            </w: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MAC Katiola</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Toumodi</w:t>
            </w: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 xml:space="preserve">MAC de Toumodi </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Bongouanou</w:t>
            </w: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MAC Bongouanou</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val="restart"/>
            <w:shd w:val="clear" w:color="auto" w:fill="FFFF00"/>
          </w:tcPr>
          <w:p w:rsidR="008F3193" w:rsidRPr="00E477EE" w:rsidRDefault="008F3193" w:rsidP="005E13E2">
            <w:pPr>
              <w:spacing w:after="0"/>
              <w:rPr>
                <w:rFonts w:ascii="Garamond" w:hAnsi="Garamond"/>
              </w:rPr>
            </w:pPr>
            <w:r w:rsidRPr="00E477EE">
              <w:rPr>
                <w:rFonts w:ascii="Garamond" w:hAnsi="Garamond"/>
              </w:rPr>
              <w:t>Korhogo</w:t>
            </w:r>
          </w:p>
        </w:tc>
        <w:tc>
          <w:tcPr>
            <w:tcW w:w="0" w:type="auto"/>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MAC  Korhogo</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Boundiali</w:t>
            </w: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MAC  Boundiali</w:t>
            </w:r>
          </w:p>
        </w:tc>
      </w:tr>
      <w:tr w:rsidR="008F3193" w:rsidRPr="00E477EE" w:rsidTr="005E13E2">
        <w:tc>
          <w:tcPr>
            <w:tcW w:w="0" w:type="auto"/>
            <w:vMerge/>
            <w:shd w:val="clear" w:color="auto" w:fill="FFFF00"/>
          </w:tcPr>
          <w:p w:rsidR="008F3193" w:rsidRPr="00E477EE" w:rsidRDefault="008F3193" w:rsidP="005E13E2">
            <w:pPr>
              <w:spacing w:after="0"/>
              <w:rPr>
                <w:rFonts w:ascii="Garamond" w:hAnsi="Garamond"/>
              </w:rPr>
            </w:pPr>
          </w:p>
        </w:tc>
        <w:tc>
          <w:tcPr>
            <w:tcW w:w="0" w:type="auto"/>
            <w:vMerge/>
            <w:shd w:val="clear" w:color="auto" w:fill="FFFF00"/>
          </w:tcPr>
          <w:p w:rsidR="008F3193" w:rsidRPr="00E477EE" w:rsidRDefault="008F3193" w:rsidP="005E13E2">
            <w:pPr>
              <w:spacing w:after="0"/>
              <w:rPr>
                <w:rFonts w:ascii="Garamond" w:hAnsi="Garamond"/>
              </w:rPr>
            </w:pP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Odienne</w:t>
            </w:r>
          </w:p>
        </w:tc>
        <w:tc>
          <w:tcPr>
            <w:tcW w:w="0" w:type="auto"/>
            <w:shd w:val="clear" w:color="auto" w:fill="FFFF00"/>
          </w:tcPr>
          <w:p w:rsidR="008F3193" w:rsidRPr="00E477EE" w:rsidRDefault="008F3193" w:rsidP="005E13E2">
            <w:pPr>
              <w:spacing w:after="0"/>
              <w:rPr>
                <w:rFonts w:ascii="Garamond" w:hAnsi="Garamond"/>
              </w:rPr>
            </w:pPr>
            <w:r w:rsidRPr="00E477EE">
              <w:rPr>
                <w:rFonts w:ascii="Garamond" w:hAnsi="Garamond"/>
              </w:rPr>
              <w:t xml:space="preserve">MAC  Odiénné </w:t>
            </w:r>
          </w:p>
        </w:tc>
      </w:tr>
      <w:tr w:rsidR="008F3193" w:rsidRPr="00E477EE" w:rsidTr="005E13E2">
        <w:tc>
          <w:tcPr>
            <w:tcW w:w="0" w:type="auto"/>
            <w:vMerge w:val="restart"/>
            <w:shd w:val="clear" w:color="auto" w:fill="92D050"/>
          </w:tcPr>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p>
          <w:p w:rsidR="008F3193" w:rsidRPr="00E477EE" w:rsidRDefault="008F3193" w:rsidP="005E13E2">
            <w:pPr>
              <w:spacing w:after="0"/>
              <w:rPr>
                <w:rFonts w:ascii="Garamond" w:hAnsi="Garamond"/>
                <w:b/>
              </w:rPr>
            </w:pPr>
            <w:r w:rsidRPr="00E477EE">
              <w:rPr>
                <w:rFonts w:ascii="Garamond" w:hAnsi="Garamond"/>
                <w:b/>
              </w:rPr>
              <w:t>DALOA</w:t>
            </w:r>
          </w:p>
        </w:tc>
        <w:tc>
          <w:tcPr>
            <w:tcW w:w="0" w:type="auto"/>
            <w:vMerge w:val="restart"/>
            <w:shd w:val="clear" w:color="auto" w:fill="92D050"/>
          </w:tcPr>
          <w:p w:rsidR="008F3193" w:rsidRPr="00E477EE" w:rsidRDefault="008F3193" w:rsidP="005E13E2">
            <w:pPr>
              <w:spacing w:after="0"/>
              <w:rPr>
                <w:rFonts w:ascii="Garamond" w:hAnsi="Garamond"/>
              </w:rPr>
            </w:pPr>
            <w:r w:rsidRPr="00E477EE">
              <w:rPr>
                <w:rFonts w:ascii="Garamond" w:hAnsi="Garamond"/>
              </w:rPr>
              <w:t xml:space="preserve">Daloa </w:t>
            </w:r>
          </w:p>
        </w:tc>
        <w:tc>
          <w:tcPr>
            <w:tcW w:w="0" w:type="auto"/>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Daloa</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Soubré</w:t>
            </w: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Soubre</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Sassandra</w:t>
            </w: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Sassandra</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Tabou</w:t>
            </w: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 xml:space="preserve">MAC Tabou </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Séguéla</w:t>
            </w: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Séguéla</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Issia</w:t>
            </w:r>
          </w:p>
        </w:tc>
        <w:tc>
          <w:tcPr>
            <w:tcW w:w="0" w:type="auto"/>
            <w:shd w:val="clear" w:color="auto" w:fill="92D050"/>
          </w:tcPr>
          <w:p w:rsidR="008F3193" w:rsidRPr="00E477EE" w:rsidRDefault="008F3193" w:rsidP="005E13E2">
            <w:pPr>
              <w:spacing w:after="0"/>
              <w:rPr>
                <w:rFonts w:ascii="Garamond" w:hAnsi="Garamond"/>
              </w:rPr>
            </w:pP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val="restart"/>
            <w:shd w:val="clear" w:color="auto" w:fill="92D050"/>
          </w:tcPr>
          <w:p w:rsidR="008F3193" w:rsidRPr="00E477EE" w:rsidRDefault="008F3193" w:rsidP="005E13E2">
            <w:pPr>
              <w:spacing w:after="0"/>
              <w:rPr>
                <w:rFonts w:ascii="Garamond" w:hAnsi="Garamond"/>
              </w:rPr>
            </w:pPr>
            <w:r w:rsidRPr="00E477EE">
              <w:rPr>
                <w:rFonts w:ascii="Garamond" w:hAnsi="Garamond"/>
              </w:rPr>
              <w:t>Gagnoa</w:t>
            </w:r>
          </w:p>
        </w:tc>
        <w:tc>
          <w:tcPr>
            <w:tcW w:w="0" w:type="auto"/>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de Gagnoa</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Divo</w:t>
            </w: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de Divo</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Lakota</w:t>
            </w: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de Lakota</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Oumé</w:t>
            </w: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de Oumé</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val="restart"/>
            <w:shd w:val="clear" w:color="auto" w:fill="92D050"/>
          </w:tcPr>
          <w:p w:rsidR="008F3193" w:rsidRPr="00E477EE" w:rsidRDefault="008F3193" w:rsidP="005E13E2">
            <w:pPr>
              <w:spacing w:after="0"/>
              <w:rPr>
                <w:rFonts w:ascii="Garamond" w:hAnsi="Garamond"/>
              </w:rPr>
            </w:pPr>
            <w:r w:rsidRPr="00E477EE">
              <w:rPr>
                <w:rFonts w:ascii="Garamond" w:hAnsi="Garamond"/>
              </w:rPr>
              <w:t xml:space="preserve">Bouaflé </w:t>
            </w:r>
          </w:p>
        </w:tc>
        <w:tc>
          <w:tcPr>
            <w:tcW w:w="0" w:type="auto"/>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de Bouaflé</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Sinfra</w:t>
            </w:r>
          </w:p>
        </w:tc>
        <w:tc>
          <w:tcPr>
            <w:tcW w:w="0" w:type="auto"/>
            <w:shd w:val="clear" w:color="auto" w:fill="92D050"/>
          </w:tcPr>
          <w:p w:rsidR="008F3193" w:rsidRPr="00E477EE" w:rsidRDefault="008F3193" w:rsidP="005E13E2">
            <w:pPr>
              <w:spacing w:after="0"/>
              <w:rPr>
                <w:rFonts w:ascii="Garamond" w:hAnsi="Garamond"/>
              </w:rPr>
            </w:pP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val="restart"/>
            <w:shd w:val="clear" w:color="auto" w:fill="92D050"/>
          </w:tcPr>
          <w:p w:rsidR="008F3193" w:rsidRPr="00E477EE" w:rsidRDefault="008F3193" w:rsidP="005E13E2">
            <w:pPr>
              <w:spacing w:after="0"/>
              <w:rPr>
                <w:rFonts w:ascii="Garamond" w:hAnsi="Garamond"/>
              </w:rPr>
            </w:pPr>
            <w:r w:rsidRPr="00E477EE">
              <w:rPr>
                <w:rFonts w:ascii="Garamond" w:hAnsi="Garamond"/>
              </w:rPr>
              <w:t xml:space="preserve">Man </w:t>
            </w:r>
          </w:p>
        </w:tc>
        <w:tc>
          <w:tcPr>
            <w:tcW w:w="0" w:type="auto"/>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MAC de Man</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 xml:space="preserve">Danané </w:t>
            </w: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Prison civile de Danané</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 xml:space="preserve">Touba </w:t>
            </w: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 xml:space="preserve">MAC de Touba </w:t>
            </w:r>
          </w:p>
        </w:tc>
      </w:tr>
      <w:tr w:rsidR="008F3193" w:rsidRPr="00E477EE" w:rsidTr="005E13E2">
        <w:tc>
          <w:tcPr>
            <w:tcW w:w="0" w:type="auto"/>
            <w:vMerge/>
            <w:shd w:val="clear" w:color="auto" w:fill="92D050"/>
          </w:tcPr>
          <w:p w:rsidR="008F3193" w:rsidRPr="00E477EE" w:rsidRDefault="008F3193" w:rsidP="005E13E2">
            <w:pPr>
              <w:spacing w:after="0"/>
              <w:rPr>
                <w:rFonts w:ascii="Garamond" w:hAnsi="Garamond"/>
              </w:rPr>
            </w:pPr>
          </w:p>
        </w:tc>
        <w:tc>
          <w:tcPr>
            <w:tcW w:w="0" w:type="auto"/>
            <w:vMerge/>
            <w:shd w:val="clear" w:color="auto" w:fill="92D050"/>
          </w:tcPr>
          <w:p w:rsidR="008F3193" w:rsidRPr="00E477EE" w:rsidRDefault="008F3193" w:rsidP="005E13E2">
            <w:pPr>
              <w:spacing w:after="0"/>
              <w:rPr>
                <w:rFonts w:ascii="Garamond" w:hAnsi="Garamond"/>
              </w:rPr>
            </w:pPr>
          </w:p>
        </w:tc>
        <w:tc>
          <w:tcPr>
            <w:tcW w:w="0" w:type="auto"/>
            <w:shd w:val="clear" w:color="auto" w:fill="92D050"/>
          </w:tcPr>
          <w:p w:rsidR="008F3193" w:rsidRPr="00E477EE" w:rsidRDefault="008F3193" w:rsidP="005E13E2">
            <w:pPr>
              <w:spacing w:after="0"/>
              <w:rPr>
                <w:rFonts w:ascii="Garamond" w:hAnsi="Garamond"/>
              </w:rPr>
            </w:pPr>
            <w:r w:rsidRPr="00E477EE">
              <w:rPr>
                <w:rFonts w:ascii="Garamond" w:hAnsi="Garamond"/>
              </w:rPr>
              <w:t>Guiglo</w:t>
            </w:r>
          </w:p>
        </w:tc>
        <w:tc>
          <w:tcPr>
            <w:tcW w:w="0" w:type="auto"/>
            <w:shd w:val="clear" w:color="auto" w:fill="92D050"/>
          </w:tcPr>
          <w:p w:rsidR="008F3193" w:rsidRPr="00E477EE" w:rsidRDefault="008F3193" w:rsidP="005E13E2">
            <w:pPr>
              <w:spacing w:after="0"/>
              <w:rPr>
                <w:rFonts w:ascii="Garamond" w:hAnsi="Garamond"/>
              </w:rPr>
            </w:pPr>
          </w:p>
        </w:tc>
      </w:tr>
    </w:tbl>
    <w:p w:rsidR="008F3193" w:rsidRPr="00E477EE" w:rsidRDefault="008F3193" w:rsidP="00E477EE">
      <w:pPr>
        <w:rPr>
          <w:rFonts w:ascii="Garamond" w:hAnsi="Garamond"/>
          <w:sz w:val="24"/>
          <w:szCs w:val="24"/>
        </w:rPr>
      </w:pPr>
    </w:p>
    <w:sectPr w:rsidR="008F3193" w:rsidRPr="00E477EE" w:rsidSect="00E477EE">
      <w:pgSz w:w="11906" w:h="16838"/>
      <w:pgMar w:top="1417" w:right="993" w:bottom="1417" w:left="1417" w:header="284" w:footer="1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F46" w:rsidRDefault="00732F46" w:rsidP="00FC1C58">
      <w:pPr>
        <w:spacing w:after="0" w:line="240" w:lineRule="auto"/>
      </w:pPr>
      <w:r>
        <w:separator/>
      </w:r>
    </w:p>
  </w:endnote>
  <w:endnote w:type="continuationSeparator" w:id="0">
    <w:p w:rsidR="00732F46" w:rsidRDefault="00732F46" w:rsidP="00FC1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3E2" w:rsidRDefault="005E13E2" w:rsidP="00FC1C58">
    <w:pPr>
      <w:pStyle w:val="Pieddepage"/>
      <w:spacing w:before="0" w:after="0"/>
      <w:jc w:val="center"/>
    </w:pPr>
    <w:r>
      <w:fldChar w:fldCharType="begin"/>
    </w:r>
    <w:r>
      <w:instrText xml:space="preserve"> PAGE   \* MERGEFORMAT </w:instrText>
    </w:r>
    <w:r>
      <w:fldChar w:fldCharType="separate"/>
    </w:r>
    <w:r w:rsidR="00C603D1">
      <w:rPr>
        <w:noProof/>
      </w:rPr>
      <w:t>20</w:t>
    </w:r>
    <w:r>
      <w:rPr>
        <w:noProof/>
      </w:rPr>
      <w:fldChar w:fldCharType="end"/>
    </w:r>
  </w:p>
  <w:p w:rsidR="005E13E2" w:rsidRDefault="005E13E2" w:rsidP="00FC1C58">
    <w:pPr>
      <w:pStyle w:val="Pieddepage"/>
      <w:spacing w:before="0" w:after="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3E2" w:rsidRPr="00B67844" w:rsidRDefault="005E13E2" w:rsidP="00FC1C58">
    <w:pPr>
      <w:spacing w:after="0" w:line="240" w:lineRule="auto"/>
      <w:rPr>
        <w:rFonts w:eastAsia="Times" w:cs="Times New Roman"/>
        <w:color w:val="FFCC00"/>
        <w:szCs w:val="20"/>
      </w:rPr>
    </w:pPr>
    <w:r w:rsidRPr="00B67844">
      <w:rPr>
        <w:rFonts w:eastAsia="Times" w:cs="Times New Roman"/>
        <w:color w:val="FFCC00"/>
        <w:szCs w:val="20"/>
      </w:rPr>
      <w:t>___________________________________________________________________________</w:t>
    </w:r>
  </w:p>
  <w:tbl>
    <w:tblPr>
      <w:tblW w:w="0" w:type="auto"/>
      <w:tblLook w:val="01E0" w:firstRow="1" w:lastRow="1" w:firstColumn="1" w:lastColumn="1" w:noHBand="0" w:noVBand="0"/>
    </w:tblPr>
    <w:tblGrid>
      <w:gridCol w:w="4534"/>
      <w:gridCol w:w="4538"/>
    </w:tblGrid>
    <w:tr w:rsidR="005E13E2" w:rsidRPr="00B67844" w:rsidTr="00FC1C58">
      <w:tc>
        <w:tcPr>
          <w:tcW w:w="4606" w:type="dxa"/>
          <w:vAlign w:val="center"/>
        </w:tcPr>
        <w:p w:rsidR="005E13E2" w:rsidRPr="00B67844" w:rsidRDefault="005E13E2" w:rsidP="00FC1C58">
          <w:pPr>
            <w:spacing w:after="0" w:line="240" w:lineRule="auto"/>
            <w:rPr>
              <w:rFonts w:cs="Times New Roman"/>
              <w:szCs w:val="20"/>
            </w:rPr>
          </w:pPr>
          <w:r w:rsidRPr="00B67844">
            <w:rPr>
              <w:rFonts w:cs="Times New Roman"/>
              <w:color w:val="000080"/>
              <w:szCs w:val="20"/>
            </w:rPr>
            <w:t>27 rue de Maubeuge</w:t>
          </w:r>
        </w:p>
      </w:tc>
      <w:tc>
        <w:tcPr>
          <w:tcW w:w="4606" w:type="dxa"/>
          <w:vAlign w:val="center"/>
        </w:tcPr>
        <w:p w:rsidR="005E13E2" w:rsidRPr="00B67844" w:rsidRDefault="005E13E2" w:rsidP="00FC1C58">
          <w:pPr>
            <w:spacing w:after="0" w:line="240" w:lineRule="auto"/>
            <w:jc w:val="right"/>
            <w:rPr>
              <w:rFonts w:cs="Times New Roman"/>
              <w:szCs w:val="20"/>
            </w:rPr>
          </w:pPr>
          <w:r w:rsidRPr="00B67844">
            <w:rPr>
              <w:rFonts w:cs="Times New Roman"/>
              <w:color w:val="000080"/>
              <w:szCs w:val="20"/>
            </w:rPr>
            <w:t>Tel : (33) 1 42 80 01 60</w:t>
          </w:r>
        </w:p>
      </w:tc>
    </w:tr>
    <w:tr w:rsidR="005E13E2" w:rsidRPr="00B67844" w:rsidTr="00FC1C58">
      <w:tc>
        <w:tcPr>
          <w:tcW w:w="4606" w:type="dxa"/>
          <w:vAlign w:val="center"/>
        </w:tcPr>
        <w:p w:rsidR="005E13E2" w:rsidRPr="00B67844" w:rsidRDefault="005E13E2" w:rsidP="00FC1C58">
          <w:pPr>
            <w:spacing w:after="0" w:line="240" w:lineRule="auto"/>
            <w:rPr>
              <w:rFonts w:cs="Times New Roman"/>
              <w:szCs w:val="20"/>
            </w:rPr>
          </w:pPr>
          <w:r w:rsidRPr="00B67844">
            <w:rPr>
              <w:rFonts w:cs="Times New Roman"/>
              <w:color w:val="000080"/>
              <w:szCs w:val="20"/>
            </w:rPr>
            <w:t>75009 Paris – France</w:t>
          </w:r>
        </w:p>
      </w:tc>
      <w:tc>
        <w:tcPr>
          <w:tcW w:w="4606" w:type="dxa"/>
          <w:vAlign w:val="center"/>
        </w:tcPr>
        <w:p w:rsidR="005E13E2" w:rsidRPr="00B67844" w:rsidRDefault="005E13E2" w:rsidP="00FC1C58">
          <w:pPr>
            <w:spacing w:after="0" w:line="240" w:lineRule="auto"/>
            <w:jc w:val="right"/>
            <w:rPr>
              <w:rFonts w:cs="Times New Roman"/>
              <w:color w:val="000080"/>
              <w:szCs w:val="20"/>
            </w:rPr>
          </w:pPr>
          <w:r w:rsidRPr="00B67844">
            <w:rPr>
              <w:rFonts w:cs="Times New Roman"/>
              <w:color w:val="000080"/>
              <w:szCs w:val="20"/>
            </w:rPr>
            <w:t>Fax : (33) 1 42 80 20 89</w:t>
          </w:r>
        </w:p>
      </w:tc>
    </w:tr>
    <w:tr w:rsidR="005E13E2" w:rsidRPr="00B67844" w:rsidTr="00FC1C58">
      <w:tc>
        <w:tcPr>
          <w:tcW w:w="4606" w:type="dxa"/>
          <w:vAlign w:val="center"/>
        </w:tcPr>
        <w:p w:rsidR="005E13E2" w:rsidRPr="00B67844" w:rsidRDefault="005E13E2" w:rsidP="00FC1C58">
          <w:pPr>
            <w:spacing w:after="0" w:line="240" w:lineRule="auto"/>
            <w:rPr>
              <w:rFonts w:cs="Times New Roman"/>
              <w:szCs w:val="20"/>
            </w:rPr>
          </w:pPr>
          <w:r w:rsidRPr="00B67844">
            <w:rPr>
              <w:rFonts w:cs="Times New Roman"/>
              <w:b/>
              <w:color w:val="000080"/>
              <w:szCs w:val="20"/>
            </w:rPr>
            <w:t>www.fiacat.org</w:t>
          </w:r>
        </w:p>
      </w:tc>
      <w:tc>
        <w:tcPr>
          <w:tcW w:w="4606" w:type="dxa"/>
          <w:vAlign w:val="center"/>
        </w:tcPr>
        <w:p w:rsidR="005E13E2" w:rsidRPr="00B67844" w:rsidRDefault="005E13E2" w:rsidP="00FC1C58">
          <w:pPr>
            <w:spacing w:after="0" w:line="240" w:lineRule="auto"/>
            <w:jc w:val="right"/>
            <w:rPr>
              <w:rFonts w:cs="Times New Roman"/>
              <w:szCs w:val="20"/>
            </w:rPr>
          </w:pPr>
          <w:r w:rsidRPr="00B67844">
            <w:rPr>
              <w:rFonts w:cs="Times New Roman"/>
              <w:b/>
              <w:color w:val="000080"/>
              <w:szCs w:val="20"/>
            </w:rPr>
            <w:t>fiacat@fiacat.org</w:t>
          </w:r>
        </w:p>
      </w:tc>
    </w:tr>
  </w:tbl>
  <w:p w:rsidR="005E13E2" w:rsidRPr="00B67844" w:rsidRDefault="005E13E2" w:rsidP="00FC1C58">
    <w:pPr>
      <w:pStyle w:val="Pieddepage"/>
      <w:spacing w:before="0" w:after="0"/>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F46" w:rsidRDefault="00732F46" w:rsidP="00FC1C58">
      <w:pPr>
        <w:spacing w:after="0" w:line="240" w:lineRule="auto"/>
      </w:pPr>
      <w:r>
        <w:separator/>
      </w:r>
    </w:p>
  </w:footnote>
  <w:footnote w:type="continuationSeparator" w:id="0">
    <w:p w:rsidR="00732F46" w:rsidRDefault="00732F46" w:rsidP="00FC1C58">
      <w:pPr>
        <w:spacing w:after="0" w:line="240" w:lineRule="auto"/>
      </w:pPr>
      <w:r>
        <w:continuationSeparator/>
      </w:r>
    </w:p>
  </w:footnote>
  <w:footnote w:id="1">
    <w:p w:rsidR="005E13E2" w:rsidRPr="00A2220E" w:rsidRDefault="005E13E2" w:rsidP="00A2220E">
      <w:pPr>
        <w:pStyle w:val="Notedebasdepage"/>
        <w:spacing w:before="0" w:after="0"/>
      </w:pPr>
      <w:r w:rsidRPr="00A2220E">
        <w:rPr>
          <w:rStyle w:val="Appelnotedebasdep"/>
          <w:i/>
        </w:rPr>
        <w:footnoteRef/>
      </w:r>
      <w:r w:rsidRPr="00A2220E">
        <w:rPr>
          <w:i/>
        </w:rPr>
        <w:t xml:space="preserve"> </w:t>
      </w:r>
      <w:r w:rsidRPr="00A2220E">
        <w:t>Voir le rapport de la commission nationale d’enquête CNE mise en place au lendemain de la crise postélectorale de 2010</w:t>
      </w:r>
    </w:p>
  </w:footnote>
  <w:footnote w:id="2">
    <w:p w:rsidR="005E13E2" w:rsidRPr="00A2220E" w:rsidRDefault="005E13E2" w:rsidP="00A2220E">
      <w:pPr>
        <w:pStyle w:val="Notedebasdepage"/>
        <w:spacing w:before="0" w:after="0"/>
      </w:pPr>
      <w:r w:rsidRPr="00A2220E">
        <w:rPr>
          <w:rStyle w:val="Appelnotedebasdep"/>
          <w:i/>
        </w:rPr>
        <w:footnoteRef/>
      </w:r>
      <w:r w:rsidRPr="00A2220E">
        <w:rPr>
          <w:i/>
        </w:rPr>
        <w:t xml:space="preserve"> </w:t>
      </w:r>
      <w:r w:rsidRPr="00A2220E">
        <w:t>Le 24 décembre 1999, le président Henri Konan Bédié est victime d’un coup d’Etat militaire dirigé par le Général GUEI Robert.</w:t>
      </w:r>
    </w:p>
    <w:p w:rsidR="005E13E2" w:rsidRPr="00A2220E" w:rsidRDefault="005E13E2" w:rsidP="00A2220E">
      <w:pPr>
        <w:pStyle w:val="Notedebasdepage"/>
        <w:spacing w:before="0" w:after="0"/>
        <w:rPr>
          <w:i/>
        </w:rPr>
      </w:pPr>
    </w:p>
  </w:footnote>
  <w:footnote w:id="3">
    <w:p w:rsidR="005E13E2" w:rsidRPr="00A2220E" w:rsidRDefault="005E13E2" w:rsidP="00A2220E">
      <w:pPr>
        <w:pStyle w:val="Notedebasdepage"/>
        <w:spacing w:before="0" w:after="0"/>
      </w:pPr>
      <w:r w:rsidRPr="00A2220E">
        <w:rPr>
          <w:rStyle w:val="Appelnotedebasdep"/>
          <w:i/>
        </w:rPr>
        <w:footnoteRef/>
      </w:r>
      <w:r w:rsidRPr="00A2220E">
        <w:rPr>
          <w:i/>
        </w:rPr>
        <w:t xml:space="preserve"> </w:t>
      </w:r>
      <w:r w:rsidRPr="00A2220E">
        <w:t>Blé Goudé, leader de la jeunesse patriotique et Dibopieu Jean-Yves, membre influent de la Galaxie patriotique sont tous les deux des anciens responsables de le Fédération Estudiantine Scolaire de Côte d’Ivoire (FESCI). Ils ont été détenus selon les termes du ministre de l’intérieur dans</w:t>
      </w:r>
      <w:r w:rsidRPr="00A2220E">
        <w:rPr>
          <w:i/>
        </w:rPr>
        <w:t xml:space="preserve"> « une résidence protégée ». </w:t>
      </w:r>
      <w:r w:rsidRPr="00A2220E">
        <w:t>Ni leurs parents, ni leurs avocats n’avaient accès à ces lieux. Dibopieu Jean-Yves a bénéficié d’une liberté provisoire dans le cadre d’une vague de libération de 50 pros Gbagbo intervenu le 31mai 2014 préalablement annoncée par le gouvernement. Ces libérations sont intervenues dans le cadre du dialogue politique avec l’opposition.</w:t>
      </w:r>
    </w:p>
  </w:footnote>
  <w:footnote w:id="4">
    <w:p w:rsidR="005E13E2" w:rsidRPr="00A2220E" w:rsidRDefault="005E13E2" w:rsidP="00A2220E">
      <w:pPr>
        <w:pStyle w:val="Notedebasdepage"/>
        <w:spacing w:before="0" w:after="0"/>
        <w:rPr>
          <w:i/>
        </w:rPr>
      </w:pPr>
      <w:r w:rsidRPr="00A2220E">
        <w:rPr>
          <w:rStyle w:val="Appelnotedebasdep"/>
          <w:i/>
        </w:rPr>
        <w:footnoteRef/>
      </w:r>
      <w:r w:rsidRPr="00A2220E">
        <w:rPr>
          <w:i/>
        </w:rPr>
        <w:t xml:space="preserve"> </w:t>
      </w:r>
      <w:r w:rsidRPr="00A2220E">
        <w:t>Les statistiques carcérales de la direction de l’administration pénitentiaire au 31 décembre 2014 indiquaient 39,87 % de taux  de prévenus.</w:t>
      </w:r>
      <w:r w:rsidRPr="00A2220E">
        <w:rPr>
          <w:i/>
        </w:rPr>
        <w:t xml:space="preserve"> </w:t>
      </w:r>
    </w:p>
  </w:footnote>
  <w:footnote w:id="5">
    <w:p w:rsidR="005E13E2" w:rsidRPr="00A2220E" w:rsidRDefault="005E13E2" w:rsidP="00E477EE">
      <w:pPr>
        <w:pStyle w:val="Notedebasdepage"/>
        <w:spacing w:before="0" w:after="0"/>
      </w:pPr>
      <w:r w:rsidRPr="00A2220E">
        <w:rPr>
          <w:rStyle w:val="Appelnotedebasdep"/>
        </w:rPr>
        <w:footnoteRef/>
      </w:r>
      <w:r w:rsidRPr="00A2220E">
        <w:t xml:space="preserve"> Articles 2, 3 et 6 de la Constitution</w:t>
      </w:r>
    </w:p>
    <w:p w:rsidR="005E13E2" w:rsidRPr="00E477EE" w:rsidRDefault="005E13E2" w:rsidP="00E477EE">
      <w:pPr>
        <w:pStyle w:val="Notedebasdepage"/>
        <w:spacing w:before="0" w:after="0"/>
        <w:rPr>
          <w:i/>
        </w:rPr>
      </w:pPr>
      <w:r w:rsidRPr="00E477EE">
        <w:rPr>
          <w:i/>
        </w:rPr>
        <w:t>« Article 2  La personne humaine est sacrée. Tous les êtres humains naissent libres et égaux devant la loi. Ils jouissent des droits inaliénables que sont le droit à la vie, à la liberté, à l'épanouissement de leur personnalité et au respect de leur dignité.</w:t>
      </w:r>
    </w:p>
    <w:p w:rsidR="005E13E2" w:rsidRPr="00E477EE" w:rsidRDefault="005E13E2" w:rsidP="00E477EE">
      <w:pPr>
        <w:pStyle w:val="Notedebasdepage"/>
        <w:spacing w:before="0" w:after="0"/>
        <w:rPr>
          <w:i/>
        </w:rPr>
      </w:pPr>
      <w:r w:rsidRPr="00E477EE">
        <w:rPr>
          <w:i/>
        </w:rPr>
        <w:t>Article 3 Sont interdits et punis par la loi, l'esclavage, le travail forcé, les traitements inhumains et cruels, dégradants et humiliants, la torture physique ou morale, les violences physiques et les mutilations et toutes les formes d'avilissement de l'être humain.</w:t>
      </w:r>
    </w:p>
    <w:p w:rsidR="005E13E2" w:rsidRPr="00A2220E" w:rsidRDefault="005E13E2" w:rsidP="00E477EE">
      <w:pPr>
        <w:pStyle w:val="Notedebasdepage"/>
        <w:spacing w:before="0" w:after="0"/>
      </w:pPr>
      <w:r w:rsidRPr="00E477EE">
        <w:rPr>
          <w:i/>
        </w:rPr>
        <w:t>Article 6 L'État assure la protection des enfants, des personnes âgées et des personnes handicapées. »</w:t>
      </w:r>
    </w:p>
  </w:footnote>
  <w:footnote w:id="6">
    <w:p w:rsidR="005E13E2" w:rsidRPr="00A2220E" w:rsidRDefault="005E13E2">
      <w:pPr>
        <w:pStyle w:val="Notedebasdepage"/>
        <w:spacing w:before="0" w:after="0"/>
      </w:pPr>
      <w:r w:rsidRPr="00A2220E">
        <w:rPr>
          <w:rStyle w:val="Appelnotedebasdep"/>
          <w:i/>
        </w:rPr>
        <w:footnoteRef/>
      </w:r>
      <w:r w:rsidRPr="00A2220E">
        <w:rPr>
          <w:i/>
        </w:rPr>
        <w:t xml:space="preserve"> </w:t>
      </w:r>
      <w:r w:rsidRPr="00A2220E">
        <w:t>Si on compte 5 m</w:t>
      </w:r>
      <w:r w:rsidRPr="00A2220E">
        <w:rPr>
          <w:vertAlign w:val="superscript"/>
        </w:rPr>
        <w:t>2</w:t>
      </w:r>
      <w:r w:rsidRPr="00A2220E">
        <w:t xml:space="preserve"> par personne détenue.</w:t>
      </w:r>
    </w:p>
  </w:footnote>
  <w:footnote w:id="7">
    <w:p w:rsidR="005E13E2" w:rsidRPr="00A2220E" w:rsidRDefault="005E13E2">
      <w:pPr>
        <w:pStyle w:val="Notedebasdepage"/>
        <w:spacing w:before="0" w:after="0"/>
      </w:pPr>
      <w:r w:rsidRPr="00A2220E">
        <w:rPr>
          <w:rStyle w:val="Appelnotedebasdep"/>
        </w:rPr>
        <w:footnoteRef/>
      </w:r>
      <w:r w:rsidRPr="00A2220E">
        <w:t xml:space="preserve"> </w:t>
      </w:r>
      <w:r w:rsidRPr="00A2220E">
        <w:rPr>
          <w:i/>
        </w:rPr>
        <w:t>« </w:t>
      </w:r>
      <w:r w:rsidRPr="00A2220E">
        <w:rPr>
          <w:rFonts w:eastAsia="Times"/>
          <w:i/>
          <w:lang w:eastAsia="fr-FR"/>
        </w:rPr>
        <w:t>Est puni de la peine de mort quiconque commet un assassinat, un parricide, un empoisonnement ou se rend coupable du crime de castration ou de stérilisation.</w:t>
      </w:r>
      <w:r w:rsidRPr="00A2220E">
        <w:rPr>
          <w:i/>
        </w:rPr>
        <w:t> »</w:t>
      </w:r>
    </w:p>
  </w:footnote>
  <w:footnote w:id="8">
    <w:p w:rsidR="005E13E2" w:rsidRPr="00A2220E" w:rsidRDefault="005E13E2">
      <w:pPr>
        <w:pStyle w:val="Notedebasdepage"/>
        <w:spacing w:before="0" w:after="0"/>
        <w:rPr>
          <w:i/>
        </w:rPr>
      </w:pPr>
      <w:r w:rsidRPr="00A2220E">
        <w:rPr>
          <w:rStyle w:val="Appelnotedebasdep"/>
        </w:rPr>
        <w:footnoteRef/>
      </w:r>
      <w:r w:rsidRPr="00A2220E">
        <w:t xml:space="preserve"> </w:t>
      </w:r>
      <w:r w:rsidRPr="00A2220E">
        <w:rPr>
          <w:i/>
        </w:rPr>
        <w:t>« Est puni de l’emprisonnement à vie quiconque commet un meurtre.</w:t>
      </w:r>
    </w:p>
    <w:p w:rsidR="005E13E2" w:rsidRPr="00A2220E" w:rsidRDefault="005E13E2">
      <w:pPr>
        <w:pStyle w:val="Notedebasdepage"/>
        <w:spacing w:before="0" w:after="0"/>
        <w:rPr>
          <w:i/>
        </w:rPr>
      </w:pPr>
      <w:r w:rsidRPr="00A2220E">
        <w:rPr>
          <w:i/>
        </w:rPr>
        <w:t>Il est puni de la peine de mort lorsque :</w:t>
      </w:r>
    </w:p>
    <w:p w:rsidR="005E13E2" w:rsidRPr="00A2220E" w:rsidRDefault="005E13E2" w:rsidP="00E477EE">
      <w:pPr>
        <w:pStyle w:val="Notedebasdepage"/>
        <w:numPr>
          <w:ilvl w:val="0"/>
          <w:numId w:val="6"/>
        </w:numPr>
        <w:tabs>
          <w:tab w:val="clear" w:pos="720"/>
          <w:tab w:val="num" w:pos="360"/>
        </w:tabs>
        <w:spacing w:before="0" w:after="0"/>
        <w:ind w:left="0" w:firstLine="0"/>
        <w:rPr>
          <w:i/>
        </w:rPr>
      </w:pPr>
      <w:r w:rsidRPr="00A2220E">
        <w:rPr>
          <w:i/>
        </w:rPr>
        <w:t>précède accompagne ou suit un autre crime ;</w:t>
      </w:r>
    </w:p>
    <w:p w:rsidR="005E13E2" w:rsidRPr="00A2220E" w:rsidRDefault="005E13E2" w:rsidP="00E477EE">
      <w:pPr>
        <w:pStyle w:val="Notedebasdepage"/>
        <w:numPr>
          <w:ilvl w:val="0"/>
          <w:numId w:val="6"/>
        </w:numPr>
        <w:tabs>
          <w:tab w:val="clear" w:pos="720"/>
          <w:tab w:val="num" w:pos="360"/>
        </w:tabs>
        <w:spacing w:before="0" w:after="0"/>
        <w:ind w:left="0" w:firstLine="0"/>
        <w:rPr>
          <w:i/>
        </w:rPr>
      </w:pPr>
      <w:r w:rsidRPr="00A2220E">
        <w:rPr>
          <w:i/>
        </w:rPr>
        <w:t>il a pour objet soit de préparer, faciliter ou exécuter un délit, soit de favoriser la fuite ou d’assurer l’impunité des auteurs ou complices de ce délit ;</w:t>
      </w:r>
    </w:p>
    <w:p w:rsidR="005E13E2" w:rsidRPr="00A2220E" w:rsidRDefault="005E13E2" w:rsidP="00E477EE">
      <w:pPr>
        <w:pStyle w:val="Notedebasdepage"/>
        <w:numPr>
          <w:ilvl w:val="0"/>
          <w:numId w:val="6"/>
        </w:numPr>
        <w:tabs>
          <w:tab w:val="clear" w:pos="720"/>
          <w:tab w:val="num" w:pos="360"/>
        </w:tabs>
        <w:spacing w:before="0" w:after="0"/>
        <w:ind w:left="0" w:firstLine="0"/>
      </w:pPr>
      <w:r w:rsidRPr="00A2220E">
        <w:rPr>
          <w:i/>
        </w:rPr>
        <w:t>son auteur pour sa réalisation emploie des tortures ou des actes de barbarie. »</w:t>
      </w:r>
    </w:p>
  </w:footnote>
  <w:footnote w:id="9">
    <w:p w:rsidR="005E13E2" w:rsidRPr="00A2220E" w:rsidRDefault="005E13E2">
      <w:pPr>
        <w:pStyle w:val="Titre2"/>
        <w:numPr>
          <w:ilvl w:val="0"/>
          <w:numId w:val="0"/>
        </w:numPr>
        <w:spacing w:before="0"/>
        <w:jc w:val="left"/>
        <w:rPr>
          <w:b w:val="0"/>
          <w:sz w:val="20"/>
          <w:szCs w:val="20"/>
        </w:rPr>
      </w:pPr>
      <w:r w:rsidRPr="00A2220E">
        <w:rPr>
          <w:b w:val="0"/>
          <w:sz w:val="20"/>
          <w:szCs w:val="20"/>
          <w:vertAlign w:val="superscript"/>
        </w:rPr>
        <w:footnoteRef/>
      </w:r>
      <w:r w:rsidRPr="00A2220E">
        <w:rPr>
          <w:b w:val="0"/>
          <w:i/>
          <w:sz w:val="20"/>
          <w:szCs w:val="20"/>
        </w:rPr>
        <w:t xml:space="preserve"> </w:t>
      </w:r>
      <w:r w:rsidRPr="00A2220E">
        <w:rPr>
          <w:b w:val="0"/>
          <w:sz w:val="20"/>
          <w:szCs w:val="20"/>
        </w:rPr>
        <w:t>Le 26 octobre 2000, un charnier de cinquante-sept personnes est découvert à Yopougon, un quartier populaire du nord-ouest d’Abidjan.</w:t>
      </w:r>
    </w:p>
  </w:footnote>
  <w:footnote w:id="10">
    <w:p w:rsidR="005E13E2" w:rsidRPr="00A2220E" w:rsidRDefault="005E13E2">
      <w:pPr>
        <w:pStyle w:val="Notedebasdepage"/>
        <w:spacing w:before="0" w:after="0"/>
        <w:rPr>
          <w:i/>
        </w:rPr>
      </w:pPr>
      <w:r w:rsidRPr="00A2220E">
        <w:rPr>
          <w:rStyle w:val="Appelnotedebasdep"/>
        </w:rPr>
        <w:footnoteRef/>
      </w:r>
      <w:r w:rsidRPr="00A2220E">
        <w:t xml:space="preserve"> Selon Issiaka Diaby, président du collectif des victimes en Côte d’Ivoire, ils craignent d’être ignorés par la justice nationale. Depuis 13 ans, ils cherchent  à</w:t>
      </w:r>
      <w:r w:rsidRPr="00A2220E">
        <w:rPr>
          <w:i/>
        </w:rPr>
        <w:t xml:space="preserve"> « </w:t>
      </w:r>
      <w:r w:rsidRPr="00A2220E">
        <w:rPr>
          <w:i/>
          <w:iCs/>
        </w:rPr>
        <w:t>connaître les commanditaires et les auteurs</w:t>
      </w:r>
      <w:r w:rsidRPr="00A2220E">
        <w:rPr>
          <w:i/>
        </w:rPr>
        <w:t xml:space="preserve"> » </w:t>
      </w:r>
      <w:r w:rsidRPr="00A2220E">
        <w:t>de ces crimes</w:t>
      </w:r>
      <w:r w:rsidRPr="00A2220E">
        <w:rPr>
          <w:i/>
        </w:rPr>
        <w:t xml:space="preserve">, « </w:t>
      </w:r>
      <w:r w:rsidRPr="00A2220E">
        <w:rPr>
          <w:i/>
          <w:iCs/>
        </w:rPr>
        <w:t>pour qu’ils répondent de leurs actes devant la justice</w:t>
      </w:r>
      <w:r w:rsidRPr="00A2220E">
        <w:rPr>
          <w:i/>
        </w:rPr>
        <w:t>».</w:t>
      </w:r>
    </w:p>
  </w:footnote>
  <w:footnote w:id="11">
    <w:p w:rsidR="005E13E2" w:rsidRPr="00A2220E" w:rsidRDefault="005E13E2">
      <w:pPr>
        <w:pStyle w:val="Notedebasdepage"/>
        <w:spacing w:before="0" w:after="0"/>
        <w:rPr>
          <w:i/>
        </w:rPr>
      </w:pPr>
      <w:r w:rsidRPr="00A2220E">
        <w:rPr>
          <w:vertAlign w:val="superscript"/>
        </w:rPr>
        <w:footnoteRef/>
      </w:r>
      <w:r w:rsidRPr="00A2220E">
        <w:rPr>
          <w:i/>
        </w:rPr>
        <w:t xml:space="preserve"> </w:t>
      </w:r>
      <w:r w:rsidRPr="00A2220E">
        <w:t xml:space="preserve">En février 2003, Amnesty International avait rendu public le massacre, en octobre 2002, de dizaines de gendarmes et de certains de leurs enfants, </w:t>
      </w:r>
      <w:r w:rsidRPr="00A2220E">
        <w:rPr>
          <w:i/>
        </w:rPr>
        <w:t>«détenus sans arme dans une prison militaire à Bouaké et abattus de sang-froid par des éléments armés du MPCI».</w:t>
      </w:r>
    </w:p>
  </w:footnote>
  <w:footnote w:id="12">
    <w:p w:rsidR="005E13E2" w:rsidRPr="00A2220E" w:rsidRDefault="005E13E2">
      <w:pPr>
        <w:pStyle w:val="Notedebasdepage"/>
        <w:spacing w:before="0" w:after="0"/>
      </w:pPr>
      <w:r w:rsidRPr="00A2220E">
        <w:rPr>
          <w:rStyle w:val="Appelnotedebasdep"/>
        </w:rPr>
        <w:footnoteRef/>
      </w:r>
      <w:r w:rsidRPr="00A2220E">
        <w:t xml:space="preserve"> La marche du Rassemblement des Houphouetistes pour la Démocratie et la Paix organisée à Abidjan a été réprimée et s’est soldée avec plus de 100 morts. Ces exactions commises par les FDS et des forces parallèles n’ont pas été sanctionnées. </w:t>
      </w:r>
    </w:p>
  </w:footnote>
  <w:footnote w:id="13">
    <w:p w:rsidR="005E13E2" w:rsidRPr="00A2220E" w:rsidRDefault="005E13E2">
      <w:pPr>
        <w:pStyle w:val="Notedebasdepage"/>
        <w:spacing w:before="0" w:after="0"/>
        <w:rPr>
          <w:i/>
        </w:rPr>
      </w:pPr>
      <w:r w:rsidRPr="00A2220E">
        <w:rPr>
          <w:rStyle w:val="Appelnotedebasdep"/>
        </w:rPr>
        <w:footnoteRef/>
      </w:r>
      <w:r w:rsidRPr="00A2220E">
        <w:t xml:space="preserve"> En juin 2004, les affrontements entre partisans de Soro et d’IB donnaient un bilan réservé de 22 morts pendant la bataille. L’ONUCI en évoquait une centaine et se déclarait «préoccupée par la situation des personnes encore détenues à la suite de ces événements». Selon Amnesty international</w:t>
      </w:r>
      <w:r w:rsidRPr="00A2220E">
        <w:rPr>
          <w:i/>
        </w:rPr>
        <w:t xml:space="preserve"> «les personnes détenues par la faction proche de Guillaume Soro auraient été placées dans des conteneurs et des dizaines d'entre elles seraient mortes par suffocation».</w:t>
      </w:r>
    </w:p>
  </w:footnote>
  <w:footnote w:id="14">
    <w:p w:rsidR="005E13E2" w:rsidRPr="00A2220E" w:rsidRDefault="005E13E2">
      <w:pPr>
        <w:pStyle w:val="Notedebasdepage"/>
        <w:spacing w:before="0" w:after="0"/>
      </w:pPr>
      <w:r w:rsidRPr="00A2220E">
        <w:rPr>
          <w:rStyle w:val="Appelnotedebasdep"/>
        </w:rPr>
        <w:footnoteRef/>
      </w:r>
      <w:r w:rsidRPr="00A2220E">
        <w:t xml:space="preserve"> Lors de la dix-neuvième session du groupe de travail de l’Examen périodique universel  portant sur la Côte d’Ivoire  le mardi 29 avril 2014, dans son intervention, la France a, dans une question posée à la délégation de la Côte d’Ivoire, demander de fournir des précisions sur le résultat de l’enquête concernant la destruction du camp de déplacés de Nahibly. </w:t>
      </w:r>
    </w:p>
  </w:footnote>
  <w:footnote w:id="15">
    <w:p w:rsidR="005E13E2" w:rsidRPr="00A2220E" w:rsidRDefault="005E13E2">
      <w:pPr>
        <w:pStyle w:val="NormalWeb"/>
        <w:shd w:val="clear" w:color="auto" w:fill="FFFFFF"/>
        <w:spacing w:before="0" w:beforeAutospacing="0" w:after="0" w:afterAutospacing="0" w:line="276" w:lineRule="auto"/>
        <w:jc w:val="both"/>
        <w:textAlignment w:val="baseline"/>
        <w:rPr>
          <w:rFonts w:ascii="Garamond" w:hAnsi="Garamond"/>
          <w:sz w:val="20"/>
          <w:szCs w:val="20"/>
          <w:lang w:eastAsia="en-US"/>
        </w:rPr>
      </w:pPr>
      <w:r w:rsidRPr="00A2220E">
        <w:rPr>
          <w:rStyle w:val="Appelnotedebasdep"/>
          <w:rFonts w:ascii="Garamond" w:hAnsi="Garamond"/>
          <w:sz w:val="20"/>
          <w:szCs w:val="20"/>
        </w:rPr>
        <w:footnoteRef/>
      </w:r>
      <w:r w:rsidRPr="00A2220E">
        <w:rPr>
          <w:rFonts w:ascii="Garamond" w:hAnsi="Garamond"/>
          <w:sz w:val="20"/>
          <w:szCs w:val="20"/>
        </w:rPr>
        <w:t xml:space="preserve"> </w:t>
      </w:r>
      <w:r w:rsidRPr="00A2220E">
        <w:rPr>
          <w:rFonts w:ascii="Garamond" w:hAnsi="Garamond"/>
          <w:sz w:val="20"/>
          <w:szCs w:val="20"/>
          <w:lang w:eastAsia="en-US"/>
        </w:rPr>
        <w:t>Dans le rapport sur la situation des droits de l'homme en Côte d'Ivoire (A/HRC/25/73) de l’expert indépendant Doudou Diène, il a observé des lenteurs en ce qui concerne les dossiers emblématiques comme les enquêtes sur les massacres de Nahibly et le charnier de Torgueï. Torguei est l’un des quartiers périphériques de Duekoué dans l’ouest de la Cote d’Ivoire. A l’issu de l’attaque du camp de Nahibly plusieurs dizaines de personnes ont été portées disparus. La FIDH et ses partenaires locaux le MIDH et la LIDHO ont assisté à l’exhumation les 11 et 12 octobre 2012 de 6 corps dans un puit de Torguei. Un autre est actuellement sous surveillance de l’ONUCI.</w:t>
      </w:r>
    </w:p>
  </w:footnote>
  <w:footnote w:id="16">
    <w:p w:rsidR="005E13E2" w:rsidRPr="00A2220E" w:rsidRDefault="005E13E2">
      <w:pPr>
        <w:pStyle w:val="Notedebasdepage"/>
        <w:spacing w:before="0" w:after="0"/>
      </w:pPr>
      <w:r w:rsidRPr="00A2220E">
        <w:rPr>
          <w:vertAlign w:val="superscript"/>
        </w:rPr>
        <w:footnoteRef/>
      </w:r>
      <w:r w:rsidRPr="00A2220E">
        <w:t xml:space="preserve"> Décret du Président de la République n° 2011-176 du 20 juillet 2011.</w:t>
      </w:r>
    </w:p>
  </w:footnote>
  <w:footnote w:id="17">
    <w:p w:rsidR="005E13E2" w:rsidRPr="00A2220E" w:rsidRDefault="005E13E2">
      <w:pPr>
        <w:pStyle w:val="NormalWeb"/>
        <w:spacing w:before="0" w:beforeAutospacing="0" w:after="0" w:afterAutospacing="0" w:line="276" w:lineRule="auto"/>
        <w:rPr>
          <w:rFonts w:ascii="Garamond" w:hAnsi="Garamond"/>
          <w:sz w:val="20"/>
          <w:szCs w:val="20"/>
          <w:lang w:eastAsia="en-US"/>
        </w:rPr>
      </w:pPr>
      <w:r w:rsidRPr="00A2220E">
        <w:rPr>
          <w:rStyle w:val="Appelnotedebasdep"/>
          <w:rFonts w:ascii="Garamond" w:hAnsi="Garamond"/>
          <w:sz w:val="20"/>
          <w:szCs w:val="20"/>
        </w:rPr>
        <w:footnoteRef/>
      </w:r>
      <w:r w:rsidRPr="00A2220E">
        <w:rPr>
          <w:rFonts w:ascii="Garamond" w:hAnsi="Garamond"/>
          <w:sz w:val="20"/>
          <w:szCs w:val="20"/>
        </w:rPr>
        <w:t xml:space="preserve"> </w:t>
      </w:r>
      <w:r w:rsidRPr="00A2220E">
        <w:rPr>
          <w:rFonts w:ascii="Garamond" w:hAnsi="Garamond"/>
          <w:sz w:val="20"/>
          <w:szCs w:val="20"/>
          <w:lang w:eastAsia="en-US"/>
        </w:rPr>
        <w:t>26 personnes, parmi lesquelles un enfant de 17 mois, ont été exécutées, notamment dans des villages proches d'Abidjan, de Duékoué (ouest, théâtre de tueries en mars) et de Daloa (centre-ouest), des régions peuplées de nombreux partisans de l'ex-président Laurent Gbagbo.</w:t>
      </w:r>
      <w:r w:rsidRPr="00A2220E">
        <w:rPr>
          <w:rFonts w:ascii="Garamond" w:hAnsi="Garamond"/>
          <w:i/>
          <w:sz w:val="20"/>
          <w:szCs w:val="20"/>
          <w:lang w:eastAsia="en-US"/>
        </w:rPr>
        <w:t xml:space="preserve"> </w:t>
      </w:r>
      <w:r w:rsidRPr="00A2220E">
        <w:rPr>
          <w:rFonts w:ascii="Garamond" w:hAnsi="Garamond"/>
          <w:sz w:val="20"/>
          <w:szCs w:val="20"/>
          <w:lang w:eastAsia="en-US"/>
        </w:rPr>
        <w:t>Ces exécutions ont été attribuées</w:t>
      </w:r>
      <w:r w:rsidRPr="00A2220E">
        <w:rPr>
          <w:rFonts w:ascii="Garamond" w:hAnsi="Garamond"/>
          <w:i/>
          <w:sz w:val="20"/>
          <w:szCs w:val="20"/>
          <w:lang w:eastAsia="en-US"/>
        </w:rPr>
        <w:t xml:space="preserve"> "aux éléments des FRCI, aux membres de la confrérie des Dozos (chasseurs traditionnels)" </w:t>
      </w:r>
      <w:r w:rsidRPr="00A2220E">
        <w:rPr>
          <w:rFonts w:ascii="Garamond" w:hAnsi="Garamond"/>
          <w:sz w:val="20"/>
          <w:szCs w:val="20"/>
          <w:lang w:eastAsia="en-US"/>
        </w:rPr>
        <w:t>qui les appuient et</w:t>
      </w:r>
      <w:r w:rsidRPr="00A2220E">
        <w:rPr>
          <w:rFonts w:ascii="Garamond" w:hAnsi="Garamond"/>
          <w:i/>
          <w:sz w:val="20"/>
          <w:szCs w:val="20"/>
          <w:lang w:eastAsia="en-US"/>
        </w:rPr>
        <w:t xml:space="preserve"> "aux miliciens gueré" </w:t>
      </w:r>
      <w:r w:rsidRPr="00A2220E">
        <w:rPr>
          <w:rFonts w:ascii="Garamond" w:hAnsi="Garamond"/>
          <w:sz w:val="20"/>
          <w:szCs w:val="20"/>
          <w:lang w:eastAsia="en-US"/>
        </w:rPr>
        <w:t>pro-Gbagbo, a précisé M. Ngefa</w:t>
      </w:r>
    </w:p>
  </w:footnote>
  <w:footnote w:id="18">
    <w:p w:rsidR="005E13E2" w:rsidRPr="00A2220E" w:rsidRDefault="005E13E2">
      <w:pPr>
        <w:pStyle w:val="Notedebasdepage"/>
        <w:spacing w:before="0" w:after="0"/>
      </w:pPr>
      <w:r w:rsidRPr="00A2220E">
        <w:rPr>
          <w:vertAlign w:val="superscript"/>
        </w:rPr>
        <w:footnoteRef/>
      </w:r>
      <w:r w:rsidRPr="00A2220E">
        <w:t xml:space="preserve"> Les Forces républicaines de Côte d’Ivoire créées par ordonnance n° 2011-002 du 17 mars 2011, sont un regroupement des Forces armées des Forces Nouvelles (FAFN) et des Forces de défense et de sécurité (FDS).</w:t>
      </w:r>
    </w:p>
  </w:footnote>
  <w:footnote w:id="19">
    <w:p w:rsidR="005E13E2" w:rsidRPr="00A2220E" w:rsidRDefault="005E13E2">
      <w:pPr>
        <w:pStyle w:val="Notedebasdepage"/>
        <w:spacing w:before="0" w:after="0"/>
      </w:pPr>
      <w:r w:rsidRPr="00A2220E">
        <w:rPr>
          <w:rStyle w:val="Appelnotedebasdep"/>
        </w:rPr>
        <w:footnoteRef/>
      </w:r>
      <w:r w:rsidRPr="00A2220E">
        <w:t xml:space="preserve"> 83 Pro Gbagbo en assise depuis le 26 décembre 2014 au tribunal d’Abidjan-plateau. </w:t>
      </w:r>
    </w:p>
  </w:footnote>
  <w:footnote w:id="20">
    <w:p w:rsidR="005E13E2" w:rsidRPr="00A2220E" w:rsidRDefault="005E13E2">
      <w:pPr>
        <w:pStyle w:val="Notedebasdepage"/>
        <w:spacing w:before="0" w:after="0"/>
      </w:pPr>
      <w:r w:rsidRPr="00A2220E">
        <w:rPr>
          <w:rStyle w:val="Appelnotedebasdep"/>
        </w:rPr>
        <w:footnoteRef/>
      </w:r>
      <w:r w:rsidRPr="00A2220E">
        <w:t xml:space="preserve"> Le général Dogo Blé, chef de corps de la garde républicaine, a été reconnu coupable, dans l’affaire d’assassinat du colonel Dosso, le 11 octobre 2012 par le tribunal militaire de Côte d’Ivoire qui lui a infligé une peine de 15 ans de prison militaire.</w:t>
      </w:r>
    </w:p>
  </w:footnote>
  <w:footnote w:id="21">
    <w:p w:rsidR="005E13E2" w:rsidRPr="00A2220E" w:rsidRDefault="005E13E2">
      <w:pPr>
        <w:pStyle w:val="Notedebasdepage"/>
        <w:spacing w:before="0" w:after="0"/>
      </w:pPr>
      <w:r w:rsidRPr="00A2220E">
        <w:rPr>
          <w:rStyle w:val="Appelnotedebasdep"/>
        </w:rPr>
        <w:footnoteRef/>
      </w:r>
      <w:r w:rsidRPr="00A2220E">
        <w:t xml:space="preserve"> § 249 du Rapport.</w:t>
      </w:r>
    </w:p>
  </w:footnote>
  <w:footnote w:id="22">
    <w:p w:rsidR="005E13E2" w:rsidRPr="00A2220E" w:rsidRDefault="005E13E2">
      <w:pPr>
        <w:pStyle w:val="Notedebasdepage"/>
        <w:spacing w:before="0" w:after="0"/>
      </w:pPr>
      <w:r w:rsidRPr="00A2220E">
        <w:rPr>
          <w:rStyle w:val="Appelnotedebasdep"/>
        </w:rPr>
        <w:footnoteRef/>
      </w:r>
      <w:r w:rsidRPr="00A2220E">
        <w:t xml:space="preserve"> Résolution CADHP/Res.136(XXXXIIII) 08 adoptée à Abuja (Nigeria) lors de la 44</w:t>
      </w:r>
      <w:r w:rsidRPr="00A2220E">
        <w:rPr>
          <w:vertAlign w:val="superscript"/>
        </w:rPr>
        <w:t>e</w:t>
      </w:r>
      <w:r w:rsidRPr="00A2220E">
        <w:t xml:space="preserve"> session ordinaire de la CADHP.</w:t>
      </w:r>
    </w:p>
  </w:footnote>
  <w:footnote w:id="23">
    <w:p w:rsidR="005E13E2" w:rsidRPr="00A2220E" w:rsidRDefault="005E13E2">
      <w:pPr>
        <w:pStyle w:val="Notedebasdepage"/>
        <w:spacing w:before="0" w:after="0"/>
      </w:pPr>
      <w:r w:rsidRPr="00A2220E">
        <w:rPr>
          <w:rStyle w:val="Appelnotedebasdep"/>
        </w:rPr>
        <w:footnoteRef/>
      </w:r>
      <w:r w:rsidRPr="00A2220E">
        <w:t xml:space="preserve"> </w:t>
      </w:r>
      <w:r w:rsidRPr="00A2220E">
        <w:rPr>
          <w:rFonts w:cs="Garamond"/>
          <w:bCs/>
        </w:rPr>
        <w:t>La FIDH, le MIDH et la LIDHO, qui sont parties civiles dans les procédures judiciaires qui concernent la crise post-électorale, aux côtés de plus de 75 victimes, se sont félicités que cette cellule spéciale soit devenue permanente car elle était menacée de disparaitre</w:t>
      </w:r>
      <w:r w:rsidRPr="00A2220E">
        <w:rPr>
          <w:rFonts w:cs="Garamond"/>
          <w:bCs/>
          <w:i/>
        </w:rPr>
        <w:t>.</w:t>
      </w:r>
      <w:r w:rsidRPr="00A2220E">
        <w:rPr>
          <w:rFonts w:cs="Garamond"/>
          <w:b/>
          <w:bCs/>
          <w:i/>
        </w:rPr>
        <w:t xml:space="preserve"> </w:t>
      </w:r>
    </w:p>
  </w:footnote>
  <w:footnote w:id="24">
    <w:p w:rsidR="005E13E2" w:rsidRPr="00A2220E" w:rsidRDefault="005E13E2">
      <w:pPr>
        <w:spacing w:after="0" w:line="276" w:lineRule="auto"/>
        <w:rPr>
          <w:rFonts w:ascii="Garamond" w:eastAsia="Times New Roman" w:hAnsi="Garamond" w:cs="Garamond"/>
          <w:bCs/>
          <w:sz w:val="20"/>
          <w:szCs w:val="20"/>
        </w:rPr>
      </w:pPr>
      <w:r w:rsidRPr="00A2220E">
        <w:rPr>
          <w:rStyle w:val="Appelnotedebasdep"/>
          <w:rFonts w:ascii="Garamond" w:hAnsi="Garamond"/>
          <w:sz w:val="20"/>
          <w:szCs w:val="20"/>
        </w:rPr>
        <w:footnoteRef/>
      </w:r>
      <w:r w:rsidRPr="00A2220E">
        <w:rPr>
          <w:rFonts w:ascii="Garamond" w:hAnsi="Garamond"/>
          <w:sz w:val="20"/>
          <w:szCs w:val="20"/>
        </w:rPr>
        <w:t xml:space="preserve"> </w:t>
      </w:r>
      <w:r w:rsidRPr="00A2220E">
        <w:rPr>
          <w:rFonts w:ascii="Garamond" w:eastAsia="Times New Roman" w:hAnsi="Garamond" w:cs="Garamond"/>
          <w:bCs/>
          <w:sz w:val="20"/>
          <w:szCs w:val="20"/>
        </w:rPr>
        <w:t>L’article 345 du Code pénal :</w:t>
      </w:r>
    </w:p>
    <w:p w:rsidR="005E13E2" w:rsidRPr="00A2220E" w:rsidRDefault="005E13E2">
      <w:pPr>
        <w:spacing w:after="0" w:line="276" w:lineRule="auto"/>
        <w:rPr>
          <w:rFonts w:ascii="Garamond" w:eastAsia="Times New Roman" w:hAnsi="Garamond" w:cs="Garamond"/>
          <w:bCs/>
          <w:i/>
          <w:sz w:val="20"/>
          <w:szCs w:val="20"/>
        </w:rPr>
      </w:pPr>
      <w:r w:rsidRPr="00A2220E">
        <w:rPr>
          <w:rFonts w:ascii="Garamond" w:eastAsia="Times New Roman" w:hAnsi="Garamond" w:cs="Garamond"/>
          <w:bCs/>
          <w:sz w:val="20"/>
          <w:szCs w:val="20"/>
        </w:rPr>
        <w:t>« </w:t>
      </w:r>
      <w:r w:rsidRPr="00A2220E">
        <w:rPr>
          <w:rFonts w:ascii="Garamond" w:eastAsia="Times New Roman" w:hAnsi="Garamond" w:cs="Garamond"/>
          <w:bCs/>
          <w:i/>
          <w:sz w:val="20"/>
          <w:szCs w:val="20"/>
        </w:rPr>
        <w:t>Quiconque, volontairement, porte des coups ou faits des blessures ou commet toute autre violence ou voie de fait est puni :</w:t>
      </w:r>
    </w:p>
    <w:p w:rsidR="005E13E2" w:rsidRPr="00A2220E" w:rsidRDefault="005E13E2">
      <w:pPr>
        <w:numPr>
          <w:ilvl w:val="0"/>
          <w:numId w:val="4"/>
        </w:numPr>
        <w:spacing w:after="0" w:line="276" w:lineRule="auto"/>
        <w:jc w:val="both"/>
        <w:rPr>
          <w:rFonts w:ascii="Garamond" w:eastAsia="Times New Roman" w:hAnsi="Garamond" w:cs="Garamond"/>
          <w:bCs/>
          <w:i/>
          <w:sz w:val="20"/>
          <w:szCs w:val="20"/>
        </w:rPr>
      </w:pPr>
      <w:r w:rsidRPr="00A2220E">
        <w:rPr>
          <w:rFonts w:ascii="Garamond" w:eastAsia="Times New Roman" w:hAnsi="Garamond" w:cs="Garamond"/>
          <w:bCs/>
          <w:i/>
          <w:sz w:val="20"/>
          <w:szCs w:val="20"/>
        </w:rPr>
        <w:t>De l’emprisonnement de cinq à vingt ans, lorsque les coups portés et les blessures faites, même sans intention de donner la mort, l’ont pourtant occasionnée ;</w:t>
      </w:r>
    </w:p>
    <w:p w:rsidR="005E13E2" w:rsidRPr="00A2220E" w:rsidRDefault="005E13E2">
      <w:pPr>
        <w:numPr>
          <w:ilvl w:val="0"/>
          <w:numId w:val="4"/>
        </w:numPr>
        <w:tabs>
          <w:tab w:val="num" w:pos="360"/>
        </w:tabs>
        <w:spacing w:after="0" w:line="276" w:lineRule="auto"/>
        <w:jc w:val="both"/>
        <w:rPr>
          <w:rFonts w:ascii="Garamond" w:eastAsia="Times New Roman" w:hAnsi="Garamond" w:cs="Garamond"/>
          <w:bCs/>
          <w:i/>
          <w:sz w:val="20"/>
          <w:szCs w:val="20"/>
        </w:rPr>
      </w:pPr>
      <w:r w:rsidRPr="00A2220E">
        <w:rPr>
          <w:rFonts w:ascii="Garamond" w:eastAsia="Times New Roman" w:hAnsi="Garamond" w:cs="Garamond"/>
          <w:bCs/>
          <w:i/>
          <w:sz w:val="20"/>
          <w:szCs w:val="20"/>
        </w:rPr>
        <w:t>D’un emprisonnement de cinq à dix ans et d’une amende de 50.000 à 500.000 francs lorsque les violences ont occasionné une mutilation, amputation ou privation de l’usage d’un membre, la cécité ou la perte d’un œil ou toute autre infirmité permanente ;</w:t>
      </w:r>
    </w:p>
    <w:p w:rsidR="005E13E2" w:rsidRPr="00A2220E" w:rsidRDefault="005E13E2">
      <w:pPr>
        <w:numPr>
          <w:ilvl w:val="0"/>
          <w:numId w:val="4"/>
        </w:numPr>
        <w:tabs>
          <w:tab w:val="num" w:pos="360"/>
        </w:tabs>
        <w:spacing w:after="0" w:line="276" w:lineRule="auto"/>
        <w:jc w:val="both"/>
        <w:rPr>
          <w:rFonts w:ascii="Garamond" w:eastAsia="Times New Roman" w:hAnsi="Garamond" w:cs="Garamond"/>
          <w:bCs/>
          <w:i/>
          <w:sz w:val="20"/>
          <w:szCs w:val="20"/>
        </w:rPr>
      </w:pPr>
      <w:r w:rsidRPr="00A2220E">
        <w:rPr>
          <w:rFonts w:ascii="Garamond" w:eastAsia="Times New Roman" w:hAnsi="Garamond" w:cs="Garamond"/>
          <w:bCs/>
          <w:i/>
          <w:sz w:val="20"/>
          <w:szCs w:val="20"/>
        </w:rPr>
        <w:t>D’un emprisonnement d’un à cinq ans et d’une amende de 20.000 à 200.000 francs lorsqu’il en est résulté une maladie ou incapacité totale de travail personnel pendant plus de dix jours ;</w:t>
      </w:r>
    </w:p>
    <w:p w:rsidR="005E13E2" w:rsidRPr="00A2220E" w:rsidRDefault="005E13E2">
      <w:pPr>
        <w:numPr>
          <w:ilvl w:val="0"/>
          <w:numId w:val="4"/>
        </w:numPr>
        <w:tabs>
          <w:tab w:val="num" w:pos="360"/>
        </w:tabs>
        <w:spacing w:after="0" w:line="276" w:lineRule="auto"/>
        <w:jc w:val="both"/>
        <w:rPr>
          <w:rFonts w:ascii="Garamond" w:eastAsia="Times New Roman" w:hAnsi="Garamond" w:cs="Times New Roman"/>
          <w:i/>
          <w:sz w:val="20"/>
          <w:szCs w:val="20"/>
        </w:rPr>
      </w:pPr>
      <w:r w:rsidRPr="00A2220E">
        <w:rPr>
          <w:rFonts w:ascii="Garamond" w:eastAsia="Times New Roman" w:hAnsi="Garamond" w:cs="Times New Roman"/>
          <w:i/>
          <w:sz w:val="20"/>
          <w:szCs w:val="20"/>
        </w:rPr>
        <w:t>D’un emprisonnement de six jours à un an et d’une amende de 10.000 à 100.000 francs lorsqu’il n’en est résulté aucune maladie ou incapacité de travail de l’espèce mentionnée à l’alinéa précédent. »</w:t>
      </w:r>
    </w:p>
  </w:footnote>
  <w:footnote w:id="25">
    <w:p w:rsidR="005E13E2" w:rsidRPr="00A2220E" w:rsidRDefault="005E13E2">
      <w:pPr>
        <w:spacing w:after="0" w:line="276" w:lineRule="auto"/>
        <w:rPr>
          <w:rFonts w:ascii="Garamond" w:eastAsia="Times New Roman" w:hAnsi="Garamond" w:cs="Times New Roman"/>
          <w:i/>
          <w:sz w:val="20"/>
          <w:szCs w:val="20"/>
        </w:rPr>
      </w:pPr>
      <w:r w:rsidRPr="00A2220E">
        <w:rPr>
          <w:rFonts w:ascii="Garamond" w:eastAsia="Times New Roman" w:hAnsi="Garamond" w:cs="Times New Roman"/>
          <w:sz w:val="20"/>
          <w:szCs w:val="20"/>
          <w:vertAlign w:val="superscript"/>
        </w:rPr>
        <w:footnoteRef/>
      </w:r>
      <w:r w:rsidRPr="00A2220E">
        <w:rPr>
          <w:rFonts w:ascii="Garamond" w:eastAsia="Times New Roman" w:hAnsi="Garamond" w:cs="Times New Roman"/>
          <w:i/>
          <w:sz w:val="20"/>
          <w:szCs w:val="20"/>
        </w:rPr>
        <w:t xml:space="preserve"> </w:t>
      </w:r>
      <w:r w:rsidRPr="00A2220E">
        <w:rPr>
          <w:rFonts w:ascii="Garamond" w:eastAsia="Times New Roman" w:hAnsi="Garamond" w:cs="Times New Roman"/>
          <w:sz w:val="20"/>
          <w:szCs w:val="20"/>
        </w:rPr>
        <w:t>L’article 344 dispose qu’</w:t>
      </w:r>
      <w:r w:rsidRPr="00A2220E">
        <w:rPr>
          <w:rFonts w:ascii="Garamond" w:eastAsia="Times New Roman" w:hAnsi="Garamond" w:cs="Times New Roman"/>
          <w:i/>
          <w:sz w:val="20"/>
          <w:szCs w:val="20"/>
        </w:rPr>
        <w:t xml:space="preserve"> « Est puni de l’emprisonnement à vie quiconque commet un meurtre. Le meurtre est puni de la peine de mort lorsque : (…) 3. Son auteur pour sa réalisation emploie des tortures ou commet des actes de barbarie. ».</w:t>
      </w:r>
      <w:r w:rsidRPr="00A2220E">
        <w:rPr>
          <w:rFonts w:ascii="Garamond" w:eastAsia="Times New Roman" w:hAnsi="Garamond" w:cs="Times New Roman"/>
          <w:i/>
          <w:sz w:val="20"/>
          <w:szCs w:val="20"/>
        </w:rPr>
        <w:br/>
      </w:r>
      <w:r w:rsidRPr="00A2220E">
        <w:rPr>
          <w:rFonts w:ascii="Garamond" w:eastAsia="Times New Roman" w:hAnsi="Garamond" w:cs="Times New Roman"/>
          <w:sz w:val="20"/>
          <w:szCs w:val="20"/>
        </w:rPr>
        <w:t>De même, en cas de séquestration, l’article 374 §2 du Code pénal dispose</w:t>
      </w:r>
      <w:r w:rsidRPr="00A2220E">
        <w:rPr>
          <w:rFonts w:ascii="Garamond" w:eastAsia="Times New Roman" w:hAnsi="Garamond" w:cs="Times New Roman"/>
          <w:i/>
          <w:sz w:val="20"/>
          <w:szCs w:val="20"/>
        </w:rPr>
        <w:t> : « La peine est l’emprisonnement à vie si les personnes arrêtées, détenues ou séquestrées ont été soumises à des tortures corporelles. »</w:t>
      </w:r>
    </w:p>
  </w:footnote>
  <w:footnote w:id="26">
    <w:p w:rsidR="005E13E2" w:rsidRPr="00A2220E" w:rsidRDefault="005E13E2">
      <w:pPr>
        <w:pStyle w:val="Notedebasdepage"/>
        <w:spacing w:before="0" w:after="0"/>
      </w:pPr>
      <w:r w:rsidRPr="00A2220E">
        <w:rPr>
          <w:rStyle w:val="Appelnotedebasdep"/>
        </w:rPr>
        <w:footnoteRef/>
      </w:r>
      <w:r w:rsidRPr="00A2220E">
        <w:rPr>
          <w:i/>
        </w:rPr>
        <w:t xml:space="preserve"> </w:t>
      </w:r>
      <w:r w:rsidRPr="00A2220E">
        <w:t>Article 345 du code pénal alinéa 1, 2, 3,4</w:t>
      </w:r>
    </w:p>
  </w:footnote>
  <w:footnote w:id="27">
    <w:p w:rsidR="005E13E2" w:rsidRPr="00A2220E" w:rsidRDefault="005E13E2">
      <w:pPr>
        <w:pStyle w:val="Notedebasdepage"/>
        <w:spacing w:before="0" w:after="0"/>
      </w:pPr>
      <w:r w:rsidRPr="00A2220E">
        <w:rPr>
          <w:rStyle w:val="Appelnotedebasdep"/>
        </w:rPr>
        <w:footnoteRef/>
      </w:r>
      <w:r w:rsidRPr="00A2220E">
        <w:t xml:space="preserve"> Rapport de la Commission nationale d’enquête, p. 15</w:t>
      </w:r>
      <w:r w:rsidRPr="00A2220E">
        <w:rPr>
          <w:i/>
        </w:rPr>
        <w:t>.</w:t>
      </w:r>
    </w:p>
  </w:footnote>
  <w:footnote w:id="28">
    <w:p w:rsidR="005E13E2" w:rsidRPr="00A2220E" w:rsidRDefault="005E13E2">
      <w:pPr>
        <w:pStyle w:val="Notedebasdepage"/>
        <w:spacing w:before="0" w:after="0"/>
      </w:pPr>
      <w:r w:rsidRPr="00A2220E">
        <w:rPr>
          <w:rStyle w:val="Appelnotedebasdep"/>
        </w:rPr>
        <w:footnoteRef/>
      </w:r>
      <w:r w:rsidRPr="00A2220E">
        <w:t xml:space="preserve"> Le comité interministériel chargé de la révision des codes usuels comprend quatre sous-comité : 1-le sous-comité </w:t>
      </w:r>
      <w:r w:rsidRPr="00A2220E" w:rsidDel="006A1F27">
        <w:t xml:space="preserve"> </w:t>
      </w:r>
      <w:r w:rsidRPr="00A2220E">
        <w:t>CPP, 2-le sous-comité  CPC, 3- le sous-comité </w:t>
      </w:r>
      <w:r w:rsidRPr="00A2220E" w:rsidDel="006A1F27">
        <w:t xml:space="preserve"> </w:t>
      </w:r>
      <w:r w:rsidRPr="00A2220E">
        <w:t xml:space="preserve">CP, 4- le sous-comité chargé des lois civiles sur les personnes et la famille. </w:t>
      </w:r>
    </w:p>
  </w:footnote>
  <w:footnote w:id="29">
    <w:p w:rsidR="005E13E2" w:rsidRPr="00A2220E" w:rsidRDefault="005E13E2">
      <w:pPr>
        <w:pStyle w:val="Notedebasdepage"/>
        <w:spacing w:before="0" w:after="0"/>
        <w:rPr>
          <w:i/>
        </w:rPr>
      </w:pPr>
      <w:r w:rsidRPr="00A2220E">
        <w:rPr>
          <w:rStyle w:val="Appelnotedebasdep"/>
        </w:rPr>
        <w:footnoteRef/>
      </w:r>
      <w:r w:rsidRPr="00A2220E">
        <w:t xml:space="preserve"> Article 345 alinéa 1, 2, 3,4 du Code pénal</w:t>
      </w:r>
    </w:p>
  </w:footnote>
  <w:footnote w:id="30">
    <w:p w:rsidR="005E13E2" w:rsidRPr="00A2220E" w:rsidRDefault="005E13E2">
      <w:pPr>
        <w:pStyle w:val="Notedebasdepage"/>
        <w:spacing w:before="0" w:after="0"/>
      </w:pPr>
      <w:r w:rsidRPr="00A2220E">
        <w:rPr>
          <w:rStyle w:val="Appelnotedebasdep"/>
        </w:rPr>
        <w:footnoteRef/>
      </w:r>
      <w:r w:rsidRPr="00A2220E">
        <w:t xml:space="preserve"> Source : Assalé Tiemoko, prisonnier en Côte d’Ivoire, </w:t>
      </w:r>
      <w:r w:rsidRPr="00A2220E">
        <w:rPr>
          <w:i/>
        </w:rPr>
        <w:t>J’ai vécu l’enfer de la Maca</w:t>
      </w:r>
      <w:r w:rsidRPr="00A2220E">
        <w:t> , les éditions  du réveil, 2009 p 41</w:t>
      </w:r>
    </w:p>
  </w:footnote>
  <w:footnote w:id="31">
    <w:p w:rsidR="005E13E2" w:rsidRPr="00A2220E" w:rsidRDefault="005E13E2">
      <w:pPr>
        <w:pStyle w:val="Notedebasdepage"/>
        <w:spacing w:before="0" w:after="0"/>
      </w:pPr>
      <w:r w:rsidRPr="00A2220E">
        <w:rPr>
          <w:rStyle w:val="Appelnotedebasdep"/>
        </w:rPr>
        <w:footnoteRef/>
      </w:r>
      <w:r w:rsidRPr="00A2220E">
        <w:t xml:space="preserve"> </w:t>
      </w:r>
      <w:r w:rsidRPr="00A2220E">
        <w:rPr>
          <w:i/>
        </w:rPr>
        <w:t xml:space="preserve">CNDHCI, L’Etat des droits de l’homme en Côte d’Ivoire, </w:t>
      </w:r>
      <w:r w:rsidRPr="00A2220E">
        <w:t>rapport annuel 2009 p</w:t>
      </w:r>
      <w:r w:rsidRPr="00A2220E">
        <w:rPr>
          <w:i/>
        </w:rPr>
        <w:t xml:space="preserve"> </w:t>
      </w:r>
      <w:r w:rsidRPr="00A2220E">
        <w:t>17-20</w:t>
      </w:r>
    </w:p>
  </w:footnote>
  <w:footnote w:id="32">
    <w:p w:rsidR="005E13E2" w:rsidRPr="00A2220E" w:rsidRDefault="005E13E2">
      <w:pPr>
        <w:spacing w:after="0" w:line="276" w:lineRule="auto"/>
        <w:jc w:val="both"/>
        <w:outlineLvl w:val="2"/>
        <w:rPr>
          <w:rFonts w:ascii="Garamond" w:eastAsia="Times New Roman" w:hAnsi="Garamond" w:cs="Garamond"/>
          <w:i/>
          <w:sz w:val="20"/>
          <w:szCs w:val="20"/>
        </w:rPr>
      </w:pPr>
      <w:r w:rsidRPr="00A2220E">
        <w:rPr>
          <w:rStyle w:val="Appelnotedebasdep"/>
          <w:rFonts w:ascii="Garamond" w:hAnsi="Garamond"/>
          <w:sz w:val="20"/>
          <w:szCs w:val="20"/>
        </w:rPr>
        <w:footnoteRef/>
      </w:r>
      <w:r w:rsidRPr="00A2220E">
        <w:rPr>
          <w:rFonts w:ascii="Garamond" w:hAnsi="Garamond"/>
          <w:sz w:val="20"/>
          <w:szCs w:val="20"/>
        </w:rPr>
        <w:t xml:space="preserve"> </w:t>
      </w:r>
      <w:r w:rsidRPr="00A2220E">
        <w:rPr>
          <w:rFonts w:ascii="Garamond" w:eastAsia="Times New Roman" w:hAnsi="Garamond" w:cs="Garamond"/>
          <w:sz w:val="20"/>
          <w:szCs w:val="20"/>
        </w:rPr>
        <w:t xml:space="preserve">Article 10 de la </w:t>
      </w:r>
      <w:r>
        <w:rPr>
          <w:rFonts w:ascii="Garamond" w:eastAsia="Times New Roman" w:hAnsi="Garamond" w:cs="Garamond"/>
          <w:sz w:val="20"/>
          <w:szCs w:val="20"/>
        </w:rPr>
        <w:t>C</w:t>
      </w:r>
      <w:r w:rsidRPr="00A2220E">
        <w:rPr>
          <w:rFonts w:ascii="Garamond" w:eastAsia="Times New Roman" w:hAnsi="Garamond" w:cs="Garamond"/>
          <w:sz w:val="20"/>
          <w:szCs w:val="20"/>
        </w:rPr>
        <w:t>onvention contre la torture et autres peines ou traitements cruels, inhumains ou dégradants</w:t>
      </w:r>
    </w:p>
    <w:p w:rsidR="005E13E2" w:rsidRPr="00A2220E" w:rsidRDefault="005E13E2">
      <w:pPr>
        <w:spacing w:after="0" w:line="276" w:lineRule="auto"/>
        <w:ind w:left="708"/>
        <w:jc w:val="both"/>
        <w:rPr>
          <w:rFonts w:ascii="Garamond" w:eastAsia="Times New Roman" w:hAnsi="Garamond" w:cs="Garamond"/>
          <w:i/>
          <w:sz w:val="20"/>
          <w:szCs w:val="20"/>
        </w:rPr>
      </w:pPr>
      <w:r w:rsidRPr="00A2220E">
        <w:rPr>
          <w:rFonts w:ascii="Garamond" w:eastAsia="Times New Roman" w:hAnsi="Garamond" w:cs="Garamond"/>
          <w:i/>
          <w:sz w:val="20"/>
          <w:szCs w:val="20"/>
        </w:rPr>
        <w:t xml:space="preserve">1. Tout Etat partie veille à ce que l'enseignement et l'information concernant l'interdiction de la torture fassent partie intégrante de la formation du personnel civil ou militaire chargé de l'application des lois, du personnel médical, des agents de la fonction publique et des autres personnes qui peuvent intervenir dans la garde, l'interrogatoire ou le traitement de tout individu arrêté, détenu ou emprisonné de quelque façon que ce soit. </w:t>
      </w:r>
    </w:p>
  </w:footnote>
  <w:footnote w:id="33">
    <w:p w:rsidR="005E13E2" w:rsidRPr="00A2220E" w:rsidRDefault="005E13E2">
      <w:pPr>
        <w:pStyle w:val="Notedebasdepage"/>
        <w:spacing w:before="0" w:after="0"/>
      </w:pPr>
      <w:r w:rsidRPr="00A2220E">
        <w:rPr>
          <w:rStyle w:val="Appelnotedebasdep"/>
        </w:rPr>
        <w:footnoteRef/>
      </w:r>
      <w:r w:rsidRPr="00A2220E">
        <w:t xml:space="preserve"> </w:t>
      </w:r>
      <w:r w:rsidRPr="00A2220E">
        <w:rPr>
          <w:rFonts w:cs="Garamond"/>
        </w:rPr>
        <w:t>Une première vague de 400 agents formés à Bouaké ; deux autres respectivement de 700 et de 900 formés à l’école de police à Abidjan. La durée de formation est de 2 mois. Aux dires de plusieurs détenus que l’ACAT CI a rencontrés, ils veulent plus faire peur que d’inspirer le respect.</w:t>
      </w:r>
      <w:r w:rsidRPr="00A2220E">
        <w:t xml:space="preserve">  </w:t>
      </w:r>
    </w:p>
  </w:footnote>
  <w:footnote w:id="34">
    <w:p w:rsidR="005E13E2" w:rsidRPr="00A2220E" w:rsidRDefault="005E13E2" w:rsidP="00E477EE">
      <w:pPr>
        <w:pStyle w:val="Notedebasdepage"/>
        <w:spacing w:before="0" w:after="0"/>
      </w:pPr>
      <w:r w:rsidRPr="00A2220E">
        <w:rPr>
          <w:rStyle w:val="Appelnotedebasdep"/>
        </w:rPr>
        <w:footnoteRef/>
      </w:r>
      <w:r w:rsidRPr="00A2220E">
        <w:t xml:space="preserve"> La Côte d’Ivoire a atteint le mardi 26 juin 2012, le point d’achèvement de l’Initiative des Pays Pauvres Très Endettés (PPTE).Elle bénéficie d’un allègement de 2150 milliards de FCFA  soit 24% de sa dette extérieure. Le mécanisme de l’allègement de la dette prévoit la réforme du système judiciaire ivoirien.</w:t>
      </w:r>
    </w:p>
  </w:footnote>
  <w:footnote w:id="35">
    <w:p w:rsidR="005E13E2" w:rsidRPr="00A2220E" w:rsidRDefault="005E13E2" w:rsidP="00E477EE">
      <w:pPr>
        <w:pStyle w:val="Notedebasdepage"/>
        <w:spacing w:before="0" w:after="0"/>
      </w:pPr>
      <w:r w:rsidRPr="00A2220E">
        <w:rPr>
          <w:rStyle w:val="Appelnotedebasdep"/>
        </w:rPr>
        <w:footnoteRef/>
      </w:r>
      <w:r w:rsidRPr="00A2220E">
        <w:t xml:space="preserve"> Actuellement, la Côte d’Ivoire compte trois Cours d’appel : Abidjan (sud), Bouaké (centre) et Daloa (centre ouest)</w:t>
      </w:r>
    </w:p>
  </w:footnote>
  <w:footnote w:id="36">
    <w:p w:rsidR="005E13E2" w:rsidRPr="00A2220E" w:rsidRDefault="005E13E2">
      <w:pPr>
        <w:pStyle w:val="Notedebasdepage"/>
        <w:spacing w:before="0" w:after="0"/>
      </w:pPr>
      <w:r w:rsidRPr="00A2220E">
        <w:rPr>
          <w:rStyle w:val="Appelnotedebasdep"/>
        </w:rPr>
        <w:footnoteRef/>
      </w:r>
      <w:r w:rsidRPr="00A2220E">
        <w:t xml:space="preserve"> La déclaration orale de la CNDH CI lors de la pré-session de l’EPU sur la Cote d’Ivoire le 8 avril 2014, à Genève en Suisse.</w:t>
      </w:r>
    </w:p>
  </w:footnote>
  <w:footnote w:id="37">
    <w:p w:rsidR="005E13E2" w:rsidRPr="00A2220E" w:rsidRDefault="005E13E2">
      <w:pPr>
        <w:pStyle w:val="Notedebasdepage"/>
        <w:spacing w:before="0" w:after="0"/>
      </w:pPr>
      <w:r w:rsidRPr="00A2220E">
        <w:rPr>
          <w:rStyle w:val="Appelnotedebasdep"/>
        </w:rPr>
        <w:footnoteRef/>
      </w:r>
      <w:r w:rsidRPr="00A2220E">
        <w:t xml:space="preserve"> </w:t>
      </w:r>
      <w:r w:rsidRPr="00A2220E">
        <w:rPr>
          <w:i/>
        </w:rPr>
        <w:t>« Si, pour les nécessités de l’enquête, l’officier de police judiciaire est amené à garder à sa disposition une ou plusieurs des personnes visées aux articles 61 et 62, il ne peut les retenir plus de quarante-huit heures. S’il existe contre une personne des indices graves et concordants de nature à motiver son inculpation, l’officier de police judiciaire doit la conduire devant le Procureur de la République sans pouvoir la garder à sa disposition plus de quarante-huit heures. »</w:t>
      </w:r>
    </w:p>
  </w:footnote>
  <w:footnote w:id="38">
    <w:p w:rsidR="005E13E2" w:rsidRPr="00A2220E" w:rsidRDefault="005E13E2">
      <w:pPr>
        <w:pStyle w:val="Notedebasdepage"/>
        <w:spacing w:before="0" w:after="0"/>
      </w:pPr>
      <w:r w:rsidRPr="00A2220E">
        <w:rPr>
          <w:rStyle w:val="Appelnotedebasdep"/>
        </w:rPr>
        <w:footnoteRef/>
      </w:r>
      <w:r w:rsidRPr="00A2220E">
        <w:t xml:space="preserve"> Rapport de stage suivi du mémoire de fin de cycle  sur le thème « </w:t>
      </w:r>
      <w:r w:rsidRPr="00A2220E">
        <w:rPr>
          <w:i/>
        </w:rPr>
        <w:t xml:space="preserve">la garde à vue et les droits de </w:t>
      </w:r>
      <w:r>
        <w:rPr>
          <w:i/>
        </w:rPr>
        <w:t>l</w:t>
      </w:r>
      <w:r w:rsidRPr="00A2220E">
        <w:rPr>
          <w:i/>
        </w:rPr>
        <w:t>’homme</w:t>
      </w:r>
      <w:r w:rsidRPr="00A2220E">
        <w:t xml:space="preserve"> » de l’auditeur de justice Guillaume Konan N’Goran, cycle supérieur de magistrature, 2005.  </w:t>
      </w:r>
    </w:p>
  </w:footnote>
  <w:footnote w:id="39">
    <w:p w:rsidR="005E13E2" w:rsidRPr="00A2220E" w:rsidRDefault="005E13E2">
      <w:pPr>
        <w:autoSpaceDE w:val="0"/>
        <w:autoSpaceDN w:val="0"/>
        <w:adjustRightInd w:val="0"/>
        <w:spacing w:after="0" w:line="276" w:lineRule="auto"/>
        <w:rPr>
          <w:rFonts w:ascii="Garamond" w:hAnsi="Garamond"/>
          <w:bCs/>
          <w:sz w:val="20"/>
          <w:szCs w:val="20"/>
        </w:rPr>
      </w:pPr>
      <w:r w:rsidRPr="00A2220E">
        <w:rPr>
          <w:rStyle w:val="Appelnotedebasdep"/>
          <w:rFonts w:ascii="Garamond" w:hAnsi="Garamond"/>
          <w:sz w:val="20"/>
          <w:szCs w:val="20"/>
        </w:rPr>
        <w:footnoteRef/>
      </w:r>
      <w:r w:rsidRPr="00A2220E">
        <w:rPr>
          <w:rFonts w:ascii="Garamond" w:hAnsi="Garamond"/>
          <w:sz w:val="20"/>
          <w:szCs w:val="20"/>
        </w:rPr>
        <w:t xml:space="preserve"> </w:t>
      </w:r>
      <w:r w:rsidRPr="00A2220E">
        <w:rPr>
          <w:rFonts w:ascii="Garamond" w:eastAsia="Times New Roman" w:hAnsi="Garamond" w:cs="Garamond"/>
          <w:sz w:val="20"/>
          <w:szCs w:val="20"/>
        </w:rPr>
        <w:t>Article 138 du Code de procédure pénale</w:t>
      </w:r>
      <w:r w:rsidRPr="00A2220E">
        <w:rPr>
          <w:rFonts w:ascii="Garamond" w:eastAsia="Times New Roman" w:hAnsi="Garamond" w:cs="Garamond"/>
          <w:i/>
          <w:sz w:val="20"/>
          <w:szCs w:val="20"/>
        </w:rPr>
        <w:t> : « Dans tous les autres cas, en matière correctionnelle et en matière criminelle, l'inculpé ne peut être détenu respectivement plus de six mois et plus de dix-huit mois. »</w:t>
      </w:r>
    </w:p>
  </w:footnote>
  <w:footnote w:id="40">
    <w:p w:rsidR="005E13E2" w:rsidRPr="00A2220E" w:rsidRDefault="005E13E2">
      <w:pPr>
        <w:pStyle w:val="Notedebasdepage"/>
        <w:spacing w:before="0" w:after="0"/>
      </w:pPr>
      <w:r w:rsidRPr="00A2220E">
        <w:rPr>
          <w:rStyle w:val="Appelnotedebasdep"/>
        </w:rPr>
        <w:footnoteRef/>
      </w:r>
      <w:r w:rsidRPr="00A2220E">
        <w:t xml:space="preserve"> La présomption d’innocence est prévue par l’article 22 de la constitution ivoirienne.  </w:t>
      </w:r>
    </w:p>
  </w:footnote>
  <w:footnote w:id="41">
    <w:p w:rsidR="005E13E2" w:rsidRPr="00A2220E" w:rsidRDefault="005E13E2" w:rsidP="00E477EE">
      <w:pPr>
        <w:pStyle w:val="Notedebasdepage"/>
        <w:spacing w:before="0" w:after="0"/>
      </w:pPr>
      <w:r w:rsidRPr="00A2220E">
        <w:rPr>
          <w:rStyle w:val="Appelnotedebasdep"/>
        </w:rPr>
        <w:footnoteRef/>
      </w:r>
      <w:r w:rsidRPr="00A2220E">
        <w:t xml:space="preserve"> Seules les initiales sont indiquées afin de protéger les prévenus contre d’éventuelles représailles.</w:t>
      </w:r>
    </w:p>
  </w:footnote>
  <w:footnote w:id="42">
    <w:p w:rsidR="005E13E2" w:rsidRPr="00A2220E" w:rsidRDefault="005E13E2">
      <w:pPr>
        <w:pStyle w:val="Notedebasdepage"/>
        <w:spacing w:before="0" w:after="0"/>
      </w:pPr>
      <w:r w:rsidRPr="00A2220E">
        <w:rPr>
          <w:rStyle w:val="Appelnotedebasdep"/>
        </w:rPr>
        <w:footnoteRef/>
      </w:r>
      <w:r w:rsidRPr="00A2220E">
        <w:t xml:space="preserve"> Art 10.2,a du PIDCP ratifié par la Côte d’Ivoire 26 mars 1992</w:t>
      </w:r>
    </w:p>
  </w:footnote>
  <w:footnote w:id="43">
    <w:p w:rsidR="005E13E2" w:rsidRPr="00A2220E" w:rsidRDefault="005E13E2">
      <w:pPr>
        <w:pStyle w:val="Notedebasdepage"/>
        <w:spacing w:before="0" w:after="0"/>
      </w:pPr>
      <w:r w:rsidRPr="00A2220E">
        <w:rPr>
          <w:rStyle w:val="Appelnotedebasdep"/>
        </w:rPr>
        <w:footnoteRef/>
      </w:r>
      <w:r w:rsidRPr="00A2220E">
        <w:t xml:space="preserve"> Art 7 du décret n°69189 du 14 mai 1969 </w:t>
      </w:r>
    </w:p>
  </w:footnote>
  <w:footnote w:id="44">
    <w:p w:rsidR="005E13E2" w:rsidRPr="00A2220E" w:rsidRDefault="005E13E2">
      <w:pPr>
        <w:pStyle w:val="Notedebasdepage"/>
        <w:spacing w:before="0" w:after="0"/>
      </w:pPr>
      <w:r w:rsidRPr="00A2220E">
        <w:rPr>
          <w:rStyle w:val="Appelnotedebasdep"/>
        </w:rPr>
        <w:footnoteRef/>
      </w:r>
      <w:r w:rsidRPr="00A2220E">
        <w:t xml:space="preserve"> Art 111 du décret du 14 mai 1969</w:t>
      </w:r>
    </w:p>
  </w:footnote>
  <w:footnote w:id="45">
    <w:p w:rsidR="005E13E2" w:rsidRPr="00A2220E" w:rsidRDefault="005E13E2">
      <w:pPr>
        <w:pStyle w:val="Notedebasdepage"/>
        <w:spacing w:before="0" w:after="0"/>
      </w:pPr>
      <w:r w:rsidRPr="00A2220E">
        <w:rPr>
          <w:rStyle w:val="Appelnotedebasdep"/>
        </w:rPr>
        <w:footnoteRef/>
      </w:r>
      <w:r w:rsidRPr="00A2220E">
        <w:t xml:space="preserve"> Observation générale n°3 du CAT adoptée en 2012</w:t>
      </w:r>
    </w:p>
  </w:footnote>
  <w:footnote w:id="46">
    <w:p w:rsidR="005E13E2" w:rsidRPr="00A2220E" w:rsidRDefault="005E13E2">
      <w:pPr>
        <w:spacing w:after="0" w:line="276" w:lineRule="auto"/>
        <w:rPr>
          <w:rFonts w:ascii="Garamond" w:hAnsi="Garamond"/>
          <w:sz w:val="20"/>
          <w:szCs w:val="20"/>
          <w:lang w:val="fr-CH"/>
        </w:rPr>
      </w:pPr>
      <w:r w:rsidRPr="00A2220E">
        <w:rPr>
          <w:rStyle w:val="Appelnotedebasdep"/>
          <w:rFonts w:ascii="Garamond" w:hAnsi="Garamond"/>
          <w:sz w:val="20"/>
          <w:szCs w:val="20"/>
        </w:rPr>
        <w:footnoteRef/>
      </w:r>
      <w:r w:rsidRPr="00A2220E">
        <w:rPr>
          <w:rFonts w:ascii="Garamond" w:hAnsi="Garamond"/>
          <w:sz w:val="20"/>
          <w:szCs w:val="20"/>
        </w:rPr>
        <w:t xml:space="preserve"> </w:t>
      </w:r>
      <w:r w:rsidRPr="00A2220E">
        <w:rPr>
          <w:rFonts w:ascii="Garamond" w:eastAsia="Times New Roman" w:hAnsi="Garamond" w:cs="Times New Roman"/>
          <w:sz w:val="20"/>
          <w:szCs w:val="20"/>
        </w:rPr>
        <w:t>Conseil des droits de l’homme, Vingt-sixième session Rapport de l’Expert indépendant Doudou Diène*sur la situation des droits de l’homme en Côte d’Ivoire, A/HRC/26/52 , 15 mai 2014</w:t>
      </w:r>
    </w:p>
  </w:footnote>
  <w:footnote w:id="47">
    <w:p w:rsidR="005E13E2" w:rsidRPr="00A2220E" w:rsidRDefault="005E13E2">
      <w:pPr>
        <w:pStyle w:val="Notedebasdepage"/>
        <w:spacing w:before="0" w:after="0"/>
      </w:pPr>
      <w:r w:rsidRPr="00A2220E">
        <w:rPr>
          <w:rStyle w:val="Appelnotedebasdep"/>
        </w:rPr>
        <w:footnoteRef/>
      </w:r>
      <w:r w:rsidRPr="00A2220E">
        <w:t xml:space="preserve"> Voir tableau ci-dessous</w:t>
      </w:r>
    </w:p>
  </w:footnote>
  <w:footnote w:id="48">
    <w:p w:rsidR="005E13E2" w:rsidRPr="00A2220E" w:rsidRDefault="005E13E2">
      <w:pPr>
        <w:pStyle w:val="Notedebasdepage"/>
        <w:spacing w:before="0" w:after="0"/>
      </w:pPr>
      <w:r w:rsidRPr="00A2220E">
        <w:rPr>
          <w:rStyle w:val="Appelnotedebasdep"/>
        </w:rPr>
        <w:footnoteRef/>
      </w:r>
      <w:r w:rsidRPr="00A2220E">
        <w:t xml:space="preserve"> Rapport initial de la Côte d’Ivoire, p. 18.</w:t>
      </w:r>
    </w:p>
  </w:footnote>
  <w:footnote w:id="49">
    <w:p w:rsidR="005E13E2" w:rsidRPr="00A2220E" w:rsidRDefault="005E13E2">
      <w:pPr>
        <w:pStyle w:val="Notedebasdepage"/>
        <w:spacing w:before="0" w:after="0"/>
      </w:pPr>
      <w:r w:rsidRPr="00A2220E">
        <w:rPr>
          <w:rStyle w:val="Appelnotedebasdep"/>
        </w:rPr>
        <w:footnoteRef/>
      </w:r>
      <w:r w:rsidRPr="00A2220E">
        <w:t xml:space="preserve"> Lors de la visite de l’ACAT dans cette prison au 10 août 2013.</w:t>
      </w:r>
    </w:p>
  </w:footnote>
  <w:footnote w:id="50">
    <w:p w:rsidR="005E13E2" w:rsidRPr="00A2220E" w:rsidRDefault="005E13E2">
      <w:pPr>
        <w:pStyle w:val="Notedebasdepage"/>
        <w:spacing w:before="0" w:after="0"/>
      </w:pPr>
      <w:r w:rsidRPr="00A2220E">
        <w:rPr>
          <w:rStyle w:val="Appelnotedebasdep"/>
        </w:rPr>
        <w:footnoteRef/>
      </w:r>
      <w:r w:rsidRPr="00A2220E">
        <w:t xml:space="preserve"> Qui date d’avant l’indépendance de la Côte d’Ivoire mais est encore en vigueur faute de réforme législative.</w:t>
      </w:r>
    </w:p>
  </w:footnote>
  <w:footnote w:id="51">
    <w:p w:rsidR="005E13E2" w:rsidRPr="00A2220E" w:rsidRDefault="005E13E2">
      <w:pPr>
        <w:pStyle w:val="Notedebasdepage"/>
        <w:spacing w:before="0" w:after="0"/>
      </w:pPr>
      <w:r w:rsidRPr="00A2220E">
        <w:rPr>
          <w:rStyle w:val="Appelnotedebasdep"/>
        </w:rPr>
        <w:footnoteRef/>
      </w:r>
      <w:r w:rsidRPr="00A2220E">
        <w:t xml:space="preserve"> La CSCI est dotée depuis le 15 février 2008 d’une charte de 38 articles définissant la composition et le fonctionnement de la convention. La CSCI est composée de l’ensemble des organisations représentant le peuple ivoirien (centrales syndicales, ONG, partis politiques, chefferies traditionnelles, organisations religieuses). Elle comprend au total 132 structures nationales.</w:t>
      </w:r>
    </w:p>
  </w:footnote>
  <w:footnote w:id="52">
    <w:p w:rsidR="005E13E2" w:rsidRPr="00A2220E" w:rsidRDefault="005E13E2">
      <w:pPr>
        <w:pStyle w:val="Notedebasdepage"/>
        <w:spacing w:before="0" w:after="0"/>
      </w:pPr>
      <w:r w:rsidRPr="00A2220E">
        <w:rPr>
          <w:rStyle w:val="Appelnotedebasdep"/>
        </w:rPr>
        <w:footnoteRef/>
      </w:r>
      <w:r w:rsidRPr="00A2220E">
        <w:t xml:space="preserve"> Extrait des minutes du secrétariat de la chambre administrative sursis à exécution arrêt n°61. </w:t>
      </w:r>
    </w:p>
  </w:footnote>
  <w:footnote w:id="53">
    <w:p w:rsidR="005E13E2" w:rsidRDefault="005E13E2">
      <w:pPr>
        <w:pStyle w:val="Notedebasdepage"/>
      </w:pPr>
      <w:r>
        <w:rPr>
          <w:rStyle w:val="Appelnotedebasdep"/>
        </w:rPr>
        <w:footnoteRef/>
      </w:r>
      <w:r>
        <w:t xml:space="preserve"> Technique utilisée pour immobiliser un véhicule et procéder au racket.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C01D8"/>
    <w:multiLevelType w:val="hybridMultilevel"/>
    <w:tmpl w:val="DF9ACF74"/>
    <w:lvl w:ilvl="0" w:tplc="01AA31B0">
      <w:start w:val="1"/>
      <w:numFmt w:val="upperLetter"/>
      <w:pStyle w:val="Titre3"/>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3DB186A"/>
    <w:multiLevelType w:val="hybridMultilevel"/>
    <w:tmpl w:val="2BF6008C"/>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7811AC9"/>
    <w:multiLevelType w:val="hybridMultilevel"/>
    <w:tmpl w:val="8040AB86"/>
    <w:lvl w:ilvl="0" w:tplc="253AA856">
      <w:start w:val="1"/>
      <w:numFmt w:val="decimal"/>
      <w:pStyle w:val="Titre4"/>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9D7413C"/>
    <w:multiLevelType w:val="hybridMultilevel"/>
    <w:tmpl w:val="A3FED4C2"/>
    <w:lvl w:ilvl="0" w:tplc="040C000B">
      <w:start w:val="1"/>
      <w:numFmt w:val="bullet"/>
      <w:lvlText w:val=""/>
      <w:lvlJc w:val="left"/>
      <w:pPr>
        <w:ind w:left="720" w:hanging="360"/>
      </w:pPr>
      <w:rPr>
        <w:rFonts w:ascii="Wingdings" w:hAnsi="Wingdings" w:hint="default"/>
      </w:rPr>
    </w:lvl>
    <w:lvl w:ilvl="1" w:tplc="9CBC7248">
      <w:start w:val="1"/>
      <w:numFmt w:val="bullet"/>
      <w:lvlText w:val=""/>
      <w:lvlJc w:val="left"/>
      <w:pPr>
        <w:ind w:left="1440" w:hanging="360"/>
      </w:pPr>
      <w:rPr>
        <w:rFonts w:ascii="Wingdings" w:hAnsi="Wingdings" w:hint="default"/>
        <w:color w:val="365F91" w:themeColor="accent1" w:themeShade="BF"/>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D1D4553"/>
    <w:multiLevelType w:val="hybridMultilevel"/>
    <w:tmpl w:val="C8B0B140"/>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0D605AB6"/>
    <w:multiLevelType w:val="hybridMultilevel"/>
    <w:tmpl w:val="2B4A3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03168A7"/>
    <w:multiLevelType w:val="hybridMultilevel"/>
    <w:tmpl w:val="4EF21C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23947C1"/>
    <w:multiLevelType w:val="hybridMultilevel"/>
    <w:tmpl w:val="12386F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46E691E"/>
    <w:multiLevelType w:val="hybridMultilevel"/>
    <w:tmpl w:val="D37E0B1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2B544B3"/>
    <w:multiLevelType w:val="hybridMultilevel"/>
    <w:tmpl w:val="AB382238"/>
    <w:lvl w:ilvl="0" w:tplc="F1501A18">
      <w:start w:val="1"/>
      <w:numFmt w:val="bullet"/>
      <w:lvlText w:val=""/>
      <w:lvlJc w:val="left"/>
      <w:pPr>
        <w:tabs>
          <w:tab w:val="num" w:pos="927"/>
        </w:tabs>
        <w:ind w:left="927" w:hanging="207"/>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0">
    <w:nsid w:val="23140203"/>
    <w:multiLevelType w:val="hybridMultilevel"/>
    <w:tmpl w:val="480A322C"/>
    <w:lvl w:ilvl="0" w:tplc="F1501A18">
      <w:start w:val="1"/>
      <w:numFmt w:val="bullet"/>
      <w:lvlText w:val=""/>
      <w:lvlJc w:val="left"/>
      <w:pPr>
        <w:tabs>
          <w:tab w:val="num" w:pos="-2268"/>
        </w:tabs>
        <w:ind w:left="-2268" w:hanging="207"/>
      </w:pPr>
      <w:rPr>
        <w:rFonts w:ascii="Wingdings" w:hAnsi="Wingdings" w:hint="default"/>
      </w:rPr>
    </w:lvl>
    <w:lvl w:ilvl="1" w:tplc="040C0003" w:tentative="1">
      <w:start w:val="1"/>
      <w:numFmt w:val="bullet"/>
      <w:lvlText w:val="o"/>
      <w:lvlJc w:val="left"/>
      <w:pPr>
        <w:tabs>
          <w:tab w:val="num" w:pos="-1395"/>
        </w:tabs>
        <w:ind w:left="-1395" w:hanging="360"/>
      </w:pPr>
      <w:rPr>
        <w:rFonts w:ascii="Courier New" w:hAnsi="Courier New" w:cs="Courier New" w:hint="default"/>
      </w:rPr>
    </w:lvl>
    <w:lvl w:ilvl="2" w:tplc="040C0005" w:tentative="1">
      <w:start w:val="1"/>
      <w:numFmt w:val="bullet"/>
      <w:lvlText w:val=""/>
      <w:lvlJc w:val="left"/>
      <w:pPr>
        <w:tabs>
          <w:tab w:val="num" w:pos="-675"/>
        </w:tabs>
        <w:ind w:left="-675" w:hanging="360"/>
      </w:pPr>
      <w:rPr>
        <w:rFonts w:ascii="Wingdings" w:hAnsi="Wingdings" w:hint="default"/>
      </w:rPr>
    </w:lvl>
    <w:lvl w:ilvl="3" w:tplc="040C0001" w:tentative="1">
      <w:start w:val="1"/>
      <w:numFmt w:val="bullet"/>
      <w:lvlText w:val=""/>
      <w:lvlJc w:val="left"/>
      <w:pPr>
        <w:tabs>
          <w:tab w:val="num" w:pos="45"/>
        </w:tabs>
        <w:ind w:left="45" w:hanging="360"/>
      </w:pPr>
      <w:rPr>
        <w:rFonts w:ascii="Symbol" w:hAnsi="Symbol" w:hint="default"/>
      </w:rPr>
    </w:lvl>
    <w:lvl w:ilvl="4" w:tplc="040C0003" w:tentative="1">
      <w:start w:val="1"/>
      <w:numFmt w:val="bullet"/>
      <w:lvlText w:val="o"/>
      <w:lvlJc w:val="left"/>
      <w:pPr>
        <w:tabs>
          <w:tab w:val="num" w:pos="765"/>
        </w:tabs>
        <w:ind w:left="765" w:hanging="360"/>
      </w:pPr>
      <w:rPr>
        <w:rFonts w:ascii="Courier New" w:hAnsi="Courier New" w:cs="Courier New" w:hint="default"/>
      </w:rPr>
    </w:lvl>
    <w:lvl w:ilvl="5" w:tplc="040C0005" w:tentative="1">
      <w:start w:val="1"/>
      <w:numFmt w:val="bullet"/>
      <w:lvlText w:val=""/>
      <w:lvlJc w:val="left"/>
      <w:pPr>
        <w:tabs>
          <w:tab w:val="num" w:pos="1485"/>
        </w:tabs>
        <w:ind w:left="1485" w:hanging="360"/>
      </w:pPr>
      <w:rPr>
        <w:rFonts w:ascii="Wingdings" w:hAnsi="Wingdings" w:hint="default"/>
      </w:rPr>
    </w:lvl>
    <w:lvl w:ilvl="6" w:tplc="040C0001" w:tentative="1">
      <w:start w:val="1"/>
      <w:numFmt w:val="bullet"/>
      <w:lvlText w:val=""/>
      <w:lvlJc w:val="left"/>
      <w:pPr>
        <w:tabs>
          <w:tab w:val="num" w:pos="2205"/>
        </w:tabs>
        <w:ind w:left="2205" w:hanging="360"/>
      </w:pPr>
      <w:rPr>
        <w:rFonts w:ascii="Symbol" w:hAnsi="Symbol" w:hint="default"/>
      </w:rPr>
    </w:lvl>
    <w:lvl w:ilvl="7" w:tplc="040C0003" w:tentative="1">
      <w:start w:val="1"/>
      <w:numFmt w:val="bullet"/>
      <w:lvlText w:val="o"/>
      <w:lvlJc w:val="left"/>
      <w:pPr>
        <w:tabs>
          <w:tab w:val="num" w:pos="2925"/>
        </w:tabs>
        <w:ind w:left="2925" w:hanging="360"/>
      </w:pPr>
      <w:rPr>
        <w:rFonts w:ascii="Courier New" w:hAnsi="Courier New" w:cs="Courier New" w:hint="default"/>
      </w:rPr>
    </w:lvl>
    <w:lvl w:ilvl="8" w:tplc="040C0005" w:tentative="1">
      <w:start w:val="1"/>
      <w:numFmt w:val="bullet"/>
      <w:lvlText w:val=""/>
      <w:lvlJc w:val="left"/>
      <w:pPr>
        <w:tabs>
          <w:tab w:val="num" w:pos="3645"/>
        </w:tabs>
        <w:ind w:left="3645" w:hanging="360"/>
      </w:pPr>
      <w:rPr>
        <w:rFonts w:ascii="Wingdings" w:hAnsi="Wingdings" w:hint="default"/>
      </w:rPr>
    </w:lvl>
  </w:abstractNum>
  <w:abstractNum w:abstractNumId="11">
    <w:nsid w:val="2A8D275D"/>
    <w:multiLevelType w:val="hybridMultilevel"/>
    <w:tmpl w:val="BF360C1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FBA3F4E"/>
    <w:multiLevelType w:val="hybridMultilevel"/>
    <w:tmpl w:val="F42CF4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3A86901"/>
    <w:multiLevelType w:val="hybridMultilevel"/>
    <w:tmpl w:val="128CE82E"/>
    <w:lvl w:ilvl="0" w:tplc="F1501A18">
      <w:start w:val="1"/>
      <w:numFmt w:val="bullet"/>
      <w:lvlText w:val=""/>
      <w:lvlJc w:val="left"/>
      <w:pPr>
        <w:tabs>
          <w:tab w:val="num" w:pos="567"/>
        </w:tabs>
        <w:ind w:left="567" w:hanging="207"/>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4">
    <w:nsid w:val="3C0546F5"/>
    <w:multiLevelType w:val="hybridMultilevel"/>
    <w:tmpl w:val="C76293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99D4E55"/>
    <w:multiLevelType w:val="hybridMultilevel"/>
    <w:tmpl w:val="357E8D46"/>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
    <w:nsid w:val="4ADE5CB6"/>
    <w:multiLevelType w:val="hybridMultilevel"/>
    <w:tmpl w:val="AAC842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C813F66"/>
    <w:multiLevelType w:val="hybridMultilevel"/>
    <w:tmpl w:val="B84A756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E7B7B0A"/>
    <w:multiLevelType w:val="hybridMultilevel"/>
    <w:tmpl w:val="F4AAE7B6"/>
    <w:lvl w:ilvl="0" w:tplc="EED278A2">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19">
    <w:nsid w:val="50937083"/>
    <w:multiLevelType w:val="hybridMultilevel"/>
    <w:tmpl w:val="0E9A9DD0"/>
    <w:lvl w:ilvl="0" w:tplc="040C0001">
      <w:start w:val="1"/>
      <w:numFmt w:val="decimal"/>
      <w:lvlText w:val="%1."/>
      <w:lvlJc w:val="left"/>
      <w:pPr>
        <w:tabs>
          <w:tab w:val="num" w:pos="720"/>
        </w:tabs>
        <w:ind w:left="720" w:hanging="360"/>
      </w:pPr>
    </w:lvl>
    <w:lvl w:ilvl="1" w:tplc="040C0003">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20">
    <w:nsid w:val="50CC6090"/>
    <w:multiLevelType w:val="hybridMultilevel"/>
    <w:tmpl w:val="5F42C0C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33307CF"/>
    <w:multiLevelType w:val="hybridMultilevel"/>
    <w:tmpl w:val="9C70DA8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5CD5507"/>
    <w:multiLevelType w:val="hybridMultilevel"/>
    <w:tmpl w:val="F6022D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82F4451"/>
    <w:multiLevelType w:val="hybridMultilevel"/>
    <w:tmpl w:val="82021B6E"/>
    <w:lvl w:ilvl="0" w:tplc="D744F040">
      <w:numFmt w:val="bullet"/>
      <w:lvlText w:val="-"/>
      <w:lvlJc w:val="left"/>
      <w:pPr>
        <w:ind w:left="720" w:hanging="360"/>
      </w:pPr>
      <w:rPr>
        <w:rFonts w:ascii="Garamond" w:eastAsia="Times New Roman"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9420F06"/>
    <w:multiLevelType w:val="hybridMultilevel"/>
    <w:tmpl w:val="556A480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5CE058EB"/>
    <w:multiLevelType w:val="hybridMultilevel"/>
    <w:tmpl w:val="8130B108"/>
    <w:lvl w:ilvl="0" w:tplc="F54617B2">
      <w:start w:val="1"/>
      <w:numFmt w:val="upperRoman"/>
      <w:pStyle w:val="Titre2"/>
      <w:lvlText w:val="%1."/>
      <w:lvlJc w:val="right"/>
      <w:pPr>
        <w:ind w:left="720" w:hanging="360"/>
      </w:pPr>
      <w:rPr>
        <w:b/>
        <w:bCs w:val="0"/>
        <w:i w:val="0"/>
        <w:iCs w:val="0"/>
        <w:caps w:val="0"/>
        <w:smallCaps w:val="0"/>
        <w:strike w:val="0"/>
        <w:dstrike w:val="0"/>
        <w:noProof w:val="0"/>
        <w:vanish w:val="0"/>
        <w:color w:val="000000"/>
        <w:spacing w:val="0"/>
        <w:kern w:val="0"/>
        <w:position w:val="0"/>
        <w:u w:val="none"/>
        <w:vertAlign w:val="baseline"/>
        <w:em w:val="none"/>
      </w:rPr>
    </w:lvl>
    <w:lvl w:ilvl="1" w:tplc="970650A6">
      <w:numFmt w:val="bullet"/>
      <w:lvlText w:val="-"/>
      <w:lvlJc w:val="left"/>
      <w:pPr>
        <w:ind w:left="1440" w:hanging="360"/>
      </w:pPr>
      <w:rPr>
        <w:rFonts w:ascii="Garamond" w:eastAsia="Times New Roman" w:hAnsi="Garamond" w:cs="Garamond"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604E6B57"/>
    <w:multiLevelType w:val="hybridMultilevel"/>
    <w:tmpl w:val="8E0AB24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13D322A"/>
    <w:multiLevelType w:val="hybridMultilevel"/>
    <w:tmpl w:val="6B18FF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3FB7271"/>
    <w:multiLevelType w:val="hybridMultilevel"/>
    <w:tmpl w:val="3BD832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5E84D17"/>
    <w:multiLevelType w:val="hybridMultilevel"/>
    <w:tmpl w:val="D12C2C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665229CD"/>
    <w:multiLevelType w:val="hybridMultilevel"/>
    <w:tmpl w:val="AC5E03A6"/>
    <w:lvl w:ilvl="0" w:tplc="47F6F996">
      <w:start w:val="1"/>
      <w:numFmt w:val="upperRoman"/>
      <w:lvlText w:val="%1."/>
      <w:lvlJc w:val="right"/>
      <w:pPr>
        <w:ind w:left="720" w:hanging="360"/>
      </w:pPr>
      <w:rPr>
        <w:b w:val="0"/>
        <w:bCs w:val="0"/>
        <w:i w:val="0"/>
        <w:iCs w:val="0"/>
        <w:caps w:val="0"/>
        <w:smallCaps w:val="0"/>
        <w:strike w:val="0"/>
        <w:dstrike w:val="0"/>
        <w:noProof w:val="0"/>
        <w:vanish w:val="0"/>
        <w:color w:val="000000"/>
        <w:spacing w:val="0"/>
        <w:kern w:val="0"/>
        <w:position w:val="0"/>
        <w:u w:val="none"/>
        <w:vertAlign w:val="baseline"/>
        <w:em w:val="none"/>
      </w:rPr>
    </w:lvl>
    <w:lvl w:ilvl="1" w:tplc="040C0001">
      <w:start w:val="1"/>
      <w:numFmt w:val="bullet"/>
      <w:lvlText w:val=""/>
      <w:lvlJc w:val="left"/>
      <w:pPr>
        <w:ind w:left="1440" w:hanging="360"/>
      </w:pPr>
      <w:rPr>
        <w:rFonts w:ascii="Symbol" w:hAnsi="Symbo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9954048"/>
    <w:multiLevelType w:val="hybridMultilevel"/>
    <w:tmpl w:val="BBAC47DE"/>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2">
    <w:nsid w:val="6EB55DC3"/>
    <w:multiLevelType w:val="hybridMultilevel"/>
    <w:tmpl w:val="752C767C"/>
    <w:lvl w:ilvl="0" w:tplc="A9D61D5A">
      <w:start w:val="296"/>
      <w:numFmt w:val="bullet"/>
      <w:lvlText w:val="-"/>
      <w:lvlJc w:val="left"/>
      <w:pPr>
        <w:ind w:left="720" w:hanging="360"/>
      </w:pPr>
      <w:rPr>
        <w:rFonts w:ascii="Garamond" w:eastAsia="Times New Roman" w:hAnsi="Garamond" w:cs="Garamon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6FEC7A4A"/>
    <w:multiLevelType w:val="hybridMultilevel"/>
    <w:tmpl w:val="55B0D7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3D574C7"/>
    <w:multiLevelType w:val="hybridMultilevel"/>
    <w:tmpl w:val="FF00428C"/>
    <w:lvl w:ilvl="0" w:tplc="DD5A6068">
      <w:start w:val="1"/>
      <w:numFmt w:val="decimal"/>
      <w:lvlText w:val="%1."/>
      <w:lvlJc w:val="left"/>
      <w:pPr>
        <w:tabs>
          <w:tab w:val="num" w:pos="1701"/>
        </w:tabs>
        <w:ind w:left="1134" w:firstLine="0"/>
      </w:pPr>
      <w:rPr>
        <w:rFonts w:hint="default"/>
      </w:rPr>
    </w:lvl>
    <w:lvl w:ilvl="1" w:tplc="04090019">
      <w:start w:val="1"/>
      <w:numFmt w:val="lowerLetter"/>
      <w:lvlText w:val="%2."/>
      <w:lvlJc w:val="left"/>
      <w:pPr>
        <w:tabs>
          <w:tab w:val="num" w:pos="1440"/>
        </w:tabs>
        <w:ind w:left="1440" w:hanging="360"/>
      </w:pPr>
    </w:lvl>
    <w:lvl w:ilvl="2" w:tplc="5F90B0DC">
      <w:start w:val="1"/>
      <w:numFmt w:val="decimal"/>
      <w:lvlText w:val="%3."/>
      <w:lvlJc w:val="left"/>
      <w:pPr>
        <w:tabs>
          <w:tab w:val="num" w:pos="1701"/>
        </w:tabs>
        <w:ind w:left="1134" w:firstLine="0"/>
      </w:pPr>
      <w:rPr>
        <w:rFonts w:hint="default"/>
        <w:b w:val="0"/>
        <w:bCs w:val="0"/>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D06C07"/>
    <w:multiLevelType w:val="hybridMultilevel"/>
    <w:tmpl w:val="2AE60D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6347482"/>
    <w:multiLevelType w:val="hybridMultilevel"/>
    <w:tmpl w:val="3E1C1D7C"/>
    <w:lvl w:ilvl="0" w:tplc="9B080AC0">
      <w:start w:val="1"/>
      <w:numFmt w:val="bullet"/>
      <w:lvlText w:val=""/>
      <w:lvlJc w:val="left"/>
      <w:pPr>
        <w:ind w:left="928" w:hanging="360"/>
      </w:pPr>
      <w:rPr>
        <w:rFonts w:ascii="Wingdings" w:hAnsi="Wingdings" w:hint="default"/>
        <w:color w:val="365F91" w:themeColor="accent1" w:themeShade="BF"/>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37">
    <w:nsid w:val="77B53744"/>
    <w:multiLevelType w:val="hybridMultilevel"/>
    <w:tmpl w:val="F4D2D3A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7EE45AA"/>
    <w:multiLevelType w:val="hybridMultilevel"/>
    <w:tmpl w:val="0FEC4D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87F6FC1"/>
    <w:multiLevelType w:val="hybridMultilevel"/>
    <w:tmpl w:val="391C32E6"/>
    <w:lvl w:ilvl="0" w:tplc="FFFFFFFF">
      <w:start w:val="1"/>
      <w:numFmt w:val="bullet"/>
      <w:lvlText w:val=""/>
      <w:lvlJc w:val="left"/>
      <w:pPr>
        <w:tabs>
          <w:tab w:val="num" w:pos="927"/>
        </w:tabs>
        <w:ind w:left="927" w:hanging="207"/>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0">
    <w:nsid w:val="7FDB396A"/>
    <w:multiLevelType w:val="hybridMultilevel"/>
    <w:tmpl w:val="CC880CC2"/>
    <w:lvl w:ilvl="0" w:tplc="E3D04596">
      <w:start w:val="1"/>
      <w:numFmt w:val="lowerLetter"/>
      <w:pStyle w:val="Titre5"/>
      <w:lvlText w:val="%1."/>
      <w:lvlJc w:val="left"/>
      <w:pPr>
        <w:tabs>
          <w:tab w:val="num" w:pos="1440"/>
        </w:tabs>
        <w:ind w:left="1440" w:hanging="36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num w:numId="1">
    <w:abstractNumId w:val="25"/>
  </w:num>
  <w:num w:numId="2">
    <w:abstractNumId w:val="0"/>
  </w:num>
  <w:num w:numId="3">
    <w:abstractNumId w:val="18"/>
  </w:num>
  <w:num w:numId="4">
    <w:abstractNumId w:val="19"/>
  </w:num>
  <w:num w:numId="5">
    <w:abstractNumId w:val="10"/>
  </w:num>
  <w:num w:numId="6">
    <w:abstractNumId w:val="8"/>
  </w:num>
  <w:num w:numId="7">
    <w:abstractNumId w:val="39"/>
  </w:num>
  <w:num w:numId="8">
    <w:abstractNumId w:val="9"/>
  </w:num>
  <w:num w:numId="9">
    <w:abstractNumId w:val="23"/>
  </w:num>
  <w:num w:numId="10">
    <w:abstractNumId w:val="40"/>
  </w:num>
  <w:num w:numId="11">
    <w:abstractNumId w:val="13"/>
  </w:num>
  <w:num w:numId="12">
    <w:abstractNumId w:val="37"/>
  </w:num>
  <w:num w:numId="13">
    <w:abstractNumId w:val="26"/>
  </w:num>
  <w:num w:numId="14">
    <w:abstractNumId w:val="36"/>
  </w:num>
  <w:num w:numId="15">
    <w:abstractNumId w:val="38"/>
  </w:num>
  <w:num w:numId="16">
    <w:abstractNumId w:val="34"/>
  </w:num>
  <w:num w:numId="17">
    <w:abstractNumId w:val="4"/>
  </w:num>
  <w:num w:numId="18">
    <w:abstractNumId w:val="20"/>
  </w:num>
  <w:num w:numId="19">
    <w:abstractNumId w:val="17"/>
  </w:num>
  <w:num w:numId="20">
    <w:abstractNumId w:val="25"/>
    <w:lvlOverride w:ilvl="0">
      <w:startOverride w:val="1"/>
    </w:lvlOverride>
  </w:num>
  <w:num w:numId="21">
    <w:abstractNumId w:val="0"/>
    <w:lvlOverride w:ilvl="0">
      <w:startOverride w:val="1"/>
    </w:lvlOverride>
  </w:num>
  <w:num w:numId="22">
    <w:abstractNumId w:val="0"/>
    <w:lvlOverride w:ilvl="0">
      <w:startOverride w:val="1"/>
    </w:lvlOverride>
  </w:num>
  <w:num w:numId="23">
    <w:abstractNumId w:val="0"/>
    <w:lvlOverride w:ilvl="0">
      <w:startOverride w:val="1"/>
    </w:lvlOverride>
  </w:num>
  <w:num w:numId="24">
    <w:abstractNumId w:val="2"/>
  </w:num>
  <w:num w:numId="25">
    <w:abstractNumId w:val="0"/>
    <w:lvlOverride w:ilvl="0">
      <w:startOverride w:val="1"/>
    </w:lvlOverride>
  </w:num>
  <w:num w:numId="26">
    <w:abstractNumId w:val="2"/>
    <w:lvlOverride w:ilvl="0">
      <w:startOverride w:val="1"/>
    </w:lvlOverride>
  </w:num>
  <w:num w:numId="27">
    <w:abstractNumId w:val="16"/>
  </w:num>
  <w:num w:numId="28">
    <w:abstractNumId w:val="22"/>
  </w:num>
  <w:num w:numId="29">
    <w:abstractNumId w:val="28"/>
  </w:num>
  <w:num w:numId="30">
    <w:abstractNumId w:val="11"/>
  </w:num>
  <w:num w:numId="31">
    <w:abstractNumId w:val="6"/>
  </w:num>
  <w:num w:numId="32">
    <w:abstractNumId w:val="33"/>
  </w:num>
  <w:num w:numId="33">
    <w:abstractNumId w:val="24"/>
  </w:num>
  <w:num w:numId="34">
    <w:abstractNumId w:val="27"/>
  </w:num>
  <w:num w:numId="35">
    <w:abstractNumId w:val="5"/>
  </w:num>
  <w:num w:numId="36">
    <w:abstractNumId w:val="1"/>
  </w:num>
  <w:num w:numId="37">
    <w:abstractNumId w:val="14"/>
  </w:num>
  <w:num w:numId="38">
    <w:abstractNumId w:val="29"/>
  </w:num>
  <w:num w:numId="39">
    <w:abstractNumId w:val="12"/>
  </w:num>
  <w:num w:numId="40">
    <w:abstractNumId w:val="21"/>
  </w:num>
  <w:num w:numId="41">
    <w:abstractNumId w:val="30"/>
  </w:num>
  <w:num w:numId="42">
    <w:abstractNumId w:val="7"/>
  </w:num>
  <w:num w:numId="43">
    <w:abstractNumId w:val="3"/>
  </w:num>
  <w:num w:numId="44">
    <w:abstractNumId w:val="35"/>
  </w:num>
  <w:num w:numId="45">
    <w:abstractNumId w:val="32"/>
  </w:num>
  <w:num w:numId="46">
    <w:abstractNumId w:val="31"/>
  </w:num>
  <w:num w:numId="47">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C58"/>
    <w:rsid w:val="00002E38"/>
    <w:rsid w:val="00004F80"/>
    <w:rsid w:val="00024A0B"/>
    <w:rsid w:val="00025449"/>
    <w:rsid w:val="00041174"/>
    <w:rsid w:val="00041D65"/>
    <w:rsid w:val="00065796"/>
    <w:rsid w:val="00070294"/>
    <w:rsid w:val="00072D4A"/>
    <w:rsid w:val="00081305"/>
    <w:rsid w:val="000852A0"/>
    <w:rsid w:val="00087913"/>
    <w:rsid w:val="00090D1A"/>
    <w:rsid w:val="000A42F4"/>
    <w:rsid w:val="000A6A40"/>
    <w:rsid w:val="000B1144"/>
    <w:rsid w:val="000B3647"/>
    <w:rsid w:val="000B50C6"/>
    <w:rsid w:val="000B5ECF"/>
    <w:rsid w:val="000C4E3D"/>
    <w:rsid w:val="000D0A05"/>
    <w:rsid w:val="000D12B0"/>
    <w:rsid w:val="000D3059"/>
    <w:rsid w:val="000D4E07"/>
    <w:rsid w:val="000E09D5"/>
    <w:rsid w:val="000E1C13"/>
    <w:rsid w:val="000E59BD"/>
    <w:rsid w:val="000F43E0"/>
    <w:rsid w:val="000F5E01"/>
    <w:rsid w:val="000F604A"/>
    <w:rsid w:val="00114A73"/>
    <w:rsid w:val="00116834"/>
    <w:rsid w:val="001209AD"/>
    <w:rsid w:val="00126145"/>
    <w:rsid w:val="001300F8"/>
    <w:rsid w:val="00136569"/>
    <w:rsid w:val="001419D5"/>
    <w:rsid w:val="00147EFE"/>
    <w:rsid w:val="001502E9"/>
    <w:rsid w:val="00155025"/>
    <w:rsid w:val="001553FC"/>
    <w:rsid w:val="00162B63"/>
    <w:rsid w:val="00163251"/>
    <w:rsid w:val="0017608A"/>
    <w:rsid w:val="00183EC3"/>
    <w:rsid w:val="00185A62"/>
    <w:rsid w:val="00190C73"/>
    <w:rsid w:val="00190F0C"/>
    <w:rsid w:val="0019322C"/>
    <w:rsid w:val="00193CFD"/>
    <w:rsid w:val="00193EA3"/>
    <w:rsid w:val="001A1A80"/>
    <w:rsid w:val="001A1EE5"/>
    <w:rsid w:val="001C4D85"/>
    <w:rsid w:val="001C522A"/>
    <w:rsid w:val="001D25B1"/>
    <w:rsid w:val="001D6C76"/>
    <w:rsid w:val="001D76C0"/>
    <w:rsid w:val="001E12E9"/>
    <w:rsid w:val="001E4DFE"/>
    <w:rsid w:val="001F56D0"/>
    <w:rsid w:val="0020146D"/>
    <w:rsid w:val="00202EEA"/>
    <w:rsid w:val="00224CFF"/>
    <w:rsid w:val="002360A7"/>
    <w:rsid w:val="00236330"/>
    <w:rsid w:val="00236BBC"/>
    <w:rsid w:val="00243F2B"/>
    <w:rsid w:val="00245290"/>
    <w:rsid w:val="002540AB"/>
    <w:rsid w:val="00254908"/>
    <w:rsid w:val="00275B71"/>
    <w:rsid w:val="002771AD"/>
    <w:rsid w:val="0028068B"/>
    <w:rsid w:val="00281BFA"/>
    <w:rsid w:val="00297732"/>
    <w:rsid w:val="002A6737"/>
    <w:rsid w:val="002B41AE"/>
    <w:rsid w:val="002D10EA"/>
    <w:rsid w:val="002D199F"/>
    <w:rsid w:val="002D293C"/>
    <w:rsid w:val="002D6D10"/>
    <w:rsid w:val="002E6879"/>
    <w:rsid w:val="002E7238"/>
    <w:rsid w:val="002F2625"/>
    <w:rsid w:val="002F34FB"/>
    <w:rsid w:val="003000AF"/>
    <w:rsid w:val="00302175"/>
    <w:rsid w:val="0030334F"/>
    <w:rsid w:val="00304045"/>
    <w:rsid w:val="003101D8"/>
    <w:rsid w:val="00334E45"/>
    <w:rsid w:val="0033779D"/>
    <w:rsid w:val="00351DCC"/>
    <w:rsid w:val="00352514"/>
    <w:rsid w:val="0036793A"/>
    <w:rsid w:val="0039657F"/>
    <w:rsid w:val="003A33D9"/>
    <w:rsid w:val="003A59D6"/>
    <w:rsid w:val="003A5F6D"/>
    <w:rsid w:val="003A6560"/>
    <w:rsid w:val="003B2CD3"/>
    <w:rsid w:val="003E01F9"/>
    <w:rsid w:val="003E0F2E"/>
    <w:rsid w:val="003E123F"/>
    <w:rsid w:val="003F28AC"/>
    <w:rsid w:val="00411581"/>
    <w:rsid w:val="004363E2"/>
    <w:rsid w:val="00444D92"/>
    <w:rsid w:val="004504D6"/>
    <w:rsid w:val="00450597"/>
    <w:rsid w:val="00451902"/>
    <w:rsid w:val="00452160"/>
    <w:rsid w:val="00452A77"/>
    <w:rsid w:val="00455829"/>
    <w:rsid w:val="0046258F"/>
    <w:rsid w:val="004633DD"/>
    <w:rsid w:val="0048117D"/>
    <w:rsid w:val="00490964"/>
    <w:rsid w:val="00491137"/>
    <w:rsid w:val="00496A69"/>
    <w:rsid w:val="004B1934"/>
    <w:rsid w:val="004C4068"/>
    <w:rsid w:val="004C6BAC"/>
    <w:rsid w:val="004C749F"/>
    <w:rsid w:val="004D03D0"/>
    <w:rsid w:val="004D70E9"/>
    <w:rsid w:val="004D7AFD"/>
    <w:rsid w:val="004E44A4"/>
    <w:rsid w:val="004E44BA"/>
    <w:rsid w:val="004E5AE3"/>
    <w:rsid w:val="004F06E7"/>
    <w:rsid w:val="004F4782"/>
    <w:rsid w:val="004F58A3"/>
    <w:rsid w:val="004F68AC"/>
    <w:rsid w:val="00511578"/>
    <w:rsid w:val="00512AA1"/>
    <w:rsid w:val="00517B3C"/>
    <w:rsid w:val="00521893"/>
    <w:rsid w:val="00522CF4"/>
    <w:rsid w:val="00531A46"/>
    <w:rsid w:val="0053428D"/>
    <w:rsid w:val="00543638"/>
    <w:rsid w:val="005450B1"/>
    <w:rsid w:val="0054510F"/>
    <w:rsid w:val="00566EC9"/>
    <w:rsid w:val="005746B5"/>
    <w:rsid w:val="00590A38"/>
    <w:rsid w:val="005B5845"/>
    <w:rsid w:val="005C451C"/>
    <w:rsid w:val="005D1C8E"/>
    <w:rsid w:val="005D2B70"/>
    <w:rsid w:val="005E13CF"/>
    <w:rsid w:val="005E13E2"/>
    <w:rsid w:val="0060008E"/>
    <w:rsid w:val="006169DF"/>
    <w:rsid w:val="00622595"/>
    <w:rsid w:val="00634147"/>
    <w:rsid w:val="0065203A"/>
    <w:rsid w:val="00652CAC"/>
    <w:rsid w:val="00653F4D"/>
    <w:rsid w:val="00670B3B"/>
    <w:rsid w:val="0067596B"/>
    <w:rsid w:val="0068343F"/>
    <w:rsid w:val="00683973"/>
    <w:rsid w:val="00685265"/>
    <w:rsid w:val="006969A7"/>
    <w:rsid w:val="006A1F27"/>
    <w:rsid w:val="006A5915"/>
    <w:rsid w:val="006B2CC1"/>
    <w:rsid w:val="006B36D7"/>
    <w:rsid w:val="006B50AF"/>
    <w:rsid w:val="006C0F2C"/>
    <w:rsid w:val="006D0349"/>
    <w:rsid w:val="006D5803"/>
    <w:rsid w:val="006D7CD9"/>
    <w:rsid w:val="006E3214"/>
    <w:rsid w:val="006F03B5"/>
    <w:rsid w:val="006F2B9A"/>
    <w:rsid w:val="00702E83"/>
    <w:rsid w:val="00715EFD"/>
    <w:rsid w:val="00717837"/>
    <w:rsid w:val="007277A5"/>
    <w:rsid w:val="00732F46"/>
    <w:rsid w:val="0074240D"/>
    <w:rsid w:val="00742AFB"/>
    <w:rsid w:val="00742DE9"/>
    <w:rsid w:val="00746C5C"/>
    <w:rsid w:val="00752650"/>
    <w:rsid w:val="00762FB0"/>
    <w:rsid w:val="00763E1C"/>
    <w:rsid w:val="007666BE"/>
    <w:rsid w:val="007955CB"/>
    <w:rsid w:val="0079799E"/>
    <w:rsid w:val="007A488B"/>
    <w:rsid w:val="007A4F4C"/>
    <w:rsid w:val="007A57B4"/>
    <w:rsid w:val="007B1543"/>
    <w:rsid w:val="007B4D23"/>
    <w:rsid w:val="007B5E51"/>
    <w:rsid w:val="007D1578"/>
    <w:rsid w:val="007D3AC9"/>
    <w:rsid w:val="007D60A4"/>
    <w:rsid w:val="007E3EAC"/>
    <w:rsid w:val="00810156"/>
    <w:rsid w:val="00816BE9"/>
    <w:rsid w:val="00817CED"/>
    <w:rsid w:val="008239C6"/>
    <w:rsid w:val="008245CC"/>
    <w:rsid w:val="00830D32"/>
    <w:rsid w:val="008320FA"/>
    <w:rsid w:val="008364E8"/>
    <w:rsid w:val="008408A8"/>
    <w:rsid w:val="00842D39"/>
    <w:rsid w:val="00846768"/>
    <w:rsid w:val="0086248A"/>
    <w:rsid w:val="00876892"/>
    <w:rsid w:val="00881817"/>
    <w:rsid w:val="00887AE7"/>
    <w:rsid w:val="00894D05"/>
    <w:rsid w:val="008959D9"/>
    <w:rsid w:val="00895FAB"/>
    <w:rsid w:val="008969C4"/>
    <w:rsid w:val="00896A9A"/>
    <w:rsid w:val="008A71B4"/>
    <w:rsid w:val="008B5B2C"/>
    <w:rsid w:val="008B78B6"/>
    <w:rsid w:val="008C3292"/>
    <w:rsid w:val="008C59B9"/>
    <w:rsid w:val="008C688A"/>
    <w:rsid w:val="008D2998"/>
    <w:rsid w:val="008D3F5D"/>
    <w:rsid w:val="008E080F"/>
    <w:rsid w:val="008E3AB0"/>
    <w:rsid w:val="008F04E7"/>
    <w:rsid w:val="008F11DC"/>
    <w:rsid w:val="008F3193"/>
    <w:rsid w:val="009028FF"/>
    <w:rsid w:val="0090438E"/>
    <w:rsid w:val="00913DB2"/>
    <w:rsid w:val="00917120"/>
    <w:rsid w:val="00927EF5"/>
    <w:rsid w:val="00936C38"/>
    <w:rsid w:val="009425B9"/>
    <w:rsid w:val="00943CBB"/>
    <w:rsid w:val="00947B63"/>
    <w:rsid w:val="00951D64"/>
    <w:rsid w:val="00954AD0"/>
    <w:rsid w:val="0095626B"/>
    <w:rsid w:val="00957C6C"/>
    <w:rsid w:val="009649E3"/>
    <w:rsid w:val="00964E62"/>
    <w:rsid w:val="009802DB"/>
    <w:rsid w:val="00981D6C"/>
    <w:rsid w:val="009A1788"/>
    <w:rsid w:val="009A20DE"/>
    <w:rsid w:val="009A33B0"/>
    <w:rsid w:val="009A3814"/>
    <w:rsid w:val="009D02F1"/>
    <w:rsid w:val="009D75D0"/>
    <w:rsid w:val="009E6738"/>
    <w:rsid w:val="009F0E58"/>
    <w:rsid w:val="009F0E65"/>
    <w:rsid w:val="00A0461C"/>
    <w:rsid w:val="00A07767"/>
    <w:rsid w:val="00A14BC9"/>
    <w:rsid w:val="00A16D12"/>
    <w:rsid w:val="00A2220E"/>
    <w:rsid w:val="00A352EF"/>
    <w:rsid w:val="00A377B7"/>
    <w:rsid w:val="00A53B74"/>
    <w:rsid w:val="00A6022A"/>
    <w:rsid w:val="00A641E0"/>
    <w:rsid w:val="00A642F7"/>
    <w:rsid w:val="00A7576C"/>
    <w:rsid w:val="00A7712D"/>
    <w:rsid w:val="00A805AE"/>
    <w:rsid w:val="00A913E9"/>
    <w:rsid w:val="00A93D04"/>
    <w:rsid w:val="00AA1047"/>
    <w:rsid w:val="00AB7AC5"/>
    <w:rsid w:val="00AC1670"/>
    <w:rsid w:val="00AC6D85"/>
    <w:rsid w:val="00AD49E3"/>
    <w:rsid w:val="00B003BC"/>
    <w:rsid w:val="00B03A81"/>
    <w:rsid w:val="00B06827"/>
    <w:rsid w:val="00B10270"/>
    <w:rsid w:val="00B20C0F"/>
    <w:rsid w:val="00B21843"/>
    <w:rsid w:val="00B2672C"/>
    <w:rsid w:val="00B32EBF"/>
    <w:rsid w:val="00B50581"/>
    <w:rsid w:val="00B7194D"/>
    <w:rsid w:val="00B8069B"/>
    <w:rsid w:val="00B914CC"/>
    <w:rsid w:val="00BA1245"/>
    <w:rsid w:val="00BB4A25"/>
    <w:rsid w:val="00BB5435"/>
    <w:rsid w:val="00BB6E0D"/>
    <w:rsid w:val="00BC6703"/>
    <w:rsid w:val="00BC699C"/>
    <w:rsid w:val="00BD092B"/>
    <w:rsid w:val="00BD386B"/>
    <w:rsid w:val="00BE4F31"/>
    <w:rsid w:val="00BF5084"/>
    <w:rsid w:val="00C038C3"/>
    <w:rsid w:val="00C13125"/>
    <w:rsid w:val="00C27CF3"/>
    <w:rsid w:val="00C30265"/>
    <w:rsid w:val="00C425A9"/>
    <w:rsid w:val="00C47A85"/>
    <w:rsid w:val="00C603D1"/>
    <w:rsid w:val="00C60E1D"/>
    <w:rsid w:val="00C62444"/>
    <w:rsid w:val="00C630D8"/>
    <w:rsid w:val="00C6467B"/>
    <w:rsid w:val="00C8388C"/>
    <w:rsid w:val="00C850AC"/>
    <w:rsid w:val="00C96C11"/>
    <w:rsid w:val="00CA1666"/>
    <w:rsid w:val="00CA5A22"/>
    <w:rsid w:val="00CB2119"/>
    <w:rsid w:val="00CB40E1"/>
    <w:rsid w:val="00CB63FB"/>
    <w:rsid w:val="00CF5F93"/>
    <w:rsid w:val="00CF78E1"/>
    <w:rsid w:val="00D00BDF"/>
    <w:rsid w:val="00D068F6"/>
    <w:rsid w:val="00D104B5"/>
    <w:rsid w:val="00D204C8"/>
    <w:rsid w:val="00D35A42"/>
    <w:rsid w:val="00D4076B"/>
    <w:rsid w:val="00D440EE"/>
    <w:rsid w:val="00D513C2"/>
    <w:rsid w:val="00D71438"/>
    <w:rsid w:val="00D84A16"/>
    <w:rsid w:val="00D96A29"/>
    <w:rsid w:val="00DB0D4F"/>
    <w:rsid w:val="00DC175A"/>
    <w:rsid w:val="00DC5889"/>
    <w:rsid w:val="00DD214E"/>
    <w:rsid w:val="00DD5732"/>
    <w:rsid w:val="00DD5855"/>
    <w:rsid w:val="00DD60F1"/>
    <w:rsid w:val="00DD62FF"/>
    <w:rsid w:val="00DE061E"/>
    <w:rsid w:val="00DE5FD1"/>
    <w:rsid w:val="00DF0191"/>
    <w:rsid w:val="00DF7F4C"/>
    <w:rsid w:val="00E02989"/>
    <w:rsid w:val="00E06BF3"/>
    <w:rsid w:val="00E06CD4"/>
    <w:rsid w:val="00E244BC"/>
    <w:rsid w:val="00E24AED"/>
    <w:rsid w:val="00E312AA"/>
    <w:rsid w:val="00E3726C"/>
    <w:rsid w:val="00E477EE"/>
    <w:rsid w:val="00E53D0B"/>
    <w:rsid w:val="00E60F9C"/>
    <w:rsid w:val="00E628A6"/>
    <w:rsid w:val="00E64752"/>
    <w:rsid w:val="00E64A8F"/>
    <w:rsid w:val="00E66061"/>
    <w:rsid w:val="00E7296C"/>
    <w:rsid w:val="00E7654C"/>
    <w:rsid w:val="00EA02B5"/>
    <w:rsid w:val="00EB78FA"/>
    <w:rsid w:val="00EC4A5C"/>
    <w:rsid w:val="00EC5FCC"/>
    <w:rsid w:val="00ED2797"/>
    <w:rsid w:val="00EE6A66"/>
    <w:rsid w:val="00EF0CC0"/>
    <w:rsid w:val="00EF35C5"/>
    <w:rsid w:val="00F14D11"/>
    <w:rsid w:val="00F14DBE"/>
    <w:rsid w:val="00F16F61"/>
    <w:rsid w:val="00F3089F"/>
    <w:rsid w:val="00F35C0A"/>
    <w:rsid w:val="00F523EF"/>
    <w:rsid w:val="00F57459"/>
    <w:rsid w:val="00F63D32"/>
    <w:rsid w:val="00F77313"/>
    <w:rsid w:val="00F85875"/>
    <w:rsid w:val="00F85A38"/>
    <w:rsid w:val="00FA392F"/>
    <w:rsid w:val="00FA6DD7"/>
    <w:rsid w:val="00FB0F84"/>
    <w:rsid w:val="00FB1C4A"/>
    <w:rsid w:val="00FB376A"/>
    <w:rsid w:val="00FC1C58"/>
    <w:rsid w:val="00FC291C"/>
    <w:rsid w:val="00FD2F26"/>
    <w:rsid w:val="00FD41D9"/>
    <w:rsid w:val="00FE3B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EB2DC4E-5B22-4AA2-A96E-B9737CC77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C58"/>
    <w:pPr>
      <w:spacing w:after="160" w:line="259" w:lineRule="auto"/>
    </w:pPr>
  </w:style>
  <w:style w:type="paragraph" w:styleId="Titre1">
    <w:name w:val="heading 1"/>
    <w:basedOn w:val="Normal"/>
    <w:next w:val="Normal"/>
    <w:link w:val="Titre1Car"/>
    <w:qFormat/>
    <w:rsid w:val="00FC1C58"/>
    <w:pPr>
      <w:spacing w:before="120" w:after="120" w:line="276" w:lineRule="auto"/>
      <w:jc w:val="both"/>
      <w:outlineLvl w:val="0"/>
    </w:pPr>
    <w:rPr>
      <w:rFonts w:ascii="Garamond" w:eastAsia="Times New Roman" w:hAnsi="Garamond" w:cs="Times New Roman"/>
      <w:b/>
      <w:sz w:val="32"/>
      <w:szCs w:val="24"/>
    </w:rPr>
  </w:style>
  <w:style w:type="paragraph" w:styleId="Titre2">
    <w:name w:val="heading 2"/>
    <w:basedOn w:val="Normal"/>
    <w:next w:val="Normal"/>
    <w:link w:val="Titre2Car"/>
    <w:qFormat/>
    <w:rsid w:val="00FC1C58"/>
    <w:pPr>
      <w:numPr>
        <w:numId w:val="1"/>
      </w:numPr>
      <w:spacing w:before="120" w:after="0" w:line="276" w:lineRule="auto"/>
      <w:jc w:val="both"/>
      <w:outlineLvl w:val="1"/>
    </w:pPr>
    <w:rPr>
      <w:rFonts w:ascii="Garamond" w:eastAsia="Times New Roman" w:hAnsi="Garamond" w:cs="Times New Roman"/>
      <w:b/>
      <w:sz w:val="28"/>
      <w:szCs w:val="24"/>
    </w:rPr>
  </w:style>
  <w:style w:type="paragraph" w:styleId="Titre3">
    <w:name w:val="heading 3"/>
    <w:basedOn w:val="Normal"/>
    <w:next w:val="Normal"/>
    <w:link w:val="Titre3Car"/>
    <w:unhideWhenUsed/>
    <w:qFormat/>
    <w:rsid w:val="00FC1C58"/>
    <w:pPr>
      <w:numPr>
        <w:numId w:val="2"/>
      </w:numPr>
      <w:spacing w:before="120" w:after="0" w:line="276" w:lineRule="auto"/>
      <w:jc w:val="both"/>
      <w:outlineLvl w:val="2"/>
    </w:pPr>
    <w:rPr>
      <w:rFonts w:ascii="Garamond" w:eastAsia="Times New Roman" w:hAnsi="Garamond" w:cs="Times New Roman"/>
      <w:b/>
      <w:i/>
      <w:sz w:val="24"/>
      <w:szCs w:val="24"/>
    </w:rPr>
  </w:style>
  <w:style w:type="paragraph" w:styleId="Titre4">
    <w:name w:val="heading 4"/>
    <w:basedOn w:val="Normal"/>
    <w:next w:val="Normal"/>
    <w:link w:val="Titre4Car"/>
    <w:unhideWhenUsed/>
    <w:qFormat/>
    <w:rsid w:val="00FC1C58"/>
    <w:pPr>
      <w:numPr>
        <w:numId w:val="24"/>
      </w:numPr>
      <w:spacing w:after="0" w:line="276" w:lineRule="auto"/>
      <w:jc w:val="both"/>
      <w:outlineLvl w:val="3"/>
    </w:pPr>
    <w:rPr>
      <w:rFonts w:ascii="Garamond" w:eastAsia="Times New Roman" w:hAnsi="Garamond" w:cs="Times New Roman"/>
      <w:b/>
      <w:sz w:val="24"/>
      <w:szCs w:val="24"/>
    </w:rPr>
  </w:style>
  <w:style w:type="paragraph" w:styleId="Titre5">
    <w:name w:val="heading 5"/>
    <w:basedOn w:val="Normal"/>
    <w:next w:val="Normal"/>
    <w:link w:val="Titre5Car"/>
    <w:qFormat/>
    <w:rsid w:val="00FC1C58"/>
    <w:pPr>
      <w:numPr>
        <w:numId w:val="10"/>
      </w:numPr>
      <w:spacing w:before="120" w:after="120" w:line="276" w:lineRule="auto"/>
      <w:jc w:val="both"/>
      <w:outlineLvl w:val="4"/>
    </w:pPr>
    <w:rPr>
      <w:rFonts w:ascii="Garamond" w:eastAsia="Times New Roman" w:hAnsi="Garamond" w:cs="Times New Roman"/>
      <w:bCs/>
      <w:i/>
      <w:sz w:val="24"/>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FC1C58"/>
    <w:rPr>
      <w:rFonts w:ascii="Garamond" w:eastAsia="Times New Roman" w:hAnsi="Garamond" w:cs="Times New Roman"/>
      <w:b/>
      <w:sz w:val="32"/>
      <w:szCs w:val="24"/>
    </w:rPr>
  </w:style>
  <w:style w:type="character" w:customStyle="1" w:styleId="Titre2Car">
    <w:name w:val="Titre 2 Car"/>
    <w:basedOn w:val="Policepardfaut"/>
    <w:link w:val="Titre2"/>
    <w:rsid w:val="00FC1C58"/>
    <w:rPr>
      <w:rFonts w:ascii="Garamond" w:eastAsia="Times New Roman" w:hAnsi="Garamond" w:cs="Times New Roman"/>
      <w:b/>
      <w:sz w:val="28"/>
      <w:szCs w:val="24"/>
    </w:rPr>
  </w:style>
  <w:style w:type="character" w:customStyle="1" w:styleId="Titre3Car">
    <w:name w:val="Titre 3 Car"/>
    <w:basedOn w:val="Policepardfaut"/>
    <w:link w:val="Titre3"/>
    <w:rsid w:val="00FC1C58"/>
    <w:rPr>
      <w:rFonts w:ascii="Garamond" w:eastAsia="Times New Roman" w:hAnsi="Garamond" w:cs="Times New Roman"/>
      <w:b/>
      <w:i/>
      <w:sz w:val="24"/>
      <w:szCs w:val="24"/>
    </w:rPr>
  </w:style>
  <w:style w:type="character" w:customStyle="1" w:styleId="Titre4Car">
    <w:name w:val="Titre 4 Car"/>
    <w:basedOn w:val="Policepardfaut"/>
    <w:link w:val="Titre4"/>
    <w:rsid w:val="00FC1C58"/>
    <w:rPr>
      <w:rFonts w:ascii="Garamond" w:eastAsia="Times New Roman" w:hAnsi="Garamond" w:cs="Times New Roman"/>
      <w:b/>
      <w:sz w:val="24"/>
      <w:szCs w:val="24"/>
    </w:rPr>
  </w:style>
  <w:style w:type="character" w:customStyle="1" w:styleId="Titre5Car">
    <w:name w:val="Titre 5 Car"/>
    <w:basedOn w:val="Policepardfaut"/>
    <w:link w:val="Titre5"/>
    <w:rsid w:val="00FC1C58"/>
    <w:rPr>
      <w:rFonts w:ascii="Garamond" w:eastAsia="Times New Roman" w:hAnsi="Garamond" w:cs="Times New Roman"/>
      <w:bCs/>
      <w:i/>
      <w:sz w:val="24"/>
      <w:szCs w:val="32"/>
    </w:rPr>
  </w:style>
  <w:style w:type="numbering" w:customStyle="1" w:styleId="Aucuneliste1">
    <w:name w:val="Aucune liste1"/>
    <w:next w:val="Aucuneliste"/>
    <w:uiPriority w:val="99"/>
    <w:semiHidden/>
    <w:unhideWhenUsed/>
    <w:rsid w:val="00FC1C58"/>
  </w:style>
  <w:style w:type="paragraph" w:styleId="Paragraphedeliste">
    <w:name w:val="List Paragraph"/>
    <w:basedOn w:val="Normal"/>
    <w:uiPriority w:val="34"/>
    <w:qFormat/>
    <w:rsid w:val="00FC1C58"/>
    <w:pPr>
      <w:spacing w:before="120" w:after="120" w:line="276" w:lineRule="auto"/>
      <w:ind w:left="720"/>
      <w:contextualSpacing/>
      <w:jc w:val="both"/>
    </w:pPr>
    <w:rPr>
      <w:rFonts w:ascii="Garamond" w:eastAsia="Times New Roman" w:hAnsi="Garamond" w:cs="Garamond"/>
      <w:sz w:val="24"/>
      <w:szCs w:val="24"/>
      <w:lang w:eastAsia="it-IT"/>
    </w:rPr>
  </w:style>
  <w:style w:type="paragraph" w:styleId="Sous-titre">
    <w:name w:val="Subtitle"/>
    <w:basedOn w:val="Normal"/>
    <w:next w:val="Normal"/>
    <w:link w:val="Sous-titreCar"/>
    <w:qFormat/>
    <w:rsid w:val="00FC1C58"/>
    <w:pPr>
      <w:tabs>
        <w:tab w:val="left" w:pos="9070"/>
      </w:tabs>
      <w:spacing w:before="120" w:after="120" w:line="276" w:lineRule="auto"/>
      <w:ind w:right="-2"/>
      <w:jc w:val="right"/>
    </w:pPr>
    <w:rPr>
      <w:rFonts w:ascii="Garamond" w:eastAsia="Times" w:hAnsi="Garamond" w:cs="Times New Roman"/>
      <w:bCs/>
      <w:noProof/>
      <w:color w:val="000080"/>
    </w:rPr>
  </w:style>
  <w:style w:type="character" w:customStyle="1" w:styleId="Sous-titreCar">
    <w:name w:val="Sous-titre Car"/>
    <w:basedOn w:val="Policepardfaut"/>
    <w:link w:val="Sous-titre"/>
    <w:rsid w:val="00FC1C58"/>
    <w:rPr>
      <w:rFonts w:ascii="Garamond" w:eastAsia="Times" w:hAnsi="Garamond" w:cs="Times New Roman"/>
      <w:bCs/>
      <w:noProof/>
      <w:color w:val="000080"/>
    </w:rPr>
  </w:style>
  <w:style w:type="paragraph" w:styleId="Corpsdetexte">
    <w:name w:val="Body Text"/>
    <w:basedOn w:val="Normal"/>
    <w:link w:val="CorpsdetexteCar"/>
    <w:uiPriority w:val="99"/>
    <w:semiHidden/>
    <w:unhideWhenUsed/>
    <w:rsid w:val="00FC1C58"/>
    <w:pPr>
      <w:spacing w:before="120" w:after="120" w:line="276" w:lineRule="auto"/>
      <w:jc w:val="both"/>
    </w:pPr>
    <w:rPr>
      <w:rFonts w:ascii="Garamond" w:eastAsia="Times" w:hAnsi="Garamond" w:cs="Times New Roman"/>
      <w:sz w:val="24"/>
      <w:szCs w:val="24"/>
    </w:rPr>
  </w:style>
  <w:style w:type="character" w:customStyle="1" w:styleId="CorpsdetexteCar">
    <w:name w:val="Corps de texte Car"/>
    <w:basedOn w:val="Policepardfaut"/>
    <w:link w:val="Corpsdetexte"/>
    <w:uiPriority w:val="99"/>
    <w:semiHidden/>
    <w:rsid w:val="00FC1C58"/>
    <w:rPr>
      <w:rFonts w:ascii="Garamond" w:eastAsia="Times" w:hAnsi="Garamond" w:cs="Times New Roman"/>
      <w:sz w:val="24"/>
      <w:szCs w:val="24"/>
    </w:rPr>
  </w:style>
  <w:style w:type="paragraph" w:customStyle="1" w:styleId="Sansinterligne1">
    <w:name w:val="Sans interligne1"/>
    <w:rsid w:val="00FC1C58"/>
    <w:pPr>
      <w:spacing w:after="0" w:line="240" w:lineRule="auto"/>
      <w:jc w:val="both"/>
    </w:pPr>
    <w:rPr>
      <w:rFonts w:ascii="Garamond" w:eastAsia="Times New Roman" w:hAnsi="Garamond" w:cs="Garamond"/>
      <w:sz w:val="24"/>
      <w:szCs w:val="24"/>
    </w:rPr>
  </w:style>
  <w:style w:type="paragraph" w:styleId="Textedebulles">
    <w:name w:val="Balloon Text"/>
    <w:basedOn w:val="Normal"/>
    <w:link w:val="TextedebullesCar"/>
    <w:uiPriority w:val="99"/>
    <w:semiHidden/>
    <w:unhideWhenUsed/>
    <w:rsid w:val="00FC1C58"/>
    <w:pPr>
      <w:spacing w:before="120" w:after="120" w:line="240" w:lineRule="auto"/>
      <w:jc w:val="both"/>
    </w:pPr>
    <w:rPr>
      <w:rFonts w:ascii="Tahoma" w:eastAsia="Times New Roman" w:hAnsi="Tahoma" w:cs="Times New Roman"/>
      <w:sz w:val="16"/>
      <w:szCs w:val="16"/>
    </w:rPr>
  </w:style>
  <w:style w:type="character" w:customStyle="1" w:styleId="TextedebullesCar">
    <w:name w:val="Texte de bulles Car"/>
    <w:basedOn w:val="Policepardfaut"/>
    <w:link w:val="Textedebulles"/>
    <w:uiPriority w:val="99"/>
    <w:semiHidden/>
    <w:rsid w:val="00FC1C58"/>
    <w:rPr>
      <w:rFonts w:ascii="Tahoma" w:eastAsia="Times New Roman" w:hAnsi="Tahoma" w:cs="Times New Roman"/>
      <w:sz w:val="16"/>
      <w:szCs w:val="16"/>
    </w:rPr>
  </w:style>
  <w:style w:type="character" w:styleId="Lienhypertexte">
    <w:name w:val="Hyperlink"/>
    <w:uiPriority w:val="99"/>
    <w:rsid w:val="00FC1C58"/>
    <w:rPr>
      <w:color w:val="0000FF"/>
      <w:u w:val="single"/>
    </w:rPr>
  </w:style>
  <w:style w:type="paragraph" w:styleId="En-tte">
    <w:name w:val="header"/>
    <w:basedOn w:val="Normal"/>
    <w:link w:val="En-tteCar"/>
    <w:uiPriority w:val="99"/>
    <w:unhideWhenUsed/>
    <w:rsid w:val="00FC1C58"/>
    <w:pPr>
      <w:tabs>
        <w:tab w:val="center" w:pos="4536"/>
        <w:tab w:val="right" w:pos="9072"/>
      </w:tabs>
      <w:spacing w:before="120" w:after="120" w:line="276" w:lineRule="auto"/>
      <w:jc w:val="both"/>
    </w:pPr>
    <w:rPr>
      <w:rFonts w:ascii="Garamond" w:eastAsia="Times New Roman" w:hAnsi="Garamond" w:cs="Times New Roman"/>
      <w:sz w:val="24"/>
      <w:szCs w:val="24"/>
    </w:rPr>
  </w:style>
  <w:style w:type="character" w:customStyle="1" w:styleId="En-tteCar">
    <w:name w:val="En-tête Car"/>
    <w:basedOn w:val="Policepardfaut"/>
    <w:link w:val="En-tte"/>
    <w:uiPriority w:val="99"/>
    <w:rsid w:val="00FC1C58"/>
    <w:rPr>
      <w:rFonts w:ascii="Garamond" w:eastAsia="Times New Roman" w:hAnsi="Garamond" w:cs="Times New Roman"/>
      <w:sz w:val="24"/>
      <w:szCs w:val="24"/>
    </w:rPr>
  </w:style>
  <w:style w:type="paragraph" w:styleId="Pieddepage">
    <w:name w:val="footer"/>
    <w:basedOn w:val="Normal"/>
    <w:link w:val="PieddepageCar"/>
    <w:uiPriority w:val="99"/>
    <w:unhideWhenUsed/>
    <w:rsid w:val="00FC1C58"/>
    <w:pPr>
      <w:tabs>
        <w:tab w:val="center" w:pos="4536"/>
        <w:tab w:val="right" w:pos="9072"/>
      </w:tabs>
      <w:spacing w:before="120" w:after="120" w:line="276" w:lineRule="auto"/>
      <w:jc w:val="both"/>
    </w:pPr>
    <w:rPr>
      <w:rFonts w:ascii="Garamond" w:eastAsia="Times New Roman" w:hAnsi="Garamond" w:cs="Times New Roman"/>
      <w:sz w:val="24"/>
      <w:szCs w:val="24"/>
    </w:rPr>
  </w:style>
  <w:style w:type="character" w:customStyle="1" w:styleId="PieddepageCar">
    <w:name w:val="Pied de page Car"/>
    <w:basedOn w:val="Policepardfaut"/>
    <w:link w:val="Pieddepage"/>
    <w:uiPriority w:val="99"/>
    <w:rsid w:val="00FC1C58"/>
    <w:rPr>
      <w:rFonts w:ascii="Garamond" w:eastAsia="Times New Roman" w:hAnsi="Garamond" w:cs="Times New Roman"/>
      <w:sz w:val="24"/>
      <w:szCs w:val="24"/>
    </w:rPr>
  </w:style>
  <w:style w:type="paragraph" w:styleId="TM1">
    <w:name w:val="toc 1"/>
    <w:basedOn w:val="Normal"/>
    <w:next w:val="Normal"/>
    <w:autoRedefine/>
    <w:uiPriority w:val="39"/>
    <w:unhideWhenUsed/>
    <w:rsid w:val="00E477EE"/>
    <w:pPr>
      <w:tabs>
        <w:tab w:val="right" w:leader="dot" w:pos="9062"/>
      </w:tabs>
      <w:spacing w:before="60" w:after="60" w:line="276" w:lineRule="auto"/>
      <w:jc w:val="both"/>
    </w:pPr>
    <w:rPr>
      <w:rFonts w:ascii="Garamond" w:eastAsia="Times New Roman" w:hAnsi="Garamond" w:cs="Times New Roman"/>
      <w:b/>
      <w:noProof/>
      <w:sz w:val="24"/>
      <w:szCs w:val="24"/>
    </w:rPr>
  </w:style>
  <w:style w:type="paragraph" w:styleId="TM2">
    <w:name w:val="toc 2"/>
    <w:basedOn w:val="Normal"/>
    <w:next w:val="Normal"/>
    <w:autoRedefine/>
    <w:uiPriority w:val="39"/>
    <w:unhideWhenUsed/>
    <w:rsid w:val="00FC1C58"/>
    <w:pPr>
      <w:tabs>
        <w:tab w:val="left" w:pos="660"/>
        <w:tab w:val="right" w:leader="dot" w:pos="9062"/>
      </w:tabs>
      <w:spacing w:before="120" w:after="120" w:line="276" w:lineRule="auto"/>
      <w:ind w:left="240"/>
      <w:jc w:val="both"/>
    </w:pPr>
    <w:rPr>
      <w:rFonts w:ascii="Garamond" w:eastAsia="Times New Roman" w:hAnsi="Garamond" w:cs="Garamond"/>
      <w:b/>
      <w:noProof/>
      <w:sz w:val="24"/>
      <w:szCs w:val="24"/>
    </w:rPr>
  </w:style>
  <w:style w:type="paragraph" w:styleId="TM3">
    <w:name w:val="toc 3"/>
    <w:basedOn w:val="Normal"/>
    <w:next w:val="Normal"/>
    <w:autoRedefine/>
    <w:uiPriority w:val="39"/>
    <w:unhideWhenUsed/>
    <w:rsid w:val="00FC1C58"/>
    <w:pPr>
      <w:spacing w:before="120" w:after="120" w:line="276" w:lineRule="auto"/>
      <w:ind w:left="480"/>
      <w:jc w:val="both"/>
    </w:pPr>
    <w:rPr>
      <w:rFonts w:ascii="Garamond" w:eastAsia="Times New Roman" w:hAnsi="Garamond" w:cs="Garamond"/>
      <w:sz w:val="24"/>
      <w:szCs w:val="24"/>
    </w:rPr>
  </w:style>
  <w:style w:type="paragraph" w:styleId="Notedebasdepage">
    <w:name w:val="footnote text"/>
    <w:aliases w:val="ft,single space,fn,FOOTNOTES,Footnote Text Char Char Char Char Char Char,Footnote Text Char Char Char Char,Footnote Text Char Char Char,Footnote Text Char Char Char Char Char Char Char Char Char,f,Texto nota pie Car Car,5_G,Footnote"/>
    <w:basedOn w:val="Normal"/>
    <w:link w:val="NotedebasdepageCar"/>
    <w:uiPriority w:val="99"/>
    <w:unhideWhenUsed/>
    <w:rsid w:val="00FC1C58"/>
    <w:pPr>
      <w:spacing w:before="120" w:after="120" w:line="276" w:lineRule="auto"/>
      <w:jc w:val="both"/>
    </w:pPr>
    <w:rPr>
      <w:rFonts w:ascii="Garamond" w:eastAsia="Times New Roman" w:hAnsi="Garamond" w:cs="Times New Roman"/>
      <w:sz w:val="20"/>
      <w:szCs w:val="20"/>
    </w:rPr>
  </w:style>
  <w:style w:type="character" w:customStyle="1" w:styleId="NotedebasdepageCar">
    <w:name w:val="Note de bas de page Car"/>
    <w:aliases w:val="ft Car,single space Car,fn Car,FOOTNOTES Car,Footnote Text Char Char Char Char Char Char Car,Footnote Text Char Char Char Char Car,Footnote Text Char Char Char Car,Footnote Text Char Char Char Char Char Char Char Char Char Car"/>
    <w:basedOn w:val="Policepardfaut"/>
    <w:link w:val="Notedebasdepage"/>
    <w:uiPriority w:val="99"/>
    <w:rsid w:val="00FC1C58"/>
    <w:rPr>
      <w:rFonts w:ascii="Garamond" w:eastAsia="Times New Roman" w:hAnsi="Garamond" w:cs="Times New Roman"/>
      <w:sz w:val="20"/>
      <w:szCs w:val="20"/>
    </w:rPr>
  </w:style>
  <w:style w:type="character" w:styleId="Appelnotedebasdep">
    <w:name w:val="footnote reference"/>
    <w:aliases w:val="16 Point Car Car,Superscript 6 Point Car Car,BVI fnr Car Char Char Car Car,BVI fnr Car Car Car Char Char Car Car,BVI fnr Car Car Char Char Car Car,BVI fnr Car Car Car Car Car Char Char Car Car,4_G,Char Char Char Char Car Char"/>
    <w:link w:val="16PointCar"/>
    <w:unhideWhenUsed/>
    <w:rsid w:val="00FC1C58"/>
    <w:rPr>
      <w:vertAlign w:val="superscript"/>
    </w:rPr>
  </w:style>
  <w:style w:type="paragraph" w:customStyle="1" w:styleId="16PointCar">
    <w:name w:val="16 Point Car"/>
    <w:aliases w:val="Superscript 6 Point Car,BVI fnr Car Char Char Car,BVI fnr Car Car Car Char Char Car,BVI fnr Car Car Char Char Car,BVI fnr Car Car Car Car Car Char Char Car,BVI fnr Car Car Car Car Char Car Car Char Char Car Car"/>
    <w:basedOn w:val="Normal"/>
    <w:link w:val="Appelnotedebasdep"/>
    <w:rsid w:val="00FC1C58"/>
    <w:pPr>
      <w:spacing w:line="240" w:lineRule="exact"/>
    </w:pPr>
    <w:rPr>
      <w:vertAlign w:val="superscript"/>
    </w:rPr>
  </w:style>
  <w:style w:type="paragraph" w:styleId="TM4">
    <w:name w:val="toc 4"/>
    <w:basedOn w:val="Normal"/>
    <w:next w:val="Normal"/>
    <w:autoRedefine/>
    <w:uiPriority w:val="39"/>
    <w:unhideWhenUsed/>
    <w:rsid w:val="00FC1C58"/>
    <w:pPr>
      <w:spacing w:before="120" w:after="120" w:line="276" w:lineRule="auto"/>
      <w:ind w:left="720"/>
      <w:jc w:val="both"/>
    </w:pPr>
    <w:rPr>
      <w:rFonts w:ascii="Garamond" w:eastAsia="Times New Roman" w:hAnsi="Garamond" w:cs="Garamond"/>
      <w:sz w:val="24"/>
      <w:szCs w:val="24"/>
    </w:rPr>
  </w:style>
  <w:style w:type="character" w:styleId="Marquedecommentaire">
    <w:name w:val="annotation reference"/>
    <w:uiPriority w:val="99"/>
    <w:semiHidden/>
    <w:unhideWhenUsed/>
    <w:rsid w:val="00FC1C58"/>
    <w:rPr>
      <w:sz w:val="16"/>
      <w:szCs w:val="16"/>
    </w:rPr>
  </w:style>
  <w:style w:type="paragraph" w:styleId="Commentaire">
    <w:name w:val="annotation text"/>
    <w:basedOn w:val="Normal"/>
    <w:link w:val="CommentaireCar"/>
    <w:uiPriority w:val="99"/>
    <w:semiHidden/>
    <w:unhideWhenUsed/>
    <w:rsid w:val="00FC1C58"/>
    <w:pPr>
      <w:spacing w:before="120" w:after="120" w:line="276" w:lineRule="auto"/>
      <w:jc w:val="both"/>
    </w:pPr>
    <w:rPr>
      <w:rFonts w:ascii="Garamond" w:eastAsia="Times New Roman" w:hAnsi="Garamond" w:cs="Times New Roman"/>
      <w:sz w:val="20"/>
      <w:szCs w:val="20"/>
    </w:rPr>
  </w:style>
  <w:style w:type="character" w:customStyle="1" w:styleId="CommentaireCar">
    <w:name w:val="Commentaire Car"/>
    <w:basedOn w:val="Policepardfaut"/>
    <w:link w:val="Commentaire"/>
    <w:uiPriority w:val="99"/>
    <w:semiHidden/>
    <w:rsid w:val="00FC1C58"/>
    <w:rPr>
      <w:rFonts w:ascii="Garamond" w:eastAsia="Times New Roman" w:hAnsi="Garamond" w:cs="Times New Roman"/>
      <w:sz w:val="20"/>
      <w:szCs w:val="20"/>
    </w:rPr>
  </w:style>
  <w:style w:type="paragraph" w:styleId="Objetducommentaire">
    <w:name w:val="annotation subject"/>
    <w:basedOn w:val="Commentaire"/>
    <w:next w:val="Commentaire"/>
    <w:link w:val="ObjetducommentaireCar"/>
    <w:uiPriority w:val="99"/>
    <w:semiHidden/>
    <w:unhideWhenUsed/>
    <w:rsid w:val="00FC1C58"/>
    <w:rPr>
      <w:b/>
      <w:bCs/>
    </w:rPr>
  </w:style>
  <w:style w:type="character" w:customStyle="1" w:styleId="ObjetducommentaireCar">
    <w:name w:val="Objet du commentaire Car"/>
    <w:basedOn w:val="CommentaireCar"/>
    <w:link w:val="Objetducommentaire"/>
    <w:uiPriority w:val="99"/>
    <w:semiHidden/>
    <w:rsid w:val="00FC1C58"/>
    <w:rPr>
      <w:rFonts w:ascii="Garamond" w:eastAsia="Times New Roman" w:hAnsi="Garamond" w:cs="Times New Roman"/>
      <w:b/>
      <w:bCs/>
      <w:sz w:val="20"/>
      <w:szCs w:val="20"/>
    </w:rPr>
  </w:style>
  <w:style w:type="paragraph" w:customStyle="1" w:styleId="SingleTxtG">
    <w:name w:val="_ Single Txt_G"/>
    <w:basedOn w:val="Normal"/>
    <w:link w:val="SingleTxtGCar"/>
    <w:rsid w:val="00FC1C58"/>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Paragraphedeliste1">
    <w:name w:val="Paragraphe de liste1"/>
    <w:basedOn w:val="Normal"/>
    <w:rsid w:val="00FC1C58"/>
    <w:pPr>
      <w:spacing w:after="0" w:line="276" w:lineRule="auto"/>
      <w:ind w:left="720"/>
      <w:contextualSpacing/>
      <w:jc w:val="both"/>
    </w:pPr>
    <w:rPr>
      <w:rFonts w:ascii="Garamond" w:eastAsia="Times New Roman" w:hAnsi="Garamond" w:cs="Garamond"/>
      <w:sz w:val="24"/>
      <w:szCs w:val="24"/>
    </w:rPr>
  </w:style>
  <w:style w:type="paragraph" w:styleId="TM5">
    <w:name w:val="toc 5"/>
    <w:basedOn w:val="Normal"/>
    <w:next w:val="Normal"/>
    <w:autoRedefine/>
    <w:uiPriority w:val="39"/>
    <w:unhideWhenUsed/>
    <w:rsid w:val="00FC1C58"/>
    <w:pPr>
      <w:spacing w:before="120" w:after="120" w:line="276" w:lineRule="auto"/>
      <w:ind w:left="960"/>
      <w:jc w:val="both"/>
    </w:pPr>
    <w:rPr>
      <w:rFonts w:ascii="Garamond" w:eastAsia="Times New Roman" w:hAnsi="Garamond" w:cs="Garamond"/>
      <w:sz w:val="24"/>
      <w:szCs w:val="24"/>
    </w:rPr>
  </w:style>
  <w:style w:type="table" w:styleId="Grilledutableau">
    <w:name w:val="Table Grid"/>
    <w:basedOn w:val="TableauNormal"/>
    <w:uiPriority w:val="59"/>
    <w:rsid w:val="00FC1C58"/>
    <w:pPr>
      <w:spacing w:after="0" w:line="240" w:lineRule="auto"/>
    </w:pPr>
    <w:rPr>
      <w:rFonts w:ascii="Times" w:eastAsia="Times" w:hAnsi="Times"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lien">
    <w:name w:val="date-lien"/>
    <w:basedOn w:val="Policepardfaut"/>
    <w:rsid w:val="00FC1C58"/>
  </w:style>
  <w:style w:type="character" w:styleId="Accentuation">
    <w:name w:val="Emphasis"/>
    <w:basedOn w:val="Policepardfaut"/>
    <w:uiPriority w:val="20"/>
    <w:qFormat/>
    <w:rsid w:val="00FC1C58"/>
    <w:rPr>
      <w:i/>
      <w:iCs/>
    </w:rPr>
  </w:style>
  <w:style w:type="paragraph" w:styleId="NormalWeb">
    <w:name w:val="Normal (Web)"/>
    <w:basedOn w:val="Normal"/>
    <w:uiPriority w:val="99"/>
    <w:unhideWhenUsed/>
    <w:rsid w:val="00FC1C5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FC1C58"/>
    <w:rPr>
      <w:b/>
      <w:bCs/>
    </w:rPr>
  </w:style>
  <w:style w:type="paragraph" w:customStyle="1" w:styleId="H23G">
    <w:name w:val="_ H_2/3_G"/>
    <w:basedOn w:val="Normal"/>
    <w:next w:val="Normal"/>
    <w:rsid w:val="00FC1C5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rPr>
  </w:style>
  <w:style w:type="character" w:customStyle="1" w:styleId="SingleTxtGCar">
    <w:name w:val="_ Single Txt_G Car"/>
    <w:link w:val="SingleTxtG"/>
    <w:rsid w:val="00FC1C58"/>
    <w:rPr>
      <w:rFonts w:ascii="Times New Roman" w:eastAsia="Times New Roman" w:hAnsi="Times New Roman" w:cs="Times New Roman"/>
      <w:sz w:val="20"/>
      <w:szCs w:val="20"/>
      <w:lang w:val="fr-CH"/>
    </w:rPr>
  </w:style>
  <w:style w:type="paragraph" w:customStyle="1" w:styleId="Default">
    <w:name w:val="Default"/>
    <w:rsid w:val="00FC1C58"/>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customStyle="1" w:styleId="HChG">
    <w:name w:val="_ H _Ch_G"/>
    <w:basedOn w:val="Normal"/>
    <w:next w:val="Normal"/>
    <w:rsid w:val="00FC1C5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character" w:customStyle="1" w:styleId="apple-style-span">
    <w:name w:val="apple-style-span"/>
    <w:basedOn w:val="Policepardfaut"/>
    <w:rsid w:val="00FC1C58"/>
  </w:style>
  <w:style w:type="paragraph" w:styleId="En-ttedetabledesmatires">
    <w:name w:val="TOC Heading"/>
    <w:basedOn w:val="Titre1"/>
    <w:next w:val="Normal"/>
    <w:uiPriority w:val="39"/>
    <w:semiHidden/>
    <w:unhideWhenUsed/>
    <w:qFormat/>
    <w:rsid w:val="00653F4D"/>
    <w:pPr>
      <w:keepNext/>
      <w:keepLines/>
      <w:spacing w:before="480" w:after="0" w:line="259" w:lineRule="auto"/>
      <w:jc w:val="left"/>
      <w:outlineLvl w:val="9"/>
    </w:pPr>
    <w:rPr>
      <w:rFonts w:asciiTheme="majorHAnsi" w:eastAsiaTheme="majorEastAsia" w:hAnsiTheme="majorHAnsi" w:cstheme="majorBidi"/>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787033">
      <w:bodyDiv w:val="1"/>
      <w:marLeft w:val="0"/>
      <w:marRight w:val="0"/>
      <w:marTop w:val="0"/>
      <w:marBottom w:val="0"/>
      <w:divBdr>
        <w:top w:val="none" w:sz="0" w:space="0" w:color="auto"/>
        <w:left w:val="none" w:sz="0" w:space="0" w:color="auto"/>
        <w:bottom w:val="none" w:sz="0" w:space="0" w:color="auto"/>
        <w:right w:val="none" w:sz="0" w:space="0" w:color="auto"/>
      </w:divBdr>
    </w:div>
    <w:div w:id="1164394084">
      <w:bodyDiv w:val="1"/>
      <w:marLeft w:val="0"/>
      <w:marRight w:val="0"/>
      <w:marTop w:val="0"/>
      <w:marBottom w:val="0"/>
      <w:divBdr>
        <w:top w:val="none" w:sz="0" w:space="0" w:color="auto"/>
        <w:left w:val="none" w:sz="0" w:space="0" w:color="auto"/>
        <w:bottom w:val="none" w:sz="0" w:space="0" w:color="auto"/>
        <w:right w:val="none" w:sz="0" w:space="0" w:color="auto"/>
      </w:divBdr>
    </w:div>
    <w:div w:id="1951276343">
      <w:bodyDiv w:val="1"/>
      <w:marLeft w:val="0"/>
      <w:marRight w:val="0"/>
      <w:marTop w:val="0"/>
      <w:marBottom w:val="0"/>
      <w:divBdr>
        <w:top w:val="none" w:sz="0" w:space="0" w:color="auto"/>
        <w:left w:val="none" w:sz="0" w:space="0" w:color="auto"/>
        <w:bottom w:val="none" w:sz="0" w:space="0" w:color="auto"/>
        <w:right w:val="none" w:sz="0" w:space="0" w:color="auto"/>
      </w:divBdr>
      <w:divsChild>
        <w:div w:id="577057859">
          <w:marLeft w:val="0"/>
          <w:marRight w:val="0"/>
          <w:marTop w:val="0"/>
          <w:marBottom w:val="0"/>
          <w:divBdr>
            <w:top w:val="none" w:sz="0" w:space="0" w:color="auto"/>
            <w:left w:val="none" w:sz="0" w:space="0" w:color="auto"/>
            <w:bottom w:val="none" w:sz="0" w:space="0" w:color="auto"/>
            <w:right w:val="none" w:sz="0" w:space="0" w:color="auto"/>
          </w:divBdr>
          <w:divsChild>
            <w:div w:id="669793709">
              <w:marLeft w:val="0"/>
              <w:marRight w:val="0"/>
              <w:marTop w:val="0"/>
              <w:marBottom w:val="0"/>
              <w:divBdr>
                <w:top w:val="none" w:sz="0" w:space="0" w:color="auto"/>
                <w:left w:val="none" w:sz="0" w:space="0" w:color="auto"/>
                <w:bottom w:val="none" w:sz="0" w:space="0" w:color="auto"/>
                <w:right w:val="none" w:sz="0" w:space="0" w:color="auto"/>
              </w:divBdr>
              <w:divsChild>
                <w:div w:id="1810318535">
                  <w:marLeft w:val="0"/>
                  <w:marRight w:val="0"/>
                  <w:marTop w:val="0"/>
                  <w:marBottom w:val="0"/>
                  <w:divBdr>
                    <w:top w:val="none" w:sz="0" w:space="0" w:color="auto"/>
                    <w:left w:val="none" w:sz="0" w:space="0" w:color="auto"/>
                    <w:bottom w:val="none" w:sz="0" w:space="0" w:color="auto"/>
                    <w:right w:val="none" w:sz="0" w:space="0" w:color="auto"/>
                  </w:divBdr>
                  <w:divsChild>
                    <w:div w:id="1368946239">
                      <w:marLeft w:val="0"/>
                      <w:marRight w:val="0"/>
                      <w:marTop w:val="0"/>
                      <w:marBottom w:val="0"/>
                      <w:divBdr>
                        <w:top w:val="none" w:sz="0" w:space="0" w:color="auto"/>
                        <w:left w:val="none" w:sz="0" w:space="0" w:color="auto"/>
                        <w:bottom w:val="none" w:sz="0" w:space="0" w:color="auto"/>
                        <w:right w:val="none" w:sz="0" w:space="0" w:color="auto"/>
                      </w:divBdr>
                      <w:divsChild>
                        <w:div w:id="1926570235">
                          <w:marLeft w:val="0"/>
                          <w:marRight w:val="0"/>
                          <w:marTop w:val="0"/>
                          <w:marBottom w:val="0"/>
                          <w:divBdr>
                            <w:top w:val="none" w:sz="0" w:space="0" w:color="auto"/>
                            <w:left w:val="none" w:sz="0" w:space="0" w:color="auto"/>
                            <w:bottom w:val="none" w:sz="0" w:space="0" w:color="auto"/>
                            <w:right w:val="none" w:sz="0" w:space="0" w:color="auto"/>
                          </w:divBdr>
                          <w:divsChild>
                            <w:div w:id="1647199063">
                              <w:marLeft w:val="0"/>
                              <w:marRight w:val="0"/>
                              <w:marTop w:val="0"/>
                              <w:marBottom w:val="90"/>
                              <w:divBdr>
                                <w:top w:val="none" w:sz="0" w:space="0" w:color="auto"/>
                                <w:left w:val="none" w:sz="0" w:space="0" w:color="auto"/>
                                <w:bottom w:val="none" w:sz="0" w:space="0" w:color="auto"/>
                                <w:right w:val="none" w:sz="0" w:space="0" w:color="auto"/>
                              </w:divBdr>
                              <w:divsChild>
                                <w:div w:id="81102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tern@fiacat.org" TargetMode="Externa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mailto:fiacat.onu@fiacat.org" TargetMode="External"/><Relationship Id="rId17" Type="http://schemas.openxmlformats.org/officeDocument/2006/relationships/image" Target="media/image50.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grassy@fiacat.or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90.jpeg"/><Relationship Id="rId28"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image" Target="media/image6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acat_ci2230@yahoo.fr" TargetMode="External"/><Relationship Id="rId22" Type="http://schemas.openxmlformats.org/officeDocument/2006/relationships/image" Target="media/image9.jpeg"/><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C3DA02-C992-431C-885B-479E83C4E906}"/>
</file>

<file path=customXml/itemProps2.xml><?xml version="1.0" encoding="utf-8"?>
<ds:datastoreItem xmlns:ds="http://schemas.openxmlformats.org/officeDocument/2006/customXml" ds:itemID="{30BE6746-35DF-4AC8-A92C-670D803802DA}"/>
</file>

<file path=customXml/itemProps3.xml><?xml version="1.0" encoding="utf-8"?>
<ds:datastoreItem xmlns:ds="http://schemas.openxmlformats.org/officeDocument/2006/customXml" ds:itemID="{FC7513FB-3F17-4FE8-9B73-0D870A1AAC63}"/>
</file>

<file path=customXml/itemProps4.xml><?xml version="1.0" encoding="utf-8"?>
<ds:datastoreItem xmlns:ds="http://schemas.openxmlformats.org/officeDocument/2006/customXml" ds:itemID="{944E6073-DEA0-410F-B04F-33FE58557227}"/>
</file>

<file path=docProps/app.xml><?xml version="1.0" encoding="utf-8"?>
<Properties xmlns="http://schemas.openxmlformats.org/officeDocument/2006/extended-properties" xmlns:vt="http://schemas.openxmlformats.org/officeDocument/2006/docPropsVTypes">
  <Template>Normal</Template>
  <TotalTime>4</TotalTime>
  <Pages>44</Pages>
  <Words>15245</Words>
  <Characters>83851</Characters>
  <Application>Microsoft Office Word</Application>
  <DocSecurity>0</DocSecurity>
  <Lines>698</Lines>
  <Paragraphs>197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98899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 Grassy - FIACAT</cp:lastModifiedBy>
  <cp:revision>5</cp:revision>
  <cp:lastPrinted>2015-02-19T14:12:00Z</cp:lastPrinted>
  <dcterms:created xsi:type="dcterms:W3CDTF">2015-02-19T14:08:00Z</dcterms:created>
  <dcterms:modified xsi:type="dcterms:W3CDTF">2015-02-19T14:13:00Z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