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1B6F" w14:textId="4F0844A3" w:rsidR="009B028E" w:rsidRPr="009B028E" w:rsidRDefault="009B028E" w:rsidP="00BA18D6">
      <w:pPr>
        <w:jc w:val="center"/>
        <w:rPr>
          <w:rFonts w:asciiTheme="majorBidi" w:hAnsiTheme="majorBidi" w:cstheme="majorBidi"/>
          <w:b/>
          <w:bCs/>
          <w:color w:val="44546A" w:themeColor="text2"/>
          <w:sz w:val="28"/>
          <w:szCs w:val="28"/>
          <w:lang w:bidi="ar-EG"/>
        </w:rPr>
      </w:pPr>
      <w:r w:rsidRPr="00BA18D6">
        <w:rPr>
          <w:rFonts w:asciiTheme="majorBidi" w:hAnsiTheme="majorBidi" w:cstheme="majorBidi"/>
          <w:b/>
          <w:bCs/>
          <w:color w:val="0070C0"/>
          <w:sz w:val="40"/>
          <w:szCs w:val="40"/>
          <w:lang w:bidi="ar-EG"/>
        </w:rPr>
        <w:t>Maat for Peace’ report to the Committee on th</w:t>
      </w:r>
      <w:r w:rsidR="00BA18D6">
        <w:rPr>
          <w:rFonts w:asciiTheme="majorBidi" w:hAnsiTheme="majorBidi" w:cstheme="majorBidi"/>
          <w:b/>
          <w:bCs/>
          <w:color w:val="0070C0"/>
          <w:sz w:val="40"/>
          <w:szCs w:val="40"/>
          <w:lang w:bidi="ar-EG"/>
        </w:rPr>
        <w:t>e Rights of the Child on Egypt</w:t>
      </w:r>
    </w:p>
    <w:p w14:paraId="213C11A3" w14:textId="23083164" w:rsidR="004F6EC6" w:rsidRPr="009B028E" w:rsidRDefault="009B028E" w:rsidP="002876FE">
      <w:pPr>
        <w:pBdr>
          <w:bottom w:val="single" w:sz="6" w:space="1" w:color="auto"/>
        </w:pBdr>
        <w:jc w:val="center"/>
        <w:rPr>
          <w:rFonts w:asciiTheme="majorBidi" w:hAnsiTheme="majorBidi" w:cstheme="majorBidi"/>
          <w:b/>
          <w:bCs/>
          <w:color w:val="FF0000"/>
          <w:sz w:val="24"/>
          <w:szCs w:val="24"/>
          <w:lang w:bidi="ar-EG"/>
        </w:rPr>
      </w:pPr>
      <w:r w:rsidRPr="009B028E">
        <w:rPr>
          <w:rFonts w:asciiTheme="majorBidi" w:hAnsiTheme="majorBidi" w:cstheme="majorBidi"/>
          <w:b/>
          <w:bCs/>
          <w:color w:val="FF0000"/>
          <w:sz w:val="24"/>
          <w:szCs w:val="24"/>
          <w:lang w:bidi="ar-EG"/>
        </w:rPr>
        <w:t>March 2023</w:t>
      </w:r>
    </w:p>
    <w:p w14:paraId="73D93B6A" w14:textId="22BD6DB1" w:rsidR="009B028E" w:rsidRPr="009B028E" w:rsidRDefault="009B028E" w:rsidP="00BA18D6">
      <w:pPr>
        <w:jc w:val="both"/>
        <w:rPr>
          <w:rFonts w:asciiTheme="majorBidi" w:hAnsiTheme="majorBidi" w:cstheme="majorBidi"/>
          <w:sz w:val="28"/>
          <w:szCs w:val="28"/>
          <w:lang w:bidi="ar-EG"/>
        </w:rPr>
      </w:pPr>
      <w:r w:rsidRPr="009B028E">
        <w:rPr>
          <w:rFonts w:asciiTheme="majorBidi" w:hAnsiTheme="majorBidi" w:cstheme="majorBidi"/>
          <w:sz w:val="28"/>
          <w:szCs w:val="28"/>
          <w:lang w:bidi="ar-EG"/>
        </w:rPr>
        <w:t>Maat for Peace, Development and Human Rights submits this report before</w:t>
      </w:r>
      <w:r w:rsidR="00BA18D6">
        <w:rPr>
          <w:rFonts w:asciiTheme="majorBidi" w:hAnsiTheme="majorBidi" w:cstheme="majorBidi"/>
          <w:sz w:val="28"/>
          <w:szCs w:val="28"/>
          <w:lang w:bidi="ar-EG"/>
        </w:rPr>
        <w:t xml:space="preserve"> Egypt’s review at the 96</w:t>
      </w:r>
      <w:r w:rsidR="00BA18D6" w:rsidRPr="00BA18D6">
        <w:rPr>
          <w:rFonts w:asciiTheme="majorBidi" w:hAnsiTheme="majorBidi" w:cstheme="majorBidi"/>
          <w:sz w:val="28"/>
          <w:szCs w:val="28"/>
          <w:vertAlign w:val="superscript"/>
          <w:lang w:bidi="ar-EG"/>
        </w:rPr>
        <w:t>th</w:t>
      </w:r>
      <w:r w:rsidR="00BA18D6">
        <w:rPr>
          <w:rFonts w:asciiTheme="majorBidi" w:hAnsiTheme="majorBidi" w:cstheme="majorBidi"/>
          <w:sz w:val="28"/>
          <w:szCs w:val="28"/>
          <w:lang w:bidi="ar-EG"/>
        </w:rPr>
        <w:t xml:space="preserve"> </w:t>
      </w:r>
      <w:r w:rsidRPr="009B028E">
        <w:rPr>
          <w:rFonts w:asciiTheme="majorBidi" w:hAnsiTheme="majorBidi" w:cstheme="majorBidi"/>
          <w:sz w:val="28"/>
          <w:szCs w:val="28"/>
          <w:lang w:bidi="ar-EG"/>
        </w:rPr>
        <w:t>session of the Committee on the Rights of the Child (referred to as the Committee), which will be held from May 6 to 24, 2024. Before starting to write this report, Maat reviewed the combined report of the two periodic reports. The fifth and sixth, which were submitted by Egypt on February 4, 2020 and were supposed to be submitted in 2016. Maat also reviewed the list of issues related to the combined report of the fifth and sixth periodic reports submitted by the Committee on September 29, 2023, as well as the responses of the Arab Republic of Egypt to the list of issues submitted to the Committee</w:t>
      </w:r>
      <w:r>
        <w:rPr>
          <w:rFonts w:asciiTheme="majorBidi" w:hAnsiTheme="majorBidi" w:cstheme="majorBidi"/>
          <w:sz w:val="28"/>
          <w:szCs w:val="28"/>
          <w:lang w:bidi="ar-EG"/>
        </w:rPr>
        <w:t xml:space="preserve"> o</w:t>
      </w:r>
      <w:r w:rsidRPr="009B028E">
        <w:rPr>
          <w:rFonts w:asciiTheme="majorBidi" w:hAnsiTheme="majorBidi" w:cstheme="majorBidi"/>
          <w:sz w:val="28"/>
          <w:szCs w:val="28"/>
          <w:lang w:bidi="ar-EG"/>
        </w:rPr>
        <w:t>n February 22, 2024.</w:t>
      </w:r>
    </w:p>
    <w:p w14:paraId="6FC9377C" w14:textId="1BE66D80" w:rsidR="009B028E" w:rsidRPr="009B028E" w:rsidRDefault="009B028E" w:rsidP="002876FE">
      <w:pPr>
        <w:jc w:val="both"/>
        <w:rPr>
          <w:rFonts w:asciiTheme="majorBidi" w:hAnsiTheme="majorBidi" w:cstheme="majorBidi"/>
          <w:sz w:val="28"/>
          <w:szCs w:val="28"/>
          <w:lang w:bidi="ar-EG"/>
        </w:rPr>
      </w:pPr>
      <w:r w:rsidRPr="009B028E">
        <w:rPr>
          <w:rFonts w:asciiTheme="majorBidi" w:hAnsiTheme="majorBidi" w:cstheme="majorBidi"/>
          <w:sz w:val="28"/>
          <w:szCs w:val="28"/>
          <w:lang w:bidi="ar-EG"/>
        </w:rPr>
        <w:t xml:space="preserve">This report includes additional information and data on Egypt’s compliance with the provisions of the Convention on the Rights of the Child, which Egypt ratified on July 6, 1990, pursuant to Presidential Resolution No. 260 of 1990. It should be noted that Egypt ratified the Optional Protocol on the involvement of children in armed conflict on February 6. Year 2007. In addition to Egypt’s ratification on July 12, 2002 of the Optional Protocol to the Convention on the Rights of the Child on the sale of children and the exploitation of children in prostitution and pornography. </w:t>
      </w:r>
      <w:r w:rsidRPr="009B028E">
        <w:rPr>
          <w:rFonts w:asciiTheme="majorBidi" w:hAnsiTheme="majorBidi" w:cstheme="majorBidi"/>
          <w:b/>
          <w:bCs/>
          <w:sz w:val="28"/>
          <w:szCs w:val="28"/>
          <w:lang w:bidi="ar-EG"/>
        </w:rPr>
        <w:t>Maat divided this report into two parts:</w:t>
      </w:r>
      <w:r w:rsidRPr="009B028E">
        <w:rPr>
          <w:rFonts w:asciiTheme="majorBidi" w:hAnsiTheme="majorBidi" w:cstheme="majorBidi"/>
          <w:sz w:val="28"/>
          <w:szCs w:val="28"/>
          <w:lang w:bidi="ar-EG"/>
        </w:rPr>
        <w:t xml:space="preserve"> </w:t>
      </w:r>
      <w:r w:rsidRPr="009B028E">
        <w:rPr>
          <w:rFonts w:asciiTheme="majorBidi" w:hAnsiTheme="majorBidi" w:cstheme="majorBidi"/>
          <w:b/>
          <w:bCs/>
          <w:color w:val="FF0000"/>
          <w:sz w:val="28"/>
          <w:szCs w:val="28"/>
          <w:lang w:bidi="ar-EG"/>
        </w:rPr>
        <w:t>The first:</w:t>
      </w:r>
      <w:r w:rsidRPr="009B028E">
        <w:rPr>
          <w:rFonts w:asciiTheme="majorBidi" w:hAnsiTheme="majorBidi" w:cstheme="majorBidi"/>
          <w:sz w:val="28"/>
          <w:szCs w:val="28"/>
          <w:lang w:bidi="ar-EG"/>
        </w:rPr>
        <w:t xml:space="preserve"> It relates to following up on Egyptian efforts to implement some of the topics included in the list of issues submitted by the committee. </w:t>
      </w:r>
      <w:r w:rsidRPr="009B028E">
        <w:rPr>
          <w:rFonts w:asciiTheme="majorBidi" w:hAnsiTheme="majorBidi" w:cstheme="majorBidi"/>
          <w:b/>
          <w:bCs/>
          <w:color w:val="FF0000"/>
          <w:sz w:val="28"/>
          <w:szCs w:val="28"/>
          <w:lang w:bidi="ar-EG"/>
        </w:rPr>
        <w:t>The second:</w:t>
      </w:r>
      <w:r w:rsidRPr="009B028E">
        <w:rPr>
          <w:rFonts w:asciiTheme="majorBidi" w:hAnsiTheme="majorBidi" w:cstheme="majorBidi"/>
          <w:color w:val="FF0000"/>
          <w:sz w:val="28"/>
          <w:szCs w:val="28"/>
          <w:lang w:bidi="ar-EG"/>
        </w:rPr>
        <w:t xml:space="preserve"> </w:t>
      </w:r>
      <w:r w:rsidRPr="009B028E">
        <w:rPr>
          <w:rFonts w:asciiTheme="majorBidi" w:hAnsiTheme="majorBidi" w:cstheme="majorBidi"/>
          <w:sz w:val="28"/>
          <w:szCs w:val="28"/>
          <w:lang w:bidi="ar-EG"/>
        </w:rPr>
        <w:t>It includes monitoring and evaluating the Egyptian state’s compliance with specific provisions of the Convention on the Rights of the Child.</w:t>
      </w:r>
    </w:p>
    <w:p w14:paraId="28AB0CCA" w14:textId="15627222" w:rsidR="009B028E" w:rsidRDefault="009B028E" w:rsidP="002876FE">
      <w:pPr>
        <w:jc w:val="both"/>
        <w:rPr>
          <w:rFonts w:asciiTheme="majorBidi" w:hAnsiTheme="majorBidi" w:cstheme="majorBidi"/>
          <w:sz w:val="28"/>
          <w:szCs w:val="28"/>
          <w:lang w:bidi="ar-EG"/>
        </w:rPr>
      </w:pPr>
      <w:r w:rsidRPr="009B028E">
        <w:rPr>
          <w:rFonts w:asciiTheme="majorBidi" w:hAnsiTheme="majorBidi" w:cstheme="majorBidi"/>
          <w:sz w:val="28"/>
          <w:szCs w:val="28"/>
          <w:lang w:bidi="ar-EG"/>
        </w:rPr>
        <w:t xml:space="preserve">This report includes, in its first section, information on the implementation of children’s rights contained in the Egyptian Constitution, the independence of the National Council for Childhood and Motherhood, and the prohibition of corporal punishment in Egypt. The second section of the report also includes information on </w:t>
      </w:r>
      <w:r w:rsidRPr="009B028E">
        <w:rPr>
          <w:rFonts w:asciiTheme="majorBidi" w:hAnsiTheme="majorBidi" w:cstheme="majorBidi"/>
          <w:sz w:val="28"/>
          <w:szCs w:val="28"/>
          <w:lang w:bidi="ar-EG"/>
        </w:rPr>
        <w:lastRenderedPageBreak/>
        <w:t>the application of the principle of the best interests of the child, one of the four general principles in the Convention on the Rights of the Child and established in Article Three of the Convention, in addition to the steps taken to guarantee the right to life, survival and development in accordance with Article Six of the Convention, in addition to information on international abduction of children and refugee children, education of children, protection of children from the worst forms of labor, and finally protection of children from all forms of exploitation.</w:t>
      </w:r>
    </w:p>
    <w:p w14:paraId="7A9B2FD0" w14:textId="77777777" w:rsidR="009B028E" w:rsidRPr="009B028E" w:rsidRDefault="009B028E" w:rsidP="002876FE">
      <w:pPr>
        <w:shd w:val="clear" w:color="auto" w:fill="DEEAF6" w:themeFill="accent1" w:themeFillTint="33"/>
        <w:jc w:val="both"/>
        <w:rPr>
          <w:rFonts w:asciiTheme="majorBidi" w:hAnsiTheme="majorBidi" w:cstheme="majorBidi"/>
          <w:b/>
          <w:bCs/>
          <w:sz w:val="28"/>
          <w:szCs w:val="28"/>
          <w:lang w:bidi="ar-EG"/>
        </w:rPr>
      </w:pPr>
      <w:r w:rsidRPr="009B028E">
        <w:rPr>
          <w:rFonts w:asciiTheme="majorBidi" w:hAnsiTheme="majorBidi" w:cstheme="majorBidi"/>
          <w:b/>
          <w:bCs/>
          <w:sz w:val="28"/>
          <w:szCs w:val="28"/>
          <w:lang w:bidi="ar-EG"/>
        </w:rPr>
        <w:t>Section One: Following up on the implementation of some issues identified in the list of issues</w:t>
      </w:r>
    </w:p>
    <w:p w14:paraId="2E862CA2" w14:textId="3CFF848F" w:rsidR="009B028E" w:rsidRPr="009B028E" w:rsidRDefault="009B028E" w:rsidP="002876FE">
      <w:pPr>
        <w:pStyle w:val="ListParagraph"/>
        <w:numPr>
          <w:ilvl w:val="0"/>
          <w:numId w:val="28"/>
        </w:numPr>
        <w:jc w:val="both"/>
        <w:rPr>
          <w:rFonts w:asciiTheme="majorBidi" w:hAnsiTheme="majorBidi" w:cstheme="majorBidi"/>
          <w:b/>
          <w:bCs/>
          <w:color w:val="FF0000"/>
          <w:sz w:val="28"/>
          <w:szCs w:val="28"/>
          <w:lang w:bidi="ar-EG"/>
        </w:rPr>
      </w:pPr>
      <w:r w:rsidRPr="009B028E">
        <w:rPr>
          <w:rFonts w:asciiTheme="majorBidi" w:hAnsiTheme="majorBidi" w:cstheme="majorBidi"/>
          <w:b/>
          <w:bCs/>
          <w:color w:val="FF0000"/>
          <w:sz w:val="28"/>
          <w:szCs w:val="28"/>
          <w:lang w:bidi="ar-EG"/>
        </w:rPr>
        <w:t>Implementing the rights of the child contained in the Egyptian Constitution</w:t>
      </w:r>
    </w:p>
    <w:p w14:paraId="6C6B163F" w14:textId="636AE588" w:rsidR="009B028E" w:rsidRPr="009B028E" w:rsidRDefault="009B028E" w:rsidP="002876FE">
      <w:pPr>
        <w:jc w:val="both"/>
        <w:rPr>
          <w:rFonts w:asciiTheme="majorBidi" w:hAnsiTheme="majorBidi" w:cstheme="majorBidi"/>
          <w:sz w:val="28"/>
          <w:szCs w:val="28"/>
          <w:lang w:bidi="ar-EG"/>
        </w:rPr>
      </w:pPr>
      <w:r w:rsidRPr="009B028E">
        <w:rPr>
          <w:rFonts w:asciiTheme="majorBidi" w:hAnsiTheme="majorBidi" w:cstheme="majorBidi"/>
          <w:sz w:val="28"/>
          <w:szCs w:val="28"/>
          <w:lang w:bidi="ar-EG"/>
        </w:rPr>
        <w:t>In the list of issues, the Committee requested Egypt to indicate the measures taken to implement the provisions of the 2014 Constitution related to children’s rights, harmonize legislation, especially the Penal Code and legislation related to personal status, with those provisions</w:t>
      </w:r>
      <w:r w:rsidR="00B44A4F">
        <w:rPr>
          <w:rStyle w:val="FootnoteReference"/>
          <w:rFonts w:asciiTheme="majorBidi" w:hAnsiTheme="majorBidi" w:cstheme="majorBidi"/>
          <w:sz w:val="28"/>
          <w:szCs w:val="28"/>
          <w:lang w:bidi="ar-EG"/>
        </w:rPr>
        <w:footnoteReference w:id="1"/>
      </w:r>
      <w:r w:rsidRPr="009B028E">
        <w:rPr>
          <w:rFonts w:asciiTheme="majorBidi" w:hAnsiTheme="majorBidi" w:cstheme="majorBidi"/>
          <w:sz w:val="28"/>
          <w:szCs w:val="28"/>
          <w:lang w:bidi="ar-EG"/>
        </w:rPr>
        <w:t>, and complete the process of amending the Children’s Law</w:t>
      </w:r>
      <w:r w:rsidR="00B44A4F">
        <w:rPr>
          <w:rStyle w:val="FootnoteReference"/>
          <w:rFonts w:asciiTheme="majorBidi" w:hAnsiTheme="majorBidi" w:cstheme="majorBidi"/>
          <w:sz w:val="28"/>
          <w:szCs w:val="28"/>
          <w:lang w:bidi="ar-EG"/>
        </w:rPr>
        <w:footnoteReference w:id="2"/>
      </w:r>
      <w:r w:rsidRPr="009B028E">
        <w:rPr>
          <w:rFonts w:asciiTheme="majorBidi" w:hAnsiTheme="majorBidi" w:cstheme="majorBidi"/>
          <w:sz w:val="28"/>
          <w:szCs w:val="28"/>
          <w:lang w:bidi="ar-EG"/>
        </w:rPr>
        <w:t>. In this context, Maat notes the steps taken by the Egyptian state to implement the rights of the child contained in the Egyptian Constitution as amended in 2019. Among these steps is an attempt to reach the percentages stipulated in the Egyptian Constitution for spending on education, estimated at no less than 4% of the gross national product</w:t>
      </w:r>
      <w:r w:rsidR="00B44A4F">
        <w:rPr>
          <w:rStyle w:val="FootnoteReference"/>
          <w:rFonts w:asciiTheme="majorBidi" w:hAnsiTheme="majorBidi" w:cstheme="majorBidi"/>
          <w:sz w:val="28"/>
          <w:szCs w:val="28"/>
          <w:lang w:bidi="ar-EG"/>
        </w:rPr>
        <w:footnoteReference w:id="3"/>
      </w:r>
      <w:r>
        <w:rPr>
          <w:rFonts w:asciiTheme="majorBidi" w:hAnsiTheme="majorBidi" w:cstheme="majorBidi"/>
          <w:sz w:val="28"/>
          <w:szCs w:val="28"/>
          <w:lang w:bidi="ar-EG"/>
        </w:rPr>
        <w:t>, as s</w:t>
      </w:r>
      <w:r w:rsidRPr="009B028E">
        <w:rPr>
          <w:rFonts w:asciiTheme="majorBidi" w:hAnsiTheme="majorBidi" w:cstheme="majorBidi"/>
          <w:sz w:val="28"/>
          <w:szCs w:val="28"/>
          <w:lang w:bidi="ar-EG"/>
        </w:rPr>
        <w:t>pending on education increased from 193.7 billion pounds to 229.9 billion pounds between the years 2022/2021 and 2024/2023, with a growth rate of 19%</w:t>
      </w:r>
      <w:r w:rsidR="00B44A4F">
        <w:rPr>
          <w:rStyle w:val="FootnoteReference"/>
          <w:rFonts w:asciiTheme="majorBidi" w:hAnsiTheme="majorBidi" w:cstheme="majorBidi"/>
          <w:sz w:val="28"/>
          <w:szCs w:val="28"/>
          <w:lang w:bidi="ar-EG"/>
        </w:rPr>
        <w:footnoteReference w:id="4"/>
      </w:r>
      <w:r w:rsidRPr="009B028E">
        <w:rPr>
          <w:rFonts w:asciiTheme="majorBidi" w:hAnsiTheme="majorBidi" w:cstheme="majorBidi"/>
          <w:sz w:val="28"/>
          <w:szCs w:val="28"/>
          <w:lang w:bidi="ar-EG"/>
        </w:rPr>
        <w:t xml:space="preserve">. However, Maat has concerns that these increases are only in nominal terms and not in real value, as the Ministry of Finance is expanding the concept of spending on education to include the spending of all ministries and public bodies and the spending of public sector companies and government research centers on </w:t>
      </w:r>
      <w:r w:rsidRPr="009B028E">
        <w:rPr>
          <w:rFonts w:asciiTheme="majorBidi" w:hAnsiTheme="majorBidi" w:cstheme="majorBidi"/>
          <w:sz w:val="28"/>
          <w:szCs w:val="28"/>
          <w:lang w:bidi="ar-EG"/>
        </w:rPr>
        <w:lastRenderedPageBreak/>
        <w:t>education, and therefore this increase is not actual</w:t>
      </w:r>
      <w:r w:rsidR="00B44A4F">
        <w:rPr>
          <w:rStyle w:val="FootnoteReference"/>
          <w:rFonts w:asciiTheme="majorBidi" w:hAnsiTheme="majorBidi" w:cstheme="majorBidi"/>
          <w:sz w:val="28"/>
          <w:szCs w:val="28"/>
          <w:lang w:bidi="ar-EG"/>
        </w:rPr>
        <w:footnoteReference w:id="5"/>
      </w:r>
      <w:r w:rsidRPr="009B028E">
        <w:rPr>
          <w:rFonts w:asciiTheme="majorBidi" w:hAnsiTheme="majorBidi" w:cstheme="majorBidi"/>
          <w:sz w:val="28"/>
          <w:szCs w:val="28"/>
          <w:lang w:bidi="ar-EG"/>
        </w:rPr>
        <w:t>. Maat noted a lack of updated data related to financial allocations for children’s education in the state’s general budget. According to the latest available data, these allocations amounted to 93.5 billion pounds in the general budget for the year 2019-2020</w:t>
      </w:r>
      <w:r w:rsidR="00B44A4F">
        <w:rPr>
          <w:rStyle w:val="FootnoteReference"/>
          <w:rFonts w:asciiTheme="majorBidi" w:hAnsiTheme="majorBidi" w:cstheme="majorBidi"/>
          <w:sz w:val="28"/>
          <w:szCs w:val="28"/>
          <w:lang w:bidi="ar-EG"/>
        </w:rPr>
        <w:footnoteReference w:id="6"/>
      </w:r>
      <w:r w:rsidRPr="009B028E">
        <w:rPr>
          <w:rFonts w:asciiTheme="majorBidi" w:hAnsiTheme="majorBidi" w:cstheme="majorBidi"/>
          <w:sz w:val="28"/>
          <w:szCs w:val="28"/>
          <w:lang w:bidi="ar-EG"/>
        </w:rPr>
        <w:t>. 71% of the education budget was allocated to children, including 4.2 billion pounds for the kindergarten stage, and about 62.8 billion pounds for the primary and preparatory levels</w:t>
      </w:r>
      <w:r w:rsidR="00B44A4F">
        <w:rPr>
          <w:rStyle w:val="FootnoteReference"/>
          <w:rFonts w:asciiTheme="majorBidi" w:hAnsiTheme="majorBidi" w:cstheme="majorBidi"/>
          <w:sz w:val="28"/>
          <w:szCs w:val="28"/>
          <w:lang w:bidi="ar-EG"/>
        </w:rPr>
        <w:footnoteReference w:id="7"/>
      </w:r>
      <w:r w:rsidRPr="009B028E">
        <w:rPr>
          <w:rFonts w:asciiTheme="majorBidi" w:hAnsiTheme="majorBidi" w:cstheme="majorBidi"/>
          <w:sz w:val="28"/>
          <w:szCs w:val="28"/>
          <w:lang w:bidi="ar-EG"/>
        </w:rPr>
        <w:t>.</w:t>
      </w:r>
    </w:p>
    <w:p w14:paraId="0B329341" w14:textId="67D5F81E" w:rsidR="009B028E" w:rsidRDefault="009B028E" w:rsidP="002876FE">
      <w:pPr>
        <w:jc w:val="both"/>
        <w:rPr>
          <w:rFonts w:asciiTheme="majorBidi" w:hAnsiTheme="majorBidi" w:cstheme="majorBidi"/>
          <w:sz w:val="28"/>
          <w:szCs w:val="28"/>
          <w:lang w:bidi="ar-EG"/>
        </w:rPr>
      </w:pPr>
      <w:r w:rsidRPr="009B028E">
        <w:rPr>
          <w:rFonts w:asciiTheme="majorBidi" w:hAnsiTheme="majorBidi" w:cstheme="majorBidi"/>
          <w:sz w:val="28"/>
          <w:szCs w:val="28"/>
          <w:lang w:bidi="ar-EG"/>
        </w:rPr>
        <w:t>In the context of implementing the rights of the child stipulated in the Egyptian Constitution, Maat also noted the amendments that occurred in the Egyptian Child Law, especially Law No. 186 of 2023, which included increasing the penalty imposed for not registering births or reporting incorrect data when reporting a newborn. The law also included doubling the penalty imposed on Neglect of a child by the person caring for him, which may lead to his being exposed to danger</w:t>
      </w:r>
      <w:r w:rsidR="00B44A4F">
        <w:rPr>
          <w:rStyle w:val="FootnoteReference"/>
          <w:rFonts w:asciiTheme="majorBidi" w:hAnsiTheme="majorBidi" w:cstheme="majorBidi"/>
          <w:sz w:val="28"/>
          <w:szCs w:val="28"/>
          <w:lang w:bidi="ar-EG"/>
        </w:rPr>
        <w:footnoteReference w:id="8"/>
      </w:r>
      <w:r w:rsidRPr="009B028E">
        <w:rPr>
          <w:rFonts w:asciiTheme="majorBidi" w:hAnsiTheme="majorBidi" w:cstheme="majorBidi"/>
          <w:sz w:val="28"/>
          <w:szCs w:val="28"/>
          <w:lang w:bidi="ar-EG"/>
        </w:rPr>
        <w:t xml:space="preserve">. On December 10, 2023, the President of the Republic agreed to amend some provisions of the Children’s Law by Law No. 186 of 2023. The amendments included punishment by imprisonment for a period of not less than six months and not more than a year and a fine of not less than one thousand pounds and not more than five thousand pounds, or one of the two punishments for anyone who deliberately </w:t>
      </w:r>
      <w:r w:rsidR="00860C1C">
        <w:rPr>
          <w:rFonts w:asciiTheme="majorBidi" w:hAnsiTheme="majorBidi" w:cstheme="majorBidi"/>
          <w:sz w:val="28"/>
          <w:szCs w:val="28"/>
          <w:lang w:bidi="ar-EG"/>
        </w:rPr>
        <w:t>r</w:t>
      </w:r>
      <w:r w:rsidRPr="009B028E">
        <w:rPr>
          <w:rFonts w:asciiTheme="majorBidi" w:hAnsiTheme="majorBidi" w:cstheme="majorBidi"/>
          <w:sz w:val="28"/>
          <w:szCs w:val="28"/>
          <w:lang w:bidi="ar-EG"/>
        </w:rPr>
        <w:t>eporting incorrect information regarding the newborn. The amendments also included replacing Article 113 with another stipulating that “Anyone who, after being warned in accordance with the first paragraph of Article 98 of this law, neglects to supervise the child shall be punished by imprisonment for a period of not less than three months or a fine of not less than one thousand pounds and not exceeding five thousand pounds</w:t>
      </w:r>
      <w:r w:rsidR="00860C1C">
        <w:rPr>
          <w:rFonts w:asciiTheme="majorBidi" w:hAnsiTheme="majorBidi" w:cstheme="majorBidi"/>
          <w:sz w:val="28"/>
          <w:szCs w:val="28"/>
          <w:lang w:bidi="ar-EG"/>
        </w:rPr>
        <w:t>, and a</w:t>
      </w:r>
      <w:r w:rsidRPr="009B028E">
        <w:rPr>
          <w:rFonts w:asciiTheme="majorBidi" w:hAnsiTheme="majorBidi" w:cstheme="majorBidi"/>
          <w:sz w:val="28"/>
          <w:szCs w:val="28"/>
          <w:lang w:bidi="ar-EG"/>
        </w:rPr>
        <w:t>s a result, he was exposed to danger in one of the cases referred to in the first paragraph of Article 98 of this law.</w:t>
      </w:r>
      <w:r w:rsidR="00B44A4F">
        <w:rPr>
          <w:rStyle w:val="FootnoteReference"/>
          <w:rFonts w:asciiTheme="majorBidi" w:hAnsiTheme="majorBidi" w:cstheme="majorBidi"/>
          <w:sz w:val="28"/>
          <w:szCs w:val="28"/>
          <w:lang w:bidi="ar-EG"/>
        </w:rPr>
        <w:footnoteReference w:id="9"/>
      </w:r>
      <w:r w:rsidRPr="009B028E">
        <w:rPr>
          <w:rFonts w:asciiTheme="majorBidi" w:hAnsiTheme="majorBidi" w:cstheme="majorBidi"/>
          <w:sz w:val="28"/>
          <w:szCs w:val="28"/>
          <w:lang w:bidi="ar-EG"/>
        </w:rPr>
        <w:t>”</w:t>
      </w:r>
    </w:p>
    <w:p w14:paraId="22CA2355" w14:textId="2CA36D08" w:rsidR="00860C1C" w:rsidRDefault="00860C1C" w:rsidP="002876FE">
      <w:pPr>
        <w:jc w:val="both"/>
        <w:rPr>
          <w:rFonts w:asciiTheme="majorBidi" w:hAnsiTheme="majorBidi" w:cstheme="majorBidi"/>
          <w:sz w:val="28"/>
          <w:szCs w:val="28"/>
          <w:lang w:bidi="ar-EG"/>
        </w:rPr>
      </w:pPr>
      <w:r w:rsidRPr="00860C1C">
        <w:rPr>
          <w:rFonts w:asciiTheme="majorBidi" w:hAnsiTheme="majorBidi" w:cstheme="majorBidi"/>
          <w:sz w:val="28"/>
          <w:szCs w:val="28"/>
          <w:lang w:bidi="ar-EG"/>
        </w:rPr>
        <w:lastRenderedPageBreak/>
        <w:t>Maat also noted that during the year 2023, the Ministry of Social Solidarity, in cooperation with stakeholders, began preparing a new draft law for children that includes a set of rights contained in the Convention and pays attention to the social protection of children. It should be noted that the current Egyptian Children’s Law has based its general provisions on the Convention on the Rights of the Child as a reference to guarantee the rights contained therein as a minimum</w:t>
      </w:r>
      <w:r w:rsidR="00B44A4F">
        <w:rPr>
          <w:rStyle w:val="FootnoteReference"/>
          <w:rFonts w:asciiTheme="majorBidi" w:hAnsiTheme="majorBidi" w:cstheme="majorBidi"/>
          <w:sz w:val="28"/>
          <w:szCs w:val="28"/>
          <w:lang w:bidi="ar-EG"/>
        </w:rPr>
        <w:footnoteReference w:id="10"/>
      </w:r>
      <w:r w:rsidRPr="00860C1C">
        <w:rPr>
          <w:rFonts w:asciiTheme="majorBidi" w:hAnsiTheme="majorBidi" w:cstheme="majorBidi"/>
          <w:sz w:val="28"/>
          <w:szCs w:val="28"/>
          <w:lang w:bidi="ar-EG"/>
        </w:rPr>
        <w:t>. However, Maat has concerns about the delay in referring the draft of the new Children’s Law to the House of Representatives and discussing it in preparation for its approval. There are also other concerns that Maat has because the practical application of the Children’s Law shows the need to review the penalties imposed on violators of some of its provisions due to the weakness of these penalties and the limitations of these penalties in applying the principle of deterrence in order to achieve the best interests of the child mentioned in Article Three of the Convention.</w:t>
      </w:r>
    </w:p>
    <w:p w14:paraId="7DB4D655" w14:textId="73FD9EFC" w:rsidR="00860C1C" w:rsidRPr="00860C1C" w:rsidRDefault="00860C1C" w:rsidP="002876FE">
      <w:pPr>
        <w:pStyle w:val="ListParagraph"/>
        <w:numPr>
          <w:ilvl w:val="0"/>
          <w:numId w:val="28"/>
        </w:numPr>
        <w:jc w:val="both"/>
        <w:rPr>
          <w:rFonts w:asciiTheme="majorBidi" w:hAnsiTheme="majorBidi" w:cstheme="majorBidi"/>
          <w:b/>
          <w:bCs/>
          <w:color w:val="FF0000"/>
          <w:sz w:val="28"/>
          <w:szCs w:val="28"/>
          <w:lang w:bidi="ar-EG"/>
        </w:rPr>
      </w:pPr>
      <w:r w:rsidRPr="00860C1C">
        <w:rPr>
          <w:rFonts w:asciiTheme="majorBidi" w:hAnsiTheme="majorBidi" w:cstheme="majorBidi"/>
          <w:b/>
          <w:bCs/>
          <w:color w:val="FF0000"/>
          <w:sz w:val="28"/>
          <w:szCs w:val="28"/>
          <w:lang w:bidi="ar-EG"/>
        </w:rPr>
        <w:t>The independence of the National Council for Childhood and Motherhood</w:t>
      </w:r>
    </w:p>
    <w:p w14:paraId="1D8F8845" w14:textId="7BF28A93" w:rsidR="00860C1C" w:rsidRPr="00860C1C" w:rsidRDefault="00860C1C" w:rsidP="002876FE">
      <w:pPr>
        <w:jc w:val="both"/>
        <w:rPr>
          <w:rFonts w:asciiTheme="majorBidi" w:hAnsiTheme="majorBidi" w:cstheme="majorBidi"/>
          <w:sz w:val="28"/>
          <w:szCs w:val="28"/>
          <w:lang w:bidi="ar-EG"/>
        </w:rPr>
      </w:pPr>
      <w:r w:rsidRPr="00860C1C">
        <w:rPr>
          <w:rFonts w:asciiTheme="majorBidi" w:hAnsiTheme="majorBidi" w:cstheme="majorBidi"/>
          <w:sz w:val="28"/>
          <w:szCs w:val="28"/>
          <w:lang w:bidi="ar-EG"/>
        </w:rPr>
        <w:t>In the list of previously mentioned issues, the Committee requested Egypt to ensure that the National Council for Childhood and Motherhood enjoys independence from the Ministry of Health and Population, and that it has the ability to influence all other ministries and government agencies at the central, regional, and local levels</w:t>
      </w:r>
      <w:r w:rsidR="00B44A4F">
        <w:rPr>
          <w:rStyle w:val="FootnoteReference"/>
          <w:rFonts w:asciiTheme="majorBidi" w:hAnsiTheme="majorBidi" w:cstheme="majorBidi"/>
          <w:sz w:val="28"/>
          <w:szCs w:val="28"/>
          <w:lang w:bidi="ar-EG"/>
        </w:rPr>
        <w:footnoteReference w:id="11"/>
      </w:r>
      <w:r w:rsidRPr="00860C1C">
        <w:rPr>
          <w:rFonts w:asciiTheme="majorBidi" w:hAnsiTheme="majorBidi" w:cstheme="majorBidi"/>
          <w:sz w:val="28"/>
          <w:szCs w:val="28"/>
          <w:lang w:bidi="ar-EG"/>
        </w:rPr>
        <w:t>. In this context, Maat notes with appreciation the President of the Republic’s approval of Law No. 182 of 2023 dated November 16, 2023, which stipulates in the first article that the affiliation of the National Council for Childhood and Motherhood be transferred from the Ministry of Health and Population to the President of the Republic</w:t>
      </w:r>
      <w:r w:rsidR="00823531">
        <w:rPr>
          <w:rFonts w:asciiTheme="majorBidi" w:hAnsiTheme="majorBidi" w:cstheme="majorBidi"/>
          <w:sz w:val="28"/>
          <w:szCs w:val="28"/>
          <w:lang w:bidi="ar-EG"/>
        </w:rPr>
        <w:t xml:space="preserve"> and it </w:t>
      </w:r>
      <w:r w:rsidRPr="00860C1C">
        <w:rPr>
          <w:rFonts w:asciiTheme="majorBidi" w:hAnsiTheme="majorBidi" w:cstheme="majorBidi"/>
          <w:sz w:val="28"/>
          <w:szCs w:val="28"/>
          <w:lang w:bidi="ar-EG"/>
        </w:rPr>
        <w:t xml:space="preserve">will have a legal personality and enjoy technical, financial and administrative independence in </w:t>
      </w:r>
      <w:r>
        <w:rPr>
          <w:rFonts w:asciiTheme="majorBidi" w:hAnsiTheme="majorBidi" w:cstheme="majorBidi"/>
          <w:sz w:val="28"/>
          <w:szCs w:val="28"/>
          <w:lang w:bidi="ar-EG"/>
        </w:rPr>
        <w:t>e</w:t>
      </w:r>
      <w:r w:rsidRPr="00860C1C">
        <w:rPr>
          <w:rFonts w:asciiTheme="majorBidi" w:hAnsiTheme="majorBidi" w:cstheme="majorBidi"/>
          <w:sz w:val="28"/>
          <w:szCs w:val="28"/>
          <w:lang w:bidi="ar-EG"/>
        </w:rPr>
        <w:t>xercising its duties, activities and powers, and thus Egypt has implemented the recommendation contained in the Committee’s recent concluding observations</w:t>
      </w:r>
      <w:r w:rsidR="003D790F">
        <w:rPr>
          <w:rStyle w:val="FootnoteReference"/>
          <w:rFonts w:asciiTheme="majorBidi" w:hAnsiTheme="majorBidi" w:cstheme="majorBidi"/>
          <w:sz w:val="28"/>
          <w:szCs w:val="28"/>
          <w:lang w:bidi="ar-EG"/>
        </w:rPr>
        <w:footnoteReference w:id="12"/>
      </w:r>
      <w:r w:rsidRPr="00860C1C">
        <w:rPr>
          <w:rFonts w:asciiTheme="majorBidi" w:hAnsiTheme="majorBidi" w:cstheme="majorBidi"/>
          <w:sz w:val="28"/>
          <w:szCs w:val="28"/>
          <w:lang w:bidi="ar-EG"/>
        </w:rPr>
        <w:t>.</w:t>
      </w:r>
    </w:p>
    <w:p w14:paraId="06A7B4C9" w14:textId="7C223126" w:rsidR="00823531" w:rsidRDefault="00860C1C" w:rsidP="002876FE">
      <w:pPr>
        <w:jc w:val="both"/>
        <w:rPr>
          <w:rFonts w:asciiTheme="majorBidi" w:hAnsiTheme="majorBidi" w:cstheme="majorBidi"/>
          <w:sz w:val="28"/>
          <w:szCs w:val="28"/>
          <w:lang w:bidi="ar-EG"/>
        </w:rPr>
      </w:pPr>
      <w:r w:rsidRPr="00860C1C">
        <w:rPr>
          <w:rFonts w:asciiTheme="majorBidi" w:hAnsiTheme="majorBidi" w:cstheme="majorBidi"/>
          <w:sz w:val="28"/>
          <w:szCs w:val="28"/>
          <w:lang w:bidi="ar-EG"/>
        </w:rPr>
        <w:lastRenderedPageBreak/>
        <w:t>However, Maat remains concerned about the weak coordination between the National Council for Childhood and Motherhood and the rest of the government institutions and departments, which leads to gaps in the implementation of legislative texts guaranteeing children’s rights in Egypt</w:t>
      </w:r>
      <w:r w:rsidR="003D790F">
        <w:rPr>
          <w:rStyle w:val="FootnoteReference"/>
          <w:rFonts w:asciiTheme="majorBidi" w:hAnsiTheme="majorBidi" w:cstheme="majorBidi"/>
          <w:sz w:val="28"/>
          <w:szCs w:val="28"/>
          <w:lang w:bidi="ar-EG"/>
        </w:rPr>
        <w:footnoteReference w:id="13"/>
      </w:r>
      <w:r w:rsidRPr="00860C1C">
        <w:rPr>
          <w:rFonts w:asciiTheme="majorBidi" w:hAnsiTheme="majorBidi" w:cstheme="majorBidi"/>
          <w:sz w:val="28"/>
          <w:szCs w:val="28"/>
          <w:lang w:bidi="ar-EG"/>
        </w:rPr>
        <w:t>. Maat also notes that the subcommittees for child protection affiliated with the National Council for Childhood and Motherhood still do not have an administrative structure or powers to motivate the employee or punish them in the event of negligence, and the workers in these committees do not receive wages except for small allowances in the case of going to deal with the case of a child at risk, and rarel</w:t>
      </w:r>
      <w:r w:rsidR="00823531">
        <w:rPr>
          <w:rFonts w:asciiTheme="majorBidi" w:hAnsiTheme="majorBidi" w:cstheme="majorBidi"/>
          <w:sz w:val="28"/>
          <w:szCs w:val="28"/>
          <w:lang w:bidi="ar-EG"/>
        </w:rPr>
        <w:t>y this happens</w:t>
      </w:r>
      <w:r w:rsidRPr="00860C1C">
        <w:rPr>
          <w:rFonts w:asciiTheme="majorBidi" w:hAnsiTheme="majorBidi" w:cstheme="majorBidi"/>
          <w:sz w:val="28"/>
          <w:szCs w:val="28"/>
          <w:lang w:bidi="ar-EG"/>
        </w:rPr>
        <w:t>.</w:t>
      </w:r>
    </w:p>
    <w:p w14:paraId="634AE345" w14:textId="2F59D99D" w:rsidR="00860C1C" w:rsidRDefault="00823531" w:rsidP="002876FE">
      <w:pPr>
        <w:jc w:val="both"/>
        <w:rPr>
          <w:rFonts w:asciiTheme="majorBidi" w:hAnsiTheme="majorBidi" w:cstheme="majorBidi"/>
          <w:sz w:val="28"/>
          <w:szCs w:val="28"/>
          <w:lang w:bidi="ar-EG"/>
        </w:rPr>
      </w:pPr>
      <w:r>
        <w:rPr>
          <w:rFonts w:asciiTheme="majorBidi" w:hAnsiTheme="majorBidi" w:cstheme="majorBidi"/>
          <w:sz w:val="28"/>
          <w:szCs w:val="28"/>
          <w:lang w:bidi="ar-EG"/>
        </w:rPr>
        <w:t>Not</w:t>
      </w:r>
      <w:r w:rsidR="00860C1C" w:rsidRPr="00860C1C">
        <w:rPr>
          <w:rFonts w:asciiTheme="majorBidi" w:hAnsiTheme="majorBidi" w:cstheme="majorBidi"/>
          <w:sz w:val="28"/>
          <w:szCs w:val="28"/>
          <w:lang w:bidi="ar-EG"/>
        </w:rPr>
        <w:t xml:space="preserve"> allocat</w:t>
      </w:r>
      <w:r>
        <w:rPr>
          <w:rFonts w:asciiTheme="majorBidi" w:hAnsiTheme="majorBidi" w:cstheme="majorBidi"/>
          <w:sz w:val="28"/>
          <w:szCs w:val="28"/>
          <w:lang w:bidi="ar-EG"/>
        </w:rPr>
        <w:t>ing</w:t>
      </w:r>
      <w:r w:rsidR="00860C1C" w:rsidRPr="00860C1C">
        <w:rPr>
          <w:rFonts w:asciiTheme="majorBidi" w:hAnsiTheme="majorBidi" w:cstheme="majorBidi"/>
          <w:sz w:val="28"/>
          <w:szCs w:val="28"/>
          <w:lang w:bidi="ar-EG"/>
        </w:rPr>
        <w:t xml:space="preserve"> an independent budget to child protection committees in accordance with what was stated in Children’s Law No. 126 of 2008 represents an additional obstacle, which limits the roles of these committees</w:t>
      </w:r>
      <w:r w:rsidR="003D790F">
        <w:rPr>
          <w:rStyle w:val="FootnoteReference"/>
          <w:rFonts w:asciiTheme="majorBidi" w:hAnsiTheme="majorBidi" w:cstheme="majorBidi"/>
          <w:sz w:val="28"/>
          <w:szCs w:val="28"/>
          <w:lang w:bidi="ar-EG"/>
        </w:rPr>
        <w:footnoteReference w:id="14"/>
      </w:r>
      <w:r w:rsidR="00860C1C" w:rsidRPr="00860C1C">
        <w:rPr>
          <w:rFonts w:asciiTheme="majorBidi" w:hAnsiTheme="majorBidi" w:cstheme="majorBidi"/>
          <w:sz w:val="28"/>
          <w:szCs w:val="28"/>
          <w:lang w:bidi="ar-EG"/>
        </w:rPr>
        <w:t xml:space="preserve">. There is also an overlap in the supervision of the General Administration for Child Relief. Formally, this administration is affiliated with the National Council for Childhood and Motherhood, but in practice the administration is technically affiliated with the Council only, while administrative and financial supervision is given to the governorates. The Child Rescue Plan No. 16000 of the National Council for Childhood and Motherhood also remains limited in its interventions or influence, especially on issues such as reducing the worst forms of child labor, and its interventions are limited to issues related to family neglect, which contradicts the tasks assigned to it as a mechanism for monitoring children’s rights and for receiving complaints related to any form of child abuse. </w:t>
      </w:r>
    </w:p>
    <w:p w14:paraId="497ED195" w14:textId="14419161" w:rsidR="00755B2C" w:rsidRPr="00755B2C" w:rsidRDefault="00755B2C" w:rsidP="002876FE">
      <w:pPr>
        <w:pStyle w:val="ListParagraph"/>
        <w:numPr>
          <w:ilvl w:val="0"/>
          <w:numId w:val="28"/>
        </w:numPr>
        <w:jc w:val="both"/>
        <w:rPr>
          <w:rFonts w:asciiTheme="majorBidi" w:hAnsiTheme="majorBidi" w:cstheme="majorBidi"/>
          <w:b/>
          <w:bCs/>
          <w:color w:val="FF0000"/>
          <w:sz w:val="28"/>
          <w:szCs w:val="28"/>
          <w:lang w:bidi="ar-EG"/>
        </w:rPr>
      </w:pPr>
      <w:r w:rsidRPr="00755B2C">
        <w:rPr>
          <w:rFonts w:asciiTheme="majorBidi" w:hAnsiTheme="majorBidi" w:cstheme="majorBidi"/>
          <w:b/>
          <w:bCs/>
          <w:color w:val="FF0000"/>
          <w:sz w:val="28"/>
          <w:szCs w:val="28"/>
          <w:lang w:bidi="ar-EG"/>
        </w:rPr>
        <w:t>Prohibition of corporal punishment of children</w:t>
      </w:r>
    </w:p>
    <w:p w14:paraId="213B138D" w14:textId="61FF9571" w:rsidR="00755B2C" w:rsidRPr="00755B2C" w:rsidRDefault="00755B2C" w:rsidP="002876FE">
      <w:pPr>
        <w:jc w:val="both"/>
        <w:rPr>
          <w:rFonts w:asciiTheme="majorBidi" w:hAnsiTheme="majorBidi" w:cstheme="majorBidi"/>
          <w:sz w:val="28"/>
          <w:szCs w:val="28"/>
          <w:lang w:bidi="ar-EG"/>
        </w:rPr>
      </w:pPr>
      <w:r w:rsidRPr="00755B2C">
        <w:rPr>
          <w:rFonts w:asciiTheme="majorBidi" w:hAnsiTheme="majorBidi" w:cstheme="majorBidi"/>
          <w:sz w:val="28"/>
          <w:szCs w:val="28"/>
          <w:lang w:bidi="ar-EG"/>
        </w:rPr>
        <w:t xml:space="preserve">In the list of issues submitted to Egypt, the Committee requested clarification of the measures taken to impose an explicit legal ban on corporal punishment in alternative care settings, nurseries and schools. In this context, Maat notes the measures taken </w:t>
      </w:r>
      <w:r w:rsidRPr="00755B2C">
        <w:rPr>
          <w:rFonts w:asciiTheme="majorBidi" w:hAnsiTheme="majorBidi" w:cstheme="majorBidi"/>
          <w:sz w:val="28"/>
          <w:szCs w:val="28"/>
          <w:lang w:bidi="ar-EG"/>
        </w:rPr>
        <w:lastRenderedPageBreak/>
        <w:t xml:space="preserve">by the Egyptian government to prohibit corporal punishment of children, </w:t>
      </w:r>
      <w:r w:rsidR="001D532C">
        <w:rPr>
          <w:rFonts w:asciiTheme="majorBidi" w:hAnsiTheme="majorBidi" w:cstheme="majorBidi"/>
          <w:sz w:val="28"/>
          <w:szCs w:val="28"/>
          <w:lang w:bidi="ar-EG"/>
        </w:rPr>
        <w:t>i</w:t>
      </w:r>
      <w:r w:rsidR="001D532C" w:rsidRPr="001D532C">
        <w:rPr>
          <w:rFonts w:asciiTheme="majorBidi" w:hAnsiTheme="majorBidi" w:cstheme="majorBidi"/>
          <w:sz w:val="28"/>
          <w:szCs w:val="28"/>
          <w:lang w:bidi="ar-EG"/>
        </w:rPr>
        <w:t>n addition to the protection stipulated in the Egyptian Constitution for the child from being exposed to any form of violence, including physical or moral abuse, the first paragraph of Article Three of the Children’s Law also provides more protection for the child against all forms of violence, physical, moral, or sexual abuse, neglect, negligence, or other forms of mistreatment and exploitation</w:t>
      </w:r>
      <w:r w:rsidR="003D790F">
        <w:rPr>
          <w:rStyle w:val="FootnoteReference"/>
          <w:rFonts w:asciiTheme="majorBidi" w:hAnsiTheme="majorBidi" w:cstheme="majorBidi"/>
          <w:sz w:val="28"/>
          <w:szCs w:val="28"/>
          <w:lang w:bidi="ar-EG"/>
        </w:rPr>
        <w:footnoteReference w:id="15"/>
      </w:r>
      <w:r w:rsidR="001D532C" w:rsidRPr="001D532C">
        <w:rPr>
          <w:rFonts w:asciiTheme="majorBidi" w:hAnsiTheme="majorBidi" w:cstheme="majorBidi"/>
          <w:sz w:val="28"/>
          <w:szCs w:val="28"/>
          <w:lang w:bidi="ar-EG"/>
        </w:rPr>
        <w:t>.</w:t>
      </w:r>
    </w:p>
    <w:p w14:paraId="2D15E374" w14:textId="598E7895" w:rsidR="00860C1C" w:rsidRDefault="00755B2C" w:rsidP="002876FE">
      <w:pPr>
        <w:jc w:val="both"/>
        <w:rPr>
          <w:rFonts w:asciiTheme="majorBidi" w:hAnsiTheme="majorBidi" w:cstheme="majorBidi"/>
          <w:sz w:val="28"/>
          <w:szCs w:val="28"/>
          <w:lang w:bidi="ar-EG"/>
        </w:rPr>
      </w:pPr>
      <w:r w:rsidRPr="00755B2C">
        <w:rPr>
          <w:rFonts w:asciiTheme="majorBidi" w:hAnsiTheme="majorBidi" w:cstheme="majorBidi"/>
          <w:sz w:val="28"/>
          <w:szCs w:val="28"/>
          <w:lang w:bidi="ar-EG"/>
        </w:rPr>
        <w:t>Article 96 of the law also considers that a child is at risk in the family, school, or care institutions if he is exposed to violence, exploitation, or neglect</w:t>
      </w:r>
      <w:r w:rsidR="003D790F">
        <w:rPr>
          <w:rStyle w:val="FootnoteReference"/>
          <w:rFonts w:asciiTheme="majorBidi" w:hAnsiTheme="majorBidi" w:cstheme="majorBidi"/>
          <w:sz w:val="28"/>
          <w:szCs w:val="28"/>
          <w:lang w:bidi="ar-EG"/>
        </w:rPr>
        <w:footnoteReference w:id="16"/>
      </w:r>
      <w:r w:rsidRPr="00755B2C">
        <w:rPr>
          <w:rFonts w:asciiTheme="majorBidi" w:hAnsiTheme="majorBidi" w:cstheme="majorBidi"/>
          <w:sz w:val="28"/>
          <w:szCs w:val="28"/>
          <w:lang w:bidi="ar-EG"/>
        </w:rPr>
        <w:t xml:space="preserve">. </w:t>
      </w:r>
      <w:r w:rsidR="001D532C" w:rsidRPr="001D532C">
        <w:rPr>
          <w:rFonts w:asciiTheme="majorBidi" w:hAnsiTheme="majorBidi" w:cstheme="majorBidi"/>
          <w:sz w:val="28"/>
          <w:szCs w:val="28"/>
          <w:lang w:bidi="ar-EG"/>
        </w:rPr>
        <w:t xml:space="preserve">Maat also noted a number of positive measures taken by the state to eliminate physical and psychological violence against children. In September 2023, the Minister of Education and Technical Education issued a directive to the education directorates in various governorates, before the 2023-2024 academic year. The directive stressed the need to adhere to the provisions of the ministerial decision issued regarding the school discipline regulation, and for schools to follow up on its implementation, prohibit the use of physical and psychological punishment for students, and activate the role of the social worker. However, the need remains to prohibit corporal punishment against children in practice, as </w:t>
      </w:r>
      <w:r w:rsidR="002876FE" w:rsidRPr="002876FE">
        <w:rPr>
          <w:rFonts w:asciiTheme="majorBidi" w:hAnsiTheme="majorBidi" w:cstheme="majorBidi"/>
          <w:sz w:val="28"/>
          <w:szCs w:val="28"/>
          <w:lang w:bidi="ar-EG"/>
        </w:rPr>
        <w:t>Maat has concerns that the child protection policies within the educational institution stipulated in the executive regulations of the Children’s Law are not fully implemented. Maat also noted the continued existence of a legal loophole in Article 7 bis of the Child Rights Law that allows parents and caregivers in care homes or alternative care settings to punish children under the pretext of discipline</w:t>
      </w:r>
      <w:r w:rsidR="003D790F">
        <w:rPr>
          <w:rStyle w:val="FootnoteReference"/>
          <w:rFonts w:asciiTheme="majorBidi" w:hAnsiTheme="majorBidi" w:cstheme="majorBidi"/>
          <w:sz w:val="28"/>
          <w:szCs w:val="28"/>
          <w:lang w:bidi="ar-EG"/>
        </w:rPr>
        <w:footnoteReference w:id="17"/>
      </w:r>
      <w:r w:rsidR="002876FE" w:rsidRPr="002876FE">
        <w:rPr>
          <w:rFonts w:asciiTheme="majorBidi" w:hAnsiTheme="majorBidi" w:cstheme="majorBidi"/>
          <w:sz w:val="28"/>
          <w:szCs w:val="28"/>
          <w:lang w:bidi="ar-EG"/>
        </w:rPr>
        <w:t>.</w:t>
      </w:r>
    </w:p>
    <w:p w14:paraId="680733A7" w14:textId="77777777" w:rsidR="00F14047" w:rsidRDefault="00F14047" w:rsidP="002876FE">
      <w:pPr>
        <w:jc w:val="both"/>
        <w:rPr>
          <w:rFonts w:asciiTheme="majorBidi" w:hAnsiTheme="majorBidi" w:cstheme="majorBidi"/>
          <w:sz w:val="28"/>
          <w:szCs w:val="28"/>
          <w:lang w:bidi="ar-EG"/>
        </w:rPr>
      </w:pPr>
    </w:p>
    <w:p w14:paraId="2692884F" w14:textId="77777777" w:rsidR="00F14047" w:rsidRDefault="00F14047" w:rsidP="002876FE">
      <w:pPr>
        <w:jc w:val="both"/>
        <w:rPr>
          <w:rFonts w:asciiTheme="majorBidi" w:hAnsiTheme="majorBidi" w:cstheme="majorBidi"/>
          <w:sz w:val="28"/>
          <w:szCs w:val="28"/>
          <w:lang w:bidi="ar-EG"/>
        </w:rPr>
      </w:pPr>
    </w:p>
    <w:p w14:paraId="30207098" w14:textId="77777777" w:rsidR="002876FE" w:rsidRPr="002876FE" w:rsidRDefault="002876FE" w:rsidP="002876FE">
      <w:pPr>
        <w:shd w:val="clear" w:color="auto" w:fill="DEEAF6" w:themeFill="accent1" w:themeFillTint="33"/>
        <w:jc w:val="both"/>
        <w:rPr>
          <w:rFonts w:asciiTheme="majorBidi" w:hAnsiTheme="majorBidi" w:cstheme="majorBidi"/>
          <w:b/>
          <w:bCs/>
          <w:sz w:val="28"/>
          <w:szCs w:val="28"/>
          <w:lang w:bidi="ar-EG"/>
        </w:rPr>
      </w:pPr>
      <w:r w:rsidRPr="002876FE">
        <w:rPr>
          <w:rFonts w:asciiTheme="majorBidi" w:hAnsiTheme="majorBidi" w:cstheme="majorBidi"/>
          <w:b/>
          <w:bCs/>
          <w:sz w:val="28"/>
          <w:szCs w:val="28"/>
          <w:lang w:bidi="ar-EG"/>
        </w:rPr>
        <w:lastRenderedPageBreak/>
        <w:t>Section Two: Following up on the implementation of specific articles in the Convention on the Rights of the Child</w:t>
      </w:r>
    </w:p>
    <w:p w14:paraId="678C4CDC" w14:textId="21ABEDC1" w:rsidR="002876FE" w:rsidRPr="002876FE" w:rsidRDefault="002876FE" w:rsidP="002876FE">
      <w:pPr>
        <w:pStyle w:val="ListParagraph"/>
        <w:numPr>
          <w:ilvl w:val="0"/>
          <w:numId w:val="29"/>
        </w:numPr>
        <w:jc w:val="both"/>
        <w:rPr>
          <w:rFonts w:asciiTheme="majorBidi" w:hAnsiTheme="majorBidi" w:cstheme="majorBidi"/>
          <w:b/>
          <w:bCs/>
          <w:color w:val="FF0000"/>
          <w:sz w:val="28"/>
          <w:szCs w:val="28"/>
          <w:lang w:bidi="ar-EG"/>
        </w:rPr>
      </w:pPr>
      <w:r w:rsidRPr="002876FE">
        <w:rPr>
          <w:rFonts w:asciiTheme="majorBidi" w:hAnsiTheme="majorBidi" w:cstheme="majorBidi"/>
          <w:b/>
          <w:bCs/>
          <w:color w:val="FF0000"/>
          <w:sz w:val="28"/>
          <w:szCs w:val="28"/>
          <w:lang w:bidi="ar-EG"/>
        </w:rPr>
        <w:t>Best interests of the child (Article 3)</w:t>
      </w:r>
    </w:p>
    <w:p w14:paraId="0C6D855E" w14:textId="025E8A1D" w:rsidR="002876FE" w:rsidRPr="002876FE" w:rsidRDefault="002876FE" w:rsidP="002876FE">
      <w:pPr>
        <w:jc w:val="both"/>
        <w:rPr>
          <w:rFonts w:asciiTheme="majorBidi" w:hAnsiTheme="majorBidi" w:cstheme="majorBidi"/>
          <w:sz w:val="28"/>
          <w:szCs w:val="28"/>
          <w:lang w:bidi="ar-EG"/>
        </w:rPr>
      </w:pPr>
      <w:r w:rsidRPr="002876FE">
        <w:rPr>
          <w:rFonts w:asciiTheme="majorBidi" w:hAnsiTheme="majorBidi" w:cstheme="majorBidi"/>
          <w:sz w:val="28"/>
          <w:szCs w:val="28"/>
          <w:lang w:bidi="ar-EG"/>
        </w:rPr>
        <w:t>First, Maat uses the conclusions of the Committee on the Rights of the Child that the principle of “the best interests of the child” contained in the first paragraph of Article Three of the Convention on the Rights of the Child represents the first rule that must be taken into account in all actions taken regarding children by states parties to the Convention. The Committee on the Rights of the Child also considered the first paragraph of Article 3, which requires that the best interests of the child be taken into account in all procedures relating to children, as one of the four general principles of the Convention.</w:t>
      </w:r>
    </w:p>
    <w:p w14:paraId="2CE3EA9C" w14:textId="2BDF7A1B" w:rsidR="002876FE" w:rsidRDefault="002876FE" w:rsidP="002876FE">
      <w:pPr>
        <w:jc w:val="both"/>
        <w:rPr>
          <w:rFonts w:asciiTheme="majorBidi" w:hAnsiTheme="majorBidi" w:cstheme="majorBidi"/>
          <w:sz w:val="28"/>
          <w:szCs w:val="28"/>
          <w:lang w:bidi="ar-EG"/>
        </w:rPr>
      </w:pPr>
      <w:r w:rsidRPr="002876FE">
        <w:rPr>
          <w:rFonts w:asciiTheme="majorBidi" w:hAnsiTheme="majorBidi" w:cstheme="majorBidi"/>
          <w:sz w:val="28"/>
          <w:szCs w:val="28"/>
          <w:lang w:bidi="ar-EG"/>
        </w:rPr>
        <w:t xml:space="preserve">In this context, Maat noted the positive steps taken by Egypt to integrate the best interests of the child into all procedures undertaken by legislative, executive and judicial institutions. Constitutionally, Article 80 of the Egyptian Constitution stipulates that the state shall work to achieve the best interest of the child in all measures taken regarding him. </w:t>
      </w:r>
      <w:r w:rsidR="00D674C8" w:rsidRPr="00D674C8">
        <w:rPr>
          <w:rFonts w:asciiTheme="majorBidi" w:hAnsiTheme="majorBidi" w:cstheme="majorBidi"/>
          <w:sz w:val="28"/>
          <w:szCs w:val="28"/>
          <w:lang w:bidi="ar-EG"/>
        </w:rPr>
        <w:t>Legislatively, the amendments to the Criminal Procedure Code, which are being drafted in their final form before the House of Representatives and are likely to be approved soon, aim to add articles that abolish pretrial detention for children over 15 years of age. This is an implementation of one of the targeted results in the axis on civil and political rights in the National Human Rights Strategy.</w:t>
      </w:r>
      <w:r w:rsidRPr="002876FE">
        <w:rPr>
          <w:rFonts w:asciiTheme="majorBidi" w:hAnsiTheme="majorBidi" w:cstheme="majorBidi"/>
          <w:sz w:val="28"/>
          <w:szCs w:val="28"/>
          <w:lang w:bidi="ar-EG"/>
        </w:rPr>
        <w:t xml:space="preserve"> The final recommendations of the first phase of the national dialogue, which were published in September 2023, also included the recommendation to amend Article 1 of Law No. 119 of 1952 regarding the provisions of guardianship over money so that the mother is ranked immediately next to the father in the matter of guardianship over the funds of a minor child. </w:t>
      </w:r>
      <w:r w:rsidR="00D674C8" w:rsidRPr="00D674C8">
        <w:rPr>
          <w:rFonts w:asciiTheme="majorBidi" w:hAnsiTheme="majorBidi" w:cstheme="majorBidi"/>
          <w:sz w:val="28"/>
          <w:szCs w:val="28"/>
          <w:lang w:bidi="ar-EG"/>
        </w:rPr>
        <w:t xml:space="preserve">Under the current law, guardianship of the minor’s money is transferred to the grandfather and then the uncle after the father’s death, which used to cause legal disputes due to </w:t>
      </w:r>
      <w:r w:rsidR="00D674C8" w:rsidRPr="00D674C8">
        <w:rPr>
          <w:rFonts w:asciiTheme="majorBidi" w:hAnsiTheme="majorBidi" w:cstheme="majorBidi"/>
          <w:sz w:val="28"/>
          <w:szCs w:val="28"/>
          <w:lang w:bidi="ar-EG"/>
        </w:rPr>
        <w:lastRenderedPageBreak/>
        <w:t>the mother’s need to have guardianship of her children’s money</w:t>
      </w:r>
      <w:r w:rsidR="003D790F">
        <w:rPr>
          <w:rStyle w:val="FootnoteReference"/>
          <w:rFonts w:asciiTheme="majorBidi" w:hAnsiTheme="majorBidi" w:cstheme="majorBidi"/>
          <w:sz w:val="28"/>
          <w:szCs w:val="28"/>
          <w:lang w:bidi="ar-EG"/>
        </w:rPr>
        <w:footnoteReference w:id="18"/>
      </w:r>
      <w:r w:rsidR="00D674C8" w:rsidRPr="00D674C8">
        <w:rPr>
          <w:rFonts w:asciiTheme="majorBidi" w:hAnsiTheme="majorBidi" w:cstheme="majorBidi"/>
          <w:sz w:val="28"/>
          <w:szCs w:val="28"/>
          <w:lang w:bidi="ar-EG"/>
        </w:rPr>
        <w:t>. In the same context, the discussions of the national dialogue included proposals to establish a fund for minors’ funds that would invest these funds and push for their development. Judicially, the Children’s Prosecution continued to investigate incidents of violence and sexual exploitation against children, and the Public Prosecution ordered the imprisonment of the accused who caused harm to the child’s best interests. Maat noted that these procedures take into account the principle of the child’s best interests. However, Maat remains concerned about the weak measures taken against social media bloggers who exploit their children for profit and money, as Maat noted that prosecution investigations often lead to pledges not to repeat such practices.</w:t>
      </w:r>
    </w:p>
    <w:p w14:paraId="523942FD" w14:textId="6A6C596D" w:rsidR="00D674C8" w:rsidRPr="00D674C8" w:rsidRDefault="00D674C8" w:rsidP="00D674C8">
      <w:pPr>
        <w:jc w:val="both"/>
        <w:rPr>
          <w:rFonts w:asciiTheme="majorBidi" w:hAnsiTheme="majorBidi" w:cstheme="majorBidi"/>
          <w:sz w:val="28"/>
          <w:szCs w:val="28"/>
          <w:lang w:bidi="ar-EG"/>
        </w:rPr>
      </w:pPr>
      <w:r w:rsidRPr="00D674C8">
        <w:rPr>
          <w:rFonts w:asciiTheme="majorBidi" w:hAnsiTheme="majorBidi" w:cstheme="majorBidi"/>
          <w:sz w:val="28"/>
          <w:szCs w:val="28"/>
          <w:lang w:bidi="ar-EG"/>
        </w:rPr>
        <w:t>The National Human Rights Strategy also aimed to “establish the principle of the best interest of the child among all parties concerned with children” in the sub-topic on children’s rights</w:t>
      </w:r>
      <w:r w:rsidR="00477C56">
        <w:rPr>
          <w:rFonts w:asciiTheme="majorBidi" w:hAnsiTheme="majorBidi" w:cstheme="majorBidi"/>
          <w:sz w:val="28"/>
          <w:szCs w:val="28"/>
          <w:lang w:bidi="ar-EG"/>
        </w:rPr>
        <w:t>, and p</w:t>
      </w:r>
      <w:r w:rsidR="00477C56" w:rsidRPr="00477C56">
        <w:rPr>
          <w:rFonts w:asciiTheme="majorBidi" w:hAnsiTheme="majorBidi" w:cstheme="majorBidi"/>
          <w:sz w:val="28"/>
          <w:szCs w:val="28"/>
          <w:lang w:bidi="ar-EG"/>
        </w:rPr>
        <w:t>aragraph C of Article Three of the Egyptian Child Law also stipulates that child protection and best reconciliation shall have priority in all decisions and procedures related to childhood, regardless of the party that issues these decisions and procedures. The Ministry of Social Solidarity is also currently discussing a new draft law on children based on the principle of the best interest of the child.</w:t>
      </w:r>
    </w:p>
    <w:p w14:paraId="79CBB342" w14:textId="31093178" w:rsidR="00D674C8" w:rsidRPr="00D674C8" w:rsidRDefault="00D674C8" w:rsidP="00D674C8">
      <w:pPr>
        <w:jc w:val="both"/>
        <w:rPr>
          <w:rFonts w:asciiTheme="majorBidi" w:hAnsiTheme="majorBidi" w:cstheme="majorBidi"/>
          <w:sz w:val="28"/>
          <w:szCs w:val="28"/>
          <w:lang w:bidi="ar-EG"/>
        </w:rPr>
      </w:pPr>
      <w:r w:rsidRPr="00D674C8">
        <w:rPr>
          <w:rFonts w:asciiTheme="majorBidi" w:hAnsiTheme="majorBidi" w:cstheme="majorBidi"/>
          <w:sz w:val="28"/>
          <w:szCs w:val="28"/>
          <w:lang w:bidi="ar-EG"/>
        </w:rPr>
        <w:t>Among the measures reviewed by Maat, the Ministry of Social Solidarity signed in February 2024 a protocol to manage the National Sponsorship Center project in Ismailia Governorate. The center specializes in receiving and classifying categories of children who have lost family care, and</w:t>
      </w:r>
      <w:r w:rsidR="00477C56" w:rsidRPr="00477C56">
        <w:rPr>
          <w:rFonts w:asciiTheme="majorBidi" w:hAnsiTheme="majorBidi" w:cstheme="majorBidi"/>
          <w:sz w:val="28"/>
          <w:szCs w:val="28"/>
          <w:lang w:bidi="ar-EG"/>
        </w:rPr>
        <w:t xml:space="preserve"> aims to care for abandoned children from the age of one day to two years before starting to integrate them into foster families, in order to provide a safe environment, provide full protection for these children, and ensure their transition to foster families</w:t>
      </w:r>
      <w:r w:rsidR="003D790F">
        <w:rPr>
          <w:rStyle w:val="FootnoteReference"/>
          <w:rFonts w:asciiTheme="majorBidi" w:hAnsiTheme="majorBidi" w:cstheme="majorBidi"/>
          <w:sz w:val="28"/>
          <w:szCs w:val="28"/>
          <w:lang w:bidi="ar-EG"/>
        </w:rPr>
        <w:footnoteReference w:id="19"/>
      </w:r>
      <w:r w:rsidR="00477C56" w:rsidRPr="00477C56">
        <w:rPr>
          <w:rFonts w:asciiTheme="majorBidi" w:hAnsiTheme="majorBidi" w:cstheme="majorBidi"/>
          <w:sz w:val="28"/>
          <w:szCs w:val="28"/>
          <w:lang w:bidi="ar-EG"/>
        </w:rPr>
        <w:t>.</w:t>
      </w:r>
    </w:p>
    <w:p w14:paraId="47081F2D" w14:textId="14F1C034" w:rsidR="00D674C8" w:rsidRDefault="00D674C8" w:rsidP="00D674C8">
      <w:pPr>
        <w:jc w:val="both"/>
        <w:rPr>
          <w:rFonts w:asciiTheme="majorBidi" w:hAnsiTheme="majorBidi" w:cstheme="majorBidi"/>
          <w:sz w:val="28"/>
          <w:szCs w:val="28"/>
          <w:lang w:bidi="ar-EG"/>
        </w:rPr>
      </w:pPr>
      <w:r w:rsidRPr="00D674C8">
        <w:rPr>
          <w:rFonts w:asciiTheme="majorBidi" w:hAnsiTheme="majorBidi" w:cstheme="majorBidi"/>
          <w:sz w:val="28"/>
          <w:szCs w:val="28"/>
          <w:lang w:bidi="ar-EG"/>
        </w:rPr>
        <w:lastRenderedPageBreak/>
        <w:t>In this context,</w:t>
      </w:r>
      <w:r w:rsidR="00477C56">
        <w:rPr>
          <w:rFonts w:asciiTheme="majorBidi" w:hAnsiTheme="majorBidi" w:cstheme="majorBidi"/>
          <w:sz w:val="28"/>
          <w:szCs w:val="28"/>
          <w:lang w:bidi="ar-EG"/>
        </w:rPr>
        <w:t xml:space="preserve"> </w:t>
      </w:r>
      <w:r w:rsidRPr="00D674C8">
        <w:rPr>
          <w:rFonts w:asciiTheme="majorBidi" w:hAnsiTheme="majorBidi" w:cstheme="majorBidi"/>
          <w:sz w:val="28"/>
          <w:szCs w:val="28"/>
          <w:lang w:bidi="ar-EG"/>
        </w:rPr>
        <w:t xml:space="preserve">Maat notes positively the family reunification initiative led by the Egyptian Al-Azhar Foundation in cooperation with the Ministry of Immigration, which led to the reunification of more than 23,000 families with their children. </w:t>
      </w:r>
      <w:r w:rsidR="00477C56" w:rsidRPr="00477C56">
        <w:rPr>
          <w:rFonts w:asciiTheme="majorBidi" w:hAnsiTheme="majorBidi" w:cstheme="majorBidi"/>
          <w:sz w:val="28"/>
          <w:szCs w:val="28"/>
          <w:lang w:bidi="ar-EG"/>
        </w:rPr>
        <w:t>In addition, these initiatives promote the best interests of the child stipulated in Article 3 of the Convention, but they are also considered an implementation of the text of Article 10 of the Convention on the Rights of the Child regarding family reunification.</w:t>
      </w:r>
      <w:r w:rsidRPr="00D674C8">
        <w:rPr>
          <w:rFonts w:asciiTheme="majorBidi" w:hAnsiTheme="majorBidi" w:cstheme="majorBidi"/>
          <w:sz w:val="28"/>
          <w:szCs w:val="28"/>
          <w:lang w:bidi="ar-EG"/>
        </w:rPr>
        <w:t xml:space="preserve"> In a related context, Maat noted that the Decent Life Initiative</w:t>
      </w:r>
      <w:r w:rsidR="00477C56">
        <w:rPr>
          <w:rFonts w:asciiTheme="majorBidi" w:hAnsiTheme="majorBidi" w:cstheme="majorBidi"/>
          <w:sz w:val="28"/>
          <w:szCs w:val="28"/>
          <w:lang w:bidi="ar-EG"/>
        </w:rPr>
        <w:t xml:space="preserve"> (Hayah Karima)</w:t>
      </w:r>
      <w:r w:rsidRPr="00D674C8">
        <w:rPr>
          <w:rFonts w:asciiTheme="majorBidi" w:hAnsiTheme="majorBidi" w:cstheme="majorBidi"/>
          <w:sz w:val="28"/>
          <w:szCs w:val="28"/>
          <w:lang w:bidi="ar-EG"/>
        </w:rPr>
        <w:t xml:space="preserve"> to develop the Egyptian countryside aims to complete the construction work for what represents 191 solidarity facilities, each of which includes a family and child development center, in 20 Egyptian governorates. The government also set a goal to abolish orphanages by 2025, and replace these homes with alternative care families. To achieve this goal, 37 homes were closed in 2022, according to data from the Ministry of Social Solidarity. Egypt has also allocated investments in the State Plan for Economic and Social Development 2022-2023 amounting to more than 7 million pounds to develop policies related to child protection in Egypt</w:t>
      </w:r>
      <w:r w:rsidR="00477C56">
        <w:rPr>
          <w:rFonts w:asciiTheme="majorBidi" w:hAnsiTheme="majorBidi" w:cstheme="majorBidi"/>
          <w:sz w:val="28"/>
          <w:szCs w:val="28"/>
          <w:lang w:bidi="ar-EG"/>
        </w:rPr>
        <w:t xml:space="preserve"> a</w:t>
      </w:r>
      <w:r w:rsidRPr="00D674C8">
        <w:rPr>
          <w:rFonts w:asciiTheme="majorBidi" w:hAnsiTheme="majorBidi" w:cstheme="majorBidi"/>
          <w:sz w:val="28"/>
          <w:szCs w:val="28"/>
          <w:lang w:bidi="ar-EG"/>
        </w:rPr>
        <w:t>nd to implement the sub-axis on children’s rights in the National Human Rights Strategy. All of the above measures promote the realization of the best interests of the child contained in the Convention. However, Maat notes that there are still challenges facing the implementation of the principle of the best interests of the child, including a lack of awareness among state employees of this principle, and the principle of the best interests of the child is not included in all policies, programs and decision-making processes related to children, which calls for increased awareness of public officials and private individuals. The state’s administrative apparatus must adhere to this principle, publish it, and include it in all policies, procedures, and measures related to children in Egypt.</w:t>
      </w:r>
    </w:p>
    <w:p w14:paraId="6BAC7935" w14:textId="0ED1998B" w:rsidR="00DE35AB" w:rsidRPr="00DE35AB" w:rsidRDefault="00DE35AB" w:rsidP="00DE35AB">
      <w:pPr>
        <w:pStyle w:val="ListParagraph"/>
        <w:numPr>
          <w:ilvl w:val="0"/>
          <w:numId w:val="29"/>
        </w:numPr>
        <w:rPr>
          <w:rFonts w:asciiTheme="majorBidi" w:hAnsiTheme="majorBidi" w:cstheme="majorBidi"/>
          <w:b/>
          <w:bCs/>
          <w:color w:val="FF0000"/>
          <w:sz w:val="28"/>
          <w:szCs w:val="28"/>
          <w:lang w:bidi="ar-EG"/>
        </w:rPr>
      </w:pPr>
      <w:r w:rsidRPr="00DE35AB">
        <w:rPr>
          <w:rFonts w:asciiTheme="majorBidi" w:hAnsiTheme="majorBidi" w:cstheme="majorBidi"/>
          <w:b/>
          <w:bCs/>
          <w:color w:val="FF0000"/>
          <w:sz w:val="28"/>
          <w:szCs w:val="28"/>
          <w:lang w:bidi="ar-EG"/>
        </w:rPr>
        <w:t>The right to life, survival and development of children (Article 6)</w:t>
      </w:r>
    </w:p>
    <w:p w14:paraId="52B2E914" w14:textId="6C325B0A" w:rsidR="00DE35AB" w:rsidRPr="00DE35AB" w:rsidRDefault="00DE35AB" w:rsidP="00DE35AB">
      <w:pPr>
        <w:jc w:val="both"/>
        <w:rPr>
          <w:rFonts w:asciiTheme="majorBidi" w:hAnsiTheme="majorBidi" w:cstheme="majorBidi"/>
          <w:sz w:val="28"/>
          <w:szCs w:val="28"/>
          <w:lang w:bidi="ar-EG"/>
        </w:rPr>
      </w:pPr>
      <w:r w:rsidRPr="00DE35AB">
        <w:rPr>
          <w:rFonts w:asciiTheme="majorBidi" w:hAnsiTheme="majorBidi" w:cstheme="majorBidi"/>
          <w:sz w:val="28"/>
          <w:szCs w:val="28"/>
          <w:lang w:bidi="ar-EG"/>
        </w:rPr>
        <w:t xml:space="preserve">Maat looked with appreciation for the efforts made by the Ministry of Social Solidarity to guarantee the right to life, survival and development for children. The Ministry of Social Solidarity reviewed the 1000 Days in the Life of a Child programme, which is one of the mechanisms for improving the nutritional status of </w:t>
      </w:r>
      <w:r w:rsidRPr="00DE35AB">
        <w:rPr>
          <w:rFonts w:asciiTheme="majorBidi" w:hAnsiTheme="majorBidi" w:cstheme="majorBidi"/>
          <w:sz w:val="28"/>
          <w:szCs w:val="28"/>
          <w:lang w:bidi="ar-EG"/>
        </w:rPr>
        <w:lastRenderedPageBreak/>
        <w:t>pregnant and breastfeeding women and infants</w:t>
      </w:r>
      <w:r w:rsidRPr="00DE35AB">
        <w:t xml:space="preserve"> </w:t>
      </w:r>
      <w:r w:rsidRPr="00DE35AB">
        <w:rPr>
          <w:rFonts w:asciiTheme="majorBidi" w:hAnsiTheme="majorBidi" w:cstheme="majorBidi"/>
          <w:sz w:val="28"/>
          <w:szCs w:val="28"/>
          <w:lang w:bidi="ar-EG"/>
        </w:rPr>
        <w:t xml:space="preserve">which works to enhance children’s physical and cognitive development, and protect them from the effects of malnutrition, including stunting, thinness, and underweight. </w:t>
      </w:r>
      <w:r w:rsidR="004F7950" w:rsidRPr="004F7950">
        <w:rPr>
          <w:rFonts w:asciiTheme="majorBidi" w:hAnsiTheme="majorBidi" w:cstheme="majorBidi"/>
          <w:sz w:val="28"/>
          <w:szCs w:val="28"/>
          <w:lang w:bidi="ar-EG"/>
        </w:rPr>
        <w:t xml:space="preserve">The program is currently expanding to give more impact and is being implemented at the level of all governorates for </w:t>
      </w:r>
      <w:r w:rsidR="004F7950">
        <w:rPr>
          <w:rFonts w:asciiTheme="majorBidi" w:hAnsiTheme="majorBidi" w:cstheme="majorBidi"/>
          <w:sz w:val="28"/>
          <w:szCs w:val="28"/>
          <w:lang w:bidi="ar-EG"/>
        </w:rPr>
        <w:t>“</w:t>
      </w:r>
      <w:r w:rsidR="004F7950" w:rsidRPr="004F7950">
        <w:rPr>
          <w:rFonts w:asciiTheme="majorBidi" w:hAnsiTheme="majorBidi" w:cstheme="majorBidi"/>
          <w:sz w:val="28"/>
          <w:szCs w:val="28"/>
          <w:lang w:bidi="ar-EG"/>
        </w:rPr>
        <w:t>Takaful and Karama</w:t>
      </w:r>
      <w:r w:rsidR="004F7950">
        <w:rPr>
          <w:rFonts w:asciiTheme="majorBidi" w:hAnsiTheme="majorBidi" w:cstheme="majorBidi"/>
          <w:sz w:val="28"/>
          <w:szCs w:val="28"/>
          <w:lang w:bidi="ar-EG"/>
        </w:rPr>
        <w:t>”</w:t>
      </w:r>
      <w:r w:rsidR="004F7950" w:rsidRPr="004F7950">
        <w:rPr>
          <w:rFonts w:asciiTheme="majorBidi" w:hAnsiTheme="majorBidi" w:cstheme="majorBidi"/>
          <w:sz w:val="28"/>
          <w:szCs w:val="28"/>
          <w:lang w:bidi="ar-EG"/>
        </w:rPr>
        <w:t xml:space="preserve"> families who have children under two years old, with a maximum of two children per family or one child for a pregnant mother. The number of beneficiaries of the One Thousand Days Program has reached more than 87 thousand beneficiaries by the end of August 2022</w:t>
      </w:r>
      <w:r w:rsidR="003D790F">
        <w:rPr>
          <w:rStyle w:val="FootnoteReference"/>
          <w:rFonts w:asciiTheme="majorBidi" w:hAnsiTheme="majorBidi" w:cstheme="majorBidi"/>
          <w:sz w:val="28"/>
          <w:szCs w:val="28"/>
          <w:lang w:bidi="ar-EG"/>
        </w:rPr>
        <w:footnoteReference w:id="20"/>
      </w:r>
      <w:r w:rsidR="004F7950" w:rsidRPr="004F7950">
        <w:rPr>
          <w:rFonts w:asciiTheme="majorBidi" w:hAnsiTheme="majorBidi" w:cstheme="majorBidi"/>
          <w:sz w:val="28"/>
          <w:szCs w:val="28"/>
          <w:lang w:bidi="ar-EG"/>
        </w:rPr>
        <w:t>.</w:t>
      </w:r>
      <w:r w:rsidR="004F7950">
        <w:rPr>
          <w:rFonts w:asciiTheme="majorBidi" w:hAnsiTheme="majorBidi" w:cstheme="majorBidi"/>
          <w:sz w:val="28"/>
          <w:szCs w:val="28"/>
          <w:lang w:bidi="ar-EG"/>
        </w:rPr>
        <w:t xml:space="preserve"> </w:t>
      </w:r>
      <w:r w:rsidRPr="00DE35AB">
        <w:rPr>
          <w:rFonts w:asciiTheme="majorBidi" w:hAnsiTheme="majorBidi" w:cstheme="majorBidi"/>
          <w:sz w:val="28"/>
          <w:szCs w:val="28"/>
          <w:lang w:bidi="ar-EG"/>
        </w:rPr>
        <w:t>In a related context, the number of children benefiting from health insurance, according to the latest available official data, has reached more than one and a half million children from birth to four years of age, while more than 2 million children over four years have benefited from the health insurance system</w:t>
      </w:r>
      <w:r w:rsidR="00746B07">
        <w:rPr>
          <w:rStyle w:val="FootnoteReference"/>
          <w:rFonts w:asciiTheme="majorBidi" w:hAnsiTheme="majorBidi" w:cstheme="majorBidi"/>
          <w:sz w:val="28"/>
          <w:szCs w:val="28"/>
          <w:lang w:bidi="ar-EG"/>
        </w:rPr>
        <w:footnoteReference w:id="21"/>
      </w:r>
      <w:r w:rsidRPr="00DE35AB">
        <w:rPr>
          <w:rFonts w:asciiTheme="majorBidi" w:hAnsiTheme="majorBidi" w:cstheme="majorBidi"/>
          <w:sz w:val="28"/>
          <w:szCs w:val="28"/>
          <w:lang w:bidi="ar-EG"/>
        </w:rPr>
        <w:t xml:space="preserve">. </w:t>
      </w:r>
      <w:r w:rsidR="004F7950" w:rsidRPr="004F7950">
        <w:rPr>
          <w:rFonts w:asciiTheme="majorBidi" w:hAnsiTheme="majorBidi" w:cstheme="majorBidi"/>
          <w:sz w:val="28"/>
          <w:szCs w:val="28"/>
          <w:lang w:bidi="ar-EG"/>
        </w:rPr>
        <w:t>However, Maat notes that health insurance for students up to school age, i.e. six years, is not compulsory, but is implemented at the request of the guardian</w:t>
      </w:r>
      <w:r w:rsidR="00746B07">
        <w:rPr>
          <w:rStyle w:val="FootnoteReference"/>
          <w:rFonts w:asciiTheme="majorBidi" w:hAnsiTheme="majorBidi" w:cstheme="majorBidi"/>
          <w:sz w:val="28"/>
          <w:szCs w:val="28"/>
          <w:lang w:bidi="ar-EG"/>
        </w:rPr>
        <w:footnoteReference w:id="22"/>
      </w:r>
      <w:r w:rsidR="004F7950" w:rsidRPr="004F7950">
        <w:rPr>
          <w:rFonts w:asciiTheme="majorBidi" w:hAnsiTheme="majorBidi" w:cstheme="majorBidi"/>
          <w:sz w:val="28"/>
          <w:szCs w:val="28"/>
          <w:lang w:bidi="ar-EG"/>
        </w:rPr>
        <w:t>.</w:t>
      </w:r>
    </w:p>
    <w:p w14:paraId="64CFB2BB" w14:textId="5969037C" w:rsidR="00DE35AB" w:rsidRDefault="00DE35AB" w:rsidP="00DE35AB">
      <w:pPr>
        <w:jc w:val="both"/>
        <w:rPr>
          <w:rFonts w:asciiTheme="majorBidi" w:hAnsiTheme="majorBidi" w:cstheme="majorBidi"/>
          <w:sz w:val="28"/>
          <w:szCs w:val="28"/>
          <w:lang w:bidi="ar-EG"/>
        </w:rPr>
      </w:pPr>
      <w:r w:rsidRPr="00DE35AB">
        <w:rPr>
          <w:rFonts w:asciiTheme="majorBidi" w:hAnsiTheme="majorBidi" w:cstheme="majorBidi"/>
          <w:sz w:val="28"/>
          <w:szCs w:val="28"/>
          <w:lang w:bidi="ar-EG"/>
        </w:rPr>
        <w:t xml:space="preserve">The benefits provided by the program are summarized in providing a basket of rich foods for pregnant and breastfeeding women to more than 17,008 families, with the value of the basket amounting to 80 pounds, from </w:t>
      </w:r>
      <w:r w:rsidR="004F7950">
        <w:rPr>
          <w:rFonts w:asciiTheme="majorBidi" w:hAnsiTheme="majorBidi" w:cstheme="majorBidi"/>
          <w:sz w:val="28"/>
          <w:szCs w:val="28"/>
          <w:lang w:bidi="ar-EG"/>
        </w:rPr>
        <w:t>“</w:t>
      </w:r>
      <w:r w:rsidRPr="00DE35AB">
        <w:rPr>
          <w:rFonts w:asciiTheme="majorBidi" w:hAnsiTheme="majorBidi" w:cstheme="majorBidi"/>
          <w:sz w:val="28"/>
          <w:szCs w:val="28"/>
          <w:lang w:bidi="ar-EG"/>
        </w:rPr>
        <w:t>Takaful and Karama</w:t>
      </w:r>
      <w:r w:rsidR="004F7950">
        <w:rPr>
          <w:rFonts w:asciiTheme="majorBidi" w:hAnsiTheme="majorBidi" w:cstheme="majorBidi"/>
          <w:sz w:val="28"/>
          <w:szCs w:val="28"/>
          <w:lang w:bidi="ar-EG"/>
        </w:rPr>
        <w:t>”</w:t>
      </w:r>
      <w:r w:rsidRPr="00DE35AB">
        <w:rPr>
          <w:rFonts w:asciiTheme="majorBidi" w:hAnsiTheme="majorBidi" w:cstheme="majorBidi"/>
          <w:sz w:val="28"/>
          <w:szCs w:val="28"/>
          <w:lang w:bidi="ar-EG"/>
        </w:rPr>
        <w:t xml:space="preserve"> families in three governorates, namely Assiut, Qena, and Sohag, with the requirement of visiting the health unit monthly to follow up on the pregnant woman’s pregnancy, monitor growth, and obtain the necessary vaccinations for the children. The efforts made by Egypt led to a decrease in the child mortality rate, as the percentage of deaths under the age of five decreased to 27 deaths per thousand live births in 2014 to 22.7 deaths in 2022. However, reliable reports indicate that the disparity in the mortality rate still persists between Rural areas compared to urban areas</w:t>
      </w:r>
      <w:r w:rsidR="00746B07">
        <w:rPr>
          <w:rStyle w:val="FootnoteReference"/>
          <w:rFonts w:asciiTheme="majorBidi" w:hAnsiTheme="majorBidi" w:cstheme="majorBidi"/>
          <w:sz w:val="28"/>
          <w:szCs w:val="28"/>
          <w:lang w:bidi="ar-EG"/>
        </w:rPr>
        <w:footnoteReference w:id="23"/>
      </w:r>
      <w:r w:rsidRPr="00DE35AB">
        <w:rPr>
          <w:rFonts w:asciiTheme="majorBidi" w:hAnsiTheme="majorBidi" w:cstheme="majorBidi"/>
          <w:sz w:val="28"/>
          <w:szCs w:val="28"/>
          <w:lang w:bidi="ar-EG"/>
        </w:rPr>
        <w:t xml:space="preserve">. Maat noted that the Egyptian Food Bank launched an initial opportunity program to </w:t>
      </w:r>
      <w:r w:rsidRPr="00DE35AB">
        <w:rPr>
          <w:rFonts w:asciiTheme="majorBidi" w:hAnsiTheme="majorBidi" w:cstheme="majorBidi"/>
          <w:sz w:val="28"/>
          <w:szCs w:val="28"/>
          <w:lang w:bidi="ar-EG"/>
        </w:rPr>
        <w:lastRenderedPageBreak/>
        <w:t>provide food for children to overcome stunting. The program aimed for mothers to have sufficient food and awareness to determine the child’s path and health. The beneficiaries of this program reached 37 thousand children across 10 governorates. In the context of working to promote children’s development in accordance with Article Six of the Convention, Maat noted the launch of the “We Follow Together” campaign by the Ministry of Social Solidarity, which aims to raise awareness among mothers about monitoring the growth and development of children from birth to the age of five years</w:t>
      </w:r>
      <w:r w:rsidR="00746B07">
        <w:rPr>
          <w:rStyle w:val="FootnoteReference"/>
          <w:rFonts w:asciiTheme="majorBidi" w:hAnsiTheme="majorBidi" w:cstheme="majorBidi"/>
          <w:sz w:val="28"/>
          <w:szCs w:val="28"/>
          <w:lang w:bidi="ar-EG"/>
        </w:rPr>
        <w:footnoteReference w:id="24"/>
      </w:r>
      <w:r w:rsidRPr="00DE35AB">
        <w:rPr>
          <w:rFonts w:asciiTheme="majorBidi" w:hAnsiTheme="majorBidi" w:cstheme="majorBidi"/>
          <w:sz w:val="28"/>
          <w:szCs w:val="28"/>
          <w:lang w:bidi="ar-EG"/>
        </w:rPr>
        <w:t xml:space="preserve">. However, Maat still has concerns because </w:t>
      </w:r>
      <w:r w:rsidR="00C86D0C" w:rsidRPr="00DE35AB">
        <w:rPr>
          <w:rFonts w:asciiTheme="majorBidi" w:hAnsiTheme="majorBidi" w:cstheme="majorBidi"/>
          <w:sz w:val="28"/>
          <w:szCs w:val="28"/>
          <w:lang w:bidi="ar-EG"/>
        </w:rPr>
        <w:t>the</w:t>
      </w:r>
      <w:r w:rsidRPr="00DE35AB">
        <w:rPr>
          <w:rFonts w:asciiTheme="majorBidi" w:hAnsiTheme="majorBidi" w:cstheme="majorBidi"/>
          <w:sz w:val="28"/>
          <w:szCs w:val="28"/>
          <w:lang w:bidi="ar-EG"/>
        </w:rPr>
        <w:t xml:space="preserve"> campaigns launched by children’s authorities do not measure up to address the challenges facing children, especially in rural areas.</w:t>
      </w:r>
    </w:p>
    <w:p w14:paraId="25A7665F" w14:textId="3546A3AB" w:rsidR="003A1F96" w:rsidRPr="003A1F96" w:rsidRDefault="003A1F96" w:rsidP="003A1F96">
      <w:pPr>
        <w:pStyle w:val="ListParagraph"/>
        <w:numPr>
          <w:ilvl w:val="0"/>
          <w:numId w:val="29"/>
        </w:numPr>
        <w:jc w:val="both"/>
        <w:rPr>
          <w:rFonts w:asciiTheme="majorBidi" w:hAnsiTheme="majorBidi" w:cstheme="majorBidi"/>
          <w:b/>
          <w:bCs/>
          <w:color w:val="FF0000"/>
          <w:sz w:val="28"/>
          <w:szCs w:val="28"/>
          <w:lang w:bidi="ar-EG"/>
        </w:rPr>
      </w:pPr>
      <w:r w:rsidRPr="003A1F96">
        <w:rPr>
          <w:rFonts w:asciiTheme="majorBidi" w:hAnsiTheme="majorBidi" w:cstheme="majorBidi"/>
          <w:b/>
          <w:bCs/>
          <w:color w:val="FF0000"/>
          <w:sz w:val="28"/>
          <w:szCs w:val="28"/>
          <w:lang w:bidi="ar-EG"/>
        </w:rPr>
        <w:t>The right to protection from kidnapping (Article 11)</w:t>
      </w:r>
    </w:p>
    <w:p w14:paraId="2D6DD98F" w14:textId="4A829AC2" w:rsidR="003A1F96" w:rsidRDefault="003A1F96" w:rsidP="003A1F96">
      <w:pPr>
        <w:jc w:val="both"/>
        <w:rPr>
          <w:rFonts w:asciiTheme="majorBidi" w:hAnsiTheme="majorBidi" w:cstheme="majorBidi"/>
          <w:sz w:val="28"/>
          <w:szCs w:val="28"/>
          <w:lang w:bidi="ar-EG"/>
        </w:rPr>
      </w:pPr>
      <w:r w:rsidRPr="003A1F96">
        <w:rPr>
          <w:rFonts w:asciiTheme="majorBidi" w:hAnsiTheme="majorBidi" w:cstheme="majorBidi"/>
          <w:sz w:val="28"/>
          <w:szCs w:val="28"/>
          <w:lang w:bidi="ar-EG"/>
        </w:rPr>
        <w:t>Under Article 11 of the Convention, States Parties are required to take measures to combat the illegal transfer of children abroad and prevent their return. Although the constitutional and legal framework in Egypt criminalizes the kidnapping of children, there is a conflict on this issue. For example, the transfer of a child by the parent is not considered unlawful. Bringing a foster child to or within Egypt is a crime in Egypt unless the child is subject to travel restrictions issued by the Egyptian courts</w:t>
      </w:r>
      <w:r w:rsidR="00746B07">
        <w:rPr>
          <w:rStyle w:val="FootnoteReference"/>
          <w:rFonts w:asciiTheme="majorBidi" w:hAnsiTheme="majorBidi" w:cstheme="majorBidi"/>
          <w:sz w:val="28"/>
          <w:szCs w:val="28"/>
          <w:lang w:bidi="ar-EG"/>
        </w:rPr>
        <w:footnoteReference w:id="25"/>
      </w:r>
      <w:r w:rsidRPr="003A1F96">
        <w:rPr>
          <w:rFonts w:asciiTheme="majorBidi" w:hAnsiTheme="majorBidi" w:cstheme="majorBidi"/>
          <w:sz w:val="28"/>
          <w:szCs w:val="28"/>
          <w:lang w:bidi="ar-EG"/>
        </w:rPr>
        <w:t xml:space="preserve">. According to Maat, the legal loopholes in crimes of international kidnapping of children from one of their parents lead to an increase in crimes of international kidnapping of children and their transfer from Egypt to abroad. During the period from January 2023 to January 2024, Maat documented three cases of children being kidnapped and taken abroad. According to lawyers and mothers of kidnapped children whose testimonies were presented to Maat, the shortcomings in the laws related to child custody represent the reason for the rise and increase of these cases. Despite the issuance of rulings for mothers to have custody of their children, despite this, no immediate measures are taken to prevent the children from traveling or to </w:t>
      </w:r>
      <w:r w:rsidRPr="003A1F96">
        <w:rPr>
          <w:rFonts w:asciiTheme="majorBidi" w:hAnsiTheme="majorBidi" w:cstheme="majorBidi"/>
          <w:sz w:val="28"/>
          <w:szCs w:val="28"/>
          <w:lang w:bidi="ar-EG"/>
        </w:rPr>
        <w:lastRenderedPageBreak/>
        <w:t>include them on lists of people banned from traveling. This is considered a deficiency in the law, and the mother finds herself unable to know the whereabouts of her children after the father kidnaps them and moves them to another country or governorate, especially if the country does not have judicial cooperation agreements with the countries to which the children were kidnapped. Kidnapping children and traveling with them abroad leads to trouble for Egyptian mothers. Perhaps the most prominent example in this context is the death of a woman named “M.M.” in Switzerland after the police found her body in the Rhine River</w:t>
      </w:r>
      <w:r w:rsidR="00746B07">
        <w:rPr>
          <w:rStyle w:val="FootnoteReference"/>
          <w:rFonts w:asciiTheme="majorBidi" w:hAnsiTheme="majorBidi" w:cstheme="majorBidi"/>
          <w:sz w:val="28"/>
          <w:szCs w:val="28"/>
          <w:lang w:bidi="ar-EG"/>
        </w:rPr>
        <w:footnoteReference w:id="26"/>
      </w:r>
      <w:r w:rsidRPr="003A1F96">
        <w:rPr>
          <w:rFonts w:asciiTheme="majorBidi" w:hAnsiTheme="majorBidi" w:cstheme="majorBidi"/>
          <w:sz w:val="28"/>
          <w:szCs w:val="28"/>
          <w:lang w:bidi="ar-EG"/>
        </w:rPr>
        <w:t xml:space="preserve"> after she had traveled after her children who had been kidnapped by their </w:t>
      </w:r>
      <w:r w:rsidR="0051677C">
        <w:rPr>
          <w:rFonts w:asciiTheme="majorBidi" w:hAnsiTheme="majorBidi" w:cstheme="majorBidi"/>
          <w:sz w:val="28"/>
          <w:szCs w:val="28"/>
          <w:lang w:bidi="ar-EG"/>
        </w:rPr>
        <w:t>father</w:t>
      </w:r>
      <w:r w:rsidRPr="003A1F96">
        <w:rPr>
          <w:rFonts w:asciiTheme="majorBidi" w:hAnsiTheme="majorBidi" w:cstheme="majorBidi"/>
          <w:sz w:val="28"/>
          <w:szCs w:val="28"/>
          <w:lang w:bidi="ar-EG"/>
        </w:rPr>
        <w:t>, who had Egyptian and Swiss citizenship. He kidnapped her two daughters (K.W. and F.W.)</w:t>
      </w:r>
      <w:r w:rsidR="0051677C">
        <w:rPr>
          <w:rFonts w:asciiTheme="majorBidi" w:hAnsiTheme="majorBidi" w:cstheme="majorBidi"/>
          <w:sz w:val="28"/>
          <w:szCs w:val="28"/>
          <w:lang w:bidi="ar-EG"/>
        </w:rPr>
        <w:t xml:space="preserve"> in 2023</w:t>
      </w:r>
      <w:r w:rsidRPr="003A1F96">
        <w:rPr>
          <w:rFonts w:asciiTheme="majorBidi" w:hAnsiTheme="majorBidi" w:cstheme="majorBidi"/>
          <w:sz w:val="28"/>
          <w:szCs w:val="28"/>
          <w:lang w:bidi="ar-EG"/>
        </w:rPr>
        <w:t xml:space="preserve"> and took them with him to Switzerland. Their mother’s travel to search for them led to her killing in February 2024. She had disappeared after traveling to Switzerland to see her daughters and regain custody of them from her husband. Some mothers complained that the International Cooperation Office responsible for these issues always responded uniformly with the phrase “not found” and were impractical. Maat also notes the limited number of international bilateral agreements to extradite child kidnappers between Egypt and other countries, which is considered a shortcoming in the implementation of the second paragraph of Article 11 of the agreement, which </w:t>
      </w:r>
      <w:r w:rsidR="0051677C" w:rsidRPr="0051677C">
        <w:rPr>
          <w:rFonts w:asciiTheme="majorBidi" w:hAnsiTheme="majorBidi" w:cstheme="majorBidi"/>
          <w:sz w:val="28"/>
          <w:szCs w:val="28"/>
          <w:lang w:bidi="ar-EG"/>
        </w:rPr>
        <w:t>encourages States Parties to conclude bilateral or multilateral agreements or join existing agreements in order to prevent international child abduction.</w:t>
      </w:r>
      <w:r w:rsidR="0051677C">
        <w:rPr>
          <w:rFonts w:asciiTheme="majorBidi" w:hAnsiTheme="majorBidi" w:cstheme="majorBidi"/>
          <w:sz w:val="28"/>
          <w:szCs w:val="28"/>
          <w:lang w:bidi="ar-EG"/>
        </w:rPr>
        <w:t xml:space="preserve"> </w:t>
      </w:r>
      <w:r w:rsidRPr="003A1F96">
        <w:rPr>
          <w:rFonts w:asciiTheme="majorBidi" w:hAnsiTheme="majorBidi" w:cstheme="majorBidi"/>
          <w:sz w:val="28"/>
          <w:szCs w:val="28"/>
          <w:lang w:bidi="ar-EG"/>
        </w:rPr>
        <w:t>Egypt has also not signed the 1980 Hague Convention on the Civil Aspects of International Child Abduction</w:t>
      </w:r>
      <w:r w:rsidR="0051677C">
        <w:rPr>
          <w:rFonts w:asciiTheme="majorBidi" w:hAnsiTheme="majorBidi" w:cstheme="majorBidi"/>
          <w:sz w:val="28"/>
          <w:szCs w:val="28"/>
          <w:lang w:bidi="ar-EG"/>
        </w:rPr>
        <w:t>, which</w:t>
      </w:r>
      <w:r w:rsidRPr="003A1F96">
        <w:rPr>
          <w:rFonts w:asciiTheme="majorBidi" w:hAnsiTheme="majorBidi" w:cstheme="majorBidi"/>
          <w:sz w:val="28"/>
          <w:szCs w:val="28"/>
          <w:lang w:bidi="ar-EG"/>
        </w:rPr>
        <w:t xml:space="preserve"> is </w:t>
      </w:r>
      <w:r w:rsidR="0051677C">
        <w:rPr>
          <w:rFonts w:asciiTheme="majorBidi" w:hAnsiTheme="majorBidi" w:cstheme="majorBidi"/>
          <w:sz w:val="28"/>
          <w:szCs w:val="28"/>
          <w:lang w:bidi="ar-EG"/>
        </w:rPr>
        <w:t>an</w:t>
      </w:r>
      <w:r w:rsidRPr="003A1F96">
        <w:rPr>
          <w:rFonts w:asciiTheme="majorBidi" w:hAnsiTheme="majorBidi" w:cstheme="majorBidi"/>
          <w:sz w:val="28"/>
          <w:szCs w:val="28"/>
          <w:lang w:bidi="ar-EG"/>
        </w:rPr>
        <w:t xml:space="preserve"> agreement that aims to return children kidnapped or detained abroad by a parent to their country of original residence</w:t>
      </w:r>
      <w:r w:rsidR="00746B07">
        <w:rPr>
          <w:rStyle w:val="FootnoteReference"/>
          <w:rFonts w:asciiTheme="majorBidi" w:hAnsiTheme="majorBidi" w:cstheme="majorBidi"/>
          <w:sz w:val="28"/>
          <w:szCs w:val="28"/>
          <w:lang w:bidi="ar-EG"/>
        </w:rPr>
        <w:footnoteReference w:id="27"/>
      </w:r>
      <w:r w:rsidRPr="003A1F96">
        <w:rPr>
          <w:rFonts w:asciiTheme="majorBidi" w:hAnsiTheme="majorBidi" w:cstheme="majorBidi"/>
          <w:sz w:val="28"/>
          <w:szCs w:val="28"/>
          <w:lang w:bidi="ar-EG"/>
        </w:rPr>
        <w:t>.</w:t>
      </w:r>
    </w:p>
    <w:p w14:paraId="0994DB81" w14:textId="77777777" w:rsidR="00F14047" w:rsidRDefault="00F14047" w:rsidP="003A1F96">
      <w:pPr>
        <w:jc w:val="both"/>
        <w:rPr>
          <w:rFonts w:asciiTheme="majorBidi" w:hAnsiTheme="majorBidi" w:cstheme="majorBidi"/>
          <w:sz w:val="28"/>
          <w:szCs w:val="28"/>
          <w:lang w:bidi="ar-EG"/>
        </w:rPr>
      </w:pPr>
    </w:p>
    <w:p w14:paraId="05650E56" w14:textId="77777777" w:rsidR="00F14047" w:rsidRDefault="00F14047" w:rsidP="003A1F96">
      <w:pPr>
        <w:jc w:val="both"/>
        <w:rPr>
          <w:rFonts w:asciiTheme="majorBidi" w:hAnsiTheme="majorBidi" w:cstheme="majorBidi"/>
          <w:sz w:val="28"/>
          <w:szCs w:val="28"/>
          <w:lang w:bidi="ar-EG"/>
        </w:rPr>
      </w:pPr>
    </w:p>
    <w:p w14:paraId="427F7BB4" w14:textId="5357744F" w:rsidR="0051677C" w:rsidRPr="0051677C" w:rsidRDefault="0051677C" w:rsidP="0051677C">
      <w:pPr>
        <w:pStyle w:val="ListParagraph"/>
        <w:numPr>
          <w:ilvl w:val="0"/>
          <w:numId w:val="29"/>
        </w:numPr>
        <w:rPr>
          <w:rFonts w:asciiTheme="majorBidi" w:hAnsiTheme="majorBidi" w:cstheme="majorBidi"/>
          <w:b/>
          <w:bCs/>
          <w:color w:val="FF0000"/>
          <w:sz w:val="28"/>
          <w:szCs w:val="28"/>
          <w:lang w:bidi="ar-EG"/>
        </w:rPr>
      </w:pPr>
      <w:r w:rsidRPr="0051677C">
        <w:rPr>
          <w:rFonts w:asciiTheme="majorBidi" w:hAnsiTheme="majorBidi" w:cstheme="majorBidi"/>
          <w:b/>
          <w:bCs/>
          <w:color w:val="FF0000"/>
          <w:sz w:val="28"/>
          <w:szCs w:val="28"/>
          <w:lang w:bidi="ar-EG"/>
        </w:rPr>
        <w:lastRenderedPageBreak/>
        <w:t>Refugee children (Article 22)</w:t>
      </w:r>
    </w:p>
    <w:p w14:paraId="2FB97412" w14:textId="77777777" w:rsidR="0051677C" w:rsidRPr="0051677C" w:rsidRDefault="0051677C" w:rsidP="0051677C">
      <w:pPr>
        <w:rPr>
          <w:rFonts w:asciiTheme="majorBidi" w:hAnsiTheme="majorBidi" w:cstheme="majorBidi"/>
          <w:sz w:val="28"/>
          <w:szCs w:val="28"/>
          <w:lang w:bidi="ar-EG"/>
        </w:rPr>
      </w:pPr>
      <w:r w:rsidRPr="0051677C">
        <w:rPr>
          <w:rFonts w:asciiTheme="majorBidi" w:hAnsiTheme="majorBidi" w:cstheme="majorBidi"/>
          <w:sz w:val="28"/>
          <w:szCs w:val="28"/>
          <w:lang w:bidi="ar-EG"/>
        </w:rPr>
        <w:t>The Committee requested Egypt to provide all asylum-seeking, refugee, and migrant children, regardless of their country of origin, with unimpeded access to public health care facilities and systems, including health insurance coverage, and equal access to the public education system with Egyptian children.</w:t>
      </w:r>
    </w:p>
    <w:p w14:paraId="78A69B8B" w14:textId="6AF29DA6" w:rsidR="0051677C" w:rsidRPr="0051677C" w:rsidRDefault="0051677C" w:rsidP="00BA18D6">
      <w:pPr>
        <w:jc w:val="both"/>
        <w:rPr>
          <w:rFonts w:asciiTheme="majorBidi" w:hAnsiTheme="majorBidi" w:cstheme="majorBidi"/>
          <w:sz w:val="28"/>
          <w:szCs w:val="28"/>
          <w:lang w:bidi="ar-EG"/>
        </w:rPr>
      </w:pPr>
      <w:r w:rsidRPr="0051677C">
        <w:rPr>
          <w:rFonts w:asciiTheme="majorBidi" w:hAnsiTheme="majorBidi" w:cstheme="majorBidi"/>
          <w:sz w:val="28"/>
          <w:szCs w:val="28"/>
          <w:lang w:bidi="ar-EG"/>
        </w:rPr>
        <w:t xml:space="preserve">In this context, Maat notes that the Egyptian government worked with organizations concerned with children, such as Save the Children, in addition to the United Nations High Commissioner for Refugees, to provide health services to children free of charge. Refugee children constitute 38% of the total number of refugees and asylum seekers registered with the United Nations High Commissioner for Refugees, </w:t>
      </w:r>
      <w:r w:rsidR="004055DB">
        <w:rPr>
          <w:rFonts w:asciiTheme="majorBidi" w:hAnsiTheme="majorBidi" w:cstheme="majorBidi"/>
          <w:sz w:val="28"/>
          <w:szCs w:val="28"/>
          <w:lang w:bidi="ar-EG"/>
        </w:rPr>
        <w:t>out of</w:t>
      </w:r>
      <w:r w:rsidR="004055DB" w:rsidRPr="004055DB">
        <w:rPr>
          <w:rFonts w:asciiTheme="majorBidi" w:hAnsiTheme="majorBidi" w:cstheme="majorBidi"/>
          <w:sz w:val="28"/>
          <w:szCs w:val="28"/>
          <w:lang w:bidi="ar-EG"/>
        </w:rPr>
        <w:t xml:space="preserve"> 473,000 people registered with UNHCR as of December 2023, 166,000 are refugee children and asylum seekers. 85 percent of refugee children in Egypt who are registered with the United Nations High Commissioner for Refugees receive the services that Egyptian children themselves receive, especially with regard to education and health, such as the right to attend schools and obtain full educational services, in addition to access to health campaigns such as obtaining vaccines</w:t>
      </w:r>
      <w:r w:rsidR="004055DB">
        <w:rPr>
          <w:rFonts w:asciiTheme="majorBidi" w:hAnsiTheme="majorBidi" w:cstheme="majorBidi"/>
          <w:sz w:val="28"/>
          <w:szCs w:val="28"/>
          <w:lang w:bidi="ar-EG"/>
        </w:rPr>
        <w:t>, or s</w:t>
      </w:r>
      <w:r w:rsidR="004055DB" w:rsidRPr="004055DB">
        <w:rPr>
          <w:rFonts w:asciiTheme="majorBidi" w:hAnsiTheme="majorBidi" w:cstheme="majorBidi"/>
          <w:sz w:val="28"/>
          <w:szCs w:val="28"/>
          <w:lang w:bidi="ar-EG"/>
        </w:rPr>
        <w:t xml:space="preserve">ervices related to the </w:t>
      </w:r>
      <w:r w:rsidR="004055DB">
        <w:rPr>
          <w:rFonts w:asciiTheme="majorBidi" w:hAnsiTheme="majorBidi" w:cstheme="majorBidi"/>
          <w:sz w:val="28"/>
          <w:szCs w:val="28"/>
          <w:lang w:bidi="ar-EG"/>
        </w:rPr>
        <w:t>“</w:t>
      </w:r>
      <w:r w:rsidR="004055DB" w:rsidRPr="004055DB">
        <w:rPr>
          <w:rFonts w:asciiTheme="majorBidi" w:hAnsiTheme="majorBidi" w:cstheme="majorBidi"/>
          <w:sz w:val="28"/>
          <w:szCs w:val="28"/>
          <w:lang w:bidi="ar-EG"/>
        </w:rPr>
        <w:t>100 million Health campaign</w:t>
      </w:r>
      <w:r w:rsidR="004055DB">
        <w:rPr>
          <w:rFonts w:asciiTheme="majorBidi" w:hAnsiTheme="majorBidi" w:cstheme="majorBidi"/>
          <w:sz w:val="28"/>
          <w:szCs w:val="28"/>
          <w:lang w:bidi="ar-EG"/>
        </w:rPr>
        <w:t>”</w:t>
      </w:r>
      <w:r w:rsidR="00746B07">
        <w:rPr>
          <w:rStyle w:val="FootnoteReference"/>
          <w:rFonts w:asciiTheme="majorBidi" w:hAnsiTheme="majorBidi" w:cstheme="majorBidi"/>
          <w:sz w:val="28"/>
          <w:szCs w:val="28"/>
          <w:lang w:bidi="ar-EG"/>
        </w:rPr>
        <w:footnoteReference w:id="28"/>
      </w:r>
      <w:r w:rsidR="004055DB" w:rsidRPr="004055DB">
        <w:rPr>
          <w:rFonts w:asciiTheme="majorBidi" w:hAnsiTheme="majorBidi" w:cstheme="majorBidi"/>
          <w:sz w:val="28"/>
          <w:szCs w:val="28"/>
          <w:lang w:bidi="ar-EG"/>
        </w:rPr>
        <w:t>.</w:t>
      </w:r>
      <w:r w:rsidRPr="0051677C">
        <w:rPr>
          <w:rFonts w:asciiTheme="majorBidi" w:hAnsiTheme="majorBidi" w:cstheme="majorBidi"/>
          <w:sz w:val="28"/>
          <w:szCs w:val="28"/>
          <w:lang w:bidi="ar-EG"/>
        </w:rPr>
        <w:t xml:space="preserve"> However, the number of refugee children in Egypt who are not registered with UNHCR is three times greater than those registered with it, which means that they do not have the right to enroll in Egyptian government schools and enjoy educational services like Egyptians</w:t>
      </w:r>
      <w:r w:rsidR="00746B07">
        <w:rPr>
          <w:rStyle w:val="FootnoteReference"/>
          <w:rFonts w:asciiTheme="majorBidi" w:hAnsiTheme="majorBidi" w:cstheme="majorBidi"/>
          <w:sz w:val="28"/>
          <w:szCs w:val="28"/>
          <w:lang w:bidi="ar-EG"/>
        </w:rPr>
        <w:footnoteReference w:id="29"/>
      </w:r>
      <w:r w:rsidRPr="0051677C">
        <w:rPr>
          <w:rFonts w:asciiTheme="majorBidi" w:hAnsiTheme="majorBidi" w:cstheme="majorBidi"/>
          <w:sz w:val="28"/>
          <w:szCs w:val="28"/>
          <w:lang w:bidi="ar-EG"/>
        </w:rPr>
        <w:t>.</w:t>
      </w:r>
    </w:p>
    <w:p w14:paraId="2127E2E2" w14:textId="19955E30" w:rsidR="0051677C" w:rsidRDefault="0051677C" w:rsidP="0051677C">
      <w:pPr>
        <w:jc w:val="both"/>
        <w:rPr>
          <w:rFonts w:asciiTheme="majorBidi" w:hAnsiTheme="majorBidi" w:cstheme="majorBidi"/>
          <w:sz w:val="28"/>
          <w:szCs w:val="28"/>
          <w:lang w:bidi="ar-EG"/>
        </w:rPr>
      </w:pPr>
      <w:r w:rsidRPr="0051677C">
        <w:rPr>
          <w:rFonts w:asciiTheme="majorBidi" w:hAnsiTheme="majorBidi" w:cstheme="majorBidi"/>
          <w:sz w:val="28"/>
          <w:szCs w:val="28"/>
          <w:lang w:bidi="ar-EG"/>
        </w:rPr>
        <w:t xml:space="preserve">Maat reviewed the responses made by Egypt in its response to the list of issues, especially exempting students registered with the Office of the High Commissioner for Refugees and attached to government schools from paying the education costs imposed on foreign students. Students of Syrian, Yemeni, and Sudanese nationalities are treated the same as Egyptian students in public education. In November 2023, the Ministry of Education issued a decision granting refugee students of Syrian </w:t>
      </w:r>
      <w:r w:rsidRPr="0051677C">
        <w:rPr>
          <w:rFonts w:asciiTheme="majorBidi" w:hAnsiTheme="majorBidi" w:cstheme="majorBidi"/>
          <w:sz w:val="28"/>
          <w:szCs w:val="28"/>
          <w:lang w:bidi="ar-EG"/>
        </w:rPr>
        <w:lastRenderedPageBreak/>
        <w:t xml:space="preserve">nationality registered with the United Nations High Commissioner for Refugees in the basic education stages registration in government schools. </w:t>
      </w:r>
      <w:r w:rsidR="004055DB" w:rsidRPr="004055DB">
        <w:rPr>
          <w:rFonts w:asciiTheme="majorBidi" w:hAnsiTheme="majorBidi" w:cstheme="majorBidi"/>
          <w:sz w:val="28"/>
          <w:szCs w:val="28"/>
          <w:lang w:bidi="ar-EG"/>
        </w:rPr>
        <w:t>However, Maat notes that a number of refugee children of other nationalities do not receive education on an equal basis with Egyptian students, which requires the Egyptian government to enter into broad partnerships with international and regional organizations concerned with childhood and the issue of education to coordinate the integration of these children on an equal basis with Egyptian students.</w:t>
      </w:r>
    </w:p>
    <w:p w14:paraId="2CA7F571" w14:textId="646D5601" w:rsidR="004055DB" w:rsidRPr="004055DB" w:rsidRDefault="004055DB" w:rsidP="004055DB">
      <w:pPr>
        <w:pStyle w:val="ListParagraph"/>
        <w:numPr>
          <w:ilvl w:val="0"/>
          <w:numId w:val="29"/>
        </w:numPr>
        <w:rPr>
          <w:rFonts w:asciiTheme="majorBidi" w:hAnsiTheme="majorBidi" w:cstheme="majorBidi"/>
          <w:b/>
          <w:bCs/>
          <w:color w:val="FF0000"/>
          <w:sz w:val="28"/>
          <w:szCs w:val="28"/>
          <w:lang w:bidi="ar-EG"/>
        </w:rPr>
      </w:pPr>
      <w:r w:rsidRPr="004055DB">
        <w:rPr>
          <w:rFonts w:asciiTheme="majorBidi" w:hAnsiTheme="majorBidi" w:cstheme="majorBidi"/>
          <w:b/>
          <w:bCs/>
          <w:color w:val="FF0000"/>
          <w:sz w:val="28"/>
          <w:szCs w:val="28"/>
          <w:lang w:bidi="ar-EG"/>
        </w:rPr>
        <w:t>Education of children (Article 28)</w:t>
      </w:r>
    </w:p>
    <w:p w14:paraId="427FA89F" w14:textId="5680D18A" w:rsidR="004055DB" w:rsidRPr="004055DB" w:rsidRDefault="004055DB" w:rsidP="00BA18D6">
      <w:pPr>
        <w:jc w:val="both"/>
        <w:rPr>
          <w:rFonts w:asciiTheme="majorBidi" w:hAnsiTheme="majorBidi" w:cstheme="majorBidi"/>
          <w:sz w:val="28"/>
          <w:szCs w:val="28"/>
          <w:lang w:bidi="ar-EG"/>
        </w:rPr>
      </w:pPr>
      <w:r w:rsidRPr="004055DB">
        <w:rPr>
          <w:rFonts w:asciiTheme="majorBidi" w:hAnsiTheme="majorBidi" w:cstheme="majorBidi"/>
          <w:sz w:val="28"/>
          <w:szCs w:val="28"/>
          <w:lang w:bidi="ar-EG"/>
        </w:rPr>
        <w:t xml:space="preserve">Maat’s appreciation for the steps contained in the Egyptian State’s report and in response to the list of issues regarding the provision of the right to education, among these steps is improving school infrastructure; </w:t>
      </w:r>
      <w:r w:rsidR="000B6F75">
        <w:rPr>
          <w:rFonts w:asciiTheme="majorBidi" w:hAnsiTheme="majorBidi" w:cstheme="majorBidi"/>
          <w:sz w:val="28"/>
          <w:szCs w:val="28"/>
          <w:lang w:bidi="ar-EG"/>
        </w:rPr>
        <w:t>a</w:t>
      </w:r>
      <w:r w:rsidRPr="004055DB">
        <w:rPr>
          <w:rFonts w:asciiTheme="majorBidi" w:hAnsiTheme="majorBidi" w:cstheme="majorBidi"/>
          <w:sz w:val="28"/>
          <w:szCs w:val="28"/>
          <w:lang w:bidi="ar-EG"/>
        </w:rPr>
        <w:t>nd spending on pre-university education will increase by about 188 billion pounds during the year 2022/2023. The value of supporting the implementation of the comprehensive national strategy for developing pre-university education in Egypt amounts to about $500 million. In addition to supporting teachers, improving their financial and living conditions, and working to provide them with training and raise their efficiency.</w:t>
      </w:r>
    </w:p>
    <w:p w14:paraId="65307631" w14:textId="43DCF1C1" w:rsidR="004055DB" w:rsidRDefault="004055DB" w:rsidP="004055DB">
      <w:pPr>
        <w:jc w:val="both"/>
        <w:rPr>
          <w:rFonts w:asciiTheme="majorBidi" w:hAnsiTheme="majorBidi" w:cstheme="majorBidi"/>
          <w:sz w:val="28"/>
          <w:szCs w:val="28"/>
          <w:lang w:bidi="ar-EG"/>
        </w:rPr>
      </w:pPr>
      <w:r w:rsidRPr="004055DB">
        <w:rPr>
          <w:rFonts w:asciiTheme="majorBidi" w:hAnsiTheme="majorBidi" w:cstheme="majorBidi"/>
          <w:sz w:val="28"/>
          <w:szCs w:val="28"/>
          <w:lang w:bidi="ar-EG"/>
        </w:rPr>
        <w:t xml:space="preserve">However, Maat has concerns about the reliable estimates that were not included in the Egyptian state’s report submitted to the committee, which indicate that there are 68,000 school students who have dropped out of education, as </w:t>
      </w:r>
      <w:r w:rsidR="000B6F75">
        <w:rPr>
          <w:rFonts w:asciiTheme="majorBidi" w:hAnsiTheme="majorBidi" w:cstheme="majorBidi"/>
          <w:sz w:val="28"/>
          <w:szCs w:val="28"/>
          <w:lang w:bidi="ar-EG"/>
        </w:rPr>
        <w:t>t</w:t>
      </w:r>
      <w:r w:rsidR="000B6F75" w:rsidRPr="000B6F75">
        <w:rPr>
          <w:rFonts w:asciiTheme="majorBidi" w:hAnsiTheme="majorBidi" w:cstheme="majorBidi"/>
          <w:sz w:val="28"/>
          <w:szCs w:val="28"/>
          <w:lang w:bidi="ar-EG"/>
        </w:rPr>
        <w:t>he Ministry of Education decided in February 2024 not to expel them from school with the aim of their return, and the Ministry decided to provide incentives to these students to motivate them to return again through financial and in-kind incentives.</w:t>
      </w:r>
      <w:r w:rsidR="000B6F75">
        <w:rPr>
          <w:rFonts w:asciiTheme="majorBidi" w:hAnsiTheme="majorBidi" w:cstheme="majorBidi"/>
          <w:sz w:val="28"/>
          <w:szCs w:val="28"/>
          <w:lang w:bidi="ar-EG"/>
        </w:rPr>
        <w:t xml:space="preserve"> </w:t>
      </w:r>
      <w:r w:rsidRPr="004055DB">
        <w:rPr>
          <w:rFonts w:asciiTheme="majorBidi" w:hAnsiTheme="majorBidi" w:cstheme="majorBidi"/>
          <w:sz w:val="28"/>
          <w:szCs w:val="28"/>
          <w:lang w:bidi="ar-EG"/>
        </w:rPr>
        <w:t>Data indicate that the phenomenon of school dropout in Egypt is on the rise</w:t>
      </w:r>
      <w:r w:rsidR="000B6F75">
        <w:rPr>
          <w:rFonts w:asciiTheme="majorBidi" w:hAnsiTheme="majorBidi" w:cstheme="majorBidi"/>
          <w:sz w:val="28"/>
          <w:szCs w:val="28"/>
          <w:lang w:bidi="ar-EG"/>
        </w:rPr>
        <w:t>, f</w:t>
      </w:r>
      <w:r w:rsidRPr="004055DB">
        <w:rPr>
          <w:rFonts w:asciiTheme="majorBidi" w:hAnsiTheme="majorBidi" w:cstheme="majorBidi"/>
          <w:sz w:val="28"/>
          <w:szCs w:val="28"/>
          <w:lang w:bidi="ar-EG"/>
        </w:rPr>
        <w:t>rom approximately 15 thousand students in 2018-2019, the number of students who dropped out of school reached 68 thousand in the year 2022-2023</w:t>
      </w:r>
      <w:r w:rsidR="00746B07">
        <w:rPr>
          <w:rStyle w:val="FootnoteReference"/>
          <w:rFonts w:asciiTheme="majorBidi" w:hAnsiTheme="majorBidi" w:cstheme="majorBidi"/>
          <w:sz w:val="28"/>
          <w:szCs w:val="28"/>
          <w:lang w:bidi="ar-EG"/>
        </w:rPr>
        <w:footnoteReference w:id="30"/>
      </w:r>
      <w:r w:rsidRPr="004055DB">
        <w:rPr>
          <w:rFonts w:asciiTheme="majorBidi" w:hAnsiTheme="majorBidi" w:cstheme="majorBidi"/>
          <w:sz w:val="28"/>
          <w:szCs w:val="28"/>
          <w:lang w:bidi="ar-EG"/>
        </w:rPr>
        <w:t>. With Maat</w:t>
      </w:r>
      <w:r w:rsidR="000B6F75">
        <w:rPr>
          <w:rFonts w:asciiTheme="majorBidi" w:hAnsiTheme="majorBidi" w:cstheme="majorBidi"/>
          <w:sz w:val="28"/>
          <w:szCs w:val="28"/>
          <w:lang w:bidi="ar-EG"/>
        </w:rPr>
        <w:t xml:space="preserve">’s </w:t>
      </w:r>
      <w:r w:rsidRPr="004055DB">
        <w:rPr>
          <w:rFonts w:asciiTheme="majorBidi" w:hAnsiTheme="majorBidi" w:cstheme="majorBidi"/>
          <w:sz w:val="28"/>
          <w:szCs w:val="28"/>
          <w:lang w:bidi="ar-EG"/>
        </w:rPr>
        <w:t xml:space="preserve">appreciation for what was stated in Egypt’s report on responding to the list of issues, especially improving teachers’ lives and increasing teachers’ allowances to reach about 1.8 </w:t>
      </w:r>
      <w:r w:rsidRPr="004055DB">
        <w:rPr>
          <w:rFonts w:asciiTheme="majorBidi" w:hAnsiTheme="majorBidi" w:cstheme="majorBidi"/>
          <w:sz w:val="28"/>
          <w:szCs w:val="28"/>
          <w:lang w:bidi="ar-EG"/>
        </w:rPr>
        <w:lastRenderedPageBreak/>
        <w:t>billion pounds; However, Maat has concerns regarding the clear shortage in the number of teachers in various specializations in Egyptian schools. According to the head of the teachers’ union before the National Dialogue Education Committee, the teacher shortage has reached 400,000 teachers as of May 2023</w:t>
      </w:r>
      <w:r w:rsidR="00746B07">
        <w:rPr>
          <w:rStyle w:val="FootnoteReference"/>
          <w:rFonts w:asciiTheme="majorBidi" w:hAnsiTheme="majorBidi" w:cstheme="majorBidi"/>
          <w:sz w:val="28"/>
          <w:szCs w:val="28"/>
          <w:lang w:bidi="ar-EG"/>
        </w:rPr>
        <w:footnoteReference w:id="31"/>
      </w:r>
      <w:r w:rsidRPr="004055DB">
        <w:rPr>
          <w:rFonts w:asciiTheme="majorBidi" w:hAnsiTheme="majorBidi" w:cstheme="majorBidi"/>
          <w:sz w:val="28"/>
          <w:szCs w:val="28"/>
          <w:lang w:bidi="ar-EG"/>
        </w:rPr>
        <w:t>. Maat support the outcomes of the National Dialogue Education Committee, especially the involvement of organizations</w:t>
      </w:r>
      <w:r w:rsidR="000B6F75">
        <w:rPr>
          <w:rFonts w:asciiTheme="majorBidi" w:hAnsiTheme="majorBidi" w:cstheme="majorBidi"/>
          <w:sz w:val="28"/>
          <w:szCs w:val="28"/>
          <w:lang w:bidi="ar-EG"/>
        </w:rPr>
        <w:t xml:space="preserve"> of </w:t>
      </w:r>
      <w:r w:rsidRPr="004055DB">
        <w:rPr>
          <w:rFonts w:asciiTheme="majorBidi" w:hAnsiTheme="majorBidi" w:cstheme="majorBidi"/>
          <w:sz w:val="28"/>
          <w:szCs w:val="28"/>
          <w:lang w:bidi="ar-EG"/>
        </w:rPr>
        <w:t>Civil society in contributing to the educational process, and redirecting the resources that the state obtains from education services to priority issues such as appointing teachers with good salaries. These steps would support Egypt’s implementation of Article 28 of the Convention and Articles 13 and 14 of the International Covenant on Economic, Social and Cultural Rights</w:t>
      </w:r>
      <w:r w:rsidR="000B6F75">
        <w:rPr>
          <w:rFonts w:asciiTheme="majorBidi" w:hAnsiTheme="majorBidi" w:cstheme="majorBidi"/>
          <w:sz w:val="28"/>
          <w:szCs w:val="28"/>
          <w:lang w:bidi="ar-EG"/>
        </w:rPr>
        <w:t>, w</w:t>
      </w:r>
      <w:r w:rsidRPr="004055DB">
        <w:rPr>
          <w:rFonts w:asciiTheme="majorBidi" w:hAnsiTheme="majorBidi" w:cstheme="majorBidi"/>
          <w:sz w:val="28"/>
          <w:szCs w:val="28"/>
          <w:lang w:bidi="ar-EG"/>
        </w:rPr>
        <w:t>hich Egypt also ratified, and these steps will enhance the implementation of the fourth goal of the sustainable development goals.</w:t>
      </w:r>
    </w:p>
    <w:p w14:paraId="77078210" w14:textId="7E593CDE" w:rsidR="000B6F75" w:rsidRPr="000B6F75" w:rsidRDefault="000B6F75" w:rsidP="000B6F75">
      <w:pPr>
        <w:pStyle w:val="ListParagraph"/>
        <w:numPr>
          <w:ilvl w:val="0"/>
          <w:numId w:val="29"/>
        </w:numPr>
        <w:rPr>
          <w:rFonts w:asciiTheme="majorBidi" w:hAnsiTheme="majorBidi" w:cstheme="majorBidi"/>
          <w:b/>
          <w:bCs/>
          <w:color w:val="FF0000"/>
          <w:sz w:val="28"/>
          <w:szCs w:val="28"/>
          <w:lang w:bidi="ar-EG"/>
        </w:rPr>
      </w:pPr>
      <w:r w:rsidRPr="000B6F75">
        <w:rPr>
          <w:rFonts w:asciiTheme="majorBidi" w:hAnsiTheme="majorBidi" w:cstheme="majorBidi"/>
          <w:b/>
          <w:bCs/>
          <w:color w:val="FF0000"/>
          <w:sz w:val="28"/>
          <w:szCs w:val="28"/>
          <w:lang w:bidi="ar-EG"/>
        </w:rPr>
        <w:t>Reducing the worst forms of child labor (Article 32)</w:t>
      </w:r>
    </w:p>
    <w:p w14:paraId="7615A5DB" w14:textId="636A1E83" w:rsidR="000B6F75" w:rsidRPr="000B6F75" w:rsidRDefault="000B6F75" w:rsidP="00DB5AB9">
      <w:pPr>
        <w:jc w:val="both"/>
        <w:rPr>
          <w:rFonts w:asciiTheme="majorBidi" w:hAnsiTheme="majorBidi" w:cstheme="majorBidi"/>
          <w:sz w:val="28"/>
          <w:szCs w:val="28"/>
          <w:lang w:bidi="ar-EG"/>
        </w:rPr>
      </w:pPr>
      <w:r w:rsidRPr="000B6F75">
        <w:rPr>
          <w:rFonts w:asciiTheme="majorBidi" w:hAnsiTheme="majorBidi" w:cstheme="majorBidi"/>
          <w:sz w:val="28"/>
          <w:szCs w:val="28"/>
          <w:lang w:bidi="ar-EG"/>
        </w:rPr>
        <w:t>Maat reviewed the measures to protect children from harmful work and reduce the worst forms of child labor, which are the measures included in Egypt’s responses to the list of issues. Among these measures is the adoption by the Ministry of Labor, in cooperation with the National Council for Motherhood and Childhood, of the “National Plan to Combat the Worst Forms of Child Labor 2018-2025</w:t>
      </w:r>
      <w:r w:rsidR="00DB5AB9">
        <w:rPr>
          <w:rFonts w:asciiTheme="majorBidi" w:hAnsiTheme="majorBidi" w:cstheme="majorBidi"/>
          <w:sz w:val="28"/>
          <w:szCs w:val="28"/>
          <w:lang w:bidi="ar-EG"/>
        </w:rPr>
        <w:t>”</w:t>
      </w:r>
      <w:r w:rsidRPr="000B6F75">
        <w:rPr>
          <w:rFonts w:asciiTheme="majorBidi" w:hAnsiTheme="majorBidi" w:cstheme="majorBidi"/>
          <w:sz w:val="28"/>
          <w:szCs w:val="28"/>
          <w:lang w:bidi="ar-EG"/>
        </w:rPr>
        <w:t xml:space="preserve">, which aims to eliminate child labor by 2025. The Ministry of Labor continues to implement sudden inspection campaigns on establishments in which children work. </w:t>
      </w:r>
      <w:r w:rsidR="00DB5AB9" w:rsidRPr="00DB5AB9">
        <w:rPr>
          <w:rFonts w:asciiTheme="majorBidi" w:hAnsiTheme="majorBidi" w:cstheme="majorBidi"/>
          <w:sz w:val="28"/>
          <w:szCs w:val="28"/>
          <w:lang w:bidi="ar-EG"/>
        </w:rPr>
        <w:t>In a related context, Maat notes that the Egyptian government has ratified most of the international agreements related to combating the worst forms of child labor, including the basic conventions of the International Labor Organization, the 1989 Convention on the Rights of the Child, and the two protocols thereto.</w:t>
      </w:r>
    </w:p>
    <w:p w14:paraId="3788C11D" w14:textId="7FB727A8" w:rsidR="000B6F75" w:rsidRPr="000B6F75" w:rsidRDefault="000B6F75" w:rsidP="00DB5AB9">
      <w:pPr>
        <w:jc w:val="both"/>
        <w:rPr>
          <w:rFonts w:asciiTheme="majorBidi" w:hAnsiTheme="majorBidi" w:cstheme="majorBidi"/>
          <w:sz w:val="28"/>
          <w:szCs w:val="28"/>
          <w:lang w:bidi="ar-EG"/>
        </w:rPr>
      </w:pPr>
      <w:r w:rsidRPr="000B6F75">
        <w:rPr>
          <w:rFonts w:asciiTheme="majorBidi" w:hAnsiTheme="majorBidi" w:cstheme="majorBidi"/>
          <w:sz w:val="28"/>
          <w:szCs w:val="28"/>
          <w:lang w:bidi="ar-EG"/>
        </w:rPr>
        <w:t xml:space="preserve">The Egyptian Constitution also guarantees care and protection for children. Article 80 of the 2014 Constitution, amended in 2019, stipulates that </w:t>
      </w:r>
      <w:r w:rsidR="00DB5AB9" w:rsidRPr="00DB5AB9">
        <w:rPr>
          <w:rFonts w:asciiTheme="majorBidi" w:hAnsiTheme="majorBidi" w:cstheme="majorBidi"/>
          <w:sz w:val="28"/>
          <w:szCs w:val="28"/>
          <w:lang w:bidi="ar-EG"/>
        </w:rPr>
        <w:t>“The state is committed to caring for the child and protecting him from all forms of violence, abuse, ill-</w:t>
      </w:r>
      <w:r w:rsidR="00DB5AB9" w:rsidRPr="00DB5AB9">
        <w:rPr>
          <w:rFonts w:asciiTheme="majorBidi" w:hAnsiTheme="majorBidi" w:cstheme="majorBidi"/>
          <w:sz w:val="28"/>
          <w:szCs w:val="28"/>
          <w:lang w:bidi="ar-EG"/>
        </w:rPr>
        <w:lastRenderedPageBreak/>
        <w:t>treatment, and sexual and commercial exploitation. Every child has the right to early education in a childhood center until the age of six</w:t>
      </w:r>
      <w:r w:rsidR="00DB5AB9">
        <w:rPr>
          <w:rFonts w:asciiTheme="majorBidi" w:hAnsiTheme="majorBidi" w:cstheme="majorBidi"/>
          <w:sz w:val="28"/>
          <w:szCs w:val="28"/>
          <w:lang w:bidi="ar-EG"/>
        </w:rPr>
        <w:t>, ana it</w:t>
      </w:r>
      <w:r w:rsidR="00DB5AB9" w:rsidRPr="00DB5AB9">
        <w:rPr>
          <w:rFonts w:asciiTheme="majorBidi" w:hAnsiTheme="majorBidi" w:cstheme="majorBidi"/>
          <w:sz w:val="28"/>
          <w:szCs w:val="28"/>
          <w:lang w:bidi="ar-EG"/>
        </w:rPr>
        <w:t xml:space="preserve"> is prohibited to employ children before they reach the age of completing basic education, and it is also prohibited for children to work in work that exposes them to danger.”</w:t>
      </w:r>
    </w:p>
    <w:p w14:paraId="1465476F" w14:textId="6EFABD23" w:rsidR="000B6F75" w:rsidRPr="000B6F75" w:rsidRDefault="000B6F75" w:rsidP="00DB5AB9">
      <w:pPr>
        <w:jc w:val="both"/>
        <w:rPr>
          <w:rFonts w:asciiTheme="majorBidi" w:hAnsiTheme="majorBidi" w:cstheme="majorBidi"/>
          <w:sz w:val="28"/>
          <w:szCs w:val="28"/>
          <w:lang w:bidi="ar-EG"/>
        </w:rPr>
      </w:pPr>
      <w:r w:rsidRPr="000B6F75">
        <w:rPr>
          <w:rFonts w:asciiTheme="majorBidi" w:hAnsiTheme="majorBidi" w:cstheme="majorBidi"/>
          <w:sz w:val="28"/>
          <w:szCs w:val="28"/>
          <w:lang w:bidi="ar-EG"/>
        </w:rPr>
        <w:t xml:space="preserve">The current Egyptian Child Law, in Article 64 of the provisions of the law, also prohibits children from working before they reach the age of 15 years, while it is also prohibited to train them before they reach the age of 13 years. </w:t>
      </w:r>
      <w:r w:rsidR="00DB5AB9" w:rsidRPr="00DB5AB9">
        <w:rPr>
          <w:rFonts w:asciiTheme="majorBidi" w:hAnsiTheme="majorBidi" w:cstheme="majorBidi"/>
          <w:sz w:val="28"/>
          <w:szCs w:val="28"/>
          <w:lang w:bidi="ar-EG"/>
        </w:rPr>
        <w:t>However, the law includes an exception to the provision of this article, as it is permissible by a decision of the governor, after approval from the Minister of Education, to license the employment of children between the ages of 12 and 14 years, in seasonal work that does not harm their health or development and does not prejudice the continuation of their educational attainment.</w:t>
      </w:r>
    </w:p>
    <w:p w14:paraId="0C723542" w14:textId="6E64D19C" w:rsidR="000B6F75" w:rsidRPr="000B6F75" w:rsidRDefault="000B6F75" w:rsidP="00DB5AB9">
      <w:pPr>
        <w:jc w:val="both"/>
        <w:rPr>
          <w:rFonts w:asciiTheme="majorBidi" w:hAnsiTheme="majorBidi" w:cstheme="majorBidi"/>
          <w:sz w:val="28"/>
          <w:szCs w:val="28"/>
          <w:lang w:bidi="ar-EG"/>
        </w:rPr>
      </w:pPr>
      <w:r w:rsidRPr="000B6F75">
        <w:rPr>
          <w:rFonts w:asciiTheme="majorBidi" w:hAnsiTheme="majorBidi" w:cstheme="majorBidi"/>
          <w:sz w:val="28"/>
          <w:szCs w:val="28"/>
          <w:lang w:bidi="ar-EG"/>
        </w:rPr>
        <w:t xml:space="preserve">As for Article 65 of the provisions of the Children’s Law, it prohibits the employment of children in any work that, by its nature or the circumstances of its performance, could endanger the child’s health, safety, or morals. </w:t>
      </w:r>
      <w:r w:rsidR="00DB5AB9" w:rsidRPr="00DB5AB9">
        <w:rPr>
          <w:rFonts w:asciiTheme="majorBidi" w:hAnsiTheme="majorBidi" w:cstheme="majorBidi"/>
          <w:sz w:val="28"/>
          <w:szCs w:val="28"/>
          <w:lang w:bidi="ar-EG"/>
        </w:rPr>
        <w:t>It is prohibited, in accordance with the same article, in particular, to employ any child in the worst forms of child labor stipulated in International Labor Organization Convention No. 182 of 1999.</w:t>
      </w:r>
    </w:p>
    <w:p w14:paraId="193722BC" w14:textId="4D333010" w:rsidR="000B6F75" w:rsidRDefault="000B6F75" w:rsidP="00DB5AB9">
      <w:pPr>
        <w:jc w:val="both"/>
        <w:rPr>
          <w:rFonts w:asciiTheme="majorBidi" w:hAnsiTheme="majorBidi" w:cstheme="majorBidi"/>
          <w:sz w:val="28"/>
          <w:szCs w:val="28"/>
          <w:lang w:bidi="ar-EG"/>
        </w:rPr>
      </w:pPr>
      <w:r w:rsidRPr="000B6F75">
        <w:rPr>
          <w:rFonts w:asciiTheme="majorBidi" w:hAnsiTheme="majorBidi" w:cstheme="majorBidi"/>
          <w:sz w:val="28"/>
          <w:szCs w:val="28"/>
          <w:lang w:bidi="ar-EG"/>
        </w:rPr>
        <w:t xml:space="preserve">The new draft labor law, which is currently being discussed in the House of Representatives, also includes a ban on children working before they reach the age of 15, with the possibility of training them at the age of 14, in a way that does not restrict their access to education. </w:t>
      </w:r>
      <w:r w:rsidR="00434DDB" w:rsidRPr="00434DDB">
        <w:rPr>
          <w:rFonts w:asciiTheme="majorBidi" w:hAnsiTheme="majorBidi" w:cstheme="majorBidi"/>
          <w:sz w:val="28"/>
          <w:szCs w:val="28"/>
          <w:lang w:bidi="ar-EG"/>
        </w:rPr>
        <w:t>In June 2022, the Ministry of Labor updated the list of hazardous jobs and professions that children are prohibited from joining before they reach 18 years of age</w:t>
      </w:r>
      <w:r w:rsidR="009E58FE">
        <w:rPr>
          <w:rStyle w:val="FootnoteReference"/>
          <w:rFonts w:asciiTheme="majorBidi" w:hAnsiTheme="majorBidi" w:cstheme="majorBidi"/>
          <w:sz w:val="28"/>
          <w:szCs w:val="28"/>
          <w:lang w:bidi="ar-EG"/>
        </w:rPr>
        <w:footnoteReference w:id="32"/>
      </w:r>
      <w:r w:rsidR="00434DDB" w:rsidRPr="00434DDB">
        <w:rPr>
          <w:rFonts w:asciiTheme="majorBidi" w:hAnsiTheme="majorBidi" w:cstheme="majorBidi"/>
          <w:sz w:val="28"/>
          <w:szCs w:val="28"/>
          <w:lang w:bidi="ar-EG"/>
        </w:rPr>
        <w:t>. Despite the rich legislative framework for confronting child labor, the government has not seriously implemented these laws, and programs aimed at confronting child labor remain insufficient given the scale of the problem.</w:t>
      </w:r>
    </w:p>
    <w:p w14:paraId="148E5CD2" w14:textId="4BA0BC6B" w:rsidR="00434DDB" w:rsidRPr="00434DDB" w:rsidRDefault="00434DDB" w:rsidP="00434DDB">
      <w:pPr>
        <w:jc w:val="both"/>
        <w:rPr>
          <w:rFonts w:asciiTheme="majorBidi" w:hAnsiTheme="majorBidi" w:cstheme="majorBidi"/>
          <w:sz w:val="28"/>
          <w:szCs w:val="28"/>
          <w:lang w:bidi="ar-EG"/>
        </w:rPr>
      </w:pPr>
      <w:r w:rsidRPr="00434DDB">
        <w:rPr>
          <w:rFonts w:asciiTheme="majorBidi" w:hAnsiTheme="majorBidi" w:cstheme="majorBidi"/>
          <w:sz w:val="28"/>
          <w:szCs w:val="28"/>
          <w:lang w:bidi="ar-EG"/>
        </w:rPr>
        <w:lastRenderedPageBreak/>
        <w:t>Maat notes positively that law enforcement forces, represented by the Ministry of Interior, continue to confront the phenomenon of the worst forms of child labor by launching campaigns to combat child exploitation and opening investigations into forced begging of children, which amounts to their trafficking. However, Maat believes</w:t>
      </w:r>
      <w:r>
        <w:rPr>
          <w:rFonts w:asciiTheme="majorBidi" w:hAnsiTheme="majorBidi" w:cstheme="majorBidi"/>
          <w:sz w:val="28"/>
          <w:szCs w:val="28"/>
          <w:lang w:bidi="ar-EG"/>
        </w:rPr>
        <w:t xml:space="preserve"> that </w:t>
      </w:r>
      <w:r w:rsidRPr="00434DDB">
        <w:rPr>
          <w:rFonts w:asciiTheme="majorBidi" w:hAnsiTheme="majorBidi" w:cstheme="majorBidi"/>
          <w:sz w:val="28"/>
          <w:szCs w:val="28"/>
          <w:lang w:bidi="ar-EG"/>
        </w:rPr>
        <w:t>there are other indicators that call for concern regarding the elimination of the worst forms of child labor, as the labor force offices still lack sufficient human power and financial resources to perform their roles, which are assigned to them in accordance with Article 137 of the executive regulations of the Children’s Law No. 12 of 1996, as amended</w:t>
      </w:r>
      <w:r>
        <w:rPr>
          <w:rFonts w:asciiTheme="majorBidi" w:hAnsiTheme="majorBidi" w:cstheme="majorBidi"/>
          <w:sz w:val="28"/>
          <w:szCs w:val="28"/>
          <w:lang w:bidi="ar-EG"/>
        </w:rPr>
        <w:t xml:space="preserve"> b</w:t>
      </w:r>
      <w:r w:rsidRPr="00434DDB">
        <w:rPr>
          <w:rFonts w:asciiTheme="majorBidi" w:hAnsiTheme="majorBidi" w:cstheme="majorBidi"/>
          <w:sz w:val="28"/>
          <w:szCs w:val="28"/>
          <w:lang w:bidi="ar-EG"/>
        </w:rPr>
        <w:t>y Law No. 126 of 2008, permanent monitoring is carried out on the employer to ensure that he is committed to employing children with the provisions of the law and regulations, specifically the provisions related to the specified working hours, the employer’s good treatment of children, and not causing physical and psychological harm to the children working for him. However, in most cases, labor force offices do not fulfill these roles. The weakness of labor force offices results in the absence of any strong labor inspection systems because inspection rarely reaches the areas of workers in the informal economy where the majority of children work.</w:t>
      </w:r>
    </w:p>
    <w:p w14:paraId="348BAE9E" w14:textId="6105C039" w:rsidR="00434DDB" w:rsidRPr="00434DDB" w:rsidRDefault="00434DDB" w:rsidP="00434DDB">
      <w:pPr>
        <w:jc w:val="both"/>
        <w:rPr>
          <w:rFonts w:asciiTheme="majorBidi" w:hAnsiTheme="majorBidi" w:cstheme="majorBidi"/>
          <w:sz w:val="28"/>
          <w:szCs w:val="28"/>
          <w:lang w:bidi="ar-EG"/>
        </w:rPr>
      </w:pPr>
      <w:r w:rsidRPr="00434DDB">
        <w:rPr>
          <w:rFonts w:asciiTheme="majorBidi" w:hAnsiTheme="majorBidi" w:cstheme="majorBidi"/>
          <w:sz w:val="28"/>
          <w:szCs w:val="28"/>
          <w:lang w:bidi="ar-EG"/>
        </w:rPr>
        <w:t>While Maat praises the steps aimed at appointing a larger number of inspectors to bridge the gap between the current number of inspectors and the expected number and quality of the workforce, but the government is still unable to implement the technical recommendation of the International Labor Organization stating the necessity of having one inspector for every 15,000 workers in developing economies, and accordingly Egypt is required to work to employ another number of labor inspectors</w:t>
      </w:r>
      <w:r w:rsidR="009E58FE">
        <w:rPr>
          <w:rStyle w:val="FootnoteReference"/>
          <w:rFonts w:asciiTheme="majorBidi" w:hAnsiTheme="majorBidi" w:cstheme="majorBidi"/>
          <w:sz w:val="28"/>
          <w:szCs w:val="28"/>
          <w:lang w:bidi="ar-EG"/>
        </w:rPr>
        <w:footnoteReference w:id="33"/>
      </w:r>
      <w:r w:rsidRPr="00434DDB">
        <w:rPr>
          <w:rFonts w:asciiTheme="majorBidi" w:hAnsiTheme="majorBidi" w:cstheme="majorBidi"/>
          <w:sz w:val="28"/>
          <w:szCs w:val="28"/>
          <w:lang w:bidi="ar-EG"/>
        </w:rPr>
        <w:t>.</w:t>
      </w:r>
    </w:p>
    <w:p w14:paraId="14E61753" w14:textId="1BA5FA27" w:rsidR="00434DDB" w:rsidRDefault="00434DDB" w:rsidP="00434DDB">
      <w:pPr>
        <w:jc w:val="both"/>
        <w:rPr>
          <w:rFonts w:asciiTheme="majorBidi" w:hAnsiTheme="majorBidi" w:cstheme="majorBidi"/>
          <w:sz w:val="28"/>
          <w:szCs w:val="28"/>
          <w:lang w:bidi="ar-EG"/>
        </w:rPr>
      </w:pPr>
      <w:r w:rsidRPr="00434DDB">
        <w:rPr>
          <w:rFonts w:asciiTheme="majorBidi" w:hAnsiTheme="majorBidi" w:cstheme="majorBidi"/>
          <w:sz w:val="28"/>
          <w:szCs w:val="28"/>
          <w:lang w:bidi="ar-EG"/>
        </w:rPr>
        <w:t xml:space="preserve">Regarding statistics on the worst forms of child labor, Maat noted that the last child labor survey in Egypt, conducted by the Central Agency for Public Mobilization and Statistics and the International Program on the Elimination of Child Labor, was in 2010, and its results were published in 2012 and concluded that about 1.6 million </w:t>
      </w:r>
      <w:r w:rsidRPr="00434DDB">
        <w:rPr>
          <w:rFonts w:asciiTheme="majorBidi" w:hAnsiTheme="majorBidi" w:cstheme="majorBidi"/>
          <w:sz w:val="28"/>
          <w:szCs w:val="28"/>
          <w:lang w:bidi="ar-EG"/>
        </w:rPr>
        <w:lastRenderedPageBreak/>
        <w:t xml:space="preserve">children between the ages of 12 and 17 years old to work in Egypt. The majority of child labor is concentrated in the agricultural sector at about 63.5%, while the manufacturing sector accounts for 18.9%, while the services sector employs approximately 17% of children. According to the population survey conducted by the Egyptian Family Health Society for the year 2021, 1.3 million children are involved in child labor, but Maat believes that the numbers are much higher due to the statistics not including children working in the informal economy. These statistics also do not include street children and homeless children. </w:t>
      </w:r>
      <w:r w:rsidR="00484A19" w:rsidRPr="00484A19">
        <w:rPr>
          <w:rFonts w:asciiTheme="majorBidi" w:hAnsiTheme="majorBidi" w:cstheme="majorBidi"/>
          <w:sz w:val="28"/>
          <w:szCs w:val="28"/>
          <w:lang w:bidi="ar-EG"/>
        </w:rPr>
        <w:t>In general, Maat believes that data on child labor still needs to be updated, as it is not possible to evaluate the phenomenon in light of very old data, especially since the number of children in Egypt has currently reached 41 million children, the highest rate of children in the Arab region. The involvement of children in the worst forms of labor contravenes Article 32 of the Convention and Target 7 of Goal 8 of the Sustainable Development Goals.</w:t>
      </w:r>
    </w:p>
    <w:p w14:paraId="67115878" w14:textId="0E447122" w:rsidR="00484A19" w:rsidRDefault="00484A19" w:rsidP="00434DDB">
      <w:pPr>
        <w:jc w:val="both"/>
        <w:rPr>
          <w:rFonts w:asciiTheme="majorBidi" w:hAnsiTheme="majorBidi" w:cstheme="majorBidi"/>
          <w:sz w:val="28"/>
          <w:szCs w:val="28"/>
          <w:lang w:bidi="ar-EG"/>
        </w:rPr>
      </w:pPr>
      <w:r w:rsidRPr="00484A19">
        <w:rPr>
          <w:rFonts w:asciiTheme="majorBidi" w:hAnsiTheme="majorBidi" w:cstheme="majorBidi"/>
          <w:sz w:val="28"/>
          <w:szCs w:val="28"/>
          <w:lang w:bidi="ar-EG"/>
        </w:rPr>
        <w:t>In a related context, Maat noted the sub-objectives included in the Strategic Framework for Childhood and Motherhood 2018-2030, which are to create an annual database for child labor in order to determine the extent of the child labor problem. However, the steps aimed at establishing this database are incomplete, and despite the statements that Government officials stated that there is a national survey on child labor on the horizon, but the agencies entrusted with implementing this goal, which were identified by the national plan in the Central Agency for Public Mobilization and Statistics and the Ministry of Manpower (currently the Ministry of Labor), have not begun to create the database. In June 2022, the Minister of Manpower said that a draft of the National Child Labor Survey had been completed, in cooperation with the Central Agency for Public Mobilization and Statistics and the International Labor Organization team, which will provide with a real database that reflects the current situation of the child labor issue in Egypt. However, this survey has not been published. There is sufficient information available on progress to conclude.</w:t>
      </w:r>
    </w:p>
    <w:p w14:paraId="16BED76E" w14:textId="4E91FFD2" w:rsidR="00484A19" w:rsidRPr="00484A19" w:rsidRDefault="00484A19" w:rsidP="00484A19">
      <w:pPr>
        <w:pStyle w:val="ListParagraph"/>
        <w:numPr>
          <w:ilvl w:val="0"/>
          <w:numId w:val="29"/>
        </w:numPr>
        <w:jc w:val="both"/>
        <w:rPr>
          <w:rFonts w:asciiTheme="majorBidi" w:hAnsiTheme="majorBidi" w:cstheme="majorBidi"/>
          <w:b/>
          <w:bCs/>
          <w:color w:val="FF0000"/>
          <w:sz w:val="28"/>
          <w:szCs w:val="28"/>
          <w:lang w:bidi="ar-EG"/>
        </w:rPr>
      </w:pPr>
      <w:r w:rsidRPr="00484A19">
        <w:rPr>
          <w:rFonts w:asciiTheme="majorBidi" w:hAnsiTheme="majorBidi" w:cstheme="majorBidi"/>
          <w:b/>
          <w:bCs/>
          <w:color w:val="FF0000"/>
          <w:sz w:val="28"/>
          <w:szCs w:val="28"/>
          <w:lang w:bidi="ar-EG"/>
        </w:rPr>
        <w:t>Protection of children from exploitation (Article 36)</w:t>
      </w:r>
    </w:p>
    <w:p w14:paraId="325B47BE" w14:textId="086C8B7E" w:rsidR="00484A19" w:rsidRPr="00484A19" w:rsidRDefault="00484A19" w:rsidP="00484A19">
      <w:pPr>
        <w:jc w:val="both"/>
        <w:rPr>
          <w:rFonts w:asciiTheme="majorBidi" w:hAnsiTheme="majorBidi" w:cstheme="majorBidi"/>
          <w:sz w:val="28"/>
          <w:szCs w:val="28"/>
          <w:lang w:bidi="ar-EG"/>
        </w:rPr>
      </w:pPr>
      <w:r w:rsidRPr="00484A19">
        <w:rPr>
          <w:rFonts w:asciiTheme="majorBidi" w:hAnsiTheme="majorBidi" w:cstheme="majorBidi"/>
          <w:sz w:val="28"/>
          <w:szCs w:val="28"/>
          <w:lang w:bidi="ar-EG"/>
        </w:rPr>
        <w:lastRenderedPageBreak/>
        <w:t xml:space="preserve">Article 36 of the Convention grants protection to children from all forms of exploitation, even if they are not mentioned in the Convention. In this context, Maat noted that the Egyptian Constitution stipulated the protection of children from all forms of exploitation. </w:t>
      </w:r>
      <w:r w:rsidR="008823E1" w:rsidRPr="008823E1">
        <w:rPr>
          <w:rFonts w:asciiTheme="majorBidi" w:hAnsiTheme="majorBidi" w:cstheme="majorBidi"/>
          <w:sz w:val="28"/>
          <w:szCs w:val="28"/>
          <w:lang w:bidi="ar-EG"/>
        </w:rPr>
        <w:t>However, Maat noted the lack of legal protection in cases of some social media bloggers exploiting their children who are not older than ten years old in order to earn more money. Maat noted that most cases referred to the Public Prosecution often end with pledges from these bloggers not to exploit children for profit.</w:t>
      </w:r>
    </w:p>
    <w:p w14:paraId="72DC0103" w14:textId="5ECC05A4" w:rsidR="00484A19" w:rsidRPr="00484A19" w:rsidRDefault="00484A19" w:rsidP="00484A19">
      <w:pPr>
        <w:jc w:val="both"/>
        <w:rPr>
          <w:rFonts w:asciiTheme="majorBidi" w:hAnsiTheme="majorBidi" w:cstheme="majorBidi"/>
          <w:sz w:val="28"/>
          <w:szCs w:val="28"/>
          <w:lang w:bidi="ar-EG"/>
        </w:rPr>
      </w:pPr>
      <w:r w:rsidRPr="00484A19">
        <w:rPr>
          <w:rFonts w:asciiTheme="majorBidi" w:hAnsiTheme="majorBidi" w:cstheme="majorBidi"/>
          <w:sz w:val="28"/>
          <w:szCs w:val="28"/>
          <w:lang w:bidi="ar-EG"/>
        </w:rPr>
        <w:t xml:space="preserve">In May 2023, the National Council for Childhood and Motherhood referred a blogger and head of a family who went out on social media and exploited her children. The Public Prosecution charged the mother who owned the channel with committing human trafficking crimes by exploiting her children, by showing them in a video broadcast and publishing it on her accounts with the aim of obtaining financial profit and exposing them to danger. </w:t>
      </w:r>
      <w:r w:rsidR="008823E1" w:rsidRPr="008823E1">
        <w:rPr>
          <w:rFonts w:asciiTheme="majorBidi" w:hAnsiTheme="majorBidi" w:cstheme="majorBidi"/>
          <w:sz w:val="28"/>
          <w:szCs w:val="28"/>
          <w:lang w:bidi="ar-EG"/>
        </w:rPr>
        <w:t>However, the Public Prosecution quickly released these bloggers after pledges not to repeat themselves or pledges to treat their children well</w:t>
      </w:r>
      <w:r w:rsidR="009E58FE">
        <w:rPr>
          <w:rStyle w:val="FootnoteReference"/>
          <w:rFonts w:asciiTheme="majorBidi" w:hAnsiTheme="majorBidi" w:cstheme="majorBidi"/>
          <w:sz w:val="28"/>
          <w:szCs w:val="28"/>
          <w:lang w:bidi="ar-EG"/>
        </w:rPr>
        <w:footnoteReference w:id="34"/>
      </w:r>
      <w:r w:rsidR="008823E1" w:rsidRPr="008823E1">
        <w:rPr>
          <w:rFonts w:asciiTheme="majorBidi" w:hAnsiTheme="majorBidi" w:cstheme="majorBidi"/>
          <w:sz w:val="28"/>
          <w:szCs w:val="28"/>
          <w:lang w:bidi="ar-EG"/>
        </w:rPr>
        <w:t>.</w:t>
      </w:r>
    </w:p>
    <w:p w14:paraId="1D5F80AB" w14:textId="61DCEB83" w:rsidR="00484A19" w:rsidRDefault="00484A19" w:rsidP="00484A19">
      <w:pPr>
        <w:jc w:val="both"/>
        <w:rPr>
          <w:rFonts w:asciiTheme="majorBidi" w:hAnsiTheme="majorBidi" w:cstheme="majorBidi"/>
          <w:sz w:val="28"/>
          <w:szCs w:val="28"/>
          <w:lang w:bidi="ar-EG"/>
        </w:rPr>
      </w:pPr>
      <w:r w:rsidRPr="00484A19">
        <w:rPr>
          <w:rFonts w:asciiTheme="majorBidi" w:hAnsiTheme="majorBidi" w:cstheme="majorBidi"/>
          <w:sz w:val="28"/>
          <w:szCs w:val="28"/>
          <w:lang w:bidi="ar-EG"/>
        </w:rPr>
        <w:t xml:space="preserve">In the context of confronting the phenomenon of begging, Maat noted that Law No. 29 of 1993 regarding confronting begging establishes a penalty for exploiting children in begging, and the penalty is life imprisonment if that exploitation results in death, permanent disability or illness, or if the perpetrator is someone who has authority over the child, </w:t>
      </w:r>
      <w:r w:rsidR="00F871C7">
        <w:rPr>
          <w:rFonts w:asciiTheme="majorBidi" w:hAnsiTheme="majorBidi" w:cstheme="majorBidi"/>
          <w:sz w:val="28"/>
          <w:szCs w:val="28"/>
          <w:lang w:bidi="ar-EG"/>
        </w:rPr>
        <w:t>t</w:t>
      </w:r>
      <w:r w:rsidR="00F871C7" w:rsidRPr="00F871C7">
        <w:rPr>
          <w:rFonts w:asciiTheme="majorBidi" w:hAnsiTheme="majorBidi" w:cstheme="majorBidi"/>
          <w:sz w:val="28"/>
          <w:szCs w:val="28"/>
          <w:lang w:bidi="ar-EG"/>
        </w:rPr>
        <w:t>his penalty, contained in Article Three of the law, came to prevent the exploitation of children in begging.</w:t>
      </w:r>
      <w:r w:rsidR="00F871C7">
        <w:rPr>
          <w:rFonts w:asciiTheme="majorBidi" w:hAnsiTheme="majorBidi" w:cstheme="majorBidi"/>
          <w:sz w:val="28"/>
          <w:szCs w:val="28"/>
          <w:lang w:bidi="ar-EG"/>
        </w:rPr>
        <w:t xml:space="preserve"> </w:t>
      </w:r>
      <w:r w:rsidRPr="00484A19">
        <w:rPr>
          <w:rFonts w:asciiTheme="majorBidi" w:hAnsiTheme="majorBidi" w:cstheme="majorBidi"/>
          <w:sz w:val="28"/>
          <w:szCs w:val="28"/>
          <w:lang w:bidi="ar-EG"/>
        </w:rPr>
        <w:t>However, Maat has concerns about the lack of radical solutions to confront the phenomenon of child begging. The Ministry of Social Solidarity still records hundreds of cases annually. According to data from the Ministry of Solidarity, from October 2020 to January 2021, 1,690 cases of begging were detected, including 870 children, which represents more than 51% of the number of cases</w:t>
      </w:r>
      <w:r w:rsidR="009E58FE">
        <w:rPr>
          <w:rStyle w:val="FootnoteReference"/>
          <w:rFonts w:asciiTheme="majorBidi" w:hAnsiTheme="majorBidi" w:cstheme="majorBidi"/>
          <w:sz w:val="28"/>
          <w:szCs w:val="28"/>
          <w:lang w:bidi="ar-EG"/>
        </w:rPr>
        <w:footnoteReference w:id="35"/>
      </w:r>
      <w:r w:rsidRPr="00484A19">
        <w:rPr>
          <w:rFonts w:asciiTheme="majorBidi" w:hAnsiTheme="majorBidi" w:cstheme="majorBidi"/>
          <w:sz w:val="28"/>
          <w:szCs w:val="28"/>
          <w:lang w:bidi="ar-EG"/>
        </w:rPr>
        <w:t xml:space="preserve">. Some children are forced to respond to some human </w:t>
      </w:r>
      <w:r w:rsidRPr="00484A19">
        <w:rPr>
          <w:rFonts w:asciiTheme="majorBidi" w:hAnsiTheme="majorBidi" w:cstheme="majorBidi"/>
          <w:sz w:val="28"/>
          <w:szCs w:val="28"/>
          <w:lang w:bidi="ar-EG"/>
        </w:rPr>
        <w:lastRenderedPageBreak/>
        <w:t>trafficking gangs to beg in the streets of Greater Cairo. According to data from the Ministry of Solidarity, a beggar’s income is one thousand pounds per day, which means that without providing lucrative alternatives, reducing children’s begging will be limited.</w:t>
      </w:r>
    </w:p>
    <w:p w14:paraId="6D27D8CA" w14:textId="58AE7D8D" w:rsidR="00F871C7" w:rsidRPr="00F871C7" w:rsidRDefault="00F871C7" w:rsidP="00F871C7">
      <w:pPr>
        <w:shd w:val="clear" w:color="auto" w:fill="DEEAF6" w:themeFill="accent1" w:themeFillTint="33"/>
        <w:jc w:val="both"/>
        <w:rPr>
          <w:rFonts w:asciiTheme="majorBidi" w:hAnsiTheme="majorBidi" w:cstheme="majorBidi"/>
          <w:b/>
          <w:bCs/>
          <w:sz w:val="28"/>
          <w:szCs w:val="28"/>
          <w:lang w:bidi="ar-EG"/>
        </w:rPr>
      </w:pPr>
      <w:r w:rsidRPr="00F871C7">
        <w:rPr>
          <w:rFonts w:asciiTheme="majorBidi" w:hAnsiTheme="majorBidi" w:cstheme="majorBidi"/>
          <w:b/>
          <w:bCs/>
          <w:sz w:val="28"/>
          <w:szCs w:val="28"/>
          <w:lang w:bidi="ar-EG"/>
        </w:rPr>
        <w:t>Maat for Peace, Development and Human Rights recommends:</w:t>
      </w:r>
    </w:p>
    <w:p w14:paraId="2CB4A576"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Urging the National Council for Childhood and Motherhood to increase coordination with other stakeholders, including government institutions, civil society organizations, and the private sector, to promote children’s rights;</w:t>
      </w:r>
    </w:p>
    <w:p w14:paraId="293C5EE2"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Consider providing civil society organizations with the opportunity to participate in the educational process, especially in the areas most in need, under the conditions set by the state;</w:t>
      </w:r>
    </w:p>
    <w:p w14:paraId="0C10D4BA"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Redirecting the amounts collected by the state from education services to urgent issues such as recruiting new teachers and developing training programs for them;</w:t>
      </w:r>
    </w:p>
    <w:p w14:paraId="7CBDA820"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Work to increase the awareness of public officials and members of the state’s administrative apparatus of the principle of the best interests of the child contained in Article Three of the Convention, and to disseminate and include it in all policies, procedures and measures related to children in Egypt.</w:t>
      </w:r>
    </w:p>
    <w:p w14:paraId="12E7DB8C"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Speeding up the implementation of the recommendation contained in the outcomes of the National Dialogue regarding amending Article 1 of Law No. 119 of 1952 regarding the provisions of guardianship over money, so that the mother is ranked immediately next to the father in the matter of guardianship over the property of a minor child.</w:t>
      </w:r>
    </w:p>
    <w:p w14:paraId="63DE5084"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Review all legislative texts in the various laws related to children’s rights and begin amending them in accordance with the Constitution and the Convention on the Rights of the Child;</w:t>
      </w:r>
    </w:p>
    <w:p w14:paraId="62C3BCCE"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Addressing the legal loophole in Article 7 bis of the Child Rights Law that allows parents and caregivers in foster homes or alternative care settings to punish children under the pretext of discipline;</w:t>
      </w:r>
    </w:p>
    <w:p w14:paraId="0A2F1769"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lastRenderedPageBreak/>
        <w:t>Consider joining the 1980 Hague Convention on the Civil Aspects of International Child Abduction;</w:t>
      </w:r>
    </w:p>
    <w:p w14:paraId="4BA1D230"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Consider entering into broad partnerships with international and regional organizations concerned with childhood and the issue of education to coordinate the integration of refugee children of all nationalities into public education on an equal basis with Egyptian students;</w:t>
      </w:r>
    </w:p>
    <w:p w14:paraId="1A095A60"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Working to reduce the gap between rural and urban areas with regard to the provision of health services, which may lead to a decrease in the child mortality rate in the countryside compared to cities.</w:t>
      </w:r>
    </w:p>
    <w:p w14:paraId="73DCCDAB"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Consider joining the 8.7 Alliance for Sustainable Development, which could accelerate the implementation of Sustainable Development Goal 8.7 on eliminating the worst forms of child labor by 2025;</w:t>
      </w:r>
    </w:p>
    <w:p w14:paraId="78CB0D2F"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It is necessary to conduct a comprehensive national survey of the phenomenon of child labor in Egypt with the cooperation of all stakeholders concerned with eliminating child labor, provided that the survey includes an inventory of children working in the informal sector, street children, and children involved in the worst forms of child labor.</w:t>
      </w:r>
    </w:p>
    <w:p w14:paraId="20C5ABDA"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The need to accelerate the establishment of a child labor database as described in the Strategic Framework for Childhood and Motherhood 2018-2030;</w:t>
      </w:r>
    </w:p>
    <w:p w14:paraId="5A5E93B3"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Initiating a process of legislative reform of the laws regulating child labor, most notably the Child Law No. 12 of 1996 and its amendments, the executive regulations of the law, in addition to the Labor Law No. 12 of 2003.</w:t>
      </w:r>
    </w:p>
    <w:p w14:paraId="79551B22"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Increasing the performance of labor inspectors who monitor child labor in hazardous facilities and professions, while improving their professional capabilities</w:t>
      </w:r>
    </w:p>
    <w:p w14:paraId="50FED0C6" w14:textId="77777777" w:rsidR="00F871C7" w:rsidRPr="00F871C7" w:rsidRDefault="00F871C7" w:rsidP="00F871C7">
      <w:pPr>
        <w:pStyle w:val="ListParagraph"/>
        <w:numPr>
          <w:ilvl w:val="0"/>
          <w:numId w:val="30"/>
        </w:numPr>
        <w:jc w:val="both"/>
        <w:rPr>
          <w:rFonts w:asciiTheme="majorBidi" w:hAnsiTheme="majorBidi" w:cstheme="majorBidi"/>
          <w:sz w:val="28"/>
          <w:szCs w:val="28"/>
          <w:lang w:bidi="ar-EG"/>
        </w:rPr>
      </w:pPr>
      <w:r w:rsidRPr="00F871C7">
        <w:rPr>
          <w:rFonts w:asciiTheme="majorBidi" w:hAnsiTheme="majorBidi" w:cstheme="majorBidi"/>
          <w:sz w:val="28"/>
          <w:szCs w:val="28"/>
          <w:lang w:bidi="ar-EG"/>
        </w:rPr>
        <w:t>Beginning to appoint a larger number of inspectors to bridge the gap between the current number of inspectors and the number that is supposed to exist, taking into account the technical recommendation of the International Labor Organization, which states that there should be one inspector for every 15,000 workers in developing economies.</w:t>
      </w:r>
    </w:p>
    <w:p w14:paraId="0B2E4F0B" w14:textId="5A9C2BA5" w:rsidR="00F871C7" w:rsidRPr="00F871C7" w:rsidRDefault="00F871C7" w:rsidP="00F871C7">
      <w:pPr>
        <w:pStyle w:val="ListParagraph"/>
        <w:numPr>
          <w:ilvl w:val="0"/>
          <w:numId w:val="30"/>
        </w:numPr>
        <w:jc w:val="both"/>
        <w:rPr>
          <w:rFonts w:asciiTheme="majorBidi" w:hAnsiTheme="majorBidi" w:cstheme="majorBidi"/>
          <w:sz w:val="28"/>
          <w:szCs w:val="28"/>
          <w:rtl/>
          <w:lang w:bidi="ar-EG"/>
        </w:rPr>
      </w:pPr>
      <w:r w:rsidRPr="00F871C7">
        <w:rPr>
          <w:rFonts w:asciiTheme="majorBidi" w:hAnsiTheme="majorBidi" w:cstheme="majorBidi"/>
          <w:sz w:val="28"/>
          <w:szCs w:val="28"/>
          <w:lang w:bidi="ar-EG"/>
        </w:rPr>
        <w:lastRenderedPageBreak/>
        <w:t>Consider finding real and effective alternatives that prevent children from resorting to street begging gangs.</w:t>
      </w:r>
    </w:p>
    <w:sectPr w:rsidR="00F871C7" w:rsidRPr="00F871C7" w:rsidSect="00C94B8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E25D7" w14:textId="77777777" w:rsidR="00750C03" w:rsidRDefault="00750C03" w:rsidP="004F6D5A">
      <w:pPr>
        <w:spacing w:after="0" w:line="240" w:lineRule="auto"/>
      </w:pPr>
      <w:r>
        <w:separator/>
      </w:r>
    </w:p>
  </w:endnote>
  <w:endnote w:type="continuationSeparator" w:id="0">
    <w:p w14:paraId="5072F339" w14:textId="77777777" w:rsidR="00750C03" w:rsidRDefault="00750C03"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5614A" w14:textId="77777777" w:rsidR="00750C03" w:rsidRDefault="00750C03" w:rsidP="004F6D5A">
      <w:pPr>
        <w:spacing w:after="0" w:line="240" w:lineRule="auto"/>
      </w:pPr>
      <w:r>
        <w:separator/>
      </w:r>
    </w:p>
  </w:footnote>
  <w:footnote w:type="continuationSeparator" w:id="0">
    <w:p w14:paraId="2407A6C8" w14:textId="77777777" w:rsidR="00750C03" w:rsidRDefault="00750C03" w:rsidP="004F6D5A">
      <w:pPr>
        <w:spacing w:after="0" w:line="240" w:lineRule="auto"/>
      </w:pPr>
      <w:r>
        <w:continuationSeparator/>
      </w:r>
    </w:p>
  </w:footnote>
  <w:footnote w:id="1">
    <w:p w14:paraId="21356833" w14:textId="371162DE" w:rsidR="00B44A4F" w:rsidRDefault="00B44A4F">
      <w:pPr>
        <w:pStyle w:val="FootnoteText"/>
      </w:pPr>
      <w:r>
        <w:rPr>
          <w:rStyle w:val="FootnoteReference"/>
        </w:rPr>
        <w:footnoteRef/>
      </w:r>
      <w:r>
        <w:t xml:space="preserve"> </w:t>
      </w:r>
      <w:r w:rsidRPr="00B44A4F">
        <w:t xml:space="preserve">List of issues in relation to the combined fifth and sixth periodic reports of Egypt, </w:t>
      </w:r>
      <w:hyperlink r:id="rId1" w:history="1">
        <w:r w:rsidRPr="00C51847">
          <w:rPr>
            <w:rStyle w:val="Hyperlink"/>
          </w:rPr>
          <w:t>https://tinyurl.com/24tab7en</w:t>
        </w:r>
      </w:hyperlink>
      <w:r>
        <w:t xml:space="preserve"> </w:t>
      </w:r>
    </w:p>
  </w:footnote>
  <w:footnote w:id="2">
    <w:p w14:paraId="03C4800B" w14:textId="61A351A9" w:rsidR="00B44A4F" w:rsidRDefault="00B44A4F">
      <w:pPr>
        <w:pStyle w:val="FootnoteText"/>
      </w:pPr>
      <w:r>
        <w:rPr>
          <w:rStyle w:val="FootnoteReference"/>
        </w:rPr>
        <w:footnoteRef/>
      </w:r>
      <w:r>
        <w:t xml:space="preserve"> Ibid</w:t>
      </w:r>
    </w:p>
  </w:footnote>
  <w:footnote w:id="3">
    <w:p w14:paraId="5CB9F7E0" w14:textId="4A09CCFC" w:rsidR="00B44A4F" w:rsidRDefault="00B44A4F">
      <w:pPr>
        <w:pStyle w:val="FootnoteText"/>
      </w:pPr>
      <w:r>
        <w:rPr>
          <w:rStyle w:val="FootnoteReference"/>
        </w:rPr>
        <w:footnoteRef/>
      </w:r>
      <w:r>
        <w:t xml:space="preserve"> </w:t>
      </w:r>
      <w:r w:rsidRPr="00B44A4F">
        <w:t xml:space="preserve">The Amended Egyptian Constitution 2019, at the following link: </w:t>
      </w:r>
      <w:hyperlink r:id="rId2" w:history="1">
        <w:r w:rsidRPr="00C51847">
          <w:rPr>
            <w:rStyle w:val="Hyperlink"/>
          </w:rPr>
          <w:t>https://manshurat.org/node/14675</w:t>
        </w:r>
      </w:hyperlink>
      <w:r>
        <w:t xml:space="preserve"> </w:t>
      </w:r>
    </w:p>
  </w:footnote>
  <w:footnote w:id="4">
    <w:p w14:paraId="5034BC4E" w14:textId="501A0AC9" w:rsidR="00B44A4F" w:rsidRDefault="00B44A4F">
      <w:pPr>
        <w:pStyle w:val="FootnoteText"/>
      </w:pPr>
      <w:r>
        <w:rPr>
          <w:rStyle w:val="FootnoteReference"/>
        </w:rPr>
        <w:footnoteRef/>
      </w:r>
      <w:r>
        <w:t xml:space="preserve"> </w:t>
      </w:r>
      <w:r w:rsidRPr="00B44A4F">
        <w:t>The truth about the decline in spending on the health and education sectors in the general budget 2023/</w:t>
      </w:r>
      <w:r w:rsidR="009E58FE" w:rsidRPr="00B44A4F">
        <w:t>2024.</w:t>
      </w:r>
      <w:r w:rsidRPr="00B44A4F">
        <w:t xml:space="preserve"> An official statement from the government, the Egyptian Center for Economic Studies, at the following link: </w:t>
      </w:r>
      <w:hyperlink r:id="rId3" w:history="1">
        <w:r w:rsidRPr="00C51847">
          <w:rPr>
            <w:rStyle w:val="Hyperlink"/>
          </w:rPr>
          <w:t>https://tinyurl.com/mvmce5fx</w:t>
        </w:r>
      </w:hyperlink>
      <w:r>
        <w:t xml:space="preserve"> </w:t>
      </w:r>
    </w:p>
  </w:footnote>
  <w:footnote w:id="5">
    <w:p w14:paraId="5E063CF7" w14:textId="173770D7" w:rsidR="00B44A4F" w:rsidRDefault="00B44A4F">
      <w:pPr>
        <w:pStyle w:val="FootnoteText"/>
      </w:pPr>
      <w:r>
        <w:rPr>
          <w:rStyle w:val="FootnoteReference"/>
        </w:rPr>
        <w:footnoteRef/>
      </w:r>
      <w:r>
        <w:t xml:space="preserve"> Ibid</w:t>
      </w:r>
    </w:p>
  </w:footnote>
  <w:footnote w:id="6">
    <w:p w14:paraId="7A91C293" w14:textId="34CACEC3" w:rsidR="00B44A4F" w:rsidRDefault="00B44A4F">
      <w:pPr>
        <w:pStyle w:val="FootnoteText"/>
      </w:pPr>
      <w:r>
        <w:rPr>
          <w:rStyle w:val="FootnoteReference"/>
        </w:rPr>
        <w:footnoteRef/>
      </w:r>
      <w:r>
        <w:t xml:space="preserve"> </w:t>
      </w:r>
      <w:r w:rsidRPr="00B44A4F">
        <w:t xml:space="preserve">Report on National Efforts to Promote Children’s Rights on the Occasion of the International Day of the Rights of the Child November 20, 2020, </w:t>
      </w:r>
      <w:hyperlink r:id="rId4" w:history="1">
        <w:r w:rsidRPr="00C51847">
          <w:rPr>
            <w:rStyle w:val="Hyperlink"/>
          </w:rPr>
          <w:t>https://sschr.gov.eg/media/sljpzdue/hrd-7-2020-en.pdf</w:t>
        </w:r>
      </w:hyperlink>
      <w:r>
        <w:t xml:space="preserve"> </w:t>
      </w:r>
    </w:p>
  </w:footnote>
  <w:footnote w:id="7">
    <w:p w14:paraId="16F47251" w14:textId="63F096E8" w:rsidR="00B44A4F" w:rsidRDefault="00B44A4F">
      <w:pPr>
        <w:pStyle w:val="FootnoteText"/>
      </w:pPr>
      <w:r>
        <w:rPr>
          <w:rStyle w:val="FootnoteReference"/>
        </w:rPr>
        <w:footnoteRef/>
      </w:r>
      <w:r>
        <w:t xml:space="preserve"> Ibid</w:t>
      </w:r>
    </w:p>
  </w:footnote>
  <w:footnote w:id="8">
    <w:p w14:paraId="7F4AA72C" w14:textId="2C6DBEBE" w:rsidR="00B44A4F" w:rsidRDefault="00B44A4F" w:rsidP="00B44A4F">
      <w:pPr>
        <w:pStyle w:val="FootnoteText"/>
      </w:pPr>
      <w:r>
        <w:rPr>
          <w:rStyle w:val="FootnoteReference"/>
        </w:rPr>
        <w:footnoteRef/>
      </w:r>
      <w:r>
        <w:t xml:space="preserve"> </w:t>
      </w:r>
      <w:r w:rsidRPr="00B44A4F">
        <w:t xml:space="preserve">AMENDMENTS TO THE EGYPTIAN CHILD LAW, </w:t>
      </w:r>
      <w:hyperlink r:id="rId5" w:history="1">
        <w:r w:rsidRPr="00C51847">
          <w:rPr>
            <w:rStyle w:val="Hyperlink"/>
          </w:rPr>
          <w:t>https://adsero.me/amendments-to-the-egyptian-child-law/</w:t>
        </w:r>
      </w:hyperlink>
      <w:r>
        <w:t xml:space="preserve"> </w:t>
      </w:r>
    </w:p>
  </w:footnote>
  <w:footnote w:id="9">
    <w:p w14:paraId="169C7F6D" w14:textId="4BA5A478" w:rsidR="00B44A4F" w:rsidRDefault="00B44A4F">
      <w:pPr>
        <w:pStyle w:val="FootnoteText"/>
      </w:pPr>
      <w:r>
        <w:rPr>
          <w:rStyle w:val="FootnoteReference"/>
        </w:rPr>
        <w:footnoteRef/>
      </w:r>
      <w:r>
        <w:t xml:space="preserve"> </w:t>
      </w:r>
      <w:r w:rsidRPr="00B44A4F">
        <w:t xml:space="preserve">Amending Some Provisions of the Children’s Law by Law No. 186 of 2023, Legal Publications, </w:t>
      </w:r>
      <w:hyperlink r:id="rId6" w:history="1">
        <w:r w:rsidRPr="00C51847">
          <w:rPr>
            <w:rStyle w:val="Hyperlink"/>
          </w:rPr>
          <w:t>https://tinyurl.com/5yrbwwe7</w:t>
        </w:r>
      </w:hyperlink>
      <w:r>
        <w:t xml:space="preserve"> </w:t>
      </w:r>
    </w:p>
  </w:footnote>
  <w:footnote w:id="10">
    <w:p w14:paraId="149A92CB" w14:textId="025180D3" w:rsidR="00B44A4F" w:rsidRDefault="00B44A4F">
      <w:pPr>
        <w:pStyle w:val="FootnoteText"/>
      </w:pPr>
      <w:r>
        <w:rPr>
          <w:rStyle w:val="FootnoteReference"/>
        </w:rPr>
        <w:footnoteRef/>
      </w:r>
      <w:r>
        <w:t xml:space="preserve"> Ibid</w:t>
      </w:r>
    </w:p>
  </w:footnote>
  <w:footnote w:id="11">
    <w:p w14:paraId="1546ADA8" w14:textId="727FDE11" w:rsidR="00B44A4F" w:rsidRDefault="00B44A4F">
      <w:pPr>
        <w:pStyle w:val="FootnoteText"/>
      </w:pPr>
      <w:r>
        <w:rPr>
          <w:rStyle w:val="FootnoteReference"/>
        </w:rPr>
        <w:footnoteRef/>
      </w:r>
      <w:r>
        <w:t xml:space="preserve"> </w:t>
      </w:r>
      <w:r w:rsidRPr="00B44A4F">
        <w:t xml:space="preserve">List of issues in relation to the combined fifth and sixth periodic reports of Egypt, </w:t>
      </w:r>
      <w:hyperlink r:id="rId7" w:history="1">
        <w:r w:rsidRPr="00C51847">
          <w:rPr>
            <w:rStyle w:val="Hyperlink"/>
          </w:rPr>
          <w:t>https://tinyurl.com/24tab7en</w:t>
        </w:r>
      </w:hyperlink>
      <w:r>
        <w:t xml:space="preserve"> </w:t>
      </w:r>
    </w:p>
  </w:footnote>
  <w:footnote w:id="12">
    <w:p w14:paraId="22BB36F2" w14:textId="28977FC9" w:rsidR="003D790F" w:rsidRDefault="003D790F">
      <w:pPr>
        <w:pStyle w:val="FootnoteText"/>
      </w:pPr>
      <w:r>
        <w:rPr>
          <w:rStyle w:val="FootnoteReference"/>
        </w:rPr>
        <w:footnoteRef/>
      </w:r>
      <w:r>
        <w:t xml:space="preserve"> </w:t>
      </w:r>
      <w:r w:rsidRPr="00A250A8">
        <w:t>Sisi signs law reorganizing NCCM, amending provisions of Children’s Law</w:t>
      </w:r>
      <w:r>
        <w:rPr>
          <w:lang w:bidi="ar-EG"/>
        </w:rPr>
        <w:t xml:space="preserve">, </w:t>
      </w:r>
      <w:hyperlink r:id="rId8" w:history="1">
        <w:r w:rsidRPr="00B56BFA">
          <w:rPr>
            <w:rStyle w:val="Hyperlink"/>
            <w:lang w:bidi="ar-EG"/>
          </w:rPr>
          <w:t>https://www.mena.org.eg/news/dbcall/table/textnews/id/10451320</w:t>
        </w:r>
      </w:hyperlink>
      <w:r>
        <w:rPr>
          <w:lang w:bidi="ar-EG"/>
        </w:rPr>
        <w:t xml:space="preserve">  </w:t>
      </w:r>
    </w:p>
  </w:footnote>
  <w:footnote w:id="13">
    <w:p w14:paraId="46C48680" w14:textId="46DDBCB0" w:rsidR="003D790F" w:rsidRDefault="003D790F">
      <w:pPr>
        <w:pStyle w:val="FootnoteText"/>
      </w:pPr>
      <w:r>
        <w:rPr>
          <w:rStyle w:val="FootnoteReference"/>
        </w:rPr>
        <w:footnoteRef/>
      </w:r>
      <w:r>
        <w:t xml:space="preserve"> </w:t>
      </w:r>
      <w:r w:rsidRPr="003D790F">
        <w:t xml:space="preserve">The role of the National Council for Childhood and Motherhood in reducing the phenomenon of child labor, </w:t>
      </w:r>
      <w:hyperlink r:id="rId9" w:history="1">
        <w:r w:rsidRPr="00C51847">
          <w:rPr>
            <w:rStyle w:val="Hyperlink"/>
          </w:rPr>
          <w:t>https://tinyurl.com/2s4xdkz2</w:t>
        </w:r>
      </w:hyperlink>
      <w:r>
        <w:t xml:space="preserve"> </w:t>
      </w:r>
    </w:p>
  </w:footnote>
  <w:footnote w:id="14">
    <w:p w14:paraId="24FE2312" w14:textId="279CEEB2" w:rsidR="003D790F" w:rsidRDefault="003D790F">
      <w:pPr>
        <w:pStyle w:val="FootnoteText"/>
      </w:pPr>
      <w:r>
        <w:rPr>
          <w:rStyle w:val="FootnoteReference"/>
        </w:rPr>
        <w:footnoteRef/>
      </w:r>
      <w:r>
        <w:t xml:space="preserve"> </w:t>
      </w:r>
      <w:r w:rsidRPr="003D790F">
        <w:t xml:space="preserve">Ending Violence Against Children in Egypt National Strategic Framework, </w:t>
      </w:r>
      <w:hyperlink r:id="rId10" w:history="1">
        <w:r w:rsidRPr="00C51847">
          <w:rPr>
            <w:rStyle w:val="Hyperlink"/>
          </w:rPr>
          <w:t>https://tinyurl.com/23h4dvu7</w:t>
        </w:r>
      </w:hyperlink>
      <w:r>
        <w:t xml:space="preserve"> </w:t>
      </w:r>
    </w:p>
  </w:footnote>
  <w:footnote w:id="15">
    <w:p w14:paraId="2514FA14" w14:textId="5F8F116A" w:rsidR="003D790F" w:rsidRDefault="003D790F">
      <w:pPr>
        <w:pStyle w:val="FootnoteText"/>
      </w:pPr>
      <w:r>
        <w:rPr>
          <w:rStyle w:val="FootnoteReference"/>
        </w:rPr>
        <w:footnoteRef/>
      </w:r>
      <w:r>
        <w:t xml:space="preserve"> </w:t>
      </w:r>
      <w:r w:rsidRPr="003D790F">
        <w:t xml:space="preserve">Egyptian Child Law No. 12 of 1996 and its amendments, paragraph one, article three, at the following link: </w:t>
      </w:r>
      <w:hyperlink r:id="rId11" w:history="1">
        <w:r w:rsidRPr="00C51847">
          <w:rPr>
            <w:rStyle w:val="Hyperlink"/>
          </w:rPr>
          <w:t>https://m.elwatannews.com/data/iframe/pdf/14325298321514283518.pdf</w:t>
        </w:r>
      </w:hyperlink>
      <w:r>
        <w:t xml:space="preserve"> </w:t>
      </w:r>
    </w:p>
  </w:footnote>
  <w:footnote w:id="16">
    <w:p w14:paraId="73834982" w14:textId="309A2B14" w:rsidR="003D790F" w:rsidRDefault="003D790F">
      <w:pPr>
        <w:pStyle w:val="FootnoteText"/>
      </w:pPr>
      <w:r>
        <w:rPr>
          <w:rStyle w:val="FootnoteReference"/>
        </w:rPr>
        <w:footnoteRef/>
      </w:r>
      <w:r>
        <w:t xml:space="preserve"> </w:t>
      </w:r>
      <w:r w:rsidRPr="003D790F">
        <w:t xml:space="preserve">Previous source, Article 96, at the following link: </w:t>
      </w:r>
      <w:hyperlink r:id="rId12" w:history="1">
        <w:r w:rsidRPr="00C51847">
          <w:rPr>
            <w:rStyle w:val="Hyperlink"/>
          </w:rPr>
          <w:t>https://m.elwatannews.com/data/iframe/pdf/14325298321514283518.pdf</w:t>
        </w:r>
      </w:hyperlink>
      <w:r>
        <w:t xml:space="preserve"> </w:t>
      </w:r>
    </w:p>
  </w:footnote>
  <w:footnote w:id="17">
    <w:p w14:paraId="49B4DBB2" w14:textId="4DF50ECC" w:rsidR="003D790F" w:rsidRDefault="003D790F">
      <w:pPr>
        <w:pStyle w:val="FootnoteText"/>
      </w:pPr>
      <w:r>
        <w:rPr>
          <w:rStyle w:val="FootnoteReference"/>
        </w:rPr>
        <w:footnoteRef/>
      </w:r>
      <w:r>
        <w:t xml:space="preserve"> </w:t>
      </w:r>
      <w:r w:rsidRPr="003D790F">
        <w:t xml:space="preserve">Corporal punishment of children in Egypt, End Corporal Punishment, </w:t>
      </w:r>
      <w:hyperlink r:id="rId13" w:history="1">
        <w:r w:rsidRPr="00C51847">
          <w:rPr>
            <w:rStyle w:val="Hyperlink"/>
          </w:rPr>
          <w:t>https://www.endcorporalpunishment.org/wp-content/uploads/country-reports/Egypt.pdf</w:t>
        </w:r>
      </w:hyperlink>
      <w:r>
        <w:t xml:space="preserve"> </w:t>
      </w:r>
    </w:p>
  </w:footnote>
  <w:footnote w:id="18">
    <w:p w14:paraId="375C2F2E" w14:textId="7FCDE90B" w:rsidR="003D790F" w:rsidRDefault="003D790F">
      <w:pPr>
        <w:pStyle w:val="FootnoteText"/>
      </w:pPr>
      <w:r>
        <w:rPr>
          <w:rStyle w:val="FootnoteReference"/>
        </w:rPr>
        <w:footnoteRef/>
      </w:r>
      <w:r>
        <w:t xml:space="preserve"> </w:t>
      </w:r>
      <w:r w:rsidRPr="003D790F">
        <w:t xml:space="preserve">The Prime Minister follows up on the implementation plan for the recommendations of the first phase of the national dialogue, at the following link: </w:t>
      </w:r>
      <w:hyperlink r:id="rId14" w:history="1">
        <w:r w:rsidRPr="00C51847">
          <w:rPr>
            <w:rStyle w:val="Hyperlink"/>
          </w:rPr>
          <w:t>https://www.cabinet.gov.eg/News/Details/74903</w:t>
        </w:r>
      </w:hyperlink>
      <w:r>
        <w:t xml:space="preserve"> </w:t>
      </w:r>
    </w:p>
  </w:footnote>
  <w:footnote w:id="19">
    <w:p w14:paraId="48BB8403" w14:textId="6FA25DEF" w:rsidR="003D790F" w:rsidRDefault="003D790F">
      <w:pPr>
        <w:pStyle w:val="FootnoteText"/>
      </w:pPr>
      <w:r>
        <w:rPr>
          <w:rStyle w:val="FootnoteReference"/>
        </w:rPr>
        <w:footnoteRef/>
      </w:r>
      <w:r>
        <w:t xml:space="preserve"> </w:t>
      </w:r>
      <w:r w:rsidRPr="003D790F">
        <w:t xml:space="preserve">The Ministry of Solidarity signs an award contract to manage the National Sponsorship Center project in Ismailia, at the following link: </w:t>
      </w:r>
      <w:hyperlink r:id="rId15" w:history="1">
        <w:r w:rsidRPr="00C51847">
          <w:rPr>
            <w:rStyle w:val="Hyperlink"/>
          </w:rPr>
          <w:t>https://tinyurl.com/yczwzsnp</w:t>
        </w:r>
      </w:hyperlink>
      <w:r>
        <w:t xml:space="preserve"> </w:t>
      </w:r>
    </w:p>
  </w:footnote>
  <w:footnote w:id="20">
    <w:p w14:paraId="0FFFAFBE" w14:textId="29A42CAA" w:rsidR="003D790F" w:rsidRDefault="003D790F">
      <w:pPr>
        <w:pStyle w:val="FootnoteText"/>
      </w:pPr>
      <w:r>
        <w:rPr>
          <w:rStyle w:val="FootnoteReference"/>
        </w:rPr>
        <w:footnoteRef/>
      </w:r>
      <w:r>
        <w:t xml:space="preserve"> </w:t>
      </w:r>
      <w:r w:rsidRPr="003D790F">
        <w:t xml:space="preserve">“Al-Qabbaj” reviews a report on the efforts and services provided to children in Egypt, Ministry of Social Solidarity, </w:t>
      </w:r>
      <w:hyperlink r:id="rId16" w:history="1">
        <w:r w:rsidRPr="00C51847">
          <w:rPr>
            <w:rStyle w:val="Hyperlink"/>
          </w:rPr>
          <w:t>https://www.moss.gov.eg/ar-eg/Pages/news-details.aspx?nid=2697</w:t>
        </w:r>
      </w:hyperlink>
      <w:r>
        <w:t xml:space="preserve"> </w:t>
      </w:r>
    </w:p>
  </w:footnote>
  <w:footnote w:id="21">
    <w:p w14:paraId="59C9969A" w14:textId="4A319BC9" w:rsidR="00746B07" w:rsidRDefault="00746B07">
      <w:pPr>
        <w:pStyle w:val="FootnoteText"/>
      </w:pPr>
      <w:r>
        <w:rPr>
          <w:rStyle w:val="FootnoteReference"/>
        </w:rPr>
        <w:footnoteRef/>
      </w:r>
      <w:r>
        <w:t xml:space="preserve"> </w:t>
      </w:r>
      <w:r w:rsidRPr="00746B07">
        <w:t xml:space="preserve">The strategic framework and national plan for childhood and motherhood in the Arab Republic of Egypt, </w:t>
      </w:r>
      <w:hyperlink r:id="rId17" w:history="1">
        <w:r w:rsidRPr="00C51847">
          <w:rPr>
            <w:rStyle w:val="Hyperlink"/>
          </w:rPr>
          <w:t>http://tinyurl.com/3wnvjf7k</w:t>
        </w:r>
      </w:hyperlink>
      <w:r>
        <w:t xml:space="preserve"> </w:t>
      </w:r>
    </w:p>
  </w:footnote>
  <w:footnote w:id="22">
    <w:p w14:paraId="62DB737C" w14:textId="08B66895" w:rsidR="00746B07" w:rsidRDefault="00746B07">
      <w:pPr>
        <w:pStyle w:val="FootnoteText"/>
      </w:pPr>
      <w:r>
        <w:rPr>
          <w:rStyle w:val="FootnoteReference"/>
        </w:rPr>
        <w:footnoteRef/>
      </w:r>
      <w:r>
        <w:t xml:space="preserve"> Ibid</w:t>
      </w:r>
    </w:p>
  </w:footnote>
  <w:footnote w:id="23">
    <w:p w14:paraId="06E75231" w14:textId="1D5AD118" w:rsidR="00746B07" w:rsidRDefault="00746B07">
      <w:pPr>
        <w:pStyle w:val="FootnoteText"/>
      </w:pPr>
      <w:r>
        <w:rPr>
          <w:rStyle w:val="FootnoteReference"/>
        </w:rPr>
        <w:footnoteRef/>
      </w:r>
      <w:r>
        <w:t xml:space="preserve"> </w:t>
      </w:r>
      <w:r w:rsidRPr="00746B07">
        <w:t xml:space="preserve">Available at the following link: </w:t>
      </w:r>
      <w:hyperlink r:id="rId18" w:history="1">
        <w:r w:rsidRPr="00C51847">
          <w:rPr>
            <w:rStyle w:val="Hyperlink"/>
          </w:rPr>
          <w:t>https://www.unicef.org/egypt/ar/health</w:t>
        </w:r>
      </w:hyperlink>
      <w:r>
        <w:t xml:space="preserve"> </w:t>
      </w:r>
    </w:p>
  </w:footnote>
  <w:footnote w:id="24">
    <w:p w14:paraId="2CB787E9" w14:textId="5A3F542E" w:rsidR="00746B07" w:rsidRDefault="00746B07">
      <w:pPr>
        <w:pStyle w:val="FootnoteText"/>
      </w:pPr>
      <w:r>
        <w:rPr>
          <w:rStyle w:val="FootnoteReference"/>
        </w:rPr>
        <w:footnoteRef/>
      </w:r>
      <w:r>
        <w:t xml:space="preserve"> </w:t>
      </w:r>
      <w:r w:rsidRPr="00746B07">
        <w:t xml:space="preserve">“Solidarity” launches a campaign to raise awareness of the importance of monitoring the growth and development of children, at the following link: </w:t>
      </w:r>
      <w:hyperlink r:id="rId19" w:history="1">
        <w:r w:rsidRPr="00C51847">
          <w:rPr>
            <w:rStyle w:val="Hyperlink"/>
          </w:rPr>
          <w:t>https://www.elwatannews.com/news/details/7136803</w:t>
        </w:r>
      </w:hyperlink>
      <w:r>
        <w:t xml:space="preserve"> </w:t>
      </w:r>
    </w:p>
  </w:footnote>
  <w:footnote w:id="25">
    <w:p w14:paraId="46208BCD" w14:textId="6F825518" w:rsidR="00746B07" w:rsidRDefault="00746B07">
      <w:pPr>
        <w:pStyle w:val="FootnoteText"/>
      </w:pPr>
      <w:r>
        <w:rPr>
          <w:rStyle w:val="FootnoteReference"/>
        </w:rPr>
        <w:footnoteRef/>
      </w:r>
      <w:r>
        <w:t xml:space="preserve"> </w:t>
      </w:r>
      <w:r w:rsidRPr="00746B07">
        <w:t xml:space="preserve">EGYPT AND CHILD ABDUCTION, </w:t>
      </w:r>
      <w:hyperlink r:id="rId20" w:history="1">
        <w:r w:rsidRPr="00C51847">
          <w:rPr>
            <w:rStyle w:val="Hyperlink"/>
          </w:rPr>
          <w:t>https://www.international-divorce.com/State-Department-Report:-Egypt-and-Child-Abduction</w:t>
        </w:r>
      </w:hyperlink>
      <w:r>
        <w:t xml:space="preserve"> </w:t>
      </w:r>
    </w:p>
  </w:footnote>
  <w:footnote w:id="26">
    <w:p w14:paraId="21F2EC28" w14:textId="2F4AC11D" w:rsidR="00746B07" w:rsidRDefault="00746B07">
      <w:pPr>
        <w:pStyle w:val="FootnoteText"/>
      </w:pPr>
      <w:r>
        <w:rPr>
          <w:rStyle w:val="FootnoteReference"/>
        </w:rPr>
        <w:footnoteRef/>
      </w:r>
      <w:r>
        <w:t xml:space="preserve"> </w:t>
      </w:r>
      <w:r w:rsidRPr="00746B07">
        <w:t>Parents kidnap their children from their ex-wives... How many victims like the Egyptian M</w:t>
      </w:r>
      <w:r>
        <w:t xml:space="preserve">. </w:t>
      </w:r>
      <w:r w:rsidRPr="00746B07">
        <w:t>M</w:t>
      </w:r>
      <w:r>
        <w:t>.</w:t>
      </w:r>
      <w:r w:rsidRPr="00746B07">
        <w:t xml:space="preserve"> are experiencing a tragedy in the West? at the following link: </w:t>
      </w:r>
      <w:hyperlink r:id="rId21" w:history="1">
        <w:r w:rsidRPr="00C51847">
          <w:rPr>
            <w:rStyle w:val="Hyperlink"/>
          </w:rPr>
          <w:t>https://kulalusra.ae/talks/spotlight/2024/02/14/a298382</w:t>
        </w:r>
      </w:hyperlink>
      <w:r>
        <w:t xml:space="preserve"> </w:t>
      </w:r>
    </w:p>
  </w:footnote>
  <w:footnote w:id="27">
    <w:p w14:paraId="0F77F28D" w14:textId="409A6C36" w:rsidR="00746B07" w:rsidRDefault="00746B07">
      <w:pPr>
        <w:pStyle w:val="FootnoteText"/>
      </w:pPr>
      <w:r>
        <w:rPr>
          <w:rStyle w:val="FootnoteReference"/>
        </w:rPr>
        <w:footnoteRef/>
      </w:r>
      <w:r>
        <w:t xml:space="preserve"> </w:t>
      </w:r>
      <w:r w:rsidRPr="00746B07">
        <w:t xml:space="preserve">EGYPT AND CHILD ABDUCTION, </w:t>
      </w:r>
      <w:hyperlink r:id="rId22" w:history="1">
        <w:r w:rsidRPr="00C51847">
          <w:rPr>
            <w:rStyle w:val="Hyperlink"/>
          </w:rPr>
          <w:t>https://www.international-divorce.com/State-Department-Report:-Egypt-and-Child-Abduction</w:t>
        </w:r>
      </w:hyperlink>
      <w:r>
        <w:t xml:space="preserve"> </w:t>
      </w:r>
    </w:p>
  </w:footnote>
  <w:footnote w:id="28">
    <w:p w14:paraId="4DF949DF" w14:textId="6E58C873" w:rsidR="00746B07" w:rsidRDefault="00746B07">
      <w:pPr>
        <w:pStyle w:val="FootnoteText"/>
      </w:pPr>
      <w:r>
        <w:rPr>
          <w:rStyle w:val="FootnoteReference"/>
        </w:rPr>
        <w:footnoteRef/>
      </w:r>
      <w:r>
        <w:t xml:space="preserve"> </w:t>
      </w:r>
      <w:r w:rsidRPr="00746B07">
        <w:t xml:space="preserve">UNHCR official: Egypt is a pioneer in dealing with the refugee file, Youm7, March 17, 2023, </w:t>
      </w:r>
      <w:hyperlink r:id="rId23" w:history="1">
        <w:r w:rsidRPr="00C51847">
          <w:rPr>
            <w:rStyle w:val="Hyperlink"/>
          </w:rPr>
          <w:t>http://tinyurl.com/2dtfectp</w:t>
        </w:r>
      </w:hyperlink>
      <w:r>
        <w:t xml:space="preserve"> </w:t>
      </w:r>
    </w:p>
  </w:footnote>
  <w:footnote w:id="29">
    <w:p w14:paraId="7896CB3C" w14:textId="1DD3315C" w:rsidR="00746B07" w:rsidRDefault="00746B07">
      <w:pPr>
        <w:pStyle w:val="FootnoteText"/>
      </w:pPr>
      <w:r>
        <w:rPr>
          <w:rStyle w:val="FootnoteReference"/>
        </w:rPr>
        <w:footnoteRef/>
      </w:r>
      <w:r>
        <w:t xml:space="preserve"> </w:t>
      </w:r>
      <w:r w:rsidRPr="00746B07">
        <w:t xml:space="preserve">New education decisions regarding refugees in Egypt restore reassurance to Syrians, Syria TV, November 2023, </w:t>
      </w:r>
      <w:hyperlink r:id="rId24" w:history="1">
        <w:r w:rsidRPr="00C51847">
          <w:rPr>
            <w:rStyle w:val="Hyperlink"/>
          </w:rPr>
          <w:t>http://tinyurl.com/23rzd599</w:t>
        </w:r>
      </w:hyperlink>
      <w:r>
        <w:t xml:space="preserve"> </w:t>
      </w:r>
    </w:p>
  </w:footnote>
  <w:footnote w:id="30">
    <w:p w14:paraId="671BD053" w14:textId="3898C667" w:rsidR="00746B07" w:rsidRDefault="00746B07">
      <w:pPr>
        <w:pStyle w:val="FootnoteText"/>
      </w:pPr>
      <w:r>
        <w:rPr>
          <w:rStyle w:val="FootnoteReference"/>
        </w:rPr>
        <w:footnoteRef/>
      </w:r>
      <w:r>
        <w:t xml:space="preserve"> </w:t>
      </w:r>
      <w:r w:rsidRPr="00746B07">
        <w:t xml:space="preserve">“Education” plans to take back 68,000 students who dropped out of school with “a bag and clothes.” Two experts: It is not a solution. Al-Manassa, </w:t>
      </w:r>
      <w:hyperlink r:id="rId25" w:history="1">
        <w:r w:rsidRPr="00C51847">
          <w:rPr>
            <w:rStyle w:val="Hyperlink"/>
          </w:rPr>
          <w:t>https://manassa.news/news/16203</w:t>
        </w:r>
      </w:hyperlink>
      <w:r>
        <w:t xml:space="preserve"> </w:t>
      </w:r>
    </w:p>
  </w:footnote>
  <w:footnote w:id="31">
    <w:p w14:paraId="0E33434C" w14:textId="175038CF" w:rsidR="00746B07" w:rsidRDefault="00746B07">
      <w:pPr>
        <w:pStyle w:val="FootnoteText"/>
      </w:pPr>
      <w:r>
        <w:rPr>
          <w:rStyle w:val="FootnoteReference"/>
        </w:rPr>
        <w:footnoteRef/>
      </w:r>
      <w:r>
        <w:t xml:space="preserve"> </w:t>
      </w:r>
      <w:r w:rsidRPr="00746B07">
        <w:t xml:space="preserve">Khalaf Al-Zanati: A shortage in the number of teachers has reached 400,000 teachers in various specializations, at the following link: </w:t>
      </w:r>
      <w:hyperlink r:id="rId26" w:history="1">
        <w:r w:rsidRPr="00C51847">
          <w:rPr>
            <w:rStyle w:val="Hyperlink"/>
          </w:rPr>
          <w:t>https://tinyurl.com/4kavnsh4</w:t>
        </w:r>
      </w:hyperlink>
      <w:r>
        <w:t xml:space="preserve"> </w:t>
      </w:r>
    </w:p>
  </w:footnote>
  <w:footnote w:id="32">
    <w:p w14:paraId="3FC7BD70" w14:textId="0FCA6C8C" w:rsidR="009E58FE" w:rsidRDefault="009E58FE">
      <w:pPr>
        <w:pStyle w:val="FootnoteText"/>
      </w:pPr>
      <w:r>
        <w:rPr>
          <w:rStyle w:val="FootnoteReference"/>
        </w:rPr>
        <w:footnoteRef/>
      </w:r>
      <w:r>
        <w:t xml:space="preserve"> </w:t>
      </w:r>
      <w:r w:rsidRPr="009E58FE">
        <w:t xml:space="preserve">Manpower: Amending the decision regarding the list of jobs for which it is prohibited to employ and train children, at the following link: </w:t>
      </w:r>
      <w:hyperlink r:id="rId27" w:history="1">
        <w:r w:rsidRPr="00C51847">
          <w:rPr>
            <w:rStyle w:val="Hyperlink"/>
          </w:rPr>
          <w:t>https://tinyurl.com/38vnw2m2</w:t>
        </w:r>
      </w:hyperlink>
      <w:r>
        <w:t xml:space="preserve"> </w:t>
      </w:r>
    </w:p>
  </w:footnote>
  <w:footnote w:id="33">
    <w:p w14:paraId="34AC4045" w14:textId="0335260F" w:rsidR="009E58FE" w:rsidRDefault="009E58FE">
      <w:pPr>
        <w:pStyle w:val="FootnoteText"/>
      </w:pPr>
      <w:r>
        <w:rPr>
          <w:rStyle w:val="FootnoteReference"/>
        </w:rPr>
        <w:footnoteRef/>
      </w:r>
      <w:r>
        <w:t xml:space="preserve"> </w:t>
      </w:r>
      <w:r w:rsidRPr="009E58FE">
        <w:t xml:space="preserve">2022 Findings on the Worst Forms of Child Labor, </w:t>
      </w:r>
      <w:hyperlink r:id="rId28" w:history="1">
        <w:r w:rsidRPr="00C51847">
          <w:rPr>
            <w:rStyle w:val="Hyperlink"/>
          </w:rPr>
          <w:t>https://www.dol.gov/sites/dolgov/files/ILAB/child_labor_reports/tda2022/Egypt.pdf</w:t>
        </w:r>
      </w:hyperlink>
      <w:r>
        <w:t xml:space="preserve">  </w:t>
      </w:r>
    </w:p>
  </w:footnote>
  <w:footnote w:id="34">
    <w:p w14:paraId="54014FBA" w14:textId="72B646F7" w:rsidR="009E58FE" w:rsidRDefault="009E58FE">
      <w:pPr>
        <w:pStyle w:val="FootnoteText"/>
      </w:pPr>
      <w:r>
        <w:rPr>
          <w:rStyle w:val="FootnoteReference"/>
        </w:rPr>
        <w:footnoteRef/>
      </w:r>
      <w:r>
        <w:t xml:space="preserve"> </w:t>
      </w:r>
      <w:r w:rsidRPr="009E58FE">
        <w:t xml:space="preserve">The blogger’s husband, Heba Al-Sayed, was released and he pledged to treat his children well, at the following link: </w:t>
      </w:r>
      <w:hyperlink r:id="rId29" w:history="1">
        <w:r w:rsidRPr="00C51847">
          <w:rPr>
            <w:rStyle w:val="Hyperlink"/>
          </w:rPr>
          <w:t>https://www.almasryalyoum.com/news/details/2882687</w:t>
        </w:r>
      </w:hyperlink>
      <w:r>
        <w:t xml:space="preserve"> </w:t>
      </w:r>
    </w:p>
  </w:footnote>
  <w:footnote w:id="35">
    <w:p w14:paraId="7343FAF2" w14:textId="3314A40C" w:rsidR="009E58FE" w:rsidRDefault="009E58FE">
      <w:pPr>
        <w:pStyle w:val="FootnoteText"/>
      </w:pPr>
      <w:r>
        <w:rPr>
          <w:rStyle w:val="FootnoteReference"/>
        </w:rPr>
        <w:footnoteRef/>
      </w:r>
      <w:r>
        <w:t xml:space="preserve"> </w:t>
      </w:r>
      <w:r w:rsidRPr="009E58FE">
        <w:t xml:space="preserve">The phenomenon of begging and means to reduce it, 360, </w:t>
      </w:r>
      <w:hyperlink r:id="rId30" w:history="1">
        <w:r w:rsidRPr="00C51847">
          <w:rPr>
            <w:rStyle w:val="Hyperlink"/>
          </w:rPr>
          <w:t>https://tinyurl.com/4ttrm44h</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4793013">
    <w:abstractNumId w:val="14"/>
  </w:num>
  <w:num w:numId="2" w16cid:durableId="9987480">
    <w:abstractNumId w:val="4"/>
  </w:num>
  <w:num w:numId="3" w16cid:durableId="938102310">
    <w:abstractNumId w:val="1"/>
  </w:num>
  <w:num w:numId="4" w16cid:durableId="1828130414">
    <w:abstractNumId w:val="10"/>
  </w:num>
  <w:num w:numId="5" w16cid:durableId="684943841">
    <w:abstractNumId w:val="3"/>
  </w:num>
  <w:num w:numId="6" w16cid:durableId="1889301018">
    <w:abstractNumId w:val="23"/>
  </w:num>
  <w:num w:numId="7" w16cid:durableId="481237834">
    <w:abstractNumId w:val="26"/>
  </w:num>
  <w:num w:numId="8" w16cid:durableId="1680549093">
    <w:abstractNumId w:val="28"/>
  </w:num>
  <w:num w:numId="9" w16cid:durableId="1157114024">
    <w:abstractNumId w:val="21"/>
  </w:num>
  <w:num w:numId="10" w16cid:durableId="1279868695">
    <w:abstractNumId w:val="24"/>
  </w:num>
  <w:num w:numId="11" w16cid:durableId="446850310">
    <w:abstractNumId w:val="17"/>
  </w:num>
  <w:num w:numId="12" w16cid:durableId="1343750539">
    <w:abstractNumId w:val="27"/>
  </w:num>
  <w:num w:numId="13" w16cid:durableId="533811727">
    <w:abstractNumId w:val="16"/>
  </w:num>
  <w:num w:numId="14" w16cid:durableId="2054646517">
    <w:abstractNumId w:val="6"/>
  </w:num>
  <w:num w:numId="15" w16cid:durableId="959578884">
    <w:abstractNumId w:val="20"/>
  </w:num>
  <w:num w:numId="16" w16cid:durableId="1017776204">
    <w:abstractNumId w:val="11"/>
  </w:num>
  <w:num w:numId="17" w16cid:durableId="1983148824">
    <w:abstractNumId w:val="0"/>
  </w:num>
  <w:num w:numId="18" w16cid:durableId="1362702131">
    <w:abstractNumId w:val="15"/>
  </w:num>
  <w:num w:numId="19" w16cid:durableId="1511026272">
    <w:abstractNumId w:val="2"/>
  </w:num>
  <w:num w:numId="20" w16cid:durableId="1880244920">
    <w:abstractNumId w:val="8"/>
  </w:num>
  <w:num w:numId="21" w16cid:durableId="215238717">
    <w:abstractNumId w:val="29"/>
  </w:num>
  <w:num w:numId="22" w16cid:durableId="590429859">
    <w:abstractNumId w:val="9"/>
  </w:num>
  <w:num w:numId="23" w16cid:durableId="351421182">
    <w:abstractNumId w:val="13"/>
  </w:num>
  <w:num w:numId="24" w16cid:durableId="591429278">
    <w:abstractNumId w:val="22"/>
  </w:num>
  <w:num w:numId="25" w16cid:durableId="2109035791">
    <w:abstractNumId w:val="25"/>
  </w:num>
  <w:num w:numId="26" w16cid:durableId="910963546">
    <w:abstractNumId w:val="7"/>
  </w:num>
  <w:num w:numId="27" w16cid:durableId="1247690035">
    <w:abstractNumId w:val="5"/>
  </w:num>
  <w:num w:numId="28" w16cid:durableId="752896488">
    <w:abstractNumId w:val="18"/>
  </w:num>
  <w:num w:numId="29" w16cid:durableId="1819882215">
    <w:abstractNumId w:val="19"/>
  </w:num>
  <w:num w:numId="30" w16cid:durableId="624124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D532C"/>
    <w:rsid w:val="001D6213"/>
    <w:rsid w:val="002257CD"/>
    <w:rsid w:val="002305C5"/>
    <w:rsid w:val="002876FE"/>
    <w:rsid w:val="002D5B01"/>
    <w:rsid w:val="003319F3"/>
    <w:rsid w:val="003439F7"/>
    <w:rsid w:val="00360DAB"/>
    <w:rsid w:val="00372B51"/>
    <w:rsid w:val="0038184B"/>
    <w:rsid w:val="003A1F96"/>
    <w:rsid w:val="003A745E"/>
    <w:rsid w:val="003D790F"/>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8685C"/>
    <w:rsid w:val="005B3A8D"/>
    <w:rsid w:val="005C3446"/>
    <w:rsid w:val="005E2E96"/>
    <w:rsid w:val="00640577"/>
    <w:rsid w:val="006412F6"/>
    <w:rsid w:val="00646A53"/>
    <w:rsid w:val="006807A3"/>
    <w:rsid w:val="00693967"/>
    <w:rsid w:val="00713444"/>
    <w:rsid w:val="00746B07"/>
    <w:rsid w:val="0075015E"/>
    <w:rsid w:val="00750C03"/>
    <w:rsid w:val="00755B2C"/>
    <w:rsid w:val="007A3C77"/>
    <w:rsid w:val="007C3E73"/>
    <w:rsid w:val="007E56C8"/>
    <w:rsid w:val="007F62CB"/>
    <w:rsid w:val="00823531"/>
    <w:rsid w:val="00823F46"/>
    <w:rsid w:val="00826C6D"/>
    <w:rsid w:val="00860C1C"/>
    <w:rsid w:val="00875304"/>
    <w:rsid w:val="008823E1"/>
    <w:rsid w:val="00884133"/>
    <w:rsid w:val="008F2641"/>
    <w:rsid w:val="0091285A"/>
    <w:rsid w:val="009337BF"/>
    <w:rsid w:val="009412A9"/>
    <w:rsid w:val="009850AD"/>
    <w:rsid w:val="009B028E"/>
    <w:rsid w:val="009D1F8F"/>
    <w:rsid w:val="009E290C"/>
    <w:rsid w:val="009E58FE"/>
    <w:rsid w:val="00A3448D"/>
    <w:rsid w:val="00A37636"/>
    <w:rsid w:val="00A537CE"/>
    <w:rsid w:val="00A81650"/>
    <w:rsid w:val="00A83C1E"/>
    <w:rsid w:val="00AF7FD1"/>
    <w:rsid w:val="00B1224D"/>
    <w:rsid w:val="00B35D5B"/>
    <w:rsid w:val="00B44A4F"/>
    <w:rsid w:val="00B50DC2"/>
    <w:rsid w:val="00B53978"/>
    <w:rsid w:val="00B66916"/>
    <w:rsid w:val="00BA18D6"/>
    <w:rsid w:val="00BA7411"/>
    <w:rsid w:val="00BB10FB"/>
    <w:rsid w:val="00BB2414"/>
    <w:rsid w:val="00BB2E0C"/>
    <w:rsid w:val="00BC2D2E"/>
    <w:rsid w:val="00C0706B"/>
    <w:rsid w:val="00C34E13"/>
    <w:rsid w:val="00C47923"/>
    <w:rsid w:val="00C86D0C"/>
    <w:rsid w:val="00C94B80"/>
    <w:rsid w:val="00CC2F15"/>
    <w:rsid w:val="00CD5381"/>
    <w:rsid w:val="00D01C6A"/>
    <w:rsid w:val="00D11899"/>
    <w:rsid w:val="00D474E2"/>
    <w:rsid w:val="00D674C8"/>
    <w:rsid w:val="00DB04A9"/>
    <w:rsid w:val="00DB5AB9"/>
    <w:rsid w:val="00DE35AB"/>
    <w:rsid w:val="00DF3596"/>
    <w:rsid w:val="00E3117B"/>
    <w:rsid w:val="00E4520A"/>
    <w:rsid w:val="00E45A93"/>
    <w:rsid w:val="00E55456"/>
    <w:rsid w:val="00EA2C34"/>
    <w:rsid w:val="00EA4670"/>
    <w:rsid w:val="00EB7424"/>
    <w:rsid w:val="00ED3ED2"/>
    <w:rsid w:val="00ED7702"/>
    <w:rsid w:val="00EF597D"/>
    <w:rsid w:val="00F14047"/>
    <w:rsid w:val="00F533B4"/>
    <w:rsid w:val="00F56B3D"/>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mena.org.eg/news/dbcall/table/textnews/id/10451320" TargetMode="External"/><Relationship Id="rId13" Type="http://schemas.openxmlformats.org/officeDocument/2006/relationships/hyperlink" Target="https://www.endcorporalpunishment.org/wp-content/uploads/country-reports/Egypt.pdf" TargetMode="External"/><Relationship Id="rId18" Type="http://schemas.openxmlformats.org/officeDocument/2006/relationships/hyperlink" Target="https://www.unicef.org/egypt/ar/health" TargetMode="External"/><Relationship Id="rId26" Type="http://schemas.openxmlformats.org/officeDocument/2006/relationships/hyperlink" Target="https://tinyurl.com/4kavnsh4" TargetMode="External"/><Relationship Id="rId3" Type="http://schemas.openxmlformats.org/officeDocument/2006/relationships/hyperlink" Target="https://tinyurl.com/mvmce5fx" TargetMode="External"/><Relationship Id="rId21" Type="http://schemas.openxmlformats.org/officeDocument/2006/relationships/hyperlink" Target="https://kulalusra.ae/talks/spotlight/2024/02/14/a298382" TargetMode="External"/><Relationship Id="rId7" Type="http://schemas.openxmlformats.org/officeDocument/2006/relationships/hyperlink" Target="https://tinyurl.com/24tab7en" TargetMode="External"/><Relationship Id="rId12" Type="http://schemas.openxmlformats.org/officeDocument/2006/relationships/hyperlink" Target="https://m.elwatannews.com/data/iframe/pdf/14325298321514283518.pdf" TargetMode="External"/><Relationship Id="rId17" Type="http://schemas.openxmlformats.org/officeDocument/2006/relationships/hyperlink" Target="http://tinyurl.com/3wnvjf7k" TargetMode="External"/><Relationship Id="rId25" Type="http://schemas.openxmlformats.org/officeDocument/2006/relationships/hyperlink" Target="https://manassa.news/news/16203" TargetMode="External"/><Relationship Id="rId2" Type="http://schemas.openxmlformats.org/officeDocument/2006/relationships/hyperlink" Target="https://manshurat.org/node/14675" TargetMode="External"/><Relationship Id="rId16" Type="http://schemas.openxmlformats.org/officeDocument/2006/relationships/hyperlink" Target="https://www.moss.gov.eg/ar-eg/Pages/news-details.aspx?nid=2697" TargetMode="External"/><Relationship Id="rId20" Type="http://schemas.openxmlformats.org/officeDocument/2006/relationships/hyperlink" Target="https://www.international-divorce.com/State-Department-Report:-Egypt-and-Child-Abduction" TargetMode="External"/><Relationship Id="rId29" Type="http://schemas.openxmlformats.org/officeDocument/2006/relationships/hyperlink" Target="https://www.almasryalyoum.com/news/details/2882687" TargetMode="External"/><Relationship Id="rId1" Type="http://schemas.openxmlformats.org/officeDocument/2006/relationships/hyperlink" Target="https://tinyurl.com/24tab7en" TargetMode="External"/><Relationship Id="rId6" Type="http://schemas.openxmlformats.org/officeDocument/2006/relationships/hyperlink" Target="https://tinyurl.com/5yrbwwe7" TargetMode="External"/><Relationship Id="rId11" Type="http://schemas.openxmlformats.org/officeDocument/2006/relationships/hyperlink" Target="https://m.elwatannews.com/data/iframe/pdf/14325298321514283518.pdf" TargetMode="External"/><Relationship Id="rId24" Type="http://schemas.openxmlformats.org/officeDocument/2006/relationships/hyperlink" Target="http://tinyurl.com/23rzd599" TargetMode="External"/><Relationship Id="rId5" Type="http://schemas.openxmlformats.org/officeDocument/2006/relationships/hyperlink" Target="https://adsero.me/amendments-to-the-egyptian-child-law/" TargetMode="External"/><Relationship Id="rId15" Type="http://schemas.openxmlformats.org/officeDocument/2006/relationships/hyperlink" Target="https://tinyurl.com/yczwzsnp" TargetMode="External"/><Relationship Id="rId23" Type="http://schemas.openxmlformats.org/officeDocument/2006/relationships/hyperlink" Target="http://tinyurl.com/2dtfectp" TargetMode="External"/><Relationship Id="rId28" Type="http://schemas.openxmlformats.org/officeDocument/2006/relationships/hyperlink" Target="https://www.dol.gov/sites/dolgov/files/ILAB/child_labor_reports/tda2022/Egypt.pdf" TargetMode="External"/><Relationship Id="rId10" Type="http://schemas.openxmlformats.org/officeDocument/2006/relationships/hyperlink" Target="https://tinyurl.com/23h4dvu7" TargetMode="External"/><Relationship Id="rId19" Type="http://schemas.openxmlformats.org/officeDocument/2006/relationships/hyperlink" Target="https://www.elwatannews.com/news/details/7136803" TargetMode="External"/><Relationship Id="rId4" Type="http://schemas.openxmlformats.org/officeDocument/2006/relationships/hyperlink" Target="https://sschr.gov.eg/media/sljpzdue/hrd-7-2020-en.pdf" TargetMode="External"/><Relationship Id="rId9" Type="http://schemas.openxmlformats.org/officeDocument/2006/relationships/hyperlink" Target="https://tinyurl.com/2s4xdkz2" TargetMode="External"/><Relationship Id="rId14" Type="http://schemas.openxmlformats.org/officeDocument/2006/relationships/hyperlink" Target="https://www.cabinet.gov.eg/News/Details/74903" TargetMode="External"/><Relationship Id="rId22" Type="http://schemas.openxmlformats.org/officeDocument/2006/relationships/hyperlink" Target="https://www.international-divorce.com/State-Department-Report:-Egypt-and-Child-Abduction" TargetMode="External"/><Relationship Id="rId27" Type="http://schemas.openxmlformats.org/officeDocument/2006/relationships/hyperlink" Target="https://tinyurl.com/38vnw2m2" TargetMode="External"/><Relationship Id="rId30" Type="http://schemas.openxmlformats.org/officeDocument/2006/relationships/hyperlink" Target="https://tinyurl.com/4ttrm44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E91EC-12DF-45E3-9783-3D75A61B5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6419</Words>
  <Characters>36593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James Boit</cp:lastModifiedBy>
  <cp:revision>2</cp:revision>
  <dcterms:created xsi:type="dcterms:W3CDTF">2024-04-21T11:10:00Z</dcterms:created>
  <dcterms:modified xsi:type="dcterms:W3CDTF">2024-04-21T11:10:00Z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