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D714C" w14:paraId="0BF50941" w14:textId="77777777">
        <w:trPr>
          <w:cantSplit/>
          <w:trHeight w:hRule="exact" w:val="851"/>
        </w:trPr>
        <w:tc>
          <w:tcPr>
            <w:tcW w:w="1276" w:type="dxa"/>
            <w:tcBorders>
              <w:bottom w:val="single" w:sz="4" w:space="0" w:color="auto"/>
            </w:tcBorders>
            <w:vAlign w:val="bottom"/>
          </w:tcPr>
          <w:p w14:paraId="044BF006" w14:textId="77777777" w:rsidR="006D2FB1" w:rsidRDefault="006D2FB1">
            <w:pPr>
              <w:spacing w:after="80"/>
            </w:pPr>
          </w:p>
        </w:tc>
        <w:tc>
          <w:tcPr>
            <w:tcW w:w="2268" w:type="dxa"/>
            <w:tcBorders>
              <w:bottom w:val="single" w:sz="4" w:space="0" w:color="auto"/>
            </w:tcBorders>
            <w:vAlign w:val="bottom"/>
          </w:tcPr>
          <w:p w14:paraId="7043D0EC" w14:textId="4D93CB49" w:rsidR="006D2FB1" w:rsidRDefault="006D2FB1">
            <w:pPr>
              <w:spacing w:after="80" w:line="300" w:lineRule="exact"/>
              <w:rPr>
                <w:b/>
                <w:sz w:val="24"/>
                <w:szCs w:val="24"/>
              </w:rPr>
            </w:pPr>
          </w:p>
        </w:tc>
        <w:tc>
          <w:tcPr>
            <w:tcW w:w="6095" w:type="dxa"/>
            <w:gridSpan w:val="2"/>
            <w:tcBorders>
              <w:bottom w:val="single" w:sz="4" w:space="0" w:color="auto"/>
            </w:tcBorders>
            <w:vAlign w:val="bottom"/>
          </w:tcPr>
          <w:p w14:paraId="74B2D728" w14:textId="3B73BC4F" w:rsidR="006D2FB1" w:rsidRDefault="000D5604">
            <w:pPr>
              <w:suppressAutoHyphens w:val="0"/>
              <w:spacing w:after="20"/>
              <w:jc w:val="right"/>
            </w:pPr>
            <w:r>
              <w:rPr>
                <w:sz w:val="40"/>
              </w:rPr>
              <w:t>CEDAW</w:t>
            </w:r>
            <w:r>
              <w:t>/C/</w:t>
            </w:r>
            <w:r w:rsidR="00672924">
              <w:t>EGY</w:t>
            </w:r>
            <w:r>
              <w:t>/1</w:t>
            </w:r>
            <w:r w:rsidR="00672924">
              <w:t>1</w:t>
            </w:r>
          </w:p>
        </w:tc>
      </w:tr>
      <w:tr w:rsidR="003D714C" w14:paraId="528284CD" w14:textId="77777777">
        <w:trPr>
          <w:cantSplit/>
          <w:trHeight w:hRule="exact" w:val="2835"/>
        </w:trPr>
        <w:tc>
          <w:tcPr>
            <w:tcW w:w="1276" w:type="dxa"/>
            <w:tcBorders>
              <w:top w:val="single" w:sz="4" w:space="0" w:color="auto"/>
              <w:bottom w:val="single" w:sz="12" w:space="0" w:color="auto"/>
            </w:tcBorders>
          </w:tcPr>
          <w:p w14:paraId="5270AF7F" w14:textId="39EA840A" w:rsidR="006D2FB1" w:rsidRDefault="006D2FB1">
            <w:pPr>
              <w:spacing w:before="120"/>
              <w:jc w:val="center"/>
            </w:pPr>
          </w:p>
        </w:tc>
        <w:tc>
          <w:tcPr>
            <w:tcW w:w="5528" w:type="dxa"/>
            <w:gridSpan w:val="2"/>
            <w:tcBorders>
              <w:top w:val="single" w:sz="4" w:space="0" w:color="auto"/>
              <w:bottom w:val="single" w:sz="12" w:space="0" w:color="auto"/>
            </w:tcBorders>
          </w:tcPr>
          <w:p w14:paraId="48096D68" w14:textId="450C83C3" w:rsidR="006D2FB1" w:rsidRDefault="00403CFF">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2CB7198E" w14:textId="77777777" w:rsidR="006D2FB1" w:rsidRPr="004D1712" w:rsidRDefault="000D5604">
            <w:pPr>
              <w:suppressAutoHyphens w:val="0"/>
              <w:spacing w:before="240" w:line="240" w:lineRule="exact"/>
              <w:rPr>
                <w:lang w:val="en-US"/>
              </w:rPr>
            </w:pPr>
            <w:r w:rsidRPr="004D1712">
              <w:rPr>
                <w:lang w:val="en-US"/>
              </w:rPr>
              <w:t>Distr.: General</w:t>
            </w:r>
          </w:p>
          <w:p w14:paraId="075C3036" w14:textId="3105C1FD" w:rsidR="006D2FB1" w:rsidRPr="004D1712" w:rsidRDefault="00672924">
            <w:pPr>
              <w:suppressAutoHyphens w:val="0"/>
              <w:rPr>
                <w:lang w:val="en-US"/>
              </w:rPr>
            </w:pPr>
            <w:r>
              <w:rPr>
                <w:lang w:val="en-US"/>
              </w:rPr>
              <w:t>23</w:t>
            </w:r>
            <w:r w:rsidR="00446122" w:rsidRPr="004D1712">
              <w:rPr>
                <w:lang w:val="en-US"/>
              </w:rPr>
              <w:t xml:space="preserve"> </w:t>
            </w:r>
            <w:r>
              <w:rPr>
                <w:lang w:val="en-US"/>
              </w:rPr>
              <w:t>January</w:t>
            </w:r>
            <w:r w:rsidR="00446122" w:rsidRPr="004D1712">
              <w:rPr>
                <w:lang w:val="en-US"/>
              </w:rPr>
              <w:t xml:space="preserve"> 202</w:t>
            </w:r>
            <w:r>
              <w:rPr>
                <w:lang w:val="en-US"/>
              </w:rPr>
              <w:t>6</w:t>
            </w:r>
          </w:p>
          <w:p w14:paraId="76B23000" w14:textId="77777777" w:rsidR="006D2FB1" w:rsidRPr="004D1712" w:rsidRDefault="006D2FB1">
            <w:pPr>
              <w:suppressAutoHyphens w:val="0"/>
              <w:rPr>
                <w:lang w:val="en-US"/>
              </w:rPr>
            </w:pPr>
          </w:p>
          <w:p w14:paraId="2CE86C88" w14:textId="5B64B8AE" w:rsidR="006D2FB1" w:rsidRPr="004D1712" w:rsidRDefault="000D5604">
            <w:pPr>
              <w:suppressAutoHyphens w:val="0"/>
              <w:rPr>
                <w:lang w:val="en-US"/>
              </w:rPr>
            </w:pPr>
            <w:r w:rsidRPr="004D1712">
              <w:rPr>
                <w:lang w:val="en-US"/>
              </w:rPr>
              <w:t xml:space="preserve">Original: </w:t>
            </w:r>
            <w:r w:rsidR="00672924">
              <w:rPr>
                <w:lang w:val="en-US"/>
              </w:rPr>
              <w:t>Arabic</w:t>
            </w:r>
          </w:p>
          <w:p w14:paraId="6B98730C" w14:textId="32B6EEC2" w:rsidR="006D2FB1" w:rsidRDefault="00BB0A26">
            <w:pPr>
              <w:suppressAutoHyphens w:val="0"/>
            </w:pPr>
            <w:r>
              <w:t xml:space="preserve">Arabic, </w:t>
            </w:r>
            <w:r w:rsidR="00446122">
              <w:t>English, French and Spanish only</w:t>
            </w:r>
          </w:p>
        </w:tc>
      </w:tr>
    </w:tbl>
    <w:p w14:paraId="742D869C" w14:textId="77777777" w:rsidR="006D2FB1" w:rsidRDefault="000D5604">
      <w:pPr>
        <w:spacing w:before="120"/>
        <w:rPr>
          <w:b/>
          <w:sz w:val="24"/>
        </w:rPr>
      </w:pPr>
      <w:r>
        <w:rPr>
          <w:b/>
          <w:sz w:val="24"/>
          <w:szCs w:val="24"/>
        </w:rPr>
        <w:t xml:space="preserve">Committee on the Elimination of Discrimination </w:t>
      </w:r>
      <w:r>
        <w:rPr>
          <w:b/>
          <w:sz w:val="24"/>
          <w:szCs w:val="24"/>
        </w:rPr>
        <w:br/>
        <w:t>against Women</w:t>
      </w:r>
    </w:p>
    <w:p w14:paraId="1191FC38" w14:textId="72535E3F" w:rsidR="006D2FB1" w:rsidRDefault="000D5604">
      <w:pPr>
        <w:pStyle w:val="HMG"/>
      </w:pPr>
      <w:r>
        <w:tab/>
      </w:r>
      <w:r>
        <w:tab/>
      </w:r>
      <w:r w:rsidR="00BB0A26">
        <w:t>Eleventh</w:t>
      </w:r>
      <w:r w:rsidR="00A065FD">
        <w:t xml:space="preserve"> periodic report</w:t>
      </w:r>
      <w:r w:rsidR="00E67615">
        <w:t xml:space="preserve"> </w:t>
      </w:r>
      <w:r>
        <w:t xml:space="preserve">submitted by </w:t>
      </w:r>
      <w:r w:rsidR="00B86B15">
        <w:t>Egypt</w:t>
      </w:r>
      <w:r>
        <w:t xml:space="preserve"> under article 18 of the Convention, due in </w:t>
      </w:r>
      <w:r w:rsidR="004A3BCC">
        <w:t>2025</w:t>
      </w:r>
      <w:r>
        <w:rPr>
          <w:rStyle w:val="FootnoteReference"/>
          <w:b w:val="0"/>
          <w:sz w:val="20"/>
          <w:vertAlign w:val="baseline"/>
        </w:rPr>
        <w:footnoteReference w:customMarkFollows="1" w:id="2"/>
        <w:t>*</w:t>
      </w:r>
    </w:p>
    <w:p w14:paraId="2885B967" w14:textId="10E4DDE2" w:rsidR="006D2FB1" w:rsidRPr="00601486" w:rsidRDefault="000D5604">
      <w:pPr>
        <w:pStyle w:val="SingleTxtG"/>
        <w:jc w:val="right"/>
        <w:rPr>
          <w:lang w:val="ru-RU"/>
        </w:rPr>
      </w:pPr>
      <w:r w:rsidRPr="00601486">
        <w:rPr>
          <w:lang w:val="ru-RU"/>
        </w:rPr>
        <w:t>[</w:t>
      </w:r>
      <w:r>
        <w:t>Date</w:t>
      </w:r>
      <w:r w:rsidRPr="00601486">
        <w:rPr>
          <w:lang w:val="ru-RU"/>
        </w:rPr>
        <w:t xml:space="preserve"> </w:t>
      </w:r>
      <w:r>
        <w:t>received</w:t>
      </w:r>
      <w:r w:rsidRPr="00601486">
        <w:rPr>
          <w:lang w:val="ru-RU"/>
        </w:rPr>
        <w:t>:</w:t>
      </w:r>
      <w:r w:rsidRPr="00601486">
        <w:rPr>
          <w:color w:val="FF0000"/>
          <w:lang w:val="ru-RU"/>
        </w:rPr>
        <w:t xml:space="preserve"> </w:t>
      </w:r>
      <w:r w:rsidR="003550D0">
        <w:rPr>
          <w:lang w:val="en-US"/>
        </w:rPr>
        <w:t>22 January 2026</w:t>
      </w:r>
      <w:r w:rsidRPr="00601486">
        <w:rPr>
          <w:lang w:val="ru-RU"/>
        </w:rPr>
        <w:t>]</w:t>
      </w:r>
    </w:p>
    <w:p w14:paraId="33995745" w14:textId="41CF842B" w:rsidR="000A5AB5" w:rsidRPr="00601486" w:rsidRDefault="000A5AB5">
      <w:pPr>
        <w:suppressAutoHyphens w:val="0"/>
        <w:spacing w:after="200" w:line="276" w:lineRule="auto"/>
        <w:rPr>
          <w:rFonts w:eastAsiaTheme="minorHAnsi"/>
          <w:lang w:val="ru-RU"/>
        </w:rPr>
      </w:pPr>
      <w:r w:rsidRPr="00601486">
        <w:rPr>
          <w:lang w:val="ru-RU"/>
        </w:rPr>
        <w:br w:type="page"/>
      </w:r>
    </w:p>
    <w:p w14:paraId="6C9391DB" w14:textId="77777777" w:rsidR="00016B7B" w:rsidRPr="00016B7B" w:rsidRDefault="00601486" w:rsidP="00016B7B">
      <w:pPr>
        <w:bidi/>
        <w:spacing w:line="240" w:lineRule="auto"/>
        <w:contextualSpacing/>
        <w:mirrorIndents/>
        <w:jc w:val="center"/>
        <w:rPr>
          <w:rFonts w:ascii="Traditional Arabic" w:eastAsia="Calibri" w:hAnsi="Traditional Arabic" w:cs="Traditional Arabic"/>
          <w:b/>
          <w:bCs/>
          <w:sz w:val="28"/>
          <w:szCs w:val="28"/>
          <w:rtl/>
          <w:lang w:val="en-US"/>
        </w:rPr>
      </w:pPr>
      <w:r w:rsidRPr="00672924">
        <w:rPr>
          <w:lang w:val="ru-RU"/>
        </w:rPr>
        <w:lastRenderedPageBreak/>
        <w:tab/>
      </w:r>
      <w:r w:rsidRPr="00672924">
        <w:rPr>
          <w:lang w:val="ru-RU"/>
        </w:rPr>
        <w:tab/>
      </w:r>
      <w:r w:rsidR="00016B7B" w:rsidRPr="00016B7B">
        <w:rPr>
          <w:rFonts w:ascii="Traditional Arabic" w:eastAsia="Calibri" w:hAnsi="Traditional Arabic" w:cs="Traditional Arabic"/>
          <w:b/>
          <w:bCs/>
          <w:sz w:val="28"/>
          <w:szCs w:val="28"/>
          <w:rtl/>
          <w:lang w:val="en-US"/>
        </w:rPr>
        <w:t>التقرير الدوري الحادي عشر لجمهورية مصر العربية</w:t>
      </w:r>
    </w:p>
    <w:p w14:paraId="744F6A61" w14:textId="77777777" w:rsidR="00016B7B" w:rsidRPr="00016B7B" w:rsidRDefault="00016B7B" w:rsidP="00016B7B">
      <w:pPr>
        <w:suppressAutoHyphens w:val="0"/>
        <w:bidi/>
        <w:spacing w:line="240" w:lineRule="auto"/>
        <w:contextualSpacing/>
        <w:mirrorIndents/>
        <w:jc w:val="center"/>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بموجب المادة 18 من الاتفاقية</w:t>
      </w:r>
    </w:p>
    <w:p w14:paraId="25B0F3C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108468AB" w14:textId="77777777" w:rsidR="00016B7B" w:rsidRPr="00016B7B" w:rsidRDefault="00016B7B" w:rsidP="00BC00B9">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في إطار حرص مصر على التعاون مع الآليات الدولية لحقوق الإنسان، وتعبيرًا عن رغبتها في الوفاء بالتزاماتها التعاهدية، تتقدم مصر تقريرها الدوري الحادي عشر إلي لجنة القضاء على جميع أشكال التمييز ضد المرأة، وذلك انطلاقا من حرصها على تنفيذ التزاماتها بموجب الاتفاقية، ويستعرض التقرير أبرز التطورات التي شهدتها الفترة التي يغطيها التقرير (2021 -2025) في مجال إعمال أحكام الاتفاقية على مستوى التشريعات والممارسات والسياسات 2025 مع مراعاة جميع ملاحظات اللجنة على التقرير السابق، والتى سوف نشير إلى كل منها في موضعه.</w:t>
      </w:r>
    </w:p>
    <w:p w14:paraId="42B02005"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وقد أعد التقرير اللجنة العليا الدائمة لحقوق الإنسان، التى بدأت مباشرة مهامها اعتبارًا من مطلع العام 2020، وتضم تلك اللجنة التي أنُشئت بموجب قرار من رئاسة مجلس الوزراء كافة الوزارات والهيئات الحكومية المعنية بحقوق الإنسان وترأسها وزارة الخارجية، وتختص اللجنة بمتابعة تنفيذ مصر لالتزاماتها الدولية الناشئة عن أحكام الاتفاقيات والبروتوكولات الدولية ذات الصلة، واقتراح التدابير والإجراءات التشريعية اللازمة، حيث تعمل أمانتها الفنية على جمع البيانات والمعلومات وتحليلها، وإعداد قاعدة بيانات للتوصيات الصادرة لمصر عن الآليات الدولية والإقليمية، ومتابعة التقدم المحرز بشأنها، فضلاً عن مراجعة التشريعات والسياسات التنفيذية المتعلقة بحقوق الإنسان، ومتابعة تنفيذ الاستراتيجية الوطنية لحقوق الإنسان. كما تقوم اللجنة بتقديم الدعم الفني لمختلف الجهات الوطنية لاسيما فيما يتعلق بإنشاء وحدات مختصة بحقوق الإنسان داخل الوزارات والمحافظات، وتوفير التدريب اللازم لنشر ثقافة حقوق الإنسان وتضمينها في مختلف السياسات والبرامج ذات الصلة</w:t>
      </w:r>
      <w:r w:rsidRPr="00016B7B">
        <w:rPr>
          <w:rFonts w:ascii="Traditional Arabic" w:eastAsia="Calibri" w:hAnsi="Traditional Arabic" w:cs="Traditional Arabic"/>
          <w:sz w:val="28"/>
          <w:szCs w:val="28"/>
          <w:rtl/>
          <w:lang w:val="en-US" w:bidi="ar-EG"/>
        </w:rPr>
        <w:t xml:space="preserve">، </w:t>
      </w:r>
      <w:r w:rsidRPr="00016B7B">
        <w:rPr>
          <w:rFonts w:ascii="Traditional Arabic" w:eastAsia="Calibri" w:hAnsi="Traditional Arabic" w:cs="Traditional Arabic"/>
          <w:sz w:val="28"/>
          <w:szCs w:val="28"/>
          <w:rtl/>
          <w:lang w:val="en-US"/>
        </w:rPr>
        <w:t>وتعمل اللجنة كإطار وطني مستدام للتنسيق بين الوزارات والجهات الوطنية، وكذلك التعاون مع مختلف الآليات الدولية والإقليمية لحقوق الإنسان، وقد أعد التقرير بالتعاون الوثيق مع المجلس القومي للمرأة باعتباره الجهاز الوطني المستقل المعني بتمكين المرأة، حيث يتمتع المجلس بالشخصية الاعتبارية والاستقلال الفني والمالي والإداري، ويتبع مباشرة السيد رئيس الجمهورية، والمجلس صاحب الدور الرئيسي في رسم وتنفيذ السياسات الوطنية الخاصة بالمرأة.</w:t>
      </w:r>
    </w:p>
    <w:p w14:paraId="79C9269F"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وتمت عملية إعداد التقرير الوطني الدوري نتيجة عملية تنسيق مع مختلف الوزارات والجهات الوطنية والمجالس القومية المتخصصة المجلس القومي للطفولة والأمومة، المجلس القومي للمرأة، والمجلس القومي للأشخاص ذوي الإعاقة، وتم التعاون مع مركز المعلومات ودعم اتخاذ القرار التابع لرئاسة مجلس الوزراء، والجهاز المركزي للتعبئة العامة والإحصاء، والمجلس القومي للسكان. كما تم التشاور مع المجلس القومي لحقوق الإنسان بوصفه المؤسسات الوطنية لحقوق الإنسان، ومنظمات المجتمع المدني المعنية بقضايا المرأة وحقوق الإنسان.</w:t>
      </w:r>
    </w:p>
    <w:p w14:paraId="34DB948E"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وشهدت الفترة التي يغطيها التقرير إطلاق الاستراتيجية الوطنية الأولى لحقوق الإنسان (2021 - 2026) التي تم إطلاقها في سبتمبر 2021 والتي أعدتها اللجنة العليا الدائمة لحقوق الإنسان كأول استراتيجية وطنية لحقوق الإنسان في مصر، وتأسست الاستراتيجية على رؤية تهدف إلى مواصلة الجهود الرامية لتعزيز وحماية حقوق الإنسان وفقا للدستور والقوانين الوطنية واتساقاً مع التزامات مصر الدولية، وتتضمن الاستراتيجية أربعة محاور: الحقوق المدنية والسياسية، الاقتصادية والاجتماعية والثقافية، حقوق الإنسان للمرأة والطفل، الأشخاص ذوي الإعاقة، الشباب وكبار السن، التثقيف وبناء القدرات في مجال حقوق الإنسان. تسعى الاستراتيجية إلى إحراز تقدم في ثلاثة</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مسارات متوازية هي: التطوير التشريعي، التطوير المؤسسي، التثقيف وبناء القدرات.</w:t>
      </w:r>
      <w:r w:rsidRPr="00016B7B">
        <w:rPr>
          <w:rFonts w:ascii="Traditional Arabic" w:eastAsia="Calibri" w:hAnsi="Traditional Arabic" w:cs="Traditional Arabic"/>
          <w:sz w:val="28"/>
          <w:szCs w:val="28"/>
          <w:lang w:val="en-US"/>
        </w:rPr>
        <w:t xml:space="preserve"> </w:t>
      </w:r>
    </w:p>
    <w:p w14:paraId="66DEC98D"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استندت الاستراتيجية على عـدد من المبادئ الأساسية المنصـوص عليها فـي الدستور، والمستقرة في قضاء المحاكم العليا، والمتضمنة في الاتفاقيات الدولية والإقليمية لحقوق الإنسان، من بينها عدم التمييز، وكفالة حقوق الإنسان في إطار من المساواة، وتكافؤ الفرص، واحترام مبدأ المواطنة</w:t>
      </w:r>
      <w:r w:rsidRPr="00016B7B">
        <w:rPr>
          <w:rFonts w:ascii="Traditional Arabic" w:eastAsia="Calibri" w:hAnsi="Traditional Arabic" w:cs="Traditional Arabic"/>
          <w:sz w:val="28"/>
          <w:szCs w:val="28"/>
          <w:lang w:val="en-US"/>
        </w:rPr>
        <w:t>.</w:t>
      </w:r>
    </w:p>
    <w:p w14:paraId="0BE70862"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وأُطلقت الاستراتيجية بحضور السيد رئيس الجمهورية بما يعكس حجم الاهتمام الذي توليه الدولة للالتزام بتنفيذ مستهدفات هذه الاستراتيجية، والتي تم إعدادها وفقاً لنهج تشاوري ضم كافة الوزارات والجهات الحكومية، والمنظمات غير الحكومية حيث تم عقد جلسات </w:t>
      </w:r>
      <w:r w:rsidRPr="00016B7B">
        <w:rPr>
          <w:rFonts w:ascii="Traditional Arabic" w:eastAsia="Calibri" w:hAnsi="Traditional Arabic" w:cs="Traditional Arabic"/>
          <w:sz w:val="28"/>
          <w:szCs w:val="28"/>
          <w:rtl/>
          <w:lang w:val="en-US"/>
        </w:rPr>
        <w:lastRenderedPageBreak/>
        <w:t>استماع مع ممثلي المجتمع المدني، وبالاستفادة من التجارب الدولية والممارسات الفضلى في العديد من دول العالم. تم إصدار أربع تقارير دورية سنوية لمتابعة تنفيذ الاستراتيجية.</w:t>
      </w:r>
    </w:p>
    <w:p w14:paraId="3939492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65B7534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التطورات التشريعية المتعلقة بتطبيق الاتفاقية خلال الفترة التي يغطيها التقرير</w:t>
      </w:r>
    </w:p>
    <w:p w14:paraId="4503826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(189) لعام 2020 بتعديل بعض أحكام قانون العقوبات، لوضع جزاء عقابي لجرائم التنمر.</w:t>
      </w:r>
    </w:p>
    <w:p w14:paraId="32AF2DB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(151) لعام 2020 بشأن حماية البيانات الشخصية.</w:t>
      </w:r>
    </w:p>
    <w:p w14:paraId="0579C670"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قرار رئيس مجلس الوزراء لعام 2021 بإنشاء الوحدة المجمعة لحماية المرأة من العنف.</w:t>
      </w:r>
    </w:p>
    <w:p w14:paraId="2BBE5AF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(10) لعام 2021 بتعديل قانون العقوبات ليتضمن تشديد العقوبة على من يجرى ختانا لأنثى</w:t>
      </w:r>
      <w:r w:rsidRPr="00016B7B">
        <w:rPr>
          <w:rFonts w:ascii="Traditional Arabic" w:eastAsia="Calibri" w:hAnsi="Traditional Arabic" w:cs="Traditional Arabic"/>
          <w:sz w:val="28"/>
          <w:szCs w:val="28"/>
          <w:lang w:val="en-US"/>
        </w:rPr>
        <w:t xml:space="preserve">. </w:t>
      </w:r>
    </w:p>
    <w:p w14:paraId="40B4192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(141) لعام 2021، بتعديل قانون العقوبات لمواجهة التحرش الجنسي</w:t>
      </w:r>
      <w:r w:rsidRPr="00016B7B">
        <w:rPr>
          <w:rFonts w:ascii="Traditional Arabic" w:eastAsia="Calibri" w:hAnsi="Traditional Arabic" w:cs="Traditional Arabic"/>
          <w:sz w:val="28"/>
          <w:szCs w:val="28"/>
          <w:lang w:val="en-US"/>
        </w:rPr>
        <w:t xml:space="preserve">. </w:t>
      </w:r>
    </w:p>
    <w:p w14:paraId="5836F20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 القانون رقم (22) لعام </w:t>
      </w:r>
      <w:r w:rsidRPr="00016B7B">
        <w:rPr>
          <w:rFonts w:ascii="Traditional Arabic" w:eastAsia="Calibri" w:hAnsi="Traditional Arabic" w:cs="Traditional Arabic"/>
          <w:sz w:val="28"/>
          <w:szCs w:val="28"/>
          <w:rtl/>
          <w:lang w:val="en-US" w:bidi="fa-IR"/>
        </w:rPr>
        <w:t>۲۰۲۲</w:t>
      </w:r>
      <w:r w:rsidRPr="00016B7B">
        <w:rPr>
          <w:rFonts w:ascii="Traditional Arabic" w:eastAsia="Calibri" w:hAnsi="Traditional Arabic" w:cs="Traditional Arabic"/>
          <w:sz w:val="28"/>
          <w:szCs w:val="28"/>
          <w:rtl/>
          <w:lang w:val="en-US"/>
        </w:rPr>
        <w:t xml:space="preserve"> بشأن تعديل بعض أحكام قانون مكافحة الهجرة غير الشرعية وتهريب المهاجرين الصادر بالقانون رقم (82) لعام </w:t>
      </w:r>
      <w:r w:rsidRPr="00016B7B">
        <w:rPr>
          <w:rFonts w:ascii="Traditional Arabic" w:eastAsia="Calibri" w:hAnsi="Traditional Arabic" w:cs="Traditional Arabic"/>
          <w:sz w:val="28"/>
          <w:szCs w:val="28"/>
          <w:rtl/>
          <w:lang w:val="en-US" w:bidi="fa-IR"/>
        </w:rPr>
        <w:t>۲۰۱</w:t>
      </w:r>
      <w:r w:rsidRPr="00016B7B">
        <w:rPr>
          <w:rFonts w:ascii="Traditional Arabic" w:eastAsia="Calibri" w:hAnsi="Traditional Arabic" w:cs="Traditional Arabic"/>
          <w:sz w:val="28"/>
          <w:szCs w:val="28"/>
          <w:rtl/>
          <w:lang w:val="en-US"/>
        </w:rPr>
        <w:t>٦</w:t>
      </w:r>
      <w:r w:rsidRPr="00016B7B">
        <w:rPr>
          <w:rFonts w:ascii="Traditional Arabic" w:eastAsia="Calibri" w:hAnsi="Traditional Arabic" w:cs="Traditional Arabic"/>
          <w:sz w:val="28"/>
          <w:szCs w:val="28"/>
          <w:lang w:val="en-US"/>
        </w:rPr>
        <w:t xml:space="preserve">. </w:t>
      </w:r>
    </w:p>
    <w:p w14:paraId="4EF0854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(165) لعام 2022 بتعديل بعض أحكام القانون رقم (143) لعام 1994 في شأن الأحوال المدنية لخفض السن القانونية للتقدم بطلب الحصول على بطاقة تحقيق الشخصية، إلى خمسة عشر عامًا، بدلًا من ستة عشر</w:t>
      </w:r>
      <w:r w:rsidRPr="00016B7B">
        <w:rPr>
          <w:rFonts w:ascii="Traditional Arabic" w:eastAsia="Calibri" w:hAnsi="Traditional Arabic" w:cs="Traditional Arabic"/>
          <w:sz w:val="28"/>
          <w:szCs w:val="28"/>
          <w:lang w:val="en-US"/>
        </w:rPr>
        <w:t xml:space="preserve">. </w:t>
      </w:r>
    </w:p>
    <w:p w14:paraId="7C35191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(14) لعام 2022 بتعديل بعض أحكام القانون رقم (396) لعام 1956 في شأن تنظيم السجون</w:t>
      </w:r>
      <w:r w:rsidRPr="00016B7B">
        <w:rPr>
          <w:rFonts w:ascii="Traditional Arabic" w:eastAsia="Calibri" w:hAnsi="Traditional Arabic" w:cs="Traditional Arabic"/>
          <w:sz w:val="28"/>
          <w:szCs w:val="28"/>
          <w:lang w:val="en-US"/>
        </w:rPr>
        <w:t xml:space="preserve">. </w:t>
      </w:r>
    </w:p>
    <w:p w14:paraId="1C1007E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(28) لعام 2023، بتعديل بعض أحكام القانون رقم (26) لعام 1975 المتعلق بمنح الجنسية المصرية لأبناء الأم المصرية</w:t>
      </w:r>
      <w:r w:rsidRPr="00016B7B">
        <w:rPr>
          <w:rFonts w:ascii="Traditional Arabic" w:eastAsia="Calibri" w:hAnsi="Traditional Arabic" w:cs="Traditional Arabic"/>
          <w:sz w:val="28"/>
          <w:szCs w:val="28"/>
          <w:lang w:val="en-US"/>
        </w:rPr>
        <w:t xml:space="preserve">. </w:t>
      </w:r>
    </w:p>
    <w:p w14:paraId="2E0B271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(161) لعام 2023، بدعم "صندوق قادرون ب</w:t>
      </w:r>
      <w:r w:rsidRPr="00016B7B">
        <w:rPr>
          <w:rFonts w:ascii="Traditional Arabic" w:eastAsia="Calibri" w:hAnsi="Traditional Arabic" w:cs="Traditional Arabic"/>
          <w:sz w:val="28"/>
          <w:szCs w:val="28"/>
          <w:rtl/>
          <w:lang w:val="en-US" w:bidi="ar-EG"/>
        </w:rPr>
        <w:t>إ</w:t>
      </w:r>
      <w:r w:rsidRPr="00016B7B">
        <w:rPr>
          <w:rFonts w:ascii="Traditional Arabic" w:eastAsia="Calibri" w:hAnsi="Traditional Arabic" w:cs="Traditional Arabic"/>
          <w:sz w:val="28"/>
          <w:szCs w:val="28"/>
          <w:rtl/>
          <w:lang w:val="en-US"/>
        </w:rPr>
        <w:t>ختلاف" المخصص لدعم الأشخاص ذوى الإعاقة بمليار جنيه</w:t>
      </w:r>
      <w:r w:rsidRPr="00016B7B">
        <w:rPr>
          <w:rFonts w:ascii="Traditional Arabic" w:eastAsia="Calibri" w:hAnsi="Traditional Arabic" w:cs="Traditional Arabic"/>
          <w:sz w:val="28"/>
          <w:szCs w:val="28"/>
          <w:lang w:val="en-US"/>
        </w:rPr>
        <w:t xml:space="preserve">. </w:t>
      </w:r>
    </w:p>
    <w:p w14:paraId="7CE6995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(182) لسنة 2023 بإعادة تنظيم المجلس القومى للطفولة والأمومة، وبموجب التعديلات القانونية تم ترفيع المكانة القانونية للمجلس وتوسيع ولايته، باعتباره مؤسسة دستورية مستقلة</w:t>
      </w:r>
      <w:r w:rsidRPr="00016B7B">
        <w:rPr>
          <w:rFonts w:ascii="Traditional Arabic" w:eastAsia="Calibri" w:hAnsi="Traditional Arabic" w:cs="Traditional Arabic"/>
          <w:sz w:val="28"/>
          <w:szCs w:val="28"/>
          <w:lang w:val="en-US"/>
        </w:rPr>
        <w:t>.</w:t>
      </w:r>
    </w:p>
    <w:p w14:paraId="359529C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 القانون رقم (١٨٥) لعام </w:t>
      </w:r>
      <w:r w:rsidRPr="00016B7B">
        <w:rPr>
          <w:rFonts w:ascii="Traditional Arabic" w:eastAsia="Calibri" w:hAnsi="Traditional Arabic" w:cs="Traditional Arabic"/>
          <w:sz w:val="28"/>
          <w:szCs w:val="28"/>
          <w:rtl/>
          <w:lang w:val="en-US" w:bidi="fa-IR"/>
        </w:rPr>
        <w:t>۲۰۲۳</w:t>
      </w:r>
      <w:r w:rsidRPr="00016B7B">
        <w:rPr>
          <w:rFonts w:ascii="Traditional Arabic" w:eastAsia="Calibri" w:hAnsi="Traditional Arabic" w:cs="Traditional Arabic"/>
          <w:sz w:val="28"/>
          <w:szCs w:val="28"/>
          <w:rtl/>
          <w:lang w:val="en-US"/>
        </w:rPr>
        <w:t xml:space="preserve"> بتعديل بعض أحكام قانون العقوبات، بتعديل المادتين ٣٠٦ مكرر ١ و٣٠٦ مكرر "ب"، لتشديد العقوبة على جريمتي التعرض للغير والتحرش</w:t>
      </w:r>
      <w:r w:rsidRPr="00016B7B">
        <w:rPr>
          <w:rFonts w:ascii="Traditional Arabic" w:eastAsia="Calibri" w:hAnsi="Traditional Arabic" w:cs="Traditional Arabic"/>
          <w:sz w:val="28"/>
          <w:szCs w:val="28"/>
          <w:lang w:val="en-US"/>
        </w:rPr>
        <w:t xml:space="preserve">.  </w:t>
      </w:r>
    </w:p>
    <w:p w14:paraId="367046F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(186) لعام 2023 بتعديل بعض أحكام قانون الطفل لتشديد العقوبة على عدم قيد المواليد</w:t>
      </w:r>
      <w:r w:rsidRPr="00016B7B">
        <w:rPr>
          <w:rFonts w:ascii="Traditional Arabic" w:eastAsia="Calibri" w:hAnsi="Traditional Arabic" w:cs="Traditional Arabic"/>
          <w:sz w:val="28"/>
          <w:szCs w:val="28"/>
          <w:lang w:val="en-US"/>
        </w:rPr>
        <w:t>.</w:t>
      </w:r>
    </w:p>
    <w:p w14:paraId="0C5ED70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(171) لسنة 2023 بشأن إنشاء التحالف الوطني للعمل الأهلي التنموي</w:t>
      </w:r>
      <w:r w:rsidRPr="00016B7B">
        <w:rPr>
          <w:rFonts w:ascii="Traditional Arabic" w:eastAsia="Calibri" w:hAnsi="Traditional Arabic" w:cs="Traditional Arabic"/>
          <w:sz w:val="28"/>
          <w:szCs w:val="28"/>
          <w:lang w:val="en-US"/>
        </w:rPr>
        <w:t>.</w:t>
      </w:r>
    </w:p>
    <w:p w14:paraId="2D6D1AD0"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 لعام 2024 بتعديل قانون الإجراءات الجنائية رقم (150) لعام 1950 الذي يتيح استئناف الأحكام الصادرة من محاكم الجنايات</w:t>
      </w:r>
      <w:r w:rsidRPr="00016B7B">
        <w:rPr>
          <w:rFonts w:ascii="Traditional Arabic" w:eastAsia="Calibri" w:hAnsi="Traditional Arabic" w:cs="Traditional Arabic"/>
          <w:sz w:val="28"/>
          <w:szCs w:val="28"/>
          <w:lang w:val="en-US"/>
        </w:rPr>
        <w:t xml:space="preserve">. </w:t>
      </w:r>
    </w:p>
    <w:p w14:paraId="4DAA788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bidi="ar-EG"/>
        </w:rPr>
        <w:t xml:space="preserve">- </w:t>
      </w:r>
      <w:r w:rsidRPr="00016B7B">
        <w:rPr>
          <w:rFonts w:ascii="Traditional Arabic" w:eastAsia="Calibri" w:hAnsi="Traditional Arabic" w:cs="Traditional Arabic"/>
          <w:sz w:val="28"/>
          <w:szCs w:val="28"/>
          <w:rtl/>
          <w:lang w:val="en-US"/>
        </w:rPr>
        <w:t>القانون رقم (19) لعام 2024 بشأن رعاية حقوق المسنين</w:t>
      </w:r>
      <w:r w:rsidRPr="00016B7B">
        <w:rPr>
          <w:rFonts w:ascii="Traditional Arabic" w:eastAsia="Calibri" w:hAnsi="Traditional Arabic" w:cs="Traditional Arabic"/>
          <w:sz w:val="28"/>
          <w:szCs w:val="28"/>
          <w:lang w:val="en-US"/>
        </w:rPr>
        <w:t>.</w:t>
      </w:r>
    </w:p>
    <w:p w14:paraId="1FDE9A27"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(164) لعام 2024 بشأن لجوء الأجانب.</w:t>
      </w:r>
    </w:p>
    <w:p w14:paraId="39CC8C1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القانون رقم 14 لسنة 2025 بإصدار قانون العمل.</w:t>
      </w:r>
    </w:p>
    <w:p w14:paraId="7727BBA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 القانون رقم 174 لسنة 2025 بإصدار قانون الإجراءات الجنائية. </w:t>
      </w:r>
    </w:p>
    <w:p w14:paraId="4A56D95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00DC0F1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السياسات والتدابير لتوفير قدر أكبر من الحماية لحقوق الإنسان ولتطبيق الاتفاقية، ومنها ما يلي</w:t>
      </w:r>
      <w:r w:rsidRPr="00016B7B">
        <w:rPr>
          <w:rFonts w:ascii="Traditional Arabic" w:eastAsia="Calibri" w:hAnsi="Traditional Arabic" w:cs="Traditional Arabic"/>
          <w:b/>
          <w:bCs/>
          <w:sz w:val="28"/>
          <w:szCs w:val="28"/>
          <w:lang w:val="en-US"/>
        </w:rPr>
        <w:t>:</w:t>
      </w:r>
    </w:p>
    <w:p w14:paraId="153C635E"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أطلقت الحكومة المصرية المشروع القومي لتطوير قرى الريف المصري "حياة كريمة" تم البدء في تنفيذها اعتبارًا من أول يوليو 2021، وينفذ المشروع على ثلاث مراحل تشمل 4500 قرية و28 ألف تابع على مستوى 175 مركزًا في عشرين مُحافظة من محافظات الجمهورية، تصل نسبة الـمُستفيدين منها لنحو 58 % من إجمالي سكان الجمهورية، ويستهدف المشروع تحسين جودة الحياة، ومستوى الخدمات المقدمة عبر عدد من التدخلات المركبة تشمل توفير البنية الأساسية من خدمات مياه الشرب، وخدمات الصرف الصحي، والإسكان، وزيادة عدد </w:t>
      </w:r>
      <w:r w:rsidRPr="00016B7B">
        <w:rPr>
          <w:rFonts w:ascii="Traditional Arabic" w:eastAsia="Calibri" w:hAnsi="Traditional Arabic" w:cs="Traditional Arabic"/>
          <w:sz w:val="28"/>
          <w:szCs w:val="28"/>
          <w:rtl/>
          <w:lang w:val="en-US"/>
        </w:rPr>
        <w:lastRenderedPageBreak/>
        <w:t>المدارس والمراكز الصحية، وتهيئة سُبُل تحسين الدخل وتوفير مُستوى الـمعيشة اللائق للـمُجتمعات الريفيّة، وتُسهِم في تحقيق مُستهدفات الاستراتيجية الوطنية لحقوق الإنسان، وخلال العام 2024 سيتم الإنتهاء من تنفيذ الـمرحلة الأولى مشروع "حياة كريمة" وقد خُصّص لها اعتمادات قدرُها (400) مليار جنيه لتنفيذ مشروعاتها التنموية، وتُغطي الـمرحلة الأولى 1477 قرية في 52 مركزًا ويستفيد من خدماتها نحو 19 مليون نسمة، وتستهدف المرحلة الثانية من المشروع التى تبدأ في العام 2024/2025 والتى يشمل نطاقها الجغرافي تغطية نحو 1667 قرية، وتبلغ تكلفة المرحلة الثانية من المشروع نحو (700) مليار جنيه، وقد تم إدراج "المنظومة الإلكترونية لمتابعة مشروعات مبادرة حياة كريمة" عبر منصة مبادرات تسريع تحقيق أهداف التنمية المستدامة التابعة لإدارة الشئون الاقتصادية والاجتماعية بالأمم المتحدة</w:t>
      </w:r>
      <w:r w:rsidRPr="00016B7B">
        <w:rPr>
          <w:rFonts w:ascii="Traditional Arabic" w:eastAsia="Calibri" w:hAnsi="Traditional Arabic" w:cs="Traditional Arabic"/>
          <w:sz w:val="28"/>
          <w:szCs w:val="28"/>
          <w:lang w:val="en-US"/>
        </w:rPr>
        <w:t xml:space="preserve"> .(UNDESA) </w:t>
      </w:r>
    </w:p>
    <w:p w14:paraId="48BCB77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وخلال الفترة التي يغطيها التقرير تم إصدار وتحديث عدد من الاستراتيجيات الوطنية الرامية لإدماج مبادئ ومفاهيم حقوق الإنسان بمفهومها الشامل في مختلف المجالات ذات الصلة، وقام "مركز المعلومات ودعم اتخاذ القرار" التابع لرئاسة مجلس الوزراء في إطار تطوير المنظومة القومية لمتابعة الاستراتيجيات الوطنية، بحصر مختلف الاستراتيجيات البالغة نحو (90) استراتيجية حتى مايو 2024 لتعزيز عناصر المتابعة والتقييم، ومن بين هذه الاستراتيجيات التى تم اعتمادها وإطلاقها</w:t>
      </w:r>
      <w:r w:rsidRPr="00016B7B">
        <w:rPr>
          <w:rFonts w:ascii="Traditional Arabic" w:eastAsia="Calibri" w:hAnsi="Traditional Arabic" w:cs="Traditional Arabic"/>
          <w:sz w:val="28"/>
          <w:szCs w:val="28"/>
          <w:lang w:val="en-US"/>
        </w:rPr>
        <w:t xml:space="preserve">: </w:t>
      </w:r>
    </w:p>
    <w:p w14:paraId="0AD7E71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تحديث استراتيجية مصر للتنمية المستدامة: رؤية مصر 2030 في نهاية عام 2023، والتي وضعت الإنسان محوراً للتنمية، وتؤكد على الترابط بين أبعاد التنمية المستدامة الاقتصادية والاجتماعية والبيئية، وتتضمن الرؤية عدداً من المؤشرات الاستراتيجية لمتابعة الأداء والتقدم المحرز لكل هدف</w:t>
      </w:r>
      <w:r w:rsidRPr="00016B7B">
        <w:rPr>
          <w:rFonts w:ascii="Traditional Arabic" w:eastAsia="Calibri" w:hAnsi="Traditional Arabic" w:cs="Traditional Arabic"/>
          <w:sz w:val="28"/>
          <w:szCs w:val="28"/>
          <w:lang w:val="en-US"/>
        </w:rPr>
        <w:t>.</w:t>
      </w:r>
    </w:p>
    <w:p w14:paraId="17C8AFF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الاستراتيجية الوطنية لتمكين المرأة 2030.</w:t>
      </w:r>
    </w:p>
    <w:p w14:paraId="0912D44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الخطة الوطنية للمساواة بين الجنسين 2023.</w:t>
      </w:r>
    </w:p>
    <w:p w14:paraId="3266307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الاستراتيجية الوطنية الثالثة لمكافحة ومنع الاتجار بالبشر للفترة 2022-2026</w:t>
      </w:r>
      <w:r w:rsidRPr="00016B7B">
        <w:rPr>
          <w:rFonts w:ascii="Traditional Arabic" w:eastAsia="Calibri" w:hAnsi="Traditional Arabic" w:cs="Traditional Arabic"/>
          <w:sz w:val="28"/>
          <w:szCs w:val="28"/>
          <w:lang w:val="en-US"/>
        </w:rPr>
        <w:t>.</w:t>
      </w:r>
    </w:p>
    <w:p w14:paraId="155EE19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الاستراتيجية الوطنية للرعاية البديلة (2021 – 2030) وتستهدف توفير الرعاية الأسرية أو الكافلة لرعاية وتنشئة الأطفال وحمايتهم، بدلاً من بقائهم في مؤسسات الرعاية وفقاً للمبادئ التوجيهية للرعاية البديلة للأطفال الصادرة في 2009 من الجمعية العامة للأمم المتحدة</w:t>
      </w:r>
      <w:r w:rsidRPr="00016B7B">
        <w:rPr>
          <w:rFonts w:ascii="Traditional Arabic" w:eastAsia="Calibri" w:hAnsi="Traditional Arabic" w:cs="Traditional Arabic"/>
          <w:sz w:val="28"/>
          <w:szCs w:val="28"/>
          <w:lang w:val="en-US"/>
        </w:rPr>
        <w:t>.</w:t>
      </w:r>
    </w:p>
    <w:p w14:paraId="7400F77A"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الاستراتيجية الوطنية للسكان والتنمية (2023-2030) وتستهدف تحقيق التوازن بين السكان والتنمية من خلال تعزيز الصحة الإنجابية، وتمكين المرأة، والاستثمار في الشباب، وتحسين فرص التعليم، ورفع الوعي بالقضايا السكانية، فضلاً عن تحقيق الرفاهية الاجتماعية والاقتصادية لجميع المواطنين</w:t>
      </w:r>
      <w:r w:rsidRPr="00016B7B">
        <w:rPr>
          <w:rFonts w:ascii="Traditional Arabic" w:eastAsia="Calibri" w:hAnsi="Traditional Arabic" w:cs="Traditional Arabic"/>
          <w:sz w:val="28"/>
          <w:szCs w:val="28"/>
          <w:lang w:val="en-US"/>
        </w:rPr>
        <w:t>.</w:t>
      </w:r>
    </w:p>
    <w:p w14:paraId="6423082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الاستراتيجية الوطنية لتنمية الطفولة المبكرة وخطتها التنفيذية 2024 -2029</w:t>
      </w:r>
      <w:r w:rsidRPr="00016B7B">
        <w:rPr>
          <w:rFonts w:ascii="Traditional Arabic" w:eastAsia="Calibri" w:hAnsi="Traditional Arabic" w:cs="Traditional Arabic"/>
          <w:sz w:val="28"/>
          <w:szCs w:val="28"/>
          <w:lang w:val="en-US"/>
        </w:rPr>
        <w:t>.</w:t>
      </w:r>
    </w:p>
    <w:p w14:paraId="2EFD356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تحديث الخطة الاستراتيجية لوزارة التربية والتعليم والتعليم الفني (2024- 2029) لضمان إتاحة التعليم للجميع دون تمييز، وتحسين جودة التعليم</w:t>
      </w:r>
      <w:r w:rsidRPr="00016B7B">
        <w:rPr>
          <w:rFonts w:ascii="Traditional Arabic" w:eastAsia="Calibri" w:hAnsi="Traditional Arabic" w:cs="Traditional Arabic"/>
          <w:sz w:val="28"/>
          <w:szCs w:val="28"/>
          <w:lang w:val="en-US"/>
        </w:rPr>
        <w:t xml:space="preserve">. </w:t>
      </w:r>
    </w:p>
    <w:p w14:paraId="42F6C42D"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0FD0D3A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التنمية المستدامة والمرأة</w:t>
      </w:r>
    </w:p>
    <w:p w14:paraId="5955922D"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تُعد المرأة ركيزة أساسية في تحقيق التنمية المستدامة، وهو ما أكدته رؤية مصر 2030 من خلال تحقيق المساواة بين الجنسين ودعم تكافؤ الفرص، وتعزيز مشاركة المرأة في عملية التنمية، ومن ثم تمكينها اقتصاديًا واجتماعيًا وسياسيًا، ويتضمن ذلك القضاء على جميع صور التمييز والعنف ضد المرأة. بالإضافة إلى تعزيز حق المرأة في التعليم والحصول على خدمات الرعاية الصحية والعمل والمشاركة السياسية، وأصدرت وزارة التخطيط والتنمية الاقتصادية والتعاون الدولي "دليل خطة التنمية المستدامة المستجيبة للمساواة بين الجنسين" وهو الدليل الأول من نوعه، وتم إعداد الدليل بمشاركة (12) وزارة والمجلس القومي للمرأة، ويتضمن 143 تدخلًا تنمويًا، و146 مؤشرًا لتقييم أداء هذه التدخلات.</w:t>
      </w:r>
    </w:p>
    <w:p w14:paraId="42D5ABA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1A260CD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lastRenderedPageBreak/>
        <w:t xml:space="preserve">المرأة في المؤشرات الدولية </w:t>
      </w:r>
    </w:p>
    <w:p w14:paraId="40C672C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تقدمت مصر 28 مرتبة في مؤشر المرأة والسلام والأمن الصادر عن معهد جورج تاون للمرأة والسلام والأمن، والذي يقيس التمكين الاقتصادي والسياسي للمرأة، وعدالة القوانين، وعدم التمييز ضدها، وأمنها على المستويين الفردي والمجتمعي، لتحتل المرتبة 110 في عام 2023، مقارنة بالمرتبة 138 في عام 2016.</w:t>
      </w:r>
    </w:p>
    <w:p w14:paraId="182E6017"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 تقدمت مصر 22 مركزاً في مؤشر عدم المساواة بين الجنسين التابع لبرنامج الأمم المتحدة الإنمائي لتحتل المركز 109 في عام 2021، مقارنة بالمركز 131 في عام 2014. </w:t>
      </w:r>
    </w:p>
    <w:p w14:paraId="4629086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 تقدمت مصر 49 مركزاً في مؤشر التمكين السياسي للمرأة الصادر عن المنتدى الاقتصادي العالمي لتحتل المركز 85 عام 2023 مقارنة بالمركز 134 عام 2014. </w:t>
      </w:r>
    </w:p>
    <w:p w14:paraId="2F3349A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تقدمت درجة مصر فيما يتعلق بكوتة المرأة في مقاعد البرلمان من 1.6 نقطة في عام 2014 إلى 54.3 نقطة في عام 2022.</w:t>
      </w:r>
    </w:p>
    <w:p w14:paraId="5D9D726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 تقدمت مصر 17.8 نقطة في مؤشر الشمول المالي للمرأة فوق 15 عامًا، الصادر عن معهد جورج تاون للمرأة والسلام والأمن، مسجلة 27% في عام 2021، مقابل 9.2% في عام 2017. </w:t>
      </w:r>
    </w:p>
    <w:p w14:paraId="7C3A67A7"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 تقدمت مصر 50 نقطة في مؤشر تقييم بيئة الأعمال البنك الدولي، مسجلة 75 نقطة في عام 2024 مقارنة بـ 25 نقطة في عام 2014. </w:t>
      </w:r>
    </w:p>
    <w:p w14:paraId="67A75F2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تقدمت مصر 25 نقطة في مؤشر فعالية قوانين ريادة الأعمال الصادر عن البنك الدولي، ارتفاعًا من 75 نقطة عام 2014 وصولًا إلى 100 نقطة عام 2024.</w:t>
      </w:r>
    </w:p>
    <w:p w14:paraId="1AF9AA1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تقدمت مصر 6 مراكز في مؤشر المساواة بين الجنسين في التحصيل العلمي، الصادر عن المنتدى الاقتصادي العالمي، لتحتل المرتبة 103 في عام 2022 مقارنة بالمرتبة 109 في عام 2014.</w:t>
      </w:r>
    </w:p>
    <w:p w14:paraId="76FF0F2A"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تقدمت مصر 14.7 نقطة في مؤشر نسبة الإناث المتعلمات الصادر عن الأمم المتحدة ليصل إلى 85.3 نقطة عام 2014 ويصل إلى 100 نقطة عام 2022.</w:t>
      </w:r>
    </w:p>
    <w:p w14:paraId="31F5C42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واصلت مصر حصولها على أعلى درجة 100% في مؤشر فعالية القوانين المتعلقة بمعاشات المرأة الصادر عن البنك الدولي عام 2024.</w:t>
      </w:r>
    </w:p>
    <w:p w14:paraId="3C72FCC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bidi="ar-EG"/>
        </w:rPr>
      </w:pPr>
      <w:r w:rsidRPr="00016B7B">
        <w:rPr>
          <w:rFonts w:ascii="Traditional Arabic" w:eastAsia="Calibri" w:hAnsi="Traditional Arabic" w:cs="Traditional Arabic"/>
          <w:sz w:val="28"/>
          <w:szCs w:val="28"/>
          <w:rtl/>
          <w:lang w:val="en-US"/>
        </w:rPr>
        <w:t>- تحسنت درجة مصر في مؤشر الحريات المدنية للمرأة</w:t>
      </w:r>
      <w:r w:rsidRPr="00016B7B">
        <w:rPr>
          <w:rFonts w:ascii="Traditional Arabic" w:eastAsia="Calibri" w:hAnsi="Traditional Arabic" w:cs="Traditional Arabic"/>
          <w:sz w:val="28"/>
          <w:szCs w:val="28"/>
          <w:lang w:val="en-US"/>
        </w:rPr>
        <w:t xml:space="preserve"> Our World in Data </w:t>
      </w:r>
      <w:r w:rsidRPr="00016B7B">
        <w:rPr>
          <w:rFonts w:ascii="Traditional Arabic" w:eastAsia="Calibri" w:hAnsi="Traditional Arabic" w:cs="Traditional Arabic"/>
          <w:sz w:val="28"/>
          <w:szCs w:val="28"/>
          <w:rtl/>
          <w:lang w:val="en-US"/>
        </w:rPr>
        <w:t>عالمنا في البيانات حيث سجلت 0.43 نقطة في عام 2023، مقارنة بـ 0.41 نقطة في عام 2014. وتجاوزت مصر المعدل العالمي في عام</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bidi="ar-EG"/>
        </w:rPr>
        <w:t xml:space="preserve">2023. </w:t>
      </w:r>
    </w:p>
    <w:p w14:paraId="2258851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 xml:space="preserve"> </w:t>
      </w:r>
    </w:p>
    <w:p w14:paraId="38F65D3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ينقسم التقرير إلى جزئين؛ يشمل الأول التطورات التشريعية الخاصة بتنفيذ وإعمال الاتفاقية وفقا لترتيب المواد من 1 إلى 16 مدعما ببعض البيانات عن السنوات اللاحقة على عام نوفمبر 2022. ويشمل الجزء الثاني من التقرير الردود والإيضاحات عن الملاحظات الختامية الصادرة عن اللجنة في أعقاب النظر في تقرير مصر 2021</w:t>
      </w:r>
    </w:p>
    <w:p w14:paraId="5E628747"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04ECA48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t>المادة (1) تعريف التمييز</w:t>
      </w:r>
    </w:p>
    <w:p w14:paraId="056FD06B"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أكدت الدساتير المصرية المتعاقبة والدستور الحالي على أن المواطنون لدى القانون سواء، وهم متساوون في الحقوق والحريات والواجبات العامة، لا تمييز بينهم، وعرفت المحكمة الدستورية العليا التمييز بأنه: " كل تفرقة أو تقييد او تفضيل أو استبعاد ينال بصورة تحكمية من الحقوق والحريات التي يكفلها الدستور أو القانون سواءً بإنكارها او تعطيلها أو انتقاص اثارها بما يحول دون مباشرتها على قدم المساواة الكاملة من جانب المؤهلين قانونًا للانتفاع بها، وبوجه خاص على صعيد الحياة السياسية والاقتصادية والاجتماعية والثقافية وغير ذلك من </w:t>
      </w:r>
      <w:r w:rsidRPr="00016B7B">
        <w:rPr>
          <w:rFonts w:ascii="Traditional Arabic" w:eastAsia="Calibri" w:hAnsi="Traditional Arabic" w:cs="Traditional Arabic"/>
          <w:sz w:val="28"/>
          <w:szCs w:val="28"/>
          <w:rtl/>
          <w:lang w:val="en-US"/>
        </w:rPr>
        <w:lastRenderedPageBreak/>
        <w:t>مظاهر الحياة العامة. وقد شمل هذا التعريف صورًا عدة للتمييز بما يكفل الحض منه والقضاء عليه في كافة المجالات التي يمارس خلالها كافة الحقوق والحريات.</w:t>
      </w:r>
    </w:p>
    <w:p w14:paraId="2D9B4D66"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وتتخذ الدولة من التعريف الواسع لصور التمييز نهجًا لخططها التشريعية والتنفيذية لمجابهته. فتعتبر أن قوامها كل تفرقة أو تقييد أو تفضيل أو استبعاد ينال بصورة تحكمية من الحقوق أو الحريات التي كفلها الدستور أو القانون، وذلك سواء بإنكار أصل وجودها أو تعطيل أو انتقاص آثارها بما يحول دون مباشرتها على قدم من المساواة الكاملة بين المؤهلين قانونًا للانتفاع بها، وبوجه خاص على صعيد الحياة السياسية والاجتماعية والاقتصادية والثقافية وغير ذلك من مظاهر الحياة العامة.</w:t>
      </w:r>
    </w:p>
    <w:p w14:paraId="39F5023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0761FE3A"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5562A42D"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 xml:space="preserve">المادة (2) </w:t>
      </w:r>
      <w:r w:rsidRPr="00016B7B">
        <w:rPr>
          <w:rFonts w:ascii="Traditional Arabic" w:eastAsia="Calibri" w:hAnsi="Traditional Arabic" w:cs="Traditional Arabic"/>
          <w:b/>
          <w:bCs/>
          <w:sz w:val="28"/>
          <w:szCs w:val="28"/>
          <w:rtl/>
          <w:lang w:val="en-US" w:bidi="ar-EG"/>
        </w:rPr>
        <w:t>الإجراءات السياسية</w:t>
      </w:r>
    </w:p>
    <w:p w14:paraId="44413986"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تنطوى البنية التشريعية على حظر التمييز بكافة الأسس المحتملة له</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منها: قانون العقوبات الذي يُعاقب كل من قام بعمل أو امتنع عن عمل يكون من شأنه إحداث التمييز بين الأفراد أو ضد طائفة من طوائف الناس بسبب الجنس أو الأصل أو اللغة أو الدين أو العقيدة، وقانون الخدمة المدنية، ومن الأمثلة التشريعية الحديثة على حظر التمييز صدور القانون رقم 14 لسنة 2025 بإصدار قانون العمل، والذي حظر في المادة (5) كل عمل أو سلوك أو إجراء يكون من شأنه إحداث تمييز أو تفرقة بين الأشخاص في التدريب، أو الإعلان عن الوظائف أو شغلها، أو شروط أو ظروف العمل أو الحقوق والواجبات الناشئة عن عقد العمل بسبب الدين أو العقيدة أو الجنس أو الأصل أو العرق أو اللون أو اللغة أو الإعاقة أو المستوى الاجتماعي أو الانتماء السياسي أو النقابي أو الجغرافي أو لأي سبب آخر يترتب عليه الإخلال بمبدأ المساواة وتكافؤ الفرص. ولا يُعد تمييزًا محظورًا كل ميزة أو أفضلية أو منفعة أو حماية تقرر بموجب أحكام هذا القانون والقرارات واللوائح المنفذة له للمرأة أو الطفل أو للأشخاص ذوي الإعاقة والأقزام. وقد تضمن القانون كذلك تعريفا للتنمر باعتباره أي فعل أو سلوك في مكان العمل أو بمناسبته سواء بالقول أو باستعراض القوة أو السيطرة على الغير أو استغلال ضعفه أو لحالة يعتقد مرتكب ذلك الفعل أو السلوك أنها تسئ للغير كالجنس أو العرق أو الدين أو الأوصاف البدنية إلى آخر نص الفقرة (32) من المادة (1) من القانون</w:t>
      </w:r>
      <w:r w:rsidRPr="00016B7B">
        <w:rPr>
          <w:rFonts w:ascii="Traditional Arabic" w:eastAsia="Calibri" w:hAnsi="Traditional Arabic" w:cs="Traditional Arabic"/>
          <w:sz w:val="28"/>
          <w:szCs w:val="28"/>
          <w:lang w:val="en-US"/>
        </w:rPr>
        <w:t>.</w:t>
      </w:r>
    </w:p>
    <w:p w14:paraId="1548A81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ولم يقتصر تجريم التمييز على الحياة العامة فقط، بل امتد ليشمل بعض الأنشطة الأخرى التي قد يطولها بعض من الأفعال التي تشكل تمييزًا عنصريًا، فقد جرم قانون الرياضة رقم 71 لسنة   2017 على أن بعاقب بالحبس مدة لا تقل عن سنة وبغرامة لا تقل عن ألف جنيه ولا تزيد على ثلاثة الاف جنيه أو بإحدى هاتين العقوبتين كل من سب أو قذف أو اهان بالقول أو الصياح أو الإشارة شخصا طبيعيا أو اعتباريا أو حض على الكراهية او التمييز العنصري باى وسيلة من وسائل الجهر والعلانية اثناء النشاط الرياضي. كما جاء قانون حقوق الأشخاص ذوي الإعاقة رقم 10 لسنة 2018 على عدم التمييز بسبب الإعاقة أو نوعها أو جنس الشخص ذي الإعاقة، وتأمين المساواة الفعلية في التمتع بكافة حقوق الإنسان وحرياته الأساسية في كافة الميادين، ويلزم الدولة بإزالة جميع العقبات والمعوقات التي تحول دون تمتعهم بهذه الحقوق. ويحظر القانون أي تمييز أو حرمان من أية مزايا أو حقوق على أساس الإعاقة في التعيين أو نوع العمل أو الترقيات أو الأجر وملحقاته. كما اعتبر القانون الشخص ذوي الإعاقة معرضُا للخطر -من بين حالات أخرى حددها- إذا تم التمييز ضده بسبب الإعاقة وأفرد لذلك عقوبة جنائية. كما تتضمن القوانين المصرية إلى جانب العقوبات المقيدة للحرية صرف التعويضات المادية المناسبة للمتضررين من جراء التعرض للتمييز العنصري أو الكراهية</w:t>
      </w:r>
      <w:r w:rsidRPr="00016B7B">
        <w:rPr>
          <w:rFonts w:ascii="Traditional Arabic" w:eastAsia="Calibri" w:hAnsi="Traditional Arabic" w:cs="Traditional Arabic"/>
          <w:sz w:val="28"/>
          <w:szCs w:val="28"/>
          <w:lang w:val="en-US"/>
        </w:rPr>
        <w:t>.</w:t>
      </w:r>
    </w:p>
    <w:p w14:paraId="1F654F1A"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ومن أمثلة التطبيقات القضائية قضت المحكمة بعدم دستورية تشريع يقرر أفضلية خاصةً لأبناء العاملين في الجهة التي يحكمها ذلك التشريع بالتعيين فيها، وذكرت المحكمة في أسباب حكمها أنَّ النص الطعين يتضمن تمييزاً تحكميًا، لا يستند إلى أسس موضوعية، ذلك أنَّ الانتماء الأسرى لا يُمَثلُ مَزِيّةً استثنائية تمنح صاحبها معاملة تفضيلية في شغل الوظائف العامة، التي لا يكون شغلها إلا على أساس الكفاءة، ودون محاباة. (الدعوى رقم 89 لسنة 42 قضائية دستورية جلسة 4/6/2022)</w:t>
      </w:r>
      <w:r w:rsidRPr="00016B7B">
        <w:rPr>
          <w:rFonts w:ascii="Traditional Arabic" w:eastAsia="Calibri" w:hAnsi="Traditional Arabic" w:cs="Traditional Arabic"/>
          <w:sz w:val="28"/>
          <w:szCs w:val="28"/>
          <w:lang w:val="en-US"/>
        </w:rPr>
        <w:t>.</w:t>
      </w:r>
    </w:p>
    <w:p w14:paraId="0C985CA2"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lastRenderedPageBreak/>
        <w:t>ومن الأمثلة الحكومية الحديثة تدخل وزير التعليم العالي والبحث العلمي للإسراع بإنهاء إجراءات تعيين أحد الطلاب خريجي أحد الجامعات، لتعيينه معيدًا بالجامعة على قدم المساواة مع زملائه الذين استلموا العمل بالفعل، وكان الطالب المذكور يعاني من ضعف البصر بسبب مرض الألبينو (المهق).</w:t>
      </w:r>
    </w:p>
    <w:p w14:paraId="4C26719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79DFA2C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1374F46E"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المادة (3) حقوق الإنسان والحريات الأساسية</w:t>
      </w:r>
    </w:p>
    <w:p w14:paraId="08D1D9B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تمثل الاستراتيجية الوطنية لتمكين المرأة المصرية 2030 الإطار الجامع لجهود النهوض بالمرأة، وتحتوي الاستراتيجية على 34 مؤشرًا من أهداف التنمية المستدامة وتتكون من أربعة محاور رئيسية: يتناول المحور الأول منها التمكين السياسي ومواقع اتخاذ القرار، وتعزيز الأدوار القيادية للمرأة، وتحفيز مشاركتها السياسية، ومنع التمييز ضد المرأة في تقلد المناصب القيادية في المؤسسات التنفيذية والقضائية، وتهيئة المناخ لنجاح النساء في المناصب. ويتناول المحور الثاني التمكين الاقتصادي بهدف تنمية قدرات المرأة لتوسيع خيارات العمل أمامها وزيادة مشاركتها في قوة العمل، وتحقيق تكافؤ الفرص في توظيف النساء في كافة القطاعات، وتقلد المناصب الرئيسية في الهيئات العامة والشركات الخاصة.</w:t>
      </w:r>
    </w:p>
    <w:p w14:paraId="759AB67E"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اتخذت الدولة سلسلة من التدابير التشريعية والتنفيذية والمؤسسية لضمان تطور المرأة وتقدمها في مختلف الميادين، بما يكفل لها ممارسة حقوق الإنسان والحريات الأساسية والتمتع بها على أساس المساواة مع الرجل، حيث جاءت تعديلات الدستور في عام 2019 لتحقيق المساواة بين الجنسين، وكفالة تمثيل المرأة تمثيلاً مناسباً في المجالس النيابية (بحد أدنى 25% من مقاعد مجلس النواب)</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w:t>
      </w:r>
    </w:p>
    <w:p w14:paraId="4B57FEA0"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bidi="ar-EG"/>
        </w:rPr>
      </w:pPr>
    </w:p>
    <w:p w14:paraId="09D02DE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bidi="ar-EG"/>
        </w:rPr>
        <w:t xml:space="preserve">المادة (4) </w:t>
      </w:r>
      <w:r w:rsidRPr="00016B7B">
        <w:rPr>
          <w:rFonts w:ascii="Traditional Arabic" w:eastAsia="Calibri" w:hAnsi="Traditional Arabic" w:cs="Traditional Arabic"/>
          <w:b/>
          <w:bCs/>
          <w:sz w:val="28"/>
          <w:szCs w:val="28"/>
          <w:rtl/>
          <w:lang w:val="en-US"/>
        </w:rPr>
        <w:t>الإجراءات الخاصة</w:t>
      </w:r>
    </w:p>
    <w:p w14:paraId="127D880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اتخذت الدولة عددًا من التدابير الخاصة لتعزيز المساواة الفعلية بين الجنسين، استنادًا إلى نصوص الدستور المواد (11، 243، 244) حيث تم إقرار نظام الكوتا النسائية في المجالس المنتخبة، ما أسفر عن حصول المرأة على نسبة غير مسبوقة بلغت 28%من مقاعد مجلس النواب 2020، إلى جانب تخصيص 10% على الأقل من مقاعد مجلس الشيوخ، ووصول نسبة مشاركة المرأة فيه إلى نحو 14%</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w:t>
      </w:r>
    </w:p>
    <w:p w14:paraId="74D751B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يكفل الدستور تمكين المرأة من التوفيق بين واجبات الأسرة ومتطلبات العمل، ويُلزم الدولة بتوفير الرعاية والحماية للأمومة والطفولة والمرأة المعيلة والمسنة والنساء الأشد احتياجًا، وضمان الحماية القانونية الكاملة ضد أي عمل تمييزي، وأطلقت الدولة برنامج "الألف يوم الأولى في حياة الأطفال" الذي يستهدف صغار الأمهات والحوامل والمرضعات اللاتي لديهن طفلان بحد أقصى، ويتم صرف نقاط إضافية على السلع الغذائية التموينية بشرط المتابعة الصحية وإجراء التطعيمات للأطفال. بالإضافة إلى الرعاية الصحية الإنجابية للنساء، ويتم دعم الأمهات أثناء فترة الحمل بصرف تعويض للسيدات العاملات في القطاع الخاص أثناء فترة الوضع بنسبة تعادل 75% من الأجر لمدة تسعين يومًا تتحملها صناديق التأمينات الاجتماعية.</w:t>
      </w:r>
    </w:p>
    <w:p w14:paraId="03670B5D"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وتواصل الدولة دعمها للمرأة وتعزيز دورها الفاعل في المجتمع تأكيدًا على التزامها بتحقيق المساواة وتمكينها في مختلف المجالات حيث بلغ إجمالي الاستثمارات الموجهة للمرأة خلال الخمس سنوات الماضية نحو 300 مليار جنيه.</w:t>
      </w:r>
    </w:p>
    <w:p w14:paraId="232BAAA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أطلقت وزارة التضامن الاجتماعي عددا من المبادرات الداعمة، منها برنامج "مودة تربية مشاركة" الذي نفذ معسكرات أنا وماما لتمكين 1000 رائدة والحصر الوطني الشامل للحضانات لدعم المرأة العاملة، إلى جانب معرض "ديارنا" لتمكين المرأة الريفية اقتصادياً عبر الترويج</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المستدام لمنتجاتها.</w:t>
      </w:r>
    </w:p>
    <w:p w14:paraId="5D3EA787"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أطلقت وزارة التعاون الدولي بالتعاون مع المجلس القومي للمرأة، والمنتدى الاقتصادي العالمي، والقطاع الخاص خطة عمل "مسرع أعمال – سد الفجوة بين الجنسين" في عام 2021 بهدف القضاء على عدم المساواة بين الجنسين. كما أطلقت وزارة العمل بالتعاون مع منظمة العمل الدولية في عام 2022 "الخطة الوطنية لتعزيز المساواة بين الجنسين في مجال العمل"، والتي تسعى إلى تحقيق ستة أهداف، من بينها خلق إطار عام داعم لمبدأ المساواة بين الجنسين في مجال العمل، وتعزيز سبل مشاركة المرأة في قوة العمل والمناصب القيادية، وتوفير بيئة </w:t>
      </w:r>
      <w:r w:rsidRPr="00016B7B">
        <w:rPr>
          <w:rFonts w:ascii="Traditional Arabic" w:eastAsia="Calibri" w:hAnsi="Traditional Arabic" w:cs="Traditional Arabic"/>
          <w:sz w:val="28"/>
          <w:szCs w:val="28"/>
          <w:rtl/>
          <w:lang w:val="en-US"/>
        </w:rPr>
        <w:lastRenderedPageBreak/>
        <w:t>عمل آمنة خالية من العنف أو التمييز، وتطوير وإتاحة بنية معرفية محدثة في مجال العمل، وتعزيز سبل المساندة ورفع الوعي المجتمعي بقضايا المساواة بين الجنسين في مجال العمل، وخلق آليات مؤسسية مستدامة لحوكمة الخطة الوطنية ودمج كافة الجهات والفئات ذات الصلة.</w:t>
      </w:r>
    </w:p>
    <w:p w14:paraId="47ADBE3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p>
    <w:p w14:paraId="6F67D59E"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bidi="ar-EG"/>
        </w:rPr>
        <w:t>المادة (5) الأنماط الاجتماعية</w:t>
      </w:r>
    </w:p>
    <w:p w14:paraId="7D7AF5B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عزَّزت الدولة الإطار التشريعي لمناهضة الممارسات الضارة والقوالب النمطية ضد النساء والفتيات؛ فأدخلت تعديلات</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جنائية مُشدَّدة على جرائم ختان الإناث بموجب القانون رقم 10 لسنة 2021 الذي عدّل المادتين 242 مكرّر و242 مكرّر (أ) من قانون العقوبات، ورفع العقوبات إلى الجنايات وشدّد التجريم على المحرّضين والمتسترين والمنشآت الطبية المتورطة.</w:t>
      </w:r>
    </w:p>
    <w:p w14:paraId="7131A6A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أطلقت اللجنة الوطنية للقضاء على ختان الإناث الخطة الوطنية للقضاء على تشويه الأعضاء التناسلية (2022- 2026) برئاسة مشتركة بين المجلس القومي للمرأة والمجلس القومي للطفولة والأمومة، متضمنة أولويات محددة تمكن الجهات الفاعلة من تحقيق التقدم المنشود (القضاء على تطبيب ختان الإناث، وتغيير موقف المصريين من الختان، وتوفير خدمات الرعاية ودعم الناجيات، وتوفير البيانات للمتابعة والتقييم، وتطوير الإطار المؤسسي للجنة الوطنية للقضاء على ختان الإناث). وتتضمن الاستراتيجية عمل حملات توعية وصلت إلى أكثر من 35 مليون اتصال توعوي و44 مليون زيارة طرق باب من عام 2016 إلى 2023، يتناول المفاهيم الخاطئة ويعزز مشاركة المرأة في جميع مجالات الحياة بما في ذلك العنف ضد المرأة، وصنع القرار، والمرأة في سوق العمل، والتمكين الاقتصادي، وذلك من خلال حملات طرق الأبواب داخل كل قرية وكل منزل في مصر.</w:t>
      </w:r>
    </w:p>
    <w:p w14:paraId="18D2420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أُطلق المجلس القومى للمرأة برنامج "نورة" للفتيات عام 2021 بالشراكة مع صندوق الأمم المتحدة للسكان كجزء من المبادرة الوطنية لتمكين الفتيات، والتي شملت برامج تثقيفية وترفيهية وجلسات تربوية لأسرهم؛ ثم تَبِع ذلك برنامج "نور" للفتيان، مما يعكس نهجًا شموليًا في الاستثمار في النشء لبناء مجتمع متساوٍ. ونفذ المجلس حملة "لأني رجل" بالتعاون مع هيئة الأمم المتحدة للمرأة، مستهدفًا الرجال والشباب لتعزيز مسؤوليتهم في دعم المساواة ومناهضة العنف الأسري.</w:t>
      </w:r>
    </w:p>
    <w:p w14:paraId="553C1B2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نجحت جهود الدولة في تخفيض كبير في نسب ارتكاب هذه الجريمة، وطبقا للمسح الصحي للأسرة المصرية 2021، فقد شهدت نسبة تشويه الأعضاء التناسلية انخفاضا فعليا حيث بلغت 14% في عام 2021 مقارنة بـ 21% عام 2014. كما انخفضت نسبة الفتيات المتوقع ختانهن إلى 27% عام 21 مقابل56% عام 2014، وتتطلع الدولة القضاء على هذه الجريمة تماما، حيث غلظ القانون العقوبة ثلاث مرات، وقد تضمن أخر تعديل للقانون عقوبات أكثر صرامة إذا أدى الفعل إلى عاهة مستديمة بإضافة عقوبات مستقلة، كما تضمن القانون عقوبات للأطباء ومزاولي مهنة التمريض وللمنشأة لأول مرة في تاريخ مصر، وكذلك عقوبات لكل من روج أو شجع أو دعى لارتكاب جريمة ختان الإناث</w:t>
      </w:r>
      <w:r w:rsidRPr="00016B7B">
        <w:rPr>
          <w:rFonts w:ascii="Traditional Arabic" w:eastAsia="Calibri" w:hAnsi="Traditional Arabic" w:cs="Traditional Arabic"/>
          <w:sz w:val="28"/>
          <w:szCs w:val="28"/>
          <w:lang w:val="en-US"/>
        </w:rPr>
        <w:t>.</w:t>
      </w:r>
    </w:p>
    <w:p w14:paraId="7DE97BE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تعمل الهيئة الوطنية للإعلام على تسليط الضوء على مناقشة قضايا ومشكلات الأسرة والمرأة وكذا توعية المرأة بحقوقها السياسية والاجتماعية والاقتصادية وحثها على زيارة مشاركتها في المجتمع وذلك من خلال كافة وسائل الاعلام سواء المرئية او المسموعة من خلال 15 برنامج إذاعي و18 برنامج تليفزيوني متخصص لتقديم التوعية للمرأة والتي تسلط الضوء على دور المرأة في مسيرة التنمية والإصلاح الاقتصادي والاجتماعي بالإضافة الي القنوات الاقليمية التي تبث في المحافظات الجمهورية وسهولة الوصول لكافة شرائح المجتمع</w:t>
      </w:r>
      <w:r w:rsidRPr="00016B7B">
        <w:rPr>
          <w:rFonts w:ascii="Traditional Arabic" w:eastAsia="Calibri" w:hAnsi="Traditional Arabic" w:cs="Traditional Arabic"/>
          <w:sz w:val="28"/>
          <w:szCs w:val="28"/>
          <w:lang w:val="en-US"/>
        </w:rPr>
        <w:t>.</w:t>
      </w:r>
    </w:p>
    <w:p w14:paraId="01425E1A"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واعتمد الأزهر الشريف خطة عمل شاملة للقضاء علي القوالب النمطية التمييزية المتعلقة بأدوار ومسؤوليات المرأة والرجل في الأسرة وفي المجتمع ،تتضمن بذل جهود للتوعية والتثقيف تستهدف عامة الجمهور ووسائل الإعلام والمجتمعات الريفية  والنائية ،بمشاركة فعالة من منظمات المجتمع المدني النسائية والزعماء الدينيين ، حيث تم توقيع بروتوكول تعاون بين الازهر الشريف والمجلس القومي للمرأة  في يونيو 2021 لتعزيز الجهود المشتركه في تصحيح المفاهيم الدينية ونشر الوعي وتثقيف المجتمع والحفاظ علي الأسرة المصرية وتعزيز حقوق المرأة وحمايتها وحريتها.</w:t>
      </w:r>
    </w:p>
    <w:p w14:paraId="6A20CC8E"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p>
    <w:p w14:paraId="07545DE0"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lastRenderedPageBreak/>
        <w:t>المادة (6) مكافحة الاتجار بالنساء واستغلالهن</w:t>
      </w:r>
    </w:p>
    <w:p w14:paraId="4AA203B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تحرص مصر على انتهاج سياسة شاملة للتعامل مع جريمة الاتجار بالبشر، وتقوم هذه السياسة على الركائز الأربع التي حددتها الأمم المتحدة وهي المنع، الحماية، والمعاقبة، والتعاون الدولي. وتقوم اللجنة الوطنية التنسيقية لمكافحة الهجرة غير الشرعية والاتجار بالبشر</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 xml:space="preserve">المكونة من 30 وزارة وجهة، وتحرص على تنفيذ الأهداف المدرجة في الاستراتيجية الوطنية الثالثة لمكافحة ومنع الاتجار بالبشر (2022-2026) والتى أولت اهتماما خاصا بمحور حماية الضحايا من خلال تحديث آليات الاحالة الوطنية، وتعزيز بناء قدرات القائمين على الحماية الاجتماعية بما في ذلك العاملين في خطوط النجدة المتلقين للبلاغات، والرائدات الريفيات، والاخصائيين الاجتماعيين، ومفتشي العمل، وجهات إنفاذ القانون. </w:t>
      </w:r>
    </w:p>
    <w:p w14:paraId="4476275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وأطلقت الاستراتيجية الوطنية لمنع الهجرة غير النظامية (2016- 2026) وخطط العمل المرتبطة بها. وعززت الدولة الموارد المالية بتأسيس صندوقين يعنى الأول بمكافحة الهجرة غير الشرعية وحماية المهاجرين والشهود، والثاني بمساعدة ضحايا الاتجار بالبشر. كما تواصلت الجهود الوطنية في مجال الملاحقة القانونية، فباشرت النيابة العامة التحقيق في (116) قضية اتجار بالبشر خلال عام 2022، وصدر 47 حكما خلال الفترة من أبريل حتى أكتوبر 2022، وتنوعت صور جريمة الاتجار بالبشر وموضوها بين العمل القسري والتسول، والاستغلال الجنسي، واستئصال الأعضاء، وتضمنت الأحكام السابقة 33 إدانة متعلقة بالعمل القسري والاستغلال الجنسي.</w:t>
      </w:r>
    </w:p>
    <w:p w14:paraId="03CF87CD"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صدور قرار رئيس الجمهورية رقم 349 لسنة 2024 بإنشاء صندوق مساعدة ضحايا الاتجار بالبشر وحماية الشهود، وقد تضمن القرار اختصاصات الصندوق منها: تقديم مساعدات مالية للمجني عليهم، تمويل البحوث والدراسات وبرامج التدريب، تمويل برامج الدعم النفسي والصحي والاجتماعي للمجني عليهم، تمويل الأنشطة المنصوص عليها في الاستراتيجية الوطنية لمكافحة الاتجار بالبشر وإعداد برامج رعاية وتعليم وتدريب وتأهيل المجني عليهم.</w:t>
      </w:r>
    </w:p>
    <w:p w14:paraId="4B99857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أطلقت الدولة في يناير 2025 مشروع</w:t>
      </w:r>
      <w:r w:rsidRPr="00016B7B">
        <w:rPr>
          <w:rFonts w:ascii="Traditional Arabic" w:eastAsia="Calibri" w:hAnsi="Traditional Arabic" w:cs="Traditional Arabic"/>
          <w:sz w:val="28"/>
          <w:szCs w:val="28"/>
          <w:lang w:val="en-US"/>
        </w:rPr>
        <w:t xml:space="preserve"> (PACSOM Egypt) </w:t>
      </w:r>
      <w:r w:rsidRPr="00016B7B">
        <w:rPr>
          <w:rFonts w:ascii="Traditional Arabic" w:eastAsia="Calibri" w:hAnsi="Traditional Arabic" w:cs="Traditional Arabic"/>
          <w:sz w:val="28"/>
          <w:szCs w:val="28"/>
          <w:rtl/>
          <w:lang w:val="en-US"/>
        </w:rPr>
        <w:t>بالشراكة مع الاتحاد الأوروبي ومكتب الأمم المتحدة المعني بالمخدرات والجريمة، لمكافحة تهريب المهاجرين والاتجار بالبشر يهدف المشروع إلى تقوية قدرات أجهزة إنفاذ القانون والنيابة والقضاء، وتوفير حماية أفضل للضحايا، إلى جانب تطوير سياسات مبنية على البيانات وتعزيز التنسيق بين الجهات المعنية.</w:t>
      </w:r>
    </w:p>
    <w:p w14:paraId="5BA2C0D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استمرارا للتعاون مع الاتحاد الأوروبي منذ 2020 لدعم جهود الدولة في الوقاية والحماية وإنفاذ القانون</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نفذ المجلس القومي للمرأة جهودًا موسعة للتوعية بمخاطر زواج القاصرات، من خلال حملات "طرق الأبواب" التي تستهدف الأسر في القرى، وبرامج نوعية مثل نورة لدعم الفتيات (10-14 عامًا) في مجالات التعليم والصحة والوعي الحقوقي، ودوي الذي يشجع الفتيات على التعبير عن أنفسهن ورفض الممارسات الضارة. كما أطلق المجلس برنامج التنشئة المتوازنة والإرشاد الأسري لتعزيز دور الأسرة في التربية السليمة، بجانب تنظيم معسكرات عائلية وأمسيات ثقافية لترسيخ الحوار المجتمعي حول حماية حقوق الفتيات</w:t>
      </w:r>
      <w:r w:rsidRPr="00016B7B">
        <w:rPr>
          <w:rFonts w:ascii="Traditional Arabic" w:eastAsia="Calibri" w:hAnsi="Traditional Arabic" w:cs="Traditional Arabic"/>
          <w:sz w:val="28"/>
          <w:szCs w:val="28"/>
          <w:lang w:val="en-US"/>
        </w:rPr>
        <w:t>.</w:t>
      </w:r>
    </w:p>
    <w:p w14:paraId="0DCD9775"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نظمت وزارة العدل بالشراكة مع المجالس القومية المتخصصة ومكتب الامم المتحدة المعنى بالمخدرات والجريمة واليونيسيف عدد من الدورات وحلقات نقاشية، منها عدد (36) حلقة نقاشية بالشراكة مع مكتب الأمم المتحدة المعنى بالمخدرات والجريمة حول تيسير وصول النساء ضحايا العنف للعدالة وتعزيز القدرات لتوفير سبل دعم ذوى الاعاقة خاصة المرأة ذات الاعاقة خلال اتصالها بمنظومة العدالة، استهدفت تدريب القاضيات بمحاكم الأسرة والجنح، إلى جانب عدد (31) حلقة نقاشية حول مناهضة العنف ضد المرأة ومهارات وفنون التواصل والقيادة والتعريف بجريمة ختان الإناث بالشراكة مع المجلس القومي للمرأة للسيدات والسادة قضاة محاكم الأسرة ومحاكم الجنح، عدد (26) حلقة نقاشية في مجال مكافحة جريمة الاتجار بالبشر ومنع الهجرة غير الشرعية بالشراكة مع اللجنة الوطنية التنسيقية للهجرة غير الشرعية والاتجار بالبشر والمنظمة الدولية للهجرة . كما تتضمن دورة التكوين الأساسي للسادة أعضاء النيابة العامة المرشحين لاعتلاء منصة القضاء شرح لكيفية التعامل مع قضايا العنف ضد المرأة وقضايا الطفل.</w:t>
      </w:r>
    </w:p>
    <w:p w14:paraId="23382DAF"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وفي إطار التصدي ومكافحة الزيجات المؤقتة والموسمية (زواج الصفقة) أطلقت اللجنة الوطنية التنسيقية عدة حملات توعوية تحت شعار "معًا ضد الاتجار بالبشر"، للتعريف بصور الجريمة والتي من بينها زواج الصفقة والعقوبات التي حددها القانون للجناة والتعريف بخدمات </w:t>
      </w:r>
      <w:r w:rsidRPr="00016B7B">
        <w:rPr>
          <w:rFonts w:ascii="Traditional Arabic" w:eastAsia="Calibri" w:hAnsi="Traditional Arabic" w:cs="Traditional Arabic"/>
          <w:sz w:val="28"/>
          <w:szCs w:val="28"/>
          <w:rtl/>
          <w:lang w:val="en-US"/>
        </w:rPr>
        <w:lastRenderedPageBreak/>
        <w:t>الحماية والمساعدة التي تقدمها الدولة لضحايا الجريمة، وكيفية الإبلاغ من خلال المنظومة الوطنية للخطوط الساخنة. وتحرص اللجنة الوطنية أثناء إعداد وتنفيذ الحملات الإعلامية على ترجمتها للغة الإنجليزية، وخلال الفترة من (2021- 2025) تم ضبط (20723) متهم في (5399) قضية في مجال مكافحة الهجرة غير الشرعية، وضبط (1600) متهم في (236) قضية في مجال مكافحة الاتجار بالبشر</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كما بلغت أعداد القضايا التي صدر فيها أحكام في جرائم الاتجار بالبشر من (2021- 2023) (72) قضية. وبلغ أعداد ضحايا الاتجار بالبشر الذين تم إحالتهم إلى الخدمات في نفس الفترة (327) شخص. وفي 2023 بلغ عدد الضحايا الذين تلقوا الخدمات بما في ذلك خدمة المأوى (151) ضحية من بينهم (70) طفل ذكر تحت سن 18 سنة، (76) فتاة تحت سن 18 سنة و (5) سيدات بالغات.</w:t>
      </w:r>
    </w:p>
    <w:p w14:paraId="3D3D65A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77723BD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r w:rsidRPr="00016B7B">
        <w:rPr>
          <w:rFonts w:ascii="Traditional Arabic" w:eastAsia="Calibri" w:hAnsi="Traditional Arabic" w:cs="Traditional Arabic"/>
          <w:b/>
          <w:bCs/>
          <w:sz w:val="28"/>
          <w:szCs w:val="28"/>
          <w:rtl/>
          <w:lang w:val="en-US" w:bidi="ar-EG"/>
        </w:rPr>
        <w:t xml:space="preserve">المادة (7) المشاركة السياسية والعامة </w:t>
      </w:r>
    </w:p>
    <w:p w14:paraId="746DB3F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يؤكد الدستور على ضمان حق المرأة في المشاركة في الحياة السياسية والعامة دون أي تمييز، بما يشمل حقها في الانتخاب والترشح وتولي الوظائف العامة. فقد تحسّن ترتيب مصر في المؤشرات الدولية المعنية بالتمكين السياسي للمرأة تقدمت مصر 49 مركزاً فى مؤشر التمكين السياسي للمرأة الصادر عن المنتدى الاقتصادي العالمي لتحتل المركز 85 عام 2023، مقارنة بالمركز 134عام 2014. كما تقدمت ٤٧ مركزًا بمؤشر التمكين السياسي للمرأة في التقرير العالمي للفجوة بين الجنسين لتصل لأفضل مستوى لها منذ عشر سنوات، حيث شغلت المركز 78 عام 2022 مقارنة بالمركز 125 عام 2012، كما تقدمت مصر 65 مركزًا بمؤشر تمثيل المرأة في البرلمان، حيث شغلت المركز 63 عام 2022 مقارنة بالمركز 128 عام 2012، علاوة على تقدمها 29 مركزًا بمؤشر شغل المرأة للحقائب الوزارية حيث شغلت المركز 66 عام 2022، مقارنة بالمركز 95 عام 2012.</w:t>
      </w:r>
    </w:p>
    <w:p w14:paraId="2F9CF77F"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أطلق المجلس القومي للمرأة عدداً من الحملات التوعوية على مستوى المحافظات مثل حملات " مصر بتناديكى من جديد" "صوتك لمصر بكرة"  </w:t>
      </w:r>
      <w:r w:rsidRPr="00016B7B">
        <w:rPr>
          <w:rFonts w:ascii="Traditional Arabic" w:eastAsia="Calibri" w:hAnsi="Traditional Arabic" w:cs="Traditional Arabic"/>
          <w:sz w:val="28"/>
          <w:szCs w:val="28"/>
          <w:rtl/>
          <w:lang w:val="en-US" w:bidi="ar-EG"/>
        </w:rPr>
        <w:t>"</w:t>
      </w:r>
      <w:r w:rsidRPr="00016B7B">
        <w:rPr>
          <w:rFonts w:ascii="Traditional Arabic" w:eastAsia="Calibri" w:hAnsi="Traditional Arabic" w:cs="Traditional Arabic"/>
          <w:sz w:val="28"/>
          <w:szCs w:val="28"/>
          <w:rtl/>
          <w:lang w:val="en-US"/>
        </w:rPr>
        <w:t>وبلدي أمانة"، التي وصلت إلى أكثر من 20 مليون مستفيد/ة عبر قنوات التواصل المباشر لتعزيز مشاركة المرأة الناخبة</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وفي مجال بناء القيادات النسائية، أطلق المجلس القومي للمرأة بالشراكة مع وزارة التخطيط والتنمية الاقتصادية البرنامج الوطني للمرأة في القيادة، بالتعاون مع المركز الدولي للتدريب بمدينة تورين وبدعم من الاتحاد الأوروبي، لتأهيل القيادات النسائية على مهارات القيادة وصنع القرار والإدارة القائمة على النتائج. كما أنشأت الأكاديمية الوطنية للتدريب مدرسة المرأة في القيادة لإعداد الكوادر الشابة القادرة على المشاركة الفعالة في مواقع صنع القرار.</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 xml:space="preserve">كما تم إعداد دليل تدريبي للتوجية الوظيفى لرفع مهارات السيدات بالمستويات التنيفذية لتقلد المناصب العليا. </w:t>
      </w:r>
    </w:p>
    <w:p w14:paraId="33CF9FF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أجريت انتخابات مجلسي النواب والشيوخ في 2020، وهي أول انتخابات بعد تعديل الدستور في 2019 والذي أقرّ استحداث غرفة تشريع ثانية للبرلمان هي مجلس الشيوخ. وقد أحرزت النساء عدد (165) مقعداً من إجمالي مقاعد مجلس النواب بنسبة 27,7 %، و(15) مقعداً في اللجان النوعية داخل المجلس، وتعد هذه النسبة من المقاعد غير مسبوقة وهي الأعلى في تاريخ مصر، ورغم أن قانون مجلس الشيوخ خصص نسبة لا تقل عن 10 % من مقاعد المجلس للمرأة، عين رئيس الجمهورية (20) امرأة ضمن المعينين في المجلس لتصل نسبة تمثيل المرأة في مجلس الشيوخ</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إلى 14 %. كما أجريت الانتخابات الرئاسية في ديسمبر 2023 بمشاركة (4) مرشحين، وقد بلغت نسبة التصويت 66.8%، وبلغت نسبة مشاركة النساء 60% من إجمالي عدد الناخبين</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ولأول مرة في تاريخ مصر وصلت سيدتان إلى منصب محافظ،</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وأول رئيسة لمحكمة اقتصادية،</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وأول نائبة لمحافظ البنك المركزى، وأول رئيسة للمجلس القومى لحقوق الإنسان، كما تدير سيدة منتدى شباب العالم، ووكيلة لمجلس الشيو</w:t>
      </w:r>
      <w:r w:rsidRPr="00016B7B">
        <w:rPr>
          <w:rFonts w:ascii="Traditional Arabic" w:eastAsia="Calibri" w:hAnsi="Traditional Arabic" w:cs="Traditional Arabic"/>
          <w:sz w:val="28"/>
          <w:szCs w:val="28"/>
          <w:rtl/>
          <w:lang w:val="en-US" w:bidi="ar-EG"/>
        </w:rPr>
        <w:t>خ.</w:t>
      </w:r>
      <w:r w:rsidRPr="00016B7B">
        <w:rPr>
          <w:rFonts w:ascii="Traditional Arabic" w:eastAsia="Calibri" w:hAnsi="Traditional Arabic" w:cs="Traditional Arabic"/>
          <w:sz w:val="28"/>
          <w:szCs w:val="28"/>
          <w:lang w:val="en-US"/>
        </w:rPr>
        <w:t xml:space="preserve"> </w:t>
      </w:r>
    </w:p>
    <w:p w14:paraId="3F38EF52"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وتواجدت المرأة بشكل فعال في التشكيل الحكومي الأخير في يوليو 2024 حيث شغلت (18) منصب موزعة بين الحقائب الوزارية ونواب الوزراء، والمحافظ، ونواب المحافظين" إضافة إلى استحواذها على رئاسة كافة المجالس القومية المعنية بحقوق الانسان (المجلس القومي للمرأة، المجلس القومي للطفولة والأمومة، المجلس القومي للأشخاص ذوي الإعاقة). </w:t>
      </w:r>
    </w:p>
    <w:p w14:paraId="0641EACB"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bidi="ar-EG"/>
        </w:rPr>
      </w:pPr>
      <w:r w:rsidRPr="00016B7B">
        <w:rPr>
          <w:rFonts w:ascii="Traditional Arabic" w:eastAsia="Calibri" w:hAnsi="Traditional Arabic" w:cs="Traditional Arabic"/>
          <w:sz w:val="28"/>
          <w:szCs w:val="28"/>
          <w:rtl/>
          <w:lang w:val="en-US"/>
        </w:rPr>
        <w:t xml:space="preserve">وتمت الاستعانة بالمرأة في النيابة العامة ومجلس الدولة تفعيلاً للاستحقاق الدستوري بالمساواة وعدم التمييز، واعتباراً من أكتوبر 2021 تم تعيين 98 سيدة في مجلس الدولة، و11 سيدة بالنيابة العامة، وأعلن كل من مجلس الدولة والنيابة العامة في يناير 2022 لأول </w:t>
      </w:r>
      <w:r w:rsidRPr="00016B7B">
        <w:rPr>
          <w:rFonts w:ascii="Traditional Arabic" w:eastAsia="Calibri" w:hAnsi="Traditional Arabic" w:cs="Traditional Arabic"/>
          <w:sz w:val="28"/>
          <w:szCs w:val="28"/>
          <w:rtl/>
          <w:lang w:val="en-US"/>
        </w:rPr>
        <w:lastRenderedPageBreak/>
        <w:t>مرة عن قبول طلبات التعيين من الإناث من خريجي دفعة 2021 في وظيفة مندوب مساعد ومعاون بالنيابة العامة على التوالي.كما تم</w:t>
      </w:r>
      <w:r w:rsidRPr="00016B7B">
        <w:rPr>
          <w:rFonts w:ascii="Traditional Arabic" w:eastAsia="Calibri" w:hAnsi="Traditional Arabic" w:cs="Traditional Arabic"/>
          <w:sz w:val="28"/>
          <w:szCs w:val="28"/>
          <w:lang w:val="en-US"/>
        </w:rPr>
        <w:t> </w:t>
      </w:r>
      <w:r w:rsidRPr="00016B7B">
        <w:rPr>
          <w:rFonts w:ascii="Traditional Arabic" w:eastAsia="Calibri" w:hAnsi="Traditional Arabic" w:cs="Traditional Arabic"/>
          <w:sz w:val="28"/>
          <w:szCs w:val="28"/>
          <w:rtl/>
          <w:lang w:val="en-US"/>
        </w:rPr>
        <w:t xml:space="preserve">تعيين 219 مندوبًا مساعدًا من خريجي دفعة 2021، بينهم إناث لأول مرة منذ تأسيس المجلس قبل أكثر من 80 عامًا في أغسطس 2025، ليدشن بذلك عهدًا جديدًا في مسيرة القضاء المصرى. </w:t>
      </w:r>
    </w:p>
    <w:p w14:paraId="29D9249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bidi="ar-EG"/>
        </w:rPr>
      </w:pPr>
      <w:r w:rsidRPr="00016B7B">
        <w:rPr>
          <w:rFonts w:ascii="Traditional Arabic" w:eastAsia="Calibri" w:hAnsi="Traditional Arabic" w:cs="Traditional Arabic"/>
          <w:sz w:val="28"/>
          <w:szCs w:val="28"/>
          <w:rtl/>
          <w:lang w:val="en-US"/>
        </w:rPr>
        <w:t xml:space="preserve">وأصدر رئيس الجمهورية قرارين بتعيين ۱۳۷ قاضية لأول مرة في مجلس الدولة من هيئتي قضايا الدولة والنيابة الإدارية، وللمرة الأولى أيضًا صدر قرار مجلس القضاء الأعلى بنقل سبع عشرة قاضية من القضاء العادي للعمل بالنيابة العامة، كما تم تعيين ثلاث وسبعين من عضوات هيئتي النيابة الإدارية وقضايا الدولة في القضاء العادي، و34 قاضية بالمحاكم الابتدائية منهم ٣٢ قاضية على منصة القضاء وقاضيتين اثنتين رئيستين للنيابة من الفئة (ب) بالنيابة العامة، وتم تعيين أول قاضية بمحاكم الجنايات، وقاضية بالمحكمة الدستورية العليا كنائب لرئيس المحكمة، وقاضية أخري كرئيسة لهيئة مفوضي المحكمة الدستورية العليا. </w:t>
      </w:r>
    </w:p>
    <w:p w14:paraId="0A5DB39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bidi="ar-EG"/>
        </w:rPr>
      </w:pPr>
      <w:r w:rsidRPr="00016B7B">
        <w:rPr>
          <w:rFonts w:ascii="Traditional Arabic" w:eastAsia="Calibri" w:hAnsi="Traditional Arabic" w:cs="Traditional Arabic"/>
          <w:sz w:val="28"/>
          <w:szCs w:val="28"/>
          <w:rtl/>
          <w:lang w:val="en-US"/>
        </w:rPr>
        <w:t>ووصل عدد القاضيات في القضاء العادي إلى 187قاضية تعمل 130 قاضية منهم بكافة المحاكم باختلاف درجاتها و17 قاضية منتدبة بالنيابة العامة، ووصل العدد الإجمالي للقاضيات المنتدبات للعمل بالنيابة العامة (20) قاضية</w:t>
      </w:r>
      <w:r w:rsidRPr="00016B7B">
        <w:rPr>
          <w:rFonts w:eastAsia="Calibri"/>
          <w:sz w:val="28"/>
          <w:szCs w:val="28"/>
          <w:rtl/>
          <w:lang w:val="en-US"/>
        </w:rPr>
        <w:t xml:space="preserve">، </w:t>
      </w:r>
      <w:r w:rsidRPr="00016B7B">
        <w:rPr>
          <w:rFonts w:ascii="Traditional Arabic" w:eastAsia="Calibri" w:hAnsi="Traditional Arabic" w:cs="Traditional Arabic"/>
          <w:sz w:val="28"/>
          <w:szCs w:val="28"/>
          <w:rtl/>
          <w:lang w:val="en-US" w:bidi="ar-EG"/>
        </w:rPr>
        <w:t xml:space="preserve">وبصدور القرار الجمهوري لسنة 2025 بتعيين معاوني النيابة العامة من دفعة 2021 أصبح عدد العضوات 176 بالنيابة العامة. </w:t>
      </w:r>
      <w:r w:rsidRPr="00016B7B">
        <w:rPr>
          <w:rFonts w:ascii="Traditional Arabic" w:eastAsia="Calibri" w:hAnsi="Traditional Arabic" w:cs="Traditional Arabic"/>
          <w:sz w:val="28"/>
          <w:szCs w:val="28"/>
          <w:rtl/>
          <w:lang w:val="en-US"/>
        </w:rPr>
        <w:t xml:space="preserve">كما بلغ إجمالي السيدات في هيئة قضايا الدولة 1289 سيدة. أما في هيئة النيابة الإدارية فقد بلغ عدد السيدات 3410 سيدة، وتولت رئاسة الهيئة أكثر من سيدة. كما تشغل السيدات المستشارات بالهيئة عدد من المناصب القيادية. وعلى مستوى ديوان عام وزارة العدل تشغل المرأة نسبة 40% من المناصب القيادية، كما تشغل 70% من المناصب القيادية بمصلة الخبراء، و50% في مصلحة الطب الشرعي، و25% في مصلحة الشهر العقاري والتوثيق، ويبلغ عدد السيدات المأذونات ۱۰۲ سيدة، وتمثل نسبة السيدات بقلم المحضرين ٤٩%. </w:t>
      </w:r>
    </w:p>
    <w:p w14:paraId="47BE54B5"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bidi="ar-EG"/>
        </w:rPr>
      </w:pPr>
      <w:r w:rsidRPr="00016B7B">
        <w:rPr>
          <w:rFonts w:ascii="Traditional Arabic" w:eastAsia="Calibri" w:hAnsi="Traditional Arabic" w:cs="Traditional Arabic"/>
          <w:sz w:val="28"/>
          <w:szCs w:val="28"/>
          <w:rtl/>
          <w:lang w:val="en-US" w:bidi="ar-EG"/>
        </w:rPr>
        <w:t>ويتم تمثيل المرأة فى المجالس الجامعية ومشاركتها فى مراكز صنع القرار داخل الجامعات، حيث بلغ تمثيلهم على النحو التالى: عدد (125) عميدات الكليات، عدد (1) نائبات رؤساء الجامعات لشئون التعليم والطلاب، عدد (1) الامين المساعد للمجلس الأعلى للجامعات، عدد (3) رؤساء لجان القطاع، عدد (2) رؤساء جامعات، عدد (7) أمينات لجان القطاع، عدد (7) نائبات رؤساء الجامعات لشئون خدمة المجتمع وتنمية البيئة، عدد (4) نائبات رؤساء الجامعات لشئون الدراسات العليا والبحوث</w:t>
      </w:r>
      <w:r w:rsidRPr="00016B7B">
        <w:rPr>
          <w:rFonts w:ascii="Traditional Arabic" w:eastAsia="Calibri" w:hAnsi="Traditional Arabic" w:cs="Traditional Arabic"/>
          <w:sz w:val="28"/>
          <w:szCs w:val="28"/>
          <w:lang w:val="en-US" w:bidi="ar-EG"/>
        </w:rPr>
        <w:t>.</w:t>
      </w:r>
    </w:p>
    <w:p w14:paraId="6BC482D6"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bidi="ar-EG"/>
        </w:rPr>
      </w:pPr>
      <w:r w:rsidRPr="00016B7B">
        <w:rPr>
          <w:rFonts w:ascii="Traditional Arabic" w:eastAsia="Calibri" w:hAnsi="Traditional Arabic" w:cs="Traditional Arabic"/>
          <w:sz w:val="28"/>
          <w:szCs w:val="28"/>
          <w:rtl/>
          <w:lang w:val="en-US" w:bidi="ar-EG"/>
        </w:rPr>
        <w:t>على مستوى التوظيف الحكومي، بلغت نسبة الموظفات 51% من إجمالي العاملين في الجهاز الإداري للدولة خلال عام ٢٠٢٣، في حين تعمل 83.8% من النساء في وظائف دائمة، مقارنة بـ ٦١.٤٪ للذكور، وذلك في عام ٢٠٢٤. مما يشير إلى استقرار وظيفي أكبر للمرأة في القطاع الحكومي مقارنة بالقطاع الخاص، الذي لا يزال يواجه تحديات في استيعاب المزيد من الإناث، وهذه المؤشرات تبرز أهمية استمرار الجهود في تعزيز السياسات الداعمة لتمكين المرأة اقتصاديًا، ليس فقط من خلال زيادة فرص العمل، ولكن أيضًا من خلال تحسين جودة هذه الفرص التي تهدف إلى تكافؤ الفرص بين الجنسين في مختلف القطاعات.</w:t>
      </w:r>
    </w:p>
    <w:p w14:paraId="6CDC38D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bidi="ar-EG"/>
        </w:rPr>
      </w:pPr>
    </w:p>
    <w:p w14:paraId="577D5590"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r w:rsidRPr="00016B7B">
        <w:rPr>
          <w:rFonts w:ascii="Traditional Arabic" w:eastAsia="Calibri" w:hAnsi="Traditional Arabic" w:cs="Traditional Arabic"/>
          <w:b/>
          <w:bCs/>
          <w:sz w:val="28"/>
          <w:szCs w:val="28"/>
          <w:rtl/>
          <w:lang w:val="en-US" w:bidi="ar-EG"/>
        </w:rPr>
        <w:t xml:space="preserve">المادة (8) التمثيل الدولي </w:t>
      </w:r>
    </w:p>
    <w:p w14:paraId="7E485DD6"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تحرص الدولة على ضمان مشاركة المرأة على قدم المساواة مع الرجل في الحياة العامة والتمثيل الدولي، وقد شهدت الفترة من (2020- 2025) خطوات بارزة في هذا المجال. فقد بلغت نسبة النساء في الدفعة الأخيرة من الملحقين الدبلوماسيين بوزارة الخارجية 62٪، مما يعكس تقدماً ملموساً في إدماج المرأة داخل السلك الدبلوماسي</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كما ارتفعت نسبة تمثيل المرأة في وزارة الخارجية لتتجاوز 27٪ من إجمالي الأعضاء، مع تزايد حضورها في المناصب القيادية كسفيرات بالخارج وممثلات دائمات في المنظمات الدولية والإقليمية، وهو ما يعكس تعاظم دورها في صياغة السياسات الخارجية والتفاعل مع الملفات متعددة الأطراف</w:t>
      </w:r>
      <w:r w:rsidRPr="00016B7B">
        <w:rPr>
          <w:rFonts w:ascii="Traditional Arabic" w:eastAsia="Calibri" w:hAnsi="Traditional Arabic" w:cs="Traditional Arabic"/>
          <w:sz w:val="28"/>
          <w:szCs w:val="28"/>
          <w:lang w:val="en-US"/>
        </w:rPr>
        <w:t>.</w:t>
      </w:r>
    </w:p>
    <w:p w14:paraId="3944C37E"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وعلى المستوى الأممي، تم انتخاب مصر في يونيو 2022 لعضوية لجنة القضاء على جميع أشكال التمييز ضد المرأة (سيداو) للفترة (2023- 2026). كما تتولى (سيدة مصرية) من فبراير 2020 وحتى الآن، وكيل الأمين العام للأمم المتحدة والمدير التنفيذي لمكتب </w:t>
      </w:r>
      <w:r w:rsidRPr="00016B7B">
        <w:rPr>
          <w:rFonts w:ascii="Traditional Arabic" w:eastAsia="Calibri" w:hAnsi="Traditional Arabic" w:cs="Traditional Arabic"/>
          <w:sz w:val="28"/>
          <w:szCs w:val="28"/>
          <w:rtl/>
          <w:lang w:val="en-US"/>
        </w:rPr>
        <w:lastRenderedPageBreak/>
        <w:t>الأمم المتحدة للمخدرات والجريمة ومدير مقر المنظمة الدولية</w:t>
      </w:r>
      <w:r w:rsidRPr="00016B7B">
        <w:rPr>
          <w:rFonts w:ascii="Traditional Arabic" w:eastAsia="Calibri" w:hAnsi="Traditional Arabic" w:cs="Traditional Arabic"/>
          <w:sz w:val="28"/>
          <w:szCs w:val="28"/>
          <w:lang w:val="en-US"/>
        </w:rPr>
        <w:t xml:space="preserve"> (UNODC) </w:t>
      </w:r>
      <w:r w:rsidRPr="00016B7B">
        <w:rPr>
          <w:rFonts w:ascii="Traditional Arabic" w:eastAsia="Calibri" w:hAnsi="Traditional Arabic" w:cs="Traditional Arabic"/>
          <w:sz w:val="28"/>
          <w:szCs w:val="28"/>
          <w:rtl/>
          <w:lang w:val="en-US"/>
        </w:rPr>
        <w:t>في فيينا، وتم تعيين (سيدة مصرية) أمينة تنفيذية لاتفاقية الأمم المتحدة لمكافحة التصحر، وهو ما يمثل تتويجاً لجهود الدولة في تعزيز المشاركة النسائية وإبراز الكفاءات الوطنية في المحافل الدولية</w:t>
      </w:r>
      <w:r w:rsidRPr="00016B7B">
        <w:rPr>
          <w:rFonts w:ascii="Traditional Arabic" w:eastAsia="Calibri" w:hAnsi="Traditional Arabic" w:cs="Traditional Arabic"/>
          <w:sz w:val="28"/>
          <w:szCs w:val="28"/>
          <w:lang w:val="en-US"/>
        </w:rPr>
        <w:t>.</w:t>
      </w:r>
    </w:p>
    <w:p w14:paraId="1E0C903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وبرزت مشاركة النساء المصريات في رئاسة وفود الدولة الرسمية في عدد من المحافل الدولية الكبرى، ومنها مؤتمر الأطراف في اتفاقية الأمم المتحدة الإطارية بشأن تغير المناخ</w:t>
      </w:r>
      <w:r w:rsidRPr="00016B7B">
        <w:rPr>
          <w:rFonts w:ascii="Traditional Arabic" w:eastAsia="Calibri" w:hAnsi="Traditional Arabic" w:cs="Traditional Arabic"/>
          <w:sz w:val="28"/>
          <w:szCs w:val="28"/>
          <w:lang w:val="en-US"/>
        </w:rPr>
        <w:t xml:space="preserve"> (COP27) </w:t>
      </w:r>
      <w:r w:rsidRPr="00016B7B">
        <w:rPr>
          <w:rFonts w:ascii="Traditional Arabic" w:eastAsia="Calibri" w:hAnsi="Traditional Arabic" w:cs="Traditional Arabic"/>
          <w:sz w:val="28"/>
          <w:szCs w:val="28"/>
          <w:rtl/>
          <w:lang w:val="en-US"/>
        </w:rPr>
        <w:t>الذي استضافته مصر في شرم الشيخ عام 2022، وهو ما عكس ثقة الدولة في الكوادر النسائية وقدرتهن على تمثيل مصر في الملفات العالمية ذات الأولوية</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كما تزايدت مشاركة النساء في رئاسة وفود الدولة الرسمية في محافل دولية كبرى، ومنها مؤتمر الأطراف في اتفاقية الأمم المتحدة الإطارية بشأن تغير المناخ</w:t>
      </w:r>
      <w:r w:rsidRPr="00016B7B">
        <w:rPr>
          <w:rFonts w:ascii="Traditional Arabic" w:eastAsia="Calibri" w:hAnsi="Traditional Arabic" w:cs="Traditional Arabic"/>
          <w:sz w:val="28"/>
          <w:szCs w:val="28"/>
          <w:lang w:val="en-US"/>
        </w:rPr>
        <w:t xml:space="preserve"> (COP27) </w:t>
      </w:r>
      <w:r w:rsidRPr="00016B7B">
        <w:rPr>
          <w:rFonts w:ascii="Traditional Arabic" w:eastAsia="Calibri" w:hAnsi="Traditional Arabic" w:cs="Traditional Arabic"/>
          <w:sz w:val="28"/>
          <w:szCs w:val="28"/>
          <w:rtl/>
          <w:lang w:val="en-US"/>
        </w:rPr>
        <w:t>عام 2022، بما يعكس ثقة الدولة في الكوادر النسائية وقدرتهن على تمثيل مصر في القضايا ذات الأولوية العالمية، وإلى جانب ذلك، تشغل مصريات مناصب رفيعة داخل أجهزة الأمم المتحدة والمنظمات الدولية، وهو ما يعكس الاعتراف الدولي المتزايد بالكفاءات النسائية المصرية ودورهن المؤثر على الساحة العالمية.</w:t>
      </w:r>
    </w:p>
    <w:p w14:paraId="630566D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حققت مصر تقدّمًا ملموسًا في تعزيز مشاركة المرأة في بعثات الأمم المتحدة لحفظ السلام، حيث بلغ عدد المصريات المشاركات 102 سيدة، لتحتل بذلك المركز الثالث عشر عالميًا في حجم مشاركة النساء في هذه البعثات. ويعكس هذا الترتيب المستوى المهني الرفيع الذي تتمتع به الكوادر النسائية المصرية من حيث الكفاءة والانضباط والقدرة على أداء المهام في مختلف البيئات الدولية، كما يجسّد ثقة المجتمع الدولي في قدرات المرأة المصرية، ويؤكد استمرار التزام الدولة بدعم جهود حفظ السلام وتوسيع نطاق المشاركة النسائية في العمل الدولي.</w:t>
      </w:r>
    </w:p>
    <w:p w14:paraId="614756A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08D3BA2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 xml:space="preserve">المادة (9) الجنسية </w:t>
      </w:r>
    </w:p>
    <w:p w14:paraId="3D9A401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يؤكد الدستور على الحق في التمتع بالجنسية المصرية بحسبانها رابطة قانونية وسياسية بين المواطن والدولة على نمط منضبط يجعل من انتساب المواطن لدولته مركزًا تنظيميًا يكتسبه من أحكام الدستور والقانون مباشرةً إذا ما توافرت في حقه الاشتراطات التي أوجبها القانون، دون أن يكون للمواطن أو السلطة القائمة على إثبات الجنسية دخل في اكتسابها أو ثبوتها في حقه. ويضمن الدستور حق الجنسية المصرية لمن يولد لأب مصري أو لأم مصرية، وينص على أن الاعتراف القانوني به ومنحه أوراقًا رسمية تثبت بياناته الشخصية حق يكفله القانون وينظمه (المادة 6).</w:t>
      </w:r>
    </w:p>
    <w:p w14:paraId="61989F5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ويضع قانون الأحوال المدنية رقم 143 لسنة 1994 تنظيمًا متكاملاً لكافة الإجراءات المتعلقة بإثبات واقعة الميلاد والحصول على بطاقة تحقيق الشخصية. كما تم تعديل المادة 2 من قانون الجنسية رقم 154 لسنة 2004، وبالتالي سحبت مصر في 2007 تحفظها على الفقرة الثانية من المادة التاسعة من اتفاقية القضاء على كافة أشكال التمييز ضد المرأة، حيث صارت الجنسية المصرية تُمنح لمن وُلِد لأب مصري أو لأم مصرية، ولمن وُلِد في مصر من أبوين مجهولين. ويعتبر اللقيط في مصر مولودًا فيها ما لم يثبت العكس. ويكون لمن تثبت له جنسية أجنبية إلى جانب الجنسية المصرية الحق في أن يُعلن وزير الداخلية برغبته في التخلي عن الجنسية المصرية، ويكون إعلان هذه الرغبة بالنسبة للقاصر من نائبه القانوني، أو من الأم، أو من متولي التربية حال عدم وجود أيهما، ويجوز للقاصر الذي زالت عنه الجنسية المصرية تطبيقًا لما تقدم أن يعلن رغبته في استردادها خلال السنة التالية لبلوغه سن الرشد. وقد صدر القانون رقم (28) لسنه 2023 بتعديل بعض أحكام القانون رقم (26) لسنة 1975 بشأن الجنسية المصرية، وتعديل بعض أحكام القانون رقم (26) لعام 1975 المتعلق بمنح الجنسية لأبناء الأم المصرية تحقيقاً للمساواة بين الرجل والمرأة. وقد تم منح الجنسية لأبناء الأم المصرية لعدد (10957).</w:t>
      </w:r>
    </w:p>
    <w:p w14:paraId="3725E4A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bidi="ar-EG"/>
        </w:rPr>
      </w:pPr>
    </w:p>
    <w:p w14:paraId="43C109B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r w:rsidRPr="00016B7B">
        <w:rPr>
          <w:rFonts w:ascii="Traditional Arabic" w:eastAsia="Calibri" w:hAnsi="Traditional Arabic" w:cs="Traditional Arabic"/>
          <w:b/>
          <w:bCs/>
          <w:sz w:val="28"/>
          <w:szCs w:val="28"/>
          <w:rtl/>
          <w:lang w:val="en-US" w:bidi="ar-EG"/>
        </w:rPr>
        <w:t xml:space="preserve">المادة (10) التعليم </w:t>
      </w:r>
    </w:p>
    <w:p w14:paraId="5F9FB7A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تلتزم الدولة بضمان المساواة بين الجنسين في التعليم وذلك من خلال اتخاذ جميع التدابير اللازمة لتكافؤ الفرص بين الفتاة والفتى، وضمان الوصول إلى التعليم بجميع مراحله وأنواعه، بما في ذلك التعليم العام، الفني، التقني، المهني والتعليم العالي، إضافة إلى جميع أنواع </w:t>
      </w:r>
      <w:r w:rsidRPr="00016B7B">
        <w:rPr>
          <w:rFonts w:ascii="Traditional Arabic" w:eastAsia="Calibri" w:hAnsi="Traditional Arabic" w:cs="Traditional Arabic"/>
          <w:sz w:val="28"/>
          <w:szCs w:val="28"/>
          <w:rtl/>
          <w:lang w:val="en-US"/>
        </w:rPr>
        <w:lastRenderedPageBreak/>
        <w:t>التدريب المهني. كما تعمل الدولة على القضاء على المفاهيم النمطية لدور الرجل والمرأة، وتوفير المناهج والامتحانات ومبانٍ ومعدات مدرسية متساوية، وتكافؤ الفرص في المنح التعليمية وبرامج التعليم المستمر وتعليم الكبار، مع خفض معدلات ترك المدرسة المبكر بين الطالبات وتنظيم برامج لدعم النساء والفتيات اللواتي تركن الدراسة قبل الأوان، وضمان مشاركة الطالبات في الأنشطة الرياضية والتربية البدنية، وإتاحة المعلومات التربوية والصحية اللازمة لضمان صحة الأسرة ورفاهها، بما في ذلك التوعية بتخطيط الأسرة</w:t>
      </w:r>
      <w:r w:rsidRPr="00016B7B">
        <w:rPr>
          <w:rFonts w:ascii="Traditional Arabic" w:eastAsia="Calibri" w:hAnsi="Traditional Arabic" w:cs="Traditional Arabic"/>
          <w:sz w:val="28"/>
          <w:szCs w:val="28"/>
          <w:lang w:val="en-US"/>
        </w:rPr>
        <w:t>.</w:t>
      </w:r>
    </w:p>
    <w:p w14:paraId="0D54942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 تم إطلاق الخطة الاستراتيجية لتطوير التعليم قبل الجامعي 2014-2030 لإصلاح المنظومة التعليمية، والمشروع القومي للتعليم في 2018، وتستند الخطة الاستراتيجية إلى مجموعة من السياسات العامة أهمها: إتاحة الفرص المتكافئة لجميع السكان في سن التعليم للالتحاق بالتعليم، واستهداف المناطق الفقيرة. بالإضافة إلى تحسين جودة الخدمة التعليمية من خلال توفير مناهج مطورة تتماشى مع المعايير العالمية ومعلّمين مؤهلين قادرين على اتباع أنماط التعليم الحديثة. كذلك تدعيم البنية المؤسسية من خلال تطبيق اللا مركزية بما يضمن الحوكمة الرشيدة. وتقوم الاستراتيجية على مجموعة من البرامج الرئيسية والبرامج الفرعية أهمها برنامج تكنولوجيا المعلومات، وبرنامج التغذية المدرسية، وبرنامج الإصلاح الشامل للمناهج.</w:t>
      </w:r>
    </w:p>
    <w:p w14:paraId="00C3540A"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شهدت الفترة 2020–2025 تقدمًا ملموسًا في مجال التعليم والمساواة بين الجنسين، حيث أظهرت بيانات الجهاز المركزي للتعبئة العامة والإحصاء انخفاض معدلات الأمية بشكل ملحوظ، فقد تراجعت بين الإناث من 26٪ عام 2016 إلى 21٪ عام 2023، وبين الذكور من 14.4٪ إلى 11.4٪ للفئة العمرية 10 سنوات فأكثر، ما يعكس تقليص الفجوة التعليمية تدريجيًا. كما بلغ عدد الفتيات الملتحقات من الابتدائي إلى الثانوي حوالي 11.5 مليون فتاة مقابل 11.8 مليون فتى، مما يشير إلى تقارب كبير في فرص الالتحاق بالتعليم ما قبل الجامعي. أما نسبة الإناث في التعليم العالي فقد ارتفعت من 45.4٪ في 2013–2014 إلى 49.8٪ في العام الأكاديمي 2023–2024. فضلاً عن ارتفاع نسبة الإناث المقيدات بالدراسات العليا حيث بلغت 58% عام 2023/ 2024، مقابل 47.9% عام 2013/ 2014، فيما أظهرت بيانات التسرب المدرسي تحسنًا في استمرارية التعليم، حيث بلغت النسبة بين الفتيات 0.2٪ في المرحلة الابتدائية و1.9٪ في المرحلة الإعدادية، مقابل 0.3٪ و1.6٪ للفتيان على التوالي</w:t>
      </w:r>
      <w:r w:rsidRPr="00016B7B">
        <w:rPr>
          <w:rFonts w:ascii="Traditional Arabic" w:eastAsia="Calibri" w:hAnsi="Traditional Arabic" w:cs="Traditional Arabic"/>
          <w:sz w:val="28"/>
          <w:szCs w:val="28"/>
          <w:lang w:val="en-US"/>
        </w:rPr>
        <w:t>.</w:t>
      </w:r>
    </w:p>
    <w:p w14:paraId="607BB0E3"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تم تطوير أكثر من 70٪ من مناهج التعليم الفني على منهجية الجدارات من الصفوف الأولى حتى الثالث الثانوي بما يتوافق مع متطلبات سوق العمل المحلي والدولي، مع التركيز على تنمية المهارات التكنولوجية والإبداعية للطلاب. كما تم تدريب أكثر من 4.000 طالب على مستوى الجمهورية في مراكز التطوير التكنولوجي، واختيار 5 طلاب لتمثيل مصر لأول مرة في مسابقة دولية بمشاركة أكثر من 160 طالبًا عالميًا. وقد تم تنفيذ برنامج "هي لمستقبل رقمي" بالتعاون مع المعهد القومي للحوكمة والتنمية المستدامة، مستهدفًا 450 سيدة من القيادات بالوزارة لتطوير المهارات الرقمية والشمول المالي وتعزيز المعرفة بأهداف التنمية المستدامة والأمن الإلكتروني والمساواة بين الجنسين.</w:t>
      </w:r>
    </w:p>
    <w:p w14:paraId="043DE995"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وفي مجال العلوم والتكنولوجيا، توسعت وزارة التربية والتعليم في إنشاء مدارس المتفوقين في</w:t>
      </w:r>
      <w:r w:rsidRPr="00016B7B">
        <w:rPr>
          <w:rFonts w:ascii="Traditional Arabic" w:eastAsia="Calibri" w:hAnsi="Traditional Arabic" w:cs="Traditional Arabic"/>
          <w:sz w:val="28"/>
          <w:szCs w:val="28"/>
          <w:lang w:val="en-US"/>
        </w:rPr>
        <w:t xml:space="preserve"> STEM </w:t>
      </w:r>
      <w:r w:rsidRPr="00016B7B">
        <w:rPr>
          <w:rFonts w:ascii="Traditional Arabic" w:eastAsia="Calibri" w:hAnsi="Traditional Arabic" w:cs="Traditional Arabic"/>
          <w:sz w:val="28"/>
          <w:szCs w:val="28"/>
          <w:rtl/>
          <w:lang w:val="en-US"/>
        </w:rPr>
        <w:t>في45مدرسة بمحافظات مختلفة، مع خطط لإنشاء مدارس إضافية في كل محافظة لتلبية احتياجات الدولة من الكوادر العلمية والتكنولوجية المتميزة. كما تم التوسع في إنشاء المدارس المجتمعية بالمناطق الأكثر احتياجًا، بإنشاء 200 مدرسة جديدة ليصل إجمالي المدارس إلى 4.943 مدرسة، تستوعب 139.772 طفلًا وطفلة، فضلًا عن إنشاء خمس مدارس للتكنولوجيا التطبيقية في مجالات الصناعات الغذائية والأدوية والخشب والأثاث ومواد البناء والصناعات الميكانيكية والكهربائية</w:t>
      </w:r>
      <w:r w:rsidRPr="00016B7B">
        <w:rPr>
          <w:rFonts w:ascii="Traditional Arabic" w:eastAsia="Calibri" w:hAnsi="Traditional Arabic" w:cs="Traditional Arabic"/>
          <w:sz w:val="28"/>
          <w:szCs w:val="28"/>
          <w:lang w:val="en-US"/>
        </w:rPr>
        <w:t>.</w:t>
      </w:r>
    </w:p>
    <w:p w14:paraId="5636B465"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تم عقد دورة تدريبية في نوفمبر 2023 بعنوان "إحصاءات النوع الاجتماعي" لمسؤولات إدارات تكافؤ الفرص والمعلمين والعاملين بالمديريات والإدارات التعليمية في عدة محافظات، استفاد منها 3,500 مشارك بحصولهم على شهادة</w:t>
      </w:r>
      <w:r w:rsidRPr="00016B7B">
        <w:rPr>
          <w:rFonts w:ascii="Traditional Arabic" w:eastAsia="Calibri" w:hAnsi="Traditional Arabic" w:cs="Traditional Arabic"/>
          <w:sz w:val="28"/>
          <w:szCs w:val="28"/>
          <w:lang w:val="en-US"/>
        </w:rPr>
        <w:t xml:space="preserve"> OSCWA </w:t>
      </w:r>
      <w:r w:rsidRPr="00016B7B">
        <w:rPr>
          <w:rFonts w:ascii="Traditional Arabic" w:eastAsia="Calibri" w:hAnsi="Traditional Arabic" w:cs="Traditional Arabic"/>
          <w:sz w:val="28"/>
          <w:szCs w:val="28"/>
          <w:rtl/>
          <w:lang w:val="en-US"/>
        </w:rPr>
        <w:t>لتعزيز قدراتهم في رصد المؤشرات التنموية ومتابعة التقدم في تمكين المرأة. كما تم إطلاق نوادي مناظرات قضايا النوع الاجتماعي لتعزيز الحوار بين الطلاب حول التنمية المستدامة وقضايا العنف والمساواة، وتدريب 270 من رواد وحدات تكافؤ الفرص وموجهي التربية الاجتماعية على نشر مفاهيم المساواة بين الجنسين ومناهضة العنف</w:t>
      </w:r>
      <w:r w:rsidRPr="00016B7B">
        <w:rPr>
          <w:rFonts w:ascii="Traditional Arabic" w:eastAsia="Calibri" w:hAnsi="Traditional Arabic" w:cs="Traditional Arabic"/>
          <w:sz w:val="28"/>
          <w:szCs w:val="28"/>
          <w:lang w:val="en-US"/>
        </w:rPr>
        <w:t>.</w:t>
      </w:r>
    </w:p>
    <w:p w14:paraId="0BB37A8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lastRenderedPageBreak/>
        <w:t>كما تم تضمين مكونات المساواة بين الجنسين وتكافؤ الفرص التعليمية ضمن المناهج الدراسية لمواد اللغة العربية والدراسات والعلوم والجيولوجيا، مع تعزيز أدوار وحدات تكافؤ الفرص وحقوق الإنسان بالقرار الوزاري رقم 99 لعام 2024. وقد ركزت الدولة على تعزيز قيم المواطنة والانتماء وحقوق الإنسان من خلال الأنشطة الصفية واللاصفية، لتنمية مهارات الحوار والتعايش مع الاختلاف، وتعزيز الانفتاح الفكري والانتماء الوطني، وحماية الطلاب من التطرف والعنف</w:t>
      </w:r>
      <w:r w:rsidRPr="00016B7B">
        <w:rPr>
          <w:rFonts w:ascii="Traditional Arabic" w:eastAsia="Calibri" w:hAnsi="Traditional Arabic" w:cs="Traditional Arabic"/>
          <w:sz w:val="28"/>
          <w:szCs w:val="28"/>
          <w:lang w:val="en-US"/>
        </w:rPr>
        <w:t>.</w:t>
      </w:r>
    </w:p>
    <w:p w14:paraId="7F70863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1AD947B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الإنفاق العام على التعليم وعدد المدارس</w:t>
      </w:r>
    </w:p>
    <w:p w14:paraId="1CA1149E"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زادت مخصصات الإنفاق على قطاع التعليم قبل الجامعي من 208.2 مليار جنية عام 2017/2018 الى 565 مليار جنيه في موازنة العام المالي 2024/2025. زاد عدد المدارس من 49.4 ألف مدرسة في عام 2013/2014 إلى 61.3 ألف مدرسة في عام 2023/2024، وزاد عدد فصول التعليم قبل الجامعى من (466.6) ألف فصل فى عام 2013/2014 إلى (556.888) ألف فصل في عام 2023/ 2024. كما زاد عدد الطلاب من 18.6 مليون طالب في عام 2013/2014، إلى 28 مليون طالب في عام 2022/2023، وانخفض نسبة التسرب بين الإناث (المرحلة الابتدائية)، لتصل إلى 0.19% عام 2023/2024، مقارنةً بـ 0.45% عام 2013/2014، كما ارتفعت نسبة الإناث المقيدات بالتعليم العالي، لتصل إلى 54.8% عام 2023/2024، مقابل 45.4% عام 2013/2014.</w:t>
      </w:r>
    </w:p>
    <w:p w14:paraId="6AA0C2C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p>
    <w:p w14:paraId="345CE37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bidi="ar-EG"/>
        </w:rPr>
        <w:t xml:space="preserve">المادة (11) العمل </w:t>
      </w:r>
    </w:p>
    <w:p w14:paraId="6A8E6B1F"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يكفل الدستور تحقيق تكافؤ الفرص بين الجميع دون تمييز وينص على كفالة الدولة تحقيق المساواة بين المرأة والرجل فى جميع الحقوق. كما يلزم الدولة بربط الأجر بالإنتاج مما يعني أن الأجر يرتبط بكفاءة الموظف دون تمييز. تتعدد السياسات والبرامج التي تستهدف التمكين الاقتصادي للمرأة وادماجها في سوق العمل، ويكفل قانون العمل الجديد لجميع العاملين من الذكور والإناث أجرا متساويًا عن العمل ذي القيمة المتساوية، ويشمل ذلك كل صور الأجر وعناصره من مزايا نقدية أو عينيـــة أو علاوات أو حوافز أو بدلات أو غيرها. ويُصدر الوزير المختص، بعد أخذ رأى كل من المجلس القومى للمرأة والمجلس القومى للطفولة والأمومة، قرارا بشأن الأحوال الشخصية أو الأعمال التي لا يجوز تشغيل النساء فيها، بهدف توفير الوقت اللازمة لحماية الأمومة، أو مواجهة مخاطر السلامة والصحة المهنية.</w:t>
      </w:r>
    </w:p>
    <w:p w14:paraId="74B074E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تم إطلاق "الخطة الوطنية لتعزيز المساواة بين الجنسين في مجال العمل" في 2022. وشهد معدل البطالة بين النساء انخفاضا من 17.8% في عام 2021 إلى 15.8% عام 2025. كما سعت الدولة لتوفير فرص عمل تتناسب النساء من خلال المشروعات الإنتاجية والمشروعات الصغيرة الموجهة للمرأة. وبلغ إجمالي التمويل المتاح 48.3 مليار جنيه لتمويل (192716) مشروعا من المشروعات الصغيرة لخلق (481347) فرصة عمل، و(1713513) مشروع من المشروعات متناهية الصغر للمرأة لخلق 2530452 فرصة عمل. </w:t>
      </w:r>
    </w:p>
    <w:p w14:paraId="3080B5CE"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أطلقت الدولة برنامج تكثيف توظيف المرأة في سوق العمل المحلي، يستهدف البرنامج تعظيم الاستفادة من القوة العاملة النسائية المُهدرة خلال 3 سنوات، ويهدف لإعداد النساء لسوق العمل، وسد الفجوات بين الجنسين في الأجور بين القطاعات وداخلها، ودعم تواجد مزيد من النساء في المناصب الإدارية والقيادية، وخصص جهاز تنمية المشروعات محفظة تمويلية تصل إلى خمسة مليارات وأربعمائة مليون جنيه لتمويل المشروعات متناهية الصغر الخاصة بالمرأة، خاصة في المحافظات الحدودية والصعيد، وقد بلغت نسبة النساء المستفيدات من منحة العمالة غير المنتظمة 40٪ من إجمالي مليون وخمسمائة ألف شخص من العمالة غير المنتظمة، هذا إلى جانب انضمام مصر إلى التحالف الدولي للمساواة في الأجور في 2020، والذي يستهدف تحقيق المساواة في الأجور بين النساء والرجال. وأطلقت وزارة التعاون الدولي، والمجلس القومي للمرأة، بالتعاون مع المنتدى الاقتصادي العالمي، برنامج "محفز سد الفجوة بين الجنسين في مصر"، كأول دولة في إفريقيا ومنطقة الشرق الأوسط.</w:t>
      </w:r>
    </w:p>
    <w:p w14:paraId="54CB6033"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lastRenderedPageBreak/>
        <w:t>في إطار تحقيق تكافؤ الفرص والمساواة بين الجنسين، أطلقت وزارة المالية الدليل الإجرائي لموازنات البرامج المستجيبة لتكافؤ الفرص والمساواة بين الجنسين، وهو الدليل الذي تم إعداده بالتعاون مع المجلس القومي للمرأة، وهيئة الأمم المتحدة للمرأة "</w:t>
      </w:r>
      <w:r w:rsidRPr="00016B7B">
        <w:rPr>
          <w:rFonts w:ascii="Traditional Arabic" w:eastAsia="Calibri" w:hAnsi="Traditional Arabic" w:cs="Traditional Arabic"/>
          <w:sz w:val="28"/>
          <w:szCs w:val="28"/>
          <w:lang w:val="en-US"/>
        </w:rPr>
        <w:t>UNWOMEN</w:t>
      </w:r>
      <w:r w:rsidRPr="00016B7B">
        <w:rPr>
          <w:rFonts w:ascii="Traditional Arabic" w:eastAsia="Calibri" w:hAnsi="Traditional Arabic" w:cs="Traditional Arabic"/>
          <w:sz w:val="28"/>
          <w:szCs w:val="28"/>
          <w:rtl/>
          <w:lang w:val="en-US"/>
        </w:rPr>
        <w:t>".ونفذ المجلس تدريب المدربين "</w:t>
      </w:r>
      <w:r w:rsidRPr="00016B7B">
        <w:rPr>
          <w:rFonts w:ascii="Traditional Arabic" w:eastAsia="Calibri" w:hAnsi="Traditional Arabic" w:cs="Traditional Arabic"/>
          <w:sz w:val="28"/>
          <w:szCs w:val="28"/>
          <w:lang w:val="en-US"/>
        </w:rPr>
        <w:t>TOT</w:t>
      </w:r>
      <w:r w:rsidRPr="00016B7B">
        <w:rPr>
          <w:rFonts w:ascii="Traditional Arabic" w:eastAsia="Calibri" w:hAnsi="Traditional Arabic" w:cs="Traditional Arabic"/>
          <w:sz w:val="28"/>
          <w:szCs w:val="28"/>
          <w:rtl/>
          <w:lang w:val="en-US"/>
        </w:rPr>
        <w:t>" على دليل دعم منظور المساواة بين الجنسين، وتمكين المرأة، وتكافؤ الفرص في البرامج وعملية التخطيط الإستراتيجي، واستهدف 37 موظفًا وموظفة بمعهد التخطيط القومي التابع لوزارة التخطيط والتنمية الاقتصادية، بهدف تزويدهم بالمعارف العملية والأدوات لتعميم وتطبيق منظور المساواة بين الجنسين وتمكين المرأة في التخطيط الإستراتيجي للمعهد.</w:t>
      </w:r>
    </w:p>
    <w:p w14:paraId="19365F7E"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وتنفذ الدولة عددا من المشاريع الأخرى، منها مشروع "تعزيز فرص عمل المرأة في مجال التصنيع الزراعي" الذي يستهدف الوصول إلى (19500) إمراة بشكل مباشر وغير مباشر، ومشروع </w:t>
      </w:r>
      <w:r w:rsidRPr="00016B7B">
        <w:rPr>
          <w:rFonts w:ascii="Traditional Arabic" w:eastAsia="Calibri" w:hAnsi="Traditional Arabic" w:cs="Traditional Arabic"/>
          <w:sz w:val="28"/>
          <w:szCs w:val="28"/>
          <w:lang w:val="en-US"/>
        </w:rPr>
        <w:t>SWEET "</w:t>
      </w:r>
      <w:r w:rsidRPr="00016B7B">
        <w:rPr>
          <w:rFonts w:ascii="Traditional Arabic" w:eastAsia="Calibri" w:hAnsi="Traditional Arabic" w:cs="Traditional Arabic"/>
          <w:sz w:val="28"/>
          <w:szCs w:val="28"/>
          <w:rtl/>
          <w:lang w:val="en-US"/>
        </w:rPr>
        <w:t>" الذي يهدف إلى تعزيز قدرات رائدات الأعمال والعاملات بقطاع صناعة السجاد اليدوي، وبرامج الإدخار الرقمي تستهدف الشمول الاقتصادي والمالي للنساء ويستهدف البرنامج 1.2 مليون سيدة خلال 3 سنوات وساهم البرنامج في زيادة عدد السيدات اللاتي يمتلكن حسابات مصرفية إلى 20.3 مليون سيدة في ديسمبر 2023.</w:t>
      </w:r>
    </w:p>
    <w:p w14:paraId="55FA2BE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كما أصدر رئيس مجلس الوزراء في 2021 اللائحة التنفيذية للقانون رقم 152 لسنة 2020 بشأن تنمية المشروعات المتوسطة والصغيرة ومتناهية الصغر، والذي يتضمن منح حوافز غير ضريبية للبرامج والمشروعات التي تعطي الأولوية لبعض القضايا، ومن بينها التمكين الاقتصادي للمرأة، وتخصيص نسبة تصل إلى 40% من المشتريات الحكومية لصالح المشروعات الصغيرة والمتوسطة والمتناهية الصغر، وأصدرت وزارة القوى العاملة في أبريل 2021 قرارات بتعديل قواعد تشغيل النساء ليلًا، وتحديد الأعمال التي لا يجوز تشغيلهن فيها، وتجيز هذه القرارات تشغيل النساء أثناء فترات الليل بناء على طلبهن، مع التزام صاحب العمل بتوفير عمل نهاري بديل عن العمل الليلي للمرأة العاملة خلال الفترات السابقة واللاحقة على الوضع</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w:t>
      </w:r>
    </w:p>
    <w:p w14:paraId="79723F0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بالإضافة إلى تعديل القرار الخاص بتحديد الأعمال التي لا يجوز تشغيل النساء فيها لتشمل العمل تحت سطح الأرض في المناجم والمحاجر واستخراج المعادن والأحجار من باطن الأرض، باستثناء النساء اللاتي يشغلن مناصب إدارية، والعاملات في الخدمة الصحية، وخدمات الرعاية، والنساء المتدربات في أقسام المناجم تحت سطح الأرض، والنساء الأخريات اللاتي يتعين عليهن النزول بعض الوقت إلى أقسام المناجم الواقعة تحت سطح الأرض لأداء عمل غير يدوي</w:t>
      </w:r>
      <w:r w:rsidRPr="00016B7B">
        <w:rPr>
          <w:rFonts w:ascii="Traditional Arabic" w:eastAsia="Calibri" w:hAnsi="Traditional Arabic" w:cs="Traditional Arabic"/>
          <w:sz w:val="28"/>
          <w:szCs w:val="28"/>
          <w:lang w:val="en-US"/>
        </w:rPr>
        <w:t>.</w:t>
      </w:r>
    </w:p>
    <w:p w14:paraId="2EE9367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43DBCA0D"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t xml:space="preserve">الترقيات </w:t>
      </w:r>
    </w:p>
    <w:p w14:paraId="61E3257E"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يضع قانون الخدمة المدنية رقم 81 لسنة 2016 قواعد عامة مجردة للترقيات بشأن العاملين في الجهاز الإداري للدولة دون تمييز تحت حيث يتم ترقية كافة العاملين من الدرجات الأدنى وحتى الدرجة الأولى بمعيار واحد فقط وهو الأقدمية في تاريخ شغل الوظيفة، أما فيما يتعلق بالوظائف القيادية والإشرافية فيكون توليها على أساس الكفاءة، مع حق كل عامل في اللجوء للقضاء طعناً على قرارات الترقية وفقاً للقواعد العامة للنظام القانوني المصري، حال الإخلال بمبدأ المساواة وتكافؤ الفرص في الترقي إلى الدرجات الوظيفية الأعلى. </w:t>
      </w:r>
    </w:p>
    <w:p w14:paraId="62224BA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58BC5F2A"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المساواة في الأجر</w:t>
      </w:r>
    </w:p>
    <w:p w14:paraId="4D9BBBE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تم إنشاء المجلس القومي للأجور، ويختص المجلس بوضع الحد الأدنى للأجور على المستوى القومي بمراعاة نفقات المعيشة، وبإيجاد الوسائل والتدابير التي تكفل تحقيق التوازن بين الأجور والأسعار. ويأتي تحديد وتعديل الحد الأدنى للأجور في إطار حرص الدولة على تحقيق مصلحة العاملين والحفاظ على حقوقهم ومكتسباتهم، وتوفير حياة كريمة لهم في ضوء المستجدات والتغيرات الاقتصادية داخليا وخارجيا، وكذلك لتحقيق التوازن في مصالح طرفي الإنتاج من رب العمل والعامل، وتم رفع الحد الأدنى للأجور عدة مرات في القطاع الحكومي والخاص، فتم رفع الحد الأدنى للأجور في القطاع الحكومي من 1200 جنيه في مارس 2019 إلى 3500 جنيه في مارس 2023، ثم إلى 4 آلاف جنيه في سبتمبر 2023، ثم أخيرا إلى 6 آلاف جنيه في مارس 2024. وتطور الحد الأدنى لأجور العاملين بالقطاع الخاص والذي وصل </w:t>
      </w:r>
      <w:r w:rsidRPr="00016B7B">
        <w:rPr>
          <w:rFonts w:ascii="Traditional Arabic" w:eastAsia="Calibri" w:hAnsi="Traditional Arabic" w:cs="Traditional Arabic"/>
          <w:sz w:val="28"/>
          <w:szCs w:val="28"/>
          <w:rtl/>
          <w:lang w:val="en-US"/>
        </w:rPr>
        <w:lastRenderedPageBreak/>
        <w:t>في يناير 2022 إلى 2400 جنيه، وتم رفعه إلى 2700 جنيه في يناير 2023، ثم رفع مرة أخرى في يوليو 2023 ليصل إلى 3000 جنيه، ثم إلى 3500 جنيه في يناير 2024، ثم إلى 7 آلاف جنيه في مارس 2025.</w:t>
      </w:r>
    </w:p>
    <w:p w14:paraId="6A83769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506A30A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الحق في الضمان الاجتماعي</w:t>
      </w:r>
    </w:p>
    <w:p w14:paraId="14D8C19F"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ينص الدستور على كفالة الدولة توفير خدمات التأمين الاجتماعى، ويعطى لكل مواطن لا يتمتع بنظام التأمين الاجتماعى الحق فى الضمان الاجتماعى، بما يضمن له حياة كريمة، إذا لم يكن قادرًا على إعالة نفسه وأسرته، وفى حالات العجز عن العمل والشيخوخة والبطالة. كما صدر قانون التأمينات الاجتماعية والمعاشات رقم 148 لسنة 2019، لتطوير وتحديث نظم التأمين الاجتماعي لمسايرة المتغيرات العالمية والتوافق مع الاتفاقيات الدولية والإقليمية في مجال الحماية الاجتماعية، وتوحيد المزايا المقدمة في نظم التأمين الاجتماعي لجميع فئات المجتمع تطبيقا لمبدأ المساواة وتكافؤ الفرص، ويعالج القانون الجديد عدم تناسب المعاش مع الدخل، ويؤمن القانون معاشات الشيخوخة، والعجز والاصابة والوفاة، وتأمين المرض والبطالة. وتضمن تمييزاً إيجابياً لصالح بعد الفئات الأولى بالرعاية مثل ذوي الإعاقة، والتلاميذ الصناعيين، والعمالة غير المنتظمة بمختلف أشكالها، مع وضع حوافز تشجيعية للتأمين مثل؛ تحمل الخزانة العامة حصة صاحب العمل لهم، ووضع آلية لزيادة المعاشات بنسبة من معدل التضخم في الدولة يتحملها نظام التأمين الاجتماعي بحد أقصى للزيادة 15%</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w:t>
      </w:r>
    </w:p>
    <w:p w14:paraId="5A88B38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495BEF7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مباشرة العمل في ظروف تكفل السلامة والصحة المهنية</w:t>
      </w:r>
    </w:p>
    <w:p w14:paraId="66FDEB76"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وضمانا لبيئة عمل خالية من التحرش الجنسي فقد صدر القانون 50 لسنة 2014 ورقم 185 لسنة 2023 الصادر بتعديل قانون العقوبات وبتغليظ العقوبة لجريمة التحرش الجنسي في حالة إذا كان الجاني له سلطة وظيفية أو مارس على المجني عليه أي ضغط تسمح له الظروف بممارسته عليه، وقد توسع القانون المذكور في مفهوم جريمة التحرش لتشمل التعرض للغير بإتيان أمور أو إيحاءات أو تلميحات جنسية أو إباحية سواء بالإشارة أو بالقول أو بالفعل بأي وسيلة بما في ذلك وسائل الاتصالات.</w:t>
      </w:r>
      <w:r w:rsidRPr="00016B7B">
        <w:rPr>
          <w:rFonts w:ascii="Traditional Arabic" w:eastAsia="Calibri" w:hAnsi="Traditional Arabic" w:cs="Traditional Arabic"/>
          <w:sz w:val="28"/>
          <w:szCs w:val="28"/>
          <w:rtl/>
          <w:lang w:val="en-US" w:bidi="ar-EG"/>
        </w:rPr>
        <w:t xml:space="preserve"> </w:t>
      </w:r>
      <w:r w:rsidRPr="00016B7B">
        <w:rPr>
          <w:rFonts w:ascii="Traditional Arabic" w:eastAsia="Calibri" w:hAnsi="Traditional Arabic" w:cs="Traditional Arabic"/>
          <w:sz w:val="28"/>
          <w:szCs w:val="28"/>
          <w:rtl/>
          <w:lang w:val="en-US"/>
        </w:rPr>
        <w:t>كما يحظر قانون العمل رقم 14 لسنة 2025، التحرش بجميع أشكاله لفظياً، جسدياً، ونفسياً، ويُلزم أصحاب العمل باتخاذ إجراءات لحماية العاملين. وفي حالة وقوع تحرش يعتبر ذلك مخالفة جسيمة تستوجب الفصل التأديبي، ويلزم القانون أصحاب العمل بوضع لائحة داخلية تحظر التحرش واتخاذ تدابير لحماية العاملين وضمان سرية الشكاوى. وللعامل الحق في تقديم شكوى عاجلة إلى لجنة السلامة والصحة المهنية أو مكتب العمل. كما مُنحت سلطات التفتيش صلاحيات لمتابعة الشكاوى. وفي حالة عدم اتخاذ صاحب العمل الإجراءات اللازمة أو مخالفته أحكام القانون، قد يُعاقب بغرامة تتراوح بين 5 آلاف و50 ألف جنيه، وتتعدد الغرامة بتعدد العمال الذين وقعت في شأنهم الجريمة.</w:t>
      </w:r>
    </w:p>
    <w:p w14:paraId="363F022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2A428EC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أوقات الراحة والاجازات</w:t>
      </w:r>
    </w:p>
    <w:p w14:paraId="566C1E6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يمنح قانون الخدمة المدنية مزايا للأمهات العاملات مثل إجازة وضع لمدة 4 أشهر، وإجازة أمومة لمدة 4 أشهر بأجر كامل على أن تستحق الموظفة إجازة بدون أجر لرعاية طفلها لمدة عامين على الأكثر في المرة الواحدة وبحد أقصى ست سنوات طوال مدة عملها بالخدمة المدنية. كما يمنح قانون الطفل المرأة العاملة الأم الكافلة أو الحاضنة إجازة رعاية طفل مدفوعة الأجر لمدة أربعة أشهر إذا كفلت طفل أقل من ستة أشهر من العمل، ومنحتها ذات الحقوق المقررة لمن تضع طفلها في شأن مدة الراحة لإرضاع الطفل أو أجازات رعايته. ووفقا لقانون العمل الجديد رقم 14 لسنة 2025 تحصل الأم العاملة إجازة وضع لمدة أربعة أشهر تشمل المدة التي تسبق الوضع والتي تليها على ألا تقل مدة الاجازة بعد الوضع عن 45 يوم وتكون هذه الاجازة مدفوعة الأجر</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وتخفض ساعات العمل اليومية للمرأة الحامل ساعة على الأقل من الشهر السادس من الحمل ولا يجوز إلزامها بساعات عمل إضافية طول مدة الحمل وحتى نهاية ستة أشهر من تاريخ الوضع.</w:t>
      </w:r>
    </w:p>
    <w:p w14:paraId="0CD6C1B7"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وتوجد بالعديد من المؤسسات والهيئات حضانات ملحقة بمقار العمل لتسهيل رعاية الأم لطفلها وقت العمل. وقامت وزارة التضامن الاجتماعي بإنشاء جمعية خدمات معاونات المنازل للمحافظة على النساء العاملات داخل المنازل، وإنشاء مراكز لخدمة المرأة العاملة بهدف </w:t>
      </w:r>
      <w:r w:rsidRPr="00016B7B">
        <w:rPr>
          <w:rFonts w:ascii="Traditional Arabic" w:eastAsia="Calibri" w:hAnsi="Traditional Arabic" w:cs="Traditional Arabic"/>
          <w:sz w:val="28"/>
          <w:szCs w:val="28"/>
          <w:rtl/>
          <w:lang w:val="en-US"/>
        </w:rPr>
        <w:lastRenderedPageBreak/>
        <w:t>تخفيف الأعباء الملقاة على عاتق المرأة ومعاونتها بتقديم الخدمات التي تحتاجها المرأة العاملة نظير أجور مناسبة. وعدد هذه المراكز 39 مركزاً في 22 محافظة.</w:t>
      </w:r>
    </w:p>
    <w:p w14:paraId="25D245BA"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p>
    <w:p w14:paraId="0EC9A58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r w:rsidRPr="00016B7B">
        <w:rPr>
          <w:rFonts w:ascii="Traditional Arabic" w:eastAsia="Calibri" w:hAnsi="Traditional Arabic" w:cs="Traditional Arabic"/>
          <w:b/>
          <w:bCs/>
          <w:sz w:val="28"/>
          <w:szCs w:val="28"/>
          <w:rtl/>
          <w:lang w:val="en-US" w:bidi="ar-EG"/>
        </w:rPr>
        <w:t xml:space="preserve">المادة (12) الحق في الصحة </w:t>
      </w:r>
    </w:p>
    <w:p w14:paraId="68E0AF7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يستهدف محور الرعاية الصحية في استراتيجية "رؤية مصر 2030" تمتع كافة المصريين بالحق في حياة صحية آمنة من خلال تطبيق نظام صحي متكامل يتميز بالإتاحة والجودة وعدم التمييز. وتعكس الموازنة العامة للدولة الالتزام بإعمال الحق في الصحة من خلال زيادة مخصصات الإنفاق العام على الصحة، فتم زيادة مخصصات الإنفاق العام على الصحة لتبلغ (617.962) مليار جنيه في العام المالي 2025/ 2026. وبلغت مخصصات التأمين الصحي للطلاب والمرأة المعيلة والأطفال والتأمين الصحي الشامل 5.9 مليار جنيه.</w:t>
      </w:r>
    </w:p>
    <w:p w14:paraId="0EB77C1D"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أطلقت الاستراتيجية الوطنية الصحية لجمهورية مصر العربية 2024/ 2030. والتى تركز تحسين الخصائص السكانية، والوصول لمعدل الإنجاب الكلي 2.1 طفل لكل سيدة، والتنمية البشرية وتحسين الخصائص السكانية، حققت مصر تقدماً ملحوظاً نحو تحقيق أهداف التنمية المستدامة المتعلقة بخفض معدلات وفيات الأمهات والمواليد، وحصلت مصر على شهادة الإشهاد بالقضاء على مرض الملاريا من منظمة الصحة العالمية في أكتوبر 2024. كما حصلت مصر تحقق منظمة الصحة العالمية بلوغ المستوى الذهبي لمسار القضاء على التهاب الكبد (</w:t>
      </w:r>
      <w:r w:rsidRPr="00016B7B">
        <w:rPr>
          <w:rFonts w:ascii="Traditional Arabic" w:eastAsia="Calibri" w:hAnsi="Traditional Arabic" w:cs="Traditional Arabic"/>
          <w:sz w:val="28"/>
          <w:szCs w:val="28"/>
          <w:lang w:val="en-US"/>
        </w:rPr>
        <w:t>C</w:t>
      </w:r>
      <w:r w:rsidRPr="00016B7B">
        <w:rPr>
          <w:rFonts w:ascii="Traditional Arabic" w:eastAsia="Calibri" w:hAnsi="Traditional Arabic" w:cs="Traditional Arabic"/>
          <w:sz w:val="28"/>
          <w:szCs w:val="28"/>
          <w:rtl/>
          <w:lang w:val="en-US"/>
        </w:rPr>
        <w:t>) لتصبح أول بلد يبلغ هذا المستوى في أكتوبر 2023، وكانت مصر قد شخصت 87% من المتعايشين مع التهاب الكبد (</w:t>
      </w:r>
      <w:r w:rsidRPr="00016B7B">
        <w:rPr>
          <w:rFonts w:ascii="Traditional Arabic" w:eastAsia="Calibri" w:hAnsi="Traditional Arabic" w:cs="Traditional Arabic"/>
          <w:sz w:val="28"/>
          <w:szCs w:val="28"/>
          <w:lang w:val="en-US"/>
        </w:rPr>
        <w:t>C</w:t>
      </w:r>
      <w:r w:rsidRPr="00016B7B">
        <w:rPr>
          <w:rFonts w:ascii="Traditional Arabic" w:eastAsia="Calibri" w:hAnsi="Traditional Arabic" w:cs="Traditional Arabic"/>
          <w:sz w:val="28"/>
          <w:szCs w:val="28"/>
          <w:rtl/>
          <w:lang w:val="en-US"/>
        </w:rPr>
        <w:t>) وقدمت العلاج الشافى إلى 93% من الأشخاص المشخصين به.</w:t>
      </w:r>
    </w:p>
    <w:p w14:paraId="302113E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كما تقوم وزارة التضامن الاجتماعي، بالتعاون مع وزارة الصحة بعمل مبادرة الألف يومه الأولى لمستفيدي برنامج تكافل وكرامة لتحسين الوضع التغذوي للسيدات الحوامل والمرضعات، وبالتالي معالجة الآثار السلبية المحتملة على النمو الإدراكي والبدني للأطفال التي يسببها سوء التغذية أثناء الألف يوم الأولى من الحياة، والتي ممكن الوقاية منها بسهولة، ويقوم البرنامج من هذا التعاون بإتاحة سلسلة من الأغذية الغنية للسيدات الحوامل، والمرضعات شرط أن تقوم السيدة الحامل أو الطفل أقل من سنتين بزيارة الوحدة الصحية شهريا لمتابعة الحمل والنمو والحصول على التطعيمات اللازمة للأطفال دون السنتين أحد شروط البرنامج الدعم النقدي المشروط.</w:t>
      </w:r>
    </w:p>
    <w:p w14:paraId="0004E3E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أطلقت الدولة حزمة من المبادرات لتعزيز الحق فى الصحة تحت شعار "100 مليون صحة" بهدف تحقيق الرعاية الصحية الشاملة لجميع المواطنين مع ضمان سهولة الحصول على الخدمات المقدمة، وتشمل تلك المبادرات: مبادرة القضاء على فيروس سي والكشف عن الأمراض غير السارية، ومبادرة الكشف المبكر عن الأنيميا والسمنة والتقزم، ومبادرة دعم صحة المرأة والكشف المبكر عن سرطان الثدي، ومبادرة دعم صحة الأم والجنين، ومبادرة اكتشاف وعلاج ضعف وفقدان السمع للأطفال حديثي الولادة، ومبادرة فحص وعلاج الأمراض المزمنة والاكتشاف المبكر للاعتلال الكلوي.</w:t>
      </w:r>
    </w:p>
    <w:p w14:paraId="56A6DE3E"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تستهدف مبادرة دعم صحة الأم والجنين الكشف المبكر عن الإصابة بفيروس "بي" وفيروس نقص المناعة البشري ومرض الزهري للسيدات الحوامل، بالإضافة إلى خفض وفيات الأمهات الناجمة عن تلك الأمراض. كما تشمل المبادرة أيضًا متابعة حالة الأم والمولود لمدة 42 يومًا بعد انتهاء الحمل لاكتشاف عوامل الخطورة على الأم أو المولود، واتخاذ الإجراءات المناسبة إضافةً إلى صرف المغذيات الدقيقة اللازمة في فترة النفاس. وتشجيع وحماية الرضاعة الطبيعية وترشيد استهلاك الألبان الصناعية. كما يتم دعم الأطفال بفيتامين</w:t>
      </w:r>
      <w:r w:rsidRPr="00016B7B">
        <w:rPr>
          <w:rFonts w:ascii="Traditional Arabic" w:eastAsia="Calibri" w:hAnsi="Traditional Arabic" w:cs="Traditional Arabic"/>
          <w:sz w:val="28"/>
          <w:szCs w:val="28"/>
          <w:lang w:val="en-US"/>
        </w:rPr>
        <w:t xml:space="preserve"> (A) </w:t>
      </w:r>
      <w:r w:rsidRPr="00016B7B">
        <w:rPr>
          <w:rFonts w:ascii="Traditional Arabic" w:eastAsia="Calibri" w:hAnsi="Traditional Arabic" w:cs="Traditional Arabic"/>
          <w:sz w:val="28"/>
          <w:szCs w:val="28"/>
          <w:rtl/>
          <w:lang w:val="en-US"/>
        </w:rPr>
        <w:t>في المراحل العمرية من (6-54) شهر.</w:t>
      </w:r>
    </w:p>
    <w:p w14:paraId="5AA8D082"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وتقدم المبادرة خدماتها من خلال الوحدات الصحية ومراكز الأمومة والطفولة، وتشمل إجراء فحص إكلينيكي لتقييم الحالة العامة للحامل والجنين واكتشاف عوامل الخطورة التي قد تصاحب الحمل، والتطعيم ضد التيتانوس، وقياس الطول، والوزن، وضغط الدم، واجراء تحاليل متنوعة ولازمة للكشف عن الإصابة بالأنيميا، أولتحديد احتياج الأم للحصول على حقنة </w:t>
      </w:r>
      <w:r w:rsidRPr="00016B7B">
        <w:rPr>
          <w:rFonts w:ascii="Traditional Arabic" w:eastAsia="Calibri" w:hAnsi="Traditional Arabic" w:cs="Traditional Arabic"/>
          <w:sz w:val="28"/>
          <w:szCs w:val="28"/>
          <w:lang w:val="en-US"/>
        </w:rPr>
        <w:t>Anti-D </w:t>
      </w:r>
      <w:r w:rsidRPr="00016B7B">
        <w:rPr>
          <w:rFonts w:ascii="Traditional Arabic" w:eastAsia="Calibri" w:hAnsi="Traditional Arabic" w:cs="Traditional Arabic"/>
          <w:sz w:val="28"/>
          <w:szCs w:val="28"/>
          <w:rtl/>
          <w:lang w:val="en-US"/>
        </w:rPr>
        <w:t xml:space="preserve"> بعد الولادة من عدمه، وبلغ عدد السيدات الحوامل المستفيدات من مبادرة دعم صحة الأم والجنين 3.2 مليون سيدة. كما تم توقير خدمات المبادرة من خلال أكثر 3.500 وحدة صحية و102 مستشفى بالإضافة إلى وحدات متنقلة للوصول إلى المناطق النائية. وتم إنشاء قاعدة بيانات متكاملة للمسح </w:t>
      </w:r>
      <w:r w:rsidRPr="00016B7B">
        <w:rPr>
          <w:rFonts w:ascii="Traditional Arabic" w:eastAsia="Calibri" w:hAnsi="Traditional Arabic" w:cs="Traditional Arabic"/>
          <w:sz w:val="28"/>
          <w:szCs w:val="28"/>
          <w:rtl/>
          <w:lang w:val="en-US"/>
        </w:rPr>
        <w:lastRenderedPageBreak/>
        <w:t>وربطها بالمنشآت الصحية المشاركة بالمبادرة لتسهيل متابعة المرأة المنتفعة وتحويلها لأقرب مركز لتلقي العلاج اللازم طبقًا لحالتها، ويتم الاستعلام عن موعد التقييم للمنتفعات لإجراء فحصوات متقدمة من خلال الموقع الإلكتروني لمبادرة "100 مليون صحة"، أو من خلال تطبيق "صحة مصر".</w:t>
      </w:r>
    </w:p>
    <w:p w14:paraId="1953E6B7"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بلغ عدد المستيفدات من مبادرة دعم صحة المرأة والكشف المبكر عن سرطان الثدي حتى أبريل 2025 نحو 58.9 مليون سيدة بهدف تلقي خدمة الكشف المبكر عن أورام الثدي والتوعية بأهمية الفحص الدورى للثدي، وبلغ عدد المستيفدات من مبادرة الكشف المبكر وعلاج الأورام السرطانية حتى أبريل 2025 نحو 7 مليون سيدة بهدف الكشف المبكر عن الأورام السرطانية والقضاء على سرطان عنق الرحم.</w:t>
      </w:r>
    </w:p>
    <w:p w14:paraId="42C6CC0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في إطار تعزيز الصحة الإنجابية والحق في خدمات الحمل والولادة، اعتمدت وزارة الصحة معايير محدّثة للحد من الولادات القيصرية غير الضرورية، مع إلزام المنشآت الصحية بالالتزام بالمعايير الطبية العالمية، ووضع نظام للمتابعة الشهرية والتقارير الدورية، لتعزيز الولادة الطبيعية وتقليل المضاعفات الصحية للأمهات والمواليد. وقد انخفض معدل وفيات الأمهات إلىى حوالي 17وفاة لكل 100,000 ولادة حية عام 2020، واستقر عند 41.3</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وفاة لكل 100,000 ولادة حية عام 2023.كما انخفض معدل الإنجاب الكلي من 2.85</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طفل لكل سيدة عام 2021 إلى 2.1 طفل في 2023، وارتفعت نسبة استخدام وسائل تنظيم الأسرة إلى 72% ما يعكس تحسنًا ملحوظًا في الرعاية الإنجابية.</w:t>
      </w:r>
    </w:p>
    <w:p w14:paraId="5F8D0DD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4157E16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bidi="ar-EG"/>
        </w:rPr>
        <w:t xml:space="preserve">المادة (13) الحياة الاقتصادية والاجتماعية </w:t>
      </w:r>
    </w:p>
    <w:p w14:paraId="636EAAB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في إطار جهود الدولة المصرية لتمكين المرأة اقتصاديًا وتعزيز فرصها في سوق العمل، أولى جهاز تنمية المشروعات المتوسطة والصغيرة ومتناهية الصغر اهتمامًا خاصًا بمشروعات المرأة، حيث قدّم تمويلًا تجاوز 10.2 مليار جنيه لصالح مشروعاتها. كما تواصل الدولة جهودها لتمكين المرأة ضمن رؤية تنموية شاملة تعكس التزامها بتعزيز دورها في المجتمع</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حيث يلغ إجمالي محفظة التمويلات التنموية الميسرة الموجهة إلى المشروعات التي تعزز المساواة بين الجنسين وتمكين المرأة بشكل مباشر بلغ أكثر من 4.5 مليار دولار، لتنفيذ ما يقارب من 117 مشروعًا تنمويًا في مختلف القطاعات، ويستفيد منها نحو 27 مليون سيدة وفتاة. </w:t>
      </w:r>
    </w:p>
    <w:p w14:paraId="279741B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خصصت اتفاقية التمويل مع الوكالة الفرنسية للتنمية بالكامل لمشروعات المرأة، حيث تم صرف 667.2 مليون جنيه لعدد 22 ألف مشروع، بنسبة 100% للسيدات. وفي إطار المبادرة الرئاسية حياة كريمة، تم تمويل 136 ألف مشروع صغير ومتناهٍ، منها 62.6 ألف مشروع للمرأة بنسبة 46% بتمويل إجمالي بلغ 1.5 مليار جنيه. وفيما يتعلق بالمبادرات والمشروعات الموجهة للمرأة، فقد تم تنفيذ العديد من البرامج النوعية، منها مبادرة مستقبلنا بايدينا التي صرفت تمويلًا قدره 30 مليون جنيه لصالح 3.4 ألف مشروع جميعها للمرأة، ومبادرة باب رزق التي أتاحت تمويلًا لسيدات فوق 21 عامًا لإقامة مشروعات متناهية الصغرفضلًا عن برنامج تحويشة الذي يستهدف 1.2 مليون سيدة في 13 محافظة لتكوين 60 ألف مجموعة ادخارية، وقد تم بالفعل تكوين 20 ألف مجموعة تضم أكثر من 402 ألف سيدة.</w:t>
      </w:r>
    </w:p>
    <w:p w14:paraId="70BFBA4D"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وعلى صعيد التعاون الدولي تم إطلاق مجموعة من البرامج المشتركة لتعزيز دور المرأة في التنمية الاقتصادية، منها مشروع رابحة بالشراكة مع حكومة كندا والأمم المتحدة للمرأة واليونيدو، والذي يستهدف 6300 رائدة أعمال، ومشروع </w:t>
      </w:r>
      <w:r w:rsidRPr="00016B7B">
        <w:rPr>
          <w:rFonts w:ascii="Traditional Arabic" w:eastAsia="Calibri" w:hAnsi="Traditional Arabic" w:cs="Traditional Arabic"/>
          <w:sz w:val="28"/>
          <w:szCs w:val="28"/>
          <w:lang w:val="en-US"/>
        </w:rPr>
        <w:t>She Trades Egypt</w:t>
      </w:r>
      <w:r w:rsidRPr="00016B7B">
        <w:rPr>
          <w:rFonts w:ascii="Traditional Arabic" w:eastAsia="Calibri" w:hAnsi="Traditional Arabic" w:cs="Traditional Arabic"/>
          <w:sz w:val="28"/>
          <w:szCs w:val="28"/>
          <w:rtl/>
          <w:lang w:val="en-US"/>
        </w:rPr>
        <w:t xml:space="preserve"> الذي دعم 50 رائدة أعمال في مجال التصدير والتسويق الرقمي. كذلك، ينفذ مشروع </w:t>
      </w:r>
      <w:r w:rsidRPr="00016B7B">
        <w:rPr>
          <w:rFonts w:ascii="Traditional Arabic" w:eastAsia="Calibri" w:hAnsi="Traditional Arabic" w:cs="Traditional Arabic"/>
          <w:sz w:val="28"/>
          <w:szCs w:val="28"/>
          <w:lang w:val="en-US"/>
        </w:rPr>
        <w:t>OWAP</w:t>
      </w:r>
      <w:r w:rsidRPr="00016B7B">
        <w:rPr>
          <w:rFonts w:ascii="Traditional Arabic" w:eastAsia="Calibri" w:hAnsi="Traditional Arabic" w:cs="Traditional Arabic"/>
          <w:sz w:val="28"/>
          <w:szCs w:val="28"/>
          <w:rtl/>
          <w:lang w:val="en-US"/>
        </w:rPr>
        <w:t xml:space="preserve"> الممول من كندا لدعم التصنيع الزراعي، ليستهدف 6500 مستفيدة مباشرة و13 ألف غير مباشرة بمحافظتي المنيا وبني سويف، بالإضافة إلى مشروع </w:t>
      </w:r>
      <w:r w:rsidRPr="00016B7B">
        <w:rPr>
          <w:rFonts w:ascii="Traditional Arabic" w:eastAsia="Calibri" w:hAnsi="Traditional Arabic" w:cs="Traditional Arabic"/>
          <w:sz w:val="28"/>
          <w:szCs w:val="28"/>
          <w:lang w:val="en-US"/>
        </w:rPr>
        <w:t>SWEET</w:t>
      </w:r>
      <w:r w:rsidRPr="00016B7B">
        <w:rPr>
          <w:rFonts w:ascii="Traditional Arabic" w:eastAsia="Calibri" w:hAnsi="Traditional Arabic" w:cs="Traditional Arabic"/>
          <w:sz w:val="28"/>
          <w:szCs w:val="28"/>
          <w:rtl/>
          <w:lang w:val="en-US"/>
        </w:rPr>
        <w:t xml:space="preserve"> لتطوير صناعة السجاد اليدوي الذي يستهدف 8000 سيدة وفتاة حتى عام 2025. كما ساهم برنامج نساء مصريات: رائدات المستقبل في تدريب 450 فتاة وربطهن بفرص عمل بشركات كبرى، فيما أطلقت مبادرة غالية بالتعاون مع بنك الإسكندرية لتأهيل الفتيات للعمل في قطاع صيانة السيارات.</w:t>
      </w:r>
    </w:p>
    <w:p w14:paraId="065B131D"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lastRenderedPageBreak/>
        <w:t>أطلقت وزارة التضامن الاجتماعي مشروع "تنمية المرأة الريفية" لتقديم الدعم للمرأة الريفية في المشروعات المتوسطة والصغيرة ومتناهية الصغر، وذلك بالشراكة مع العديد من الجمعيات الأهلية، واستفاد منه 2069 امرأة. كما ينظم المجلس القومي للأشخاص ذوي الإعاقة بالتعاون مع البنوك المختلفة العديد من الندوات التوعوية المتعلقة بتسيير المعاملات البنكية والشمول المالي للأشخاص ذوي الإعاقة استفاد منها 10 ألاف شخص ذو إعاقة من بينهم سيدات وفتيات ذوات إعاقة.</w:t>
      </w:r>
    </w:p>
    <w:p w14:paraId="6EF8EBD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تم إتاحة مبلغ 2.3 مليار جنيه لتمويل المشروعات الصغيرة ومتناهية الصغر للمرأة، مولت قروضا بإجمالي 99.2 مشروع صغير ومتناهي الصغر بنسبة 45% من عدد المشروعات الإجمالية، ووفرت 145.3 فرصة عمل، وفي مجال الخدمات غير المالية بلغت نسبة استفادة المرأة من خدمات الشباك الواحد 26% وخدمات التسويق %30 وخدمات تطوير المشروعات الصناعية 90%  وخدمات برامج ريادة الأعمال 67% والمشاركة في المعارض الداخلية 54%. وفي مجال التمكين الاجتماعي تم توفير أكثر من 1.3 مليون يومية عمل للمرأة في مشروعات التنمية المجتمعية والبشرية والبنية الأساسية والتدريب، وبلغت نسبة استفادة المرأة من هذه المشروعات (98% خدمات الصحة الأولية - 89% خدمات محو الأمية - 98% مشروعات رياض الأطفال - 62% خدمات التدريب من أجل التشغيل)</w:t>
      </w:r>
      <w:r w:rsidRPr="00016B7B">
        <w:rPr>
          <w:rFonts w:ascii="Traditional Arabic" w:eastAsia="Calibri" w:hAnsi="Traditional Arabic" w:cs="Traditional Arabic"/>
          <w:sz w:val="28"/>
          <w:szCs w:val="28"/>
          <w:lang w:val="en-US"/>
        </w:rPr>
        <w:t>.</w:t>
      </w:r>
    </w:p>
    <w:p w14:paraId="5E7B982D"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أطلقت الدولة مشروع "مستقبلتا بايدينا" لرفع قدرات الشباب والفئات الأكثر احتياجا والمرأة المعيلة وذوي الاحتياجات الخاصة من خلال حزمة من التدريبات المتنوعة حرفيا واداريا، وقد تم صرف 30 مليون جنيه مشروعات متناهية الصغر لعدد 3.4 ألف مشروع بنسبة 100% قروض موجه للمرأة</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bidi="ar-EG"/>
        </w:rPr>
        <w:t xml:space="preserve"> </w:t>
      </w:r>
    </w:p>
    <w:p w14:paraId="4689DBE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أصدر رئيس مجلس الوزراء قرار رقم 654 لسنة 2021 بإصدار اللائحة التنفيذية لقانون تنمية المشروعات المتوسطة والصغيرة ومتناهية الصغر بالقانون رقم 152 لسنة 2020 والذي يتضمن منح حوافز غير ضريبية للبرامج والمشاريع التي تعطي الأولوية لبعض القضايا، من بينها التمكين الاقتصادي للقضايا المرأة، وتخصيص نسبة تصل إلى 40٪ من المشتريات الحكومية لصالح المشاريع الصغيرة والمتوسطة والمتناهية الصغر.</w:t>
      </w:r>
    </w:p>
    <w:p w14:paraId="31C4FEF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صدر قرار هيئة الرقابة المالية رقم 2020/2024 للنهوض بالمساواة بين الجنسين في الخدمات المالية غير المصرفية، والقرار رقم 2020/205 الذي يوفر حوافز للشركات والكيانات المالية غير المصرفية التي لديها نسبة 25 ٪أو أكثر من المستفيدات من خدماتها. وقد انعكست هذه الجهود على مؤشرات الشمول المالي والتمكين الاقتصادي للمرأة، حيث ارتفع عدد السيدات اللاتي يمتلكن حسابات مالية إلى أكثر من 20.3 مليون سيدة في 2023، بزيادة بلغت 244% مقارنة بعام 2016</w:t>
      </w:r>
      <w:r w:rsidRPr="00016B7B">
        <w:rPr>
          <w:rFonts w:ascii="Traditional Arabic" w:eastAsia="Calibri" w:hAnsi="Traditional Arabic" w:cs="Traditional Arabic"/>
          <w:sz w:val="28"/>
          <w:szCs w:val="28"/>
          <w:lang w:val="en-US"/>
        </w:rPr>
        <w:t>.</w:t>
      </w:r>
    </w:p>
    <w:p w14:paraId="6D74F98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وخطت البلاد خطوة كبرى بإطلاق المشروع القومي لتنمية الأسرة المصرية في عام 2022 الذي يهدف إلى الارتقاء بجودة حياة الأسرة وذلك من خلال أربعة محاور رئيسية: محور التمكين الاقتصادي؛ ويستهدف دعم المرأة وتمكينها اقتصاديًا من خلال برامج مثل "2 كفاية" و"فرصة" وتمكين السيدات في الفئة العمرية بين 18- 445 سنة من خلال تمويل المشروعات الصغيرة والمتوسطة، ومحور التدخل الخدمي؛ ويستهدف توفير وسائل تنظيم الأسرة وإتاحتها بالمجان للجميع، وذلك من خلال طبيبات مُدربة على وسائل تنظيم الأسرة، وتوزيعهن على المنشآت الصحية على مستوى الجمهورية، بينما محور التدخل الثقافي والإعلامي والتعليمي؛ ويعمل على رفع وعي المواطن المصري بالمفاهيم الأساسية للقضية السكانية وبالآثار الاجتماعية والاقتصادية للزيادة السكانية وإضافة مكون تعليمي في المناهج الدراسية والجامعية للتوعية، وفي هذا الإطار تم توعية (6 مليون) سيدة في سن الإنجاب و(2 مليون) من الشباب المقبلين على الزواج.</w:t>
      </w:r>
    </w:p>
    <w:p w14:paraId="3B94AC2B"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ووفقًا للموقف التنفيذي الصادر في ديسمبر 2024، فقد تم رصد 2 مليار جنيه لتنفيذ المشروع، وبلغ عدد المستفيدين أكثر من 28 مليون مواطن ومواطنة، تُشكّل نسبة الإناث نحو 90% منهم، حيث استفاد 66% من التدخل الثقافي/التوعوي، و31.5% من محور التمكين الاقتصادي. ويأتي هذا المشروع ليجسد التزام الدولة بالعمل على معالجة التحديات السكانية من منظور شامل ومستدام، من خلال تضافر جهود كافة المؤسسات الوطنية بالتنسيق مع المجلس القومي للمرأة ووزارات ومؤسسات المجتمع المدني ذات الصلة.</w:t>
      </w:r>
    </w:p>
    <w:p w14:paraId="519DD37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p>
    <w:p w14:paraId="2EC5B6D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المادة (14) المرأة الريفية</w:t>
      </w:r>
    </w:p>
    <w:p w14:paraId="72047507"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lastRenderedPageBreak/>
        <w:t>أولت الدولة اهتماماً خاصاً بتمكين المرأة في القرى والمناطق الريفية اقتصاديًا واجتماعيًا وصحيًا عبر عدة برامج ومبادرات متكاملة. منها المشروع القومي لتنمية الأسرة المصرية والمبادرة الرئاسية "حياة كريمة" كأكبر تدخل تنموي يستهدف تحسين الظروف المعيشية للمرأة الريفية وأسرها، من خلال تطوير البنية التحتية، وتحسين خدمات الصحة الإنجابية، وتوسيع مظلة الحماية الاجتماعية. كما تم تنفيذ برامج متخصصة مثل مبادرة "بداية جديدة" لإعادة دمج السيدات المعيلات في سوق العمل، وبرنامج "تحويشة" الذي يطبق في 13 محافظة معظمها ريفية، ليستفيد منه أكثر من 1.2 مليون سيدة عبر تكوين 60 ألف مجموعة ادخارية</w:t>
      </w:r>
      <w:r w:rsidRPr="00016B7B">
        <w:rPr>
          <w:rFonts w:ascii="Traditional Arabic" w:eastAsia="Calibri" w:hAnsi="Traditional Arabic" w:cs="Traditional Arabic"/>
          <w:sz w:val="28"/>
          <w:szCs w:val="28"/>
          <w:lang w:val="en-US"/>
        </w:rPr>
        <w:t>.</w:t>
      </w:r>
    </w:p>
    <w:p w14:paraId="300A715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وعملت الدولة ممثلة في وزارة التضامن الاجتماعي بالتنسيق مع الوزارات والجهات الشريكة، على وضع حزمة متكاملة من البرامج والسياسات تستهدف تمكين المرأة الريفية وضمان وصولها إلى الخدمات الأساسية والفرص الاقتصادية، وذلك من خلال وصول المرأة الريفية إلى برامج الحماية الاجتماعي من خلال برنامج تكافل وكرامة، حيث تستفيد المرأة من البرنامج بنسبة 75% من بطاقات الصرف، مع إعطاء أولوية خاصة للنساء في القرى والمناطق النائية. وتم ربط الدعم النقدي بمسارات التمكين الاقتصادي عبر توفير قروض متناهية الصغر، وتأمين اجتماعي، وخدمات مالية موجهة للفئات الأكثر احتياجًا. ويعمل البنك المركزي المصري لتوسيع فرص التمويل للنساء الريفيات، بما يشمل قروضًا صغيرة، آليات للشمول المالي، وخدمات الادخار</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تم إطلاق منظومة مالية استراتيجية بتمويل أولي قيمته 5 مليارات جنيه لدعم النساء، وخاصة في المناطق الريفية، في إقامة مشروعات صغيرة مدرة للدخل</w:t>
      </w:r>
      <w:r w:rsidRPr="00016B7B">
        <w:rPr>
          <w:rFonts w:ascii="Traditional Arabic" w:eastAsia="Calibri" w:hAnsi="Traditional Arabic" w:cs="Traditional Arabic"/>
          <w:sz w:val="28"/>
          <w:szCs w:val="28"/>
          <w:lang w:val="en-US"/>
        </w:rPr>
        <w:t>.</w:t>
      </w:r>
    </w:p>
    <w:p w14:paraId="1BAB3B13"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كما ركزت الدولة على تمكين المرأة الريفية اقتصادياً، حيث تم تدريب أكثر من 298 ألف سيدة على إقامة وإدارة المشروعات الصغيرة، وتقديم منتجات مالية عبر البنوك مثل المحافظ الإلكترونية وكروت ميزة لتسهيل الشمول المالي. كما حصلت المرأة على فرص واسعة في برامج الحرف اليدوية وريادة الأعمال التي أسهمت في زيادة دخول الأسر الريفية وتطوير قدراتهن الإنتاجية</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w:t>
      </w:r>
    </w:p>
    <w:p w14:paraId="1306164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أطلقت وزارة التضامن في فبراير 2020 برنامج وعي للتنمية المجتمعية بالتعاون مع برنامج الأمم المتحدة الإنمائي وبمشاركة مؤسسة صناع الحياة، يستهدف حوالي 60 ألف أسرة في 5 محافظات كبداية وسيتم تعميمه على المحافظات كلها. ويهدف إلى تغيير السلوكيات المجتمعية السلبية المعوقة للتنمية البشرية والاقتصادية من خلال رفع الوعي المجتمعي لقضايا التمكين الاقتصادي، والتعليم والمعرفة ومحو الأمية، وصحة الأم والطفل، والتربية الإيجابية. وعمل البرنلمج على بناء قدرات 2500 من الرائدات الاجتماعيات على أساليب التوعية لقضايا البرنامج، إضافة إلى إنشاء ما يقرب من 300 فصل محو أمية بالتعاون مع مبادرة لا أمية مع تكافل. وفي عام 2023 تم توقيع بروتوكول تعاون مع مؤسسة سان جوبان لتقديم منحة لإقامة مشروع مماثل لتحويل المخلفات الزراعية إلى سماد عضوي في قريتي حانوب وكفر الصهبي بمحافظة القليوبية. كذلك يجري تنفيذ مشروع جديد لإنتاج السماد العضوي في قرى المنيا الأكثر تصديراً للهجرة غير الشرعية، حيث تم تدريب 100 سيدة في قريتي دلجا والشيخ مسعود على تشغيل ماكينات فرم المخلفات الزراعية، بما يعزز فرص التمكين الاقتصادي والحد من الهجرة غير الشرعية.</w:t>
      </w:r>
    </w:p>
    <w:p w14:paraId="6B917B7B"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إطلاق برنامج "مودة" بهدف الوصول الى المجتمعات الأكثر احتياجًا في الريف المصري، وتزويد الأسر بالأدوات والمعارف لبناء علاقات أسرية صحية ومستقرة، ويعتمد البرنامج على عدة محاور منها محور التوعية من خلال الاتصال المباشر ومحور التوعية الإعلامية من خلال المنصات الاليكترونية وتدريب كوادر منفذة للبرنامج ونقل التدريب. واستفاد من منذ إطلاقه عام 2019 وحتى 2025 يقرب من 5.3 مليون مستفيد/ة، إضافة الى استفادة الملايين من خلال تدريبات افتراضية من خلال منصة مودة الرقمية.</w:t>
      </w:r>
    </w:p>
    <w:p w14:paraId="473B07C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وفيما يتعلق بالخدمات الصحية وتنظيم الأسرة، فقد نفذت وزارة الصحة برامج للتوعية بالصحة الإنجابية، ومحو الأمية الصحية، وتقديم خدمات الفحص المبكر، خاصة في القرى المستهدفة بمبادرات التنمية الريفية، وعلى رأس هذه البرامج المبادرة الرئاسية صحة المرأة والتي تم ذكرها سابقا في المادة الثانية عشر</w:t>
      </w:r>
      <w:r w:rsidRPr="00016B7B">
        <w:rPr>
          <w:rFonts w:ascii="Traditional Arabic" w:eastAsia="Calibri" w:hAnsi="Traditional Arabic" w:cs="Traditional Arabic"/>
          <w:sz w:val="28"/>
          <w:szCs w:val="28"/>
          <w:lang w:val="en-US"/>
        </w:rPr>
        <w:t>.</w:t>
      </w:r>
    </w:p>
    <w:p w14:paraId="3EA6654A"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وقع المجلس القومي للمرأة بروتوكول تعاون مع بنك بلوم مصر لتنفيذ مشروعات صديقة للبيئة في صعيد مصر. وقد تم إطلاق مشروع نموذجي في قرية الروبي بمحافظة المنيا يهدف إلى التخلص من المخلفات الزراعية وإعادة تدويرها لإنتاج السماد العضوي والزيوت العطرية، بما يسهم في خفض معدلات التلوث الناجم عن حرق المخلفات الزراعية، والحد من السحابة السوداء، وتقليل الاعتماد على الأسمدة الكيماوية، </w:t>
      </w:r>
      <w:r w:rsidRPr="00016B7B">
        <w:rPr>
          <w:rFonts w:ascii="Traditional Arabic" w:eastAsia="Calibri" w:hAnsi="Traditional Arabic" w:cs="Traditional Arabic"/>
          <w:sz w:val="28"/>
          <w:szCs w:val="28"/>
          <w:rtl/>
          <w:lang w:val="en-US"/>
        </w:rPr>
        <w:lastRenderedPageBreak/>
        <w:t>مما يرفع من خصوبة التربة ويحسن صحة الأفراد. وفي إطار المشروع تم توفير 7 ماكينات لفرم المخلفات الزراعية بالتعاون مع جمعيتي "شباب الروبي" و"رؤية حياة"، مع تنفيذ تدريب إنتاجي مستمر للسيدات ومتابعة دورية لمراحل الإنتاج. وقد بلغ إجمالي الإنتاج منذ انطلاق المشروع 147.5 طن، واستفادت منه بشكل مباشر 159 سيدة تم تدريبهن على التمكين الاقتصادي والاجتماعي. ولضمان استدامة المشروع، تم إنشاء صندوق دوار يخصص ثلث عائدات المبيعات لشراء مستلزمات دورات إنتاجية جديدة. كما تم شراء ماكينة لاستخلاص الزيوت العطرية، وجاري تنظيم أول دورة تدريبية للسيدات لبدء عمليات الإنتاج</w:t>
      </w:r>
      <w:r w:rsidRPr="00016B7B">
        <w:rPr>
          <w:rFonts w:ascii="Traditional Arabic" w:eastAsia="Calibri" w:hAnsi="Traditional Arabic" w:cs="Traditional Arabic"/>
          <w:sz w:val="28"/>
          <w:szCs w:val="28"/>
          <w:lang w:val="en-US"/>
        </w:rPr>
        <w:t>.</w:t>
      </w:r>
    </w:p>
    <w:p w14:paraId="1088955D"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bidi="ar-EG"/>
        </w:rPr>
      </w:pPr>
    </w:p>
    <w:p w14:paraId="62D6BD37"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r w:rsidRPr="00016B7B">
        <w:rPr>
          <w:rFonts w:ascii="Traditional Arabic" w:eastAsia="Calibri" w:hAnsi="Traditional Arabic" w:cs="Traditional Arabic"/>
          <w:b/>
          <w:bCs/>
          <w:sz w:val="28"/>
          <w:szCs w:val="28"/>
          <w:rtl/>
          <w:lang w:val="en-US" w:bidi="ar-EG"/>
        </w:rPr>
        <w:t xml:space="preserve">المادة (15) المساواة أمام القانون </w:t>
      </w:r>
    </w:p>
    <w:p w14:paraId="6325DC2B"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b/>
          <w:bCs/>
          <w:sz w:val="28"/>
          <w:szCs w:val="28"/>
          <w:lang w:val="en-US" w:bidi="ar-EG"/>
        </w:rPr>
      </w:pPr>
      <w:r w:rsidRPr="00016B7B">
        <w:rPr>
          <w:rFonts w:ascii="Traditional Arabic" w:eastAsia="Calibri" w:hAnsi="Traditional Arabic" w:cs="Traditional Arabic"/>
          <w:sz w:val="28"/>
          <w:szCs w:val="28"/>
          <w:rtl/>
          <w:lang w:val="en-US"/>
        </w:rPr>
        <w:t>يؤكد الدستور على مساواة جميع الأشخاص أمام القانون، وحقهم في التمتع بحمايته، فالمواطنون لدى القانون سواء، وسيادة القانون أساس الحكم في الدولة، وتوفر الدولة الحماية للمجني عليهم والشهود والمتهمين والمبلغين عند الاقتضاء، وفقًا للقانون فإن التقاضي حق مكفول للكافة (المواد 52-94 – 96 – 97 من الدستور). وأكدت المحكمة الدستورية العليا في العديد من أحكامها على أن الدساتير المصرية أدرجت جميعها مبدأ المساواة أمام القانون، وكفلت تطبيقه على المواطنين كافة، باعتباره أساس العدل والحرية والسلام الاجتماعي، وعلى تقدير أن الغاية التي يستهدفها تتمثل أصلاً في صون حقوق المواطنين وحرياتهم في مواجهة صور التمييز التي تنال منها أو تقيد ممارستها. وتكرس قوانين المرافعات المدنية والتجارية، والإجراءات الجنائية، ومجلس الدولة، والمحكمة الدستورية العليا حق اللجوء للقضاء والمساواة أمام القانون والقضاء، فلكل صاحب مصلحة شخصية ومباشرة، حتى لو كانت احتمالية، الحق في اللجوء للقضاء بدعوى أو تقديم أي طلب أو دفع استنادًا للقانون.</w:t>
      </w:r>
    </w:p>
    <w:p w14:paraId="3E7C3AC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3EE6F5D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r w:rsidRPr="00016B7B">
        <w:rPr>
          <w:rFonts w:ascii="Traditional Arabic" w:eastAsia="Calibri" w:hAnsi="Traditional Arabic" w:cs="Traditional Arabic"/>
          <w:b/>
          <w:bCs/>
          <w:sz w:val="28"/>
          <w:szCs w:val="28"/>
          <w:rtl/>
          <w:lang w:val="en-US" w:bidi="ar-EG"/>
        </w:rPr>
        <w:t>المادة (16) الزواج والحياة العائلية</w:t>
      </w:r>
    </w:p>
    <w:p w14:paraId="3D7269B6"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يعتبر عقد الزواج، عقدًا رضائيًا قوامه الإيجاب والقبول، فلا يبرم عقد الزواج إلَّا برضاء الزوجة وإلا فسخ العقد، فضلًا عن عدم جواز توثيق عقد زواج لمن لم يبلغ من الجنسين ثماني عشرة سنة ميلادية كاملة وقت إنشاء العقد، وينص الدستور في المادة العاشرة على أن الأسرة أساس المجتمع، وتحرص الدولة على تماسكها واستقرارها وترسيخ قيمها، ويكفل الدستور تمكين المرأة من التوفيق بين واجبات الأسرة ومتطلبات العمل، ويُلزم الدولة بتوفير الرعاية والحماية للأمومة والطفولة والمرأة المعيلة والمسنة والنساء الأشد احتياجًا، وضمان الحماية القانونية الكاملة ضد أي عمل تمييزي، كما يقرر بأن سن الطفولة ثماني عشرة سنة، بما يتفق مع الاتفاقية الدولية محل التقرير. </w:t>
      </w:r>
    </w:p>
    <w:p w14:paraId="694E49D3"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وتغطي التشريعات الوطنية وبخاصة قوانين الطفل، والعقوبات، والأحوال المدنية، الأحكام المتعلقة بكافة أشكال العنف، ومنها العنف الأسري، والزواج في سن الطفولة، والإكراه على الزواج، وتحرص الدولة على حماية الأسرة ويكفُل القانون لطرفي العلاقة الزوجية حقوقًا متقابلة تحقق التوازن العادل بينهما، وفقًا للنظام التشريعي المصري، فللمرأة حق اختيار الزوج، إذ إن عقد الزواج عقد رضائي قوامة الإيجاب والقبول ولا يجوز توثيق عقد الزواج لمن لم يبلغ من الطرفين ثماني عشرة سنة كاملة.</w:t>
      </w:r>
    </w:p>
    <w:p w14:paraId="7B73144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تستند القوانين المنظمة للعلاقات الأسرية في الزواج والطلاق والحضانة والميراث إلى الشريعة الإسلامية بالنسبة للمسلمين، وبالنسبة للمصريين من المسيحيين واليهود تستند الى التشريعات المنظمة لأحوالهم الشخصية، وشئونهم الدينية (المادة 2 ،3 من الدستور).ويجوز للمرأة اللجوء للقضاء بطلب التطليق لتوافر أيًا من أسبابه المقررة قانونًا، وذلك دون المساس بحقوقها المالية كاملة؛ وهي مؤخر صداقها، ونفقة الزوجية خلال فترة العدة، فضلًا عن نفقة المتعة وتُقدَّر بما لا يقل عن قيمة نفقة الزوجية لمدة سنتين كحد أدنى، وتزيد وفقًا لحالة المطلق المالية والاجتماعية ومدة الزواج وظروف الطلاق وذلك رضاءً أو قضاءً</w:t>
      </w:r>
      <w:r w:rsidRPr="00016B7B">
        <w:rPr>
          <w:rFonts w:ascii="Traditional Arabic" w:eastAsia="Calibri" w:hAnsi="Traditional Arabic" w:cs="Traditional Arabic"/>
          <w:sz w:val="28"/>
          <w:szCs w:val="28"/>
          <w:lang w:val="en-US"/>
        </w:rPr>
        <w:t>.</w:t>
      </w:r>
    </w:p>
    <w:p w14:paraId="08DD7522"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كما أنه في حالة بغضها للحياة الزوجية فلها حق طلب التطليق خلعًا مقابل التنازل عن حقوقها المالية الشرعية ورد المهر تعويضًا عن الأعباء المالية التي تحملها الرجل عند الزواج منها والسابق الإشارة</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إليها، ويكون الحكم بالخلع الصادر من محكمة أول درجة باتًا غير قابل للطعن عليه بأي طريق من طرق الطعن.</w:t>
      </w:r>
    </w:p>
    <w:p w14:paraId="32E359B7"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lastRenderedPageBreak/>
        <w:t>للأم حق حضانة الأطفال حتى سن 15 عامًا، ثم يخير الصغار بعد سن الحضانة، وللصغار البقاء مع الأم باختيارهم حتى زواج البنت وإنهاء الولد لتعليمه، وذلك في إطار الحرص على مراعاة المصلحة الفضلى للصغار ويكلف الرجل بتوفير مسكن ملائم للحاضنة والأطفال والإنفاق على الصغار نفقة كاملة (مسكن، مأكل وملبس) لحين زواج البنت وإنهاء الولد تعليمه كما يلتزم بأجر حضانة، وأجر الخادم إذا توافرت شروطه، ومصاريف التعليم.</w:t>
      </w:r>
    </w:p>
    <w:p w14:paraId="56F59C7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تم الانتهاء من</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صياغة مشروع قانون الأحوال الشخصية الجديد في مصر والذي يُعد خطوة تشريعية مهمة تهدف إلى تحديث وتنظيم العلاقات الأسرية بما يحقق العدالة والاستقرار لكافة أفراد الأسرة، والذي يتضمن 355 مادة موزعة على ثلاثة أقسام رئيسية وهم الولاية على النفس، الولاية على المال، والإجراءات المنظمة للمسائل الشخصية. ويُنتظر عرضه على مجلس النواب بعد الانتهاء من جلسات الحوار المجتمعي.</w:t>
      </w:r>
    </w:p>
    <w:p w14:paraId="277F8886"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تم إطلاق منصة رقمية متخصصة للإستشارات الأسرية في فبراير عام 2024، واستقبلت المنصة عدد 4200 استشارة أسرية في مختلف مكونات الحياة الأسرية خلال شهرين فقط من إطلاقها. كما تم الإنتهاء من إعداد النسخة التجريبية للحقيبة التدريبية المتخصصة والموجهة للأسر حديثة التكوين (المتزجين حديثاً) بهدف تدريبهم على كافة المهارات الحياتية التي تساعدهم على تدعيم كيان أسري صحي، سوي ومستدام. كما قام المشروع بتدريب مليون شاب وفتاة من خلال 14 مبادرة مختلفة تعمل على تزويدهم بكافة المعلومات التي تمكنهم من بناء كيان أسري سوي والحفاظ عليه.</w:t>
      </w:r>
    </w:p>
    <w:p w14:paraId="62A53E9D"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bidi="ar-EG"/>
        </w:rPr>
      </w:pPr>
    </w:p>
    <w:p w14:paraId="7860073D"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32"/>
          <w:szCs w:val="32"/>
          <w:rtl/>
          <w:lang w:val="en-US" w:bidi="ar-EG"/>
        </w:rPr>
      </w:pPr>
      <w:r w:rsidRPr="00016B7B">
        <w:rPr>
          <w:rFonts w:ascii="Traditional Arabic" w:eastAsia="Calibri" w:hAnsi="Traditional Arabic" w:cs="Traditional Arabic"/>
          <w:b/>
          <w:bCs/>
          <w:sz w:val="32"/>
          <w:szCs w:val="32"/>
          <w:rtl/>
          <w:lang w:val="en-US" w:bidi="ar-EG"/>
        </w:rPr>
        <w:t>القسم الثاني</w:t>
      </w:r>
      <w:r w:rsidRPr="00016B7B">
        <w:rPr>
          <w:rFonts w:ascii="Traditional Arabic" w:eastAsia="Calibri" w:hAnsi="Traditional Arabic" w:cs="Traditional Arabic"/>
          <w:b/>
          <w:bCs/>
          <w:sz w:val="32"/>
          <w:szCs w:val="32"/>
          <w:rtl/>
          <w:lang w:val="en-US"/>
        </w:rPr>
        <w:t xml:space="preserve"> </w:t>
      </w:r>
      <w:r w:rsidRPr="00016B7B">
        <w:rPr>
          <w:rFonts w:ascii="Traditional Arabic" w:eastAsia="Calibri" w:hAnsi="Traditional Arabic" w:cs="Traditional Arabic"/>
          <w:b/>
          <w:bCs/>
          <w:sz w:val="32"/>
          <w:szCs w:val="32"/>
          <w:rtl/>
          <w:lang w:val="en-US" w:bidi="ar-EG"/>
        </w:rPr>
        <w:t>الرد على الملاحظات الختامية السابقة</w:t>
      </w:r>
    </w:p>
    <w:p w14:paraId="1702B92E"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r w:rsidRPr="00016B7B">
        <w:rPr>
          <w:rFonts w:ascii="Traditional Arabic" w:eastAsia="Calibri" w:hAnsi="Traditional Arabic" w:cs="Traditional Arabic"/>
          <w:b/>
          <w:bCs/>
          <w:sz w:val="28"/>
          <w:szCs w:val="28"/>
          <w:rtl/>
          <w:lang w:val="en-US" w:bidi="ar-EG"/>
        </w:rPr>
        <w:t>الملاحظة رقم 10</w:t>
      </w:r>
    </w:p>
    <w:p w14:paraId="5E86E3AA"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r w:rsidRPr="00016B7B">
        <w:rPr>
          <w:rFonts w:ascii="Traditional Arabic" w:eastAsia="Calibri" w:hAnsi="Traditional Arabic" w:cs="Traditional Arabic"/>
          <w:b/>
          <w:bCs/>
          <w:sz w:val="28"/>
          <w:szCs w:val="28"/>
          <w:rtl/>
          <w:lang w:val="en-US" w:bidi="ar-EG"/>
        </w:rPr>
        <w:t xml:space="preserve"> و</w:t>
      </w:r>
      <w:r w:rsidRPr="00016B7B">
        <w:rPr>
          <w:rFonts w:ascii="Traditional Arabic" w:eastAsia="Calibri" w:hAnsi="Traditional Arabic" w:cs="Traditional Arabic"/>
          <w:b/>
          <w:bCs/>
          <w:sz w:val="28"/>
          <w:szCs w:val="28"/>
          <w:rtl/>
          <w:lang w:val="en-US"/>
        </w:rPr>
        <w:t>بشأن التوصيات بسحب التحفظ على المادتين (2) و(16) من الاتفاقية؛</w:t>
      </w:r>
    </w:p>
    <w:p w14:paraId="77D8D54F"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تؤكد مصر التزامها الكامل بحقوق المرأة، كما يظهر في تصديقها المبكر على الاتفاقية، واتخاذها إجراءات لتعزيز إدماجها وضمان مساواتها في التمتع بالحقوق. فبالنسبة للمادة الثانية من الاتفاقية فإن تحفظ مصر جاء تحفظ عام على تلك المادة وقد أشار هذا التحفظ إلى أن مصر على استعداد لتنفيذ ما جاء بفقرات هذه المادة بشرط ألا يتعارض ذلك مع الشريعة الإسلامية، فإن الموقف المصري لا يؤثر على مضمون الحقوق والحمايات المكفولة بالفعل في إطار الدستور والقانون دون تمييز بين الرجال والنساء، وبصورة تتسق مع مضمون المادة الثانية من الاتفاقية. فعلى سبيل المثال، جسدت 22 مادة بالدستور المساواة بين الرجل والمرأة في الحقوق والحريات، وفي مقدمتها المادتين 11 و53. ويضمن النظام القانوني الحماية القانونية للمرأة على قدم المساواة مع الرجل عن طريق المحاكم، وتعمل الدولة على ضمان المساواة وحظر التمييز ضد النساء بتدابير عدة من السياسات العامة وسن التشريعات والإجراءات الإدارية والمؤسسية، والخطط الوطنية لحقوق الإنسان، والاستراتيجية الوطنية لتمكين المرأة المصرية 203.</w:t>
      </w:r>
    </w:p>
    <w:p w14:paraId="547C2EC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3B1ABA7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 xml:space="preserve">الملاحظة رقم 12 </w:t>
      </w:r>
    </w:p>
    <w:p w14:paraId="0B6F657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وبشأن توفير أنشطة منهجية لبناء القدرات والتدريب للمسؤولين الحكوميين والقضاة والمحامين والمدعين العامّين وضباط الشرطة وموظفي إنفاذ القانون الآخرين بشأن الاتفاقية؛</w:t>
      </w:r>
      <w:r w:rsidRPr="00016B7B">
        <w:rPr>
          <w:rFonts w:ascii="Traditional Arabic" w:eastAsia="Calibri" w:hAnsi="Traditional Arabic" w:cs="Traditional Arabic"/>
          <w:sz w:val="28"/>
          <w:szCs w:val="28"/>
          <w:rtl/>
          <w:lang w:val="en-US"/>
        </w:rPr>
        <w:t xml:space="preserve"> </w:t>
      </w:r>
    </w:p>
    <w:p w14:paraId="4B93FC4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تضطلع وزارة العدل والنيابة العامة بتدريب القضاة وأعضاء النيابة العامة على حقوق الإنسان وأحكام المعاهدات الدولية ذات الصلة والبرامج التدريبية وورش العمل للسيدات والسادة القضاة وعضوات واعضاء الهيئات القضائية حول مهارات وفنون القيادة ومناهضة العنف ضد المرأة وتيسير وصولها للعدالة إضافة الى ندوات توعية موظفى وزارة العدل بالمحاكم وديوان عام الوزارة بجريمة تشويه الاعضاء التناسلية </w:t>
      </w:r>
      <w:r w:rsidRPr="00016B7B">
        <w:rPr>
          <w:rFonts w:ascii="Traditional Arabic" w:eastAsia="Calibri" w:hAnsi="Traditional Arabic" w:cs="Traditional Arabic"/>
          <w:sz w:val="28"/>
          <w:szCs w:val="28"/>
          <w:rtl/>
          <w:lang w:val="en-US"/>
        </w:rPr>
        <w:lastRenderedPageBreak/>
        <w:t xml:space="preserve">ومخاطرها وتأثيرها على الفتيات وذلك بالشراكة مع المجلس القومى للمرأة ومكتب الامم المتحدة المعنى بالمخدرات والجريمة ومكز الدراسات القضائية بلغ عددها 90 ورشة عمل وذلك خلال الفترة من 2020 حتى 2025 استهدف التدريب 2741 عضو و950 موظف. </w:t>
      </w:r>
    </w:p>
    <w:p w14:paraId="0741907A"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وقامت النيابة العامة بتوفير الأنشطة المنهجية ذات الصلة ببناء القدرات وتدريب أعضاء النيابة العامة بهدف التعريف بمواد الاتفاقية وإعمال أحكامها، والتدريب على التعامل الأمثل مع المرأة في مجال المعاملة الجنائية، وحماية ومساعدة الفتيات والنساء الضحايا، وقضايا العنف ضد المرأة، بالتعاون مع كافة الجهات الدولية والوطنية المعنية. وإقامة ورشتين عمل استهدفت 138 عضو/ة من أعضاء وعضوات النيابة العامة حول الإطار التشريعي لجرائم العنف ضد المرأة وقوانين الأسر.</w:t>
      </w:r>
    </w:p>
    <w:p w14:paraId="79504EA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ونظمت وزارة الداخلية عدد (</w:t>
      </w:r>
      <w:r w:rsidRPr="00016B7B">
        <w:rPr>
          <w:rFonts w:ascii="Traditional Arabic" w:eastAsia="Calibri" w:hAnsi="Traditional Arabic" w:cs="Traditional Arabic"/>
          <w:sz w:val="28"/>
          <w:szCs w:val="28"/>
          <w:rtl/>
          <w:lang w:val="en-US" w:bidi="fa-IR"/>
        </w:rPr>
        <w:t xml:space="preserve">۹) </w:t>
      </w:r>
      <w:r w:rsidRPr="00016B7B">
        <w:rPr>
          <w:rFonts w:ascii="Traditional Arabic" w:eastAsia="Calibri" w:hAnsi="Traditional Arabic" w:cs="Traditional Arabic"/>
          <w:sz w:val="28"/>
          <w:szCs w:val="28"/>
          <w:rtl/>
          <w:lang w:val="en-US"/>
        </w:rPr>
        <w:t>فرق تدريبية للضباط بعنوان (مكافحة جرائم العنف ضد المرأة والطفل وذوي الاحتياجات الخاصة) بدءً من عام ٢٠٢٠م حتى الآن. فضلاً عن تنظيم مؤتمر بعنوان "مكافحة جرائم العنف ضد المرأة والطفل وذوي الاحتياجات الخاصة " عام ٢٠٢١ م ، وتم استحداث عدد (</w:t>
      </w:r>
      <w:r w:rsidRPr="00016B7B">
        <w:rPr>
          <w:rFonts w:ascii="Traditional Arabic" w:eastAsia="Calibri" w:hAnsi="Traditional Arabic" w:cs="Traditional Arabic"/>
          <w:sz w:val="28"/>
          <w:szCs w:val="28"/>
          <w:rtl/>
          <w:lang w:val="en-US" w:bidi="fa-IR"/>
        </w:rPr>
        <w:t xml:space="preserve">۱۳) </w:t>
      </w:r>
      <w:r w:rsidRPr="00016B7B">
        <w:rPr>
          <w:rFonts w:ascii="Traditional Arabic" w:eastAsia="Calibri" w:hAnsi="Traditional Arabic" w:cs="Traditional Arabic"/>
          <w:sz w:val="28"/>
          <w:szCs w:val="28"/>
          <w:rtl/>
          <w:lang w:val="en-US"/>
        </w:rPr>
        <w:t>فرقة تدريبية منذ عام ٢٠٢٤، بعنوان (تأهيل العنصر النسائي للعمل الأمني المعاصر) وتتضمن مناهجها مواد تدريبية حول توعية ضابطات الشرطة بأنواع الجرائم التي تُمارس ضد المرأة وكافة أشكال التمييز ضدها كما تم عقد  (</w:t>
      </w:r>
      <w:r w:rsidRPr="00016B7B">
        <w:rPr>
          <w:rFonts w:ascii="Traditional Arabic" w:eastAsia="Calibri" w:hAnsi="Traditional Arabic" w:cs="Traditional Arabic"/>
          <w:sz w:val="28"/>
          <w:szCs w:val="28"/>
          <w:rtl/>
          <w:lang w:val="en-US" w:bidi="fa-IR"/>
        </w:rPr>
        <w:t xml:space="preserve">۱۷) </w:t>
      </w:r>
      <w:r w:rsidRPr="00016B7B">
        <w:rPr>
          <w:rFonts w:ascii="Traditional Arabic" w:eastAsia="Calibri" w:hAnsi="Traditional Arabic" w:cs="Traditional Arabic"/>
          <w:sz w:val="28"/>
          <w:szCs w:val="28"/>
          <w:rtl/>
          <w:lang w:val="en-US"/>
        </w:rPr>
        <w:t xml:space="preserve">دورة حول " قواعد نيلسون مانديلا الدنيا لمعاملة السجناء والسجينات " للضباط ولطلبة وطالبات كلية الشرطة بدءً من عام </w:t>
      </w:r>
      <w:r w:rsidRPr="00016B7B">
        <w:rPr>
          <w:rFonts w:ascii="Traditional Arabic" w:eastAsia="Calibri" w:hAnsi="Traditional Arabic" w:cs="Traditional Arabic"/>
          <w:sz w:val="28"/>
          <w:szCs w:val="28"/>
          <w:rtl/>
          <w:lang w:val="en-US" w:bidi="fa-IR"/>
        </w:rPr>
        <w:t>۲۰۲۳</w:t>
      </w:r>
      <w:r w:rsidRPr="00016B7B">
        <w:rPr>
          <w:rFonts w:ascii="Traditional Arabic" w:eastAsia="Calibri" w:hAnsi="Traditional Arabic" w:cs="Traditional Arabic"/>
          <w:sz w:val="28"/>
          <w:szCs w:val="28"/>
          <w:rtl/>
          <w:lang w:val="en-US"/>
        </w:rPr>
        <w:t xml:space="preserve"> م وحتى الآن وتم  تنظيم دورة تدريبية بالتعاون مع الشرطة البريطانية في مجال (إعداد الضابطات لإدارة الكيانات الشرطية) وذلك بمشاركة عدد (</w:t>
      </w:r>
      <w:r w:rsidRPr="00016B7B">
        <w:rPr>
          <w:rFonts w:ascii="Traditional Arabic" w:eastAsia="Calibri" w:hAnsi="Traditional Arabic" w:cs="Traditional Arabic"/>
          <w:sz w:val="28"/>
          <w:szCs w:val="28"/>
          <w:rtl/>
          <w:lang w:val="en-US" w:bidi="fa-IR"/>
        </w:rPr>
        <w:t xml:space="preserve">۲۰) </w:t>
      </w:r>
      <w:r w:rsidRPr="00016B7B">
        <w:rPr>
          <w:rFonts w:ascii="Traditional Arabic" w:eastAsia="Calibri" w:hAnsi="Traditional Arabic" w:cs="Traditional Arabic"/>
          <w:sz w:val="28"/>
          <w:szCs w:val="28"/>
          <w:rtl/>
          <w:lang w:val="en-US"/>
        </w:rPr>
        <w:t xml:space="preserve">من ضابطات الوزارة خلال عام ٢٠٢٣. </w:t>
      </w:r>
    </w:p>
    <w:p w14:paraId="18E5DDDF"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وبشأن تعزيز وعي النساء بحقوقهن المنصوص عليها في الاتفاقية ووسائل الانتصاف المتاحة لهن في حالة ادعاء بوقوع انتهاكات لتلك الحقوق؛</w:t>
      </w:r>
      <w:r w:rsidRPr="00016B7B">
        <w:rPr>
          <w:rFonts w:ascii="Traditional Arabic" w:eastAsia="Calibri" w:hAnsi="Traditional Arabic" w:cs="Traditional Arabic"/>
          <w:sz w:val="28"/>
          <w:szCs w:val="28"/>
          <w:rtl/>
          <w:lang w:val="en-US"/>
        </w:rPr>
        <w:t xml:space="preserve"> واصل المجلس القومي للمرأة إطلاق حملات توعوية كبرى مثل "التاء المربوطة سر قوتك"، التي نجحت في تحقيق 456 مليون وصول، وحملة "لأني رجل" لإشراك الرجال في دعم تمكين المرأة، وحملة "طرق الأبواب" التي استهدفت توعية النساء بحقوقهن السياسية والاجتماعية، ويتضمن النظام القانوني المصري إطار شامل لحماية حقوق الانسان، يكفل توافر وفاعلية سبل الانتصاف حال انتهاك أيا من الحقوق المحمية بموجب الاتفاقية، وتضم البنية المؤسسية آليات متعددة لتعزيز احترام وحماية حقوق الإنسان، وتشمل الآليات القضائية، والمؤسسة الوطنية لحقوق الإنسان، والمجالس القومية المتخصصة، والإدارات والأقسام المعنية بحقوق الإنسان بمختلف الوزارات والجهات الوطنية. </w:t>
      </w:r>
    </w:p>
    <w:p w14:paraId="457D63E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وتم إنشاء آلية مستقلة يسهل الوصول إليها خاصة بشكاوى حقوق الإنسان بصفة عامة، حيث تتمتع بصلاحيات تلقي الشكاوى وتحقيقها واتخاذ الإجراءات المناسبة في شأنها، تتمثل في إدارة حقوق الإنسان بمكتب النائب العام المنشأة بقراره رقم ٢٠٣٤ لسنة ٢٠١٧ وتتبعه مباشرة. وتختص الإدارة بتلقي الشكاوى والبلاغات والتقارير المتعلقة بحقوق الإنسان، وبما يعد اعتداء عليها، وفحصها ودراستها ومباشرة التحقيق وإعدادها للتصرف، وإحالة باقي الشكاوى إلى النيابات المختصة لاتخاذ الـلازم قانوناً بشأنها بعد العرض على النائب العام، ومتابعة القضايا المتعلقة بحقوق الإنسان التي يجري تحقيقها وفحصها بكافة النيابات. </w:t>
      </w:r>
    </w:p>
    <w:p w14:paraId="766DFE4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وتمنح المادة 214 من الدستور لكل من المجلس القومي للمرأة، والمجلس القومي للطفولة والأمومة، والمجلس القومي للأشخاص ذوي الإعاقة حق إبلاغ السلطات العامة عن أي انتهاك يتعلق بمجال عملهم. فضلاً عن الخط الساخن بالمجلس القومي لحقوق الإنسان لتلقي جميع الشكاوى المتعلقة بانتهاكات حقوق الإنسان – لاسيما الحق في المساواة وعدم التمييز بكافة صوره – للتسهيل على المتضررين من اللجوء لسبل الانتصاف بطرق ميسرة. كما تتضمن القوانين المنظمة لعمل هذه المجالس إجراءات تلقي الشكاوى. كذلك، تقر المادة 85 من الدستور حق أي فرد في مخاطبة السلطات العامة بالتقدم بشكواه كتابة وبتوقيعه، وتجيز المادة 138 لكل مواطن أن يتقدم إلى مجلس النواب بشكوى يحيلها إلى الوزراء المختصين، وتوجب على الوزراء أن يقدموا الإيضاحات الخاصة بها إذا طلب المجلس ذلك، وأن يحاط صاحب الشأن بنتيجة شكواه حسبما فصلته اللائحة الداخلية لمجلس النواب.</w:t>
      </w:r>
    </w:p>
    <w:p w14:paraId="74C13C4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3431DF6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785394F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 xml:space="preserve">الملاحظة رقم 14 </w:t>
      </w:r>
    </w:p>
    <w:p w14:paraId="39874DF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lastRenderedPageBreak/>
        <w:t>وبشأن إنشاء مفوضية لمناهضة التمييز وفقا للمادة 53 من الدستور؛</w:t>
      </w:r>
    </w:p>
    <w:p w14:paraId="16C76623"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 فإن المجلس القومي للمرأة هو الآلية الوطنية المعنية بمكافحة التمييز ضد المرأة، وفي سياق عمل المجلس منذ عام 2000، وضع خطط لتعميم منظور المساواة بين الجنسين في مصر من خلال الخطط الوطنية، وكلل هذا المجهود بالاستراتيجية الوطنية لتمكين المرأة. وتعد وحدات تكافؤ الفرص، والتي وصل عددها 32 وحدة في وزارات مختلفة، إحدى الآليات التي تهدف إلى ترسيخ مبدأ المساواة بين الجنسين وتكافؤ الفرص في كافة المؤسسات من أجل تحسين أوضاع المرأة المصرية بما يدعم وصول المرأة إلى مواقع القيادة واتخاذ القرار وتضييق الفجوة النوعية بين الجنسين. وتعمل وحدات تكافؤ الفرص على توفير بيانات إحصائية حول أوضاع المرأة في المناصب القيادية، وتوفير استفادة المرأة من المشروعات التي تنفذها الوزارات والأجهزة التابعة لها، وإدماج مبدأ المساواة بين الجنسين وتكافؤ الفرص في مراحل إعداد وتخطيط ومتابعة وتقييم الاستراتيجيات والخطط الوطنية، وإعداد الدراسات والبحوث في مجال تمكين المرأة، والمشاركة في رفع الوعي حول مفاهيم المساواة بين الجنسين وتطبيق الموازنات المستجيبة للمساواة بين الجنسين.</w:t>
      </w:r>
    </w:p>
    <w:p w14:paraId="7AA5F8E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4C4B560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الملاحظة رقم 16</w:t>
      </w:r>
    </w:p>
    <w:p w14:paraId="012FC10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t>وبشأن إمكانية لجوء المرأة إلى القضاء؛</w:t>
      </w:r>
    </w:p>
    <w:p w14:paraId="200D00C3"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 xml:space="preserve"> </w:t>
      </w:r>
      <w:r w:rsidRPr="00016B7B">
        <w:rPr>
          <w:rFonts w:ascii="Traditional Arabic" w:eastAsia="Calibri" w:hAnsi="Traditional Arabic" w:cs="Traditional Arabic"/>
          <w:sz w:val="28"/>
          <w:szCs w:val="28"/>
          <w:rtl/>
          <w:lang w:val="en-US"/>
        </w:rPr>
        <w:t xml:space="preserve">حرصت الدولة على إزالة الحواجز المادية والإجرائية أمام النساء، من خلال وضع آليات إحالة مباشرة من مكتب الشكاوى إلى النيابة العامة والمحاكم، مع تحمل الدولة لتكاليف بعض القضايا لضمان حق التقاضي للجميع. كما خُصصت وحدات شرطية وقضائية متخصصة لمناهضة العنف ضد المرأة، وأصدرت النيابة العامة دليلًا إجرائيًا بعنوان "التعامل مع قضايا العنف ضد المرأة" لتبسيط الإجراءات وضمان وضوحها أمام الضحايا ومقدمي الخدمات على حد سواء. كما تم مد مظلة الحماية القانونية للفئات الأقل وصولًا، حيث لعبت الرائدات الاجتماعيات بوزارة التضامن الاجتماعي دورًا محوريًا في القرى والمجتمعات المحلية عبر التوعية بآليات الشكوى واللجوء إلى القضاء في قضايا مثل الزواج المبكر والعنف الأسري. </w:t>
      </w:r>
    </w:p>
    <w:p w14:paraId="2DE2FCCD"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كما يقوم المجلس القومي للمرأة بتلقي ودراسة الشكاوى وإحالتها إلى الجهات المختصة، ويقدم المساعدة القانونية والمشورة للنساء المعنفات، وتم أيضا توفير خدمات الخط الساخن للإبلاغ عن أية انتهاكات أو شكاوى في هذا الشأن، والذي تلقى في أقل 5 سنوات حوالي قدم مشهورة قانونية لما يقرب من100 ألف سيدة، تمت إحالة تلك الشكاوى للجهات المختصة</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ونجح مكتب الشكاوى في الحصول على أحكام قضائية لصالح المرأة الشاكية لما يقرب من (10) ألف حالة، تم أيضا توفير خطوط الإبلاغ في مكتب النائب العام ووزارات الداخلية والنقل، ووزارات أخرى، ويتم إطلاق حملات للتوعية بجميع أشكال العنف ضد المرأة، بما في ذلك على وسائل التواصل الاجتماعي، وحملات طرق الأبواب، وحملات توعية بالمدارس ناهيك عن الجهود الكبيرة المبذولة لمكافحة ظاهرة ختان الإناث، وتتعدد النماذج التطبيقية التي قضت فيها المحاكم بأحكام لصالح  المرأة المعنفة، سواء نتيجة  تعرضها للضرب على يد الزوج أو في وقائع أخرى.</w:t>
      </w:r>
    </w:p>
    <w:p w14:paraId="78092025"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لتعزيز الوصول إلى العدالة وخدمات المساعدة القانونية يغطي قانون العقوبات المصري جميع أشكال العنف ضد المرأة، داخل الأسرة وخارجها، بما في ذلك الجرائم الجنسية وتشويه الأعضاء التناسلية والحرمان من الميراث والجرائم الإلكترونية. كما أُنشئت أول وحدة مجمعة لحماية المرأة من العنف عام 2021 لتسريع الخدمات، ويقدّم المجلس القومي للمرأة من خلال مكتب الشكاوى المساعدة القانونية والنفسية والاجتماعية مجانًا، حيث تعامل بين عامي 2018 و2023 مع 255.630 شكوى تخص نحو 182.827سيدة. وفي سبتمبر 2025 افتتحت وزارة العدل غرفتين مؤمنتين تم تخصيصهما للمرأة ضحية العنف في محكمة في محاكم القاهرة بالتعاون مع مكتب الأمم المتحدة المعنــي بالمخدرات والجريمة</w:t>
      </w:r>
      <w:r w:rsidRPr="00016B7B">
        <w:rPr>
          <w:rFonts w:ascii="Traditional Arabic" w:eastAsia="Calibri" w:hAnsi="Traditional Arabic" w:cs="Traditional Arabic"/>
          <w:sz w:val="28"/>
          <w:szCs w:val="28"/>
          <w:lang w:val="en-US"/>
        </w:rPr>
        <w:t>.</w:t>
      </w:r>
    </w:p>
    <w:p w14:paraId="1123219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0BCB8C20"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وفيما يتعلق مكافحة الوصم المجتمعي؛</w:t>
      </w:r>
    </w:p>
    <w:p w14:paraId="1ACB4FF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lastRenderedPageBreak/>
        <w:t xml:space="preserve"> </w:t>
      </w:r>
      <w:r w:rsidRPr="00016B7B">
        <w:rPr>
          <w:rFonts w:ascii="Traditional Arabic" w:eastAsia="Calibri" w:hAnsi="Traditional Arabic" w:cs="Traditional Arabic"/>
          <w:sz w:val="28"/>
          <w:szCs w:val="28"/>
          <w:rtl/>
          <w:lang w:val="en-US"/>
        </w:rPr>
        <w:t>أولى المجلس القومي للمرأة اهتمامًا خاصًا بكسر الحاجز النفسي والاجتماعي الذي قد يمنع النساء من تقديم الشكاوى، فأطلق حملات توعية إعلامية واسعة مثل "بالوعي نحميها"، "التاء المربوطة"، "احميها من الختان"، وبلدي أمانة مؤكدة أن تقديم النساء للشكاوى حق دستوري وقانوني. كما تم تنظيم ندوات تثقيفية ودورات توعوية موجهة للشباب والأسر لتعزيز ثقافة دعم المبلّغات عن العنف بدلًا من وصمهن</w:t>
      </w:r>
      <w:r w:rsidRPr="00016B7B">
        <w:rPr>
          <w:rFonts w:ascii="Traditional Arabic" w:eastAsia="Calibri" w:hAnsi="Traditional Arabic" w:cs="Traditional Arabic"/>
          <w:sz w:val="28"/>
          <w:szCs w:val="28"/>
          <w:lang w:val="en-US"/>
        </w:rPr>
        <w:t>.</w:t>
      </w:r>
    </w:p>
    <w:p w14:paraId="04C6796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bidi="ar-EG"/>
        </w:rPr>
        <w:t>فقد صدر القانون رقم 177 لسنة 2020 بتعديل بعض أحكام قانون الإجراءات الجنائية، وذلك بإضافة مادة جديدة (113 مكرر) تنص على عدم الكشف عن بيانات المجني عليهم في جرائم التحرش والعنف وهتك العرض وافساد الاخلاق وكذلك المنصوص عليه في المادة 96 من قانون الطفل.</w:t>
      </w:r>
    </w:p>
    <w:p w14:paraId="4D2BA49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1E55A4E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وبشأن زيادة عدد النساء في سلك القضاء،</w:t>
      </w:r>
    </w:p>
    <w:p w14:paraId="56A3CAF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 نحيل إلى الفقرات (41- 42- 43) من التعليق على المادة 7 من التقرير. </w:t>
      </w:r>
    </w:p>
    <w:p w14:paraId="64AD730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6D2236C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 xml:space="preserve">الملاحظة رقم 18 </w:t>
      </w:r>
    </w:p>
    <w:p w14:paraId="549C06F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وبشأن رصد وتقييم الاستراتيجية والسياسات الأخرى المتعلقة بالمساواة بين الجنسين</w:t>
      </w:r>
      <w:r w:rsidRPr="00016B7B">
        <w:rPr>
          <w:rFonts w:ascii="Traditional Arabic" w:eastAsia="Calibri" w:hAnsi="Traditional Arabic" w:cs="Traditional Arabic"/>
          <w:sz w:val="28"/>
          <w:szCs w:val="28"/>
          <w:rtl/>
          <w:lang w:val="en-US"/>
        </w:rPr>
        <w:t>؛</w:t>
      </w:r>
    </w:p>
    <w:p w14:paraId="00C53FFA"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 حرصت الدولة على متابعة وتقييم الاستراتيجية الوطنية لتمكين المرأة المصرية، فقد تأسس مرصد المرأة المصرية عام 2017 كآلية رصد مستقلة للاستراتيجية، ومرصد المرأة المصرية متاح للجميع ويتم تحديثه بانتظام. كما تم تطوير خطة عمل الاستراتيجية كخطوة لضمان تقدم ملموس في حياة المرأة، ويتم نشر تقرير دوري عن الإستراتيجية الوطنية لتمكين المرأة المصرية 2030 على الموقع الإلكتروني للمجلس القومي للمرأة بشكل دوري لرصد تنفيذ خطة عمل الاستراتيجية.</w:t>
      </w:r>
    </w:p>
    <w:p w14:paraId="2A341D6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2C58F27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 xml:space="preserve">الملاحظة رقم 20 </w:t>
      </w:r>
    </w:p>
    <w:p w14:paraId="6B5B138A"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وبشأن لتعجيل بتحقيق المساواة الفعلية بين المرأة والرجل في جميع المجالات التي تكون فيها المرأةُ، بما في ذلك المرأة الريفية والمنتمية إلى الفئات المهمشة، محرومةً أو ممثَّلةً تمثيلا ناقصا، في مجالات من بينها الحياة السياسية والعامة والتعليم والتوظيف، وبخاصة في الخدمة المدنية والسلك الدبلوماسي والجهاز القضائي</w:t>
      </w:r>
      <w:r w:rsidRPr="00016B7B">
        <w:rPr>
          <w:rFonts w:ascii="Traditional Arabic" w:eastAsia="Calibri" w:hAnsi="Traditional Arabic" w:cs="Traditional Arabic"/>
          <w:sz w:val="28"/>
          <w:szCs w:val="28"/>
          <w:rtl/>
          <w:lang w:val="en-US"/>
        </w:rPr>
        <w:t>؛</w:t>
      </w:r>
    </w:p>
    <w:p w14:paraId="200975D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 نحيل إلى التعليق على المواد (7، 8، 9، 10، 11، 14) من التقرير.</w:t>
      </w:r>
    </w:p>
    <w:p w14:paraId="25FA1C6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0720AC2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0B7A37D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 xml:space="preserve">الملاحظة رقم 22 </w:t>
      </w:r>
    </w:p>
    <w:p w14:paraId="6ABD898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وبشأن مسؤوليات المرأة والرجل في الأسرة وفي المجتمع، وتكثيف الجهود المبذولة مع وسائط الإعلام لزيادة وعي الجمهور بالقوالب النمطية؛</w:t>
      </w:r>
    </w:p>
    <w:p w14:paraId="0452BA85"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 xml:space="preserve">فضلاً عما ورد في الفقرات </w:t>
      </w:r>
      <w:r w:rsidRPr="00016B7B">
        <w:rPr>
          <w:rFonts w:ascii="Traditional Arabic" w:eastAsia="Calibri" w:hAnsi="Traditional Arabic" w:cs="Traditional Arabic"/>
          <w:b/>
          <w:bCs/>
          <w:sz w:val="28"/>
          <w:szCs w:val="28"/>
          <w:rtl/>
          <w:lang w:val="en-US"/>
        </w:rPr>
        <w:t>(</w:t>
      </w:r>
      <w:r w:rsidRPr="00016B7B">
        <w:rPr>
          <w:rFonts w:ascii="Traditional Arabic" w:eastAsia="Calibri" w:hAnsi="Traditional Arabic" w:cs="Traditional Arabic"/>
          <w:sz w:val="28"/>
          <w:szCs w:val="28"/>
          <w:rtl/>
          <w:lang w:val="en-US"/>
        </w:rPr>
        <w:t>24- 29)</w:t>
      </w:r>
      <w:r w:rsidRPr="00016B7B">
        <w:rPr>
          <w:rFonts w:ascii="Traditional Arabic" w:eastAsia="Calibri" w:hAnsi="Traditional Arabic" w:cs="Traditional Arabic"/>
          <w:b/>
          <w:bCs/>
          <w:sz w:val="28"/>
          <w:szCs w:val="28"/>
          <w:rtl/>
          <w:lang w:val="en-US"/>
        </w:rPr>
        <w:t xml:space="preserve"> </w:t>
      </w:r>
      <w:r w:rsidRPr="00016B7B">
        <w:rPr>
          <w:rFonts w:ascii="Traditional Arabic" w:eastAsia="Calibri" w:hAnsi="Traditional Arabic" w:cs="Traditional Arabic"/>
          <w:sz w:val="28"/>
          <w:szCs w:val="28"/>
          <w:rtl/>
          <w:lang w:val="en-US"/>
        </w:rPr>
        <w:t xml:space="preserve">من التعليق على المادة (5) نضيف الأتي تولى الدولة اهتمامًا متزايداً بالقضاء على القوالب النمطية التمييزية المرتبطة بأدوار ومسؤوليات المرأة والرجل في الأسرة والمجتمع، انطلاقًا من التزامها الدستوري والقانوني بالمساواة وعدم التمييز. فقد نص الدستور على المساواة الكاملة بين الجنسين في الحقوق والواجبات، وأكد على دور الدولة في حماية المرأة وتمكينها. وفي هذا الإطار أطلقت الدولة الاستراتيجية الوطنية لتمكين المرأة 2030 التي تعد الإطار الشامل لتعزيز مشاركة المرأة في جميع المجالات، ومواجهة الصور </w:t>
      </w:r>
      <w:r w:rsidRPr="00016B7B">
        <w:rPr>
          <w:rFonts w:ascii="Traditional Arabic" w:eastAsia="Calibri" w:hAnsi="Traditional Arabic" w:cs="Traditional Arabic"/>
          <w:sz w:val="28"/>
          <w:szCs w:val="28"/>
          <w:rtl/>
          <w:lang w:val="en-US"/>
        </w:rPr>
        <w:lastRenderedPageBreak/>
        <w:t>النمطية التي تحد من دورها. كما نفّذ المجلس القومي للمرأة العديد من الحملات التوعوية مثل حملة "لأني رجل" التي تستهدف تغيير المفاهيم التقليدية وتشجيع الرجال على دعم النساء داخل الأسرة والمجتمع</w:t>
      </w:r>
      <w:r w:rsidRPr="00016B7B">
        <w:rPr>
          <w:rFonts w:ascii="Traditional Arabic" w:eastAsia="Calibri" w:hAnsi="Traditional Arabic" w:cs="Traditional Arabic"/>
          <w:sz w:val="28"/>
          <w:szCs w:val="28"/>
          <w:lang w:val="en-US"/>
        </w:rPr>
        <w:t>.</w:t>
      </w:r>
    </w:p>
    <w:p w14:paraId="74CA410D"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كما تولي الدولة اهتمامًا خاصًا بالمجتمعات الريفية والنائية من خلال مبادرات مكافحة ختان الإناث وزواج الأطفال، بالتعاون مع الوزارات المعنية، وبمشاركة فعّالة للقيادات الدينية والمجتمع المدني. وفي المجال الإعلامي، وتشجيع الدراما والبرامج التي تبرز صورة إيجابية للمرأة وتكسر القوالب التقليدية، إضافة إلى إدماج قضايا المساواة بين الجنسين ضمن المناهج الدراسية بصورة تدريجية</w:t>
      </w:r>
      <w:r w:rsidRPr="00016B7B">
        <w:rPr>
          <w:rFonts w:ascii="Traditional Arabic" w:eastAsia="Calibri" w:hAnsi="Traditional Arabic" w:cs="Traditional Arabic"/>
          <w:sz w:val="28"/>
          <w:szCs w:val="28"/>
          <w:lang w:val="en-US"/>
        </w:rPr>
        <w:t>.</w:t>
      </w:r>
    </w:p>
    <w:p w14:paraId="0E2E8D8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2AF84CF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الملاحظة رقم 24</w:t>
      </w:r>
    </w:p>
    <w:p w14:paraId="12AE2A5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وبشأن العنف ضد المرأة؛</w:t>
      </w:r>
    </w:p>
    <w:p w14:paraId="3E9A96A2"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فضلاً عما ورد بالتقرير فنؤكد أن قانون العقوبات يعاقب على العنف البدني أسريا كان أو غير أسري. سواء كان في نطاق الأسرة وأيا كان شكل العنف، بدء من الضرب البسيط إلى الضرب الأكثر عنفا وما إلى ذلك، وتغطي مواد قانون العقوبات المصري الجرائم الجنسية وجرائم العنف الواقع على المرأة، حيث تعددت جرائم الاعتداءات الجنسية بمختلف توصيفها القانوني، إذ يعاقب القانون على أفعال التحرش الجنسي، والتعرض لأنثى، والإغتصاب، ومواقعة أنثى بدون رضاها، وهتك العرض، وتشويه الأعضاء التناسلية، وخطف الأنثى، خدش الحياة، والفعل الفاضح، كما يعاقب القانون أفعال العنف الممارس ضد المرأة مثل التنمر والتمييز، وتعاقب القوانين الوطنية الأخرى على جرائم مثل الحرمان من الميراث والجرائم الإلكترونية، والزواج القسري المبكر، وحماية بيانات المجني عليها في جرائم العنف والتحرش.</w:t>
      </w:r>
    </w:p>
    <w:p w14:paraId="4B918E95"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تضمنت الاستراتيجية الوطنية لتمكين المرأة المصرية 2030 محورا خاصا بالحماية من العنف ومرصد مستقل لمتابعة تنفيذ المؤشرات الوطنية. وتبنت مصر مجموعة من الإجراءات والسياسات التنفيذية من بينها قرار رئيس مجلس الوزراء لعام 2021 بإنشاء الوحدة المجمعة لحماية المرأة من العنف بهدف تسريع كافة الإجراءات وتقديم كافة الخدمات في وحدة متكاملة، وقد تتضمن القرار تعريفا صريحا للعنف ضد المرأة أيضا لأول مرة وجاء كما يلي "العنف ضد المرأة هو أي فعل أو سلوك أو امتناع بالمخالفة للدستور والقانون يترتب عليه أذى أو معاناة للمرأة سواء بدنية أو مادية أو معنوية أو نفسية أو اجتماعية أو اقتصادية أو اعتداء على الحقوق والحريات المكفولة قانونا سواء في الحياة العامة أو الخاصة بما في ذلك التهديد أو القصر أو الحرمان التعسفي متماشيا مع الاتفاقات والتعهدات الدولية".</w:t>
      </w:r>
    </w:p>
    <w:p w14:paraId="2A17B9C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وتتضمن اختصاصات المجلس القومي للمرأة "تلقي ودراسة الشكاوى الخاصة بانتهاك حقوق وحريات المرأة" وإحالتها إلى جهات الاختصاص شكاوى النساء المعنفات وإحالتها إلى جهات الاختصاص، والعمل على حلها مع الجهات المعنية، وتوفير المساعدة القضائية اللازمة مجانا، ويتلقى مكتب شكاوى المجلس القومي للمرأة هذه الشكاوى عبر المقابلات الشخصية والخط الساخن 15115 ووسائل التواصل الأخرى ويقدم المساعدة القانونية والمشورة للنساء المعنفات؛ علاوة على تقديم خدمات دعم قانوني ونفسي واجتماعي وإحالة للجهات المعنية؛ وقدم خلال الفترة من 2018-2023 خدماته لما يقرب من 182.827 سيدة و 255630 شكوي. </w:t>
      </w:r>
    </w:p>
    <w:p w14:paraId="6B3EE45A"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وأصدر مكتب الشكاوى عدد (6) أدلة إجرائية للتعامل مع مختلف قضايا العنف ضد المرأة، وواصل المجلس القومي للمرأة متابعة وتنفيذ حملات للتوعية بجميع أشكال العنف ضد المرأة، والعنف السيبراني، وسبل الإبلاغ والحماية، والقوانين المصرية عبر جميع وسائل التواصل المباشر وغير المباشر. كما أن هناك دراسات كثيرة قامت بإعدادها الدولة مثل دراسة التكلفة الاقتصادية للعنف ضد المرأة، والتي كانت مصر أول دولة في المنطقة العربية تقوم بإجرائها، بالإضافة إلى المسح السكاني الصحي 2021، واستبيانات في فترة انتشار وباء كوفيد-19؛ والتي أكدت على أهمية القضاء على العنف ضد المرأة داخل الأسرة. وأيضا مسح العنف ضد المرأة ذات الإعاقة.</w:t>
      </w:r>
    </w:p>
    <w:p w14:paraId="66CB4176"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وفي سياق متصل تم إنشاء 42 وحدة لمكافحة التحرش والعنف داخل الجامعات، ووحدة لمناهضة العنف ضد المرأة بوزارة العدل، وأقسام بمديريات وزارة الداخلية، وعدد (12) وحدة من وحدت "المرأة الآمنة" بالمستشفيات الجامعية للتعامل مع السيدات ضحايا العنف، و18 وحدة استجابة طبية داخل وحدات الرعاية الاساسية التابعة لوزارة الصحة والسكان، و (3) عيادات للطب الشرعي للكشف الطبي على المجني عليهن من النساء في جرائم العنف والاعتداء الجنسي، ومكاتب رقمية لمكاتب الأسرة بالنيابة العامة. كما يوجد 12 مركز استضافة </w:t>
      </w:r>
      <w:r w:rsidRPr="00016B7B">
        <w:rPr>
          <w:rFonts w:ascii="Traditional Arabic" w:eastAsia="Calibri" w:hAnsi="Traditional Arabic" w:cs="Traditional Arabic"/>
          <w:sz w:val="28"/>
          <w:szCs w:val="28"/>
          <w:rtl/>
          <w:lang w:val="en-US"/>
        </w:rPr>
        <w:lastRenderedPageBreak/>
        <w:t>للمرأة ضحية العنف بالمحافظات المختلفة، كما تم افتتاح أول مركز استضافة لضحايا الاتجار بالبشر في نوفمبر 2020 بهدف التعامل مع ضحايا الاتجار بالبشر الذي يعانون نتيجة ما تعرضوا له، وفي حاجة إلى رعاية مختلفة وذات طابع خاص.</w:t>
      </w:r>
    </w:p>
    <w:p w14:paraId="1E9B33F2"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كما تم إعداد أول نموذج حالة وطني للإبلاغ عن حالات العنف ضد المرأة استرشادا بالنموذج الدولي وتم مأسسة برامج تدريبية لمقدمي الخدمات والسلطات المختصة حيث تم تدريب المعنيين من القضاة وأعضاء النيابة العامة وضباط الشرطة والأطقم الطبية وممثلي وحدات مناهضة العنف وعددهم 5405 متدرب\ة خلال السنوات الماضية كما صدرت عدة دلائل مثل(دليل الأطباء الشرعيين، "الاستجابة الشرطية الفعالة لجرائم العنف ضد المرأة"،  والدليل الطبي لمقدمي الخدمات الصحية، ودليل وكلاء النيابة" الاستجابة القضائية الفعالة لجرائم العنف ضد المرأة"، ودليل إدارة الحالة والدعم النفسي،  ودليل المعايير والضوابط للقضاة، ودليل إنشاء وتفعيل وحدات مناهضة العنف ضد المرأة بالجامعات، ودليل إرشادي لوحدات المرأة الآمنة بالمستشفيات الجامعية).</w:t>
      </w:r>
    </w:p>
    <w:p w14:paraId="432489DB"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أطلق المجلس القومي للمرأة مبادرة لدعم إنشاء لجان دائمة للقضاء على العنف ضد المرأة على مستوى المحافظات تختص بتنسيق الجهود متعددة التخصصات بجميع قطاعات الاحالة، ووضع سياسات وبروتوكولات مشتركة على المستوى المحلي للعمل على حماية المرأة ضد كل أشكال العنف</w:t>
      </w:r>
      <w:r w:rsidRPr="00016B7B">
        <w:rPr>
          <w:rFonts w:ascii="Traditional Arabic" w:eastAsia="Calibri" w:hAnsi="Traditional Arabic" w:cs="Traditional Arabic"/>
          <w:sz w:val="28"/>
          <w:szCs w:val="28"/>
          <w:lang w:val="en-US"/>
        </w:rPr>
        <w:t>.</w:t>
      </w:r>
    </w:p>
    <w:p w14:paraId="6BC96036"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وتقدم جهات إنفاذ القانون بالتنسيق مع وزارة الصحة والأمانة العامة للصحة النفسية، والمجلس القومى للمرأة، والمجلس القومى للطفولة، خدمات الرعاية النفسية والدعم المجتمعي اللاحق للنساء اللاتي تعرضن للعنف. وبلغت حالات ضبط مرتكبي وقائع العنف ضد المرأة (التحرش الجنسي – التعدي) في الفترة من (2021- 2025) (2203) قضية فى مجال العنف ضد المرأة.</w:t>
      </w:r>
    </w:p>
    <w:p w14:paraId="277CE6AA"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واستحدث المجلس القومي للمرأة لجنة فرعية ضمن اختصاصاته للبحث العلمي والتنمية التكنولوجية والأمن السيبراني وتضم خبراء ومتخصصين لصياغة سياسات وخطط للتصدي لهذه القضية، وتأهيل المختصين بتلقي شكاوى الجرائم الإلكترونية وتعزيز التعاون مع الجهات التنفيذية لضمان استجابة فعّالة ومتكاملة، ونفذ المجلس القومي للمرأة حملات توعوية شاملة لمكافحة العنف السيبراني ضد النساء والفتيات، معتمداً على وسائل الإعلام التقليدية ومنصات التواصل الاجتماعي للوصول إلى جمهور واسع.. من بينها حملات " اتكلمي" و" حاسبوا على كلامكو" بالتعاون مع منصة إنستغرام للتصدي للتنمر الإلكتروني وتعزيز بيئة إيجابية، ووصلت هذه الجهود إلى أكثر من 5.8 مليون مشاهد</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 xml:space="preserve"> كما تم إطلاق مبادرة "تمكين النساء للشعور بالأمان على الإنترنت" مع فيسبوك، وتم إنتاج فيديوهات توعوية بمشاركة المشاهير. علاوة على ذلك، تم التعاون مع وزارة الاتصالات لتقديم دورات تدريبية حول المواطنة الرقمية والابتزاز الإلكتروني، فضلا عن إطلاق "دليل سلامة المرأة" بالشراكة مع فيسبوك، لتعريف النساء بأدوات الحماية المتاحة ضد الجريمة السيبرانية</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وفي إطار الاستثمار الوطني في الفتيات أطلق المجلس مبادرتي (دوي ونورة) ويتضمن أنشطة متخصصة تهدف الي التوعية بالجرائم الالكترونية وطرق الوقاية منها للفتيات.</w:t>
      </w:r>
    </w:p>
    <w:p w14:paraId="7DA9C2B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74A0318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t xml:space="preserve">وبشأن تجريم تشويه الأعضاء التناسلية وتجريم مرتكبيها من الأطباء؛ </w:t>
      </w:r>
    </w:p>
    <w:p w14:paraId="40993833"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تم اتخاذ تدابير تشريعية بتعديل قانون العقوبات فيما يتعلق بتعزيز وتشديد جرائم ختان الإناث وتوسيع نطاق التجريم، وجاء التعديل الأخير وفقا للقانون رقم 10 لسنة 2021 والذي نص لأول مرة على: معاقبة من يجرى ختانًا لأنثى على النحو المذكور في القانون والذي يغطى التعريف الدولي لتشوية الأعضاء التناسلية حيث حذفت أي إشارة إلى استخدام المبرر الطبي،  وعقوبات أكثر صرامة إذا أدى الفعل إلى عاهة مستديمة أو وفاة الضحية، عقوبات مستقلة للأطباء ومزوالي مهنة التمريض وللمنشأة، بالإضافة إلى عقوبة لكل من روج أو شجع أو دعا لارتكاب جريمة ختان الإناث وبذلك توسيع نطاق التأثيم ليشمل صور جديدة لتجريم كل أشكال التحريض أو التشجيع على ارتكاب الجريمة.</w:t>
      </w:r>
    </w:p>
    <w:p w14:paraId="510DD7DD"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1B1F233D"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t>وبشأن حالات زواج الأطفال بالإكراه؛</w:t>
      </w:r>
    </w:p>
    <w:p w14:paraId="1497887F"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lastRenderedPageBreak/>
        <w:t>يحظر قانون الأحوال المدنية توثيق عقود زواج لمن لم يبلغ من الجنسين ثماني عشرة سنة ميلادية كاملة (المادة 31 مكرراً)، كما يعاقب قانون العقوبات بالحبس أو الغرامة كل من أدلى بمعلومات غير صحيحة أو قدم مستندات على غير الحقيقة بقصد إثبات تحقق واقعة زواج الأطفال دون السن المحددة قانوناً.</w:t>
      </w:r>
    </w:p>
    <w:p w14:paraId="145C1F7F"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تُتخذ الإجراءات والتدابير الأمنية لمكافحة وضبط كافة صور الجرائم المرتكبة ضد الأطفال من خلال توفير الآليات لتقديم الشكاوى بما تم اتخاذه من إجراءات تجاه تلك البلاغات، وكذلك متابعة مواقع التواصل الاجتماعي على شبكة المعلومات الدولية الإنترنت لرصد أي تجاوزات تجاه الأطفال حيث أسفرت جهود وزارة الداخلية من يناير 2014 إلى أكتوبر 2023 عن ضبط عدد (412) قضية شملت (609) متهم و(895) ضحية من القصر في مجالات مكافحة استغلال الأطفال في جرائم زواج القاصرات والتسول و الأعمال المنافية للآداب والتعدي الجنسي واُتخذت الإجراءات القانونية تجاه تلك الوقائع بالتنسيق مع النيابات المختصة.</w:t>
      </w:r>
      <w:r w:rsidRPr="00016B7B">
        <w:rPr>
          <w:rFonts w:ascii="Traditional Arabic" w:eastAsia="Calibri" w:hAnsi="Traditional Arabic" w:cs="Traditional Arabic"/>
          <w:sz w:val="28"/>
          <w:szCs w:val="28"/>
          <w:lang w:val="en-US"/>
        </w:rPr>
        <w:t xml:space="preserve"> </w:t>
      </w:r>
    </w:p>
    <w:p w14:paraId="2D30F6D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p>
    <w:p w14:paraId="4A79AC2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bidi="ar-EG"/>
        </w:rPr>
        <w:t xml:space="preserve">الملاحظة رقم 26 </w:t>
      </w:r>
    </w:p>
    <w:p w14:paraId="38CE5A8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bidi="ar-EG"/>
        </w:rPr>
        <w:t>وبشأن الاتجار بالنساء واستغلالهن في البغاء؛</w:t>
      </w:r>
    </w:p>
    <w:p w14:paraId="5F73479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bidi="ar-EG"/>
        </w:rPr>
        <w:t xml:space="preserve"> نحيل إلى الفقرات ( 30- 36) من التعليق على المادة 6 من التقرير.</w:t>
      </w:r>
    </w:p>
    <w:p w14:paraId="648DD97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الملاحظة رقم 28</w:t>
      </w:r>
    </w:p>
    <w:p w14:paraId="30DDCA1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وبشأن المشاركة المتساوية في الحياة السياسية والحياة العامة؛</w:t>
      </w:r>
    </w:p>
    <w:p w14:paraId="479E658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 نحيل إلى الفقرات (37- 45) من التعليق على المادة 7 من التقرير.</w:t>
      </w:r>
    </w:p>
    <w:p w14:paraId="22A9434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52870230"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 xml:space="preserve">الملاحظة رقم 30 </w:t>
      </w:r>
    </w:p>
    <w:p w14:paraId="206BCDE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وبشأن المدافعات عن حقوق الإنسان ومنظمات المجتمع المدني النسائية؛</w:t>
      </w:r>
    </w:p>
    <w:p w14:paraId="62C69797"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 فإن مصر تتبنى ما ورد في "الإعلان المتعلق بحق ومسئولية الأفراد والجماعات وهيئات المجتمع في تعزيز وحماية حقوق الإنسان والحريات الأساسية المعترف بها عالمياً"، الصادر بموجب قرار الجمعية العامة للأمم المتحدة رقم 53/144 لعام 1998، وتستذكر ما ورد في المادة الثانية منه اتصالاً بكون القانون المحلي يمثل الإطار القانوني الذي ينبغي أن يجري فيه إعمال حقوق الإنسان والحريات الأساسية والتمتع بها. وتؤكد الحكومة أن الجميع سواء أمام القانون، وأنه وفقاً للإعلان توجد مسؤولية مقابلة للتمتع بالحق المشار إليه في الإعلان. كما يحظر التمييز بين المواطنين أمام القانون، حيث لا توفر التشريعات الوطنية الحماية لفئة بعينها، فالحماية التي يفرضها الدستور والقانون لضمان حرية الرأي والتعبير بما في ذلك الدفاع عن حقوق الإنسان، تتسع لتكفل هذا الحق للكافة دون تمييز لفئة بعينها.</w:t>
      </w:r>
    </w:p>
    <w:p w14:paraId="77B26E0B"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وفيما يتعلق بالمجتمع المدني؛</w:t>
      </w:r>
      <w:r w:rsidRPr="00016B7B">
        <w:rPr>
          <w:rFonts w:ascii="Traditional Arabic" w:eastAsia="Calibri" w:hAnsi="Traditional Arabic" w:cs="Traditional Arabic"/>
          <w:sz w:val="28"/>
          <w:szCs w:val="28"/>
          <w:rtl/>
          <w:lang w:val="en-US"/>
        </w:rPr>
        <w:t xml:space="preserve"> وحرصا من الدولة على خلق مناخ جديد من الثقة بين الدولة والمجتمع المدني، فتم الإعلان عن تخصيص عام 2022 عاماً للمجتمع المدني في مصر، فضلاً عن طي صفحة الماضي مع منظمات المجتمع المدني التي سبق مخالفتها للقانون، حيث تم تسوية القضايا العالقة وأبرزها القضية رقم 173 المشهورة إعلامياً بقضية "التمويل الأجنبي" والتي تم حفظ التحقيقات فيها وغلقها بشكل كامل في مارس 2024. كما جاءت الاستجابة السريعة من قبل القيادة السياسية للعديد من مطالب الحوار الوطني المتعلقة بالإفراج عن أعداد من المحكوم عليهم ممن تنطبق عليهم شروط العفو الرئاسي</w:t>
      </w:r>
      <w:r w:rsidRPr="00016B7B">
        <w:rPr>
          <w:rFonts w:ascii="Traditional Arabic" w:eastAsia="Calibri" w:hAnsi="Traditional Arabic" w:cs="Traditional Arabic"/>
          <w:sz w:val="28"/>
          <w:szCs w:val="28"/>
          <w:lang w:val="en-US"/>
        </w:rPr>
        <w:t>.</w:t>
      </w:r>
    </w:p>
    <w:p w14:paraId="1334954F"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تم إطلاق المنظومة الإلكترونية المتكاملة لتنظيم ممارسة العمل الأهلي والتي توفر (36) خدمة لمؤسسات العمل الأهلي في مصر، بالإضافة إلى خدمات السجلات والمستندات وإدارة الحالات والشكاوى وإدارة المستفيدين، والمحتوى المعلوماتي الإخباري وغيرها. وقد بلغ عدد المؤسسات الوطنية والأجنبية غير الحكومية التي تقدمت بطلبات لتوفيق أوضاعها أكثر من (35,770) منظمة، وتم استيفاء كافة مستندات توفيق الأوضاع ورقيا وإلكترونيا لإجمالي (33000) منهم والباقي تحت الدراسة. كما تم توفيق أوضاع (55) منظمة أجنبية غير </w:t>
      </w:r>
      <w:r w:rsidRPr="00016B7B">
        <w:rPr>
          <w:rFonts w:ascii="Traditional Arabic" w:eastAsia="Calibri" w:hAnsi="Traditional Arabic" w:cs="Traditional Arabic"/>
          <w:sz w:val="28"/>
          <w:szCs w:val="28"/>
          <w:rtl/>
          <w:lang w:val="en-US"/>
        </w:rPr>
        <w:lastRenderedPageBreak/>
        <w:t>حكومية. بلغ حجم التمويل الوارد لمؤسسات العمل الأهلي في 2023، 13.305 مليار جنيه، 66% منها تمويل محلي، و34% تمويل دولي، وقدم صندوق دعم مشروعات الجمعيات والمؤسسات الأهلية 383 مليون جنيه تقريبًا خلال 2023، كمنح لمؤسسات المجتمع الأهلي.</w:t>
      </w:r>
    </w:p>
    <w:p w14:paraId="6350AE2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2936A9D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 xml:space="preserve">الملاحظة رقم 32 </w:t>
      </w:r>
    </w:p>
    <w:p w14:paraId="311EB7D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t>وبشأن الجنسية؛</w:t>
      </w:r>
    </w:p>
    <w:p w14:paraId="027F439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 xml:space="preserve"> </w:t>
      </w:r>
      <w:r w:rsidRPr="00016B7B">
        <w:rPr>
          <w:rFonts w:ascii="Traditional Arabic" w:eastAsia="Calibri" w:hAnsi="Traditional Arabic" w:cs="Traditional Arabic"/>
          <w:sz w:val="28"/>
          <w:szCs w:val="28"/>
          <w:rtl/>
          <w:lang w:val="en-US"/>
        </w:rPr>
        <w:t xml:space="preserve">نحيل إلى الفقرات (50- 51) من التعليق على المادة 9 من التقرير. </w:t>
      </w:r>
    </w:p>
    <w:p w14:paraId="6750D03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 xml:space="preserve">الملاحظة رقم 34 </w:t>
      </w:r>
    </w:p>
    <w:p w14:paraId="224FEDED"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وفيما يتعلق بالتعليم؛</w:t>
      </w:r>
      <w:r w:rsidRPr="00016B7B">
        <w:rPr>
          <w:rFonts w:ascii="Traditional Arabic" w:eastAsia="Calibri" w:hAnsi="Traditional Arabic" w:cs="Traditional Arabic"/>
          <w:sz w:val="28"/>
          <w:szCs w:val="28"/>
          <w:rtl/>
          <w:lang w:val="en-US"/>
        </w:rPr>
        <w:t xml:space="preserve"> </w:t>
      </w:r>
    </w:p>
    <w:p w14:paraId="6F676CD2"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نحيل إلى الفقرات (52- 59) من التعليق على المادة 10 من التقرير. </w:t>
      </w:r>
    </w:p>
    <w:p w14:paraId="6DC6985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76CE482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t>وفيما يتعلق بالقوالب النمطية بالمجالات الدراسية والوظيفية التي يهيمن عليها الذكور؛</w:t>
      </w:r>
    </w:p>
    <w:p w14:paraId="62B2A2D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لم يقتصر جهود الدولة لتمكين المرأة على المشاركة في المجالات السياسية والاجتماعية، بل امتد ليشمل تعزيز دورها القيادي في القطاعات الهندسية والتكنولوجية، وفي تنفيذ المشروعات القومية الكبرى. وفي هذا الإطار، تولت سيدة تعمل مهندسة قيادة مشروع بناء أضخم سفينة حربية يتم إنتاجها محلياً داخل ترسانة الإسكندرية التابعة لجهاز الصناعات والخدمات البحرية بالقوات المسلحة منذ فبراير 2022، وهي خريجة كلية الهندسة – قسم بناء السفن – وتعمل بالترسانة البحرية منذ تسعة عشر عاماً. كما تم تعيين عدد من المهندسات والخبراء من النساء في مواقع قيادية بمشروعات قومية كبرى، منها مشروعات حفر الأنفاق، ومحطات الطاقة النووية والكهربائية، ومشروعات إنتاج الطاقة المتجددة، ومراكز البيانات، ومجالات الذكاء الاصطناعي، بما يعكس التزام الدولة الراسخ بتحقيق المساواة وتكافؤ الفرص وتمكين المرأة في مختلف القطاعات الإنتاجية والتنموية.</w:t>
      </w:r>
    </w:p>
    <w:p w14:paraId="7A1EAFA7"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تم إجراء مسح المرأة في مجالات العلوم والتكنولوجيا والهندسة والرياضيات (</w:t>
      </w:r>
      <w:r w:rsidRPr="00016B7B">
        <w:rPr>
          <w:rFonts w:ascii="Traditional Arabic" w:eastAsia="Calibri" w:hAnsi="Traditional Arabic" w:cs="Traditional Arabic"/>
          <w:sz w:val="28"/>
          <w:szCs w:val="28"/>
          <w:lang w:val="en-US"/>
        </w:rPr>
        <w:t>STEM</w:t>
      </w:r>
      <w:r w:rsidRPr="00016B7B">
        <w:rPr>
          <w:rFonts w:ascii="Traditional Arabic" w:eastAsia="Calibri" w:hAnsi="Traditional Arabic" w:cs="Traditional Arabic"/>
          <w:sz w:val="28"/>
          <w:szCs w:val="28"/>
          <w:rtl/>
          <w:lang w:val="en-US"/>
        </w:rPr>
        <w:t xml:space="preserve">) شملت العينة المستهدفة 411 باحثة موزعة على 30 في المراكز البحثية والجامعات في مجالات العلوم، التكنولوجيا، الهندسة، والرياضيات، وأظهر المسح أن نسبة المرأة في العلوم الطبيعية 30% والعلوم الهندسية 27% والعلوم الطبية 27%، والعلوم الزراعة 16% </w:t>
      </w:r>
      <w:r w:rsidRPr="00016B7B">
        <w:rPr>
          <w:rFonts w:ascii="Traditional Arabic" w:eastAsia="Calibri" w:hAnsi="Traditional Arabic" w:cs="Traditional Arabic"/>
          <w:sz w:val="28"/>
          <w:szCs w:val="28"/>
          <w:rtl/>
          <w:lang w:val="en-US" w:bidi="ar-EG"/>
        </w:rPr>
        <w:t>وبلغت نسبة النساء 40% من الباحثات اللائي شاركن في البحث.</w:t>
      </w:r>
    </w:p>
    <w:p w14:paraId="0645A2CA"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p>
    <w:p w14:paraId="3882E27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t>وبشأن تدابير منع العنف الجنسي والتحرش في المدارس والجامعات؛</w:t>
      </w:r>
    </w:p>
    <w:p w14:paraId="1035F8B2"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فنحيل لما ورد بالفقرات (128- 130) من التقرير.</w:t>
      </w:r>
    </w:p>
    <w:p w14:paraId="019290D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6ECC641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 xml:space="preserve">الملاحظة رقم 36 الإحالة </w:t>
      </w:r>
    </w:p>
    <w:p w14:paraId="3227F51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 xml:space="preserve">بشأن حظر التمييز في الأجور، وتعزيز وصول النساء إلى سوق العمل؛ </w:t>
      </w:r>
    </w:p>
    <w:p w14:paraId="41F122D5"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نحيل إلى الفقرات (60- 72) من التعليق على المادة 11 من التقرير. </w:t>
      </w:r>
    </w:p>
    <w:p w14:paraId="5AD20BC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471BFA8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وبشأن زيادة عدد مرافق رعاية الأطفال الميسورة التكلفة والميسرة في جميع أنحاء الدولة؛</w:t>
      </w:r>
    </w:p>
    <w:p w14:paraId="1766462A"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lastRenderedPageBreak/>
        <w:t>وسعيًا من الدولة لتمكين المرأة ورعاية الطفولة المبكرة تحت سن أربع سنوات تم إطلاق البرنامج القومي لتنمية الطفولة المبكرة، وفي هذا السياق تم ومنح تراخيص لإجمالي 48.225 حضانة، ويبلغ عدد الأطفال الملتحقين بدور الحضانات يبلغ نحو 1.7 مليون طفل بنسبة تغطية قدرها 17.3 % وإجمالي العاملين بالدور 254.322 عاملًا وعاملة، حيث يبلغ عدد الأطفال في مصر من عمر صفر إلى أربع سنوات نحو 10.2 مليون طفل، وبلغت نسبة الإشغال في الحضانات القائمة 61%، أما عدد الفصول 133.375 فصلا، وعدد العاملين والعاملات في القطاع بلغ 254.322، وتصل نسبة الأطفال الملحقين بالحضانات في الفئة العمرية " 2-4"  إلى 31%</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وتصدر إقليم الدلتا النتائج بنسبة 42% (20,079 حضانة)، يليه إقليم الصعيد بنسبة 30% (14.362 حضانة)، ثم إقليم القاهرة الكبرى بنسبة 23% (11.246حضانة)، وإقليم القناة 3% (1.621حضانة)، وإقليم الحدود 2% فقط (917حضانة)، وقد شكلت الحكومة مجموعة عمل وزارية لوضع حزمة من الإجراءات التصحيحية والتوسعية لزيادة عدد الحضانات وخدماتها، والانتهاء من مسودة اللائحة المنظمة لدور الحضانة، في انتظار اعتماد الكود النهائي من اللجنة المختصة.</w:t>
      </w:r>
    </w:p>
    <w:p w14:paraId="499E732D"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5EB56ED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t>وبشأن التصديق على اتفاقية منظمة العمل الدولية المتعلقة بالعنف والتحرش؛</w:t>
      </w:r>
    </w:p>
    <w:p w14:paraId="716A4B1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sz w:val="28"/>
          <w:szCs w:val="28"/>
          <w:rtl/>
          <w:lang w:val="en-US"/>
        </w:rPr>
        <w:t>تُجري مصر بشكل دوري مراجعة لمواقفها التعاهدية في ضوء الأولويات الوطنية، وتعيد النظر في موقفها من الصكوك الدولية التي لم تنضم إليها أو النصوص التي تحفظت عليها في ضوء أحكام الدستور، وبما يضمن تحقيق الاتساق والتناغم بين التزاماتها الدولية.</w:t>
      </w:r>
    </w:p>
    <w:p w14:paraId="15CF2CB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47F3121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 xml:space="preserve">الملاحظة رقم 38 </w:t>
      </w:r>
    </w:p>
    <w:p w14:paraId="5308E8B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وبشأن العاملات المنزليات</w:t>
      </w:r>
      <w:r w:rsidRPr="00016B7B">
        <w:rPr>
          <w:rFonts w:eastAsia="Calibri"/>
          <w:b/>
          <w:bCs/>
          <w:sz w:val="28"/>
          <w:szCs w:val="28"/>
          <w:rtl/>
          <w:lang w:val="en-US"/>
        </w:rPr>
        <w:t>‬</w:t>
      </w:r>
      <w:r w:rsidRPr="00016B7B">
        <w:rPr>
          <w:rFonts w:ascii="Traditional Arabic" w:eastAsia="Calibri" w:hAnsi="Traditional Arabic" w:cs="Traditional Arabic"/>
          <w:b/>
          <w:bCs/>
          <w:sz w:val="28"/>
          <w:szCs w:val="28"/>
          <w:rtl/>
          <w:lang w:val="en-US"/>
        </w:rPr>
        <w:t>؛</w:t>
      </w:r>
    </w:p>
    <w:p w14:paraId="17D5C7A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 يتم إعداد مشروع قانون للعمالة المنزلية، ويهدف إلى تقديم الحماية والرعاية لهذه الفئة، وتقنين أوضاعها، ودمجها في سوق العمل الرسمي، وتدريبها وتأهيلها، ومنحها شهادات مزاولة مهنة، والتعامل القانوني مع شركات الاستخدام، وأصحاب الأعمال، بعقود عمل رسمية، وتراخيص قانونية. ويتضمن أحكاماً تنظم تدريبهم وتحديد أوقات العمل وإجازاتهم وأجورهم والتأمين عليهم وآليات التفتيش على المنازل وكيفية تلقي شكاواهم، وغيرها من أحكام تراعي مصالحهم وخصوصية هذا النوع من علاقات العمل.</w:t>
      </w:r>
    </w:p>
    <w:p w14:paraId="7F59D49E"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343EA80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 xml:space="preserve">الملاحظة رقم 40 </w:t>
      </w:r>
    </w:p>
    <w:p w14:paraId="62C0433E"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وفيما يتعلق زيادة الميزانية المخصصة للرعاية الصحية والتعجيل بتنفيذ قانون نظام التأمين الصحي الشامل</w:t>
      </w:r>
      <w:r w:rsidRPr="00016B7B">
        <w:rPr>
          <w:rFonts w:ascii="Traditional Arabic" w:eastAsia="Calibri" w:hAnsi="Traditional Arabic" w:cs="Traditional Arabic"/>
          <w:sz w:val="28"/>
          <w:szCs w:val="28"/>
          <w:rtl/>
          <w:lang w:val="en-US"/>
        </w:rPr>
        <w:t>؛</w:t>
      </w:r>
    </w:p>
    <w:p w14:paraId="04E09EA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 تم زيادة مخصصات الإنفاق العام على الصحة لتبلغ (496) مليارات جنيه في العام المالي 2024/2025 بزيادة قدرها (465) مليار جنيه، مقارنة بموازنة العام المالي 2013/2014.</w:t>
      </w:r>
    </w:p>
    <w:p w14:paraId="3833538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خطت البلاد خطوة كبيرة بإصدار قانون نظام التأمين الصحي الشامل (القانون رقم 2 لسنة 2018) والذي يغطى بشكل إلزامي جميع المواطنين المقيمين داخل البلاد، ويمكن مده اختياريا للمواطنين المقيمين خارج البلاد، ويلزم القانون الدولة بتقديم خدمات (الصحة العامة، والخدمات الوقائية، والخدمات الإسعافية، وتنظيم الأسرة، والخدمات الصحية لتغطية الكوراث بكافة أنواعها والأوبئة بالمجان، واصابات العمل)، ويطبق القانون بشكل تدريجي على المحافظات لضمان الاستدامة المالية ومراعاة التوازن الإكتواري. يلزم القانون الدولة برفع كفاءة المنشآت الصحية التابعة لها تدريجيا قبل البدء في تطبيق النظام، وتقوم فلسفة نظام التأمين الصحي الشامل الجديد على أساس الزامي وتكافلي اجتماعي تتحمل بمقتضاه الدولة أعباء غير القادرين. ويقوم النظام على أساس فصل التمويل عن تقديم الخدمة، حيث تتولى الهيئة العامة للتأمين الصحي الشامل إدارة وتمويل النظام، بينما تتولى هيئة الرعاية الصحية تقديم خدمات الرعاية الصحية والعلاجية داخل وخارج المستشفيات.</w:t>
      </w:r>
    </w:p>
    <w:p w14:paraId="2418E466"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lastRenderedPageBreak/>
        <w:t>تعمل الحكومة على الوصول لنسبة تغطية بمظلة التأمين الصحى بنسبة 100% بحلول عام 2030، ويستهدف برنامج عمل الحكومة الحالى الوصول لنسبة تغطية 85% من السكان في عام 2026/2027، وتشهد المرحلة الانتقالية من التأمين الصحى القديم إلى التأمين الصحى الشامل زيادة في نسبة التغطية بلغت 35% لتضم فئات الفلاحين وعمال الزراعة والعمالة غير المنتظمة، وغيرها من الفئات الأول بالرعاية، فى ظل زياد سنوبة في الموازنة تبلغ 20%، وويتضمن تشغيل المرحلة الثانية من التأمين الصحى الشامل تغطية خمس محافظات جديدة تستهدف 12.8 مليون مواطن.</w:t>
      </w:r>
    </w:p>
    <w:p w14:paraId="69FEDBEB"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أطلقت الدولة مبادرة رئاسية لصحة المرأة والتي حققت نتائج استباقية في الكشف المبكر عن سرطان الثدي حيث تجاوز عدد الزيارات الدورية للكشف المبكر 50 مليون زيارة، وقدمت خدمات لأكثر من 30 مليون سيدة، مع تشخيص أكثر من 30 ألف حالة، وتقليل نسبة الحالات المتأخرة من 70 إلى 30%، وتقليص فترة التشخيص، ووضعت وزارة الصحة والسكان خطة شاملة لخفض الولادات القيصرية إلى أدنى مستوى وتعزيز الولادة الطبيعية الآمنة، وكانت الحكومة المصرية قد أجرت مسح شمل 53 ألف سيدة والذي أظهر أن معدل الولادات القيصرية بلغت 88 %. كما أظهر المسح أيضا مباعدة الحمل (3-5 سنوات) بنسبة 82%، وانخفاض الحمل غير المرغوب من 20% إلى 7.5%، وارتفاع استخدام الوسائل طويلة المدى إلى أكثر من 60%، واعتمدت وزارة الصحة إرشادات الولادة الآمنة وتجهيز غرف طبيعية في كل مستشفياتها، مع إلزام المستشفيات بتقارير دورية عن معدلات الولادات القيصرية وأسبابها.</w:t>
      </w:r>
    </w:p>
    <w:p w14:paraId="7147AF6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p>
    <w:p w14:paraId="66218F0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وبشأن اعتماد تدابير لمكافحة التمييز والعنف والوصم ضد النساء المصابات بفيروس نقص المناعة البشرية/الإيدز والنساء اللائي يتعاطين المخدرات؛</w:t>
      </w:r>
    </w:p>
    <w:p w14:paraId="30792D27"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 xml:space="preserve"> </w:t>
      </w:r>
      <w:r w:rsidRPr="00016B7B">
        <w:rPr>
          <w:rFonts w:ascii="Traditional Arabic" w:eastAsia="Calibri" w:hAnsi="Traditional Arabic" w:cs="Traditional Arabic"/>
          <w:sz w:val="28"/>
          <w:szCs w:val="28"/>
          <w:rtl/>
          <w:lang w:val="en-US"/>
        </w:rPr>
        <w:t>في نوفمبر ٢٠٢٤ وقعت مصر والصندوق العالمي لمكافحة الإيدز والسل والملاريا اتفاقاً إطارياً يهدف إلى تعزيز نظم الصحة العامة في مصر. يركز الاتفاق على الاستجابة الوطنية لمكافحة فيروس نقص المناعة البشرية والسل، وكذلك التخفيف من تأثير جائحة كوفيد-19 على البنية التحتية الصحية، مما يؤكد التزام مصر ببناء نظام صحي قوي قادر على دعم الفئات الأكثر ضعفاً، من خلال تقديم خدمات الوقاية والتشخيص المنقذة للحياة، التزاما بدعم مصر للفئات الضعيفة في مواجهة فيروس نقص المناعة البشرية ، وقدم البرنامج الوطني لمكافحة الإيدز والسل، أكثر من 18,600 شخص عبر توفير مجموعات الوقاية من فيروس نقص المناعة البشرية، بالإضافة إلى تقديم العلاج لما يقرب من 1,000 شخص، بمن فيهم المهاجرون</w:t>
      </w:r>
      <w:r w:rsidRPr="00016B7B">
        <w:rPr>
          <w:rFonts w:ascii="Traditional Arabic" w:eastAsia="Calibri" w:hAnsi="Traditional Arabic" w:cs="Traditional Arabic"/>
          <w:sz w:val="28"/>
          <w:szCs w:val="28"/>
          <w:lang w:val="en-US"/>
        </w:rPr>
        <w:t>.</w:t>
      </w:r>
    </w:p>
    <w:p w14:paraId="33C605B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وفي ديسمبر 2024 تم تحديث الاستراتيجية الوطنية لمكافحة فيروس نقص المناعة البشري المكتسب (الإيدز)، والتي ستغطي الفترة من عام 2024 حتى 2030، وتشمل محاور العمل تشمل أيضًا محور القواعد والدلائل الإرشادية، حيث يتم وضع قواعد في التشخيص والعلاج من خلال اللجان العلمية المختصة، وإتاحة 100% من أدوية فيروس نقص المناعة البشري لعلاج المصابين على نفقة الدولة، من خلال 27 مركزًا بجميع المحافظات.، وتشمل محاور تحديث الاستراتيجية الوطنية لمكافحة فيروس نقص المناعة البشري المكتسب (الإيدز) الوصول لمفهوم «ثلاثة أصفار» صفر إصابات جديدة، وصفر وفيات مرتبطة بالإيدز، وصفر تمييز، موضحة أن الأصفار الثلاثة تأتي كمبادئ توجيهية، وتلهم العمل عبر مجالات الوقاية والعلاج وحقوق الإنسان</w:t>
      </w:r>
      <w:r w:rsidRPr="00016B7B">
        <w:rPr>
          <w:rFonts w:ascii="Traditional Arabic" w:eastAsia="Calibri" w:hAnsi="Traditional Arabic" w:cs="Traditional Arabic"/>
          <w:sz w:val="28"/>
          <w:szCs w:val="28"/>
          <w:lang w:val="en-US"/>
        </w:rPr>
        <w:t>.</w:t>
      </w:r>
    </w:p>
    <w:p w14:paraId="4ED5069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ويشمل تحديث الاستراتيجية 4 محاور رئيسية وهي: تحقيق أقصى قدر من الإنصاف والمساواة في الوصول إلى خدمات فيروس نقص المناعة البشرية، وكسر الحواجز لتحقيق نتائج فيروس نقص المناعة البشرية، وتوفير الموارد الكاملة للاستجابات الفعالة لفيروس نقص المناعة البشرية، واستدامتها ودمجها في نظم الصحة والحماية الاجتماعية والأوضاع الإنسانية والاستجابات للأوبئة، وتحديث البيانات لتوجيه التدخلات المركزة.</w:t>
      </w:r>
    </w:p>
    <w:p w14:paraId="5D6A4D3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p>
    <w:p w14:paraId="5220C43E"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 </w:t>
      </w:r>
      <w:r w:rsidRPr="00016B7B">
        <w:rPr>
          <w:rFonts w:ascii="Traditional Arabic" w:eastAsia="Calibri" w:hAnsi="Traditional Arabic" w:cs="Traditional Arabic"/>
          <w:b/>
          <w:bCs/>
          <w:sz w:val="28"/>
          <w:szCs w:val="28"/>
          <w:rtl/>
          <w:lang w:val="en-US"/>
        </w:rPr>
        <w:t>وأما فيما يتعلق بمكافحة المخدرات وخدمات الرعاية الصحية النفسية الميسَّرة؛</w:t>
      </w:r>
      <w:r w:rsidRPr="00016B7B">
        <w:rPr>
          <w:rFonts w:ascii="Traditional Arabic" w:eastAsia="Calibri" w:hAnsi="Traditional Arabic" w:cs="Traditional Arabic"/>
          <w:sz w:val="28"/>
          <w:szCs w:val="28"/>
          <w:rtl/>
          <w:lang w:val="en-US"/>
        </w:rPr>
        <w:t xml:space="preserve"> تم إطلاق الاستراتيجية الوطنية لمكافحة الإدمان (2024–2028) بالتعاون مع الوزارات والجهات المعنية وبالتنسيق مع مكتب الأمم المتحدة المعنى بالمخدرات والجريمة، وتعمل محاور عمل </w:t>
      </w:r>
      <w:r w:rsidRPr="00016B7B">
        <w:rPr>
          <w:rFonts w:ascii="Traditional Arabic" w:eastAsia="Calibri" w:hAnsi="Traditional Arabic" w:cs="Traditional Arabic"/>
          <w:sz w:val="28"/>
          <w:szCs w:val="28"/>
          <w:rtl/>
          <w:lang w:val="en-US"/>
        </w:rPr>
        <w:lastRenderedPageBreak/>
        <w:t>الاستراتيجية على مكافحة المخدرات والحد من مخاطر التعاطي والإدمان، وتنفيذ برامج موجهة للأسرة "الوقاية والاكتشاف المبكر" مع التركيز على المناطق الأكثر عرضة لمشكلة المخدرات وتوفير كافة الخدمات العلاجية للمرضى مجانا وفى سرية تامة وفقا للمعايير الدولية.</w:t>
      </w:r>
    </w:p>
    <w:p w14:paraId="4E155E22"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تم اعتماد العديد من الإجراءات والتدابير لمكافحة وصم وتعاطي المخدرات، مع إيلاء اهتمام خاص لضمان توفير الخدمات الصحية الملائمة لجميع الفئات بما في ذلك النساء، وذلك عن طريق صندوق مكافحة وعلاج الإدمان والتعاطي التابع لوزارة التضامن الاجتماعى حيث يعمل على تطوير وتنفيذ السياسات العامة والنوعية فى مجال مكافحة وعلاج الإدمان، والتوعية بخطورة الإدمان، تم إطلاق حملات توعية ومبادرات فى عدة محافظات مثل: حملة "توعية الجمهور العام بخطورة الإدمان" وحملة " تصحيح المعتقدات الخاطئة المترتبة على تعاطى المخدرات" ويقوم الصندوق بتنظيم حملات توعوية في المدارس (تستهدف أكثر من 10 آلاف مدرسة سنوياً)، الجامعات، المناطق المطورة، وأماكن التجمعات العامة ،و يتم إنتاج حملات إعلامية مبتكرة مثل "لو هتفضل تبرر " وفعاليات ميدانية مثل "قوافل السعادة</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كما يتم التعاون مع وزارة الأوقاف لتوحيد خطبة الجمعة حول أضرار المخدرات</w:t>
      </w:r>
      <w:r w:rsidRPr="00016B7B">
        <w:rPr>
          <w:rFonts w:ascii="Traditional Arabic" w:eastAsia="Calibri" w:hAnsi="Traditional Arabic" w:cs="Traditional Arabic"/>
          <w:sz w:val="28"/>
          <w:szCs w:val="28"/>
          <w:lang w:val="en-US"/>
        </w:rPr>
        <w:t>.</w:t>
      </w:r>
    </w:p>
    <w:p w14:paraId="24C90F8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ويقدم الصندوق قروضاً للمتعافين بقيمة تقارب 6 مليون جنيه بالتعاون مع بنك ناصر الاجتماعي، في إطار مبادرة "بداية جديدة</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وتعد مبادرة "بأيدينا" تجربة رائدة عالمياً، حيث يتم تدريب المتعافين على حرفة النجارة لتأثيث المراكز العلاجية الجديدة بأيديهم ،ويتم تنظيم أنشطة رياضية وترفيهية وحرفية لرفع الوصمة عن المتعافين وإعادة دمجهم في المجتمع، تطبيق برنامج "مودة" لمواجهة التداعيات الاجتماعية على أسر المتعافين ،كما يدعم الصندوق البحث العلمي من خلال جائزة سنوية للباحثين الشباب، وإنتاج تقارير علمية متخصصة لتحليل المشهد الإعلامي والدرامي، والاستفادة من نتائج الأبحاث في تطوير السياسات الوطنية</w:t>
      </w:r>
      <w:r w:rsidRPr="00016B7B">
        <w:rPr>
          <w:rFonts w:ascii="Traditional Arabic" w:eastAsia="Calibri" w:hAnsi="Traditional Arabic" w:cs="Traditional Arabic"/>
          <w:sz w:val="28"/>
          <w:szCs w:val="28"/>
          <w:lang w:val="en-US"/>
        </w:rPr>
        <w:t>.</w:t>
      </w:r>
    </w:p>
    <w:p w14:paraId="5064707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تم إطلاق المنصة الوطنية الإلكترونية لخدمات الصحة النفسية وعلاج الإدمان بالمجان في مارس 2022 بهدف توفير خدمات مجانية للصحة النفسية وعلاج الإدمان لجميع الفئات العمرية من المصريين وغير المصريين المقيمين على أرض مصر، وستساهم المنصة في الحصول على الاستشارات والدعم النفسي بجودة عالية وبخصوصية وسرية تامة، والتغلب على الوصم المتعلق بالاضطرابات النفسية في المجتمع، وتصحيح المفاهيم المغلوطة وتقديم معلومات صحيحة للجميع</w:t>
      </w:r>
      <w:r w:rsidRPr="00016B7B">
        <w:rPr>
          <w:rFonts w:ascii="Traditional Arabic" w:eastAsia="Calibri" w:hAnsi="Traditional Arabic" w:cs="Traditional Arabic"/>
          <w:sz w:val="28"/>
          <w:szCs w:val="28"/>
          <w:lang w:val="en-US"/>
        </w:rPr>
        <w:t xml:space="preserve"> .</w:t>
      </w:r>
      <w:r w:rsidRPr="00016B7B">
        <w:rPr>
          <w:rFonts w:ascii="Traditional Arabic" w:eastAsia="Calibri" w:hAnsi="Traditional Arabic" w:cs="Traditional Arabic"/>
          <w:sz w:val="28"/>
          <w:szCs w:val="28"/>
          <w:rtl/>
          <w:lang w:val="en-US"/>
        </w:rPr>
        <w:t>كما تم إنشاء أول مرصد إعلامي متخصص لمتابعة الدراما المصرية التي تتناول قضية التدخين وتعاطي المخدرات وإبرام أول مدونة أخلاقية لصانعي الدراما. وإدماج مكون وقائي فى 5 مناهج تعليمية في مرحلة التعليم قبل الجامعي، كما تم تطبيق برامج المهارات الحياتية للوقاية من الإدمان في 25 ألف مدرسة و1400 مركز شباب و310 معسكر شباب.</w:t>
      </w:r>
    </w:p>
    <w:p w14:paraId="383BBD0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قيام وزارة التضامن الاجتماعي بالتوسع في إنشاء مراكز علاج الإدمان، فزادت من 12 مركز فى 2014 إلى 30 مركز فى 2022، وتم إنشاء 6 أقسام مستقلة لتقديم خدمات العلاج للإناث، وإنشاء 3 أقسام منفصلة للمراهقين وفقًا لبرنامج علاج متخصص، وإنشاء 4 أقسام لعلاج المرضى الذين يعانون من التشخيص المزدوج. تنفيذ وزارة التضامن الاجتماعى لبرامج الوقاية من المخدرات في 17 ألف مدرسة و1000 مركز شباب و14 جامعة حكومية، وتنفيذ 270 معسكر شبابي، بالإضافة إلى التوسع في روابط المتطوعين الشباب لتضم 30 ألف شاب متطوع بمجال الوقاية من المخدرات، وإنشاء بيوت للتطوع في 4 جامعات</w:t>
      </w:r>
      <w:r w:rsidRPr="00016B7B">
        <w:rPr>
          <w:rFonts w:ascii="Traditional Arabic" w:eastAsia="Calibri" w:hAnsi="Traditional Arabic" w:cs="Traditional Arabic"/>
          <w:sz w:val="28"/>
          <w:szCs w:val="28"/>
          <w:lang w:val="en-US"/>
        </w:rPr>
        <w:t>.</w:t>
      </w:r>
    </w:p>
    <w:p w14:paraId="66CFA50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46FB2EE6"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وبشأن إباحة الإجهاض؛</w:t>
      </w:r>
      <w:r w:rsidRPr="00016B7B">
        <w:rPr>
          <w:rFonts w:ascii="Traditional Arabic" w:eastAsia="Calibri" w:hAnsi="Traditional Arabic" w:cs="Traditional Arabic"/>
          <w:sz w:val="28"/>
          <w:szCs w:val="28"/>
          <w:rtl/>
          <w:lang w:val="en-US"/>
        </w:rPr>
        <w:t xml:space="preserve"> يبيح قانون العقوبات الإجهاض في الحالات الصحية شديدة الخطورة والتي من شأنها تعريض حياة الأم والجنين للخطر حفاظًا على حق الجنين في الحياة وإعمالا للمبادئ الدستورية التي تعمل على صيانة حرمة الجسد والتزام الدولة برعاية الأم الحامل ولكن يمكن إجراء الإجهاض لإنقاذ حياة المرأة الحامل على أساس الضرورة أو بغرض منع خطر على حياة الأم أو صحتها أو إذا كانت حامل للجنين به تشوهات خلقية. ويتم تدريب الأطباء على التعامل مع ضحايا العنف ضد المرأة.</w:t>
      </w:r>
    </w:p>
    <w:p w14:paraId="2D43053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كما قامت وزارة الصحة بإدراك قاعدة بضرورة اتخاذ إجراءات وقائية ضد الحمل في حالات الاغتصاب المبلغ عنها حيث يتم إعطاء المغتصبة العقار الخاص بذلك وأيضا كما ذكرت من قبل أن هذا العقار متواجد في وحدات المرأة الآمنة في المستشفيات الجامعية التابعة للمجلس القومي للمرأة وبالمتابعة مع سي أن في أيضا تقدم وزارة الصحة خدمات آمنة وفعالة وبتكلفة مناسبة للسيدات في سن الإنجاب من 15 إلى 49 عاما، ويتم تقديم وسائل منع الحمل والمشورة الخاصة بها بالمجان و وتقديم علاج حالات الأمراض المنقولة جنسيا وعلاج </w:t>
      </w:r>
      <w:r w:rsidRPr="00016B7B">
        <w:rPr>
          <w:rFonts w:ascii="Traditional Arabic" w:eastAsia="Calibri" w:hAnsi="Traditional Arabic" w:cs="Traditional Arabic"/>
          <w:sz w:val="28"/>
          <w:szCs w:val="28"/>
          <w:rtl/>
          <w:lang w:val="en-US"/>
        </w:rPr>
        <w:lastRenderedPageBreak/>
        <w:t>المضاعفات الجانبية التي قد تنتج عن استخدام تلك الوسائل ورفع وعي المجتمع تجاه قضايا الصحة الإنجابية وتوفير مجموعة متنوعة من وسائل منع الحمل للسيدات بأسعار مدعومة للحد من الاحتياجات غير الملباة من خلال خدمات الصحة الإنجابية من قبل الدولة وبالمجان.</w:t>
      </w:r>
    </w:p>
    <w:p w14:paraId="7F2C231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5B4BED5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 xml:space="preserve">الملاحظة رقم 42 </w:t>
      </w:r>
    </w:p>
    <w:p w14:paraId="0ADD32B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وفيما يتعلق بتخصيص موارد كافية لضمان وصول المرأة في القطاعات غير الرسمية إلى برامج الضمان الاجتماعي؛</w:t>
      </w:r>
      <w:r w:rsidRPr="00016B7B">
        <w:rPr>
          <w:rFonts w:ascii="Traditional Arabic" w:eastAsia="Calibri" w:hAnsi="Traditional Arabic" w:cs="Traditional Arabic"/>
          <w:sz w:val="28"/>
          <w:szCs w:val="28"/>
          <w:rtl/>
          <w:lang w:val="en-US"/>
        </w:rPr>
        <w:t xml:space="preserve"> </w:t>
      </w:r>
    </w:p>
    <w:p w14:paraId="62EE957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أطلقت الدولة برنامج تكافل وكرامة للحماية الاجتماعية في عام 2015 ويُعد برنامج تكافل برنامج للتحويلات النقدية المشروطة، ويعمل على توفير دخل لمساندة الأسر الفقيرة التي لديها أطفال أقل من 18 عاما، ويُشترط للاستفادة من برنامج تكافل انتظام الأطفال في الدراسة واستخدام مرافق الرعاية الصحية، ويستهدف برنامج تكافل النساء والأسر الفقيرة. بينما يقدم برنامج كرامة تحويلات نقدية غير مشروطة للفقراء وكبار السن (65 عاما فأكثر) والأشخاص ذوي الإعاقات القاسية. وكان عدد المستفيدين منه ۲</w:t>
      </w:r>
      <w:r w:rsidRPr="00016B7B">
        <w:rPr>
          <w:rFonts w:eastAsia="Calibri"/>
          <w:sz w:val="28"/>
          <w:szCs w:val="28"/>
          <w:rtl/>
          <w:lang w:val="en-US"/>
        </w:rPr>
        <w:t>٫</w:t>
      </w:r>
      <w:r w:rsidRPr="00016B7B">
        <w:rPr>
          <w:rFonts w:ascii="Traditional Arabic" w:eastAsia="Calibri" w:hAnsi="Traditional Arabic" w:cs="Traditional Arabic"/>
          <w:sz w:val="28"/>
          <w:szCs w:val="28"/>
          <w:rtl/>
          <w:lang w:val="en-US"/>
        </w:rPr>
        <w:t>٥ مليون أسرة تضم 9.3 مليون فرد بقيمة ٦,٧ مليار جنيه عام (2014/2015) وارتفع عدد المستفيدين ليصل إلى 5.3 مليون أسرة بما يشمل 22 مليون فرد في عام 2024 بتكلفة 41 مليار جنيه، ما بين 60% مستفيدين من "تكافل" 40% مستفيدين من "كرامة"</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bidi="ar-EG"/>
        </w:rPr>
        <w:t xml:space="preserve"> </w:t>
      </w:r>
      <w:r w:rsidRPr="00016B7B">
        <w:rPr>
          <w:rFonts w:ascii="Traditional Arabic" w:eastAsia="Calibri" w:hAnsi="Traditional Arabic" w:cs="Traditional Arabic"/>
          <w:sz w:val="28"/>
          <w:szCs w:val="28"/>
          <w:rtl/>
          <w:lang w:val="en-US"/>
        </w:rPr>
        <w:t xml:space="preserve"> </w:t>
      </w:r>
    </w:p>
    <w:p w14:paraId="75E8653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وفي سياق متصل تم تطوير قاعدة بيانات عن الأسر الفقيرة في مصر تشمل (11,8) مليون أسرة تضم (42,5) مليون مواطن وتقديم مساعدات نقدية غير منتظمة لإجمالي 4,5 مليون أسرة مُضارة بظروف صعبة بمتوسط شهري 400 جنيه مصري (مضافا ً إليهم 500 ألف أسرة ممولة من منظمات التحالف الوطني للعمل الأهلي التنموي في العام المالي 2023/2024).</w:t>
      </w:r>
    </w:p>
    <w:p w14:paraId="6F800CA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وأتاحت الدولة كذلك برامج خاصة بضمان حقوق العاملين في القطاع غير الرسمي، حيث تم طرح شهادة "أمان" في عام 2018 والتي تستهدف بالأساس توفير حماية تأمينية للعمالة الموسمية والمؤقتة، والعمال الذين ليس لهم دخل ثابت والمرأة المعيلة، بما يضمن استقرار أسرهم في حالة الوفاة، وتم إنشاء صندوق لدعم العمالة غير المنتظمة ضد المخاطر المختلفة يهدف إلى صرف منحة لهم خلال فترة انقطاع الدخل "إعانة لتعويض الدخل" نتيجة لظروف اقتصادية طارئة أو أوبئة ومعالجة قصور عدم تغطية العمالة غير المنتظمة وصغار أصحاب الأعمال بتأمين البطالة. كما يستهدف الصندوق الذين لم ينطبق عليهم قواعد استحقاق برامج تكافل وكرامة وتتوافر لدى وزارة التضامن الاجتماعي بيانات تفصيلية عنهم. </w:t>
      </w:r>
    </w:p>
    <w:p w14:paraId="1E715CE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وتحرص الدولة على زيادة مخصصات الإنفاق العام على الحماية الاجتماعية حيث ارتفعت من 327.7 مليار جنيها في العام المالي 2019/2020 إلى 732.6 مليار جنيه في موازنة العام المالي 2025/2026 بمعدل زيادة 94%</w:t>
      </w:r>
      <w:r w:rsidRPr="00016B7B">
        <w:rPr>
          <w:rFonts w:ascii="Traditional Arabic" w:eastAsia="Calibri" w:hAnsi="Traditional Arabic" w:cs="Traditional Arabic"/>
          <w:sz w:val="28"/>
          <w:szCs w:val="28"/>
          <w:lang w:val="en-US"/>
        </w:rPr>
        <w:t>.</w:t>
      </w:r>
      <w:r w:rsidRPr="00016B7B">
        <w:rPr>
          <w:rFonts w:ascii="Traditional Arabic" w:eastAsia="Calibri" w:hAnsi="Traditional Arabic" w:cs="Traditional Arabic"/>
          <w:sz w:val="28"/>
          <w:szCs w:val="28"/>
          <w:rtl/>
          <w:lang w:val="en-US"/>
        </w:rPr>
        <w:t xml:space="preserve"> وتشمل برامج الحماية الاجتماعية دعم الغذاء، والتأمين الاجتماعي والصحي، والإسكان الاجتماعي، وبرامج التحويلات النقدية (تكافل وكرامة).</w:t>
      </w:r>
    </w:p>
    <w:p w14:paraId="7E069AE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وعن الحماية الاجتماعية تستفيد النساء من 89% من البرامج مع زيادة ميزانية برنامج تكافل وكرامة بنسبة 235% ومثلت النساء 65% من المستفيدين من برامج التدريب للعاملين بالجهات الحكومية.</w:t>
      </w:r>
    </w:p>
    <w:p w14:paraId="5E709F13"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21938720"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الملاحظة رقم 44</w:t>
      </w:r>
    </w:p>
    <w:p w14:paraId="33B3ADB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t>وفيما يتعلق بإنفاذ تطبيق القانون رقم 219 لسنة 2017 لضمان حماية حقوق المرأة الريفية في الميراث وملكية الأراضي؛</w:t>
      </w:r>
    </w:p>
    <w:p w14:paraId="0F1B3BB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 xml:space="preserve"> </w:t>
      </w:r>
      <w:r w:rsidRPr="00016B7B">
        <w:rPr>
          <w:rFonts w:ascii="Traditional Arabic" w:eastAsia="Calibri" w:hAnsi="Traditional Arabic" w:cs="Traditional Arabic"/>
          <w:sz w:val="28"/>
          <w:szCs w:val="28"/>
          <w:rtl/>
          <w:lang w:val="en-US"/>
        </w:rPr>
        <w:t>تعمل الدولة على التطبيق الفعّال لأحكام القانون رقم 219 لسنة 2017 الذي غلّظ العقوبات على جريمة حرمان المرأة من نصيبه الشرعي في الميراث، تم اتخاذ عدد من التدابير لضمان وصول المرأة الريفية إلى حقوقها، ومنها: استحداث آليات مبسطة لتلقي الشكاوى عبر وحدات مختصة داخل النيابات وأجهزة إنفاذ القانون، والتحقيق السريع مع الجناة ومقاضاتهم وإنزال العقوبة المناسبة بحقهم، مع توفير سبل الانتصاف للضحايا بما يشمل استرداد الحقوق العينية والمالية والتعويضات الملائمة. كما يتم تعزيز الوعي المجتمعي بخطورة حرمان المرأة من الميراث باعتباره انتهاكًا لحقوقها الدستورية والشرعية والقانونية.</w:t>
      </w:r>
    </w:p>
    <w:p w14:paraId="22CDA75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469A0E6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lastRenderedPageBreak/>
        <w:t>وبشأن اعتماد وتنفيذ تدابير قانونية وسياساتية لضمان إمكانية حصول المرأة الريفية بصورة فعلية على خدمات التعليم والرعاية الصحية والتوظيف والتمويل البالغ الصغر والائتمان البالغ الصغر بأسعار فائدة منخفضة؛</w:t>
      </w:r>
    </w:p>
    <w:p w14:paraId="1F282033"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فضلا عما ورد بالفقرات (91- 97) من التعليق على المادة 14 من التقرير؛ ساهم جهاز تنمية المشروعات المتوسطة والصغيرة ومتناهية الصغر في دعم وتمكين المرأة حيث قدم تمويل مقداره (18) مليار جنيه في 11 عام لتمويل المشروعات الصغيرة ومتناهية الصغر التي تقودها المرأة بجميع المحافظات، وساهمت تلك التمويلات في إتاحة 1.2 مليون فرصة عمل على الأقل. كما يعمل الصندوق على تمكين المرأة من الاستفادة من جميع الخدمات والمنتجات التمويلية وغير التمويلية التي يقدمها الجهاز.</w:t>
      </w:r>
    </w:p>
    <w:p w14:paraId="61680BA2"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bidi="ar-EG"/>
        </w:rPr>
        <w:t>ونتيجة الإجراءات المتخذة لتشجيع المرأة الريفية عل الاستفادة من الخدمات المصرفية زادت معدلات الشمول المالي للمرأة. حيث بلغ معدل نمو الشمولِ المالي للمرأة 252% وتتضمن</w:t>
      </w:r>
      <w:r w:rsidRPr="00016B7B">
        <w:rPr>
          <w:rFonts w:ascii="Traditional Arabic" w:eastAsia="Calibri" w:hAnsi="Traditional Arabic" w:cs="Traditional Arabic"/>
          <w:sz w:val="28"/>
          <w:szCs w:val="28"/>
          <w:rtl/>
          <w:lang w:val="en-US"/>
        </w:rPr>
        <w:t xml:space="preserve"> رؤية مصر المحدثة ٢٠٣٠ الاقتصاد الرعائي والذي يعد أحد أهم الممكنات للمرأة</w:t>
      </w:r>
      <w:r w:rsidRPr="00016B7B">
        <w:rPr>
          <w:rFonts w:ascii="Traditional Arabic" w:eastAsia="Calibri" w:hAnsi="Traditional Arabic" w:cs="Traditional Arabic"/>
          <w:sz w:val="28"/>
          <w:szCs w:val="28"/>
          <w:rtl/>
          <w:lang w:val="en-US" w:bidi="ar-EG"/>
        </w:rPr>
        <w:t xml:space="preserve">، </w:t>
      </w:r>
      <w:r w:rsidRPr="00016B7B">
        <w:rPr>
          <w:rFonts w:ascii="Traditional Arabic" w:eastAsia="Calibri" w:hAnsi="Traditional Arabic" w:cs="Traditional Arabic"/>
          <w:sz w:val="28"/>
          <w:szCs w:val="28"/>
          <w:rtl/>
          <w:lang w:val="en-US"/>
        </w:rPr>
        <w:t>وتم إطلاق أولِ علامةٍ تجاريةٍ جماعيةٍ للسيدات رائدات الأعمال "التلِّى شندويل" بمحافظةِ سوهاج.</w:t>
      </w:r>
    </w:p>
    <w:p w14:paraId="6F932E2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7C5E620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 xml:space="preserve">التوصية رقم 46 </w:t>
      </w:r>
    </w:p>
    <w:p w14:paraId="4BE2F0D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 xml:space="preserve">وبشأن ضمان حصول النساء والفتيات ذوات الإعاقة على خدمات التعليم، والتوظيف، والعدالة، والخدمات العامة، والرعاية الصحية الملائمة على نحو شامل للجميع؛ </w:t>
      </w:r>
    </w:p>
    <w:p w14:paraId="5C3D7923"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sz w:val="28"/>
          <w:szCs w:val="28"/>
          <w:rtl/>
          <w:lang w:val="en-US"/>
        </w:rPr>
        <w:t>اتخذت الحكومة إجراءات متنوعة لتمكين النساء ذوات الإعاقة في مجالات التعليم والعمل والمشاركة المجتمعية. فعلى الصعيد التعليمي تواصل وزارة التعليم تنفيذ خطة التعليم الدامج التي تتيح دمج الفتيات والفتيان ذوي الإعاقة في المدارس والجامعات مع توفير الترتيبات التيسيرية المعقولة مثل المناهج الميسرة وأدوات التكنولوجيا المساعدة. وتنفّذ الهيئة العامة لتعليم الكبار برامج محو أمية تستهدف النساء ذوات الإعاقة خاصةً في المناطق الريفية والنائية لمحو أميتهن وتعزيز مهاراتهن الأساسية. وقد خصصت الدولة منحًا دراسية جامعية للفتيات ذوات الإعاقة المتفوقات لاستكمال تعليمهن العالي، مع توفير سكن جامعي ملائم لاحتياجاتهن.</w:t>
      </w:r>
      <w:r w:rsidRPr="00016B7B">
        <w:rPr>
          <w:rFonts w:ascii="Traditional Arabic" w:eastAsia="Calibri" w:hAnsi="Traditional Arabic" w:cs="Traditional Arabic"/>
          <w:b/>
          <w:bCs/>
          <w:sz w:val="28"/>
          <w:szCs w:val="28"/>
          <w:rtl/>
          <w:lang w:val="en-US"/>
        </w:rPr>
        <w:t xml:space="preserve"> </w:t>
      </w:r>
    </w:p>
    <w:p w14:paraId="3D5D0D2E"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 xml:space="preserve">وفي المجال الاقتصادي فتنظم وزارة التضامن الاجتماعي ووزارة القوى العاملة برامج تدريب مهني موجهة للنساء ذوات الإعاقة لإكسابهن مهارات مهنية تنافسية. كما توفر الدولة قروضًا ميسرة لتمويل مشروعات صغيرة تقودها نساء من ذوات الإعاقة، مع إعفاءات من الفوائد في بعض الحالات دعمًا لاستدامة هذه المشروعات. ويتم بالتعاون مع القطاع الخاص عقد ملتقيات توظيف خاصة للنساء ذوات الإعاقة بهدف الربط بينهن وبين فرص العمل المتاحة وتشجيع أصحاب الأعمال على استقطابهن. وفيما يتعلق بالتمكين السياسي والمجتمعي، تم إطلاق حملة قومية لتعزيز المشاركة السياسية للمرأة تتضمن ورش عمل وبرامج توعية بحقوق النساء ذوات الإعاقة وتشجيعهن على الانخراط في العمل العام. </w:t>
      </w:r>
    </w:p>
    <w:p w14:paraId="35CF72E8"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sz w:val="28"/>
          <w:szCs w:val="28"/>
          <w:rtl/>
          <w:lang w:val="en-US"/>
        </w:rPr>
        <w:t>حرصت الدولة على إدراج تمثيل مناسب للمرأة ذات الإعاقة في مجلس النواب؛ وذلك ضمن نسبة الـ5% المخصصة دستوريًا للأشخاص ذوي الإعاقة في المجالس المنتخبة. كما تُقدم دعمًا قانونيًّا مجانيًّا من خلال وحدات متخصصة لإرشاد النساء ذوات الإعاقة إلى السبل القانونية لحماية حقوقهن أو الحصول على مستحقاتهن. ولم تغفل الدولة الجانب الصحي والثقافي في تمكين المرأة ذات الإعاقة، حيث تعمل وزارة الصحة على توفير خدمات صحة إنجابية ملائمة للنساء ذوات الإعاقة مدعومة ببرامج توعية تراعي احتياجاتهن الخاصة. وكذلك تشجع وزارة الثقافة المبادرات الفنية كالمسرح الشامل لضمان مشاركة المبدعات من ذوات الإعاقة في الأنشطة الثقافية والفنية. وتعكس هذه الإجراءات مجتمعةً التزام مصر الراسخ والمستمر بتعزيز وحماية حقوق النساء والفتيات ذوات الإعاقة، من خلال تمكينهن في مختلف المجالات وضمان تكافؤ الفرص لهن.</w:t>
      </w:r>
    </w:p>
    <w:p w14:paraId="7277F5E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sz w:val="28"/>
          <w:szCs w:val="28"/>
          <w:rtl/>
          <w:lang w:val="en-US"/>
        </w:rPr>
        <w:t xml:space="preserve">كما تحرص الدولة على ضمان وصول الأشخاص ذوي الإعاقة، بما يشمل النساء والفتيات، إلى خدمات الرعاية الصحية بكافة أنواعها بصورة عادلة وميسرة. وفي هذا الإطار، تم إصدار بطاقة الخدمات المتكاملة التي تتيح لحامليها الاستفادة من خدمات الرعاية الصحية، </w:t>
      </w:r>
      <w:r w:rsidRPr="00016B7B">
        <w:rPr>
          <w:rFonts w:ascii="Traditional Arabic" w:eastAsia="Calibri" w:hAnsi="Traditional Arabic" w:cs="Traditional Arabic"/>
          <w:sz w:val="28"/>
          <w:szCs w:val="28"/>
          <w:rtl/>
          <w:lang w:val="en-US"/>
        </w:rPr>
        <w:lastRenderedPageBreak/>
        <w:t>بما في ذلك غير المشمولين بالتأمين الصحي، مع إعفائهم من رسوم القومسيون الطبي الخاص بالحصول على السيارات المعفاة من الضرائب والرسوم. كما أُنشئت قاعدة بيانات وطنية صحية متخصصة، وجرى توفير أكثر من ٣٧ ألف جهاز تعويضي خلال الفترة من ٢٠١٩ حتى ٢٠٢٤، إلى جانب تقديم خدمات العلاج الطبيعي بأسعار ميسرة.</w:t>
      </w:r>
    </w:p>
    <w:p w14:paraId="7F21DE5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515C4CDB"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وقيما يتعلق بالوصول إلى المرافق والخدمات العامة؛</w:t>
      </w:r>
      <w:r w:rsidRPr="00016B7B">
        <w:rPr>
          <w:rFonts w:ascii="Traditional Arabic" w:eastAsia="Calibri" w:hAnsi="Traditional Arabic" w:cs="Traditional Arabic"/>
          <w:sz w:val="28"/>
          <w:szCs w:val="28"/>
          <w:rtl/>
          <w:lang w:val="en-US"/>
        </w:rPr>
        <w:t xml:space="preserve"> تم تطبيق الكود الهندسي في المباني العامة وتصميم الطرق بما يضمن توفير ممرات ومطالع مخصصة لذوي الإعاقة على الأرصفة والممرات، وتطبيق الكود بعدد 14 محطة من محطات السكك الحديدية، و٣٥ محطة مترو وتزويدها بالكراسي المتحركة والسلالم المتحركة ومصاعد كهربائية، ومنح تخفيض على تذاكر ركوب خطوط مترو الأنفاق، وتم تطبيق الكود بالمحاكم الجديدة وبلغ عددها (24) محكمة، وبجميع المنشآت العامة بالعاصمة الإدارية الجديدة، وتخصيص نوافذ تتناسب مع احتياجات ذوي الإعاقة في المراكز التكنولوجية التي تقدم خدماتها للجمهور.</w:t>
      </w:r>
    </w:p>
    <w:p w14:paraId="5CFD5AE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rPr>
      </w:pPr>
    </w:p>
    <w:p w14:paraId="7E94441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وفيما يتعلق باللاجئات وملتمسات اللجوء والعاملات المهاجرات؛</w:t>
      </w:r>
      <w:r w:rsidRPr="00016B7B">
        <w:rPr>
          <w:rFonts w:ascii="Traditional Arabic" w:eastAsia="Calibri" w:hAnsi="Traditional Arabic" w:cs="Traditional Arabic"/>
          <w:sz w:val="28"/>
          <w:szCs w:val="28"/>
          <w:rtl/>
          <w:lang w:val="en-US"/>
        </w:rPr>
        <w:t xml:space="preserve"> صدر قانون جديد لتنظيم لجوء الأجانب القانون رقم  (164) لعام 2024 بشأن لجوء الأجانب، ويتوافق القانون الجديد مع التزامات مصر الدولية واتفاقية (١٩٥١) الخاصة بوضع اللاجئين، على نحو يضمن حمايتهم وتمتعهم بكافة الحقوق والحريات المكفولة لهم في الاتفاقية،</w:t>
      </w:r>
      <w:r w:rsidRPr="00016B7B">
        <w:rPr>
          <w:rFonts w:ascii="Traditional Arabic" w:eastAsia="Calibri" w:hAnsi="Traditional Arabic" w:cs="Traditional Arabic"/>
          <w:sz w:val="28"/>
          <w:szCs w:val="28"/>
          <w:lang w:val="en"/>
        </w:rPr>
        <w:t xml:space="preserve"> </w:t>
      </w:r>
      <w:r w:rsidRPr="00016B7B">
        <w:rPr>
          <w:rFonts w:ascii="Traditional Arabic" w:eastAsia="Calibri" w:hAnsi="Traditional Arabic" w:cs="Traditional Arabic"/>
          <w:sz w:val="28"/>
          <w:szCs w:val="28"/>
          <w:rtl/>
          <w:lang w:val="en-US"/>
        </w:rPr>
        <w:t>وأنشأ القانون لجنة وطنية تتولى تنظيم شئون اللاجئين، والفصل في طلبات اللجوء حالة بحالة، في توقيتات محددة؛ تحت رقابة قضائية كاملة، مع إعطاء الأولوية لنظر طلبات ذوي الإعاقة والمسنين والحوامل والأطفال غير المصحوبين وضحايا الإتجار بالبشر والتعذيب والعنف الجنسي</w:t>
      </w:r>
      <w:r w:rsidRPr="00016B7B">
        <w:rPr>
          <w:rFonts w:ascii="Traditional Arabic" w:eastAsia="Calibri" w:hAnsi="Traditional Arabic" w:cs="Traditional Arabic"/>
          <w:sz w:val="28"/>
          <w:szCs w:val="28"/>
          <w:lang w:val="en"/>
        </w:rPr>
        <w:t>.</w:t>
      </w:r>
      <w:r w:rsidRPr="00016B7B">
        <w:rPr>
          <w:rFonts w:ascii="Traditional Arabic" w:eastAsia="Calibri" w:hAnsi="Traditional Arabic" w:cs="Traditional Arabic"/>
          <w:sz w:val="28"/>
          <w:szCs w:val="28"/>
          <w:rtl/>
          <w:lang w:val="en-US"/>
        </w:rPr>
        <w:t xml:space="preserve"> </w:t>
      </w:r>
      <w:r w:rsidRPr="00016B7B">
        <w:rPr>
          <w:rFonts w:ascii="Traditional Arabic" w:eastAsia="Calibri" w:hAnsi="Traditional Arabic" w:cs="Traditional Arabic"/>
          <w:sz w:val="28"/>
          <w:szCs w:val="28"/>
          <w:lang w:val="en"/>
        </w:rPr>
        <w:t xml:space="preserve"> </w:t>
      </w:r>
      <w:r w:rsidRPr="00016B7B">
        <w:rPr>
          <w:rFonts w:ascii="Traditional Arabic" w:eastAsia="Calibri" w:hAnsi="Traditional Arabic" w:cs="Traditional Arabic"/>
          <w:sz w:val="28"/>
          <w:szCs w:val="28"/>
          <w:rtl/>
          <w:lang w:val="en-US"/>
        </w:rPr>
        <w:t>وتضمن القانون نصوصا صريحة بعدم ترحيل اللاجئ قسريا أو رده إلى مكان تعرضه للخطر، مع كفالة حقه في العودة الطوعية لدولة جنسيته أو إقامته أو إعادة توطينه طواعية في دولة أخرى أو حصوله على الجنسية المصرية</w:t>
      </w:r>
      <w:r w:rsidRPr="00016B7B">
        <w:rPr>
          <w:rFonts w:ascii="Traditional Arabic" w:eastAsia="Calibri" w:hAnsi="Traditional Arabic" w:cs="Traditional Arabic"/>
          <w:sz w:val="28"/>
          <w:szCs w:val="28"/>
          <w:lang w:val="en"/>
        </w:rPr>
        <w:t>.</w:t>
      </w:r>
    </w:p>
    <w:p w14:paraId="19057589"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017AC564"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rPr>
      </w:pPr>
      <w:r w:rsidRPr="00016B7B">
        <w:rPr>
          <w:rFonts w:ascii="Traditional Arabic" w:eastAsia="Calibri" w:hAnsi="Traditional Arabic" w:cs="Traditional Arabic"/>
          <w:b/>
          <w:bCs/>
          <w:sz w:val="28"/>
          <w:szCs w:val="28"/>
          <w:rtl/>
          <w:lang w:val="en-US"/>
        </w:rPr>
        <w:t>وبشأن إصدار وتجديد الوثائق الرسمية وتصاريح الإقامة للاجئات وملتمسات اللجوء والعاملات المهاجرات؛</w:t>
      </w:r>
      <w:r w:rsidRPr="00016B7B">
        <w:rPr>
          <w:rFonts w:ascii="Traditional Arabic" w:eastAsia="Calibri" w:hAnsi="Traditional Arabic" w:cs="Traditional Arabic"/>
          <w:sz w:val="28"/>
          <w:szCs w:val="28"/>
          <w:rtl/>
          <w:lang w:val="en-US"/>
        </w:rPr>
        <w:t xml:space="preserve"> تضطلع وزارة الداخلية بمنح الإقامة للعمل لمدة (عام - 3 أعوام) للأجانب العاملين بالحكومة وقطاع الأعمال والشركات التابعة له والهيئات العامة ووحدات الإدارات المحلية، والأجانب العاملين بالشركات المتعاقدة مع وزارات أو جهات حكومية وذلك بموجب خطاب من الجهة الحكومية. كما يتم منح الأجانب العاملين بالقطاع الخاص والإستثمارى إقامة للعمل لمدة (عام - 3 أعوام) بموجب ترخيص العمل. كما يتم منح إقامة للعمل (لمدة 5 سنوات) للأجانب المتقدمين للهيئة العامة للإستثمار بدراسة جدوى مشروع إستثمارى عقب الموافقة على المشروع واعتبارهم مستثمرين، بالنسبة للأجانب العاملين بالمناطق الإقتصادية ذات الطبيعة الخاصة يتم معاملتهم كونهم مستثمرين ومنحهم إقامة لمدة (٥) سنوات. وتجدر الإشارة إلى أنه يتم منح الإقامة لزوجة وأبناء المستثمرين والعاملين الأجانب أسوة بهم. كما يتم منح والدا المستثمر (الأب - الأم) الإقامة لغير السياحة لمدة سنة قابلة للتجديد وأفراد أسرهم. وتلتزم وزارة الداخلية بتسهيل الأجانب للحصول على كافة الأوراق الثبوتية.</w:t>
      </w:r>
    </w:p>
    <w:p w14:paraId="5DF33EC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rPr>
      </w:pPr>
    </w:p>
    <w:p w14:paraId="57BC5400"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t>وبشأن اعتماد تدابير لضمان حصول ملتمسات اللجوء واللاجئات والعاملات المهاجرات على فرص العمل والخدمات الصحية الأساسية؛</w:t>
      </w:r>
      <w:r w:rsidRPr="00016B7B">
        <w:rPr>
          <w:rFonts w:ascii="Traditional Arabic" w:eastAsia="Calibri" w:hAnsi="Traditional Arabic" w:cs="Traditional Arabic"/>
          <w:sz w:val="28"/>
          <w:szCs w:val="28"/>
          <w:rtl/>
          <w:lang w:val="en-US"/>
        </w:rPr>
        <w:t xml:space="preserve"> تسضيف مصر 10.7 مليون أجنبي من المهاجرين واللاجئين وطالبي اللجوء من 62 جنسية، وتحرص مصر على ضمان تمتعهم بكافة الخدمات الأساسية وإدماجهم في المجتمع، وعدم إلزامهم بالبقاء في مخيمات أو مراكز للاجئين، ويتمتع المهاجرون واللاجئون المقيمين وأبنائهم من الأطفال بالوصول لمنظومتي الصحة والتعليم على قدم المساواة، ويتم تقديم خدمات الرعاية الصحية الأولية بشكل شامل لهم، ويتم تضمينهم في الحملات والبرامج الصحية على مستوى الدولة. </w:t>
      </w:r>
    </w:p>
    <w:p w14:paraId="6EEF6508"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7103C65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rPr>
      </w:pPr>
      <w:r w:rsidRPr="00016B7B">
        <w:rPr>
          <w:rFonts w:ascii="Traditional Arabic" w:eastAsia="Calibri" w:hAnsi="Traditional Arabic" w:cs="Traditional Arabic"/>
          <w:b/>
          <w:bCs/>
          <w:sz w:val="28"/>
          <w:szCs w:val="28"/>
          <w:rtl/>
          <w:lang w:val="en-US"/>
        </w:rPr>
        <w:lastRenderedPageBreak/>
        <w:t>وفيما يتعلق ضحايا للعنف الجنساني والاتجار بالبشر أو يتعرّضن لخطرهما وتقديم المساعدة المناسبة لهؤلاء النساء والفتيات</w:t>
      </w:r>
      <w:r w:rsidRPr="00016B7B">
        <w:rPr>
          <w:rFonts w:ascii="Traditional Arabic" w:eastAsia="Calibri" w:hAnsi="Traditional Arabic" w:cs="Traditional Arabic"/>
          <w:sz w:val="28"/>
          <w:szCs w:val="28"/>
          <w:rtl/>
          <w:lang w:val="en-US"/>
        </w:rPr>
        <w:t>؛ وبموجب قانون مكافحة الهجرة غير الشرعية صدر قرار رئيس مجلس الوزراء 369 لسنة 2023 بشأن تنظيم صندوق مكافحة الهجرة غير الشرعية وحماية المهاجرين والشهود. وقرار رئيس الجمهورية رقم 349 لسنة 2024 بشأن تنظيم صندوق مساعدة ضحايا الاتجار بالبشر السابق الإشارة إليهما، ويوفر كل من الصندوقين المشار إليهما تمويل برامج رعاية وتأهيل المهاجرين المهًربين، وتوفير الرعاية الصحية والنفسية للنساء والأطفال، خاصة الأطفال غير المصحوبين لحمايتهم من أشكال العنف والاستغلال.</w:t>
      </w:r>
    </w:p>
    <w:p w14:paraId="38DDAB56"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p>
    <w:p w14:paraId="2B02DC15"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rPr>
      </w:pPr>
      <w:r w:rsidRPr="00016B7B">
        <w:rPr>
          <w:rFonts w:ascii="Traditional Arabic" w:eastAsia="Calibri" w:hAnsi="Traditional Arabic" w:cs="Traditional Arabic"/>
          <w:b/>
          <w:bCs/>
          <w:sz w:val="28"/>
          <w:szCs w:val="28"/>
          <w:rtl/>
          <w:lang w:val="en-US"/>
        </w:rPr>
        <w:t xml:space="preserve">الملاحظة رقم 48 </w:t>
      </w:r>
    </w:p>
    <w:p w14:paraId="27C1E34D"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rPr>
      </w:pPr>
      <w:r w:rsidRPr="00016B7B">
        <w:rPr>
          <w:rFonts w:ascii="Traditional Arabic" w:eastAsia="Calibri" w:hAnsi="Traditional Arabic" w:cs="Traditional Arabic"/>
          <w:b/>
          <w:bCs/>
          <w:sz w:val="28"/>
          <w:szCs w:val="28"/>
          <w:rtl/>
          <w:lang w:val="en-US"/>
        </w:rPr>
        <w:t>وبشأن اعتماد وتنفيذ تدابير لتحسين الظروف السائدة في مرافق الاحتجاز؛</w:t>
      </w:r>
    </w:p>
    <w:p w14:paraId="5439DA5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bidi="ar-EG"/>
        </w:rPr>
      </w:pPr>
      <w:r w:rsidRPr="00016B7B">
        <w:rPr>
          <w:rFonts w:ascii="Traditional Arabic" w:eastAsia="Calibri" w:hAnsi="Traditional Arabic" w:cs="Traditional Arabic"/>
          <w:b/>
          <w:bCs/>
          <w:sz w:val="28"/>
          <w:szCs w:val="28"/>
          <w:rtl/>
          <w:lang w:val="en-US"/>
        </w:rPr>
        <w:t xml:space="preserve"> </w:t>
      </w:r>
      <w:r w:rsidRPr="00016B7B">
        <w:rPr>
          <w:rFonts w:ascii="Traditional Arabic" w:eastAsia="Calibri" w:hAnsi="Traditional Arabic" w:cs="Traditional Arabic"/>
          <w:sz w:val="28"/>
          <w:szCs w:val="28"/>
          <w:rtl/>
          <w:lang w:val="en-US" w:bidi="ar-EG"/>
        </w:rPr>
        <w:t>صدر القانون رقم 14 لسنة 2022 بتعديل بعض أحكام القانون رقم 396 لسنة 1956 في شأن تنظيم السجون، واستبدل القانون بعض المسميات من السجون إلى مراكز الإصلاح والتأهيل، وقطاع السجون التابع لوزارة الداخلية إلى قطاع الحماية المجتمعية، وسجين إلى نزيل، ويكرس القانون حقوق نزلاء مراكز الإصلاح والتأهيل في أداء الامتحانات المقررة عليهم، وإعلان النزيل بالأوراق القانونية والقضائية بشخصه بدلا من مدير المركز، وتمكين النزيل من إرسال صورة منها إلى أى شخص يرغب في إطلاعه عليها، وتعكس التعديلات القانونية تغيير الفلسفة العقابية لوزارة الداخلية، ويستهدف القانون ترسيخ قيم ومبادئ حقوق النزلاء بها، لتوفير الحماية المجتمعية لهم، وإصلاحهم وإدماجهم بالمجتمع</w:t>
      </w:r>
      <w:r w:rsidRPr="00016B7B">
        <w:rPr>
          <w:rFonts w:ascii="Traditional Arabic" w:eastAsia="Calibri" w:hAnsi="Traditional Arabic" w:cs="Traditional Arabic"/>
          <w:sz w:val="28"/>
          <w:szCs w:val="28"/>
          <w:lang w:val="en-US"/>
        </w:rPr>
        <w:t>.</w:t>
      </w:r>
    </w:p>
    <w:p w14:paraId="4A7AF003"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bidi="ar-EG"/>
        </w:rPr>
      </w:pPr>
      <w:r w:rsidRPr="00016B7B">
        <w:rPr>
          <w:rFonts w:ascii="Traditional Arabic" w:eastAsia="Calibri" w:hAnsi="Traditional Arabic" w:cs="Traditional Arabic"/>
          <w:sz w:val="28"/>
          <w:szCs w:val="28"/>
          <w:rtl/>
          <w:lang w:val="en-US" w:bidi="ar-EG"/>
        </w:rPr>
        <w:t>وتجدر الإشارة إلى أن وزارة الداخلية اطلعت بتنفيذ عمليات تطوير مراكز الإصلاح والتأهيل من خلال خطط المرحلية، تم بدأها عن 2021، شملت إنشاء مراكز جديدة بخمسة مجمعات، وغلق عدد (26) سجنا قديما، وتشمل تلك المجمعات بطبيعة الحال مراكز للنساء حيث تقدم مختلف أوجه الرعاية الطبية اللازمة أبرزها إنشاء خمسة مستشفيات جديدة وتجهيزها بأحدث الأجهزة والمعدات الطبية</w:t>
      </w:r>
      <w:r w:rsidRPr="00016B7B">
        <w:rPr>
          <w:rFonts w:ascii="Traditional Arabic" w:eastAsia="Calibri" w:hAnsi="Traditional Arabic" w:cs="Traditional Arabic"/>
          <w:sz w:val="28"/>
          <w:szCs w:val="28"/>
          <w:lang w:val="en-US" w:bidi="ar-EG"/>
        </w:rPr>
        <w:t>.</w:t>
      </w:r>
      <w:r w:rsidRPr="00016B7B">
        <w:rPr>
          <w:rFonts w:ascii="Traditional Arabic" w:eastAsia="Calibri" w:hAnsi="Traditional Arabic" w:cs="Traditional Arabic"/>
          <w:sz w:val="28"/>
          <w:szCs w:val="28"/>
          <w:rtl/>
          <w:lang w:val="en-US" w:bidi="ar-EG"/>
        </w:rPr>
        <w:t xml:space="preserve"> كما يتم توفير أجهزة للكشف المبكر عن سرطان الثدي وتمكين النزيلات من ممارسة أعمال يدوية لتوفير مصدر دخل لهن، ويتم أيضا صرف مستلزمات النظافة الشخصية بشكل دوري كمخصصات شهرية لكافة النزيلات شأنها شأن مخصصات الطعام والشراب، إن زيادة أعداد النزيلات أحد أسبابها الرئيسية، الظروف الاقتصادية الصعبة التي تضطر العديد من السيدات للاستدانة لتلبية متطلبات أسرية ، ولعل أبرز الإجراءات المتخذة لتقليل الكثافات هي المبادرة المصرية الرئاسية مصر بلا غارمات حيث تم الإفراج عن(5784) غارمة في السنوات الثلاث الأخيرة وذلك بتكلفة (224) مليون جنيه، حيث تقوم الدولة بسداد نسبة كبيرة من الديون المستحقة على الغارمات وذلك ضمن خطة أشمل تتضمن دعمهن اقتصاديا لضمان عدم تكرار الاستدانة. كما يتم دعم خريجي مراكز الإصلاح والتأهيل من خلال توفير سبل الدعم الاجتماعي والنفسي للمفرج عن هنا وتأهيلهن لإعادة إدماجهن في المجتمع</w:t>
      </w:r>
      <w:r w:rsidRPr="00016B7B">
        <w:rPr>
          <w:rFonts w:ascii="Traditional Arabic" w:eastAsia="Calibri" w:hAnsi="Traditional Arabic" w:cs="Traditional Arabic"/>
          <w:sz w:val="28"/>
          <w:szCs w:val="28"/>
          <w:lang w:val="en-US" w:bidi="ar-EG"/>
        </w:rPr>
        <w:t>.</w:t>
      </w:r>
    </w:p>
    <w:p w14:paraId="69566ED7"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b/>
          <w:bCs/>
          <w:sz w:val="28"/>
          <w:szCs w:val="28"/>
          <w:u w:val="single"/>
          <w:lang w:val="en-US" w:bidi="ar-EG"/>
        </w:rPr>
      </w:pPr>
      <w:r w:rsidRPr="00016B7B">
        <w:rPr>
          <w:rFonts w:ascii="Traditional Arabic" w:eastAsia="Calibri" w:hAnsi="Traditional Arabic" w:cs="Traditional Arabic"/>
          <w:sz w:val="28"/>
          <w:szCs w:val="28"/>
          <w:rtl/>
          <w:lang w:val="en-US" w:bidi="ar-EG"/>
        </w:rPr>
        <w:t>وتم إنشاء (13) مركزا للفحص والوقاية من الإيدز والفيروسات الكبدية، وإجراء مسح شامل لفيروس سي وكذا إجراء عدد من العمليات الجراحية داخل المستشفيات من بينها جراحات بالغة الدقة كجراحة القلب، فضلا عن حصول النزلاء من الرجال والنساء على فترات الطريد اليومية، واستقبالهم لزيارات محاميهم وأسرهم بصورة منتظمة دون تمييز. كما تم إنشاء عدد ستة حضانة ودار إيواء تضم حاليا (57) طفلا وهم برفقة أمهاتهم النزيلات حيث يتم السماح لهن بحضانة رضيعها وإقامته برفقتها حتى سن أربع سنوات، تفضل عن تقديم الرعاية الطبية طوال فترة الحمل، وكافة أوجه الرعاية اللازمة للأطفال من غذاء وملبس وتطعيمات ورعاية طبية</w:t>
      </w:r>
      <w:r w:rsidRPr="00016B7B">
        <w:rPr>
          <w:rFonts w:ascii="Traditional Arabic" w:eastAsia="Calibri" w:hAnsi="Traditional Arabic" w:cs="Traditional Arabic"/>
          <w:sz w:val="28"/>
          <w:szCs w:val="28"/>
          <w:lang w:val="en-US" w:bidi="ar-EG"/>
        </w:rPr>
        <w:t>.</w:t>
      </w:r>
      <w:r w:rsidRPr="00016B7B">
        <w:rPr>
          <w:rFonts w:ascii="Traditional Arabic" w:eastAsia="Calibri" w:hAnsi="Traditional Arabic" w:cs="Traditional Arabic"/>
          <w:sz w:val="28"/>
          <w:szCs w:val="28"/>
          <w:rtl/>
          <w:lang w:val="en-US" w:bidi="ar-EG"/>
        </w:rPr>
        <w:t xml:space="preserve"> </w:t>
      </w:r>
    </w:p>
    <w:p w14:paraId="33E7207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lang w:val="en-US" w:bidi="ar-EG"/>
        </w:rPr>
      </w:pPr>
      <w:r w:rsidRPr="00016B7B">
        <w:rPr>
          <w:rFonts w:ascii="Traditional Arabic" w:eastAsia="Calibri" w:hAnsi="Traditional Arabic" w:cs="Traditional Arabic"/>
          <w:b/>
          <w:bCs/>
          <w:sz w:val="28"/>
          <w:szCs w:val="28"/>
          <w:rtl/>
          <w:lang w:val="en-US" w:bidi="ar-EG"/>
        </w:rPr>
        <w:t>وبشأن الرعاية الصحية داخل السجون ومراكز الاحتجاز؛</w:t>
      </w:r>
    </w:p>
    <w:p w14:paraId="44D4964C"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bidi="ar-EG"/>
        </w:rPr>
      </w:pPr>
      <w:r w:rsidRPr="00016B7B">
        <w:rPr>
          <w:rFonts w:ascii="Traditional Arabic" w:eastAsia="Calibri" w:hAnsi="Traditional Arabic" w:cs="Traditional Arabic"/>
          <w:sz w:val="28"/>
          <w:szCs w:val="28"/>
          <w:rtl/>
          <w:lang w:val="en-US" w:bidi="ar-EG"/>
        </w:rPr>
        <w:t xml:space="preserve">واصلت وزارة الداخلية خلال الفترة من سبتمبر ٢٠٢٤ حتى يونيو ٢٠٢٥، جهودها لتحسين مستوى الرعاية الصحية والمعيشية داخل مراكز الإصلاح والتأهيل، ففيما يخص توافر الأدوية والمستلزمات الطبية، تم توريد كميات من الأدوية إلى مستشفيات وعيادات تلك المراكز على مستوى الجمهورية بقيمة بلغت ٩٧ مليون و٨٦٢ ألف و٦٥٠ جنيهًا. كما تم توقيع الكشف الطبي على النزلاء الوافدين الجدد وتحرير بطاقات صحية لهم، إلى جانب إجراء الفحوصات الطبية للنزلاء المصابين بأمراض مختلفة داخل المستشفيات والعيادات التابعة للقطاع، </w:t>
      </w:r>
      <w:r w:rsidRPr="00016B7B">
        <w:rPr>
          <w:rFonts w:ascii="Traditional Arabic" w:eastAsia="Calibri" w:hAnsi="Traditional Arabic" w:cs="Traditional Arabic"/>
          <w:sz w:val="28"/>
          <w:szCs w:val="28"/>
          <w:rtl/>
          <w:lang w:val="en-US" w:bidi="ar-EG"/>
        </w:rPr>
        <w:lastRenderedPageBreak/>
        <w:t xml:space="preserve">مع صرف العلاج اللازم وتطعيم النزلاء ضد الأمراض المعدية، فض ًلا عن إجراء عدد من العمليات الجراحية داخل مستشفيات قطاع الحماية المجتمعية. </w:t>
      </w:r>
    </w:p>
    <w:p w14:paraId="2A96B62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bidi="ar-EG"/>
        </w:rPr>
      </w:pPr>
      <w:r w:rsidRPr="00016B7B">
        <w:rPr>
          <w:rFonts w:ascii="Traditional Arabic" w:eastAsia="Calibri" w:hAnsi="Traditional Arabic" w:cs="Traditional Arabic"/>
          <w:sz w:val="28"/>
          <w:szCs w:val="28"/>
          <w:rtl/>
          <w:lang w:val="en-US" w:bidi="ar-EG"/>
        </w:rPr>
        <w:t xml:space="preserve">وفي إطار توفير الرعاية الصحية الشاملة للأطفال نزلاء المؤسسة العقابية للأحداث بالمرج، تم تطوير المنظومة الصحية داخل المؤسسة بالتنسيق مع وزارة الصحة والسكان، وجمعية الهلال الأحمر المصري، وعدد من الجهات الشريكة، بهدف تعزيز الصحة الجسدية والنفسية للأبناء، وتوفير بيئة داعمة تسهم في إعادة تأهيلهم ودمجهم في المجتمع، وتشمل منظومة الرعاية الصحية بالمؤسسة إجراءات وقائية وعلاجية متكاملة، كما يتم تحويل الحالات التي تستدعي تدخلاً خارجيًا إلى مستشفيات متخصصة. </w:t>
      </w:r>
    </w:p>
    <w:p w14:paraId="72D5E5A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bidi="ar-EG"/>
        </w:rPr>
      </w:pPr>
      <w:r w:rsidRPr="00016B7B">
        <w:rPr>
          <w:rFonts w:ascii="Traditional Arabic" w:eastAsia="Calibri" w:hAnsi="Traditional Arabic" w:cs="Traditional Arabic"/>
          <w:sz w:val="28"/>
          <w:szCs w:val="28"/>
          <w:rtl/>
          <w:lang w:val="en-US" w:bidi="ar-EG"/>
        </w:rPr>
        <w:t xml:space="preserve">وخلال عام 2025، نُفذت عدة قوافل طبية داخل المؤسسة بالتعاون مع جمعية الهلال الأحمر المصري وجهات طبية أخرى، غطت مختلف التخصصات وأسفرت عن تقديم خدمات الكشف والعلاج لعدد كبير من النزلاء، فضلاً عن تنظيم محاضرات توعوية لرفع الوعي الصحي لديهم. </w:t>
      </w:r>
    </w:p>
    <w:p w14:paraId="12D742EF"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bidi="ar-EG"/>
        </w:rPr>
      </w:pPr>
    </w:p>
    <w:p w14:paraId="672F7E99"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bidi="ar-EG"/>
        </w:rPr>
      </w:pPr>
      <w:r w:rsidRPr="00016B7B">
        <w:rPr>
          <w:rFonts w:ascii="Traditional Arabic" w:eastAsia="Calibri" w:hAnsi="Traditional Arabic" w:cs="Traditional Arabic"/>
          <w:b/>
          <w:bCs/>
          <w:sz w:val="28"/>
          <w:szCs w:val="28"/>
          <w:rtl/>
          <w:lang w:val="en-US"/>
        </w:rPr>
        <w:t>وبشأن التحقيق على وجه السرعة في جميع حالات العنف المزعومة ضد المحتجزات؛</w:t>
      </w:r>
      <w:r w:rsidRPr="00016B7B">
        <w:rPr>
          <w:rFonts w:ascii="Traditional Arabic" w:eastAsia="Calibri" w:hAnsi="Traditional Arabic" w:cs="Traditional Arabic"/>
          <w:sz w:val="28"/>
          <w:szCs w:val="28"/>
          <w:rtl/>
          <w:lang w:val="en-US" w:bidi="ar-EG"/>
        </w:rPr>
        <w:t xml:space="preserve"> تتولى النيابة العامة التحقيق في كافة الدعاوى الجنائية وهي المختصة دون غيرها برفعها ومباشرتها أمام القضاء، وتجدر الإشارة إلى أن جرائم التعذيب وإساءة المعاملة بقانون العقوبات من الجرائم التي لا تحتاج إلى شكوى أو بلاغ من المجني عليه. كما تضطلع وزارة الداخلية بفحص شكاوى وقائع التعذيب الواردة من مختلف الجهات الوطنية أبرزها (منظومة الشكاوى الموحدة بمجلس الوزراء – المجالس القومية المتخصصة – مكتب النائب العام – وزارة العدل وغيرها) كما تتخذ العديد من الإجراءات أبرزها تدشين أرقام محددة للإبلاغ عن أي انتهاكات لحقوق الإنسان وفحص الشكاوى والرد عليها بصورة موضوعية وعاجلة، وكذا إنشاء وحدات متخصصة في مجال حقوق الإنسان بكافة الأقسام والمراكز الشرطية على مستوى الدولة وتخصيص ضباط لتلقى شكاوى المواطنين، حيث إضطلعت وزارة الداخلية خلال الفترة من (2021- 2025) بإجراء تحقيقات ومحاكمات للعاملين بها فى عدد (949) واقعة (إستعمال قسوة – إحتجاز بدون وجه حق – إستعراض قوة – إساءة معاملة- إستغلال سلطة) وتم إحالة عدد ( "668" واقعة للمحاكمة التأدديبية – "281" واقعة للنيابة العامة)</w:t>
      </w:r>
      <w:r w:rsidRPr="00016B7B">
        <w:rPr>
          <w:rFonts w:ascii="Traditional Arabic" w:eastAsia="Calibri" w:hAnsi="Traditional Arabic" w:cs="Traditional Arabic"/>
          <w:sz w:val="28"/>
          <w:szCs w:val="28"/>
          <w:lang w:val="en-US" w:bidi="ar-EG"/>
        </w:rPr>
        <w:t>.</w:t>
      </w:r>
    </w:p>
    <w:p w14:paraId="2418A121"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bidi="ar-EG"/>
        </w:rPr>
      </w:pPr>
      <w:r w:rsidRPr="00016B7B">
        <w:rPr>
          <w:rFonts w:ascii="Traditional Arabic" w:eastAsia="Calibri" w:hAnsi="Traditional Arabic" w:cs="Traditional Arabic"/>
          <w:sz w:val="28"/>
          <w:szCs w:val="28"/>
          <w:rtl/>
          <w:lang w:val="en-US" w:bidi="ar-EG"/>
        </w:rPr>
        <w:t>وتضطلع وزارة الداخلية في نشر ثقافة حقوق الإنسان من خلال تدريس مواد حقوق الإنسان بكافة محاورها بجميع الفرق الدراسية بأكاديمية الشرطة والدورات التدريبية المتخصصة، والدراسات العليا، إلى جانب تنظيم العديد من الندوات والمحاضرات في مجال حقوق الإنسان للعاملين بالوزارة، وتدريس مادة حقوق الإنسان المتعلقة بأماكن الاحتجاز "المعروفة بقواعد نيسلون مانديلا" للعاملين بمراكز الإصلاح والتأهيل، فضلا عن تنظيم عدد (151) فعالية تدريبية للعاملين بالوزارة  خلال الفترة من عام (2021 – 2025) بالتنسيق مع المنظمة الدولية للهجرة، مكتب الأمم المتحدة المعنى بالمخدرات والجريمة، اللجنة الدولية للصليب الأحمر في مجالات حماية حقوق المهاجرين ومكافحة جرائم الهجرة غير الشرعية والاتجار بالبشر والتوعية بمبادئ ومعايير القانون الدولي الإنساني.</w:t>
      </w:r>
    </w:p>
    <w:p w14:paraId="5FEA37E4"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p>
    <w:p w14:paraId="376F1BEA"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bidi="ar-EG"/>
        </w:rPr>
      </w:pPr>
      <w:r w:rsidRPr="00016B7B">
        <w:rPr>
          <w:rFonts w:ascii="Traditional Arabic" w:eastAsia="Calibri" w:hAnsi="Traditional Arabic" w:cs="Traditional Arabic"/>
          <w:b/>
          <w:bCs/>
          <w:sz w:val="28"/>
          <w:szCs w:val="28"/>
          <w:rtl/>
          <w:lang w:val="en-US" w:bidi="ar-EG"/>
        </w:rPr>
        <w:t>الملاحظة رقم 50</w:t>
      </w:r>
    </w:p>
    <w:p w14:paraId="3C8EC40A"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bidi="ar-EG"/>
        </w:rPr>
      </w:pPr>
      <w:r w:rsidRPr="00016B7B">
        <w:rPr>
          <w:rFonts w:ascii="Traditional Arabic" w:eastAsia="Calibri" w:hAnsi="Traditional Arabic" w:cs="Traditional Arabic"/>
          <w:b/>
          <w:bCs/>
          <w:sz w:val="28"/>
          <w:szCs w:val="28"/>
          <w:rtl/>
          <w:lang w:val="en-US"/>
        </w:rPr>
        <w:t xml:space="preserve">وبشأن المساواة في الزواج والعلاقات الأُسَرية؛ </w:t>
      </w:r>
    </w:p>
    <w:p w14:paraId="4C0379EA"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bidi="ar-EG"/>
        </w:rPr>
      </w:pPr>
      <w:r w:rsidRPr="00016B7B">
        <w:rPr>
          <w:rFonts w:ascii="Traditional Arabic" w:eastAsia="Calibri" w:hAnsi="Traditional Arabic" w:cs="Traditional Arabic"/>
          <w:sz w:val="28"/>
          <w:szCs w:val="28"/>
          <w:rtl/>
          <w:lang w:val="en-US" w:bidi="ar-EG"/>
        </w:rPr>
        <w:t>نحيل إلى الفقرات (99- 105) من التعليق على المادة 16 من التقرير.</w:t>
      </w:r>
      <w:r w:rsidRPr="00016B7B">
        <w:rPr>
          <w:rFonts w:ascii="Traditional Arabic" w:eastAsia="Calibri" w:hAnsi="Traditional Arabic" w:cs="Traditional Arabic"/>
          <w:sz w:val="28"/>
          <w:szCs w:val="28"/>
          <w:rtl/>
          <w:lang w:val="en-US"/>
        </w:rPr>
        <w:t xml:space="preserve"> </w:t>
      </w:r>
    </w:p>
    <w:p w14:paraId="3C68EE62"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p>
    <w:p w14:paraId="208E006B"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r w:rsidRPr="00016B7B">
        <w:rPr>
          <w:rFonts w:ascii="Traditional Arabic" w:eastAsia="Calibri" w:hAnsi="Traditional Arabic" w:cs="Traditional Arabic"/>
          <w:b/>
          <w:bCs/>
          <w:sz w:val="28"/>
          <w:szCs w:val="28"/>
          <w:rtl/>
          <w:lang w:val="en-US" w:bidi="ar-EG"/>
        </w:rPr>
        <w:t>الملاحظة رقم 52</w:t>
      </w:r>
    </w:p>
    <w:p w14:paraId="02B2C20C"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b/>
          <w:bCs/>
          <w:sz w:val="28"/>
          <w:szCs w:val="28"/>
          <w:rtl/>
          <w:lang w:val="en-US" w:bidi="ar-EG"/>
        </w:rPr>
      </w:pPr>
      <w:r w:rsidRPr="00016B7B">
        <w:rPr>
          <w:rFonts w:ascii="Traditional Arabic" w:eastAsia="Calibri" w:hAnsi="Traditional Arabic" w:cs="Traditional Arabic"/>
          <w:b/>
          <w:bCs/>
          <w:sz w:val="28"/>
          <w:szCs w:val="28"/>
          <w:rtl/>
          <w:lang w:val="en-US" w:bidi="ar-EG"/>
        </w:rPr>
        <w:t>وبشأم التصديق على البروتوكول الاختياري للاتفاقية؛</w:t>
      </w:r>
    </w:p>
    <w:p w14:paraId="1ECAEA2D"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rtl/>
          <w:lang w:val="en-US" w:bidi="ar-EG"/>
        </w:rPr>
      </w:pPr>
      <w:r w:rsidRPr="00016B7B">
        <w:rPr>
          <w:rFonts w:ascii="Traditional Arabic" w:eastAsia="Calibri" w:hAnsi="Traditional Arabic" w:cs="Traditional Arabic"/>
          <w:sz w:val="28"/>
          <w:szCs w:val="28"/>
          <w:rtl/>
          <w:lang w:val="en-US" w:bidi="ar-EG"/>
        </w:rPr>
        <w:t>نحيل إلى الفقرة (149) من التقرير.</w:t>
      </w:r>
    </w:p>
    <w:p w14:paraId="69869371"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rtl/>
          <w:lang w:val="en-US" w:bidi="ar-EG"/>
        </w:rPr>
      </w:pPr>
      <w:r w:rsidRPr="00016B7B">
        <w:rPr>
          <w:rFonts w:ascii="Traditional Arabic" w:eastAsia="Calibri" w:hAnsi="Traditional Arabic" w:cs="Traditional Arabic"/>
          <w:b/>
          <w:bCs/>
          <w:sz w:val="28"/>
          <w:szCs w:val="28"/>
          <w:rtl/>
          <w:lang w:val="en-US" w:bidi="ar-EG"/>
        </w:rPr>
        <w:lastRenderedPageBreak/>
        <w:t>الملاحظة رقم 53</w:t>
      </w:r>
    </w:p>
    <w:p w14:paraId="6AD357C0" w14:textId="77777777" w:rsidR="00016B7B" w:rsidRPr="00016B7B" w:rsidRDefault="00016B7B" w:rsidP="00016B7B">
      <w:pPr>
        <w:suppressAutoHyphens w:val="0"/>
        <w:bidi/>
        <w:spacing w:line="240" w:lineRule="auto"/>
        <w:contextualSpacing/>
        <w:mirrorIndents/>
        <w:jc w:val="both"/>
        <w:rPr>
          <w:rFonts w:ascii="Traditional Arabic" w:eastAsia="Calibri" w:hAnsi="Traditional Arabic" w:cs="Traditional Arabic"/>
          <w:sz w:val="28"/>
          <w:szCs w:val="28"/>
          <w:lang w:val="en-US" w:bidi="ar-EG"/>
        </w:rPr>
      </w:pPr>
      <w:r w:rsidRPr="00016B7B">
        <w:rPr>
          <w:rFonts w:ascii="Traditional Arabic" w:eastAsia="Calibri" w:hAnsi="Traditional Arabic" w:cs="Traditional Arabic"/>
          <w:b/>
          <w:bCs/>
          <w:sz w:val="28"/>
          <w:szCs w:val="28"/>
          <w:rtl/>
          <w:lang w:val="en-US" w:bidi="ar-EG"/>
        </w:rPr>
        <w:t>وبشأن الاستعانة بإعلان ومنهاج عمل بيجين ومواصلة تقييم إعمال الحقوق المكرسة في الاتفاقية؛</w:t>
      </w:r>
    </w:p>
    <w:p w14:paraId="48DA4AB3" w14:textId="77777777" w:rsidR="00016B7B" w:rsidRPr="00016B7B" w:rsidRDefault="00016B7B" w:rsidP="00016B7B">
      <w:pPr>
        <w:numPr>
          <w:ilvl w:val="0"/>
          <w:numId w:val="24"/>
        </w:numPr>
        <w:suppressAutoHyphens w:val="0"/>
        <w:bidi/>
        <w:spacing w:after="160" w:line="240" w:lineRule="auto"/>
        <w:ind w:left="0" w:firstLine="0"/>
        <w:contextualSpacing/>
        <w:mirrorIndents/>
        <w:jc w:val="both"/>
        <w:rPr>
          <w:rFonts w:ascii="Traditional Arabic" w:eastAsia="Calibri" w:hAnsi="Traditional Arabic" w:cs="Traditional Arabic"/>
          <w:sz w:val="28"/>
          <w:szCs w:val="28"/>
          <w:lang w:val="en-US" w:bidi="ar-EG"/>
        </w:rPr>
      </w:pPr>
      <w:r w:rsidRPr="00016B7B">
        <w:rPr>
          <w:rFonts w:ascii="Traditional Arabic" w:eastAsia="Calibri" w:hAnsi="Traditional Arabic" w:cs="Traditional Arabic"/>
          <w:sz w:val="28"/>
          <w:szCs w:val="28"/>
          <w:rtl/>
          <w:lang w:val="en-US" w:bidi="ar-EG"/>
        </w:rPr>
        <w:t xml:space="preserve"> في إطار التزام الدولة بالربط بين اتفاقية القضاء على جميع أشكال التمييز ضد المرأة (السيداو) وإعلان ومنهاج عمل بيجين بعد مرور 25 عامًا على اعتماده، تم اتخاذ مجموعة من الخطوات والسياسات المتكاملة، تم إبراز كافة هذه الجهود – سواء الإصلاحات التشريعية أو البرامج التوعوية أو الاستراتيجيات الوطنية – في تقرير بيجين+25، باعتبارها خطوات عملية تعكس التزام مصر بسد الفجوات بين الجنسين وتحقيق المساواة الفعلية في إطار الزواج والعلاقات الأسرية. وقدمت مصر تقرير عن التقدم المحرز في تنفيذ منهاج عمل بيجين عن الفترة من ( 2019 حتي مارس 2024) المرفق رقم (4).</w:t>
      </w:r>
    </w:p>
    <w:p w14:paraId="510E49A6" w14:textId="763D95A5" w:rsidR="006D2FB1" w:rsidRPr="00016B7B" w:rsidRDefault="00016B7B" w:rsidP="00016B7B">
      <w:pPr>
        <w:pStyle w:val="H1G"/>
        <w:jc w:val="center"/>
        <w:rPr>
          <w:b w:val="0"/>
          <w:bCs/>
          <w:u w:val="single"/>
          <w:lang w:val="en-US"/>
        </w:rPr>
      </w:pPr>
      <w:r>
        <w:rPr>
          <w:b w:val="0"/>
          <w:bCs/>
          <w:u w:val="single"/>
          <w:lang w:val="en-US"/>
        </w:rPr>
        <w:tab/>
      </w:r>
      <w:r>
        <w:rPr>
          <w:b w:val="0"/>
          <w:bCs/>
          <w:u w:val="single"/>
          <w:lang w:val="en-US"/>
        </w:rPr>
        <w:tab/>
      </w:r>
      <w:r>
        <w:rPr>
          <w:b w:val="0"/>
          <w:bCs/>
          <w:u w:val="single"/>
          <w:lang w:val="en-US"/>
        </w:rPr>
        <w:tab/>
      </w:r>
      <w:r>
        <w:rPr>
          <w:b w:val="0"/>
          <w:bCs/>
          <w:u w:val="single"/>
          <w:lang w:val="en-US"/>
        </w:rPr>
        <w:tab/>
      </w:r>
    </w:p>
    <w:sectPr w:rsidR="006D2FB1" w:rsidRPr="00016B7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1F043" w14:textId="77777777" w:rsidR="00AF2E89" w:rsidRDefault="00AF2E89">
      <w:pPr>
        <w:spacing w:line="240" w:lineRule="auto"/>
      </w:pPr>
    </w:p>
  </w:endnote>
  <w:endnote w:type="continuationSeparator" w:id="0">
    <w:p w14:paraId="5DE7C8ED" w14:textId="77777777" w:rsidR="00AF2E89" w:rsidRDefault="00AF2E89">
      <w:pPr>
        <w:pStyle w:val="Footer"/>
      </w:pPr>
    </w:p>
  </w:endnote>
  <w:endnote w:type="continuationNotice" w:id="1">
    <w:p w14:paraId="3E79143A" w14:textId="77777777" w:rsidR="00AF2E89" w:rsidRDefault="00AF2E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CD0" w14:textId="77777777" w:rsidR="006D2FB1" w:rsidRDefault="000D5604">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5FD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239E5" w14:textId="77777777" w:rsidR="006D2FB1" w:rsidRDefault="0044612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FF05" w14:textId="77777777" w:rsidR="006D2FB1" w:rsidRDefault="000D5604">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5A715AF4" wp14:editId="49BB23B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3D714C" w14:paraId="077C03FE" w14:textId="77777777">
      <w:tc>
        <w:tcPr>
          <w:tcW w:w="1848" w:type="dxa"/>
          <w:vAlign w:val="bottom"/>
        </w:tcPr>
        <w:p w14:paraId="71212487" w14:textId="77777777" w:rsidR="006D2FB1" w:rsidRDefault="000D5604">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2B573FD0" wp14:editId="4D37D7D8">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F833459" w14:textId="77777777" w:rsidR="006D2FB1" w:rsidRDefault="006D2FB1">
          <w:pPr>
            <w:kinsoku w:val="0"/>
            <w:overflowPunct w:val="0"/>
            <w:autoSpaceDE w:val="0"/>
            <w:autoSpaceDN w:val="0"/>
            <w:adjustRightInd w:val="0"/>
            <w:snapToGrid w:val="0"/>
            <w:spacing w:line="240" w:lineRule="auto"/>
            <w:jc w:val="right"/>
            <w:rPr>
              <w:rFonts w:eastAsiaTheme="minorHAnsi"/>
              <w:sz w:val="16"/>
              <w:lang w:val="fr-CH"/>
            </w:rPr>
          </w:pPr>
        </w:p>
      </w:tc>
    </w:tr>
  </w:tbl>
  <w:p w14:paraId="3BB1C997" w14:textId="77777777" w:rsidR="006D2FB1" w:rsidRDefault="006D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643E0" w14:textId="77777777" w:rsidR="00AF2E89" w:rsidRDefault="00AF2E89">
      <w:pPr>
        <w:pStyle w:val="Footer"/>
        <w:tabs>
          <w:tab w:val="right" w:pos="2155"/>
        </w:tabs>
        <w:spacing w:after="80" w:line="240" w:lineRule="atLeast"/>
        <w:ind w:left="680"/>
        <w:rPr>
          <w:u w:val="single"/>
        </w:rPr>
      </w:pPr>
      <w:r>
        <w:rPr>
          <w:u w:val="single"/>
        </w:rPr>
        <w:tab/>
      </w:r>
    </w:p>
  </w:footnote>
  <w:footnote w:type="continuationSeparator" w:id="0">
    <w:p w14:paraId="6087C5F5" w14:textId="77777777" w:rsidR="00AF2E89" w:rsidRDefault="00AF2E89">
      <w:pPr>
        <w:pStyle w:val="Footer"/>
        <w:tabs>
          <w:tab w:val="right" w:pos="2155"/>
        </w:tabs>
        <w:spacing w:after="80" w:line="240" w:lineRule="atLeast"/>
        <w:ind w:left="680"/>
        <w:rPr>
          <w:u w:val="single"/>
        </w:rPr>
      </w:pPr>
      <w:r>
        <w:rPr>
          <w:u w:val="single"/>
        </w:rPr>
        <w:tab/>
      </w:r>
    </w:p>
  </w:footnote>
  <w:footnote w:type="continuationNotice" w:id="1">
    <w:p w14:paraId="5EA992D0" w14:textId="77777777" w:rsidR="00AF2E89" w:rsidRDefault="00AF2E89">
      <w:pPr>
        <w:spacing w:line="240" w:lineRule="auto"/>
        <w:rPr>
          <w:sz w:val="2"/>
          <w:szCs w:val="2"/>
        </w:rPr>
      </w:pPr>
    </w:p>
  </w:footnote>
  <w:footnote w:id="2">
    <w:p w14:paraId="0EE62160" w14:textId="3A3B32B3" w:rsidR="00490503" w:rsidRPr="00750FDE" w:rsidRDefault="000D5604" w:rsidP="009C756F">
      <w:pPr>
        <w:pStyle w:val="FootnoteText"/>
        <w:rPr>
          <w:szCs w:val="18"/>
        </w:rPr>
      </w:pPr>
      <w:r>
        <w:tab/>
      </w:r>
      <w:r w:rsidRPr="002E233B">
        <w:rPr>
          <w:rStyle w:val="FootnoteReference"/>
          <w:sz w:val="20"/>
          <w:vertAlign w:val="baseline"/>
        </w:rPr>
        <w:t>*</w:t>
      </w:r>
      <w:r>
        <w:rPr>
          <w:sz w:val="20"/>
        </w:rPr>
        <w:tab/>
      </w:r>
      <w:r w:rsidRPr="00750FDE">
        <w:rPr>
          <w:szCs w:val="18"/>
        </w:rPr>
        <w:t>The present document is being issued without formal editing.</w:t>
      </w:r>
      <w:r w:rsidRPr="00750FDE">
        <w:rPr>
          <w:color w:val="FF0000"/>
          <w:szCs w:val="18"/>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12DDB" w14:textId="45DEC6EB" w:rsidR="006D2FB1" w:rsidRDefault="00446122">
    <w:pPr>
      <w:pStyle w:val="Header"/>
    </w:pPr>
    <w:r>
      <w:t>CEDAW/C/</w:t>
    </w:r>
    <w:r w:rsidR="00B47BAB">
      <w:t>EGY</w:t>
    </w:r>
    <w:r>
      <w:t>/1</w:t>
    </w:r>
    <w:r w:rsidR="00B47BAB">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50BA" w14:textId="456F994B" w:rsidR="006D2FB1" w:rsidRDefault="00446122">
    <w:pPr>
      <w:pStyle w:val="Header"/>
      <w:jc w:val="right"/>
    </w:pPr>
    <w:r>
      <w:t>CEDAW/C/</w:t>
    </w:r>
    <w:r w:rsidR="00DA6B7D">
      <w:t>EGY</w:t>
    </w:r>
    <w:r>
      <w:t>/1</w:t>
    </w:r>
    <w:r w:rsidR="00DA6B7D">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2A46A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9BE1C0C" w:tentative="1">
      <w:start w:val="1"/>
      <w:numFmt w:val="lowerLetter"/>
      <w:lvlText w:val="%2."/>
      <w:lvlJc w:val="left"/>
      <w:pPr>
        <w:tabs>
          <w:tab w:val="num" w:pos="1440"/>
        </w:tabs>
        <w:ind w:left="1440" w:hanging="360"/>
      </w:pPr>
    </w:lvl>
    <w:lvl w:ilvl="2" w:tplc="6C34A918" w:tentative="1">
      <w:start w:val="1"/>
      <w:numFmt w:val="lowerRoman"/>
      <w:lvlText w:val="%3."/>
      <w:lvlJc w:val="right"/>
      <w:pPr>
        <w:tabs>
          <w:tab w:val="num" w:pos="2160"/>
        </w:tabs>
        <w:ind w:left="2160" w:hanging="180"/>
      </w:pPr>
    </w:lvl>
    <w:lvl w:ilvl="3" w:tplc="8B468C8A" w:tentative="1">
      <w:start w:val="1"/>
      <w:numFmt w:val="decimal"/>
      <w:lvlText w:val="%4."/>
      <w:lvlJc w:val="left"/>
      <w:pPr>
        <w:tabs>
          <w:tab w:val="num" w:pos="2880"/>
        </w:tabs>
        <w:ind w:left="2880" w:hanging="360"/>
      </w:pPr>
    </w:lvl>
    <w:lvl w:ilvl="4" w:tplc="1084F3A0" w:tentative="1">
      <w:start w:val="1"/>
      <w:numFmt w:val="lowerLetter"/>
      <w:lvlText w:val="%5."/>
      <w:lvlJc w:val="left"/>
      <w:pPr>
        <w:tabs>
          <w:tab w:val="num" w:pos="3600"/>
        </w:tabs>
        <w:ind w:left="3600" w:hanging="360"/>
      </w:pPr>
    </w:lvl>
    <w:lvl w:ilvl="5" w:tplc="E5AC9C30" w:tentative="1">
      <w:start w:val="1"/>
      <w:numFmt w:val="lowerRoman"/>
      <w:lvlText w:val="%6."/>
      <w:lvlJc w:val="right"/>
      <w:pPr>
        <w:tabs>
          <w:tab w:val="num" w:pos="4320"/>
        </w:tabs>
        <w:ind w:left="4320" w:hanging="180"/>
      </w:pPr>
    </w:lvl>
    <w:lvl w:ilvl="6" w:tplc="85048B8C" w:tentative="1">
      <w:start w:val="1"/>
      <w:numFmt w:val="decimal"/>
      <w:lvlText w:val="%7."/>
      <w:lvlJc w:val="left"/>
      <w:pPr>
        <w:tabs>
          <w:tab w:val="num" w:pos="5040"/>
        </w:tabs>
        <w:ind w:left="5040" w:hanging="360"/>
      </w:pPr>
    </w:lvl>
    <w:lvl w:ilvl="7" w:tplc="F3021486" w:tentative="1">
      <w:start w:val="1"/>
      <w:numFmt w:val="lowerLetter"/>
      <w:lvlText w:val="%8."/>
      <w:lvlJc w:val="left"/>
      <w:pPr>
        <w:tabs>
          <w:tab w:val="num" w:pos="5760"/>
        </w:tabs>
        <w:ind w:left="5760" w:hanging="360"/>
      </w:pPr>
    </w:lvl>
    <w:lvl w:ilvl="8" w:tplc="D6F27B0C" w:tentative="1">
      <w:start w:val="1"/>
      <w:numFmt w:val="lowerRoman"/>
      <w:lvlText w:val="%9."/>
      <w:lvlJc w:val="right"/>
      <w:pPr>
        <w:tabs>
          <w:tab w:val="num" w:pos="6480"/>
        </w:tabs>
        <w:ind w:left="6480" w:hanging="180"/>
      </w:pPr>
    </w:lvl>
  </w:abstractNum>
  <w:abstractNum w:abstractNumId="11" w15:restartNumberingAfterBreak="0">
    <w:nsid w:val="2079799E"/>
    <w:multiLevelType w:val="multilevel"/>
    <w:tmpl w:val="C6E60256"/>
    <w:lvl w:ilvl="0">
      <w:start w:val="1"/>
      <w:numFmt w:val="decimal"/>
      <w:lvlText w:val="%1."/>
      <w:lvlJc w:val="left"/>
      <w:pPr>
        <w:ind w:left="360" w:hanging="360"/>
      </w:pPr>
      <w:rPr>
        <w:rFonts w:ascii="Times New Roman" w:hAnsi="Times New Roman" w:cs="Times New Roman"/>
        <w:b w:val="0"/>
        <w:color w:val="auto"/>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8127221"/>
    <w:multiLevelType w:val="hybridMultilevel"/>
    <w:tmpl w:val="FF62EF6E"/>
    <w:lvl w:ilvl="0" w:tplc="1700B4FC">
      <w:start w:val="1"/>
      <w:numFmt w:val="decimal"/>
      <w:lvlText w:val="%1."/>
      <w:lvlJc w:val="left"/>
      <w:pPr>
        <w:ind w:left="360" w:hanging="360"/>
      </w:pPr>
      <w:rPr>
        <w:b w:val="0"/>
        <w:bCs w:val="0"/>
      </w:rPr>
    </w:lvl>
    <w:lvl w:ilvl="1" w:tplc="3B745C56">
      <w:numFmt w:val="bullet"/>
      <w:lvlText w:val="-"/>
      <w:lvlJc w:val="left"/>
      <w:pPr>
        <w:ind w:left="1440" w:hanging="360"/>
      </w:pPr>
      <w:rPr>
        <w:rFonts w:ascii="Traditional Arabic" w:eastAsia="Calibri" w:hAnsi="Traditional Arabic" w:cs="Traditional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A942CEAE">
      <w:start w:val="1"/>
      <w:numFmt w:val="bullet"/>
      <w:pStyle w:val="Bullet2G"/>
      <w:lvlText w:val="•"/>
      <w:lvlJc w:val="left"/>
      <w:pPr>
        <w:tabs>
          <w:tab w:val="num" w:pos="2268"/>
        </w:tabs>
        <w:ind w:left="2268" w:hanging="170"/>
      </w:pPr>
      <w:rPr>
        <w:rFonts w:ascii="Times New Roman" w:hAnsi="Times New Roman" w:cs="Times New Roman" w:hint="default"/>
      </w:rPr>
    </w:lvl>
    <w:lvl w:ilvl="1" w:tplc="7D14F1C4" w:tentative="1">
      <w:start w:val="1"/>
      <w:numFmt w:val="bullet"/>
      <w:lvlText w:val="o"/>
      <w:lvlJc w:val="left"/>
      <w:pPr>
        <w:tabs>
          <w:tab w:val="num" w:pos="3708"/>
        </w:tabs>
        <w:ind w:left="3708" w:hanging="360"/>
      </w:pPr>
      <w:rPr>
        <w:rFonts w:ascii="Courier New" w:hAnsi="Courier New" w:hint="default"/>
      </w:rPr>
    </w:lvl>
    <w:lvl w:ilvl="2" w:tplc="A5F076A2" w:tentative="1">
      <w:start w:val="1"/>
      <w:numFmt w:val="bullet"/>
      <w:lvlText w:val=""/>
      <w:lvlJc w:val="left"/>
      <w:pPr>
        <w:tabs>
          <w:tab w:val="num" w:pos="4428"/>
        </w:tabs>
        <w:ind w:left="4428" w:hanging="360"/>
      </w:pPr>
      <w:rPr>
        <w:rFonts w:ascii="Wingdings" w:hAnsi="Wingdings" w:hint="default"/>
      </w:rPr>
    </w:lvl>
    <w:lvl w:ilvl="3" w:tplc="CAA4A23A" w:tentative="1">
      <w:start w:val="1"/>
      <w:numFmt w:val="bullet"/>
      <w:lvlText w:val=""/>
      <w:lvlJc w:val="left"/>
      <w:pPr>
        <w:tabs>
          <w:tab w:val="num" w:pos="5148"/>
        </w:tabs>
        <w:ind w:left="5148" w:hanging="360"/>
      </w:pPr>
      <w:rPr>
        <w:rFonts w:ascii="Symbol" w:hAnsi="Symbol" w:hint="default"/>
      </w:rPr>
    </w:lvl>
    <w:lvl w:ilvl="4" w:tplc="FA16E072" w:tentative="1">
      <w:start w:val="1"/>
      <w:numFmt w:val="bullet"/>
      <w:lvlText w:val="o"/>
      <w:lvlJc w:val="left"/>
      <w:pPr>
        <w:tabs>
          <w:tab w:val="num" w:pos="5868"/>
        </w:tabs>
        <w:ind w:left="5868" w:hanging="360"/>
      </w:pPr>
      <w:rPr>
        <w:rFonts w:ascii="Courier New" w:hAnsi="Courier New" w:hint="default"/>
      </w:rPr>
    </w:lvl>
    <w:lvl w:ilvl="5" w:tplc="F4C0E97A" w:tentative="1">
      <w:start w:val="1"/>
      <w:numFmt w:val="bullet"/>
      <w:lvlText w:val=""/>
      <w:lvlJc w:val="left"/>
      <w:pPr>
        <w:tabs>
          <w:tab w:val="num" w:pos="6588"/>
        </w:tabs>
        <w:ind w:left="6588" w:hanging="360"/>
      </w:pPr>
      <w:rPr>
        <w:rFonts w:ascii="Wingdings" w:hAnsi="Wingdings" w:hint="default"/>
      </w:rPr>
    </w:lvl>
    <w:lvl w:ilvl="6" w:tplc="94B67C6C" w:tentative="1">
      <w:start w:val="1"/>
      <w:numFmt w:val="bullet"/>
      <w:lvlText w:val=""/>
      <w:lvlJc w:val="left"/>
      <w:pPr>
        <w:tabs>
          <w:tab w:val="num" w:pos="7308"/>
        </w:tabs>
        <w:ind w:left="7308" w:hanging="360"/>
      </w:pPr>
      <w:rPr>
        <w:rFonts w:ascii="Symbol" w:hAnsi="Symbol" w:hint="default"/>
      </w:rPr>
    </w:lvl>
    <w:lvl w:ilvl="7" w:tplc="9F6A5300" w:tentative="1">
      <w:start w:val="1"/>
      <w:numFmt w:val="bullet"/>
      <w:lvlText w:val="o"/>
      <w:lvlJc w:val="left"/>
      <w:pPr>
        <w:tabs>
          <w:tab w:val="num" w:pos="8028"/>
        </w:tabs>
        <w:ind w:left="8028" w:hanging="360"/>
      </w:pPr>
      <w:rPr>
        <w:rFonts w:ascii="Courier New" w:hAnsi="Courier New" w:hint="default"/>
      </w:rPr>
    </w:lvl>
    <w:lvl w:ilvl="8" w:tplc="B3EAADF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7A61101"/>
    <w:multiLevelType w:val="hybridMultilevel"/>
    <w:tmpl w:val="2EE67202"/>
    <w:lvl w:ilvl="0" w:tplc="12D2406E">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68AD07B2"/>
    <w:multiLevelType w:val="hybridMultilevel"/>
    <w:tmpl w:val="7FEE3222"/>
    <w:lvl w:ilvl="0" w:tplc="1966CC2A">
      <w:start w:val="1"/>
      <w:numFmt w:val="bullet"/>
      <w:pStyle w:val="Bullet1G"/>
      <w:lvlText w:val="•"/>
      <w:lvlJc w:val="left"/>
      <w:pPr>
        <w:tabs>
          <w:tab w:val="num" w:pos="1701"/>
        </w:tabs>
        <w:ind w:left="1701" w:hanging="170"/>
      </w:pPr>
      <w:rPr>
        <w:rFonts w:ascii="Times New Roman" w:hAnsi="Times New Roman" w:cs="Times New Roman" w:hint="default"/>
      </w:rPr>
    </w:lvl>
    <w:lvl w:ilvl="1" w:tplc="11D68E54" w:tentative="1">
      <w:start w:val="1"/>
      <w:numFmt w:val="bullet"/>
      <w:lvlText w:val="o"/>
      <w:lvlJc w:val="left"/>
      <w:pPr>
        <w:tabs>
          <w:tab w:val="num" w:pos="3141"/>
        </w:tabs>
        <w:ind w:left="3141" w:hanging="360"/>
      </w:pPr>
      <w:rPr>
        <w:rFonts w:ascii="Courier New" w:hAnsi="Courier New" w:hint="default"/>
      </w:rPr>
    </w:lvl>
    <w:lvl w:ilvl="2" w:tplc="A0042BC4" w:tentative="1">
      <w:start w:val="1"/>
      <w:numFmt w:val="bullet"/>
      <w:lvlText w:val=""/>
      <w:lvlJc w:val="left"/>
      <w:pPr>
        <w:tabs>
          <w:tab w:val="num" w:pos="3861"/>
        </w:tabs>
        <w:ind w:left="3861" w:hanging="360"/>
      </w:pPr>
      <w:rPr>
        <w:rFonts w:ascii="Wingdings" w:hAnsi="Wingdings" w:hint="default"/>
      </w:rPr>
    </w:lvl>
    <w:lvl w:ilvl="3" w:tplc="83CA6540" w:tentative="1">
      <w:start w:val="1"/>
      <w:numFmt w:val="bullet"/>
      <w:lvlText w:val=""/>
      <w:lvlJc w:val="left"/>
      <w:pPr>
        <w:tabs>
          <w:tab w:val="num" w:pos="4581"/>
        </w:tabs>
        <w:ind w:left="4581" w:hanging="360"/>
      </w:pPr>
      <w:rPr>
        <w:rFonts w:ascii="Symbol" w:hAnsi="Symbol" w:hint="default"/>
      </w:rPr>
    </w:lvl>
    <w:lvl w:ilvl="4" w:tplc="AC585F68" w:tentative="1">
      <w:start w:val="1"/>
      <w:numFmt w:val="bullet"/>
      <w:lvlText w:val="o"/>
      <w:lvlJc w:val="left"/>
      <w:pPr>
        <w:tabs>
          <w:tab w:val="num" w:pos="5301"/>
        </w:tabs>
        <w:ind w:left="5301" w:hanging="360"/>
      </w:pPr>
      <w:rPr>
        <w:rFonts w:ascii="Courier New" w:hAnsi="Courier New" w:hint="default"/>
      </w:rPr>
    </w:lvl>
    <w:lvl w:ilvl="5" w:tplc="872E8224" w:tentative="1">
      <w:start w:val="1"/>
      <w:numFmt w:val="bullet"/>
      <w:lvlText w:val=""/>
      <w:lvlJc w:val="left"/>
      <w:pPr>
        <w:tabs>
          <w:tab w:val="num" w:pos="6021"/>
        </w:tabs>
        <w:ind w:left="6021" w:hanging="360"/>
      </w:pPr>
      <w:rPr>
        <w:rFonts w:ascii="Wingdings" w:hAnsi="Wingdings" w:hint="default"/>
      </w:rPr>
    </w:lvl>
    <w:lvl w:ilvl="6" w:tplc="062C1E76" w:tentative="1">
      <w:start w:val="1"/>
      <w:numFmt w:val="bullet"/>
      <w:lvlText w:val=""/>
      <w:lvlJc w:val="left"/>
      <w:pPr>
        <w:tabs>
          <w:tab w:val="num" w:pos="6741"/>
        </w:tabs>
        <w:ind w:left="6741" w:hanging="360"/>
      </w:pPr>
      <w:rPr>
        <w:rFonts w:ascii="Symbol" w:hAnsi="Symbol" w:hint="default"/>
      </w:rPr>
    </w:lvl>
    <w:lvl w:ilvl="7" w:tplc="F128516C" w:tentative="1">
      <w:start w:val="1"/>
      <w:numFmt w:val="bullet"/>
      <w:lvlText w:val="o"/>
      <w:lvlJc w:val="left"/>
      <w:pPr>
        <w:tabs>
          <w:tab w:val="num" w:pos="7461"/>
        </w:tabs>
        <w:ind w:left="7461" w:hanging="360"/>
      </w:pPr>
      <w:rPr>
        <w:rFonts w:ascii="Courier New" w:hAnsi="Courier New" w:hint="default"/>
      </w:rPr>
    </w:lvl>
    <w:lvl w:ilvl="8" w:tplc="1986A81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F9123BD"/>
    <w:multiLevelType w:val="multilevel"/>
    <w:tmpl w:val="A95CD356"/>
    <w:lvl w:ilvl="0">
      <w:start w:val="3"/>
      <w:numFmt w:val="decimal"/>
      <w:lvlText w:val="%1."/>
      <w:lvlJc w:val="left"/>
      <w:pPr>
        <w:ind w:left="397" w:hanging="567"/>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375302610">
    <w:abstractNumId w:val="18"/>
  </w:num>
  <w:num w:numId="2" w16cid:durableId="298656937">
    <w:abstractNumId w:val="13"/>
  </w:num>
  <w:num w:numId="3" w16cid:durableId="1220626053">
    <w:abstractNumId w:val="10"/>
  </w:num>
  <w:num w:numId="4" w16cid:durableId="911506026">
    <w:abstractNumId w:val="8"/>
  </w:num>
  <w:num w:numId="5" w16cid:durableId="1612205310">
    <w:abstractNumId w:val="3"/>
  </w:num>
  <w:num w:numId="6" w16cid:durableId="1177503645">
    <w:abstractNumId w:val="2"/>
  </w:num>
  <w:num w:numId="7" w16cid:durableId="649940053">
    <w:abstractNumId w:val="1"/>
  </w:num>
  <w:num w:numId="8" w16cid:durableId="1614095266">
    <w:abstractNumId w:val="0"/>
  </w:num>
  <w:num w:numId="9" w16cid:durableId="2097287209">
    <w:abstractNumId w:val="9"/>
  </w:num>
  <w:num w:numId="10" w16cid:durableId="340011039">
    <w:abstractNumId w:val="7"/>
  </w:num>
  <w:num w:numId="11" w16cid:durableId="2101292357">
    <w:abstractNumId w:val="6"/>
  </w:num>
  <w:num w:numId="12" w16cid:durableId="1070231660">
    <w:abstractNumId w:val="5"/>
  </w:num>
  <w:num w:numId="13" w16cid:durableId="55856337">
    <w:abstractNumId w:val="4"/>
  </w:num>
  <w:num w:numId="14" w16cid:durableId="2003198397">
    <w:abstractNumId w:val="18"/>
  </w:num>
  <w:num w:numId="15" w16cid:durableId="1041904979">
    <w:abstractNumId w:val="13"/>
  </w:num>
  <w:num w:numId="16" w16cid:durableId="1397703714">
    <w:abstractNumId w:val="10"/>
  </w:num>
  <w:num w:numId="17" w16cid:durableId="607198153">
    <w:abstractNumId w:val="14"/>
  </w:num>
  <w:num w:numId="18" w16cid:durableId="305429951">
    <w:abstractNumId w:val="16"/>
  </w:num>
  <w:num w:numId="19" w16cid:durableId="1446460272">
    <w:abstractNumId w:val="15"/>
  </w:num>
  <w:num w:numId="20" w16cid:durableId="1886746840">
    <w:abstractNumId w:val="19"/>
  </w:num>
  <w:num w:numId="21" w16cid:durableId="1315446450">
    <w:abstractNumId w:val="11"/>
  </w:num>
  <w:num w:numId="22" w16cid:durableId="1473713860">
    <w:abstractNumId w:val="20"/>
  </w:num>
  <w:num w:numId="23" w16cid:durableId="1537624838">
    <w:abstractNumId w:val="17"/>
  </w:num>
  <w:num w:numId="24" w16cid:durableId="10316886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000129B9"/>
    <w:rsid w:val="00016B7B"/>
    <w:rsid w:val="00030085"/>
    <w:rsid w:val="000A5AB5"/>
    <w:rsid w:val="000C6253"/>
    <w:rsid w:val="000D5604"/>
    <w:rsid w:val="001332FA"/>
    <w:rsid w:val="001507EF"/>
    <w:rsid w:val="001F63B0"/>
    <w:rsid w:val="002844AB"/>
    <w:rsid w:val="002E04D8"/>
    <w:rsid w:val="002E233B"/>
    <w:rsid w:val="003550D0"/>
    <w:rsid w:val="003B2394"/>
    <w:rsid w:val="003D714C"/>
    <w:rsid w:val="003F02F3"/>
    <w:rsid w:val="00403CFF"/>
    <w:rsid w:val="0040591D"/>
    <w:rsid w:val="00446122"/>
    <w:rsid w:val="0047520C"/>
    <w:rsid w:val="00490503"/>
    <w:rsid w:val="004A3BCC"/>
    <w:rsid w:val="004D1712"/>
    <w:rsid w:val="004D2452"/>
    <w:rsid w:val="00545951"/>
    <w:rsid w:val="00562B0E"/>
    <w:rsid w:val="00591BC2"/>
    <w:rsid w:val="00601486"/>
    <w:rsid w:val="00621C3F"/>
    <w:rsid w:val="00655FD9"/>
    <w:rsid w:val="00672924"/>
    <w:rsid w:val="00684C96"/>
    <w:rsid w:val="006D2FB1"/>
    <w:rsid w:val="006D3E6C"/>
    <w:rsid w:val="00700ED4"/>
    <w:rsid w:val="00750FDE"/>
    <w:rsid w:val="007A0260"/>
    <w:rsid w:val="007C08F8"/>
    <w:rsid w:val="007E5869"/>
    <w:rsid w:val="007E725A"/>
    <w:rsid w:val="008A0268"/>
    <w:rsid w:val="0091068D"/>
    <w:rsid w:val="00910A07"/>
    <w:rsid w:val="00951757"/>
    <w:rsid w:val="009C756F"/>
    <w:rsid w:val="00A065FD"/>
    <w:rsid w:val="00A17804"/>
    <w:rsid w:val="00AD4AC0"/>
    <w:rsid w:val="00AD5CD3"/>
    <w:rsid w:val="00AD7FA8"/>
    <w:rsid w:val="00AF2E89"/>
    <w:rsid w:val="00AF7F0B"/>
    <w:rsid w:val="00B47BAB"/>
    <w:rsid w:val="00B86B15"/>
    <w:rsid w:val="00BA4B9E"/>
    <w:rsid w:val="00BB0A26"/>
    <w:rsid w:val="00BC00B9"/>
    <w:rsid w:val="00BD7B85"/>
    <w:rsid w:val="00D311A7"/>
    <w:rsid w:val="00DA6B7D"/>
    <w:rsid w:val="00DC6731"/>
    <w:rsid w:val="00DE5958"/>
    <w:rsid w:val="00E67615"/>
    <w:rsid w:val="00E80CB4"/>
    <w:rsid w:val="00EB23CA"/>
    <w:rsid w:val="00ED5F12"/>
    <w:rsid w:val="00F233F9"/>
    <w:rsid w:val="00FD682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A5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84C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2025-11-25T12:49:53+00:00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C74EA6-8ECF-4036-8F40-F0450A13C464}">
  <ds:schemaRefs>
    <ds:schemaRef ds:uri="http://schemas.openxmlformats.org/officeDocument/2006/bibliography"/>
  </ds:schemaRefs>
</ds:datastoreItem>
</file>

<file path=customXml/itemProps2.xml><?xml version="1.0" encoding="utf-8"?>
<ds:datastoreItem xmlns:ds="http://schemas.openxmlformats.org/officeDocument/2006/customXml" ds:itemID="{D5080E46-09C8-4EE0-B44C-30C61810BA0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ED4EA623-4B24-4155-B57C-9FE5856082B6}">
  <ds:schemaRefs>
    <ds:schemaRef ds:uri="http://schemas.microsoft.com/sharepoint/v3/contenttype/forms"/>
  </ds:schemaRefs>
</ds:datastoreItem>
</file>

<file path=customXml/itemProps4.xml><?xml version="1.0" encoding="utf-8"?>
<ds:datastoreItem xmlns:ds="http://schemas.openxmlformats.org/officeDocument/2006/customXml" ds:itemID="{A090EA58-61C0-4B75-A829-6AD072BA79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38</Pages>
  <Words>19014</Words>
  <Characters>100205</Characters>
  <Application>Microsoft Office Word</Application>
  <DocSecurity>0</DocSecurity>
  <Lines>1237</Lines>
  <Paragraphs>383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118836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CEDAW/C/RUS/10</dc:title>
  <dc:creator>Gloria</dc:creator>
  <cp:lastModifiedBy>Jamila Devi Seerathun</cp:lastModifiedBy>
  <cp:revision>3</cp:revision>
  <cp:lastPrinted>2017-04-21T12:16:00Z</cp:lastPrinted>
  <dcterms:created xsi:type="dcterms:W3CDTF">2026-01-23T14:05:00Z</dcterms:created>
  <dcterms:modified xsi:type="dcterms:W3CDTF">2026-01-23T14:05:00Z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the Russian Federation</vt:lpwstr>
  </property>
  <property fmtid="{D5CDD505-2E9C-101B-9397-08002B2CF9AE}" pid="8" name="countw">
    <vt:lpwstr>the Russian Federation</vt:lpwstr>
  </property>
  <property fmtid="{D5CDD505-2E9C-101B-9397-08002B2CF9AE}" pid="9" name="countwd">
    <vt:lpwstr>the Russian Federation</vt:lpwstr>
  </property>
  <property fmtid="{D5CDD505-2E9C-101B-9397-08002B2CF9AE}" pid="10" name="date">
    <vt:lpwstr>8 December 2025</vt:lpwstr>
  </property>
  <property fmtid="{D5CDD505-2E9C-101B-9397-08002B2CF9AE}" pid="11" name="Date-Generated">
    <vt:filetime>2025-11-25T12:48:36Z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159000</vt:r8>
  </property>
  <property fmtid="{D5CDD505-2E9C-101B-9397-08002B2CF9AE}" pid="21" name="Org">
    <vt:lpwstr>OHCHR</vt:lpwstr>
  </property>
  <property fmtid="{D5CDD505-2E9C-101B-9397-08002B2CF9AE}" pid="22" name="prep">
    <vt:lpwstr>tenth periodic report of the Russian Federation</vt:lpwstr>
  </property>
  <property fmtid="{D5CDD505-2E9C-101B-9397-08002B2CF9AE}" pid="23" name="preps">
    <vt:lpwstr>tenth periodic report of the Russian Federation</vt:lpwstr>
  </property>
  <property fmtid="{D5CDD505-2E9C-101B-9397-08002B2CF9AE}" pid="24" name="prepw">
    <vt:lpwstr>tenth periodic report</vt:lpwstr>
  </property>
  <property fmtid="{D5CDD505-2E9C-101B-9397-08002B2CF9AE}" pid="25" name="prepwc">
    <vt:lpwstr>Tenth periodic report </vt:lpwstr>
  </property>
  <property fmtid="{D5CDD505-2E9C-101B-9397-08002B2CF9AE}" pid="26" name="prepws">
    <vt:lpwstr>tenth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C/RUS/10</vt:lpwstr>
  </property>
  <property fmtid="{D5CDD505-2E9C-101B-9397-08002B2CF9AE}" pid="32" name="symh">
    <vt:lpwstr>CEDAW/C/RUS/10</vt:lpwstr>
  </property>
  <property fmtid="{D5CDD505-2E9C-101B-9397-08002B2CF9AE}" pid="33" name="Title">
    <vt:lpwstr>CEDAW/C/RUS/10</vt:lpwstr>
  </property>
  <property fmtid="{D5CDD505-2E9C-101B-9397-08002B2CF9AE}" pid="34" name="tlang">
    <vt:lpwstr/>
  </property>
  <property fmtid="{D5CDD505-2E9C-101B-9397-08002B2CF9AE}" pid="35" name="virs">
    <vt:lpwstr>English, French, Russian and Spanish only</vt:lpwstr>
  </property>
  <property fmtid="{D5CDD505-2E9C-101B-9397-08002B2CF9AE}" pid="36" name="ContentTypeId">
    <vt:lpwstr>0x010100A3CFA62B47352B44BFD11BEB9CD9FD5A</vt:lpwstr>
  </property>
</Properties>
</file>