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BCE43" w14:textId="6E63FED6" w:rsidR="001417EB" w:rsidRPr="00D5611D" w:rsidRDefault="001417EB" w:rsidP="001417EB">
      <w:pPr>
        <w:spacing w:after="0"/>
        <w:jc w:val="both"/>
        <w:rPr>
          <w:rFonts w:ascii="Times New Roman" w:eastAsia="Times New Roman" w:hAnsi="Times New Roman" w:cs="Times New Roman"/>
          <w:b/>
          <w:bCs/>
          <w:color w:val="404040"/>
          <w:lang w:val="en-US" w:eastAsia="lt-LT"/>
        </w:rPr>
      </w:pPr>
      <w:r w:rsidRPr="00D5611D">
        <w:rPr>
          <w:rFonts w:ascii="Times New Roman" w:eastAsia="Times New Roman" w:hAnsi="Times New Roman" w:cs="Times New Roman"/>
          <w:b/>
          <w:bCs/>
          <w:color w:val="404040"/>
          <w:lang w:val="en-US" w:eastAsia="lt-LT"/>
        </w:rPr>
        <w:t>Appendix No 18</w:t>
      </w:r>
    </w:p>
    <w:p w14:paraId="0D343F39" w14:textId="5FA23448" w:rsidR="001417EB" w:rsidRPr="00D5611D" w:rsidRDefault="001417EB" w:rsidP="001417EB">
      <w:pPr>
        <w:spacing w:after="0"/>
        <w:jc w:val="both"/>
        <w:rPr>
          <w:rFonts w:ascii="Times New Roman" w:eastAsia="Times New Roman" w:hAnsi="Times New Roman" w:cs="Times New Roman"/>
          <w:b/>
          <w:bCs/>
          <w:color w:val="404040"/>
          <w:lang w:val="en-US" w:eastAsia="lt-LT"/>
        </w:rPr>
      </w:pPr>
    </w:p>
    <w:p w14:paraId="6CBC9C4C" w14:textId="0E14579A" w:rsidR="00BD54D6" w:rsidRPr="00D5611D" w:rsidRDefault="00BD54D6" w:rsidP="001417EB">
      <w:pPr>
        <w:spacing w:after="0"/>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Measures taken to guarantee an adequate standard of living </w:t>
      </w:r>
    </w:p>
    <w:p w14:paraId="2D7D3418" w14:textId="374447DF" w:rsidR="00BD54D6" w:rsidRPr="00D5611D" w:rsidRDefault="00BD54D6" w:rsidP="001417EB">
      <w:pPr>
        <w:spacing w:after="0"/>
        <w:jc w:val="both"/>
        <w:rPr>
          <w:rFonts w:ascii="Times New Roman" w:eastAsia="Times New Roman" w:hAnsi="Times New Roman" w:cs="Times New Roman"/>
          <w:color w:val="404040"/>
          <w:lang w:val="en-US" w:eastAsia="lt-LT"/>
        </w:rPr>
      </w:pPr>
    </w:p>
    <w:tbl>
      <w:tblPr>
        <w:tblStyle w:val="Lentelstinklelis"/>
        <w:tblW w:w="15163" w:type="dxa"/>
        <w:tblLook w:val="04A0" w:firstRow="1" w:lastRow="0" w:firstColumn="1" w:lastColumn="0" w:noHBand="0" w:noVBand="1"/>
      </w:tblPr>
      <w:tblGrid>
        <w:gridCol w:w="2547"/>
        <w:gridCol w:w="7938"/>
        <w:gridCol w:w="4678"/>
      </w:tblGrid>
      <w:tr w:rsidR="00A91E05" w:rsidRPr="00D5611D" w14:paraId="70C41B8A" w14:textId="77777777" w:rsidTr="00FE708B">
        <w:tc>
          <w:tcPr>
            <w:tcW w:w="2547" w:type="dxa"/>
            <w:shd w:val="clear" w:color="auto" w:fill="4472C4" w:themeFill="accent1"/>
          </w:tcPr>
          <w:p w14:paraId="751BA82C" w14:textId="25DAE211" w:rsidR="00A91E05" w:rsidRPr="00D5611D" w:rsidRDefault="00A91E05" w:rsidP="001417EB">
            <w:pPr>
              <w:jc w:val="both"/>
              <w:rPr>
                <w:rFonts w:ascii="Times New Roman" w:eastAsia="Times New Roman" w:hAnsi="Times New Roman" w:cs="Times New Roman"/>
                <w:color w:val="FFFFFF" w:themeColor="background1"/>
                <w:lang w:val="en-US" w:eastAsia="lt-LT"/>
              </w:rPr>
            </w:pPr>
            <w:r w:rsidRPr="00D5611D">
              <w:rPr>
                <w:rFonts w:ascii="Times New Roman" w:eastAsia="Times New Roman" w:hAnsi="Times New Roman" w:cs="Times New Roman"/>
                <w:color w:val="FFFFFF" w:themeColor="background1"/>
                <w:lang w:val="en-US" w:eastAsia="lt-LT"/>
              </w:rPr>
              <w:t>Measure</w:t>
            </w:r>
          </w:p>
        </w:tc>
        <w:tc>
          <w:tcPr>
            <w:tcW w:w="7938" w:type="dxa"/>
            <w:shd w:val="clear" w:color="auto" w:fill="4472C4" w:themeFill="accent1"/>
          </w:tcPr>
          <w:p w14:paraId="410F8404" w14:textId="75A2F17F" w:rsidR="00A91E05" w:rsidRPr="00D5611D" w:rsidRDefault="00A91E05" w:rsidP="001417EB">
            <w:pPr>
              <w:jc w:val="both"/>
              <w:rPr>
                <w:rFonts w:ascii="Times New Roman" w:eastAsia="Times New Roman" w:hAnsi="Times New Roman" w:cs="Times New Roman"/>
                <w:color w:val="FFFFFF" w:themeColor="background1"/>
                <w:lang w:val="en-US" w:eastAsia="lt-LT"/>
              </w:rPr>
            </w:pPr>
            <w:r w:rsidRPr="00D5611D">
              <w:rPr>
                <w:rFonts w:ascii="Times New Roman" w:eastAsia="Times New Roman" w:hAnsi="Times New Roman" w:cs="Times New Roman"/>
                <w:color w:val="FFFFFF" w:themeColor="background1"/>
                <w:lang w:val="en-US" w:eastAsia="lt-LT"/>
              </w:rPr>
              <w:t>Aim</w:t>
            </w:r>
          </w:p>
        </w:tc>
        <w:tc>
          <w:tcPr>
            <w:tcW w:w="4678" w:type="dxa"/>
            <w:shd w:val="clear" w:color="auto" w:fill="4472C4" w:themeFill="accent1"/>
          </w:tcPr>
          <w:p w14:paraId="2A695861" w14:textId="77777777" w:rsidR="00A91E05" w:rsidRPr="00D5611D" w:rsidRDefault="00A91E05" w:rsidP="001417EB">
            <w:pPr>
              <w:jc w:val="both"/>
              <w:rPr>
                <w:rFonts w:ascii="Times New Roman" w:eastAsia="Times New Roman" w:hAnsi="Times New Roman" w:cs="Times New Roman"/>
                <w:color w:val="FFFFFF" w:themeColor="background1"/>
                <w:lang w:val="en-US" w:eastAsia="lt-LT"/>
              </w:rPr>
            </w:pPr>
            <w:r w:rsidRPr="00D5611D">
              <w:rPr>
                <w:rFonts w:ascii="Times New Roman" w:eastAsia="Times New Roman" w:hAnsi="Times New Roman" w:cs="Times New Roman"/>
                <w:color w:val="FFFFFF" w:themeColor="background1"/>
                <w:lang w:val="en-US" w:eastAsia="lt-LT"/>
              </w:rPr>
              <w:t>Amount</w:t>
            </w:r>
          </w:p>
          <w:p w14:paraId="0B4853D0" w14:textId="740978B9" w:rsidR="00A91E05" w:rsidRPr="00D5611D" w:rsidRDefault="00A91E05" w:rsidP="001417EB">
            <w:pPr>
              <w:jc w:val="both"/>
              <w:rPr>
                <w:rFonts w:ascii="Times New Roman" w:eastAsia="Times New Roman" w:hAnsi="Times New Roman" w:cs="Times New Roman"/>
                <w:color w:val="FFFFFF" w:themeColor="background1"/>
                <w:lang w:val="en-US" w:eastAsia="lt-LT"/>
              </w:rPr>
            </w:pPr>
          </w:p>
        </w:tc>
      </w:tr>
      <w:tr w:rsidR="00A91E05" w:rsidRPr="00D5611D" w14:paraId="361597E7" w14:textId="002D60BE" w:rsidTr="00FE708B">
        <w:tc>
          <w:tcPr>
            <w:tcW w:w="2547" w:type="dxa"/>
          </w:tcPr>
          <w:p w14:paraId="532D2496" w14:textId="76DE9F30" w:rsidR="00A91E05" w:rsidRPr="00D5611D" w:rsidRDefault="00A91E05"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Jobseeker’s allowance</w:t>
            </w:r>
          </w:p>
        </w:tc>
        <w:tc>
          <w:tcPr>
            <w:tcW w:w="7938" w:type="dxa"/>
          </w:tcPr>
          <w:p w14:paraId="05E17A18" w14:textId="68286724" w:rsidR="00A91E05" w:rsidRPr="00D5611D" w:rsidRDefault="00A91E05"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Aimed to cover the unemployed not entitled to contributory unemployment benefits. This included the unemployed persons who have not required contribution record or have exceeded the maximum duration of the unemployment benefit, as well as self-employed people who are not eligible for social insurance unemployment benefits. The benefit was paid for all registered unemployed not depending on their previous employment status or social insurance record in 2020. </w:t>
            </w:r>
          </w:p>
        </w:tc>
        <w:tc>
          <w:tcPr>
            <w:tcW w:w="4678" w:type="dxa"/>
          </w:tcPr>
          <w:p w14:paraId="67E4F7D1" w14:textId="3C8922D1" w:rsidR="00A91E05" w:rsidRPr="00D5611D" w:rsidRDefault="00A91E05"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In 2020, the amount of the jobseeker's allowance was EUR 200 per month. Moreover, a EUR 42 temporary jobseeker's allowance was paid as a top-up for the unemployed receiving contributory unemployment benefits.</w:t>
            </w:r>
          </w:p>
        </w:tc>
      </w:tr>
      <w:tr w:rsidR="00A91E05" w:rsidRPr="00D5611D" w14:paraId="6E5C119E" w14:textId="5603FFDE" w:rsidTr="00FE708B">
        <w:tc>
          <w:tcPr>
            <w:tcW w:w="2547" w:type="dxa"/>
          </w:tcPr>
          <w:p w14:paraId="757140B2" w14:textId="41893589" w:rsidR="00A91E05" w:rsidRPr="00D5611D" w:rsidRDefault="00A91E05" w:rsidP="00FE708B">
            <w:pPr>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Wage subsidies for furloughed employees</w:t>
            </w:r>
          </w:p>
        </w:tc>
        <w:tc>
          <w:tcPr>
            <w:tcW w:w="7938" w:type="dxa"/>
          </w:tcPr>
          <w:p w14:paraId="5E325AD9" w14:textId="2C6CFB25" w:rsidR="00A91E05" w:rsidRPr="00D5611D" w:rsidRDefault="00A91E05" w:rsidP="00814277">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Aimed to maintain jobs. Employers were eligible for wage subsidies for furloughed employees after the state of emergency and quarantine </w:t>
            </w:r>
            <w:r w:rsidR="001C12F5">
              <w:rPr>
                <w:rFonts w:ascii="Times New Roman" w:eastAsia="Times New Roman" w:hAnsi="Times New Roman" w:cs="Times New Roman"/>
                <w:color w:val="404040"/>
                <w:lang w:val="en-US" w:eastAsia="lt-LT"/>
              </w:rPr>
              <w:t xml:space="preserve">was </w:t>
            </w:r>
            <w:r w:rsidRPr="00D5611D">
              <w:rPr>
                <w:rFonts w:ascii="Times New Roman" w:eastAsia="Times New Roman" w:hAnsi="Times New Roman" w:cs="Times New Roman"/>
                <w:color w:val="404040"/>
                <w:lang w:val="en-US" w:eastAsia="lt-LT"/>
              </w:rPr>
              <w:t>declared by the Government. The furlough can be full-time or part-time with a proportional compensation of the time employees are on furlough. A more favourable option can be chosen depending on the wage of the furloughed employee. Compensations for employees aged 60 and over could reach 100% of the employee’s gross wage, but no more than one MMW per month.</w:t>
            </w:r>
          </w:p>
          <w:p w14:paraId="14CBED52" w14:textId="4CD40F66" w:rsidR="00A91E05" w:rsidRPr="00D5611D" w:rsidRDefault="00A91E05" w:rsidP="00814277">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Wage subsidies: employers were eligible for wage subsidies after quarantine if they: a) furlough but did not dismiss employees during the quarantine; b) employed previously unemployed persons referred by the Employment Services; c) were included in the list of companies affected by COVID-19, as drawn up by the State Tax Inspectorate. The subsidies amounted up to 100%*MMS per month and were paid in the first two months after the first quarantine in 2020, and gradually decreased in the subsequent months (i.e., 50%*MMS per month for the third-fourth months and 30%*MMS per month for the fifth-sixth months). Furthermore, employers were entitled to larger subsidies (up to 2*MMS per month per employee) if they were on the list of activities approved by the Minister for Social Security of the Republic of Lithuania and Labour and the Minister for the Economy and Innovation of the Republic of Lithuania. The maximum subsidy payment period was six months after the quarantine (four months for temporary or seasonal contracts).</w:t>
            </w:r>
          </w:p>
        </w:tc>
        <w:tc>
          <w:tcPr>
            <w:tcW w:w="4678" w:type="dxa"/>
          </w:tcPr>
          <w:p w14:paraId="727BC1EF" w14:textId="3EDF9EF6" w:rsidR="00A91E05" w:rsidRPr="00D5611D" w:rsidRDefault="00A91E05" w:rsidP="00814277">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In 2020, there were two optional levels of the subsidies: either 90% of employees’ gross wage (capped at the amount of the monthly minimum wage (MMS), i.e., EUR 607 gross), or 70% of employees’ gross wage (capped at 1.5*MMS).</w:t>
            </w:r>
          </w:p>
        </w:tc>
      </w:tr>
      <w:tr w:rsidR="00A91E05" w:rsidRPr="00D5611D" w14:paraId="2CEF5E5C" w14:textId="10CBE94F" w:rsidTr="00FE708B">
        <w:tc>
          <w:tcPr>
            <w:tcW w:w="2547" w:type="dxa"/>
          </w:tcPr>
          <w:p w14:paraId="5D1CC864" w14:textId="273F726C" w:rsidR="00A91E05"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Benefit for self-employed persons</w:t>
            </w:r>
          </w:p>
        </w:tc>
        <w:tc>
          <w:tcPr>
            <w:tcW w:w="7938" w:type="dxa"/>
          </w:tcPr>
          <w:p w14:paraId="3440970B" w14:textId="22673BCC" w:rsidR="00A91E05"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The benefit for the self-employed was paid irrespective of whether or not self-employment activities were restricted due to the quarantine and irrespective of any change in income from self-employment. It was not paid if a self-employed person also </w:t>
            </w:r>
            <w:r w:rsidRPr="00D5611D">
              <w:rPr>
                <w:rFonts w:ascii="Times New Roman" w:eastAsia="Times New Roman" w:hAnsi="Times New Roman" w:cs="Times New Roman"/>
                <w:color w:val="404040"/>
                <w:lang w:val="en-US" w:eastAsia="lt-LT"/>
              </w:rPr>
              <w:lastRenderedPageBreak/>
              <w:t>received employment-related income exceeding one monthly minimum wage (MMS). The benefit could be received together with unemployment benefits.</w:t>
            </w:r>
          </w:p>
        </w:tc>
        <w:tc>
          <w:tcPr>
            <w:tcW w:w="4678" w:type="dxa"/>
          </w:tcPr>
          <w:p w14:paraId="79C23C5C" w14:textId="63CF8DD5" w:rsidR="00A91E05"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lastRenderedPageBreak/>
              <w:t>The benefit was a flat-rate payment of EUR 257 per month before the end of 2020 and for two extra months thereafter.</w:t>
            </w:r>
          </w:p>
        </w:tc>
      </w:tr>
      <w:tr w:rsidR="00A91E05" w:rsidRPr="00D5611D" w14:paraId="3735EB50" w14:textId="2B928C42" w:rsidTr="00FE708B">
        <w:tc>
          <w:tcPr>
            <w:tcW w:w="2547" w:type="dxa"/>
          </w:tcPr>
          <w:p w14:paraId="7603AF55" w14:textId="6742F83F" w:rsidR="00A91E05"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One-off child allowance</w:t>
            </w:r>
          </w:p>
        </w:tc>
        <w:tc>
          <w:tcPr>
            <w:tcW w:w="7938" w:type="dxa"/>
          </w:tcPr>
          <w:p w14:paraId="066A4DC3" w14:textId="7101DD40" w:rsidR="00A91E05"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Was paid in July 2020 or with the first payment of the child benefit for the new recipients in 2020.</w:t>
            </w:r>
          </w:p>
        </w:tc>
        <w:tc>
          <w:tcPr>
            <w:tcW w:w="4678" w:type="dxa"/>
          </w:tcPr>
          <w:p w14:paraId="301B9D1D" w14:textId="7A7EC6DD" w:rsidR="00A91E05"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EUR 120 per child (EUR 200 per child for poor or large families or families raising a child with disabilities) was introduced on 6 June 2020.</w:t>
            </w:r>
          </w:p>
        </w:tc>
      </w:tr>
      <w:tr w:rsidR="00A91E05" w:rsidRPr="00D5611D" w14:paraId="5AFE0E67" w14:textId="2E6732E9" w:rsidTr="00FE708B">
        <w:tc>
          <w:tcPr>
            <w:tcW w:w="2547" w:type="dxa"/>
          </w:tcPr>
          <w:p w14:paraId="2A911BC1" w14:textId="7C427C6F" w:rsidR="00A91E05"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Lump-sum allowance for pensioners</w:t>
            </w:r>
          </w:p>
        </w:tc>
        <w:tc>
          <w:tcPr>
            <w:tcW w:w="7938" w:type="dxa"/>
          </w:tcPr>
          <w:p w14:paraId="1BE27DBA" w14:textId="77777777" w:rsidR="00A91E05" w:rsidRPr="00D5611D" w:rsidRDefault="00A91E05" w:rsidP="001417EB">
            <w:pPr>
              <w:jc w:val="both"/>
              <w:rPr>
                <w:rFonts w:ascii="Times New Roman" w:eastAsia="Times New Roman" w:hAnsi="Times New Roman" w:cs="Times New Roman"/>
                <w:color w:val="404040"/>
                <w:lang w:val="en-US" w:eastAsia="lt-LT"/>
              </w:rPr>
            </w:pPr>
          </w:p>
        </w:tc>
        <w:tc>
          <w:tcPr>
            <w:tcW w:w="4678" w:type="dxa"/>
          </w:tcPr>
          <w:p w14:paraId="4818D229" w14:textId="4B04CCE9" w:rsidR="00A91E05"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EUR 200 was paid to all people receiving contributory and non-contributory (social) pensions.</w:t>
            </w:r>
          </w:p>
        </w:tc>
      </w:tr>
      <w:tr w:rsidR="00FB3513" w:rsidRPr="00D5611D" w14:paraId="044D2D6D" w14:textId="77777777" w:rsidTr="00FE708B">
        <w:tc>
          <w:tcPr>
            <w:tcW w:w="2547" w:type="dxa"/>
          </w:tcPr>
          <w:p w14:paraId="1FF5444E" w14:textId="31327EA9" w:rsidR="00FB3513"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Sickness benefit</w:t>
            </w:r>
          </w:p>
        </w:tc>
        <w:tc>
          <w:tcPr>
            <w:tcW w:w="7938" w:type="dxa"/>
          </w:tcPr>
          <w:p w14:paraId="1F4A1D22" w14:textId="7240C534" w:rsidR="00FB3513"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Parents (also foster parents and grandparents) of children of up to 12 years of age who were not able to work due to school or childcare facility closures during quarantine, as well as other workers who provided care for disabled or elderly family members, were entitled to paid leaves in 2020.</w:t>
            </w:r>
          </w:p>
        </w:tc>
        <w:tc>
          <w:tcPr>
            <w:tcW w:w="4678" w:type="dxa"/>
          </w:tcPr>
          <w:p w14:paraId="794C6F0D" w14:textId="03D09D94" w:rsidR="00FB3513"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Parents with children who were not able to work due to school or childcare facility closures during the quarantine, as well as other workers who provide care for disabled or elderly people, were entitled to paid leave of up to 60 days paid at 65.9% of the gross wage until the end of the state of emergency.</w:t>
            </w:r>
          </w:p>
        </w:tc>
      </w:tr>
      <w:tr w:rsidR="00FB3513" w:rsidRPr="00D5611D" w14:paraId="15949CE1" w14:textId="77777777" w:rsidTr="00FE708B">
        <w:tc>
          <w:tcPr>
            <w:tcW w:w="2547" w:type="dxa"/>
          </w:tcPr>
          <w:p w14:paraId="297FDF34" w14:textId="2A8D3E48" w:rsidR="00FB3513" w:rsidRPr="00D5611D" w:rsidRDefault="00FB3513" w:rsidP="00FE708B">
            <w:pPr>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Changes in PIT allowance</w:t>
            </w:r>
          </w:p>
        </w:tc>
        <w:tc>
          <w:tcPr>
            <w:tcW w:w="7938" w:type="dxa"/>
          </w:tcPr>
          <w:p w14:paraId="29A297D9" w14:textId="51FBD988" w:rsidR="00FB3513" w:rsidRPr="00D5611D" w:rsidRDefault="00FB3513"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An increase in the Personal Income Tax (PIT) allowance as of 1 July 2020.</w:t>
            </w:r>
          </w:p>
        </w:tc>
        <w:tc>
          <w:tcPr>
            <w:tcW w:w="4678" w:type="dxa"/>
          </w:tcPr>
          <w:p w14:paraId="5DA81E05" w14:textId="482E1480" w:rsidR="00FB3513" w:rsidRPr="00D5611D" w:rsidRDefault="00C56162"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The PIT allowance was increased by EUR 50 per month: from EUR 350 per month to EUR 400 per month, which affected all taxpayers eligible to PIT allowance</w:t>
            </w:r>
          </w:p>
        </w:tc>
      </w:tr>
      <w:tr w:rsidR="00A91E05" w:rsidRPr="00D5611D" w14:paraId="7FF94982" w14:textId="7B434D9A" w:rsidTr="00FE708B">
        <w:tc>
          <w:tcPr>
            <w:tcW w:w="2547" w:type="dxa"/>
          </w:tcPr>
          <w:p w14:paraId="5F7B6A58" w14:textId="2BEA57FD" w:rsidR="00A91E05" w:rsidRPr="00D5611D" w:rsidRDefault="00C56162" w:rsidP="00FE708B">
            <w:pPr>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Changes to social assistance benefit</w:t>
            </w:r>
          </w:p>
        </w:tc>
        <w:tc>
          <w:tcPr>
            <w:tcW w:w="7938" w:type="dxa"/>
          </w:tcPr>
          <w:p w14:paraId="1CABA583" w14:textId="6153A6EB" w:rsidR="00A91E05" w:rsidRPr="00D5611D" w:rsidRDefault="00C56162"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An increase in cash social assistance is a permanent measure introduced since June 2020.</w:t>
            </w:r>
          </w:p>
        </w:tc>
        <w:tc>
          <w:tcPr>
            <w:tcW w:w="4678" w:type="dxa"/>
          </w:tcPr>
          <w:p w14:paraId="6004FD90" w14:textId="3A959E04" w:rsidR="00A91E05" w:rsidRPr="00D5611D" w:rsidRDefault="00C56162"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A threshold to receive cash social assistance was increased from EUR 125 to EUR 137.5 per person per month. Payment of the social assistance benefit was extended to 12 months for those recipients of social assistance who get into employment. The amount of the benefit was increased to 100% of the previously received social assistance amount for the first three months, 80% - for the following three months, and 50% - for the final six months. Additionally, earned income disregard was increased by 5%, i.e., 5% more of the earned income are disregarded when applying the income test for social assistance. Property of families and individuals is not to be assessed for entitlement since February 2020 until six months after the </w:t>
            </w:r>
            <w:r w:rsidRPr="00D5611D">
              <w:rPr>
                <w:rFonts w:ascii="Times New Roman" w:eastAsia="Times New Roman" w:hAnsi="Times New Roman" w:cs="Times New Roman"/>
                <w:color w:val="404040"/>
                <w:lang w:val="en-US" w:eastAsia="lt-LT"/>
              </w:rPr>
              <w:lastRenderedPageBreak/>
              <w:t>cancellation of the state of emergency and the quarantine.</w:t>
            </w:r>
          </w:p>
        </w:tc>
      </w:tr>
      <w:tr w:rsidR="00C56162" w:rsidRPr="00D5611D" w14:paraId="78BFCE00" w14:textId="77777777" w:rsidTr="00FE708B">
        <w:tc>
          <w:tcPr>
            <w:tcW w:w="2547" w:type="dxa"/>
          </w:tcPr>
          <w:p w14:paraId="3F5E58F3" w14:textId="2F688804" w:rsidR="00C56162" w:rsidRPr="00D5611D" w:rsidRDefault="00E70284"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lastRenderedPageBreak/>
              <w:t>Changes to child benefit</w:t>
            </w:r>
          </w:p>
        </w:tc>
        <w:tc>
          <w:tcPr>
            <w:tcW w:w="7938" w:type="dxa"/>
          </w:tcPr>
          <w:p w14:paraId="2187384C" w14:textId="7ABACBE8" w:rsidR="00C56162" w:rsidRPr="00D5611D" w:rsidRDefault="00E70284"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Conditions of income assessment to be eligible for the child benefit supplement were temporarily simplified. Eligibility conditions came into force since June 2020 until the end of emergency and quarantine plus six months. In such cases when income assessment is applied, average income was assessed for a shorter period of three months instead of one year.  </w:t>
            </w:r>
          </w:p>
        </w:tc>
        <w:tc>
          <w:tcPr>
            <w:tcW w:w="4678" w:type="dxa"/>
          </w:tcPr>
          <w:p w14:paraId="5B87832A" w14:textId="77777777" w:rsidR="00C56162" w:rsidRPr="00D5611D" w:rsidRDefault="00C56162" w:rsidP="001417EB">
            <w:pPr>
              <w:jc w:val="both"/>
              <w:rPr>
                <w:rFonts w:ascii="Times New Roman" w:eastAsia="Times New Roman" w:hAnsi="Times New Roman" w:cs="Times New Roman"/>
                <w:color w:val="404040"/>
                <w:lang w:val="en-US" w:eastAsia="lt-LT"/>
              </w:rPr>
            </w:pPr>
          </w:p>
        </w:tc>
      </w:tr>
      <w:tr w:rsidR="00C56162" w:rsidRPr="00D5611D" w14:paraId="658BC43D" w14:textId="77777777" w:rsidTr="00FE708B">
        <w:tc>
          <w:tcPr>
            <w:tcW w:w="2547" w:type="dxa"/>
          </w:tcPr>
          <w:p w14:paraId="7E7E27DE" w14:textId="274CB549" w:rsidR="00C56162" w:rsidRPr="00D5611D" w:rsidRDefault="00E70284" w:rsidP="00FE708B">
            <w:pPr>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Other</w:t>
            </w:r>
            <w:r w:rsidR="00FE708B">
              <w:rPr>
                <w:rFonts w:ascii="Times New Roman" w:eastAsia="Times New Roman" w:hAnsi="Times New Roman" w:cs="Times New Roman"/>
                <w:color w:val="404040"/>
                <w:lang w:val="en-US" w:eastAsia="lt-LT"/>
              </w:rPr>
              <w:t xml:space="preserve"> </w:t>
            </w:r>
            <w:r w:rsidRPr="00D5611D">
              <w:rPr>
                <w:rFonts w:ascii="Times New Roman" w:eastAsia="Times New Roman" w:hAnsi="Times New Roman" w:cs="Times New Roman"/>
                <w:color w:val="404040"/>
                <w:lang w:val="en-US" w:eastAsia="lt-LT"/>
              </w:rPr>
              <w:t>tax-related measures</w:t>
            </w:r>
          </w:p>
        </w:tc>
        <w:tc>
          <w:tcPr>
            <w:tcW w:w="7938" w:type="dxa"/>
          </w:tcPr>
          <w:p w14:paraId="48CC6F07" w14:textId="21F58D23" w:rsidR="00C56162" w:rsidRPr="00D5611D" w:rsidRDefault="00E70284"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Included deferral of tax arrears payments for affected taxpayers, exemption from fines and default interests in case of the failure to comply with tax obligations on time, and postponement of submission (and payment of) personal income tax returns. The State Tax Inspectorate has announced economic activities in which taxpayers may have suffered a direct negative impact and has published a list of specific taxpayers to whom the following assistance measures will automatically apply: non-recovery of declared taxes (other than customs duties), exemption from the payment of default interest, no interest accruing on concluded tax loan agreements. These taxpayers are subject to analogous measures to facilitate the payment of state social insurance contributions.</w:t>
            </w:r>
          </w:p>
        </w:tc>
        <w:tc>
          <w:tcPr>
            <w:tcW w:w="4678" w:type="dxa"/>
          </w:tcPr>
          <w:p w14:paraId="65CC314A" w14:textId="77777777" w:rsidR="00C56162" w:rsidRPr="00D5611D" w:rsidRDefault="00C56162" w:rsidP="001417EB">
            <w:pPr>
              <w:jc w:val="both"/>
              <w:rPr>
                <w:rFonts w:ascii="Times New Roman" w:eastAsia="Times New Roman" w:hAnsi="Times New Roman" w:cs="Times New Roman"/>
                <w:color w:val="404040"/>
                <w:lang w:val="en-US" w:eastAsia="lt-LT"/>
              </w:rPr>
            </w:pPr>
          </w:p>
        </w:tc>
      </w:tr>
      <w:tr w:rsidR="00E70284" w:rsidRPr="00D5611D" w14:paraId="3C8E8BE9" w14:textId="77777777" w:rsidTr="00FE708B">
        <w:tc>
          <w:tcPr>
            <w:tcW w:w="2547" w:type="dxa"/>
          </w:tcPr>
          <w:p w14:paraId="4A0A3AC4" w14:textId="79C46D01" w:rsidR="00E70284" w:rsidRPr="00D5611D" w:rsidRDefault="00E70284"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Sickness benefit</w:t>
            </w:r>
          </w:p>
        </w:tc>
        <w:tc>
          <w:tcPr>
            <w:tcW w:w="7938" w:type="dxa"/>
          </w:tcPr>
          <w:p w14:paraId="6C6059BB" w14:textId="2F7D98B8" w:rsidR="00E70284" w:rsidRPr="00D5611D" w:rsidRDefault="00E70284" w:rsidP="00E70284">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Sickness social insurance benefits have been increased for employees who become infected in the performance of their duties, i.e., doctors, officials, or other employees (pharmacists, cashiers, social workers and the like) who get infected with COVID-19 while discharging their duties. </w:t>
            </w:r>
            <w:r w:rsidR="005E4D47" w:rsidRPr="00D5611D">
              <w:rPr>
                <w:rFonts w:ascii="Times New Roman" w:eastAsia="Times New Roman" w:hAnsi="Times New Roman" w:cs="Times New Roman"/>
                <w:color w:val="404040"/>
                <w:lang w:val="en-US" w:eastAsia="lt-LT"/>
              </w:rPr>
              <w:t>P</w:t>
            </w:r>
            <w:r w:rsidRPr="00D5611D">
              <w:rPr>
                <w:rFonts w:ascii="Times New Roman" w:eastAsia="Times New Roman" w:hAnsi="Times New Roman" w:cs="Times New Roman"/>
                <w:color w:val="404040"/>
                <w:lang w:val="en-US" w:eastAsia="lt-LT"/>
              </w:rPr>
              <w:t>eople with chronic diseases can apply for sickness benefits during the state of emergency and the quarantine (even if not infected with COVID-19) given they are not on furlough and have no possibility to work remotely. The latter arrangement is aimed at prevention of COVID-19 in this vulnerable group. All work contracts as well as the self-employed are included in the scheme.</w:t>
            </w:r>
          </w:p>
          <w:p w14:paraId="057D3FCF" w14:textId="6236D6AF" w:rsidR="00E70284" w:rsidRPr="00D5611D" w:rsidRDefault="00E70284" w:rsidP="00E70284">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the self-employed were able to defer the payment of compulsory health insurance contributions during the periods of quarantine. The deferred contributions had to be paid within a period of two years after the end of the emergency situation. If the contributions were not paid within the set timeframe, but self-employed persons received healthcare services during the period at issue (except for emergency services), they had to compensate expenses of the Compulsory Health Insurance Fund.</w:t>
            </w:r>
          </w:p>
        </w:tc>
        <w:tc>
          <w:tcPr>
            <w:tcW w:w="4678" w:type="dxa"/>
          </w:tcPr>
          <w:p w14:paraId="31058A11" w14:textId="48E0BD52" w:rsidR="00E70284" w:rsidRPr="00D5611D" w:rsidRDefault="005E4D47"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If healthcare professionals, officials or other employees are infected with the COVID-19 virus, they are offered a maximum sickness benefit of 100% of the net average wage (77.58% of gross wage instead of 62.06%). Persons with chronic diseases are entitled to sickness benefit at 62.06% of their gross wage during the state of emergency and the quarantine. It is paid for up to 60 days and can be extended for the full period of the emergency and quarantine. The period of payment may not be longer than until the end of the quarantine or the state of emergency.</w:t>
            </w:r>
          </w:p>
        </w:tc>
      </w:tr>
      <w:tr w:rsidR="00E70284" w:rsidRPr="00D5611D" w14:paraId="778BE70B" w14:textId="77777777" w:rsidTr="00FE708B">
        <w:tc>
          <w:tcPr>
            <w:tcW w:w="2547" w:type="dxa"/>
          </w:tcPr>
          <w:p w14:paraId="5DBE09C5" w14:textId="399AB9E7" w:rsidR="00E70284" w:rsidRPr="00D5611D" w:rsidRDefault="005E4D47" w:rsidP="00FE708B">
            <w:pPr>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Deferral of health insurance contributions for the self-employed</w:t>
            </w:r>
          </w:p>
        </w:tc>
        <w:tc>
          <w:tcPr>
            <w:tcW w:w="7938" w:type="dxa"/>
          </w:tcPr>
          <w:p w14:paraId="5E89A2AE" w14:textId="7DCD9B08" w:rsidR="00E70284" w:rsidRPr="00D5611D" w:rsidRDefault="005E4D47"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 xml:space="preserve">The self-employed were able to defer the payment of compulsory health insurance contributions during the periods of quarantine. The deferred contributions had to be paid within a period of two years after the end of the emergency situation. If the contributions were not paid within the set timeframe, but self-employed persons received healthcare </w:t>
            </w:r>
            <w:r w:rsidRPr="00D5611D">
              <w:rPr>
                <w:rFonts w:ascii="Times New Roman" w:eastAsia="Times New Roman" w:hAnsi="Times New Roman" w:cs="Times New Roman"/>
                <w:color w:val="404040"/>
                <w:lang w:val="en-US" w:eastAsia="lt-LT"/>
              </w:rPr>
              <w:lastRenderedPageBreak/>
              <w:t>services during the period at issue (except for emergency services), they had to compensate expenses of the Compulsory Health Insurance Fund.</w:t>
            </w:r>
          </w:p>
        </w:tc>
        <w:tc>
          <w:tcPr>
            <w:tcW w:w="4678" w:type="dxa"/>
          </w:tcPr>
          <w:p w14:paraId="6132DE6D" w14:textId="77777777" w:rsidR="00E70284" w:rsidRPr="00D5611D" w:rsidRDefault="00E70284" w:rsidP="001417EB">
            <w:pPr>
              <w:jc w:val="both"/>
              <w:rPr>
                <w:rFonts w:ascii="Times New Roman" w:eastAsia="Times New Roman" w:hAnsi="Times New Roman" w:cs="Times New Roman"/>
                <w:color w:val="404040"/>
                <w:lang w:val="en-US" w:eastAsia="lt-LT"/>
              </w:rPr>
            </w:pPr>
          </w:p>
        </w:tc>
      </w:tr>
      <w:tr w:rsidR="005E4D47" w:rsidRPr="00D5611D" w14:paraId="614BF249" w14:textId="77777777" w:rsidTr="00FE708B">
        <w:tc>
          <w:tcPr>
            <w:tcW w:w="2547" w:type="dxa"/>
          </w:tcPr>
          <w:p w14:paraId="7070FCE8" w14:textId="7B07A22E" w:rsidR="005E4D47" w:rsidRPr="00D5611D" w:rsidRDefault="005E4D47"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Compensation of housing heating costs</w:t>
            </w:r>
          </w:p>
        </w:tc>
        <w:tc>
          <w:tcPr>
            <w:tcW w:w="7938" w:type="dxa"/>
          </w:tcPr>
          <w:p w14:paraId="39A34565" w14:textId="177ECDAE" w:rsidR="005E4D47" w:rsidRPr="00D5611D" w:rsidRDefault="005E4D47"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A larger share of housing heating costs was to be reimbursed for single persons. The measure has been permanent, with no end date foreseen. A larger share of housing heating costs is to be reimbursed for single persons.</w:t>
            </w:r>
          </w:p>
        </w:tc>
        <w:tc>
          <w:tcPr>
            <w:tcW w:w="4678" w:type="dxa"/>
          </w:tcPr>
          <w:p w14:paraId="47AA09EF" w14:textId="488AD1FD" w:rsidR="005E4D47" w:rsidRPr="00D5611D" w:rsidRDefault="005E4D47"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Compensations for heating cover expenses that exceed 10% of the difference between income and a set threshold. The latter threshold was increased for single persons from 100% to 150% of the state supported income (SSI, EUR 125 per month in 2020).</w:t>
            </w:r>
          </w:p>
        </w:tc>
      </w:tr>
      <w:tr w:rsidR="005E4D47" w:rsidRPr="00D5611D" w14:paraId="1DAE7675" w14:textId="77777777" w:rsidTr="00FE708B">
        <w:tc>
          <w:tcPr>
            <w:tcW w:w="2547" w:type="dxa"/>
          </w:tcPr>
          <w:p w14:paraId="5B1F0462" w14:textId="5633E945" w:rsidR="005E4D47" w:rsidRPr="00D5611D" w:rsidRDefault="005E4D47"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Deferral of payments for electricity and gas</w:t>
            </w:r>
          </w:p>
        </w:tc>
        <w:tc>
          <w:tcPr>
            <w:tcW w:w="7938" w:type="dxa"/>
          </w:tcPr>
          <w:p w14:paraId="4FF7F75F" w14:textId="1B1E910B" w:rsidR="005E4D47" w:rsidRPr="00D5611D" w:rsidRDefault="005E4D47" w:rsidP="001417EB">
            <w:pPr>
              <w:jc w:val="both"/>
              <w:rPr>
                <w:rFonts w:ascii="Times New Roman" w:eastAsia="Times New Roman" w:hAnsi="Times New Roman" w:cs="Times New Roman"/>
                <w:color w:val="404040"/>
                <w:lang w:val="en-US" w:eastAsia="lt-LT"/>
              </w:rPr>
            </w:pPr>
            <w:r w:rsidRPr="00D5611D">
              <w:rPr>
                <w:rFonts w:ascii="Times New Roman" w:eastAsia="Times New Roman" w:hAnsi="Times New Roman" w:cs="Times New Roman"/>
                <w:color w:val="404040"/>
                <w:lang w:val="en-US" w:eastAsia="lt-LT"/>
              </w:rPr>
              <w:t>Possibility to defer payment of electricity and gas bills to the public provider or arranging such payments in instalments. Payments could be deferred for a period of up to one year based on a case-by-case decision.</w:t>
            </w:r>
          </w:p>
        </w:tc>
        <w:tc>
          <w:tcPr>
            <w:tcW w:w="4678" w:type="dxa"/>
          </w:tcPr>
          <w:p w14:paraId="76D9D432" w14:textId="77777777" w:rsidR="005E4D47" w:rsidRPr="00D5611D" w:rsidRDefault="005E4D47" w:rsidP="001417EB">
            <w:pPr>
              <w:jc w:val="both"/>
              <w:rPr>
                <w:rFonts w:ascii="Times New Roman" w:eastAsia="Times New Roman" w:hAnsi="Times New Roman" w:cs="Times New Roman"/>
                <w:color w:val="404040"/>
                <w:lang w:val="en-US" w:eastAsia="lt-LT"/>
              </w:rPr>
            </w:pPr>
          </w:p>
        </w:tc>
      </w:tr>
    </w:tbl>
    <w:p w14:paraId="518616F8" w14:textId="58804585" w:rsidR="00BD54D6" w:rsidRPr="00D5611D" w:rsidRDefault="00BD54D6" w:rsidP="001417EB">
      <w:pPr>
        <w:spacing w:after="0"/>
        <w:jc w:val="both"/>
        <w:rPr>
          <w:rFonts w:ascii="Times New Roman" w:eastAsia="Times New Roman" w:hAnsi="Times New Roman" w:cs="Times New Roman"/>
          <w:color w:val="404040"/>
          <w:lang w:val="en-US" w:eastAsia="lt-LT"/>
        </w:rPr>
      </w:pPr>
    </w:p>
    <w:p w14:paraId="4BF7D1AA" w14:textId="34205ACE" w:rsidR="005E4D47" w:rsidRPr="00D5611D" w:rsidRDefault="00F623CE" w:rsidP="001417EB">
      <w:pPr>
        <w:spacing w:after="0"/>
        <w:jc w:val="both"/>
        <w:rPr>
          <w:rFonts w:ascii="Times New Roman" w:eastAsia="Times New Roman" w:hAnsi="Times New Roman" w:cs="Times New Roman"/>
          <w:color w:val="404040"/>
          <w:lang w:val="en-US" w:eastAsia="lt-LT"/>
        </w:rPr>
      </w:pPr>
      <w:r>
        <w:rPr>
          <w:rFonts w:ascii="Times New Roman" w:eastAsia="Times New Roman" w:hAnsi="Times New Roman" w:cs="Times New Roman"/>
          <w:color w:val="404040"/>
          <w:lang w:val="en-US" w:eastAsia="lt-LT"/>
        </w:rPr>
        <w:t>Source: Ministry of Social Security and Labour</w:t>
      </w:r>
    </w:p>
    <w:sectPr w:rsidR="005E4D47" w:rsidRPr="00D5611D" w:rsidSect="00FE708B">
      <w:footerReference w:type="default" r:id="rId8"/>
      <w:pgSz w:w="16838" w:h="11906" w:orient="landscape"/>
      <w:pgMar w:top="1440" w:right="851" w:bottom="1440" w:left="993"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AF6AB" w14:textId="77777777" w:rsidR="001B5B1C" w:rsidRDefault="001B5B1C" w:rsidP="000F4006">
      <w:pPr>
        <w:spacing w:after="0" w:line="240" w:lineRule="auto"/>
      </w:pPr>
      <w:r>
        <w:separator/>
      </w:r>
    </w:p>
  </w:endnote>
  <w:endnote w:type="continuationSeparator" w:id="0">
    <w:p w14:paraId="26154036" w14:textId="77777777" w:rsidR="001B5B1C" w:rsidRDefault="001B5B1C"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74DB4" w14:textId="77777777" w:rsidR="001B5B1C" w:rsidRDefault="001B5B1C" w:rsidP="000F4006">
      <w:pPr>
        <w:spacing w:after="0" w:line="240" w:lineRule="auto"/>
      </w:pPr>
      <w:r>
        <w:separator/>
      </w:r>
    </w:p>
  </w:footnote>
  <w:footnote w:type="continuationSeparator" w:id="0">
    <w:p w14:paraId="292E3D2E" w14:textId="77777777" w:rsidR="001B5B1C" w:rsidRDefault="001B5B1C"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4A4D"/>
    <w:rsid w:val="00177DD4"/>
    <w:rsid w:val="001822D2"/>
    <w:rsid w:val="001A59F1"/>
    <w:rsid w:val="001A6428"/>
    <w:rsid w:val="001B0964"/>
    <w:rsid w:val="001B1944"/>
    <w:rsid w:val="001B5B1C"/>
    <w:rsid w:val="001C0D0E"/>
    <w:rsid w:val="001C12F5"/>
    <w:rsid w:val="001C3AEA"/>
    <w:rsid w:val="001D2C6D"/>
    <w:rsid w:val="001D622C"/>
    <w:rsid w:val="001D6E41"/>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51B0"/>
    <w:rsid w:val="004F4EE7"/>
    <w:rsid w:val="00501DDF"/>
    <w:rsid w:val="00511D85"/>
    <w:rsid w:val="00517AE8"/>
    <w:rsid w:val="00533D4E"/>
    <w:rsid w:val="00541543"/>
    <w:rsid w:val="00544FF2"/>
    <w:rsid w:val="00545527"/>
    <w:rsid w:val="00565FD4"/>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811CB"/>
    <w:rsid w:val="00B84162"/>
    <w:rsid w:val="00B87958"/>
    <w:rsid w:val="00B90B3C"/>
    <w:rsid w:val="00BA10F4"/>
    <w:rsid w:val="00BA6FAC"/>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B28B1"/>
    <w:rsid w:val="00CC0C6B"/>
    <w:rsid w:val="00CC48F3"/>
    <w:rsid w:val="00CD1870"/>
    <w:rsid w:val="00CE2406"/>
    <w:rsid w:val="00CE4063"/>
    <w:rsid w:val="00D16F4E"/>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623CE"/>
    <w:rsid w:val="00F72862"/>
    <w:rsid w:val="00F84DB3"/>
    <w:rsid w:val="00F9258A"/>
    <w:rsid w:val="00F93FB0"/>
    <w:rsid w:val="00FB3513"/>
    <w:rsid w:val="00FC6801"/>
    <w:rsid w:val="00FC7E15"/>
    <w:rsid w:val="00FD5CAF"/>
    <w:rsid w:val="00FE2B27"/>
    <w:rsid w:val="00FE33A4"/>
    <w:rsid w:val="00FE4A7B"/>
    <w:rsid w:val="00FE708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B0A9DD20-7133-4173-B0A9-1A18B7ECBD38}"/>
</file>

<file path=customXml/itemProps3.xml><?xml version="1.0" encoding="utf-8"?>
<ds:datastoreItem xmlns:ds="http://schemas.openxmlformats.org/officeDocument/2006/customXml" ds:itemID="{E7D88B03-CF59-4AA1-8CE5-CDF98B1DB6B1}"/>
</file>

<file path=customXml/itemProps4.xml><?xml version="1.0" encoding="utf-8"?>
<ds:datastoreItem xmlns:ds="http://schemas.openxmlformats.org/officeDocument/2006/customXml" ds:itemID="{B3B6D32C-B878-425E-84F1-9674C304498F}"/>
</file>

<file path=docProps/app.xml><?xml version="1.0" encoding="utf-8"?>
<Properties xmlns="http://schemas.openxmlformats.org/officeDocument/2006/extended-properties" xmlns:vt="http://schemas.openxmlformats.org/officeDocument/2006/docPropsVTypes">
  <Template>Normal</Template>
  <TotalTime>3</TotalTime>
  <Pages>4</Pages>
  <Words>1459</Words>
  <Characters>8156</Characters>
  <Application>Microsoft Office Word</Application>
  <DocSecurity>0</DocSecurity>
  <Lines>114</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4</cp:revision>
  <cp:lastPrinted>2022-02-28T19:22:00Z</cp:lastPrinted>
  <dcterms:created xsi:type="dcterms:W3CDTF">2022-04-01T11:27:00Z</dcterms:created>
  <dcterms:modified xsi:type="dcterms:W3CDTF">2022-04-01T12:17:00Z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