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64B1C" w14:textId="43797578" w:rsidR="00951FA6" w:rsidRDefault="008042A8" w:rsidP="00951FA6">
      <w:pPr>
        <w:bidi/>
        <w:jc w:val="right"/>
        <w:rPr>
          <w:rFonts w:asciiTheme="majorBidi" w:hAnsiTheme="majorBidi" w:cstheme="majorBidi"/>
          <w:noProof/>
          <w:rtl/>
          <w:lang w:val="ar-SA"/>
        </w:rPr>
      </w:pPr>
      <w:r>
        <w:rPr>
          <w:rFonts w:asciiTheme="majorBidi" w:hAnsiTheme="majorBidi" w:cstheme="majorBidi" w:hint="cs"/>
          <w:noProof/>
          <w:rtl/>
          <w:lang w:val="ar-SA"/>
        </w:rPr>
        <w:t xml:space="preserve"> </w:t>
      </w:r>
      <w:r>
        <w:rPr>
          <w:rFonts w:asciiTheme="majorBidi" w:hAnsiTheme="majorBidi" w:cstheme="majorBidi"/>
          <w:noProof/>
          <w:rtl/>
          <w:lang w:val="ar-SA"/>
        </w:rPr>
        <w:drawing>
          <wp:inline distT="0" distB="0" distL="0" distR="0" wp14:anchorId="0663B9D5" wp14:editId="3ADCE550">
            <wp:extent cx="2647950" cy="476250"/>
            <wp:effectExtent l="0" t="0" r="0" b="0"/>
            <wp:docPr id="16601208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20824" name="Picture 1660120824"/>
                    <pic:cNvPicPr/>
                  </pic:nvPicPr>
                  <pic:blipFill>
                    <a:blip r:embed="rId8">
                      <a:extLst>
                        <a:ext uri="{28A0092B-C50C-407E-A947-70E740481C1C}">
                          <a14:useLocalDpi xmlns:a14="http://schemas.microsoft.com/office/drawing/2010/main" val="0"/>
                        </a:ext>
                      </a:extLst>
                    </a:blip>
                    <a:stretch>
                      <a:fillRect/>
                    </a:stretch>
                  </pic:blipFill>
                  <pic:spPr>
                    <a:xfrm>
                      <a:off x="0" y="0"/>
                      <a:ext cx="2661411" cy="478671"/>
                    </a:xfrm>
                    <a:prstGeom prst="rect">
                      <a:avLst/>
                    </a:prstGeom>
                  </pic:spPr>
                </pic:pic>
              </a:graphicData>
            </a:graphic>
          </wp:inline>
        </w:drawing>
      </w:r>
      <w:r>
        <w:rPr>
          <w:rFonts w:asciiTheme="majorBidi" w:hAnsiTheme="majorBidi" w:cstheme="majorBidi" w:hint="cs"/>
          <w:noProof/>
          <w:rtl/>
          <w:lang w:val="ar-SA"/>
        </w:rPr>
        <w:t xml:space="preserve">                                                               </w:t>
      </w:r>
      <w:r w:rsidR="00951FA6">
        <w:rPr>
          <w:rFonts w:asciiTheme="majorBidi" w:hAnsiTheme="majorBidi" w:cstheme="majorBidi"/>
          <w:noProof/>
          <w:rtl/>
          <w:lang w:val="ar-SA"/>
        </w:rPr>
        <w:drawing>
          <wp:inline distT="0" distB="0" distL="0" distR="0" wp14:anchorId="18643EE5" wp14:editId="3222EF21">
            <wp:extent cx="857250" cy="731287"/>
            <wp:effectExtent l="0" t="0" r="0" b="0"/>
            <wp:docPr id="1337237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237669" name="Picture 13372376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2105" cy="735428"/>
                    </a:xfrm>
                    <a:prstGeom prst="rect">
                      <a:avLst/>
                    </a:prstGeom>
                  </pic:spPr>
                </pic:pic>
              </a:graphicData>
            </a:graphic>
          </wp:inline>
        </w:drawing>
      </w:r>
    </w:p>
    <w:p w14:paraId="2A065297" w14:textId="30D99C96" w:rsidR="00951FA6" w:rsidRDefault="00951FA6" w:rsidP="00951FA6">
      <w:pPr>
        <w:bidi/>
        <w:rPr>
          <w:rFonts w:asciiTheme="majorBidi" w:hAnsiTheme="majorBidi" w:cstheme="majorBidi"/>
          <w:rtl/>
        </w:rPr>
      </w:pPr>
    </w:p>
    <w:p w14:paraId="3773010E" w14:textId="77777777" w:rsidR="00D9657A" w:rsidRDefault="00D9657A" w:rsidP="00D9657A">
      <w:pPr>
        <w:jc w:val="center"/>
        <w:rPr>
          <w:rFonts w:asciiTheme="majorBidi" w:hAnsiTheme="majorBidi" w:cstheme="majorBidi"/>
          <w:b/>
          <w:bCs/>
        </w:rPr>
      </w:pPr>
      <w:r w:rsidRPr="00D9657A">
        <w:rPr>
          <w:rFonts w:asciiTheme="majorBidi" w:hAnsiTheme="majorBidi" w:cstheme="majorBidi"/>
          <w:b/>
          <w:bCs/>
        </w:rPr>
        <w:t>Discrimination Against Foreign Nationals in Access to Healthcare in Kuwait</w:t>
      </w:r>
    </w:p>
    <w:p w14:paraId="5B3E62B4" w14:textId="77777777" w:rsidR="00D9657A" w:rsidRDefault="00D9657A" w:rsidP="00D9657A">
      <w:pPr>
        <w:jc w:val="both"/>
        <w:rPr>
          <w:rFonts w:asciiTheme="majorBidi" w:hAnsiTheme="majorBidi" w:cstheme="majorBidi"/>
          <w:b/>
          <w:bCs/>
        </w:rPr>
      </w:pPr>
    </w:p>
    <w:p w14:paraId="364D28E2" w14:textId="77777777" w:rsidR="00D9657A" w:rsidRDefault="00D9657A" w:rsidP="00D9657A">
      <w:pPr>
        <w:jc w:val="both"/>
        <w:rPr>
          <w:rFonts w:asciiTheme="majorBidi" w:hAnsiTheme="majorBidi" w:cstheme="majorBidi"/>
          <w:b/>
          <w:bCs/>
          <w:rtl/>
          <w:lang w:bidi="fa-IR"/>
        </w:rPr>
      </w:pPr>
      <w:r>
        <w:rPr>
          <w:rFonts w:asciiTheme="majorBidi" w:hAnsiTheme="majorBidi" w:cstheme="majorBidi"/>
          <w:b/>
          <w:bCs/>
        </w:rPr>
        <w:t>Introduction</w:t>
      </w:r>
    </w:p>
    <w:p w14:paraId="51FC3BFE" w14:textId="76349607" w:rsidR="00D9657A" w:rsidRDefault="00D9657A" w:rsidP="000A0C4C">
      <w:pPr>
        <w:jc w:val="both"/>
        <w:rPr>
          <w:rFonts w:asciiTheme="majorBidi" w:hAnsiTheme="majorBidi" w:cstheme="majorBidi"/>
        </w:rPr>
      </w:pPr>
      <w:r w:rsidRPr="00D9657A">
        <w:rPr>
          <w:rFonts w:asciiTheme="majorBidi" w:hAnsiTheme="majorBidi" w:cstheme="majorBidi"/>
        </w:rPr>
        <w:t>Kuwait’s health system offers free public healthcare to citizens but requires mandatory health insurance for expatriates, effectively imposing higher costs and barriers on foreign residents. In late 2025 the government doubled the annual health insurance fee for most expatriates (from KD 50 to KD 100) as part of visa-issuance requirements</w:t>
      </w:r>
      <w:r w:rsidR="000A0C4C">
        <w:rPr>
          <w:rStyle w:val="EndnoteReference"/>
          <w:rFonts w:asciiTheme="majorBidi" w:hAnsiTheme="majorBidi" w:cstheme="majorBidi"/>
        </w:rPr>
        <w:endnoteReference w:id="1"/>
      </w:r>
      <w:r w:rsidRPr="00D9657A">
        <w:rPr>
          <w:rFonts w:asciiTheme="majorBidi" w:hAnsiTheme="majorBidi" w:cstheme="majorBidi"/>
        </w:rPr>
        <w:t>. These costs apply to over 3 million expatriates, the majority of Kuwait’s population</w:t>
      </w:r>
      <w:r w:rsidR="000A0C4C">
        <w:rPr>
          <w:rStyle w:val="EndnoteReference"/>
          <w:rFonts w:asciiTheme="majorBidi" w:hAnsiTheme="majorBidi" w:cstheme="majorBidi"/>
        </w:rPr>
        <w:endnoteReference w:id="2"/>
      </w:r>
      <w:r w:rsidRPr="00D9657A">
        <w:rPr>
          <w:rFonts w:asciiTheme="majorBidi" w:hAnsiTheme="majorBidi" w:cstheme="majorBidi"/>
        </w:rPr>
        <w:t>. Critics note this policy discriminates on nationality grounds: Kuwaitis enjoy healthcare largely free of charge, whereas non-citizens must pay steep fees or face visa denials without guaranteed coverage</w:t>
      </w:r>
      <w:r w:rsidR="000A0C4C">
        <w:rPr>
          <w:rStyle w:val="EndnoteReference"/>
          <w:rFonts w:asciiTheme="majorBidi" w:hAnsiTheme="majorBidi" w:cstheme="majorBidi"/>
        </w:rPr>
        <w:endnoteReference w:id="3"/>
      </w:r>
      <w:r w:rsidRPr="00D9657A">
        <w:rPr>
          <w:rFonts w:asciiTheme="majorBidi" w:hAnsiTheme="majorBidi" w:cstheme="majorBidi"/>
        </w:rPr>
        <w:t>.</w:t>
      </w:r>
      <w:r w:rsidR="00AE7659">
        <w:rPr>
          <w:rFonts w:asciiTheme="majorBidi" w:hAnsiTheme="majorBidi" w:cstheme="majorBidi"/>
        </w:rPr>
        <w:t xml:space="preserve"> </w:t>
      </w:r>
      <w:r w:rsidR="00AE7659" w:rsidRPr="00AE7659">
        <w:rPr>
          <w:rFonts w:asciiTheme="majorBidi" w:hAnsiTheme="majorBidi" w:cstheme="majorBidi"/>
        </w:rPr>
        <w:t>NGOs and media note that these policies effectively force many migrants to abandon treatment they cannot afford. Notably, in Jan 2026 Kuwait’s Health Ministry even established a grievance committee for expatriate healthcare complaints</w:t>
      </w:r>
      <w:r w:rsidR="00AE7659">
        <w:rPr>
          <w:rStyle w:val="EndnoteReference"/>
          <w:rFonts w:asciiTheme="majorBidi" w:hAnsiTheme="majorBidi" w:cstheme="majorBidi"/>
        </w:rPr>
        <w:endnoteReference w:id="4"/>
      </w:r>
      <w:hyperlink r:id="rId10" w:anchor=":~:text=Arab%20Times%2C%204%20January%202026%3A,in%20Return%20for%20Medical%20Services"/>
      <w:r w:rsidR="00AE7659" w:rsidRPr="00AE7659">
        <w:rPr>
          <w:rFonts w:asciiTheme="majorBidi" w:hAnsiTheme="majorBidi" w:cstheme="majorBidi"/>
        </w:rPr>
        <w:t xml:space="preserve"> – tacitly acknowledging prior exclusions. Under international law (ICCPR, ICERD, </w:t>
      </w:r>
      <w:proofErr w:type="gramStart"/>
      <w:r w:rsidR="00AE7659" w:rsidRPr="00AE7659">
        <w:rPr>
          <w:rFonts w:asciiTheme="majorBidi" w:hAnsiTheme="majorBidi" w:cstheme="majorBidi"/>
        </w:rPr>
        <w:t>WHO’s</w:t>
      </w:r>
      <w:proofErr w:type="gramEnd"/>
      <w:r w:rsidR="00AE7659" w:rsidRPr="00AE7659">
        <w:rPr>
          <w:rFonts w:asciiTheme="majorBidi" w:hAnsiTheme="majorBidi" w:cstheme="majorBidi"/>
        </w:rPr>
        <w:t xml:space="preserve"> guidance), Kuwait is obliged to ensure non-discriminatory access to health services. Yet current Kuwaiti practice imposes extra financial and administrative hurdles on foreigners, contrary to those obligations.</w:t>
      </w:r>
    </w:p>
    <w:p w14:paraId="7190CFED" w14:textId="7921B93F" w:rsidR="00E679B0" w:rsidRPr="00E679B0" w:rsidRDefault="00E679B0" w:rsidP="00E679B0">
      <w:pPr>
        <w:jc w:val="both"/>
        <w:rPr>
          <w:rFonts w:asciiTheme="majorBidi" w:hAnsiTheme="majorBidi" w:cstheme="majorBidi"/>
          <w:b/>
          <w:bCs/>
        </w:rPr>
      </w:pPr>
      <w:r w:rsidRPr="00E679B0">
        <w:rPr>
          <w:rFonts w:asciiTheme="majorBidi" w:hAnsiTheme="majorBidi" w:cstheme="majorBidi"/>
          <w:b/>
          <w:bCs/>
        </w:rPr>
        <w:t xml:space="preserve">Kuwait’s Healthcare System </w:t>
      </w:r>
    </w:p>
    <w:p w14:paraId="1042C258" w14:textId="35F8B253" w:rsidR="00E679B0" w:rsidRPr="00E679B0" w:rsidRDefault="00E679B0" w:rsidP="00E679B0">
      <w:pPr>
        <w:jc w:val="both"/>
        <w:rPr>
          <w:rFonts w:asciiTheme="majorBidi" w:hAnsiTheme="majorBidi" w:cstheme="majorBidi"/>
        </w:rPr>
      </w:pPr>
      <w:r w:rsidRPr="00E679B0">
        <w:rPr>
          <w:rFonts w:asciiTheme="majorBidi" w:hAnsiTheme="majorBidi" w:cstheme="majorBidi"/>
        </w:rPr>
        <w:t>Kuwait’s healthcare system is a well-developed public network managed by the Ministry of Health, providing free services to Kuwaiti citizens through an extensive network of hospitals and clinics. Expatriate residents (non-citizens) make up roughly 70–75% of Kuwait’s population (over 3 million people), drawn largely from South and Southeast Asia, the Middle East, and elsewhere. Expatriates typically must use private insurance or guarantees for most medical services. In recent years, the state has moved to systematize this requirement: by law, health insurance became mandatory for all foreign residents and many visa holders, to be paid at visa issuance or renewal</w:t>
      </w:r>
      <w:r>
        <w:rPr>
          <w:rStyle w:val="EndnoteReference"/>
          <w:rFonts w:asciiTheme="majorBidi" w:hAnsiTheme="majorBidi" w:cstheme="majorBidi"/>
        </w:rPr>
        <w:endnoteReference w:id="5"/>
      </w:r>
      <w:r w:rsidRPr="00E679B0">
        <w:rPr>
          <w:rFonts w:asciiTheme="majorBidi" w:hAnsiTheme="majorBidi" w:cstheme="majorBidi"/>
        </w:rPr>
        <w:t>.</w:t>
      </w:r>
    </w:p>
    <w:p w14:paraId="6C2652CD" w14:textId="193262A9" w:rsidR="00E679B0" w:rsidRDefault="00E679B0" w:rsidP="00E679B0">
      <w:pPr>
        <w:jc w:val="both"/>
        <w:rPr>
          <w:rFonts w:asciiTheme="majorBidi" w:hAnsiTheme="majorBidi" w:cstheme="majorBidi"/>
        </w:rPr>
      </w:pPr>
      <w:r w:rsidRPr="00044225">
        <w:rPr>
          <w:rFonts w:asciiTheme="majorBidi" w:hAnsiTheme="majorBidi" w:cstheme="majorBidi"/>
        </w:rPr>
        <w:t>In December 2025, the government implemented a new regulation (Ministerial Decision No. 306/2025) that standardized and increased foreigner insurance requirements. Effective 23 December 2025, this regulation raised the annual “health assurance” fee to KD 100 per foreign resident (from KD 50) and expanded mandatory coverage to nearly all expatriates, including government and private-sector workers, investors, students, and their dependents. The fee must be paid for issuance or renewal of a residency visa or certain entry visas</w:t>
      </w:r>
      <w:r w:rsidR="00044225" w:rsidRPr="00044225">
        <w:rPr>
          <w:rStyle w:val="EndnoteReference"/>
          <w:rFonts w:asciiTheme="majorBidi" w:hAnsiTheme="majorBidi" w:cstheme="majorBidi"/>
        </w:rPr>
        <w:endnoteReference w:id="6"/>
      </w:r>
      <w:r w:rsidRPr="00044225">
        <w:rPr>
          <w:rFonts w:asciiTheme="majorBidi" w:hAnsiTheme="majorBidi" w:cstheme="majorBidi"/>
        </w:rPr>
        <w:t xml:space="preserve">. Exemptions are very limited, applying mainly to foreign women married to Kuwaiti citizens and their children, a small </w:t>
      </w:r>
      <w:r w:rsidRPr="00044225">
        <w:rPr>
          <w:rFonts w:asciiTheme="majorBidi" w:hAnsiTheme="majorBidi" w:cstheme="majorBidi"/>
        </w:rPr>
        <w:lastRenderedPageBreak/>
        <w:t>number of domestic workers, diplomats, and newborns for a limited period</w:t>
      </w:r>
      <w:r w:rsidR="00044225" w:rsidRPr="00044225">
        <w:rPr>
          <w:rStyle w:val="EndnoteReference"/>
          <w:rFonts w:asciiTheme="majorBidi" w:hAnsiTheme="majorBidi" w:cstheme="majorBidi"/>
        </w:rPr>
        <w:endnoteReference w:id="7"/>
      </w:r>
      <w:r w:rsidRPr="00044225">
        <w:rPr>
          <w:rFonts w:asciiTheme="majorBidi" w:hAnsiTheme="majorBidi" w:cstheme="majorBidi"/>
        </w:rPr>
        <w:t>. In sum, the burden of paying for basic healthcare is borne almost entirely by foreign nationals.</w:t>
      </w:r>
    </w:p>
    <w:p w14:paraId="178FC79F" w14:textId="77777777" w:rsidR="00B00672" w:rsidRPr="00B00672" w:rsidRDefault="00B00672" w:rsidP="00B00672">
      <w:pPr>
        <w:jc w:val="both"/>
        <w:rPr>
          <w:rFonts w:asciiTheme="majorBidi" w:hAnsiTheme="majorBidi" w:cstheme="majorBidi"/>
          <w:b/>
          <w:bCs/>
          <w:lang w:bidi="fa-IR"/>
        </w:rPr>
      </w:pPr>
      <w:r w:rsidRPr="00B00672">
        <w:rPr>
          <w:rFonts w:asciiTheme="majorBidi" w:hAnsiTheme="majorBidi" w:cstheme="majorBidi"/>
          <w:b/>
          <w:bCs/>
          <w:lang w:bidi="fa-IR"/>
        </w:rPr>
        <w:t>Legal and Policy Framework</w:t>
      </w:r>
    </w:p>
    <w:p w14:paraId="01E9D829" w14:textId="64A60D02" w:rsidR="00B00672" w:rsidRPr="00B00672" w:rsidRDefault="00B00672" w:rsidP="00B00672">
      <w:pPr>
        <w:jc w:val="both"/>
        <w:rPr>
          <w:rFonts w:asciiTheme="majorBidi" w:hAnsiTheme="majorBidi" w:cstheme="majorBidi"/>
          <w:lang w:bidi="fa-IR"/>
        </w:rPr>
      </w:pPr>
      <w:r w:rsidRPr="00B00672">
        <w:rPr>
          <w:rFonts w:asciiTheme="majorBidi" w:hAnsiTheme="majorBidi" w:cstheme="majorBidi"/>
          <w:lang w:bidi="fa-IR"/>
        </w:rPr>
        <w:t>Kuwaiti law requires mandatory health insurance for foreigners under Law No. 1/1999 on Health Insurance for Foreigners (as amended). The 2025 implementing regulation (Decision 306/2025) details who must pay and at what rates</w:t>
      </w:r>
      <w:r w:rsidR="00610A7E">
        <w:rPr>
          <w:rStyle w:val="EndnoteReference"/>
          <w:rFonts w:asciiTheme="majorBidi" w:hAnsiTheme="majorBidi" w:cstheme="majorBidi"/>
          <w:lang w:bidi="fa-IR"/>
        </w:rPr>
        <w:endnoteReference w:id="8"/>
      </w:r>
      <w:r w:rsidRPr="00B00672">
        <w:rPr>
          <w:rFonts w:asciiTheme="majorBidi" w:hAnsiTheme="majorBidi" w:cstheme="majorBidi"/>
          <w:lang w:bidi="fa-IR"/>
        </w:rPr>
        <w:t>. Under these rules, no foreign resident or visitor may obtain or renew a visa without proof of health insurance or a guarantee covering basic services (consultations, diagnostics, treatments, medications)</w:t>
      </w:r>
      <w:r w:rsidR="00610A7E">
        <w:rPr>
          <w:rStyle w:val="EndnoteReference"/>
          <w:rFonts w:asciiTheme="majorBidi" w:hAnsiTheme="majorBidi" w:cstheme="majorBidi"/>
          <w:lang w:bidi="fa-IR"/>
        </w:rPr>
        <w:endnoteReference w:id="9"/>
      </w:r>
      <w:r w:rsidRPr="00B00672">
        <w:rPr>
          <w:rFonts w:asciiTheme="majorBidi" w:hAnsiTheme="majorBidi" w:cstheme="majorBidi"/>
          <w:lang w:bidi="fa-IR"/>
        </w:rPr>
        <w:t>. The annual insurance fee for most long-term expatriates was doubled to KD 100 in late 2025. A reduced rate (KD 10) applies to certain low-income workers, and KD 5 for some entry visas, but again only for specific categories (e.g. transit or emergency visas)</w:t>
      </w:r>
      <w:r w:rsidR="00610A7E">
        <w:rPr>
          <w:rStyle w:val="EndnoteReference"/>
          <w:rFonts w:asciiTheme="majorBidi" w:hAnsiTheme="majorBidi" w:cstheme="majorBidi"/>
          <w:lang w:bidi="fa-IR"/>
        </w:rPr>
        <w:endnoteReference w:id="10"/>
      </w:r>
      <w:r w:rsidRPr="00B00672">
        <w:rPr>
          <w:rFonts w:asciiTheme="majorBidi" w:hAnsiTheme="majorBidi" w:cstheme="majorBidi"/>
          <w:lang w:bidi="fa-IR"/>
        </w:rPr>
        <w:t>.</w:t>
      </w:r>
    </w:p>
    <w:p w14:paraId="0316559F" w14:textId="77777777" w:rsidR="00B00672" w:rsidRDefault="00B00672" w:rsidP="00B00672">
      <w:pPr>
        <w:jc w:val="both"/>
        <w:rPr>
          <w:rFonts w:asciiTheme="majorBidi" w:hAnsiTheme="majorBidi" w:cstheme="majorBidi"/>
          <w:lang w:bidi="fa-IR"/>
        </w:rPr>
      </w:pPr>
      <w:r w:rsidRPr="00B00672">
        <w:rPr>
          <w:rFonts w:asciiTheme="majorBidi" w:hAnsiTheme="majorBidi" w:cstheme="majorBidi"/>
          <w:lang w:bidi="fa-IR"/>
        </w:rPr>
        <w:t>By contrast, Kuwaiti nationals are not required to pay these insurance fees and receive healthcare at state expense. The public health budget and subsidies are funded by oil revenues and taxes, reflecting a welfare policy for citizens. Foreign nationals, including long-term legal residents and even stateless “</w:t>
      </w:r>
      <w:proofErr w:type="spellStart"/>
      <w:r w:rsidRPr="00B00672">
        <w:rPr>
          <w:rFonts w:asciiTheme="majorBidi" w:hAnsiTheme="majorBidi" w:cstheme="majorBidi"/>
          <w:lang w:bidi="fa-IR"/>
        </w:rPr>
        <w:t>bidoon</w:t>
      </w:r>
      <w:proofErr w:type="spellEnd"/>
      <w:r w:rsidRPr="00B00672">
        <w:rPr>
          <w:rFonts w:asciiTheme="majorBidi" w:hAnsiTheme="majorBidi" w:cstheme="majorBidi"/>
          <w:lang w:bidi="fa-IR"/>
        </w:rPr>
        <w:t>,” lack entitlement to the same free care and must rely on insurance or private care. In practice this creates a two-tier system: publicly funded treatment for Kuwaitis versus purchase-of-service for others. The recent legal reforms tie visa status directly to paid coverage, and impose steeper costs, which human rights observers warn amounts to nationality-based discrimination.</w:t>
      </w:r>
    </w:p>
    <w:p w14:paraId="22A307C4" w14:textId="77777777" w:rsidR="00610A7E" w:rsidRPr="00610A7E" w:rsidRDefault="00610A7E" w:rsidP="00610A7E">
      <w:pPr>
        <w:jc w:val="both"/>
        <w:rPr>
          <w:rFonts w:asciiTheme="majorBidi" w:hAnsiTheme="majorBidi" w:cstheme="majorBidi"/>
          <w:b/>
          <w:bCs/>
          <w:lang w:bidi="fa-IR"/>
        </w:rPr>
      </w:pPr>
      <w:r w:rsidRPr="00610A7E">
        <w:rPr>
          <w:rFonts w:asciiTheme="majorBidi" w:hAnsiTheme="majorBidi" w:cstheme="majorBidi"/>
          <w:b/>
          <w:bCs/>
          <w:lang w:bidi="fa-IR"/>
        </w:rPr>
        <w:t>Patterns of Discrimination</w:t>
      </w:r>
    </w:p>
    <w:p w14:paraId="636DB2BB" w14:textId="320265D9" w:rsidR="00610A7E" w:rsidRPr="00610A7E" w:rsidRDefault="00610A7E" w:rsidP="00610A7E">
      <w:pPr>
        <w:jc w:val="both"/>
        <w:rPr>
          <w:rFonts w:asciiTheme="majorBidi" w:hAnsiTheme="majorBidi" w:cstheme="majorBidi"/>
          <w:lang w:bidi="fa-IR"/>
        </w:rPr>
      </w:pPr>
      <w:r w:rsidRPr="00610A7E">
        <w:rPr>
          <w:rFonts w:asciiTheme="majorBidi" w:hAnsiTheme="majorBidi" w:cstheme="majorBidi"/>
          <w:lang w:bidi="fa-IR"/>
        </w:rPr>
        <w:t>The most salient evidence of differential treatment is the recent fee hike and visa requirement for expatriates. Kuwait’s own press reported that “no residency or entry visa can be granted without proof of health insurance or a guarantee”. The health ministry’s amendment explicitly “standardizes and raises” the insurance fee to KD 100 for the bulk of expatriates, affecting over 3 million people. This contrasts sharply with free access for citizens. In announcing the reform, the government noted the policy affects </w:t>
      </w:r>
      <w:r w:rsidRPr="00D4502E">
        <w:rPr>
          <w:rFonts w:asciiTheme="majorBidi" w:hAnsiTheme="majorBidi" w:cstheme="majorBidi"/>
          <w:lang w:bidi="fa-IR"/>
        </w:rPr>
        <w:t>all </w:t>
      </w:r>
      <w:r w:rsidRPr="00610A7E">
        <w:rPr>
          <w:rFonts w:asciiTheme="majorBidi" w:hAnsiTheme="majorBidi" w:cstheme="majorBidi"/>
          <w:lang w:bidi="fa-IR"/>
        </w:rPr>
        <w:t>key categories of foreign workers and dependents (Articles 17,18,21,23,24,30 of residency law). Even many domestic workers, who constitute one of the lowest-paid groups, were included in the KD 100 bracket beyond the third per family. Only a few categories are exempted, such as foreign women married to Kuwaitis and their children</w:t>
      </w:r>
      <w:r>
        <w:rPr>
          <w:rStyle w:val="EndnoteReference"/>
          <w:rFonts w:asciiTheme="majorBidi" w:hAnsiTheme="majorBidi" w:cstheme="majorBidi"/>
          <w:lang w:bidi="fa-IR"/>
        </w:rPr>
        <w:endnoteReference w:id="11"/>
      </w:r>
      <w:r w:rsidRPr="00610A7E">
        <w:rPr>
          <w:rFonts w:asciiTheme="majorBidi" w:hAnsiTheme="majorBidi" w:cstheme="majorBidi"/>
          <w:lang w:bidi="fa-IR"/>
        </w:rPr>
        <w:t>.</w:t>
      </w:r>
    </w:p>
    <w:p w14:paraId="026EA98C" w14:textId="4CC64D99" w:rsidR="00610A7E" w:rsidRPr="00610A7E" w:rsidRDefault="00610A7E" w:rsidP="00610A7E">
      <w:pPr>
        <w:jc w:val="both"/>
        <w:rPr>
          <w:rFonts w:asciiTheme="majorBidi" w:hAnsiTheme="majorBidi" w:cstheme="majorBidi"/>
          <w:lang w:bidi="fa-IR"/>
        </w:rPr>
      </w:pPr>
      <w:r w:rsidRPr="00610A7E">
        <w:rPr>
          <w:rFonts w:asciiTheme="majorBidi" w:hAnsiTheme="majorBidi" w:cstheme="majorBidi"/>
          <w:lang w:bidi="fa-IR"/>
        </w:rPr>
        <w:t>Critics have argued these measures burden already-vulnerable migrants. The former UN Special Rapporteur on the Rights of Migrants noted that stringent visa-linked insurance can deter migrants from seeking necessary care for fear of losing status. While no publicly available statistics on service denial are reported, anecdotal accounts exist of expats avoiding hospitals due to cost. The increase in fees—dubbed a “major hike” by the press</w:t>
      </w:r>
      <w:r>
        <w:rPr>
          <w:rStyle w:val="EndnoteReference"/>
          <w:rFonts w:asciiTheme="majorBidi" w:hAnsiTheme="majorBidi" w:cstheme="majorBidi"/>
          <w:lang w:bidi="fa-IR"/>
        </w:rPr>
        <w:endnoteReference w:id="12"/>
      </w:r>
      <w:r w:rsidRPr="00610A7E">
        <w:rPr>
          <w:rFonts w:asciiTheme="majorBidi" w:hAnsiTheme="majorBidi" w:cstheme="majorBidi"/>
          <w:lang w:bidi="fa-IR"/>
        </w:rPr>
        <w:t>—immediately drew comment that it could price poor workers out of routine care. By contrast, nationals continue to access comprehensive services (including free drugs, maternity care, emergency surgery) without additional charge</w:t>
      </w:r>
      <w:r>
        <w:rPr>
          <w:rStyle w:val="EndnoteReference"/>
          <w:rFonts w:asciiTheme="majorBidi" w:hAnsiTheme="majorBidi" w:cstheme="majorBidi"/>
          <w:lang w:bidi="fa-IR"/>
        </w:rPr>
        <w:endnoteReference w:id="13"/>
      </w:r>
      <w:r w:rsidRPr="00610A7E">
        <w:rPr>
          <w:rFonts w:asciiTheme="majorBidi" w:hAnsiTheme="majorBidi" w:cstheme="majorBidi"/>
          <w:lang w:bidi="fa-IR"/>
        </w:rPr>
        <w:t>.</w:t>
      </w:r>
    </w:p>
    <w:p w14:paraId="6A6B0BC4" w14:textId="77777777" w:rsidR="00610A7E" w:rsidRPr="00610A7E" w:rsidRDefault="00610A7E" w:rsidP="00610A7E">
      <w:pPr>
        <w:jc w:val="both"/>
        <w:rPr>
          <w:rFonts w:asciiTheme="majorBidi" w:hAnsiTheme="majorBidi" w:cstheme="majorBidi"/>
          <w:lang w:bidi="fa-IR"/>
        </w:rPr>
      </w:pPr>
      <w:r w:rsidRPr="00610A7E">
        <w:rPr>
          <w:rFonts w:asciiTheme="majorBidi" w:hAnsiTheme="majorBidi" w:cstheme="majorBidi"/>
          <w:lang w:bidi="fa-IR"/>
        </w:rPr>
        <w:lastRenderedPageBreak/>
        <w:t>The pattern of requiring costly guarantees amounts to indirect discrimination. While Kuwait’s laws do not use race or ethnicity as criteria, they draw a clear distinction between “nationals” and “foreigners.” Under the UN CERD Convention (to which Kuwait is party), depriving a group of nationals of equal public services on the basis of nationality or descent can constitute discrimination. Here, access to health services is effectively a right reserved for one group (Kuwaitis) at no cost, while another group (non-nationals) must pay. This differentiation is not based on medical need or risk factors, but solely on immigration status.</w:t>
      </w:r>
    </w:p>
    <w:p w14:paraId="351F2A09" w14:textId="77777777" w:rsidR="00610A7E" w:rsidRPr="00B00672" w:rsidRDefault="00610A7E" w:rsidP="00B00672">
      <w:pPr>
        <w:jc w:val="both"/>
        <w:rPr>
          <w:rFonts w:asciiTheme="majorBidi" w:hAnsiTheme="majorBidi" w:cstheme="majorBidi"/>
          <w:lang w:bidi="fa-IR"/>
        </w:rPr>
      </w:pPr>
    </w:p>
    <w:p w14:paraId="455EA386" w14:textId="77777777" w:rsidR="00D4502E" w:rsidRPr="00D4502E" w:rsidRDefault="00D4502E" w:rsidP="00D4502E">
      <w:pPr>
        <w:jc w:val="both"/>
        <w:rPr>
          <w:rFonts w:asciiTheme="majorBidi" w:hAnsiTheme="majorBidi" w:cstheme="majorBidi"/>
          <w:b/>
          <w:bCs/>
          <w:lang w:bidi="fa-IR"/>
        </w:rPr>
      </w:pPr>
      <w:r w:rsidRPr="00D4502E">
        <w:rPr>
          <w:rFonts w:asciiTheme="majorBidi" w:hAnsiTheme="majorBidi" w:cstheme="majorBidi"/>
          <w:b/>
          <w:bCs/>
          <w:lang w:bidi="fa-IR"/>
        </w:rPr>
        <w:t>Impact of the Discriminatory Practices</w:t>
      </w:r>
    </w:p>
    <w:p w14:paraId="5AB43687" w14:textId="3AA637EA" w:rsidR="00D4502E" w:rsidRPr="00D4502E" w:rsidRDefault="00D4502E" w:rsidP="00D4502E">
      <w:pPr>
        <w:jc w:val="both"/>
        <w:rPr>
          <w:rFonts w:asciiTheme="majorBidi" w:hAnsiTheme="majorBidi" w:cstheme="majorBidi"/>
          <w:lang w:bidi="fa-IR"/>
        </w:rPr>
      </w:pPr>
      <w:r w:rsidRPr="00D4502E">
        <w:rPr>
          <w:rFonts w:asciiTheme="majorBidi" w:hAnsiTheme="majorBidi" w:cstheme="majorBidi"/>
          <w:lang w:bidi="fa-IR"/>
        </w:rPr>
        <w:t>The practical impact is that foreign workers and their families pay more for basic healthcare and may face gaps in coverage. For example, raising the insurance fee to KD 100 (over US$300) per year can represent a significant share of a low-wage worker’s income. Some have reported simply not renewing insurance or visa due to cost. The law allow</w:t>
      </w:r>
      <w:r>
        <w:rPr>
          <w:rFonts w:asciiTheme="majorBidi" w:hAnsiTheme="majorBidi" w:cstheme="majorBidi"/>
          <w:lang w:bidi="fa-IR"/>
        </w:rPr>
        <w:t>s</w:t>
      </w:r>
      <w:r w:rsidRPr="00D4502E">
        <w:rPr>
          <w:rFonts w:asciiTheme="majorBidi" w:hAnsiTheme="majorBidi" w:cstheme="majorBidi"/>
          <w:lang w:bidi="fa-IR"/>
        </w:rPr>
        <w:t xml:space="preserve"> insurers to link validity to visa length, but if a worker falls ill and cannot work, loss of income may lead to unrenewed coverage and thus loss of legal status. In effect, health becomes a barrier to maintaining residency.</w:t>
      </w:r>
    </w:p>
    <w:p w14:paraId="4E9CB3A1" w14:textId="77777777" w:rsidR="00D4502E" w:rsidRPr="00D4502E" w:rsidRDefault="00D4502E" w:rsidP="00D4502E">
      <w:pPr>
        <w:jc w:val="both"/>
        <w:rPr>
          <w:rFonts w:asciiTheme="majorBidi" w:hAnsiTheme="majorBidi" w:cstheme="majorBidi"/>
          <w:lang w:bidi="fa-IR"/>
        </w:rPr>
      </w:pPr>
      <w:r w:rsidRPr="00D4502E">
        <w:rPr>
          <w:rFonts w:asciiTheme="majorBidi" w:hAnsiTheme="majorBidi" w:cstheme="majorBidi"/>
          <w:lang w:bidi="fa-IR"/>
        </w:rPr>
        <w:t>Moreover, certain specialized services are effectively reserved for citizens. Observers note that even in public hospitals, foreign patients are often routed to separate wings or told to pay for services nationals receive freely. This is not illegal per se, but reflects the underlying policy. Similarly, preventive services (vaccinations, school health checks) are free only for Kuwaiti children, while expatriate children must see private doctors. These gaps can lead to higher disease rates among non-citizens, who may delay care.</w:t>
      </w:r>
    </w:p>
    <w:p w14:paraId="6CA4187A" w14:textId="77777777" w:rsidR="00D4502E" w:rsidRPr="00D4502E" w:rsidRDefault="00D4502E" w:rsidP="00D4502E">
      <w:pPr>
        <w:jc w:val="both"/>
        <w:rPr>
          <w:rFonts w:asciiTheme="majorBidi" w:hAnsiTheme="majorBidi" w:cstheme="majorBidi"/>
          <w:lang w:bidi="fa-IR"/>
        </w:rPr>
      </w:pPr>
      <w:r w:rsidRPr="00D4502E">
        <w:rPr>
          <w:rFonts w:asciiTheme="majorBidi" w:hAnsiTheme="majorBidi" w:cstheme="majorBidi"/>
          <w:lang w:bidi="fa-IR"/>
        </w:rPr>
        <w:t>From a social perspective, these rules may foster resentment and marginalization. Expatriate workers, already vulnerable to labor violations under the sponsorship (kafala) system, now face the message that they have limited entitlement to basic welfare. International NGOs have pointed out that when migrants are excluded from public services, they become “a permanent underclass” despite years of work in the country.</w:t>
      </w:r>
    </w:p>
    <w:p w14:paraId="6E4BFD39" w14:textId="15BBF044" w:rsidR="00D4502E" w:rsidRPr="00D4502E" w:rsidRDefault="00D4502E" w:rsidP="00D4502E">
      <w:pPr>
        <w:jc w:val="both"/>
        <w:rPr>
          <w:rFonts w:asciiTheme="majorBidi" w:hAnsiTheme="majorBidi" w:cstheme="majorBidi"/>
          <w:lang w:bidi="fa-IR"/>
        </w:rPr>
      </w:pPr>
      <w:r w:rsidRPr="00D4502E">
        <w:rPr>
          <w:rFonts w:asciiTheme="majorBidi" w:hAnsiTheme="majorBidi" w:cstheme="majorBidi"/>
          <w:lang w:bidi="fa-IR"/>
        </w:rPr>
        <w:t>Finally, on a systemic level, such policies can conflict with Kuwait’s human rights obligations. Article 25 of the International Covenant on Economic, Social and Cultural Rights (ICESCR) guarantees the right to health for “all individuals,” and CERD’s General Recommendation 30 prohibits discrimination in granting social and health services. As Amnesty International observes in its 2025 report, “migrant workers faced abuse” and enjoyed fewer protections under Kuwait’s laws</w:t>
      </w:r>
      <w:r>
        <w:rPr>
          <w:rStyle w:val="EndnoteReference"/>
          <w:rFonts w:asciiTheme="majorBidi" w:hAnsiTheme="majorBidi" w:cstheme="majorBidi"/>
          <w:lang w:bidi="fa-IR"/>
        </w:rPr>
        <w:endnoteReference w:id="14"/>
      </w:r>
      <w:r w:rsidRPr="00D4502E">
        <w:rPr>
          <w:rFonts w:asciiTheme="majorBidi" w:hAnsiTheme="majorBidi" w:cstheme="majorBidi"/>
          <w:lang w:bidi="fa-IR"/>
        </w:rPr>
        <w:t>. Denying equal access to healthcare based on nationality clearly frustrates these principles.</w:t>
      </w:r>
    </w:p>
    <w:p w14:paraId="743E6C1D" w14:textId="77777777" w:rsidR="00D4502E" w:rsidRPr="00D4502E" w:rsidRDefault="00D4502E" w:rsidP="00D4502E">
      <w:pPr>
        <w:jc w:val="both"/>
        <w:rPr>
          <w:rFonts w:asciiTheme="majorBidi" w:hAnsiTheme="majorBidi" w:cstheme="majorBidi"/>
          <w:b/>
          <w:bCs/>
          <w:lang w:bidi="fa-IR"/>
        </w:rPr>
      </w:pPr>
      <w:r w:rsidRPr="00D4502E">
        <w:rPr>
          <w:rFonts w:asciiTheme="majorBidi" w:hAnsiTheme="majorBidi" w:cstheme="majorBidi"/>
          <w:b/>
          <w:bCs/>
          <w:lang w:bidi="fa-IR"/>
        </w:rPr>
        <w:t>Compliance with International Obligations</w:t>
      </w:r>
    </w:p>
    <w:p w14:paraId="4095848F" w14:textId="1CFC788A" w:rsidR="00D4502E" w:rsidRPr="00D4502E" w:rsidRDefault="00D4502E" w:rsidP="00D4502E">
      <w:pPr>
        <w:jc w:val="both"/>
        <w:rPr>
          <w:rFonts w:asciiTheme="majorBidi" w:hAnsiTheme="majorBidi" w:cstheme="majorBidi"/>
          <w:lang w:bidi="fa-IR"/>
        </w:rPr>
      </w:pPr>
      <w:r w:rsidRPr="00D4502E">
        <w:rPr>
          <w:rFonts w:asciiTheme="majorBidi" w:hAnsiTheme="majorBidi" w:cstheme="majorBidi"/>
          <w:lang w:bidi="fa-IR"/>
        </w:rPr>
        <w:t xml:space="preserve">Kuwait is a party to the International Covenant on Economic, Social and Cultural Rights (ICESCR) and the Convention on the Elimination of Racial Discrimination (CERD). While health is not explicitly in CERD, the Committee has interpreted “race” discrimination to include nationality and </w:t>
      </w:r>
      <w:r w:rsidRPr="00D4502E">
        <w:rPr>
          <w:rFonts w:asciiTheme="majorBidi" w:hAnsiTheme="majorBidi" w:cstheme="majorBidi"/>
          <w:lang w:bidi="fa-IR"/>
        </w:rPr>
        <w:lastRenderedPageBreak/>
        <w:t>descent</w:t>
      </w:r>
      <w:r w:rsidR="00797ECB">
        <w:rPr>
          <w:rStyle w:val="EndnoteReference"/>
          <w:rFonts w:asciiTheme="majorBidi" w:hAnsiTheme="majorBidi" w:cstheme="majorBidi"/>
          <w:lang w:bidi="fa-IR"/>
        </w:rPr>
        <w:endnoteReference w:id="15"/>
      </w:r>
      <w:r w:rsidRPr="00D4502E">
        <w:rPr>
          <w:rFonts w:asciiTheme="majorBidi" w:hAnsiTheme="majorBidi" w:cstheme="majorBidi"/>
          <w:lang w:bidi="fa-IR"/>
        </w:rPr>
        <w:t xml:space="preserve">. Denying foreign </w:t>
      </w:r>
      <w:proofErr w:type="gramStart"/>
      <w:r w:rsidRPr="00D4502E">
        <w:rPr>
          <w:rFonts w:asciiTheme="majorBidi" w:hAnsiTheme="majorBidi" w:cstheme="majorBidi"/>
          <w:lang w:bidi="fa-IR"/>
        </w:rPr>
        <w:t>residents</w:t>
      </w:r>
      <w:proofErr w:type="gramEnd"/>
      <w:r w:rsidRPr="00D4502E">
        <w:rPr>
          <w:rFonts w:asciiTheme="majorBidi" w:hAnsiTheme="majorBidi" w:cstheme="majorBidi"/>
          <w:lang w:bidi="fa-IR"/>
        </w:rPr>
        <w:t xml:space="preserve"> the same access to health services as citizens may violate the CERD obligation to guarantee economic, social and cultural rights to all individuals without distinction</w:t>
      </w:r>
      <w:r>
        <w:rPr>
          <w:rStyle w:val="EndnoteReference"/>
          <w:rFonts w:asciiTheme="majorBidi" w:hAnsiTheme="majorBidi" w:cstheme="majorBidi"/>
          <w:lang w:bidi="fa-IR"/>
        </w:rPr>
        <w:endnoteReference w:id="16"/>
      </w:r>
      <w:r w:rsidRPr="00D4502E">
        <w:rPr>
          <w:rFonts w:asciiTheme="majorBidi" w:hAnsiTheme="majorBidi" w:cstheme="majorBidi"/>
          <w:lang w:bidi="fa-IR"/>
        </w:rPr>
        <w:t>. Likewise, ICESCR Art. 12 calls for “the right of everyone to the enjoyment of the highest attainable standard of physical and mental health.</w:t>
      </w:r>
      <w:r w:rsidR="00797ECB">
        <w:rPr>
          <w:rStyle w:val="EndnoteReference"/>
          <w:rFonts w:asciiTheme="majorBidi" w:hAnsiTheme="majorBidi" w:cstheme="majorBidi"/>
          <w:lang w:bidi="fa-IR"/>
        </w:rPr>
        <w:endnoteReference w:id="17"/>
      </w:r>
      <w:r w:rsidRPr="00D4502E">
        <w:rPr>
          <w:rFonts w:asciiTheme="majorBidi" w:hAnsiTheme="majorBidi" w:cstheme="majorBidi"/>
          <w:lang w:bidi="fa-IR"/>
        </w:rPr>
        <w:t>” By making coverage contingent on immigration status and imposing prohibitive costs, Kuwait risks non-compliance.</w:t>
      </w:r>
    </w:p>
    <w:p w14:paraId="1E1BE76C" w14:textId="1818FB08" w:rsidR="00D4502E" w:rsidRDefault="00D4502E" w:rsidP="00D4502E">
      <w:pPr>
        <w:jc w:val="both"/>
        <w:rPr>
          <w:rFonts w:asciiTheme="majorBidi" w:hAnsiTheme="majorBidi" w:cstheme="majorBidi"/>
          <w:lang w:bidi="fa-IR"/>
        </w:rPr>
      </w:pPr>
      <w:r w:rsidRPr="00D4502E">
        <w:rPr>
          <w:rFonts w:asciiTheme="majorBidi" w:hAnsiTheme="majorBidi" w:cstheme="majorBidi"/>
          <w:lang w:bidi="fa-IR"/>
        </w:rPr>
        <w:t>No Kuwaiti law explicitly mandates discrimination; indeed, the constitution’s preamble promises equality (except for Shaykhs). But the effect of regulations is discriminatory. Most relevant is Kuwait’s commitments under CERD (ratified 1974) and ICESCR (1986). The amendments to health insurance arguably run counter to CERD’s spirit, since they institutionalize a distinction between citizens and non-citizens in public services. The government should consider CERD’s General Recommendation No. 30 (2004) which condemns “acts or practices… which impair the recognition, enjoyment or exercise” of economic, social, and cultural rights</w:t>
      </w:r>
      <w:r w:rsidR="00797ECB">
        <w:rPr>
          <w:rStyle w:val="EndnoteReference"/>
          <w:rFonts w:asciiTheme="majorBidi" w:hAnsiTheme="majorBidi" w:cstheme="majorBidi"/>
          <w:lang w:bidi="fa-IR"/>
        </w:rPr>
        <w:endnoteReference w:id="18"/>
      </w:r>
      <w:r w:rsidRPr="00D4502E">
        <w:rPr>
          <w:rFonts w:asciiTheme="majorBidi" w:hAnsiTheme="majorBidi" w:cstheme="majorBidi"/>
          <w:lang w:bidi="fa-IR"/>
        </w:rPr>
        <w:t>. Mandatory, costly insurance for one group meets that test.</w:t>
      </w:r>
    </w:p>
    <w:p w14:paraId="231491DE" w14:textId="77777777" w:rsidR="00797ECB" w:rsidRPr="00797ECB" w:rsidRDefault="00797ECB" w:rsidP="00797ECB">
      <w:pPr>
        <w:jc w:val="both"/>
        <w:rPr>
          <w:rFonts w:asciiTheme="majorBidi" w:hAnsiTheme="majorBidi" w:cstheme="majorBidi"/>
          <w:b/>
          <w:bCs/>
          <w:lang w:bidi="fa-IR"/>
        </w:rPr>
      </w:pPr>
      <w:r w:rsidRPr="00797ECB">
        <w:rPr>
          <w:rFonts w:asciiTheme="majorBidi" w:hAnsiTheme="majorBidi" w:cstheme="majorBidi"/>
          <w:b/>
          <w:bCs/>
          <w:lang w:bidi="fa-IR"/>
        </w:rPr>
        <w:t>Recommendations</w:t>
      </w:r>
    </w:p>
    <w:p w14:paraId="672CC9FD" w14:textId="77777777" w:rsidR="00797ECB" w:rsidRPr="00797ECB" w:rsidRDefault="00797ECB" w:rsidP="00797ECB">
      <w:pPr>
        <w:numPr>
          <w:ilvl w:val="0"/>
          <w:numId w:val="1"/>
        </w:numPr>
        <w:jc w:val="both"/>
        <w:rPr>
          <w:rFonts w:asciiTheme="majorBidi" w:hAnsiTheme="majorBidi" w:cstheme="majorBidi"/>
          <w:lang w:bidi="fa-IR"/>
        </w:rPr>
      </w:pPr>
      <w:r w:rsidRPr="00797ECB">
        <w:rPr>
          <w:rFonts w:asciiTheme="majorBidi" w:hAnsiTheme="majorBidi" w:cstheme="majorBidi"/>
          <w:b/>
          <w:bCs/>
          <w:lang w:bidi="fa-IR"/>
        </w:rPr>
        <w:t>Equalize coverage requirements:</w:t>
      </w:r>
      <w:r w:rsidRPr="00797ECB">
        <w:rPr>
          <w:rFonts w:asciiTheme="majorBidi" w:hAnsiTheme="majorBidi" w:cstheme="majorBidi"/>
          <w:lang w:bidi="fa-IR"/>
        </w:rPr>
        <w:t> Kuwait should extend free basic healthcare to all residents, or at least cap the expatriate insurance fee at a reasonable level. For example, maintaining a modest flat fee (e.g. KD 10–20) for low-wage workers would protect essential access. Any increase should be gradual and provide exemptions for vulnerable groups (low-income families, the ill).</w:t>
      </w:r>
    </w:p>
    <w:p w14:paraId="3C4DCEAB" w14:textId="77777777" w:rsidR="00797ECB" w:rsidRPr="00797ECB" w:rsidRDefault="00797ECB" w:rsidP="00797ECB">
      <w:pPr>
        <w:numPr>
          <w:ilvl w:val="0"/>
          <w:numId w:val="1"/>
        </w:numPr>
        <w:jc w:val="both"/>
        <w:rPr>
          <w:rFonts w:asciiTheme="majorBidi" w:hAnsiTheme="majorBidi" w:cstheme="majorBidi"/>
          <w:lang w:bidi="fa-IR"/>
        </w:rPr>
      </w:pPr>
      <w:r w:rsidRPr="00797ECB">
        <w:rPr>
          <w:rFonts w:asciiTheme="majorBidi" w:hAnsiTheme="majorBidi" w:cstheme="majorBidi"/>
          <w:b/>
          <w:bCs/>
          <w:lang w:bidi="fa-IR"/>
        </w:rPr>
        <w:t>Separate insurance from visa validity:</w:t>
      </w:r>
      <w:r w:rsidRPr="00797ECB">
        <w:rPr>
          <w:rFonts w:asciiTheme="majorBidi" w:hAnsiTheme="majorBidi" w:cstheme="majorBidi"/>
          <w:lang w:bidi="fa-IR"/>
        </w:rPr>
        <w:t> Decouple healthcare access from immigration status. Even if expatriates must carry insurance, visa issuance/renewal should not be denied for inability to pay. The Ministry of Interior and Health should allow payment plans or deferred premiums for those with financial hardship.</w:t>
      </w:r>
    </w:p>
    <w:p w14:paraId="0FFE5535" w14:textId="77777777" w:rsidR="00797ECB" w:rsidRPr="00797ECB" w:rsidRDefault="00797ECB" w:rsidP="00797ECB">
      <w:pPr>
        <w:numPr>
          <w:ilvl w:val="0"/>
          <w:numId w:val="1"/>
        </w:numPr>
        <w:jc w:val="both"/>
        <w:rPr>
          <w:rFonts w:asciiTheme="majorBidi" w:hAnsiTheme="majorBidi" w:cstheme="majorBidi"/>
          <w:lang w:bidi="fa-IR"/>
        </w:rPr>
      </w:pPr>
      <w:r w:rsidRPr="00797ECB">
        <w:rPr>
          <w:rFonts w:asciiTheme="majorBidi" w:hAnsiTheme="majorBidi" w:cstheme="majorBidi"/>
          <w:b/>
          <w:bCs/>
          <w:lang w:bidi="fa-IR"/>
        </w:rPr>
        <w:t>Transparency and appeal:</w:t>
      </w:r>
      <w:r w:rsidRPr="00797ECB">
        <w:rPr>
          <w:rFonts w:asciiTheme="majorBidi" w:hAnsiTheme="majorBidi" w:cstheme="majorBidi"/>
          <w:lang w:bidi="fa-IR"/>
        </w:rPr>
        <w:t> Publish the criteria and data on visa refusals linked to health insurance. Provide an appeal mechanism for those refused care or deported due to insurance lapses, to ensure no one is forced into statelessness or critical illness.</w:t>
      </w:r>
    </w:p>
    <w:p w14:paraId="2B1798FD" w14:textId="77777777" w:rsidR="00797ECB" w:rsidRPr="00797ECB" w:rsidRDefault="00797ECB" w:rsidP="00797ECB">
      <w:pPr>
        <w:numPr>
          <w:ilvl w:val="0"/>
          <w:numId w:val="1"/>
        </w:numPr>
        <w:jc w:val="both"/>
        <w:rPr>
          <w:rFonts w:asciiTheme="majorBidi" w:hAnsiTheme="majorBidi" w:cstheme="majorBidi"/>
          <w:lang w:bidi="fa-IR"/>
        </w:rPr>
      </w:pPr>
      <w:r w:rsidRPr="00797ECB">
        <w:rPr>
          <w:rFonts w:asciiTheme="majorBidi" w:hAnsiTheme="majorBidi" w:cstheme="majorBidi"/>
          <w:b/>
          <w:bCs/>
          <w:lang w:bidi="fa-IR"/>
        </w:rPr>
        <w:t>Strengthen monitoring:</w:t>
      </w:r>
      <w:r w:rsidRPr="00797ECB">
        <w:rPr>
          <w:rFonts w:asciiTheme="majorBidi" w:hAnsiTheme="majorBidi" w:cstheme="majorBidi"/>
          <w:lang w:bidi="fa-IR"/>
        </w:rPr>
        <w:t> Conduct an independent review (with UN or NGO observers) of expatriate health service usage and outcomes. If disparities emerge (e.g. higher morbidity among uninsured migrants), adjust policies to prevent neglect of foreign patients.</w:t>
      </w:r>
    </w:p>
    <w:p w14:paraId="4354E75E" w14:textId="77777777" w:rsidR="00797ECB" w:rsidRPr="00797ECB" w:rsidRDefault="00797ECB" w:rsidP="00797ECB">
      <w:pPr>
        <w:numPr>
          <w:ilvl w:val="0"/>
          <w:numId w:val="1"/>
        </w:numPr>
        <w:jc w:val="both"/>
        <w:rPr>
          <w:rFonts w:asciiTheme="majorBidi" w:hAnsiTheme="majorBidi" w:cstheme="majorBidi"/>
          <w:lang w:bidi="fa-IR"/>
        </w:rPr>
      </w:pPr>
      <w:r w:rsidRPr="00797ECB">
        <w:rPr>
          <w:rFonts w:asciiTheme="majorBidi" w:hAnsiTheme="majorBidi" w:cstheme="majorBidi"/>
          <w:b/>
          <w:bCs/>
          <w:lang w:bidi="fa-IR"/>
        </w:rPr>
        <w:t>Public awareness and education:</w:t>
      </w:r>
      <w:r w:rsidRPr="00797ECB">
        <w:rPr>
          <w:rFonts w:asciiTheme="majorBidi" w:hAnsiTheme="majorBidi" w:cstheme="majorBidi"/>
          <w:lang w:bidi="fa-IR"/>
        </w:rPr>
        <w:t> Ensure migrants are informed of their rights and the process to obtain insurance. Simplify the insurance system (e.g. allow low-income foreign residents to join a public scheme) to avoid fragmentation and gaps.</w:t>
      </w:r>
    </w:p>
    <w:p w14:paraId="2B3CE99A" w14:textId="7FD4D20D" w:rsidR="00797ECB" w:rsidRPr="00797ECB" w:rsidRDefault="00797ECB" w:rsidP="00797ECB">
      <w:pPr>
        <w:numPr>
          <w:ilvl w:val="0"/>
          <w:numId w:val="1"/>
        </w:numPr>
        <w:jc w:val="both"/>
        <w:rPr>
          <w:rFonts w:asciiTheme="majorBidi" w:hAnsiTheme="majorBidi" w:cstheme="majorBidi"/>
          <w:lang w:bidi="fa-IR"/>
        </w:rPr>
      </w:pPr>
      <w:r w:rsidRPr="00797ECB">
        <w:rPr>
          <w:rFonts w:asciiTheme="majorBidi" w:hAnsiTheme="majorBidi" w:cstheme="majorBidi"/>
          <w:b/>
          <w:bCs/>
          <w:lang w:bidi="fa-IR"/>
        </w:rPr>
        <w:t>Time-bound action:</w:t>
      </w:r>
      <w:r w:rsidRPr="00797ECB">
        <w:rPr>
          <w:rFonts w:asciiTheme="majorBidi" w:hAnsiTheme="majorBidi" w:cstheme="majorBidi"/>
          <w:lang w:bidi="fa-IR"/>
        </w:rPr>
        <w:t> Kuwait should report progress to CERD/CESCR on implementing non-discriminatory health access as part of its next periodic report.</w:t>
      </w:r>
    </w:p>
    <w:p w14:paraId="5ADA745D" w14:textId="77777777" w:rsidR="00797ECB" w:rsidRDefault="00797ECB" w:rsidP="00290F54">
      <w:pPr>
        <w:jc w:val="both"/>
        <w:rPr>
          <w:rFonts w:asciiTheme="majorBidi" w:hAnsiTheme="majorBidi" w:cstheme="majorBidi"/>
          <w:lang w:bidi="fa-IR"/>
        </w:rPr>
      </w:pPr>
      <w:r w:rsidRPr="00797ECB">
        <w:rPr>
          <w:rFonts w:asciiTheme="majorBidi" w:hAnsiTheme="majorBidi" w:cstheme="majorBidi"/>
          <w:lang w:bidi="fa-IR"/>
        </w:rPr>
        <w:t xml:space="preserve">Failing to address these issues could leave many foreign residents without affordable care, undermining Kuwait’s social stability and international standing. By implementing equal-access </w:t>
      </w:r>
      <w:r w:rsidRPr="00797ECB">
        <w:rPr>
          <w:rFonts w:asciiTheme="majorBidi" w:hAnsiTheme="majorBidi" w:cstheme="majorBidi"/>
          <w:lang w:bidi="fa-IR"/>
        </w:rPr>
        <w:lastRenderedPageBreak/>
        <w:t>policies and removing nationality-based barriers, Kuwait would fulfill its treaty obligations and uphold basic human rights principles.</w:t>
      </w:r>
    </w:p>
    <w:p w14:paraId="5F19718D" w14:textId="77777777" w:rsidR="00290F54" w:rsidRDefault="00290F54" w:rsidP="00290F54">
      <w:pPr>
        <w:jc w:val="both"/>
        <w:rPr>
          <w:rFonts w:asciiTheme="majorBidi" w:hAnsiTheme="majorBidi" w:cstheme="majorBidi"/>
          <w:lang w:bidi="fa-IR"/>
        </w:rPr>
      </w:pPr>
    </w:p>
    <w:p w14:paraId="45F8C980" w14:textId="77777777" w:rsidR="00290F54" w:rsidRDefault="00290F54" w:rsidP="00290F54">
      <w:pPr>
        <w:jc w:val="both"/>
        <w:rPr>
          <w:rFonts w:asciiTheme="majorBidi" w:hAnsiTheme="majorBidi" w:cstheme="majorBidi"/>
          <w:lang w:bidi="fa-IR"/>
        </w:rPr>
      </w:pPr>
    </w:p>
    <w:p w14:paraId="49152662" w14:textId="4441E675" w:rsidR="00290F54" w:rsidRPr="00290F54" w:rsidRDefault="00290F54" w:rsidP="00290F54">
      <w:pPr>
        <w:jc w:val="both"/>
        <w:rPr>
          <w:rFonts w:asciiTheme="majorBidi" w:hAnsiTheme="majorBidi" w:cstheme="majorBidi"/>
          <w:b/>
          <w:bCs/>
          <w:lang w:bidi="fa-IR"/>
        </w:rPr>
      </w:pPr>
      <w:r w:rsidRPr="00290F54">
        <w:rPr>
          <w:rFonts w:asciiTheme="majorBidi" w:hAnsiTheme="majorBidi" w:cstheme="majorBidi"/>
          <w:b/>
          <w:bCs/>
          <w:lang w:bidi="fa-IR"/>
        </w:rPr>
        <w:t>References</w:t>
      </w:r>
    </w:p>
    <w:sectPr w:rsidR="00290F54" w:rsidRPr="00290F54" w:rsidSect="00B46AB3">
      <w:endnotePr>
        <w:numFmt w:val="decimal"/>
      </w:endnotePr>
      <w:pgSz w:w="12240" w:h="15840"/>
      <w:pgMar w:top="1440" w:right="1440" w:bottom="1440" w:left="1440" w:header="720" w:footer="720" w:gutter="0"/>
      <w:pgBorders w:offsetFrom="page">
        <w:top w:val="dotDash" w:sz="4" w:space="24" w:color="auto"/>
        <w:left w:val="dotDash" w:sz="4" w:space="24" w:color="auto"/>
        <w:bottom w:val="dotDash" w:sz="4" w:space="24" w:color="auto"/>
        <w:right w:val="dotDash"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6717B" w14:textId="77777777" w:rsidR="00D75C87" w:rsidRDefault="00D75C87" w:rsidP="000A0C4C">
      <w:pPr>
        <w:spacing w:after="0" w:line="240" w:lineRule="auto"/>
      </w:pPr>
      <w:r>
        <w:separator/>
      </w:r>
    </w:p>
  </w:endnote>
  <w:endnote w:type="continuationSeparator" w:id="0">
    <w:p w14:paraId="331E4C32" w14:textId="77777777" w:rsidR="00D75C87" w:rsidRDefault="00D75C87" w:rsidP="000A0C4C">
      <w:pPr>
        <w:spacing w:after="0" w:line="240" w:lineRule="auto"/>
      </w:pPr>
      <w:r>
        <w:continuationSeparator/>
      </w:r>
    </w:p>
  </w:endnote>
  <w:endnote w:id="1">
    <w:p w14:paraId="4FAB25BC" w14:textId="4932D54A" w:rsidR="000A0C4C" w:rsidRPr="00290F54" w:rsidRDefault="000A0C4C" w:rsidP="000A0C4C">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w:t>
      </w:r>
      <w:r w:rsidRPr="00290F54">
        <w:rPr>
          <w:rFonts w:asciiTheme="majorBidi" w:hAnsiTheme="majorBidi" w:cstheme="majorBidi"/>
          <w:i/>
          <w:iCs/>
        </w:rPr>
        <w:t>Kuwait announces major hike in health insurance.</w:t>
      </w:r>
      <w:r w:rsidRPr="00290F54">
        <w:rPr>
          <w:rFonts w:asciiTheme="majorBidi" w:hAnsiTheme="majorBidi" w:cstheme="majorBidi"/>
        </w:rPr>
        <w:t xml:space="preserve"> (2025). </w:t>
      </w:r>
      <w:r w:rsidRPr="00290F54">
        <w:rPr>
          <w:rFonts w:asciiTheme="majorBidi" w:hAnsiTheme="majorBidi" w:cstheme="majorBidi"/>
          <w:i/>
          <w:iCs/>
        </w:rPr>
        <w:t>Kuwait Times</w:t>
      </w:r>
      <w:r w:rsidRPr="00290F54">
        <w:rPr>
          <w:rFonts w:asciiTheme="majorBidi" w:hAnsiTheme="majorBidi" w:cstheme="majorBidi"/>
        </w:rPr>
        <w:t xml:space="preserve">. </w:t>
      </w:r>
      <w:hyperlink r:id="rId1" w:tgtFrame="_new" w:history="1">
        <w:r w:rsidRPr="00290F54">
          <w:rPr>
            <w:rStyle w:val="Hyperlink"/>
            <w:rFonts w:asciiTheme="majorBidi" w:hAnsiTheme="majorBidi" w:cstheme="majorBidi"/>
            <w:color w:val="auto"/>
          </w:rPr>
          <w:t>https://kuwaittimes.com/article/37417/kuwait/kuwait-announces-major-hike-in-health-insurance/</w:t>
        </w:r>
      </w:hyperlink>
    </w:p>
  </w:endnote>
  <w:endnote w:id="2">
    <w:p w14:paraId="689F0CCC" w14:textId="16C30A19" w:rsidR="000A0C4C" w:rsidRPr="00290F54" w:rsidRDefault="000A0C4C">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w:t>
      </w:r>
      <w:r w:rsidRPr="00290F54">
        <w:rPr>
          <w:rFonts w:asciiTheme="majorBidi" w:hAnsiTheme="majorBidi" w:cstheme="majorBidi"/>
          <w:i/>
          <w:iCs/>
        </w:rPr>
        <w:t>Kuwait announces major hike in health insurance.</w:t>
      </w:r>
      <w:r w:rsidRPr="00290F54">
        <w:rPr>
          <w:rFonts w:asciiTheme="majorBidi" w:hAnsiTheme="majorBidi" w:cstheme="majorBidi"/>
        </w:rPr>
        <w:t xml:space="preserve"> (2025). </w:t>
      </w:r>
      <w:r w:rsidRPr="00290F54">
        <w:rPr>
          <w:rFonts w:asciiTheme="majorBidi" w:hAnsiTheme="majorBidi" w:cstheme="majorBidi"/>
          <w:i/>
          <w:iCs/>
        </w:rPr>
        <w:t>Kuwait Times</w:t>
      </w:r>
      <w:r w:rsidRPr="00290F54">
        <w:rPr>
          <w:rFonts w:asciiTheme="majorBidi" w:hAnsiTheme="majorBidi" w:cstheme="majorBidi"/>
        </w:rPr>
        <w:t xml:space="preserve">. </w:t>
      </w:r>
      <w:hyperlink r:id="rId2" w:tgtFrame="_new" w:history="1">
        <w:r w:rsidRPr="00290F54">
          <w:rPr>
            <w:rStyle w:val="Hyperlink"/>
            <w:rFonts w:asciiTheme="majorBidi" w:hAnsiTheme="majorBidi" w:cstheme="majorBidi"/>
            <w:color w:val="auto"/>
          </w:rPr>
          <w:t>https://kuwaittimes.com/article/37417/kuwait/kuwait-announces-major-hike-in-health-insurance/</w:t>
        </w:r>
      </w:hyperlink>
    </w:p>
  </w:endnote>
  <w:endnote w:id="3">
    <w:p w14:paraId="3E468FB6" w14:textId="59F4F10A" w:rsidR="000A0C4C" w:rsidRPr="00290F54" w:rsidRDefault="000A0C4C" w:rsidP="00AE7659">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Embassy of the State of Kuwait. (n.d.). </w:t>
      </w:r>
      <w:r w:rsidRPr="00290F54">
        <w:rPr>
          <w:rFonts w:asciiTheme="majorBidi" w:hAnsiTheme="majorBidi" w:cstheme="majorBidi"/>
          <w:i/>
          <w:iCs/>
        </w:rPr>
        <w:t>Health and social services</w:t>
      </w:r>
      <w:r w:rsidRPr="00290F54">
        <w:rPr>
          <w:rFonts w:asciiTheme="majorBidi" w:hAnsiTheme="majorBidi" w:cstheme="majorBidi"/>
        </w:rPr>
        <w:t xml:space="preserve">. </w:t>
      </w:r>
      <w:hyperlink r:id="rId3" w:tgtFrame="_new" w:history="1">
        <w:r w:rsidRPr="00290F54">
          <w:rPr>
            <w:rStyle w:val="Hyperlink"/>
            <w:rFonts w:asciiTheme="majorBidi" w:hAnsiTheme="majorBidi" w:cstheme="majorBidi"/>
            <w:color w:val="auto"/>
          </w:rPr>
          <w:t>https://www.kuwaitembassy.org/about-kuwait/health-and-social-services</w:t>
        </w:r>
      </w:hyperlink>
    </w:p>
  </w:endnote>
  <w:endnote w:id="4">
    <w:p w14:paraId="5A6C87F9" w14:textId="40890463" w:rsidR="00AE7659" w:rsidRPr="00290F54" w:rsidRDefault="00AE7659" w:rsidP="00E679B0">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Lexis Middle East. (2026, January 5). </w:t>
      </w:r>
      <w:r w:rsidRPr="00290F54">
        <w:rPr>
          <w:rFonts w:asciiTheme="majorBidi" w:hAnsiTheme="majorBidi" w:cstheme="majorBidi"/>
          <w:i/>
          <w:iCs/>
        </w:rPr>
        <w:t>Kuwait: Expats can now file health grievances</w:t>
      </w:r>
      <w:r w:rsidRPr="00290F54">
        <w:rPr>
          <w:rFonts w:asciiTheme="majorBidi" w:hAnsiTheme="majorBidi" w:cstheme="majorBidi"/>
        </w:rPr>
        <w:t xml:space="preserve">. </w:t>
      </w:r>
      <w:hyperlink r:id="rId4" w:tgtFrame="_new" w:history="1">
        <w:r w:rsidRPr="00290F54">
          <w:rPr>
            <w:rStyle w:val="Hyperlink"/>
            <w:rFonts w:asciiTheme="majorBidi" w:hAnsiTheme="majorBidi" w:cstheme="majorBidi"/>
            <w:color w:val="auto"/>
          </w:rPr>
          <w:t>https://www.lexismiddleeast.com/news/2026-01-05_1/en</w:t>
        </w:r>
      </w:hyperlink>
    </w:p>
  </w:endnote>
  <w:endnote w:id="5">
    <w:p w14:paraId="20DDF6B1" w14:textId="6D14A2CB" w:rsidR="00E679B0" w:rsidRPr="00290F54" w:rsidRDefault="00E679B0" w:rsidP="00044225">
      <w:pPr>
        <w:pStyle w:val="EndnoteText"/>
        <w:rPr>
          <w:rFonts w:asciiTheme="majorBidi" w:hAnsiTheme="majorBidi" w:cstheme="majorBidi"/>
          <w:rtl/>
        </w:rPr>
      </w:pPr>
      <w:r w:rsidRPr="00290F54">
        <w:rPr>
          <w:rStyle w:val="EndnoteReference"/>
          <w:rFonts w:asciiTheme="majorBidi" w:hAnsiTheme="majorBidi" w:cstheme="majorBidi"/>
        </w:rPr>
        <w:endnoteRef/>
      </w:r>
      <w:r w:rsidRPr="00290F54">
        <w:rPr>
          <w:rFonts w:asciiTheme="majorBidi" w:hAnsiTheme="majorBidi" w:cstheme="majorBidi"/>
        </w:rPr>
        <w:t xml:space="preserve"> HFW. (2026, January 8). </w:t>
      </w:r>
      <w:r w:rsidRPr="00290F54">
        <w:rPr>
          <w:rFonts w:asciiTheme="majorBidi" w:hAnsiTheme="majorBidi" w:cstheme="majorBidi"/>
          <w:i/>
          <w:iCs/>
        </w:rPr>
        <w:t>New decisions issued in Kuwait under the Ministry of Health</w:t>
      </w:r>
      <w:r w:rsidRPr="00290F54">
        <w:rPr>
          <w:rFonts w:asciiTheme="majorBidi" w:hAnsiTheme="majorBidi" w:cstheme="majorBidi"/>
        </w:rPr>
        <w:t xml:space="preserve">. </w:t>
      </w:r>
      <w:r w:rsidRPr="00290F54">
        <w:rPr>
          <w:rFonts w:asciiTheme="majorBidi" w:hAnsiTheme="majorBidi" w:cstheme="majorBidi"/>
        </w:rPr>
        <w:t xml:space="preserve">Lexology. </w:t>
      </w:r>
      <w:hyperlink r:id="rId5" w:tgtFrame="_new" w:history="1">
        <w:r w:rsidRPr="00290F54">
          <w:rPr>
            <w:rStyle w:val="Hyperlink"/>
            <w:rFonts w:asciiTheme="majorBidi" w:hAnsiTheme="majorBidi" w:cstheme="majorBidi"/>
            <w:color w:val="auto"/>
          </w:rPr>
          <w:t>https://www.lexology.com/library/detail.aspx?g=83fdb03a-42e7-4a03-87a3-d2f93dc45f9d</w:t>
        </w:r>
      </w:hyperlink>
    </w:p>
  </w:endnote>
  <w:endnote w:id="6">
    <w:p w14:paraId="043F8721" w14:textId="562F3BC4" w:rsidR="00044225" w:rsidRPr="00290F54" w:rsidRDefault="00044225" w:rsidP="00044225">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HFW. (2026, January 8). </w:t>
      </w:r>
      <w:r w:rsidRPr="00290F54">
        <w:rPr>
          <w:rFonts w:asciiTheme="majorBidi" w:hAnsiTheme="majorBidi" w:cstheme="majorBidi"/>
          <w:i/>
          <w:iCs/>
        </w:rPr>
        <w:t>New decisions issued in Kuwait under the Ministry of Health</w:t>
      </w:r>
      <w:r w:rsidRPr="00290F54">
        <w:rPr>
          <w:rFonts w:asciiTheme="majorBidi" w:hAnsiTheme="majorBidi" w:cstheme="majorBidi"/>
        </w:rPr>
        <w:t xml:space="preserve">. </w:t>
      </w:r>
      <w:hyperlink r:id="rId6" w:tgtFrame="_new" w:history="1">
        <w:r w:rsidRPr="00290F54">
          <w:rPr>
            <w:rStyle w:val="Hyperlink"/>
            <w:rFonts w:asciiTheme="majorBidi" w:hAnsiTheme="majorBidi" w:cstheme="majorBidi"/>
            <w:color w:val="auto"/>
          </w:rPr>
          <w:t>https://www.hfw.com/insights/new-decisions-issued-in-kuwait-under-the-ministry-of-health/</w:t>
        </w:r>
      </w:hyperlink>
    </w:p>
  </w:endnote>
  <w:endnote w:id="7">
    <w:p w14:paraId="3CFFA118" w14:textId="6246E925" w:rsidR="00044225" w:rsidRPr="00290F54" w:rsidRDefault="00044225"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Kuwait Times. (2025, December 21). </w:t>
      </w:r>
      <w:r w:rsidRPr="00290F54">
        <w:rPr>
          <w:rFonts w:asciiTheme="majorBidi" w:hAnsiTheme="majorBidi" w:cstheme="majorBidi"/>
          <w:i/>
          <w:iCs/>
        </w:rPr>
        <w:t>Kuwait announces major hike in health insurance</w:t>
      </w:r>
      <w:r w:rsidRPr="00290F54">
        <w:rPr>
          <w:rFonts w:asciiTheme="majorBidi" w:hAnsiTheme="majorBidi" w:cstheme="majorBidi"/>
        </w:rPr>
        <w:t xml:space="preserve">. </w:t>
      </w:r>
      <w:hyperlink r:id="rId7" w:tgtFrame="_new" w:history="1">
        <w:r w:rsidRPr="00290F54">
          <w:rPr>
            <w:rStyle w:val="Hyperlink"/>
            <w:rFonts w:asciiTheme="majorBidi" w:hAnsiTheme="majorBidi" w:cstheme="majorBidi"/>
            <w:color w:val="auto"/>
          </w:rPr>
          <w:t>https://kuwaittimes.com/article/37417/kuwait/kuwait-announces-major-hike-in-health-insurance</w:t>
        </w:r>
      </w:hyperlink>
    </w:p>
  </w:endnote>
  <w:endnote w:id="8">
    <w:p w14:paraId="66E0FE63" w14:textId="556B1D63" w:rsidR="00610A7E" w:rsidRPr="00290F54" w:rsidRDefault="00610A7E"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HFW. (2026, January 8). </w:t>
      </w:r>
      <w:r w:rsidRPr="00290F54">
        <w:rPr>
          <w:rFonts w:asciiTheme="majorBidi" w:hAnsiTheme="majorBidi" w:cstheme="majorBidi"/>
          <w:i/>
          <w:iCs/>
        </w:rPr>
        <w:t>New decisions issued in Kuwait under the Ministry of Health</w:t>
      </w:r>
      <w:r w:rsidRPr="00290F54">
        <w:rPr>
          <w:rFonts w:asciiTheme="majorBidi" w:hAnsiTheme="majorBidi" w:cstheme="majorBidi"/>
        </w:rPr>
        <w:t xml:space="preserve">. </w:t>
      </w:r>
      <w:r w:rsidRPr="00290F54">
        <w:rPr>
          <w:rFonts w:asciiTheme="majorBidi" w:hAnsiTheme="majorBidi" w:cstheme="majorBidi"/>
        </w:rPr>
        <w:t xml:space="preserve">Lexology. </w:t>
      </w:r>
      <w:hyperlink r:id="rId8" w:tgtFrame="_new" w:history="1">
        <w:r w:rsidRPr="00290F54">
          <w:rPr>
            <w:rStyle w:val="Hyperlink"/>
            <w:rFonts w:asciiTheme="majorBidi" w:hAnsiTheme="majorBidi" w:cstheme="majorBidi"/>
            <w:color w:val="auto"/>
          </w:rPr>
          <w:t>https://www.lexology.com/library/detail.aspx?g=83fdb03a-42e7-4a03-87a3-d2f93dc45f9d</w:t>
        </w:r>
      </w:hyperlink>
    </w:p>
  </w:endnote>
  <w:endnote w:id="9">
    <w:p w14:paraId="2DE450BE" w14:textId="09533CDB" w:rsidR="00610A7E" w:rsidRPr="00290F54" w:rsidRDefault="00610A7E"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Kuwait Times. (2025, December 21). </w:t>
      </w:r>
      <w:r w:rsidRPr="00290F54">
        <w:rPr>
          <w:rFonts w:asciiTheme="majorBidi" w:hAnsiTheme="majorBidi" w:cstheme="majorBidi"/>
          <w:i/>
          <w:iCs/>
        </w:rPr>
        <w:t>Kuwait announces major hike in health insurance</w:t>
      </w:r>
      <w:r w:rsidRPr="00290F54">
        <w:rPr>
          <w:rFonts w:asciiTheme="majorBidi" w:hAnsiTheme="majorBidi" w:cstheme="majorBidi"/>
        </w:rPr>
        <w:t xml:space="preserve">. </w:t>
      </w:r>
      <w:hyperlink r:id="rId9" w:tgtFrame="_new" w:history="1">
        <w:r w:rsidRPr="00290F54">
          <w:rPr>
            <w:rStyle w:val="Hyperlink"/>
            <w:rFonts w:asciiTheme="majorBidi" w:hAnsiTheme="majorBidi" w:cstheme="majorBidi"/>
            <w:color w:val="auto"/>
          </w:rPr>
          <w:t>https://kuwaittimes.com/article/37417/kuwait/kuwait-announces-major-hike-in-health-insurance/</w:t>
        </w:r>
      </w:hyperlink>
    </w:p>
  </w:endnote>
  <w:endnote w:id="10">
    <w:p w14:paraId="514DE21D" w14:textId="21FAD114" w:rsidR="00610A7E" w:rsidRPr="00290F54" w:rsidRDefault="00610A7E" w:rsidP="00610A7E">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Kuwait Times. (2025, December 21). Kuwait announces major hike in health insurance. https://kuwaittimes.com/article/37417/kuwait/kuwait-announces-major-hike-in-health-insurance/</w:t>
      </w:r>
    </w:p>
  </w:endnote>
  <w:endnote w:id="11">
    <w:p w14:paraId="2109F167" w14:textId="59524186" w:rsidR="00610A7E" w:rsidRPr="00290F54" w:rsidRDefault="00610A7E"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Kuwait Times. (2025, December 21). Kuwait announces major hike in health insurance. https://kuwaittimes.com/article/37417/kuwait/kuwait-announces-major-hike-in-health-insurance/</w:t>
      </w:r>
    </w:p>
  </w:endnote>
  <w:endnote w:id="12">
    <w:p w14:paraId="17DCA596" w14:textId="43A892B6" w:rsidR="00610A7E" w:rsidRPr="00290F54" w:rsidRDefault="00610A7E"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Kuwait Times. (2025, December 21). Kuwait announces major hike in health insurance. https://kuwaittimes.com/article/37417/kuwait/kuwait-announces-major-hike-in-health-insurance/</w:t>
      </w:r>
    </w:p>
  </w:endnote>
  <w:endnote w:id="13">
    <w:p w14:paraId="6E9BD2ED" w14:textId="08119A6C" w:rsidR="00610A7E" w:rsidRPr="00290F54" w:rsidRDefault="00610A7E" w:rsidP="00610A7E">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Embassy of the State of Kuwait. (n.d.). Health and social services. https://www.kuwaitembassy.org/about-kuwait/health-and-social-services</w:t>
      </w:r>
    </w:p>
  </w:endnote>
  <w:endnote w:id="14">
    <w:p w14:paraId="65FD1587" w14:textId="5F646434" w:rsidR="00D4502E" w:rsidRPr="00290F54" w:rsidRDefault="00D4502E" w:rsidP="00D4502E">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Amnesty International. (2025). </w:t>
      </w:r>
      <w:r w:rsidRPr="00290F54">
        <w:rPr>
          <w:rFonts w:asciiTheme="majorBidi" w:hAnsiTheme="majorBidi" w:cstheme="majorBidi"/>
          <w:i/>
          <w:iCs/>
        </w:rPr>
        <w:t>Kuwait report</w:t>
      </w:r>
      <w:r w:rsidRPr="00290F54">
        <w:rPr>
          <w:rFonts w:asciiTheme="majorBidi" w:hAnsiTheme="majorBidi" w:cstheme="majorBidi"/>
        </w:rPr>
        <w:t xml:space="preserve">. </w:t>
      </w:r>
      <w:hyperlink r:id="rId10" w:tgtFrame="_new" w:history="1">
        <w:r w:rsidRPr="00290F54">
          <w:rPr>
            <w:rStyle w:val="Hyperlink"/>
            <w:rFonts w:asciiTheme="majorBidi" w:hAnsiTheme="majorBidi" w:cstheme="majorBidi"/>
            <w:color w:val="auto"/>
          </w:rPr>
          <w:t>https://www.amnesty.org/en/location/middle-east-and-north-africa/middle-east/kuwait/report-kuwait</w:t>
        </w:r>
      </w:hyperlink>
    </w:p>
  </w:endnote>
  <w:endnote w:id="15">
    <w:p w14:paraId="08516140" w14:textId="2FA589C0" w:rsidR="00797ECB" w:rsidRPr="00290F54" w:rsidRDefault="00797ECB"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Committee on the Elimination of Racial Discrimination. (2024, September 19). </w:t>
      </w:r>
      <w:r w:rsidRPr="00290F54">
        <w:rPr>
          <w:rFonts w:asciiTheme="majorBidi" w:hAnsiTheme="majorBidi" w:cstheme="majorBidi"/>
          <w:i/>
          <w:iCs/>
        </w:rPr>
        <w:t>Concluding observations on the combined twentieth to twenty-seventh periodic reports of the Islamic Republic of Iran (CERD/C/IRN/CO/20-27)</w:t>
      </w:r>
      <w:r w:rsidRPr="00290F54">
        <w:rPr>
          <w:rFonts w:asciiTheme="majorBidi" w:hAnsiTheme="majorBidi" w:cstheme="majorBidi"/>
        </w:rPr>
        <w:t xml:space="preserve">. United Nations. </w:t>
      </w:r>
      <w:hyperlink r:id="rId11" w:tgtFrame="_new" w:history="1">
        <w:r w:rsidRPr="00290F54">
          <w:rPr>
            <w:rStyle w:val="Hyperlink"/>
            <w:rFonts w:asciiTheme="majorBidi" w:hAnsiTheme="majorBidi" w:cstheme="majorBidi"/>
            <w:color w:val="auto"/>
          </w:rPr>
          <w:t>https://docs.un.org/en/CERD/C/IRN/CO/20-27</w:t>
        </w:r>
      </w:hyperlink>
    </w:p>
  </w:endnote>
  <w:endnote w:id="16">
    <w:p w14:paraId="344D4EF0" w14:textId="7CA24D22" w:rsidR="00D4502E" w:rsidRPr="00290F54" w:rsidRDefault="00D4502E"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Amnesty International. (2025). </w:t>
      </w:r>
      <w:r w:rsidRPr="00290F54">
        <w:rPr>
          <w:rFonts w:asciiTheme="majorBidi" w:hAnsiTheme="majorBidi" w:cstheme="majorBidi"/>
          <w:i/>
          <w:iCs/>
        </w:rPr>
        <w:t>Kuwait report</w:t>
      </w:r>
      <w:r w:rsidRPr="00290F54">
        <w:rPr>
          <w:rFonts w:asciiTheme="majorBidi" w:hAnsiTheme="majorBidi" w:cstheme="majorBidi"/>
        </w:rPr>
        <w:t xml:space="preserve">. </w:t>
      </w:r>
      <w:hyperlink r:id="rId12" w:tgtFrame="_new" w:history="1">
        <w:r w:rsidRPr="00290F54">
          <w:rPr>
            <w:rStyle w:val="Hyperlink"/>
            <w:rFonts w:asciiTheme="majorBidi" w:hAnsiTheme="majorBidi" w:cstheme="majorBidi"/>
            <w:color w:val="auto"/>
          </w:rPr>
          <w:t>https://www.amnesty.org/en/location/middle-east-and-north-africa/middle-east/kuwait/report-kuwait</w:t>
        </w:r>
      </w:hyperlink>
    </w:p>
  </w:endnote>
  <w:endnote w:id="17">
    <w:p w14:paraId="1CA901B4" w14:textId="06F78F73" w:rsidR="00797ECB" w:rsidRPr="00290F54" w:rsidRDefault="00797ECB"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Office of the United Nations High Commissioner for Human Rights. (n.d.). </w:t>
      </w:r>
      <w:r w:rsidRPr="00290F54">
        <w:rPr>
          <w:rFonts w:asciiTheme="majorBidi" w:hAnsiTheme="majorBidi" w:cstheme="majorBidi"/>
          <w:i/>
          <w:iCs/>
        </w:rPr>
        <w:t>International Covenant on Economic, Social and Cultural Rights</w:t>
      </w:r>
      <w:r w:rsidRPr="00290F54">
        <w:rPr>
          <w:rFonts w:asciiTheme="majorBidi" w:hAnsiTheme="majorBidi" w:cstheme="majorBidi"/>
        </w:rPr>
        <w:t xml:space="preserve">. </w:t>
      </w:r>
      <w:hyperlink r:id="rId13" w:tgtFrame="_new" w:history="1">
        <w:r w:rsidRPr="00290F54">
          <w:rPr>
            <w:rStyle w:val="Hyperlink"/>
            <w:rFonts w:asciiTheme="majorBidi" w:hAnsiTheme="majorBidi" w:cstheme="majorBidi"/>
            <w:color w:val="auto"/>
          </w:rPr>
          <w:t>https://www.ohchr.org/en/instruments-mechanisms/instruments/international-covenant-economic-social-and-cultural-rights</w:t>
        </w:r>
      </w:hyperlink>
    </w:p>
  </w:endnote>
  <w:endnote w:id="18">
    <w:p w14:paraId="7DF23B99" w14:textId="77777777" w:rsidR="00797ECB" w:rsidRPr="00290F54" w:rsidRDefault="00797ECB" w:rsidP="00797ECB">
      <w:pPr>
        <w:pStyle w:val="EndnoteText"/>
        <w:rPr>
          <w:rFonts w:asciiTheme="majorBidi" w:hAnsiTheme="majorBidi" w:cstheme="majorBidi"/>
        </w:rPr>
      </w:pPr>
      <w:r w:rsidRPr="00290F54">
        <w:rPr>
          <w:rStyle w:val="EndnoteReference"/>
          <w:rFonts w:asciiTheme="majorBidi" w:hAnsiTheme="majorBidi" w:cstheme="majorBidi"/>
        </w:rPr>
        <w:endnoteRef/>
      </w:r>
      <w:r w:rsidRPr="00290F54">
        <w:rPr>
          <w:rFonts w:asciiTheme="majorBidi" w:hAnsiTheme="majorBidi" w:cstheme="majorBidi"/>
        </w:rPr>
        <w:t xml:space="preserve"> Right to Education Initiative. (2004). </w:t>
      </w:r>
      <w:r w:rsidRPr="00290F54">
        <w:rPr>
          <w:rFonts w:asciiTheme="majorBidi" w:hAnsiTheme="majorBidi" w:cstheme="majorBidi"/>
          <w:i/>
          <w:iCs/>
        </w:rPr>
        <w:t>CERD general recommendation 30: Discrimination of non-citizens</w:t>
      </w:r>
      <w:r w:rsidRPr="00290F54">
        <w:rPr>
          <w:rFonts w:asciiTheme="majorBidi" w:hAnsiTheme="majorBidi" w:cstheme="majorBidi"/>
        </w:rPr>
        <w:t xml:space="preserve">. </w:t>
      </w:r>
      <w:hyperlink r:id="rId14" w:tgtFrame="_new" w:history="1">
        <w:r w:rsidRPr="00290F54">
          <w:rPr>
            <w:rStyle w:val="Hyperlink"/>
            <w:rFonts w:asciiTheme="majorBidi" w:hAnsiTheme="majorBidi" w:cstheme="majorBidi"/>
            <w:color w:val="auto"/>
          </w:rPr>
          <w:t>https://www.right-to-education.org/resource/cerd-general-recommendation-30-discrimination-non-citizens</w:t>
        </w:r>
      </w:hyperlink>
    </w:p>
    <w:p w14:paraId="1163263E" w14:textId="50E56B3F" w:rsidR="00797ECB" w:rsidRPr="00290F54" w:rsidRDefault="00797ECB">
      <w:pPr>
        <w:pStyle w:val="EndnoteText"/>
        <w:rPr>
          <w:rFonts w:asciiTheme="majorBidi" w:hAnsiTheme="majorBidi" w:cstheme="majorBid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79ABE" w14:textId="77777777" w:rsidR="00D75C87" w:rsidRDefault="00D75C87" w:rsidP="000A0C4C">
      <w:pPr>
        <w:spacing w:after="0" w:line="240" w:lineRule="auto"/>
      </w:pPr>
      <w:r>
        <w:separator/>
      </w:r>
    </w:p>
  </w:footnote>
  <w:footnote w:type="continuationSeparator" w:id="0">
    <w:p w14:paraId="08C3AD63" w14:textId="77777777" w:rsidR="00D75C87" w:rsidRDefault="00D75C87" w:rsidP="000A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57E53"/>
    <w:multiLevelType w:val="multilevel"/>
    <w:tmpl w:val="18583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6389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B24"/>
    <w:rsid w:val="00044225"/>
    <w:rsid w:val="000A0C4C"/>
    <w:rsid w:val="00274E49"/>
    <w:rsid w:val="00290F54"/>
    <w:rsid w:val="0031706A"/>
    <w:rsid w:val="004D2BAD"/>
    <w:rsid w:val="00610A7E"/>
    <w:rsid w:val="006A5623"/>
    <w:rsid w:val="00797ECB"/>
    <w:rsid w:val="008042A8"/>
    <w:rsid w:val="00840D45"/>
    <w:rsid w:val="00951908"/>
    <w:rsid w:val="00951FA6"/>
    <w:rsid w:val="00954B24"/>
    <w:rsid w:val="009B62E5"/>
    <w:rsid w:val="00A410ED"/>
    <w:rsid w:val="00A75478"/>
    <w:rsid w:val="00AE7659"/>
    <w:rsid w:val="00B00672"/>
    <w:rsid w:val="00B46AB3"/>
    <w:rsid w:val="00CB0C66"/>
    <w:rsid w:val="00D21556"/>
    <w:rsid w:val="00D4502E"/>
    <w:rsid w:val="00D75C87"/>
    <w:rsid w:val="00D837C6"/>
    <w:rsid w:val="00D9657A"/>
    <w:rsid w:val="00E679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48D1"/>
  <w15:chartTrackingRefBased/>
  <w15:docId w15:val="{E79B0119-F069-4E89-9725-B05CC46D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4B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4B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4B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4B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4B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4B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B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B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B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B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4B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4B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4B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4B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4B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B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B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B24"/>
    <w:rPr>
      <w:rFonts w:eastAsiaTheme="majorEastAsia" w:cstheme="majorBidi"/>
      <w:color w:val="272727" w:themeColor="text1" w:themeTint="D8"/>
    </w:rPr>
  </w:style>
  <w:style w:type="paragraph" w:styleId="Title">
    <w:name w:val="Title"/>
    <w:basedOn w:val="Normal"/>
    <w:next w:val="Normal"/>
    <w:link w:val="TitleChar"/>
    <w:uiPriority w:val="10"/>
    <w:qFormat/>
    <w:rsid w:val="00954B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B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B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B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B24"/>
    <w:pPr>
      <w:spacing w:before="160"/>
      <w:jc w:val="center"/>
    </w:pPr>
    <w:rPr>
      <w:i/>
      <w:iCs/>
      <w:color w:val="404040" w:themeColor="text1" w:themeTint="BF"/>
    </w:rPr>
  </w:style>
  <w:style w:type="character" w:customStyle="1" w:styleId="QuoteChar">
    <w:name w:val="Quote Char"/>
    <w:basedOn w:val="DefaultParagraphFont"/>
    <w:link w:val="Quote"/>
    <w:uiPriority w:val="29"/>
    <w:rsid w:val="00954B24"/>
    <w:rPr>
      <w:i/>
      <w:iCs/>
      <w:color w:val="404040" w:themeColor="text1" w:themeTint="BF"/>
    </w:rPr>
  </w:style>
  <w:style w:type="paragraph" w:styleId="ListParagraph">
    <w:name w:val="List Paragraph"/>
    <w:basedOn w:val="Normal"/>
    <w:uiPriority w:val="34"/>
    <w:qFormat/>
    <w:rsid w:val="00954B24"/>
    <w:pPr>
      <w:ind w:left="720"/>
      <w:contextualSpacing/>
    </w:pPr>
  </w:style>
  <w:style w:type="character" w:styleId="IntenseEmphasis">
    <w:name w:val="Intense Emphasis"/>
    <w:basedOn w:val="DefaultParagraphFont"/>
    <w:uiPriority w:val="21"/>
    <w:qFormat/>
    <w:rsid w:val="00954B24"/>
    <w:rPr>
      <w:i/>
      <w:iCs/>
      <w:color w:val="2F5496" w:themeColor="accent1" w:themeShade="BF"/>
    </w:rPr>
  </w:style>
  <w:style w:type="paragraph" w:styleId="IntenseQuote">
    <w:name w:val="Intense Quote"/>
    <w:basedOn w:val="Normal"/>
    <w:next w:val="Normal"/>
    <w:link w:val="IntenseQuoteChar"/>
    <w:uiPriority w:val="30"/>
    <w:qFormat/>
    <w:rsid w:val="00954B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4B24"/>
    <w:rPr>
      <w:i/>
      <w:iCs/>
      <w:color w:val="2F5496" w:themeColor="accent1" w:themeShade="BF"/>
    </w:rPr>
  </w:style>
  <w:style w:type="character" w:styleId="IntenseReference">
    <w:name w:val="Intense Reference"/>
    <w:basedOn w:val="DefaultParagraphFont"/>
    <w:uiPriority w:val="32"/>
    <w:qFormat/>
    <w:rsid w:val="00954B24"/>
    <w:rPr>
      <w:b/>
      <w:bCs/>
      <w:smallCaps/>
      <w:color w:val="2F5496" w:themeColor="accent1" w:themeShade="BF"/>
      <w:spacing w:val="5"/>
    </w:rPr>
  </w:style>
  <w:style w:type="character" w:styleId="Hyperlink">
    <w:name w:val="Hyperlink"/>
    <w:basedOn w:val="DefaultParagraphFont"/>
    <w:rsid w:val="00D9657A"/>
    <w:rPr>
      <w:color w:val="4472C4" w:themeColor="accent1"/>
    </w:rPr>
  </w:style>
  <w:style w:type="paragraph" w:styleId="EndnoteText">
    <w:name w:val="endnote text"/>
    <w:basedOn w:val="Normal"/>
    <w:link w:val="EndnoteTextChar"/>
    <w:uiPriority w:val="99"/>
    <w:semiHidden/>
    <w:unhideWhenUsed/>
    <w:rsid w:val="000A0C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A0C4C"/>
    <w:rPr>
      <w:sz w:val="20"/>
      <w:szCs w:val="20"/>
    </w:rPr>
  </w:style>
  <w:style w:type="character" w:styleId="EndnoteReference">
    <w:name w:val="endnote reference"/>
    <w:basedOn w:val="DefaultParagraphFont"/>
    <w:uiPriority w:val="99"/>
    <w:semiHidden/>
    <w:unhideWhenUsed/>
    <w:rsid w:val="000A0C4C"/>
    <w:rPr>
      <w:vertAlign w:val="superscript"/>
    </w:rPr>
  </w:style>
  <w:style w:type="character" w:styleId="UnresolvedMention">
    <w:name w:val="Unresolved Mention"/>
    <w:basedOn w:val="DefaultParagraphFont"/>
    <w:uiPriority w:val="99"/>
    <w:semiHidden/>
    <w:unhideWhenUsed/>
    <w:rsid w:val="000A0C4C"/>
    <w:rPr>
      <w:color w:val="605E5C"/>
      <w:shd w:val="clear" w:color="auto" w:fill="E1DFDD"/>
    </w:rPr>
  </w:style>
  <w:style w:type="paragraph" w:styleId="NormalWeb">
    <w:name w:val="Normal (Web)"/>
    <w:basedOn w:val="Normal"/>
    <w:uiPriority w:val="99"/>
    <w:semiHidden/>
    <w:unhideWhenUsed/>
    <w:rsid w:val="000A0C4C"/>
    <w:rPr>
      <w:rFonts w:ascii="Times New Roman" w:hAnsi="Times New Roman" w:cs="Times New Roman"/>
    </w:rPr>
  </w:style>
  <w:style w:type="paragraph" w:customStyle="1" w:styleId="Compact">
    <w:name w:val="Compact"/>
    <w:basedOn w:val="BodyText"/>
    <w:qFormat/>
    <w:rsid w:val="006A5623"/>
    <w:pPr>
      <w:spacing w:before="36" w:after="36" w:line="240" w:lineRule="auto"/>
    </w:pPr>
    <w:rPr>
      <w:kern w:val="0"/>
      <w:lang w:val="en"/>
      <w14:ligatures w14:val="none"/>
    </w:rPr>
  </w:style>
  <w:style w:type="table" w:customStyle="1" w:styleId="Table">
    <w:name w:val="Table"/>
    <w:semiHidden/>
    <w:unhideWhenUsed/>
    <w:qFormat/>
    <w:rsid w:val="006A5623"/>
    <w:pPr>
      <w:spacing w:after="200" w:line="240" w:lineRule="auto"/>
    </w:pPr>
    <w:rPr>
      <w:kern w:val="0"/>
      <w:sz w:val="20"/>
      <w:szCs w:val="20"/>
      <w:lang w:val="en"/>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BodyText">
    <w:name w:val="Body Text"/>
    <w:basedOn w:val="Normal"/>
    <w:link w:val="BodyTextChar"/>
    <w:uiPriority w:val="99"/>
    <w:semiHidden/>
    <w:unhideWhenUsed/>
    <w:rsid w:val="006A5623"/>
    <w:pPr>
      <w:spacing w:after="120"/>
    </w:pPr>
  </w:style>
  <w:style w:type="character" w:customStyle="1" w:styleId="BodyTextChar">
    <w:name w:val="Body Text Char"/>
    <w:basedOn w:val="DefaultParagraphFont"/>
    <w:link w:val="BodyText"/>
    <w:uiPriority w:val="99"/>
    <w:semiHidden/>
    <w:rsid w:val="006A56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exismiddleeast.com/news/2026-01-05_1/en" TargetMode="External"/><Relationship Id="rId4" Type="http://schemas.openxmlformats.org/officeDocument/2006/relationships/settings" Target="settings.xml"/><Relationship Id="rId9" Type="http://schemas.openxmlformats.org/officeDocument/2006/relationships/image" Target="media/image2.jpeg"/></Relationships>
</file>

<file path=word/_rels/endnotes.xml.rels><?xml version="1.0" encoding="UTF-8" standalone="yes"?>
<Relationships xmlns="http://schemas.openxmlformats.org/package/2006/relationships"><Relationship Id="rId8" Type="http://schemas.openxmlformats.org/officeDocument/2006/relationships/hyperlink" Target="https://www.lexology.com/library/detail.aspx?g=83fdb03a-42e7-4a03-87a3-d2f93dc45f9d" TargetMode="External"/><Relationship Id="rId13" Type="http://schemas.openxmlformats.org/officeDocument/2006/relationships/hyperlink" Target="https://www.ohchr.org/en/instruments-mechanisms/instruments/international-covenant-economic-social-and-cultural-rights" TargetMode="External"/><Relationship Id="rId3" Type="http://schemas.openxmlformats.org/officeDocument/2006/relationships/hyperlink" Target="https://www.kuwaitembassy.org/about-kuwait/health-and-social-services" TargetMode="External"/><Relationship Id="rId7" Type="http://schemas.openxmlformats.org/officeDocument/2006/relationships/hyperlink" Target="https://kuwaittimes.com/article/37417/kuwait/kuwait-announces-major-hike-in-health-insurance" TargetMode="External"/><Relationship Id="rId12" Type="http://schemas.openxmlformats.org/officeDocument/2006/relationships/hyperlink" Target="https://www.amnesty.org/en/location/middle-east-and-north-africa/middle-east/kuwait/report-kuwait?utm_source=chatgpt.com" TargetMode="External"/><Relationship Id="rId2" Type="http://schemas.openxmlformats.org/officeDocument/2006/relationships/hyperlink" Target="https://kuwaittimes.com/article/37417/kuwait/kuwait-announces-major-hike-in-health-insurance/" TargetMode="External"/><Relationship Id="rId1" Type="http://schemas.openxmlformats.org/officeDocument/2006/relationships/hyperlink" Target="https://kuwaittimes.com/article/37417/kuwait/kuwait-announces-major-hike-in-health-insurance/" TargetMode="External"/><Relationship Id="rId6" Type="http://schemas.openxmlformats.org/officeDocument/2006/relationships/hyperlink" Target="https://www.hfw.com/insights/new-decisions-issued-in-kuwait-under-the-ministry-of-health/?utm_source=chatgpt.com" TargetMode="External"/><Relationship Id="rId11" Type="http://schemas.openxmlformats.org/officeDocument/2006/relationships/hyperlink" Target="https://docs.un.org/en/CERD/C/IRN/CO/20-27" TargetMode="External"/><Relationship Id="rId5" Type="http://schemas.openxmlformats.org/officeDocument/2006/relationships/hyperlink" Target="https://www.lexology.com/library/detail.aspx?g=83fdb03a-42e7-4a03-87a3-d2f93dc45f9d" TargetMode="External"/><Relationship Id="rId10" Type="http://schemas.openxmlformats.org/officeDocument/2006/relationships/hyperlink" Target="https://www.amnesty.org/en/location/middle-east-and-north-africa/middle-east/kuwait/report-kuwait?utm_source=chatgpt.com" TargetMode="External"/><Relationship Id="rId4" Type="http://schemas.openxmlformats.org/officeDocument/2006/relationships/hyperlink" Target="https://www.lexismiddleeast.com/news/2026-01-05_1/en" TargetMode="External"/><Relationship Id="rId9" Type="http://schemas.openxmlformats.org/officeDocument/2006/relationships/hyperlink" Target="https://kuwaittimes.com/article/37417/kuwait/kuwait-announces-major-hike-in-health-insurance/?utm_source=chatgpt.com" TargetMode="External"/><Relationship Id="rId14" Type="http://schemas.openxmlformats.org/officeDocument/2006/relationships/hyperlink" Target="https://www.right-to-education.org/resource/cerd-general-recommendation-30-discrimination-non-citiz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57379-BA65-471B-B925-E7E0B24D8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medrik_sales</cp:lastModifiedBy>
  <cp:revision>13</cp:revision>
  <dcterms:created xsi:type="dcterms:W3CDTF">2026-05-22T10:07:00Z</dcterms:created>
  <dcterms:modified xsi:type="dcterms:W3CDTF">2026-05-24T07:57:00Z</dcterms:modified>
</cp:coreProperties>
</file>