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F90E40">
        <w:trPr>
          <w:trHeight w:hRule="exact" w:val="851"/>
        </w:trPr>
        <w:tc>
          <w:tcPr>
            <w:tcW w:w="142" w:type="dxa"/>
            <w:tcBorders>
              <w:bottom w:val="single" w:sz="4" w:space="0" w:color="auto"/>
            </w:tcBorders>
          </w:tcPr>
          <w:p w:rsidR="002D5AAC" w:rsidRDefault="002D5AAC" w:rsidP="005F390B">
            <w:pPr>
              <w:kinsoku w:val="0"/>
              <w:overflowPunct w:val="0"/>
              <w:autoSpaceDE w:val="0"/>
              <w:autoSpaceDN w:val="0"/>
              <w:adjustRightInd w:val="0"/>
              <w:snapToGrid w:val="0"/>
            </w:pPr>
            <w:bookmarkStart w:id="0" w:name="_GoBack"/>
            <w:bookmarkEnd w:id="0"/>
          </w:p>
        </w:tc>
        <w:tc>
          <w:tcPr>
            <w:tcW w:w="4820" w:type="dxa"/>
            <w:gridSpan w:val="2"/>
            <w:tcBorders>
              <w:bottom w:val="single" w:sz="4" w:space="0" w:color="auto"/>
            </w:tcBorders>
            <w:vAlign w:val="bottom"/>
          </w:tcPr>
          <w:p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5F390B" w:rsidP="005F390B">
            <w:pPr>
              <w:jc w:val="right"/>
            </w:pPr>
            <w:r w:rsidRPr="005F390B">
              <w:rPr>
                <w:sz w:val="40"/>
              </w:rPr>
              <w:t>CAT</w:t>
            </w:r>
            <w:r>
              <w:t>/C/60/3</w:t>
            </w:r>
          </w:p>
        </w:tc>
      </w:tr>
      <w:tr w:rsidR="002D5AAC" w:rsidRPr="00045D53" w:rsidTr="00F90E40">
        <w:trPr>
          <w:trHeight w:hRule="exact" w:val="2835"/>
        </w:trPr>
        <w:tc>
          <w:tcPr>
            <w:tcW w:w="1280" w:type="dxa"/>
            <w:gridSpan w:val="2"/>
            <w:tcBorders>
              <w:top w:val="single" w:sz="4" w:space="0" w:color="auto"/>
              <w:bottom w:val="single" w:sz="12" w:space="0" w:color="auto"/>
            </w:tcBorders>
          </w:tcPr>
          <w:p w:rsidR="002D5AAC" w:rsidRDefault="002E5067" w:rsidP="00F90E40">
            <w:pPr>
              <w:spacing w:before="120"/>
              <w:jc w:val="center"/>
            </w:pPr>
            <w:r>
              <w:rPr>
                <w:noProof/>
                <w:lang w:val="en-GB" w:eastAsia="en-GB"/>
              </w:rPr>
              <w:drawing>
                <wp:inline distT="0" distB="0" distL="0" distR="0" wp14:anchorId="768EE52F" wp14:editId="62FB356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rsidR="002D5AAC" w:rsidRPr="005F390B" w:rsidRDefault="005F390B" w:rsidP="00F90E40">
            <w:pPr>
              <w:spacing w:before="240"/>
              <w:rPr>
                <w:lang w:val="en-US"/>
              </w:rPr>
            </w:pPr>
            <w:r w:rsidRPr="005F390B">
              <w:rPr>
                <w:lang w:val="en-US"/>
              </w:rPr>
              <w:t>Distr.: General</w:t>
            </w:r>
          </w:p>
          <w:p w:rsidR="005F390B" w:rsidRPr="005F390B" w:rsidRDefault="005F390B" w:rsidP="005F390B">
            <w:pPr>
              <w:spacing w:line="240" w:lineRule="exact"/>
              <w:rPr>
                <w:lang w:val="en-US"/>
              </w:rPr>
            </w:pPr>
            <w:r w:rsidRPr="005F390B">
              <w:rPr>
                <w:lang w:val="en-US"/>
              </w:rPr>
              <w:t>3 April 2017</w:t>
            </w:r>
          </w:p>
          <w:p w:rsidR="005F390B" w:rsidRPr="005F390B" w:rsidRDefault="005F390B" w:rsidP="005F390B">
            <w:pPr>
              <w:spacing w:line="240" w:lineRule="exact"/>
              <w:rPr>
                <w:lang w:val="en-US"/>
              </w:rPr>
            </w:pPr>
            <w:r w:rsidRPr="005F390B">
              <w:rPr>
                <w:lang w:val="en-US"/>
              </w:rPr>
              <w:t>Russian</w:t>
            </w:r>
          </w:p>
          <w:p w:rsidR="005F390B" w:rsidRPr="005F390B" w:rsidRDefault="005F390B" w:rsidP="005F390B">
            <w:pPr>
              <w:spacing w:line="240" w:lineRule="exact"/>
              <w:rPr>
                <w:lang w:val="en-US"/>
              </w:rPr>
            </w:pPr>
            <w:r w:rsidRPr="005F390B">
              <w:rPr>
                <w:lang w:val="en-US"/>
              </w:rPr>
              <w:t>Original: English</w:t>
            </w:r>
          </w:p>
        </w:tc>
      </w:tr>
    </w:tbl>
    <w:p w:rsidR="005F390B" w:rsidRPr="00EC3922" w:rsidRDefault="005F390B" w:rsidP="005F390B">
      <w:pPr>
        <w:pStyle w:val="Body"/>
        <w:spacing w:before="120"/>
        <w:rPr>
          <w:b/>
          <w:bCs/>
          <w:sz w:val="24"/>
          <w:szCs w:val="24"/>
        </w:rPr>
      </w:pPr>
      <w:r w:rsidRPr="00EC3922">
        <w:rPr>
          <w:b/>
          <w:bCs/>
          <w:sz w:val="24"/>
          <w:szCs w:val="24"/>
        </w:rPr>
        <w:t>Комитет против пыток</w:t>
      </w:r>
    </w:p>
    <w:p w:rsidR="005F390B" w:rsidRPr="00EC3922" w:rsidRDefault="005F390B" w:rsidP="005F390B">
      <w:pPr>
        <w:pStyle w:val="Body"/>
        <w:rPr>
          <w:b/>
          <w:bCs/>
        </w:rPr>
      </w:pPr>
      <w:r w:rsidRPr="00EC3922">
        <w:rPr>
          <w:b/>
          <w:bCs/>
        </w:rPr>
        <w:t>Шестидесятая сессия</w:t>
      </w:r>
    </w:p>
    <w:p w:rsidR="005F390B" w:rsidRPr="00EC3922" w:rsidRDefault="005F390B" w:rsidP="005F390B">
      <w:pPr>
        <w:pStyle w:val="Body"/>
      </w:pPr>
      <w:r w:rsidRPr="00EC3922">
        <w:rPr>
          <w:rFonts w:eastAsia="Arial Unicode MS" w:cs="Arial Unicode MS"/>
        </w:rPr>
        <w:t>18 апреля</w:t>
      </w:r>
      <w:r w:rsidR="00EC3922" w:rsidRPr="00091D22">
        <w:rPr>
          <w:rFonts w:eastAsia="Arial Unicode MS" w:cs="Arial Unicode MS"/>
        </w:rPr>
        <w:t xml:space="preserve"> – </w:t>
      </w:r>
      <w:r w:rsidRPr="00EC3922">
        <w:rPr>
          <w:rFonts w:eastAsia="Arial Unicode MS" w:cs="Arial Unicode MS"/>
        </w:rPr>
        <w:t>12 мая 2017 года</w:t>
      </w:r>
    </w:p>
    <w:p w:rsidR="005F390B" w:rsidRPr="00EC3922" w:rsidRDefault="005F390B" w:rsidP="005F390B">
      <w:pPr>
        <w:pStyle w:val="Body"/>
      </w:pPr>
      <w:r w:rsidRPr="00EC3922">
        <w:rPr>
          <w:rFonts w:eastAsia="Arial Unicode MS" w:cs="Arial Unicode MS"/>
        </w:rPr>
        <w:t>Пункт 2 предварительной повестки дня</w:t>
      </w:r>
    </w:p>
    <w:p w:rsidR="005F390B" w:rsidRPr="00EC3922" w:rsidRDefault="005F390B" w:rsidP="005F390B">
      <w:pPr>
        <w:pStyle w:val="Body"/>
        <w:rPr>
          <w:b/>
          <w:bCs/>
        </w:rPr>
      </w:pPr>
      <w:r w:rsidRPr="00EC3922">
        <w:rPr>
          <w:b/>
          <w:bCs/>
        </w:rPr>
        <w:t>Организационные и другие вопросы</w:t>
      </w:r>
    </w:p>
    <w:p w:rsidR="00381C24" w:rsidRPr="00091D22" w:rsidRDefault="005F390B" w:rsidP="006D3FDB">
      <w:pPr>
        <w:pStyle w:val="HChGR"/>
      </w:pPr>
      <w:r>
        <w:tab/>
      </w:r>
      <w:r>
        <w:tab/>
        <w:t xml:space="preserve">Десятый ежегодный доклад Подкомитета </w:t>
      </w:r>
      <w:r w:rsidR="006D3FDB" w:rsidRPr="006D3FDB">
        <w:br/>
      </w:r>
      <w:r>
        <w:t>по предупреждению пыток и других жестоких, бесчеловечных или унижающих достоинство видов обращения и наказания</w:t>
      </w:r>
    </w:p>
    <w:tbl>
      <w:tblPr>
        <w:tblStyle w:val="TableGrid"/>
        <w:tblW w:w="0" w:type="auto"/>
        <w:jc w:val="center"/>
        <w:tblCellMar>
          <w:left w:w="0" w:type="dxa"/>
          <w:right w:w="0" w:type="dxa"/>
        </w:tblCellMar>
        <w:tblLook w:val="05E0" w:firstRow="1" w:lastRow="1" w:firstColumn="1" w:lastColumn="1" w:noHBand="0" w:noVBand="1"/>
      </w:tblPr>
      <w:tblGrid>
        <w:gridCol w:w="9637"/>
      </w:tblGrid>
      <w:tr w:rsidR="006D3FDB" w:rsidRPr="006D3FDB" w:rsidTr="000E1B8B">
        <w:trPr>
          <w:jc w:val="center"/>
        </w:trPr>
        <w:tc>
          <w:tcPr>
            <w:tcW w:w="9637" w:type="dxa"/>
            <w:tcBorders>
              <w:bottom w:val="nil"/>
            </w:tcBorders>
          </w:tcPr>
          <w:p w:rsidR="006D3FDB" w:rsidRPr="006D3FDB" w:rsidRDefault="006D3FDB" w:rsidP="000E1B8B">
            <w:pPr>
              <w:tabs>
                <w:tab w:val="left" w:pos="255"/>
              </w:tabs>
              <w:spacing w:before="240" w:after="120"/>
              <w:rPr>
                <w:rFonts w:cs="Times New Roman"/>
                <w:sz w:val="24"/>
              </w:rPr>
            </w:pPr>
            <w:r w:rsidRPr="006D3FDB">
              <w:rPr>
                <w:rFonts w:cs="Times New Roman"/>
              </w:rPr>
              <w:tab/>
            </w:r>
            <w:r w:rsidRPr="006D3FDB">
              <w:rPr>
                <w:rFonts w:cs="Times New Roman"/>
                <w:i/>
                <w:sz w:val="24"/>
              </w:rPr>
              <w:t>Резюме</w:t>
            </w:r>
          </w:p>
        </w:tc>
      </w:tr>
      <w:tr w:rsidR="006D3FDB" w:rsidRPr="006D3FDB" w:rsidTr="000E1B8B">
        <w:trPr>
          <w:jc w:val="center"/>
        </w:trPr>
        <w:tc>
          <w:tcPr>
            <w:tcW w:w="9637" w:type="dxa"/>
            <w:tcBorders>
              <w:top w:val="nil"/>
              <w:bottom w:val="nil"/>
            </w:tcBorders>
            <w:shd w:val="clear" w:color="auto" w:fill="auto"/>
          </w:tcPr>
          <w:p w:rsidR="006D3FDB" w:rsidRPr="006D3FDB" w:rsidRDefault="006D3FDB" w:rsidP="000E1B8B">
            <w:pPr>
              <w:pStyle w:val="SingleTxtGR"/>
            </w:pPr>
            <w:r w:rsidRPr="006D3FDB">
              <w:tab/>
              <w:t>В десятом ежегодном докладе Подкомитета по предупреждению пыток и других жестоких, бесчеловечных или унижающих достоинство видов обращения и наказания рассматривается деятельность Комитета в 2016 году.</w:t>
            </w:r>
          </w:p>
        </w:tc>
      </w:tr>
      <w:tr w:rsidR="006D3FDB" w:rsidRPr="006D3FDB" w:rsidTr="000E1B8B">
        <w:trPr>
          <w:jc w:val="center"/>
        </w:trPr>
        <w:tc>
          <w:tcPr>
            <w:tcW w:w="9637" w:type="dxa"/>
            <w:tcBorders>
              <w:top w:val="nil"/>
              <w:bottom w:val="nil"/>
            </w:tcBorders>
            <w:shd w:val="clear" w:color="auto" w:fill="auto"/>
          </w:tcPr>
          <w:p w:rsidR="006D3FDB" w:rsidRPr="006D3FDB" w:rsidRDefault="006D3FDB" w:rsidP="000E1B8B">
            <w:pPr>
              <w:pStyle w:val="SingleTxtGR"/>
            </w:pPr>
            <w:r>
              <w:tab/>
              <w:t>За кратким введением следует раздел II доклада Подкомитета, в котором приводится актуальная информация о событиях, связанных с системой Факультативного протокола к Конвенции против пыток, в том числе о посещениях, увеличении числа государств-участников и назначении новых национальных превентивных механизмов, а также содержатся данные, касающиеся функционирования Специального фонда, учрежденного в соответствии с Факультативным протоколом.</w:t>
            </w:r>
          </w:p>
        </w:tc>
      </w:tr>
      <w:tr w:rsidR="006D3FDB" w:rsidRPr="006D3FDB" w:rsidTr="000E1B8B">
        <w:trPr>
          <w:jc w:val="center"/>
        </w:trPr>
        <w:tc>
          <w:tcPr>
            <w:tcW w:w="9637" w:type="dxa"/>
            <w:tcBorders>
              <w:top w:val="nil"/>
              <w:bottom w:val="nil"/>
            </w:tcBorders>
            <w:shd w:val="clear" w:color="auto" w:fill="auto"/>
          </w:tcPr>
          <w:p w:rsidR="006D3FDB" w:rsidRPr="006D3FDB" w:rsidRDefault="006D3FDB" w:rsidP="000E1B8B">
            <w:pPr>
              <w:pStyle w:val="SingleTxtGR"/>
            </w:pPr>
            <w:r>
              <w:tab/>
              <w:t>В разделе III доклада Подкомитета рассматриваются области сотрудничества между Подкомитетом и другими международными и региональными органами и гражданским обществом и подытоживается проделанная ими совместная работа.</w:t>
            </w:r>
          </w:p>
        </w:tc>
      </w:tr>
      <w:tr w:rsidR="006D3FDB" w:rsidRPr="006D3FDB" w:rsidTr="000E1B8B">
        <w:trPr>
          <w:jc w:val="center"/>
        </w:trPr>
        <w:tc>
          <w:tcPr>
            <w:tcW w:w="9637" w:type="dxa"/>
            <w:tcBorders>
              <w:top w:val="nil"/>
              <w:bottom w:val="nil"/>
            </w:tcBorders>
            <w:shd w:val="clear" w:color="auto" w:fill="auto"/>
          </w:tcPr>
          <w:p w:rsidR="006D3FDB" w:rsidRPr="006D3FDB" w:rsidRDefault="006D3FDB" w:rsidP="000E1B8B">
            <w:pPr>
              <w:pStyle w:val="SingleTxtGR"/>
            </w:pPr>
            <w:r>
              <w:tab/>
              <w:t>В разделе IV представлена информация о конкретных изменениях в методах работы Подкомитета и излагаются некоторые предварительные выводы по ряду процедурных вопросов и вопросов существа.</w:t>
            </w:r>
          </w:p>
        </w:tc>
      </w:tr>
      <w:tr w:rsidR="006D3FDB" w:rsidRPr="006D3FDB" w:rsidTr="000E1B8B">
        <w:trPr>
          <w:jc w:val="center"/>
        </w:trPr>
        <w:tc>
          <w:tcPr>
            <w:tcW w:w="9637" w:type="dxa"/>
            <w:tcBorders>
              <w:top w:val="nil"/>
              <w:bottom w:val="nil"/>
            </w:tcBorders>
            <w:shd w:val="clear" w:color="auto" w:fill="auto"/>
          </w:tcPr>
          <w:p w:rsidR="006D3FDB" w:rsidRPr="006D3FDB" w:rsidRDefault="006D3FDB" w:rsidP="001D6F75">
            <w:pPr>
              <w:pStyle w:val="SingleTxtGR"/>
            </w:pPr>
            <w:r>
              <w:tab/>
              <w:t>В разделе V подводятся итоги рассматриваемого года, анализируется соблюдение государствами-участниками обязательств в соответствии со статьей</w:t>
            </w:r>
            <w:r w:rsidR="00ED1E6C">
              <w:rPr>
                <w:lang w:val="en-US"/>
              </w:rPr>
              <w:t> </w:t>
            </w:r>
            <w:r>
              <w:t>17 Факультативного протокола и приводится план дальнейшей работы Подкомитета.</w:t>
            </w:r>
          </w:p>
        </w:tc>
      </w:tr>
      <w:tr w:rsidR="006D3FDB" w:rsidRPr="006D3FDB" w:rsidTr="000E1B8B">
        <w:trPr>
          <w:jc w:val="center"/>
        </w:trPr>
        <w:tc>
          <w:tcPr>
            <w:tcW w:w="9637" w:type="dxa"/>
            <w:tcBorders>
              <w:top w:val="nil"/>
            </w:tcBorders>
          </w:tcPr>
          <w:p w:rsidR="006D3FDB" w:rsidRPr="006D3FDB" w:rsidRDefault="006D3FDB" w:rsidP="000E1B8B">
            <w:pPr>
              <w:rPr>
                <w:rFonts w:cs="Times New Roman"/>
              </w:rPr>
            </w:pPr>
          </w:p>
        </w:tc>
      </w:tr>
    </w:tbl>
    <w:p w:rsidR="006D3FDB" w:rsidRDefault="006D3FDB" w:rsidP="006D3FDB">
      <w:pPr>
        <w:pStyle w:val="SingleTxtGR"/>
        <w:rPr>
          <w:lang w:eastAsia="ru-RU"/>
        </w:rPr>
      </w:pPr>
    </w:p>
    <w:p w:rsidR="009601B1" w:rsidRDefault="006D3FDB" w:rsidP="000E1B8B">
      <w:pPr>
        <w:spacing w:after="120"/>
        <w:rPr>
          <w:sz w:val="28"/>
        </w:rPr>
      </w:pPr>
      <w:r>
        <w:rPr>
          <w:lang w:eastAsia="ru-RU"/>
        </w:rPr>
        <w:br w:type="page"/>
      </w:r>
      <w:r w:rsidR="009601B1">
        <w:rPr>
          <w:sz w:val="28"/>
        </w:rPr>
        <w:lastRenderedPageBreak/>
        <w:t>Содержание</w:t>
      </w:r>
    </w:p>
    <w:p w:rsidR="009601B1" w:rsidRDefault="009601B1" w:rsidP="000E1B8B">
      <w:pPr>
        <w:tabs>
          <w:tab w:val="right" w:pos="9638"/>
        </w:tabs>
        <w:spacing w:after="120"/>
        <w:ind w:left="283"/>
        <w:rPr>
          <w:sz w:val="18"/>
        </w:rPr>
      </w:pPr>
      <w:r>
        <w:rPr>
          <w:i/>
          <w:sz w:val="18"/>
        </w:rPr>
        <w:tab/>
        <w:t>Стр.</w:t>
      </w:r>
    </w:p>
    <w:p w:rsidR="009601B1" w:rsidRPr="009601B1" w:rsidRDefault="009601B1" w:rsidP="009601B1">
      <w:pPr>
        <w:tabs>
          <w:tab w:val="right" w:pos="850"/>
          <w:tab w:val="left" w:pos="1134"/>
          <w:tab w:val="left" w:pos="1559"/>
          <w:tab w:val="left" w:pos="1984"/>
          <w:tab w:val="left" w:leader="dot" w:pos="8787"/>
          <w:tab w:val="right" w:pos="9638"/>
        </w:tabs>
        <w:spacing w:after="120"/>
      </w:pPr>
      <w:r w:rsidRPr="00091D22">
        <w:tab/>
      </w:r>
      <w:r w:rsidRPr="009601B1">
        <w:t>I.</w:t>
      </w:r>
      <w:r w:rsidRPr="009601B1">
        <w:tab/>
        <w:t>Введение</w:t>
      </w:r>
      <w:r w:rsidRPr="009601B1">
        <w:tab/>
      </w:r>
      <w:r w:rsidRPr="009601B1">
        <w:tab/>
      </w:r>
      <w:r w:rsidR="004D5EA2">
        <w:t>3</w:t>
      </w:r>
    </w:p>
    <w:p w:rsidR="009601B1" w:rsidRPr="009601B1" w:rsidRDefault="009601B1" w:rsidP="009601B1">
      <w:pPr>
        <w:tabs>
          <w:tab w:val="right" w:pos="850"/>
          <w:tab w:val="left" w:pos="1134"/>
          <w:tab w:val="left" w:pos="1559"/>
          <w:tab w:val="left" w:pos="1984"/>
          <w:tab w:val="left" w:leader="dot" w:pos="8787"/>
          <w:tab w:val="right" w:pos="9638"/>
        </w:tabs>
        <w:spacing w:after="120"/>
      </w:pPr>
      <w:r w:rsidRPr="004D5EA2">
        <w:tab/>
      </w:r>
      <w:r w:rsidRPr="009601B1">
        <w:t>II.</w:t>
      </w:r>
      <w:r w:rsidRPr="009601B1">
        <w:tab/>
        <w:t>Отчетный год</w:t>
      </w:r>
      <w:r w:rsidRPr="009601B1">
        <w:tab/>
      </w:r>
      <w:r w:rsidRPr="009601B1">
        <w:tab/>
      </w:r>
      <w:r w:rsidR="004D5EA2">
        <w:t>3</w:t>
      </w:r>
    </w:p>
    <w:p w:rsidR="009601B1" w:rsidRPr="009601B1" w:rsidRDefault="009601B1" w:rsidP="009601B1">
      <w:pPr>
        <w:tabs>
          <w:tab w:val="right" w:pos="850"/>
          <w:tab w:val="left" w:pos="1134"/>
          <w:tab w:val="left" w:pos="1559"/>
          <w:tab w:val="left" w:pos="1984"/>
          <w:tab w:val="left" w:leader="dot" w:pos="8787"/>
          <w:tab w:val="right" w:pos="9638"/>
        </w:tabs>
        <w:spacing w:after="120"/>
      </w:pPr>
      <w:r w:rsidRPr="004D5EA2">
        <w:tab/>
      </w:r>
      <w:r w:rsidRPr="004D5EA2">
        <w:tab/>
      </w:r>
      <w:r w:rsidRPr="009601B1">
        <w:t>A.</w:t>
      </w:r>
      <w:r w:rsidRPr="009601B1">
        <w:tab/>
        <w:t>Участие в системе Факультативного протокола</w:t>
      </w:r>
      <w:r w:rsidRPr="009601B1">
        <w:tab/>
      </w:r>
      <w:r w:rsidRPr="009601B1">
        <w:tab/>
      </w:r>
      <w:r w:rsidR="004D5EA2">
        <w:t>3</w:t>
      </w:r>
    </w:p>
    <w:p w:rsidR="009601B1" w:rsidRPr="009601B1" w:rsidRDefault="009601B1" w:rsidP="009601B1">
      <w:pPr>
        <w:tabs>
          <w:tab w:val="right" w:pos="850"/>
          <w:tab w:val="left" w:pos="1134"/>
          <w:tab w:val="left" w:pos="1559"/>
          <w:tab w:val="left" w:pos="1984"/>
          <w:tab w:val="left" w:leader="dot" w:pos="8787"/>
          <w:tab w:val="right" w:pos="9638"/>
        </w:tabs>
        <w:spacing w:after="120"/>
      </w:pPr>
      <w:r w:rsidRPr="004D5EA2">
        <w:tab/>
      </w:r>
      <w:r w:rsidRPr="004D5EA2">
        <w:tab/>
      </w:r>
      <w:r w:rsidRPr="009601B1">
        <w:t>B.</w:t>
      </w:r>
      <w:r w:rsidRPr="009601B1">
        <w:tab/>
        <w:t>Организация работы и членский состав</w:t>
      </w:r>
      <w:r w:rsidRPr="009601B1">
        <w:tab/>
      </w:r>
      <w:r w:rsidRPr="009601B1">
        <w:tab/>
      </w:r>
      <w:r w:rsidR="004D5EA2">
        <w:t>3</w:t>
      </w:r>
    </w:p>
    <w:p w:rsidR="009601B1" w:rsidRPr="009601B1" w:rsidRDefault="009601B1" w:rsidP="009601B1">
      <w:pPr>
        <w:tabs>
          <w:tab w:val="right" w:pos="850"/>
          <w:tab w:val="left" w:pos="1134"/>
          <w:tab w:val="left" w:pos="1559"/>
          <w:tab w:val="left" w:pos="1984"/>
          <w:tab w:val="left" w:leader="dot" w:pos="8787"/>
          <w:tab w:val="right" w:pos="9638"/>
        </w:tabs>
        <w:spacing w:after="120"/>
      </w:pPr>
      <w:r w:rsidRPr="004D5EA2">
        <w:tab/>
      </w:r>
      <w:r w:rsidRPr="004D5EA2">
        <w:tab/>
      </w:r>
      <w:r w:rsidRPr="009601B1">
        <w:t>C.</w:t>
      </w:r>
      <w:r w:rsidRPr="009601B1">
        <w:tab/>
        <w:t>Поездки за отчетный период</w:t>
      </w:r>
      <w:r w:rsidRPr="009601B1">
        <w:tab/>
      </w:r>
      <w:r w:rsidRPr="009601B1">
        <w:tab/>
      </w:r>
      <w:r w:rsidR="004D5EA2">
        <w:t>5</w:t>
      </w:r>
    </w:p>
    <w:p w:rsidR="009601B1" w:rsidRPr="001D6F75" w:rsidRDefault="009601B1" w:rsidP="009601B1">
      <w:pPr>
        <w:tabs>
          <w:tab w:val="right" w:pos="850"/>
          <w:tab w:val="left" w:pos="1134"/>
          <w:tab w:val="left" w:pos="1559"/>
          <w:tab w:val="left" w:pos="1984"/>
          <w:tab w:val="left" w:leader="dot" w:pos="8787"/>
          <w:tab w:val="right" w:pos="9638"/>
        </w:tabs>
        <w:spacing w:after="120"/>
      </w:pPr>
      <w:r w:rsidRPr="004D5EA2">
        <w:tab/>
      </w:r>
      <w:r w:rsidRPr="004D5EA2">
        <w:tab/>
      </w:r>
      <w:r w:rsidRPr="001D6F75">
        <w:t>D.</w:t>
      </w:r>
      <w:r w:rsidRPr="001D6F75">
        <w:tab/>
      </w:r>
      <w:r w:rsidR="000E1B8B" w:rsidRPr="001D6F75">
        <w:t xml:space="preserve">Диалог в связи с поездками, включая публикацию докладов Подкомитета </w:t>
      </w:r>
      <w:r w:rsidR="001D6F75" w:rsidRPr="001D6F75">
        <w:br/>
      </w:r>
      <w:r w:rsidR="001D6F75" w:rsidRPr="001D6F75">
        <w:tab/>
      </w:r>
      <w:r w:rsidR="001D6F75" w:rsidRPr="001D6F75">
        <w:tab/>
      </w:r>
      <w:r w:rsidR="001D6F75" w:rsidRPr="001D6F75">
        <w:tab/>
      </w:r>
      <w:r w:rsidR="000E1B8B" w:rsidRPr="001D6F75">
        <w:t xml:space="preserve">государствами-участниками и национальными превентивными </w:t>
      </w:r>
      <w:r w:rsidR="00CF0295" w:rsidRPr="00CF0295">
        <w:br/>
      </w:r>
      <w:r w:rsidR="00CF0295" w:rsidRPr="00CF0295">
        <w:tab/>
      </w:r>
      <w:r w:rsidR="00CF0295" w:rsidRPr="00CF0295">
        <w:tab/>
      </w:r>
      <w:r w:rsidR="00CF0295" w:rsidRPr="00CF0295">
        <w:tab/>
      </w:r>
      <w:r w:rsidR="000E1B8B" w:rsidRPr="001D6F75">
        <w:t>механизмами</w:t>
      </w:r>
      <w:r w:rsidRPr="001D6F75">
        <w:tab/>
      </w:r>
      <w:r w:rsidRPr="001D6F75">
        <w:tab/>
      </w:r>
      <w:r w:rsidR="005B309B">
        <w:t>5</w:t>
      </w:r>
    </w:p>
    <w:p w:rsidR="009601B1" w:rsidRPr="009601B1" w:rsidRDefault="009601B1" w:rsidP="009601B1">
      <w:pPr>
        <w:tabs>
          <w:tab w:val="right" w:pos="850"/>
          <w:tab w:val="left" w:pos="1134"/>
          <w:tab w:val="left" w:pos="1559"/>
          <w:tab w:val="left" w:pos="1984"/>
          <w:tab w:val="left" w:leader="dot" w:pos="8787"/>
          <w:tab w:val="right" w:pos="9638"/>
        </w:tabs>
        <w:spacing w:after="120"/>
      </w:pPr>
      <w:r w:rsidRPr="001D6F75">
        <w:tab/>
      </w:r>
      <w:r w:rsidRPr="001D6F75">
        <w:tab/>
      </w:r>
      <w:r w:rsidRPr="009601B1">
        <w:t>E.</w:t>
      </w:r>
      <w:r w:rsidRPr="009601B1">
        <w:tab/>
        <w:t>Положение дел с национальными превентивными механизмами</w:t>
      </w:r>
      <w:r w:rsidRPr="009601B1">
        <w:tab/>
      </w:r>
      <w:r w:rsidRPr="009601B1">
        <w:tab/>
      </w:r>
      <w:r w:rsidR="005B309B">
        <w:t>6</w:t>
      </w:r>
    </w:p>
    <w:p w:rsidR="009601B1" w:rsidRPr="009601B1" w:rsidRDefault="009601B1" w:rsidP="009601B1">
      <w:pPr>
        <w:tabs>
          <w:tab w:val="right" w:pos="850"/>
          <w:tab w:val="left" w:pos="1134"/>
          <w:tab w:val="left" w:pos="1559"/>
          <w:tab w:val="left" w:pos="1984"/>
          <w:tab w:val="left" w:leader="dot" w:pos="8787"/>
          <w:tab w:val="right" w:pos="9638"/>
        </w:tabs>
        <w:spacing w:after="120"/>
      </w:pPr>
      <w:r w:rsidRPr="005B309B">
        <w:tab/>
      </w:r>
      <w:r w:rsidRPr="005B309B">
        <w:tab/>
      </w:r>
      <w:r w:rsidRPr="009601B1">
        <w:t>F.</w:t>
      </w:r>
      <w:r w:rsidRPr="009601B1">
        <w:tab/>
        <w:t>Специальный фонд, созданный согласно Факультативному протоколу</w:t>
      </w:r>
      <w:r w:rsidRPr="009601B1">
        <w:tab/>
      </w:r>
      <w:r w:rsidRPr="009601B1">
        <w:tab/>
      </w:r>
      <w:r w:rsidR="005B309B">
        <w:t>7</w:t>
      </w:r>
    </w:p>
    <w:p w:rsidR="009601B1" w:rsidRPr="009601B1" w:rsidRDefault="009601B1" w:rsidP="009601B1">
      <w:pPr>
        <w:tabs>
          <w:tab w:val="right" w:pos="850"/>
          <w:tab w:val="left" w:pos="1134"/>
          <w:tab w:val="left" w:pos="1559"/>
          <w:tab w:val="left" w:pos="1984"/>
          <w:tab w:val="left" w:leader="dot" w:pos="8787"/>
          <w:tab w:val="right" w:pos="9638"/>
        </w:tabs>
        <w:spacing w:after="120"/>
      </w:pPr>
      <w:r w:rsidRPr="005B309B">
        <w:tab/>
      </w:r>
      <w:r w:rsidRPr="009601B1">
        <w:t>III.</w:t>
      </w:r>
      <w:r w:rsidRPr="009601B1">
        <w:tab/>
        <w:t>Взаимодействие с другими органами в области предупреждения пыток</w:t>
      </w:r>
      <w:r w:rsidRPr="009601B1">
        <w:tab/>
      </w:r>
      <w:r w:rsidRPr="009601B1">
        <w:tab/>
      </w:r>
      <w:r w:rsidR="005B309B">
        <w:t>8</w:t>
      </w:r>
    </w:p>
    <w:p w:rsidR="009601B1" w:rsidRPr="009601B1" w:rsidRDefault="009601B1" w:rsidP="009601B1">
      <w:pPr>
        <w:tabs>
          <w:tab w:val="right" w:pos="850"/>
          <w:tab w:val="left" w:pos="1134"/>
          <w:tab w:val="left" w:pos="1559"/>
          <w:tab w:val="left" w:pos="1984"/>
          <w:tab w:val="left" w:leader="dot" w:pos="8787"/>
          <w:tab w:val="right" w:pos="9638"/>
        </w:tabs>
        <w:spacing w:after="120"/>
      </w:pPr>
      <w:r w:rsidRPr="005B309B">
        <w:tab/>
      </w:r>
      <w:r w:rsidRPr="005B309B">
        <w:tab/>
      </w:r>
      <w:r w:rsidRPr="009601B1">
        <w:t>A.</w:t>
      </w:r>
      <w:r w:rsidRPr="009601B1">
        <w:tab/>
        <w:t>Международное сотрудничество</w:t>
      </w:r>
      <w:r w:rsidRPr="009601B1">
        <w:tab/>
      </w:r>
      <w:r w:rsidRPr="009601B1">
        <w:tab/>
      </w:r>
      <w:r w:rsidR="005B309B">
        <w:t>8</w:t>
      </w:r>
    </w:p>
    <w:p w:rsidR="009601B1" w:rsidRPr="009601B1" w:rsidRDefault="009601B1" w:rsidP="009601B1">
      <w:pPr>
        <w:tabs>
          <w:tab w:val="right" w:pos="850"/>
          <w:tab w:val="left" w:pos="1134"/>
          <w:tab w:val="left" w:pos="1559"/>
          <w:tab w:val="left" w:pos="1984"/>
          <w:tab w:val="left" w:leader="dot" w:pos="8787"/>
          <w:tab w:val="right" w:pos="9638"/>
        </w:tabs>
        <w:spacing w:after="120"/>
      </w:pPr>
      <w:r w:rsidRPr="005B309B">
        <w:tab/>
      </w:r>
      <w:r w:rsidRPr="005B309B">
        <w:tab/>
      </w:r>
      <w:r w:rsidRPr="009601B1">
        <w:t>B.</w:t>
      </w:r>
      <w:r w:rsidRPr="009601B1">
        <w:tab/>
        <w:t>Региональное сотрудничество</w:t>
      </w:r>
      <w:r w:rsidRPr="009601B1">
        <w:tab/>
      </w:r>
      <w:r w:rsidRPr="009601B1">
        <w:tab/>
      </w:r>
      <w:r w:rsidR="005B309B">
        <w:t>9</w:t>
      </w:r>
    </w:p>
    <w:p w:rsidR="009601B1" w:rsidRPr="009601B1" w:rsidRDefault="009601B1" w:rsidP="009601B1">
      <w:pPr>
        <w:tabs>
          <w:tab w:val="right" w:pos="850"/>
          <w:tab w:val="left" w:pos="1134"/>
          <w:tab w:val="left" w:pos="1559"/>
          <w:tab w:val="left" w:pos="1984"/>
          <w:tab w:val="left" w:leader="dot" w:pos="8787"/>
          <w:tab w:val="right" w:pos="9638"/>
        </w:tabs>
        <w:spacing w:after="120"/>
      </w:pPr>
      <w:r w:rsidRPr="005B309B">
        <w:tab/>
      </w:r>
      <w:r w:rsidRPr="005B309B">
        <w:tab/>
      </w:r>
      <w:r w:rsidRPr="009601B1">
        <w:t>C.</w:t>
      </w:r>
      <w:r w:rsidRPr="009601B1">
        <w:tab/>
        <w:t>Гражданское общество</w:t>
      </w:r>
      <w:r w:rsidRPr="009601B1">
        <w:tab/>
      </w:r>
      <w:r w:rsidRPr="009601B1">
        <w:tab/>
      </w:r>
      <w:r w:rsidR="005B309B">
        <w:t>9</w:t>
      </w:r>
    </w:p>
    <w:p w:rsidR="009601B1" w:rsidRPr="009601B1" w:rsidRDefault="009601B1" w:rsidP="009601B1">
      <w:pPr>
        <w:tabs>
          <w:tab w:val="right" w:pos="850"/>
          <w:tab w:val="left" w:pos="1134"/>
          <w:tab w:val="left" w:pos="1559"/>
          <w:tab w:val="left" w:leader="dot" w:pos="8787"/>
          <w:tab w:val="right" w:pos="9638"/>
        </w:tabs>
        <w:spacing w:after="120"/>
      </w:pPr>
      <w:r w:rsidRPr="005B309B">
        <w:tab/>
      </w:r>
      <w:r w:rsidRPr="009601B1">
        <w:t>IV.</w:t>
      </w:r>
      <w:r w:rsidRPr="009601B1">
        <w:tab/>
        <w:t xml:space="preserve">Актуальные вопросы, возникающие в связи с работой Подкомитета за отчетный </w:t>
      </w:r>
      <w:r w:rsidRPr="009601B1">
        <w:br/>
      </w:r>
      <w:r w:rsidRPr="009601B1">
        <w:tab/>
      </w:r>
      <w:r w:rsidRPr="009601B1">
        <w:tab/>
        <w:t>период</w:t>
      </w:r>
      <w:r w:rsidRPr="009601B1">
        <w:tab/>
      </w:r>
      <w:r w:rsidRPr="009601B1">
        <w:tab/>
      </w:r>
      <w:r w:rsidR="005B309B">
        <w:t>9</w:t>
      </w:r>
    </w:p>
    <w:p w:rsidR="009601B1" w:rsidRPr="009601B1" w:rsidRDefault="009601B1" w:rsidP="009601B1">
      <w:pPr>
        <w:tabs>
          <w:tab w:val="right" w:pos="850"/>
          <w:tab w:val="left" w:pos="1134"/>
          <w:tab w:val="left" w:pos="1559"/>
          <w:tab w:val="left" w:pos="1984"/>
          <w:tab w:val="left" w:leader="dot" w:pos="8787"/>
          <w:tab w:val="right" w:pos="9638"/>
        </w:tabs>
        <w:spacing w:after="120"/>
      </w:pPr>
      <w:r w:rsidRPr="005B309B">
        <w:tab/>
      </w:r>
      <w:r w:rsidRPr="005B309B">
        <w:tab/>
      </w:r>
      <w:r w:rsidRPr="009601B1">
        <w:t>A.</w:t>
      </w:r>
      <w:r w:rsidRPr="009601B1">
        <w:tab/>
        <w:t>Выборы</w:t>
      </w:r>
      <w:r w:rsidRPr="009601B1">
        <w:tab/>
      </w:r>
      <w:r w:rsidRPr="009601B1">
        <w:tab/>
      </w:r>
      <w:r w:rsidR="005B309B">
        <w:t>9</w:t>
      </w:r>
    </w:p>
    <w:p w:rsidR="009601B1" w:rsidRPr="009601B1" w:rsidRDefault="009601B1" w:rsidP="009601B1">
      <w:pPr>
        <w:tabs>
          <w:tab w:val="right" w:pos="850"/>
          <w:tab w:val="left" w:pos="1134"/>
          <w:tab w:val="left" w:pos="1559"/>
          <w:tab w:val="left" w:pos="1984"/>
          <w:tab w:val="left" w:leader="dot" w:pos="8787"/>
          <w:tab w:val="right" w:pos="9638"/>
        </w:tabs>
        <w:spacing w:after="120"/>
      </w:pPr>
      <w:r w:rsidRPr="005B309B">
        <w:tab/>
      </w:r>
      <w:r w:rsidRPr="005B309B">
        <w:tab/>
      </w:r>
      <w:r w:rsidRPr="009601B1">
        <w:t>B.</w:t>
      </w:r>
      <w:r w:rsidRPr="009601B1">
        <w:tab/>
        <w:t>Совершенствование методов работы</w:t>
      </w:r>
      <w:r w:rsidRPr="009601B1">
        <w:tab/>
      </w:r>
      <w:r w:rsidRPr="009601B1">
        <w:tab/>
      </w:r>
      <w:r w:rsidR="005B309B">
        <w:t>9</w:t>
      </w:r>
    </w:p>
    <w:p w:rsidR="009601B1" w:rsidRPr="009601B1" w:rsidRDefault="009601B1" w:rsidP="009601B1">
      <w:pPr>
        <w:tabs>
          <w:tab w:val="right" w:pos="850"/>
          <w:tab w:val="left" w:pos="1134"/>
          <w:tab w:val="left" w:pos="1559"/>
          <w:tab w:val="left" w:pos="1984"/>
          <w:tab w:val="left" w:leader="dot" w:pos="8787"/>
          <w:tab w:val="right" w:pos="9638"/>
        </w:tabs>
        <w:spacing w:after="120"/>
      </w:pPr>
      <w:r w:rsidRPr="009601B1">
        <w:tab/>
        <w:t>V.</w:t>
      </w:r>
      <w:r w:rsidRPr="009601B1">
        <w:tab/>
        <w:t>Итоги отчетного года</w:t>
      </w:r>
      <w:r w:rsidRPr="009601B1">
        <w:tab/>
      </w:r>
      <w:r w:rsidRPr="009601B1">
        <w:tab/>
      </w:r>
      <w:r w:rsidR="005B309B">
        <w:t>11</w:t>
      </w:r>
    </w:p>
    <w:p w:rsidR="009601B1" w:rsidRPr="009601B1" w:rsidRDefault="009601B1" w:rsidP="009601B1">
      <w:pPr>
        <w:tabs>
          <w:tab w:val="right" w:pos="850"/>
          <w:tab w:val="left" w:pos="1134"/>
          <w:tab w:val="left" w:pos="1559"/>
          <w:tab w:val="left" w:pos="1984"/>
          <w:tab w:val="left" w:leader="dot" w:pos="8787"/>
          <w:tab w:val="right" w:pos="9638"/>
        </w:tabs>
        <w:spacing w:after="120"/>
      </w:pPr>
      <w:r w:rsidRPr="005B309B">
        <w:tab/>
      </w:r>
      <w:r w:rsidRPr="005B309B">
        <w:tab/>
      </w:r>
      <w:r w:rsidRPr="009601B1">
        <w:t>A.</w:t>
      </w:r>
      <w:r w:rsidRPr="009601B1">
        <w:tab/>
        <w:t>Десятая годовщина создания системы Факультативного протокола</w:t>
      </w:r>
      <w:r w:rsidRPr="009601B1">
        <w:tab/>
      </w:r>
      <w:r w:rsidRPr="009601B1">
        <w:tab/>
      </w:r>
      <w:r w:rsidR="005B309B">
        <w:t>11</w:t>
      </w:r>
    </w:p>
    <w:p w:rsidR="009601B1" w:rsidRPr="009601B1" w:rsidRDefault="009601B1" w:rsidP="009601B1">
      <w:pPr>
        <w:tabs>
          <w:tab w:val="right" w:pos="850"/>
          <w:tab w:val="left" w:pos="1134"/>
          <w:tab w:val="left" w:pos="1559"/>
          <w:tab w:val="left" w:pos="1984"/>
          <w:tab w:val="left" w:leader="dot" w:pos="8787"/>
          <w:tab w:val="right" w:pos="9638"/>
        </w:tabs>
        <w:spacing w:after="120"/>
      </w:pPr>
      <w:r w:rsidRPr="005B309B">
        <w:tab/>
      </w:r>
      <w:r w:rsidRPr="005B309B">
        <w:tab/>
      </w:r>
      <w:r w:rsidRPr="009601B1">
        <w:t>B.</w:t>
      </w:r>
      <w:r w:rsidRPr="009601B1">
        <w:tab/>
        <w:t>Вопросы сотрудничества, вызывающие обеспокоенность</w:t>
      </w:r>
      <w:r w:rsidRPr="009601B1">
        <w:tab/>
      </w:r>
      <w:r w:rsidRPr="009601B1">
        <w:tab/>
      </w:r>
      <w:r w:rsidR="005B309B">
        <w:t>12</w:t>
      </w:r>
    </w:p>
    <w:p w:rsidR="009601B1" w:rsidRPr="009601B1" w:rsidRDefault="009601B1" w:rsidP="009601B1">
      <w:pPr>
        <w:tabs>
          <w:tab w:val="right" w:pos="850"/>
          <w:tab w:val="left" w:pos="1134"/>
          <w:tab w:val="left" w:pos="1559"/>
          <w:tab w:val="left" w:pos="1984"/>
          <w:tab w:val="left" w:leader="dot" w:pos="8787"/>
          <w:tab w:val="right" w:pos="9638"/>
        </w:tabs>
        <w:spacing w:after="120"/>
      </w:pPr>
      <w:r w:rsidRPr="005B309B">
        <w:tab/>
      </w:r>
      <w:r w:rsidRPr="005B309B">
        <w:tab/>
      </w:r>
      <w:r w:rsidRPr="009601B1">
        <w:t>C.</w:t>
      </w:r>
      <w:r w:rsidRPr="009601B1">
        <w:tab/>
        <w:t>Соблюдение статьи 17 Факультативного протокола</w:t>
      </w:r>
      <w:r w:rsidRPr="009601B1">
        <w:tab/>
      </w:r>
      <w:r w:rsidRPr="009601B1">
        <w:tab/>
      </w:r>
      <w:r w:rsidR="005B309B">
        <w:t>13</w:t>
      </w:r>
    </w:p>
    <w:p w:rsidR="009601B1" w:rsidRPr="009601B1" w:rsidRDefault="009601B1" w:rsidP="009601B1">
      <w:pPr>
        <w:tabs>
          <w:tab w:val="right" w:pos="850"/>
          <w:tab w:val="left" w:pos="1134"/>
          <w:tab w:val="left" w:pos="1559"/>
          <w:tab w:val="left" w:pos="1984"/>
          <w:tab w:val="left" w:leader="dot" w:pos="8787"/>
          <w:tab w:val="right" w:pos="9638"/>
        </w:tabs>
        <w:spacing w:after="120"/>
      </w:pPr>
      <w:r w:rsidRPr="005B309B">
        <w:tab/>
      </w:r>
      <w:r w:rsidRPr="005B309B">
        <w:tab/>
      </w:r>
      <w:r w:rsidRPr="009601B1">
        <w:t>D.</w:t>
      </w:r>
      <w:r w:rsidRPr="009601B1">
        <w:tab/>
        <w:t>Планы на будущее</w:t>
      </w:r>
      <w:r w:rsidRPr="009601B1">
        <w:tab/>
      </w:r>
      <w:r w:rsidRPr="009601B1">
        <w:tab/>
      </w:r>
      <w:r w:rsidR="005B309B">
        <w:t>13</w:t>
      </w:r>
    </w:p>
    <w:p w:rsidR="009601B1" w:rsidRPr="00153EF2" w:rsidRDefault="009601B1" w:rsidP="009601B1">
      <w:pPr>
        <w:tabs>
          <w:tab w:val="right" w:pos="850"/>
          <w:tab w:val="left" w:pos="1134"/>
          <w:tab w:val="left" w:pos="1559"/>
          <w:tab w:val="left" w:pos="1984"/>
          <w:tab w:val="left" w:leader="dot" w:pos="8787"/>
          <w:tab w:val="right" w:pos="9638"/>
        </w:tabs>
        <w:spacing w:after="120"/>
      </w:pPr>
      <w:r w:rsidRPr="005B309B">
        <w:tab/>
      </w:r>
      <w:r w:rsidRPr="005B309B">
        <w:tab/>
      </w:r>
      <w:r w:rsidRPr="009601B1">
        <w:rPr>
          <w:lang w:val="en-US"/>
        </w:rPr>
        <w:t>E</w:t>
      </w:r>
      <w:r w:rsidRPr="009601B1">
        <w:t>.</w:t>
      </w:r>
      <w:r w:rsidRPr="009601B1">
        <w:tab/>
        <w:t>Дальнейшая деятельность</w:t>
      </w:r>
      <w:r w:rsidRPr="009601B1">
        <w:tab/>
      </w:r>
      <w:r w:rsidRPr="009601B1">
        <w:tab/>
      </w:r>
      <w:r w:rsidR="005B309B">
        <w:t>14</w:t>
      </w:r>
    </w:p>
    <w:p w:rsidR="000E1B8B" w:rsidRPr="00390C43" w:rsidRDefault="009601B1" w:rsidP="00ED1E6C">
      <w:pPr>
        <w:pStyle w:val="HChGR"/>
      </w:pPr>
      <w:r>
        <w:br w:type="page"/>
      </w:r>
      <w:r w:rsidR="00ED1E6C" w:rsidRPr="00ED1E6C">
        <w:lastRenderedPageBreak/>
        <w:tab/>
      </w:r>
      <w:r w:rsidR="00ED1E6C">
        <w:t>I.</w:t>
      </w:r>
      <w:r w:rsidR="00ED1E6C">
        <w:tab/>
      </w:r>
      <w:r w:rsidR="000E1B8B" w:rsidRPr="00390C43">
        <w:t>Введение</w:t>
      </w:r>
    </w:p>
    <w:p w:rsidR="000E1B8B" w:rsidRPr="00390C43" w:rsidRDefault="000E1B8B" w:rsidP="000E1B8B">
      <w:pPr>
        <w:pStyle w:val="SingleTxtGR"/>
      </w:pPr>
      <w:r w:rsidRPr="00390C43">
        <w:t>1.</w:t>
      </w:r>
      <w:r w:rsidRPr="00390C43">
        <w:tab/>
        <w:t>Пункт 3 статьи 16 Факультативного протокола к Конвенции против пыток и других жестоких, бесчеловечных или унижающих достоинство видов обращения и наказания предусматривает ежегодное представление Комитету против пыток открытого доклада о деятельности Подкомитета по предупреждению пыток и других жестоких, бесчеловечных или унижающих достоинство видов обращения и наказания. В соответствии с этим положением десятый ежегодный доклад, охватывающий деятельность Подкомитета с 1 января по 31 декабря 2016 года, был рассмотрен и утвержден Подкомитетом на его тридцать первой сессии и представляется Комитету против пыток на его шестидесятой сессии.</w:t>
      </w:r>
    </w:p>
    <w:p w:rsidR="000E1B8B" w:rsidRPr="00390C43" w:rsidRDefault="00ED1E6C" w:rsidP="00ED1E6C">
      <w:pPr>
        <w:pStyle w:val="HChGR"/>
      </w:pPr>
      <w:r w:rsidRPr="00091D22">
        <w:tab/>
      </w:r>
      <w:r w:rsidR="000E1B8B" w:rsidRPr="00390C43">
        <w:t>II.</w:t>
      </w:r>
      <w:r w:rsidR="000E1B8B" w:rsidRPr="00390C43">
        <w:tab/>
        <w:t>Отчетный год</w:t>
      </w:r>
    </w:p>
    <w:p w:rsidR="000E1B8B" w:rsidRPr="00390C43" w:rsidRDefault="00ED1E6C" w:rsidP="00ED1E6C">
      <w:pPr>
        <w:pStyle w:val="H1GR"/>
      </w:pPr>
      <w:r w:rsidRPr="00091D22">
        <w:tab/>
      </w:r>
      <w:r w:rsidR="000E1B8B" w:rsidRPr="00390C43">
        <w:t>A.</w:t>
      </w:r>
      <w:r w:rsidR="000E1B8B" w:rsidRPr="00390C43">
        <w:tab/>
        <w:t>Участие в системе Факультативного протокола</w:t>
      </w:r>
    </w:p>
    <w:p w:rsidR="000E1B8B" w:rsidRPr="00390C43" w:rsidRDefault="000E1B8B" w:rsidP="000E1B8B">
      <w:pPr>
        <w:pStyle w:val="SingleTxtGR"/>
      </w:pPr>
      <w:r w:rsidRPr="00390C43">
        <w:t>2.</w:t>
      </w:r>
      <w:r w:rsidRPr="00390C43">
        <w:tab/>
        <w:t xml:space="preserve">По состоянию на 31 декабря 2016 года участниками Факультативного протокола являлись 83 государства. В 2016 году три следующих государства подписали/ратифицировали Факультативный протокол: Кабо-Верде (1 апреля), Гана (23 сентября) и Центральноафриканская Республика (11 октября). </w:t>
      </w:r>
    </w:p>
    <w:p w:rsidR="000E1B8B" w:rsidRPr="00390C43" w:rsidRDefault="000E1B8B" w:rsidP="000E1B8B">
      <w:pPr>
        <w:pStyle w:val="SingleTxtGR"/>
      </w:pPr>
      <w:r w:rsidRPr="00390C43">
        <w:t>3.</w:t>
      </w:r>
      <w:r w:rsidRPr="00390C43">
        <w:tab/>
        <w:t>Схема регионального участия выглядела следующим образом:</w:t>
      </w:r>
    </w:p>
    <w:p w:rsidR="000E1B8B" w:rsidRPr="00390C43" w:rsidRDefault="000E1B8B" w:rsidP="002C0E3C">
      <w:pPr>
        <w:pStyle w:val="SingleTxtGR"/>
        <w:tabs>
          <w:tab w:val="clear" w:pos="3969"/>
          <w:tab w:val="left" w:pos="7088"/>
        </w:tabs>
        <w:ind w:left="1701"/>
      </w:pPr>
      <w:r w:rsidRPr="00390C43">
        <w:t>Государства Африки</w:t>
      </w:r>
      <w:r w:rsidRPr="00390C43">
        <w:tab/>
        <w:t>21</w:t>
      </w:r>
    </w:p>
    <w:p w:rsidR="000E1B8B" w:rsidRPr="00390C43" w:rsidRDefault="000E1B8B" w:rsidP="002C0E3C">
      <w:pPr>
        <w:pStyle w:val="SingleTxtGR"/>
        <w:tabs>
          <w:tab w:val="clear" w:pos="3969"/>
          <w:tab w:val="left" w:pos="7088"/>
        </w:tabs>
        <w:ind w:left="1701"/>
      </w:pPr>
      <w:r w:rsidRPr="00390C43">
        <w:t>Государства Азии и Тихого океана</w:t>
      </w:r>
      <w:r w:rsidRPr="00390C43">
        <w:tab/>
        <w:t>9</w:t>
      </w:r>
    </w:p>
    <w:p w:rsidR="000E1B8B" w:rsidRPr="00390C43" w:rsidRDefault="000E1B8B" w:rsidP="002C0E3C">
      <w:pPr>
        <w:pStyle w:val="SingleTxtGR"/>
        <w:tabs>
          <w:tab w:val="clear" w:pos="3969"/>
          <w:tab w:val="left" w:pos="7088"/>
        </w:tabs>
        <w:ind w:left="1701"/>
      </w:pPr>
      <w:r w:rsidRPr="00390C43">
        <w:t>Государства Восточной Европы</w:t>
      </w:r>
      <w:r w:rsidRPr="00390C43">
        <w:tab/>
        <w:t>19</w:t>
      </w:r>
    </w:p>
    <w:p w:rsidR="000E1B8B" w:rsidRPr="00390C43" w:rsidRDefault="000E1B8B" w:rsidP="002C0E3C">
      <w:pPr>
        <w:pStyle w:val="SingleTxtGR"/>
        <w:tabs>
          <w:tab w:val="clear" w:pos="3969"/>
          <w:tab w:val="left" w:pos="7088"/>
        </w:tabs>
        <w:ind w:left="1701"/>
      </w:pPr>
      <w:r w:rsidRPr="00390C43">
        <w:t>Государства Латинской Америки и Карибского бассейна</w:t>
      </w:r>
      <w:r w:rsidRPr="00390C43">
        <w:tab/>
        <w:t>15</w:t>
      </w:r>
    </w:p>
    <w:p w:rsidR="000E1B8B" w:rsidRPr="00390C43" w:rsidRDefault="000E1B8B" w:rsidP="002C0E3C">
      <w:pPr>
        <w:pStyle w:val="SingleTxtGR"/>
        <w:tabs>
          <w:tab w:val="clear" w:pos="3969"/>
          <w:tab w:val="left" w:pos="7088"/>
        </w:tabs>
        <w:ind w:left="1701"/>
      </w:pPr>
      <w:r w:rsidRPr="00390C43">
        <w:t>Государства Западной Европы и другие государства</w:t>
      </w:r>
      <w:r w:rsidRPr="00390C43">
        <w:tab/>
        <w:t>19</w:t>
      </w:r>
    </w:p>
    <w:p w:rsidR="000E1B8B" w:rsidRPr="00390C43" w:rsidRDefault="000E1B8B" w:rsidP="000E1B8B">
      <w:pPr>
        <w:pStyle w:val="SingleTxtGR"/>
      </w:pPr>
      <w:r w:rsidRPr="00390C43">
        <w:t>4.</w:t>
      </w:r>
      <w:r w:rsidRPr="00390C43">
        <w:tab/>
        <w:t>На настоящий момент Факультативный протокол подписан следующими 16</w:t>
      </w:r>
      <w:r w:rsidR="00EC0246">
        <w:rPr>
          <w:lang w:val="en-US"/>
        </w:rPr>
        <w:t> </w:t>
      </w:r>
      <w:r w:rsidRPr="00390C43">
        <w:t>государствами (представлены в разбивке по регионам):</w:t>
      </w:r>
    </w:p>
    <w:p w:rsidR="000E1B8B" w:rsidRPr="00390C43" w:rsidRDefault="000E1B8B" w:rsidP="002C0E3C">
      <w:pPr>
        <w:pStyle w:val="SingleTxtGR"/>
        <w:tabs>
          <w:tab w:val="clear" w:pos="3969"/>
          <w:tab w:val="left" w:pos="7088"/>
        </w:tabs>
        <w:ind w:left="1701"/>
      </w:pPr>
      <w:r w:rsidRPr="00390C43">
        <w:t>Государства Африки</w:t>
      </w:r>
      <w:r w:rsidRPr="00390C43">
        <w:tab/>
        <w:t>10</w:t>
      </w:r>
    </w:p>
    <w:p w:rsidR="000E1B8B" w:rsidRPr="00390C43" w:rsidRDefault="000E1B8B" w:rsidP="002C0E3C">
      <w:pPr>
        <w:pStyle w:val="SingleTxtGR"/>
        <w:tabs>
          <w:tab w:val="clear" w:pos="3969"/>
          <w:tab w:val="left" w:pos="7088"/>
        </w:tabs>
        <w:ind w:left="1701"/>
      </w:pPr>
      <w:r w:rsidRPr="00390C43">
        <w:t>Государства Азии и Тихого океана</w:t>
      </w:r>
      <w:r w:rsidRPr="00390C43">
        <w:tab/>
        <w:t>1</w:t>
      </w:r>
    </w:p>
    <w:p w:rsidR="000E1B8B" w:rsidRPr="00390C43" w:rsidRDefault="000E1B8B" w:rsidP="002C0E3C">
      <w:pPr>
        <w:pStyle w:val="SingleTxtGR"/>
        <w:tabs>
          <w:tab w:val="clear" w:pos="3969"/>
          <w:tab w:val="left" w:pos="7088"/>
        </w:tabs>
        <w:ind w:left="1701"/>
      </w:pPr>
      <w:r w:rsidRPr="00390C43">
        <w:t>Государства Восточной Европы</w:t>
      </w:r>
      <w:r w:rsidRPr="00390C43">
        <w:tab/>
        <w:t>0</w:t>
      </w:r>
    </w:p>
    <w:p w:rsidR="000E1B8B" w:rsidRPr="00390C43" w:rsidRDefault="000E1B8B" w:rsidP="002C0E3C">
      <w:pPr>
        <w:pStyle w:val="SingleTxtGR"/>
        <w:tabs>
          <w:tab w:val="clear" w:pos="3969"/>
          <w:tab w:val="left" w:pos="7088"/>
        </w:tabs>
        <w:ind w:left="1701"/>
      </w:pPr>
      <w:r w:rsidRPr="00390C43">
        <w:t>Государства Латинской Америки и Карибского бассейна</w:t>
      </w:r>
      <w:r w:rsidRPr="00390C43">
        <w:tab/>
        <w:t>1</w:t>
      </w:r>
    </w:p>
    <w:p w:rsidR="000E1B8B" w:rsidRPr="002C0E3C" w:rsidRDefault="000E1B8B" w:rsidP="002C0E3C">
      <w:pPr>
        <w:pStyle w:val="SingleTxtGR"/>
        <w:tabs>
          <w:tab w:val="clear" w:pos="3969"/>
          <w:tab w:val="left" w:pos="7088"/>
        </w:tabs>
        <w:ind w:left="1701"/>
      </w:pPr>
      <w:r w:rsidRPr="00390C43">
        <w:t>Государства Западной Европы и другие государства</w:t>
      </w:r>
      <w:r w:rsidRPr="00390C43">
        <w:tab/>
        <w:t>4</w:t>
      </w:r>
    </w:p>
    <w:p w:rsidR="000E1B8B" w:rsidRPr="00390C43" w:rsidRDefault="00ED1E6C" w:rsidP="00ED1E6C">
      <w:pPr>
        <w:pStyle w:val="H1GR"/>
      </w:pPr>
      <w:r w:rsidRPr="00EC0246">
        <w:tab/>
      </w:r>
      <w:r w:rsidR="000E1B8B" w:rsidRPr="00390C43">
        <w:t>B.</w:t>
      </w:r>
      <w:r w:rsidR="000E1B8B" w:rsidRPr="00390C43">
        <w:tab/>
        <w:t>Организация работы и членский состав</w:t>
      </w:r>
    </w:p>
    <w:p w:rsidR="000E1B8B" w:rsidRPr="00390C43" w:rsidRDefault="000E1B8B" w:rsidP="000E1B8B">
      <w:pPr>
        <w:pStyle w:val="SingleTxtGR"/>
      </w:pPr>
      <w:r w:rsidRPr="00390C43">
        <w:t>5.</w:t>
      </w:r>
      <w:r w:rsidRPr="00390C43">
        <w:tab/>
        <w:t>За отчетный период в Женеве состоял</w:t>
      </w:r>
      <w:r w:rsidR="00EC0246">
        <w:t>и</w:t>
      </w:r>
      <w:r w:rsidRPr="00390C43">
        <w:t>сь три однонедельны</w:t>
      </w:r>
      <w:r w:rsidR="00EC0246">
        <w:t>е</w:t>
      </w:r>
      <w:r w:rsidRPr="00390C43">
        <w:t xml:space="preserve"> сессии Подкомитета: двадцать восьмая сессия проходила с 15 по 19 февраля, двадцать девятая </w:t>
      </w:r>
      <w:r w:rsidR="00EC0246">
        <w:t>–</w:t>
      </w:r>
      <w:r w:rsidRPr="00390C43">
        <w:t xml:space="preserve"> с 13 по 17 июня и тридцатая </w:t>
      </w:r>
      <w:r w:rsidR="00EC0246">
        <w:t>–</w:t>
      </w:r>
      <w:r w:rsidRPr="00390C43">
        <w:t xml:space="preserve"> с 14 по 18 ноября.</w:t>
      </w:r>
    </w:p>
    <w:p w:rsidR="000E1B8B" w:rsidRPr="00390C43" w:rsidRDefault="000E1B8B" w:rsidP="000E1B8B">
      <w:pPr>
        <w:pStyle w:val="SingleTxtGR"/>
      </w:pPr>
      <w:r w:rsidRPr="00390C43">
        <w:t>6.</w:t>
      </w:r>
      <w:r w:rsidRPr="00390C43">
        <w:tab/>
        <w:t xml:space="preserve">На шестом совещании государств – участников Факультативного протокола, состоявшемся 27 октября 2016 года, были избраны 12 членов на смену тем, чьи полномочия истекали 31 декабря 2016 года. Полномочия вновь избранных членов действуют с 1 января 2017 года до 31 декабря 2020 года. </w:t>
      </w:r>
    </w:p>
    <w:p w:rsidR="000E1B8B" w:rsidRPr="00390C43" w:rsidRDefault="000E1B8B" w:rsidP="000E1B8B">
      <w:pPr>
        <w:pStyle w:val="SingleTxtGR"/>
      </w:pPr>
      <w:r w:rsidRPr="00390C43">
        <w:t>7.</w:t>
      </w:r>
      <w:r w:rsidRPr="00390C43">
        <w:tab/>
        <w:t xml:space="preserve">Членский состав Подкомитета оставался неизменным в течение всего года. На всех сессиях присутствовали все члены Комитета, за исключением </w:t>
      </w:r>
      <w:r w:rsidR="00891F1E">
        <w:br/>
      </w:r>
      <w:r w:rsidRPr="00390C43">
        <w:t xml:space="preserve">г-жи Лоуэлл Годдард и </w:t>
      </w:r>
      <w:r w:rsidR="00EC5926">
        <w:t xml:space="preserve">г-жи </w:t>
      </w:r>
      <w:r w:rsidRPr="00390C43">
        <w:t>Анеты Станчевской, которые по личным причинам не присутствовали на тридцатой сессии.</w:t>
      </w:r>
    </w:p>
    <w:p w:rsidR="000E1B8B" w:rsidRPr="00390C43" w:rsidRDefault="000E1B8B" w:rsidP="000E1B8B">
      <w:pPr>
        <w:pStyle w:val="SingleTxtGR"/>
      </w:pPr>
      <w:r w:rsidRPr="00390C43">
        <w:lastRenderedPageBreak/>
        <w:t>8.</w:t>
      </w:r>
      <w:r w:rsidRPr="00390C43">
        <w:tab/>
        <w:t xml:space="preserve">Состав Бюро Подкомитета остался без изменений, а его мандат действует до тридцать первой сессии (февраль 2017 года). Функции Председателя исполнял Малколм Эванс. Заместителями Председателя были Энрике Андрес Фонт (по посещениям), Сюзанна Джаббур (по внешним связям), Пол Лам Шан Линь (по национальным превентивным механизмам) и Айша Шуджуне Мухаммад </w:t>
      </w:r>
      <w:r w:rsidR="00EC5926">
        <w:br/>
      </w:r>
      <w:r w:rsidRPr="00390C43">
        <w:t>(по правоприменительной практике и докладчик Подкомитета).</w:t>
      </w:r>
    </w:p>
    <w:p w:rsidR="000E1B8B" w:rsidRPr="00390C43" w:rsidRDefault="000E1B8B" w:rsidP="000E1B8B">
      <w:pPr>
        <w:pStyle w:val="SingleTxtGR"/>
      </w:pPr>
      <w:r w:rsidRPr="00390C43">
        <w:t>9.</w:t>
      </w:r>
      <w:r w:rsidRPr="00390C43">
        <w:tab/>
        <w:t xml:space="preserve">Руководители региональных групп остались прежними: Африка </w:t>
      </w:r>
      <w:r w:rsidR="00891F1E">
        <w:t>–</w:t>
      </w:r>
      <w:r w:rsidRPr="00390C43">
        <w:t xml:space="preserve"> Ханс-Йорг Баннварт, Азия и Тихий океан </w:t>
      </w:r>
      <w:r w:rsidR="00891F1E">
        <w:t>–</w:t>
      </w:r>
      <w:r w:rsidRPr="00390C43">
        <w:t xml:space="preserve"> Лоуэлл Годдард (на тридцатой сессии ее обязанности исполняла Джун Каридад Пагадуан Лопес), Европа </w:t>
      </w:r>
      <w:r w:rsidR="00891F1E">
        <w:t>–</w:t>
      </w:r>
      <w:r w:rsidRPr="00390C43">
        <w:t xml:space="preserve"> Мари Амос и Латинская Америка </w:t>
      </w:r>
      <w:r w:rsidR="00891F1E">
        <w:t>–</w:t>
      </w:r>
      <w:r w:rsidRPr="00390C43">
        <w:t xml:space="preserve"> Фелипе Вильявисенсио Террерос. Региональные группы анализируют осуществление Факультативного протокола в своем регионе и на пленарном заседании представляют Подкомитету доклад, в который по мере необходимости включаются соответствующие рекомендации. </w:t>
      </w:r>
    </w:p>
    <w:p w:rsidR="000E1B8B" w:rsidRPr="00390C43" w:rsidRDefault="000E1B8B" w:rsidP="000E1B8B">
      <w:pPr>
        <w:pStyle w:val="SingleTxtGR"/>
      </w:pPr>
      <w:r w:rsidRPr="00390C43">
        <w:t>10.</w:t>
      </w:r>
      <w:r w:rsidRPr="00390C43">
        <w:tab/>
        <w:t>Постоянные и специальные рабочие группы Подкомитета заседали на всех сессиях 2016 года. Более подробная информация об этих заседаниях содержится в разделе IV ниже. Работа в формате подгрупп и рабочих групп способствует более детальному и широкому обсуждению обширного круга вопросов.</w:t>
      </w:r>
    </w:p>
    <w:p w:rsidR="000E1B8B" w:rsidRPr="00390C43" w:rsidRDefault="000E1B8B" w:rsidP="000E1B8B">
      <w:pPr>
        <w:pStyle w:val="SingleTxtGR"/>
      </w:pPr>
      <w:r w:rsidRPr="00390C43">
        <w:t>11.</w:t>
      </w:r>
      <w:r w:rsidRPr="00390C43">
        <w:tab/>
        <w:t xml:space="preserve">На своей двадцать восьмой сессии Подкомитет встретился с представителями Инициативы по Конвенции против пыток, заслушал доклад исследовательского фонда </w:t>
      </w:r>
      <w:r w:rsidR="005D3FFF">
        <w:t>«</w:t>
      </w:r>
      <w:r w:rsidRPr="00390C43">
        <w:t>Омега</w:t>
      </w:r>
      <w:r w:rsidR="005D3FFF">
        <w:t>»</w:t>
      </w:r>
      <w:r w:rsidRPr="00390C43">
        <w:t xml:space="preserve"> о важности документирования оборудования, используемого в местах содержания под стражей, а также встретился с представителями Международного движения в защиту детей, представившими свое практическое руководство по мониторингу мест содержания лишенных свободы детей.</w:t>
      </w:r>
    </w:p>
    <w:p w:rsidR="000E1B8B" w:rsidRPr="00390C43" w:rsidRDefault="000E1B8B" w:rsidP="000E1B8B">
      <w:pPr>
        <w:pStyle w:val="SingleTxtGR"/>
      </w:pPr>
      <w:r w:rsidRPr="00390C43">
        <w:t>12.</w:t>
      </w:r>
      <w:r w:rsidRPr="00390C43">
        <w:tab/>
        <w:t>На своей двадцать девятой сессии Подкомитет провел неофициальную встречу с представителями государств-участников и государств, подписавших Факультативный протокол. В работе совещания приняли участие 27 государств: Аргентина, Бельгия, Бразилия, Буркина-Фасо, Гана, Гватемала, Гондурас, Дания, Коста-Рика, Литва, Мальдивские Острова, Марокко, Мексика, Республика Молдова, Никарагуа, Новая Зеландия, Панама, Перу, Польша, Соединенное Королевство Великобритании и Северной Ирландии, Филиппины, Франция, Чехия, Чили</w:t>
      </w:r>
      <w:r w:rsidR="00045D53" w:rsidRPr="00045D53">
        <w:t>,</w:t>
      </w:r>
      <w:r w:rsidRPr="00390C43">
        <w:t xml:space="preserve"> Швейцария, Эквадор и Эстония. В ходе пленарного заседания Подкомитету было доложено о целях и перспективах предлагаемого к реализации проекта </w:t>
      </w:r>
      <w:r w:rsidR="005D3FFF">
        <w:t>«</w:t>
      </w:r>
      <w:r w:rsidRPr="00390C43">
        <w:t>Гренобль</w:t>
      </w:r>
      <w:r w:rsidR="005D3FFF">
        <w:t>»</w:t>
      </w:r>
      <w:r w:rsidRPr="00390C43">
        <w:t>.</w:t>
      </w:r>
    </w:p>
    <w:p w:rsidR="000E1B8B" w:rsidRPr="00390C43" w:rsidRDefault="000E1B8B" w:rsidP="000E1B8B">
      <w:pPr>
        <w:pStyle w:val="SingleTxtGR"/>
      </w:pPr>
      <w:r w:rsidRPr="00390C43">
        <w:t>13.</w:t>
      </w:r>
      <w:r w:rsidRPr="00390C43">
        <w:tab/>
        <w:t>В ходе тридцатой сессии Подкомитет и Комитет против пыток провели совместное пленарное заседание для обсуждения вместе с Международной организацией за реформу уголовного правосудия и Ассоциацией за предотвращение пыток (АПП) Минимальных стандартных правил Организации Объединенных Наций в отношении обращения с заключенными (Правила Нельсона Манделы).</w:t>
      </w:r>
    </w:p>
    <w:p w:rsidR="000E1B8B" w:rsidRPr="00390C43" w:rsidRDefault="000E1B8B" w:rsidP="000E1B8B">
      <w:pPr>
        <w:pStyle w:val="SingleTxtGR"/>
      </w:pPr>
      <w:r w:rsidRPr="00390C43">
        <w:t xml:space="preserve">14. </w:t>
      </w:r>
      <w:r w:rsidRPr="00390C43">
        <w:tab/>
        <w:t>17 ноября в ходе своей тридцатой сессии Подкомитет провел конференцию в ознаменование десятой годовщины вступления в силу Факультативного протокола. В конференции приняли участие представители широкого круга заинтересованных сторон, в частности государства – участники Факультативного протокола и другие государства – члены Организации Объединенных Наций, национальные превентивные механизмы, механизмы Организации Объединенных Наций и другие межправительственные органы, неправительственные организации (НПО), бывшие члены Подкомитета, ученые и другие стороны, заинтересованные в выполнении Протокола и предупреждении пыток и жестокого обращения (см. пункт 53 ниже).</w:t>
      </w:r>
    </w:p>
    <w:p w:rsidR="000E1B8B" w:rsidRPr="00390C43" w:rsidRDefault="00ED1E6C" w:rsidP="00ED1E6C">
      <w:pPr>
        <w:pStyle w:val="H1GR"/>
      </w:pPr>
      <w:r w:rsidRPr="00EA27A8">
        <w:lastRenderedPageBreak/>
        <w:tab/>
      </w:r>
      <w:r w:rsidR="000E1B8B" w:rsidRPr="00390C43">
        <w:t>C.</w:t>
      </w:r>
      <w:r w:rsidR="000E1B8B" w:rsidRPr="00390C43">
        <w:tab/>
        <w:t>Поездки за отчетный период</w:t>
      </w:r>
    </w:p>
    <w:p w:rsidR="000E1B8B" w:rsidRPr="00390C43" w:rsidRDefault="000E1B8B" w:rsidP="000E1B8B">
      <w:pPr>
        <w:pStyle w:val="SingleTxtGR"/>
      </w:pPr>
      <w:r w:rsidRPr="00390C43">
        <w:t>15.</w:t>
      </w:r>
      <w:r w:rsidRPr="00390C43">
        <w:tab/>
        <w:t xml:space="preserve">На своей двадцать девятой сессии Подкомитет подтвердил новый подход в отношении поездок, который был принят на его двадцать шестой сессии и согласно которому в целях максимального увеличения превентивного эффекта поездок они более не будут ограничиваться одним аспектом, а будут охватывать все вопросы, которые Подкомитет сочтет целесообразными. Вместе с тем Подкомитет будет по-прежнему определять цели каждой поездки, исходя из конкретных обстоятельств. Стратегическое планирование в ходе двадцать девятой и тридцатой сессий осуществлялось в соответствии с этим подходом. </w:t>
      </w:r>
    </w:p>
    <w:p w:rsidR="000E1B8B" w:rsidRPr="00390C43" w:rsidRDefault="000E1B8B" w:rsidP="000E1B8B">
      <w:pPr>
        <w:pStyle w:val="SingleTxtGR"/>
      </w:pPr>
      <w:r w:rsidRPr="00390C43">
        <w:t>16.</w:t>
      </w:r>
      <w:r w:rsidRPr="00390C43">
        <w:tab/>
        <w:t xml:space="preserve">В 2016 году Подкомитет в соответствии со своим мандатом, предусмотренным статьями 11–13 Факультативного протокола, совершил 10 официальных поездок в следующие страны: в Бенин (11–15 января), на Кипр (25–29 января), в Чили (4–13 апреля), Тунис (12–14 апреля), Румынию (3–12 мая), Украину </w:t>
      </w:r>
      <w:r w:rsidR="00EA27A8">
        <w:br/>
      </w:r>
      <w:r w:rsidRPr="00390C43">
        <w:t xml:space="preserve">(19–26 мая, однако 25 мая посещение было приостановлено и продолжилось </w:t>
      </w:r>
      <w:r w:rsidR="00EA27A8">
        <w:br/>
      </w:r>
      <w:r w:rsidRPr="00390C43">
        <w:t xml:space="preserve">5–9 сентября), Мозамбик (5–9 сентября), Казахстан (20–29 сентября), Мавританию (24–28 октября) и Мексику (12–21 декабря). </w:t>
      </w:r>
    </w:p>
    <w:p w:rsidR="000E1B8B" w:rsidRPr="00390C43" w:rsidRDefault="000E1B8B" w:rsidP="000E1B8B">
      <w:pPr>
        <w:pStyle w:val="SingleTxtGR"/>
      </w:pPr>
      <w:r w:rsidRPr="00390C43">
        <w:t>17.</w:t>
      </w:r>
      <w:r w:rsidRPr="00390C43">
        <w:tab/>
        <w:t>25 мая Подкомитет вынужден был приостановить визит на Украину после того, как, несмотря на неоднократные попытки получить доступ к местам содержания под стражей в некоторых районах страны, где, по его подозрениям, Служба безопасности удерживала в заключении людей, Подкомитету было в нем отказано. Ввиду серьезности нарушения Факультативного протокола, посовещавшись с Бюро Подкомитета и следуя сложившейся практике, делегация заключила, что принципы проведения посещения были нарушены в такой степени, что продолжать его не имело смысла.</w:t>
      </w:r>
    </w:p>
    <w:p w:rsidR="000E1B8B" w:rsidRPr="00390C43" w:rsidRDefault="000E1B8B" w:rsidP="000E1B8B">
      <w:pPr>
        <w:pStyle w:val="SingleTxtGR"/>
      </w:pPr>
      <w:r w:rsidRPr="00390C43">
        <w:t>18.</w:t>
      </w:r>
      <w:r w:rsidRPr="00390C43">
        <w:tab/>
        <w:t>В соответствии с пунктом 3 заявления Подкомитета об обязательствах государств-участников содействовать посещениям (CAT/OP/24/1), посещение было возобновлено и завершено после того, как Подкомитет получил от государства-участника заверения и гарантии, позволившие ему заключить, что делегация получит доступ ко всем местам, где могут содержаться лица, лишенные свободы, в соответствии со своим мандатом, закрепленным в пункте а) статьи</w:t>
      </w:r>
      <w:r w:rsidR="004E3182">
        <w:t> </w:t>
      </w:r>
      <w:r w:rsidRPr="00390C43">
        <w:t xml:space="preserve">11 Факультативного протокола. </w:t>
      </w:r>
    </w:p>
    <w:p w:rsidR="000E1B8B" w:rsidRPr="00390C43" w:rsidRDefault="000E1B8B" w:rsidP="000E1B8B">
      <w:pPr>
        <w:pStyle w:val="SingleTxtGR"/>
      </w:pPr>
      <w:r w:rsidRPr="00390C43">
        <w:t>19.</w:t>
      </w:r>
      <w:r w:rsidRPr="00390C43">
        <w:tab/>
        <w:t>С дополнительной информацией о каждом из вышеупомянутых посещений можно ознакомиться в выпущенных по их итогам пресс-релизах.</w:t>
      </w:r>
    </w:p>
    <w:p w:rsidR="000E1B8B" w:rsidRPr="00390C43" w:rsidRDefault="00ED1E6C" w:rsidP="00ED1E6C">
      <w:pPr>
        <w:pStyle w:val="H1GR"/>
      </w:pPr>
      <w:r w:rsidRPr="00091D22">
        <w:tab/>
      </w:r>
      <w:r w:rsidR="000E1B8B" w:rsidRPr="00390C43">
        <w:t>D.</w:t>
      </w:r>
      <w:r w:rsidR="000E1B8B" w:rsidRPr="00390C43">
        <w:tab/>
        <w:t>Диалог в связи с поездками, включая публикацию докладов Подкомитета государствами-участниками и национальными превентивными механизмами</w:t>
      </w:r>
    </w:p>
    <w:p w:rsidR="000E1B8B" w:rsidRPr="00390C43" w:rsidRDefault="000E1B8B" w:rsidP="000E1B8B">
      <w:pPr>
        <w:pStyle w:val="SingleTxtGR"/>
      </w:pPr>
      <w:r w:rsidRPr="00390C43">
        <w:t>20.</w:t>
      </w:r>
      <w:r w:rsidRPr="00390C43">
        <w:tab/>
        <w:t xml:space="preserve">Диалог по сущностным вопросам в связи с поездками носит конфиденциальный характер. Доклады публично распространяются только с согласия получателя. К концу 2016 года Подкомитет подготовил в общей сложности 51 доклад о посещениях государств-участников и национальных превентивных механизмов, 12 из которых передал за отчетный период следующим получателям: Азербайджану, Бенину, Бразилии, Гватемале, Италии, Нидерландам (государству-участнику и национальному превентивному механизму), Никарагуа, Турции (государству-участнику и национальному превентивному механизму), Филиппинам и Чили. Всего по просьбе государств-участников и национальных превентивных механизмов в соответствии с пунктом 2 статьи 16 Факультативного протокола были опубликованы 24 доклада о посещениях, причем </w:t>
      </w:r>
      <w:r w:rsidR="004E3182">
        <w:t>2</w:t>
      </w:r>
      <w:r w:rsidRPr="00390C43">
        <w:t xml:space="preserve"> из них в 2016 году </w:t>
      </w:r>
      <w:r w:rsidR="004E3182">
        <w:t>–</w:t>
      </w:r>
      <w:r w:rsidRPr="00390C43">
        <w:t xml:space="preserve"> адресованные государствам-участникам доклады о посещении Нидерландов и Италии. Соблюдая в полной мере закрепленные в Факультативном протоколе принцип конфиденциальности и право на конфиденциальность, Подкомитет в то же время считает, что публикация докладов о посещениях соответствует духу </w:t>
      </w:r>
      <w:r w:rsidRPr="00390C43">
        <w:lastRenderedPageBreak/>
        <w:t>прозрачности, лежащему в основе превентивных посещений, и способствует более эффективному выполнению соответствующих рекомендаций, в связи с чем рекомендует получателям санкционировать их обнародование.</w:t>
      </w:r>
    </w:p>
    <w:p w:rsidR="000E1B8B" w:rsidRPr="00390C43" w:rsidRDefault="000E1B8B" w:rsidP="000E1B8B">
      <w:pPr>
        <w:pStyle w:val="SingleTxtGR"/>
      </w:pPr>
      <w:r w:rsidRPr="00390C43">
        <w:t>21.</w:t>
      </w:r>
      <w:r w:rsidRPr="00390C43">
        <w:tab/>
        <w:t>В соответствии со сложившейся практикой получателям предлагается в течение шести месяцев с момента препровождения доклада представить письменные ответы на него, сообщив подробную информацию о принятых и запланированных мерах по выполнению содержащихся в докладе рекомендаций. В</w:t>
      </w:r>
      <w:r w:rsidR="00490233">
        <w:t> </w:t>
      </w:r>
      <w:r w:rsidRPr="00390C43">
        <w:t xml:space="preserve">течение отчетного периода такие ответы Подкомитету представили Италия, Кыргызстан, Никарагуа и Филиппины. Подкомитет считает, что в срок не поступили ответы следующих государств-участников: Гондураса, Камбоджи (два доклада), Либерии, Мали, Мальдивских Островов (два доклада), Республики Молдовы, Науру, Нигерии, Перу, Сенегала, Того, Чили и Эквадора. Подкомитет отмечает, что в срок не поступили ответы национальных превентивных механизмов следующих государств-участников: Гондураса, Республики Молдовы и Нидерландов. </w:t>
      </w:r>
    </w:p>
    <w:p w:rsidR="000E1B8B" w:rsidRPr="00390C43" w:rsidRDefault="000E1B8B" w:rsidP="000E1B8B">
      <w:pPr>
        <w:pStyle w:val="SingleTxtGR"/>
      </w:pPr>
      <w:r w:rsidRPr="00390C43">
        <w:t>22.</w:t>
      </w:r>
      <w:r w:rsidRPr="00390C43">
        <w:tab/>
        <w:t xml:space="preserve">В соответствии с установившейся практикой в течение отчетного периода Подкомитет провел предварительные подготовительные совещания с каждым из государств-участников, которое планировалось посетить, предложив каждому из них провести встречу в ходе следующей сессии для обсуждения оптимальных путей развития диалога после посещения. </w:t>
      </w:r>
    </w:p>
    <w:p w:rsidR="000E1B8B" w:rsidRPr="00390C43" w:rsidRDefault="00ED1E6C" w:rsidP="00ED1E6C">
      <w:pPr>
        <w:pStyle w:val="H1GR"/>
      </w:pPr>
      <w:r w:rsidRPr="00091D22">
        <w:tab/>
      </w:r>
      <w:r w:rsidR="000E1B8B" w:rsidRPr="00390C43">
        <w:t>E.</w:t>
      </w:r>
      <w:r w:rsidR="000E1B8B" w:rsidRPr="00390C43">
        <w:tab/>
        <w:t>Положение дел с национальными превентивными механизмами</w:t>
      </w:r>
    </w:p>
    <w:p w:rsidR="000E1B8B" w:rsidRPr="00390C43" w:rsidRDefault="000E1B8B" w:rsidP="000E1B8B">
      <w:pPr>
        <w:pStyle w:val="SingleTxtGR"/>
      </w:pPr>
      <w:r w:rsidRPr="00390C43">
        <w:t>23.</w:t>
      </w:r>
      <w:r w:rsidRPr="00390C43">
        <w:tab/>
        <w:t>57 из 83 государств – участников Факультативного протокола официально уведомили Подкомитет о назначении национальных превентивных механизмов</w:t>
      </w:r>
      <w:r w:rsidR="00490233">
        <w:t> –</w:t>
      </w:r>
      <w:r w:rsidRPr="00390C43">
        <w:t xml:space="preserve"> соответствующая информация размещена на веб-сайте Подкомитета.</w:t>
      </w:r>
    </w:p>
    <w:p w:rsidR="000E1B8B" w:rsidRPr="00390C43" w:rsidRDefault="000E1B8B" w:rsidP="000E1B8B">
      <w:pPr>
        <w:pStyle w:val="SingleTxtGR"/>
      </w:pPr>
      <w:r w:rsidRPr="00390C43">
        <w:t>24.</w:t>
      </w:r>
      <w:r w:rsidRPr="00390C43">
        <w:tab/>
        <w:t xml:space="preserve">В 2016 году Подкомитет не получил ни одного официального уведомления о назначении национального превентивного механизма. На конец 2016 года предусмотренный в статье 17 Факультативного протокола срок для назначения национального превентивного механизма продолжительностью в один год еще не истек для трех государств-участников: Ганы, Кабо-Верде и Центрально-Африканской Республики. </w:t>
      </w:r>
    </w:p>
    <w:p w:rsidR="000E1B8B" w:rsidRPr="00390C43" w:rsidRDefault="000E1B8B" w:rsidP="000E1B8B">
      <w:pPr>
        <w:pStyle w:val="SingleTxtGR"/>
      </w:pPr>
      <w:r w:rsidRPr="00390C43">
        <w:t>25.</w:t>
      </w:r>
      <w:r w:rsidRPr="00390C43">
        <w:tab/>
        <w:t xml:space="preserve">На 31 декабря 2016 года свои обязательства по статье 17 Факультативного протокола не выполнили </w:t>
      </w:r>
      <w:r w:rsidR="006F5BAD" w:rsidRPr="006F5BAD">
        <w:t>23</w:t>
      </w:r>
      <w:r w:rsidRPr="00390C43">
        <w:t xml:space="preserve"> государств</w:t>
      </w:r>
      <w:r w:rsidR="006F5BAD">
        <w:t>а</w:t>
      </w:r>
      <w:r w:rsidRPr="00390C43">
        <w:t>-участник</w:t>
      </w:r>
      <w:r w:rsidR="006F5BAD">
        <w:t>а</w:t>
      </w:r>
      <w:r w:rsidRPr="00390C43">
        <w:t>. Это вызывает глубокую обеспокоенность Подкомитета, особенно с учетом того, что некоторые государства, как представляется, по-прежнему не прилагают достаточных усилий к выполнению своих обязательств. На всех сессиях Подкомитета региональные группы оценивают достигнутые каждым из государств-участников результаты в выполнении своих обязательств и представляют на пленарном заседании рекомендации относительно того, каким образом Подкомитету следует консультировать и поддерживать соответствующее государство-участник в соответствии со своим мандатом по пункту b) i) статьи 11 Факультативного протокола.</w:t>
      </w:r>
    </w:p>
    <w:p w:rsidR="000E1B8B" w:rsidRPr="00390C43" w:rsidRDefault="000E1B8B" w:rsidP="000E1B8B">
      <w:pPr>
        <w:pStyle w:val="SingleTxtGR"/>
      </w:pPr>
      <w:r w:rsidRPr="00390C43">
        <w:t>26.</w:t>
      </w:r>
      <w:r w:rsidRPr="00390C43">
        <w:tab/>
        <w:t>На своей двадцать седьмой сессии Подкомитет постановил составить перечень государств-участников, которые, как представляется, предпринимают недостаточно реальных шагов по созданию национального превентивного механизма. На своей двадцать восьмой сессии, желая озвучить свою обеспокоенность, Подкомитет предложил Аргентине, Бенину, Боснии и Герцеговине, Буркина-Фасо, Габону, Камбодже, Демократической Республике Конго, Либерии, Ливану, Нигерии, Панаме и Чили представить информацию о принимаемых ими мерах по созданию национальных превентивных механизмов.</w:t>
      </w:r>
    </w:p>
    <w:p w:rsidR="000E1B8B" w:rsidRPr="00390C43" w:rsidRDefault="000E1B8B" w:rsidP="000E1B8B">
      <w:pPr>
        <w:pStyle w:val="SingleTxtGR"/>
      </w:pPr>
      <w:r w:rsidRPr="00390C43">
        <w:lastRenderedPageBreak/>
        <w:t>27.</w:t>
      </w:r>
      <w:r w:rsidRPr="00390C43">
        <w:tab/>
        <w:t>Проанализировав полученные ответы, на своей двадцать девятой сессии Подкомитет отметил, что Аргентина, Бенин, Буркина-Фасо, Габон, Камбоджа, Демократическая Республика Конго, Либерия, Ливан, Нигерия, Панама и Чили отстают более чем на три года от установленного срока создания национального превентивного механизма. Он постановил обнародовать это решение</w:t>
      </w:r>
      <w:r w:rsidR="002A0CEB">
        <w:t> </w:t>
      </w:r>
      <w:r w:rsidRPr="00390C43">
        <w:t>(CAT/OP/29/1) и разместить указан</w:t>
      </w:r>
      <w:r w:rsidR="002A0CEB">
        <w:t>ный перечень на своем веб-сайте</w:t>
      </w:r>
      <w:r w:rsidRPr="002A0CEB">
        <w:rPr>
          <w:sz w:val="18"/>
          <w:szCs w:val="18"/>
          <w:vertAlign w:val="superscript"/>
        </w:rPr>
        <w:footnoteReference w:id="1"/>
      </w:r>
      <w:r w:rsidR="002A0CEB">
        <w:t>.</w:t>
      </w:r>
      <w:r w:rsidRPr="00390C43">
        <w:t xml:space="preserve"> На</w:t>
      </w:r>
      <w:r w:rsidR="002A0CEB">
        <w:t> </w:t>
      </w:r>
      <w:r w:rsidRPr="00390C43">
        <w:t>тридцатой сессии, после получения соответствующей информации, Подкомитет добавил в него Науру. Подкомитет пересматривает перечень на каждой сессии. Государства, отнесенные к числу невыполняющих свои обязательства по статье 17, будут исключены из него после получения и проверки документа об официальном назначении национального превентивного механизма.</w:t>
      </w:r>
    </w:p>
    <w:p w:rsidR="000E1B8B" w:rsidRPr="00390C43" w:rsidRDefault="000E1B8B" w:rsidP="000E1B8B">
      <w:pPr>
        <w:pStyle w:val="SingleTxtGR"/>
      </w:pPr>
      <w:r w:rsidRPr="00390C43">
        <w:t>28.</w:t>
      </w:r>
      <w:r w:rsidRPr="00390C43">
        <w:tab/>
        <w:t>Подкомитет продолжил во время сессий вести с государствами-участниками и государствами, подписавшими Протокол, диалог по вопросу о назначении и функционировании их национальных превентивных механизмов. На своих двадцать восьмой, двадцать девятой и тридцатой сессиях он провел встречи с постоянными представительствами Боливии (Многонационального Государства), Боснии и Герцеговины, Ганы, Республики Молдовы, Никарагуа и Чили. В межсессионный период представители секретариата также встретились с представителями Науру.</w:t>
      </w:r>
    </w:p>
    <w:p w:rsidR="000E1B8B" w:rsidRPr="00390C43" w:rsidRDefault="000E1B8B" w:rsidP="000E1B8B">
      <w:pPr>
        <w:pStyle w:val="SingleTxtGR"/>
      </w:pPr>
      <w:r w:rsidRPr="00390C43">
        <w:t>29.</w:t>
      </w:r>
      <w:r w:rsidRPr="00390C43">
        <w:tab/>
        <w:t>В рамках двадцать девятой сессии Подкомитет провел неофициальную встречу с представителями государств-участников и государств, подписавших Факультативный протокол, на которой проинформировал государства-участни</w:t>
      </w:r>
      <w:r w:rsidR="002A0CEB">
        <w:t>-</w:t>
      </w:r>
      <w:r w:rsidRPr="00390C43">
        <w:t>ки о последних достижениях Подкомитета, а также обсудил с ними свои методы работы, имеющиеся у него ресурсы и Специальный фонд, учрежденный в соответствии с Факультативным протоколом, и рассмотрел направления дальнейшей работы Подкомитета.</w:t>
      </w:r>
    </w:p>
    <w:p w:rsidR="000E1B8B" w:rsidRPr="00390C43" w:rsidRDefault="000E1B8B" w:rsidP="000E1B8B">
      <w:pPr>
        <w:pStyle w:val="SingleTxtGR"/>
      </w:pPr>
      <w:r w:rsidRPr="00390C43">
        <w:t>30.</w:t>
      </w:r>
      <w:r w:rsidRPr="00390C43">
        <w:tab/>
        <w:t>В соответствии со своим мандатом по пункту b) ii) статьи 11 Факультативного протокола Подкомитет наладил и поддерживал непосредственные связи с национальными превентивными механизмами. В ходе своих сессий в 2016 году Подкомитет провел встречи и видеоконференции с национальными превентивными механизмами Греции, Испании, Люксембурга, Португалии, Румынии, Украины, Швейцарии и Эквадора. Он также провел встречу с представителями Австралийской комиссии по правам человека.</w:t>
      </w:r>
    </w:p>
    <w:p w:rsidR="000E1B8B" w:rsidRPr="00390C43" w:rsidRDefault="000E1B8B" w:rsidP="000E1B8B">
      <w:pPr>
        <w:pStyle w:val="SingleTxtGR"/>
      </w:pPr>
      <w:r w:rsidRPr="00390C43">
        <w:t>31.</w:t>
      </w:r>
      <w:r w:rsidRPr="00390C43">
        <w:tab/>
        <w:t>Подкомитет и его члены продолжили получать приглашения принять участие в многочисленных национальных, региональных и международных совещаниях, посвященных, в частности, вопросам назначения, создания и налаживания деятельности национальных превентивных механизмов и Факультативному протоколу в целом. Подкомитет признателен организаторам этих и остальных мероприятий, на которые он был приглашен. Он с сожалением отмечает, что его участие в таких мероприятиях по-прежнему обусловлено финансовой поддержкой третьих сторон, поскольку он не располагает бюджетными средствами для финансирования участия в них своих членов.</w:t>
      </w:r>
    </w:p>
    <w:p w:rsidR="000E1B8B" w:rsidRPr="00390C43" w:rsidRDefault="00ED1E6C" w:rsidP="009D2CDC">
      <w:pPr>
        <w:pStyle w:val="H1GR"/>
      </w:pPr>
      <w:r w:rsidRPr="00091D22">
        <w:tab/>
      </w:r>
      <w:r w:rsidR="000E1B8B" w:rsidRPr="00390C43">
        <w:t>F.</w:t>
      </w:r>
      <w:r w:rsidR="000E1B8B" w:rsidRPr="00390C43">
        <w:tab/>
        <w:t xml:space="preserve">Специальный фонд, созданный согласно Факультативному протоколу </w:t>
      </w:r>
    </w:p>
    <w:p w:rsidR="000E1B8B" w:rsidRPr="00390C43" w:rsidRDefault="000E1B8B" w:rsidP="000E1B8B">
      <w:pPr>
        <w:pStyle w:val="SingleTxtGR"/>
      </w:pPr>
      <w:r w:rsidRPr="00390C43">
        <w:t>32.</w:t>
      </w:r>
      <w:r w:rsidRPr="00390C43">
        <w:tab/>
        <w:t>Средства Специального фонда, учрежденного в соответствии с пунктом 1 статьи 26 Факультативного протокола, направляются на поддержку проектов, имеющих целью создание или укрепление национальных превентивных механизмов, т.е. содействуют осуществлению соответствующих</w:t>
      </w:r>
      <w:r w:rsidR="00091D22">
        <w:t xml:space="preserve"> рекомендаций, вынесенных Подкомитетом государству-участнику по итогам его </w:t>
      </w:r>
      <w:r w:rsidR="007E1CDD">
        <w:t>посещения</w:t>
      </w:r>
      <w:r w:rsidRPr="00390C43">
        <w:t xml:space="preserve">. </w:t>
      </w:r>
      <w:r w:rsidRPr="00390C43">
        <w:lastRenderedPageBreak/>
        <w:t>В</w:t>
      </w:r>
      <w:r w:rsidR="0044430C">
        <w:t> </w:t>
      </w:r>
      <w:r w:rsidRPr="00390C43">
        <w:t xml:space="preserve">2016 году общая сумма ассигнований, выделенных через Фонд на поддержку проектов по предупреждению пыток, составила 240 </w:t>
      </w:r>
      <w:r w:rsidR="0044430C">
        <w:t>000</w:t>
      </w:r>
      <w:r w:rsidRPr="00390C43">
        <w:t xml:space="preserve"> долл. США. Срок приема заявок на 2017 год истек 1 марта 2017 года. В июне 2017 года Подкомитет представит Управлению Верховного комиссара Организации Объединенных Наций по правам человека свои рекомендации относительно новых проектов, которые, по его мнению, следует профинансировать.</w:t>
      </w:r>
    </w:p>
    <w:p w:rsidR="000E1B8B" w:rsidRPr="00390C43" w:rsidRDefault="00610D81" w:rsidP="000E1B8B">
      <w:pPr>
        <w:pStyle w:val="SingleTxtGR"/>
      </w:pPr>
      <w:r>
        <w:br w:type="page"/>
      </w:r>
      <w:r w:rsidR="000E1B8B" w:rsidRPr="00390C43">
        <w:lastRenderedPageBreak/>
        <w:t>33.</w:t>
      </w:r>
      <w:r w:rsidR="000E1B8B" w:rsidRPr="00390C43">
        <w:tab/>
        <w:t xml:space="preserve">Подкомитет выражает обеспокоенность в связи с сохраняющейся существенной нехваткой средств в Фонде. Он с удовлетворением отмечает, что к концу 2016 года были получены взносы от Аргентины (10 000 долл. США), </w:t>
      </w:r>
      <w:r w:rsidR="00257A27">
        <w:br/>
      </w:r>
      <w:r w:rsidR="000E1B8B" w:rsidRPr="00390C43">
        <w:t xml:space="preserve">Чехии (8 000 долл. США), Германии (220 000 долл. США) и Испании </w:t>
      </w:r>
      <w:r w:rsidR="00257A27">
        <w:br/>
      </w:r>
      <w:r w:rsidR="000E1B8B" w:rsidRPr="00390C43">
        <w:t>(39 000 долл. США), что позволит Фонду и далее выделять средства на реализацию проектов по предупреждению пыток в 2017</w:t>
      </w:r>
      <w:r w:rsidR="00257A27">
        <w:t>–</w:t>
      </w:r>
      <w:r w:rsidR="00D76057">
        <w:t>2</w:t>
      </w:r>
      <w:r w:rsidR="000E1B8B" w:rsidRPr="00390C43">
        <w:t>018 годах. Для продолжения своей деятельности в период после 2018 года Специальный фонд нуждается в дополнительных взносах. Подкомитет считает, что Фонд представляет собой важнейший инструмент осуществления рекомендаций Подкомитета на местах и, соответственно, предотвращения пыток и жестокого обращения, и в этой связи настоятельно призывает государства и далее оказывать Фонду финансовую поддержку.</w:t>
      </w:r>
    </w:p>
    <w:p w:rsidR="000E1B8B" w:rsidRPr="00390C43" w:rsidRDefault="009D2CDC" w:rsidP="009D2CDC">
      <w:pPr>
        <w:pStyle w:val="HChGR"/>
      </w:pPr>
      <w:r w:rsidRPr="00091D22">
        <w:tab/>
      </w:r>
      <w:r w:rsidR="000E1B8B" w:rsidRPr="00390C43">
        <w:t>III.</w:t>
      </w:r>
      <w:r w:rsidR="000E1B8B" w:rsidRPr="00390C43">
        <w:tab/>
        <w:t>Взаимодействие с другими органами в области предупреждения пыток</w:t>
      </w:r>
    </w:p>
    <w:p w:rsidR="000E1B8B" w:rsidRPr="00390C43" w:rsidRDefault="009D2CDC" w:rsidP="009D2CDC">
      <w:pPr>
        <w:pStyle w:val="H1GR"/>
      </w:pPr>
      <w:r w:rsidRPr="00091D22">
        <w:tab/>
      </w:r>
      <w:r w:rsidR="000E1B8B" w:rsidRPr="00390C43">
        <w:t>A.</w:t>
      </w:r>
      <w:r w:rsidR="000E1B8B" w:rsidRPr="00390C43">
        <w:tab/>
        <w:t>Международное сотрудничество</w:t>
      </w:r>
    </w:p>
    <w:p w:rsidR="000E1B8B" w:rsidRPr="00390C43" w:rsidRDefault="009D2CDC" w:rsidP="009D2CDC">
      <w:pPr>
        <w:pStyle w:val="H23GR"/>
      </w:pPr>
      <w:r w:rsidRPr="00091D22">
        <w:tab/>
      </w:r>
      <w:r>
        <w:t>1.</w:t>
      </w:r>
      <w:r>
        <w:tab/>
      </w:r>
      <w:r w:rsidR="000E1B8B" w:rsidRPr="00390C43">
        <w:t>Сотрудничество с другими органами Организации Объединенных Наций</w:t>
      </w:r>
    </w:p>
    <w:p w:rsidR="000E1B8B" w:rsidRPr="00390C43" w:rsidRDefault="000E1B8B" w:rsidP="000E1B8B">
      <w:pPr>
        <w:pStyle w:val="SingleTxtGR"/>
      </w:pPr>
      <w:r w:rsidRPr="00390C43">
        <w:t>34.</w:t>
      </w:r>
      <w:r w:rsidRPr="00390C43">
        <w:tab/>
        <w:t>28 апреля 2016 года на пленарном заседании Комитета против пыток Председатель Подкомитета представил девятый Комитету ежегодный доклад Подкомитета (CAT/C/57/4 и Corr.1). 16 ноября 2016 года Подкомитет и Комитет провели совместное заседание в Женеве, на котором, как указано в пункте 13 выше, рассмотрели вопросы, связанные с Правилами Нельсона Манделы.</w:t>
      </w:r>
    </w:p>
    <w:p w:rsidR="000E1B8B" w:rsidRPr="00390C43" w:rsidRDefault="000E1B8B" w:rsidP="000E1B8B">
      <w:pPr>
        <w:pStyle w:val="SingleTxtGR"/>
      </w:pPr>
      <w:r w:rsidRPr="00390C43">
        <w:t>35.</w:t>
      </w:r>
      <w:r w:rsidRPr="00390C43">
        <w:tab/>
        <w:t>Совместно с Председателем Комитета против пыток и Специальным докладчиком по вопросу о пытках и других жестоких, бесчеловечных или унижающих достоинство видах обращения и наказания, представившими собственные доклады, 18 октября 2016 года Председатель Подкомитета, действуя в соответствии с резолюцией 70/146 Генеральной Ассамблеи, представил Генеральной Ассамблее на ее семидесятой сессии девятый ежегодный доклад Подкомитета.</w:t>
      </w:r>
    </w:p>
    <w:p w:rsidR="000E1B8B" w:rsidRPr="00390C43" w:rsidRDefault="000E1B8B" w:rsidP="000E1B8B">
      <w:pPr>
        <w:pStyle w:val="SingleTxtGR"/>
      </w:pPr>
      <w:r w:rsidRPr="00390C43">
        <w:t>36.</w:t>
      </w:r>
      <w:r w:rsidRPr="00390C43">
        <w:tab/>
        <w:t xml:space="preserve">Продолжая практику участия в ежегодных совещаниях председателей договорных органов по правам человека, Председатель Подкомитета принял участие в двадцать восьмом совещании председателей, состоявшемся в Нью-Йорке 30 мая </w:t>
      </w:r>
      <w:r w:rsidR="00930996">
        <w:t>–</w:t>
      </w:r>
      <w:r w:rsidRPr="00390C43">
        <w:t xml:space="preserve"> 3 июня 2016 года. </w:t>
      </w:r>
    </w:p>
    <w:p w:rsidR="000E1B8B" w:rsidRPr="00390C43" w:rsidRDefault="000E1B8B" w:rsidP="000E1B8B">
      <w:pPr>
        <w:pStyle w:val="SingleTxtGR"/>
      </w:pPr>
      <w:r w:rsidRPr="00390C43">
        <w:t>37.</w:t>
      </w:r>
      <w:r w:rsidRPr="00390C43">
        <w:tab/>
        <w:t>Подкомитет присоединился к заявлению, сделанному Комитетом против пыток, Специальным докладчиком по вопросу о пытках и Советом попечителей Добровольного фонда Организации Объединенных Наций для жертв пыток по случаю Международного дня в поддержку жертв пыток (26 июня). Подкомитет продолжил осуществлять на систематической основе сотрудничество с другими механизмами, в частности передал в Комитет против пыток свои рекомендаций в отношении государств – участников Факультативного протокола, чьи доклады подлежали рассмотрению на последующих сессиях Комитета.</w:t>
      </w:r>
    </w:p>
    <w:p w:rsidR="000E1B8B" w:rsidRPr="00390C43" w:rsidRDefault="000E1B8B" w:rsidP="000E1B8B">
      <w:pPr>
        <w:pStyle w:val="SingleTxtGR"/>
      </w:pPr>
      <w:r w:rsidRPr="00390C43">
        <w:t>38.</w:t>
      </w:r>
      <w:r w:rsidRPr="00390C43">
        <w:tab/>
        <w:t>Подкомитет продолжил взаимодействие с Управлением Верховного комиссара Организации Объединенных Наций по делам беженцев, в частности в контексте поездок на места.</w:t>
      </w:r>
    </w:p>
    <w:p w:rsidR="000E1B8B" w:rsidRPr="00390C43" w:rsidRDefault="009D2CDC" w:rsidP="009D2CDC">
      <w:pPr>
        <w:pStyle w:val="H23GR"/>
      </w:pPr>
      <w:r w:rsidRPr="00091D22">
        <w:tab/>
      </w:r>
      <w:r w:rsidR="000E1B8B" w:rsidRPr="00390C43">
        <w:t>2.</w:t>
      </w:r>
      <w:r w:rsidR="000E1B8B" w:rsidRPr="00390C43">
        <w:tab/>
        <w:t>Сотрудничество с другими соответствующими международными организациями</w:t>
      </w:r>
    </w:p>
    <w:p w:rsidR="000E1B8B" w:rsidRPr="00390C43" w:rsidRDefault="000E1B8B" w:rsidP="000E1B8B">
      <w:pPr>
        <w:pStyle w:val="SingleTxtGR"/>
      </w:pPr>
      <w:r w:rsidRPr="00390C43">
        <w:t>39.</w:t>
      </w:r>
      <w:r w:rsidRPr="00390C43">
        <w:tab/>
        <w:t>Подкомитет продолжил сотрудничество с Международным комитетом Красного Креста, в частности в контексте поездок на места.</w:t>
      </w:r>
    </w:p>
    <w:p w:rsidR="000E1B8B" w:rsidRPr="00390C43" w:rsidRDefault="009D2CDC" w:rsidP="009D2CDC">
      <w:pPr>
        <w:pStyle w:val="H1GR"/>
      </w:pPr>
      <w:r w:rsidRPr="00091D22">
        <w:lastRenderedPageBreak/>
        <w:tab/>
      </w:r>
      <w:r w:rsidR="000E1B8B" w:rsidRPr="00390C43">
        <w:t>B.</w:t>
      </w:r>
      <w:r w:rsidR="000E1B8B" w:rsidRPr="00390C43">
        <w:tab/>
        <w:t>Региональное сотрудничество</w:t>
      </w:r>
    </w:p>
    <w:p w:rsidR="000E1B8B" w:rsidRPr="00390C43" w:rsidRDefault="000E1B8B" w:rsidP="000E1B8B">
      <w:pPr>
        <w:pStyle w:val="SingleTxtGR"/>
      </w:pPr>
      <w:r w:rsidRPr="00390C43">
        <w:t>40.</w:t>
      </w:r>
      <w:r w:rsidRPr="00390C43">
        <w:tab/>
        <w:t xml:space="preserve">Подкомитет продолжил осуществлять сотрудничество с региональными организациями, в том числе с Европейским комитетом по предупреждению пыток и бесчеловечных или унижающих достоинство видов обращения и наказания; в июне председатели этих двух органов впервые выступили с совместным заявлением, текст которого размещен на веб-сайте Подкомитета. Через руководителей региональных групп Подкомитет также продолжил взаимодействие с региональными партнерами, включая Европейский комитет, Межамериканскую комиссию по правам человека, Совет Европы и Европейскую комиссию. </w:t>
      </w:r>
    </w:p>
    <w:p w:rsidR="000E1B8B" w:rsidRPr="00390C43" w:rsidRDefault="000E1B8B" w:rsidP="000E1B8B">
      <w:pPr>
        <w:pStyle w:val="SingleTxtGR"/>
      </w:pPr>
      <w:r w:rsidRPr="00390C43">
        <w:t>41.</w:t>
      </w:r>
      <w:r w:rsidRPr="00390C43">
        <w:tab/>
        <w:t>В этом контексте 5 сентября в Центре по осуществлению прав человека при Бристольском университете члены Подкомитета встретились с представителями Африканской комиссии по правам человека и народов для обсуждения общих стратегий.</w:t>
      </w:r>
    </w:p>
    <w:p w:rsidR="000E1B8B" w:rsidRPr="00390C43" w:rsidRDefault="00EE34F2" w:rsidP="00EE34F2">
      <w:pPr>
        <w:pStyle w:val="H1GR"/>
      </w:pPr>
      <w:r w:rsidRPr="00091D22">
        <w:tab/>
      </w:r>
      <w:r>
        <w:t>C.</w:t>
      </w:r>
      <w:r>
        <w:tab/>
      </w:r>
      <w:r w:rsidR="000E1B8B" w:rsidRPr="00390C43">
        <w:t>Гражданское общество</w:t>
      </w:r>
    </w:p>
    <w:p w:rsidR="000E1B8B" w:rsidRPr="00390C43" w:rsidRDefault="000E1B8B" w:rsidP="000E1B8B">
      <w:pPr>
        <w:pStyle w:val="SingleTxtGR"/>
      </w:pPr>
      <w:r w:rsidRPr="00390C43">
        <w:t>42.</w:t>
      </w:r>
      <w:r w:rsidRPr="00390C43">
        <w:tab/>
        <w:t>Подкомитет продолжал получать помощь в своей работе благодаря  поддержке со стороны гражданского общества, в частности Ассоциации за предотвращение пыток и нескольких научных учреждений. Он выражает признательность организациям гражданского общества, с которыми он взаимодействовал в ходе посещений, за их работу по пропаганде и поддержке выполнения Факультативного протокола. Подкомитет, в частности, благодарит Международную организацию за реформу уголовного правосудия и Ассоциацию за предотвращение пыток, оказавшие содействие в организации совместного заседания Подкомитета и Комитета против пыток для обсуждения Правил Нельсона Манделы. Подкомитет выражает особую признательность Ассоциации за ее неоценимую помощь в усилиях по выполнению Факультативного протокола и Подкомитету.</w:t>
      </w:r>
    </w:p>
    <w:p w:rsidR="000E1B8B" w:rsidRPr="00390C43" w:rsidRDefault="00EE34F2" w:rsidP="00EE34F2">
      <w:pPr>
        <w:pStyle w:val="HChGR"/>
      </w:pPr>
      <w:r w:rsidRPr="00091D22">
        <w:tab/>
      </w:r>
      <w:r w:rsidR="000E1B8B" w:rsidRPr="00390C43">
        <w:t>IV.</w:t>
      </w:r>
      <w:r w:rsidR="000E1B8B" w:rsidRPr="00390C43">
        <w:tab/>
        <w:t>Актуальные вопросы, возникающие в связи с работой Подкомитета за отчетный период</w:t>
      </w:r>
    </w:p>
    <w:p w:rsidR="000E1B8B" w:rsidRPr="00390C43" w:rsidRDefault="00EE34F2" w:rsidP="00EE34F2">
      <w:pPr>
        <w:pStyle w:val="H1GR"/>
      </w:pPr>
      <w:r w:rsidRPr="00091D22">
        <w:tab/>
      </w:r>
      <w:r w:rsidR="000E1B8B" w:rsidRPr="00390C43">
        <w:t>A.</w:t>
      </w:r>
      <w:r w:rsidR="000E1B8B" w:rsidRPr="00390C43">
        <w:tab/>
        <w:t>Выборы</w:t>
      </w:r>
    </w:p>
    <w:p w:rsidR="000E1B8B" w:rsidRPr="00390C43" w:rsidRDefault="000E1B8B" w:rsidP="000E1B8B">
      <w:pPr>
        <w:pStyle w:val="SingleTxtGR"/>
      </w:pPr>
      <w:r w:rsidRPr="00390C43">
        <w:t>43.</w:t>
      </w:r>
      <w:r w:rsidRPr="00390C43">
        <w:tab/>
        <w:t xml:space="preserve">Подкомитет приветствует 12 вновь избранных членов и поздравляет переизбранных членов со вступлением в должность. Подкомитет выражает признательность покидающим свои посты членам: Энрике Андресу Фонту, </w:t>
      </w:r>
      <w:r w:rsidR="00D76057">
        <w:br/>
      </w:r>
      <w:r w:rsidRPr="00390C43">
        <w:t>г-же Лоуэлл Годдард, Сюзанне Джаббур, Милошу Янковичу, Полу Лам Шан Линю, Виктору Мадригал-Борлосу и Марии Маргариде Прессбургер. Обновление состава Подкомитета позволяет улучшить его работу, благодаря свежему взгляду новых членов, однако он понимает, что ротация ведет к существенной потере в опыте и негативно сказывается на поддержании диалога, связанного с посещениями. В настоящий момент Подкомитет пересматривает порядок проведения диалога на этапе после посещений, стремясь достичь большей оперативности и интенсивности и использования опыта членов, принявших участие в посещении.</w:t>
      </w:r>
    </w:p>
    <w:p w:rsidR="000E1B8B" w:rsidRPr="00390C43" w:rsidRDefault="00EE34F2" w:rsidP="00EE34F2">
      <w:pPr>
        <w:pStyle w:val="H1GR"/>
      </w:pPr>
      <w:r w:rsidRPr="00091D22">
        <w:tab/>
      </w:r>
      <w:r w:rsidR="000E1B8B" w:rsidRPr="00390C43">
        <w:t>B.</w:t>
      </w:r>
      <w:r w:rsidR="000E1B8B" w:rsidRPr="00390C43">
        <w:tab/>
        <w:t>Совершенствование методов работы</w:t>
      </w:r>
    </w:p>
    <w:p w:rsidR="000E1B8B" w:rsidRPr="00390C43" w:rsidRDefault="00EE34F2" w:rsidP="00EE34F2">
      <w:pPr>
        <w:pStyle w:val="H23GR"/>
      </w:pPr>
      <w:r w:rsidRPr="00091D22">
        <w:tab/>
      </w:r>
      <w:r>
        <w:t>1.</w:t>
      </w:r>
      <w:r>
        <w:tab/>
      </w:r>
      <w:r w:rsidR="000E1B8B" w:rsidRPr="00390C43">
        <w:t>Поездки</w:t>
      </w:r>
    </w:p>
    <w:p w:rsidR="000E1B8B" w:rsidRPr="00390C43" w:rsidRDefault="000E1B8B" w:rsidP="000E1B8B">
      <w:pPr>
        <w:pStyle w:val="SingleTxtGR"/>
      </w:pPr>
      <w:r w:rsidRPr="00390C43">
        <w:t>44.</w:t>
      </w:r>
      <w:r w:rsidRPr="00390C43">
        <w:tab/>
        <w:t xml:space="preserve">Посещение государств-участников является одним из основных направлений работы Подкомитета. Несмотря на ограниченность финансовых и кадровых ресурсов в распоряжении Управления Верховного комиссара </w:t>
      </w:r>
      <w:r w:rsidRPr="00390C43">
        <w:lastRenderedPageBreak/>
        <w:t>Организации Объединенных Наций по правам человека, Подкомитету и его секретариату удавалась, начиная с 2011 года, ежегодно увеличивать число посещений: если в</w:t>
      </w:r>
      <w:r w:rsidR="00703D99">
        <w:t> </w:t>
      </w:r>
      <w:r w:rsidRPr="00390C43">
        <w:t xml:space="preserve">2011 году их было проведено всего три, то в 2015 году </w:t>
      </w:r>
      <w:r w:rsidR="00703D99">
        <w:t>–</w:t>
      </w:r>
      <w:r w:rsidRPr="00390C43">
        <w:t xml:space="preserve"> уже восемь. </w:t>
      </w:r>
      <w:r w:rsidR="00703D99">
        <w:br/>
      </w:r>
      <w:r w:rsidRPr="00390C43">
        <w:t xml:space="preserve">В 2016 году Подкомитет вновь превысил показатель предыдущего года, организовав </w:t>
      </w:r>
      <w:r w:rsidR="000B2F87">
        <w:t>десять</w:t>
      </w:r>
      <w:r w:rsidRPr="00390C43">
        <w:t xml:space="preserve"> поездок, одна из которых (на Украину) проходила в два этапа. Подкомитет не считает возможным дальнейшее расширение программы поездок при имеющемся объеме ресурсов, полагая, и считает, что теперь прогресс на этом направлении должен обеспечиваться за счет большей интенсивности и оперативности диалога по итогам поездок.</w:t>
      </w:r>
    </w:p>
    <w:p w:rsidR="000E1B8B" w:rsidRPr="00390C43" w:rsidRDefault="000E1B8B" w:rsidP="000E1B8B">
      <w:pPr>
        <w:pStyle w:val="SingleTxtGR"/>
      </w:pPr>
      <w:r w:rsidRPr="00390C43">
        <w:t>45.</w:t>
      </w:r>
      <w:r w:rsidRPr="00390C43">
        <w:tab/>
        <w:t xml:space="preserve">В 2015 году Подкомитет принял решение более не проводить специализированные поездки. Таким образом, в 2016 году в рамках каждой поездки рассматривались все аспекты, относящиеся к превентивному мандату Подкомитета, и преследовались две основные задачи </w:t>
      </w:r>
      <w:r w:rsidR="00230574">
        <w:t>–</w:t>
      </w:r>
      <w:r w:rsidRPr="00390C43">
        <w:t xml:space="preserve"> посещение мест лишения свободы и консультирование по вопросам создания национальных превентивных механизмов или их функционирования, доклады</w:t>
      </w:r>
      <w:r w:rsidR="000B2F87">
        <w:t>,</w:t>
      </w:r>
      <w:r w:rsidRPr="00390C43">
        <w:t xml:space="preserve"> по итогам которых представлялись либо правительству, либо национальному превентивному механизму в зависимости от установленного порядка. Благодаря новой методике в 2016 году удалось добиться усиления практической отдачи от поездок, т.е. Подкомитет смог более полно выполнить свой мандат в соответствии с пунктом b) i) статьи 11 Факультативного протокола.</w:t>
      </w:r>
    </w:p>
    <w:p w:rsidR="000E1B8B" w:rsidRPr="00390C43" w:rsidRDefault="00EE34F2" w:rsidP="00EE34F2">
      <w:pPr>
        <w:pStyle w:val="H23GR"/>
      </w:pPr>
      <w:r w:rsidRPr="00091D22">
        <w:tab/>
      </w:r>
      <w:r w:rsidR="000E1B8B" w:rsidRPr="00390C43">
        <w:t>2.</w:t>
      </w:r>
      <w:r w:rsidR="000E1B8B" w:rsidRPr="00390C43">
        <w:tab/>
        <w:t>Рабочие группы</w:t>
      </w:r>
    </w:p>
    <w:p w:rsidR="000E1B8B" w:rsidRPr="00390C43" w:rsidRDefault="000E1B8B" w:rsidP="000E1B8B">
      <w:pPr>
        <w:pStyle w:val="SingleTxtGR"/>
      </w:pPr>
      <w:r w:rsidRPr="00390C43">
        <w:t>46.</w:t>
      </w:r>
      <w:r w:rsidRPr="00390C43">
        <w:tab/>
        <w:t>Рабочая группа по медицинским вопросам продолжала работу над справочником по медико-санитарной помощи, который будет представлять собой сборник рекомендаций относительно медико-санитарной помощи, вынесенных Подкомитетом в своих докладах по итогам посещений. Для обсуждения вопросов, представляющих взаимный интерес, Рабочая группа провела встречи со Специальным докладчиком по вопросу о правах инвалидов, Ассоциацией за предотвращение пыток и Международной ассоциацией по снижению вреда от психоактивных веществ. Она также наладила взаимодействие с другими механизмами Организации Объединенных Наций, в частности в связи с Руководством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и Правилами Нельсона Манделы.</w:t>
      </w:r>
    </w:p>
    <w:p w:rsidR="000E1B8B" w:rsidRPr="00390C43" w:rsidRDefault="000E1B8B" w:rsidP="000E1B8B">
      <w:pPr>
        <w:pStyle w:val="SingleTxtGR"/>
      </w:pPr>
      <w:r w:rsidRPr="00390C43">
        <w:t>47.</w:t>
      </w:r>
      <w:r w:rsidRPr="00390C43">
        <w:tab/>
        <w:t>Рабочая группа по процедурным вопросам продолжила реагировать на просьбы национальных превентивных механизмов о предоставлении руководящих указаний. Подкомитет поощряет такие обращения и надеется, что публикация на его веб-сайте сборника подготовленных в ответ на такие запросы мнений будет полезна пользователям. Рабочая группа оказала Подкомитету помощь в подготовке позиционного документа по вопросу о государствах-участниках, допускающих существенные задержки в выполнении статьи 17 Факультативного протокола. Рабочая группа также пересмотрела политику Подкомитета по вопросу о репрессиях (CAT/OP/6/Rev.1), приняв во внимание Руководящие принципы противодействия запугиванию и репрессиям (Руководящие принципы Сан-Хосе), и приступила к работе по пересмотру методов работы Подкомитета.</w:t>
      </w:r>
    </w:p>
    <w:p w:rsidR="000E1B8B" w:rsidRPr="00390C43" w:rsidRDefault="000E1B8B" w:rsidP="000E1B8B">
      <w:pPr>
        <w:pStyle w:val="SingleTxtGR"/>
      </w:pPr>
      <w:r w:rsidRPr="00390C43">
        <w:t>48.</w:t>
      </w:r>
      <w:r w:rsidRPr="00390C43">
        <w:tab/>
        <w:t>Рабочая группа по тематическим вопросам и существующей правовой практике завершила работу над внутренними документами Подкомитета о предупреждении пыток при передаче лиц, лишенных свободы, и по предупреждению пыток в центрах содержания мигрантов. Подкомитет может пересмотреть эти документы с учетом накопленного опыта в целях их последующей публикации. Рабочая группа также приступила к обсуждению нового документа (см.</w:t>
      </w:r>
      <w:r w:rsidR="00230574">
        <w:t> </w:t>
      </w:r>
      <w:r w:rsidRPr="00390C43">
        <w:t xml:space="preserve">пункт 51). </w:t>
      </w:r>
    </w:p>
    <w:p w:rsidR="000E1B8B" w:rsidRPr="00390C43" w:rsidRDefault="000E1B8B" w:rsidP="000E1B8B">
      <w:pPr>
        <w:pStyle w:val="SingleTxtGR"/>
      </w:pPr>
      <w:r w:rsidRPr="00390C43">
        <w:t>49.</w:t>
      </w:r>
      <w:r w:rsidRPr="00390C43">
        <w:tab/>
        <w:t xml:space="preserve">На своей двадцать восьмой сессии Подкомитет постановил учредить рабочую группу по Специальному фонду, учрежденному в соответствии со </w:t>
      </w:r>
      <w:r w:rsidRPr="00390C43">
        <w:lastRenderedPageBreak/>
        <w:t>статьей 26 Факультативного протокола в целях укрепления работы Фонда и содействия ей (CAT/OP/28/2). Первоначальный круг ведения этой рабочей группы изложен в решении Подкомитета (там же).</w:t>
      </w:r>
    </w:p>
    <w:p w:rsidR="000E1B8B" w:rsidRPr="00390C43" w:rsidRDefault="00EE34F2" w:rsidP="00EE34F2">
      <w:pPr>
        <w:pStyle w:val="H23GR"/>
      </w:pPr>
      <w:r w:rsidRPr="00091D22">
        <w:tab/>
      </w:r>
      <w:r w:rsidR="000E1B8B" w:rsidRPr="00390C43">
        <w:t>3.</w:t>
      </w:r>
      <w:r w:rsidR="000E1B8B" w:rsidRPr="00390C43">
        <w:tab/>
        <w:t xml:space="preserve">Региональные группы </w:t>
      </w:r>
    </w:p>
    <w:p w:rsidR="000E1B8B" w:rsidRPr="00390C43" w:rsidRDefault="000E1B8B" w:rsidP="000E1B8B">
      <w:pPr>
        <w:pStyle w:val="SingleTxtGR"/>
      </w:pPr>
      <w:r w:rsidRPr="00390C43">
        <w:t>50.</w:t>
      </w:r>
      <w:r w:rsidRPr="00390C43">
        <w:tab/>
        <w:t>Региональные группы и страновые докладчики, как и прежде, поддерживали тесные контакты и связи с национальными превентивными механизмами, способствуя обмену информацией и опытом. С учетом размера и уровня активности региональные группы избрали методы работы, оптимально соответствующие их потребностям: так, они стали чаще использовать формат видеоконференций, обеспечивающих охват более широкой аудитории и более высокую отдачу.</w:t>
      </w:r>
    </w:p>
    <w:p w:rsidR="000E1B8B" w:rsidRPr="00390C43" w:rsidRDefault="00EE34F2" w:rsidP="00EE34F2">
      <w:pPr>
        <w:pStyle w:val="H23GR"/>
      </w:pPr>
      <w:r w:rsidRPr="00BD2D59">
        <w:tab/>
      </w:r>
      <w:r w:rsidR="000E1B8B" w:rsidRPr="00390C43">
        <w:t>4.</w:t>
      </w:r>
      <w:r w:rsidR="000E1B8B" w:rsidRPr="00390C43">
        <w:tab/>
        <w:t xml:space="preserve">Разработка позиционных документов Подкомитета </w:t>
      </w:r>
    </w:p>
    <w:p w:rsidR="000E1B8B" w:rsidRPr="00390C43" w:rsidRDefault="000E1B8B" w:rsidP="000E1B8B">
      <w:pPr>
        <w:pStyle w:val="SingleTxtGR"/>
      </w:pPr>
      <w:r w:rsidRPr="00390C43">
        <w:t>51.</w:t>
      </w:r>
      <w:r w:rsidRPr="00390C43">
        <w:tab/>
        <w:t>За рассматриваемый период Рабочая группа по тематическим вопросам и существующей правовой практике приняла два позиционных документа (см.</w:t>
      </w:r>
      <w:r w:rsidR="00BD2D59">
        <w:t> </w:t>
      </w:r>
      <w:r w:rsidRPr="00390C43">
        <w:t>пункт 48 выше). В настоящее время она рассматривает возможность подготовки позиционного документа по вопросу о независимости национальных превентивных механизмов с акцентом на превентивные механизмы, имеющиеся в распоряжении омбудсменов и национальных правозащитных учреждений. Как и в предыдущие годы, Подкомитет приветствует замечания и рекомендации по подготовке этого позиционного документа.</w:t>
      </w:r>
    </w:p>
    <w:p w:rsidR="000E1B8B" w:rsidRPr="00390C43" w:rsidRDefault="00EE34F2" w:rsidP="00EE34F2">
      <w:pPr>
        <w:pStyle w:val="H23GR"/>
      </w:pPr>
      <w:r w:rsidRPr="00091D22">
        <w:tab/>
      </w:r>
      <w:r>
        <w:t>5.</w:t>
      </w:r>
      <w:r>
        <w:tab/>
      </w:r>
      <w:r w:rsidR="000E1B8B" w:rsidRPr="00390C43">
        <w:t>Дополнительное время на проведение совещаний</w:t>
      </w:r>
    </w:p>
    <w:p w:rsidR="000E1B8B" w:rsidRPr="00390C43" w:rsidRDefault="000E1B8B" w:rsidP="000E1B8B">
      <w:pPr>
        <w:pStyle w:val="SingleTxtGR"/>
      </w:pPr>
      <w:r w:rsidRPr="00390C43">
        <w:t>52.</w:t>
      </w:r>
      <w:r w:rsidRPr="00390C43">
        <w:tab/>
        <w:t>Начиная с февраля 2007 года, когда Подкомитет приступил к работе, он проводил по три однонедельных пленарных сессии в год. Первоначально Подкомитет состоял из 10 членов, а участниками Факультативного протокола являлись 34 государства. Сегодня Подкомитет насчитывает 25 членов, а участниками Протокола являются уже 83 государства. Как отмечалось выше, если на первых порах Подкомитет организовывал по три поездки в год, то сегодня он в среднем ежегодно проводит по десять таких поездок. Кроме того, Подкомитет взаимодействует с государствами-членами по вопросу о последующих мерах и работе национальных превентивных механизмов в контексте ежегодного роста числа поездок. Все это приводит к тому, что рабочая нагрузка на каждой сессии превышает возможности. В связи с этим на своей двадцать восьмой сессии Подкомитет постановил просить Генерального секретаря по возможности отметить в своем докладе об осуществлении резолюции 68/268 Генеральной Ассамблеи за 2016 год необходимость в качестве первого шага выделить Подкомитету не менее одной дополнительной недели заседаний в год, а также необходимую кадровую и ресурсную поддержку (CAT/OP/28/1).</w:t>
      </w:r>
    </w:p>
    <w:p w:rsidR="000E1B8B" w:rsidRPr="00390C43" w:rsidRDefault="00EE34F2" w:rsidP="00EE34F2">
      <w:pPr>
        <w:pStyle w:val="HChGR"/>
      </w:pPr>
      <w:r w:rsidRPr="00091D22">
        <w:tab/>
      </w:r>
      <w:r w:rsidR="000E1B8B" w:rsidRPr="00390C43">
        <w:t>V.</w:t>
      </w:r>
      <w:r w:rsidR="000E1B8B" w:rsidRPr="00390C43">
        <w:tab/>
        <w:t>Итоги отчетного года</w:t>
      </w:r>
    </w:p>
    <w:p w:rsidR="000E1B8B" w:rsidRPr="00390C43" w:rsidRDefault="00EE34F2" w:rsidP="00EE34F2">
      <w:pPr>
        <w:pStyle w:val="H1GR"/>
      </w:pPr>
      <w:r w:rsidRPr="00091D22">
        <w:tab/>
      </w:r>
      <w:r w:rsidR="000E1B8B" w:rsidRPr="00390C43">
        <w:t>A.</w:t>
      </w:r>
      <w:r w:rsidR="000E1B8B" w:rsidRPr="00390C43">
        <w:tab/>
        <w:t xml:space="preserve">Десятая годовщина создания системы Факультативного протокола </w:t>
      </w:r>
    </w:p>
    <w:p w:rsidR="000E1B8B" w:rsidRPr="00390C43" w:rsidRDefault="000E1B8B" w:rsidP="000E1B8B">
      <w:pPr>
        <w:pStyle w:val="SingleTxtGR"/>
      </w:pPr>
      <w:r w:rsidRPr="00390C43">
        <w:t>53.</w:t>
      </w:r>
      <w:r w:rsidRPr="00390C43">
        <w:tab/>
        <w:t xml:space="preserve">Как отмечалось выше, 17 ноября 2016 года, в рамках тридцатой сессии Подкомитета, в Женеве состоялась конференция, приуроченная к десятой годовщине создания системы Факультативного протокола. На церемонии открытия этого мероприятия было оглашено обращение Генерального секретаря, которое зачитал Генеральный директор Отделения ООН в Женеве, со вступительным словом выступили Верховный комиссар ООН по правам человека и вице-президента Международного Комитета Красного Креста. В состав дискуссионных групп вошли представители различных </w:t>
      </w:r>
      <w:r w:rsidRPr="00390C43">
        <w:lastRenderedPageBreak/>
        <w:t>заинтересованных сторон, включая государства-участники (Сенегал и Тунис), национальные превентивные механизмы (Грузия, Кыргызстан и Норвегия), НПО (Ассоциация за предотвращение пыток), региональные организации (Европейский комитет по предупреждению пыток и других жестоких, бесчеловечных или унижающих достоинство видов обращения и наказания), другие механизмы Организации Объединенных Наций и мандатарии (Комитет против пыток, Специальный докладчик по вопросу о пытках, Фонд добровольных взносов Организации Объединенных Наций для жертв пыток). В работе Конференции приняли участие около 150 человек, включая представителей 52 государств – членов Организации Объединенных Наций, 11 национальных превентивных механизмов и 16 НПО. Подкомитет выражает признательность всем участникам. Он также благодарит организаторов прошедших во многих странах </w:t>
      </w:r>
      <w:r w:rsidR="006D31C5">
        <w:t>–</w:t>
      </w:r>
      <w:r w:rsidRPr="00390C43">
        <w:t xml:space="preserve"> причем в основном по инициативе национальных превентивных механизмов </w:t>
      </w:r>
      <w:r w:rsidR="006D31C5">
        <w:t>–</w:t>
      </w:r>
      <w:r w:rsidRPr="00390C43">
        <w:t xml:space="preserve"> мероприятий в ознаменование десятилетней годовщины системы Факультативного протокола. С информацией о программе Конференции и выступлениях участников можно ознако</w:t>
      </w:r>
      <w:r w:rsidR="006D31C5">
        <w:t>миться на веб-сайте Подкомитета</w:t>
      </w:r>
      <w:r w:rsidRPr="006D31C5">
        <w:rPr>
          <w:sz w:val="18"/>
          <w:szCs w:val="18"/>
          <w:vertAlign w:val="superscript"/>
        </w:rPr>
        <w:footnoteReference w:id="2"/>
      </w:r>
      <w:r w:rsidR="006D31C5">
        <w:t>.</w:t>
      </w:r>
    </w:p>
    <w:p w:rsidR="000E1B8B" w:rsidRPr="00390C43" w:rsidRDefault="000E1B8B" w:rsidP="000E1B8B">
      <w:pPr>
        <w:pStyle w:val="SingleTxtGR"/>
      </w:pPr>
      <w:r w:rsidRPr="00390C43">
        <w:t>54.</w:t>
      </w:r>
      <w:r w:rsidRPr="00390C43">
        <w:tab/>
        <w:t xml:space="preserve">Обсуждение было организовано по двум дискуссионным группам. Первая группа состояла из высокопоставленных международных экспертов, которые выступили с сообщениями об итогах прошедших </w:t>
      </w:r>
      <w:r w:rsidR="006D31C5">
        <w:t>десяти</w:t>
      </w:r>
      <w:r w:rsidRPr="00390C43">
        <w:t xml:space="preserve"> лет осуществления Факультативного протокола и </w:t>
      </w:r>
      <w:r w:rsidR="006D31C5">
        <w:t xml:space="preserve">о </w:t>
      </w:r>
      <w:r w:rsidRPr="00390C43">
        <w:t xml:space="preserve">том, какую роль он сыграл в предотвращении пыток, подчеркнули его практическую ценность и рассказали об извлеченных за этот период уроках. Темой для обсуждения во второй дискуссионной группе были отношения между государствами-участниками, национальными превентивными механизмами и Подкомитетом, а также их значение для предупреждения пыток, достигнутые результаты, передовая практика, проблемы, стоящие перед системой Факультативного протокола, и возможные пути ее развития. </w:t>
      </w:r>
    </w:p>
    <w:p w:rsidR="000E1B8B" w:rsidRPr="00390C43" w:rsidRDefault="000E1B8B" w:rsidP="000E1B8B">
      <w:pPr>
        <w:pStyle w:val="SingleTxtGR"/>
      </w:pPr>
      <w:r w:rsidRPr="00390C43">
        <w:t>55.</w:t>
      </w:r>
      <w:r w:rsidRPr="00390C43">
        <w:tab/>
        <w:t>Важность партнерских отношений подтвердили многочисленные мероприятия, проведенные государствами-участниками, национальными превентивными механизмами и другими организациями в честь десятой годовщины создания Подкомитета. Подкомитет не только с удовлетворением воспринял информацию о проведении этих мероприятий, но и выразил надежду, что эти наработки позволят провести аналогичные мероприятия в будущем, поскольку они способствуют повышению уровня информированности о Факультативном протоколе и предоставляют практическую возможность обсудить функционирование предусмотренной Протоколом системы предупреждения в соответствующих странах. Эта работа в течение юбилейного года создаст важный и прочный задел на будущее.</w:t>
      </w:r>
    </w:p>
    <w:p w:rsidR="000E1B8B" w:rsidRPr="00390C43" w:rsidRDefault="00EE34F2" w:rsidP="00EE34F2">
      <w:pPr>
        <w:pStyle w:val="H1GR"/>
      </w:pPr>
      <w:r w:rsidRPr="00091D22">
        <w:tab/>
      </w:r>
      <w:r w:rsidR="000E1B8B" w:rsidRPr="00390C43">
        <w:t>B.</w:t>
      </w:r>
      <w:r w:rsidR="000E1B8B" w:rsidRPr="00390C43">
        <w:tab/>
        <w:t xml:space="preserve">Вопросы сотрудничества, вызывающие обеспокоенность </w:t>
      </w:r>
    </w:p>
    <w:p w:rsidR="000E1B8B" w:rsidRPr="00390C43" w:rsidRDefault="000E1B8B" w:rsidP="000E1B8B">
      <w:pPr>
        <w:pStyle w:val="SingleTxtGR"/>
      </w:pPr>
      <w:r w:rsidRPr="00390C43">
        <w:t>56.</w:t>
      </w:r>
      <w:r w:rsidRPr="00390C43">
        <w:tab/>
        <w:t>Несмотря на важные достижения Подкомитета, в последнее время некоторые государства-участники начали высказывать критику в отношении его мандата. В своем выступлении на семьдесят первой сессии Генеральной Ассамблеи в октябре 2016 года Председатель Подкомитета подчеркнул, что после принятия Подкомитетом программы поездок государства не имеют возможности предложить отменить или отсрочить намеченный визит. Действительно, Факультативный протокол налагает на государства юридическое обязательство содействовать посещениям, организуемым Подкомитетом в определенное им самим время. Кроме того, как следует из статьи 4 Факультативного протокола и изданной недавно Подкомитетом рекомендации для национальных превентивных механизмов (см. CAT/OP/57/4 и Corr.1, приложение), Подкомитет и национальные превентивные механизмы должны иметь возможность посетить</w:t>
      </w:r>
      <w:r w:rsidR="00091D22">
        <w:t xml:space="preserve"> </w:t>
      </w:r>
      <w:r w:rsidR="00091D22" w:rsidRPr="00390C43">
        <w:t xml:space="preserve">любое место, в котором лица лишены </w:t>
      </w:r>
      <w:r w:rsidR="00091D22" w:rsidRPr="00390C43">
        <w:lastRenderedPageBreak/>
        <w:t>свободы, в том смысле, что они не могут его покидать по своей воле, или в котором, как считает Подкомитет, лица могут быть лишены свободы, если лишение свободы относится к ситуации, при которой государство либо осуществляет, либо может предположительно осуществлять функцию</w:t>
      </w:r>
      <w:r w:rsidRPr="00390C43">
        <w:t>. К таким местам относятся объекты, находящиеся в подчинении или под надзором государства, где лица фактически могут удерживаться третьими сторонами. Следует подчеркнуть, что такие места подпадают под действие мандатов национальных превентивных механизмов, а также, что особенно важно, Подкомитета, поскольку за прошедшее десятилетие он отметил увеличение числа случаев применения пыток и жестокого обращения, что явно связано с мерами по обеспечению национальной безопасности и защиты национальных границ.</w:t>
      </w:r>
    </w:p>
    <w:p w:rsidR="000E1B8B" w:rsidRPr="00390C43" w:rsidRDefault="00EE34F2" w:rsidP="00EE34F2">
      <w:pPr>
        <w:pStyle w:val="H1GR"/>
      </w:pPr>
      <w:r w:rsidRPr="00091D22">
        <w:tab/>
      </w:r>
      <w:r w:rsidR="000E1B8B" w:rsidRPr="00390C43">
        <w:t>C.</w:t>
      </w:r>
      <w:r w:rsidR="000E1B8B" w:rsidRPr="00390C43">
        <w:tab/>
        <w:t>Соблюдение статьи 17 Факультативного протокола</w:t>
      </w:r>
    </w:p>
    <w:p w:rsidR="000E1B8B" w:rsidRPr="00390C43" w:rsidRDefault="000E1B8B" w:rsidP="000E1B8B">
      <w:pPr>
        <w:pStyle w:val="SingleTxtGR"/>
      </w:pPr>
      <w:r w:rsidRPr="00390C43">
        <w:t>57.</w:t>
      </w:r>
      <w:r w:rsidRPr="00390C43">
        <w:tab/>
        <w:t>Еще одним поводом для озабоченности в отношении сотрудничества в рамках Факультативного протокола являются обязательства государств-участников, предусмотренные в статье 17 Факультативного протокола. Значительное число государств-участников до сих пор не выполнили свое обязательство</w:t>
      </w:r>
      <w:r w:rsidR="00091D22">
        <w:t xml:space="preserve"> </w:t>
      </w:r>
      <w:r w:rsidR="00091D22" w:rsidRPr="00390C43">
        <w:t>поддерживать, назначить или создать не позднее чем через один год после ратификации Факультативного протокола один или несколько независимых национальных превентивных механизмов для предупреждения пыток</w:t>
      </w:r>
      <w:r w:rsidR="00091D22">
        <w:t>.</w:t>
      </w:r>
      <w:r w:rsidRPr="00390C43">
        <w:t xml:space="preserve"> В этой связи Подкомитет направил всем государствам-участникам, просрочившим выполнение своих обязательств по статье 17 не менее чем на три года, сообщения, в которых просил представить Подкомитету в письменном виде информацию о шагах, предпринятых ими на этом направлении, и предупредил о планах опубликовать перечень государств-участников, не выполняющих свои обязательства по статье 17. </w:t>
      </w:r>
    </w:p>
    <w:p w:rsidR="000E1B8B" w:rsidRPr="00390C43" w:rsidRDefault="000E1B8B" w:rsidP="000E1B8B">
      <w:pPr>
        <w:pStyle w:val="SingleTxtGR"/>
      </w:pPr>
      <w:r w:rsidRPr="00390C43">
        <w:t>58.</w:t>
      </w:r>
      <w:r w:rsidRPr="00390C43">
        <w:tab/>
        <w:t>В настоящее время перечень размещен на общедоступном веб-сайте Под</w:t>
      </w:r>
      <w:r w:rsidR="0009695E">
        <w:t>комитета</w:t>
      </w:r>
      <w:r w:rsidRPr="0009695E">
        <w:rPr>
          <w:sz w:val="18"/>
          <w:szCs w:val="18"/>
          <w:vertAlign w:val="superscript"/>
        </w:rPr>
        <w:footnoteReference w:id="3"/>
      </w:r>
      <w:r w:rsidR="0009695E">
        <w:t>.</w:t>
      </w:r>
      <w:r w:rsidRPr="00390C43">
        <w:t xml:space="preserve"> На каждой сессии Подкомитета он пересматривается и в него вносятся необходимые изменения. Государства будут исключаться из перечня по мере выполнения статьи 17. Подкомитет надеется, это напоминание о соблюдении Протокола будет полезным для государств-участников, отмечая, что публикация перечня уже привела к позитивным подвижкам. Поскольку эффективные национальные превентивные механизмы являются краеугольным камнем системы Факультативного протокола, Подкомитет по-прежнему намерен сотрудничать с государствами-участниками путем консультирования и оказания помощи в создании таких механизмов в соответствии с мандатом, закрепленным в статье 11 Факультативного протокола, и намерен вести дальнейший поиск путей поощрения, поддержки и укрепления деятельности по обеспечению соблюдения Протокола и принятию последующих мер. </w:t>
      </w:r>
    </w:p>
    <w:p w:rsidR="000E1B8B" w:rsidRPr="00390C43" w:rsidRDefault="00D85070" w:rsidP="00D85070">
      <w:pPr>
        <w:pStyle w:val="H1GR"/>
      </w:pPr>
      <w:r w:rsidRPr="00091D22">
        <w:tab/>
      </w:r>
      <w:r w:rsidR="000E1B8B" w:rsidRPr="00390C43">
        <w:t>D.</w:t>
      </w:r>
      <w:r w:rsidR="000E1B8B" w:rsidRPr="00390C43">
        <w:tab/>
        <w:t>Планы на будущее</w:t>
      </w:r>
    </w:p>
    <w:p w:rsidR="000E1B8B" w:rsidRPr="00390C43" w:rsidRDefault="000E1B8B" w:rsidP="000E1B8B">
      <w:pPr>
        <w:pStyle w:val="SingleTxtGR"/>
      </w:pPr>
      <w:r w:rsidRPr="00390C43">
        <w:t>59.</w:t>
      </w:r>
      <w:r w:rsidRPr="00390C43">
        <w:tab/>
        <w:t xml:space="preserve">С усовершенствованным собственным инструментарием Подкомитет теперь имеет более широкие, чем когда-либо, возможности для оказания государствам помощи в назначении и создании независимых национальных превентивных механизмов, а также самим механизмам </w:t>
      </w:r>
      <w:r w:rsidR="0009695E">
        <w:t>–</w:t>
      </w:r>
      <w:r w:rsidRPr="00390C43">
        <w:t xml:space="preserve"> в выполнении их превентивного мандата. В то же время еще не исчерпаны возможности дальнейшего повышения эффективности взаимодействия и налицо потребность в поощрении синергетических связей между различными органами и механизмами по предупреждению пыток. На настоящий момент этим усилиям препятствует нехватка кадровых и финансовых ресурсов. </w:t>
      </w:r>
    </w:p>
    <w:p w:rsidR="000E1B8B" w:rsidRPr="00390C43" w:rsidRDefault="000E1B8B" w:rsidP="000E1B8B">
      <w:pPr>
        <w:pStyle w:val="SingleTxtGR"/>
      </w:pPr>
      <w:r w:rsidRPr="00390C43">
        <w:t>60.</w:t>
      </w:r>
      <w:r w:rsidRPr="00390C43">
        <w:tab/>
        <w:t xml:space="preserve">Как уже отмечалось, Специальный фонд, созданный на основании Факультативного протокола, является жизненно необходимым инструментом </w:t>
      </w:r>
      <w:r w:rsidRPr="00390C43">
        <w:lastRenderedPageBreak/>
        <w:t>для содействия осуществлению рекомендаций Подкомитета и работе национальных превентивных механизмов. Крайне важно, чтобы Фонд продолжал функционировать и был обеспечен достаточными ресурсами. Хотя в конце отчетного периода произошли некоторые положительные сдвиги, в целом, несмотря на усилия Подкомитета и Управления Верховного комиссара Организации Объединенных Наций по правам человека по повышению осведомленности и поощрению взносов, положение Фонда остается трудным.</w:t>
      </w:r>
    </w:p>
    <w:p w:rsidR="000E1B8B" w:rsidRPr="00390C43" w:rsidRDefault="000E1B8B" w:rsidP="000E1B8B">
      <w:pPr>
        <w:pStyle w:val="SingleTxtGR"/>
      </w:pPr>
      <w:r w:rsidRPr="00390C43">
        <w:t>61.</w:t>
      </w:r>
      <w:r w:rsidRPr="00390C43">
        <w:tab/>
        <w:t>Подкомитет надеется, что Фонд, являющийся единственным подобным фондом, учрежденным в рамках конвенций по правам человека, будет получать надлежащую поддержку, что станет отражением заинтересованности государств-участников и других субъектов, работающих в интересах предупреждения пыток.</w:t>
      </w:r>
    </w:p>
    <w:p w:rsidR="000E1B8B" w:rsidRPr="00390C43" w:rsidRDefault="000E1B8B" w:rsidP="000E1B8B">
      <w:pPr>
        <w:pStyle w:val="SingleTxtGR"/>
      </w:pPr>
      <w:r w:rsidRPr="00390C43">
        <w:t>62.</w:t>
      </w:r>
      <w:r w:rsidRPr="00390C43">
        <w:tab/>
        <w:t>В 2017 году Подкомитет планирует далее совершенствовать свои методы работы с учетом накопленного к настоящему времени опыта и под воздействием импульса, который придало его работе обновление состава членов Подкомитета. Подкомитет надеется, что в предстоящем году больше времени будет уделено усилиям по полной систематизации форматов и методов работы, что позволит сконцентрировать усилия на рассмотрении тематических и процедурных вопросов, передаваемых Подкомитету национальными превентивными механизмами и другими заинтересованными сторонами. Кроме того, он будет вести активный поиск путей развития новых форм диалога с государствами-участниками в контексте посещений.</w:t>
      </w:r>
    </w:p>
    <w:p w:rsidR="000E1B8B" w:rsidRPr="00390C43" w:rsidRDefault="00D85070" w:rsidP="00D85070">
      <w:pPr>
        <w:pStyle w:val="H1GR"/>
      </w:pPr>
      <w:r w:rsidRPr="00091D22">
        <w:tab/>
      </w:r>
      <w:r w:rsidR="000E1B8B" w:rsidRPr="00390C43">
        <w:t>E.</w:t>
      </w:r>
      <w:r w:rsidR="000E1B8B" w:rsidRPr="00390C43">
        <w:tab/>
        <w:t>Дальнейшая деятельность</w:t>
      </w:r>
    </w:p>
    <w:p w:rsidR="000E1B8B" w:rsidRPr="00390C43" w:rsidRDefault="000E1B8B" w:rsidP="000E1B8B">
      <w:pPr>
        <w:pStyle w:val="SingleTxtGR"/>
      </w:pPr>
      <w:r w:rsidRPr="00390C43">
        <w:t>63.</w:t>
      </w:r>
      <w:r w:rsidRPr="00390C43">
        <w:tab/>
        <w:t>В заключение следует привести программу будущих посещений, о которых Подкомитетом было объявлено на двадцать девятой и тридцатой сессиях. Как и ранее, при отборе стран для посещения Подкомитет руководствовался принципом обоснованности выбора, принимая во внимание широкий набор факторов, включая обеспечение оптимального использования информации, получаемой, в частности, от государств-участников и национальных превентивных механизмов, максимально эффективного использования имеющихся ресурсов и надлежащего взаимодействия со всеми государствами-участниками. Кроме того, Подкомитет, как и прежде, тщательно отслеживает даты ратификации государствами Протокола и присоединения к нему, принимает во внимание изменения, касающиеся национальных превентивных механизмов, географию и размеры государств, которые он планирует посетить, существующие в них сложности практического характера, функционирующие на региональном уровне механизмы превентивного мониторинга и другие конкретные и актуальные вопросы. Цель состоит в том, чтобы обеспечить максимальную эффективность всей деятельности Подкомитета.</w:t>
      </w:r>
    </w:p>
    <w:p w:rsidR="000E1B8B" w:rsidRPr="00390C43" w:rsidRDefault="000E1B8B" w:rsidP="000E1B8B">
      <w:pPr>
        <w:pStyle w:val="SingleTxtGR"/>
      </w:pPr>
      <w:r w:rsidRPr="00390C43">
        <w:t>64.</w:t>
      </w:r>
      <w:r w:rsidRPr="00390C43">
        <w:tab/>
        <w:t>Подкомитет решил более не составлять планов посещений на год вперед. Вместо этого он будет на регулярной основе сообщать, какие страны будут включены в программу посещений следующими. Так, он уже объявил, что планирует через некоторое время посетить Боливию (Многонациональное Государство), Венгрию, Испанию, бывшую югославскую Республику Македонию, Монголию, Панаму и Руанду. Следующий этап плана посещений будет обнародован в конце тридцать первой сессии.</w:t>
      </w:r>
    </w:p>
    <w:p w:rsidR="00610D81" w:rsidRDefault="000E1B8B" w:rsidP="000E1B8B">
      <w:pPr>
        <w:pStyle w:val="SingleTxtGR"/>
      </w:pPr>
      <w:r w:rsidRPr="00390C43">
        <w:t>65.</w:t>
      </w:r>
      <w:r w:rsidRPr="00390C43">
        <w:tab/>
        <w:t xml:space="preserve">В заключение Подкомитет считает необходимым вновь озвучить просьбу о выделении большего времени на проведение пленарных заседаний, о чем было сказано выше. За десять лет работы Подкомитет никогда ранее так не нуждался в дополнительном времени, как сейчас, а по мере активизации взаимодействия с национальными превентивными механизмами и работы по ведению диалога по итогам посещений эта потребность только обострится. Объем организационной работы, возложенной на Подкомитет, и количество </w:t>
      </w:r>
      <w:r w:rsidRPr="00390C43">
        <w:lastRenderedPageBreak/>
        <w:t xml:space="preserve">встреч с представителями государств-участников и других сторон в рамках пленарных сессий продолжают неумолимо расти на фоне все возрастающего интереса международных и межправительственных организаций к встречам и взаимодействию с Подкомитетом. Продолжает углубляться взаимодействие Подкомитета с Комитетом против пыток, Специальным докладчиком по вопросу о пытках и Фондом добровольных взносов Организации Объединенных Наций для жертв </w:t>
      </w:r>
      <w:r w:rsidR="00610D81">
        <w:br/>
      </w:r>
    </w:p>
    <w:p w:rsidR="000E1B8B" w:rsidRPr="00390C43" w:rsidRDefault="00610D81" w:rsidP="000E1B8B">
      <w:pPr>
        <w:pStyle w:val="SingleTxtGR"/>
      </w:pPr>
      <w:r>
        <w:br w:type="page"/>
      </w:r>
      <w:r w:rsidR="000E1B8B" w:rsidRPr="00390C43">
        <w:lastRenderedPageBreak/>
        <w:t>пыток, что не может не вызывать удовлетворения. Однако поддержание этой позитивной динамики в отсутствие дополнительных временных и кадровых ресурсов для обеспечения заседаний, становится все более сложной, если не невозможной задачей. Настало время для кардинальных изменений, необходимых для содействия Подкомитету и его работе по предупреждению пыток.</w:t>
      </w:r>
    </w:p>
    <w:p w:rsidR="006D3FDB" w:rsidRPr="000E1B8B" w:rsidRDefault="000E1B8B" w:rsidP="000E1B8B">
      <w:pPr>
        <w:pStyle w:val="SingleTxtGR"/>
        <w:spacing w:before="240" w:after="0"/>
        <w:jc w:val="center"/>
        <w:rPr>
          <w:u w:val="single"/>
          <w:lang w:eastAsia="ru-RU"/>
        </w:rPr>
      </w:pPr>
      <w:r>
        <w:rPr>
          <w:u w:val="single"/>
          <w:lang w:eastAsia="ru-RU"/>
        </w:rPr>
        <w:tab/>
      </w:r>
      <w:r>
        <w:rPr>
          <w:u w:val="single"/>
          <w:lang w:eastAsia="ru-RU"/>
        </w:rPr>
        <w:tab/>
      </w:r>
      <w:r>
        <w:rPr>
          <w:u w:val="single"/>
          <w:lang w:eastAsia="ru-RU"/>
        </w:rPr>
        <w:tab/>
      </w:r>
    </w:p>
    <w:sectPr w:rsidR="006D3FDB" w:rsidRPr="000E1B8B" w:rsidSect="005F390B">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B8B" w:rsidRPr="00A312BC" w:rsidRDefault="000E1B8B" w:rsidP="00A312BC"/>
  </w:endnote>
  <w:endnote w:type="continuationSeparator" w:id="0">
    <w:p w:rsidR="000E1B8B" w:rsidRPr="00A312BC" w:rsidRDefault="000E1B8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39T30Lfz">
    <w:altName w:val="Symbol"/>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B8B" w:rsidRPr="005F390B" w:rsidRDefault="000E1B8B">
    <w:pPr>
      <w:pStyle w:val="Footer"/>
    </w:pPr>
    <w:r w:rsidRPr="005F390B">
      <w:rPr>
        <w:b/>
        <w:sz w:val="18"/>
      </w:rPr>
      <w:fldChar w:fldCharType="begin"/>
    </w:r>
    <w:r w:rsidRPr="005F390B">
      <w:rPr>
        <w:b/>
        <w:sz w:val="18"/>
      </w:rPr>
      <w:instrText xml:space="preserve"> PAGE  \* MERGEFORMAT </w:instrText>
    </w:r>
    <w:r w:rsidRPr="005F390B">
      <w:rPr>
        <w:b/>
        <w:sz w:val="18"/>
      </w:rPr>
      <w:fldChar w:fldCharType="separate"/>
    </w:r>
    <w:r w:rsidR="000D1C6B">
      <w:rPr>
        <w:b/>
        <w:noProof/>
        <w:sz w:val="18"/>
      </w:rPr>
      <w:t>16</w:t>
    </w:r>
    <w:r w:rsidRPr="005F390B">
      <w:rPr>
        <w:b/>
        <w:sz w:val="18"/>
      </w:rPr>
      <w:fldChar w:fldCharType="end"/>
    </w:r>
    <w:r>
      <w:rPr>
        <w:b/>
        <w:sz w:val="18"/>
      </w:rPr>
      <w:tab/>
    </w:r>
    <w:r>
      <w:t>GE.17-05269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B8B" w:rsidRPr="005F390B" w:rsidRDefault="000E1B8B" w:rsidP="005F390B">
    <w:pPr>
      <w:pStyle w:val="Footer"/>
      <w:tabs>
        <w:tab w:val="clear" w:pos="9639"/>
        <w:tab w:val="right" w:pos="9638"/>
      </w:tabs>
      <w:rPr>
        <w:b/>
        <w:sz w:val="18"/>
      </w:rPr>
    </w:pPr>
    <w:r>
      <w:t>GE.17-05269</w:t>
    </w:r>
    <w:r>
      <w:tab/>
    </w:r>
    <w:r w:rsidRPr="005F390B">
      <w:rPr>
        <w:b/>
        <w:sz w:val="18"/>
      </w:rPr>
      <w:fldChar w:fldCharType="begin"/>
    </w:r>
    <w:r w:rsidRPr="005F390B">
      <w:rPr>
        <w:b/>
        <w:sz w:val="18"/>
      </w:rPr>
      <w:instrText xml:space="preserve"> PAGE  \* MERGEFORMAT </w:instrText>
    </w:r>
    <w:r w:rsidRPr="005F390B">
      <w:rPr>
        <w:b/>
        <w:sz w:val="18"/>
      </w:rPr>
      <w:fldChar w:fldCharType="separate"/>
    </w:r>
    <w:r w:rsidR="000D1C6B">
      <w:rPr>
        <w:b/>
        <w:noProof/>
        <w:sz w:val="18"/>
      </w:rPr>
      <w:t>17</w:t>
    </w:r>
    <w:r w:rsidRPr="005F390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B8B" w:rsidRPr="005F390B" w:rsidRDefault="000E1B8B" w:rsidP="005F390B">
    <w:pPr>
      <w:spacing w:before="120" w:line="240" w:lineRule="auto"/>
    </w:pPr>
    <w:r>
      <w:t>GE.</w:t>
    </w:r>
    <w:r>
      <w:rPr>
        <w:b/>
        <w:noProof/>
        <w:lang w:val="en-GB" w:eastAsia="en-GB"/>
      </w:rPr>
      <w:drawing>
        <wp:anchor distT="0" distB="0" distL="114300" distR="114300" simplePos="0" relativeHeight="251658240" behindDoc="0" locked="0" layoutInCell="1" allowOverlap="1" wp14:anchorId="5BBBBEC3" wp14:editId="4C9223B1">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17-05269  (R)</w:t>
    </w:r>
    <w:r w:rsidR="00ED1E6C">
      <w:rPr>
        <w:lang w:val="en-US"/>
      </w:rPr>
      <w:t xml:space="preserve">  020517  020517</w:t>
    </w:r>
    <w:r>
      <w:br/>
    </w:r>
    <w:r w:rsidRPr="005F390B">
      <w:rPr>
        <w:rFonts w:ascii="C39T30Lfz" w:hAnsi="C39T30Lfz"/>
        <w:spacing w:val="0"/>
        <w:w w:val="100"/>
        <w:sz w:val="56"/>
      </w:rPr>
      <w:t></w:t>
    </w:r>
    <w:r w:rsidRPr="005F390B">
      <w:rPr>
        <w:rFonts w:ascii="C39T30Lfz" w:hAnsi="C39T30Lfz"/>
        <w:spacing w:val="0"/>
        <w:w w:val="100"/>
        <w:sz w:val="56"/>
      </w:rPr>
      <w:t></w:t>
    </w:r>
    <w:r w:rsidRPr="005F390B">
      <w:rPr>
        <w:rFonts w:ascii="C39T30Lfz" w:hAnsi="C39T30Lfz"/>
        <w:spacing w:val="0"/>
        <w:w w:val="100"/>
        <w:sz w:val="56"/>
      </w:rPr>
      <w:t></w:t>
    </w:r>
    <w:r w:rsidRPr="005F390B">
      <w:rPr>
        <w:rFonts w:ascii="C39T30Lfz" w:hAnsi="C39T30Lfz"/>
        <w:spacing w:val="0"/>
        <w:w w:val="100"/>
        <w:sz w:val="56"/>
      </w:rPr>
      <w:t></w:t>
    </w:r>
    <w:r w:rsidRPr="005F390B">
      <w:rPr>
        <w:rFonts w:ascii="C39T30Lfz" w:hAnsi="C39T30Lfz"/>
        <w:spacing w:val="0"/>
        <w:w w:val="100"/>
        <w:sz w:val="56"/>
      </w:rPr>
      <w:t></w:t>
    </w:r>
    <w:r w:rsidRPr="005F390B">
      <w:rPr>
        <w:rFonts w:ascii="C39T30Lfz" w:hAnsi="C39T30Lfz"/>
        <w:spacing w:val="0"/>
        <w:w w:val="100"/>
        <w:sz w:val="56"/>
      </w:rPr>
      <w:t></w:t>
    </w:r>
    <w:r w:rsidRPr="005F390B">
      <w:rPr>
        <w:rFonts w:ascii="C39T30Lfz" w:hAnsi="C39T30Lfz"/>
        <w:spacing w:val="0"/>
        <w:w w:val="100"/>
        <w:sz w:val="56"/>
      </w:rPr>
      <w:t></w:t>
    </w:r>
    <w:r w:rsidRPr="005F390B">
      <w:rPr>
        <w:rFonts w:ascii="C39T30Lfz" w:hAnsi="C39T30Lfz"/>
        <w:spacing w:val="0"/>
        <w:w w:val="100"/>
        <w:sz w:val="56"/>
      </w:rPr>
      <w:t></w:t>
    </w:r>
    <w:r w:rsidRPr="005F390B">
      <w:rPr>
        <w:rFonts w:ascii="C39T30Lfz" w:hAnsi="C39T30Lfz"/>
        <w:spacing w:val="0"/>
        <w:w w:val="100"/>
        <w:sz w:val="56"/>
      </w:rPr>
      <w:t></w:t>
    </w:r>
    <w:r>
      <w:rPr>
        <w:noProof/>
        <w:w w:val="100"/>
        <w:lang w:val="en-GB" w:eastAsia="en-GB"/>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40080" cy="640080"/>
          <wp:effectExtent l="0" t="0" r="7620" b="7620"/>
          <wp:wrapNone/>
          <wp:docPr id="1" name="Рисунок 1" descr="https://undocs.org/m2/QRCode.ashx?DS=CAT/C/60/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0/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B8B" w:rsidRPr="001075E9" w:rsidRDefault="000E1B8B" w:rsidP="001075E9">
      <w:pPr>
        <w:tabs>
          <w:tab w:val="right" w:pos="2155"/>
        </w:tabs>
        <w:spacing w:after="80" w:line="240" w:lineRule="auto"/>
        <w:ind w:left="680"/>
        <w:rPr>
          <w:u w:val="single"/>
        </w:rPr>
      </w:pPr>
      <w:r>
        <w:rPr>
          <w:u w:val="single"/>
        </w:rPr>
        <w:tab/>
      </w:r>
    </w:p>
  </w:footnote>
  <w:footnote w:type="continuationSeparator" w:id="0">
    <w:p w:rsidR="000E1B8B" w:rsidRDefault="000E1B8B" w:rsidP="00407B78">
      <w:pPr>
        <w:tabs>
          <w:tab w:val="right" w:pos="2155"/>
        </w:tabs>
        <w:spacing w:after="80"/>
        <w:ind w:left="680"/>
        <w:rPr>
          <w:u w:val="single"/>
        </w:rPr>
      </w:pPr>
      <w:r>
        <w:rPr>
          <w:u w:val="single"/>
        </w:rPr>
        <w:tab/>
      </w:r>
    </w:p>
  </w:footnote>
  <w:footnote w:id="1">
    <w:p w:rsidR="000E1B8B" w:rsidRPr="00CF0295" w:rsidRDefault="000E1B8B" w:rsidP="000E1B8B">
      <w:pPr>
        <w:pStyle w:val="FootnoteText"/>
        <w:rPr>
          <w:lang w:val="ru-RU"/>
        </w:rPr>
      </w:pPr>
      <w:r w:rsidRPr="00CF0295">
        <w:rPr>
          <w:lang w:val="ru-RU"/>
        </w:rPr>
        <w:tab/>
      </w:r>
      <w:r w:rsidRPr="00CF0295">
        <w:rPr>
          <w:vertAlign w:val="superscript"/>
          <w:lang w:val="ru-RU"/>
        </w:rPr>
        <w:footnoteRef/>
      </w:r>
      <w:r w:rsidRPr="00CF0295">
        <w:rPr>
          <w:lang w:val="ru-RU"/>
        </w:rPr>
        <w:tab/>
        <w:t xml:space="preserve">См. </w:t>
      </w:r>
      <w:hyperlink r:id="rId1" w:history="1">
        <w:r w:rsidRPr="00CF0295">
          <w:rPr>
            <w:rStyle w:val="Hyperlink"/>
            <w:color w:val="auto"/>
            <w:lang w:val="ru-RU"/>
          </w:rPr>
          <w:t>www.ohchr.org/EN/HRBodies/OPCAT/Pages/Article17.aspx</w:t>
        </w:r>
      </w:hyperlink>
      <w:r w:rsidRPr="00CF0295">
        <w:rPr>
          <w:lang w:val="ru-RU"/>
        </w:rPr>
        <w:t>.</w:t>
      </w:r>
    </w:p>
  </w:footnote>
  <w:footnote w:id="2">
    <w:p w:rsidR="000E1B8B" w:rsidRPr="00371FA7" w:rsidRDefault="000E1B8B" w:rsidP="000E1B8B">
      <w:pPr>
        <w:pStyle w:val="FootnoteText"/>
      </w:pPr>
      <w:r w:rsidRPr="00EE34F2">
        <w:rPr>
          <w:lang w:val="ru-RU"/>
        </w:rPr>
        <w:tab/>
      </w:r>
      <w:r w:rsidRPr="00EE34F2">
        <w:rPr>
          <w:vertAlign w:val="superscript"/>
          <w:lang w:val="ru-RU"/>
        </w:rPr>
        <w:footnoteRef/>
      </w:r>
      <w:r w:rsidRPr="00EE34F2">
        <w:rPr>
          <w:lang w:val="ru-RU"/>
        </w:rPr>
        <w:tab/>
        <w:t xml:space="preserve">См. </w:t>
      </w:r>
      <w:hyperlink r:id="rId2" w:history="1">
        <w:r w:rsidRPr="00AE3971">
          <w:rPr>
            <w:rStyle w:val="Hyperlink"/>
            <w:color w:val="auto"/>
          </w:rPr>
          <w:t>www</w:t>
        </w:r>
        <w:r w:rsidRPr="00371FA7">
          <w:rPr>
            <w:rStyle w:val="Hyperlink"/>
            <w:color w:val="auto"/>
          </w:rPr>
          <w:t>.</w:t>
        </w:r>
        <w:r w:rsidRPr="00AE3971">
          <w:rPr>
            <w:rStyle w:val="Hyperlink"/>
            <w:color w:val="auto"/>
          </w:rPr>
          <w:t>ohchr</w:t>
        </w:r>
        <w:r w:rsidRPr="00371FA7">
          <w:rPr>
            <w:rStyle w:val="Hyperlink"/>
            <w:color w:val="auto"/>
          </w:rPr>
          <w:t>.</w:t>
        </w:r>
        <w:r w:rsidRPr="00AE3971">
          <w:rPr>
            <w:rStyle w:val="Hyperlink"/>
            <w:color w:val="auto"/>
          </w:rPr>
          <w:t>org</w:t>
        </w:r>
        <w:r w:rsidRPr="00371FA7">
          <w:rPr>
            <w:rStyle w:val="Hyperlink"/>
            <w:color w:val="auto"/>
          </w:rPr>
          <w:t>/</w:t>
        </w:r>
        <w:r w:rsidRPr="00AE3971">
          <w:rPr>
            <w:rStyle w:val="Hyperlink"/>
            <w:color w:val="auto"/>
          </w:rPr>
          <w:t>EN</w:t>
        </w:r>
        <w:r w:rsidRPr="00371FA7">
          <w:rPr>
            <w:rStyle w:val="Hyperlink"/>
            <w:color w:val="auto"/>
          </w:rPr>
          <w:t>/</w:t>
        </w:r>
        <w:r w:rsidRPr="00AE3971">
          <w:rPr>
            <w:rStyle w:val="Hyperlink"/>
            <w:color w:val="auto"/>
          </w:rPr>
          <w:t>HRBodies</w:t>
        </w:r>
        <w:r w:rsidRPr="00371FA7">
          <w:rPr>
            <w:rStyle w:val="Hyperlink"/>
            <w:color w:val="auto"/>
          </w:rPr>
          <w:t>/</w:t>
        </w:r>
        <w:r w:rsidRPr="00AE3971">
          <w:rPr>
            <w:rStyle w:val="Hyperlink"/>
            <w:color w:val="auto"/>
          </w:rPr>
          <w:t>OPCAT</w:t>
        </w:r>
        <w:r w:rsidRPr="00371FA7">
          <w:rPr>
            <w:rStyle w:val="Hyperlink"/>
            <w:color w:val="auto"/>
          </w:rPr>
          <w:t>/</w:t>
        </w:r>
        <w:r w:rsidRPr="00AE3971">
          <w:rPr>
            <w:rStyle w:val="Hyperlink"/>
            <w:color w:val="auto"/>
          </w:rPr>
          <w:t>Pages</w:t>
        </w:r>
        <w:r w:rsidRPr="00371FA7">
          <w:rPr>
            <w:rStyle w:val="Hyperlink"/>
            <w:color w:val="auto"/>
          </w:rPr>
          <w:t>/</w:t>
        </w:r>
        <w:r w:rsidRPr="00AE3971">
          <w:rPr>
            <w:rStyle w:val="Hyperlink"/>
            <w:color w:val="auto"/>
          </w:rPr>
          <w:t>OPCAT</w:t>
        </w:r>
        <w:r w:rsidRPr="00371FA7">
          <w:rPr>
            <w:rStyle w:val="Hyperlink"/>
            <w:color w:val="auto"/>
          </w:rPr>
          <w:t>10.</w:t>
        </w:r>
        <w:r w:rsidRPr="00AE3971">
          <w:rPr>
            <w:rStyle w:val="Hyperlink"/>
            <w:color w:val="auto"/>
          </w:rPr>
          <w:t>aspx</w:t>
        </w:r>
      </w:hyperlink>
      <w:r w:rsidRPr="00371FA7">
        <w:t>.</w:t>
      </w:r>
    </w:p>
  </w:footnote>
  <w:footnote w:id="3">
    <w:p w:rsidR="000E1B8B" w:rsidRPr="00091D22" w:rsidRDefault="000E1B8B" w:rsidP="000E1B8B">
      <w:pPr>
        <w:pStyle w:val="FootnoteText"/>
        <w:rPr>
          <w:lang w:val="en-US"/>
        </w:rPr>
      </w:pPr>
      <w:r w:rsidRPr="00371FA7">
        <w:tab/>
      </w:r>
      <w:r w:rsidRPr="00D85070">
        <w:rPr>
          <w:vertAlign w:val="superscript"/>
          <w:lang w:val="ru-RU"/>
        </w:rPr>
        <w:footnoteRef/>
      </w:r>
      <w:r w:rsidRPr="00091D22">
        <w:rPr>
          <w:lang w:val="en-US"/>
        </w:rPr>
        <w:tab/>
      </w:r>
      <w:r w:rsidRPr="00D85070">
        <w:t>See</w:t>
      </w:r>
      <w:r w:rsidRPr="00091D22">
        <w:rPr>
          <w:lang w:val="en-US"/>
        </w:rPr>
        <w:t xml:space="preserve"> </w:t>
      </w:r>
      <w:hyperlink r:id="rId3" w:history="1">
        <w:r w:rsidRPr="00D85070">
          <w:rPr>
            <w:rStyle w:val="Hyperlink"/>
            <w:color w:val="auto"/>
          </w:rPr>
          <w:t>www</w:t>
        </w:r>
        <w:r w:rsidRPr="00091D22">
          <w:rPr>
            <w:rStyle w:val="Hyperlink"/>
            <w:color w:val="auto"/>
            <w:lang w:val="en-US"/>
          </w:rPr>
          <w:t>.</w:t>
        </w:r>
        <w:r w:rsidRPr="00D85070">
          <w:rPr>
            <w:rStyle w:val="Hyperlink"/>
            <w:color w:val="auto"/>
          </w:rPr>
          <w:t>ohchr</w:t>
        </w:r>
        <w:r w:rsidRPr="00091D22">
          <w:rPr>
            <w:rStyle w:val="Hyperlink"/>
            <w:color w:val="auto"/>
            <w:lang w:val="en-US"/>
          </w:rPr>
          <w:t>.</w:t>
        </w:r>
        <w:r w:rsidRPr="00D85070">
          <w:rPr>
            <w:rStyle w:val="Hyperlink"/>
            <w:color w:val="auto"/>
          </w:rPr>
          <w:t>org</w:t>
        </w:r>
        <w:r w:rsidRPr="00091D22">
          <w:rPr>
            <w:rStyle w:val="Hyperlink"/>
            <w:color w:val="auto"/>
            <w:lang w:val="en-US"/>
          </w:rPr>
          <w:t>/</w:t>
        </w:r>
        <w:r w:rsidRPr="00D85070">
          <w:rPr>
            <w:rStyle w:val="Hyperlink"/>
            <w:color w:val="auto"/>
          </w:rPr>
          <w:t>EN</w:t>
        </w:r>
        <w:r w:rsidRPr="00091D22">
          <w:rPr>
            <w:rStyle w:val="Hyperlink"/>
            <w:color w:val="auto"/>
            <w:lang w:val="en-US"/>
          </w:rPr>
          <w:t>/</w:t>
        </w:r>
        <w:r w:rsidRPr="00D85070">
          <w:rPr>
            <w:rStyle w:val="Hyperlink"/>
            <w:color w:val="auto"/>
          </w:rPr>
          <w:t>HRBodies</w:t>
        </w:r>
        <w:r w:rsidRPr="00091D22">
          <w:rPr>
            <w:rStyle w:val="Hyperlink"/>
            <w:color w:val="auto"/>
            <w:lang w:val="en-US"/>
          </w:rPr>
          <w:t>/</w:t>
        </w:r>
        <w:r w:rsidRPr="00D85070">
          <w:rPr>
            <w:rStyle w:val="Hyperlink"/>
            <w:color w:val="auto"/>
          </w:rPr>
          <w:t>OPCAT</w:t>
        </w:r>
        <w:r w:rsidRPr="00091D22">
          <w:rPr>
            <w:rStyle w:val="Hyperlink"/>
            <w:color w:val="auto"/>
            <w:lang w:val="en-US"/>
          </w:rPr>
          <w:t>/</w:t>
        </w:r>
        <w:r w:rsidRPr="00D85070">
          <w:rPr>
            <w:rStyle w:val="Hyperlink"/>
            <w:color w:val="auto"/>
          </w:rPr>
          <w:t>Pages</w:t>
        </w:r>
        <w:r w:rsidRPr="00091D22">
          <w:rPr>
            <w:rStyle w:val="Hyperlink"/>
            <w:color w:val="auto"/>
            <w:lang w:val="en-US"/>
          </w:rPr>
          <w:t>/</w:t>
        </w:r>
        <w:r w:rsidRPr="00D85070">
          <w:rPr>
            <w:rStyle w:val="Hyperlink"/>
            <w:color w:val="auto"/>
          </w:rPr>
          <w:t>Article</w:t>
        </w:r>
        <w:r w:rsidRPr="00091D22">
          <w:rPr>
            <w:rStyle w:val="Hyperlink"/>
            <w:color w:val="auto"/>
            <w:lang w:val="en-US"/>
          </w:rPr>
          <w:t>17.</w:t>
        </w:r>
        <w:r w:rsidRPr="00D85070">
          <w:rPr>
            <w:rStyle w:val="Hyperlink"/>
            <w:color w:val="auto"/>
          </w:rPr>
          <w:t>aspx</w:t>
        </w:r>
      </w:hyperlink>
      <w:r w:rsidRPr="00091D22">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B8B" w:rsidRPr="005F390B" w:rsidRDefault="000D1C6B">
    <w:pPr>
      <w:pStyle w:val="Header"/>
    </w:pPr>
    <w:r>
      <w:fldChar w:fldCharType="begin"/>
    </w:r>
    <w:r>
      <w:instrText xml:space="preserve"> TITLE  \* MERGEFORMAT </w:instrText>
    </w:r>
    <w:r>
      <w:fldChar w:fldCharType="separate"/>
    </w:r>
    <w:r w:rsidR="00814B89">
      <w:t>CAT/C/60/3</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B8B" w:rsidRPr="005F390B" w:rsidRDefault="000D1C6B" w:rsidP="005F390B">
    <w:pPr>
      <w:pStyle w:val="Header"/>
      <w:jc w:val="right"/>
    </w:pPr>
    <w:r>
      <w:fldChar w:fldCharType="begin"/>
    </w:r>
    <w:r>
      <w:instrText xml:space="preserve"> TITLE  \* MERGEFORMAT </w:instrText>
    </w:r>
    <w:r>
      <w:fldChar w:fldCharType="separate"/>
    </w:r>
    <w:r w:rsidR="00814B89">
      <w:t>CAT/C/60/3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lvlText w:val="%1."/>
      <w:lvlJc w:val="left"/>
      <w:pPr>
        <w:tabs>
          <w:tab w:val="num" w:pos="1492"/>
        </w:tabs>
        <w:ind w:left="1492" w:hanging="360"/>
      </w:pPr>
    </w:lvl>
  </w:abstractNum>
  <w:abstractNum w:abstractNumId="1">
    <w:nsid w:val="FFFFFF7D"/>
    <w:multiLevelType w:val="singleLevel"/>
    <w:tmpl w:val="8B84A9FE"/>
    <w:lvl w:ilvl="0">
      <w:start w:val="1"/>
      <w:numFmt w:val="decimal"/>
      <w:lvlText w:val="%1."/>
      <w:lvlJc w:val="left"/>
      <w:pPr>
        <w:tabs>
          <w:tab w:val="num" w:pos="1209"/>
        </w:tabs>
        <w:ind w:left="1209" w:hanging="360"/>
      </w:pPr>
    </w:lvl>
  </w:abstractNum>
  <w:abstractNum w:abstractNumId="2">
    <w:nsid w:val="FFFFFF7E"/>
    <w:multiLevelType w:val="singleLevel"/>
    <w:tmpl w:val="F766AF7A"/>
    <w:lvl w:ilvl="0">
      <w:start w:val="1"/>
      <w:numFmt w:val="decimal"/>
      <w:lvlText w:val="%1."/>
      <w:lvlJc w:val="left"/>
      <w:pPr>
        <w:tabs>
          <w:tab w:val="num" w:pos="926"/>
        </w:tabs>
        <w:ind w:left="926" w:hanging="360"/>
      </w:pPr>
    </w:lvl>
  </w:abstractNum>
  <w:abstractNum w:abstractNumId="3">
    <w:nsid w:val="FFFFFF7F"/>
    <w:multiLevelType w:val="singleLevel"/>
    <w:tmpl w:val="E9364602"/>
    <w:lvl w:ilvl="0">
      <w:start w:val="1"/>
      <w:numFmt w:val="decimal"/>
      <w:lvlText w:val="%1."/>
      <w:lvlJc w:val="left"/>
      <w:pPr>
        <w:tabs>
          <w:tab w:val="num" w:pos="643"/>
        </w:tabs>
        <w:ind w:left="643" w:hanging="360"/>
      </w:pPr>
    </w:lvl>
  </w:abstractNum>
  <w:abstractNum w:abstractNumId="4">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lvlText w:val="%1."/>
      <w:lvlJc w:val="left"/>
      <w:pPr>
        <w:tabs>
          <w:tab w:val="num" w:pos="360"/>
        </w:tabs>
        <w:ind w:left="360" w:hanging="360"/>
      </w:pPr>
    </w:lvl>
  </w:abstractNum>
  <w:abstractNum w:abstractNumId="9">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1"/>
  </w:num>
  <w:num w:numId="3">
    <w:abstractNumId w:val="15"/>
  </w:num>
  <w:num w:numId="4">
    <w:abstractNumId w:val="10"/>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2"/>
  </w:num>
  <w:num w:numId="1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17C3"/>
    <w:rsid w:val="00033EE1"/>
    <w:rsid w:val="000407F9"/>
    <w:rsid w:val="00041407"/>
    <w:rsid w:val="00042B72"/>
    <w:rsid w:val="00045D53"/>
    <w:rsid w:val="000558BD"/>
    <w:rsid w:val="000770D8"/>
    <w:rsid w:val="000814CD"/>
    <w:rsid w:val="00091D22"/>
    <w:rsid w:val="0009695E"/>
    <w:rsid w:val="000B2F87"/>
    <w:rsid w:val="000B57E7"/>
    <w:rsid w:val="000B6373"/>
    <w:rsid w:val="000D1C6B"/>
    <w:rsid w:val="000E1B8B"/>
    <w:rsid w:val="000F09DF"/>
    <w:rsid w:val="000F61B2"/>
    <w:rsid w:val="001075E9"/>
    <w:rsid w:val="001572E8"/>
    <w:rsid w:val="00180183"/>
    <w:rsid w:val="0018024D"/>
    <w:rsid w:val="0018649F"/>
    <w:rsid w:val="00196389"/>
    <w:rsid w:val="001B3EF6"/>
    <w:rsid w:val="001C7A89"/>
    <w:rsid w:val="001D6F75"/>
    <w:rsid w:val="00230574"/>
    <w:rsid w:val="00257A27"/>
    <w:rsid w:val="002A0CEB"/>
    <w:rsid w:val="002A2EFC"/>
    <w:rsid w:val="002C0E18"/>
    <w:rsid w:val="002C0E3C"/>
    <w:rsid w:val="002D525E"/>
    <w:rsid w:val="002D5AAC"/>
    <w:rsid w:val="002E5067"/>
    <w:rsid w:val="002F405F"/>
    <w:rsid w:val="002F7EEC"/>
    <w:rsid w:val="00301299"/>
    <w:rsid w:val="00307FB6"/>
    <w:rsid w:val="00315ED6"/>
    <w:rsid w:val="00317339"/>
    <w:rsid w:val="00322004"/>
    <w:rsid w:val="003269FF"/>
    <w:rsid w:val="003402C2"/>
    <w:rsid w:val="00371FA7"/>
    <w:rsid w:val="00374EC6"/>
    <w:rsid w:val="00381C24"/>
    <w:rsid w:val="00393C46"/>
    <w:rsid w:val="003958D0"/>
    <w:rsid w:val="003B00E5"/>
    <w:rsid w:val="00407B78"/>
    <w:rsid w:val="00424203"/>
    <w:rsid w:val="0044430C"/>
    <w:rsid w:val="00452493"/>
    <w:rsid w:val="00454E07"/>
    <w:rsid w:val="00472C5C"/>
    <w:rsid w:val="00490233"/>
    <w:rsid w:val="004D5EA2"/>
    <w:rsid w:val="004E3182"/>
    <w:rsid w:val="0050108D"/>
    <w:rsid w:val="00513081"/>
    <w:rsid w:val="00517901"/>
    <w:rsid w:val="00526683"/>
    <w:rsid w:val="00550706"/>
    <w:rsid w:val="005709E0"/>
    <w:rsid w:val="00572E19"/>
    <w:rsid w:val="0058663C"/>
    <w:rsid w:val="005961C8"/>
    <w:rsid w:val="005B309B"/>
    <w:rsid w:val="005D3FFF"/>
    <w:rsid w:val="005D7914"/>
    <w:rsid w:val="005E2B41"/>
    <w:rsid w:val="005F0B42"/>
    <w:rsid w:val="005F390B"/>
    <w:rsid w:val="00610D81"/>
    <w:rsid w:val="00637DF0"/>
    <w:rsid w:val="00681A10"/>
    <w:rsid w:val="006A1ED8"/>
    <w:rsid w:val="006C2031"/>
    <w:rsid w:val="006D31C5"/>
    <w:rsid w:val="006D3FDB"/>
    <w:rsid w:val="006D461A"/>
    <w:rsid w:val="006F35EE"/>
    <w:rsid w:val="006F5BAD"/>
    <w:rsid w:val="007021FF"/>
    <w:rsid w:val="00703D99"/>
    <w:rsid w:val="00712895"/>
    <w:rsid w:val="00757357"/>
    <w:rsid w:val="007717C3"/>
    <w:rsid w:val="007E1CDD"/>
    <w:rsid w:val="00814B89"/>
    <w:rsid w:val="00825F8D"/>
    <w:rsid w:val="00834B71"/>
    <w:rsid w:val="0086445C"/>
    <w:rsid w:val="00891F1E"/>
    <w:rsid w:val="00894693"/>
    <w:rsid w:val="008A08D7"/>
    <w:rsid w:val="008B6909"/>
    <w:rsid w:val="00906890"/>
    <w:rsid w:val="00911BE4"/>
    <w:rsid w:val="009215FE"/>
    <w:rsid w:val="00930996"/>
    <w:rsid w:val="00951972"/>
    <w:rsid w:val="00953B7A"/>
    <w:rsid w:val="009569AF"/>
    <w:rsid w:val="009601B1"/>
    <w:rsid w:val="009608F3"/>
    <w:rsid w:val="009A24AC"/>
    <w:rsid w:val="009D2CDC"/>
    <w:rsid w:val="00A312BC"/>
    <w:rsid w:val="00A66C5E"/>
    <w:rsid w:val="00A84021"/>
    <w:rsid w:val="00A84D35"/>
    <w:rsid w:val="00A917B3"/>
    <w:rsid w:val="00AB4B51"/>
    <w:rsid w:val="00AE3971"/>
    <w:rsid w:val="00B10CC7"/>
    <w:rsid w:val="00B539E7"/>
    <w:rsid w:val="00B62458"/>
    <w:rsid w:val="00BC18B2"/>
    <w:rsid w:val="00BD2D59"/>
    <w:rsid w:val="00BD33EE"/>
    <w:rsid w:val="00C106D6"/>
    <w:rsid w:val="00C23549"/>
    <w:rsid w:val="00C54F9A"/>
    <w:rsid w:val="00C60F0C"/>
    <w:rsid w:val="00C805C9"/>
    <w:rsid w:val="00C92939"/>
    <w:rsid w:val="00C92F62"/>
    <w:rsid w:val="00CA1679"/>
    <w:rsid w:val="00CB151C"/>
    <w:rsid w:val="00CE5A1A"/>
    <w:rsid w:val="00CF0295"/>
    <w:rsid w:val="00CF55F6"/>
    <w:rsid w:val="00D33D63"/>
    <w:rsid w:val="00D76057"/>
    <w:rsid w:val="00D85070"/>
    <w:rsid w:val="00D90028"/>
    <w:rsid w:val="00D90138"/>
    <w:rsid w:val="00D97403"/>
    <w:rsid w:val="00DF71B9"/>
    <w:rsid w:val="00E00564"/>
    <w:rsid w:val="00E169F1"/>
    <w:rsid w:val="00E21169"/>
    <w:rsid w:val="00E528D1"/>
    <w:rsid w:val="00E73F76"/>
    <w:rsid w:val="00EA27A8"/>
    <w:rsid w:val="00EA2C9F"/>
    <w:rsid w:val="00EC0246"/>
    <w:rsid w:val="00EC3922"/>
    <w:rsid w:val="00EC5926"/>
    <w:rsid w:val="00ED0BDA"/>
    <w:rsid w:val="00ED1E6C"/>
    <w:rsid w:val="00EE34F2"/>
    <w:rsid w:val="00EF1360"/>
    <w:rsid w:val="00EF3220"/>
    <w:rsid w:val="00F21B00"/>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footnote text" w:qFormat="1"/>
    <w:lsdException w:name="header"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lsdException w:name="Default Paragraph Font" w:uiPriority="1"/>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No List"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814CD"/>
    <w:pPr>
      <w:spacing w:line="240" w:lineRule="atLeast"/>
    </w:pPr>
    <w:rPr>
      <w:rFonts w:eastAsiaTheme="minorHAnsi" w:cstheme="minorBidi"/>
      <w:spacing w:val="4"/>
      <w:w w:val="103"/>
      <w:kern w:val="14"/>
      <w:szCs w:val="22"/>
      <w:lang w:val="ru-RU" w:eastAsia="en-US"/>
    </w:rPr>
  </w:style>
  <w:style w:type="paragraph" w:styleId="Heading1">
    <w:name w:val="heading 1"/>
    <w:aliases w:val="Table_GR"/>
    <w:basedOn w:val="Normal"/>
    <w:next w:val="Normal"/>
    <w:link w:val="Heading1Char"/>
    <w:qFormat/>
    <w:rsid w:val="000814CD"/>
    <w:pPr>
      <w:keepNext/>
      <w:tabs>
        <w:tab w:val="left" w:pos="567"/>
      </w:tabs>
      <w:jc w:val="both"/>
      <w:outlineLvl w:val="0"/>
    </w:pPr>
    <w:rPr>
      <w:rFonts w:eastAsia="Times New Roman" w:cs="Arial"/>
      <w:b/>
      <w:bCs/>
      <w:szCs w:val="32"/>
      <w:lang w:eastAsia="ru-RU"/>
    </w:rPr>
  </w:style>
  <w:style w:type="paragraph" w:styleId="Heading2">
    <w:name w:val="heading 2"/>
    <w:basedOn w:val="Normal"/>
    <w:next w:val="Normal"/>
    <w:semiHidden/>
    <w:rsid w:val="000814CD"/>
    <w:pPr>
      <w:keepNext/>
      <w:outlineLvl w:val="1"/>
    </w:pPr>
    <w:rPr>
      <w:rFonts w:cs="Arial"/>
      <w:bCs/>
      <w:iCs/>
      <w:szCs w:val="28"/>
    </w:rPr>
  </w:style>
  <w:style w:type="paragraph" w:styleId="Heading3">
    <w:name w:val="heading 3"/>
    <w:basedOn w:val="Normal"/>
    <w:next w:val="Normal"/>
    <w:semiHidden/>
    <w:rsid w:val="000814CD"/>
    <w:pPr>
      <w:keepNext/>
      <w:spacing w:before="240" w:after="60"/>
      <w:outlineLvl w:val="2"/>
    </w:pPr>
    <w:rPr>
      <w:rFonts w:ascii="Arial" w:hAnsi="Arial" w:cs="Arial"/>
      <w:b/>
      <w:bCs/>
      <w:sz w:val="26"/>
      <w:szCs w:val="26"/>
    </w:rPr>
  </w:style>
  <w:style w:type="paragraph" w:styleId="Heading4">
    <w:name w:val="heading 4"/>
    <w:basedOn w:val="Normal"/>
    <w:next w:val="Normal"/>
    <w:semiHidden/>
    <w:rsid w:val="000814CD"/>
    <w:pPr>
      <w:keepNext/>
      <w:spacing w:before="240" w:after="60"/>
      <w:outlineLvl w:val="3"/>
    </w:pPr>
    <w:rPr>
      <w:b/>
      <w:bCs/>
      <w:sz w:val="28"/>
      <w:szCs w:val="28"/>
    </w:rPr>
  </w:style>
  <w:style w:type="paragraph" w:styleId="Heading5">
    <w:name w:val="heading 5"/>
    <w:basedOn w:val="Normal"/>
    <w:next w:val="Normal"/>
    <w:semiHidden/>
    <w:rsid w:val="000814CD"/>
    <w:pPr>
      <w:spacing w:before="240" w:after="60"/>
      <w:outlineLvl w:val="4"/>
    </w:pPr>
    <w:rPr>
      <w:b/>
      <w:bCs/>
      <w:i/>
      <w:iCs/>
      <w:sz w:val="26"/>
      <w:szCs w:val="26"/>
    </w:rPr>
  </w:style>
  <w:style w:type="paragraph" w:styleId="Heading6">
    <w:name w:val="heading 6"/>
    <w:basedOn w:val="Normal"/>
    <w:next w:val="Normal"/>
    <w:semiHidden/>
    <w:rsid w:val="000814CD"/>
    <w:pPr>
      <w:spacing w:before="240" w:after="60"/>
      <w:outlineLvl w:val="5"/>
    </w:pPr>
    <w:rPr>
      <w:b/>
      <w:bCs/>
      <w:sz w:val="22"/>
    </w:rPr>
  </w:style>
  <w:style w:type="paragraph" w:styleId="Heading7">
    <w:name w:val="heading 7"/>
    <w:basedOn w:val="Normal"/>
    <w:next w:val="Normal"/>
    <w:semiHidden/>
    <w:rsid w:val="000814CD"/>
    <w:pPr>
      <w:spacing w:before="240" w:after="60"/>
      <w:outlineLvl w:val="6"/>
    </w:pPr>
    <w:rPr>
      <w:sz w:val="24"/>
      <w:szCs w:val="24"/>
    </w:rPr>
  </w:style>
  <w:style w:type="paragraph" w:styleId="Heading8">
    <w:name w:val="heading 8"/>
    <w:basedOn w:val="Normal"/>
    <w:next w:val="Normal"/>
    <w:semiHidden/>
    <w:rsid w:val="000814CD"/>
    <w:pPr>
      <w:spacing w:before="240" w:after="60"/>
      <w:outlineLvl w:val="7"/>
    </w:pPr>
    <w:rPr>
      <w:i/>
      <w:iCs/>
      <w:sz w:val="24"/>
      <w:szCs w:val="24"/>
    </w:rPr>
  </w:style>
  <w:style w:type="paragraph" w:styleId="Heading9">
    <w:name w:val="heading 9"/>
    <w:basedOn w:val="Normal"/>
    <w:next w:val="Normal"/>
    <w:semiHidden/>
    <w:rsid w:val="000814CD"/>
    <w:pPr>
      <w:spacing w:before="240" w:after="60"/>
      <w:outlineLvl w:val="8"/>
    </w:pPr>
    <w:rPr>
      <w:rFonts w:ascii="Arial" w:hAnsi="Arial" w:cs="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814CD"/>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0814CD"/>
    <w:rPr>
      <w:rFonts w:ascii="Tahoma" w:eastAsiaTheme="minorHAnsi" w:hAnsi="Tahoma" w:cs="Tahoma"/>
      <w:spacing w:val="4"/>
      <w:w w:val="103"/>
      <w:kern w:val="14"/>
      <w:sz w:val="16"/>
      <w:szCs w:val="16"/>
      <w:lang w:val="ru-RU" w:eastAsia="en-US"/>
    </w:rPr>
  </w:style>
  <w:style w:type="paragraph" w:customStyle="1" w:styleId="HMGR">
    <w:name w:val="_ H __M_GR"/>
    <w:basedOn w:val="Normal"/>
    <w:next w:val="Normal"/>
    <w:qFormat/>
    <w:rsid w:val="000814CD"/>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Normal"/>
    <w:next w:val="Normal"/>
    <w:qFormat/>
    <w:rsid w:val="000814CD"/>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Normal"/>
    <w:next w:val="Normal"/>
    <w:qFormat/>
    <w:rsid w:val="000814CD"/>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Normal"/>
    <w:next w:val="Normal"/>
    <w:qFormat/>
    <w:rsid w:val="000814CD"/>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Normal"/>
    <w:next w:val="Normal"/>
    <w:qFormat/>
    <w:rsid w:val="000814CD"/>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Normal"/>
    <w:next w:val="Normal"/>
    <w:qFormat/>
    <w:rsid w:val="000814CD"/>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Normal"/>
    <w:qFormat/>
    <w:rsid w:val="000814CD"/>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Normal"/>
    <w:next w:val="Normal"/>
    <w:qFormat/>
    <w:rsid w:val="000814CD"/>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Normal"/>
    <w:next w:val="Normal"/>
    <w:qFormat/>
    <w:rsid w:val="000814CD"/>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Normal"/>
    <w:next w:val="Normal"/>
    <w:qFormat/>
    <w:rsid w:val="000814CD"/>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Normal"/>
    <w:next w:val="Normal"/>
    <w:qFormat/>
    <w:rsid w:val="000814CD"/>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Normal"/>
    <w:qFormat/>
    <w:rsid w:val="000814CD"/>
    <w:pPr>
      <w:numPr>
        <w:numId w:val="16"/>
      </w:numPr>
      <w:spacing w:after="120"/>
      <w:ind w:right="1134"/>
      <w:jc w:val="both"/>
    </w:pPr>
    <w:rPr>
      <w:rFonts w:eastAsia="Times New Roman" w:cs="Times New Roman"/>
      <w:szCs w:val="20"/>
      <w:lang w:eastAsia="ru-RU"/>
    </w:rPr>
  </w:style>
  <w:style w:type="paragraph" w:customStyle="1" w:styleId="Bullet2GR">
    <w:name w:val="_Bullet 2_GR"/>
    <w:basedOn w:val="Normal"/>
    <w:qFormat/>
    <w:rsid w:val="000814CD"/>
    <w:pPr>
      <w:numPr>
        <w:numId w:val="17"/>
      </w:numPr>
      <w:spacing w:after="120"/>
      <w:ind w:right="1134"/>
      <w:jc w:val="both"/>
    </w:pPr>
    <w:rPr>
      <w:rFonts w:eastAsia="Times New Roman" w:cs="Times New Roman"/>
      <w:szCs w:val="20"/>
      <w:lang w:eastAsia="ru-RU"/>
    </w:rPr>
  </w:style>
  <w:style w:type="paragraph" w:customStyle="1" w:styleId="ParaNoGR">
    <w:name w:val="_ParaNo._GR"/>
    <w:basedOn w:val="Normal"/>
    <w:next w:val="Normal"/>
    <w:qFormat/>
    <w:rsid w:val="000814CD"/>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TableNormal"/>
    <w:rsid w:val="000814CD"/>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14CD"/>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Header">
    <w:name w:val="header"/>
    <w:aliases w:val="6_GR"/>
    <w:basedOn w:val="Normal"/>
    <w:next w:val="Normal"/>
    <w:link w:val="HeaderChar"/>
    <w:qFormat/>
    <w:rsid w:val="000814CD"/>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HeaderChar">
    <w:name w:val="Header Char"/>
    <w:aliases w:val="6_GR Char"/>
    <w:basedOn w:val="DefaultParagraphFont"/>
    <w:link w:val="Header"/>
    <w:rsid w:val="000814CD"/>
    <w:rPr>
      <w:b/>
      <w:spacing w:val="4"/>
      <w:w w:val="103"/>
      <w:kern w:val="14"/>
      <w:sz w:val="18"/>
      <w:lang w:val="en-GB" w:eastAsia="ru-RU"/>
    </w:rPr>
  </w:style>
  <w:style w:type="character" w:styleId="PageNumber">
    <w:name w:val="page number"/>
    <w:aliases w:val="7_GR"/>
    <w:basedOn w:val="DefaultParagraphFont"/>
    <w:qFormat/>
    <w:rsid w:val="000814CD"/>
    <w:rPr>
      <w:rFonts w:ascii="Times New Roman" w:hAnsi="Times New Roman"/>
      <w:b/>
      <w:sz w:val="18"/>
    </w:rPr>
  </w:style>
  <w:style w:type="paragraph" w:styleId="Footer">
    <w:name w:val="footer"/>
    <w:aliases w:val="3_GR"/>
    <w:basedOn w:val="Normal"/>
    <w:link w:val="FooterChar"/>
    <w:qFormat/>
    <w:rsid w:val="000814CD"/>
    <w:pPr>
      <w:tabs>
        <w:tab w:val="right" w:pos="9639"/>
      </w:tabs>
      <w:suppressAutoHyphens/>
    </w:pPr>
    <w:rPr>
      <w:rFonts w:eastAsia="Times New Roman" w:cs="Times New Roman"/>
      <w:sz w:val="16"/>
      <w:szCs w:val="20"/>
      <w:lang w:val="en-GB" w:eastAsia="ru-RU"/>
    </w:rPr>
  </w:style>
  <w:style w:type="character" w:customStyle="1" w:styleId="FooterChar">
    <w:name w:val="Footer Char"/>
    <w:aliases w:val="3_GR Char"/>
    <w:basedOn w:val="DefaultParagraphFont"/>
    <w:link w:val="Footer"/>
    <w:rsid w:val="000814CD"/>
    <w:rPr>
      <w:spacing w:val="4"/>
      <w:w w:val="103"/>
      <w:kern w:val="14"/>
      <w:sz w:val="16"/>
      <w:lang w:val="en-GB" w:eastAsia="ru-RU"/>
    </w:rPr>
  </w:style>
  <w:style w:type="character" w:styleId="FootnoteReference">
    <w:name w:val="footnote reference"/>
    <w:aliases w:val="4_GR"/>
    <w:basedOn w:val="DefaultParagraphFont"/>
    <w:qFormat/>
    <w:rsid w:val="000814CD"/>
    <w:rPr>
      <w:rFonts w:ascii="Times New Roman" w:hAnsi="Times New Roman"/>
      <w:dstrike w:val="0"/>
      <w:sz w:val="18"/>
      <w:vertAlign w:val="superscript"/>
    </w:rPr>
  </w:style>
  <w:style w:type="character" w:styleId="EndnoteReference">
    <w:name w:val="endnote reference"/>
    <w:aliases w:val="1_GR"/>
    <w:basedOn w:val="FootnoteReference"/>
    <w:qFormat/>
    <w:rsid w:val="000814CD"/>
    <w:rPr>
      <w:rFonts w:ascii="Times New Roman" w:hAnsi="Times New Roman"/>
      <w:dstrike w:val="0"/>
      <w:sz w:val="18"/>
      <w:vertAlign w:val="superscript"/>
    </w:rPr>
  </w:style>
  <w:style w:type="table" w:styleId="TableGrid">
    <w:name w:val="Table Grid"/>
    <w:basedOn w:val="TableNormal"/>
    <w:rsid w:val="00A66C5E"/>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5_GR"/>
    <w:basedOn w:val="Normal"/>
    <w:link w:val="FootnoteTextChar"/>
    <w:qFormat/>
    <w:rsid w:val="000814CD"/>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FootnoteTextChar">
    <w:name w:val="Footnote Text Char"/>
    <w:aliases w:val="5_GR Char"/>
    <w:basedOn w:val="DefaultParagraphFont"/>
    <w:link w:val="FootnoteText"/>
    <w:rsid w:val="000814CD"/>
    <w:rPr>
      <w:spacing w:val="5"/>
      <w:w w:val="104"/>
      <w:kern w:val="14"/>
      <w:sz w:val="18"/>
      <w:lang w:val="en-GB" w:eastAsia="ru-RU"/>
    </w:rPr>
  </w:style>
  <w:style w:type="paragraph" w:styleId="EndnoteText">
    <w:name w:val="endnote text"/>
    <w:aliases w:val="2_GR"/>
    <w:basedOn w:val="FootnoteText"/>
    <w:link w:val="EndnoteTextChar"/>
    <w:qFormat/>
    <w:rsid w:val="000814CD"/>
  </w:style>
  <w:style w:type="character" w:customStyle="1" w:styleId="EndnoteTextChar">
    <w:name w:val="Endnote Text Char"/>
    <w:aliases w:val="2_GR Char"/>
    <w:basedOn w:val="DefaultParagraphFont"/>
    <w:link w:val="EndnoteText"/>
    <w:rsid w:val="000814CD"/>
    <w:rPr>
      <w:spacing w:val="5"/>
      <w:w w:val="104"/>
      <w:kern w:val="14"/>
      <w:sz w:val="18"/>
      <w:lang w:val="en-GB" w:eastAsia="ru-RU"/>
    </w:rPr>
  </w:style>
  <w:style w:type="character" w:customStyle="1" w:styleId="Heading1Char">
    <w:name w:val="Heading 1 Char"/>
    <w:aliases w:val="Table_GR Char"/>
    <w:basedOn w:val="DefaultParagraphFont"/>
    <w:link w:val="Heading1"/>
    <w:rsid w:val="000814CD"/>
    <w:rPr>
      <w:rFonts w:cs="Arial"/>
      <w:b/>
      <w:bCs/>
      <w:spacing w:val="4"/>
      <w:w w:val="103"/>
      <w:kern w:val="14"/>
      <w:szCs w:val="32"/>
      <w:lang w:val="ru-RU" w:eastAsia="ru-RU"/>
    </w:rPr>
  </w:style>
  <w:style w:type="character" w:styleId="Hyperlink">
    <w:name w:val="Hyperlink"/>
    <w:basedOn w:val="DefaultParagraphFont"/>
    <w:unhideWhenUsed/>
    <w:rsid w:val="000814CD"/>
    <w:rPr>
      <w:color w:val="0000FF" w:themeColor="hyperlink"/>
      <w:u w:val="none"/>
    </w:rPr>
  </w:style>
  <w:style w:type="character" w:styleId="FollowedHyperlink">
    <w:name w:val="FollowedHyperlink"/>
    <w:basedOn w:val="DefaultParagraphFont"/>
    <w:semiHidden/>
    <w:unhideWhenUsed/>
    <w:rsid w:val="000814CD"/>
    <w:rPr>
      <w:color w:val="800080" w:themeColor="followedHyperlink"/>
      <w:u w:val="none"/>
    </w:rPr>
  </w:style>
  <w:style w:type="paragraph" w:customStyle="1" w:styleId="Body">
    <w:name w:val="Body"/>
    <w:rsid w:val="005F390B"/>
    <w:pPr>
      <w:pBdr>
        <w:top w:val="nil"/>
        <w:left w:val="nil"/>
        <w:bottom w:val="nil"/>
        <w:right w:val="nil"/>
        <w:between w:val="nil"/>
        <w:bar w:val="nil"/>
      </w:pBdr>
      <w:suppressAutoHyphens/>
      <w:spacing w:line="240" w:lineRule="atLeast"/>
    </w:pPr>
    <w:rPr>
      <w:color w:val="000000"/>
      <w:u w:color="000000"/>
      <w:bdr w:val="nil"/>
      <w:lang w:val="ru-RU" w:eastAsia="ru-RU"/>
    </w:rPr>
  </w:style>
  <w:style w:type="paragraph" w:styleId="Revision">
    <w:name w:val="Revision"/>
    <w:hidden/>
    <w:uiPriority w:val="99"/>
    <w:semiHidden/>
    <w:rsid w:val="009D2CDC"/>
    <w:rPr>
      <w:rFonts w:eastAsiaTheme="minorHAnsi" w:cstheme="minorBidi"/>
      <w:spacing w:val="4"/>
      <w:w w:val="103"/>
      <w:kern w:val="14"/>
      <w:szCs w:val="22"/>
      <w:lang w:val="ru-RU" w:eastAsia="en-US"/>
    </w:rPr>
  </w:style>
  <w:style w:type="paragraph" w:styleId="CommentText">
    <w:name w:val="annotation text"/>
    <w:basedOn w:val="Normal"/>
    <w:link w:val="CommentTextChar"/>
    <w:semiHidden/>
    <w:unhideWhenUsed/>
    <w:pPr>
      <w:spacing w:line="240" w:lineRule="auto"/>
    </w:pPr>
    <w:rPr>
      <w:szCs w:val="20"/>
    </w:rPr>
  </w:style>
  <w:style w:type="character" w:customStyle="1" w:styleId="CommentTextChar">
    <w:name w:val="Comment Text Char"/>
    <w:basedOn w:val="DefaultParagraphFont"/>
    <w:link w:val="CommentText"/>
    <w:semiHidden/>
    <w:rPr>
      <w:rFonts w:eastAsiaTheme="minorHAnsi" w:cstheme="minorBidi"/>
      <w:spacing w:val="4"/>
      <w:w w:val="103"/>
      <w:kern w:val="14"/>
      <w:lang w:val="ru-RU" w:eastAsia="en-US"/>
    </w:rPr>
  </w:style>
  <w:style w:type="character" w:styleId="CommentReference">
    <w:name w:val="annotation reference"/>
    <w:basedOn w:val="DefaultParagraphFont"/>
    <w:semiHidden/>
    <w:unhideWhenUse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footnote text" w:qFormat="1"/>
    <w:lsdException w:name="header"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lsdException w:name="Default Paragraph Font" w:uiPriority="1"/>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No List"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814CD"/>
    <w:pPr>
      <w:spacing w:line="240" w:lineRule="atLeast"/>
    </w:pPr>
    <w:rPr>
      <w:rFonts w:eastAsiaTheme="minorHAnsi" w:cstheme="minorBidi"/>
      <w:spacing w:val="4"/>
      <w:w w:val="103"/>
      <w:kern w:val="14"/>
      <w:szCs w:val="22"/>
      <w:lang w:val="ru-RU" w:eastAsia="en-US"/>
    </w:rPr>
  </w:style>
  <w:style w:type="paragraph" w:styleId="Heading1">
    <w:name w:val="heading 1"/>
    <w:aliases w:val="Table_GR"/>
    <w:basedOn w:val="Normal"/>
    <w:next w:val="Normal"/>
    <w:link w:val="Heading1Char"/>
    <w:qFormat/>
    <w:rsid w:val="000814CD"/>
    <w:pPr>
      <w:keepNext/>
      <w:tabs>
        <w:tab w:val="left" w:pos="567"/>
      </w:tabs>
      <w:jc w:val="both"/>
      <w:outlineLvl w:val="0"/>
    </w:pPr>
    <w:rPr>
      <w:rFonts w:eastAsia="Times New Roman" w:cs="Arial"/>
      <w:b/>
      <w:bCs/>
      <w:szCs w:val="32"/>
      <w:lang w:eastAsia="ru-RU"/>
    </w:rPr>
  </w:style>
  <w:style w:type="paragraph" w:styleId="Heading2">
    <w:name w:val="heading 2"/>
    <w:basedOn w:val="Normal"/>
    <w:next w:val="Normal"/>
    <w:semiHidden/>
    <w:rsid w:val="000814CD"/>
    <w:pPr>
      <w:keepNext/>
      <w:outlineLvl w:val="1"/>
    </w:pPr>
    <w:rPr>
      <w:rFonts w:cs="Arial"/>
      <w:bCs/>
      <w:iCs/>
      <w:szCs w:val="28"/>
    </w:rPr>
  </w:style>
  <w:style w:type="paragraph" w:styleId="Heading3">
    <w:name w:val="heading 3"/>
    <w:basedOn w:val="Normal"/>
    <w:next w:val="Normal"/>
    <w:semiHidden/>
    <w:rsid w:val="000814CD"/>
    <w:pPr>
      <w:keepNext/>
      <w:spacing w:before="240" w:after="60"/>
      <w:outlineLvl w:val="2"/>
    </w:pPr>
    <w:rPr>
      <w:rFonts w:ascii="Arial" w:hAnsi="Arial" w:cs="Arial"/>
      <w:b/>
      <w:bCs/>
      <w:sz w:val="26"/>
      <w:szCs w:val="26"/>
    </w:rPr>
  </w:style>
  <w:style w:type="paragraph" w:styleId="Heading4">
    <w:name w:val="heading 4"/>
    <w:basedOn w:val="Normal"/>
    <w:next w:val="Normal"/>
    <w:semiHidden/>
    <w:rsid w:val="000814CD"/>
    <w:pPr>
      <w:keepNext/>
      <w:spacing w:before="240" w:after="60"/>
      <w:outlineLvl w:val="3"/>
    </w:pPr>
    <w:rPr>
      <w:b/>
      <w:bCs/>
      <w:sz w:val="28"/>
      <w:szCs w:val="28"/>
    </w:rPr>
  </w:style>
  <w:style w:type="paragraph" w:styleId="Heading5">
    <w:name w:val="heading 5"/>
    <w:basedOn w:val="Normal"/>
    <w:next w:val="Normal"/>
    <w:semiHidden/>
    <w:rsid w:val="000814CD"/>
    <w:pPr>
      <w:spacing w:before="240" w:after="60"/>
      <w:outlineLvl w:val="4"/>
    </w:pPr>
    <w:rPr>
      <w:b/>
      <w:bCs/>
      <w:i/>
      <w:iCs/>
      <w:sz w:val="26"/>
      <w:szCs w:val="26"/>
    </w:rPr>
  </w:style>
  <w:style w:type="paragraph" w:styleId="Heading6">
    <w:name w:val="heading 6"/>
    <w:basedOn w:val="Normal"/>
    <w:next w:val="Normal"/>
    <w:semiHidden/>
    <w:rsid w:val="000814CD"/>
    <w:pPr>
      <w:spacing w:before="240" w:after="60"/>
      <w:outlineLvl w:val="5"/>
    </w:pPr>
    <w:rPr>
      <w:b/>
      <w:bCs/>
      <w:sz w:val="22"/>
    </w:rPr>
  </w:style>
  <w:style w:type="paragraph" w:styleId="Heading7">
    <w:name w:val="heading 7"/>
    <w:basedOn w:val="Normal"/>
    <w:next w:val="Normal"/>
    <w:semiHidden/>
    <w:rsid w:val="000814CD"/>
    <w:pPr>
      <w:spacing w:before="240" w:after="60"/>
      <w:outlineLvl w:val="6"/>
    </w:pPr>
    <w:rPr>
      <w:sz w:val="24"/>
      <w:szCs w:val="24"/>
    </w:rPr>
  </w:style>
  <w:style w:type="paragraph" w:styleId="Heading8">
    <w:name w:val="heading 8"/>
    <w:basedOn w:val="Normal"/>
    <w:next w:val="Normal"/>
    <w:semiHidden/>
    <w:rsid w:val="000814CD"/>
    <w:pPr>
      <w:spacing w:before="240" w:after="60"/>
      <w:outlineLvl w:val="7"/>
    </w:pPr>
    <w:rPr>
      <w:i/>
      <w:iCs/>
      <w:sz w:val="24"/>
      <w:szCs w:val="24"/>
    </w:rPr>
  </w:style>
  <w:style w:type="paragraph" w:styleId="Heading9">
    <w:name w:val="heading 9"/>
    <w:basedOn w:val="Normal"/>
    <w:next w:val="Normal"/>
    <w:semiHidden/>
    <w:rsid w:val="000814CD"/>
    <w:pPr>
      <w:spacing w:before="240" w:after="60"/>
      <w:outlineLvl w:val="8"/>
    </w:pPr>
    <w:rPr>
      <w:rFonts w:ascii="Arial" w:hAnsi="Arial" w:cs="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814CD"/>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0814CD"/>
    <w:rPr>
      <w:rFonts w:ascii="Tahoma" w:eastAsiaTheme="minorHAnsi" w:hAnsi="Tahoma" w:cs="Tahoma"/>
      <w:spacing w:val="4"/>
      <w:w w:val="103"/>
      <w:kern w:val="14"/>
      <w:sz w:val="16"/>
      <w:szCs w:val="16"/>
      <w:lang w:val="ru-RU" w:eastAsia="en-US"/>
    </w:rPr>
  </w:style>
  <w:style w:type="paragraph" w:customStyle="1" w:styleId="HMGR">
    <w:name w:val="_ H __M_GR"/>
    <w:basedOn w:val="Normal"/>
    <w:next w:val="Normal"/>
    <w:qFormat/>
    <w:rsid w:val="000814CD"/>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Normal"/>
    <w:next w:val="Normal"/>
    <w:qFormat/>
    <w:rsid w:val="000814CD"/>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Normal"/>
    <w:next w:val="Normal"/>
    <w:qFormat/>
    <w:rsid w:val="000814CD"/>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Normal"/>
    <w:next w:val="Normal"/>
    <w:qFormat/>
    <w:rsid w:val="000814CD"/>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Normal"/>
    <w:next w:val="Normal"/>
    <w:qFormat/>
    <w:rsid w:val="000814CD"/>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Normal"/>
    <w:next w:val="Normal"/>
    <w:qFormat/>
    <w:rsid w:val="000814CD"/>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Normal"/>
    <w:qFormat/>
    <w:rsid w:val="000814CD"/>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Normal"/>
    <w:next w:val="Normal"/>
    <w:qFormat/>
    <w:rsid w:val="000814CD"/>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Normal"/>
    <w:next w:val="Normal"/>
    <w:qFormat/>
    <w:rsid w:val="000814CD"/>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Normal"/>
    <w:next w:val="Normal"/>
    <w:qFormat/>
    <w:rsid w:val="000814CD"/>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Normal"/>
    <w:next w:val="Normal"/>
    <w:qFormat/>
    <w:rsid w:val="000814CD"/>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Normal"/>
    <w:qFormat/>
    <w:rsid w:val="000814CD"/>
    <w:pPr>
      <w:numPr>
        <w:numId w:val="16"/>
      </w:numPr>
      <w:spacing w:after="120"/>
      <w:ind w:right="1134"/>
      <w:jc w:val="both"/>
    </w:pPr>
    <w:rPr>
      <w:rFonts w:eastAsia="Times New Roman" w:cs="Times New Roman"/>
      <w:szCs w:val="20"/>
      <w:lang w:eastAsia="ru-RU"/>
    </w:rPr>
  </w:style>
  <w:style w:type="paragraph" w:customStyle="1" w:styleId="Bullet2GR">
    <w:name w:val="_Bullet 2_GR"/>
    <w:basedOn w:val="Normal"/>
    <w:qFormat/>
    <w:rsid w:val="000814CD"/>
    <w:pPr>
      <w:numPr>
        <w:numId w:val="17"/>
      </w:numPr>
      <w:spacing w:after="120"/>
      <w:ind w:right="1134"/>
      <w:jc w:val="both"/>
    </w:pPr>
    <w:rPr>
      <w:rFonts w:eastAsia="Times New Roman" w:cs="Times New Roman"/>
      <w:szCs w:val="20"/>
      <w:lang w:eastAsia="ru-RU"/>
    </w:rPr>
  </w:style>
  <w:style w:type="paragraph" w:customStyle="1" w:styleId="ParaNoGR">
    <w:name w:val="_ParaNo._GR"/>
    <w:basedOn w:val="Normal"/>
    <w:next w:val="Normal"/>
    <w:qFormat/>
    <w:rsid w:val="000814CD"/>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TableNormal"/>
    <w:rsid w:val="000814CD"/>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14CD"/>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Header">
    <w:name w:val="header"/>
    <w:aliases w:val="6_GR"/>
    <w:basedOn w:val="Normal"/>
    <w:next w:val="Normal"/>
    <w:link w:val="HeaderChar"/>
    <w:qFormat/>
    <w:rsid w:val="000814CD"/>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HeaderChar">
    <w:name w:val="Header Char"/>
    <w:aliases w:val="6_GR Char"/>
    <w:basedOn w:val="DefaultParagraphFont"/>
    <w:link w:val="Header"/>
    <w:rsid w:val="000814CD"/>
    <w:rPr>
      <w:b/>
      <w:spacing w:val="4"/>
      <w:w w:val="103"/>
      <w:kern w:val="14"/>
      <w:sz w:val="18"/>
      <w:lang w:val="en-GB" w:eastAsia="ru-RU"/>
    </w:rPr>
  </w:style>
  <w:style w:type="character" w:styleId="PageNumber">
    <w:name w:val="page number"/>
    <w:aliases w:val="7_GR"/>
    <w:basedOn w:val="DefaultParagraphFont"/>
    <w:qFormat/>
    <w:rsid w:val="000814CD"/>
    <w:rPr>
      <w:rFonts w:ascii="Times New Roman" w:hAnsi="Times New Roman"/>
      <w:b/>
      <w:sz w:val="18"/>
    </w:rPr>
  </w:style>
  <w:style w:type="paragraph" w:styleId="Footer">
    <w:name w:val="footer"/>
    <w:aliases w:val="3_GR"/>
    <w:basedOn w:val="Normal"/>
    <w:link w:val="FooterChar"/>
    <w:qFormat/>
    <w:rsid w:val="000814CD"/>
    <w:pPr>
      <w:tabs>
        <w:tab w:val="right" w:pos="9639"/>
      </w:tabs>
      <w:suppressAutoHyphens/>
    </w:pPr>
    <w:rPr>
      <w:rFonts w:eastAsia="Times New Roman" w:cs="Times New Roman"/>
      <w:sz w:val="16"/>
      <w:szCs w:val="20"/>
      <w:lang w:val="en-GB" w:eastAsia="ru-RU"/>
    </w:rPr>
  </w:style>
  <w:style w:type="character" w:customStyle="1" w:styleId="FooterChar">
    <w:name w:val="Footer Char"/>
    <w:aliases w:val="3_GR Char"/>
    <w:basedOn w:val="DefaultParagraphFont"/>
    <w:link w:val="Footer"/>
    <w:rsid w:val="000814CD"/>
    <w:rPr>
      <w:spacing w:val="4"/>
      <w:w w:val="103"/>
      <w:kern w:val="14"/>
      <w:sz w:val="16"/>
      <w:lang w:val="en-GB" w:eastAsia="ru-RU"/>
    </w:rPr>
  </w:style>
  <w:style w:type="character" w:styleId="FootnoteReference">
    <w:name w:val="footnote reference"/>
    <w:aliases w:val="4_GR"/>
    <w:basedOn w:val="DefaultParagraphFont"/>
    <w:qFormat/>
    <w:rsid w:val="000814CD"/>
    <w:rPr>
      <w:rFonts w:ascii="Times New Roman" w:hAnsi="Times New Roman"/>
      <w:dstrike w:val="0"/>
      <w:sz w:val="18"/>
      <w:vertAlign w:val="superscript"/>
    </w:rPr>
  </w:style>
  <w:style w:type="character" w:styleId="EndnoteReference">
    <w:name w:val="endnote reference"/>
    <w:aliases w:val="1_GR"/>
    <w:basedOn w:val="FootnoteReference"/>
    <w:qFormat/>
    <w:rsid w:val="000814CD"/>
    <w:rPr>
      <w:rFonts w:ascii="Times New Roman" w:hAnsi="Times New Roman"/>
      <w:dstrike w:val="0"/>
      <w:sz w:val="18"/>
      <w:vertAlign w:val="superscript"/>
    </w:rPr>
  </w:style>
  <w:style w:type="table" w:styleId="TableGrid">
    <w:name w:val="Table Grid"/>
    <w:basedOn w:val="TableNormal"/>
    <w:rsid w:val="00A66C5E"/>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5_GR"/>
    <w:basedOn w:val="Normal"/>
    <w:link w:val="FootnoteTextChar"/>
    <w:qFormat/>
    <w:rsid w:val="000814CD"/>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FootnoteTextChar">
    <w:name w:val="Footnote Text Char"/>
    <w:aliases w:val="5_GR Char"/>
    <w:basedOn w:val="DefaultParagraphFont"/>
    <w:link w:val="FootnoteText"/>
    <w:rsid w:val="000814CD"/>
    <w:rPr>
      <w:spacing w:val="5"/>
      <w:w w:val="104"/>
      <w:kern w:val="14"/>
      <w:sz w:val="18"/>
      <w:lang w:val="en-GB" w:eastAsia="ru-RU"/>
    </w:rPr>
  </w:style>
  <w:style w:type="paragraph" w:styleId="EndnoteText">
    <w:name w:val="endnote text"/>
    <w:aliases w:val="2_GR"/>
    <w:basedOn w:val="FootnoteText"/>
    <w:link w:val="EndnoteTextChar"/>
    <w:qFormat/>
    <w:rsid w:val="000814CD"/>
  </w:style>
  <w:style w:type="character" w:customStyle="1" w:styleId="EndnoteTextChar">
    <w:name w:val="Endnote Text Char"/>
    <w:aliases w:val="2_GR Char"/>
    <w:basedOn w:val="DefaultParagraphFont"/>
    <w:link w:val="EndnoteText"/>
    <w:rsid w:val="000814CD"/>
    <w:rPr>
      <w:spacing w:val="5"/>
      <w:w w:val="104"/>
      <w:kern w:val="14"/>
      <w:sz w:val="18"/>
      <w:lang w:val="en-GB" w:eastAsia="ru-RU"/>
    </w:rPr>
  </w:style>
  <w:style w:type="character" w:customStyle="1" w:styleId="Heading1Char">
    <w:name w:val="Heading 1 Char"/>
    <w:aliases w:val="Table_GR Char"/>
    <w:basedOn w:val="DefaultParagraphFont"/>
    <w:link w:val="Heading1"/>
    <w:rsid w:val="000814CD"/>
    <w:rPr>
      <w:rFonts w:cs="Arial"/>
      <w:b/>
      <w:bCs/>
      <w:spacing w:val="4"/>
      <w:w w:val="103"/>
      <w:kern w:val="14"/>
      <w:szCs w:val="32"/>
      <w:lang w:val="ru-RU" w:eastAsia="ru-RU"/>
    </w:rPr>
  </w:style>
  <w:style w:type="character" w:styleId="Hyperlink">
    <w:name w:val="Hyperlink"/>
    <w:basedOn w:val="DefaultParagraphFont"/>
    <w:unhideWhenUsed/>
    <w:rsid w:val="000814CD"/>
    <w:rPr>
      <w:color w:val="0000FF" w:themeColor="hyperlink"/>
      <w:u w:val="none"/>
    </w:rPr>
  </w:style>
  <w:style w:type="character" w:styleId="FollowedHyperlink">
    <w:name w:val="FollowedHyperlink"/>
    <w:basedOn w:val="DefaultParagraphFont"/>
    <w:semiHidden/>
    <w:unhideWhenUsed/>
    <w:rsid w:val="000814CD"/>
    <w:rPr>
      <w:color w:val="800080" w:themeColor="followedHyperlink"/>
      <w:u w:val="none"/>
    </w:rPr>
  </w:style>
  <w:style w:type="paragraph" w:customStyle="1" w:styleId="Body">
    <w:name w:val="Body"/>
    <w:rsid w:val="005F390B"/>
    <w:pPr>
      <w:pBdr>
        <w:top w:val="nil"/>
        <w:left w:val="nil"/>
        <w:bottom w:val="nil"/>
        <w:right w:val="nil"/>
        <w:between w:val="nil"/>
        <w:bar w:val="nil"/>
      </w:pBdr>
      <w:suppressAutoHyphens/>
      <w:spacing w:line="240" w:lineRule="atLeast"/>
    </w:pPr>
    <w:rPr>
      <w:color w:val="000000"/>
      <w:u w:color="000000"/>
      <w:bdr w:val="nil"/>
      <w:lang w:val="ru-RU" w:eastAsia="ru-RU"/>
    </w:rPr>
  </w:style>
  <w:style w:type="paragraph" w:styleId="Revision">
    <w:name w:val="Revision"/>
    <w:hidden/>
    <w:uiPriority w:val="99"/>
    <w:semiHidden/>
    <w:rsid w:val="009D2CDC"/>
    <w:rPr>
      <w:rFonts w:eastAsiaTheme="minorHAnsi" w:cstheme="minorBidi"/>
      <w:spacing w:val="4"/>
      <w:w w:val="103"/>
      <w:kern w:val="14"/>
      <w:szCs w:val="22"/>
      <w:lang w:val="ru-RU" w:eastAsia="en-US"/>
    </w:rPr>
  </w:style>
  <w:style w:type="paragraph" w:styleId="CommentText">
    <w:name w:val="annotation text"/>
    <w:basedOn w:val="Normal"/>
    <w:link w:val="CommentTextChar"/>
    <w:semiHidden/>
    <w:unhideWhenUsed/>
    <w:pPr>
      <w:spacing w:line="240" w:lineRule="auto"/>
    </w:pPr>
    <w:rPr>
      <w:szCs w:val="20"/>
    </w:rPr>
  </w:style>
  <w:style w:type="character" w:customStyle="1" w:styleId="CommentTextChar">
    <w:name w:val="Comment Text Char"/>
    <w:basedOn w:val="DefaultParagraphFont"/>
    <w:link w:val="CommentText"/>
    <w:semiHidden/>
    <w:rPr>
      <w:rFonts w:eastAsiaTheme="minorHAnsi" w:cstheme="minorBidi"/>
      <w:spacing w:val="4"/>
      <w:w w:val="103"/>
      <w:kern w:val="14"/>
      <w:lang w:val="ru-RU" w:eastAsia="en-US"/>
    </w:rPr>
  </w:style>
  <w:style w:type="character" w:styleId="CommentReference">
    <w:name w:val="annotation reference"/>
    <w:basedOn w:val="DefaultParagraphFont"/>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ohchr.org/EN/HRBodies/OPCAT/Pages/Article17.aspx" TargetMode="External"/><Relationship Id="rId2" Type="http://schemas.openxmlformats.org/officeDocument/2006/relationships/hyperlink" Target="http://www.ohchr.org/EN/HRBodies/OPCAT/Pages/OPCAT10.aspx" TargetMode="External"/><Relationship Id="rId1" Type="http://schemas.openxmlformats.org/officeDocument/2006/relationships/hyperlink" Target="http://www.ohchr.org/EN/HRBodies/OPCAT/Pages/Article17.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8A74B612F7D54380227E913AF157E1" ma:contentTypeVersion="0" ma:contentTypeDescription="Create a new document." ma:contentTypeScope="" ma:versionID="62e6e2e33f5da486226f289a87f0a436">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AB3BD4-2A50-4BF2-BA6E-46787C9344B5}"/>
</file>

<file path=customXml/itemProps2.xml><?xml version="1.0" encoding="utf-8"?>
<ds:datastoreItem xmlns:ds="http://schemas.openxmlformats.org/officeDocument/2006/customXml" ds:itemID="{2B14334B-EC5D-437B-878A-F93989FC9CC7}"/>
</file>

<file path=customXml/itemProps3.xml><?xml version="1.0" encoding="utf-8"?>
<ds:datastoreItem xmlns:ds="http://schemas.openxmlformats.org/officeDocument/2006/customXml" ds:itemID="{BF50A91A-3196-4FFF-84A8-5FC5371CB413}"/>
</file>

<file path=customXml/itemProps4.xml><?xml version="1.0" encoding="utf-8"?>
<ds:datastoreItem xmlns:ds="http://schemas.openxmlformats.org/officeDocument/2006/customXml" ds:itemID="{FBF275EC-CCF4-4DB9-A88C-CFFBCAD1A475}"/>
</file>

<file path=docProps/app.xml><?xml version="1.0" encoding="utf-8"?>
<Properties xmlns="http://schemas.openxmlformats.org/officeDocument/2006/extended-properties" xmlns:vt="http://schemas.openxmlformats.org/officeDocument/2006/docPropsVTypes">
  <Template>CAT.dotm</Template>
  <TotalTime>0</TotalTime>
  <Pages>17</Pages>
  <Words>6353</Words>
  <Characters>36218</Characters>
  <Application>Microsoft Office Word</Application>
  <DocSecurity>0</DocSecurity>
  <Lines>301</Lines>
  <Paragraphs>84</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CAT/C/60/3</vt:lpstr>
      <vt:lpstr>CAT/C/60/3</vt:lpstr>
      <vt:lpstr>A/</vt:lpstr>
    </vt:vector>
  </TitlesOfParts>
  <Company>DCM</Company>
  <LinksUpToDate>false</LinksUpToDate>
  <CharactersWithSpaces>42487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CAT/C/60/3</dc:title>
  <dc:creator>Prokoudina S.</dc:creator>
  <cp:lastModifiedBy>Hélène Orrü</cp:lastModifiedBy>
  <cp:revision>2</cp:revision>
  <cp:lastPrinted>2017-05-02T09:33:00Z</cp:lastPrinted>
  <dcterms:created xsi:type="dcterms:W3CDTF">2017-05-05T15:19:00Z</dcterms:created>
  <dcterms:modified xsi:type="dcterms:W3CDTF">2017-05-05T15:19:00Z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y fmtid="{D5CDD505-2E9C-101B-9397-08002B2CF9AE}" pid="14" name="ContentTypeId">
    <vt:lpwstr>0x0101008C8A74B612F7D54380227E913AF157E1</vt:lpwstr>
  </property>
</Properties>
</file>