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Szövegtörzs"/>
        <w:widowControl w:val="0"/>
        <w:spacing w:line="240" w:lineRule="auto"/>
        <w:rPr>
          <w:rStyle w:val="Egyik sem"/>
          <w:rFonts w:ascii="Times New Roman" w:cs="Times New Roman" w:hAnsi="Times New Roman" w:eastAsia="Times New Roman"/>
          <w:b w:val="1"/>
          <w:bCs w:val="1"/>
          <w:sz w:val="24"/>
          <w:szCs w:val="24"/>
        </w:rPr>
      </w:pPr>
    </w:p>
    <w:p>
      <w:pPr>
        <w:pStyle w:val="Szövegtörzs"/>
        <w:spacing w:line="240" w:lineRule="auto"/>
        <w:jc w:val="center"/>
        <w:rPr>
          <w:rStyle w:val="Egyik sem"/>
          <w:rFonts w:ascii="Times New Roman" w:cs="Times New Roman" w:hAnsi="Times New Roman" w:eastAsia="Times New Roman"/>
          <w:b w:val="1"/>
          <w:bCs w:val="1"/>
          <w:sz w:val="28"/>
          <w:szCs w:val="28"/>
        </w:rPr>
      </w:pPr>
    </w:p>
    <w:p>
      <w:pPr>
        <w:pStyle w:val="Szövegtörzs"/>
        <w:spacing w:line="240" w:lineRule="auto"/>
        <w:jc w:val="center"/>
        <w:rPr>
          <w:rStyle w:val="Egyik sem"/>
          <w:rFonts w:ascii="Times New Roman" w:cs="Times New Roman" w:hAnsi="Times New Roman" w:eastAsia="Times New Roman"/>
          <w:b w:val="1"/>
          <w:bCs w:val="1"/>
          <w:sz w:val="28"/>
          <w:szCs w:val="28"/>
        </w:rPr>
      </w:pPr>
    </w:p>
    <w:p>
      <w:pPr>
        <w:pStyle w:val="Szövegtörzs"/>
        <w:spacing w:line="240" w:lineRule="auto"/>
        <w:jc w:val="center"/>
        <w:rPr>
          <w:rStyle w:val="Egyik sem"/>
          <w:rFonts w:ascii="Times New Roman" w:cs="Times New Roman" w:hAnsi="Times New Roman" w:eastAsia="Times New Roman"/>
          <w:b w:val="1"/>
          <w:bCs w:val="1"/>
          <w:sz w:val="28"/>
          <w:szCs w:val="28"/>
        </w:rPr>
      </w:pPr>
      <w:r>
        <w:rPr>
          <w:rStyle w:val="Egyik sem"/>
          <w:rFonts w:ascii="Times New Roman" w:hAnsi="Times New Roman"/>
          <w:b w:val="1"/>
          <w:bCs w:val="1"/>
          <w:sz w:val="28"/>
          <w:szCs w:val="28"/>
          <w:rtl w:val="0"/>
          <w:lang w:val="en-US"/>
        </w:rPr>
        <w:t>The implementation of the CEDAW Convention in Hungary in the field of elimination of violence against women</w:t>
      </w:r>
    </w:p>
    <w:p>
      <w:pPr>
        <w:pStyle w:val="Szövegtörzs"/>
        <w:spacing w:line="240" w:lineRule="auto"/>
        <w:jc w:val="center"/>
        <w:rPr>
          <w:rStyle w:val="Egyik sem"/>
          <w:rFonts w:ascii="Times New Roman" w:cs="Times New Roman" w:hAnsi="Times New Roman" w:eastAsia="Times New Roman"/>
          <w:b w:val="1"/>
          <w:bCs w:val="1"/>
          <w:sz w:val="24"/>
          <w:szCs w:val="24"/>
        </w:rPr>
      </w:pPr>
    </w:p>
    <w:p>
      <w:pPr>
        <w:pStyle w:val="Szövegtörzs"/>
        <w:spacing w:line="240" w:lineRule="auto"/>
        <w:jc w:val="center"/>
        <w:rPr>
          <w:rStyle w:val="Egyik sem"/>
          <w:rFonts w:ascii="Times New Roman" w:cs="Times New Roman" w:hAnsi="Times New Roman" w:eastAsia="Times New Roman"/>
          <w:sz w:val="28"/>
          <w:szCs w:val="28"/>
        </w:rPr>
      </w:pPr>
      <w:r>
        <w:rPr>
          <w:rStyle w:val="Egyik sem"/>
          <w:rFonts w:ascii="Times New Roman" w:hAnsi="Times New Roman"/>
          <w:b w:val="1"/>
          <w:bCs w:val="1"/>
          <w:sz w:val="28"/>
          <w:szCs w:val="28"/>
          <w:rtl w:val="0"/>
          <w:lang w:val="en-US"/>
        </w:rPr>
        <w:t>Submission of NANE Women</w:t>
      </w:r>
      <w:r>
        <w:rPr>
          <w:rStyle w:val="Egyik sem"/>
          <w:rFonts w:ascii="Times New Roman" w:hAnsi="Times New Roman" w:hint="default"/>
          <w:b w:val="1"/>
          <w:bCs w:val="1"/>
          <w:sz w:val="28"/>
          <w:szCs w:val="28"/>
          <w:rtl w:val="0"/>
          <w:lang w:val="en-US"/>
        </w:rPr>
        <w:t>’</w:t>
      </w:r>
      <w:r>
        <w:rPr>
          <w:rStyle w:val="Egyik sem"/>
          <w:rFonts w:ascii="Times New Roman" w:hAnsi="Times New Roman"/>
          <w:b w:val="1"/>
          <w:bCs w:val="1"/>
          <w:sz w:val="28"/>
          <w:szCs w:val="28"/>
          <w:rtl w:val="0"/>
          <w:lang w:val="en-US"/>
        </w:rPr>
        <w:t>s Rights Association, PATENT (People Opposing Patriarchy) Association, and Hungarian Women</w:t>
      </w:r>
      <w:r>
        <w:rPr>
          <w:rStyle w:val="Egyik sem"/>
          <w:rFonts w:ascii="Times New Roman" w:hAnsi="Times New Roman" w:hint="default"/>
          <w:b w:val="1"/>
          <w:bCs w:val="1"/>
          <w:sz w:val="28"/>
          <w:szCs w:val="28"/>
          <w:rtl w:val="0"/>
          <w:lang w:val="en-US"/>
        </w:rPr>
        <w:t>’</w:t>
      </w:r>
      <w:r>
        <w:rPr>
          <w:rStyle w:val="Egyik sem"/>
          <w:rFonts w:ascii="Times New Roman" w:hAnsi="Times New Roman"/>
          <w:b w:val="1"/>
          <w:bCs w:val="1"/>
          <w:sz w:val="28"/>
          <w:szCs w:val="28"/>
          <w:rtl w:val="0"/>
          <w:lang w:val="en-US"/>
        </w:rPr>
        <w:t xml:space="preserve">s Lobby to the 84th Session of UN CEDAW Committee </w:t>
      </w:r>
    </w:p>
    <w:p>
      <w:pPr>
        <w:pStyle w:val="Szövegtörzs"/>
        <w:spacing w:line="240" w:lineRule="auto"/>
        <w:jc w:val="center"/>
        <w:rPr>
          <w:rStyle w:val="Egyik sem"/>
          <w:rFonts w:ascii="Times New Roman" w:cs="Times New Roman" w:hAnsi="Times New Roman" w:eastAsia="Times New Roman"/>
          <w:sz w:val="28"/>
          <w:szCs w:val="28"/>
        </w:rPr>
      </w:pPr>
    </w:p>
    <w:p>
      <w:pPr>
        <w:pStyle w:val="Szövegtörzs"/>
        <w:spacing w:line="240" w:lineRule="auto"/>
        <w:jc w:val="center"/>
        <w:rPr>
          <w:rStyle w:val="Egyik sem"/>
          <w:rFonts w:ascii="Times New Roman" w:cs="Times New Roman" w:hAnsi="Times New Roman" w:eastAsia="Times New Roman"/>
          <w:sz w:val="28"/>
          <w:szCs w:val="28"/>
        </w:rPr>
      </w:pPr>
      <w:r>
        <w:rPr>
          <w:rStyle w:val="Egyik sem"/>
          <w:rFonts w:ascii="Times New Roman" w:hAnsi="Times New Roman"/>
          <w:sz w:val="28"/>
          <w:szCs w:val="28"/>
          <w:rtl w:val="0"/>
          <w:lang w:val="en-US"/>
        </w:rPr>
        <w:t>9 January 2023</w:t>
      </w:r>
    </w:p>
    <w:p>
      <w:pPr>
        <w:pStyle w:val="Szövegtörzs"/>
        <w:spacing w:line="240" w:lineRule="auto"/>
        <w:rPr>
          <w:rStyle w:val="Egyik sem"/>
          <w:rFonts w:ascii="Times New Roman" w:cs="Times New Roman" w:hAnsi="Times New Roman" w:eastAsia="Times New Roman"/>
          <w:sz w:val="24"/>
          <w:szCs w:val="24"/>
        </w:rPr>
      </w:pPr>
    </w:p>
    <w:p>
      <w:pPr>
        <w:pStyle w:val="Szövegtörzs"/>
        <w:spacing w:line="240" w:lineRule="auto"/>
        <w:rPr>
          <w:rStyle w:val="Egyik sem"/>
          <w:rFonts w:ascii="Times New Roman" w:cs="Times New Roman" w:hAnsi="Times New Roman" w:eastAsia="Times New Roman"/>
          <w:sz w:val="24"/>
          <w:szCs w:val="24"/>
        </w:rPr>
      </w:pPr>
    </w:p>
    <w:p>
      <w:pPr>
        <w:pStyle w:val="Szövegtörzs"/>
        <w:spacing w:line="240" w:lineRule="auto"/>
        <w:rPr>
          <w:rStyle w:val="Egyik sem"/>
          <w:rFonts w:ascii="Times New Roman" w:cs="Times New Roman" w:hAnsi="Times New Roman" w:eastAsia="Times New Roman"/>
          <w:sz w:val="24"/>
          <w:szCs w:val="24"/>
        </w:rPr>
      </w:pP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Hungary signed the Council of Europe</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 xml:space="preserve">s Convention on preventing and combating violence against women and domestic violence (the </w:t>
      </w:r>
      <w:r>
        <w:rPr>
          <w:rStyle w:val="Egyik sem"/>
          <w:rFonts w:ascii="Times New Roman" w:hAnsi="Times New Roman"/>
          <w:b w:val="1"/>
          <w:bCs w:val="1"/>
          <w:sz w:val="24"/>
          <w:szCs w:val="24"/>
          <w:rtl w:val="0"/>
        </w:rPr>
        <w:t>Istanbul Convention</w:t>
      </w:r>
      <w:r>
        <w:rPr>
          <w:rStyle w:val="Egyik sem"/>
          <w:rFonts w:ascii="Times New Roman" w:hAnsi="Times New Roman"/>
          <w:sz w:val="24"/>
          <w:szCs w:val="24"/>
          <w:rtl w:val="0"/>
          <w:lang w:val="en-US"/>
        </w:rPr>
        <w:t xml:space="preserve">, IC) in 2014, but </w:t>
      </w:r>
      <w:r>
        <w:rPr>
          <w:rStyle w:val="Egyik sem"/>
          <w:rFonts w:ascii="Times New Roman" w:hAnsi="Times New Roman"/>
          <w:b w:val="1"/>
          <w:bCs w:val="1"/>
          <w:sz w:val="24"/>
          <w:szCs w:val="24"/>
          <w:rtl w:val="0"/>
          <w:lang w:val="en-US"/>
        </w:rPr>
        <w:t>has not ratified</w:t>
      </w:r>
      <w:r>
        <w:rPr>
          <w:rStyle w:val="Egyik sem"/>
          <w:rFonts w:ascii="Times New Roman" w:hAnsi="Times New Roman"/>
          <w:sz w:val="24"/>
          <w:szCs w:val="24"/>
          <w:rtl w:val="0"/>
          <w:lang w:val="en-US"/>
        </w:rPr>
        <w:t xml:space="preserve"> it yet. The international attacks and misinformation campaigns against the Convention have been present in Hungary as well. The government has been opposing the Convention openly since 2019, their main arguments targeting the gender- and migration-related content of the document - based on a deliberate misinterpretation and distortion of the Convention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content and aims.</w:t>
      </w:r>
      <w:r>
        <w:rPr>
          <w:rStyle w:val="Egyik sem"/>
          <w:rFonts w:ascii="Times New Roman" w:cs="Times New Roman" w:hAnsi="Times New Roman" w:eastAsia="Times New Roman"/>
          <w:sz w:val="24"/>
          <w:szCs w:val="24"/>
          <w:vertAlign w:val="superscript"/>
        </w:rPr>
        <w:footnoteReference w:id="1"/>
      </w: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On 5 May 2020, the Parliament (National Assembly) adopted a political declaration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on the importance of protecting children and women, as well as on the rejection of accession to the Istanbul Convention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rPr>
        <w:t>.</w:t>
      </w:r>
      <w:r>
        <w:rPr>
          <w:rStyle w:val="Egyik sem"/>
          <w:rFonts w:ascii="Times New Roman" w:cs="Times New Roman" w:hAnsi="Times New Roman" w:eastAsia="Times New Roman"/>
          <w:sz w:val="24"/>
          <w:szCs w:val="24"/>
          <w:vertAlign w:val="superscript"/>
        </w:rPr>
        <w:footnoteReference w:id="2"/>
      </w:r>
      <w:r>
        <w:rPr>
          <w:rStyle w:val="Egyik sem"/>
          <w:rFonts w:ascii="Times New Roman" w:hAnsi="Times New Roman"/>
          <w:sz w:val="24"/>
          <w:szCs w:val="24"/>
          <w:rtl w:val="0"/>
          <w:lang w:val="en-US"/>
        </w:rPr>
        <w:t xml:space="preserve"> In the document, the National Assembly rejects that the Convention has a binding effect on Hungary and on the EU, and calls on the Government to act accordingly. The proposal went through only within one day of the whole parliamentary process, from submission to voting. It took place during the coronavirus lockdown period, so in theory not even a protest could have been organized in response.</w:t>
      </w: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At an international level, a coalition is campaigning against the EU</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accession to the Istanbul Convention. They started a petition, and operate an 18-language website for this purpose. The coalition has Hungarian members as well.</w:t>
      </w:r>
      <w:r>
        <w:rPr>
          <w:rStyle w:val="Egyik sem"/>
          <w:rFonts w:ascii="Times New Roman" w:cs="Times New Roman" w:hAnsi="Times New Roman" w:eastAsia="Times New Roman"/>
          <w:sz w:val="24"/>
          <w:szCs w:val="24"/>
          <w:vertAlign w:val="superscript"/>
        </w:rPr>
        <w:footnoteReference w:id="3"/>
      </w:r>
    </w:p>
    <w:p>
      <w:pPr>
        <w:pStyle w:val="Szövegtörzs"/>
        <w:spacing w:line="240" w:lineRule="auto"/>
        <w:jc w:val="both"/>
        <w:rPr>
          <w:rStyle w:val="Egyik sem"/>
          <w:rFonts w:ascii="Times New Roman" w:cs="Times New Roman" w:hAnsi="Times New Roman" w:eastAsia="Times New Roman"/>
          <w:sz w:val="24"/>
          <w:szCs w:val="24"/>
        </w:rPr>
      </w:pP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The government consistently argues that Hungary provides even better protection for victims than the Convention does. However, assessment and the day-to-day experience of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NGOs working in the field show that neither the legal and policy framework, nor the institutional responses, law enforcement/justice practice and levels of service-provision are in compliance with the Convention and other international standards, including recommendations of CEDAW.</w:t>
      </w:r>
      <w:r>
        <w:rPr>
          <w:rStyle w:val="Egyik sem"/>
          <w:rFonts w:ascii="Times New Roman" w:cs="Times New Roman" w:hAnsi="Times New Roman" w:eastAsia="Times New Roman"/>
          <w:sz w:val="24"/>
          <w:szCs w:val="24"/>
          <w:vertAlign w:val="superscript"/>
        </w:rPr>
        <w:footnoteReference w:id="4"/>
      </w:r>
      <w:r>
        <w:rPr>
          <w:rStyle w:val="Egyik sem"/>
          <w:rFonts w:ascii="Times New Roman" w:hAnsi="Times New Roman"/>
          <w:sz w:val="24"/>
          <w:szCs w:val="24"/>
          <w:rtl w:val="0"/>
        </w:rPr>
        <w:t xml:space="preserve"> </w:t>
      </w:r>
    </w:p>
    <w:p>
      <w:pPr>
        <w:pStyle w:val="Szövegtörzs"/>
        <w:spacing w:line="240" w:lineRule="auto"/>
        <w:jc w:val="both"/>
        <w:rPr>
          <w:rStyle w:val="Egyik sem"/>
          <w:rFonts w:ascii="Times New Roman" w:cs="Times New Roman" w:hAnsi="Times New Roman" w:eastAsia="Times New Roman"/>
          <w:sz w:val="24"/>
          <w:szCs w:val="24"/>
        </w:rPr>
      </w:pP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The  </w:t>
      </w:r>
      <w:r>
        <w:rPr>
          <w:rStyle w:val="Egyik sem"/>
          <w:rFonts w:ascii="Times New Roman" w:hAnsi="Times New Roman"/>
          <w:b w:val="1"/>
          <w:bCs w:val="1"/>
          <w:sz w:val="24"/>
          <w:szCs w:val="24"/>
          <w:rtl w:val="0"/>
          <w:lang w:val="en-US"/>
        </w:rPr>
        <w:t>comprehensive approach of prevention, protection, prosecution and integrated policies</w:t>
      </w:r>
      <w:r>
        <w:rPr>
          <w:rStyle w:val="Egyik sem"/>
          <w:rFonts w:ascii="Times New Roman" w:hAnsi="Times New Roman"/>
          <w:sz w:val="24"/>
          <w:szCs w:val="24"/>
          <w:rtl w:val="0"/>
          <w:lang w:val="en-US"/>
        </w:rPr>
        <w:t xml:space="preserve"> to all forms of violence against women (VAW) </w:t>
      </w:r>
      <w:r>
        <w:rPr>
          <w:rStyle w:val="Egyik sem"/>
          <w:rFonts w:ascii="Times New Roman" w:hAnsi="Times New Roman"/>
          <w:b w:val="1"/>
          <w:bCs w:val="1"/>
          <w:sz w:val="24"/>
          <w:szCs w:val="24"/>
          <w:rtl w:val="0"/>
          <w:lang w:val="en-US"/>
        </w:rPr>
        <w:t>is lacking</w:t>
      </w:r>
      <w:r>
        <w:rPr>
          <w:rStyle w:val="Egyik sem"/>
          <w:rFonts w:ascii="Times New Roman" w:hAnsi="Times New Roman"/>
          <w:sz w:val="24"/>
          <w:szCs w:val="24"/>
          <w:rtl w:val="0"/>
        </w:rPr>
        <w:t xml:space="preserve">. </w:t>
      </w: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Hungary does not have a </w:t>
      </w:r>
      <w:r>
        <w:rPr>
          <w:rStyle w:val="Egyik sem"/>
          <w:rFonts w:ascii="Times New Roman" w:hAnsi="Times New Roman"/>
          <w:i w:val="1"/>
          <w:iCs w:val="1"/>
          <w:sz w:val="24"/>
          <w:szCs w:val="24"/>
          <w:rtl w:val="0"/>
        </w:rPr>
        <w:t>policy</w:t>
      </w:r>
      <w:r>
        <w:rPr>
          <w:rStyle w:val="Egyik sem"/>
          <w:rFonts w:ascii="Times New Roman" w:hAnsi="Times New Roman"/>
          <w:sz w:val="24"/>
          <w:szCs w:val="24"/>
          <w:rtl w:val="0"/>
          <w:lang w:val="en-US"/>
        </w:rPr>
        <w:t xml:space="preserve"> foundation - a National Strategy or Action Plan - on preventing and combating VAW or its specific forms, with the exception of trafficking. The problem is not addressed among the goals and measures of the original and modified versions of the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 xml:space="preserve">Action Plan, elaborated for the European Union, on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strengthening the role of women in the family and in the society</w:t>
      </w:r>
      <w:r>
        <w:rPr>
          <w:rStyle w:val="Egyik sem"/>
          <w:rFonts w:ascii="Times New Roman" w:hAnsi="Times New Roman" w:hint="default"/>
          <w:sz w:val="24"/>
          <w:szCs w:val="24"/>
          <w:rtl w:val="0"/>
          <w:lang w:val="en-US"/>
        </w:rPr>
        <w:t xml:space="preserve">” </w:t>
      </w:r>
      <w:r>
        <w:rPr>
          <w:rStyle w:val="Egyik sem"/>
          <w:rFonts w:ascii="Times New Roman" w:hAnsi="Times New Roman"/>
          <w:sz w:val="24"/>
          <w:szCs w:val="24"/>
          <w:rtl w:val="0"/>
        </w:rPr>
        <w:t>(2021-2030)</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 and of its first and second Plan of Measures, for 2021-2022, and for 2023-2024, respectively.</w:t>
      </w:r>
      <w:r>
        <w:rPr>
          <w:rStyle w:val="Egyik sem"/>
          <w:rFonts w:ascii="Times New Roman" w:cs="Times New Roman" w:hAnsi="Times New Roman" w:eastAsia="Times New Roman"/>
          <w:sz w:val="24"/>
          <w:szCs w:val="24"/>
          <w:vertAlign w:val="superscript"/>
        </w:rPr>
        <w:footnoteReference w:id="5"/>
      </w:r>
      <w:r>
        <w:rPr>
          <w:rStyle w:val="Egyik sem"/>
          <w:rFonts w:ascii="Times New Roman" w:hAnsi="Times New Roman"/>
          <w:sz w:val="24"/>
          <w:szCs w:val="24"/>
          <w:rtl w:val="0"/>
          <w:lang w:val="en-US"/>
        </w:rPr>
        <w:t xml:space="preserve"> Furthermore, the Hungarian Recovery and Resiliency Plan to mitigate the consequences of the coronavirus pandemic - prepared under the respective EU framework - fails to address violence against women, and within that, specifically domestic violence and intimate partner violence.</w:t>
      </w:r>
      <w:r>
        <w:rPr>
          <w:rStyle w:val="Egyik sem"/>
          <w:rFonts w:ascii="Times New Roman" w:cs="Times New Roman" w:hAnsi="Times New Roman" w:eastAsia="Times New Roman"/>
          <w:sz w:val="24"/>
          <w:szCs w:val="24"/>
          <w:vertAlign w:val="superscript"/>
        </w:rPr>
        <w:footnoteReference w:id="6"/>
      </w:r>
      <w:r>
        <w:rPr>
          <w:rStyle w:val="Egyik sem"/>
          <w:rFonts w:ascii="Times New Roman" w:hAnsi="Times New Roman"/>
          <w:sz w:val="24"/>
          <w:szCs w:val="24"/>
          <w:rtl w:val="0"/>
        </w:rPr>
        <w:t xml:space="preserve"> </w:t>
      </w: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Among the </w:t>
      </w:r>
      <w:r>
        <w:rPr>
          <w:rStyle w:val="Egyik sem"/>
          <w:rFonts w:ascii="Times New Roman" w:hAnsi="Times New Roman"/>
          <w:i w:val="1"/>
          <w:iCs w:val="1"/>
          <w:sz w:val="24"/>
          <w:szCs w:val="24"/>
          <w:rtl w:val="0"/>
          <w:lang w:val="en-US"/>
        </w:rPr>
        <w:t>different forms of VAW</w:t>
      </w:r>
      <w:r>
        <w:rPr>
          <w:rStyle w:val="Egyik sem"/>
          <w:rFonts w:ascii="Times New Roman" w:hAnsi="Times New Roman"/>
          <w:sz w:val="24"/>
          <w:szCs w:val="24"/>
          <w:rtl w:val="0"/>
          <w:lang w:val="en-US"/>
        </w:rPr>
        <w:t xml:space="preserve">, domestic violence and trafficking has been given the most attention by the state in the last decade, although with - even fundamental - shortcomings in its action. For instance, in case of domestic violence systemic problems and shortcomings exist in legislation, policies, victim protection and service provision, as presented below. No national strategy or action plan exists to address domestic violence. Although there is the Decision of the Parliament on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Determining the national strategic goals of tackling domestic violence</w:t>
      </w:r>
      <w:r>
        <w:rPr>
          <w:rStyle w:val="Egyik sem"/>
          <w:rFonts w:ascii="Times New Roman" w:hAnsi="Times New Roman" w:hint="default"/>
          <w:sz w:val="24"/>
          <w:szCs w:val="24"/>
          <w:rtl w:val="0"/>
          <w:lang w:val="en-US"/>
        </w:rPr>
        <w:t>”</w:t>
      </w:r>
      <w:r>
        <w:rPr>
          <w:rStyle w:val="Egyik sem"/>
          <w:rFonts w:ascii="Times New Roman" w:cs="Times New Roman" w:hAnsi="Times New Roman" w:eastAsia="Times New Roman"/>
          <w:sz w:val="24"/>
          <w:szCs w:val="24"/>
          <w:vertAlign w:val="superscript"/>
        </w:rPr>
        <w:footnoteReference w:id="7"/>
      </w:r>
      <w:r>
        <w:rPr>
          <w:rStyle w:val="Egyik sem"/>
          <w:rFonts w:ascii="Times New Roman" w:hAnsi="Times New Roman"/>
          <w:sz w:val="24"/>
          <w:szCs w:val="24"/>
          <w:rtl w:val="0"/>
          <w:lang w:val="en-US"/>
        </w:rPr>
        <w:t xml:space="preserve">, it does not constitute a direct obligation to introduce respective measures. The Parliament only invites the government to take measures for an effective response to domestic violence, taking into consideration the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national strategic goals</w:t>
      </w:r>
      <w:r>
        <w:rPr>
          <w:rStyle w:val="Egyik sem"/>
          <w:rFonts w:ascii="Times New Roman" w:hAnsi="Times New Roman" w:hint="default"/>
          <w:sz w:val="24"/>
          <w:szCs w:val="24"/>
          <w:rtl w:val="0"/>
          <w:lang w:val="en-US"/>
        </w:rPr>
        <w:t xml:space="preserve">” </w:t>
      </w:r>
      <w:r>
        <w:rPr>
          <w:rStyle w:val="Egyik sem"/>
          <w:rFonts w:ascii="Times New Roman" w:hAnsi="Times New Roman"/>
          <w:sz w:val="24"/>
          <w:szCs w:val="24"/>
          <w:rtl w:val="0"/>
          <w:lang w:val="en-US"/>
        </w:rPr>
        <w:t xml:space="preserve">that are determined by the document. The Decision contains only the Preamble and two points. Point 1 lists the national strategic goals - from a) to l). In point 2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The Parliament invites the Government to review by December 31, 2016, the government-level strategies currently being in effect that are aimed at action against domestic violence or defining goals or tasks in relation to it, and if necessary, to amend them in accordance with the goals contained in point 1.</w:t>
      </w:r>
      <w:r>
        <w:rPr>
          <w:rStyle w:val="Egyik sem"/>
          <w:rFonts w:ascii="Times New Roman" w:hAnsi="Times New Roman" w:hint="default"/>
          <w:sz w:val="24"/>
          <w:szCs w:val="24"/>
          <w:rtl w:val="0"/>
          <w:lang w:val="en-US"/>
        </w:rPr>
        <w:t xml:space="preserve">” </w:t>
      </w:r>
      <w:r>
        <w:rPr>
          <w:rStyle w:val="Egyik sem"/>
          <w:rFonts w:ascii="Times New Roman" w:hAnsi="Times New Roman"/>
          <w:sz w:val="24"/>
          <w:szCs w:val="24"/>
          <w:rtl w:val="0"/>
          <w:lang w:val="en-US"/>
        </w:rPr>
        <w:t>Content-wise, while containing important points, the Decision raises concern regarding its approach, e.g. making the measures dependent on the available funding, or putting emphasis on development of mental resilience and coping strategies.</w:t>
      </w:r>
    </w:p>
    <w:p>
      <w:pPr>
        <w:pStyle w:val="Szövegtörzs"/>
        <w:spacing w:line="240" w:lineRule="auto"/>
        <w:jc w:val="both"/>
        <w:rPr>
          <w:rStyle w:val="Egyik sem"/>
          <w:rFonts w:ascii="Times New Roman" w:cs="Times New Roman" w:hAnsi="Times New Roman" w:eastAsia="Times New Roman"/>
          <w:sz w:val="26"/>
          <w:szCs w:val="26"/>
        </w:rPr>
      </w:pPr>
      <w:r>
        <w:rPr>
          <w:rStyle w:val="Egyik sem"/>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Furthermore, the following example illustrates our concern regarding the leading approach. The CEDAW state report in the part </w:t>
      </w:r>
      <w:r>
        <w:rPr>
          <w:rStyle w:val="Egyik sem"/>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Style w:val="Egyik sem"/>
          <w:rFonts w:ascii="Times New Roman" w:hAnsi="Times New Roman"/>
          <w:outline w:val="0"/>
          <w:color w:val="222222"/>
          <w:sz w:val="24"/>
          <w:szCs w:val="24"/>
          <w:u w:color="222222"/>
          <w:shd w:val="clear" w:color="auto" w:fill="ffffff"/>
          <w:rtl w:val="0"/>
          <w:lang w:val="en-US"/>
          <w14:textFill>
            <w14:solidFill>
              <w14:srgbClr w14:val="222222"/>
            </w14:solidFill>
          </w14:textFill>
        </w:rPr>
        <w:t>Violence against women</w:t>
      </w:r>
      <w:r>
        <w:rPr>
          <w:rStyle w:val="Egyik sem"/>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xml:space="preserve">” </w:t>
      </w:r>
      <w:r>
        <w:rPr>
          <w:rStyle w:val="Egyik sem"/>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says: </w:t>
      </w:r>
      <w:r>
        <w:rPr>
          <w:rStyle w:val="Egyik sem"/>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Style w:val="Egyik sem"/>
          <w:rFonts w:ascii="Times New Roman" w:hAnsi="Times New Roman"/>
          <w:outline w:val="0"/>
          <w:color w:val="222222"/>
          <w:sz w:val="24"/>
          <w:szCs w:val="24"/>
          <w:u w:color="222222"/>
          <w:shd w:val="clear" w:color="auto" w:fill="ffffff"/>
          <w:rtl w:val="0"/>
          <w:lang w:val="en-US"/>
          <w14:textFill>
            <w14:solidFill>
              <w14:srgbClr w14:val="222222"/>
            </w14:solidFill>
          </w14:textFill>
        </w:rPr>
        <w:t>The education and awareness-raising of 5,000 professionals of the child protection alarm system will be realized in the framework of the priority project</w:t>
      </w:r>
      <w:r>
        <w:rPr>
          <w:rStyle w:val="Egyik sem"/>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Style w:val="Egyik sem"/>
          <w:rFonts w:ascii="Times New Roman" w:hAnsi="Times New Roman"/>
          <w:outline w:val="0"/>
          <w:color w:val="222222"/>
          <w:sz w:val="24"/>
          <w:szCs w:val="24"/>
          <w:u w:color="222222"/>
          <w:shd w:val="clear" w:color="auto" w:fill="ffffff"/>
          <w:rtl w:val="0"/>
          <w14:textFill>
            <w14:solidFill>
              <w14:srgbClr w14:val="222222"/>
            </w14:solidFill>
          </w14:textFill>
        </w:rPr>
        <w:t>.</w:t>
      </w:r>
      <w:r>
        <w:rPr>
          <w:rStyle w:val="Egyik sem"/>
          <w:rFonts w:ascii="Times New Roman" w:cs="Times New Roman" w:hAnsi="Times New Roman" w:eastAsia="Times New Roman"/>
          <w:outline w:val="0"/>
          <w:color w:val="222222"/>
          <w:sz w:val="24"/>
          <w:szCs w:val="24"/>
          <w:u w:color="222222"/>
          <w:shd w:val="clear" w:color="auto" w:fill="ffffff"/>
          <w:vertAlign w:val="superscript"/>
          <w14:textFill>
            <w14:solidFill>
              <w14:srgbClr w14:val="222222"/>
            </w14:solidFill>
          </w14:textFill>
        </w:rPr>
        <w:footnoteReference w:id="8"/>
      </w:r>
      <w:r>
        <w:rPr>
          <w:rStyle w:val="Egyik sem"/>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It refers to a project entitled </w:t>
      </w:r>
      <w:r>
        <w:rPr>
          <w:rStyle w:val="Egyik sem"/>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Style w:val="Egyik sem"/>
          <w:rFonts w:ascii="Times New Roman" w:hAnsi="Times New Roman"/>
          <w:outline w:val="0"/>
          <w:color w:val="222222"/>
          <w:sz w:val="24"/>
          <w:szCs w:val="24"/>
          <w:u w:color="222222"/>
          <w:shd w:val="clear" w:color="auto" w:fill="ffffff"/>
          <w:rtl w:val="0"/>
          <w:lang w:val="en-US"/>
          <w14:textFill>
            <w14:solidFill>
              <w14:srgbClr w14:val="222222"/>
            </w14:solidFill>
          </w14:textFill>
        </w:rPr>
        <w:t>Development of Crisis Management Services</w:t>
      </w:r>
      <w:r>
        <w:rPr>
          <w:rStyle w:val="Egyik sem"/>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Style w:val="Egyik sem"/>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using EU funding in the framework of the so-called Operational Program. The training material entitled </w:t>
      </w:r>
      <w:r>
        <w:rPr>
          <w:rStyle w:val="Egyik sem"/>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Style w:val="Egyik sem"/>
          <w:rFonts w:ascii="Times New Roman" w:hAnsi="Times New Roman"/>
          <w:outline w:val="0"/>
          <w:color w:val="222222"/>
          <w:sz w:val="24"/>
          <w:szCs w:val="24"/>
          <w:u w:color="222222"/>
          <w:shd w:val="clear" w:color="auto" w:fill="ffffff"/>
          <w:rtl w:val="0"/>
          <w:lang w:val="en-US"/>
          <w14:textFill>
            <w14:solidFill>
              <w14:srgbClr w14:val="222222"/>
            </w14:solidFill>
          </w14:textFill>
        </w:rPr>
        <w:t>Strengthening the cooperation among the members of the child protection signal/alert system - The identification and treatment of harm caused by domestic violence and trafficking</w:t>
      </w:r>
      <w:r>
        <w:rPr>
          <w:rStyle w:val="Egyik sem"/>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xml:space="preserve">” </w:t>
      </w:r>
      <w:r>
        <w:rPr>
          <w:rStyle w:val="Egyik sem"/>
          <w:rFonts w:ascii="Times New Roman" w:hAnsi="Times New Roman"/>
          <w:outline w:val="0"/>
          <w:color w:val="222222"/>
          <w:sz w:val="24"/>
          <w:szCs w:val="24"/>
          <w:u w:color="222222"/>
          <w:shd w:val="clear" w:color="auto" w:fill="ffffff"/>
          <w:rtl w:val="0"/>
          <w:lang w:val="en-US"/>
          <w14:textFill>
            <w14:solidFill>
              <w14:srgbClr w14:val="222222"/>
            </w14:solidFill>
          </w14:textFill>
        </w:rPr>
        <w:t>is publicly available,</w:t>
      </w:r>
      <w:r>
        <w:rPr>
          <w:rStyle w:val="Egyik sem"/>
          <w:rFonts w:ascii="Times New Roman" w:cs="Times New Roman" w:hAnsi="Times New Roman" w:eastAsia="Times New Roman"/>
          <w:outline w:val="0"/>
          <w:color w:val="222222"/>
          <w:sz w:val="24"/>
          <w:szCs w:val="24"/>
          <w:u w:color="222222"/>
          <w:shd w:val="clear" w:color="auto" w:fill="ffffff"/>
          <w:vertAlign w:val="superscript"/>
          <w14:textFill>
            <w14:solidFill>
              <w14:srgbClr w14:val="222222"/>
            </w14:solidFill>
          </w14:textFill>
        </w:rPr>
        <w:footnoteReference w:id="9"/>
      </w:r>
      <w:r>
        <w:rPr>
          <w:rStyle w:val="Egyik sem"/>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with contents like the following: </w:t>
      </w:r>
      <w:r>
        <w:rPr>
          <w:rStyle w:val="Egyik sem"/>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Style w:val="Egyik sem"/>
          <w:rFonts w:ascii="Times New Roman" w:hAnsi="Times New Roman"/>
          <w:outline w:val="0"/>
          <w:color w:val="222222"/>
          <w:sz w:val="24"/>
          <w:szCs w:val="24"/>
          <w:u w:color="222222"/>
          <w:shd w:val="clear" w:color="auto" w:fill="ffffff"/>
          <w:rtl w:val="0"/>
          <w:lang w:val="en-US"/>
          <w14:textFill>
            <w14:solidFill>
              <w14:srgbClr w14:val="222222"/>
            </w14:solidFill>
          </w14:textFill>
        </w:rPr>
        <w:t>Battering against men is also not as rare as the professional literature of the issue based on a feminist approach reveals it.</w:t>
      </w:r>
      <w:r>
        <w:rPr>
          <w:rStyle w:val="Egyik sem"/>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Style w:val="Egyik sem"/>
          <w:rFonts w:ascii="Times New Roman" w:cs="Times New Roman" w:hAnsi="Times New Roman" w:eastAsia="Times New Roman"/>
          <w:outline w:val="0"/>
          <w:color w:val="222222"/>
          <w:sz w:val="24"/>
          <w:szCs w:val="24"/>
          <w:u w:color="222222"/>
          <w:shd w:val="clear" w:color="auto" w:fill="ffffff"/>
          <w:vertAlign w:val="superscript"/>
          <w14:textFill>
            <w14:solidFill>
              <w14:srgbClr w14:val="222222"/>
            </w14:solidFill>
          </w14:textFill>
        </w:rPr>
        <w:footnoteReference w:id="10"/>
      </w:r>
      <w:r>
        <w:rPr>
          <w:rStyle w:val="Egyik sem"/>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xml:space="preserve"> “</w:t>
      </w:r>
      <w:r>
        <w:rPr>
          <w:rStyle w:val="Egyik sem"/>
          <w:rFonts w:ascii="Times New Roman" w:hAnsi="Times New Roman"/>
          <w:outline w:val="0"/>
          <w:color w:val="222222"/>
          <w:sz w:val="24"/>
          <w:szCs w:val="24"/>
          <w:u w:color="222222"/>
          <w:shd w:val="clear" w:color="auto" w:fill="ffffff"/>
          <w:rtl w:val="0"/>
          <w:lang w:val="en-US"/>
          <w14:textFill>
            <w14:solidFill>
              <w14:srgbClr w14:val="222222"/>
            </w14:solidFill>
          </w14:textFill>
        </w:rPr>
        <w:t>The highly publicized domestic professional literature dealing with the topic is a literature interpreted from a feminist approach to domestic violence, which primarily makes the patriarchal view responsible for the violence, and as such, sees men only as perpetrators and, and women as victims.</w:t>
      </w:r>
      <w:r>
        <w:rPr>
          <w:rStyle w:val="Egyik sem"/>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Style w:val="Egyik sem"/>
          <w:rFonts w:ascii="Times New Roman" w:cs="Times New Roman" w:hAnsi="Times New Roman" w:eastAsia="Times New Roman"/>
          <w:outline w:val="0"/>
          <w:color w:val="222222"/>
          <w:sz w:val="24"/>
          <w:szCs w:val="24"/>
          <w:u w:color="222222"/>
          <w:shd w:val="clear" w:color="auto" w:fill="ffffff"/>
          <w:vertAlign w:val="superscript"/>
          <w14:textFill>
            <w14:solidFill>
              <w14:srgbClr w14:val="222222"/>
            </w14:solidFill>
          </w14:textFill>
        </w:rPr>
        <w:footnoteReference w:id="11"/>
      </w:r>
      <w:r>
        <w:rPr>
          <w:rStyle w:val="Egyik sem"/>
          <w:rFonts w:ascii="Times New Roman" w:hAnsi="Times New Roman"/>
          <w:outline w:val="0"/>
          <w:color w:val="222222"/>
          <w:sz w:val="24"/>
          <w:szCs w:val="24"/>
          <w:u w:color="222222"/>
          <w:shd w:val="clear" w:color="auto" w:fill="ffffff"/>
          <w:rtl w:val="0"/>
          <w14:textFill>
            <w14:solidFill>
              <w14:srgbClr w14:val="222222"/>
            </w14:solidFill>
          </w14:textFill>
        </w:rPr>
        <w:t xml:space="preserve"> </w:t>
      </w: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In the field of trafficking and sexual exploitation, despite relevant measures being taken, shortcomings exist in the state response, also in compliance with respective international norms. Main areas of concerns include identification of victims of trafficking and availability and accessibility of specialized services, both for adults and children.</w:t>
      </w:r>
      <w:r>
        <w:rPr>
          <w:rStyle w:val="Egyik sem"/>
          <w:rFonts w:ascii="Times New Roman" w:cs="Times New Roman" w:hAnsi="Times New Roman" w:eastAsia="Times New Roman"/>
          <w:sz w:val="24"/>
          <w:szCs w:val="24"/>
          <w:vertAlign w:val="superscript"/>
        </w:rPr>
        <w:footnoteReference w:id="12"/>
      </w:r>
      <w:r>
        <w:rPr>
          <w:rStyle w:val="Egyik sem"/>
          <w:rFonts w:ascii="Times New Roman" w:hAnsi="Times New Roman"/>
          <w:sz w:val="24"/>
          <w:szCs w:val="24"/>
          <w:rtl w:val="0"/>
          <w:lang w:val="en-US"/>
        </w:rPr>
        <w:t xml:space="preserve"> Data and experiences show that victims of Hungarian origins are identified mostly abroad; while the identification and treatment of foreign victims only exists in an ad-hoc way, randomly, due to the inadequacy of the asylum system. As for the services, assistance is considered as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scarce and uncoordinated</w:t>
      </w:r>
      <w:r>
        <w:rPr>
          <w:rStyle w:val="Egyik sem"/>
          <w:rFonts w:ascii="Times New Roman" w:hAnsi="Times New Roman" w:hint="default"/>
          <w:sz w:val="24"/>
          <w:szCs w:val="24"/>
          <w:rtl w:val="0"/>
          <w:lang w:val="en-US"/>
        </w:rPr>
        <w:t>”</w:t>
      </w:r>
      <w:r>
        <w:rPr>
          <w:rStyle w:val="Egyik sem"/>
          <w:rFonts w:ascii="Times New Roman" w:cs="Times New Roman" w:hAnsi="Times New Roman" w:eastAsia="Times New Roman"/>
          <w:sz w:val="24"/>
          <w:szCs w:val="24"/>
          <w:vertAlign w:val="superscript"/>
        </w:rPr>
        <w:footnoteReference w:id="13"/>
      </w:r>
      <w:r>
        <w:rPr>
          <w:rStyle w:val="Egyik sem"/>
          <w:rFonts w:ascii="Times New Roman" w:hAnsi="Times New Roman"/>
          <w:sz w:val="24"/>
          <w:szCs w:val="24"/>
          <w:rtl w:val="0"/>
          <w:lang w:val="en-US"/>
        </w:rPr>
        <w:t>, the quality of care provided during the assistance of victims is not transparent or traceable. Child victims are included in the child protection system, which due to its inefficient operation enables further victimization.</w:t>
      </w: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Other forms of VAW (such as sexual violence including rape, sexual harassment, or obstetric violence) are only marginally addressed, or not addressed at all by legal, other measures and service provisions.</w:t>
      </w:r>
    </w:p>
    <w:p>
      <w:pPr>
        <w:pStyle w:val="Szövegtörzs"/>
        <w:spacing w:line="240" w:lineRule="auto"/>
        <w:jc w:val="both"/>
        <w:rPr>
          <w:rStyle w:val="Egyik sem"/>
          <w:rFonts w:ascii="Times New Roman" w:cs="Times New Roman" w:hAnsi="Times New Roman" w:eastAsia="Times New Roman"/>
          <w:sz w:val="24"/>
          <w:szCs w:val="24"/>
        </w:rPr>
      </w:pP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There are </w:t>
      </w:r>
      <w:r>
        <w:rPr>
          <w:rStyle w:val="Egyik sem"/>
          <w:rFonts w:ascii="Times New Roman" w:hAnsi="Times New Roman"/>
          <w:b w:val="1"/>
          <w:bCs w:val="1"/>
          <w:sz w:val="24"/>
          <w:szCs w:val="24"/>
          <w:rtl w:val="0"/>
          <w:lang w:val="en-US"/>
        </w:rPr>
        <w:t>legislative gaps</w:t>
      </w:r>
      <w:r>
        <w:rPr>
          <w:rStyle w:val="Egyik sem"/>
          <w:rFonts w:ascii="Times New Roman" w:hAnsi="Times New Roman"/>
          <w:sz w:val="24"/>
          <w:szCs w:val="24"/>
          <w:rtl w:val="0"/>
          <w:lang w:val="en-US"/>
        </w:rPr>
        <w:t xml:space="preserve"> in adequately addressing VAW and its different forms. For instance, the law - i.e. on civil restraining and the criminal offence of domestic violence -, does not provide protection against all kinds of intimate partners, while civil restraining order is granted for only a maximum of 60 days. For criminalizing rape the use of force or coercion is a prerequisite, instead of the lack of consent.</w:t>
      </w:r>
      <w:r>
        <w:rPr>
          <w:rStyle w:val="Egyik sem"/>
          <w:rFonts w:ascii="Times New Roman" w:cs="Times New Roman" w:hAnsi="Times New Roman" w:eastAsia="Times New Roman"/>
          <w:sz w:val="24"/>
          <w:szCs w:val="24"/>
          <w:vertAlign w:val="superscript"/>
        </w:rPr>
        <w:footnoteReference w:id="14"/>
      </w:r>
      <w:r>
        <w:rPr>
          <w:rStyle w:val="Egyik sem"/>
          <w:rFonts w:ascii="Times New Roman" w:hAnsi="Times New Roman"/>
          <w:sz w:val="24"/>
          <w:szCs w:val="24"/>
          <w:rtl w:val="0"/>
          <w:lang w:val="en-US"/>
        </w:rPr>
        <w:t xml:space="preserve"> The law also requires the victim</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active role in prosecution - either a specific statement about the victim</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wish to punish the perpetrator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private motion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 or private prosecution - for several crimes belonging to VAW.</w:t>
      </w:r>
      <w:r>
        <w:rPr>
          <w:rStyle w:val="Egyik sem"/>
          <w:rFonts w:ascii="Times New Roman" w:cs="Times New Roman" w:hAnsi="Times New Roman" w:eastAsia="Times New Roman"/>
          <w:sz w:val="24"/>
          <w:szCs w:val="24"/>
          <w:vertAlign w:val="superscript"/>
        </w:rPr>
        <w:footnoteReference w:id="15"/>
      </w:r>
    </w:p>
    <w:p>
      <w:pPr>
        <w:pStyle w:val="Szövegtörzs"/>
        <w:spacing w:line="240" w:lineRule="auto"/>
        <w:jc w:val="both"/>
        <w:rPr>
          <w:rStyle w:val="Egyik sem"/>
          <w:rFonts w:ascii="Times New Roman" w:cs="Times New Roman" w:hAnsi="Times New Roman" w:eastAsia="Times New Roman"/>
          <w:sz w:val="24"/>
          <w:szCs w:val="24"/>
        </w:rPr>
      </w:pP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Next to these inadequacies, even the </w:t>
      </w:r>
      <w:r>
        <w:rPr>
          <w:rStyle w:val="Egyik sem"/>
          <w:rFonts w:ascii="Times New Roman" w:hAnsi="Times New Roman"/>
          <w:b w:val="1"/>
          <w:bCs w:val="1"/>
          <w:sz w:val="24"/>
          <w:szCs w:val="24"/>
          <w:rtl w:val="0"/>
          <w:lang w:val="en-US"/>
        </w:rPr>
        <w:t>existing laws that might be applicable in VAW cases are not implemented/utilized in practice</w:t>
      </w:r>
      <w:r>
        <w:rPr>
          <w:rStyle w:val="Egyik sem"/>
          <w:rFonts w:ascii="Times New Roman" w:hAnsi="Times New Roman"/>
          <w:sz w:val="24"/>
          <w:szCs w:val="24"/>
          <w:rtl w:val="0"/>
          <w:lang w:val="en-US"/>
        </w:rPr>
        <w:t>. The lack of adequate training and thus knowledge, competence and attitude of different professionals and the lack of adequate protocols for properly handling cases constitute basic problems; that leads to differences in the quality of case management - it depends on luck whether victims meet a professionally prepared practitioner.</w:t>
      </w:r>
      <w:r>
        <w:rPr>
          <w:rStyle w:val="Egyik sem"/>
          <w:rFonts w:ascii="Times New Roman" w:cs="Times New Roman" w:hAnsi="Times New Roman" w:eastAsia="Times New Roman"/>
          <w:sz w:val="24"/>
          <w:szCs w:val="24"/>
          <w:vertAlign w:val="superscript"/>
        </w:rPr>
        <w:footnoteReference w:id="16"/>
      </w:r>
      <w:r>
        <w:rPr>
          <w:rStyle w:val="Egyik sem"/>
          <w:rFonts w:ascii="Times New Roman" w:hAnsi="Times New Roman"/>
          <w:sz w:val="24"/>
          <w:szCs w:val="24"/>
          <w:rtl w:val="0"/>
          <w:lang w:val="en-US"/>
        </w:rPr>
        <w:t xml:space="preserve"> Victim-blaming attitudes, degrading the seriousness of violence, as well as stereotypes and myths around violence are visibly present in professionals/practitioners, just as in society more broadly. For instance, in the case of domestic violence more than one third of people believe that violence ends when the victim leaves the perpetrator.</w:t>
      </w:r>
      <w:r>
        <w:rPr>
          <w:rStyle w:val="Egyik sem"/>
          <w:rFonts w:ascii="Times New Roman" w:cs="Times New Roman" w:hAnsi="Times New Roman" w:eastAsia="Times New Roman"/>
          <w:sz w:val="24"/>
          <w:szCs w:val="24"/>
          <w:vertAlign w:val="superscript"/>
        </w:rPr>
        <w:footnoteReference w:id="17"/>
      </w:r>
    </w:p>
    <w:p>
      <w:pPr>
        <w:pStyle w:val="Szövegtörzs"/>
        <w:spacing w:line="240" w:lineRule="auto"/>
        <w:jc w:val="both"/>
        <w:rPr>
          <w:rStyle w:val="Egyik sem"/>
          <w:rFonts w:ascii="Times New Roman" w:cs="Times New Roman" w:hAnsi="Times New Roman" w:eastAsia="Times New Roman"/>
          <w:sz w:val="24"/>
          <w:szCs w:val="24"/>
        </w:rPr>
      </w:pP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NANE Association since 1998 collects on a yearly basis </w:t>
      </w:r>
      <w:r>
        <w:rPr>
          <w:rStyle w:val="Egyik sem"/>
          <w:rFonts w:ascii="Times New Roman" w:hAnsi="Times New Roman"/>
          <w:b w:val="1"/>
          <w:bCs w:val="1"/>
          <w:sz w:val="24"/>
          <w:szCs w:val="24"/>
          <w:rtl w:val="0"/>
          <w:lang w:val="it-IT"/>
        </w:rPr>
        <w:t>femicide</w:t>
      </w:r>
      <w:r>
        <w:rPr>
          <w:rStyle w:val="Egyik sem"/>
          <w:rFonts w:ascii="Times New Roman" w:hAnsi="Times New Roman"/>
          <w:sz w:val="24"/>
          <w:szCs w:val="24"/>
          <w:rtl w:val="0"/>
          <w:lang w:val="en-US"/>
        </w:rPr>
        <w:t xml:space="preserve"> cases in the context of domestic violence against women, based on police and media news and reports. It has been visible, even from the short news/articles, including from recent years, that in many cases the history of violence was known by the authorities and institutions, but the victims have not been provided with protection.</w:t>
      </w:r>
      <w:r>
        <w:rPr>
          <w:rStyle w:val="Egyik sem"/>
          <w:rFonts w:ascii="Times New Roman" w:cs="Times New Roman" w:hAnsi="Times New Roman" w:eastAsia="Times New Roman"/>
          <w:sz w:val="24"/>
          <w:szCs w:val="24"/>
          <w:vertAlign w:val="superscript"/>
        </w:rPr>
        <w:footnoteReference w:id="18"/>
      </w:r>
      <w:r>
        <w:rPr>
          <w:rStyle w:val="Egyik sem"/>
          <w:rFonts w:ascii="Times New Roman" w:hAnsi="Times New Roman"/>
          <w:sz w:val="24"/>
          <w:szCs w:val="24"/>
          <w:rtl w:val="0"/>
          <w:lang w:val="en-US"/>
        </w:rPr>
        <w:t xml:space="preserve"> Representative survey also shows that as regards to domestic violence there is a general pessimism and distrust towards the legal system in Hungary.</w:t>
      </w:r>
      <w:r>
        <w:rPr>
          <w:rStyle w:val="Egyik sem"/>
          <w:rFonts w:ascii="Times New Roman" w:cs="Times New Roman" w:hAnsi="Times New Roman" w:eastAsia="Times New Roman"/>
          <w:sz w:val="24"/>
          <w:szCs w:val="24"/>
          <w:vertAlign w:val="superscript"/>
        </w:rPr>
        <w:footnoteReference w:id="19"/>
      </w:r>
      <w:r>
        <w:rPr>
          <w:rStyle w:val="Egyik sem"/>
          <w:rFonts w:ascii="Times New Roman" w:hAnsi="Times New Roman"/>
          <w:sz w:val="24"/>
          <w:szCs w:val="24"/>
          <w:rtl w:val="0"/>
        </w:rPr>
        <w:t xml:space="preserve"> </w:t>
      </w:r>
    </w:p>
    <w:p>
      <w:pPr>
        <w:pStyle w:val="Szövegtörzs"/>
        <w:spacing w:line="240" w:lineRule="auto"/>
        <w:jc w:val="both"/>
        <w:rPr>
          <w:rStyle w:val="Egyik sem"/>
          <w:rFonts w:ascii="Times New Roman" w:cs="Times New Roman" w:hAnsi="Times New Roman" w:eastAsia="Times New Roman"/>
          <w:sz w:val="24"/>
          <w:szCs w:val="24"/>
        </w:rPr>
      </w:pP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b w:val="1"/>
          <w:bCs w:val="1"/>
          <w:sz w:val="24"/>
          <w:szCs w:val="24"/>
          <w:rtl w:val="0"/>
          <w:lang w:val="en-US"/>
        </w:rPr>
        <w:t>Not taking into consideration the history of violence in child custody and visitation cases</w:t>
      </w:r>
      <w:r>
        <w:rPr>
          <w:rStyle w:val="Egyik sem"/>
          <w:rFonts w:ascii="Times New Roman" w:hAnsi="Times New Roman"/>
          <w:sz w:val="24"/>
          <w:szCs w:val="24"/>
          <w:rtl w:val="0"/>
          <w:lang w:val="en-US"/>
        </w:rPr>
        <w:t xml:space="preserve"> and related decisions is a pressing issue. There is no legal obligation to take the history of violence into consideration.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NGOs operating services for victims a</w:t>
      </w:r>
      <w:r>
        <w:rPr>
          <w:rStyle w:val="Egyik sem"/>
          <w:rFonts w:ascii="Times New Roman" w:hAnsi="Times New Roman"/>
          <w:sz w:val="24"/>
          <w:szCs w:val="24"/>
          <w:rtl w:val="0"/>
        </w:rPr>
        <w:t xml:space="preserve">s </w:t>
      </w:r>
      <w:r>
        <w:rPr>
          <w:rStyle w:val="Egyik sem"/>
          <w:rFonts w:ascii="Times New Roman" w:hAnsi="Times New Roman"/>
          <w:sz w:val="24"/>
          <w:szCs w:val="24"/>
          <w:rtl w:val="0"/>
          <w:lang w:val="en-US"/>
        </w:rPr>
        <w:t xml:space="preserve">well as related research show that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forced visitation</w:t>
      </w:r>
      <w:r>
        <w:rPr>
          <w:rStyle w:val="Egyik sem"/>
          <w:rFonts w:ascii="Times New Roman" w:hAnsi="Times New Roman" w:hint="default"/>
          <w:sz w:val="24"/>
          <w:szCs w:val="24"/>
          <w:rtl w:val="0"/>
          <w:lang w:val="en-US"/>
        </w:rPr>
        <w:t xml:space="preserve">” </w:t>
      </w:r>
      <w:r>
        <w:rPr>
          <w:rStyle w:val="Egyik sem"/>
          <w:rFonts w:ascii="Times New Roman" w:hAnsi="Times New Roman"/>
          <w:sz w:val="24"/>
          <w:szCs w:val="24"/>
          <w:rtl w:val="0"/>
          <w:lang w:val="en-US"/>
        </w:rPr>
        <w:t>is a frequent problem</w:t>
      </w:r>
      <w:r>
        <w:rPr>
          <w:rStyle w:val="Egyik sem"/>
          <w:rFonts w:ascii="Times New Roman" w:cs="Times New Roman" w:hAnsi="Times New Roman" w:eastAsia="Times New Roman"/>
          <w:sz w:val="24"/>
          <w:szCs w:val="24"/>
          <w:vertAlign w:val="superscript"/>
        </w:rPr>
        <w:footnoteReference w:id="20"/>
      </w:r>
      <w:r>
        <w:rPr>
          <w:rStyle w:val="Egyik sem"/>
          <w:rFonts w:ascii="Times New Roman" w:hAnsi="Times New Roman"/>
          <w:sz w:val="24"/>
          <w:szCs w:val="24"/>
          <w:rtl w:val="0"/>
          <w:lang w:val="en-US"/>
        </w:rPr>
        <w:t>: it is when the relevant authorities push child contact while ignoring or undermining the seriousness of the history of violence. In addition, the non-abusive parent can face punishment for protecting children from the perpetrator - e.g. by not forcing visitation -, this might take the form of a fine, losing custody over children, and even criminal offence on obstructing visitation. Not only has the legislative, normative framework and practice not improved in the last decade, new measures further aggravated the situation of victims. Obligatory child protection mediation for custody/visitation cases, or ordering shared, joint custody even if one parent is objecting to it - while not examining or degrading the seriousness of history of violence - put victims of violence in further danger and trauma.</w:t>
      </w: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In 2019-2020 several cases of domestic violence, including </w:t>
      </w:r>
      <w:r>
        <w:rPr>
          <w:rStyle w:val="Egyik sem"/>
          <w:rFonts w:ascii="Times New Roman" w:hAnsi="Times New Roman"/>
          <w:b w:val="1"/>
          <w:bCs w:val="1"/>
          <w:sz w:val="24"/>
          <w:szCs w:val="24"/>
          <w:rtl w:val="0"/>
          <w:lang w:val="fr-FR"/>
        </w:rPr>
        <w:t>infanticides</w:t>
      </w:r>
      <w:r>
        <w:rPr>
          <w:rStyle w:val="Egyik sem"/>
          <w:rFonts w:ascii="Times New Roman" w:hAnsi="Times New Roman"/>
          <w:sz w:val="24"/>
          <w:szCs w:val="24"/>
          <w:rtl w:val="0"/>
          <w:lang w:val="en-US"/>
        </w:rPr>
        <w:t>, the killing of children - enabled by professional negligence or misconduct by respective authorities - gained public attention and outrage. Upon this, the Minister/Ministry of Justice established the Family Law Civil Working Group to respond to the problem. Relevant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organizations were invited to this forum, as were so-called fathers</w:t>
      </w:r>
      <w:r>
        <w:rPr>
          <w:rStyle w:val="Egyik sem"/>
          <w:rFonts w:ascii="Times New Roman" w:hAnsi="Times New Roman" w:hint="default"/>
          <w:sz w:val="24"/>
          <w:szCs w:val="24"/>
          <w:rtl w:val="0"/>
          <w:lang w:val="en-US"/>
        </w:rPr>
        <w:t xml:space="preserve">’ </w:t>
      </w:r>
      <w:r>
        <w:rPr>
          <w:rStyle w:val="Egyik sem"/>
          <w:rFonts w:ascii="Times New Roman" w:hAnsi="Times New Roman"/>
          <w:sz w:val="24"/>
          <w:szCs w:val="24"/>
          <w:rtl w:val="0"/>
          <w:lang w:val="en-US"/>
        </w:rPr>
        <w:t>rights organizations. (The opinions and proposals of these two groups were considered as nullifying each other.) So far, the expertise and experience of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NGOs have not been utilized in this process, despite the various proposals they submitted for the effective state/institutional response. The changes introduced to date have not been capable of bringing substantive development; while some changes/proposals were relevant, some were not, or being even harmful for the victims.</w:t>
      </w:r>
      <w:r>
        <w:rPr>
          <w:rStyle w:val="Egyik sem"/>
          <w:rFonts w:ascii="Times New Roman" w:cs="Times New Roman" w:hAnsi="Times New Roman" w:eastAsia="Times New Roman"/>
          <w:sz w:val="24"/>
          <w:szCs w:val="24"/>
          <w:vertAlign w:val="superscript"/>
        </w:rPr>
        <w:footnoteReference w:id="21"/>
      </w:r>
    </w:p>
    <w:p>
      <w:pPr>
        <w:pStyle w:val="Szövegtörzs"/>
        <w:spacing w:line="240" w:lineRule="auto"/>
        <w:jc w:val="both"/>
        <w:rPr>
          <w:rStyle w:val="Egyik sem"/>
          <w:rFonts w:ascii="Times New Roman" w:cs="Times New Roman" w:hAnsi="Times New Roman" w:eastAsia="Times New Roman"/>
          <w:sz w:val="24"/>
          <w:szCs w:val="24"/>
        </w:rPr>
      </w:pP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The possibility and application of </w:t>
      </w:r>
      <w:r>
        <w:rPr>
          <w:rStyle w:val="Egyik sem"/>
          <w:rFonts w:ascii="Times New Roman" w:hAnsi="Times New Roman"/>
          <w:b w:val="1"/>
          <w:bCs w:val="1"/>
          <w:sz w:val="24"/>
          <w:szCs w:val="24"/>
          <w:rtl w:val="0"/>
          <w:lang w:val="fr-FR"/>
        </w:rPr>
        <w:t>mediation</w:t>
      </w:r>
      <w:r>
        <w:rPr>
          <w:rStyle w:val="Egyik sem"/>
          <w:rFonts w:ascii="Times New Roman" w:hAnsi="Times New Roman"/>
          <w:sz w:val="24"/>
          <w:szCs w:val="24"/>
          <w:rtl w:val="0"/>
          <w:lang w:val="en-US"/>
        </w:rPr>
        <w:t xml:space="preserve"> in cases of domestic violence is also an issue of concern; this not only capable of undermining perpetrators' accountability, but also of further traumatizing the victims.</w:t>
      </w:r>
      <w:r>
        <w:rPr>
          <w:rStyle w:val="Egyik sem"/>
          <w:rFonts w:ascii="Times New Roman" w:cs="Times New Roman" w:hAnsi="Times New Roman" w:eastAsia="Times New Roman"/>
          <w:sz w:val="24"/>
          <w:szCs w:val="24"/>
          <w:vertAlign w:val="superscript"/>
        </w:rPr>
        <w:footnoteReference w:id="22"/>
      </w:r>
    </w:p>
    <w:p>
      <w:pPr>
        <w:pStyle w:val="Szövegtörzs"/>
        <w:spacing w:line="240" w:lineRule="auto"/>
        <w:jc w:val="both"/>
        <w:rPr>
          <w:rStyle w:val="Egyik sem"/>
          <w:rFonts w:ascii="Times New Roman" w:cs="Times New Roman" w:hAnsi="Times New Roman" w:eastAsia="Times New Roman"/>
          <w:sz w:val="24"/>
          <w:szCs w:val="24"/>
        </w:rPr>
      </w:pP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The </w:t>
      </w:r>
      <w:r>
        <w:rPr>
          <w:rStyle w:val="Egyik sem"/>
          <w:rFonts w:ascii="Times New Roman" w:hAnsi="Times New Roman"/>
          <w:b w:val="1"/>
          <w:bCs w:val="1"/>
          <w:sz w:val="24"/>
          <w:szCs w:val="24"/>
          <w:rtl w:val="0"/>
          <w:lang w:val="en-US"/>
        </w:rPr>
        <w:t xml:space="preserve">lack of adequate specialized services </w:t>
      </w:r>
      <w:r>
        <w:rPr>
          <w:rStyle w:val="Egyik sem"/>
          <w:rFonts w:ascii="Times New Roman" w:hAnsi="Times New Roman"/>
          <w:sz w:val="24"/>
          <w:szCs w:val="24"/>
          <w:rtl w:val="0"/>
          <w:lang w:val="en-US"/>
        </w:rPr>
        <w:t>for the victims of VAW still constitutes a problem. As for domestic violence, the number of shelter places are far behind the international standards. According to the last EU-wide representative survey</w:t>
      </w:r>
      <w:r>
        <w:rPr>
          <w:rStyle w:val="Egyik sem"/>
          <w:rFonts w:ascii="Times New Roman" w:cs="Times New Roman" w:hAnsi="Times New Roman" w:eastAsia="Times New Roman"/>
          <w:sz w:val="24"/>
          <w:szCs w:val="24"/>
          <w:vertAlign w:val="superscript"/>
        </w:rPr>
        <w:footnoteReference w:id="23"/>
      </w:r>
      <w:r>
        <w:rPr>
          <w:rStyle w:val="Egyik sem"/>
          <w:rFonts w:ascii="Times New Roman" w:hAnsi="Times New Roman"/>
          <w:sz w:val="24"/>
          <w:szCs w:val="24"/>
          <w:rtl w:val="0"/>
          <w:lang w:val="en-US"/>
        </w:rPr>
        <w:t>, compared with current census data, there may be ca. 226.000 women in Hungary living in a violent relationship, and fewer than 300 shelter places.</w:t>
      </w:r>
      <w:r>
        <w:rPr>
          <w:rStyle w:val="Egyik sem"/>
          <w:rFonts w:ascii="Times New Roman" w:cs="Times New Roman" w:hAnsi="Times New Roman" w:eastAsia="Times New Roman"/>
          <w:sz w:val="24"/>
          <w:szCs w:val="24"/>
          <w:vertAlign w:val="superscript"/>
        </w:rPr>
        <w:footnoteReference w:id="24"/>
      </w:r>
      <w:r>
        <w:rPr>
          <w:rStyle w:val="Egyik sem"/>
          <w:rFonts w:ascii="Times New Roman" w:hAnsi="Times New Roman"/>
          <w:sz w:val="24"/>
          <w:szCs w:val="24"/>
          <w:rtl w:val="0"/>
          <w:lang w:val="en-US"/>
        </w:rPr>
        <w:t xml:space="preserve"> Access to/placement in a shelter (crisis intervention center) is conditional on a crisis situation. Furthermore, in Hungary, there is not a single rape crisis center or sexual violence referrals center. The emergency patient care system (ambulances and hospital units) are open for everyone with an acute health concern, over-burdened and under-financed, therefore unable to provide the necessary services for rape victims due to lack of capacities, adequate training and resources.</w:t>
      </w: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The government promotes improving victim service infrastructure, among others by the development and increasing the numbers of </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victim support centers</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 However, these centers are designed for victims of any crime. In recent years it has been communicated that victims of domestic violence can get help from these centers, although it raises concern whether the employees received any special training on the phenomenon and on assisting special needs of victims of this particular kind. On the other hand, these improvements seem rather elusive when victims report - as we hear it through the helplines, and other direct contacts with victims - that they remain without adequate and specialized support services (e.g. being told that there are no shelter spaces unless they can evidence imminent danger of life-threatening attack by their abuser).</w:t>
      </w:r>
    </w:p>
    <w:p>
      <w:pPr>
        <w:pStyle w:val="Szövegtörzs"/>
        <w:spacing w:line="240" w:lineRule="auto"/>
        <w:jc w:val="both"/>
        <w:rPr>
          <w:rStyle w:val="Egyik sem"/>
          <w:rFonts w:ascii="Times New Roman" w:cs="Times New Roman" w:hAnsi="Times New Roman" w:eastAsia="Times New Roman"/>
          <w:sz w:val="24"/>
          <w:szCs w:val="24"/>
        </w:rPr>
      </w:pP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Generally speaking, no formalized, genuine </w:t>
      </w:r>
      <w:r>
        <w:rPr>
          <w:rStyle w:val="Egyik sem"/>
          <w:rFonts w:ascii="Times New Roman" w:hAnsi="Times New Roman"/>
          <w:b w:val="1"/>
          <w:bCs w:val="1"/>
          <w:sz w:val="24"/>
          <w:szCs w:val="24"/>
          <w:rtl w:val="0"/>
          <w:lang w:val="en-US"/>
        </w:rPr>
        <w:t>partnership and collaboration</w:t>
      </w:r>
      <w:r>
        <w:rPr>
          <w:rStyle w:val="Egyik sem"/>
          <w:rFonts w:ascii="Times New Roman" w:hAnsi="Times New Roman"/>
          <w:sz w:val="24"/>
          <w:szCs w:val="24"/>
          <w:rtl w:val="0"/>
          <w:lang w:val="en-US"/>
        </w:rPr>
        <w:t xml:space="preserve"> exist between state actors, institutions, those who provide services for domestic violence victims in the centrally regulated system and independent women</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rights NGOs working in the field.</w:t>
      </w:r>
    </w:p>
    <w:p>
      <w:pPr>
        <w:pStyle w:val="Szövegtörzs"/>
        <w:spacing w:line="240" w:lineRule="auto"/>
        <w:jc w:val="both"/>
        <w:rPr>
          <w:rStyle w:val="Egyik sem"/>
          <w:rFonts w:ascii="Times New Roman" w:cs="Times New Roman" w:hAnsi="Times New Roman" w:eastAsia="Times New Roman"/>
          <w:sz w:val="24"/>
          <w:szCs w:val="24"/>
        </w:rPr>
      </w:pP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No up-to-date representative survey is available on violence against women and girls or on its specific forms in Hungary. Such representative survey data were only available thanks to the EU Fundamental Rights Agency</w:t>
      </w:r>
      <w:r>
        <w:rPr>
          <w:rStyle w:val="Egyik sem"/>
          <w:rFonts w:ascii="Times New Roman" w:hAnsi="Times New Roman" w:hint="default"/>
          <w:sz w:val="24"/>
          <w:szCs w:val="24"/>
          <w:rtl w:val="0"/>
          <w:lang w:val="en-US"/>
        </w:rPr>
        <w:t>’</w:t>
      </w:r>
      <w:r>
        <w:rPr>
          <w:rStyle w:val="Egyik sem"/>
          <w:rFonts w:ascii="Times New Roman" w:hAnsi="Times New Roman"/>
          <w:sz w:val="24"/>
          <w:szCs w:val="24"/>
          <w:rtl w:val="0"/>
          <w:lang w:val="en-US"/>
        </w:rPr>
        <w:t>s data collection in 2011-12: it had a huge gap-filling importance in Hungary, and provided data both on the prevalence of violence and on the victims</w:t>
      </w:r>
      <w:r>
        <w:rPr>
          <w:rStyle w:val="Egyik sem"/>
          <w:rFonts w:ascii="Times New Roman" w:hAnsi="Times New Roman" w:hint="default"/>
          <w:sz w:val="24"/>
          <w:szCs w:val="24"/>
          <w:rtl w:val="0"/>
          <w:lang w:val="en-US"/>
        </w:rPr>
        <w:t xml:space="preserve">’ </w:t>
      </w:r>
      <w:r>
        <w:rPr>
          <w:rStyle w:val="Egyik sem"/>
          <w:rFonts w:ascii="Times New Roman" w:hAnsi="Times New Roman"/>
          <w:sz w:val="24"/>
          <w:szCs w:val="24"/>
          <w:rtl w:val="0"/>
          <w:lang w:val="en-US"/>
        </w:rPr>
        <w:t>attitudes and experiences in the system. Despite the above, Hungary decided not to take part in the second round of the EU-wide survey, coordinated now by EUROSTAT.</w:t>
      </w:r>
    </w:p>
    <w:p>
      <w:pPr>
        <w:pStyle w:val="Szövegtörzs"/>
        <w:spacing w:line="240" w:lineRule="auto"/>
        <w:jc w:val="both"/>
        <w:rPr>
          <w:rStyle w:val="Egyik sem"/>
          <w:rFonts w:ascii="Times New Roman" w:cs="Times New Roman" w:hAnsi="Times New Roman" w:eastAsia="Times New Roman"/>
          <w:sz w:val="24"/>
          <w:szCs w:val="24"/>
        </w:rPr>
      </w:pPr>
      <w:r>
        <w:rPr>
          <w:rStyle w:val="Egyik sem"/>
          <w:rFonts w:ascii="Times New Roman" w:hAnsi="Times New Roman"/>
          <w:sz w:val="24"/>
          <w:szCs w:val="24"/>
          <w:rtl w:val="0"/>
          <w:lang w:val="en-US"/>
        </w:rPr>
        <w:t xml:space="preserve">There are gaps also in administrative </w:t>
      </w:r>
      <w:r>
        <w:rPr>
          <w:rStyle w:val="Egyik sem"/>
          <w:rFonts w:ascii="Times New Roman" w:hAnsi="Times New Roman"/>
          <w:b w:val="1"/>
          <w:bCs w:val="1"/>
          <w:sz w:val="24"/>
          <w:szCs w:val="24"/>
          <w:rtl w:val="0"/>
          <w:lang w:val="fr-FR"/>
        </w:rPr>
        <w:t>data collection</w:t>
      </w:r>
      <w:r>
        <w:rPr>
          <w:rStyle w:val="Egyik sem"/>
          <w:rFonts w:ascii="Times New Roman" w:hAnsi="Times New Roman"/>
          <w:sz w:val="24"/>
          <w:szCs w:val="24"/>
          <w:rtl w:val="0"/>
          <w:lang w:val="en-US"/>
        </w:rPr>
        <w:t xml:space="preserve"> in the field, including relevant disaggregation, harmonization of data collection methods by different authorities/institutions, and public access to relevant data.</w:t>
      </w:r>
      <w:r>
        <w:rPr>
          <w:rStyle w:val="Egyik sem"/>
          <w:rFonts w:ascii="Times New Roman" w:cs="Times New Roman" w:hAnsi="Times New Roman" w:eastAsia="Times New Roman"/>
          <w:sz w:val="24"/>
          <w:szCs w:val="24"/>
          <w:vertAlign w:val="superscript"/>
        </w:rPr>
        <w:footnoteReference w:id="25"/>
      </w:r>
      <w:r>
        <w:rPr>
          <w:rStyle w:val="Egyik sem"/>
          <w:rFonts w:ascii="Times New Roman" w:hAnsi="Times New Roman"/>
          <w:sz w:val="24"/>
          <w:szCs w:val="24"/>
          <w:rtl w:val="0"/>
          <w:lang w:val="en-US"/>
        </w:rPr>
        <w:t xml:space="preserve"> (For instance, the ratio of unreported and reported cases is not measured; and there is no case-tracking system across different authorities/institutions dealing with the case.) Although a considerable set of criminal justice data is available at the level of police and prosecutor service, there is a pressing absence of data collection for court cases on VAW.</w:t>
      </w:r>
      <w:r>
        <w:rPr>
          <w:rStyle w:val="Egyik sem"/>
          <w:rFonts w:ascii="Times New Roman" w:cs="Times New Roman" w:hAnsi="Times New Roman" w:eastAsia="Times New Roman"/>
          <w:sz w:val="24"/>
          <w:szCs w:val="24"/>
          <w:vertAlign w:val="superscript"/>
        </w:rPr>
        <w:footnoteReference w:id="26"/>
      </w:r>
      <w:r>
        <w:rPr>
          <w:rStyle w:val="Egyik sem"/>
          <w:rFonts w:ascii="Times New Roman" w:hAnsi="Times New Roman"/>
          <w:sz w:val="24"/>
          <w:szCs w:val="24"/>
          <w:rtl w:val="0"/>
          <w:lang w:val="en-US"/>
        </w:rPr>
        <w:t xml:space="preserve"> There are also shortcomings in data about different (protection) measures and services available for/used by VAWG/IPV/DV (violence against women and girls/intimate partner violence/domestic violence) victims. </w:t>
      </w:r>
    </w:p>
    <w:p>
      <w:pPr>
        <w:pStyle w:val="Szövegtörzs"/>
        <w:spacing w:line="240" w:lineRule="auto"/>
        <w:jc w:val="both"/>
        <w:rPr>
          <w:rStyle w:val="Egyik sem"/>
          <w:rFonts w:ascii="Times New Roman" w:cs="Times New Roman" w:hAnsi="Times New Roman" w:eastAsia="Times New Roman"/>
          <w:sz w:val="24"/>
          <w:szCs w:val="24"/>
        </w:rPr>
      </w:pPr>
    </w:p>
    <w:p>
      <w:pPr>
        <w:pStyle w:val="Szövegtörzs"/>
        <w:spacing w:line="240" w:lineRule="auto"/>
        <w:jc w:val="both"/>
        <w:rPr>
          <w:rStyle w:val="Egyik sem"/>
          <w:rFonts w:ascii="Times New Roman" w:cs="Times New Roman" w:hAnsi="Times New Roman" w:eastAsia="Times New Roman"/>
          <w:i w:val="1"/>
          <w:iCs w:val="1"/>
          <w:sz w:val="24"/>
          <w:szCs w:val="24"/>
        </w:rPr>
      </w:pPr>
      <w:r>
        <w:rPr>
          <w:rStyle w:val="Egyik sem"/>
          <w:rFonts w:ascii="Times New Roman" w:hAnsi="Times New Roman"/>
          <w:i w:val="1"/>
          <w:iCs w:val="1"/>
          <w:sz w:val="24"/>
          <w:szCs w:val="24"/>
          <w:rtl w:val="0"/>
          <w:lang w:val="en-US"/>
        </w:rPr>
        <w:t>Recommendations:</w:t>
      </w:r>
    </w:p>
    <w:p>
      <w:pPr>
        <w:pStyle w:val="Szövegtörzs"/>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Ratify the Istanbul Convention; apply a comprehensive approach to all forms of VAW.</w:t>
      </w:r>
    </w:p>
    <w:p>
      <w:pPr>
        <w:pStyle w:val="Szövegtörzs"/>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Criminalize rape upon lack of consent, instead of the use of force/coercion. Conduct wide scale awareness raising campaigns to combat myths and victim blaming attitudes around sexual violence.</w:t>
      </w:r>
    </w:p>
    <w:p>
      <w:pPr>
        <w:pStyle w:val="Szövegtörzs"/>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Enact a broader definition of domestic violence, both in criminal law and in the law on restraining that covers all types of partnerships (also irrespective of cohabitation) and all types of violence. Amend the legislation on preventive restraining order to extend the duration of restraining.</w:t>
      </w:r>
    </w:p>
    <w:p>
      <w:pPr>
        <w:pStyle w:val="Szövegtörzs"/>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Introduce comprehensive and effective measures to prevent femicides and infanticides.</w:t>
      </w:r>
    </w:p>
    <w:p>
      <w:pPr>
        <w:pStyle w:val="Szövegtörzs"/>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Introduce systematic risk assessment, risk management, protection measures and safety planning in case of violence, with special regard to post-separation, custody and visitation.</w:t>
      </w:r>
    </w:p>
    <w:p>
      <w:pPr>
        <w:pStyle w:val="Szövegtörzs"/>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Prohibit using methods and techniques which are harmful and (further) traumatizing for the victims of violence, and at the same time undermine the accountability of perpetrators, such as mediation, other conciliation methods, reference to parental alienation etc.</w:t>
      </w:r>
    </w:p>
    <w:p>
      <w:pPr>
        <w:pStyle w:val="Szövegtörzs"/>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Review pre- and in-service training curricula for all relevant professionals, practitioners - police, prosecutors, judges, court appointed experts, child protection services/authorities, social workers, victim service providers, such as crisis intervention centers, victims support centers etc. -; provide adequate, obligatory meaningful trainings for all these professionals, practitioners, based on the human rights/women</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s rights approach, with substantive involvement of women</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s rights NGOs working in the field.</w:t>
      </w:r>
    </w:p>
    <w:p>
      <w:pPr>
        <w:pStyle w:val="Szövegtörzs"/>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Guarantee that only those with the necessary knowledge, competence and attitude can make decisions on VAWG/IPV/DV issues, act otherwise in these cases - such as expert witnesses -, or provide any kind of services and support to the victims. Introduce related quality control mechanisms, as well as measures for guaranteeing accountability of practitioners.</w:t>
      </w:r>
    </w:p>
    <w:p>
      <w:pPr>
        <w:pStyle w:val="Szövegtörzs"/>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 xml:space="preserve">Introduce protocols or guidelines for all relevant professionals, practitioners on how to handle VAWG/IPV/DV cases, including effective referrals; revise and review these regulations periodically. Provide exchange and information sharing between relevant sectors, </w:t>
      </w:r>
      <w:r>
        <w:rPr>
          <w:rStyle w:val="Egyik sem"/>
          <w:rFonts w:ascii="Times New Roman" w:hAnsi="Times New Roman" w:hint="default"/>
          <w:i w:val="1"/>
          <w:iCs w:val="1"/>
          <w:sz w:val="24"/>
          <w:szCs w:val="24"/>
          <w:rtl w:val="0"/>
          <w:lang w:val="en-US"/>
        </w:rPr>
        <w:t xml:space="preserve">– </w:t>
      </w:r>
      <w:r>
        <w:rPr>
          <w:rStyle w:val="Egyik sem"/>
          <w:rFonts w:ascii="Times New Roman" w:hAnsi="Times New Roman"/>
          <w:i w:val="1"/>
          <w:iCs w:val="1"/>
          <w:sz w:val="24"/>
          <w:szCs w:val="24"/>
          <w:rtl w:val="0"/>
          <w:lang w:val="en-US"/>
        </w:rPr>
        <w:t xml:space="preserve">e.g. law enforcement, justice, social and child protection sector, support service providers </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 as well as for the different proceedings, to make informed decisions, and also to avoid secondary victimization.</w:t>
      </w:r>
    </w:p>
    <w:p>
      <w:pPr>
        <w:pStyle w:val="Szövegtörzs"/>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Introduce legal obligations to assess history of violence for any decisions on child custody and visitation. Introduce safeguarding measures to guarantee that exercise of custody and visitation rights doesn't jeopardize victims</w:t>
      </w:r>
      <w:r>
        <w:rPr>
          <w:rStyle w:val="Egyik sem"/>
          <w:rFonts w:ascii="Times New Roman" w:hAnsi="Times New Roman" w:hint="default"/>
          <w:i w:val="1"/>
          <w:iCs w:val="1"/>
          <w:sz w:val="24"/>
          <w:szCs w:val="24"/>
          <w:rtl w:val="0"/>
          <w:lang w:val="en-US"/>
        </w:rPr>
        <w:t xml:space="preserve">’ </w:t>
      </w:r>
      <w:r>
        <w:rPr>
          <w:rStyle w:val="Egyik sem"/>
          <w:rFonts w:ascii="Times New Roman" w:hAnsi="Times New Roman"/>
          <w:i w:val="1"/>
          <w:iCs w:val="1"/>
          <w:sz w:val="24"/>
          <w:szCs w:val="24"/>
          <w:rtl w:val="0"/>
          <w:lang w:val="en-US"/>
        </w:rPr>
        <w:t xml:space="preserve">rights and safety. Guarantee adequate interpretation of the </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best interest of the child</w:t>
      </w:r>
      <w:r>
        <w:rPr>
          <w:rStyle w:val="Egyik sem"/>
          <w:rFonts w:ascii="Times New Roman" w:hAnsi="Times New Roman" w:hint="default"/>
          <w:i w:val="1"/>
          <w:iCs w:val="1"/>
          <w:sz w:val="24"/>
          <w:szCs w:val="24"/>
          <w:rtl w:val="0"/>
          <w:lang w:val="en-US"/>
        </w:rPr>
        <w:t xml:space="preserve">” </w:t>
      </w:r>
      <w:r>
        <w:rPr>
          <w:rStyle w:val="Egyik sem"/>
          <w:rFonts w:ascii="Times New Roman" w:hAnsi="Times New Roman"/>
          <w:i w:val="1"/>
          <w:iCs w:val="1"/>
          <w:sz w:val="24"/>
          <w:szCs w:val="24"/>
          <w:rtl w:val="0"/>
          <w:lang w:val="en-US"/>
        </w:rPr>
        <w:t xml:space="preserve">principle in this context. Eliminate the practice of </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forced visitation</w:t>
      </w:r>
      <w:r>
        <w:rPr>
          <w:rStyle w:val="Egyik sem"/>
          <w:rFonts w:ascii="Times New Roman" w:hAnsi="Times New Roman" w:hint="default"/>
          <w:i w:val="1"/>
          <w:iCs w:val="1"/>
          <w:sz w:val="24"/>
          <w:szCs w:val="24"/>
          <w:rtl w:val="0"/>
          <w:lang w:val="en-US"/>
        </w:rPr>
        <w:t>”</w:t>
      </w:r>
      <w:r>
        <w:rPr>
          <w:rStyle w:val="Egyik sem"/>
          <w:rFonts w:ascii="Times New Roman" w:hAnsi="Times New Roman"/>
          <w:i w:val="1"/>
          <w:iCs w:val="1"/>
          <w:sz w:val="24"/>
          <w:szCs w:val="24"/>
          <w:rtl w:val="0"/>
          <w:lang w:val="en-US"/>
        </w:rPr>
        <w:t>. End the practice when the non-abusive parent can face punishment for protecting children from the perpetrator. Provide specialized services and support for the children and for the non-abusive parent.</w:t>
      </w:r>
    </w:p>
    <w:p>
      <w:pPr>
        <w:pStyle w:val="Szövegtörzs"/>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Guarantee that rights and needs based trauma-informed support is available for VAW victims.</w:t>
      </w:r>
    </w:p>
    <w:p>
      <w:pPr>
        <w:pStyle w:val="Szövegtörzs"/>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 xml:space="preserve">Provide appropriate and easily accessible health-care services for women victims of violence. Grant immediate medical and forensic examinations to victims of IPV automatically and free of charge. </w:t>
      </w:r>
    </w:p>
    <w:p>
      <w:pPr>
        <w:pStyle w:val="Szövegtörzs"/>
        <w:numPr>
          <w:ilvl w:val="0"/>
          <w:numId w:val="2"/>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Ensure that shelters are available to victims of violence against women, with sufficient number of places, and not only in cases that are treated as crisis situations.</w:t>
      </w:r>
    </w:p>
    <w:p>
      <w:pPr>
        <w:pStyle w:val="Szövegtörzs"/>
        <w:numPr>
          <w:ilvl w:val="0"/>
          <w:numId w:val="4"/>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Improve administrative data collection - including data in criminal and civil/family justice, as well as in the victim support service sector (victim support centres, crisis centers, shelters etc.) - on all forms of VAWG, especially on domestic and sexual violence; make data publicly available.</w:t>
      </w:r>
    </w:p>
    <w:p>
      <w:pPr>
        <w:pStyle w:val="Szövegtörzs"/>
        <w:numPr>
          <w:ilvl w:val="0"/>
          <w:numId w:val="4"/>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Take measures to improve the detection and remedying of sexual harassment, including in the workplace. Collect and make available related administrative data.</w:t>
      </w:r>
    </w:p>
    <w:p>
      <w:pPr>
        <w:pStyle w:val="Szövegtörzs"/>
        <w:numPr>
          <w:ilvl w:val="0"/>
          <w:numId w:val="4"/>
        </w:numPr>
        <w:bidi w:val="0"/>
        <w:spacing w:line="240" w:lineRule="auto"/>
        <w:ind w:right="0"/>
        <w:jc w:val="both"/>
        <w:rPr>
          <w:rFonts w:ascii="Times New Roman" w:hAnsi="Times New Roman"/>
          <w:i w:val="1"/>
          <w:iCs w:val="1"/>
          <w:sz w:val="24"/>
          <w:szCs w:val="24"/>
          <w:rtl w:val="0"/>
          <w:lang w:val="en-US"/>
        </w:rPr>
      </w:pPr>
      <w:r>
        <w:rPr>
          <w:rStyle w:val="Egyik sem"/>
          <w:rFonts w:ascii="Times New Roman" w:hAnsi="Times New Roman"/>
          <w:i w:val="1"/>
          <w:iCs w:val="1"/>
          <w:sz w:val="24"/>
          <w:szCs w:val="24"/>
          <w:rtl w:val="0"/>
          <w:lang w:val="en-US"/>
        </w:rPr>
        <w:t>Sign and ratify the ILO Convention concerning the elimination of violence and harassment in the world of work.</w:t>
      </w:r>
    </w:p>
    <w:sectPr>
      <w:headerReference w:type="default" r:id="rId4"/>
      <w:headerReference w:type="first" r:id="rId5"/>
      <w:footerReference w:type="default" r:id="rId6"/>
      <w:footerReference w:type="first" r:id="rId7"/>
      <w:pgSz w:w="12240" w:h="15840" w:orient="portrait"/>
      <w:pgMar w:top="1440" w:right="1440" w:bottom="1440" w:left="1440" w:header="720" w:footer="72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Szövegtörzs"/>
      <w:jc w:val="center"/>
    </w:pPr>
    <w:r>
      <w:rPr>
        <w:rStyle w:val="Egyik sem"/>
      </w:rPr>
      <w:fldChar w:fldCharType="begin" w:fldLock="0"/>
    </w:r>
    <w:r>
      <w:rPr>
        <w:rStyle w:val="Egyik sem"/>
      </w:rPr>
      <w:instrText xml:space="preserve"> PAGE </w:instrText>
    </w:r>
    <w:r>
      <w:rPr>
        <w:rStyle w:val="Egyik sem"/>
      </w:rPr>
      <w:fldChar w:fldCharType="separate" w:fldLock="0"/>
    </w:r>
    <w:r>
      <w:rPr>
        <w:rStyle w:val="Egyik sem"/>
      </w:rPr>
    </w:r>
    <w:r>
      <w:rPr>
        <w:rStyle w:val="Egyik sem"/>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ejléc és lábléc"/>
      <w:bidi w:val="0"/>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Szövegtörzs"/>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 xml:space="preserve">See: </w:t>
      </w:r>
      <w:r>
        <w:rPr>
          <w:rStyle w:val="Hyperlink.0"/>
        </w:rPr>
        <w:fldChar w:fldCharType="begin" w:fldLock="0"/>
      </w:r>
      <w:r>
        <w:rPr>
          <w:rStyle w:val="Hyperlink.0"/>
        </w:rPr>
        <w:instrText xml:space="preserve"> HYPERLINK "http://abouthungary.hu/blog/yes-to-protection-of-women-no-to-gender-ideology-and-illegal-migration/"</w:instrText>
      </w:r>
      <w:r>
        <w:rPr>
          <w:rStyle w:val="Hyperlink.0"/>
        </w:rPr>
        <w:fldChar w:fldCharType="separate" w:fldLock="0"/>
      </w:r>
      <w:r>
        <w:rPr>
          <w:rStyle w:val="Hyperlink.0"/>
          <w:rtl w:val="0"/>
          <w:lang w:val="en-US"/>
        </w:rPr>
        <w:t>http://abouthungary.hu/blog/yes-to-protection-of-women-no-to-gender-ideology-and-illegal-migration/</w:t>
      </w:r>
      <w:r>
        <w:rPr/>
        <w:fldChar w:fldCharType="end" w:fldLock="0"/>
      </w:r>
    </w:p>
  </w:footnote>
  <w:footnote w:id="2">
    <w:p>
      <w:pPr>
        <w:pStyle w:val="Szövegtörzs"/>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See the text in Hungarian </w:t>
      </w:r>
      <w:r>
        <w:rPr>
          <w:rStyle w:val="Hyperlink.0"/>
        </w:rPr>
        <w:fldChar w:fldCharType="begin" w:fldLock="0"/>
      </w:r>
      <w:r>
        <w:rPr>
          <w:rStyle w:val="Hyperlink.0"/>
        </w:rPr>
        <w:instrText xml:space="preserve"> HYPERLINK "https://njt.hu/jogszabaly/2020-2-H1-41"</w:instrText>
      </w:r>
      <w:r>
        <w:rPr>
          <w:rStyle w:val="Hyperlink.0"/>
        </w:rPr>
        <w:fldChar w:fldCharType="separate" w:fldLock="0"/>
      </w:r>
      <w:r>
        <w:rPr>
          <w:rStyle w:val="Hyperlink.0"/>
          <w:rtl w:val="0"/>
        </w:rPr>
        <w:t>https://njt.hu/jogszabaly/2020-2-H1-41</w:t>
      </w:r>
      <w:r>
        <w:rPr/>
        <w:fldChar w:fldCharType="end" w:fldLock="0"/>
      </w:r>
    </w:p>
  </w:footnote>
  <w:footnote w:id="3">
    <w:p>
      <w:pPr>
        <w:pStyle w:val="Szövegtörzs"/>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Hyperlink.0"/>
        </w:rPr>
        <w:fldChar w:fldCharType="begin" w:fldLock="0"/>
      </w:r>
      <w:r>
        <w:rPr>
          <w:rStyle w:val="Hyperlink.0"/>
        </w:rPr>
        <w:instrText xml:space="preserve"> HYPERLINK "https://stopgenderconvention.org/en/"</w:instrText>
      </w:r>
      <w:r>
        <w:rPr>
          <w:rStyle w:val="Hyperlink.0"/>
        </w:rPr>
        <w:fldChar w:fldCharType="separate" w:fldLock="0"/>
      </w:r>
      <w:r>
        <w:rPr>
          <w:rStyle w:val="Hyperlink.0"/>
          <w:rtl w:val="0"/>
          <w:lang w:val="nl-NL"/>
        </w:rPr>
        <w:t>https://stopgenderconvention.org/en/</w:t>
      </w:r>
      <w:r>
        <w:rPr/>
        <w:fldChar w:fldCharType="end" w:fldLock="0"/>
      </w:r>
    </w:p>
  </w:footnote>
  <w:footnote w:id="4">
    <w:p>
      <w:pPr>
        <w:pStyle w:val="Szövegtörzs"/>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See in detail for example the submission of The Advocates for Human Rights to the Pre-sessional Working Group for the 80th session of the UN CEDAW Committee (2021).</w:t>
      </w:r>
    </w:p>
  </w:footnote>
  <w:footnote w:id="5">
    <w:p>
      <w:pPr>
        <w:pStyle w:val="Szövegtörzs"/>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For the first Plan of Measures see: Government Decision No. 1685/2020. (X. 22.) in Hungarian </w:t>
      </w:r>
      <w:r>
        <w:rPr>
          <w:rStyle w:val="Hyperlink.0"/>
        </w:rPr>
        <w:fldChar w:fldCharType="begin" w:fldLock="0"/>
      </w:r>
      <w:r>
        <w:rPr>
          <w:rStyle w:val="Hyperlink.0"/>
        </w:rPr>
        <w:instrText xml:space="preserve"> HYPERLINK "http://njt.hu/cgi_bin/njt_doc.cgi?docid=222314.390502"</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lang w:val="en-US"/>
        </w:rPr>
        <w:t xml:space="preserve">. For the second Plan of Measures see: Government Decision No. 1516/2022. (X. 28.) </w:t>
      </w:r>
      <w:r>
        <w:rPr>
          <w:rStyle w:val="Hyperlink.0"/>
        </w:rPr>
        <w:fldChar w:fldCharType="begin" w:fldLock="0"/>
      </w:r>
      <w:r>
        <w:rPr>
          <w:rStyle w:val="Hyperlink.0"/>
        </w:rPr>
        <w:instrText xml:space="preserve"> HYPERLINK "https://njt.hu/jogszabaly/2022-1516-30-22"</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lang w:val="en-US"/>
        </w:rPr>
        <w:t xml:space="preserve">. The Modified Action Plan is available </w:t>
      </w:r>
      <w:r>
        <w:rPr>
          <w:rStyle w:val="Hyperlink.0"/>
        </w:rPr>
        <w:fldChar w:fldCharType="begin" w:fldLock="0"/>
      </w:r>
      <w:r>
        <w:rPr>
          <w:rStyle w:val="Hyperlink.0"/>
        </w:rPr>
        <w:instrText xml:space="preserve"> HYPERLINK "https://cdn.kormany.hu/uploads/document/f/fe/fec/fec880d3ae1a5b9531388dcf829c616a63f7dbf3.pdf"</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 xml:space="preserve"> in Hungarian.</w:t>
      </w:r>
    </w:p>
  </w:footnote>
  <w:footnote w:id="6">
    <w:p>
      <w:pPr>
        <w:pStyle w:val="Szövegtörzs"/>
        <w:spacing w:line="240" w:lineRule="auto"/>
        <w:rPr>
          <w:rStyle w:val="Egyik sem"/>
          <w:rFonts w:ascii="Times New Roman" w:cs="Times New Roman" w:hAnsi="Times New Roman" w:eastAsia="Times New Roman"/>
          <w:sz w:val="20"/>
          <w:szCs w:val="20"/>
        </w:rPr>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See Opinion and recommendations of NANE Women</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s Rights Association, PATENT (People</w:t>
      </w:r>
    </w:p>
    <w:p>
      <w:pPr>
        <w:pStyle w:val="Szövegtörzs"/>
        <w:spacing w:line="240" w:lineRule="auto"/>
        <w:rPr>
          <w:rStyle w:val="Egyik sem"/>
          <w:rFonts w:ascii="Times New Roman" w:cs="Times New Roman" w:hAnsi="Times New Roman" w:eastAsia="Times New Roman"/>
          <w:sz w:val="20"/>
          <w:szCs w:val="20"/>
        </w:rPr>
      </w:pPr>
      <w:r>
        <w:rPr>
          <w:rStyle w:val="Egyik sem"/>
          <w:rFonts w:ascii="Times New Roman" w:hAnsi="Times New Roman"/>
          <w:sz w:val="20"/>
          <w:szCs w:val="20"/>
          <w:rtl w:val="0"/>
          <w:lang w:val="en-US"/>
        </w:rPr>
        <w:t>Opposing Patriarchy) Association, Hungarian Women</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pt-PT"/>
        </w:rPr>
        <w:t>s Lobby, EMMA Association and</w:t>
      </w:r>
    </w:p>
    <w:p>
      <w:pPr>
        <w:pStyle w:val="Szövegtörzs"/>
        <w:spacing w:line="240" w:lineRule="auto"/>
      </w:pPr>
      <w:r>
        <w:rPr>
          <w:rStyle w:val="Egyik sem"/>
          <w:rFonts w:ascii="Times New Roman" w:hAnsi="Times New Roman"/>
          <w:sz w:val="20"/>
          <w:szCs w:val="20"/>
          <w:rtl w:val="0"/>
        </w:rPr>
        <w:t>J</w:t>
      </w:r>
      <w:r>
        <w:rPr>
          <w:rStyle w:val="Egyik sem"/>
          <w:rFonts w:ascii="Times New Roman" w:hAnsi="Times New Roman" w:hint="default"/>
          <w:sz w:val="20"/>
          <w:szCs w:val="20"/>
          <w:rtl w:val="0"/>
          <w:lang w:val="en-US"/>
        </w:rPr>
        <w:t>ó</w:t>
      </w:r>
      <w:r>
        <w:rPr>
          <w:rStyle w:val="Egyik sem"/>
          <w:rFonts w:ascii="Times New Roman" w:hAnsi="Times New Roman"/>
          <w:sz w:val="20"/>
          <w:szCs w:val="20"/>
          <w:rtl w:val="0"/>
          <w:lang w:val="de-DE"/>
        </w:rPr>
        <w:t>l-L</w:t>
      </w:r>
      <w:r>
        <w:rPr>
          <w:rStyle w:val="Egyik sem"/>
          <w:rFonts w:ascii="Times New Roman" w:hAnsi="Times New Roman" w:hint="default"/>
          <w:sz w:val="20"/>
          <w:szCs w:val="20"/>
          <w:rtl w:val="0"/>
          <w:lang w:val="en-US"/>
        </w:rPr>
        <w:t>é</w:t>
      </w:r>
      <w:r>
        <w:rPr>
          <w:rStyle w:val="Egyik sem"/>
          <w:rFonts w:ascii="Times New Roman" w:hAnsi="Times New Roman"/>
          <w:sz w:val="20"/>
          <w:szCs w:val="20"/>
          <w:rtl w:val="0"/>
          <w:lang w:val="en-US"/>
        </w:rPr>
        <w:t xml:space="preserve">t Foundation on the National Recovery and Resilience Plan submitted by the Hungarian Government to the European Commission, June 2021 - General remarks, executive summary. Available </w:t>
      </w:r>
      <w:r>
        <w:rPr>
          <w:rStyle w:val="Hyperlink.0"/>
        </w:rPr>
        <w:fldChar w:fldCharType="begin" w:fldLock="0"/>
      </w:r>
      <w:r>
        <w:rPr>
          <w:rStyle w:val="Hyperlink.0"/>
        </w:rPr>
        <w:instrText xml:space="preserve"> HYPERLINK "https://nokjoga.hu/wp-content/uploads/RRP_Opinion_Gender-Equality_2021_Revised.pdf"</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w:t>
      </w:r>
    </w:p>
  </w:footnote>
  <w:footnote w:id="7">
    <w:p>
      <w:pPr>
        <w:pStyle w:val="Szövegtörzs"/>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See the Decision No. 30/2015 (VII. 7.) </w:t>
      </w:r>
      <w:r>
        <w:rPr>
          <w:rStyle w:val="Hyperlink.0"/>
        </w:rPr>
        <w:fldChar w:fldCharType="begin" w:fldLock="0"/>
      </w:r>
      <w:r>
        <w:rPr>
          <w:rStyle w:val="Hyperlink.0"/>
        </w:rPr>
        <w:instrText xml:space="preserve"> HYPERLINK "https://njt.hu/jogszabaly/2015-30-30-41"</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 xml:space="preserve"> in Hungarian.</w:t>
      </w:r>
    </w:p>
  </w:footnote>
  <w:footnote w:id="8">
    <w:p>
      <w:pPr>
        <w:pStyle w:val="Szövegtörzs"/>
        <w:spacing w:line="240" w:lineRule="auto"/>
      </w:pPr>
      <w:r>
        <w:rPr>
          <w:rStyle w:val="Egyik sem"/>
          <w:rFonts w:ascii="Times New Roman" w:cs="Times New Roman" w:hAnsi="Times New Roman" w:eastAsia="Times New Roman"/>
          <w:outline w:val="0"/>
          <w:color w:val="222222"/>
          <w:sz w:val="24"/>
          <w:szCs w:val="24"/>
          <w:u w:color="222222"/>
          <w:shd w:val="clear" w:color="auto" w:fill="ffffff"/>
          <w:vertAlign w:val="superscript"/>
          <w14:textFill>
            <w14:solidFill>
              <w14:srgbClr w14:val="222222"/>
            </w14:solidFill>
          </w14:textFill>
        </w:rPr>
        <w:footnoteRef/>
      </w:r>
      <w:r>
        <w:rPr>
          <w:rStyle w:val="Egyik sem"/>
          <w:sz w:val="20"/>
          <w:szCs w:val="20"/>
          <w:rtl w:val="0"/>
        </w:rPr>
        <w:t xml:space="preserve"> </w:t>
      </w:r>
      <w:r>
        <w:rPr>
          <w:rStyle w:val="Egyik sem"/>
          <w:rFonts w:ascii="Times New Roman" w:hAnsi="Times New Roman"/>
          <w:sz w:val="20"/>
          <w:szCs w:val="20"/>
          <w:rtl w:val="0"/>
          <w:lang w:val="en-US"/>
        </w:rPr>
        <w:t xml:space="preserve">Ninth periodic report submitted by Hungary under article 18 of the Convention, due in 2017, </w:t>
      </w:r>
      <w:r>
        <w:rPr>
          <w:rStyle w:val="Egyik sem"/>
          <w:rFonts w:ascii="Times New Roman" w:hAnsi="Times New Roman"/>
          <w:outline w:val="0"/>
          <w:color w:val="222222"/>
          <w:sz w:val="20"/>
          <w:szCs w:val="20"/>
          <w:u w:color="222222"/>
          <w:shd w:val="clear" w:color="auto" w:fill="ffffff"/>
          <w:rtl w:val="0"/>
          <w:lang w:val="fr-FR"/>
          <w14:textFill>
            <w14:solidFill>
              <w14:srgbClr w14:val="222222"/>
            </w14:solidFill>
          </w14:textFill>
        </w:rPr>
        <w:t xml:space="preserve">paragraph 128., </w:t>
      </w:r>
      <w:r>
        <w:rPr>
          <w:rStyle w:val="Egyik sem"/>
          <w:rFonts w:ascii="Times New Roman" w:hAnsi="Times New Roman"/>
          <w:sz w:val="20"/>
          <w:szCs w:val="20"/>
          <w:rtl w:val="0"/>
          <w:lang w:val="en-US"/>
        </w:rPr>
        <w:t xml:space="preserve">available </w:t>
      </w:r>
      <w:r>
        <w:rPr>
          <w:rStyle w:val="Hyperlink.0"/>
        </w:rPr>
        <w:fldChar w:fldCharType="begin" w:fldLock="0"/>
      </w:r>
      <w:r>
        <w:rPr>
          <w:rStyle w:val="Hyperlink.0"/>
        </w:rPr>
        <w:instrText xml:space="preserve"> HYPERLINK "https://tbinternet.ohchr.org/_layouts/15/treatybodyexternal/Download.aspx?symbolno=CEDAW/C/HUN/9&amp;Lang=en"</w:instrText>
      </w:r>
      <w:r>
        <w:rPr>
          <w:rStyle w:val="Hyperlink.0"/>
        </w:rPr>
        <w:fldChar w:fldCharType="separate" w:fldLock="0"/>
      </w:r>
      <w:r>
        <w:rPr>
          <w:rStyle w:val="Hyperlink.0"/>
          <w:rtl w:val="0"/>
          <w:lang w:val="en-US"/>
        </w:rPr>
        <w:t>here</w:t>
      </w:r>
      <w:r>
        <w:rPr/>
        <w:fldChar w:fldCharType="end" w:fldLock="0"/>
      </w:r>
      <w:r>
        <w:rPr>
          <w:rStyle w:val="Egyik sem"/>
          <w:sz w:val="20"/>
          <w:szCs w:val="20"/>
          <w:rtl w:val="0"/>
        </w:rPr>
        <w:t>.</w:t>
      </w:r>
    </w:p>
  </w:footnote>
  <w:footnote w:id="9">
    <w:p>
      <w:pPr>
        <w:pStyle w:val="Szövegtörzs"/>
        <w:spacing w:line="240" w:lineRule="auto"/>
      </w:pPr>
      <w:r>
        <w:rPr>
          <w:rStyle w:val="Egyik sem"/>
          <w:rFonts w:ascii="Times New Roman" w:cs="Times New Roman" w:hAnsi="Times New Roman" w:eastAsia="Times New Roman"/>
          <w:outline w:val="0"/>
          <w:color w:val="222222"/>
          <w:sz w:val="24"/>
          <w:szCs w:val="24"/>
          <w:u w:color="222222"/>
          <w:shd w:val="clear" w:color="auto" w:fill="ffffff"/>
          <w:vertAlign w:val="superscript"/>
          <w14:textFill>
            <w14:solidFill>
              <w14:srgbClr w14:val="222222"/>
            </w14:solidFill>
          </w14:textFill>
        </w:rPr>
        <w:footnoteRef/>
      </w:r>
      <w:r>
        <w:rPr>
          <w:rStyle w:val="Egyik sem"/>
          <w:sz w:val="20"/>
          <w:szCs w:val="20"/>
          <w:rtl w:val="0"/>
        </w:rPr>
        <w:t xml:space="preserve"> </w:t>
      </w:r>
      <w:r>
        <w:rPr>
          <w:rStyle w:val="Egyik sem"/>
          <w:rFonts w:ascii="Times New Roman" w:hAnsi="Times New Roman"/>
          <w:sz w:val="20"/>
          <w:szCs w:val="20"/>
          <w:rtl w:val="0"/>
          <w:lang w:val="en-US"/>
        </w:rPr>
        <w:t xml:space="preserve">See the document </w:t>
      </w:r>
      <w:r>
        <w:rPr>
          <w:rStyle w:val="Hyperlink.0"/>
        </w:rPr>
        <w:fldChar w:fldCharType="begin" w:fldLock="0"/>
      </w:r>
      <w:r>
        <w:rPr>
          <w:rStyle w:val="Hyperlink.0"/>
        </w:rPr>
        <w:instrText xml:space="preserve"> HYPERLINK "https://www.kapcsoljegybol.hu/files/shares/A%2520gyermekv%25C3%25A9delmi%2520jelz%25C5%2591rendszeri%2520tagok%2520egy%25C3%25BCttm%25C5%25B1k%25C3%25B6d%25C3%25A9se%2520tananyag.pdf"</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lang w:val="en-US"/>
        </w:rPr>
        <w:t xml:space="preserve"> in Hungarian, published by the Family Friendly Country Nonprofit Ltd. in 2019.</w:t>
      </w:r>
    </w:p>
  </w:footnote>
  <w:footnote w:id="10">
    <w:p>
      <w:pPr>
        <w:pStyle w:val="Szövegtörzs"/>
        <w:spacing w:line="240" w:lineRule="auto"/>
      </w:pPr>
      <w:r>
        <w:rPr>
          <w:rStyle w:val="Egyik sem"/>
          <w:rFonts w:ascii="Times New Roman" w:cs="Times New Roman" w:hAnsi="Times New Roman" w:eastAsia="Times New Roman"/>
          <w:outline w:val="0"/>
          <w:color w:val="222222"/>
          <w:sz w:val="24"/>
          <w:szCs w:val="24"/>
          <w:u w:color="222222"/>
          <w:shd w:val="clear" w:color="auto" w:fill="ffffff"/>
          <w:vertAlign w:val="superscript"/>
          <w14:textFill>
            <w14:solidFill>
              <w14:srgbClr w14:val="222222"/>
            </w14:solidFill>
          </w14:textFill>
        </w:rPr>
        <w:footnoteRef/>
      </w:r>
      <w:r>
        <w:rPr>
          <w:rStyle w:val="Egyik sem"/>
          <w:rFonts w:ascii="Times New Roman" w:hAnsi="Times New Roman"/>
          <w:sz w:val="20"/>
          <w:szCs w:val="20"/>
          <w:rtl w:val="0"/>
        </w:rPr>
        <w:t xml:space="preserve"> </w:t>
      </w:r>
      <w:r>
        <w:rPr>
          <w:rStyle w:val="Egyik sem"/>
          <w:rFonts w:ascii="Times New Roman" w:hAnsi="Times New Roman"/>
          <w:i w:val="1"/>
          <w:iCs w:val="1"/>
          <w:sz w:val="20"/>
          <w:szCs w:val="20"/>
          <w:rtl w:val="0"/>
          <w:lang w:val="pt-PT"/>
        </w:rPr>
        <w:t>Ibid.</w:t>
      </w:r>
      <w:r>
        <w:rPr>
          <w:rStyle w:val="Egyik sem"/>
          <w:rFonts w:ascii="Times New Roman" w:hAnsi="Times New Roman"/>
          <w:sz w:val="20"/>
          <w:szCs w:val="20"/>
          <w:rtl w:val="0"/>
        </w:rPr>
        <w:t xml:space="preserve">, </w:t>
      </w:r>
      <w:r>
        <w:rPr>
          <w:rStyle w:val="Egyik sem"/>
          <w:rFonts w:ascii="Times New Roman" w:hAnsi="Times New Roman"/>
          <w:outline w:val="0"/>
          <w:color w:val="222222"/>
          <w:sz w:val="20"/>
          <w:szCs w:val="20"/>
          <w:u w:color="222222"/>
          <w:shd w:val="clear" w:color="auto" w:fill="ffffff"/>
          <w:rtl w:val="0"/>
          <w:lang w:val="fr-FR"/>
          <w14:textFill>
            <w14:solidFill>
              <w14:srgbClr w14:val="222222"/>
            </w14:solidFill>
          </w14:textFill>
        </w:rPr>
        <w:t>page 7.</w:t>
      </w:r>
    </w:p>
  </w:footnote>
  <w:footnote w:id="11">
    <w:p>
      <w:pPr>
        <w:pStyle w:val="Szövegtörzs"/>
        <w:spacing w:line="240" w:lineRule="auto"/>
      </w:pPr>
      <w:r>
        <w:rPr>
          <w:rStyle w:val="Egyik sem"/>
          <w:rFonts w:ascii="Times New Roman" w:cs="Times New Roman" w:hAnsi="Times New Roman" w:eastAsia="Times New Roman"/>
          <w:outline w:val="0"/>
          <w:color w:val="222222"/>
          <w:sz w:val="24"/>
          <w:szCs w:val="24"/>
          <w:u w:color="222222"/>
          <w:shd w:val="clear" w:color="auto" w:fill="ffffff"/>
          <w:vertAlign w:val="superscript"/>
          <w14:textFill>
            <w14:solidFill>
              <w14:srgbClr w14:val="222222"/>
            </w14:solidFill>
          </w14:textFill>
        </w:rPr>
        <w:footnoteRef/>
      </w:r>
      <w:r>
        <w:rPr>
          <w:rStyle w:val="Egyik sem"/>
          <w:sz w:val="20"/>
          <w:szCs w:val="20"/>
          <w:rtl w:val="0"/>
        </w:rPr>
        <w:t xml:space="preserve"> </w:t>
      </w:r>
      <w:r>
        <w:rPr>
          <w:rStyle w:val="Egyik sem"/>
          <w:rFonts w:ascii="Times New Roman" w:hAnsi="Times New Roman"/>
          <w:i w:val="1"/>
          <w:iCs w:val="1"/>
          <w:sz w:val="20"/>
          <w:szCs w:val="20"/>
          <w:rtl w:val="0"/>
          <w:lang w:val="pt-PT"/>
        </w:rPr>
        <w:t>Ibid.</w:t>
      </w:r>
      <w:r>
        <w:rPr>
          <w:rStyle w:val="Egyik sem"/>
          <w:rFonts w:ascii="Times New Roman" w:hAnsi="Times New Roman"/>
          <w:sz w:val="20"/>
          <w:szCs w:val="20"/>
          <w:rtl w:val="0"/>
          <w:lang w:val="fr-FR"/>
        </w:rPr>
        <w:t>, page 23.</w:t>
      </w:r>
    </w:p>
  </w:footnote>
  <w:footnote w:id="12">
    <w:p>
      <w:pPr>
        <w:pStyle w:val="Szövegtörzs"/>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 xml:space="preserve">See: 2022 Trafficking in Persons Report: Hungary. U.S. Department of State, available </w:t>
      </w:r>
      <w:r>
        <w:rPr>
          <w:rStyle w:val="Hyperlink.0"/>
        </w:rPr>
        <w:fldChar w:fldCharType="begin" w:fldLock="0"/>
      </w:r>
      <w:r>
        <w:rPr>
          <w:rStyle w:val="Hyperlink.0"/>
        </w:rPr>
        <w:instrText xml:space="preserve"> HYPERLINK "https://www.state.gov/reports/2022-trafficking-in-persons-report/hungary/"</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w:t>
      </w:r>
    </w:p>
  </w:footnote>
  <w:footnote w:id="13">
    <w:p>
      <w:pPr>
        <w:pStyle w:val="Szövegtörzs"/>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i w:val="1"/>
          <w:iCs w:val="1"/>
          <w:sz w:val="20"/>
          <w:szCs w:val="20"/>
          <w:rtl w:val="0"/>
          <w:lang w:val="pt-PT"/>
        </w:rPr>
        <w:t>Ibid.</w:t>
      </w:r>
    </w:p>
  </w:footnote>
  <w:footnote w:id="14">
    <w:p>
      <w:pPr>
        <w:pStyle w:val="Szövegtörzs"/>
        <w:spacing w:line="240" w:lineRule="auto"/>
        <w:jc w:val="both"/>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The introduction of the crime of sexual extortion/coercion did not resolve the criminalization of rape based on the lack of consent, since coercion is prerequisite/element of the crime, and as current legal practice shows the expectation from the victim in cases of alleged rape to </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protect what the law protects, otherwise her insistence on sexual freedom is not genuine. Therefore, such violence must not necessarily be insurmountable from the outset, but must be capable of overcoming the serious resistance of the victim. Consequently, such violence can only be established in the case of the victim's resistance and its seriousness.</w:t>
      </w:r>
      <w:r>
        <w:rPr>
          <w:rStyle w:val="Egyik sem"/>
          <w:rFonts w:ascii="Times New Roman" w:hAnsi="Times New Roman" w:hint="default"/>
          <w:sz w:val="20"/>
          <w:szCs w:val="20"/>
          <w:rtl w:val="0"/>
          <w:lang w:val="en-US"/>
        </w:rPr>
        <w:t xml:space="preserve">” </w:t>
      </w:r>
      <w:r>
        <w:rPr>
          <w:rStyle w:val="Egyik sem"/>
          <w:rFonts w:ascii="Times New Roman" w:hAnsi="Times New Roman"/>
          <w:sz w:val="20"/>
          <w:szCs w:val="20"/>
          <w:rtl w:val="0"/>
          <w:lang w:val="de-DE"/>
        </w:rPr>
        <w:t>See: Curia Judgement no. BH 2021.1.1</w:t>
      </w:r>
    </w:p>
  </w:footnote>
  <w:footnote w:id="15">
    <w:p>
      <w:pPr>
        <w:pStyle w:val="Szövegtörzs"/>
        <w:spacing w:line="240" w:lineRule="auto"/>
        <w:jc w:val="both"/>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Crimes as stalking and some forms of sexual extortion and sexual violence, including rape, and of domestic violence are prosecuted on private motion of the victim, which can be made only within 30 days from getting knowledge about the commission of the crime. After this deadline, no prosecution follows even if the victim reports the crime.</w:t>
      </w:r>
    </w:p>
  </w:footnote>
  <w:footnote w:id="16">
    <w:p>
      <w:pPr>
        <w:pStyle w:val="Szövegtörzs"/>
        <w:spacing w:line="240" w:lineRule="auto"/>
        <w:jc w:val="both"/>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S</w:t>
      </w:r>
      <w:r>
        <w:rPr>
          <w:rStyle w:val="Egyik sem"/>
          <w:rFonts w:ascii="Times New Roman" w:hAnsi="Times New Roman"/>
          <w:sz w:val="20"/>
          <w:szCs w:val="20"/>
          <w:rtl w:val="0"/>
          <w:lang w:val="en-US"/>
        </w:rPr>
        <w:t>ee also in Hungarian: Garai Ren</w:t>
      </w:r>
      <w:r>
        <w:rPr>
          <w:rStyle w:val="Egyik sem"/>
          <w:rFonts w:ascii="Times New Roman" w:hAnsi="Times New Roman" w:hint="default"/>
          <w:sz w:val="20"/>
          <w:szCs w:val="20"/>
          <w:rtl w:val="0"/>
          <w:lang w:val="en-US"/>
        </w:rPr>
        <w:t>á</w:t>
      </w:r>
      <w:r>
        <w:rPr>
          <w:rStyle w:val="Egyik sem"/>
          <w:rFonts w:ascii="Times New Roman" w:hAnsi="Times New Roman"/>
          <w:sz w:val="20"/>
          <w:szCs w:val="20"/>
          <w:rtl w:val="0"/>
        </w:rPr>
        <w:t>ta - A kapcsolati er</w:t>
      </w:r>
      <w:r>
        <w:rPr>
          <w:rStyle w:val="Egyik sem"/>
          <w:rFonts w:ascii="Times New Roman" w:hAnsi="Times New Roman" w:hint="default"/>
          <w:sz w:val="20"/>
          <w:szCs w:val="20"/>
          <w:rtl w:val="0"/>
          <w:lang w:val="en-US"/>
        </w:rPr>
        <w:t>ő</w:t>
      </w:r>
      <w:r>
        <w:rPr>
          <w:rStyle w:val="Egyik sem"/>
          <w:rFonts w:ascii="Times New Roman" w:hAnsi="Times New Roman"/>
          <w:sz w:val="20"/>
          <w:szCs w:val="20"/>
          <w:rtl w:val="0"/>
        </w:rPr>
        <w:t>szak b</w:t>
      </w:r>
      <w:r>
        <w:rPr>
          <w:rStyle w:val="Egyik sem"/>
          <w:rFonts w:ascii="Times New Roman" w:hAnsi="Times New Roman" w:hint="default"/>
          <w:sz w:val="20"/>
          <w:szCs w:val="20"/>
          <w:rtl w:val="0"/>
          <w:lang w:val="en-US"/>
        </w:rPr>
        <w:t>ű</w:t>
      </w:r>
      <w:r>
        <w:rPr>
          <w:rStyle w:val="Egyik sem"/>
          <w:rFonts w:ascii="Times New Roman" w:hAnsi="Times New Roman"/>
          <w:sz w:val="20"/>
          <w:szCs w:val="20"/>
          <w:rtl w:val="0"/>
        </w:rPr>
        <w:t>ncselekm</w:t>
      </w:r>
      <w:r>
        <w:rPr>
          <w:rStyle w:val="Egyik sem"/>
          <w:rFonts w:ascii="Times New Roman" w:hAnsi="Times New Roman" w:hint="default"/>
          <w:sz w:val="20"/>
          <w:szCs w:val="20"/>
          <w:rtl w:val="0"/>
          <w:lang w:val="en-US"/>
        </w:rPr>
        <w:t>é</w:t>
      </w:r>
      <w:r>
        <w:rPr>
          <w:rStyle w:val="Egyik sem"/>
          <w:rFonts w:ascii="Times New Roman" w:hAnsi="Times New Roman"/>
          <w:sz w:val="20"/>
          <w:szCs w:val="20"/>
          <w:rtl w:val="0"/>
        </w:rPr>
        <w:t>ny</w:t>
      </w:r>
      <w:r>
        <w:rPr>
          <w:rStyle w:val="Egyik sem"/>
          <w:rFonts w:ascii="Times New Roman" w:hAnsi="Times New Roman" w:hint="default"/>
          <w:sz w:val="20"/>
          <w:szCs w:val="20"/>
          <w:rtl w:val="0"/>
          <w:lang w:val="en-US"/>
        </w:rPr>
        <w:t>é</w:t>
      </w:r>
      <w:r>
        <w:rPr>
          <w:rStyle w:val="Egyik sem"/>
          <w:rFonts w:ascii="Times New Roman" w:hAnsi="Times New Roman"/>
          <w:sz w:val="20"/>
          <w:szCs w:val="20"/>
          <w:rtl w:val="0"/>
        </w:rPr>
        <w:t>nek jogalkalmaz</w:t>
      </w:r>
      <w:r>
        <w:rPr>
          <w:rStyle w:val="Egyik sem"/>
          <w:rFonts w:ascii="Times New Roman" w:hAnsi="Times New Roman" w:hint="default"/>
          <w:sz w:val="20"/>
          <w:szCs w:val="20"/>
          <w:rtl w:val="0"/>
          <w:lang w:val="en-US"/>
        </w:rPr>
        <w:t>á</w:t>
      </w:r>
      <w:r>
        <w:rPr>
          <w:rStyle w:val="Egyik sem"/>
          <w:rFonts w:ascii="Times New Roman" w:hAnsi="Times New Roman"/>
          <w:sz w:val="20"/>
          <w:szCs w:val="20"/>
          <w:rtl w:val="0"/>
        </w:rPr>
        <w:t>si gyakorlata - a joger</w:t>
      </w:r>
      <w:r>
        <w:rPr>
          <w:rStyle w:val="Egyik sem"/>
          <w:rFonts w:ascii="Times New Roman" w:hAnsi="Times New Roman" w:hint="default"/>
          <w:sz w:val="20"/>
          <w:szCs w:val="20"/>
          <w:rtl w:val="0"/>
          <w:lang w:val="en-US"/>
        </w:rPr>
        <w:t>ő</w:t>
      </w:r>
      <w:r>
        <w:rPr>
          <w:rStyle w:val="Egyik sem"/>
          <w:rFonts w:ascii="Times New Roman" w:hAnsi="Times New Roman"/>
          <w:sz w:val="20"/>
          <w:szCs w:val="20"/>
          <w:rtl w:val="0"/>
        </w:rPr>
        <w:t xml:space="preserve">s </w:t>
      </w:r>
      <w:r>
        <w:rPr>
          <w:rStyle w:val="Egyik sem"/>
          <w:rFonts w:ascii="Times New Roman" w:hAnsi="Times New Roman" w:hint="default"/>
          <w:sz w:val="20"/>
          <w:szCs w:val="20"/>
          <w:rtl w:val="0"/>
          <w:lang w:val="en-US"/>
        </w:rPr>
        <w:t>í</w:t>
      </w:r>
      <w:r>
        <w:rPr>
          <w:rStyle w:val="Egyik sem"/>
          <w:rFonts w:ascii="Times New Roman" w:hAnsi="Times New Roman"/>
          <w:sz w:val="20"/>
          <w:szCs w:val="20"/>
          <w:rtl w:val="0"/>
        </w:rPr>
        <w:t>t</w:t>
      </w:r>
      <w:r>
        <w:rPr>
          <w:rStyle w:val="Egyik sem"/>
          <w:rFonts w:ascii="Times New Roman" w:hAnsi="Times New Roman" w:hint="default"/>
          <w:sz w:val="20"/>
          <w:szCs w:val="20"/>
          <w:rtl w:val="0"/>
          <w:lang w:val="en-US"/>
        </w:rPr>
        <w:t>é</w:t>
      </w:r>
      <w:r>
        <w:rPr>
          <w:rStyle w:val="Egyik sem"/>
          <w:rFonts w:ascii="Times New Roman" w:hAnsi="Times New Roman"/>
          <w:sz w:val="20"/>
          <w:szCs w:val="20"/>
          <w:rtl w:val="0"/>
        </w:rPr>
        <w:t>letek tanuls</w:t>
      </w:r>
      <w:r>
        <w:rPr>
          <w:rStyle w:val="Egyik sem"/>
          <w:rFonts w:ascii="Times New Roman" w:hAnsi="Times New Roman" w:hint="default"/>
          <w:sz w:val="20"/>
          <w:szCs w:val="20"/>
          <w:rtl w:val="0"/>
          <w:lang w:val="en-US"/>
        </w:rPr>
        <w:t>á</w:t>
      </w:r>
      <w:r>
        <w:rPr>
          <w:rStyle w:val="Egyik sem"/>
          <w:rFonts w:ascii="Times New Roman" w:hAnsi="Times New Roman"/>
          <w:sz w:val="20"/>
          <w:szCs w:val="20"/>
          <w:rtl w:val="0"/>
          <w:lang w:val="en-US"/>
        </w:rPr>
        <w:t>gai (The law enforcement practice of the crime of domestic violence - lessons learnt from the final judgements), National Institute of Criminology, Criminological Studies Vol. 56., 2019. pp. 30-47.</w:t>
      </w:r>
    </w:p>
  </w:footnote>
  <w:footnote w:id="17">
    <w:p>
      <w:pPr>
        <w:pStyle w:val="Szövegtörzs"/>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 xml:space="preserve">See: For a Safe Home. Quantitative Research Report, IKEA and Kantar Hoffmann, 2021. p. 14. Available in Hungarian </w:t>
      </w:r>
      <w:r>
        <w:rPr>
          <w:rStyle w:val="Hyperlink.0"/>
        </w:rPr>
        <w:fldChar w:fldCharType="begin" w:fldLock="0"/>
      </w:r>
      <w:r>
        <w:rPr>
          <w:rStyle w:val="Hyperlink.0"/>
        </w:rPr>
        <w:instrText xml:space="preserve"> HYPERLINK "https://www.ikea.com/hu/hu/files/pdf/63/b6/63b690de/ikea_egy-biztonsagos-otthonert_kutatasi-eredmenyek_2021.pdf"</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w:t>
      </w:r>
    </w:p>
  </w:footnote>
  <w:footnote w:id="18">
    <w:p>
      <w:pPr>
        <w:pStyle w:val="Szövegtörzs"/>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 xml:space="preserve">See the cases </w:t>
      </w:r>
      <w:r>
        <w:rPr>
          <w:rStyle w:val="Hyperlink.0"/>
        </w:rPr>
        <w:fldChar w:fldCharType="begin" w:fldLock="0"/>
      </w:r>
      <w:r>
        <w:rPr>
          <w:rStyle w:val="Hyperlink.0"/>
        </w:rPr>
        <w:instrText xml:space="preserve"> HYPERLINK "https://nokjoga.hu/alapinformaciok-a-nok-elleni-eroszakrol/nema-tanuk-a-nok-elleni-eroszak-halalos-aldozatai/"</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w:t>
      </w:r>
    </w:p>
  </w:footnote>
  <w:footnote w:id="19">
    <w:p>
      <w:pPr>
        <w:pStyle w:val="Szövegtörzs"/>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de-DE"/>
        </w:rPr>
        <w:t xml:space="preserve">IKEA and Kantar Hoffmann, </w:t>
      </w:r>
      <w:r>
        <w:rPr>
          <w:rStyle w:val="Egyik sem"/>
          <w:rFonts w:ascii="Times New Roman" w:hAnsi="Times New Roman"/>
          <w:i w:val="1"/>
          <w:iCs w:val="1"/>
          <w:sz w:val="20"/>
          <w:szCs w:val="20"/>
          <w:rtl w:val="0"/>
        </w:rPr>
        <w:t xml:space="preserve">op. cit., </w:t>
      </w:r>
      <w:r>
        <w:rPr>
          <w:rStyle w:val="Egyik sem"/>
          <w:rFonts w:ascii="Times New Roman" w:hAnsi="Times New Roman"/>
          <w:sz w:val="20"/>
          <w:szCs w:val="20"/>
          <w:rtl w:val="0"/>
        </w:rPr>
        <w:t>p. 11.</w:t>
      </w:r>
    </w:p>
  </w:footnote>
  <w:footnote w:id="20">
    <w:p>
      <w:pPr>
        <w:pStyle w:val="Szövegtörzs"/>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See J</w:t>
      </w:r>
      <w:r>
        <w:rPr>
          <w:rStyle w:val="Egyik sem"/>
          <w:rFonts w:ascii="Times New Roman" w:hAnsi="Times New Roman" w:hint="default"/>
          <w:sz w:val="20"/>
          <w:szCs w:val="20"/>
          <w:rtl w:val="0"/>
          <w:lang w:val="en-US"/>
        </w:rPr>
        <w:t>ú</w:t>
      </w:r>
      <w:r>
        <w:rPr>
          <w:rStyle w:val="Egyik sem"/>
          <w:rFonts w:ascii="Times New Roman" w:hAnsi="Times New Roman"/>
          <w:sz w:val="20"/>
          <w:szCs w:val="20"/>
          <w:rtl w:val="0"/>
          <w:lang w:val="it-IT"/>
        </w:rPr>
        <w:t>lia Gal</w:t>
      </w:r>
      <w:r>
        <w:rPr>
          <w:rStyle w:val="Egyik sem"/>
          <w:rFonts w:ascii="Times New Roman" w:hAnsi="Times New Roman" w:hint="default"/>
          <w:sz w:val="20"/>
          <w:szCs w:val="20"/>
          <w:rtl w:val="0"/>
          <w:lang w:val="en-US"/>
        </w:rPr>
        <w:t>á</w:t>
      </w:r>
      <w:r>
        <w:rPr>
          <w:rStyle w:val="Egyik sem"/>
          <w:rFonts w:ascii="Times New Roman" w:hAnsi="Times New Roman"/>
          <w:sz w:val="20"/>
          <w:szCs w:val="20"/>
          <w:rtl w:val="0"/>
          <w:lang w:val="fr-FR"/>
        </w:rPr>
        <w:t>ntai, Anna S</w:t>
      </w:r>
      <w:r>
        <w:rPr>
          <w:rStyle w:val="Egyik sem"/>
          <w:rFonts w:ascii="Times New Roman" w:hAnsi="Times New Roman" w:hint="default"/>
          <w:sz w:val="20"/>
          <w:szCs w:val="20"/>
          <w:rtl w:val="0"/>
          <w:lang w:val="en-US"/>
        </w:rPr>
        <w:t>á</w:t>
      </w:r>
      <w:r>
        <w:rPr>
          <w:rStyle w:val="Egyik sem"/>
          <w:rFonts w:ascii="Times New Roman" w:hAnsi="Times New Roman"/>
          <w:sz w:val="20"/>
          <w:szCs w:val="20"/>
          <w:rtl w:val="0"/>
          <w:lang w:val="en-US"/>
        </w:rPr>
        <w:t>ra Ligeti, and Judit Wirth: Children Exposed to Violence: Child Custody and its Effects on Children in Intimate Partner Violence Related Cases in Hungary. Journal of Family Violence. 2019; 34(5): 399</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 xml:space="preserve">409. Available </w:t>
      </w:r>
      <w:r>
        <w:rPr>
          <w:rStyle w:val="Hyperlink.0"/>
        </w:rPr>
        <w:fldChar w:fldCharType="begin" w:fldLock="0"/>
      </w:r>
      <w:r>
        <w:rPr>
          <w:rStyle w:val="Hyperlink.0"/>
        </w:rPr>
        <w:instrText xml:space="preserve"> HYPERLINK "https://www.ncbi.nlm.nih.gov/pmc/articles/PMC6588710/"</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w:t>
      </w:r>
    </w:p>
  </w:footnote>
  <w:footnote w:id="21">
    <w:p>
      <w:pPr>
        <w:pStyle w:val="Szövegtörzs"/>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See the different submissions of women</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 xml:space="preserve">s rights NGOs </w:t>
      </w:r>
      <w:r>
        <w:rPr>
          <w:rStyle w:val="Hyperlink.0"/>
        </w:rPr>
        <w:fldChar w:fldCharType="begin" w:fldLock="0"/>
      </w:r>
      <w:r>
        <w:rPr>
          <w:rStyle w:val="Hyperlink.0"/>
        </w:rPr>
        <w:instrText xml:space="preserve"> HYPERLINK "https://nokjoga.hu/segitoknek-szakmai-es-politikai-donteshozoknak/kozlemenyeink-hatteranyagok/"</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 xml:space="preserve"> in Hungarian.</w:t>
      </w:r>
    </w:p>
  </w:footnote>
  <w:footnote w:id="22">
    <w:p>
      <w:pPr>
        <w:pStyle w:val="Szövegtörzs"/>
        <w:spacing w:line="240" w:lineRule="auto"/>
        <w:jc w:val="both"/>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As women</w:t>
      </w:r>
      <w:r>
        <w:rPr>
          <w:rStyle w:val="Egyik sem"/>
          <w:rFonts w:ascii="Times New Roman" w:hAnsi="Times New Roman" w:hint="default"/>
          <w:sz w:val="20"/>
          <w:szCs w:val="20"/>
          <w:rtl w:val="0"/>
          <w:lang w:val="en-US"/>
        </w:rPr>
        <w:t>’</w:t>
      </w:r>
      <w:r>
        <w:rPr>
          <w:rStyle w:val="Egyik sem"/>
          <w:rFonts w:ascii="Times New Roman" w:hAnsi="Times New Roman"/>
          <w:sz w:val="20"/>
          <w:szCs w:val="20"/>
          <w:rtl w:val="0"/>
          <w:lang w:val="en-US"/>
        </w:rPr>
        <w:t>s rights NGOs</w:t>
      </w:r>
      <w:r>
        <w:rPr>
          <w:rStyle w:val="Egyik sem"/>
          <w:rFonts w:ascii="Times New Roman" w:hAnsi="Times New Roman" w:hint="default"/>
          <w:sz w:val="20"/>
          <w:szCs w:val="20"/>
          <w:rtl w:val="0"/>
          <w:lang w:val="en-US"/>
        </w:rPr>
        <w:t xml:space="preserve">’ </w:t>
      </w:r>
      <w:r>
        <w:rPr>
          <w:rStyle w:val="Egyik sem"/>
          <w:rFonts w:ascii="Times New Roman" w:hAnsi="Times New Roman"/>
          <w:sz w:val="20"/>
          <w:szCs w:val="20"/>
          <w:rtl w:val="0"/>
          <w:lang w:val="en-US"/>
        </w:rPr>
        <w:t>experience shows, many instances of intimate partner violence - due to shortcomings of the law and the lack of examination of history of violence</w:t>
      </w:r>
      <w:r>
        <w:rPr>
          <w:rStyle w:val="Egyik sem"/>
          <w:rFonts w:ascii="Times New Roman" w:hAnsi="Times New Roman"/>
          <w:sz w:val="24"/>
          <w:szCs w:val="24"/>
          <w:rtl w:val="0"/>
          <w:lang w:val="ru-RU"/>
        </w:rPr>
        <w:t xml:space="preserve"> - </w:t>
      </w:r>
      <w:r>
        <w:rPr>
          <w:rStyle w:val="Egyik sem"/>
          <w:rFonts w:ascii="Times New Roman" w:hAnsi="Times New Roman"/>
          <w:sz w:val="20"/>
          <w:szCs w:val="20"/>
          <w:rtl w:val="0"/>
          <w:lang w:val="en-US"/>
        </w:rPr>
        <w:t xml:space="preserve">may fall within the scope of private prosecution, where the judge is obliged to conciliate the victim and the accused on the first hearing. See: Code of Criminal Proceedings 769. </w:t>
      </w:r>
      <w:r>
        <w:rPr>
          <w:rStyle w:val="Egyik sem"/>
          <w:rFonts w:ascii="Times New Roman" w:hAnsi="Times New Roman" w:hint="default"/>
          <w:sz w:val="20"/>
          <w:szCs w:val="20"/>
          <w:rtl w:val="0"/>
          <w:lang w:val="en-US"/>
        </w:rPr>
        <w:t xml:space="preserve">§ </w:t>
      </w:r>
      <w:r>
        <w:rPr>
          <w:rStyle w:val="Egyik sem"/>
          <w:rFonts w:ascii="Times New Roman" w:hAnsi="Times New Roman"/>
          <w:sz w:val="20"/>
          <w:szCs w:val="20"/>
          <w:rtl w:val="0"/>
        </w:rPr>
        <w:t>(1)</w:t>
      </w:r>
    </w:p>
  </w:footnote>
  <w:footnote w:id="23">
    <w:p>
      <w:pPr>
        <w:pStyle w:val="Szövegtörzs"/>
        <w:spacing w:line="240" w:lineRule="auto"/>
      </w:pPr>
      <w:r>
        <w:rPr>
          <w:rStyle w:val="Egyik sem"/>
          <w:rFonts w:ascii="Times New Roman" w:cs="Times New Roman" w:hAnsi="Times New Roman" w:eastAsia="Times New Roman"/>
          <w:sz w:val="24"/>
          <w:szCs w:val="24"/>
          <w:vertAlign w:val="superscript"/>
        </w:rPr>
        <w:footnoteRef/>
      </w:r>
      <w:r>
        <w:rPr>
          <w:rStyle w:val="Egyik sem"/>
          <w:sz w:val="20"/>
          <w:szCs w:val="20"/>
          <w:rtl w:val="0"/>
        </w:rPr>
        <w:t xml:space="preserve"> </w:t>
      </w:r>
      <w:r>
        <w:rPr>
          <w:rStyle w:val="Egyik sem"/>
          <w:rFonts w:ascii="Times New Roman" w:hAnsi="Times New Roman"/>
          <w:sz w:val="20"/>
          <w:szCs w:val="20"/>
          <w:rtl w:val="0"/>
          <w:lang w:val="en-US"/>
        </w:rPr>
        <w:t xml:space="preserve">Violence against women: </w:t>
      </w:r>
      <w:r>
        <w:rPr>
          <w:rStyle w:val="Hyperlink.0"/>
        </w:rPr>
        <w:fldChar w:fldCharType="begin" w:fldLock="0"/>
      </w:r>
      <w:r>
        <w:rPr>
          <w:rStyle w:val="Hyperlink.0"/>
        </w:rPr>
        <w:instrText xml:space="preserve"> HYPERLINK "http://fra.europa.eu/en/publication/2014/vaw-survey-main-results"</w:instrText>
      </w:r>
      <w:r>
        <w:rPr>
          <w:rStyle w:val="Hyperlink.0"/>
        </w:rPr>
        <w:fldChar w:fldCharType="separate" w:fldLock="0"/>
      </w:r>
      <w:r>
        <w:rPr>
          <w:rStyle w:val="Hyperlink.0"/>
          <w:rtl w:val="0"/>
          <w:lang w:val="en-US"/>
        </w:rPr>
        <w:t>an EU-wide survey. Main results report</w:t>
      </w:r>
      <w:r>
        <w:rPr/>
        <w:fldChar w:fldCharType="end" w:fldLock="0"/>
      </w:r>
      <w:r>
        <w:rPr>
          <w:rStyle w:val="Egyik sem"/>
          <w:rFonts w:ascii="Times New Roman" w:hAnsi="Times New Roman"/>
          <w:sz w:val="20"/>
          <w:szCs w:val="20"/>
          <w:rtl w:val="0"/>
          <w:lang w:val="en-US"/>
        </w:rPr>
        <w:t>, Fundamental Rights Agency (FRA), 2014</w:t>
      </w:r>
    </w:p>
  </w:footnote>
  <w:footnote w:id="24">
    <w:p>
      <w:pPr>
        <w:pStyle w:val="Szövegtörzs"/>
        <w:spacing w:line="240" w:lineRule="auto"/>
        <w:jc w:val="both"/>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According to the state report, altogether 288 spaces are available in Hungary with a different time of stay depending on the type of facility. The capacity of Halfway Houses was not provided by the report.</w:t>
      </w:r>
    </w:p>
  </w:footnote>
  <w:footnote w:id="25">
    <w:p>
      <w:pPr>
        <w:pStyle w:val="Szövegtörzs"/>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lang w:val="en-US"/>
        </w:rPr>
        <w:t xml:space="preserve"> See: Data collection on intimate partner violence by the police and justice sectors: Hungary. EIGE, 2018. Available </w:t>
      </w:r>
      <w:r>
        <w:rPr>
          <w:rStyle w:val="Hyperlink.0"/>
        </w:rPr>
        <w:fldChar w:fldCharType="begin" w:fldLock="0"/>
      </w:r>
      <w:r>
        <w:rPr>
          <w:rStyle w:val="Hyperlink.0"/>
        </w:rPr>
        <w:instrText xml:space="preserve"> HYPERLINK "https://eige.europa.eu/publications/data-collection-intimate-partner-violence-police-and-justice-sectors-hungary"</w:instrText>
      </w:r>
      <w:r>
        <w:rPr>
          <w:rStyle w:val="Hyperlink.0"/>
        </w:rPr>
        <w:fldChar w:fldCharType="separate" w:fldLock="0"/>
      </w:r>
      <w:r>
        <w:rPr>
          <w:rStyle w:val="Hyperlink.0"/>
          <w:rtl w:val="0"/>
          <w:lang w:val="en-US"/>
        </w:rPr>
        <w:t>here</w:t>
      </w:r>
      <w:r>
        <w:rPr/>
        <w:fldChar w:fldCharType="end" w:fldLock="0"/>
      </w:r>
      <w:r>
        <w:rPr>
          <w:rStyle w:val="Egyik sem"/>
          <w:rFonts w:ascii="Times New Roman" w:hAnsi="Times New Roman"/>
          <w:sz w:val="20"/>
          <w:szCs w:val="20"/>
          <w:rtl w:val="0"/>
        </w:rPr>
        <w:t>.</w:t>
      </w:r>
    </w:p>
  </w:footnote>
  <w:footnote w:id="26">
    <w:p>
      <w:pPr>
        <w:pStyle w:val="Szövegtörzs"/>
        <w:spacing w:line="240" w:lineRule="auto"/>
      </w:pPr>
      <w:r>
        <w:rPr>
          <w:rStyle w:val="Egyik sem"/>
          <w:rFonts w:ascii="Times New Roman" w:cs="Times New Roman" w:hAnsi="Times New Roman" w:eastAsia="Times New Roman"/>
          <w:sz w:val="24"/>
          <w:szCs w:val="24"/>
          <w:vertAlign w:val="superscript"/>
        </w:rPr>
        <w:footnoteRef/>
      </w:r>
      <w:r>
        <w:rPr>
          <w:rStyle w:val="Egyik sem"/>
          <w:rFonts w:ascii="Times New Roman" w:hAnsi="Times New Roman"/>
          <w:sz w:val="20"/>
          <w:szCs w:val="20"/>
          <w:rtl w:val="0"/>
        </w:rPr>
        <w:t xml:space="preserve"> </w:t>
      </w:r>
      <w:r>
        <w:rPr>
          <w:rStyle w:val="Egyik sem"/>
          <w:rFonts w:ascii="Times New Roman" w:hAnsi="Times New Roman"/>
          <w:i w:val="1"/>
          <w:iCs w:val="1"/>
          <w:sz w:val="20"/>
          <w:szCs w:val="20"/>
          <w:rtl w:val="0"/>
          <w:lang w:val="pt-PT"/>
        </w:rPr>
        <w:t>Ibid.</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ejléc és lábléc"/>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Szövegtörzs"/>
      <w:widowControl w:val="0"/>
      <w:spacing w:line="240" w:lineRule="auto"/>
      <w:jc w:val="center"/>
    </w:pPr>
    <w:r>
      <w:rPr>
        <w:rStyle w:val="Egyik sem"/>
      </w:rPr>
      <w:drawing xmlns:a="http://schemas.openxmlformats.org/drawingml/2006/main">
        <wp:inline distT="0" distB="0" distL="0" distR="0">
          <wp:extent cx="1418400" cy="445883"/>
          <wp:effectExtent l="0" t="0" r="0" b="0"/>
          <wp:docPr id="1073741825" name="officeArt object" descr="image2.png"/>
          <wp:cNvGraphicFramePr/>
          <a:graphic xmlns:a="http://schemas.openxmlformats.org/drawingml/2006/main">
            <a:graphicData uri="http://schemas.openxmlformats.org/drawingml/2006/picture">
              <pic:pic xmlns:pic="http://schemas.openxmlformats.org/drawingml/2006/picture">
                <pic:nvPicPr>
                  <pic:cNvPr id="1073741825" name="image2.png" descr="image2.png"/>
                  <pic:cNvPicPr>
                    <a:picLocks noChangeAspect="1"/>
                  </pic:cNvPicPr>
                </pic:nvPicPr>
                <pic:blipFill>
                  <a:blip r:embed="rId1">
                    <a:extLst/>
                  </a:blip>
                  <a:srcRect l="26194" t="22869" r="5901" b="26008"/>
                  <a:stretch>
                    <a:fillRect/>
                  </a:stretch>
                </pic:blipFill>
                <pic:spPr>
                  <a:xfrm>
                    <a:off x="0" y="0"/>
                    <a:ext cx="1418400" cy="445883"/>
                  </a:xfrm>
                  <a:prstGeom prst="rect">
                    <a:avLst/>
                  </a:prstGeom>
                  <a:ln w="12700" cap="flat">
                    <a:noFill/>
                    <a:miter lim="400000"/>
                  </a:ln>
                  <a:effectLst/>
                </pic:spPr>
              </pic:pic>
            </a:graphicData>
          </a:graphic>
        </wp:inline>
      </w:drawing>
    </w:r>
    <w:r>
      <w:rPr>
        <w:rStyle w:val="Egyik sem"/>
        <w:rtl w:val="0"/>
      </w:rPr>
      <w:t xml:space="preserve"> </w:t>
    </w:r>
    <w:r>
      <w:rPr>
        <w:rStyle w:val="Egyik sem"/>
      </w:rPr>
      <w:drawing xmlns:a="http://schemas.openxmlformats.org/drawingml/2006/main">
        <wp:inline distT="0" distB="0" distL="0" distR="0">
          <wp:extent cx="936000" cy="793867"/>
          <wp:effectExtent l="0" t="0" r="0" b="0"/>
          <wp:docPr id="1073741826" name="officeArt object" descr="image3.png"/>
          <wp:cNvGraphicFramePr/>
          <a:graphic xmlns:a="http://schemas.openxmlformats.org/drawingml/2006/main">
            <a:graphicData uri="http://schemas.openxmlformats.org/drawingml/2006/picture">
              <pic:pic xmlns:pic="http://schemas.openxmlformats.org/drawingml/2006/picture">
                <pic:nvPicPr>
                  <pic:cNvPr id="1073741826" name="image3.png" descr="image3.png"/>
                  <pic:cNvPicPr>
                    <a:picLocks noChangeAspect="1"/>
                  </pic:cNvPicPr>
                </pic:nvPicPr>
                <pic:blipFill>
                  <a:blip r:embed="rId2">
                    <a:extLst/>
                  </a:blip>
                  <a:srcRect l="22119" t="9160" r="22408" b="15267"/>
                  <a:stretch>
                    <a:fillRect/>
                  </a:stretch>
                </pic:blipFill>
                <pic:spPr>
                  <a:xfrm>
                    <a:off x="0" y="0"/>
                    <a:ext cx="936000" cy="793867"/>
                  </a:xfrm>
                  <a:prstGeom prst="rect">
                    <a:avLst/>
                  </a:prstGeom>
                  <a:ln w="12700" cap="flat">
                    <a:noFill/>
                    <a:miter lim="400000"/>
                  </a:ln>
                  <a:effectLst/>
                </pic:spPr>
              </pic:pic>
            </a:graphicData>
          </a:graphic>
        </wp:inline>
      </w:drawing>
    </w:r>
    <w:r>
      <w:rPr>
        <w:rStyle w:val="Egyik sem"/>
      </w:rPr>
      <w:drawing xmlns:a="http://schemas.openxmlformats.org/drawingml/2006/main">
        <wp:inline distT="0" distB="0" distL="0" distR="0">
          <wp:extent cx="1814400" cy="571854"/>
          <wp:effectExtent l="0" t="0" r="0" b="0"/>
          <wp:docPr id="1073741827" name="officeArt object" descr="image1.png"/>
          <wp:cNvGraphicFramePr/>
          <a:graphic xmlns:a="http://schemas.openxmlformats.org/drawingml/2006/main">
            <a:graphicData uri="http://schemas.openxmlformats.org/drawingml/2006/picture">
              <pic:pic xmlns:pic="http://schemas.openxmlformats.org/drawingml/2006/picture">
                <pic:nvPicPr>
                  <pic:cNvPr id="1073741827" name="image1.png" descr="image1.png"/>
                  <pic:cNvPicPr>
                    <a:picLocks noChangeAspect="1"/>
                  </pic:cNvPicPr>
                </pic:nvPicPr>
                <pic:blipFill>
                  <a:blip r:embed="rId3">
                    <a:extLst/>
                  </a:blip>
                  <a:srcRect l="0" t="15306" r="0" b="15306"/>
                  <a:stretch>
                    <a:fillRect/>
                  </a:stretch>
                </pic:blipFill>
                <pic:spPr>
                  <a:xfrm>
                    <a:off x="0" y="0"/>
                    <a:ext cx="1814400" cy="571854"/>
                  </a:xfrm>
                  <a:prstGeom prst="rect">
                    <a:avLst/>
                  </a:prstGeom>
                  <a:ln w="12700" cap="flat">
                    <a:noFill/>
                    <a:miter lim="400000"/>
                  </a:ln>
                  <a:effectLst/>
                </pic:spPr>
              </pic:pic>
            </a:graphicData>
          </a:graphic>
        </wp:inline>
      </w:drawing>
    </w:r>
    <w:r>
      <w:rPr>
        <w:rStyle w:val="Egyik sem"/>
        <w:rtl w:val="0"/>
      </w:rPr>
      <w:t xml:space="preserve">    </w:t>
      <w:tab/>
      <w:t xml:space="preserve"> </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ált 1 stílus"/>
  </w:abstractNum>
  <w:abstractNum w:abstractNumId="1">
    <w:multiLevelType w:val="hybridMultilevel"/>
    <w:styleLink w:val="Importált 1 stílus"/>
    <w:lvl w:ilvl="0">
      <w:start w:val="1"/>
      <w:numFmt w:val="bullet"/>
      <w:suff w:val="tab"/>
      <w:lvlText w:val="-"/>
      <w:lvlJc w:val="left"/>
      <w:pPr>
        <w:ind w:left="72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ált 2 stílus"/>
  </w:abstractNum>
  <w:abstractNum w:abstractNumId="3">
    <w:multiLevelType w:val="hybridMultilevel"/>
    <w:styleLink w:val="Importált 2 stílus"/>
    <w:lvl w:ilvl="0">
      <w:start w:val="1"/>
      <w:numFmt w:val="bullet"/>
      <w:suff w:val="tab"/>
      <w:lvlText w:val="-"/>
      <w:lvlJc w:val="left"/>
      <w:pPr>
        <w:ind w:left="72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magyar" w:val="‘“(〔[{〈《「『【⦅〘〖«〝︵︷︹︻︽︿﹁﹃﹇﹙﹛﹝｢"/>
  <w:noLineBreaksBefore w:lang="magyar"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Fejléc és lábléc">
    <w:name w:val="Fejléc és lábléc"/>
    <w:next w:val="Fejléc és lábléc"/>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Szövegtörzs">
    <w:name w:val="Szövegtörzs"/>
    <w:next w:val="Szövegtörzs"/>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character" w:styleId="Egyik sem">
    <w:name w:val="Egyik sem"/>
  </w:style>
  <w:style w:type="character" w:styleId="Hyperlink.0">
    <w:name w:val="Hyperlink.0"/>
    <w:basedOn w:val="Egyik sem"/>
    <w:next w:val="Hyperlink.0"/>
    <w:rPr>
      <w:rFonts w:ascii="Times New Roman" w:cs="Times New Roman" w:hAnsi="Times New Roman" w:eastAsia="Times New Roman"/>
      <w:outline w:val="0"/>
      <w:color w:val="1155cc"/>
      <w:sz w:val="20"/>
      <w:szCs w:val="20"/>
      <w:u w:val="single" w:color="1155cc"/>
      <w14:textFill>
        <w14:solidFill>
          <w14:srgbClr w14:val="1155CC"/>
        </w14:solidFill>
      </w14:textFill>
    </w:rPr>
  </w:style>
  <w:style w:type="numbering" w:styleId="Importált 1 stílus">
    <w:name w:val="Importált 1 stílus"/>
    <w:pPr>
      <w:numPr>
        <w:numId w:val="1"/>
      </w:numPr>
    </w:pPr>
  </w:style>
  <w:style w:type="numbering" w:styleId="Importált 2 stílus">
    <w:name w:val="Importált 2 stílus"/>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notes" Target="footnotes.xml"/><Relationship Id="rId9" Type="http://schemas.openxmlformats.org/officeDocument/2006/relationships/numbering" Target="numbering.xml"/><Relationship Id="rId10" Type="http://schemas.openxmlformats.org/officeDocument/2006/relationships/theme" Target="theme/theme1.xml"/></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