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486FC" w14:textId="77777777" w:rsidR="004F1B5A" w:rsidRDefault="005807D4">
      <w:pPr>
        <w:spacing w:line="301" w:lineRule="auto"/>
        <w:rPr>
          <w:rFonts w:ascii="Book Antiqua" w:eastAsia="Book Antiqua" w:hAnsi="Book Antiqua" w:cs="Book Antiqua"/>
        </w:rPr>
      </w:pPr>
      <w:r>
        <w:rPr>
          <w:noProof/>
        </w:rPr>
        <w:drawing>
          <wp:anchor distT="57150" distB="57150" distL="57150" distR="57150" simplePos="0" relativeHeight="251658240" behindDoc="0" locked="0" layoutInCell="1" hidden="0" allowOverlap="1" wp14:anchorId="4DF7B9AB" wp14:editId="339AB255">
            <wp:simplePos x="0" y="0"/>
            <wp:positionH relativeFrom="page">
              <wp:posOffset>3704140</wp:posOffset>
            </wp:positionH>
            <wp:positionV relativeFrom="page">
              <wp:posOffset>647700</wp:posOffset>
            </wp:positionV>
            <wp:extent cx="3115760" cy="1042988"/>
            <wp:effectExtent l="0" t="0" r="0" b="0"/>
            <wp:wrapSquare wrapText="bothSides" distT="57150" distB="57150" distL="57150" distR="571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115760" cy="1042988"/>
                    </a:xfrm>
                    <a:prstGeom prst="rect">
                      <a:avLst/>
                    </a:prstGeom>
                    <a:ln/>
                  </pic:spPr>
                </pic:pic>
              </a:graphicData>
            </a:graphic>
          </wp:anchor>
        </w:drawing>
      </w:r>
      <w:r>
        <w:rPr>
          <w:rFonts w:ascii="Book Antiqua" w:eastAsia="Book Antiqua" w:hAnsi="Book Antiqua" w:cs="Book Antiqua"/>
        </w:rPr>
        <w:t>Université de Genève – Faculté de droit</w:t>
      </w:r>
    </w:p>
    <w:p w14:paraId="321B4697" w14:textId="77777777" w:rsidR="004F1B5A" w:rsidRDefault="005807D4">
      <w:pPr>
        <w:spacing w:line="301" w:lineRule="auto"/>
        <w:rPr>
          <w:rFonts w:ascii="Book Antiqua" w:eastAsia="Book Antiqua" w:hAnsi="Book Antiqua" w:cs="Book Antiqua"/>
        </w:rPr>
      </w:pPr>
      <w:r>
        <w:rPr>
          <w:rFonts w:ascii="Book Antiqua" w:eastAsia="Book Antiqua" w:hAnsi="Book Antiqua" w:cs="Book Antiqua"/>
        </w:rPr>
        <w:t>Département de droit public</w:t>
      </w:r>
    </w:p>
    <w:p w14:paraId="5B6FEEEA" w14:textId="6AB69D3A" w:rsidR="004F1B5A" w:rsidRDefault="005807D4">
      <w:pPr>
        <w:spacing w:line="301" w:lineRule="auto"/>
        <w:jc w:val="both"/>
        <w:rPr>
          <w:rFonts w:ascii="Book Antiqua" w:eastAsia="Book Antiqua" w:hAnsi="Book Antiqua" w:cs="Book Antiqua"/>
        </w:rPr>
      </w:pPr>
      <w:r>
        <w:rPr>
          <w:rFonts w:ascii="Book Antiqua" w:eastAsia="Book Antiqua" w:hAnsi="Book Antiqua" w:cs="Book Antiqua"/>
        </w:rPr>
        <w:t>1</w:t>
      </w:r>
      <w:r w:rsidR="000940F3">
        <w:rPr>
          <w:rFonts w:ascii="Book Antiqua" w:eastAsia="Book Antiqua" w:hAnsi="Book Antiqua" w:cs="Book Antiqua"/>
        </w:rPr>
        <w:t>2</w:t>
      </w:r>
      <w:r>
        <w:rPr>
          <w:rFonts w:ascii="Book Antiqua" w:eastAsia="Book Antiqua" w:hAnsi="Book Antiqua" w:cs="Book Antiqua"/>
        </w:rPr>
        <w:t xml:space="preserve"> février 2022</w:t>
      </w:r>
    </w:p>
    <w:p w14:paraId="702D5B99" w14:textId="77777777" w:rsidR="004F1B5A" w:rsidRDefault="005807D4">
      <w:pPr>
        <w:spacing w:line="301" w:lineRule="auto"/>
        <w:rPr>
          <w:rFonts w:ascii="Book Antiqua" w:eastAsia="Book Antiqua" w:hAnsi="Book Antiqua" w:cs="Book Antiqua"/>
        </w:rPr>
      </w:pPr>
      <w:r>
        <w:rPr>
          <w:rFonts w:ascii="Book Antiqua" w:eastAsia="Book Antiqua" w:hAnsi="Book Antiqua" w:cs="Book Antiqua"/>
        </w:rPr>
        <w:t xml:space="preserve"> </w:t>
      </w:r>
    </w:p>
    <w:p w14:paraId="171FFF8F" w14:textId="77777777" w:rsidR="004F1B5A" w:rsidRDefault="005807D4">
      <w:pPr>
        <w:spacing w:line="301" w:lineRule="auto"/>
        <w:rPr>
          <w:rFonts w:ascii="Book Antiqua" w:eastAsia="Book Antiqua" w:hAnsi="Book Antiqua" w:cs="Book Antiqua"/>
        </w:rPr>
      </w:pPr>
      <w:r>
        <w:rPr>
          <w:rFonts w:ascii="Book Antiqua" w:eastAsia="Book Antiqua" w:hAnsi="Book Antiqua" w:cs="Book Antiqua"/>
        </w:rPr>
        <w:t xml:space="preserve"> </w:t>
      </w:r>
    </w:p>
    <w:p w14:paraId="419BD7E8" w14:textId="77777777" w:rsidR="004F1B5A" w:rsidRDefault="005807D4">
      <w:pPr>
        <w:spacing w:line="301" w:lineRule="auto"/>
        <w:rPr>
          <w:rFonts w:ascii="Book Antiqua" w:eastAsia="Book Antiqua" w:hAnsi="Book Antiqua" w:cs="Book Antiqua"/>
        </w:rPr>
      </w:pPr>
      <w:r>
        <w:rPr>
          <w:rFonts w:ascii="Book Antiqua" w:eastAsia="Book Antiqua" w:hAnsi="Book Antiqua" w:cs="Book Antiqua"/>
        </w:rPr>
        <w:t xml:space="preserve"> </w:t>
      </w:r>
    </w:p>
    <w:p w14:paraId="12B6B9A6" w14:textId="77777777" w:rsidR="004F1B5A" w:rsidRDefault="004F1B5A">
      <w:pPr>
        <w:spacing w:line="301" w:lineRule="auto"/>
        <w:jc w:val="both"/>
        <w:rPr>
          <w:rFonts w:ascii="Book Antiqua" w:eastAsia="Book Antiqua" w:hAnsi="Book Antiqua" w:cs="Book Antiqua"/>
        </w:rPr>
      </w:pPr>
    </w:p>
    <w:p w14:paraId="06FCCB08" w14:textId="77777777" w:rsidR="004F1B5A" w:rsidRDefault="005807D4">
      <w:pPr>
        <w:spacing w:after="160" w:line="301" w:lineRule="auto"/>
        <w:rPr>
          <w:rFonts w:ascii="Book Antiqua" w:eastAsia="Book Antiqua" w:hAnsi="Book Antiqua" w:cs="Book Antiqua"/>
          <w:b/>
        </w:rPr>
      </w:pPr>
      <w:r>
        <w:rPr>
          <w:rFonts w:ascii="Book Antiqua" w:eastAsia="Book Antiqua" w:hAnsi="Book Antiqua" w:cs="Book Antiqua"/>
          <w:b/>
        </w:rPr>
        <w:t xml:space="preserve"> </w:t>
      </w:r>
    </w:p>
    <w:p w14:paraId="2B05AE73" w14:textId="77777777" w:rsidR="004F1B5A" w:rsidRDefault="005807D4">
      <w:pPr>
        <w:spacing w:after="160" w:line="301" w:lineRule="auto"/>
        <w:rPr>
          <w:rFonts w:ascii="Book Antiqua" w:eastAsia="Book Antiqua" w:hAnsi="Book Antiqua" w:cs="Book Antiqua"/>
          <w:b/>
        </w:rPr>
      </w:pPr>
      <w:r>
        <w:rPr>
          <w:rFonts w:ascii="Book Antiqua" w:eastAsia="Book Antiqua" w:hAnsi="Book Antiqua" w:cs="Book Antiqua"/>
          <w:b/>
        </w:rPr>
        <w:t xml:space="preserve"> </w:t>
      </w:r>
    </w:p>
    <w:p w14:paraId="140242A1" w14:textId="77777777" w:rsidR="004F1B5A" w:rsidRDefault="005807D4">
      <w:pPr>
        <w:spacing w:after="160" w:line="301" w:lineRule="auto"/>
        <w:rPr>
          <w:rFonts w:ascii="Book Antiqua" w:eastAsia="Book Antiqua" w:hAnsi="Book Antiqua" w:cs="Book Antiqua"/>
          <w:b/>
        </w:rPr>
      </w:pPr>
      <w:r>
        <w:rPr>
          <w:rFonts w:ascii="Book Antiqua" w:eastAsia="Book Antiqua" w:hAnsi="Book Antiqua" w:cs="Book Antiqua"/>
          <w:b/>
        </w:rPr>
        <w:t xml:space="preserve"> </w:t>
      </w:r>
    </w:p>
    <w:p w14:paraId="35C2CD97" w14:textId="77777777" w:rsidR="004F1B5A" w:rsidRDefault="005807D4">
      <w:pPr>
        <w:spacing w:after="160" w:line="301"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 xml:space="preserve">SOUMISSION EN VUE DU PREMIER EXAMEN DE LA SUISSE </w:t>
      </w:r>
    </w:p>
    <w:p w14:paraId="0D55EF0D" w14:textId="77777777" w:rsidR="004F1B5A" w:rsidRDefault="005807D4">
      <w:pPr>
        <w:spacing w:after="160" w:line="301"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PAR LE COMITÉ SUR LES DROITS DES PERSONNES HANDICAPÉES (CRPD)</w:t>
      </w:r>
    </w:p>
    <w:p w14:paraId="34C08D5B" w14:textId="77777777" w:rsidR="004F1B5A" w:rsidRDefault="004F1B5A">
      <w:pPr>
        <w:spacing w:after="160" w:line="301" w:lineRule="auto"/>
        <w:jc w:val="center"/>
        <w:rPr>
          <w:rFonts w:ascii="Book Antiqua" w:eastAsia="Book Antiqua" w:hAnsi="Book Antiqua" w:cs="Book Antiqua"/>
          <w:b/>
          <w:sz w:val="28"/>
          <w:szCs w:val="28"/>
        </w:rPr>
      </w:pPr>
    </w:p>
    <w:p w14:paraId="59FBA869" w14:textId="77777777" w:rsidR="004F1B5A" w:rsidRDefault="004F1B5A">
      <w:pPr>
        <w:spacing w:after="160" w:line="301" w:lineRule="auto"/>
        <w:jc w:val="center"/>
        <w:rPr>
          <w:rFonts w:ascii="Book Antiqua" w:eastAsia="Book Antiqua" w:hAnsi="Book Antiqua" w:cs="Book Antiqua"/>
          <w:b/>
          <w:sz w:val="28"/>
          <w:szCs w:val="28"/>
        </w:rPr>
      </w:pPr>
    </w:p>
    <w:p w14:paraId="2678A182" w14:textId="77777777" w:rsidR="004F1B5A" w:rsidRDefault="004F1B5A">
      <w:pPr>
        <w:spacing w:after="160" w:line="301" w:lineRule="auto"/>
        <w:jc w:val="center"/>
        <w:rPr>
          <w:rFonts w:ascii="Book Antiqua" w:eastAsia="Book Antiqua" w:hAnsi="Book Antiqua" w:cs="Book Antiqua"/>
          <w:b/>
          <w:sz w:val="28"/>
          <w:szCs w:val="28"/>
        </w:rPr>
      </w:pPr>
    </w:p>
    <w:p w14:paraId="7CD8B823" w14:textId="77777777" w:rsidR="004F1B5A" w:rsidRDefault="005807D4">
      <w:pPr>
        <w:spacing w:after="160" w:line="301" w:lineRule="auto"/>
        <w:jc w:val="center"/>
        <w:rPr>
          <w:rFonts w:ascii="Book Antiqua" w:eastAsia="Book Antiqua" w:hAnsi="Book Antiqua" w:cs="Book Antiqua"/>
          <w:b/>
          <w:i/>
          <w:sz w:val="28"/>
          <w:szCs w:val="28"/>
        </w:rPr>
      </w:pPr>
      <w:r>
        <w:rPr>
          <w:rFonts w:ascii="Book Antiqua" w:eastAsia="Book Antiqua" w:hAnsi="Book Antiqua" w:cs="Book Antiqua"/>
          <w:b/>
          <w:sz w:val="28"/>
          <w:szCs w:val="28"/>
        </w:rPr>
        <w:t xml:space="preserve">Au nom de la </w:t>
      </w:r>
      <w:r>
        <w:rPr>
          <w:rFonts w:ascii="Book Antiqua" w:eastAsia="Book Antiqua" w:hAnsi="Book Antiqua" w:cs="Book Antiqua"/>
          <w:b/>
          <w:i/>
          <w:sz w:val="28"/>
          <w:szCs w:val="28"/>
        </w:rPr>
        <w:t>Law Clinic sur les droits des personnes vulnérables</w:t>
      </w:r>
    </w:p>
    <w:p w14:paraId="211D1499" w14:textId="77777777" w:rsidR="004F1B5A" w:rsidRDefault="004F1B5A">
      <w:pPr>
        <w:spacing w:after="160" w:line="301" w:lineRule="auto"/>
        <w:jc w:val="center"/>
        <w:rPr>
          <w:rFonts w:ascii="Book Antiqua" w:eastAsia="Book Antiqua" w:hAnsi="Book Antiqua" w:cs="Book Antiqua"/>
          <w:b/>
          <w:i/>
          <w:sz w:val="28"/>
          <w:szCs w:val="28"/>
        </w:rPr>
      </w:pPr>
    </w:p>
    <w:p w14:paraId="73ABEB0D" w14:textId="77777777" w:rsidR="004F1B5A" w:rsidRDefault="004F1B5A">
      <w:pPr>
        <w:spacing w:after="160" w:line="301" w:lineRule="auto"/>
        <w:jc w:val="center"/>
        <w:rPr>
          <w:rFonts w:ascii="Book Antiqua" w:eastAsia="Book Antiqua" w:hAnsi="Book Antiqua" w:cs="Book Antiqua"/>
          <w:sz w:val="28"/>
          <w:szCs w:val="28"/>
        </w:rPr>
      </w:pPr>
    </w:p>
    <w:p w14:paraId="256537C7" w14:textId="77777777" w:rsidR="004F1B5A" w:rsidRDefault="005807D4">
      <w:pPr>
        <w:spacing w:after="160" w:line="301" w:lineRule="auto"/>
        <w:jc w:val="center"/>
        <w:rPr>
          <w:rFonts w:ascii="Book Antiqua" w:eastAsia="Book Antiqua" w:hAnsi="Book Antiqua" w:cs="Book Antiqua"/>
          <w:sz w:val="28"/>
          <w:szCs w:val="28"/>
        </w:rPr>
      </w:pPr>
      <w:r>
        <w:rPr>
          <w:rFonts w:ascii="Book Antiqua" w:eastAsia="Book Antiqua" w:hAnsi="Book Antiqua" w:cs="Book Antiqua"/>
          <w:sz w:val="28"/>
          <w:szCs w:val="28"/>
        </w:rPr>
        <w:t>Cette soumission est basée sur les travaux de maîtrise rédigés par les étudiant-e-x-s de la volée 2021-2022 :</w:t>
      </w:r>
    </w:p>
    <w:p w14:paraId="3719900E" w14:textId="77777777" w:rsidR="004F1B5A" w:rsidRDefault="004F1B5A">
      <w:pPr>
        <w:spacing w:after="160" w:line="301" w:lineRule="auto"/>
        <w:jc w:val="center"/>
        <w:rPr>
          <w:rFonts w:ascii="Book Antiqua" w:eastAsia="Book Antiqua" w:hAnsi="Book Antiqua" w:cs="Book Antiqua"/>
          <w:sz w:val="28"/>
          <w:szCs w:val="28"/>
        </w:rPr>
      </w:pPr>
    </w:p>
    <w:p w14:paraId="6AB83CDA" w14:textId="4E0CA999" w:rsidR="004F1B5A" w:rsidRDefault="005807D4">
      <w:pPr>
        <w:spacing w:line="301" w:lineRule="auto"/>
        <w:jc w:val="both"/>
        <w:rPr>
          <w:rFonts w:ascii="Book Antiqua" w:eastAsia="Book Antiqua" w:hAnsi="Book Antiqua" w:cs="Book Antiqua"/>
          <w:sz w:val="26"/>
          <w:szCs w:val="26"/>
        </w:rPr>
      </w:pPr>
      <w:r>
        <w:rPr>
          <w:rFonts w:ascii="Book Antiqua" w:eastAsia="Book Antiqua" w:hAnsi="Book Antiqua" w:cs="Book Antiqua"/>
          <w:sz w:val="26"/>
          <w:szCs w:val="26"/>
        </w:rPr>
        <w:t>Barampama Ingabire, Cantone Camille, Fernandes Rafael, Gerritzen Elisabeth, Grangier Diego, Guled Leïla, Hjelm Alexandra, Huber Zoé, Huguet Sarah, Khoury Cyril, Laederach Maeva, Maliki Jihane, Neves Da Silveira Diana, Rota Véronique, Tschachtli Raphaël, Wang Louise</w:t>
      </w:r>
    </w:p>
    <w:p w14:paraId="39037A3F" w14:textId="77777777" w:rsidR="004F1B5A" w:rsidRDefault="005807D4">
      <w:pPr>
        <w:spacing w:line="301" w:lineRule="auto"/>
        <w:ind w:left="360"/>
        <w:jc w:val="center"/>
        <w:rPr>
          <w:rFonts w:ascii="Book Antiqua" w:eastAsia="Book Antiqua" w:hAnsi="Book Antiqua" w:cs="Book Antiqua"/>
          <w:b/>
        </w:rPr>
      </w:pPr>
      <w:r>
        <w:rPr>
          <w:rFonts w:ascii="Book Antiqua" w:eastAsia="Book Antiqua" w:hAnsi="Book Antiqua" w:cs="Book Antiqua"/>
          <w:sz w:val="28"/>
          <w:szCs w:val="28"/>
        </w:rPr>
        <w:t xml:space="preserve">   </w:t>
      </w:r>
      <w:r>
        <w:rPr>
          <w:rFonts w:ascii="Book Antiqua" w:eastAsia="Book Antiqua" w:hAnsi="Book Antiqua" w:cs="Book Antiqua"/>
          <w:b/>
        </w:rPr>
        <w:t xml:space="preserve"> </w:t>
      </w:r>
    </w:p>
    <w:p w14:paraId="557590D0" w14:textId="77777777" w:rsidR="004F1B5A" w:rsidRDefault="005807D4">
      <w:pPr>
        <w:spacing w:line="301" w:lineRule="auto"/>
        <w:jc w:val="center"/>
        <w:rPr>
          <w:rFonts w:ascii="Book Antiqua" w:eastAsia="Book Antiqua" w:hAnsi="Book Antiqua" w:cs="Book Antiqua"/>
        </w:rPr>
      </w:pPr>
      <w:r>
        <w:rPr>
          <w:rFonts w:ascii="Book Antiqua" w:eastAsia="Book Antiqua" w:hAnsi="Book Antiqua" w:cs="Book Antiqua"/>
        </w:rPr>
        <w:t>______________________________________________________________________</w:t>
      </w:r>
    </w:p>
    <w:p w14:paraId="1A4151CF" w14:textId="77777777" w:rsidR="004F1B5A" w:rsidRDefault="005807D4">
      <w:pPr>
        <w:spacing w:line="301" w:lineRule="auto"/>
        <w:jc w:val="center"/>
        <w:rPr>
          <w:rFonts w:ascii="Book Antiqua" w:eastAsia="Book Antiqua" w:hAnsi="Book Antiqua" w:cs="Book Antiqua"/>
        </w:rPr>
      </w:pPr>
      <w:r>
        <w:rPr>
          <w:rFonts w:ascii="Book Antiqua" w:eastAsia="Book Antiqua" w:hAnsi="Book Antiqua" w:cs="Book Antiqua"/>
        </w:rPr>
        <w:t xml:space="preserve"> </w:t>
      </w:r>
    </w:p>
    <w:p w14:paraId="56EC284C" w14:textId="77777777" w:rsidR="004F1B5A" w:rsidRDefault="005807D4">
      <w:pPr>
        <w:spacing w:line="301" w:lineRule="auto"/>
        <w:rPr>
          <w:rFonts w:ascii="Book Antiqua" w:eastAsia="Book Antiqua" w:hAnsi="Book Antiqua" w:cs="Book Antiqua"/>
        </w:rPr>
      </w:pPr>
      <w:r>
        <w:rPr>
          <w:rFonts w:ascii="Book Antiqua" w:eastAsia="Book Antiqua" w:hAnsi="Book Antiqua" w:cs="Book Antiqua"/>
        </w:rPr>
        <w:t>Travaux rédigés sous la supervision de Prof. Maya Hertig Randall, Dre Nesa Zimmermann, Vista Eskandari, Quentin Markarian</w:t>
      </w:r>
    </w:p>
    <w:sdt>
      <w:sdtPr>
        <w:rPr>
          <w:sz w:val="28"/>
          <w:szCs w:val="28"/>
        </w:rPr>
        <w:id w:val="867183170"/>
        <w:docPartObj>
          <w:docPartGallery w:val="Table of Contents"/>
          <w:docPartUnique/>
        </w:docPartObj>
      </w:sdtPr>
      <w:sdtEndPr>
        <w:rPr>
          <w:rFonts w:ascii="Book Antiqua" w:hAnsi="Book Antiqua"/>
          <w:sz w:val="24"/>
          <w:szCs w:val="24"/>
        </w:rPr>
      </w:sdtEndPr>
      <w:sdtContent>
        <w:p w14:paraId="287AE185" w14:textId="3CF571E0" w:rsidR="00363504" w:rsidRPr="006226A5" w:rsidRDefault="005807D4" w:rsidP="005D6E51">
          <w:pPr>
            <w:pStyle w:val="TM2"/>
            <w:spacing w:line="480" w:lineRule="auto"/>
            <w:rPr>
              <w:rFonts w:ascii="Book Antiqua" w:eastAsiaTheme="minorEastAsia" w:hAnsi="Book Antiqua" w:cstheme="minorBidi"/>
              <w:b/>
              <w:bCs/>
              <w:noProof/>
              <w:sz w:val="24"/>
              <w:szCs w:val="24"/>
              <w:lang w:val="fr-CH"/>
            </w:rPr>
          </w:pPr>
          <w:r w:rsidRPr="00DF488F">
            <w:rPr>
              <w:rFonts w:ascii="Book Antiqua" w:hAnsi="Book Antiqua"/>
              <w:color w:val="FF0000"/>
            </w:rPr>
            <w:fldChar w:fldCharType="begin"/>
          </w:r>
          <w:r w:rsidRPr="00DF488F">
            <w:rPr>
              <w:rFonts w:ascii="Book Antiqua" w:hAnsi="Book Antiqua"/>
              <w:color w:val="FF0000"/>
            </w:rPr>
            <w:instrText xml:space="preserve"> TOC \h \u \z </w:instrText>
          </w:r>
          <w:r w:rsidRPr="00DF488F">
            <w:rPr>
              <w:rFonts w:ascii="Book Antiqua" w:hAnsi="Book Antiqua"/>
              <w:color w:val="FF0000"/>
            </w:rPr>
            <w:fldChar w:fldCharType="separate"/>
          </w:r>
          <w:hyperlink w:anchor="_Toc95769346" w:history="1">
            <w:r w:rsidR="00363504" w:rsidRPr="006226A5">
              <w:rPr>
                <w:rStyle w:val="Lienhypertexte"/>
                <w:rFonts w:ascii="Book Antiqua" w:eastAsia="Book Antiqua" w:hAnsi="Book Antiqua" w:cs="Book Antiqua"/>
                <w:b/>
                <w:bCs/>
                <w:noProof/>
                <w:sz w:val="24"/>
                <w:szCs w:val="24"/>
              </w:rPr>
              <w:t>Liste des abréviations</w:t>
            </w:r>
            <w:r w:rsidR="00363504" w:rsidRPr="006226A5">
              <w:rPr>
                <w:rFonts w:ascii="Book Antiqua" w:hAnsi="Book Antiqua"/>
                <w:b/>
                <w:bCs/>
                <w:noProof/>
                <w:webHidden/>
                <w:sz w:val="24"/>
                <w:szCs w:val="24"/>
              </w:rPr>
              <w:tab/>
            </w:r>
            <w:r w:rsidR="00363504" w:rsidRPr="006226A5">
              <w:rPr>
                <w:rFonts w:ascii="Book Antiqua" w:hAnsi="Book Antiqua"/>
                <w:b/>
                <w:bCs/>
                <w:noProof/>
                <w:webHidden/>
                <w:sz w:val="24"/>
                <w:szCs w:val="24"/>
              </w:rPr>
              <w:fldChar w:fldCharType="begin"/>
            </w:r>
            <w:r w:rsidR="00363504" w:rsidRPr="006226A5">
              <w:rPr>
                <w:rFonts w:ascii="Book Antiqua" w:hAnsi="Book Antiqua"/>
                <w:b/>
                <w:bCs/>
                <w:noProof/>
                <w:webHidden/>
                <w:sz w:val="24"/>
                <w:szCs w:val="24"/>
              </w:rPr>
              <w:instrText xml:space="preserve"> PAGEREF _Toc95769346 \h </w:instrText>
            </w:r>
            <w:r w:rsidR="00363504" w:rsidRPr="006226A5">
              <w:rPr>
                <w:rFonts w:ascii="Book Antiqua" w:hAnsi="Book Antiqua"/>
                <w:b/>
                <w:bCs/>
                <w:noProof/>
                <w:webHidden/>
                <w:sz w:val="24"/>
                <w:szCs w:val="24"/>
              </w:rPr>
            </w:r>
            <w:r w:rsidR="00363504" w:rsidRPr="006226A5">
              <w:rPr>
                <w:rFonts w:ascii="Book Antiqua" w:hAnsi="Book Antiqua"/>
                <w:b/>
                <w:bCs/>
                <w:noProof/>
                <w:webHidden/>
                <w:sz w:val="24"/>
                <w:szCs w:val="24"/>
              </w:rPr>
              <w:fldChar w:fldCharType="separate"/>
            </w:r>
            <w:r w:rsidR="000C3CD7">
              <w:rPr>
                <w:rFonts w:ascii="Book Antiqua" w:hAnsi="Book Antiqua"/>
                <w:b/>
                <w:bCs/>
                <w:noProof/>
                <w:webHidden/>
                <w:sz w:val="24"/>
                <w:szCs w:val="24"/>
              </w:rPr>
              <w:t>3</w:t>
            </w:r>
            <w:r w:rsidR="00363504" w:rsidRPr="006226A5">
              <w:rPr>
                <w:rFonts w:ascii="Book Antiqua" w:hAnsi="Book Antiqua"/>
                <w:b/>
                <w:bCs/>
                <w:noProof/>
                <w:webHidden/>
                <w:sz w:val="24"/>
                <w:szCs w:val="24"/>
              </w:rPr>
              <w:fldChar w:fldCharType="end"/>
            </w:r>
          </w:hyperlink>
        </w:p>
        <w:p w14:paraId="0D2A6C95" w14:textId="40B153BD" w:rsidR="00363504" w:rsidRPr="006226A5" w:rsidRDefault="007D7D82" w:rsidP="005D6E51">
          <w:pPr>
            <w:pStyle w:val="TM2"/>
            <w:spacing w:line="480" w:lineRule="auto"/>
            <w:rPr>
              <w:rFonts w:ascii="Book Antiqua" w:eastAsiaTheme="minorEastAsia" w:hAnsi="Book Antiqua" w:cstheme="minorBidi"/>
              <w:b/>
              <w:bCs/>
              <w:noProof/>
              <w:sz w:val="24"/>
              <w:szCs w:val="24"/>
              <w:lang w:val="fr-CH"/>
            </w:rPr>
          </w:pPr>
          <w:hyperlink w:anchor="_Toc95769347" w:history="1">
            <w:r w:rsidR="00363504" w:rsidRPr="006226A5">
              <w:rPr>
                <w:rStyle w:val="Lienhypertexte"/>
                <w:rFonts w:ascii="Book Antiqua" w:eastAsia="Book Antiqua" w:hAnsi="Book Antiqua" w:cs="Book Antiqua"/>
                <w:b/>
                <w:bCs/>
                <w:noProof/>
                <w:sz w:val="24"/>
                <w:szCs w:val="24"/>
              </w:rPr>
              <w:t xml:space="preserve">I. Les travaux de la </w:t>
            </w:r>
            <w:r w:rsidR="00363504" w:rsidRPr="006226A5">
              <w:rPr>
                <w:rStyle w:val="Lienhypertexte"/>
                <w:rFonts w:ascii="Book Antiqua" w:eastAsia="Book Antiqua" w:hAnsi="Book Antiqua" w:cs="Book Antiqua"/>
                <w:b/>
                <w:bCs/>
                <w:i/>
                <w:iCs/>
                <w:noProof/>
                <w:sz w:val="24"/>
                <w:szCs w:val="24"/>
              </w:rPr>
              <w:t>Law Clinic</w:t>
            </w:r>
            <w:r w:rsidR="00363504" w:rsidRPr="006226A5">
              <w:rPr>
                <w:rStyle w:val="Lienhypertexte"/>
                <w:rFonts w:ascii="Book Antiqua" w:eastAsia="Book Antiqua" w:hAnsi="Book Antiqua" w:cs="Book Antiqua"/>
                <w:b/>
                <w:bCs/>
                <w:noProof/>
                <w:sz w:val="24"/>
                <w:szCs w:val="24"/>
              </w:rPr>
              <w:t xml:space="preserve"> de l’Université de Genève</w:t>
            </w:r>
            <w:r w:rsidR="00363504" w:rsidRPr="006226A5">
              <w:rPr>
                <w:rFonts w:ascii="Book Antiqua" w:hAnsi="Book Antiqua"/>
                <w:b/>
                <w:bCs/>
                <w:noProof/>
                <w:webHidden/>
                <w:sz w:val="24"/>
                <w:szCs w:val="24"/>
              </w:rPr>
              <w:tab/>
            </w:r>
            <w:r w:rsidR="00363504" w:rsidRPr="006226A5">
              <w:rPr>
                <w:rFonts w:ascii="Book Antiqua" w:hAnsi="Book Antiqua"/>
                <w:b/>
                <w:bCs/>
                <w:noProof/>
                <w:webHidden/>
                <w:sz w:val="24"/>
                <w:szCs w:val="24"/>
              </w:rPr>
              <w:fldChar w:fldCharType="begin"/>
            </w:r>
            <w:r w:rsidR="00363504" w:rsidRPr="006226A5">
              <w:rPr>
                <w:rFonts w:ascii="Book Antiqua" w:hAnsi="Book Antiqua"/>
                <w:b/>
                <w:bCs/>
                <w:noProof/>
                <w:webHidden/>
                <w:sz w:val="24"/>
                <w:szCs w:val="24"/>
              </w:rPr>
              <w:instrText xml:space="preserve"> PAGEREF _Toc95769347 \h </w:instrText>
            </w:r>
            <w:r w:rsidR="00363504" w:rsidRPr="006226A5">
              <w:rPr>
                <w:rFonts w:ascii="Book Antiqua" w:hAnsi="Book Antiqua"/>
                <w:b/>
                <w:bCs/>
                <w:noProof/>
                <w:webHidden/>
                <w:sz w:val="24"/>
                <w:szCs w:val="24"/>
              </w:rPr>
            </w:r>
            <w:r w:rsidR="00363504" w:rsidRPr="006226A5">
              <w:rPr>
                <w:rFonts w:ascii="Book Antiqua" w:hAnsi="Book Antiqua"/>
                <w:b/>
                <w:bCs/>
                <w:noProof/>
                <w:webHidden/>
                <w:sz w:val="24"/>
                <w:szCs w:val="24"/>
              </w:rPr>
              <w:fldChar w:fldCharType="separate"/>
            </w:r>
            <w:r w:rsidR="000C3CD7">
              <w:rPr>
                <w:rFonts w:ascii="Book Antiqua" w:hAnsi="Book Antiqua"/>
                <w:b/>
                <w:bCs/>
                <w:noProof/>
                <w:webHidden/>
                <w:sz w:val="24"/>
                <w:szCs w:val="24"/>
              </w:rPr>
              <w:t>5</w:t>
            </w:r>
            <w:r w:rsidR="00363504" w:rsidRPr="006226A5">
              <w:rPr>
                <w:rFonts w:ascii="Book Antiqua" w:hAnsi="Book Antiqua"/>
                <w:b/>
                <w:bCs/>
                <w:noProof/>
                <w:webHidden/>
                <w:sz w:val="24"/>
                <w:szCs w:val="24"/>
              </w:rPr>
              <w:fldChar w:fldCharType="end"/>
            </w:r>
          </w:hyperlink>
        </w:p>
        <w:p w14:paraId="2F944BA0" w14:textId="34EDCBE7" w:rsidR="00363504" w:rsidRPr="006226A5" w:rsidRDefault="007D7D82" w:rsidP="005D6E51">
          <w:pPr>
            <w:pStyle w:val="TM2"/>
            <w:spacing w:line="480" w:lineRule="auto"/>
            <w:rPr>
              <w:rFonts w:ascii="Book Antiqua" w:eastAsiaTheme="minorEastAsia" w:hAnsi="Book Antiqua" w:cstheme="minorBidi"/>
              <w:b/>
              <w:bCs/>
              <w:noProof/>
              <w:sz w:val="24"/>
              <w:szCs w:val="24"/>
              <w:lang w:val="fr-CH"/>
            </w:rPr>
          </w:pPr>
          <w:hyperlink w:anchor="_Toc95769348" w:history="1">
            <w:r w:rsidR="00363504" w:rsidRPr="006226A5">
              <w:rPr>
                <w:rStyle w:val="Lienhypertexte"/>
                <w:rFonts w:ascii="Book Antiqua" w:eastAsia="Book Antiqua" w:hAnsi="Book Antiqua" w:cs="Book Antiqua"/>
                <w:b/>
                <w:bCs/>
                <w:noProof/>
                <w:sz w:val="24"/>
                <w:szCs w:val="24"/>
              </w:rPr>
              <w:t>II. Points soulevés</w:t>
            </w:r>
            <w:r w:rsidR="00363504" w:rsidRPr="006226A5">
              <w:rPr>
                <w:rFonts w:ascii="Book Antiqua" w:hAnsi="Book Antiqua"/>
                <w:b/>
                <w:bCs/>
                <w:noProof/>
                <w:webHidden/>
                <w:sz w:val="24"/>
                <w:szCs w:val="24"/>
              </w:rPr>
              <w:tab/>
            </w:r>
            <w:r w:rsidR="00363504" w:rsidRPr="006226A5">
              <w:rPr>
                <w:rFonts w:ascii="Book Antiqua" w:hAnsi="Book Antiqua"/>
                <w:b/>
                <w:bCs/>
                <w:noProof/>
                <w:webHidden/>
                <w:sz w:val="24"/>
                <w:szCs w:val="24"/>
              </w:rPr>
              <w:fldChar w:fldCharType="begin"/>
            </w:r>
            <w:r w:rsidR="00363504" w:rsidRPr="006226A5">
              <w:rPr>
                <w:rFonts w:ascii="Book Antiqua" w:hAnsi="Book Antiqua"/>
                <w:b/>
                <w:bCs/>
                <w:noProof/>
                <w:webHidden/>
                <w:sz w:val="24"/>
                <w:szCs w:val="24"/>
              </w:rPr>
              <w:instrText xml:space="preserve"> PAGEREF _Toc95769348 \h </w:instrText>
            </w:r>
            <w:r w:rsidR="00363504" w:rsidRPr="006226A5">
              <w:rPr>
                <w:rFonts w:ascii="Book Antiqua" w:hAnsi="Book Antiqua"/>
                <w:b/>
                <w:bCs/>
                <w:noProof/>
                <w:webHidden/>
                <w:sz w:val="24"/>
                <w:szCs w:val="24"/>
              </w:rPr>
            </w:r>
            <w:r w:rsidR="00363504" w:rsidRPr="006226A5">
              <w:rPr>
                <w:rFonts w:ascii="Book Antiqua" w:hAnsi="Book Antiqua"/>
                <w:b/>
                <w:bCs/>
                <w:noProof/>
                <w:webHidden/>
                <w:sz w:val="24"/>
                <w:szCs w:val="24"/>
              </w:rPr>
              <w:fldChar w:fldCharType="separate"/>
            </w:r>
            <w:r w:rsidR="000C3CD7">
              <w:rPr>
                <w:rFonts w:ascii="Book Antiqua" w:hAnsi="Book Antiqua"/>
                <w:b/>
                <w:bCs/>
                <w:noProof/>
                <w:webHidden/>
                <w:sz w:val="24"/>
                <w:szCs w:val="24"/>
              </w:rPr>
              <w:t>6</w:t>
            </w:r>
            <w:r w:rsidR="00363504" w:rsidRPr="006226A5">
              <w:rPr>
                <w:rFonts w:ascii="Book Antiqua" w:hAnsi="Book Antiqua"/>
                <w:b/>
                <w:bCs/>
                <w:noProof/>
                <w:webHidden/>
                <w:sz w:val="24"/>
                <w:szCs w:val="24"/>
              </w:rPr>
              <w:fldChar w:fldCharType="end"/>
            </w:r>
          </w:hyperlink>
        </w:p>
        <w:p w14:paraId="6725F524" w14:textId="16C5A342" w:rsidR="00363504" w:rsidRPr="006226A5" w:rsidRDefault="007D7D82" w:rsidP="005D6E51">
          <w:pPr>
            <w:pStyle w:val="TM3"/>
            <w:tabs>
              <w:tab w:val="left" w:pos="960"/>
              <w:tab w:val="right" w:pos="9019"/>
            </w:tabs>
            <w:spacing w:line="480" w:lineRule="auto"/>
            <w:jc w:val="both"/>
            <w:rPr>
              <w:rFonts w:ascii="Book Antiqua" w:eastAsiaTheme="minorEastAsia" w:hAnsi="Book Antiqua" w:cstheme="minorBidi"/>
              <w:b/>
              <w:bCs/>
              <w:noProof/>
              <w:sz w:val="24"/>
              <w:szCs w:val="24"/>
              <w:lang w:val="fr-CH"/>
            </w:rPr>
          </w:pPr>
          <w:hyperlink w:anchor="_Toc95769349" w:history="1">
            <w:r w:rsidR="00363504" w:rsidRPr="006226A5">
              <w:rPr>
                <w:rStyle w:val="Lienhypertexte"/>
                <w:rFonts w:ascii="Book Antiqua" w:hAnsi="Book Antiqua"/>
                <w:b/>
                <w:bCs/>
                <w:noProof/>
                <w:sz w:val="24"/>
                <w:szCs w:val="24"/>
              </w:rPr>
              <w:t>A.</w:t>
            </w:r>
            <w:r w:rsidR="00363504" w:rsidRPr="006226A5">
              <w:rPr>
                <w:rFonts w:ascii="Book Antiqua" w:eastAsiaTheme="minorEastAsia" w:hAnsi="Book Antiqua" w:cstheme="minorBidi"/>
                <w:b/>
                <w:bCs/>
                <w:noProof/>
                <w:sz w:val="24"/>
                <w:szCs w:val="24"/>
                <w:lang w:val="fr-CH"/>
              </w:rPr>
              <w:tab/>
            </w:r>
            <w:r w:rsidR="00363504" w:rsidRPr="006226A5">
              <w:rPr>
                <w:rStyle w:val="Lienhypertexte"/>
                <w:rFonts w:ascii="Book Antiqua" w:hAnsi="Book Antiqua"/>
                <w:b/>
                <w:bCs/>
                <w:noProof/>
                <w:sz w:val="24"/>
                <w:szCs w:val="24"/>
              </w:rPr>
              <w:t>Recours aux moyens de contrainte dans les établissements pénitentiaires (articles 12, 14, 15, 16, 17 et 25 CDPH)</w:t>
            </w:r>
            <w:r w:rsidR="00363504" w:rsidRPr="006226A5">
              <w:rPr>
                <w:rFonts w:ascii="Book Antiqua" w:hAnsi="Book Antiqua"/>
                <w:b/>
                <w:bCs/>
                <w:noProof/>
                <w:webHidden/>
                <w:sz w:val="24"/>
                <w:szCs w:val="24"/>
              </w:rPr>
              <w:tab/>
            </w:r>
            <w:r w:rsidR="00363504" w:rsidRPr="006226A5">
              <w:rPr>
                <w:rFonts w:ascii="Book Antiqua" w:hAnsi="Book Antiqua"/>
                <w:b/>
                <w:bCs/>
                <w:noProof/>
                <w:webHidden/>
                <w:sz w:val="24"/>
                <w:szCs w:val="24"/>
              </w:rPr>
              <w:fldChar w:fldCharType="begin"/>
            </w:r>
            <w:r w:rsidR="00363504" w:rsidRPr="006226A5">
              <w:rPr>
                <w:rFonts w:ascii="Book Antiqua" w:hAnsi="Book Antiqua"/>
                <w:b/>
                <w:bCs/>
                <w:noProof/>
                <w:webHidden/>
                <w:sz w:val="24"/>
                <w:szCs w:val="24"/>
              </w:rPr>
              <w:instrText xml:space="preserve"> PAGEREF _Toc95769349 \h </w:instrText>
            </w:r>
            <w:r w:rsidR="00363504" w:rsidRPr="006226A5">
              <w:rPr>
                <w:rFonts w:ascii="Book Antiqua" w:hAnsi="Book Antiqua"/>
                <w:b/>
                <w:bCs/>
                <w:noProof/>
                <w:webHidden/>
                <w:sz w:val="24"/>
                <w:szCs w:val="24"/>
              </w:rPr>
            </w:r>
            <w:r w:rsidR="00363504" w:rsidRPr="006226A5">
              <w:rPr>
                <w:rFonts w:ascii="Book Antiqua" w:hAnsi="Book Antiqua"/>
                <w:b/>
                <w:bCs/>
                <w:noProof/>
                <w:webHidden/>
                <w:sz w:val="24"/>
                <w:szCs w:val="24"/>
              </w:rPr>
              <w:fldChar w:fldCharType="separate"/>
            </w:r>
            <w:r w:rsidR="000C3CD7">
              <w:rPr>
                <w:rFonts w:ascii="Book Antiqua" w:hAnsi="Book Antiqua"/>
                <w:b/>
                <w:bCs/>
                <w:noProof/>
                <w:webHidden/>
                <w:sz w:val="24"/>
                <w:szCs w:val="24"/>
              </w:rPr>
              <w:t>6</w:t>
            </w:r>
            <w:r w:rsidR="00363504" w:rsidRPr="006226A5">
              <w:rPr>
                <w:rFonts w:ascii="Book Antiqua" w:hAnsi="Book Antiqua"/>
                <w:b/>
                <w:bCs/>
                <w:noProof/>
                <w:webHidden/>
                <w:sz w:val="24"/>
                <w:szCs w:val="24"/>
              </w:rPr>
              <w:fldChar w:fldCharType="end"/>
            </w:r>
          </w:hyperlink>
        </w:p>
        <w:p w14:paraId="363A52E0" w14:textId="370FA97B" w:rsidR="00363504" w:rsidRPr="006226A5" w:rsidRDefault="007D7D82" w:rsidP="005D6E51">
          <w:pPr>
            <w:pStyle w:val="TM3"/>
            <w:tabs>
              <w:tab w:val="left" w:pos="960"/>
              <w:tab w:val="right" w:pos="9019"/>
            </w:tabs>
            <w:spacing w:line="480" w:lineRule="auto"/>
            <w:jc w:val="both"/>
            <w:rPr>
              <w:rFonts w:ascii="Book Antiqua" w:eastAsiaTheme="minorEastAsia" w:hAnsi="Book Antiqua" w:cstheme="minorBidi"/>
              <w:b/>
              <w:bCs/>
              <w:noProof/>
              <w:sz w:val="24"/>
              <w:szCs w:val="24"/>
              <w:lang w:val="fr-CH"/>
            </w:rPr>
          </w:pPr>
          <w:hyperlink w:anchor="_Toc95769350" w:history="1">
            <w:r w:rsidR="00363504" w:rsidRPr="006226A5">
              <w:rPr>
                <w:rStyle w:val="Lienhypertexte"/>
                <w:rFonts w:ascii="Book Antiqua" w:hAnsi="Book Antiqua"/>
                <w:b/>
                <w:bCs/>
                <w:noProof/>
                <w:sz w:val="24"/>
                <w:szCs w:val="24"/>
              </w:rPr>
              <w:t>B.</w:t>
            </w:r>
            <w:r w:rsidR="00363504" w:rsidRPr="006226A5">
              <w:rPr>
                <w:rFonts w:ascii="Book Antiqua" w:eastAsiaTheme="minorEastAsia" w:hAnsi="Book Antiqua" w:cstheme="minorBidi"/>
                <w:b/>
                <w:bCs/>
                <w:noProof/>
                <w:sz w:val="24"/>
                <w:szCs w:val="24"/>
                <w:lang w:val="fr-CH"/>
              </w:rPr>
              <w:tab/>
            </w:r>
            <w:r w:rsidR="00363504" w:rsidRPr="006226A5">
              <w:rPr>
                <w:rStyle w:val="Lienhypertexte"/>
                <w:rFonts w:ascii="Book Antiqua" w:hAnsi="Book Antiqua"/>
                <w:b/>
                <w:bCs/>
                <w:noProof/>
                <w:sz w:val="24"/>
                <w:szCs w:val="24"/>
              </w:rPr>
              <w:t>Recours aux moyens de contrainte dans les établissements psychiatriques (articles 5, 12, 15, 17 et 25 CDPH)</w:t>
            </w:r>
            <w:r w:rsidR="00363504" w:rsidRPr="006226A5">
              <w:rPr>
                <w:rFonts w:ascii="Book Antiqua" w:hAnsi="Book Antiqua"/>
                <w:b/>
                <w:bCs/>
                <w:noProof/>
                <w:webHidden/>
                <w:sz w:val="24"/>
                <w:szCs w:val="24"/>
              </w:rPr>
              <w:tab/>
            </w:r>
            <w:r w:rsidR="00363504" w:rsidRPr="006226A5">
              <w:rPr>
                <w:rFonts w:ascii="Book Antiqua" w:hAnsi="Book Antiqua"/>
                <w:b/>
                <w:bCs/>
                <w:noProof/>
                <w:webHidden/>
                <w:sz w:val="24"/>
                <w:szCs w:val="24"/>
              </w:rPr>
              <w:fldChar w:fldCharType="begin"/>
            </w:r>
            <w:r w:rsidR="00363504" w:rsidRPr="006226A5">
              <w:rPr>
                <w:rFonts w:ascii="Book Antiqua" w:hAnsi="Book Antiqua"/>
                <w:b/>
                <w:bCs/>
                <w:noProof/>
                <w:webHidden/>
                <w:sz w:val="24"/>
                <w:szCs w:val="24"/>
              </w:rPr>
              <w:instrText xml:space="preserve"> PAGEREF _Toc95769350 \h </w:instrText>
            </w:r>
            <w:r w:rsidR="00363504" w:rsidRPr="006226A5">
              <w:rPr>
                <w:rFonts w:ascii="Book Antiqua" w:hAnsi="Book Antiqua"/>
                <w:b/>
                <w:bCs/>
                <w:noProof/>
                <w:webHidden/>
                <w:sz w:val="24"/>
                <w:szCs w:val="24"/>
              </w:rPr>
            </w:r>
            <w:r w:rsidR="00363504" w:rsidRPr="006226A5">
              <w:rPr>
                <w:rFonts w:ascii="Book Antiqua" w:hAnsi="Book Antiqua"/>
                <w:b/>
                <w:bCs/>
                <w:noProof/>
                <w:webHidden/>
                <w:sz w:val="24"/>
                <w:szCs w:val="24"/>
              </w:rPr>
              <w:fldChar w:fldCharType="separate"/>
            </w:r>
            <w:r w:rsidR="000C3CD7">
              <w:rPr>
                <w:rFonts w:ascii="Book Antiqua" w:hAnsi="Book Antiqua"/>
                <w:b/>
                <w:bCs/>
                <w:noProof/>
                <w:webHidden/>
                <w:sz w:val="24"/>
                <w:szCs w:val="24"/>
              </w:rPr>
              <w:t>11</w:t>
            </w:r>
            <w:r w:rsidR="00363504" w:rsidRPr="006226A5">
              <w:rPr>
                <w:rFonts w:ascii="Book Antiqua" w:hAnsi="Book Antiqua"/>
                <w:b/>
                <w:bCs/>
                <w:noProof/>
                <w:webHidden/>
                <w:sz w:val="24"/>
                <w:szCs w:val="24"/>
              </w:rPr>
              <w:fldChar w:fldCharType="end"/>
            </w:r>
          </w:hyperlink>
        </w:p>
        <w:p w14:paraId="768A2B52" w14:textId="7D02368E" w:rsidR="00363504" w:rsidRPr="006226A5" w:rsidRDefault="007D7D82" w:rsidP="005D6E51">
          <w:pPr>
            <w:pStyle w:val="TM3"/>
            <w:tabs>
              <w:tab w:val="left" w:pos="960"/>
              <w:tab w:val="right" w:pos="9019"/>
            </w:tabs>
            <w:spacing w:line="480" w:lineRule="auto"/>
            <w:jc w:val="both"/>
            <w:rPr>
              <w:rFonts w:ascii="Book Antiqua" w:eastAsiaTheme="minorEastAsia" w:hAnsi="Book Antiqua" w:cstheme="minorBidi"/>
              <w:b/>
              <w:bCs/>
              <w:noProof/>
              <w:sz w:val="24"/>
              <w:szCs w:val="24"/>
              <w:lang w:val="fr-CH"/>
            </w:rPr>
          </w:pPr>
          <w:hyperlink w:anchor="_Toc95769351" w:history="1">
            <w:r w:rsidR="00363504" w:rsidRPr="006226A5">
              <w:rPr>
                <w:rStyle w:val="Lienhypertexte"/>
                <w:rFonts w:ascii="Book Antiqua" w:hAnsi="Book Antiqua"/>
                <w:b/>
                <w:bCs/>
                <w:noProof/>
                <w:sz w:val="24"/>
                <w:szCs w:val="24"/>
              </w:rPr>
              <w:t>C.</w:t>
            </w:r>
            <w:r w:rsidR="00363504" w:rsidRPr="006226A5">
              <w:rPr>
                <w:rFonts w:ascii="Book Antiqua" w:eastAsiaTheme="minorEastAsia" w:hAnsi="Book Antiqua" w:cstheme="minorBidi"/>
                <w:b/>
                <w:bCs/>
                <w:noProof/>
                <w:sz w:val="24"/>
                <w:szCs w:val="24"/>
                <w:lang w:val="fr-CH"/>
              </w:rPr>
              <w:tab/>
            </w:r>
            <w:r w:rsidR="00363504" w:rsidRPr="006226A5">
              <w:rPr>
                <w:rStyle w:val="Lienhypertexte"/>
                <w:rFonts w:ascii="Book Antiqua" w:hAnsi="Book Antiqua"/>
                <w:b/>
                <w:bCs/>
                <w:noProof/>
                <w:sz w:val="24"/>
                <w:szCs w:val="24"/>
              </w:rPr>
              <w:t>Droits politiques (articles 12 et 29 CDPH)</w:t>
            </w:r>
            <w:r w:rsidR="00363504" w:rsidRPr="006226A5">
              <w:rPr>
                <w:rFonts w:ascii="Book Antiqua" w:hAnsi="Book Antiqua"/>
                <w:b/>
                <w:bCs/>
                <w:noProof/>
                <w:webHidden/>
                <w:sz w:val="24"/>
                <w:szCs w:val="24"/>
              </w:rPr>
              <w:tab/>
            </w:r>
            <w:r w:rsidR="00363504" w:rsidRPr="006226A5">
              <w:rPr>
                <w:rFonts w:ascii="Book Antiqua" w:hAnsi="Book Antiqua"/>
                <w:b/>
                <w:bCs/>
                <w:noProof/>
                <w:webHidden/>
                <w:sz w:val="24"/>
                <w:szCs w:val="24"/>
              </w:rPr>
              <w:fldChar w:fldCharType="begin"/>
            </w:r>
            <w:r w:rsidR="00363504" w:rsidRPr="006226A5">
              <w:rPr>
                <w:rFonts w:ascii="Book Antiqua" w:hAnsi="Book Antiqua"/>
                <w:b/>
                <w:bCs/>
                <w:noProof/>
                <w:webHidden/>
                <w:sz w:val="24"/>
                <w:szCs w:val="24"/>
              </w:rPr>
              <w:instrText xml:space="preserve"> PAGEREF _Toc95769351 \h </w:instrText>
            </w:r>
            <w:r w:rsidR="00363504" w:rsidRPr="006226A5">
              <w:rPr>
                <w:rFonts w:ascii="Book Antiqua" w:hAnsi="Book Antiqua"/>
                <w:b/>
                <w:bCs/>
                <w:noProof/>
                <w:webHidden/>
                <w:sz w:val="24"/>
                <w:szCs w:val="24"/>
              </w:rPr>
            </w:r>
            <w:r w:rsidR="00363504" w:rsidRPr="006226A5">
              <w:rPr>
                <w:rFonts w:ascii="Book Antiqua" w:hAnsi="Book Antiqua"/>
                <w:b/>
                <w:bCs/>
                <w:noProof/>
                <w:webHidden/>
                <w:sz w:val="24"/>
                <w:szCs w:val="24"/>
              </w:rPr>
              <w:fldChar w:fldCharType="separate"/>
            </w:r>
            <w:r w:rsidR="000C3CD7">
              <w:rPr>
                <w:rFonts w:ascii="Book Antiqua" w:hAnsi="Book Antiqua"/>
                <w:b/>
                <w:bCs/>
                <w:noProof/>
                <w:webHidden/>
                <w:sz w:val="24"/>
                <w:szCs w:val="24"/>
              </w:rPr>
              <w:t>15</w:t>
            </w:r>
            <w:r w:rsidR="00363504" w:rsidRPr="006226A5">
              <w:rPr>
                <w:rFonts w:ascii="Book Antiqua" w:hAnsi="Book Antiqua"/>
                <w:b/>
                <w:bCs/>
                <w:noProof/>
                <w:webHidden/>
                <w:sz w:val="24"/>
                <w:szCs w:val="24"/>
              </w:rPr>
              <w:fldChar w:fldCharType="end"/>
            </w:r>
          </w:hyperlink>
        </w:p>
        <w:p w14:paraId="2DACE1BA" w14:textId="1DF75CD3" w:rsidR="00363504" w:rsidRPr="006226A5" w:rsidRDefault="007D7D82" w:rsidP="005D6E51">
          <w:pPr>
            <w:pStyle w:val="TM3"/>
            <w:tabs>
              <w:tab w:val="left" w:pos="960"/>
              <w:tab w:val="right" w:pos="9019"/>
            </w:tabs>
            <w:spacing w:line="480" w:lineRule="auto"/>
            <w:jc w:val="both"/>
            <w:rPr>
              <w:rFonts w:ascii="Book Antiqua" w:eastAsiaTheme="minorEastAsia" w:hAnsi="Book Antiqua" w:cstheme="minorBidi"/>
              <w:b/>
              <w:bCs/>
              <w:noProof/>
              <w:sz w:val="24"/>
              <w:szCs w:val="24"/>
              <w:lang w:val="fr-CH"/>
            </w:rPr>
          </w:pPr>
          <w:hyperlink w:anchor="_Toc95769352" w:history="1">
            <w:r w:rsidR="00363504" w:rsidRPr="006226A5">
              <w:rPr>
                <w:rStyle w:val="Lienhypertexte"/>
                <w:rFonts w:ascii="Book Antiqua" w:hAnsi="Book Antiqua"/>
                <w:b/>
                <w:bCs/>
                <w:noProof/>
                <w:sz w:val="24"/>
                <w:szCs w:val="24"/>
              </w:rPr>
              <w:t>D.</w:t>
            </w:r>
            <w:r w:rsidR="00363504" w:rsidRPr="006226A5">
              <w:rPr>
                <w:rFonts w:ascii="Book Antiqua" w:eastAsiaTheme="minorEastAsia" w:hAnsi="Book Antiqua" w:cstheme="minorBidi"/>
                <w:b/>
                <w:bCs/>
                <w:noProof/>
                <w:sz w:val="24"/>
                <w:szCs w:val="24"/>
                <w:lang w:val="fr-CH"/>
              </w:rPr>
              <w:tab/>
            </w:r>
            <w:r w:rsidR="00363504" w:rsidRPr="006226A5">
              <w:rPr>
                <w:rStyle w:val="Lienhypertexte"/>
                <w:rFonts w:ascii="Book Antiqua" w:hAnsi="Book Antiqua"/>
                <w:b/>
                <w:bCs/>
                <w:noProof/>
                <w:sz w:val="24"/>
                <w:szCs w:val="24"/>
              </w:rPr>
              <w:t>Stérilisations (articles 12, 23 et 25 CDPH)</w:t>
            </w:r>
            <w:r w:rsidR="00363504" w:rsidRPr="006226A5">
              <w:rPr>
                <w:rFonts w:ascii="Book Antiqua" w:hAnsi="Book Antiqua"/>
                <w:b/>
                <w:bCs/>
                <w:noProof/>
                <w:webHidden/>
                <w:sz w:val="24"/>
                <w:szCs w:val="24"/>
              </w:rPr>
              <w:tab/>
            </w:r>
            <w:r w:rsidR="00363504" w:rsidRPr="006226A5">
              <w:rPr>
                <w:rFonts w:ascii="Book Antiqua" w:hAnsi="Book Antiqua"/>
                <w:b/>
                <w:bCs/>
                <w:noProof/>
                <w:webHidden/>
                <w:sz w:val="24"/>
                <w:szCs w:val="24"/>
              </w:rPr>
              <w:fldChar w:fldCharType="begin"/>
            </w:r>
            <w:r w:rsidR="00363504" w:rsidRPr="006226A5">
              <w:rPr>
                <w:rFonts w:ascii="Book Antiqua" w:hAnsi="Book Antiqua"/>
                <w:b/>
                <w:bCs/>
                <w:noProof/>
                <w:webHidden/>
                <w:sz w:val="24"/>
                <w:szCs w:val="24"/>
              </w:rPr>
              <w:instrText xml:space="preserve"> PAGEREF _Toc95769352 \h </w:instrText>
            </w:r>
            <w:r w:rsidR="00363504" w:rsidRPr="006226A5">
              <w:rPr>
                <w:rFonts w:ascii="Book Antiqua" w:hAnsi="Book Antiqua"/>
                <w:b/>
                <w:bCs/>
                <w:noProof/>
                <w:webHidden/>
                <w:sz w:val="24"/>
                <w:szCs w:val="24"/>
              </w:rPr>
            </w:r>
            <w:r w:rsidR="00363504" w:rsidRPr="006226A5">
              <w:rPr>
                <w:rFonts w:ascii="Book Antiqua" w:hAnsi="Book Antiqua"/>
                <w:b/>
                <w:bCs/>
                <w:noProof/>
                <w:webHidden/>
                <w:sz w:val="24"/>
                <w:szCs w:val="24"/>
              </w:rPr>
              <w:fldChar w:fldCharType="separate"/>
            </w:r>
            <w:r w:rsidR="000C3CD7">
              <w:rPr>
                <w:rFonts w:ascii="Book Antiqua" w:hAnsi="Book Antiqua"/>
                <w:b/>
                <w:bCs/>
                <w:noProof/>
                <w:webHidden/>
                <w:sz w:val="24"/>
                <w:szCs w:val="24"/>
              </w:rPr>
              <w:t>19</w:t>
            </w:r>
            <w:r w:rsidR="00363504" w:rsidRPr="006226A5">
              <w:rPr>
                <w:rFonts w:ascii="Book Antiqua" w:hAnsi="Book Antiqua"/>
                <w:b/>
                <w:bCs/>
                <w:noProof/>
                <w:webHidden/>
                <w:sz w:val="24"/>
                <w:szCs w:val="24"/>
              </w:rPr>
              <w:fldChar w:fldCharType="end"/>
            </w:r>
          </w:hyperlink>
        </w:p>
        <w:p w14:paraId="5C5C56A3" w14:textId="5A88D1FE" w:rsidR="00363504" w:rsidRPr="006226A5" w:rsidRDefault="007D7D82" w:rsidP="005D6E51">
          <w:pPr>
            <w:pStyle w:val="TM3"/>
            <w:tabs>
              <w:tab w:val="left" w:pos="960"/>
              <w:tab w:val="right" w:pos="9019"/>
            </w:tabs>
            <w:spacing w:line="480" w:lineRule="auto"/>
            <w:jc w:val="both"/>
            <w:rPr>
              <w:rFonts w:ascii="Book Antiqua" w:eastAsiaTheme="minorEastAsia" w:hAnsi="Book Antiqua" w:cstheme="minorBidi"/>
              <w:b/>
              <w:bCs/>
              <w:noProof/>
              <w:sz w:val="24"/>
              <w:szCs w:val="24"/>
              <w:lang w:val="fr-CH"/>
            </w:rPr>
          </w:pPr>
          <w:hyperlink w:anchor="_Toc95769353" w:history="1">
            <w:r w:rsidR="00363504" w:rsidRPr="006226A5">
              <w:rPr>
                <w:rStyle w:val="Lienhypertexte"/>
                <w:rFonts w:ascii="Book Antiqua" w:hAnsi="Book Antiqua"/>
                <w:b/>
                <w:bCs/>
                <w:noProof/>
                <w:sz w:val="24"/>
                <w:szCs w:val="24"/>
              </w:rPr>
              <w:t>E.</w:t>
            </w:r>
            <w:r w:rsidR="00363504" w:rsidRPr="006226A5">
              <w:rPr>
                <w:rFonts w:ascii="Book Antiqua" w:eastAsiaTheme="minorEastAsia" w:hAnsi="Book Antiqua" w:cstheme="minorBidi"/>
                <w:b/>
                <w:bCs/>
                <w:noProof/>
                <w:sz w:val="24"/>
                <w:szCs w:val="24"/>
                <w:lang w:val="fr-CH"/>
              </w:rPr>
              <w:tab/>
            </w:r>
            <w:r w:rsidR="00363504" w:rsidRPr="006226A5">
              <w:rPr>
                <w:rStyle w:val="Lienhypertexte"/>
                <w:rFonts w:ascii="Book Antiqua" w:hAnsi="Book Antiqua"/>
                <w:b/>
                <w:bCs/>
                <w:noProof/>
                <w:sz w:val="24"/>
                <w:szCs w:val="24"/>
              </w:rPr>
              <w:t>Migration (art</w:t>
            </w:r>
            <w:r w:rsidR="006226A5">
              <w:rPr>
                <w:rStyle w:val="Lienhypertexte"/>
                <w:rFonts w:ascii="Book Antiqua" w:hAnsi="Book Antiqua"/>
                <w:b/>
                <w:bCs/>
                <w:noProof/>
                <w:sz w:val="24"/>
                <w:szCs w:val="24"/>
              </w:rPr>
              <w:t xml:space="preserve">icles </w:t>
            </w:r>
            <w:r w:rsidR="00363504" w:rsidRPr="006226A5">
              <w:rPr>
                <w:rStyle w:val="Lienhypertexte"/>
                <w:rFonts w:ascii="Book Antiqua" w:hAnsi="Book Antiqua"/>
                <w:b/>
                <w:bCs/>
                <w:noProof/>
                <w:sz w:val="24"/>
                <w:szCs w:val="24"/>
              </w:rPr>
              <w:t>5, 18, 22, 23 CDPH)</w:t>
            </w:r>
            <w:r w:rsidR="00363504" w:rsidRPr="006226A5">
              <w:rPr>
                <w:rFonts w:ascii="Book Antiqua" w:hAnsi="Book Antiqua"/>
                <w:b/>
                <w:bCs/>
                <w:noProof/>
                <w:webHidden/>
                <w:sz w:val="24"/>
                <w:szCs w:val="24"/>
              </w:rPr>
              <w:tab/>
            </w:r>
            <w:r w:rsidR="00363504" w:rsidRPr="006226A5">
              <w:rPr>
                <w:rFonts w:ascii="Book Antiqua" w:hAnsi="Book Antiqua"/>
                <w:b/>
                <w:bCs/>
                <w:noProof/>
                <w:webHidden/>
                <w:sz w:val="24"/>
                <w:szCs w:val="24"/>
              </w:rPr>
              <w:fldChar w:fldCharType="begin"/>
            </w:r>
            <w:r w:rsidR="00363504" w:rsidRPr="006226A5">
              <w:rPr>
                <w:rFonts w:ascii="Book Antiqua" w:hAnsi="Book Antiqua"/>
                <w:b/>
                <w:bCs/>
                <w:noProof/>
                <w:webHidden/>
                <w:sz w:val="24"/>
                <w:szCs w:val="24"/>
              </w:rPr>
              <w:instrText xml:space="preserve"> PAGEREF _Toc95769353 \h </w:instrText>
            </w:r>
            <w:r w:rsidR="00363504" w:rsidRPr="006226A5">
              <w:rPr>
                <w:rFonts w:ascii="Book Antiqua" w:hAnsi="Book Antiqua"/>
                <w:b/>
                <w:bCs/>
                <w:noProof/>
                <w:webHidden/>
                <w:sz w:val="24"/>
                <w:szCs w:val="24"/>
              </w:rPr>
            </w:r>
            <w:r w:rsidR="00363504" w:rsidRPr="006226A5">
              <w:rPr>
                <w:rFonts w:ascii="Book Antiqua" w:hAnsi="Book Antiqua"/>
                <w:b/>
                <w:bCs/>
                <w:noProof/>
                <w:webHidden/>
                <w:sz w:val="24"/>
                <w:szCs w:val="24"/>
              </w:rPr>
              <w:fldChar w:fldCharType="separate"/>
            </w:r>
            <w:r w:rsidR="000C3CD7">
              <w:rPr>
                <w:rFonts w:ascii="Book Antiqua" w:hAnsi="Book Antiqua"/>
                <w:b/>
                <w:bCs/>
                <w:noProof/>
                <w:webHidden/>
                <w:sz w:val="24"/>
                <w:szCs w:val="24"/>
              </w:rPr>
              <w:t>21</w:t>
            </w:r>
            <w:r w:rsidR="00363504" w:rsidRPr="006226A5">
              <w:rPr>
                <w:rFonts w:ascii="Book Antiqua" w:hAnsi="Book Antiqua"/>
                <w:b/>
                <w:bCs/>
                <w:noProof/>
                <w:webHidden/>
                <w:sz w:val="24"/>
                <w:szCs w:val="24"/>
              </w:rPr>
              <w:fldChar w:fldCharType="end"/>
            </w:r>
          </w:hyperlink>
        </w:p>
        <w:p w14:paraId="5D74A2A6" w14:textId="13EB0F5B" w:rsidR="00363504" w:rsidRPr="006226A5" w:rsidRDefault="007D7D82" w:rsidP="005D6E51">
          <w:pPr>
            <w:pStyle w:val="TM2"/>
            <w:spacing w:line="480" w:lineRule="auto"/>
            <w:rPr>
              <w:rFonts w:ascii="Book Antiqua" w:eastAsiaTheme="minorEastAsia" w:hAnsi="Book Antiqua" w:cstheme="minorBidi"/>
              <w:b/>
              <w:bCs/>
              <w:noProof/>
              <w:sz w:val="24"/>
              <w:szCs w:val="24"/>
              <w:lang w:val="fr-CH"/>
            </w:rPr>
          </w:pPr>
          <w:hyperlink w:anchor="_Toc95769354" w:history="1">
            <w:r w:rsidR="00363504" w:rsidRPr="006226A5">
              <w:rPr>
                <w:rStyle w:val="Lienhypertexte"/>
                <w:rFonts w:ascii="Book Antiqua" w:eastAsia="Book Antiqua" w:hAnsi="Book Antiqua" w:cs="Book Antiqua"/>
                <w:b/>
                <w:bCs/>
                <w:noProof/>
                <w:sz w:val="24"/>
                <w:szCs w:val="24"/>
              </w:rPr>
              <w:t>III. Recommandations</w:t>
            </w:r>
            <w:r w:rsidR="00363504" w:rsidRPr="006226A5">
              <w:rPr>
                <w:rFonts w:ascii="Book Antiqua" w:hAnsi="Book Antiqua"/>
                <w:b/>
                <w:bCs/>
                <w:noProof/>
                <w:webHidden/>
                <w:sz w:val="24"/>
                <w:szCs w:val="24"/>
              </w:rPr>
              <w:tab/>
            </w:r>
            <w:r w:rsidR="00363504" w:rsidRPr="006226A5">
              <w:rPr>
                <w:rFonts w:ascii="Book Antiqua" w:hAnsi="Book Antiqua"/>
                <w:b/>
                <w:bCs/>
                <w:noProof/>
                <w:webHidden/>
                <w:sz w:val="24"/>
                <w:szCs w:val="24"/>
              </w:rPr>
              <w:fldChar w:fldCharType="begin"/>
            </w:r>
            <w:r w:rsidR="00363504" w:rsidRPr="006226A5">
              <w:rPr>
                <w:rFonts w:ascii="Book Antiqua" w:hAnsi="Book Antiqua"/>
                <w:b/>
                <w:bCs/>
                <w:noProof/>
                <w:webHidden/>
                <w:sz w:val="24"/>
                <w:szCs w:val="24"/>
              </w:rPr>
              <w:instrText xml:space="preserve"> PAGEREF _Toc95769354 \h </w:instrText>
            </w:r>
            <w:r w:rsidR="00363504" w:rsidRPr="006226A5">
              <w:rPr>
                <w:rFonts w:ascii="Book Antiqua" w:hAnsi="Book Antiqua"/>
                <w:b/>
                <w:bCs/>
                <w:noProof/>
                <w:webHidden/>
                <w:sz w:val="24"/>
                <w:szCs w:val="24"/>
              </w:rPr>
            </w:r>
            <w:r w:rsidR="00363504" w:rsidRPr="006226A5">
              <w:rPr>
                <w:rFonts w:ascii="Book Antiqua" w:hAnsi="Book Antiqua"/>
                <w:b/>
                <w:bCs/>
                <w:noProof/>
                <w:webHidden/>
                <w:sz w:val="24"/>
                <w:szCs w:val="24"/>
              </w:rPr>
              <w:fldChar w:fldCharType="separate"/>
            </w:r>
            <w:r w:rsidR="000C3CD7">
              <w:rPr>
                <w:rFonts w:ascii="Book Antiqua" w:hAnsi="Book Antiqua"/>
                <w:b/>
                <w:bCs/>
                <w:noProof/>
                <w:webHidden/>
                <w:sz w:val="24"/>
                <w:szCs w:val="24"/>
              </w:rPr>
              <w:t>24</w:t>
            </w:r>
            <w:r w:rsidR="00363504" w:rsidRPr="006226A5">
              <w:rPr>
                <w:rFonts w:ascii="Book Antiqua" w:hAnsi="Book Antiqua"/>
                <w:b/>
                <w:bCs/>
                <w:noProof/>
                <w:webHidden/>
                <w:sz w:val="24"/>
                <w:szCs w:val="24"/>
              </w:rPr>
              <w:fldChar w:fldCharType="end"/>
            </w:r>
          </w:hyperlink>
        </w:p>
        <w:p w14:paraId="71B1D761" w14:textId="5E90A8AC" w:rsidR="004F1B5A" w:rsidRPr="0033447F" w:rsidRDefault="005807D4" w:rsidP="005D6E51">
          <w:pPr>
            <w:pStyle w:val="Titre2"/>
            <w:spacing w:line="480" w:lineRule="auto"/>
            <w:jc w:val="both"/>
            <w:rPr>
              <w:rFonts w:ascii="Book Antiqua" w:eastAsia="Book Antiqua" w:hAnsi="Book Antiqua" w:cs="Book Antiqua"/>
              <w:sz w:val="24"/>
              <w:szCs w:val="24"/>
            </w:rPr>
          </w:pPr>
          <w:r w:rsidRPr="00DF488F">
            <w:rPr>
              <w:rFonts w:ascii="Book Antiqua" w:hAnsi="Book Antiqua"/>
              <w:color w:val="FF0000"/>
              <w:sz w:val="24"/>
              <w:szCs w:val="24"/>
            </w:rPr>
            <w:fldChar w:fldCharType="end"/>
          </w:r>
        </w:p>
      </w:sdtContent>
    </w:sdt>
    <w:p w14:paraId="4EA09D3F" w14:textId="77777777" w:rsidR="004F1B5A" w:rsidRPr="0033447F" w:rsidRDefault="005807D4" w:rsidP="0033447F">
      <w:pPr>
        <w:spacing w:line="360" w:lineRule="auto"/>
        <w:jc w:val="both"/>
        <w:rPr>
          <w:rFonts w:ascii="Book Antiqua" w:hAnsi="Book Antiqua"/>
          <w:sz w:val="24"/>
          <w:szCs w:val="24"/>
        </w:rPr>
      </w:pPr>
      <w:bookmarkStart w:id="0" w:name="_gjdgxs" w:colFirst="0" w:colLast="0"/>
      <w:bookmarkEnd w:id="0"/>
      <w:r w:rsidRPr="0033447F">
        <w:rPr>
          <w:rFonts w:ascii="Book Antiqua" w:hAnsi="Book Antiqua"/>
          <w:sz w:val="24"/>
          <w:szCs w:val="24"/>
        </w:rPr>
        <w:br w:type="page"/>
      </w:r>
    </w:p>
    <w:p w14:paraId="1DB6BEF1" w14:textId="2C0FCEAC" w:rsidR="008D432A" w:rsidRPr="00DF488F" w:rsidRDefault="008D432A" w:rsidP="00DF488F">
      <w:pPr>
        <w:pStyle w:val="Titre2"/>
        <w:rPr>
          <w:rFonts w:ascii="Book Antiqua" w:eastAsia="Book Antiqua" w:hAnsi="Book Antiqua" w:cs="Book Antiqua"/>
          <w:b/>
          <w:bCs/>
        </w:rPr>
      </w:pPr>
      <w:bookmarkStart w:id="1" w:name="_Toc95769346"/>
      <w:r w:rsidRPr="00DF488F">
        <w:rPr>
          <w:rFonts w:ascii="Book Antiqua" w:eastAsia="Book Antiqua" w:hAnsi="Book Antiqua" w:cs="Book Antiqua"/>
          <w:b/>
          <w:bCs/>
        </w:rPr>
        <w:lastRenderedPageBreak/>
        <w:t>Liste des abréviations</w:t>
      </w:r>
      <w:bookmarkEnd w:id="1"/>
      <w:r w:rsidRPr="00DF488F">
        <w:rPr>
          <w:rFonts w:ascii="Book Antiqua" w:eastAsia="Book Antiqua" w:hAnsi="Book Antiqua" w:cs="Book Antiqua"/>
          <w:b/>
          <w:bCs/>
        </w:rPr>
        <w:t xml:space="preserve"> </w:t>
      </w:r>
    </w:p>
    <w:p w14:paraId="1FE84B80" w14:textId="77777777" w:rsidR="008D432A" w:rsidRPr="00E74FAD" w:rsidRDefault="008D432A" w:rsidP="008D432A">
      <w:pPr>
        <w:pStyle w:val="EPRJ"/>
        <w:spacing w:line="276" w:lineRule="auto"/>
        <w:rPr>
          <w:rFonts w:ascii="Times" w:hAnsi="Times"/>
        </w:rPr>
      </w:pPr>
    </w:p>
    <w:p w14:paraId="5F6FD4A9" w14:textId="4C5AFC1B" w:rsidR="001B7FF9" w:rsidRPr="00E7179B" w:rsidRDefault="001B7FF9" w:rsidP="001B7FF9">
      <w:pPr>
        <w:pStyle w:val="EPRJ"/>
        <w:spacing w:line="276" w:lineRule="auto"/>
        <w:rPr>
          <w:rFonts w:ascii="Book Antiqua" w:hAnsi="Book Antiqua"/>
          <w:sz w:val="22"/>
          <w:szCs w:val="22"/>
        </w:rPr>
      </w:pPr>
      <w:r w:rsidRPr="00E7179B">
        <w:rPr>
          <w:rFonts w:ascii="Book Antiqua" w:hAnsi="Book Antiqua"/>
          <w:sz w:val="22"/>
          <w:szCs w:val="22"/>
        </w:rPr>
        <w:t xml:space="preserve">AGNU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t>Assemblée générale des Nations unies.</w:t>
      </w:r>
    </w:p>
    <w:p w14:paraId="51D04478" w14:textId="77777777" w:rsidR="001B7FF9" w:rsidRPr="00E7179B" w:rsidRDefault="001B7FF9" w:rsidP="008D432A">
      <w:pPr>
        <w:pStyle w:val="EPRJ"/>
        <w:spacing w:line="276" w:lineRule="auto"/>
        <w:rPr>
          <w:rFonts w:ascii="Book Antiqua" w:hAnsi="Book Antiqua"/>
          <w:sz w:val="22"/>
          <w:szCs w:val="22"/>
        </w:rPr>
      </w:pPr>
    </w:p>
    <w:p w14:paraId="727FBD87" w14:textId="13737A6D" w:rsidR="00A42E0C" w:rsidRPr="00E7179B" w:rsidRDefault="00A42E0C" w:rsidP="00A42E0C">
      <w:pPr>
        <w:pStyle w:val="EPRJ"/>
        <w:spacing w:line="276" w:lineRule="auto"/>
        <w:rPr>
          <w:rFonts w:ascii="Book Antiqua" w:hAnsi="Book Antiqua"/>
          <w:sz w:val="22"/>
          <w:szCs w:val="22"/>
        </w:rPr>
      </w:pPr>
      <w:r w:rsidRPr="00E7179B">
        <w:rPr>
          <w:rFonts w:ascii="Book Antiqua" w:hAnsi="Book Antiqua"/>
          <w:sz w:val="22"/>
          <w:szCs w:val="22"/>
        </w:rPr>
        <w:t>A</w:t>
      </w:r>
      <w:r>
        <w:rPr>
          <w:rFonts w:ascii="Book Antiqua" w:hAnsi="Book Antiqua"/>
          <w:sz w:val="22"/>
          <w:szCs w:val="22"/>
        </w:rPr>
        <w:t xml:space="preserve">I      </w:t>
      </w:r>
      <w:r w:rsidRPr="00E7179B">
        <w:rPr>
          <w:rFonts w:ascii="Book Antiqua" w:hAnsi="Book Antiqua"/>
          <w:sz w:val="22"/>
          <w:szCs w:val="22"/>
        </w:rPr>
        <w:t xml:space="preserve">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r>
      <w:r>
        <w:rPr>
          <w:rFonts w:ascii="Book Antiqua" w:hAnsi="Book Antiqua"/>
          <w:sz w:val="22"/>
          <w:szCs w:val="22"/>
        </w:rPr>
        <w:t xml:space="preserve">             </w:t>
      </w:r>
      <w:r w:rsidRPr="00E7179B">
        <w:rPr>
          <w:rFonts w:ascii="Book Antiqua" w:hAnsi="Book Antiqua"/>
          <w:sz w:val="22"/>
          <w:szCs w:val="22"/>
        </w:rPr>
        <w:t>A</w:t>
      </w:r>
      <w:r>
        <w:rPr>
          <w:rFonts w:ascii="Book Antiqua" w:hAnsi="Book Antiqua"/>
          <w:sz w:val="22"/>
          <w:szCs w:val="22"/>
        </w:rPr>
        <w:t>ssurance-invalidité.</w:t>
      </w:r>
    </w:p>
    <w:p w14:paraId="18D6C3A4" w14:textId="77777777" w:rsidR="00A42E0C" w:rsidRDefault="00A42E0C" w:rsidP="00A33AFB">
      <w:pPr>
        <w:pStyle w:val="EPRJ"/>
        <w:spacing w:line="276" w:lineRule="auto"/>
        <w:rPr>
          <w:rFonts w:ascii="Book Antiqua" w:hAnsi="Book Antiqua"/>
          <w:sz w:val="22"/>
          <w:szCs w:val="22"/>
        </w:rPr>
      </w:pPr>
    </w:p>
    <w:p w14:paraId="7BB6BEA2" w14:textId="2996CA2C" w:rsidR="00A33AFB" w:rsidRPr="00E7179B" w:rsidRDefault="00A33AFB" w:rsidP="00A33AFB">
      <w:pPr>
        <w:pStyle w:val="EPRJ"/>
        <w:spacing w:line="276" w:lineRule="auto"/>
        <w:rPr>
          <w:rFonts w:ascii="Book Antiqua" w:hAnsi="Book Antiqua"/>
          <w:sz w:val="22"/>
          <w:szCs w:val="22"/>
        </w:rPr>
      </w:pPr>
      <w:r w:rsidRPr="00E7179B">
        <w:rPr>
          <w:rFonts w:ascii="Book Antiqua" w:hAnsi="Book Antiqua"/>
          <w:sz w:val="22"/>
          <w:szCs w:val="22"/>
        </w:rPr>
        <w:t xml:space="preserve">ATF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t>Arrêt du Tribunal fédéral.</w:t>
      </w:r>
    </w:p>
    <w:p w14:paraId="5099D02D" w14:textId="77777777" w:rsidR="00A33AFB" w:rsidRPr="00E7179B" w:rsidRDefault="00A33AFB" w:rsidP="008D432A">
      <w:pPr>
        <w:pStyle w:val="EPRJ"/>
        <w:spacing w:line="276" w:lineRule="auto"/>
        <w:rPr>
          <w:rFonts w:ascii="Book Antiqua" w:hAnsi="Book Antiqua"/>
          <w:sz w:val="22"/>
          <w:szCs w:val="22"/>
        </w:rPr>
      </w:pPr>
    </w:p>
    <w:p w14:paraId="5132F3A0" w14:textId="36103DAA" w:rsidR="00A42E0C" w:rsidRPr="00E7179B" w:rsidRDefault="00A42E0C" w:rsidP="00A42E0C">
      <w:pPr>
        <w:pStyle w:val="EPRJ"/>
        <w:spacing w:line="276" w:lineRule="auto"/>
        <w:rPr>
          <w:rFonts w:ascii="Book Antiqua" w:hAnsi="Book Antiqua"/>
          <w:sz w:val="22"/>
          <w:szCs w:val="22"/>
        </w:rPr>
      </w:pPr>
      <w:r w:rsidRPr="00E7179B">
        <w:rPr>
          <w:rFonts w:ascii="Book Antiqua" w:hAnsi="Book Antiqua"/>
          <w:sz w:val="22"/>
          <w:szCs w:val="22"/>
        </w:rPr>
        <w:t>A</w:t>
      </w:r>
      <w:r>
        <w:rPr>
          <w:rFonts w:ascii="Book Antiqua" w:hAnsi="Book Antiqua"/>
          <w:sz w:val="22"/>
          <w:szCs w:val="22"/>
        </w:rPr>
        <w:t>VS</w:t>
      </w:r>
      <w:r w:rsidRPr="00E7179B">
        <w:rPr>
          <w:rFonts w:ascii="Book Antiqua" w:hAnsi="Book Antiqua"/>
          <w:sz w:val="22"/>
          <w:szCs w:val="22"/>
        </w:rPr>
        <w:t xml:space="preserve">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r>
      <w:r w:rsidRPr="00A42E0C">
        <w:rPr>
          <w:rFonts w:ascii="Book Antiqua" w:hAnsi="Book Antiqua"/>
          <w:sz w:val="22"/>
          <w:szCs w:val="22"/>
        </w:rPr>
        <w:t>Assurance-vieillesse et survivants</w:t>
      </w:r>
      <w:r w:rsidRPr="00E7179B">
        <w:rPr>
          <w:rFonts w:ascii="Book Antiqua" w:hAnsi="Book Antiqua"/>
          <w:sz w:val="22"/>
          <w:szCs w:val="22"/>
        </w:rPr>
        <w:t>.</w:t>
      </w:r>
    </w:p>
    <w:p w14:paraId="1A91444D" w14:textId="77777777" w:rsidR="00A42E0C" w:rsidRDefault="00A42E0C" w:rsidP="008D432A">
      <w:pPr>
        <w:pStyle w:val="EPRJ"/>
        <w:spacing w:line="276" w:lineRule="auto"/>
        <w:rPr>
          <w:rFonts w:ascii="Book Antiqua" w:hAnsi="Book Antiqua"/>
          <w:sz w:val="22"/>
          <w:szCs w:val="22"/>
        </w:rPr>
      </w:pPr>
    </w:p>
    <w:p w14:paraId="2DA53AD4" w14:textId="2AB91CC4" w:rsidR="008D432A" w:rsidRPr="00E7179B" w:rsidRDefault="008D432A" w:rsidP="008D432A">
      <w:pPr>
        <w:pStyle w:val="EPRJ"/>
        <w:spacing w:line="276" w:lineRule="auto"/>
        <w:rPr>
          <w:rFonts w:ascii="Book Antiqua" w:hAnsi="Book Antiqua"/>
          <w:sz w:val="22"/>
          <w:szCs w:val="22"/>
        </w:rPr>
      </w:pPr>
      <w:r w:rsidRPr="00E7179B">
        <w:rPr>
          <w:rFonts w:ascii="Book Antiqua" w:hAnsi="Book Antiqua"/>
          <w:sz w:val="22"/>
          <w:szCs w:val="22"/>
        </w:rPr>
        <w:t xml:space="preserve">CAT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t>Comité des Nations Unies contre la torture.</w:t>
      </w:r>
    </w:p>
    <w:p w14:paraId="36CE9BE0" w14:textId="77777777" w:rsidR="008D432A" w:rsidRPr="00E7179B" w:rsidRDefault="008D432A" w:rsidP="008D432A">
      <w:pPr>
        <w:pStyle w:val="EPRJ"/>
        <w:spacing w:line="276" w:lineRule="auto"/>
        <w:rPr>
          <w:rFonts w:ascii="Book Antiqua" w:hAnsi="Book Antiqua"/>
          <w:sz w:val="22"/>
          <w:szCs w:val="22"/>
        </w:rPr>
      </w:pPr>
    </w:p>
    <w:p w14:paraId="2F3EB771" w14:textId="77777777" w:rsidR="008D432A" w:rsidRPr="00E7179B" w:rsidRDefault="008D432A" w:rsidP="008D432A">
      <w:pPr>
        <w:pStyle w:val="EPRJ"/>
        <w:spacing w:line="276" w:lineRule="auto"/>
        <w:rPr>
          <w:rFonts w:ascii="Book Antiqua" w:hAnsi="Book Antiqua"/>
          <w:sz w:val="22"/>
          <w:szCs w:val="22"/>
        </w:rPr>
      </w:pPr>
      <w:r w:rsidRPr="00E7179B">
        <w:rPr>
          <w:rFonts w:ascii="Book Antiqua" w:hAnsi="Book Antiqua"/>
          <w:sz w:val="22"/>
          <w:szCs w:val="22"/>
        </w:rPr>
        <w:t xml:space="preserve">CC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t>Code civil suisse du 10 décembre 1907</w:t>
      </w:r>
      <w:r w:rsidRPr="00E7179B">
        <w:rPr>
          <w:rStyle w:val="Appelnotedebasdep"/>
          <w:rFonts w:ascii="Book Antiqua" w:hAnsi="Book Antiqua"/>
          <w:sz w:val="22"/>
          <w:szCs w:val="22"/>
        </w:rPr>
        <w:footnoteReference w:id="1"/>
      </w:r>
      <w:r w:rsidRPr="00E7179B">
        <w:rPr>
          <w:rFonts w:ascii="Book Antiqua" w:hAnsi="Book Antiqua"/>
          <w:sz w:val="22"/>
          <w:szCs w:val="22"/>
        </w:rPr>
        <w:t>.</w:t>
      </w:r>
    </w:p>
    <w:p w14:paraId="14104671" w14:textId="77777777" w:rsidR="008D432A" w:rsidRPr="00E7179B" w:rsidRDefault="008D432A" w:rsidP="008D432A">
      <w:pPr>
        <w:pStyle w:val="EPRJ"/>
        <w:spacing w:line="276" w:lineRule="auto"/>
        <w:rPr>
          <w:rFonts w:ascii="Book Antiqua" w:hAnsi="Book Antiqua"/>
          <w:sz w:val="22"/>
          <w:szCs w:val="22"/>
        </w:rPr>
      </w:pPr>
    </w:p>
    <w:p w14:paraId="4F6B0F1A" w14:textId="77777777" w:rsidR="008D432A" w:rsidRPr="00E7179B" w:rsidRDefault="008D432A" w:rsidP="008D432A">
      <w:pPr>
        <w:pStyle w:val="EPRJ"/>
        <w:spacing w:line="276" w:lineRule="auto"/>
        <w:ind w:left="2832" w:hanging="2832"/>
        <w:rPr>
          <w:rFonts w:ascii="Book Antiqua" w:hAnsi="Book Antiqua"/>
          <w:sz w:val="22"/>
          <w:szCs w:val="22"/>
        </w:rPr>
      </w:pPr>
      <w:r w:rsidRPr="00E7179B">
        <w:rPr>
          <w:rFonts w:ascii="Book Antiqua" w:hAnsi="Book Antiqua"/>
          <w:sz w:val="22"/>
          <w:szCs w:val="22"/>
        </w:rPr>
        <w:t xml:space="preserve">CDPH </w:t>
      </w:r>
      <w:r w:rsidRPr="00E7179B">
        <w:rPr>
          <w:rFonts w:ascii="Book Antiqua" w:hAnsi="Book Antiqua"/>
          <w:sz w:val="22"/>
          <w:szCs w:val="22"/>
        </w:rPr>
        <w:tab/>
        <w:t>Convention relative aux droits des personnes handicapées du 13 décembre 2006</w:t>
      </w:r>
      <w:r w:rsidRPr="00E7179B">
        <w:rPr>
          <w:rStyle w:val="Appelnotedebasdep"/>
          <w:rFonts w:ascii="Book Antiqua" w:hAnsi="Book Antiqua"/>
          <w:sz w:val="22"/>
          <w:szCs w:val="22"/>
        </w:rPr>
        <w:footnoteReference w:id="2"/>
      </w:r>
      <w:r w:rsidRPr="00E7179B">
        <w:rPr>
          <w:rFonts w:ascii="Book Antiqua" w:hAnsi="Book Antiqua"/>
          <w:sz w:val="22"/>
          <w:szCs w:val="22"/>
        </w:rPr>
        <w:t>.</w:t>
      </w:r>
    </w:p>
    <w:p w14:paraId="592F3F2C" w14:textId="77777777" w:rsidR="008D432A" w:rsidRPr="00E7179B" w:rsidRDefault="008D432A" w:rsidP="008D432A">
      <w:pPr>
        <w:pStyle w:val="EPRJ"/>
        <w:spacing w:line="276" w:lineRule="auto"/>
        <w:rPr>
          <w:rFonts w:ascii="Book Antiqua" w:hAnsi="Book Antiqua"/>
          <w:sz w:val="22"/>
          <w:szCs w:val="22"/>
        </w:rPr>
      </w:pPr>
    </w:p>
    <w:p w14:paraId="049755F4" w14:textId="77777777" w:rsidR="008D432A" w:rsidRPr="00E7179B" w:rsidRDefault="008D432A" w:rsidP="008D432A">
      <w:pPr>
        <w:pStyle w:val="EPRJ"/>
        <w:spacing w:line="276" w:lineRule="auto"/>
        <w:ind w:left="2832" w:hanging="2832"/>
        <w:rPr>
          <w:rFonts w:ascii="Book Antiqua" w:hAnsi="Book Antiqua"/>
          <w:sz w:val="22"/>
          <w:szCs w:val="22"/>
        </w:rPr>
      </w:pPr>
      <w:r w:rsidRPr="00E7179B">
        <w:rPr>
          <w:rFonts w:ascii="Book Antiqua" w:hAnsi="Book Antiqua"/>
          <w:sz w:val="22"/>
          <w:szCs w:val="22"/>
        </w:rPr>
        <w:t xml:space="preserve">CEDH </w:t>
      </w:r>
      <w:r w:rsidRPr="00E7179B">
        <w:rPr>
          <w:rFonts w:ascii="Book Antiqua" w:hAnsi="Book Antiqua"/>
          <w:sz w:val="22"/>
          <w:szCs w:val="22"/>
        </w:rPr>
        <w:tab/>
        <w:t>Convention de sauvegarde des droits de l’homme et des libertés fondamentales du 4 novembre 1950</w:t>
      </w:r>
      <w:r w:rsidRPr="00E7179B">
        <w:rPr>
          <w:rStyle w:val="Appelnotedebasdep"/>
          <w:rFonts w:ascii="Book Antiqua" w:hAnsi="Book Antiqua"/>
          <w:sz w:val="22"/>
          <w:szCs w:val="22"/>
        </w:rPr>
        <w:footnoteReference w:id="3"/>
      </w:r>
      <w:r w:rsidRPr="00E7179B">
        <w:rPr>
          <w:rFonts w:ascii="Book Antiqua" w:hAnsi="Book Antiqua"/>
          <w:sz w:val="22"/>
          <w:szCs w:val="22"/>
        </w:rPr>
        <w:t>.</w:t>
      </w:r>
    </w:p>
    <w:p w14:paraId="3CC91263" w14:textId="77777777" w:rsidR="008D432A" w:rsidRPr="00E7179B" w:rsidRDefault="008D432A" w:rsidP="008D432A">
      <w:pPr>
        <w:pStyle w:val="EPRJ"/>
        <w:spacing w:line="276" w:lineRule="auto"/>
        <w:rPr>
          <w:rFonts w:ascii="Book Antiqua" w:hAnsi="Book Antiqua"/>
          <w:sz w:val="22"/>
          <w:szCs w:val="22"/>
        </w:rPr>
      </w:pPr>
    </w:p>
    <w:p w14:paraId="08D321E8" w14:textId="77777777" w:rsidR="008D432A" w:rsidRPr="00E7179B" w:rsidRDefault="008D432A" w:rsidP="008D432A">
      <w:pPr>
        <w:pStyle w:val="EPRJ"/>
        <w:spacing w:line="276" w:lineRule="auto"/>
        <w:rPr>
          <w:rFonts w:ascii="Book Antiqua" w:hAnsi="Book Antiqua"/>
          <w:sz w:val="22"/>
          <w:szCs w:val="22"/>
        </w:rPr>
      </w:pPr>
      <w:r w:rsidRPr="00E7179B">
        <w:rPr>
          <w:rFonts w:ascii="Book Antiqua" w:hAnsi="Book Antiqua"/>
          <w:sz w:val="22"/>
          <w:szCs w:val="22"/>
        </w:rPr>
        <w:t xml:space="preserve">CNPT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t xml:space="preserve">Commission nationale de prévention de la torture. </w:t>
      </w:r>
    </w:p>
    <w:p w14:paraId="26C86EC4" w14:textId="77777777" w:rsidR="008D432A" w:rsidRPr="00E7179B" w:rsidRDefault="008D432A" w:rsidP="008D432A">
      <w:pPr>
        <w:pStyle w:val="EPRJ"/>
        <w:spacing w:line="276" w:lineRule="auto"/>
        <w:rPr>
          <w:rFonts w:ascii="Book Antiqua" w:hAnsi="Book Antiqua"/>
          <w:sz w:val="22"/>
          <w:szCs w:val="22"/>
        </w:rPr>
      </w:pPr>
    </w:p>
    <w:p w14:paraId="724E127E" w14:textId="77777777" w:rsidR="008D432A" w:rsidRPr="00E7179B" w:rsidRDefault="008D432A" w:rsidP="008D432A">
      <w:pPr>
        <w:pStyle w:val="EPRJ"/>
        <w:spacing w:line="276" w:lineRule="auto"/>
        <w:rPr>
          <w:rFonts w:ascii="Book Antiqua" w:hAnsi="Book Antiqua"/>
          <w:sz w:val="22"/>
          <w:szCs w:val="22"/>
        </w:rPr>
      </w:pPr>
      <w:r w:rsidRPr="00E7179B">
        <w:rPr>
          <w:rFonts w:ascii="Book Antiqua" w:hAnsi="Book Antiqua"/>
          <w:sz w:val="22"/>
          <w:szCs w:val="22"/>
        </w:rPr>
        <w:t>CourEDH</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t>Cour européenne des droits de l’Homme.</w:t>
      </w:r>
    </w:p>
    <w:p w14:paraId="38285BF1" w14:textId="77777777" w:rsidR="008D432A" w:rsidRPr="00E7179B" w:rsidRDefault="008D432A" w:rsidP="008D432A">
      <w:pPr>
        <w:pStyle w:val="EPRJ"/>
        <w:spacing w:line="276" w:lineRule="auto"/>
        <w:rPr>
          <w:rFonts w:ascii="Book Antiqua" w:hAnsi="Book Antiqua"/>
          <w:sz w:val="22"/>
          <w:szCs w:val="22"/>
        </w:rPr>
      </w:pPr>
    </w:p>
    <w:p w14:paraId="7F5C033D" w14:textId="77777777" w:rsidR="008D432A" w:rsidRPr="00E7179B" w:rsidRDefault="008D432A" w:rsidP="008D432A">
      <w:pPr>
        <w:pStyle w:val="EPRJ"/>
        <w:spacing w:line="276" w:lineRule="auto"/>
        <w:rPr>
          <w:rFonts w:ascii="Book Antiqua" w:hAnsi="Book Antiqua"/>
          <w:sz w:val="22"/>
          <w:szCs w:val="22"/>
        </w:rPr>
      </w:pPr>
      <w:r w:rsidRPr="00E7179B">
        <w:rPr>
          <w:rFonts w:ascii="Book Antiqua" w:hAnsi="Book Antiqua"/>
          <w:sz w:val="22"/>
          <w:szCs w:val="22"/>
        </w:rPr>
        <w:t xml:space="preserve">CP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t>Code pénal suisse du 21 décembre 1937</w:t>
      </w:r>
      <w:r w:rsidRPr="00E7179B">
        <w:rPr>
          <w:rStyle w:val="Appelnotedebasdep"/>
          <w:rFonts w:ascii="Book Antiqua" w:hAnsi="Book Antiqua"/>
          <w:sz w:val="22"/>
          <w:szCs w:val="22"/>
        </w:rPr>
        <w:footnoteReference w:id="4"/>
      </w:r>
      <w:r w:rsidRPr="00E7179B">
        <w:rPr>
          <w:rFonts w:ascii="Book Antiqua" w:hAnsi="Book Antiqua"/>
          <w:sz w:val="22"/>
          <w:szCs w:val="22"/>
        </w:rPr>
        <w:t>.</w:t>
      </w:r>
    </w:p>
    <w:p w14:paraId="21DE530A" w14:textId="77777777" w:rsidR="008D432A" w:rsidRPr="00E7179B" w:rsidRDefault="008D432A" w:rsidP="008D432A">
      <w:pPr>
        <w:pStyle w:val="EPRJ"/>
        <w:spacing w:line="276" w:lineRule="auto"/>
        <w:rPr>
          <w:rFonts w:ascii="Book Antiqua" w:hAnsi="Book Antiqua"/>
          <w:sz w:val="22"/>
          <w:szCs w:val="22"/>
        </w:rPr>
      </w:pPr>
    </w:p>
    <w:p w14:paraId="69246CD7" w14:textId="77777777" w:rsidR="008D432A" w:rsidRPr="00E7179B" w:rsidRDefault="008D432A" w:rsidP="008D432A">
      <w:pPr>
        <w:pStyle w:val="EPRJ"/>
        <w:spacing w:line="276" w:lineRule="auto"/>
        <w:ind w:left="2832" w:hanging="2832"/>
        <w:rPr>
          <w:rFonts w:ascii="Book Antiqua" w:hAnsi="Book Antiqua"/>
          <w:sz w:val="22"/>
          <w:szCs w:val="22"/>
        </w:rPr>
      </w:pPr>
      <w:r w:rsidRPr="00E7179B">
        <w:rPr>
          <w:rFonts w:ascii="Book Antiqua" w:hAnsi="Book Antiqua"/>
          <w:sz w:val="22"/>
          <w:szCs w:val="22"/>
        </w:rPr>
        <w:t xml:space="preserve">CPT </w:t>
      </w:r>
      <w:r w:rsidRPr="00E7179B">
        <w:rPr>
          <w:rFonts w:ascii="Book Antiqua" w:hAnsi="Book Antiqua"/>
          <w:sz w:val="22"/>
          <w:szCs w:val="22"/>
        </w:rPr>
        <w:tab/>
        <w:t>Comité européen pour la prévention de la torture et des peines ou traitements inhumains ou dégradants.</w:t>
      </w:r>
    </w:p>
    <w:p w14:paraId="35705583" w14:textId="77777777" w:rsidR="008D432A" w:rsidRPr="00E7179B" w:rsidRDefault="008D432A" w:rsidP="008D432A">
      <w:pPr>
        <w:pStyle w:val="EPRJ"/>
        <w:spacing w:line="276" w:lineRule="auto"/>
        <w:ind w:left="2832" w:hanging="2832"/>
        <w:rPr>
          <w:rFonts w:ascii="Book Antiqua" w:hAnsi="Book Antiqua"/>
          <w:sz w:val="22"/>
          <w:szCs w:val="22"/>
        </w:rPr>
      </w:pPr>
    </w:p>
    <w:p w14:paraId="318D6186" w14:textId="77777777" w:rsidR="008D432A" w:rsidRPr="00E7179B" w:rsidRDefault="008D432A" w:rsidP="008D432A">
      <w:pPr>
        <w:pStyle w:val="EPRJ"/>
        <w:spacing w:line="276" w:lineRule="auto"/>
        <w:ind w:left="2832" w:hanging="2832"/>
        <w:rPr>
          <w:rFonts w:ascii="Book Antiqua" w:hAnsi="Book Antiqua"/>
          <w:sz w:val="22"/>
          <w:szCs w:val="22"/>
        </w:rPr>
      </w:pPr>
      <w:r w:rsidRPr="00E7179B">
        <w:rPr>
          <w:rFonts w:ascii="Book Antiqua" w:hAnsi="Book Antiqua"/>
          <w:sz w:val="22"/>
          <w:szCs w:val="22"/>
        </w:rPr>
        <w:t xml:space="preserve">CRPD </w:t>
      </w:r>
      <w:r w:rsidRPr="00E7179B">
        <w:rPr>
          <w:rFonts w:ascii="Book Antiqua" w:hAnsi="Book Antiqua"/>
          <w:sz w:val="22"/>
          <w:szCs w:val="22"/>
        </w:rPr>
        <w:tab/>
        <w:t xml:space="preserve">Comité des droits des personnes handicapées. </w:t>
      </w:r>
    </w:p>
    <w:p w14:paraId="17E330D7" w14:textId="77777777" w:rsidR="008D432A" w:rsidRPr="00E7179B" w:rsidRDefault="008D432A" w:rsidP="008D432A">
      <w:pPr>
        <w:pStyle w:val="EPRJ"/>
        <w:spacing w:line="276" w:lineRule="auto"/>
        <w:ind w:left="2832" w:hanging="2832"/>
        <w:rPr>
          <w:rFonts w:ascii="Book Antiqua" w:hAnsi="Book Antiqua"/>
          <w:sz w:val="22"/>
          <w:szCs w:val="22"/>
        </w:rPr>
      </w:pPr>
    </w:p>
    <w:p w14:paraId="01D575CF" w14:textId="06D7500A" w:rsidR="008D432A" w:rsidRPr="00E7179B" w:rsidRDefault="008D432A" w:rsidP="008D432A">
      <w:pPr>
        <w:pStyle w:val="EPRJ"/>
        <w:spacing w:line="276" w:lineRule="auto"/>
        <w:ind w:left="2832" w:hanging="2832"/>
        <w:rPr>
          <w:rFonts w:ascii="Book Antiqua" w:hAnsi="Book Antiqua"/>
          <w:sz w:val="22"/>
          <w:szCs w:val="22"/>
        </w:rPr>
      </w:pPr>
      <w:r w:rsidRPr="00E7179B">
        <w:rPr>
          <w:rFonts w:ascii="Book Antiqua" w:hAnsi="Book Antiqua"/>
          <w:sz w:val="22"/>
          <w:szCs w:val="22"/>
        </w:rPr>
        <w:t>CS</w:t>
      </w:r>
      <w:r w:rsidR="00001A4B" w:rsidRPr="00E7179B">
        <w:rPr>
          <w:rFonts w:ascii="Book Antiqua" w:hAnsi="Book Antiqua"/>
          <w:sz w:val="22"/>
          <w:szCs w:val="22"/>
        </w:rPr>
        <w:t>I</w:t>
      </w:r>
      <w:r w:rsidRPr="00E7179B">
        <w:rPr>
          <w:rFonts w:ascii="Book Antiqua" w:hAnsi="Book Antiqua"/>
          <w:sz w:val="22"/>
          <w:szCs w:val="22"/>
        </w:rPr>
        <w:tab/>
      </w:r>
      <w:r w:rsidR="00001A4B" w:rsidRPr="00E7179B">
        <w:rPr>
          <w:rFonts w:ascii="Book Antiqua" w:hAnsi="Book Antiqua"/>
          <w:sz w:val="22"/>
          <w:szCs w:val="22"/>
        </w:rPr>
        <w:t>Chambre de soins intensifs.</w:t>
      </w:r>
    </w:p>
    <w:p w14:paraId="75154789" w14:textId="77777777" w:rsidR="008D432A" w:rsidRPr="00E7179B" w:rsidRDefault="008D432A" w:rsidP="008D432A">
      <w:pPr>
        <w:pStyle w:val="EPRJ"/>
        <w:spacing w:line="276" w:lineRule="auto"/>
        <w:rPr>
          <w:rFonts w:ascii="Book Antiqua" w:hAnsi="Book Antiqua"/>
          <w:sz w:val="22"/>
          <w:szCs w:val="22"/>
        </w:rPr>
      </w:pPr>
    </w:p>
    <w:p w14:paraId="4C663B99" w14:textId="3BA88138" w:rsidR="008D432A" w:rsidRPr="00E7179B" w:rsidRDefault="008D432A" w:rsidP="008D432A">
      <w:pPr>
        <w:pStyle w:val="EPRJ"/>
        <w:spacing w:line="276" w:lineRule="auto"/>
        <w:ind w:left="2832" w:hanging="2832"/>
        <w:rPr>
          <w:rFonts w:ascii="Book Antiqua" w:hAnsi="Book Antiqua"/>
          <w:sz w:val="22"/>
          <w:szCs w:val="22"/>
        </w:rPr>
      </w:pPr>
      <w:r w:rsidRPr="00E7179B">
        <w:rPr>
          <w:rFonts w:ascii="Book Antiqua" w:hAnsi="Book Antiqua"/>
          <w:sz w:val="22"/>
          <w:szCs w:val="22"/>
        </w:rPr>
        <w:t xml:space="preserve">Cst. </w:t>
      </w:r>
      <w:r w:rsidR="002266A4" w:rsidRPr="00E7179B">
        <w:rPr>
          <w:rFonts w:ascii="Book Antiqua" w:hAnsi="Book Antiqua"/>
          <w:sz w:val="22"/>
          <w:szCs w:val="22"/>
        </w:rPr>
        <w:t>féd.</w:t>
      </w:r>
      <w:r w:rsidRPr="00E7179B">
        <w:rPr>
          <w:rFonts w:ascii="Book Antiqua" w:hAnsi="Book Antiqua"/>
          <w:sz w:val="22"/>
          <w:szCs w:val="22"/>
        </w:rPr>
        <w:tab/>
        <w:t>Constitution fédérale de la Confédération suisse du 18 avril 1999</w:t>
      </w:r>
      <w:r w:rsidRPr="00E7179B">
        <w:rPr>
          <w:rStyle w:val="Appelnotedebasdep"/>
          <w:rFonts w:ascii="Book Antiqua" w:hAnsi="Book Antiqua"/>
          <w:sz w:val="22"/>
          <w:szCs w:val="22"/>
        </w:rPr>
        <w:footnoteReference w:id="5"/>
      </w:r>
      <w:r w:rsidRPr="00E7179B">
        <w:rPr>
          <w:rFonts w:ascii="Book Antiqua" w:hAnsi="Book Antiqua"/>
          <w:sz w:val="22"/>
          <w:szCs w:val="22"/>
        </w:rPr>
        <w:t>.</w:t>
      </w:r>
    </w:p>
    <w:p w14:paraId="0DA99FA3" w14:textId="77777777" w:rsidR="008D432A" w:rsidRPr="00E7179B" w:rsidRDefault="008D432A" w:rsidP="001B7FF9">
      <w:pPr>
        <w:pStyle w:val="EPRJ"/>
        <w:spacing w:line="276" w:lineRule="auto"/>
        <w:rPr>
          <w:rFonts w:ascii="Book Antiqua" w:hAnsi="Book Antiqua"/>
          <w:sz w:val="22"/>
          <w:szCs w:val="22"/>
        </w:rPr>
      </w:pPr>
    </w:p>
    <w:p w14:paraId="3F5DEE1B" w14:textId="77777777" w:rsidR="008D432A" w:rsidRPr="00E7179B" w:rsidRDefault="008D432A" w:rsidP="008D432A">
      <w:pPr>
        <w:pStyle w:val="EPRJ"/>
        <w:spacing w:line="276" w:lineRule="auto"/>
        <w:ind w:left="2832" w:hanging="2832"/>
        <w:rPr>
          <w:rFonts w:ascii="Book Antiqua" w:hAnsi="Book Antiqua"/>
          <w:sz w:val="22"/>
          <w:szCs w:val="22"/>
        </w:rPr>
      </w:pPr>
      <w:r w:rsidRPr="00E7179B">
        <w:rPr>
          <w:rFonts w:ascii="Book Antiqua" w:hAnsi="Book Antiqua"/>
          <w:sz w:val="22"/>
          <w:szCs w:val="22"/>
        </w:rPr>
        <w:t xml:space="preserve">EPO </w:t>
      </w:r>
      <w:r w:rsidRPr="00E7179B">
        <w:rPr>
          <w:rFonts w:ascii="Book Antiqua" w:hAnsi="Book Antiqua"/>
          <w:sz w:val="22"/>
          <w:szCs w:val="22"/>
        </w:rPr>
        <w:tab/>
        <w:t>Établissements de la Plaine de l’Orbe.</w:t>
      </w:r>
    </w:p>
    <w:p w14:paraId="1A81FE11" w14:textId="77777777" w:rsidR="00001A4B" w:rsidRPr="00E7179B" w:rsidRDefault="00001A4B" w:rsidP="00001A4B">
      <w:pPr>
        <w:pStyle w:val="EPRJ"/>
        <w:spacing w:line="276" w:lineRule="auto"/>
        <w:rPr>
          <w:rFonts w:ascii="Book Antiqua" w:hAnsi="Book Antiqua"/>
          <w:sz w:val="22"/>
          <w:szCs w:val="22"/>
        </w:rPr>
      </w:pPr>
    </w:p>
    <w:p w14:paraId="51E51E11" w14:textId="0B110B94" w:rsidR="004C49C4" w:rsidRPr="00E7179B" w:rsidRDefault="004C49C4" w:rsidP="004C49C4">
      <w:pPr>
        <w:pStyle w:val="EPRJ"/>
        <w:spacing w:line="276" w:lineRule="auto"/>
        <w:ind w:left="2832" w:hanging="2832"/>
        <w:rPr>
          <w:rFonts w:ascii="Book Antiqua" w:hAnsi="Book Antiqua"/>
          <w:sz w:val="22"/>
          <w:szCs w:val="22"/>
        </w:rPr>
      </w:pPr>
      <w:r w:rsidRPr="00E7179B">
        <w:rPr>
          <w:rFonts w:ascii="Book Antiqua" w:hAnsi="Book Antiqua"/>
          <w:sz w:val="22"/>
          <w:szCs w:val="22"/>
        </w:rPr>
        <w:t xml:space="preserve">GRAAP </w:t>
      </w:r>
      <w:r w:rsidRPr="00E7179B">
        <w:rPr>
          <w:rFonts w:ascii="Book Antiqua" w:hAnsi="Book Antiqua"/>
          <w:sz w:val="22"/>
          <w:szCs w:val="22"/>
        </w:rPr>
        <w:tab/>
        <w:t>Groupe d’accueil et d’action psychiatrique.</w:t>
      </w:r>
    </w:p>
    <w:p w14:paraId="0D897600" w14:textId="77777777" w:rsidR="004C49C4" w:rsidRPr="00E7179B" w:rsidRDefault="004C49C4" w:rsidP="00001A4B">
      <w:pPr>
        <w:pStyle w:val="EPRJ"/>
        <w:spacing w:line="276" w:lineRule="auto"/>
        <w:ind w:left="2832" w:hanging="2832"/>
        <w:rPr>
          <w:rFonts w:ascii="Book Antiqua" w:hAnsi="Book Antiqua"/>
          <w:sz w:val="22"/>
          <w:szCs w:val="22"/>
        </w:rPr>
      </w:pPr>
    </w:p>
    <w:p w14:paraId="38443799" w14:textId="5DBF4366" w:rsidR="00001A4B" w:rsidRPr="00E7179B" w:rsidRDefault="00001A4B" w:rsidP="00001A4B">
      <w:pPr>
        <w:pStyle w:val="EPRJ"/>
        <w:spacing w:line="276" w:lineRule="auto"/>
        <w:ind w:left="2832" w:hanging="2832"/>
        <w:rPr>
          <w:rFonts w:ascii="Book Antiqua" w:hAnsi="Book Antiqua"/>
          <w:sz w:val="22"/>
          <w:szCs w:val="22"/>
        </w:rPr>
      </w:pPr>
      <w:r w:rsidRPr="00E7179B">
        <w:rPr>
          <w:rFonts w:ascii="Book Antiqua" w:hAnsi="Book Antiqua"/>
          <w:sz w:val="22"/>
          <w:szCs w:val="22"/>
        </w:rPr>
        <w:lastRenderedPageBreak/>
        <w:t>HCDH</w:t>
      </w:r>
      <w:r w:rsidRPr="00E7179B">
        <w:rPr>
          <w:rFonts w:ascii="Book Antiqua" w:hAnsi="Book Antiqua"/>
          <w:sz w:val="22"/>
          <w:szCs w:val="22"/>
        </w:rPr>
        <w:tab/>
        <w:t>Haut-Commissariat des Nations Unies aux droits de l’homme.</w:t>
      </w:r>
    </w:p>
    <w:p w14:paraId="0FEC18C0" w14:textId="77777777" w:rsidR="00001A4B" w:rsidRPr="00E7179B" w:rsidRDefault="00001A4B" w:rsidP="00001A4B">
      <w:pPr>
        <w:pStyle w:val="EPRJ"/>
        <w:spacing w:line="276" w:lineRule="auto"/>
        <w:ind w:left="2832" w:hanging="2832"/>
        <w:rPr>
          <w:rFonts w:ascii="Book Antiqua" w:hAnsi="Book Antiqua"/>
          <w:sz w:val="22"/>
          <w:szCs w:val="22"/>
        </w:rPr>
      </w:pPr>
    </w:p>
    <w:p w14:paraId="4CD6F047" w14:textId="4E33AD01" w:rsidR="00E7179B" w:rsidRPr="00E7179B" w:rsidRDefault="00E7179B" w:rsidP="00E7179B">
      <w:pPr>
        <w:pStyle w:val="EPRJ"/>
        <w:spacing w:line="276" w:lineRule="auto"/>
        <w:ind w:left="2832" w:hanging="2832"/>
        <w:rPr>
          <w:rFonts w:ascii="Book Antiqua" w:hAnsi="Book Antiqua"/>
          <w:sz w:val="22"/>
          <w:szCs w:val="22"/>
        </w:rPr>
      </w:pPr>
      <w:r w:rsidRPr="00E7179B">
        <w:rPr>
          <w:rFonts w:ascii="Book Antiqua" w:hAnsi="Book Antiqua"/>
          <w:sz w:val="22"/>
          <w:szCs w:val="22"/>
        </w:rPr>
        <w:t>LDP</w:t>
      </w:r>
      <w:r w:rsidRPr="00E7179B">
        <w:rPr>
          <w:rFonts w:ascii="Book Antiqua" w:hAnsi="Book Antiqua"/>
          <w:sz w:val="22"/>
          <w:szCs w:val="22"/>
        </w:rPr>
        <w:tab/>
        <w:t>Loi fédérale sur les droits politiques du 17 décembre 1976</w:t>
      </w:r>
      <w:r w:rsidRPr="00E7179B">
        <w:rPr>
          <w:rStyle w:val="Appelnotedebasdep"/>
          <w:rFonts w:ascii="Book Antiqua" w:hAnsi="Book Antiqua"/>
          <w:sz w:val="22"/>
          <w:szCs w:val="22"/>
        </w:rPr>
        <w:footnoteReference w:id="6"/>
      </w:r>
      <w:r w:rsidRPr="00E7179B">
        <w:rPr>
          <w:rFonts w:ascii="Book Antiqua" w:hAnsi="Book Antiqua"/>
          <w:sz w:val="22"/>
          <w:szCs w:val="22"/>
        </w:rPr>
        <w:t>.</w:t>
      </w:r>
    </w:p>
    <w:p w14:paraId="207D4808" w14:textId="77777777" w:rsidR="00E7179B" w:rsidRPr="00E7179B" w:rsidRDefault="00E7179B" w:rsidP="001B7FF9">
      <w:pPr>
        <w:pStyle w:val="EPRJ"/>
        <w:spacing w:line="276" w:lineRule="auto"/>
        <w:ind w:left="2832" w:hanging="2832"/>
        <w:rPr>
          <w:rFonts w:ascii="Book Antiqua" w:hAnsi="Book Antiqua"/>
          <w:sz w:val="22"/>
          <w:szCs w:val="22"/>
        </w:rPr>
      </w:pPr>
    </w:p>
    <w:p w14:paraId="301360A1" w14:textId="02AF7738" w:rsidR="001B7FF9" w:rsidRPr="00E7179B" w:rsidRDefault="001B7FF9" w:rsidP="001B7FF9">
      <w:pPr>
        <w:pStyle w:val="EPRJ"/>
        <w:spacing w:line="276" w:lineRule="auto"/>
        <w:ind w:left="2832" w:hanging="2832"/>
        <w:rPr>
          <w:rFonts w:ascii="Book Antiqua" w:hAnsi="Book Antiqua"/>
          <w:sz w:val="22"/>
          <w:szCs w:val="22"/>
        </w:rPr>
      </w:pPr>
      <w:r w:rsidRPr="00E7179B">
        <w:rPr>
          <w:rFonts w:ascii="Book Antiqua" w:hAnsi="Book Antiqua"/>
          <w:sz w:val="22"/>
          <w:szCs w:val="22"/>
        </w:rPr>
        <w:t>LEI</w:t>
      </w:r>
      <w:r w:rsidRPr="00E7179B">
        <w:rPr>
          <w:rFonts w:ascii="Book Antiqua" w:hAnsi="Book Antiqua"/>
          <w:sz w:val="22"/>
          <w:szCs w:val="22"/>
        </w:rPr>
        <w:tab/>
        <w:t>Loi fédérale sur les étrangers et l’intégration du 16 décembre 2005</w:t>
      </w:r>
      <w:r w:rsidRPr="00E7179B">
        <w:rPr>
          <w:rStyle w:val="Appelnotedebasdep"/>
          <w:rFonts w:ascii="Book Antiqua" w:hAnsi="Book Antiqua"/>
          <w:sz w:val="22"/>
          <w:szCs w:val="22"/>
        </w:rPr>
        <w:footnoteReference w:id="7"/>
      </w:r>
      <w:r w:rsidRPr="00E7179B">
        <w:rPr>
          <w:rFonts w:ascii="Book Antiqua" w:hAnsi="Book Antiqua"/>
          <w:sz w:val="22"/>
          <w:szCs w:val="22"/>
        </w:rPr>
        <w:t>.</w:t>
      </w:r>
    </w:p>
    <w:p w14:paraId="7D520FDC" w14:textId="49D25677" w:rsidR="008D432A" w:rsidRPr="00E7179B" w:rsidRDefault="008D432A" w:rsidP="001B7FF9">
      <w:pPr>
        <w:pStyle w:val="EPRJ"/>
        <w:spacing w:line="276" w:lineRule="auto"/>
        <w:ind w:left="2832" w:hanging="2832"/>
        <w:rPr>
          <w:rFonts w:ascii="Book Antiqua" w:hAnsi="Book Antiqua"/>
          <w:sz w:val="22"/>
          <w:szCs w:val="22"/>
        </w:rPr>
      </w:pPr>
      <w:r w:rsidRPr="00E7179B">
        <w:rPr>
          <w:rFonts w:ascii="Book Antiqua" w:hAnsi="Book Antiqua"/>
          <w:sz w:val="22"/>
          <w:szCs w:val="22"/>
        </w:rPr>
        <w:t>LHand</w:t>
      </w:r>
      <w:r w:rsidRPr="00E7179B">
        <w:rPr>
          <w:rFonts w:ascii="Book Antiqua" w:hAnsi="Book Antiqua"/>
          <w:sz w:val="22"/>
          <w:szCs w:val="22"/>
        </w:rPr>
        <w:tab/>
        <w:t>Loi fédérale sur l’élimination des inégalités frappant les personnes handicapées du 13 décembre 2002</w:t>
      </w:r>
      <w:r w:rsidRPr="00E7179B">
        <w:rPr>
          <w:rStyle w:val="Appelnotedebasdep"/>
          <w:rFonts w:ascii="Book Antiqua" w:hAnsi="Book Antiqua"/>
          <w:sz w:val="22"/>
          <w:szCs w:val="22"/>
        </w:rPr>
        <w:footnoteReference w:id="8"/>
      </w:r>
      <w:r w:rsidRPr="00E7179B">
        <w:rPr>
          <w:rFonts w:ascii="Book Antiqua" w:hAnsi="Book Antiqua"/>
          <w:sz w:val="22"/>
          <w:szCs w:val="22"/>
        </w:rPr>
        <w:t>.</w:t>
      </w:r>
    </w:p>
    <w:p w14:paraId="4CDAA055" w14:textId="77777777" w:rsidR="008D432A" w:rsidRPr="00E7179B" w:rsidRDefault="008D432A" w:rsidP="001B7FF9">
      <w:pPr>
        <w:pStyle w:val="EPRJ"/>
        <w:spacing w:line="276" w:lineRule="auto"/>
        <w:rPr>
          <w:rFonts w:ascii="Book Antiqua" w:hAnsi="Book Antiqua"/>
          <w:sz w:val="22"/>
          <w:szCs w:val="22"/>
        </w:rPr>
      </w:pPr>
    </w:p>
    <w:p w14:paraId="1978E255" w14:textId="13C3E44B" w:rsidR="00A42E0C" w:rsidRPr="00E7179B" w:rsidRDefault="00A42E0C" w:rsidP="00A42E0C">
      <w:pPr>
        <w:pStyle w:val="EPRJ"/>
        <w:spacing w:line="276" w:lineRule="auto"/>
        <w:ind w:left="2832" w:hanging="2832"/>
        <w:rPr>
          <w:rFonts w:ascii="Book Antiqua" w:hAnsi="Book Antiqua"/>
          <w:sz w:val="22"/>
          <w:szCs w:val="22"/>
        </w:rPr>
      </w:pPr>
      <w:r w:rsidRPr="00E7179B">
        <w:rPr>
          <w:rFonts w:ascii="Book Antiqua" w:hAnsi="Book Antiqua"/>
          <w:sz w:val="22"/>
          <w:szCs w:val="22"/>
        </w:rPr>
        <w:t>L</w:t>
      </w:r>
      <w:r>
        <w:rPr>
          <w:rFonts w:ascii="Book Antiqua" w:hAnsi="Book Antiqua"/>
          <w:sz w:val="22"/>
          <w:szCs w:val="22"/>
        </w:rPr>
        <w:t>N</w:t>
      </w:r>
      <w:r w:rsidRPr="00E7179B">
        <w:rPr>
          <w:rFonts w:ascii="Book Antiqua" w:hAnsi="Book Antiqua"/>
          <w:sz w:val="22"/>
          <w:szCs w:val="22"/>
        </w:rPr>
        <w:tab/>
      </w:r>
      <w:r w:rsidRPr="00A42E0C">
        <w:rPr>
          <w:rFonts w:ascii="Book Antiqua" w:hAnsi="Book Antiqua"/>
          <w:sz w:val="22"/>
          <w:szCs w:val="22"/>
        </w:rPr>
        <w:t>Loi sur la nationalité suisse du 20 juin 2014</w:t>
      </w:r>
      <w:r w:rsidRPr="00E7179B">
        <w:rPr>
          <w:rStyle w:val="Appelnotedebasdep"/>
          <w:rFonts w:ascii="Book Antiqua" w:hAnsi="Book Antiqua"/>
          <w:sz w:val="22"/>
          <w:szCs w:val="22"/>
        </w:rPr>
        <w:footnoteReference w:id="9"/>
      </w:r>
      <w:r w:rsidRPr="00E7179B">
        <w:rPr>
          <w:rFonts w:ascii="Book Antiqua" w:hAnsi="Book Antiqua"/>
          <w:sz w:val="22"/>
          <w:szCs w:val="22"/>
        </w:rPr>
        <w:t>.</w:t>
      </w:r>
    </w:p>
    <w:p w14:paraId="29AC9084" w14:textId="77777777" w:rsidR="00A42E0C" w:rsidRDefault="00A42E0C" w:rsidP="008D432A">
      <w:pPr>
        <w:pStyle w:val="EPRJ"/>
        <w:spacing w:line="276" w:lineRule="auto"/>
        <w:ind w:left="2832" w:hanging="2832"/>
        <w:rPr>
          <w:rFonts w:ascii="Book Antiqua" w:hAnsi="Book Antiqua"/>
          <w:sz w:val="22"/>
          <w:szCs w:val="22"/>
        </w:rPr>
      </w:pPr>
    </w:p>
    <w:p w14:paraId="7A45C507" w14:textId="173A110B" w:rsidR="008D432A" w:rsidRPr="00E7179B" w:rsidRDefault="008D432A" w:rsidP="008D432A">
      <w:pPr>
        <w:pStyle w:val="EPRJ"/>
        <w:spacing w:line="276" w:lineRule="auto"/>
        <w:ind w:left="2832" w:hanging="2832"/>
        <w:rPr>
          <w:rFonts w:ascii="Book Antiqua" w:hAnsi="Book Antiqua"/>
          <w:sz w:val="22"/>
          <w:szCs w:val="22"/>
        </w:rPr>
      </w:pPr>
      <w:r w:rsidRPr="00E7179B">
        <w:rPr>
          <w:rFonts w:ascii="Book Antiqua" w:hAnsi="Book Antiqua"/>
          <w:sz w:val="22"/>
          <w:szCs w:val="22"/>
        </w:rPr>
        <w:t>L</w:t>
      </w:r>
      <w:r w:rsidR="00001A4B" w:rsidRPr="00E7179B">
        <w:rPr>
          <w:rFonts w:ascii="Book Antiqua" w:hAnsi="Book Antiqua"/>
          <w:sz w:val="22"/>
          <w:szCs w:val="22"/>
        </w:rPr>
        <w:t>Stér</w:t>
      </w:r>
      <w:r w:rsidRPr="00E7179B">
        <w:rPr>
          <w:rFonts w:ascii="Book Antiqua" w:hAnsi="Book Antiqua"/>
          <w:sz w:val="22"/>
          <w:szCs w:val="22"/>
        </w:rPr>
        <w:tab/>
      </w:r>
      <w:r w:rsidR="00001A4B" w:rsidRPr="00E7179B">
        <w:rPr>
          <w:rFonts w:ascii="Book Antiqua" w:hAnsi="Book Antiqua"/>
          <w:sz w:val="22"/>
          <w:szCs w:val="22"/>
        </w:rPr>
        <w:t>Loi fédérale sur les conditions et la procédure régissant la stérilisation de personnes du 17 décembre 2004</w:t>
      </w:r>
      <w:r w:rsidRPr="00E7179B">
        <w:rPr>
          <w:rStyle w:val="Appelnotedebasdep"/>
          <w:rFonts w:ascii="Book Antiqua" w:hAnsi="Book Antiqua"/>
          <w:sz w:val="22"/>
          <w:szCs w:val="22"/>
        </w:rPr>
        <w:footnoteReference w:id="10"/>
      </w:r>
      <w:r w:rsidRPr="00E7179B">
        <w:rPr>
          <w:rFonts w:ascii="Book Antiqua" w:hAnsi="Book Antiqua"/>
          <w:sz w:val="22"/>
          <w:szCs w:val="22"/>
        </w:rPr>
        <w:t>.</w:t>
      </w:r>
    </w:p>
    <w:p w14:paraId="273C8F18" w14:textId="77777777" w:rsidR="008D432A" w:rsidRPr="00E7179B" w:rsidRDefault="008D432A" w:rsidP="008D432A">
      <w:pPr>
        <w:pStyle w:val="EPRJ"/>
        <w:spacing w:line="276" w:lineRule="auto"/>
        <w:rPr>
          <w:rFonts w:ascii="Book Antiqua" w:hAnsi="Book Antiqua"/>
          <w:sz w:val="22"/>
          <w:szCs w:val="22"/>
        </w:rPr>
      </w:pPr>
    </w:p>
    <w:p w14:paraId="54A2688A" w14:textId="66DF8FEB" w:rsidR="00A42E0C" w:rsidRPr="00E7179B" w:rsidRDefault="00A42E0C" w:rsidP="00A42E0C">
      <w:pPr>
        <w:pStyle w:val="EPRJ"/>
        <w:spacing w:line="276" w:lineRule="auto"/>
        <w:ind w:left="2832" w:hanging="2832"/>
        <w:rPr>
          <w:rFonts w:ascii="Book Antiqua" w:hAnsi="Book Antiqua"/>
          <w:sz w:val="22"/>
          <w:szCs w:val="22"/>
        </w:rPr>
      </w:pPr>
      <w:r>
        <w:rPr>
          <w:rFonts w:ascii="Book Antiqua" w:hAnsi="Book Antiqua"/>
          <w:sz w:val="22"/>
          <w:szCs w:val="22"/>
        </w:rPr>
        <w:t>OASA</w:t>
      </w:r>
      <w:r w:rsidRPr="00E7179B">
        <w:rPr>
          <w:rFonts w:ascii="Book Antiqua" w:hAnsi="Book Antiqua"/>
          <w:sz w:val="22"/>
          <w:szCs w:val="22"/>
        </w:rPr>
        <w:tab/>
      </w:r>
      <w:r w:rsidRPr="00A42E0C">
        <w:rPr>
          <w:rFonts w:ascii="Book Antiqua" w:hAnsi="Book Antiqua"/>
          <w:sz w:val="22"/>
          <w:szCs w:val="22"/>
        </w:rPr>
        <w:t>Ordonnance relative à l’admission, au séjour et à l’exercice d’une activité lucrative du 24 octobre 2007</w:t>
      </w:r>
      <w:r w:rsidRPr="00E7179B">
        <w:rPr>
          <w:rStyle w:val="Appelnotedebasdep"/>
          <w:rFonts w:ascii="Book Antiqua" w:hAnsi="Book Antiqua"/>
          <w:sz w:val="22"/>
          <w:szCs w:val="22"/>
        </w:rPr>
        <w:footnoteReference w:id="11"/>
      </w:r>
      <w:r w:rsidRPr="00E7179B">
        <w:rPr>
          <w:rFonts w:ascii="Book Antiqua" w:hAnsi="Book Antiqua"/>
          <w:sz w:val="22"/>
          <w:szCs w:val="22"/>
        </w:rPr>
        <w:t>.</w:t>
      </w:r>
    </w:p>
    <w:p w14:paraId="759158F6" w14:textId="77777777" w:rsidR="00A42E0C" w:rsidRPr="00E7179B" w:rsidRDefault="00A42E0C" w:rsidP="00A42E0C">
      <w:pPr>
        <w:pStyle w:val="EPRJ"/>
        <w:spacing w:line="276" w:lineRule="auto"/>
        <w:rPr>
          <w:rFonts w:ascii="Book Antiqua" w:hAnsi="Book Antiqua"/>
          <w:sz w:val="22"/>
          <w:szCs w:val="22"/>
        </w:rPr>
      </w:pPr>
    </w:p>
    <w:p w14:paraId="25BFCF69" w14:textId="10054BD3" w:rsidR="00A42E0C" w:rsidRPr="00E7179B" w:rsidRDefault="00A42E0C" w:rsidP="00A42E0C">
      <w:pPr>
        <w:pStyle w:val="EPRJ"/>
        <w:spacing w:line="276" w:lineRule="auto"/>
        <w:ind w:left="2832" w:hanging="2832"/>
        <w:rPr>
          <w:rFonts w:ascii="Book Antiqua" w:hAnsi="Book Antiqua"/>
          <w:sz w:val="22"/>
          <w:szCs w:val="22"/>
        </w:rPr>
      </w:pPr>
      <w:r>
        <w:rPr>
          <w:rFonts w:ascii="Book Antiqua" w:hAnsi="Book Antiqua"/>
          <w:sz w:val="22"/>
          <w:szCs w:val="22"/>
        </w:rPr>
        <w:t>OLN</w:t>
      </w:r>
      <w:r w:rsidRPr="00E7179B">
        <w:rPr>
          <w:rFonts w:ascii="Book Antiqua" w:hAnsi="Book Antiqua"/>
          <w:sz w:val="22"/>
          <w:szCs w:val="22"/>
        </w:rPr>
        <w:tab/>
      </w:r>
      <w:r w:rsidRPr="00A42E0C">
        <w:rPr>
          <w:rFonts w:ascii="Book Antiqua" w:hAnsi="Book Antiqua"/>
          <w:sz w:val="22"/>
          <w:szCs w:val="22"/>
        </w:rPr>
        <w:t>Ordonnance sur la nationalité suisse du 17 juin 2016</w:t>
      </w:r>
      <w:r w:rsidRPr="00E7179B">
        <w:rPr>
          <w:rStyle w:val="Appelnotedebasdep"/>
          <w:rFonts w:ascii="Book Antiqua" w:hAnsi="Book Antiqua"/>
          <w:sz w:val="22"/>
          <w:szCs w:val="22"/>
        </w:rPr>
        <w:footnoteReference w:id="12"/>
      </w:r>
      <w:r w:rsidRPr="00E7179B">
        <w:rPr>
          <w:rFonts w:ascii="Book Antiqua" w:hAnsi="Book Antiqua"/>
          <w:sz w:val="22"/>
          <w:szCs w:val="22"/>
        </w:rPr>
        <w:t>.</w:t>
      </w:r>
    </w:p>
    <w:p w14:paraId="4A84AB89" w14:textId="77777777" w:rsidR="00A42E0C" w:rsidRPr="00E7179B" w:rsidRDefault="00A42E0C" w:rsidP="00A42E0C">
      <w:pPr>
        <w:pStyle w:val="EPRJ"/>
        <w:spacing w:line="276" w:lineRule="auto"/>
        <w:rPr>
          <w:rFonts w:ascii="Book Antiqua" w:hAnsi="Book Antiqua"/>
          <w:sz w:val="22"/>
          <w:szCs w:val="22"/>
        </w:rPr>
      </w:pPr>
    </w:p>
    <w:p w14:paraId="594A6050" w14:textId="77777777" w:rsidR="008D432A" w:rsidRPr="00E7179B" w:rsidRDefault="008D432A" w:rsidP="008D432A">
      <w:pPr>
        <w:pStyle w:val="EPRJ"/>
        <w:spacing w:line="276" w:lineRule="auto"/>
        <w:ind w:left="2832" w:hanging="2832"/>
        <w:rPr>
          <w:rFonts w:ascii="Book Antiqua" w:hAnsi="Book Antiqua"/>
          <w:sz w:val="22"/>
          <w:szCs w:val="22"/>
        </w:rPr>
      </w:pPr>
      <w:r w:rsidRPr="00E7179B">
        <w:rPr>
          <w:rFonts w:ascii="Book Antiqua" w:hAnsi="Book Antiqua"/>
          <w:sz w:val="22"/>
          <w:szCs w:val="22"/>
        </w:rPr>
        <w:t xml:space="preserve">Règles Nelson Mandela </w:t>
      </w:r>
      <w:r w:rsidRPr="00E7179B">
        <w:rPr>
          <w:rFonts w:ascii="Book Antiqua" w:hAnsi="Book Antiqua"/>
          <w:sz w:val="22"/>
          <w:szCs w:val="22"/>
        </w:rPr>
        <w:tab/>
        <w:t>Ensemble de règles minima pour le traitement des détenus du 17 décembre 2015</w:t>
      </w:r>
      <w:r w:rsidRPr="00E7179B">
        <w:rPr>
          <w:rStyle w:val="Appelnotedebasdep"/>
          <w:rFonts w:ascii="Book Antiqua" w:hAnsi="Book Antiqua"/>
          <w:sz w:val="22"/>
          <w:szCs w:val="22"/>
        </w:rPr>
        <w:footnoteReference w:id="13"/>
      </w:r>
      <w:r w:rsidRPr="00E7179B">
        <w:rPr>
          <w:rFonts w:ascii="Book Antiqua" w:hAnsi="Book Antiqua"/>
          <w:sz w:val="22"/>
          <w:szCs w:val="22"/>
        </w:rPr>
        <w:t xml:space="preserve">. </w:t>
      </w:r>
    </w:p>
    <w:p w14:paraId="155DB9AD" w14:textId="77777777" w:rsidR="008D432A" w:rsidRPr="00E7179B" w:rsidRDefault="008D432A" w:rsidP="008D432A">
      <w:pPr>
        <w:pStyle w:val="EPRJ"/>
        <w:spacing w:line="276" w:lineRule="auto"/>
        <w:rPr>
          <w:rFonts w:ascii="Book Antiqua" w:hAnsi="Book Antiqua"/>
          <w:sz w:val="22"/>
          <w:szCs w:val="22"/>
        </w:rPr>
      </w:pPr>
    </w:p>
    <w:p w14:paraId="47A8E8CE" w14:textId="00F3AABB" w:rsidR="008D432A" w:rsidRPr="00E7179B" w:rsidRDefault="008D432A" w:rsidP="008D432A">
      <w:pPr>
        <w:pStyle w:val="EPRJ"/>
        <w:spacing w:line="276" w:lineRule="auto"/>
        <w:rPr>
          <w:rFonts w:ascii="Book Antiqua" w:hAnsi="Book Antiqua"/>
          <w:sz w:val="22"/>
          <w:szCs w:val="22"/>
        </w:rPr>
      </w:pPr>
      <w:r w:rsidRPr="00E7179B">
        <w:rPr>
          <w:rFonts w:ascii="Book Antiqua" w:hAnsi="Book Antiqua"/>
          <w:sz w:val="22"/>
          <w:szCs w:val="22"/>
        </w:rPr>
        <w:t xml:space="preserve">Règle pénitentiaires </w:t>
      </w:r>
      <w:r w:rsidRPr="00E7179B">
        <w:rPr>
          <w:rFonts w:ascii="Book Antiqua" w:hAnsi="Book Antiqua"/>
          <w:sz w:val="22"/>
          <w:szCs w:val="22"/>
        </w:rPr>
        <w:tab/>
      </w:r>
      <w:r w:rsidRPr="00E7179B">
        <w:rPr>
          <w:rFonts w:ascii="Book Antiqua" w:hAnsi="Book Antiqua"/>
          <w:sz w:val="22"/>
          <w:szCs w:val="22"/>
        </w:rPr>
        <w:tab/>
        <w:t xml:space="preserve">Recommandation Rec(2006)2-rev du Comité des Ministres aux européennes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t xml:space="preserve">États membres sur les Règles pénitentiaires européennes du 11 </w:t>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r>
      <w:r w:rsidRPr="00E7179B">
        <w:rPr>
          <w:rFonts w:ascii="Book Antiqua" w:hAnsi="Book Antiqua"/>
          <w:sz w:val="22"/>
          <w:szCs w:val="22"/>
        </w:rPr>
        <w:tab/>
        <w:t>janvier 2006.</w:t>
      </w:r>
    </w:p>
    <w:p w14:paraId="794471CF" w14:textId="77777777" w:rsidR="008D432A" w:rsidRPr="00E7179B" w:rsidRDefault="008D432A" w:rsidP="008D432A">
      <w:pPr>
        <w:pStyle w:val="EPRJ"/>
        <w:spacing w:line="276" w:lineRule="auto"/>
        <w:rPr>
          <w:rFonts w:ascii="Book Antiqua" w:hAnsi="Book Antiqua"/>
          <w:sz w:val="22"/>
          <w:szCs w:val="22"/>
        </w:rPr>
      </w:pPr>
    </w:p>
    <w:p w14:paraId="4C94A9D3" w14:textId="36EB0A79" w:rsidR="001B2860" w:rsidRDefault="001B2860" w:rsidP="000873FA">
      <w:pPr>
        <w:jc w:val="both"/>
        <w:rPr>
          <w:rFonts w:ascii="Book Antiqua" w:hAnsi="Book Antiqua"/>
          <w:lang w:val="fr-CH"/>
        </w:rPr>
      </w:pPr>
      <w:r w:rsidRPr="00E7179B">
        <w:rPr>
          <w:rFonts w:ascii="Book Antiqua" w:hAnsi="Book Antiqua"/>
          <w:lang w:val="fr-CH"/>
        </w:rPr>
        <w:t>T</w:t>
      </w:r>
      <w:r>
        <w:rPr>
          <w:rFonts w:ascii="Book Antiqua" w:hAnsi="Book Antiqua"/>
          <w:lang w:val="fr-CH"/>
        </w:rPr>
        <w:t>A</w:t>
      </w:r>
      <w:r w:rsidRPr="00E7179B">
        <w:rPr>
          <w:rFonts w:ascii="Book Antiqua" w:hAnsi="Book Antiqua"/>
          <w:lang w:val="fr-CH"/>
        </w:rPr>
        <w:t xml:space="preserve">F </w:t>
      </w:r>
      <w:r w:rsidRPr="00E7179B">
        <w:rPr>
          <w:rFonts w:ascii="Book Antiqua" w:hAnsi="Book Antiqua"/>
          <w:lang w:val="fr-CH"/>
        </w:rPr>
        <w:tab/>
      </w:r>
      <w:r w:rsidRPr="00E7179B">
        <w:rPr>
          <w:rFonts w:ascii="Book Antiqua" w:hAnsi="Book Antiqua"/>
          <w:lang w:val="fr-CH"/>
        </w:rPr>
        <w:tab/>
      </w:r>
      <w:r w:rsidRPr="00E7179B">
        <w:rPr>
          <w:rFonts w:ascii="Book Antiqua" w:hAnsi="Book Antiqua"/>
          <w:lang w:val="fr-CH"/>
        </w:rPr>
        <w:tab/>
      </w:r>
      <w:r w:rsidRPr="00E7179B">
        <w:rPr>
          <w:rFonts w:ascii="Book Antiqua" w:hAnsi="Book Antiqua"/>
          <w:lang w:val="fr-CH"/>
        </w:rPr>
        <w:tab/>
        <w:t xml:space="preserve">Tribunal </w:t>
      </w:r>
      <w:r>
        <w:rPr>
          <w:rFonts w:ascii="Book Antiqua" w:hAnsi="Book Antiqua"/>
          <w:lang w:val="fr-CH"/>
        </w:rPr>
        <w:t xml:space="preserve">administratif </w:t>
      </w:r>
      <w:r w:rsidRPr="00E7179B">
        <w:rPr>
          <w:rFonts w:ascii="Book Antiqua" w:hAnsi="Book Antiqua"/>
          <w:lang w:val="fr-CH"/>
        </w:rPr>
        <w:t>fédéral</w:t>
      </w:r>
      <w:r>
        <w:rPr>
          <w:rFonts w:ascii="Book Antiqua" w:hAnsi="Book Antiqua"/>
          <w:lang w:val="fr-CH"/>
        </w:rPr>
        <w:t>.</w:t>
      </w:r>
    </w:p>
    <w:p w14:paraId="0EA024E9" w14:textId="77777777" w:rsidR="001B2860" w:rsidRDefault="001B2860" w:rsidP="000873FA">
      <w:pPr>
        <w:jc w:val="both"/>
        <w:rPr>
          <w:rFonts w:ascii="Book Antiqua" w:hAnsi="Book Antiqua"/>
          <w:lang w:val="fr-CH"/>
        </w:rPr>
      </w:pPr>
    </w:p>
    <w:p w14:paraId="242FAD2B" w14:textId="03BEFB49" w:rsidR="00C378B9" w:rsidRPr="000873FA" w:rsidRDefault="008D432A" w:rsidP="000873FA">
      <w:pPr>
        <w:jc w:val="both"/>
        <w:rPr>
          <w:rFonts w:ascii="Book Antiqua" w:eastAsia="Book Antiqua" w:hAnsi="Book Antiqua" w:cs="Book Antiqua"/>
          <w:b/>
          <w:bCs/>
          <w:lang w:val="fr-CH"/>
        </w:rPr>
      </w:pPr>
      <w:r w:rsidRPr="00E7179B">
        <w:rPr>
          <w:rFonts w:ascii="Book Antiqua" w:hAnsi="Book Antiqua"/>
          <w:lang w:val="fr-CH"/>
        </w:rPr>
        <w:t xml:space="preserve">TF </w:t>
      </w:r>
      <w:r w:rsidRPr="00E7179B">
        <w:rPr>
          <w:rFonts w:ascii="Book Antiqua" w:hAnsi="Book Antiqua"/>
          <w:lang w:val="fr-CH"/>
        </w:rPr>
        <w:tab/>
      </w:r>
      <w:r w:rsidRPr="00E7179B">
        <w:rPr>
          <w:rFonts w:ascii="Book Antiqua" w:hAnsi="Book Antiqua"/>
          <w:lang w:val="fr-CH"/>
        </w:rPr>
        <w:tab/>
      </w:r>
      <w:r w:rsidRPr="00E7179B">
        <w:rPr>
          <w:rFonts w:ascii="Book Antiqua" w:hAnsi="Book Antiqua"/>
          <w:lang w:val="fr-CH"/>
        </w:rPr>
        <w:tab/>
      </w:r>
      <w:r w:rsidRPr="00E7179B">
        <w:rPr>
          <w:rFonts w:ascii="Book Antiqua" w:hAnsi="Book Antiqua"/>
          <w:lang w:val="fr-CH"/>
        </w:rPr>
        <w:tab/>
        <w:t>Tribunal fédéral</w:t>
      </w:r>
      <w:r w:rsidR="001B2860">
        <w:rPr>
          <w:rFonts w:ascii="Book Antiqua" w:hAnsi="Book Antiqua"/>
          <w:lang w:val="fr-CH"/>
        </w:rPr>
        <w:t>.</w:t>
      </w:r>
      <w:r w:rsidRPr="004C49C4">
        <w:rPr>
          <w:rFonts w:ascii="Book Antiqua" w:eastAsia="Book Antiqua" w:hAnsi="Book Antiqua" w:cs="Book Antiqua"/>
          <w:b/>
          <w:bCs/>
          <w:lang w:val="fr-CH"/>
        </w:rPr>
        <w:br w:type="page"/>
      </w:r>
    </w:p>
    <w:p w14:paraId="02BD6138" w14:textId="6DA1D1AA" w:rsidR="004F1B5A" w:rsidRPr="007E4D57" w:rsidRDefault="005807D4">
      <w:pPr>
        <w:pStyle w:val="Titre2"/>
        <w:rPr>
          <w:rFonts w:ascii="Book Antiqua" w:eastAsia="Book Antiqua" w:hAnsi="Book Antiqua" w:cs="Book Antiqua"/>
          <w:b/>
          <w:bCs/>
        </w:rPr>
      </w:pPr>
      <w:bookmarkStart w:id="2" w:name="_Toc95769347"/>
      <w:r w:rsidRPr="007E4D57">
        <w:rPr>
          <w:rFonts w:ascii="Book Antiqua" w:eastAsia="Book Antiqua" w:hAnsi="Book Antiqua" w:cs="Book Antiqua"/>
          <w:b/>
          <w:bCs/>
        </w:rPr>
        <w:lastRenderedPageBreak/>
        <w:t xml:space="preserve">I. Les travaux de la </w:t>
      </w:r>
      <w:r w:rsidRPr="007E4D57">
        <w:rPr>
          <w:rFonts w:ascii="Book Antiqua" w:eastAsia="Book Antiqua" w:hAnsi="Book Antiqua" w:cs="Book Antiqua"/>
          <w:b/>
          <w:bCs/>
          <w:i/>
          <w:iCs/>
        </w:rPr>
        <w:t>Law Clinic</w:t>
      </w:r>
      <w:r w:rsidRPr="007E4D57">
        <w:rPr>
          <w:rFonts w:ascii="Book Antiqua" w:eastAsia="Book Antiqua" w:hAnsi="Book Antiqua" w:cs="Book Antiqua"/>
          <w:b/>
          <w:bCs/>
        </w:rPr>
        <w:t xml:space="preserve"> de l’Université de Genève</w:t>
      </w:r>
      <w:bookmarkEnd w:id="2"/>
    </w:p>
    <w:p w14:paraId="127CC931" w14:textId="583F17C5" w:rsidR="00155E67" w:rsidRDefault="00155E67" w:rsidP="00155E67">
      <w:pPr>
        <w:jc w:val="both"/>
      </w:pPr>
    </w:p>
    <w:p w14:paraId="785ED576" w14:textId="54666896" w:rsidR="00227F37" w:rsidRDefault="00227F37" w:rsidP="00227F37">
      <w:pPr>
        <w:spacing w:after="120" w:line="300" w:lineRule="auto"/>
        <w:jc w:val="both"/>
        <w:rPr>
          <w:rFonts w:ascii="Book Antiqua" w:hAnsi="Book Antiqua"/>
        </w:rPr>
      </w:pPr>
      <w:r>
        <w:rPr>
          <w:rFonts w:ascii="Book Antiqua" w:hAnsi="Book Antiqua"/>
        </w:rPr>
        <w:t>Créée en 2013, l</w:t>
      </w:r>
      <w:r w:rsidRPr="00155E67">
        <w:rPr>
          <w:rFonts w:ascii="Book Antiqua" w:hAnsi="Book Antiqua"/>
        </w:rPr>
        <w:t xml:space="preserve">a </w:t>
      </w:r>
      <w:r w:rsidRPr="00DB59A0">
        <w:rPr>
          <w:rFonts w:ascii="Book Antiqua" w:hAnsi="Book Antiqua"/>
          <w:i/>
          <w:iCs/>
        </w:rPr>
        <w:t>Law Clinic sur les droits des personnes vulnérables de l’Université de Genève</w:t>
      </w:r>
      <w:r>
        <w:rPr>
          <w:rFonts w:ascii="Book Antiqua" w:hAnsi="Book Antiqua"/>
        </w:rPr>
        <w:t xml:space="preserve"> (</w:t>
      </w:r>
      <w:r w:rsidRPr="00DB59A0">
        <w:rPr>
          <w:rFonts w:ascii="Book Antiqua" w:hAnsi="Book Antiqua"/>
          <w:i/>
          <w:iCs/>
        </w:rPr>
        <w:t>Law Clinic</w:t>
      </w:r>
      <w:r>
        <w:rPr>
          <w:rFonts w:ascii="Book Antiqua" w:hAnsi="Book Antiqua"/>
        </w:rPr>
        <w:t xml:space="preserve">) suit chaque année 15-18 étudiant-e-s pour leur travail de maîtrise ou des stages académiques. L’enseignement poursuit un double objectif : une formation professionnalisante et la poursuite de buts de justice sociale, notamment en informant </w:t>
      </w:r>
      <w:r w:rsidR="006260B3">
        <w:rPr>
          <w:rFonts w:ascii="Book Antiqua" w:hAnsi="Book Antiqua"/>
        </w:rPr>
        <w:t xml:space="preserve">des </w:t>
      </w:r>
      <w:r>
        <w:rPr>
          <w:rFonts w:ascii="Book Antiqua" w:hAnsi="Book Antiqua"/>
        </w:rPr>
        <w:t>groupes minorisés de la population de leurs droits et en améliorant la connaissance et l’accessibilité des droits humains. Elle vise à contribuer à la réalisation pleine et effective des droits humains de toutes les personnes.</w:t>
      </w:r>
    </w:p>
    <w:p w14:paraId="69300B6C" w14:textId="77777777" w:rsidR="00227F37" w:rsidRDefault="00227F37" w:rsidP="00227F37">
      <w:pPr>
        <w:spacing w:after="120" w:line="300" w:lineRule="auto"/>
        <w:jc w:val="both"/>
        <w:rPr>
          <w:rFonts w:ascii="Book Antiqua" w:hAnsi="Book Antiqua"/>
        </w:rPr>
      </w:pPr>
      <w:r>
        <w:rPr>
          <w:rFonts w:ascii="Book Antiqua" w:hAnsi="Book Antiqua"/>
        </w:rPr>
        <w:t>La</w:t>
      </w:r>
      <w:r w:rsidRPr="005501CD">
        <w:rPr>
          <w:rFonts w:ascii="Book Antiqua" w:hAnsi="Book Antiqua"/>
        </w:rPr>
        <w:t xml:space="preserve"> </w:t>
      </w:r>
      <w:r w:rsidRPr="00DB59A0">
        <w:rPr>
          <w:rFonts w:ascii="Book Antiqua" w:hAnsi="Book Antiqua"/>
          <w:i/>
          <w:iCs/>
        </w:rPr>
        <w:t>Law Clinic</w:t>
      </w:r>
      <w:r w:rsidRPr="005501CD">
        <w:rPr>
          <w:rFonts w:ascii="Book Antiqua" w:hAnsi="Book Antiqua"/>
        </w:rPr>
        <w:t xml:space="preserve"> a travaillé sur six thématiques : les droits des personnes « rom » en situation précaire ; les droits des femmes sans statut légal ; les droits des personnes en détention provisoire à Champ-Dollon ; les droits des personnes LGBT</w:t>
      </w:r>
      <w:r>
        <w:rPr>
          <w:rFonts w:ascii="Book Antiqua" w:hAnsi="Book Antiqua"/>
        </w:rPr>
        <w:t>I</w:t>
      </w:r>
      <w:r w:rsidRPr="005501CD">
        <w:rPr>
          <w:rFonts w:ascii="Book Antiqua" w:hAnsi="Book Antiqua"/>
        </w:rPr>
        <w:t> ; les droits des jeunes personnes migrantes non accompagnées et les droits des personnes en situation de handicap</w:t>
      </w:r>
      <w:r>
        <w:rPr>
          <w:rStyle w:val="Appelnotedebasdep"/>
          <w:rFonts w:ascii="Book Antiqua" w:hAnsi="Book Antiqua"/>
        </w:rPr>
        <w:footnoteReference w:id="14"/>
      </w:r>
      <w:r>
        <w:rPr>
          <w:rFonts w:ascii="Book Antiqua" w:hAnsi="Book Antiqua"/>
        </w:rPr>
        <w:t>. T</w:t>
      </w:r>
      <w:r w:rsidRPr="00301871">
        <w:rPr>
          <w:rFonts w:ascii="Book Antiqua" w:hAnsi="Book Antiqua"/>
        </w:rPr>
        <w:t xml:space="preserve">rois critères principaux </w:t>
      </w:r>
      <w:r>
        <w:rPr>
          <w:rFonts w:ascii="Book Antiqua" w:hAnsi="Book Antiqua"/>
        </w:rPr>
        <w:t>guident le choix des</w:t>
      </w:r>
      <w:r w:rsidRPr="00301871">
        <w:rPr>
          <w:rFonts w:ascii="Book Antiqua" w:hAnsi="Book Antiqua"/>
        </w:rPr>
        <w:t xml:space="preserve"> thématiques</w:t>
      </w:r>
      <w:r w:rsidRPr="00301871">
        <w:rPr>
          <w:rStyle w:val="Appelnotedebasdep"/>
          <w:rFonts w:ascii="Book Antiqua" w:hAnsi="Book Antiqua"/>
        </w:rPr>
        <w:footnoteReference w:id="15"/>
      </w:r>
      <w:r w:rsidRPr="00301871">
        <w:rPr>
          <w:rFonts w:ascii="Book Antiqua" w:hAnsi="Book Antiqua"/>
        </w:rPr>
        <w:t>. Premièrement, il doit s’agir d’un groupe de la population dont les droits ne sont pas toujours respectés, protégés ou mis en œuvre au niveau local. Deuxièmement, la situation du groupe en question appelle des clarifications juridiques. Troisièmement, le travail doit répondre à un besoin exprimé par les personnes concernées et les personnes travaillant dans ce domaine</w:t>
      </w:r>
      <w:r>
        <w:rPr>
          <w:rFonts w:ascii="Book Antiqua" w:hAnsi="Book Antiqua"/>
        </w:rPr>
        <w:t>.</w:t>
      </w:r>
    </w:p>
    <w:p w14:paraId="73331C4D" w14:textId="77777777" w:rsidR="00227F37" w:rsidRDefault="00227F37" w:rsidP="00227F37">
      <w:pPr>
        <w:spacing w:after="120" w:line="300" w:lineRule="auto"/>
        <w:jc w:val="both"/>
        <w:rPr>
          <w:rFonts w:ascii="Book Antiqua" w:hAnsi="Book Antiqua"/>
        </w:rPr>
      </w:pPr>
      <w:r>
        <w:rPr>
          <w:rFonts w:ascii="Book Antiqua" w:hAnsi="Book Antiqua"/>
        </w:rPr>
        <w:t>La vulgarisation du droit, qui constitue le cœur des activités de la clinique, se fait notamment par le biais de guides d’informations juridiques, vignettes, cartes postales, affiches, fiches thématiques, conférences, séances d’information et formations continues</w:t>
      </w:r>
      <w:r>
        <w:rPr>
          <w:rStyle w:val="Appelnotedebasdep"/>
          <w:rFonts w:ascii="Book Antiqua" w:hAnsi="Book Antiqua"/>
        </w:rPr>
        <w:footnoteReference w:id="16"/>
      </w:r>
      <w:r>
        <w:rPr>
          <w:rFonts w:ascii="Book Antiqua" w:hAnsi="Book Antiqua"/>
        </w:rPr>
        <w:t xml:space="preserve">. Ces produits sont issus des travaux de recherche des étudiant-e-s de la </w:t>
      </w:r>
      <w:r w:rsidRPr="00DB59A0">
        <w:rPr>
          <w:rFonts w:ascii="Book Antiqua" w:hAnsi="Book Antiqua"/>
          <w:i/>
          <w:iCs/>
        </w:rPr>
        <w:t>Law Clinic</w:t>
      </w:r>
      <w:r>
        <w:rPr>
          <w:rFonts w:ascii="Book Antiqua" w:hAnsi="Book Antiqua"/>
        </w:rPr>
        <w:t>, qui sont relus par des spécialistes et praticien-ne-s du domaine concerné.</w:t>
      </w:r>
    </w:p>
    <w:p w14:paraId="0AD1AFA9" w14:textId="77777777" w:rsidR="00227F37" w:rsidRPr="001873A2" w:rsidRDefault="00227F37" w:rsidP="00227F37">
      <w:pPr>
        <w:spacing w:after="120" w:line="300" w:lineRule="auto"/>
        <w:jc w:val="both"/>
        <w:rPr>
          <w:rFonts w:ascii="Book Antiqua" w:eastAsia="Book Antiqua" w:hAnsi="Book Antiqua" w:cs="Book Antiqua"/>
        </w:rPr>
      </w:pPr>
      <w:r>
        <w:rPr>
          <w:rFonts w:ascii="Book Antiqua" w:eastAsia="Book Antiqua" w:hAnsi="Book Antiqua" w:cs="Book Antiqua"/>
        </w:rPr>
        <w:t xml:space="preserve">Depuis septembre 2020, des étudiant-e-s de la </w:t>
      </w:r>
      <w:r w:rsidRPr="00DB59A0">
        <w:rPr>
          <w:rFonts w:ascii="Book Antiqua" w:eastAsia="Book Antiqua" w:hAnsi="Book Antiqua" w:cs="Book Antiqua"/>
          <w:i/>
          <w:iCs/>
        </w:rPr>
        <w:t>Law Clinic</w:t>
      </w:r>
      <w:r>
        <w:rPr>
          <w:rFonts w:ascii="Book Antiqua" w:eastAsia="Book Antiqua" w:hAnsi="Book Antiqua" w:cs="Book Antiqua"/>
        </w:rPr>
        <w:t xml:space="preserve"> ont abordé diverses thématiques en lien avec les droits des personnes en situation de handicap. Parmi les résultats envisagés sont la création de brochures d’information juridique et de formulaires et demandes-types (p.ex. pour des aménagements raisonnables dans le cadre de l’école ou du travail), des séances d’information et la réalisation d’une série d’articles de vulgarisation scientifique en collaboration avec la plate-forme </w:t>
      </w:r>
      <w:r w:rsidRPr="003800C9">
        <w:rPr>
          <w:rFonts w:ascii="Book Antiqua" w:eastAsia="Book Antiqua" w:hAnsi="Book Antiqua" w:cs="Book Antiqua"/>
          <w:i/>
          <w:iCs/>
        </w:rPr>
        <w:t>humanrights.ch</w:t>
      </w:r>
      <w:r w:rsidRPr="001873A2">
        <w:rPr>
          <w:rFonts w:ascii="Book Antiqua" w:eastAsia="Book Antiqua" w:hAnsi="Book Antiqua" w:cs="Book Antiqua"/>
        </w:rPr>
        <w:t xml:space="preserve">. </w:t>
      </w:r>
    </w:p>
    <w:p w14:paraId="79BBFBFD" w14:textId="51EDEFDD" w:rsidR="004F1B5A" w:rsidRPr="00C378B9" w:rsidRDefault="00227F37" w:rsidP="00C378B9">
      <w:pPr>
        <w:spacing w:after="120" w:line="300" w:lineRule="auto"/>
        <w:jc w:val="both"/>
        <w:rPr>
          <w:rFonts w:ascii="Book Antiqua" w:eastAsia="Book Antiqua" w:hAnsi="Book Antiqua" w:cs="Book Antiqua"/>
        </w:rPr>
      </w:pPr>
      <w:r w:rsidRPr="001873A2">
        <w:rPr>
          <w:rFonts w:ascii="Book Antiqua" w:eastAsia="Book Antiqua" w:hAnsi="Book Antiqua" w:cs="Book Antiqua"/>
        </w:rPr>
        <w:t>Le présent rapport présente un</w:t>
      </w:r>
      <w:r w:rsidRPr="007E4D57">
        <w:rPr>
          <w:rFonts w:ascii="Book Antiqua" w:eastAsia="Book Antiqua" w:hAnsi="Book Antiqua" w:cs="Book Antiqua"/>
        </w:rPr>
        <w:t xml:space="preserve"> certain nombre d’éléments issus des travaux des étudiant-e-s de la volée 2021-2022. Les éléments soulevés ne sont pas représentatifs de l’ensemble des questions qui se posent dans ce domaine</w:t>
      </w:r>
      <w:r>
        <w:rPr>
          <w:rFonts w:ascii="Book Antiqua" w:eastAsia="Book Antiqua" w:hAnsi="Book Antiqua" w:cs="Book Antiqua"/>
        </w:rPr>
        <w:t> ; i</w:t>
      </w:r>
      <w:r w:rsidRPr="007E4D57">
        <w:rPr>
          <w:rFonts w:ascii="Book Antiqua" w:eastAsia="Book Antiqua" w:hAnsi="Book Antiqua" w:cs="Book Antiqua"/>
        </w:rPr>
        <w:t xml:space="preserve">l s’agit d’aspects choisis </w:t>
      </w:r>
      <w:r>
        <w:rPr>
          <w:rFonts w:ascii="Book Antiqua" w:eastAsia="Book Antiqua" w:hAnsi="Book Antiqua" w:cs="Book Antiqua"/>
        </w:rPr>
        <w:t xml:space="preserve">dont </w:t>
      </w:r>
      <w:r w:rsidRPr="007E4D57">
        <w:rPr>
          <w:rFonts w:ascii="Book Antiqua" w:eastAsia="Book Antiqua" w:hAnsi="Book Antiqua" w:cs="Book Antiqua"/>
        </w:rPr>
        <w:t>nous estimons qu’ils doivent être portés à la connaissance du CRPD.</w:t>
      </w:r>
      <w:r>
        <w:rPr>
          <w:rFonts w:ascii="Book Antiqua" w:eastAsia="Book Antiqua" w:hAnsi="Book Antiqua" w:cs="Book Antiqua"/>
        </w:rPr>
        <w:t xml:space="preserve"> Nous</w:t>
      </w:r>
      <w:r w:rsidRPr="007E4D57">
        <w:rPr>
          <w:rFonts w:ascii="Book Antiqua" w:eastAsia="Book Antiqua" w:hAnsi="Book Antiqua" w:cs="Book Antiqua"/>
        </w:rPr>
        <w:t xml:space="preserve"> présenterons plusieurs thématiques (II) avant de faire des recommandations précises (III).</w:t>
      </w:r>
    </w:p>
    <w:p w14:paraId="4CF5EB27" w14:textId="363F2B15" w:rsidR="00157A64" w:rsidRPr="007E4D57" w:rsidRDefault="005807D4" w:rsidP="00157A64">
      <w:pPr>
        <w:pStyle w:val="Titre2"/>
        <w:rPr>
          <w:rFonts w:ascii="Book Antiqua" w:eastAsia="Book Antiqua" w:hAnsi="Book Antiqua" w:cs="Book Antiqua"/>
          <w:b/>
          <w:bCs/>
        </w:rPr>
      </w:pPr>
      <w:bookmarkStart w:id="3" w:name="_Toc95769348"/>
      <w:r w:rsidRPr="007E4D57">
        <w:rPr>
          <w:rFonts w:ascii="Book Antiqua" w:eastAsia="Book Antiqua" w:hAnsi="Book Antiqua" w:cs="Book Antiqua"/>
          <w:b/>
          <w:bCs/>
        </w:rPr>
        <w:lastRenderedPageBreak/>
        <w:t>II. Points soulevés</w:t>
      </w:r>
      <w:bookmarkEnd w:id="3"/>
    </w:p>
    <w:p w14:paraId="3C95AC0B" w14:textId="77777777" w:rsidR="00C345F7" w:rsidRPr="00C345F7" w:rsidRDefault="00C345F7" w:rsidP="00C345F7"/>
    <w:p w14:paraId="114B1E59" w14:textId="0320E3B5" w:rsidR="00157A64" w:rsidRPr="00C345F7" w:rsidRDefault="00E7179B" w:rsidP="00157A64">
      <w:pPr>
        <w:pStyle w:val="Titre3"/>
        <w:numPr>
          <w:ilvl w:val="1"/>
          <w:numId w:val="1"/>
        </w:numPr>
        <w:rPr>
          <w:b/>
          <w:bCs/>
        </w:rPr>
      </w:pPr>
      <w:bookmarkStart w:id="4" w:name="_Toc95769349"/>
      <w:r>
        <w:rPr>
          <w:b/>
          <w:bCs/>
        </w:rPr>
        <w:t>Recours aux</w:t>
      </w:r>
      <w:r w:rsidR="00157A64" w:rsidRPr="00C345F7">
        <w:rPr>
          <w:b/>
          <w:bCs/>
        </w:rPr>
        <w:t xml:space="preserve"> moyens de contrainte dans </w:t>
      </w:r>
      <w:r w:rsidR="00C345F7">
        <w:rPr>
          <w:b/>
          <w:bCs/>
        </w:rPr>
        <w:t>l</w:t>
      </w:r>
      <w:r w:rsidR="00157A64" w:rsidRPr="00C345F7">
        <w:rPr>
          <w:b/>
          <w:bCs/>
        </w:rPr>
        <w:t>es établissements pénitentiaires (art</w:t>
      </w:r>
      <w:r w:rsidR="00981D55" w:rsidRPr="00C345F7">
        <w:rPr>
          <w:b/>
          <w:bCs/>
        </w:rPr>
        <w:t>icles</w:t>
      </w:r>
      <w:r w:rsidR="00157A64" w:rsidRPr="00C345F7">
        <w:rPr>
          <w:b/>
          <w:bCs/>
        </w:rPr>
        <w:t xml:space="preserve"> 12, 14, 15, 16, 17 et 25 CDPH)</w:t>
      </w:r>
      <w:bookmarkEnd w:id="4"/>
    </w:p>
    <w:p w14:paraId="09D7F462" w14:textId="77777777" w:rsidR="00157A64" w:rsidRPr="0046550B" w:rsidRDefault="00157A64" w:rsidP="00157A64">
      <w:pPr>
        <w:jc w:val="both"/>
        <w:rPr>
          <w:rFonts w:ascii="Book Antiqua" w:hAnsi="Book Antiqua"/>
          <w:lang w:val="fr-CH"/>
        </w:rPr>
      </w:pPr>
    </w:p>
    <w:p w14:paraId="3CC701FC" w14:textId="48330873" w:rsidR="00157A64" w:rsidRDefault="00157A64" w:rsidP="00157A64">
      <w:pPr>
        <w:jc w:val="both"/>
        <w:rPr>
          <w:rFonts w:ascii="Book Antiqua" w:hAnsi="Book Antiqua"/>
          <w:lang w:val="fr-CH"/>
        </w:rPr>
      </w:pPr>
      <w:r w:rsidRPr="0046550B">
        <w:rPr>
          <w:rFonts w:ascii="Book Antiqua" w:hAnsi="Book Antiqua"/>
          <w:lang w:val="fr-CH"/>
        </w:rPr>
        <w:t xml:space="preserve">Le CRPD a jugé que l’usage des moyens de contrainte physique, mécanique, chimique </w:t>
      </w:r>
      <w:r>
        <w:rPr>
          <w:rFonts w:ascii="Book Antiqua" w:hAnsi="Book Antiqua"/>
          <w:lang w:val="fr-CH"/>
        </w:rPr>
        <w:t>et</w:t>
      </w:r>
      <w:r w:rsidRPr="0046550B">
        <w:rPr>
          <w:rFonts w:ascii="Book Antiqua" w:hAnsi="Book Antiqua"/>
          <w:lang w:val="fr-CH"/>
        </w:rPr>
        <w:t xml:space="preserve"> spatiale est contraire à l’interdiction de la torture et des peines ou traitements cruels, inhumains ou dégradants (art. 15 </w:t>
      </w:r>
      <w:r>
        <w:rPr>
          <w:rFonts w:ascii="Book Antiqua" w:hAnsi="Book Antiqua"/>
          <w:lang w:val="fr-CH"/>
        </w:rPr>
        <w:t xml:space="preserve">al. 1 </w:t>
      </w:r>
      <w:r w:rsidRPr="0046550B">
        <w:rPr>
          <w:rFonts w:ascii="Book Antiqua" w:hAnsi="Book Antiqua"/>
          <w:lang w:val="fr-CH"/>
        </w:rPr>
        <w:t>CDPH)</w:t>
      </w:r>
      <w:r w:rsidRPr="0046550B">
        <w:rPr>
          <w:rStyle w:val="Appelnotedebasdep"/>
          <w:rFonts w:ascii="Book Antiqua" w:hAnsi="Book Antiqua"/>
          <w:lang w:val="fr-CH"/>
        </w:rPr>
        <w:footnoteReference w:id="17"/>
      </w:r>
      <w:r w:rsidRPr="0046550B">
        <w:rPr>
          <w:rFonts w:ascii="Book Antiqua" w:hAnsi="Book Antiqua"/>
          <w:lang w:val="fr-CH"/>
        </w:rPr>
        <w:t>. A ce titre, le CRPD a prié les Etats parties de mettre fin à ces pratiques à l’égard des personnes détenues en situation de handicap</w:t>
      </w:r>
      <w:r w:rsidRPr="0046550B">
        <w:rPr>
          <w:rStyle w:val="Appelnotedebasdep"/>
          <w:rFonts w:ascii="Book Antiqua" w:hAnsi="Book Antiqua"/>
          <w:lang w:val="fr-CH"/>
        </w:rPr>
        <w:footnoteReference w:id="18"/>
      </w:r>
      <w:r w:rsidRPr="0046550B">
        <w:rPr>
          <w:rFonts w:ascii="Book Antiqua" w:hAnsi="Book Antiqua"/>
          <w:lang w:val="fr-CH"/>
        </w:rPr>
        <w:t xml:space="preserve">. </w:t>
      </w:r>
      <w:r>
        <w:rPr>
          <w:rFonts w:ascii="Book Antiqua" w:hAnsi="Book Antiqua"/>
          <w:lang w:val="fr-CH"/>
        </w:rPr>
        <w:t>Afin de garantir la protection découlant de l’art. 15 al. 1 CDPH, les Etats parties doivent prendre des</w:t>
      </w:r>
      <w:r w:rsidRPr="0046550B">
        <w:rPr>
          <w:rFonts w:ascii="Book Antiqua" w:hAnsi="Book Antiqua"/>
          <w:lang w:val="fr-CH"/>
        </w:rPr>
        <w:t xml:space="preserve"> mesures législatives, administratives</w:t>
      </w:r>
      <w:r>
        <w:rPr>
          <w:rFonts w:ascii="Book Antiqua" w:hAnsi="Book Antiqua"/>
          <w:lang w:val="fr-CH"/>
        </w:rPr>
        <w:t xml:space="preserve"> et </w:t>
      </w:r>
      <w:r w:rsidRPr="0046550B">
        <w:rPr>
          <w:rFonts w:ascii="Book Antiqua" w:hAnsi="Book Antiqua"/>
          <w:lang w:val="fr-CH"/>
        </w:rPr>
        <w:t xml:space="preserve">judiciaires </w:t>
      </w:r>
      <w:r>
        <w:rPr>
          <w:rFonts w:ascii="Book Antiqua" w:hAnsi="Book Antiqua"/>
          <w:lang w:val="fr-CH"/>
        </w:rPr>
        <w:t xml:space="preserve">(art. 15 al. 2 CDPH). </w:t>
      </w:r>
    </w:p>
    <w:p w14:paraId="39A3E4BB" w14:textId="77777777" w:rsidR="00157A64" w:rsidRDefault="00157A64" w:rsidP="00157A64">
      <w:pPr>
        <w:jc w:val="both"/>
        <w:rPr>
          <w:rFonts w:ascii="Book Antiqua" w:hAnsi="Book Antiqua"/>
          <w:lang w:val="fr-CH"/>
        </w:rPr>
      </w:pPr>
    </w:p>
    <w:p w14:paraId="5F8ABF03" w14:textId="49231D9B" w:rsidR="00157A64" w:rsidRDefault="00157A64" w:rsidP="00157A64">
      <w:pPr>
        <w:jc w:val="both"/>
        <w:rPr>
          <w:rFonts w:ascii="Book Antiqua" w:hAnsi="Book Antiqua"/>
          <w:color w:val="000000" w:themeColor="text1"/>
          <w:lang w:val="fr-CH"/>
        </w:rPr>
      </w:pPr>
      <w:r>
        <w:rPr>
          <w:rFonts w:ascii="Book Antiqua" w:hAnsi="Book Antiqua"/>
          <w:lang w:val="fr-CH"/>
        </w:rPr>
        <w:t xml:space="preserve">En Suisse, outre la protection générale de la dignité humaine (art. 7 </w:t>
      </w:r>
      <w:r w:rsidRPr="0046550B">
        <w:rPr>
          <w:rFonts w:ascii="Book Antiqua" w:hAnsi="Book Antiqua"/>
          <w:lang w:val="fr-CH"/>
        </w:rPr>
        <w:t xml:space="preserve">Cst. </w:t>
      </w:r>
      <w:r w:rsidRPr="0046550B">
        <w:rPr>
          <w:rFonts w:ascii="Book Antiqua" w:eastAsia="Book Antiqua" w:hAnsi="Book Antiqua" w:cs="Book Antiqua"/>
          <w:highlight w:val="white"/>
        </w:rPr>
        <w:t>féd.</w:t>
      </w:r>
      <w:r>
        <w:rPr>
          <w:rFonts w:ascii="Book Antiqua" w:eastAsia="Book Antiqua" w:hAnsi="Book Antiqua" w:cs="Book Antiqua"/>
        </w:rPr>
        <w:t xml:space="preserve">) et l’interdiction de la torture et des </w:t>
      </w:r>
      <w:r w:rsidRPr="0046550B">
        <w:rPr>
          <w:rFonts w:ascii="Book Antiqua" w:hAnsi="Book Antiqua"/>
          <w:lang w:val="fr-CH"/>
        </w:rPr>
        <w:t xml:space="preserve">peines ou traitements </w:t>
      </w:r>
      <w:r>
        <w:rPr>
          <w:rFonts w:ascii="Book Antiqua" w:eastAsia="Book Antiqua" w:hAnsi="Book Antiqua" w:cs="Book Antiqua"/>
        </w:rPr>
        <w:t>cruels, inhumains ou dégradants (art. 10 al. 3</w:t>
      </w:r>
      <w:r w:rsidRPr="001C08FD">
        <w:rPr>
          <w:rFonts w:ascii="Book Antiqua" w:hAnsi="Book Antiqua"/>
          <w:lang w:val="fr-CH"/>
        </w:rPr>
        <w:t xml:space="preserve"> </w:t>
      </w:r>
      <w:r w:rsidRPr="0046550B">
        <w:rPr>
          <w:rFonts w:ascii="Book Antiqua" w:hAnsi="Book Antiqua"/>
          <w:lang w:val="fr-CH"/>
        </w:rPr>
        <w:t xml:space="preserve">Cst. </w:t>
      </w:r>
      <w:r w:rsidRPr="0046550B">
        <w:rPr>
          <w:rFonts w:ascii="Book Antiqua" w:eastAsia="Book Antiqua" w:hAnsi="Book Antiqua" w:cs="Book Antiqua"/>
          <w:highlight w:val="white"/>
        </w:rPr>
        <w:t>féd.</w:t>
      </w:r>
      <w:r>
        <w:rPr>
          <w:rFonts w:ascii="Book Antiqua" w:eastAsia="Book Antiqua" w:hAnsi="Book Antiqua" w:cs="Book Antiqua"/>
        </w:rPr>
        <w:t xml:space="preserve">), l’interdiction de l’usage des moyens de contrainte contre les personnes </w:t>
      </w:r>
      <w:r w:rsidRPr="0046550B">
        <w:rPr>
          <w:rFonts w:ascii="Book Antiqua" w:hAnsi="Book Antiqua"/>
          <w:lang w:val="fr-CH"/>
        </w:rPr>
        <w:t>détenues</w:t>
      </w:r>
      <w:r>
        <w:rPr>
          <w:rFonts w:ascii="Book Antiqua" w:eastAsia="Book Antiqua" w:hAnsi="Book Antiqua" w:cs="Book Antiqua"/>
        </w:rPr>
        <w:t xml:space="preserve"> (y compris en situation de handicap) ne fait pas l’objet d’une consécration spécifique au niveau fédéral. Tel est également le cas concernant les conditions d’application des moyens de contrainte.</w:t>
      </w:r>
      <w:r>
        <w:rPr>
          <w:rFonts w:ascii="Book Antiqua" w:hAnsi="Book Antiqua"/>
          <w:lang w:val="fr-CH"/>
        </w:rPr>
        <w:t xml:space="preserve"> Par ailleurs</w:t>
      </w:r>
      <w:r w:rsidRPr="0046550B">
        <w:rPr>
          <w:rFonts w:ascii="Book Antiqua" w:hAnsi="Book Antiqua"/>
          <w:lang w:val="fr-CH"/>
        </w:rPr>
        <w:t xml:space="preserve">, l’art. 123 al. 2 Cst. </w:t>
      </w:r>
      <w:r w:rsidRPr="0046550B">
        <w:rPr>
          <w:rFonts w:ascii="Book Antiqua" w:eastAsia="Book Antiqua" w:hAnsi="Book Antiqua" w:cs="Book Antiqua"/>
          <w:highlight w:val="white"/>
        </w:rPr>
        <w:t>féd.</w:t>
      </w:r>
      <w:r w:rsidRPr="0046550B">
        <w:rPr>
          <w:rFonts w:ascii="Book Antiqua" w:hAnsi="Book Antiqua"/>
          <w:lang w:val="fr-CH"/>
        </w:rPr>
        <w:t xml:space="preserve"> prévoit que </w:t>
      </w:r>
      <w:r>
        <w:rPr>
          <w:rFonts w:ascii="Book Antiqua" w:hAnsi="Book Antiqua"/>
          <w:lang w:val="fr-CH"/>
        </w:rPr>
        <w:t>l</w:t>
      </w:r>
      <w:r w:rsidRPr="0046550B">
        <w:rPr>
          <w:rFonts w:ascii="Book Antiqua" w:hAnsi="Book Antiqua"/>
          <w:lang w:val="fr-CH"/>
        </w:rPr>
        <w:t>es</w:t>
      </w:r>
      <w:r>
        <w:rPr>
          <w:rFonts w:ascii="Book Antiqua" w:hAnsi="Book Antiqua"/>
          <w:lang w:val="fr-CH"/>
        </w:rPr>
        <w:t xml:space="preserve"> </w:t>
      </w:r>
      <w:r w:rsidRPr="0046550B">
        <w:rPr>
          <w:rFonts w:ascii="Book Antiqua" w:hAnsi="Book Antiqua"/>
          <w:lang w:val="fr-CH"/>
        </w:rPr>
        <w:t>cantons</w:t>
      </w:r>
      <w:r>
        <w:rPr>
          <w:rFonts w:ascii="Book Antiqua" w:hAnsi="Book Antiqua"/>
          <w:lang w:val="fr-CH"/>
        </w:rPr>
        <w:t xml:space="preserve"> suisses</w:t>
      </w:r>
      <w:r w:rsidRPr="0046550B">
        <w:rPr>
          <w:rFonts w:ascii="Book Antiqua" w:hAnsi="Book Antiqua"/>
          <w:lang w:val="fr-CH"/>
        </w:rPr>
        <w:t xml:space="preserve"> disposent d’une compétence concurrente pour légiférer</w:t>
      </w:r>
      <w:r>
        <w:rPr>
          <w:rFonts w:ascii="Book Antiqua" w:hAnsi="Book Antiqua"/>
          <w:lang w:val="fr-CH"/>
        </w:rPr>
        <w:t xml:space="preserve"> sur « </w:t>
      </w:r>
      <w:r w:rsidRPr="0046550B">
        <w:rPr>
          <w:rFonts w:ascii="Book Antiqua" w:hAnsi="Book Antiqua"/>
          <w:lang w:val="fr-CH"/>
        </w:rPr>
        <w:t>l’exécution des peines et des mesures en matière de droit pénal</w:t>
      </w:r>
      <w:r>
        <w:rPr>
          <w:rFonts w:ascii="Book Antiqua" w:hAnsi="Book Antiqua"/>
          <w:lang w:val="fr-CH"/>
        </w:rPr>
        <w:t> »</w:t>
      </w:r>
      <w:r w:rsidRPr="0046550B">
        <w:rPr>
          <w:rFonts w:ascii="Book Antiqua" w:hAnsi="Book Antiqua"/>
          <w:lang w:val="fr-CH"/>
        </w:rPr>
        <w:t xml:space="preserve"> </w:t>
      </w:r>
      <w:r>
        <w:rPr>
          <w:rFonts w:ascii="Book Antiqua" w:hAnsi="Book Antiqua"/>
          <w:lang w:val="fr-CH"/>
        </w:rPr>
        <w:t>et donc sur l</w:t>
      </w:r>
      <w:r w:rsidRPr="0046550B">
        <w:rPr>
          <w:rFonts w:ascii="Book Antiqua" w:hAnsi="Book Antiqua"/>
          <w:lang w:val="fr-CH"/>
        </w:rPr>
        <w:t xml:space="preserve">’usage des moyens de contrainte. </w:t>
      </w:r>
      <w:r>
        <w:rPr>
          <w:rFonts w:ascii="Book Antiqua" w:hAnsi="Book Antiqua"/>
          <w:lang w:val="fr-CH"/>
        </w:rPr>
        <w:t>Ils sont tenus d’adopter des lois prévoyant la réglementation et les conditions de mise en œuvre des différents moyens de contrainte dans les établissements pénitentiaires</w:t>
      </w:r>
      <w:r>
        <w:rPr>
          <w:rStyle w:val="Appelnotedebasdep"/>
          <w:rFonts w:ascii="Book Antiqua" w:hAnsi="Book Antiqua"/>
          <w:lang w:val="fr-CH"/>
        </w:rPr>
        <w:footnoteReference w:id="19"/>
      </w:r>
      <w:r>
        <w:rPr>
          <w:rFonts w:ascii="Book Antiqua" w:hAnsi="Book Antiqua"/>
          <w:lang w:val="fr-CH"/>
        </w:rPr>
        <w:t>. Cependant, comme le note la doctrine « </w:t>
      </w:r>
      <w:r w:rsidRPr="00794D80">
        <w:rPr>
          <w:rFonts w:ascii="Book Antiqua" w:hAnsi="Book Antiqua"/>
          <w:lang w:val="fr-CH"/>
        </w:rPr>
        <w:t>[...]</w:t>
      </w:r>
      <w:r>
        <w:rPr>
          <w:rFonts w:ascii="Book Antiqua" w:hAnsi="Book Antiqua"/>
          <w:lang w:val="fr-CH"/>
        </w:rPr>
        <w:t xml:space="preserve"> les bases juridiques à ce sujet sont insuffisantes dans la plupart des cantons, ce qui est préoccupant de point de vue de l’Etat de </w:t>
      </w:r>
      <w:r w:rsidRPr="0045467D">
        <w:rPr>
          <w:rFonts w:ascii="Book Antiqua" w:hAnsi="Book Antiqua"/>
          <w:color w:val="000000" w:themeColor="text1"/>
          <w:lang w:val="fr-CH"/>
        </w:rPr>
        <w:t>droit »</w:t>
      </w:r>
      <w:r w:rsidRPr="0045467D">
        <w:rPr>
          <w:rStyle w:val="Appelnotedebasdep"/>
          <w:rFonts w:ascii="Book Antiqua" w:eastAsiaTheme="majorEastAsia" w:hAnsi="Book Antiqua"/>
          <w:color w:val="000000" w:themeColor="text1"/>
          <w:lang w:val="fr-CH"/>
        </w:rPr>
        <w:footnoteReference w:id="20"/>
      </w:r>
      <w:r w:rsidRPr="0045467D">
        <w:rPr>
          <w:rFonts w:ascii="Book Antiqua" w:hAnsi="Book Antiqua"/>
          <w:color w:val="000000" w:themeColor="text1"/>
          <w:lang w:val="fr-CH"/>
        </w:rPr>
        <w:t xml:space="preserve">. </w:t>
      </w:r>
    </w:p>
    <w:p w14:paraId="68CEB133" w14:textId="77777777" w:rsidR="00157A64" w:rsidRDefault="00157A64" w:rsidP="00157A64">
      <w:pPr>
        <w:jc w:val="both"/>
        <w:rPr>
          <w:rFonts w:ascii="Book Antiqua" w:hAnsi="Book Antiqua"/>
          <w:color w:val="000000" w:themeColor="text1"/>
          <w:lang w:val="fr-CH"/>
        </w:rPr>
      </w:pPr>
    </w:p>
    <w:p w14:paraId="5C70ECEF" w14:textId="77777777" w:rsidR="00157A64" w:rsidRDefault="00157A64" w:rsidP="00157A64">
      <w:pPr>
        <w:jc w:val="both"/>
        <w:rPr>
          <w:rFonts w:ascii="Book Antiqua" w:hAnsi="Book Antiqua"/>
          <w:color w:val="000000" w:themeColor="text1"/>
          <w:lang w:val="fr-CH"/>
        </w:rPr>
      </w:pPr>
      <w:r>
        <w:rPr>
          <w:rFonts w:ascii="Book Antiqua" w:hAnsi="Book Antiqua"/>
          <w:color w:val="000000" w:themeColor="text1"/>
          <w:lang w:val="fr-CH"/>
        </w:rPr>
        <w:t xml:space="preserve">En l’absence d’interdiction voire de réglementation appropriée en droit interne sur l’usage de la contrainte en milieu carcéral, les personnes en situation de handicap sont sujets à la contrainte physique, mécanique, </w:t>
      </w:r>
      <w:r w:rsidRPr="00757702">
        <w:rPr>
          <w:rFonts w:ascii="Book Antiqua" w:hAnsi="Book Antiqua"/>
          <w:color w:val="000000" w:themeColor="text1"/>
          <w:lang w:val="fr-CH"/>
        </w:rPr>
        <w:t xml:space="preserve">chimique et spatiale dans les établissements pénitentiaires suisses. Sans prétendre à l’exhaustivité, certains exemples tirés de la pratique seront analysés ci-dessous. </w:t>
      </w:r>
    </w:p>
    <w:p w14:paraId="02AEA4C4" w14:textId="35B3C857" w:rsidR="000534E2" w:rsidRDefault="000534E2" w:rsidP="00157A64">
      <w:pPr>
        <w:jc w:val="both"/>
        <w:rPr>
          <w:rFonts w:ascii="Book Antiqua" w:hAnsi="Book Antiqua"/>
          <w:color w:val="000000" w:themeColor="text1"/>
          <w:lang w:val="fr-CH"/>
        </w:rPr>
      </w:pPr>
    </w:p>
    <w:p w14:paraId="4D199363" w14:textId="69381860" w:rsidR="00325D83" w:rsidRDefault="00325D83" w:rsidP="00157A64">
      <w:pPr>
        <w:jc w:val="both"/>
        <w:rPr>
          <w:rFonts w:ascii="Book Antiqua" w:hAnsi="Book Antiqua"/>
          <w:color w:val="000000" w:themeColor="text1"/>
          <w:lang w:val="fr-CH"/>
        </w:rPr>
      </w:pPr>
    </w:p>
    <w:p w14:paraId="280C0BCB" w14:textId="712D3A51" w:rsidR="00325D83" w:rsidRDefault="00325D83" w:rsidP="00157A64">
      <w:pPr>
        <w:jc w:val="both"/>
        <w:rPr>
          <w:rFonts w:ascii="Book Antiqua" w:hAnsi="Book Antiqua"/>
          <w:color w:val="000000" w:themeColor="text1"/>
          <w:lang w:val="fr-CH"/>
        </w:rPr>
      </w:pPr>
    </w:p>
    <w:p w14:paraId="6F2331E1" w14:textId="77777777" w:rsidR="00325D83" w:rsidRDefault="00325D83" w:rsidP="00157A64">
      <w:pPr>
        <w:jc w:val="both"/>
        <w:rPr>
          <w:rFonts w:ascii="Book Antiqua" w:eastAsia="Book Antiqua" w:hAnsi="Book Antiqua" w:cs="Book Antiqua"/>
          <w:highlight w:val="white"/>
          <w:u w:val="single"/>
        </w:rPr>
      </w:pPr>
    </w:p>
    <w:p w14:paraId="3CE3EEB2" w14:textId="1B255806" w:rsidR="00157A64" w:rsidRPr="00BB757E" w:rsidRDefault="00157A64" w:rsidP="00157A64">
      <w:pPr>
        <w:jc w:val="both"/>
        <w:rPr>
          <w:rFonts w:ascii="Book Antiqua" w:eastAsia="Book Antiqua" w:hAnsi="Book Antiqua" w:cs="Book Antiqua"/>
          <w:u w:val="single"/>
        </w:rPr>
      </w:pPr>
      <w:r>
        <w:rPr>
          <w:rFonts w:ascii="Book Antiqua" w:eastAsia="Book Antiqua" w:hAnsi="Book Antiqua" w:cs="Book Antiqua"/>
          <w:highlight w:val="white"/>
          <w:u w:val="single"/>
        </w:rPr>
        <w:lastRenderedPageBreak/>
        <w:t>Recours à la contrainte physique</w:t>
      </w:r>
    </w:p>
    <w:p w14:paraId="0F48FF5B" w14:textId="70A68E42" w:rsidR="00157A64" w:rsidRPr="002C1156" w:rsidRDefault="00157A64" w:rsidP="00157A64">
      <w:pPr>
        <w:jc w:val="both"/>
        <w:rPr>
          <w:rFonts w:ascii="Times New Roman" w:hAnsi="Times New Roman" w:cs="Times New Roman"/>
          <w:sz w:val="24"/>
          <w:szCs w:val="24"/>
          <w:lang w:val="fr-CH"/>
        </w:rPr>
      </w:pPr>
      <w:r w:rsidRPr="001E5561">
        <w:rPr>
          <w:rFonts w:ascii="Book Antiqua" w:hAnsi="Book Antiqua" w:cs="Times New Roman"/>
          <w:color w:val="212529"/>
          <w:shd w:val="clear" w:color="auto" w:fill="FFFFFF"/>
          <w:lang w:val="fr-CH"/>
        </w:rPr>
        <w:t xml:space="preserve">A Curabilis </w:t>
      </w:r>
      <w:r>
        <w:rPr>
          <w:rFonts w:ascii="Book Antiqua" w:hAnsi="Book Antiqua" w:cs="Times New Roman"/>
          <w:color w:val="212529"/>
          <w:shd w:val="clear" w:color="auto" w:fill="FFFFFF"/>
          <w:lang w:val="fr-CH"/>
        </w:rPr>
        <w:t>(Genève) et aux EPO (Vaud) – des établissements pénitentiaires dédiés totalement ou en partie à l’exécution des mesures pour les personnes souffrant de troubles mentaux</w:t>
      </w:r>
      <w:r>
        <w:rPr>
          <w:rStyle w:val="Appelnotedebasdep"/>
          <w:rFonts w:ascii="Book Antiqua" w:hAnsi="Book Antiqua" w:cs="Times New Roman"/>
          <w:color w:val="212529"/>
          <w:shd w:val="clear" w:color="auto" w:fill="FFFFFF"/>
          <w:lang w:val="fr-CH"/>
        </w:rPr>
        <w:footnoteReference w:id="21"/>
      </w:r>
      <w:r>
        <w:rPr>
          <w:rFonts w:ascii="Book Antiqua" w:hAnsi="Book Antiqua" w:cs="Times New Roman"/>
          <w:color w:val="212529"/>
          <w:shd w:val="clear" w:color="auto" w:fill="FFFFFF"/>
          <w:lang w:val="fr-CH"/>
        </w:rPr>
        <w:t xml:space="preserve"> – </w:t>
      </w:r>
      <w:r>
        <w:rPr>
          <w:rFonts w:ascii="Book Antiqua" w:hAnsi="Book Antiqua" w:cs="Times New Roman"/>
          <w:color w:val="212529"/>
          <w:shd w:val="clear" w:color="auto" w:fill="FFFFFF"/>
        </w:rPr>
        <w:t>l</w:t>
      </w:r>
      <w:r w:rsidRPr="001C08FD">
        <w:rPr>
          <w:rFonts w:ascii="Book Antiqua" w:hAnsi="Book Antiqua" w:cs="Times New Roman"/>
          <w:color w:val="212529"/>
          <w:shd w:val="clear" w:color="auto" w:fill="FFFFFF"/>
          <w:lang w:val="fr-CH"/>
        </w:rPr>
        <w:t xml:space="preserve">es modalités du </w:t>
      </w:r>
      <w:r w:rsidRPr="001E5561">
        <w:rPr>
          <w:rFonts w:ascii="Book Antiqua" w:hAnsi="Book Antiqua" w:cs="Times New Roman"/>
          <w:color w:val="212529"/>
          <w:shd w:val="clear" w:color="auto" w:fill="FFFFFF"/>
          <w:lang w:val="fr-CH"/>
        </w:rPr>
        <w:t xml:space="preserve">recours à la force par </w:t>
      </w:r>
      <w:r>
        <w:rPr>
          <w:rFonts w:ascii="Book Antiqua" w:hAnsi="Book Antiqua" w:cs="Times New Roman"/>
          <w:color w:val="212529"/>
          <w:shd w:val="clear" w:color="auto" w:fill="FFFFFF"/>
          <w:lang w:val="fr-CH"/>
        </w:rPr>
        <w:t>la Brigade d’intervention cellulaire (Genève) et la Brigade d’intervention pénitentiaire (Vaud) sont</w:t>
      </w:r>
      <w:r w:rsidRPr="001E5561">
        <w:rPr>
          <w:rFonts w:ascii="Book Antiqua" w:hAnsi="Book Antiqua" w:cs="Times New Roman"/>
          <w:color w:val="212529"/>
          <w:shd w:val="clear" w:color="auto" w:fill="FFFFFF"/>
          <w:lang w:val="fr-CH"/>
        </w:rPr>
        <w:t xml:space="preserve"> </w:t>
      </w:r>
      <w:r>
        <w:rPr>
          <w:rFonts w:ascii="Book Antiqua" w:hAnsi="Book Antiqua" w:cs="Times New Roman"/>
          <w:color w:val="212529"/>
          <w:shd w:val="clear" w:color="auto" w:fill="FFFFFF"/>
          <w:lang w:val="fr-CH"/>
        </w:rPr>
        <w:t>critiquables</w:t>
      </w:r>
      <w:r w:rsidRPr="001E5561">
        <w:rPr>
          <w:rFonts w:ascii="Book Antiqua" w:hAnsi="Book Antiqua" w:cs="Times New Roman"/>
          <w:color w:val="212529"/>
          <w:shd w:val="clear" w:color="auto" w:fill="FFFFFF"/>
          <w:lang w:val="fr-CH"/>
        </w:rPr>
        <w:t xml:space="preserve">. </w:t>
      </w:r>
      <w:r>
        <w:rPr>
          <w:rFonts w:ascii="Book Antiqua" w:hAnsi="Book Antiqua" w:cs="Times New Roman"/>
          <w:color w:val="212529"/>
          <w:shd w:val="clear" w:color="auto" w:fill="FFFFFF"/>
          <w:lang w:val="fr-CH"/>
        </w:rPr>
        <w:t xml:space="preserve">Ces brigades </w:t>
      </w:r>
      <w:r>
        <w:rPr>
          <w:rFonts w:ascii="Book Antiqua" w:hAnsi="Book Antiqua" w:cs="Times New Roman"/>
          <w:lang w:val="fr-CH"/>
        </w:rPr>
        <w:t>c</w:t>
      </w:r>
      <w:r w:rsidRPr="001C08FD">
        <w:rPr>
          <w:rFonts w:ascii="Book Antiqua" w:hAnsi="Book Antiqua" w:cs="Times New Roman"/>
          <w:lang w:val="fr-CH"/>
        </w:rPr>
        <w:t>omposée</w:t>
      </w:r>
      <w:r>
        <w:rPr>
          <w:rFonts w:ascii="Book Antiqua" w:hAnsi="Book Antiqua" w:cs="Times New Roman"/>
          <w:lang w:val="fr-CH"/>
        </w:rPr>
        <w:t>s</w:t>
      </w:r>
      <w:r w:rsidRPr="001C08FD">
        <w:rPr>
          <w:rFonts w:ascii="Book Antiqua" w:hAnsi="Book Antiqua" w:cs="Times New Roman"/>
          <w:lang w:val="fr-CH"/>
        </w:rPr>
        <w:t xml:space="preserve"> d’agents pénitentiaires équipés de cagoule et d</w:t>
      </w:r>
      <w:r>
        <w:rPr>
          <w:rFonts w:ascii="Book Antiqua" w:hAnsi="Book Antiqua" w:cs="Times New Roman"/>
          <w:lang w:val="fr-CH"/>
        </w:rPr>
        <w:t>e</w:t>
      </w:r>
      <w:r w:rsidRPr="001C08FD">
        <w:rPr>
          <w:rFonts w:ascii="Book Antiqua" w:hAnsi="Book Antiqua" w:cs="Times New Roman"/>
          <w:lang w:val="fr-CH"/>
        </w:rPr>
        <w:t xml:space="preserve"> bouclier</w:t>
      </w:r>
      <w:r>
        <w:rPr>
          <w:rFonts w:ascii="Book Antiqua" w:hAnsi="Book Antiqua" w:cs="Times New Roman"/>
          <w:lang w:val="fr-CH"/>
        </w:rPr>
        <w:t xml:space="preserve"> font</w:t>
      </w:r>
      <w:r w:rsidRPr="00344881">
        <w:rPr>
          <w:rFonts w:ascii="Book Antiqua" w:hAnsi="Book Antiqua" w:cs="Times New Roman"/>
          <w:lang w:val="fr-CH"/>
        </w:rPr>
        <w:t xml:space="preserve"> </w:t>
      </w:r>
      <w:r>
        <w:rPr>
          <w:rFonts w:ascii="Book Antiqua" w:hAnsi="Book Antiqua" w:cs="Times New Roman"/>
          <w:lang w:val="fr-CH"/>
        </w:rPr>
        <w:t>recours à la force</w:t>
      </w:r>
      <w:r w:rsidRPr="001C08FD">
        <w:rPr>
          <w:rFonts w:ascii="Book Antiqua" w:hAnsi="Book Antiqua" w:cs="Times New Roman"/>
          <w:lang w:val="fr-CH"/>
        </w:rPr>
        <w:t xml:space="preserve"> physique (clés de bras</w:t>
      </w:r>
      <w:r>
        <w:rPr>
          <w:rFonts w:ascii="Book Antiqua" w:hAnsi="Book Antiqua" w:cs="Times New Roman"/>
          <w:lang w:val="fr-CH"/>
        </w:rPr>
        <w:t xml:space="preserve"> notamment</w:t>
      </w:r>
      <w:r w:rsidRPr="001C08FD">
        <w:rPr>
          <w:rFonts w:ascii="Book Antiqua" w:hAnsi="Book Antiqua" w:cs="Times New Roman"/>
          <w:lang w:val="fr-CH"/>
        </w:rPr>
        <w:t>) pour maitriser les personnes détenues</w:t>
      </w:r>
      <w:r>
        <w:rPr>
          <w:rFonts w:ascii="Book Antiqua" w:hAnsi="Book Antiqua" w:cs="Times New Roman"/>
          <w:lang w:val="fr-CH"/>
        </w:rPr>
        <w:t xml:space="preserve"> lors de placements ou transferts</w:t>
      </w:r>
      <w:r>
        <w:rPr>
          <w:rStyle w:val="Appelnotedebasdep"/>
          <w:rFonts w:ascii="Book Antiqua" w:hAnsi="Book Antiqua" w:cs="Times New Roman"/>
          <w:lang w:val="fr-CH"/>
        </w:rPr>
        <w:footnoteReference w:id="22"/>
      </w:r>
      <w:r>
        <w:rPr>
          <w:rFonts w:ascii="Book Antiqua" w:hAnsi="Book Antiqua" w:cs="Times New Roman"/>
          <w:lang w:val="fr-CH"/>
        </w:rPr>
        <w:t>.</w:t>
      </w:r>
      <w:r w:rsidRPr="00464878">
        <w:rPr>
          <w:rFonts w:ascii="Book Antiqua" w:hAnsi="Book Antiqua" w:cs="Times New Roman"/>
          <w:lang w:val="fr-CH"/>
        </w:rPr>
        <w:t xml:space="preserve"> </w:t>
      </w:r>
      <w:r>
        <w:rPr>
          <w:rFonts w:ascii="Book Antiqua" w:hAnsi="Book Antiqua" w:cs="Times New Roman"/>
          <w:lang w:val="fr-CH"/>
        </w:rPr>
        <w:t xml:space="preserve">Les agents sont </w:t>
      </w:r>
      <w:r w:rsidRPr="002C1156">
        <w:rPr>
          <w:rFonts w:ascii="Book Antiqua" w:hAnsi="Book Antiqua" w:cs="Times New Roman"/>
          <w:lang w:val="fr-CH"/>
        </w:rPr>
        <w:t>cagoulés « de sorte à ne pas être reconnus » et arrivent en nombre afin « d’impressionner les détenus »</w:t>
      </w:r>
      <w:r w:rsidRPr="002C1156">
        <w:rPr>
          <w:rStyle w:val="Appelnotedebasdep"/>
          <w:rFonts w:ascii="Book Antiqua" w:hAnsi="Book Antiqua" w:cs="Times New Roman"/>
          <w:lang w:val="fr-CH"/>
        </w:rPr>
        <w:footnoteReference w:id="23"/>
      </w:r>
      <w:r w:rsidRPr="002C1156">
        <w:rPr>
          <w:rFonts w:ascii="Book Antiqua" w:hAnsi="Book Antiqua" w:cs="Times New Roman"/>
          <w:lang w:val="fr-CH"/>
        </w:rPr>
        <w:t>. Tant la CourEDH</w:t>
      </w:r>
      <w:r w:rsidR="00CC3CE0">
        <w:rPr>
          <w:rFonts w:ascii="Book Antiqua" w:hAnsi="Book Antiqua" w:cs="Times New Roman"/>
          <w:lang w:val="fr-CH"/>
        </w:rPr>
        <w:t xml:space="preserve"> que</w:t>
      </w:r>
      <w:r w:rsidRPr="002C1156">
        <w:rPr>
          <w:rFonts w:ascii="Book Antiqua" w:hAnsi="Book Antiqua" w:cs="Times New Roman"/>
          <w:lang w:val="fr-CH"/>
        </w:rPr>
        <w:t xml:space="preserve"> le CPT sont opposés au port de la cagoule par le personnel pénitentiaire en raison de l'impossibilité d'identifier les personnes concernées en cas de mauvais traitemen</w:t>
      </w:r>
      <w:r w:rsidR="00E53246">
        <w:rPr>
          <w:rFonts w:ascii="Book Antiqua" w:hAnsi="Book Antiqua" w:cs="Times New Roman"/>
          <w:lang w:val="fr-CH"/>
        </w:rPr>
        <w:t xml:space="preserve">t, </w:t>
      </w:r>
      <w:r w:rsidRPr="002C1156">
        <w:rPr>
          <w:rFonts w:ascii="Book Antiqua" w:hAnsi="Book Antiqua" w:cs="Times New Roman"/>
          <w:lang w:val="fr-CH"/>
        </w:rPr>
        <w:t>car cette pratique intimidatoire peut créer un sentiment d'angoisse</w:t>
      </w:r>
      <w:r w:rsidRPr="002C1156">
        <w:rPr>
          <w:rStyle w:val="Appelnotedebasdep"/>
          <w:rFonts w:ascii="Book Antiqua" w:hAnsi="Book Antiqua" w:cs="Times New Roman"/>
          <w:lang w:val="fr-CH"/>
        </w:rPr>
        <w:footnoteReference w:id="24"/>
      </w:r>
      <w:r w:rsidRPr="002C1156">
        <w:rPr>
          <w:rFonts w:ascii="Book Antiqua" w:hAnsi="Book Antiqua" w:cs="Times New Roman"/>
          <w:lang w:val="fr-CH"/>
        </w:rPr>
        <w:t>. La CNPT « juge ce mode d’intervention inapproprié pour des personnes souffrant de troubles psychiques »</w:t>
      </w:r>
      <w:r w:rsidRPr="002C1156">
        <w:rPr>
          <w:rStyle w:val="Appelnotedebasdep"/>
          <w:rFonts w:ascii="Book Antiqua" w:hAnsi="Book Antiqua" w:cs="Times New Roman"/>
          <w:lang w:val="fr-CH"/>
        </w:rPr>
        <w:footnoteReference w:id="25"/>
      </w:r>
      <w:r w:rsidRPr="002C1156">
        <w:rPr>
          <w:rFonts w:ascii="Book Antiqua" w:hAnsi="Book Antiqua" w:cs="Times New Roman"/>
          <w:lang w:val="fr-CH"/>
        </w:rPr>
        <w:t xml:space="preserve">. </w:t>
      </w:r>
      <w:r>
        <w:rPr>
          <w:rFonts w:ascii="Book Antiqua" w:hAnsi="Book Antiqua" w:cs="Times New Roman"/>
          <w:lang w:val="fr-CH"/>
        </w:rPr>
        <w:t>C</w:t>
      </w:r>
      <w:r w:rsidRPr="001C08FD">
        <w:rPr>
          <w:rFonts w:ascii="Book Antiqua" w:hAnsi="Book Antiqua" w:cs="Times New Roman"/>
          <w:lang w:val="fr-CH"/>
        </w:rPr>
        <w:t>es</w:t>
      </w:r>
      <w:r>
        <w:rPr>
          <w:rFonts w:ascii="Book Antiqua" w:hAnsi="Book Antiqua" w:cs="Times New Roman"/>
          <w:lang w:val="fr-CH"/>
        </w:rPr>
        <w:t xml:space="preserve"> </w:t>
      </w:r>
      <w:r w:rsidRPr="001C08FD">
        <w:rPr>
          <w:rFonts w:ascii="Book Antiqua" w:hAnsi="Book Antiqua" w:cs="Times New Roman"/>
          <w:lang w:val="fr-CH"/>
        </w:rPr>
        <w:t xml:space="preserve">modalités d’intervention peuvent être qualifiées de dégradantes </w:t>
      </w:r>
      <w:r>
        <w:rPr>
          <w:rFonts w:ascii="Book Antiqua" w:hAnsi="Book Antiqua"/>
          <w:color w:val="212529"/>
          <w:shd w:val="clear" w:color="auto" w:fill="FFFFFF"/>
          <w:lang w:val="fr-CH"/>
        </w:rPr>
        <w:t xml:space="preserve">au sens des </w:t>
      </w:r>
      <w:r>
        <w:rPr>
          <w:rFonts w:ascii="Book Antiqua" w:eastAsia="Book Antiqua" w:hAnsi="Book Antiqua" w:cs="Book Antiqua"/>
        </w:rPr>
        <w:t>art. 10 al. 3</w:t>
      </w:r>
      <w:r w:rsidRPr="001C08FD">
        <w:rPr>
          <w:rFonts w:ascii="Book Antiqua" w:hAnsi="Book Antiqua"/>
          <w:lang w:val="fr-CH"/>
        </w:rPr>
        <w:t xml:space="preserve"> </w:t>
      </w:r>
      <w:r w:rsidRPr="0046550B">
        <w:rPr>
          <w:rFonts w:ascii="Book Antiqua" w:hAnsi="Book Antiqua"/>
          <w:lang w:val="fr-CH"/>
        </w:rPr>
        <w:t xml:space="preserve">Cst. </w:t>
      </w:r>
      <w:r w:rsidRPr="0046550B">
        <w:rPr>
          <w:rFonts w:ascii="Book Antiqua" w:eastAsia="Book Antiqua" w:hAnsi="Book Antiqua" w:cs="Book Antiqua"/>
          <w:highlight w:val="white"/>
        </w:rPr>
        <w:t>féd</w:t>
      </w:r>
      <w:r>
        <w:rPr>
          <w:rFonts w:ascii="Book Antiqua" w:hAnsi="Book Antiqua"/>
          <w:color w:val="212529"/>
          <w:shd w:val="clear" w:color="auto" w:fill="FFFFFF"/>
          <w:lang w:val="fr-CH"/>
        </w:rPr>
        <w:t xml:space="preserve">, art. 3 CEDH et 15 CDPH. </w:t>
      </w:r>
      <w:r w:rsidRPr="002C1156">
        <w:rPr>
          <w:rFonts w:ascii="Times New Roman" w:hAnsi="Times New Roman" w:cs="Times New Roman"/>
          <w:sz w:val="24"/>
          <w:szCs w:val="24"/>
          <w:lang w:val="fr-CH"/>
        </w:rPr>
        <w:t xml:space="preserve"> </w:t>
      </w:r>
    </w:p>
    <w:p w14:paraId="7E78ED9E" w14:textId="77777777" w:rsidR="00157A64" w:rsidRDefault="00157A64" w:rsidP="00157A64">
      <w:pPr>
        <w:jc w:val="both"/>
        <w:rPr>
          <w:rFonts w:ascii="Book Antiqua" w:hAnsi="Book Antiqua"/>
          <w:lang w:val="fr-CH"/>
        </w:rPr>
      </w:pPr>
    </w:p>
    <w:p w14:paraId="0040C302" w14:textId="77777777" w:rsidR="00157A64" w:rsidRPr="00355DE3" w:rsidRDefault="00157A64" w:rsidP="00157A64">
      <w:pPr>
        <w:jc w:val="both"/>
        <w:rPr>
          <w:rFonts w:ascii="Book Antiqua" w:eastAsia="Book Antiqua" w:hAnsi="Book Antiqua" w:cs="Book Antiqua"/>
          <w:u w:val="single"/>
        </w:rPr>
      </w:pPr>
      <w:r>
        <w:rPr>
          <w:rFonts w:ascii="Book Antiqua" w:eastAsia="Book Antiqua" w:hAnsi="Book Antiqua" w:cs="Book Antiqua"/>
          <w:highlight w:val="white"/>
          <w:u w:val="single"/>
        </w:rPr>
        <w:t xml:space="preserve">Recours à la contrainte </w:t>
      </w:r>
      <w:r>
        <w:rPr>
          <w:rFonts w:ascii="Book Antiqua" w:eastAsia="Book Antiqua" w:hAnsi="Book Antiqua" w:cs="Book Antiqua"/>
          <w:u w:val="single"/>
        </w:rPr>
        <w:t>mécanique</w:t>
      </w:r>
    </w:p>
    <w:p w14:paraId="4F85D9E6" w14:textId="68D7F080" w:rsidR="00157A64" w:rsidRPr="00355DE3" w:rsidRDefault="00157A64" w:rsidP="00157A64">
      <w:pPr>
        <w:jc w:val="both"/>
        <w:rPr>
          <w:rFonts w:ascii="Times New Roman" w:hAnsi="Times New Roman" w:cs="Times New Roman"/>
          <w:sz w:val="24"/>
          <w:szCs w:val="24"/>
          <w:lang w:val="fr-CH"/>
        </w:rPr>
      </w:pPr>
      <w:r w:rsidRPr="00035331">
        <w:rPr>
          <w:rFonts w:ascii="Book Antiqua" w:hAnsi="Book Antiqua"/>
          <w:lang w:val="fr-CH"/>
        </w:rPr>
        <w:t>Dans les sections de haute sécurité</w:t>
      </w:r>
      <w:r w:rsidRPr="00035331">
        <w:rPr>
          <w:rStyle w:val="Appelnotedebasdep"/>
          <w:rFonts w:ascii="Book Antiqua" w:hAnsi="Book Antiqua"/>
          <w:lang w:val="fr-CH"/>
        </w:rPr>
        <w:footnoteReference w:id="26"/>
      </w:r>
      <w:r w:rsidRPr="00035331">
        <w:rPr>
          <w:rFonts w:ascii="Book Antiqua" w:hAnsi="Book Antiqua"/>
          <w:lang w:val="fr-CH"/>
        </w:rPr>
        <w:t xml:space="preserve"> des prisons d’Hindelbank (Berne) et de Lenzburg (Argovie)</w:t>
      </w:r>
      <w:r w:rsidRPr="00035331">
        <w:rPr>
          <w:rStyle w:val="Appelnotedebasdep"/>
          <w:rFonts w:ascii="Book Antiqua" w:hAnsi="Book Antiqua"/>
          <w:lang w:val="fr-CH"/>
        </w:rPr>
        <w:footnoteReference w:id="27"/>
      </w:r>
      <w:r w:rsidRPr="00035331">
        <w:rPr>
          <w:rFonts w:ascii="Book Antiqua" w:hAnsi="Book Antiqua"/>
          <w:lang w:val="fr-CH"/>
        </w:rPr>
        <w:t xml:space="preserve">, les personnes </w:t>
      </w:r>
      <w:r>
        <w:rPr>
          <w:rFonts w:ascii="Book Antiqua" w:hAnsi="Book Antiqua"/>
          <w:lang w:val="fr-CH"/>
        </w:rPr>
        <w:t xml:space="preserve">détenues sous mesures </w:t>
      </w:r>
      <w:r w:rsidRPr="00035331">
        <w:rPr>
          <w:rFonts w:ascii="Book Antiqua" w:hAnsi="Book Antiqua"/>
          <w:lang w:val="fr-CH"/>
        </w:rPr>
        <w:t>sont menottées et accompagnées de plusieurs membres du personnel de sécurité lorsqu’elles quittent leur cellule</w:t>
      </w:r>
      <w:r w:rsidRPr="00035331">
        <w:rPr>
          <w:rStyle w:val="Appelnotedebasdep"/>
          <w:rFonts w:ascii="Book Antiqua" w:eastAsiaTheme="majorEastAsia" w:hAnsi="Book Antiqua"/>
          <w:lang w:val="fr-CH"/>
        </w:rPr>
        <w:footnoteReference w:id="28"/>
      </w:r>
      <w:r w:rsidRPr="00035331">
        <w:rPr>
          <w:rFonts w:ascii="Book Antiqua" w:hAnsi="Book Antiqua"/>
          <w:lang w:val="fr-CH"/>
        </w:rPr>
        <w:t>.</w:t>
      </w:r>
      <w:r>
        <w:rPr>
          <w:rFonts w:ascii="Book Antiqua" w:hAnsi="Book Antiqua"/>
          <w:lang w:val="fr-CH"/>
        </w:rPr>
        <w:t xml:space="preserve"> Par ailleurs, le CPT a révélé à la suite de sa visite dans ces établissements que « c</w:t>
      </w:r>
      <w:r w:rsidRPr="00382BF8">
        <w:rPr>
          <w:rFonts w:ascii="Book Antiqua" w:hAnsi="Book Antiqua"/>
          <w:lang w:val="fr-CH"/>
        </w:rPr>
        <w:t>es détenus étaient placés dans des sections de haute sécurité dans des conditions semblables à l’isolement car, en raison de leurs graves problèmes de santé mentale, ils étaient considérés comme particulièrement dangereux</w:t>
      </w:r>
      <w:r>
        <w:rPr>
          <w:rFonts w:ascii="Book Antiqua" w:hAnsi="Book Antiqua"/>
          <w:lang w:val="fr-CH"/>
        </w:rPr>
        <w:t> »</w:t>
      </w:r>
      <w:r>
        <w:rPr>
          <w:rStyle w:val="Appelnotedebasdep"/>
          <w:rFonts w:ascii="Book Antiqua" w:hAnsi="Book Antiqua"/>
          <w:lang w:val="fr-CH"/>
        </w:rPr>
        <w:footnoteReference w:id="29"/>
      </w:r>
      <w:r w:rsidRPr="00382BF8">
        <w:rPr>
          <w:rFonts w:ascii="Book Antiqua" w:hAnsi="Book Antiqua"/>
          <w:lang w:val="fr-CH"/>
        </w:rPr>
        <w:t>.</w:t>
      </w:r>
      <w:r>
        <w:rPr>
          <w:rFonts w:ascii="Book Antiqua" w:hAnsi="Book Antiqua"/>
          <w:lang w:val="fr-CH"/>
        </w:rPr>
        <w:t xml:space="preserve"> L</w:t>
      </w:r>
      <w:r w:rsidRPr="00035331">
        <w:rPr>
          <w:rFonts w:ascii="Book Antiqua" w:hAnsi="Book Antiqua"/>
          <w:lang w:val="fr-CH"/>
        </w:rPr>
        <w:t>es moyens de contrainte mécanique ne d</w:t>
      </w:r>
      <w:r>
        <w:rPr>
          <w:rFonts w:ascii="Book Antiqua" w:hAnsi="Book Antiqua"/>
          <w:lang w:val="fr-CH"/>
        </w:rPr>
        <w:t>evraient</w:t>
      </w:r>
      <w:r w:rsidRPr="00035331">
        <w:rPr>
          <w:rFonts w:ascii="Book Antiqua" w:hAnsi="Book Antiqua"/>
          <w:lang w:val="fr-CH"/>
        </w:rPr>
        <w:t xml:space="preserve"> pas être utilisés de manière systématique mais uniquement en dernier recours, afin de garantir la sécurité ou </w:t>
      </w:r>
      <w:r>
        <w:rPr>
          <w:rFonts w:ascii="Book Antiqua" w:hAnsi="Book Antiqua"/>
          <w:lang w:val="fr-CH"/>
        </w:rPr>
        <w:t>pour</w:t>
      </w:r>
      <w:r w:rsidRPr="00035331">
        <w:rPr>
          <w:rFonts w:ascii="Book Antiqua" w:hAnsi="Book Antiqua"/>
          <w:lang w:val="fr-CH"/>
        </w:rPr>
        <w:t xml:space="preserve"> prévenir une évasion</w:t>
      </w:r>
      <w:r>
        <w:rPr>
          <w:rStyle w:val="Appelnotedebasdep"/>
          <w:rFonts w:ascii="Book Antiqua" w:hAnsi="Book Antiqua"/>
          <w:lang w:val="fr-CH"/>
        </w:rPr>
        <w:footnoteReference w:id="30"/>
      </w:r>
      <w:r w:rsidRPr="00035331">
        <w:rPr>
          <w:rFonts w:ascii="Book Antiqua" w:hAnsi="Book Antiqua"/>
          <w:lang w:val="fr-CH"/>
        </w:rPr>
        <w:t xml:space="preserve">. </w:t>
      </w:r>
      <w:r>
        <w:rPr>
          <w:rFonts w:ascii="Book Antiqua" w:hAnsi="Book Antiqua"/>
          <w:lang w:val="fr-CH"/>
        </w:rPr>
        <w:t>D</w:t>
      </w:r>
      <w:r w:rsidRPr="00035331">
        <w:rPr>
          <w:rFonts w:ascii="Book Antiqua" w:hAnsi="Book Antiqua"/>
          <w:lang w:val="fr-CH"/>
        </w:rPr>
        <w:t>ans chaque situation</w:t>
      </w:r>
      <w:r>
        <w:rPr>
          <w:rFonts w:ascii="Book Antiqua" w:hAnsi="Book Antiqua"/>
          <w:lang w:val="fr-CH"/>
        </w:rPr>
        <w:t>, il s’agit</w:t>
      </w:r>
      <w:r w:rsidRPr="00035331">
        <w:rPr>
          <w:rFonts w:ascii="Book Antiqua" w:hAnsi="Book Antiqua"/>
          <w:lang w:val="fr-CH"/>
        </w:rPr>
        <w:t xml:space="preserve"> de tenir compte des particularités et risques posé</w:t>
      </w:r>
      <w:r>
        <w:rPr>
          <w:rFonts w:ascii="Book Antiqua" w:hAnsi="Book Antiqua"/>
          <w:lang w:val="fr-CH"/>
        </w:rPr>
        <w:t>s</w:t>
      </w:r>
      <w:r>
        <w:rPr>
          <w:rStyle w:val="Appelnotedebasdep"/>
          <w:rFonts w:ascii="Book Antiqua" w:hAnsi="Book Antiqua"/>
          <w:lang w:val="fr-CH"/>
        </w:rPr>
        <w:footnoteReference w:id="31"/>
      </w:r>
      <w:r w:rsidRPr="00035331">
        <w:rPr>
          <w:rFonts w:ascii="Book Antiqua" w:hAnsi="Book Antiqua"/>
          <w:lang w:val="fr-CH"/>
        </w:rPr>
        <w:t xml:space="preserve">. </w:t>
      </w:r>
      <w:r w:rsidRPr="00A533BB">
        <w:rPr>
          <w:rFonts w:ascii="Book Antiqua" w:hAnsi="Book Antiqua"/>
          <w:lang w:val="fr-CH"/>
        </w:rPr>
        <w:t>Compte tenu du régime sécuritaire dont elles font l’objet</w:t>
      </w:r>
      <w:r w:rsidRPr="00A533BB">
        <w:rPr>
          <w:rFonts w:ascii="Book Antiqua" w:hAnsi="Book Antiqua"/>
        </w:rPr>
        <w:t xml:space="preserve">, </w:t>
      </w:r>
      <w:r>
        <w:rPr>
          <w:rFonts w:ascii="Book Antiqua" w:hAnsi="Book Antiqua"/>
        </w:rPr>
        <w:t xml:space="preserve">les personnes détenues dans </w:t>
      </w:r>
      <w:r w:rsidRPr="00035331">
        <w:rPr>
          <w:rFonts w:ascii="Book Antiqua" w:hAnsi="Book Antiqua"/>
          <w:lang w:val="fr-CH"/>
        </w:rPr>
        <w:t>les sections de haute sécurité</w:t>
      </w:r>
      <w:r>
        <w:rPr>
          <w:rFonts w:ascii="Book Antiqua" w:hAnsi="Book Antiqua"/>
          <w:lang w:val="fr-CH"/>
        </w:rPr>
        <w:t xml:space="preserve"> à H</w:t>
      </w:r>
      <w:r w:rsidRPr="00035331">
        <w:rPr>
          <w:rFonts w:ascii="Book Antiqua" w:hAnsi="Book Antiqua"/>
          <w:lang w:val="fr-CH"/>
        </w:rPr>
        <w:t xml:space="preserve">indelbank </w:t>
      </w:r>
      <w:r>
        <w:rPr>
          <w:rFonts w:ascii="Book Antiqua" w:hAnsi="Book Antiqua"/>
          <w:lang w:val="fr-CH"/>
        </w:rPr>
        <w:t>et</w:t>
      </w:r>
      <w:r w:rsidRPr="00035331">
        <w:rPr>
          <w:rFonts w:ascii="Book Antiqua" w:hAnsi="Book Antiqua"/>
          <w:lang w:val="fr-CH"/>
        </w:rPr>
        <w:t xml:space="preserve"> Lenzburg </w:t>
      </w:r>
      <w:r w:rsidRPr="00A533BB">
        <w:rPr>
          <w:rFonts w:ascii="Book Antiqua" w:hAnsi="Book Antiqua"/>
        </w:rPr>
        <w:t>devraient pouvoir « dans l'enceinte de leur unité de détention, jouir d'un régime relativement peu contraignant, de nature à compenser la sévérité de leur situation carcérale »</w:t>
      </w:r>
      <w:r w:rsidRPr="00A533BB">
        <w:rPr>
          <w:rStyle w:val="Appelnotedebasdep"/>
          <w:rFonts w:ascii="Book Antiqua" w:eastAsiaTheme="majorEastAsia" w:hAnsi="Book Antiqua"/>
        </w:rPr>
        <w:footnoteReference w:id="32"/>
      </w:r>
      <w:r w:rsidRPr="00A533BB">
        <w:rPr>
          <w:rFonts w:ascii="Book Antiqua" w:hAnsi="Book Antiqua"/>
        </w:rPr>
        <w:t xml:space="preserve">. </w:t>
      </w:r>
      <w:r>
        <w:rPr>
          <w:rFonts w:ascii="Book Antiqua" w:hAnsi="Book Antiqua"/>
        </w:rPr>
        <w:t xml:space="preserve">La CourEDH est également </w:t>
      </w:r>
      <w:r>
        <w:rPr>
          <w:rFonts w:ascii="Book Antiqua" w:hAnsi="Book Antiqua"/>
        </w:rPr>
        <w:lastRenderedPageBreak/>
        <w:t>d’avis que dans un environnement carcéral sécuritaire, le menottage systématique en dehors de la cellule, peut entrainer une violation de l’art. 3 CEDH</w:t>
      </w:r>
      <w:r>
        <w:rPr>
          <w:rStyle w:val="Appelnotedebasdep"/>
          <w:rFonts w:ascii="Book Antiqua" w:hAnsi="Book Antiqua"/>
        </w:rPr>
        <w:footnoteReference w:id="33"/>
      </w:r>
      <w:r>
        <w:rPr>
          <w:rFonts w:ascii="Book Antiqua" w:hAnsi="Book Antiqua"/>
        </w:rPr>
        <w:t xml:space="preserve">. De plus, il s’agit de tenir compte de la </w:t>
      </w:r>
      <w:r w:rsidRPr="009D62F7">
        <w:rPr>
          <w:rFonts w:ascii="Book Antiqua" w:hAnsi="Book Antiqua"/>
        </w:rPr>
        <w:t>vulnérabilité particulière</w:t>
      </w:r>
      <w:r>
        <w:rPr>
          <w:rFonts w:ascii="Book Antiqua" w:hAnsi="Book Antiqua"/>
        </w:rPr>
        <w:t xml:space="preserve"> des personnes détenues</w:t>
      </w:r>
      <w:r w:rsidR="001A6FB7">
        <w:rPr>
          <w:rFonts w:ascii="Book Antiqua" w:hAnsi="Book Antiqua"/>
        </w:rPr>
        <w:t>,</w:t>
      </w:r>
      <w:r>
        <w:rPr>
          <w:rFonts w:ascii="Book Antiqua" w:hAnsi="Book Antiqua"/>
        </w:rPr>
        <w:t xml:space="preserve"> </w:t>
      </w:r>
      <w:r w:rsidR="001A6FB7">
        <w:rPr>
          <w:rFonts w:ascii="Book Antiqua" w:hAnsi="Book Antiqua"/>
        </w:rPr>
        <w:t>dont</w:t>
      </w:r>
      <w:r>
        <w:rPr>
          <w:rFonts w:ascii="Book Antiqua" w:hAnsi="Book Antiqua"/>
        </w:rPr>
        <w:t xml:space="preserve"> le handicap</w:t>
      </w:r>
      <w:r w:rsidR="001A6FB7">
        <w:rPr>
          <w:rFonts w:ascii="Book Antiqua" w:hAnsi="Book Antiqua"/>
        </w:rPr>
        <w:t>,</w:t>
      </w:r>
      <w:r>
        <w:rPr>
          <w:rFonts w:ascii="Book Antiqua" w:hAnsi="Book Antiqua"/>
        </w:rPr>
        <w:t xml:space="preserve"> lors de l’application d’une telle mesure</w:t>
      </w:r>
      <w:r>
        <w:rPr>
          <w:rStyle w:val="Appelnotedebasdep"/>
          <w:rFonts w:ascii="Book Antiqua" w:hAnsi="Book Antiqua"/>
        </w:rPr>
        <w:footnoteReference w:id="34"/>
      </w:r>
      <w:r>
        <w:rPr>
          <w:rFonts w:ascii="Book Antiqua" w:hAnsi="Book Antiqua"/>
        </w:rPr>
        <w:t xml:space="preserve">.  </w:t>
      </w:r>
      <w:r w:rsidRPr="00035331">
        <w:rPr>
          <w:rFonts w:ascii="Book Antiqua" w:hAnsi="Book Antiqua"/>
          <w:lang w:val="fr-CH"/>
        </w:rPr>
        <w:t>En l’occurrence</w:t>
      </w:r>
      <w:r w:rsidRPr="00A533BB">
        <w:rPr>
          <w:rFonts w:ascii="Book Antiqua" w:hAnsi="Book Antiqua"/>
          <w:lang w:val="fr-CH"/>
        </w:rPr>
        <w:t xml:space="preserve">, </w:t>
      </w:r>
      <w:r>
        <w:rPr>
          <w:rFonts w:ascii="Book Antiqua" w:hAnsi="Book Antiqua"/>
          <w:lang w:val="fr-CH"/>
        </w:rPr>
        <w:t xml:space="preserve">le menottage systématique des personnes détenues dans ces établissements sans autre </w:t>
      </w:r>
      <w:r w:rsidRPr="00A167DD">
        <w:rPr>
          <w:rFonts w:ascii="Book Antiqua" w:hAnsi="Book Antiqua"/>
          <w:lang w:val="fr-CH"/>
        </w:rPr>
        <w:t>justification que leur</w:t>
      </w:r>
      <w:r w:rsidRPr="00A167DD">
        <w:rPr>
          <w:rFonts w:ascii="Book Antiqua" w:hAnsi="Book Antiqua"/>
        </w:rPr>
        <w:t xml:space="preserve"> handicap mental est contraire aux </w:t>
      </w:r>
      <w:r w:rsidRPr="00A167DD">
        <w:rPr>
          <w:rFonts w:ascii="Book Antiqua" w:eastAsia="Book Antiqua" w:hAnsi="Book Antiqua" w:cs="Book Antiqua"/>
        </w:rPr>
        <w:t>art. 10 al. 3</w:t>
      </w:r>
      <w:r w:rsidRPr="00A167DD">
        <w:rPr>
          <w:rFonts w:ascii="Book Antiqua" w:hAnsi="Book Antiqua"/>
          <w:lang w:val="fr-CH"/>
        </w:rPr>
        <w:t xml:space="preserve"> Cst. </w:t>
      </w:r>
      <w:r w:rsidRPr="00A167DD">
        <w:rPr>
          <w:rFonts w:ascii="Book Antiqua" w:eastAsia="Book Antiqua" w:hAnsi="Book Antiqua" w:cs="Book Antiqua"/>
        </w:rPr>
        <w:t>féd</w:t>
      </w:r>
      <w:r w:rsidRPr="00A167DD">
        <w:rPr>
          <w:rFonts w:ascii="Book Antiqua" w:hAnsi="Book Antiqua"/>
          <w:color w:val="212529"/>
          <w:shd w:val="clear" w:color="auto" w:fill="FFFFFF"/>
          <w:lang w:val="fr-CH"/>
        </w:rPr>
        <w:t>, 3 CEDH et 15 CDPH</w:t>
      </w:r>
      <w:r>
        <w:rPr>
          <w:rFonts w:ascii="Book Antiqua" w:hAnsi="Book Antiqua"/>
          <w:color w:val="212529"/>
          <w:shd w:val="clear" w:color="auto" w:fill="FFFFFF"/>
          <w:lang w:val="fr-CH"/>
        </w:rPr>
        <w:t xml:space="preserve">. </w:t>
      </w:r>
    </w:p>
    <w:p w14:paraId="5D0532E8" w14:textId="77777777" w:rsidR="00157A64" w:rsidRPr="007B1477" w:rsidRDefault="00157A64" w:rsidP="00157A64">
      <w:pPr>
        <w:jc w:val="both"/>
        <w:rPr>
          <w:rFonts w:ascii="Book Antiqua" w:hAnsi="Book Antiqua"/>
          <w:lang w:val="fr-CH"/>
        </w:rPr>
      </w:pPr>
    </w:p>
    <w:p w14:paraId="2B7EDB27" w14:textId="3311B175" w:rsidR="00157A64" w:rsidRDefault="00157A64" w:rsidP="00157A64">
      <w:pPr>
        <w:jc w:val="both"/>
        <w:rPr>
          <w:rFonts w:ascii="Book Antiqua" w:hAnsi="Book Antiqua"/>
        </w:rPr>
      </w:pPr>
      <w:r w:rsidRPr="00B503D5">
        <w:rPr>
          <w:rFonts w:ascii="Book Antiqua" w:hAnsi="Book Antiqua"/>
          <w:lang w:val="fr-CH"/>
        </w:rPr>
        <w:t>Les personnes détenues soumises au régime de sécurité élevé aux EPO sont entravées aux pieds lors des visites</w:t>
      </w:r>
      <w:r w:rsidRPr="00B503D5">
        <w:rPr>
          <w:rStyle w:val="Appelnotedebasdep"/>
          <w:rFonts w:ascii="Book Antiqua" w:eastAsiaTheme="majorEastAsia" w:hAnsi="Book Antiqua"/>
          <w:lang w:val="fr-CH"/>
        </w:rPr>
        <w:footnoteReference w:id="35"/>
      </w:r>
      <w:r w:rsidRPr="00B503D5">
        <w:rPr>
          <w:rFonts w:ascii="Book Antiqua" w:hAnsi="Book Antiqua"/>
          <w:lang w:val="fr-CH"/>
        </w:rPr>
        <w:t>. Celles-ci s’effectuent dans un « parloir fort »</w:t>
      </w:r>
      <w:r w:rsidRPr="00B503D5">
        <w:rPr>
          <w:rStyle w:val="Appelnotedebasdep"/>
          <w:rFonts w:ascii="Book Antiqua" w:hAnsi="Book Antiqua"/>
          <w:lang w:val="fr-CH"/>
        </w:rPr>
        <w:footnoteReference w:id="36"/>
      </w:r>
      <w:r w:rsidRPr="00B503D5">
        <w:rPr>
          <w:rFonts w:ascii="Book Antiqua" w:hAnsi="Book Antiqua"/>
          <w:lang w:val="fr-CH"/>
        </w:rPr>
        <w:t>. L</w:t>
      </w:r>
      <w:r w:rsidRPr="00B503D5">
        <w:rPr>
          <w:rFonts w:ascii="Book Antiqua" w:hAnsi="Book Antiqua"/>
        </w:rPr>
        <w:t>es Règles pénitentiaires européennes indiquent que « les modalités des visites doivent permettre aux détenus de maintenir et de développer des relations familiales de façon aussi normale que possible</w:t>
      </w:r>
      <w:r w:rsidRPr="00B503D5">
        <w:rPr>
          <w:rStyle w:val="Appelnotedebasdep"/>
          <w:rFonts w:ascii="Book Antiqua" w:hAnsi="Book Antiqua"/>
        </w:rPr>
        <w:footnoteReference w:id="37"/>
      </w:r>
      <w:r w:rsidRPr="00B503D5">
        <w:rPr>
          <w:rFonts w:ascii="Book Antiqua" w:hAnsi="Book Antiqua"/>
        </w:rPr>
        <w:t xml:space="preserve"> », ce qui semble difficilement envisageable sous la contrainte mécanique. </w:t>
      </w:r>
      <w:r w:rsidRPr="00B503D5">
        <w:rPr>
          <w:rFonts w:ascii="Book Antiqua" w:hAnsi="Book Antiqua"/>
          <w:lang w:val="fr-CH"/>
        </w:rPr>
        <w:t>Sur la base du raisonnement précédent</w:t>
      </w:r>
      <w:r w:rsidRPr="00B503D5">
        <w:rPr>
          <w:rFonts w:ascii="Book Antiqua" w:hAnsi="Book Antiqua"/>
        </w:rPr>
        <w:t>, ces personnes sont déjà soumises à des conditions de détention particulièrement contraignantes dans un cadre hautement sécurisé qui s’étend jusqu’aux visites qui s’effectuent dans un parloir fort. Ainsi, l’usage de ce moyen de contrainte mécanique lors des visites ne peut qu’être qualifié d’humiliant et dégradant</w:t>
      </w:r>
      <w:r w:rsidRPr="00B503D5">
        <w:rPr>
          <w:rStyle w:val="Appelnotedebasdep"/>
          <w:rFonts w:ascii="Book Antiqua" w:eastAsiaTheme="majorEastAsia" w:hAnsi="Book Antiqua"/>
        </w:rPr>
        <w:footnoteReference w:id="38"/>
      </w:r>
      <w:r w:rsidRPr="00B503D5">
        <w:rPr>
          <w:rFonts w:ascii="Book Antiqua" w:hAnsi="Book Antiqua"/>
        </w:rPr>
        <w:t>.</w:t>
      </w:r>
    </w:p>
    <w:p w14:paraId="3CAA3E16" w14:textId="77777777" w:rsidR="00157A64" w:rsidRDefault="00157A64" w:rsidP="00157A64">
      <w:pPr>
        <w:jc w:val="both"/>
        <w:rPr>
          <w:rFonts w:ascii="Book Antiqua" w:hAnsi="Book Antiqua"/>
        </w:rPr>
      </w:pPr>
    </w:p>
    <w:p w14:paraId="6A1CA071" w14:textId="77777777" w:rsidR="00157A64" w:rsidRPr="00871C9D" w:rsidRDefault="00157A64" w:rsidP="00157A64">
      <w:pPr>
        <w:jc w:val="both"/>
        <w:rPr>
          <w:rFonts w:ascii="Book Antiqua" w:hAnsi="Book Antiqua"/>
          <w:lang w:val="fr-CH"/>
        </w:rPr>
      </w:pPr>
      <w:r>
        <w:rPr>
          <w:rFonts w:ascii="Book Antiqua" w:hAnsi="Book Antiqua"/>
        </w:rPr>
        <w:t xml:space="preserve">Toujours dans cet établissement, </w:t>
      </w:r>
      <w:r w:rsidRPr="00E36E55">
        <w:rPr>
          <w:rFonts w:ascii="Book Antiqua" w:hAnsi="Book Antiqua"/>
          <w:lang w:val="fr-CH"/>
        </w:rPr>
        <w:t>les personnes détenues sont entravées lors des transports pour raisons médicales en dehors de la prison, y compris lors du passage à travers le hall d’entrée de l’hôpital</w:t>
      </w:r>
      <w:r w:rsidRPr="00E36E55">
        <w:rPr>
          <w:rStyle w:val="Appelnotedebasdep"/>
          <w:rFonts w:ascii="Book Antiqua" w:eastAsiaTheme="majorEastAsia" w:hAnsi="Book Antiqua"/>
          <w:lang w:val="fr-CH"/>
        </w:rPr>
        <w:footnoteReference w:id="39"/>
      </w:r>
      <w:r w:rsidRPr="00E36E55">
        <w:rPr>
          <w:rFonts w:ascii="Book Antiqua" w:hAnsi="Book Antiqua"/>
          <w:lang w:val="fr-CH"/>
        </w:rPr>
        <w:t xml:space="preserve">. </w:t>
      </w:r>
      <w:r>
        <w:rPr>
          <w:rFonts w:ascii="Book Antiqua" w:hAnsi="Book Antiqua"/>
          <w:lang w:val="fr-CH"/>
        </w:rPr>
        <w:t>Dans ce contexte, s</w:t>
      </w:r>
      <w:r w:rsidRPr="00E36E55">
        <w:rPr>
          <w:rFonts w:ascii="Book Antiqua" w:hAnsi="Book Antiqua"/>
          <w:lang w:val="fr-CH"/>
        </w:rPr>
        <w:t xml:space="preserve">i le recours aux menottes peut répondre à un objectif de sécurité et de prévention contre une éventuelle évasion, leur usage systématique sans examen individuel est prohibé. </w:t>
      </w:r>
      <w:r>
        <w:rPr>
          <w:rFonts w:ascii="Book Antiqua" w:hAnsi="Book Antiqua"/>
          <w:lang w:val="fr-CH"/>
        </w:rPr>
        <w:t>L</w:t>
      </w:r>
      <w:r w:rsidRPr="00E36E55">
        <w:rPr>
          <w:rFonts w:ascii="Book Antiqua" w:hAnsi="Book Antiqua"/>
          <w:lang w:val="fr-CH"/>
        </w:rPr>
        <w:t>a CourEDH a considéré à plusieurs reprises que l’usage des menottes lors de transfert médical ne devait pas entraîner une « exposition publique, au-delà de ce qui est raisonnablement considéré comme nécessaire »</w:t>
      </w:r>
      <w:r w:rsidRPr="00E36E55">
        <w:rPr>
          <w:rStyle w:val="Appelnotedebasdep"/>
          <w:rFonts w:ascii="Book Antiqua" w:eastAsiaTheme="majorEastAsia" w:hAnsi="Book Antiqua"/>
          <w:lang w:val="fr-CH"/>
        </w:rPr>
        <w:footnoteReference w:id="40"/>
      </w:r>
      <w:r w:rsidRPr="00E36E55">
        <w:rPr>
          <w:rFonts w:ascii="Book Antiqua" w:hAnsi="Book Antiqua"/>
          <w:lang w:val="fr-CH"/>
        </w:rPr>
        <w:t xml:space="preserve">. </w:t>
      </w:r>
      <w:r>
        <w:rPr>
          <w:rFonts w:ascii="Book Antiqua" w:hAnsi="Book Antiqua"/>
          <w:lang w:val="fr-CH"/>
        </w:rPr>
        <w:t>L</w:t>
      </w:r>
      <w:r w:rsidRPr="00E36E55">
        <w:rPr>
          <w:rFonts w:ascii="Book Antiqua" w:hAnsi="Book Antiqua"/>
          <w:lang w:val="fr-CH"/>
        </w:rPr>
        <w:t>a CNPT</w:t>
      </w:r>
      <w:r>
        <w:rPr>
          <w:rFonts w:ascii="Book Antiqua" w:hAnsi="Book Antiqua"/>
          <w:lang w:val="fr-CH"/>
        </w:rPr>
        <w:t xml:space="preserve"> précise que</w:t>
      </w:r>
      <w:r w:rsidRPr="00E36E55">
        <w:rPr>
          <w:rFonts w:ascii="Book Antiqua" w:hAnsi="Book Antiqua"/>
          <w:lang w:val="fr-CH"/>
        </w:rPr>
        <w:t xml:space="preserve"> les </w:t>
      </w:r>
      <w:r>
        <w:rPr>
          <w:rFonts w:ascii="Book Antiqua" w:hAnsi="Book Antiqua"/>
          <w:lang w:val="fr-CH"/>
        </w:rPr>
        <w:t>personnes détenues étaient</w:t>
      </w:r>
      <w:r w:rsidRPr="00E36E55">
        <w:rPr>
          <w:rFonts w:ascii="Book Antiqua" w:hAnsi="Book Antiqua"/>
          <w:lang w:val="fr-CH"/>
        </w:rPr>
        <w:t>, contraintes de « traverser le hall d’entrée [de l’hôpital] entravés, ce qui [était] ressenti comme dégradant »</w:t>
      </w:r>
      <w:r w:rsidRPr="00E36E55">
        <w:rPr>
          <w:rStyle w:val="Appelnotedebasdep"/>
          <w:rFonts w:ascii="Book Antiqua" w:eastAsiaTheme="majorEastAsia" w:hAnsi="Book Antiqua"/>
          <w:lang w:val="fr-CH"/>
        </w:rPr>
        <w:footnoteReference w:id="41"/>
      </w:r>
      <w:r w:rsidRPr="00E36E55">
        <w:rPr>
          <w:rFonts w:ascii="Book Antiqua" w:hAnsi="Book Antiqua"/>
          <w:lang w:val="fr-CH"/>
        </w:rPr>
        <w:t xml:space="preserve">. Une telle </w:t>
      </w:r>
      <w:r>
        <w:rPr>
          <w:rFonts w:ascii="Book Antiqua" w:hAnsi="Book Antiqua"/>
          <w:lang w:val="fr-CH"/>
        </w:rPr>
        <w:t>pratique</w:t>
      </w:r>
      <w:r w:rsidRPr="00E36E55">
        <w:rPr>
          <w:rFonts w:ascii="Book Antiqua" w:hAnsi="Book Antiqua"/>
          <w:lang w:val="fr-CH"/>
        </w:rPr>
        <w:t xml:space="preserve"> est contraire à la jurisprudence de la CourEDH et </w:t>
      </w:r>
      <w:r>
        <w:rPr>
          <w:rFonts w:ascii="Book Antiqua" w:hAnsi="Book Antiqua"/>
          <w:lang w:val="fr-CH"/>
        </w:rPr>
        <w:t xml:space="preserve">constitue une </w:t>
      </w:r>
      <w:r w:rsidRPr="00E36E55">
        <w:rPr>
          <w:rFonts w:ascii="Book Antiqua" w:hAnsi="Book Antiqua"/>
          <w:lang w:val="fr-CH"/>
        </w:rPr>
        <w:t>viol</w:t>
      </w:r>
      <w:r>
        <w:rPr>
          <w:rFonts w:ascii="Book Antiqua" w:hAnsi="Book Antiqua"/>
          <w:lang w:val="fr-CH"/>
        </w:rPr>
        <w:t xml:space="preserve">ation des </w:t>
      </w:r>
      <w:r w:rsidRPr="00A167DD">
        <w:rPr>
          <w:rFonts w:ascii="Book Antiqua" w:eastAsia="Book Antiqua" w:hAnsi="Book Antiqua" w:cs="Book Antiqua"/>
        </w:rPr>
        <w:t>art. 10 al. 3</w:t>
      </w:r>
      <w:r w:rsidRPr="00A167DD">
        <w:rPr>
          <w:rFonts w:ascii="Book Antiqua" w:hAnsi="Book Antiqua"/>
          <w:lang w:val="fr-CH"/>
        </w:rPr>
        <w:t xml:space="preserve"> Cst. </w:t>
      </w:r>
      <w:r w:rsidRPr="00A167DD">
        <w:rPr>
          <w:rFonts w:ascii="Book Antiqua" w:eastAsia="Book Antiqua" w:hAnsi="Book Antiqua" w:cs="Book Antiqua"/>
        </w:rPr>
        <w:t>féd</w:t>
      </w:r>
      <w:r w:rsidRPr="00A167DD">
        <w:rPr>
          <w:rFonts w:ascii="Book Antiqua" w:hAnsi="Book Antiqua"/>
          <w:color w:val="212529"/>
          <w:shd w:val="clear" w:color="auto" w:fill="FFFFFF"/>
          <w:lang w:val="fr-CH"/>
        </w:rPr>
        <w:t>, 3 CEDH et 15 CDPH</w:t>
      </w:r>
      <w:r>
        <w:rPr>
          <w:rFonts w:ascii="Book Antiqua" w:hAnsi="Book Antiqua"/>
          <w:color w:val="212529"/>
          <w:shd w:val="clear" w:color="auto" w:fill="FFFFFF"/>
          <w:lang w:val="fr-CH"/>
        </w:rPr>
        <w:t>.</w:t>
      </w:r>
    </w:p>
    <w:p w14:paraId="6743EFB5" w14:textId="77777777" w:rsidR="00157A64" w:rsidRPr="00B503D5" w:rsidRDefault="00157A64" w:rsidP="00157A64">
      <w:pPr>
        <w:jc w:val="both"/>
        <w:rPr>
          <w:rFonts w:ascii="Book Antiqua" w:hAnsi="Book Antiqua"/>
        </w:rPr>
      </w:pPr>
    </w:p>
    <w:p w14:paraId="344FD8BB" w14:textId="77777777" w:rsidR="00157A64" w:rsidRPr="00B503D5" w:rsidRDefault="00157A64" w:rsidP="00157A64">
      <w:pPr>
        <w:jc w:val="both"/>
        <w:rPr>
          <w:rFonts w:ascii="Book Antiqua" w:hAnsi="Book Antiqua"/>
          <w:lang w:val="fr-CH"/>
        </w:rPr>
      </w:pPr>
      <w:r w:rsidRPr="00B503D5">
        <w:rPr>
          <w:rFonts w:ascii="Book Antiqua" w:hAnsi="Book Antiqua"/>
          <w:lang w:val="fr-CH"/>
        </w:rPr>
        <w:t>A la suite de sa visite en Suisse en 2015, le CPT a relevé que dans la plupart des établissements carcéraux visités – dont certains sont destinés à l’exécution des mesures thérapeutiques et d’internement</w:t>
      </w:r>
      <w:r w:rsidRPr="00B503D5">
        <w:rPr>
          <w:rStyle w:val="Appelnotedebasdep"/>
          <w:rFonts w:ascii="Book Antiqua" w:eastAsiaTheme="majorEastAsia" w:hAnsi="Book Antiqua"/>
          <w:lang w:val="fr-CH"/>
        </w:rPr>
        <w:footnoteReference w:id="42"/>
      </w:r>
      <w:r w:rsidRPr="00B503D5">
        <w:rPr>
          <w:rFonts w:ascii="Book Antiqua" w:hAnsi="Book Antiqua"/>
          <w:lang w:val="fr-CH"/>
        </w:rPr>
        <w:t xml:space="preserve"> – des </w:t>
      </w:r>
      <w:r>
        <w:rPr>
          <w:rFonts w:ascii="Book Antiqua" w:hAnsi="Book Antiqua"/>
          <w:lang w:val="fr-CH"/>
        </w:rPr>
        <w:t xml:space="preserve">personnes </w:t>
      </w:r>
      <w:r w:rsidRPr="00B503D5">
        <w:rPr>
          <w:rFonts w:ascii="Book Antiqua" w:hAnsi="Book Antiqua"/>
          <w:lang w:val="fr-CH"/>
        </w:rPr>
        <w:t>détenues étaient menottées lors de consultations médicales ou dentaires effectuées en dehors de la prison</w:t>
      </w:r>
      <w:r w:rsidRPr="00B503D5">
        <w:rPr>
          <w:rStyle w:val="Appelnotedebasdep"/>
          <w:rFonts w:ascii="Book Antiqua" w:eastAsiaTheme="majorEastAsia" w:hAnsi="Book Antiqua"/>
          <w:lang w:val="fr-CH"/>
        </w:rPr>
        <w:footnoteReference w:id="43"/>
      </w:r>
      <w:r w:rsidRPr="00B503D5">
        <w:rPr>
          <w:rFonts w:ascii="Book Antiqua" w:hAnsi="Book Antiqua"/>
          <w:lang w:val="fr-CH"/>
        </w:rPr>
        <w:t xml:space="preserve">. Une telle contrainte ne devrait intervenir qu’à </w:t>
      </w:r>
      <w:r w:rsidRPr="00B503D5">
        <w:rPr>
          <w:rFonts w:ascii="Book Antiqua" w:hAnsi="Book Antiqua"/>
          <w:lang w:val="fr-CH"/>
        </w:rPr>
        <w:lastRenderedPageBreak/>
        <w:t>titre exceptionnel</w:t>
      </w:r>
      <w:r w:rsidRPr="00B503D5">
        <w:rPr>
          <w:rStyle w:val="Appelnotedebasdep"/>
          <w:rFonts w:ascii="Book Antiqua" w:eastAsiaTheme="majorEastAsia" w:hAnsi="Book Antiqua"/>
          <w:lang w:val="fr-CH"/>
        </w:rPr>
        <w:footnoteReference w:id="44"/>
      </w:r>
      <w:r w:rsidRPr="00B503D5">
        <w:rPr>
          <w:rFonts w:ascii="Book Antiqua" w:hAnsi="Book Antiqua"/>
          <w:lang w:val="fr-CH"/>
        </w:rPr>
        <w:t xml:space="preserve"> et uniquement sur demande du personnel médical, sous peine de constituer une pratique humiliante et un traitement inhumain et dégradant</w:t>
      </w:r>
      <w:r w:rsidRPr="00B503D5">
        <w:rPr>
          <w:rStyle w:val="Appelnotedebasdep"/>
          <w:rFonts w:ascii="Book Antiqua" w:eastAsiaTheme="majorEastAsia" w:hAnsi="Book Antiqua"/>
          <w:lang w:val="fr-CH"/>
        </w:rPr>
        <w:footnoteReference w:id="45"/>
      </w:r>
      <w:r w:rsidRPr="00B503D5">
        <w:rPr>
          <w:rFonts w:ascii="Book Antiqua" w:hAnsi="Book Antiqua"/>
          <w:lang w:val="fr-CH"/>
        </w:rPr>
        <w:t xml:space="preserve">. Ce recours à la contention mécanique est </w:t>
      </w:r>
      <w:r>
        <w:rPr>
          <w:rFonts w:ascii="Book Antiqua" w:hAnsi="Book Antiqua"/>
          <w:lang w:val="fr-CH"/>
        </w:rPr>
        <w:t>aussi</w:t>
      </w:r>
      <w:r w:rsidRPr="00B503D5">
        <w:rPr>
          <w:rFonts w:ascii="Book Antiqua" w:hAnsi="Book Antiqua"/>
          <w:lang w:val="fr-CH"/>
        </w:rPr>
        <w:t xml:space="preserve"> </w:t>
      </w:r>
      <w:r>
        <w:rPr>
          <w:rFonts w:ascii="Book Antiqua" w:hAnsi="Book Antiqua"/>
          <w:lang w:val="fr-CH"/>
        </w:rPr>
        <w:t xml:space="preserve">nuisible </w:t>
      </w:r>
      <w:r w:rsidRPr="00B503D5">
        <w:rPr>
          <w:rFonts w:ascii="Book Antiqua" w:hAnsi="Book Antiqua"/>
          <w:lang w:val="fr-CH"/>
        </w:rPr>
        <w:t>à l’état de santé des personnes détenues, étant donné qu’elle « empêche d'effectuer un examen médical adéquat, compromet inévitablement l'instauration d'une bonne relation médecin/patient, et peut être préjudiciable à l'établissement de constatations médicales objectives »</w:t>
      </w:r>
      <w:r w:rsidRPr="00B503D5">
        <w:rPr>
          <w:rStyle w:val="Appelnotedebasdep"/>
          <w:rFonts w:ascii="Book Antiqua" w:hAnsi="Book Antiqua"/>
          <w:lang w:val="fr-CH"/>
        </w:rPr>
        <w:footnoteReference w:id="46"/>
      </w:r>
      <w:r w:rsidRPr="00B503D5">
        <w:rPr>
          <w:rFonts w:ascii="Book Antiqua" w:hAnsi="Book Antiqua"/>
          <w:lang w:val="fr-CH"/>
        </w:rPr>
        <w:t>.</w:t>
      </w:r>
      <w:r>
        <w:rPr>
          <w:rFonts w:ascii="Book Antiqua" w:hAnsi="Book Antiqua"/>
          <w:lang w:val="fr-CH"/>
        </w:rPr>
        <w:t xml:space="preserve"> </w:t>
      </w:r>
    </w:p>
    <w:p w14:paraId="763A5FF0" w14:textId="77777777" w:rsidR="00157A64" w:rsidRDefault="00157A64" w:rsidP="00157A64">
      <w:pPr>
        <w:jc w:val="both"/>
        <w:rPr>
          <w:rFonts w:ascii="Book Antiqua" w:hAnsi="Book Antiqua"/>
          <w:lang w:val="fr-CH"/>
        </w:rPr>
      </w:pPr>
    </w:p>
    <w:p w14:paraId="387F6A81" w14:textId="77777777" w:rsidR="00157A64" w:rsidRPr="00E001DE" w:rsidRDefault="00157A64" w:rsidP="00157A64">
      <w:pPr>
        <w:jc w:val="both"/>
        <w:rPr>
          <w:rFonts w:ascii="Book Antiqua" w:eastAsia="Book Antiqua" w:hAnsi="Book Antiqua" w:cs="Book Antiqua"/>
          <w:u w:val="single"/>
        </w:rPr>
      </w:pPr>
      <w:r>
        <w:rPr>
          <w:rFonts w:ascii="Book Antiqua" w:eastAsia="Book Antiqua" w:hAnsi="Book Antiqua" w:cs="Book Antiqua"/>
          <w:highlight w:val="white"/>
          <w:u w:val="single"/>
        </w:rPr>
        <w:t xml:space="preserve">Recours à la contrainte </w:t>
      </w:r>
      <w:r>
        <w:rPr>
          <w:rFonts w:ascii="Book Antiqua" w:eastAsia="Book Antiqua" w:hAnsi="Book Antiqua" w:cs="Book Antiqua"/>
          <w:u w:val="single"/>
        </w:rPr>
        <w:t>chimique</w:t>
      </w:r>
    </w:p>
    <w:p w14:paraId="0B25BB7F" w14:textId="29B87FC9" w:rsidR="00157A64" w:rsidRDefault="00157A64" w:rsidP="00157A64">
      <w:pPr>
        <w:jc w:val="both"/>
        <w:rPr>
          <w:rFonts w:ascii="Book Antiqua" w:hAnsi="Book Antiqua"/>
          <w:lang w:val="fr-CH"/>
        </w:rPr>
      </w:pPr>
      <w:r w:rsidRPr="00E001DE">
        <w:rPr>
          <w:rFonts w:ascii="Book Antiqua" w:hAnsi="Book Antiqua"/>
          <w:lang w:val="fr-CH"/>
        </w:rPr>
        <w:t xml:space="preserve">Lors de sa visite aux EPO </w:t>
      </w:r>
      <w:r w:rsidRPr="009C244C">
        <w:rPr>
          <w:rFonts w:ascii="Book Antiqua" w:hAnsi="Book Antiqua"/>
          <w:lang w:val="fr-CH"/>
        </w:rPr>
        <w:t xml:space="preserve">en 2013, la CNPT a relevé deux cas où la </w:t>
      </w:r>
      <w:r w:rsidRPr="009C244C">
        <w:rPr>
          <w:rFonts w:ascii="Book Antiqua" w:hAnsi="Book Antiqua" w:cs="Times New Roman"/>
          <w:color w:val="212529"/>
          <w:shd w:val="clear" w:color="auto" w:fill="FFFFFF"/>
          <w:lang w:val="fr-CH"/>
        </w:rPr>
        <w:t>Brigade d’intervention pénitentiaire</w:t>
      </w:r>
      <w:r w:rsidRPr="009C244C">
        <w:rPr>
          <w:rFonts w:ascii="Book Antiqua" w:hAnsi="Book Antiqua"/>
          <w:lang w:val="fr-CH"/>
        </w:rPr>
        <w:t xml:space="preserve"> est intervenue pour administrer des médicaments de force</w:t>
      </w:r>
      <w:r w:rsidRPr="009C244C">
        <w:rPr>
          <w:rStyle w:val="Appelnotedebasdep"/>
          <w:rFonts w:ascii="Book Antiqua" w:hAnsi="Book Antiqua"/>
          <w:lang w:val="fr-CH"/>
        </w:rPr>
        <w:footnoteReference w:id="47"/>
      </w:r>
      <w:r w:rsidRPr="009C244C">
        <w:rPr>
          <w:rFonts w:ascii="Book Antiqua" w:hAnsi="Book Antiqua"/>
          <w:lang w:val="fr-CH"/>
        </w:rPr>
        <w:t xml:space="preserve">. Selon le CRPD, toute médication forcée </w:t>
      </w:r>
      <w:r>
        <w:rPr>
          <w:rFonts w:ascii="Book Antiqua" w:hAnsi="Book Antiqua"/>
          <w:lang w:val="fr-CH"/>
        </w:rPr>
        <w:t>à l’encontre des</w:t>
      </w:r>
      <w:r w:rsidRPr="009C244C">
        <w:rPr>
          <w:rFonts w:ascii="Book Antiqua" w:hAnsi="Book Antiqua"/>
          <w:lang w:val="fr-CH"/>
        </w:rPr>
        <w:t xml:space="preserve"> personnes en situation de handicap doit être interdite</w:t>
      </w:r>
      <w:r>
        <w:rPr>
          <w:rStyle w:val="Appelnotedebasdep"/>
          <w:rFonts w:ascii="Book Antiqua" w:hAnsi="Book Antiqua"/>
          <w:lang w:val="fr-CH"/>
        </w:rPr>
        <w:footnoteReference w:id="48"/>
      </w:r>
      <w:r w:rsidRPr="009C244C">
        <w:rPr>
          <w:rFonts w:ascii="Book Antiqua" w:hAnsi="Book Antiqua"/>
          <w:lang w:val="fr-CH"/>
        </w:rPr>
        <w:t>.</w:t>
      </w:r>
      <w:r>
        <w:rPr>
          <w:rFonts w:ascii="Book Antiqua" w:hAnsi="Book Antiqua"/>
          <w:lang w:val="fr-CH"/>
        </w:rPr>
        <w:t xml:space="preserve"> Elle constitue </w:t>
      </w:r>
      <w:r w:rsidRPr="00D73D94">
        <w:rPr>
          <w:rFonts w:ascii="Book Antiqua" w:hAnsi="Book Antiqua"/>
          <w:lang w:val="fr-CH"/>
        </w:rPr>
        <w:t>une violation</w:t>
      </w:r>
      <w:r>
        <w:rPr>
          <w:rFonts w:ascii="Book Antiqua" w:hAnsi="Book Antiqua"/>
          <w:lang w:val="fr-CH"/>
        </w:rPr>
        <w:t xml:space="preserve"> combinée</w:t>
      </w:r>
      <w:r w:rsidRPr="00D73D94">
        <w:rPr>
          <w:rFonts w:ascii="Book Antiqua" w:hAnsi="Book Antiqua"/>
          <w:lang w:val="fr-CH"/>
        </w:rPr>
        <w:t xml:space="preserve"> </w:t>
      </w:r>
      <w:r>
        <w:rPr>
          <w:rFonts w:ascii="Book Antiqua" w:hAnsi="Book Antiqua"/>
          <w:lang w:val="fr-CH"/>
        </w:rPr>
        <w:t>au</w:t>
      </w:r>
      <w:r w:rsidRPr="00D73D94">
        <w:rPr>
          <w:rFonts w:ascii="Book Antiqua" w:hAnsi="Book Antiqua"/>
          <w:lang w:val="fr-CH"/>
        </w:rPr>
        <w:t xml:space="preserve"> droit à la reconnaissance de la personnalité juridique dans des conditions d’égalité</w:t>
      </w:r>
      <w:r>
        <w:rPr>
          <w:rFonts w:ascii="Book Antiqua" w:hAnsi="Book Antiqua"/>
          <w:lang w:val="fr-CH"/>
        </w:rPr>
        <w:t xml:space="preserve"> (art. 12 CDPH), </w:t>
      </w:r>
      <w:r w:rsidRPr="00D73D94">
        <w:rPr>
          <w:rFonts w:ascii="Book Antiqua" w:hAnsi="Book Antiqua"/>
          <w:lang w:val="fr-CH"/>
        </w:rPr>
        <w:t>au droit à l’intégrité (art. 17 CDPH), au droit de ne pas être soumis à la torture (art. 15 CDPH)</w:t>
      </w:r>
      <w:r>
        <w:rPr>
          <w:rFonts w:ascii="Book Antiqua" w:hAnsi="Book Antiqua"/>
          <w:lang w:val="fr-CH"/>
        </w:rPr>
        <w:t>,</w:t>
      </w:r>
      <w:r w:rsidRPr="00D73D94">
        <w:rPr>
          <w:rFonts w:ascii="Book Antiqua" w:hAnsi="Book Antiqua"/>
          <w:lang w:val="fr-CH"/>
        </w:rPr>
        <w:t xml:space="preserve"> au droit de ne pas être soumis à l’exploitation, à la violence et à la maltraitance (art. 16 CDPH)</w:t>
      </w:r>
      <w:r>
        <w:rPr>
          <w:rFonts w:ascii="Book Antiqua" w:hAnsi="Book Antiqua"/>
          <w:lang w:val="fr-CH"/>
        </w:rPr>
        <w:t xml:space="preserve">, </w:t>
      </w:r>
      <w:r w:rsidRPr="005C0FEA">
        <w:rPr>
          <w:rFonts w:ascii="Book Antiqua" w:hAnsi="Book Antiqua"/>
          <w:lang w:val="fr-CH"/>
        </w:rPr>
        <w:t>e</w:t>
      </w:r>
      <w:r>
        <w:rPr>
          <w:rFonts w:ascii="Book Antiqua" w:hAnsi="Book Antiqua"/>
          <w:lang w:val="fr-CH"/>
        </w:rPr>
        <w:t>t au</w:t>
      </w:r>
      <w:r w:rsidRPr="005C0FEA">
        <w:rPr>
          <w:rFonts w:ascii="Book Antiqua" w:hAnsi="Book Antiqua"/>
          <w:lang w:val="fr-CH"/>
        </w:rPr>
        <w:t xml:space="preserve"> droit de jouir du meilleur état de santé possible (art. 25 CDPH)</w:t>
      </w:r>
      <w:r>
        <w:rPr>
          <w:rStyle w:val="Appelnotedebasdep"/>
          <w:rFonts w:ascii="Book Antiqua" w:hAnsi="Book Antiqua"/>
          <w:lang w:val="fr-CH"/>
        </w:rPr>
        <w:footnoteReference w:id="49"/>
      </w:r>
      <w:r>
        <w:rPr>
          <w:rFonts w:ascii="Book Antiqua" w:hAnsi="Book Antiqua"/>
          <w:lang w:val="fr-CH"/>
        </w:rPr>
        <w:t>. Dans le cas d’espèce, il convient aussi de souligner que la médication forcée était réalisée par des agents de la brigade d’intervention et non par des membres du personnel de santé qualifié</w:t>
      </w:r>
      <w:r w:rsidR="00E53246">
        <w:rPr>
          <w:rFonts w:ascii="Book Antiqua" w:hAnsi="Book Antiqua"/>
          <w:lang w:val="fr-CH"/>
        </w:rPr>
        <w:t>e</w:t>
      </w:r>
      <w:r>
        <w:rPr>
          <w:rFonts w:ascii="Book Antiqua" w:hAnsi="Book Antiqua"/>
          <w:lang w:val="fr-CH"/>
        </w:rPr>
        <w:t xml:space="preserve"> et habilité</w:t>
      </w:r>
      <w:r w:rsidR="00E53246">
        <w:rPr>
          <w:rFonts w:ascii="Book Antiqua" w:hAnsi="Book Antiqua"/>
          <w:lang w:val="fr-CH"/>
        </w:rPr>
        <w:t>e</w:t>
      </w:r>
      <w:r>
        <w:rPr>
          <w:rFonts w:ascii="Book Antiqua" w:hAnsi="Book Antiqua"/>
          <w:lang w:val="fr-CH"/>
        </w:rPr>
        <w:t xml:space="preserve"> par la loi</w:t>
      </w:r>
      <w:r>
        <w:rPr>
          <w:rStyle w:val="Appelnotedebasdep"/>
          <w:rFonts w:ascii="Book Antiqua" w:hAnsi="Book Antiqua"/>
          <w:lang w:val="fr-CH"/>
        </w:rPr>
        <w:footnoteReference w:id="50"/>
      </w:r>
      <w:r>
        <w:rPr>
          <w:rFonts w:ascii="Book Antiqua" w:hAnsi="Book Antiqua"/>
          <w:lang w:val="fr-CH"/>
        </w:rPr>
        <w:t>.</w:t>
      </w:r>
    </w:p>
    <w:p w14:paraId="4196A871" w14:textId="77777777" w:rsidR="00157A64" w:rsidRDefault="00157A64" w:rsidP="00157A64">
      <w:pPr>
        <w:jc w:val="both"/>
        <w:rPr>
          <w:rFonts w:ascii="Book Antiqua" w:hAnsi="Book Antiqua"/>
          <w:lang w:val="fr-CH"/>
        </w:rPr>
      </w:pPr>
    </w:p>
    <w:p w14:paraId="4BC8BE75" w14:textId="77777777" w:rsidR="00157A64" w:rsidRDefault="00157A64" w:rsidP="00157A64">
      <w:pPr>
        <w:jc w:val="both"/>
        <w:rPr>
          <w:rFonts w:ascii="Book Antiqua" w:hAnsi="Book Antiqua"/>
          <w:lang w:val="fr-CH"/>
        </w:rPr>
      </w:pPr>
      <w:r>
        <w:rPr>
          <w:rFonts w:ascii="Book Antiqua" w:hAnsi="Book Antiqua"/>
          <w:lang w:val="fr-CH"/>
        </w:rPr>
        <w:t>Le spray au poivre est également un moyen de contention chimique utilisé dans les établissements pénitentiaires suisses</w:t>
      </w:r>
      <w:r>
        <w:rPr>
          <w:rStyle w:val="Appelnotedebasdep"/>
          <w:rFonts w:ascii="Book Antiqua" w:hAnsi="Book Antiqua"/>
          <w:lang w:val="fr-CH"/>
        </w:rPr>
        <w:footnoteReference w:id="51"/>
      </w:r>
      <w:r>
        <w:rPr>
          <w:rFonts w:ascii="Book Antiqua" w:hAnsi="Book Antiqua"/>
          <w:lang w:val="fr-CH"/>
        </w:rPr>
        <w:t>. D’après le CPT, « </w:t>
      </w:r>
      <w:r w:rsidRPr="008F11D4">
        <w:rPr>
          <w:rFonts w:ascii="Book Antiqua" w:hAnsi="Book Antiqua"/>
          <w:lang w:val="fr-CH"/>
        </w:rPr>
        <w:t>le spray au poivre ne devrait pas faire partie de l’équipement standard d’un fonctionnaire pénitentiaire</w:t>
      </w:r>
      <w:r>
        <w:rPr>
          <w:rFonts w:ascii="Book Antiqua" w:hAnsi="Book Antiqua"/>
          <w:lang w:val="fr-CH"/>
        </w:rPr>
        <w:t> »</w:t>
      </w:r>
      <w:r>
        <w:rPr>
          <w:rStyle w:val="Appelnotedebasdep"/>
          <w:rFonts w:ascii="Book Antiqua" w:hAnsi="Book Antiqua"/>
          <w:lang w:val="fr-CH"/>
        </w:rPr>
        <w:footnoteReference w:id="52"/>
      </w:r>
      <w:r>
        <w:rPr>
          <w:rFonts w:ascii="Book Antiqua" w:hAnsi="Book Antiqua"/>
          <w:lang w:val="fr-CH"/>
        </w:rPr>
        <w:t>.</w:t>
      </w:r>
      <w:r w:rsidRPr="008F11D4">
        <w:t xml:space="preserve"> </w:t>
      </w:r>
      <w:r>
        <w:rPr>
          <w:rFonts w:ascii="Book Antiqua" w:hAnsi="Book Antiqua"/>
          <w:lang w:val="fr-CH"/>
        </w:rPr>
        <w:t>L</w:t>
      </w:r>
      <w:r w:rsidRPr="008F11D4">
        <w:rPr>
          <w:rFonts w:ascii="Book Antiqua" w:hAnsi="Book Antiqua"/>
          <w:lang w:val="fr-CH"/>
        </w:rPr>
        <w:t>a C</w:t>
      </w:r>
      <w:r>
        <w:rPr>
          <w:rFonts w:ascii="Book Antiqua" w:hAnsi="Book Antiqua"/>
          <w:lang w:val="fr-CH"/>
        </w:rPr>
        <w:t>ourEDH</w:t>
      </w:r>
      <w:r w:rsidRPr="008F11D4">
        <w:rPr>
          <w:rFonts w:ascii="Book Antiqua" w:hAnsi="Book Antiqua"/>
          <w:lang w:val="fr-CH"/>
        </w:rPr>
        <w:t xml:space="preserve"> estime que </w:t>
      </w:r>
      <w:r>
        <w:rPr>
          <w:rFonts w:ascii="Book Antiqua" w:hAnsi="Book Antiqua"/>
          <w:lang w:val="fr-CH"/>
        </w:rPr>
        <w:t>son utilisation devrait être</w:t>
      </w:r>
      <w:r w:rsidRPr="008F11D4">
        <w:rPr>
          <w:rFonts w:ascii="Book Antiqua" w:hAnsi="Book Antiqua"/>
          <w:lang w:val="fr-CH"/>
        </w:rPr>
        <w:t xml:space="preserve"> interdite à l’encontre des personnes </w:t>
      </w:r>
      <w:r>
        <w:rPr>
          <w:rFonts w:ascii="Book Antiqua" w:hAnsi="Book Antiqua"/>
          <w:lang w:val="fr-CH"/>
        </w:rPr>
        <w:t>détenues car</w:t>
      </w:r>
      <w:r w:rsidRPr="008F11D4">
        <w:rPr>
          <w:rFonts w:ascii="Book Antiqua" w:hAnsi="Book Antiqua"/>
          <w:lang w:val="fr-CH"/>
        </w:rPr>
        <w:t xml:space="preserve"> elle constitue un traitement inhumain et dégradant </w:t>
      </w:r>
      <w:r>
        <w:rPr>
          <w:rFonts w:ascii="Book Antiqua" w:hAnsi="Book Antiqua"/>
          <w:lang w:val="fr-CH"/>
        </w:rPr>
        <w:t xml:space="preserve">au sens de l’art. </w:t>
      </w:r>
      <w:r w:rsidRPr="008F11D4">
        <w:rPr>
          <w:rFonts w:ascii="Book Antiqua" w:hAnsi="Book Antiqua"/>
          <w:lang w:val="fr-CH"/>
        </w:rPr>
        <w:t>3 CEDH</w:t>
      </w:r>
      <w:r>
        <w:rPr>
          <w:rStyle w:val="Appelnotedebasdep"/>
          <w:rFonts w:ascii="Book Antiqua" w:hAnsi="Book Antiqua"/>
          <w:lang w:val="fr-CH"/>
        </w:rPr>
        <w:footnoteReference w:id="53"/>
      </w:r>
      <w:r w:rsidRPr="008F11D4">
        <w:rPr>
          <w:rFonts w:ascii="Book Antiqua" w:hAnsi="Book Antiqua"/>
          <w:lang w:val="fr-CH"/>
        </w:rPr>
        <w:t>.</w:t>
      </w:r>
    </w:p>
    <w:p w14:paraId="6F3F6C50" w14:textId="77777777" w:rsidR="00157A64" w:rsidRDefault="00157A64" w:rsidP="00157A64">
      <w:pPr>
        <w:jc w:val="both"/>
        <w:rPr>
          <w:rFonts w:ascii="Book Antiqua" w:hAnsi="Book Antiqua"/>
          <w:lang w:val="fr-CH"/>
        </w:rPr>
      </w:pPr>
    </w:p>
    <w:p w14:paraId="6F2B22C9" w14:textId="77777777" w:rsidR="00157A64" w:rsidRDefault="00157A64" w:rsidP="00157A64">
      <w:pPr>
        <w:jc w:val="both"/>
        <w:rPr>
          <w:rFonts w:ascii="Book Antiqua" w:eastAsia="Book Antiqua" w:hAnsi="Book Antiqua" w:cs="Book Antiqua"/>
          <w:u w:val="single"/>
        </w:rPr>
      </w:pPr>
      <w:r>
        <w:rPr>
          <w:rFonts w:ascii="Book Antiqua" w:eastAsia="Book Antiqua" w:hAnsi="Book Antiqua" w:cs="Book Antiqua"/>
          <w:highlight w:val="white"/>
          <w:u w:val="single"/>
        </w:rPr>
        <w:t xml:space="preserve">Recours à la contrainte </w:t>
      </w:r>
      <w:r>
        <w:rPr>
          <w:rFonts w:ascii="Book Antiqua" w:eastAsia="Book Antiqua" w:hAnsi="Book Antiqua" w:cs="Book Antiqua"/>
          <w:u w:val="single"/>
        </w:rPr>
        <w:t>spatiale</w:t>
      </w:r>
    </w:p>
    <w:p w14:paraId="64E25E3F" w14:textId="77777777" w:rsidR="00157A64" w:rsidRPr="00923FFA" w:rsidRDefault="00157A64" w:rsidP="00157A64">
      <w:pPr>
        <w:jc w:val="both"/>
        <w:rPr>
          <w:rFonts w:ascii="Book Antiqua" w:eastAsia="Times" w:hAnsi="Book Antiqua" w:cs="Times"/>
          <w:lang w:val="fr-CH"/>
        </w:rPr>
      </w:pPr>
      <w:r w:rsidRPr="00F43804">
        <w:rPr>
          <w:rFonts w:ascii="Book Antiqua" w:hAnsi="Book Antiqua"/>
          <w:lang w:val="fr-CH"/>
        </w:rPr>
        <w:t>L</w:t>
      </w:r>
      <w:r w:rsidRPr="00F43804">
        <w:rPr>
          <w:rFonts w:ascii="Book Antiqua" w:eastAsia="Times" w:hAnsi="Book Antiqua" w:cs="Times"/>
          <w:lang w:val="fr-CH"/>
        </w:rPr>
        <w:t xml:space="preserve">’isolement cellulaire est fréquemment utilisé dans les prisons </w:t>
      </w:r>
      <w:r>
        <w:rPr>
          <w:rFonts w:ascii="Book Antiqua" w:eastAsia="Times" w:hAnsi="Book Antiqua" w:cs="Times"/>
          <w:lang w:val="fr-CH"/>
        </w:rPr>
        <w:t>suisses,</w:t>
      </w:r>
      <w:r w:rsidRPr="00F43804">
        <w:rPr>
          <w:rFonts w:ascii="Book Antiqua" w:eastAsia="Times" w:hAnsi="Book Antiqua" w:cs="Times"/>
          <w:lang w:val="fr-CH"/>
        </w:rPr>
        <w:t xml:space="preserve"> notamment à l’égard des personnes en situation handicap mental exécutant une mesure thérapeutique </w:t>
      </w:r>
      <w:r w:rsidRPr="00F43804">
        <w:rPr>
          <w:rFonts w:ascii="Book Antiqua" w:eastAsia="Times" w:hAnsi="Book Antiqua" w:cs="Times"/>
          <w:lang w:val="fr-CH"/>
        </w:rPr>
        <w:lastRenderedPageBreak/>
        <w:t>institutionnelle ou en internement</w:t>
      </w:r>
      <w:r w:rsidRPr="00F43804">
        <w:rPr>
          <w:rFonts w:ascii="Book Antiqua" w:eastAsia="Times" w:hAnsi="Book Antiqua" w:cs="Times"/>
          <w:vertAlign w:val="superscript"/>
        </w:rPr>
        <w:footnoteReference w:id="54"/>
      </w:r>
      <w:r w:rsidRPr="00F43804">
        <w:rPr>
          <w:rFonts w:ascii="Book Antiqua" w:eastAsia="Times" w:hAnsi="Book Antiqua" w:cs="Times"/>
          <w:lang w:val="fr-CH"/>
        </w:rPr>
        <w:t xml:space="preserve">, cela malgré les conséquences néfastes que celui-ci peut avoir sur leur situation </w:t>
      </w:r>
      <w:r>
        <w:rPr>
          <w:rFonts w:ascii="Book Antiqua" w:eastAsia="Times" w:hAnsi="Book Antiqua" w:cs="Times"/>
          <w:lang w:val="fr-CH"/>
        </w:rPr>
        <w:t>de</w:t>
      </w:r>
      <w:r w:rsidRPr="00F43804">
        <w:rPr>
          <w:rFonts w:ascii="Book Antiqua" w:eastAsia="Times" w:hAnsi="Book Antiqua" w:cs="Times"/>
          <w:lang w:val="fr-CH"/>
        </w:rPr>
        <w:t xml:space="preserve"> vulnérab</w:t>
      </w:r>
      <w:r>
        <w:rPr>
          <w:rFonts w:ascii="Book Antiqua" w:eastAsia="Times" w:hAnsi="Book Antiqua" w:cs="Times"/>
          <w:lang w:val="fr-CH"/>
        </w:rPr>
        <w:t>ilité</w:t>
      </w:r>
      <w:r w:rsidRPr="00F43804">
        <w:rPr>
          <w:rFonts w:ascii="Book Antiqua" w:eastAsia="Times" w:hAnsi="Book Antiqua" w:cs="Times"/>
          <w:vertAlign w:val="superscript"/>
        </w:rPr>
        <w:footnoteReference w:id="55"/>
      </w:r>
      <w:r w:rsidRPr="00F43804">
        <w:rPr>
          <w:rFonts w:ascii="Book Antiqua" w:eastAsia="Times" w:hAnsi="Book Antiqua" w:cs="Times"/>
          <w:lang w:val="fr-CH"/>
        </w:rPr>
        <w:t xml:space="preserve">. </w:t>
      </w:r>
      <w:r>
        <w:rPr>
          <w:rFonts w:ascii="Book Antiqua" w:eastAsia="Times" w:hAnsi="Book Antiqua" w:cs="Times"/>
          <w:lang w:val="fr-CH"/>
        </w:rPr>
        <w:t>A ce titre, l</w:t>
      </w:r>
      <w:r w:rsidRPr="00F43804">
        <w:rPr>
          <w:rFonts w:ascii="Book Antiqua" w:eastAsia="Times" w:hAnsi="Book Antiqua" w:cs="Times"/>
          <w:lang w:val="fr-CH"/>
        </w:rPr>
        <w:t xml:space="preserve">es Règles Nelson Mandela et les Règles </w:t>
      </w:r>
      <w:r>
        <w:rPr>
          <w:rFonts w:ascii="Book Antiqua" w:eastAsia="Times" w:hAnsi="Book Antiqua" w:cs="Times"/>
          <w:lang w:val="fr-CH"/>
        </w:rPr>
        <w:t>P</w:t>
      </w:r>
      <w:r w:rsidRPr="00F43804">
        <w:rPr>
          <w:rFonts w:ascii="Book Antiqua" w:eastAsia="Times" w:hAnsi="Book Antiqua" w:cs="Times"/>
          <w:lang w:val="fr-CH"/>
        </w:rPr>
        <w:t xml:space="preserve">énitentiaires </w:t>
      </w:r>
      <w:r>
        <w:rPr>
          <w:rFonts w:ascii="Book Antiqua" w:eastAsia="Times" w:hAnsi="Book Antiqua" w:cs="Times"/>
          <w:lang w:val="fr-CH"/>
        </w:rPr>
        <w:t>E</w:t>
      </w:r>
      <w:r w:rsidRPr="00F43804">
        <w:rPr>
          <w:rFonts w:ascii="Book Antiqua" w:eastAsia="Times" w:hAnsi="Book Antiqua" w:cs="Times"/>
          <w:lang w:val="fr-CH"/>
        </w:rPr>
        <w:t xml:space="preserve">uropéennes </w:t>
      </w:r>
      <w:r>
        <w:rPr>
          <w:rFonts w:ascii="Book Antiqua" w:eastAsia="Times" w:hAnsi="Book Antiqua" w:cs="Times"/>
          <w:lang w:val="fr-CH"/>
        </w:rPr>
        <w:t>avancent</w:t>
      </w:r>
      <w:r w:rsidRPr="00F43804">
        <w:rPr>
          <w:rFonts w:ascii="Book Antiqua" w:eastAsia="Times" w:hAnsi="Book Antiqua" w:cs="Times"/>
          <w:lang w:val="fr-CH"/>
        </w:rPr>
        <w:t xml:space="preserve"> que l’isolement devrait être interdit pour les </w:t>
      </w:r>
      <w:r w:rsidRPr="00923FFA">
        <w:rPr>
          <w:rFonts w:ascii="Book Antiqua" w:eastAsia="Times" w:hAnsi="Book Antiqua" w:cs="Times"/>
          <w:lang w:val="fr-CH"/>
        </w:rPr>
        <w:t>personnes détenues en situation de handicap mental ou physique lorsqu’il pourrait aggraver leur état</w:t>
      </w:r>
      <w:r w:rsidRPr="00923FFA">
        <w:rPr>
          <w:rStyle w:val="Appelnotedebasdep"/>
          <w:rFonts w:ascii="Book Antiqua" w:eastAsia="Times" w:hAnsi="Book Antiqua" w:cs="Times"/>
          <w:lang w:val="fr-CH"/>
        </w:rPr>
        <w:footnoteReference w:id="56"/>
      </w:r>
      <w:r w:rsidRPr="00923FFA">
        <w:rPr>
          <w:rFonts w:ascii="Book Antiqua" w:eastAsia="Times" w:hAnsi="Book Antiqua" w:cs="Times"/>
          <w:lang w:val="fr-CH"/>
        </w:rPr>
        <w:t>.</w:t>
      </w:r>
    </w:p>
    <w:p w14:paraId="5B468003" w14:textId="77777777" w:rsidR="00157A64" w:rsidRPr="00923FFA" w:rsidRDefault="00157A64" w:rsidP="00157A64">
      <w:pPr>
        <w:jc w:val="both"/>
        <w:rPr>
          <w:rFonts w:ascii="Book Antiqua" w:eastAsia="Times" w:hAnsi="Book Antiqua" w:cs="Times"/>
          <w:lang w:val="fr-CH"/>
        </w:rPr>
      </w:pPr>
    </w:p>
    <w:p w14:paraId="4D769F43" w14:textId="0B030AE6" w:rsidR="004F1B5A" w:rsidRPr="00284B1F" w:rsidRDefault="00157A64" w:rsidP="00284B1F">
      <w:pPr>
        <w:jc w:val="both"/>
        <w:rPr>
          <w:rFonts w:ascii="Book Antiqua" w:eastAsia="Times" w:hAnsi="Book Antiqua" w:cs="Times"/>
          <w:lang w:val="fr-CH"/>
        </w:rPr>
      </w:pPr>
      <w:r w:rsidRPr="0022441C">
        <w:rPr>
          <w:rFonts w:ascii="Book Antiqua" w:eastAsia="Times" w:hAnsi="Book Antiqua" w:cs="Times"/>
          <w:lang w:val="fr-CH"/>
        </w:rPr>
        <w:t>Les personnes internées dans les unités de haute sécurité en Suisse présentent quasi systématiquement de graves problèmes de santé mentale</w:t>
      </w:r>
      <w:r>
        <w:rPr>
          <w:rFonts w:ascii="Book Antiqua" w:eastAsia="Times" w:hAnsi="Book Antiqua" w:cs="Times"/>
          <w:lang w:val="fr-CH"/>
        </w:rPr>
        <w:t xml:space="preserve"> et</w:t>
      </w:r>
      <w:r w:rsidRPr="0022441C">
        <w:rPr>
          <w:rFonts w:ascii="Book Antiqua" w:eastAsia="Times" w:hAnsi="Book Antiqua" w:cs="Times"/>
          <w:lang w:val="fr-CH"/>
        </w:rPr>
        <w:t xml:space="preserve"> s’y trouvent souvent en raison de leur handicap mental</w:t>
      </w:r>
      <w:r>
        <w:rPr>
          <w:rFonts w:ascii="Book Antiqua" w:eastAsia="Times" w:hAnsi="Book Antiqua" w:cs="Times"/>
          <w:lang w:val="fr-CH"/>
        </w:rPr>
        <w:t xml:space="preserve"> </w:t>
      </w:r>
      <w:r w:rsidRPr="002B1151">
        <w:rPr>
          <w:rFonts w:ascii="Book Antiqua" w:eastAsia="Times" w:hAnsi="Book Antiqua" w:cs="Times"/>
          <w:lang w:val="fr-CH"/>
        </w:rPr>
        <w:t xml:space="preserve">et non </w:t>
      </w:r>
      <w:r>
        <w:rPr>
          <w:rFonts w:ascii="Book Antiqua" w:eastAsia="Times" w:hAnsi="Book Antiqua" w:cs="Times"/>
          <w:lang w:val="fr-CH"/>
        </w:rPr>
        <w:t xml:space="preserve">forcément </w:t>
      </w:r>
      <w:r w:rsidRPr="002B1151">
        <w:rPr>
          <w:rFonts w:ascii="Book Antiqua" w:eastAsia="Times" w:hAnsi="Book Antiqua" w:cs="Times"/>
          <w:lang w:val="fr-CH"/>
        </w:rPr>
        <w:t>en raison d’</w:t>
      </w:r>
      <w:r w:rsidRPr="002B1151">
        <w:rPr>
          <w:rFonts w:ascii="Book Antiqua" w:hAnsi="Book Antiqua"/>
          <w:lang w:val="fr-CH"/>
        </w:rPr>
        <w:t>un comportement contraire au règlement de l’établissement</w:t>
      </w:r>
      <w:r w:rsidRPr="002B1151">
        <w:rPr>
          <w:rFonts w:ascii="Book Antiqua" w:eastAsia="Times" w:hAnsi="Book Antiqua" w:cs="Times"/>
          <w:vertAlign w:val="superscript"/>
        </w:rPr>
        <w:footnoteReference w:id="57"/>
      </w:r>
      <w:r w:rsidRPr="002B1151">
        <w:rPr>
          <w:rFonts w:ascii="Book Antiqua" w:eastAsia="Times" w:hAnsi="Book Antiqua" w:cs="Times"/>
          <w:lang w:val="fr-CH"/>
        </w:rPr>
        <w:t xml:space="preserve">. </w:t>
      </w:r>
      <w:r w:rsidRPr="002B1151">
        <w:rPr>
          <w:rFonts w:ascii="Book Antiqua" w:hAnsi="Book Antiqua"/>
          <w:lang w:val="fr-CH"/>
        </w:rPr>
        <w:t>Il faut donc supposer que le critère de dangerosité justifiant le placement dans ces unités est</w:t>
      </w:r>
      <w:r w:rsidRPr="0022441C">
        <w:rPr>
          <w:rFonts w:ascii="Book Antiqua" w:hAnsi="Book Antiqua"/>
          <w:lang w:val="fr-CH"/>
        </w:rPr>
        <w:t xml:space="preserve"> souvent à mettre en lien avec les troubles psychiques des personnes condamnées</w:t>
      </w:r>
      <w:r w:rsidRPr="0022441C">
        <w:rPr>
          <w:rStyle w:val="Appelnotedebasdep"/>
          <w:rFonts w:ascii="Book Antiqua" w:hAnsi="Book Antiqua"/>
        </w:rPr>
        <w:footnoteReference w:id="58"/>
      </w:r>
      <w:r w:rsidRPr="0022441C">
        <w:rPr>
          <w:rFonts w:ascii="Book Antiqua" w:hAnsi="Book Antiqua"/>
          <w:lang w:val="fr-CH"/>
        </w:rPr>
        <w:t xml:space="preserve">. La CNPT précise </w:t>
      </w:r>
      <w:r w:rsidR="000B29F2">
        <w:rPr>
          <w:rFonts w:ascii="Book Antiqua" w:hAnsi="Book Antiqua"/>
          <w:lang w:val="fr-CH"/>
        </w:rPr>
        <w:t>qu’un</w:t>
      </w:r>
      <w:r w:rsidRPr="0022441C">
        <w:rPr>
          <w:rFonts w:ascii="Book Antiqua" w:hAnsi="Book Antiqua"/>
          <w:lang w:val="fr-CH"/>
        </w:rPr>
        <w:t> </w:t>
      </w:r>
      <w:r w:rsidRPr="0022441C">
        <w:rPr>
          <w:rFonts w:ascii="Book Antiqua" w:eastAsia="Times" w:hAnsi="Book Antiqua" w:cs="Times"/>
          <w:lang w:val="fr-CH"/>
        </w:rPr>
        <w:t>« placement de plusieurs mois, voire de plusieurs années, dans un quartier de haute sécurité pour ces personnes jugées vulnérables n’est pas admissible au regard des droits fondamentaux. [...] Il y a lieu de rappeler que la mesure a été ordonnée précisément en raison de la dangerosité, souvent attestée par une expertise de la personne placée. Il convient dès lors de répondre à cette dangerosité par des moyens thérapeutiques et non par des mesures de sûreté »</w:t>
      </w:r>
      <w:r w:rsidRPr="0022441C">
        <w:rPr>
          <w:rFonts w:ascii="Book Antiqua" w:eastAsia="Times" w:hAnsi="Book Antiqua" w:cs="Times"/>
          <w:vertAlign w:val="superscript"/>
        </w:rPr>
        <w:footnoteReference w:id="59"/>
      </w:r>
      <w:r w:rsidRPr="0022441C">
        <w:rPr>
          <w:rFonts w:ascii="Book Antiqua" w:eastAsia="Times" w:hAnsi="Book Antiqua" w:cs="Times"/>
          <w:smallCaps/>
          <w:lang w:val="fr-CH"/>
        </w:rPr>
        <w:t xml:space="preserve">. </w:t>
      </w:r>
      <w:r w:rsidR="009528CF">
        <w:rPr>
          <w:rFonts w:ascii="Book Antiqua" w:eastAsia="Times" w:hAnsi="Book Antiqua" w:cs="Times"/>
          <w:lang w:val="fr-CH"/>
        </w:rPr>
        <w:t>On peut</w:t>
      </w:r>
      <w:r w:rsidRPr="0022441C">
        <w:rPr>
          <w:rFonts w:ascii="Book Antiqua" w:eastAsia="Times" w:hAnsi="Book Antiqua" w:cs="Times"/>
          <w:lang w:val="fr-CH"/>
        </w:rPr>
        <w:t xml:space="preserve"> admet</w:t>
      </w:r>
      <w:r w:rsidR="009528CF">
        <w:rPr>
          <w:rFonts w:ascii="Book Antiqua" w:eastAsia="Times" w:hAnsi="Book Antiqua" w:cs="Times"/>
          <w:lang w:val="fr-CH"/>
        </w:rPr>
        <w:t>tre</w:t>
      </w:r>
      <w:r w:rsidRPr="0022441C">
        <w:rPr>
          <w:rFonts w:ascii="Book Antiqua" w:eastAsia="Times" w:hAnsi="Book Antiqua" w:cs="Times"/>
          <w:lang w:val="fr-CH"/>
        </w:rPr>
        <w:t xml:space="preserve"> que l’isolement dans les unités de haute sécurité est un « déni de la capacité juridique des personnes handicapées », lequel constitue « une privation arbitraire de liberté et viole les articles 12 et 14 de la Convention »</w:t>
      </w:r>
      <w:r w:rsidRPr="0022441C">
        <w:rPr>
          <w:rFonts w:ascii="Book Antiqua" w:eastAsia="Times" w:hAnsi="Book Antiqua" w:cs="Times"/>
          <w:vertAlign w:val="superscript"/>
        </w:rPr>
        <w:footnoteReference w:id="60"/>
      </w:r>
      <w:r w:rsidRPr="0022441C">
        <w:rPr>
          <w:rFonts w:ascii="Book Antiqua" w:eastAsia="Times" w:hAnsi="Book Antiqua" w:cs="Times"/>
          <w:lang w:val="fr-CH"/>
        </w:rPr>
        <w:t>. De plus, un tel isolement ne peut</w:t>
      </w:r>
      <w:r w:rsidR="00284B1F">
        <w:rPr>
          <w:rFonts w:ascii="Book Antiqua" w:eastAsia="Times" w:hAnsi="Book Antiqua" w:cs="Times"/>
          <w:lang w:val="fr-CH"/>
        </w:rPr>
        <w:t xml:space="preserve"> pas</w:t>
      </w:r>
      <w:r w:rsidRPr="0022441C">
        <w:rPr>
          <w:rFonts w:ascii="Book Antiqua" w:eastAsia="Times" w:hAnsi="Book Antiqua" w:cs="Times"/>
          <w:lang w:val="fr-CH"/>
        </w:rPr>
        <w:t xml:space="preserve"> être considéré comme un traitement thérapeutique adéquat, et dans ce sens, correspond à un traitement inapproprié constitutif d’une violation des articles 3 CEDH et 15 CDPH</w:t>
      </w:r>
      <w:r w:rsidRPr="0022441C">
        <w:rPr>
          <w:rFonts w:ascii="Book Antiqua" w:eastAsia="Times" w:hAnsi="Book Antiqua" w:cs="Times"/>
          <w:vertAlign w:val="superscript"/>
        </w:rPr>
        <w:footnoteReference w:id="61"/>
      </w:r>
      <w:r w:rsidRPr="0022441C">
        <w:rPr>
          <w:rFonts w:ascii="Book Antiqua" w:eastAsia="Times" w:hAnsi="Book Antiqua" w:cs="Times"/>
          <w:lang w:val="fr-CH"/>
        </w:rPr>
        <w:t>. Dès lors, tant le CPT que la CNPT recommande</w:t>
      </w:r>
      <w:r>
        <w:rPr>
          <w:rFonts w:ascii="Book Antiqua" w:eastAsia="Times" w:hAnsi="Book Antiqua" w:cs="Times"/>
          <w:lang w:val="fr-CH"/>
        </w:rPr>
        <w:t>nt</w:t>
      </w:r>
      <w:r w:rsidRPr="0022441C">
        <w:rPr>
          <w:rFonts w:ascii="Book Antiqua" w:eastAsia="Times" w:hAnsi="Book Antiqua" w:cs="Times"/>
          <w:lang w:val="fr-CH"/>
        </w:rPr>
        <w:t xml:space="preserve"> aux autorités suisses de ne pas interner les personnes en situation de handicap mental dans les unités de haute sécurité, mais de les transférer dans des hôpitaux psychiatriques</w:t>
      </w:r>
      <w:r w:rsidRPr="0022441C">
        <w:rPr>
          <w:rFonts w:ascii="Book Antiqua" w:eastAsia="Times" w:hAnsi="Book Antiqua" w:cs="Times"/>
          <w:vertAlign w:val="superscript"/>
        </w:rPr>
        <w:footnoteReference w:id="62"/>
      </w:r>
      <w:r w:rsidRPr="0022441C">
        <w:rPr>
          <w:rFonts w:ascii="Book Antiqua" w:eastAsia="Times" w:hAnsi="Book Antiqua" w:cs="Times"/>
          <w:lang w:val="fr-CH"/>
        </w:rPr>
        <w:t>.</w:t>
      </w:r>
    </w:p>
    <w:p w14:paraId="5AC8AC46" w14:textId="108286D3" w:rsidR="004F1B5A" w:rsidRPr="00C345F7" w:rsidRDefault="00E7179B">
      <w:pPr>
        <w:pStyle w:val="Titre3"/>
        <w:numPr>
          <w:ilvl w:val="1"/>
          <w:numId w:val="1"/>
        </w:numPr>
        <w:rPr>
          <w:b/>
          <w:bCs/>
        </w:rPr>
      </w:pPr>
      <w:bookmarkStart w:id="5" w:name="_Toc95769350"/>
      <w:r>
        <w:rPr>
          <w:b/>
          <w:bCs/>
        </w:rPr>
        <w:lastRenderedPageBreak/>
        <w:t>Recours aux</w:t>
      </w:r>
      <w:r w:rsidR="005807D4" w:rsidRPr="00C345F7">
        <w:rPr>
          <w:b/>
          <w:bCs/>
        </w:rPr>
        <w:t xml:space="preserve"> moyens de contrainte dans </w:t>
      </w:r>
      <w:r w:rsidR="00C345F7">
        <w:rPr>
          <w:b/>
          <w:bCs/>
        </w:rPr>
        <w:t>l</w:t>
      </w:r>
      <w:r w:rsidR="005807D4" w:rsidRPr="00C345F7">
        <w:rPr>
          <w:b/>
          <w:bCs/>
        </w:rPr>
        <w:t xml:space="preserve">es établissements psychiatriques </w:t>
      </w:r>
      <w:r w:rsidR="00981D55" w:rsidRPr="00C345F7">
        <w:rPr>
          <w:b/>
          <w:bCs/>
        </w:rPr>
        <w:t>(articles 5, 12, 15, 17 et 25 CDPH)</w:t>
      </w:r>
      <w:bookmarkEnd w:id="5"/>
    </w:p>
    <w:p w14:paraId="5F85D896" w14:textId="77777777" w:rsidR="004F1B5A" w:rsidRDefault="004F1B5A"/>
    <w:p w14:paraId="1609713E" w14:textId="77777777" w:rsidR="00981D55" w:rsidRDefault="00981D55" w:rsidP="00981D55">
      <w:pPr>
        <w:jc w:val="both"/>
        <w:rPr>
          <w:rFonts w:ascii="Book Antiqua" w:hAnsi="Book Antiqua"/>
        </w:rPr>
      </w:pPr>
      <w:bookmarkStart w:id="6" w:name="_3dy6vkm" w:colFirst="0" w:colLast="0"/>
      <w:bookmarkEnd w:id="6"/>
      <w:r>
        <w:rPr>
          <w:rFonts w:ascii="Book Antiqua" w:hAnsi="Book Antiqua"/>
        </w:rPr>
        <w:t>En dépit des recommandations du CRPD</w:t>
      </w:r>
      <w:r>
        <w:rPr>
          <w:rStyle w:val="Appelnotedebasdep"/>
          <w:rFonts w:ascii="Book Antiqua" w:hAnsi="Book Antiqua"/>
        </w:rPr>
        <w:footnoteReference w:id="63"/>
      </w:r>
      <w:r>
        <w:rPr>
          <w:rFonts w:ascii="Book Antiqua" w:hAnsi="Book Antiqua"/>
        </w:rPr>
        <w:t>, a</w:t>
      </w:r>
      <w:r w:rsidRPr="002454C2">
        <w:rPr>
          <w:rFonts w:ascii="Book Antiqua" w:hAnsi="Book Antiqua"/>
        </w:rPr>
        <w:t>u sein des établissements psychiatriques suisses</w:t>
      </w:r>
      <w:r>
        <w:rPr>
          <w:rFonts w:ascii="Book Antiqua" w:hAnsi="Book Antiqua"/>
        </w:rPr>
        <w:t>,</w:t>
      </w:r>
      <w:r w:rsidRPr="002454C2">
        <w:rPr>
          <w:rFonts w:ascii="Book Antiqua" w:hAnsi="Book Antiqua"/>
        </w:rPr>
        <w:t xml:space="preserve"> les moyens de contrainte sont couramment employés.</w:t>
      </w:r>
      <w:r>
        <w:rPr>
          <w:rFonts w:ascii="Book Antiqua" w:hAnsi="Book Antiqua"/>
        </w:rPr>
        <w:t xml:space="preserve"> Certains exemples de leur usage seront analysés ci-dessous. </w:t>
      </w:r>
    </w:p>
    <w:p w14:paraId="034A0E26" w14:textId="77777777" w:rsidR="00981D55" w:rsidRDefault="00981D55" w:rsidP="00981D55">
      <w:pPr>
        <w:jc w:val="both"/>
        <w:rPr>
          <w:rFonts w:ascii="Book Antiqua" w:hAnsi="Book Antiqua"/>
        </w:rPr>
      </w:pPr>
    </w:p>
    <w:p w14:paraId="4B0D8B3D" w14:textId="30B0CE26" w:rsidR="00981D55" w:rsidRDefault="00981D55" w:rsidP="00981D55">
      <w:pPr>
        <w:jc w:val="both"/>
        <w:rPr>
          <w:rFonts w:ascii="Book Antiqua" w:hAnsi="Book Antiqua"/>
        </w:rPr>
      </w:pPr>
      <w:r w:rsidRPr="002454C2">
        <w:rPr>
          <w:rFonts w:ascii="Book Antiqua" w:hAnsi="Book Antiqua"/>
        </w:rPr>
        <w:t xml:space="preserve">Les autorités suisses devraient renoncer </w:t>
      </w:r>
      <w:r>
        <w:rPr>
          <w:rFonts w:ascii="Book Antiqua" w:hAnsi="Book Antiqua"/>
        </w:rPr>
        <w:t xml:space="preserve">à employer les moyens de contrainte dans les établissements psychiatriques </w:t>
      </w:r>
      <w:r w:rsidRPr="002454C2">
        <w:rPr>
          <w:rFonts w:ascii="Book Antiqua" w:hAnsi="Book Antiqua"/>
        </w:rPr>
        <w:t>afin d’adopter une « approche basée sur les droits humains qui soit compatible avec la Convention des Nations Unies relative aux droits des personnes handicapées et qui respecte l’éthique médicale et les droits humains des personnes concernées, notamment le droit à des soins de santé sur la base d’un consentement libre et éclairé »</w:t>
      </w:r>
      <w:r w:rsidRPr="002454C2">
        <w:rPr>
          <w:rStyle w:val="Appelnotedebasdep"/>
          <w:rFonts w:ascii="Book Antiqua" w:eastAsiaTheme="majorEastAsia" w:hAnsi="Book Antiqua"/>
        </w:rPr>
        <w:footnoteReference w:id="64"/>
      </w:r>
      <w:r w:rsidRPr="002454C2">
        <w:rPr>
          <w:rFonts w:ascii="Book Antiqua" w:hAnsi="Book Antiqua"/>
        </w:rPr>
        <w:t>. Il est ainsi nécessaire que la Suisse engage une réformation de son système de santé mentale</w:t>
      </w:r>
      <w:r w:rsidRPr="002454C2">
        <w:rPr>
          <w:rStyle w:val="Appelnotedebasdep"/>
          <w:rFonts w:ascii="Book Antiqua" w:eastAsiaTheme="majorEastAsia" w:hAnsi="Book Antiqua"/>
        </w:rPr>
        <w:footnoteReference w:id="65"/>
      </w:r>
      <w:r w:rsidRPr="002454C2">
        <w:rPr>
          <w:rFonts w:ascii="Book Antiqua" w:hAnsi="Book Antiqua"/>
        </w:rPr>
        <w:t>. Le HCDH, le CAT, le CRPD et l</w:t>
      </w:r>
      <w:r>
        <w:rPr>
          <w:rFonts w:ascii="Book Antiqua" w:hAnsi="Book Antiqua"/>
        </w:rPr>
        <w:t>e</w:t>
      </w:r>
      <w:r w:rsidRPr="002454C2">
        <w:rPr>
          <w:rFonts w:ascii="Book Antiqua" w:hAnsi="Book Antiqua"/>
        </w:rPr>
        <w:t xml:space="preserve"> Rapporte</w:t>
      </w:r>
      <w:r>
        <w:rPr>
          <w:rFonts w:ascii="Book Antiqua" w:hAnsi="Book Antiqua"/>
        </w:rPr>
        <w:t>ur</w:t>
      </w:r>
      <w:r w:rsidRPr="002454C2">
        <w:rPr>
          <w:rFonts w:ascii="Book Antiqua" w:hAnsi="Book Antiqua"/>
        </w:rPr>
        <w:t xml:space="preserve"> spécial</w:t>
      </w:r>
      <w:r>
        <w:rPr>
          <w:rFonts w:ascii="Book Antiqua" w:hAnsi="Book Antiqua"/>
        </w:rPr>
        <w:t xml:space="preserve"> sur les droits des personnes handicapées</w:t>
      </w:r>
      <w:r w:rsidRPr="002454C2">
        <w:rPr>
          <w:rFonts w:ascii="Book Antiqua" w:hAnsi="Book Antiqua"/>
        </w:rPr>
        <w:t xml:space="preserve"> prônent en effet l’abandon des mesures coercitives en faveur</w:t>
      </w:r>
      <w:r>
        <w:rPr>
          <w:rFonts w:ascii="Book Antiqua" w:hAnsi="Book Antiqua"/>
        </w:rPr>
        <w:t xml:space="preserve"> </w:t>
      </w:r>
      <w:r w:rsidRPr="002454C2">
        <w:rPr>
          <w:rFonts w:ascii="Book Antiqua" w:hAnsi="Book Antiqua"/>
        </w:rPr>
        <w:t>de la mise en place de services d’aide communautaire</w:t>
      </w:r>
      <w:r w:rsidRPr="002454C2">
        <w:rPr>
          <w:rFonts w:ascii="Book Antiqua" w:hAnsi="Book Antiqua"/>
          <w:b/>
          <w:bCs/>
        </w:rPr>
        <w:t xml:space="preserve"> </w:t>
      </w:r>
      <w:r w:rsidRPr="002454C2">
        <w:rPr>
          <w:rFonts w:ascii="Book Antiqua" w:hAnsi="Book Antiqua"/>
        </w:rPr>
        <w:t>sans contrainte</w:t>
      </w:r>
      <w:r>
        <w:rPr>
          <w:rFonts w:ascii="Book Antiqua" w:hAnsi="Book Antiqua"/>
        </w:rPr>
        <w:t xml:space="preserve"> </w:t>
      </w:r>
      <w:r w:rsidRPr="002454C2">
        <w:rPr>
          <w:rFonts w:ascii="Book Antiqua" w:hAnsi="Book Antiqua"/>
        </w:rPr>
        <w:t xml:space="preserve">afin que les soins apportés </w:t>
      </w:r>
      <w:r>
        <w:rPr>
          <w:rFonts w:ascii="Book Antiqua" w:hAnsi="Book Antiqua"/>
        </w:rPr>
        <w:t xml:space="preserve">aux personnes en situation de handicap </w:t>
      </w:r>
      <w:r w:rsidRPr="002454C2">
        <w:rPr>
          <w:rFonts w:ascii="Book Antiqua" w:hAnsi="Book Antiqua"/>
        </w:rPr>
        <w:t>s’inscrivent dans la collectivité et non dans le milieu hospitalier</w:t>
      </w:r>
      <w:r w:rsidRPr="002454C2">
        <w:rPr>
          <w:rStyle w:val="Appelnotedebasdep"/>
          <w:rFonts w:ascii="Book Antiqua" w:hAnsi="Book Antiqua"/>
        </w:rPr>
        <w:footnoteReference w:id="66"/>
      </w:r>
      <w:r w:rsidRPr="002454C2">
        <w:rPr>
          <w:rFonts w:ascii="Book Antiqua" w:hAnsi="Book Antiqua"/>
        </w:rPr>
        <w:t xml:space="preserve">. </w:t>
      </w:r>
    </w:p>
    <w:p w14:paraId="61A38F48" w14:textId="77777777" w:rsidR="00981D55" w:rsidRDefault="00981D55" w:rsidP="00981D55"/>
    <w:p w14:paraId="5ABCB21E" w14:textId="77777777" w:rsidR="00981D55" w:rsidRPr="002F13BC" w:rsidRDefault="00981D55" w:rsidP="00981D55">
      <w:pPr>
        <w:jc w:val="both"/>
        <w:rPr>
          <w:rFonts w:ascii="Book Antiqua" w:eastAsia="Book Antiqua" w:hAnsi="Book Antiqua" w:cs="Book Antiqua"/>
          <w:u w:val="single"/>
        </w:rPr>
      </w:pPr>
      <w:r>
        <w:rPr>
          <w:rFonts w:ascii="Book Antiqua" w:eastAsia="Book Antiqua" w:hAnsi="Book Antiqua" w:cs="Book Antiqua"/>
          <w:u w:val="single"/>
        </w:rPr>
        <w:t>Recours aux traitements forcés</w:t>
      </w:r>
    </w:p>
    <w:p w14:paraId="140A177F" w14:textId="77777777" w:rsidR="00981D55" w:rsidRDefault="00981D55" w:rsidP="00981D55">
      <w:pPr>
        <w:widowControl w:val="0"/>
        <w:jc w:val="both"/>
        <w:rPr>
          <w:rFonts w:ascii="Book Antiqua" w:hAnsi="Book Antiqua"/>
        </w:rPr>
      </w:pPr>
      <w:r w:rsidRPr="008C59F0">
        <w:rPr>
          <w:rFonts w:ascii="Book Antiqua" w:hAnsi="Book Antiqua"/>
        </w:rPr>
        <w:t>Les traitements forcés correspondent aux mesures médicales appliquées contre la volonté – exprimée ou présumée – de la personne ou malgré son opposition, dans le but de préserver ou recouvrir la santé</w:t>
      </w:r>
      <w:r w:rsidRPr="008C59F0">
        <w:rPr>
          <w:rStyle w:val="Appelnotedebasdep"/>
          <w:rFonts w:ascii="Book Antiqua" w:eastAsiaTheme="majorEastAsia" w:hAnsi="Book Antiqua"/>
        </w:rPr>
        <w:footnoteReference w:id="67"/>
      </w:r>
      <w:r w:rsidRPr="008C59F0">
        <w:rPr>
          <w:rFonts w:ascii="Book Antiqua" w:hAnsi="Book Antiqua"/>
        </w:rPr>
        <w:t>. En droit suisse, pour qu’un traitement sans consentement soit autorisé, il doit remplir les conditions de l’art. 434 CC. Pourtant, le CRPD a retenu dans plusieurs observations finales que les traitements forcés portent atteinte au droit à l’intégrité de la personne (art. 17 CDPH) et au droit de ne pas être soumis à la torture (art. 15 CDPH)</w:t>
      </w:r>
      <w:r w:rsidRPr="008C59F0">
        <w:rPr>
          <w:rStyle w:val="Appelnotedebasdep"/>
          <w:rFonts w:ascii="Book Antiqua" w:hAnsi="Book Antiqua"/>
        </w:rPr>
        <w:footnoteReference w:id="68"/>
      </w:r>
      <w:r w:rsidRPr="008C59F0">
        <w:rPr>
          <w:rFonts w:ascii="Book Antiqua" w:hAnsi="Book Antiqua"/>
        </w:rPr>
        <w:t>. Ainsi, il recommande aux États parties d’« abroger les dispositions législatives qui autorisent et prévoient un traitement de force » et « de faire de sorte que les décisions touchant l’intégrité physique ou mentale de la personne ne puissent être prises qu’avec le consentement libre et éclairé de la personne concernée »</w:t>
      </w:r>
      <w:r w:rsidRPr="008C59F0">
        <w:rPr>
          <w:rStyle w:val="Appelnotedebasdep"/>
          <w:rFonts w:ascii="Book Antiqua" w:hAnsi="Book Antiqua"/>
        </w:rPr>
        <w:footnoteReference w:id="69"/>
      </w:r>
      <w:r w:rsidRPr="008C59F0">
        <w:rPr>
          <w:rFonts w:ascii="Book Antiqua" w:hAnsi="Book Antiqua"/>
        </w:rPr>
        <w:t>. Afin de se conformer aux recommandations du CRPD</w:t>
      </w:r>
      <w:r>
        <w:rPr>
          <w:rFonts w:ascii="Book Antiqua" w:hAnsi="Book Antiqua"/>
        </w:rPr>
        <w:t xml:space="preserve"> et de respecter la personnalité juridique (art. 12 CDPH), l’intégrité (art. 17 CDPH), le </w:t>
      </w:r>
      <w:r>
        <w:rPr>
          <w:rFonts w:ascii="Book Antiqua" w:hAnsi="Book Antiqua"/>
        </w:rPr>
        <w:lastRenderedPageBreak/>
        <w:t xml:space="preserve">consentement libre et éclairé (art. 25 let. d CDPH) des personnes en situation de handicap dans le cadre des traitements médicaux et de ne pas les soumettre à la torture (art. 15 CDPH) ; </w:t>
      </w:r>
      <w:r w:rsidRPr="008C59F0">
        <w:rPr>
          <w:rFonts w:ascii="Book Antiqua" w:hAnsi="Book Antiqua"/>
        </w:rPr>
        <w:t xml:space="preserve">les autorisés suisses devraient interdire les traitements forcés et abroger les dispositions légales les autorisant. </w:t>
      </w:r>
    </w:p>
    <w:p w14:paraId="62341A82" w14:textId="77777777" w:rsidR="00981D55" w:rsidRDefault="00981D55" w:rsidP="00981D55">
      <w:pPr>
        <w:widowControl w:val="0"/>
        <w:jc w:val="both"/>
        <w:rPr>
          <w:rFonts w:ascii="Book Antiqua" w:hAnsi="Book Antiqua"/>
        </w:rPr>
      </w:pPr>
    </w:p>
    <w:p w14:paraId="03E9CFFC" w14:textId="09E1664B" w:rsidR="00981D55" w:rsidRDefault="00981D55" w:rsidP="00981D55">
      <w:pPr>
        <w:widowControl w:val="0"/>
        <w:jc w:val="both"/>
        <w:rPr>
          <w:rFonts w:ascii="Book Antiqua" w:hAnsi="Book Antiqua"/>
        </w:rPr>
      </w:pPr>
      <w:r>
        <w:rPr>
          <w:rFonts w:ascii="Book Antiqua" w:hAnsi="Book Antiqua"/>
        </w:rPr>
        <w:t>En pratique</w:t>
      </w:r>
      <w:r w:rsidRPr="00087247">
        <w:rPr>
          <w:rFonts w:ascii="Book Antiqua" w:hAnsi="Book Antiqua"/>
        </w:rPr>
        <w:t xml:space="preserve">, il est ressorti des entretiens menés par les étudiantes de la Law Clinic que </w:t>
      </w:r>
      <w:r w:rsidRPr="00087247">
        <w:rPr>
          <w:rFonts w:ascii="Book Antiqua" w:hAnsi="Book Antiqua"/>
          <w:color w:val="000000" w:themeColor="text1"/>
        </w:rPr>
        <w:t xml:space="preserve">les </w:t>
      </w:r>
      <w:r w:rsidRPr="006E7B7C">
        <w:rPr>
          <w:rFonts w:ascii="Book Antiqua" w:hAnsi="Book Antiqua"/>
          <w:color w:val="000000" w:themeColor="text1"/>
        </w:rPr>
        <w:t>traitements médicamenteux sont souvent appliqués sous la menace et/ou la pression et que les personnes en situation de handicap ne sont pas suffisam</w:t>
      </w:r>
      <w:r w:rsidR="00C51343">
        <w:rPr>
          <w:rFonts w:ascii="Book Antiqua" w:hAnsi="Book Antiqua"/>
          <w:color w:val="000000" w:themeColor="text1"/>
        </w:rPr>
        <w:t>m</w:t>
      </w:r>
      <w:r w:rsidRPr="006E7B7C">
        <w:rPr>
          <w:rFonts w:ascii="Book Antiqua" w:hAnsi="Book Antiqua"/>
          <w:color w:val="000000" w:themeColor="text1"/>
        </w:rPr>
        <w:t>ent informées de leurs droits et de la nature de leur traitement (</w:t>
      </w:r>
      <w:r>
        <w:rPr>
          <w:rFonts w:ascii="Book Antiqua" w:hAnsi="Book Antiqua"/>
          <w:color w:val="000000" w:themeColor="text1"/>
        </w:rPr>
        <w:t xml:space="preserve">à savoir s’il est </w:t>
      </w:r>
      <w:r w:rsidRPr="006E7B7C">
        <w:rPr>
          <w:rFonts w:ascii="Book Antiqua" w:hAnsi="Book Antiqua"/>
          <w:color w:val="000000" w:themeColor="text1"/>
        </w:rPr>
        <w:t>volontaire</w:t>
      </w:r>
      <w:r>
        <w:rPr>
          <w:rFonts w:ascii="Book Antiqua" w:hAnsi="Book Antiqua"/>
          <w:color w:val="000000" w:themeColor="text1"/>
        </w:rPr>
        <w:t xml:space="preserve"> ou </w:t>
      </w:r>
      <w:r w:rsidRPr="006E7B7C">
        <w:rPr>
          <w:rFonts w:ascii="Book Antiqua" w:hAnsi="Book Antiqua"/>
          <w:color w:val="000000" w:themeColor="text1"/>
        </w:rPr>
        <w:t>forcé) dans les établissements psychiatriques</w:t>
      </w:r>
      <w:r w:rsidRPr="006E7B7C">
        <w:rPr>
          <w:rStyle w:val="Appelnotedebasdep"/>
          <w:rFonts w:ascii="Book Antiqua" w:eastAsiaTheme="majorEastAsia" w:hAnsi="Book Antiqua"/>
          <w:color w:val="000000" w:themeColor="text1"/>
        </w:rPr>
        <w:footnoteReference w:id="70"/>
      </w:r>
      <w:r w:rsidRPr="006E7B7C">
        <w:rPr>
          <w:rFonts w:ascii="Book Antiqua" w:hAnsi="Book Antiqua"/>
          <w:color w:val="000000" w:themeColor="text1"/>
        </w:rPr>
        <w:t>. La CNPT a également constaté plusieurs problèmes : l’absence systématique de plans de traitements, la non-notification du traitement forcé à la personne concernée, l’absence de signature de la part du personnel pour exécuter le traitement ou encore l’absence de signature de la personne concernée prouvant le consentement ou le refus du traitement</w:t>
      </w:r>
      <w:r w:rsidRPr="006E7B7C">
        <w:rPr>
          <w:rStyle w:val="Appelnotedebasdep"/>
          <w:rFonts w:ascii="Book Antiqua" w:hAnsi="Book Antiqua"/>
          <w:color w:val="000000" w:themeColor="text1"/>
        </w:rPr>
        <w:footnoteReference w:id="71"/>
      </w:r>
      <w:r w:rsidR="001B2379">
        <w:rPr>
          <w:rFonts w:ascii="Book Antiqua" w:hAnsi="Book Antiqua"/>
          <w:color w:val="000000" w:themeColor="text1"/>
        </w:rPr>
        <w:t>.</w:t>
      </w:r>
      <w:r w:rsidRPr="006E7B7C">
        <w:rPr>
          <w:rFonts w:ascii="Book Antiqua" w:hAnsi="Book Antiqua"/>
          <w:color w:val="000000" w:themeColor="text1"/>
        </w:rPr>
        <w:t xml:space="preserve"> Si ces pratiques ne respectent pas le droit interne (art. 434 al. 2 CC) car elles empêchent les personnes concernées de faire pleinement usage des voies de recours</w:t>
      </w:r>
      <w:r w:rsidRPr="006E7B7C">
        <w:rPr>
          <w:rStyle w:val="Appelnotedebasdep"/>
          <w:rFonts w:ascii="Book Antiqua" w:eastAsiaTheme="majorEastAsia" w:hAnsi="Book Antiqua"/>
          <w:color w:val="000000" w:themeColor="text1"/>
        </w:rPr>
        <w:footnoteReference w:id="72"/>
      </w:r>
      <w:r w:rsidRPr="006E7B7C">
        <w:rPr>
          <w:rFonts w:ascii="Book Antiqua" w:hAnsi="Book Antiqua"/>
          <w:color w:val="000000" w:themeColor="text1"/>
        </w:rPr>
        <w:t xml:space="preserve">, une information insuffisante et/ou non compréhensible viole également le principe de consentement libre et éclairé prévu à l’art. </w:t>
      </w:r>
      <w:r w:rsidRPr="006E7B7C">
        <w:rPr>
          <w:rFonts w:ascii="Book Antiqua" w:hAnsi="Book Antiqua"/>
        </w:rPr>
        <w:t>25 let. d CDPH.</w:t>
      </w:r>
    </w:p>
    <w:p w14:paraId="3BDCB975" w14:textId="77777777" w:rsidR="00981D55" w:rsidRDefault="00981D55" w:rsidP="00981D55">
      <w:pPr>
        <w:widowControl w:val="0"/>
        <w:jc w:val="both"/>
        <w:rPr>
          <w:rFonts w:ascii="Book Antiqua" w:hAnsi="Book Antiqua"/>
        </w:rPr>
      </w:pPr>
    </w:p>
    <w:p w14:paraId="6927DAC7" w14:textId="0813E588" w:rsidR="003A39DE" w:rsidRPr="00E001DE" w:rsidRDefault="00981D55" w:rsidP="00981D55">
      <w:pPr>
        <w:jc w:val="both"/>
        <w:rPr>
          <w:rFonts w:ascii="Book Antiqua" w:eastAsia="Book Antiqua" w:hAnsi="Book Antiqua" w:cs="Book Antiqua"/>
          <w:u w:val="single"/>
        </w:rPr>
      </w:pPr>
      <w:r>
        <w:rPr>
          <w:rFonts w:ascii="Book Antiqua" w:eastAsia="Book Antiqua" w:hAnsi="Book Antiqua" w:cs="Book Antiqua"/>
          <w:highlight w:val="white"/>
          <w:u w:val="single"/>
        </w:rPr>
        <w:t xml:space="preserve">Recours à la contrainte </w:t>
      </w:r>
      <w:r>
        <w:rPr>
          <w:rFonts w:ascii="Book Antiqua" w:eastAsia="Book Antiqua" w:hAnsi="Book Antiqua" w:cs="Book Antiqua"/>
          <w:u w:val="single"/>
        </w:rPr>
        <w:t>physique</w:t>
      </w:r>
    </w:p>
    <w:p w14:paraId="74BFAF0F" w14:textId="271E0099" w:rsidR="00981D55" w:rsidRDefault="00981D55" w:rsidP="00981D55">
      <w:pPr>
        <w:widowControl w:val="0"/>
        <w:jc w:val="both"/>
        <w:rPr>
          <w:rFonts w:ascii="Book Antiqua" w:hAnsi="Book Antiqua"/>
        </w:rPr>
      </w:pPr>
      <w:r w:rsidRPr="00804415">
        <w:rPr>
          <w:rFonts w:ascii="Book Antiqua" w:hAnsi="Book Antiqua"/>
        </w:rPr>
        <w:t>Les visites menées par le CPT et la CNPT dans les établissements psychiatriques suisses ont révélé l’intervention d’agents de sécurité privée</w:t>
      </w:r>
      <w:r>
        <w:rPr>
          <w:rFonts w:ascii="Book Antiqua" w:hAnsi="Book Antiqua"/>
        </w:rPr>
        <w:t xml:space="preserve"> ou</w:t>
      </w:r>
      <w:r w:rsidRPr="00804415">
        <w:rPr>
          <w:rFonts w:ascii="Book Antiqua" w:hAnsi="Book Antiqua"/>
        </w:rPr>
        <w:t xml:space="preserve"> de police, n’ayant parfois aucune formation spécifique sur la contention et dont les agissements ne sont pas toujours encadrés par une procédure interne spécifique. Ils sont notamment sollicités pour la surveillance, l’immobilisation ou pour aider le personnel soignant à placer les personnes agitées à l’isolement et/ou leurs administrer une contention chimique. Ils sont munis à cet effet d’un bâton tactique, de menottes métalliques, ainsi que d’un gel au poivre</w:t>
      </w:r>
      <w:r w:rsidRPr="00804415">
        <w:rPr>
          <w:rStyle w:val="Appelnotedebasdep"/>
          <w:rFonts w:ascii="Book Antiqua" w:hAnsi="Book Antiqua"/>
        </w:rPr>
        <w:footnoteReference w:id="73"/>
      </w:r>
      <w:r w:rsidRPr="00804415">
        <w:rPr>
          <w:rFonts w:ascii="Book Antiqua" w:hAnsi="Book Antiqua"/>
        </w:rPr>
        <w:t>. Le recours à des instruments métalliques ou abrasifs est critiqué par le CPT et la CNPT, qui recommandent aux établissements de former le personnel et de ne plus faire appel aux agents de police</w:t>
      </w:r>
      <w:r w:rsidRPr="00804415">
        <w:rPr>
          <w:rStyle w:val="Appelnotedebasdep"/>
          <w:rFonts w:ascii="Book Antiqua" w:hAnsi="Book Antiqua"/>
        </w:rPr>
        <w:footnoteReference w:id="74"/>
      </w:r>
      <w:r w:rsidRPr="00804415">
        <w:rPr>
          <w:rFonts w:ascii="Book Antiqua" w:hAnsi="Book Antiqua"/>
        </w:rPr>
        <w:t>. Selon la CNPT, les agents de sécurité privée, ne doivent être appelés que pour les « cas les plus graves, dans lesquels il existe un danger imminent pour le personnel</w:t>
      </w:r>
      <w:r>
        <w:rPr>
          <w:rFonts w:ascii="Book Antiqua" w:hAnsi="Book Antiqua"/>
        </w:rPr>
        <w:t xml:space="preserve"> </w:t>
      </w:r>
      <w:r w:rsidRPr="00804415">
        <w:rPr>
          <w:rFonts w:ascii="Book Antiqua" w:hAnsi="Book Antiqua"/>
        </w:rPr>
        <w:t>» et uniquement s’il est question « [d]’assistance à la légitime défense, de l’état de nécessité [ou] de l’obligation de porter secours »</w:t>
      </w:r>
      <w:r w:rsidRPr="00804415">
        <w:rPr>
          <w:rStyle w:val="Appelnotedebasdep"/>
          <w:rFonts w:ascii="Book Antiqua" w:hAnsi="Book Antiqua"/>
        </w:rPr>
        <w:footnoteReference w:id="75"/>
      </w:r>
      <w:r w:rsidRPr="00804415">
        <w:rPr>
          <w:rFonts w:ascii="Book Antiqua" w:hAnsi="Book Antiqua"/>
        </w:rPr>
        <w:t>. Or, en pratique, les agents sont sollicités lors de situations ne présentant aucun risque de danger</w:t>
      </w:r>
      <w:r>
        <w:rPr>
          <w:rFonts w:ascii="Book Antiqua" w:hAnsi="Book Antiqua"/>
        </w:rPr>
        <w:t xml:space="preserve"> imminent</w:t>
      </w:r>
      <w:r w:rsidRPr="00804415">
        <w:rPr>
          <w:rFonts w:ascii="Book Antiqua" w:hAnsi="Book Antiqua"/>
        </w:rPr>
        <w:t xml:space="preserve">. </w:t>
      </w:r>
      <w:r>
        <w:rPr>
          <w:rFonts w:ascii="Book Antiqua" w:hAnsi="Book Antiqua"/>
        </w:rPr>
        <w:t xml:space="preserve">Ces pratiques contreviennent à l’art. 15 CDPH. </w:t>
      </w:r>
    </w:p>
    <w:p w14:paraId="78ABC77C" w14:textId="77777777" w:rsidR="00981D55" w:rsidRDefault="00981D55" w:rsidP="00981D55">
      <w:pPr>
        <w:widowControl w:val="0"/>
        <w:jc w:val="both"/>
        <w:rPr>
          <w:rFonts w:ascii="Book Antiqua" w:hAnsi="Book Antiqua"/>
        </w:rPr>
      </w:pPr>
    </w:p>
    <w:p w14:paraId="2825EDBE" w14:textId="77777777" w:rsidR="00E7179B" w:rsidRDefault="00E7179B" w:rsidP="00981D55">
      <w:pPr>
        <w:jc w:val="both"/>
        <w:rPr>
          <w:rFonts w:ascii="Book Antiqua" w:eastAsia="Book Antiqua" w:hAnsi="Book Antiqua" w:cs="Book Antiqua"/>
          <w:highlight w:val="white"/>
          <w:u w:val="single"/>
        </w:rPr>
      </w:pPr>
    </w:p>
    <w:p w14:paraId="7267A3BC" w14:textId="17E786AA" w:rsidR="003A39DE" w:rsidRPr="00A809BE" w:rsidRDefault="00981D55" w:rsidP="00981D55">
      <w:pPr>
        <w:jc w:val="both"/>
        <w:rPr>
          <w:rFonts w:ascii="Book Antiqua" w:eastAsia="Book Antiqua" w:hAnsi="Book Antiqua" w:cs="Book Antiqua"/>
          <w:u w:val="single"/>
        </w:rPr>
      </w:pPr>
      <w:r>
        <w:rPr>
          <w:rFonts w:ascii="Book Antiqua" w:eastAsia="Book Antiqua" w:hAnsi="Book Antiqua" w:cs="Book Antiqua"/>
          <w:highlight w:val="white"/>
          <w:u w:val="single"/>
        </w:rPr>
        <w:lastRenderedPageBreak/>
        <w:t xml:space="preserve">Recours à la contrainte </w:t>
      </w:r>
      <w:r>
        <w:rPr>
          <w:rFonts w:ascii="Book Antiqua" w:eastAsia="Book Antiqua" w:hAnsi="Book Antiqua" w:cs="Book Antiqua"/>
          <w:u w:val="single"/>
        </w:rPr>
        <w:t xml:space="preserve">mécanique </w:t>
      </w:r>
    </w:p>
    <w:p w14:paraId="2DE55B1B" w14:textId="77777777" w:rsidR="00981D55" w:rsidRPr="00A809BE" w:rsidRDefault="00981D55" w:rsidP="00981D55">
      <w:pPr>
        <w:widowControl w:val="0"/>
        <w:jc w:val="both"/>
        <w:rPr>
          <w:rFonts w:ascii="Book Antiqua" w:hAnsi="Book Antiqua"/>
        </w:rPr>
      </w:pPr>
      <w:r w:rsidRPr="00160C8A">
        <w:rPr>
          <w:rFonts w:ascii="Book Antiqua" w:hAnsi="Book Antiqua"/>
        </w:rPr>
        <w:t>Divers moyens de contention mécanique sont utilisés dans les établissements psychiatriques suisses, tels que des attaches aux poignets et aux chevilles, des sangles abdominales, des ceintures de corps, des chemises ou vestes de sécurité, des couvertures sanglées, ainsi que des barrières de lit et des tablettes fixées à la chaise roulante</w:t>
      </w:r>
      <w:r w:rsidRPr="00160C8A">
        <w:rPr>
          <w:rStyle w:val="Appelnotedebasdep"/>
          <w:rFonts w:ascii="Book Antiqua" w:hAnsi="Book Antiqua"/>
        </w:rPr>
        <w:footnoteReference w:id="76"/>
      </w:r>
      <w:r w:rsidRPr="00160C8A">
        <w:rPr>
          <w:rFonts w:ascii="Book Antiqua" w:hAnsi="Book Antiqua"/>
        </w:rPr>
        <w:t xml:space="preserve">. </w:t>
      </w:r>
      <w:r>
        <w:rPr>
          <w:rFonts w:ascii="Book Antiqua" w:hAnsi="Book Antiqua"/>
        </w:rPr>
        <w:t xml:space="preserve">Ces moyens sont parfois utilisés de manière </w:t>
      </w:r>
      <w:r w:rsidRPr="00A809BE">
        <w:rPr>
          <w:rFonts w:ascii="Book Antiqua" w:hAnsi="Book Antiqua"/>
        </w:rPr>
        <w:t>prolongée dans le temps ou à une fréquence importante</w:t>
      </w:r>
      <w:r w:rsidRPr="00A809BE">
        <w:rPr>
          <w:rStyle w:val="Appelnotedebasdep"/>
          <w:rFonts w:ascii="Book Antiqua" w:hAnsi="Book Antiqua"/>
        </w:rPr>
        <w:footnoteReference w:id="77"/>
      </w:r>
      <w:r w:rsidRPr="00A809BE">
        <w:rPr>
          <w:rFonts w:ascii="Book Antiqua" w:hAnsi="Book Antiqua"/>
        </w:rPr>
        <w:t xml:space="preserve">. Leur usage est contraire aux articles 14 et 15 CDPH et peut entrainer une violation des articles 3, 5 et 8 CEDH. </w:t>
      </w:r>
    </w:p>
    <w:p w14:paraId="52E4D660" w14:textId="77777777" w:rsidR="00981D55" w:rsidRPr="00A809BE" w:rsidRDefault="00981D55" w:rsidP="00981D55">
      <w:pPr>
        <w:widowControl w:val="0"/>
        <w:jc w:val="both"/>
        <w:rPr>
          <w:rFonts w:ascii="Book Antiqua" w:hAnsi="Book Antiqua"/>
        </w:rPr>
      </w:pPr>
    </w:p>
    <w:p w14:paraId="30010A3A" w14:textId="77777777" w:rsidR="00981D55" w:rsidRDefault="00981D55" w:rsidP="00981D55">
      <w:pPr>
        <w:widowControl w:val="0"/>
        <w:jc w:val="both"/>
        <w:rPr>
          <w:rFonts w:ascii="Book Antiqua" w:hAnsi="Book Antiqua"/>
        </w:rPr>
      </w:pPr>
      <w:r>
        <w:rPr>
          <w:rFonts w:ascii="Book Antiqua" w:hAnsi="Book Antiqua"/>
        </w:rPr>
        <w:t>De plus, l</w:t>
      </w:r>
      <w:r w:rsidRPr="00A809BE">
        <w:rPr>
          <w:rFonts w:ascii="Book Antiqua" w:hAnsi="Book Antiqua"/>
        </w:rPr>
        <w:t>e conseil d’éthique des Hôpitaux universitaires de Genève a constaté que l</w:t>
      </w:r>
      <w:r>
        <w:rPr>
          <w:rFonts w:ascii="Book Antiqua" w:hAnsi="Book Antiqua"/>
        </w:rPr>
        <w:t xml:space="preserve">a </w:t>
      </w:r>
      <w:r w:rsidRPr="00A809BE">
        <w:rPr>
          <w:rFonts w:ascii="Book Antiqua" w:hAnsi="Book Antiqua"/>
        </w:rPr>
        <w:t>stigmatisation incite le personnel à recourir plus facilement et fréquemment à des moyens de contention lourds envers des personnes qui présentent un certain diagnostique et/ou qui ont déjà fait l’objet de mesures de contrainte</w:t>
      </w:r>
      <w:r w:rsidRPr="00A809BE">
        <w:rPr>
          <w:rStyle w:val="Appelnotedebasdep"/>
          <w:rFonts w:ascii="Book Antiqua" w:hAnsi="Book Antiqua"/>
        </w:rPr>
        <w:footnoteReference w:id="78"/>
      </w:r>
      <w:r w:rsidRPr="00A809BE">
        <w:rPr>
          <w:rFonts w:ascii="Book Antiqua" w:hAnsi="Book Antiqua"/>
        </w:rPr>
        <w:t>. Selon la Rapporteuse spéciale sur les droits des personnes handicapées, cette stigmatisation est à l’origine de la violation de l’art. 25 let. d CDPH qui garantit la santé des personnes en situation de handicap, et des art. 2 et 5 ch. 1 et 2 CDPH qui consacrent le principe d’égalité et de non-discrimination. En effet, elle entraîne une différence dans la qualité des soins administrés aux personnes atteintes d’un handicap psychosocial en comparaison de ceux prodigués aux autres</w:t>
      </w:r>
      <w:r w:rsidRPr="00A809BE">
        <w:rPr>
          <w:rStyle w:val="Appelnotedebasdep"/>
          <w:rFonts w:ascii="Book Antiqua" w:hAnsi="Book Antiqua"/>
        </w:rPr>
        <w:footnoteReference w:id="79"/>
      </w:r>
      <w:r w:rsidRPr="00A809BE">
        <w:rPr>
          <w:rFonts w:ascii="Book Antiqua" w:hAnsi="Book Antiqua"/>
        </w:rPr>
        <w:t>.</w:t>
      </w:r>
    </w:p>
    <w:p w14:paraId="32F21562" w14:textId="77777777" w:rsidR="00981D55" w:rsidRDefault="00981D55" w:rsidP="00981D55">
      <w:pPr>
        <w:widowControl w:val="0"/>
        <w:jc w:val="both"/>
        <w:rPr>
          <w:rFonts w:ascii="Book Antiqua" w:hAnsi="Book Antiqua"/>
        </w:rPr>
      </w:pPr>
    </w:p>
    <w:p w14:paraId="0C2B20EE" w14:textId="77777777" w:rsidR="00981D55" w:rsidRPr="00A809BE" w:rsidRDefault="00981D55" w:rsidP="00981D55">
      <w:pPr>
        <w:jc w:val="both"/>
        <w:rPr>
          <w:rFonts w:ascii="Book Antiqua" w:eastAsia="Book Antiqua" w:hAnsi="Book Antiqua" w:cs="Book Antiqua"/>
          <w:u w:val="single"/>
        </w:rPr>
      </w:pPr>
      <w:r>
        <w:rPr>
          <w:rFonts w:ascii="Book Antiqua" w:eastAsia="Book Antiqua" w:hAnsi="Book Antiqua" w:cs="Book Antiqua"/>
          <w:highlight w:val="white"/>
          <w:u w:val="single"/>
        </w:rPr>
        <w:t xml:space="preserve">Recours à la contrainte </w:t>
      </w:r>
      <w:r>
        <w:rPr>
          <w:rFonts w:ascii="Book Antiqua" w:eastAsia="Book Antiqua" w:hAnsi="Book Antiqua" w:cs="Book Antiqua"/>
          <w:u w:val="single"/>
        </w:rPr>
        <w:t>spatiale</w:t>
      </w:r>
    </w:p>
    <w:p w14:paraId="6D9AF325" w14:textId="4509ADA5" w:rsidR="00981D55" w:rsidRPr="00853935" w:rsidRDefault="00981D55" w:rsidP="00981D55">
      <w:pPr>
        <w:jc w:val="both"/>
        <w:rPr>
          <w:rFonts w:ascii="Book Antiqua" w:hAnsi="Book Antiqua"/>
        </w:rPr>
      </w:pPr>
      <w:r w:rsidRPr="00853935">
        <w:rPr>
          <w:rFonts w:ascii="Book Antiqua" w:hAnsi="Book Antiqua"/>
        </w:rPr>
        <w:t>Dans les établissements psychiatriques suisses, la personne sujette à une mesure d’isolement est placée</w:t>
      </w:r>
      <w:r>
        <w:rPr>
          <w:rFonts w:ascii="Book Antiqua" w:hAnsi="Book Antiqua"/>
        </w:rPr>
        <w:t xml:space="preserve"> </w:t>
      </w:r>
      <w:r w:rsidRPr="00853935">
        <w:rPr>
          <w:rFonts w:ascii="Book Antiqua" w:hAnsi="Book Antiqua"/>
        </w:rPr>
        <w:t>seul</w:t>
      </w:r>
      <w:r>
        <w:rPr>
          <w:rFonts w:ascii="Book Antiqua" w:hAnsi="Book Antiqua"/>
        </w:rPr>
        <w:t>e</w:t>
      </w:r>
      <w:r w:rsidRPr="00853935">
        <w:rPr>
          <w:rFonts w:ascii="Book Antiqua" w:hAnsi="Book Antiqua"/>
        </w:rPr>
        <w:t xml:space="preserve"> dans une pièce fermée à clé nommé « chambre de soins intensifs » (CSI) </w:t>
      </w:r>
      <w:r>
        <w:rPr>
          <w:rFonts w:ascii="Book Antiqua" w:hAnsi="Book Antiqua"/>
        </w:rPr>
        <w:t>afin</w:t>
      </w:r>
      <w:r w:rsidRPr="00853935">
        <w:rPr>
          <w:rFonts w:ascii="Book Antiqua" w:hAnsi="Book Antiqua"/>
        </w:rPr>
        <w:t xml:space="preserve"> de lui administrer des soins personnalisés. Certaines</w:t>
      </w:r>
      <w:r>
        <w:rPr>
          <w:rFonts w:ascii="Book Antiqua" w:hAnsi="Book Antiqua"/>
        </w:rPr>
        <w:t xml:space="preserve"> CSI</w:t>
      </w:r>
      <w:r w:rsidRPr="00853935">
        <w:rPr>
          <w:rFonts w:ascii="Book Antiqua" w:hAnsi="Book Antiqua"/>
        </w:rPr>
        <w:t xml:space="preserve"> ne mesurent qu’une dizaine de mètres carrés</w:t>
      </w:r>
      <w:r>
        <w:rPr>
          <w:rFonts w:ascii="Book Antiqua" w:hAnsi="Book Antiqua"/>
        </w:rPr>
        <w:t>,</w:t>
      </w:r>
      <w:r w:rsidRPr="00853935">
        <w:rPr>
          <w:rFonts w:ascii="Book Antiqua" w:hAnsi="Book Antiqua"/>
        </w:rPr>
        <w:t xml:space="preserve"> sont caractérisées par leur équipement rudimentaire</w:t>
      </w:r>
      <w:r>
        <w:rPr>
          <w:rFonts w:ascii="Book Antiqua" w:hAnsi="Book Antiqua"/>
        </w:rPr>
        <w:t xml:space="preserve"> et revêtissent un caractère carcéral</w:t>
      </w:r>
      <w:r w:rsidRPr="00853935">
        <w:rPr>
          <w:rFonts w:ascii="Book Antiqua" w:hAnsi="Book Antiqua"/>
        </w:rPr>
        <w:t xml:space="preserve"> (parfois seulement un matelas en mousse, parfois une table en mousse, parfois un drap est fourni</w:t>
      </w:r>
      <w:r>
        <w:rPr>
          <w:rFonts w:ascii="Book Antiqua" w:hAnsi="Book Antiqua"/>
        </w:rPr>
        <w:t xml:space="preserve">, parfois les personnes sont privées de leurs effets personnels </w:t>
      </w:r>
      <w:r w:rsidRPr="00B321EB">
        <w:rPr>
          <w:rFonts w:ascii="Book Antiqua" w:hAnsi="Book Antiqua"/>
        </w:rPr>
        <w:t>et de toute lecture à l’exception de la Bible</w:t>
      </w:r>
      <w:r>
        <w:rPr>
          <w:rFonts w:ascii="Book Antiqua" w:hAnsi="Book Antiqua"/>
        </w:rPr>
        <w:t>, parfois les personnes ne sont pas autorisées à se rendre à l’extérieur</w:t>
      </w:r>
      <w:r w:rsidRPr="00853935">
        <w:rPr>
          <w:rFonts w:ascii="Book Antiqua" w:hAnsi="Book Antiqua"/>
        </w:rPr>
        <w:t>)</w:t>
      </w:r>
      <w:r w:rsidRPr="00853935">
        <w:rPr>
          <w:rStyle w:val="Appelnotedebasdep"/>
          <w:rFonts w:ascii="Book Antiqua" w:hAnsi="Book Antiqua"/>
        </w:rPr>
        <w:footnoteReference w:id="80"/>
      </w:r>
      <w:r w:rsidRPr="00853935">
        <w:rPr>
          <w:rFonts w:ascii="Book Antiqua" w:hAnsi="Book Antiqua"/>
        </w:rPr>
        <w:t xml:space="preserve">. Des personnes racontent que la lumière était allumée jour </w:t>
      </w:r>
      <w:r>
        <w:rPr>
          <w:rFonts w:ascii="Book Antiqua" w:hAnsi="Book Antiqua"/>
        </w:rPr>
        <w:t>et</w:t>
      </w:r>
      <w:r w:rsidRPr="00853935">
        <w:rPr>
          <w:rFonts w:ascii="Book Antiqua" w:hAnsi="Book Antiqua"/>
        </w:rPr>
        <w:t xml:space="preserve"> nuit et qu’en l’absence de table et de chaise, elles avaient dû manger par terre. Il n’y avait parfois pas de savon pour se laver et elles n’avaient que peu, voire pas d’intimité : la surveillance pouvait aller jusqu’aux toilettes ou sous la douche</w:t>
      </w:r>
      <w:r w:rsidRPr="00853935">
        <w:rPr>
          <w:rStyle w:val="Appelnotedebasdep"/>
          <w:rFonts w:ascii="Book Antiqua" w:hAnsi="Book Antiqua"/>
        </w:rPr>
        <w:footnoteReference w:id="81"/>
      </w:r>
      <w:r w:rsidRPr="00853935">
        <w:rPr>
          <w:rFonts w:ascii="Book Antiqua" w:hAnsi="Book Antiqua"/>
        </w:rPr>
        <w:t xml:space="preserve">. La CNPT a en effet noté </w:t>
      </w:r>
      <w:r>
        <w:rPr>
          <w:rFonts w:ascii="Book Antiqua" w:hAnsi="Book Antiqua"/>
        </w:rPr>
        <w:t xml:space="preserve">que dans certains cas, les personnes </w:t>
      </w:r>
      <w:r w:rsidRPr="00853935">
        <w:rPr>
          <w:rFonts w:ascii="Book Antiqua" w:hAnsi="Book Antiqua"/>
        </w:rPr>
        <w:t>« ne pouvaient pas accéder aux toilettes se trouvant dans une pièce adjacente pour des raisons de sécurité » et qu’</w:t>
      </w:r>
      <w:r>
        <w:rPr>
          <w:rFonts w:ascii="Book Antiqua" w:hAnsi="Book Antiqua"/>
        </w:rPr>
        <w:t>el</w:t>
      </w:r>
      <w:r w:rsidRPr="00853935">
        <w:rPr>
          <w:rFonts w:ascii="Book Antiqua" w:hAnsi="Book Antiqua"/>
        </w:rPr>
        <w:t>l</w:t>
      </w:r>
      <w:r>
        <w:rPr>
          <w:rFonts w:ascii="Book Antiqua" w:hAnsi="Book Antiqua"/>
        </w:rPr>
        <w:t>e</w:t>
      </w:r>
      <w:r w:rsidRPr="00853935">
        <w:rPr>
          <w:rFonts w:ascii="Book Antiqua" w:hAnsi="Book Antiqua"/>
        </w:rPr>
        <w:t>s étaient obligé</w:t>
      </w:r>
      <w:r w:rsidR="00C51343">
        <w:rPr>
          <w:rFonts w:ascii="Book Antiqua" w:hAnsi="Book Antiqua"/>
        </w:rPr>
        <w:t>e</w:t>
      </w:r>
      <w:r w:rsidRPr="00853935">
        <w:rPr>
          <w:rFonts w:ascii="Book Antiqua" w:hAnsi="Book Antiqua"/>
        </w:rPr>
        <w:t>s d’utiliser des urinaux</w:t>
      </w:r>
      <w:r w:rsidRPr="00853935">
        <w:rPr>
          <w:rStyle w:val="Appelnotedebasdep"/>
          <w:rFonts w:ascii="Book Antiqua" w:hAnsi="Book Antiqua"/>
        </w:rPr>
        <w:footnoteReference w:id="82"/>
      </w:r>
      <w:r w:rsidRPr="00853935">
        <w:rPr>
          <w:rFonts w:ascii="Book Antiqua" w:hAnsi="Book Antiqua"/>
        </w:rPr>
        <w:t>. Des personnes témoignent avoir dû faire leur besoin dans un seau en matière molle sous la surveillance d’un agent de sécurité</w:t>
      </w:r>
      <w:r w:rsidRPr="00853935">
        <w:rPr>
          <w:rStyle w:val="Appelnotedebasdep"/>
          <w:rFonts w:ascii="Book Antiqua" w:hAnsi="Book Antiqua"/>
        </w:rPr>
        <w:footnoteReference w:id="83"/>
      </w:r>
      <w:r w:rsidRPr="00853935">
        <w:rPr>
          <w:rFonts w:ascii="Book Antiqua" w:hAnsi="Book Antiqua"/>
        </w:rPr>
        <w:t>. D’autres se plaignent d’avoir été déshabillées de force et de n’avoir pu porter qu’une blouse d’hôpital, qui dans certains cas était trop courte</w:t>
      </w:r>
      <w:r>
        <w:rPr>
          <w:rFonts w:ascii="Book Antiqua" w:hAnsi="Book Antiqua"/>
        </w:rPr>
        <w:t xml:space="preserve"> et rigide</w:t>
      </w:r>
      <w:r w:rsidRPr="00853935">
        <w:rPr>
          <w:rFonts w:ascii="Book Antiqua" w:hAnsi="Book Antiqua"/>
        </w:rPr>
        <w:t xml:space="preserve">, ce qui les empêchait </w:t>
      </w:r>
      <w:r w:rsidRPr="00853935">
        <w:rPr>
          <w:rFonts w:ascii="Book Antiqua" w:hAnsi="Book Antiqua"/>
        </w:rPr>
        <w:lastRenderedPageBreak/>
        <w:t>de couvrir leurs parties intimes lorsqu’elles s’asseyaient</w:t>
      </w:r>
      <w:r w:rsidRPr="00853935">
        <w:rPr>
          <w:rStyle w:val="Appelnotedebasdep"/>
          <w:rFonts w:ascii="Book Antiqua" w:hAnsi="Book Antiqua"/>
        </w:rPr>
        <w:footnoteReference w:id="84"/>
      </w:r>
      <w:r w:rsidRPr="00853935">
        <w:rPr>
          <w:rFonts w:ascii="Book Antiqua" w:hAnsi="Book Antiqua"/>
        </w:rPr>
        <w:t xml:space="preserve">. Force est de constater, que </w:t>
      </w:r>
      <w:r>
        <w:rPr>
          <w:rFonts w:ascii="Book Antiqua" w:hAnsi="Book Antiqua"/>
        </w:rPr>
        <w:t>c</w:t>
      </w:r>
      <w:r w:rsidRPr="00853935">
        <w:rPr>
          <w:rFonts w:ascii="Book Antiqua" w:hAnsi="Book Antiqua"/>
        </w:rPr>
        <w:t>es conditions matérielles d’isolement contreviennent à la dignité humaine et constituent un traitement inhumain et dégradant au sens des art</w:t>
      </w:r>
      <w:r>
        <w:rPr>
          <w:rFonts w:ascii="Book Antiqua" w:hAnsi="Book Antiqua"/>
        </w:rPr>
        <w:t>icles</w:t>
      </w:r>
      <w:r w:rsidRPr="00853935">
        <w:rPr>
          <w:rFonts w:ascii="Book Antiqua" w:hAnsi="Book Antiqua"/>
        </w:rPr>
        <w:t xml:space="preserve"> 3 CEDH et 15 CDPH.</w:t>
      </w:r>
    </w:p>
    <w:p w14:paraId="6C6EC47B" w14:textId="77777777" w:rsidR="00981D55" w:rsidRPr="00BE7C50" w:rsidRDefault="00981D55" w:rsidP="00284B1F">
      <w:pPr>
        <w:widowControl w:val="0"/>
        <w:jc w:val="both"/>
        <w:rPr>
          <w:highlight w:val="green"/>
        </w:rPr>
      </w:pPr>
    </w:p>
    <w:p w14:paraId="70748E34" w14:textId="23DAFC2D" w:rsidR="00981D55" w:rsidRDefault="00981D55" w:rsidP="00284B1F">
      <w:pPr>
        <w:jc w:val="both"/>
        <w:rPr>
          <w:rFonts w:ascii="Book Antiqua" w:hAnsi="Book Antiqua"/>
        </w:rPr>
      </w:pPr>
      <w:r>
        <w:rPr>
          <w:rFonts w:ascii="Book Antiqua" w:hAnsi="Book Antiqua"/>
        </w:rPr>
        <w:t>Par ailleurs, l</w:t>
      </w:r>
      <w:r w:rsidRPr="001B6CFB">
        <w:rPr>
          <w:rFonts w:ascii="Book Antiqua" w:hAnsi="Book Antiqua"/>
        </w:rPr>
        <w:t>ors de sa visite en 2018 à l’Hôpital de Psychiatrie de Belle-Idée (Genève), la CNPT s’est inquiété</w:t>
      </w:r>
      <w:r w:rsidR="00C51343">
        <w:rPr>
          <w:rFonts w:ascii="Book Antiqua" w:hAnsi="Book Antiqua"/>
        </w:rPr>
        <w:t>e</w:t>
      </w:r>
      <w:r w:rsidRPr="001B6CFB">
        <w:rPr>
          <w:rFonts w:ascii="Book Antiqua" w:hAnsi="Book Antiqua"/>
        </w:rPr>
        <w:t xml:space="preserve"> du placement à l’isolement de personnes souffrant de troubles cognitifs sévères</w:t>
      </w:r>
      <w:r w:rsidRPr="001B6CFB">
        <w:rPr>
          <w:rStyle w:val="Appelnotedebasdep"/>
          <w:rFonts w:ascii="Book Antiqua" w:hAnsi="Book Antiqua"/>
        </w:rPr>
        <w:footnoteReference w:id="85"/>
      </w:r>
      <w:r w:rsidRPr="001B6CFB">
        <w:rPr>
          <w:rFonts w:ascii="Book Antiqua" w:hAnsi="Book Antiqua"/>
        </w:rPr>
        <w:t>. Tant le CRPD que la CourEDH jugent que cette pratique, lorsqu’elle est prononcée à l’encontre des personnes souffrant de tels troubles, constitue</w:t>
      </w:r>
      <w:r>
        <w:rPr>
          <w:rFonts w:ascii="Book Antiqua" w:hAnsi="Book Antiqua"/>
        </w:rPr>
        <w:t xml:space="preserve"> automatiquement</w:t>
      </w:r>
      <w:r w:rsidRPr="001B6CFB">
        <w:rPr>
          <w:rFonts w:ascii="Book Antiqua" w:hAnsi="Book Antiqua"/>
        </w:rPr>
        <w:t xml:space="preserve"> un traitement cruel inhumain et dégradant au sens de l’art. 3 CEDH et 15 CDPH</w:t>
      </w:r>
      <w:r w:rsidRPr="001B6CFB">
        <w:rPr>
          <w:rStyle w:val="Appelnotedebasdep"/>
          <w:rFonts w:ascii="Book Antiqua" w:hAnsi="Book Antiqua"/>
        </w:rPr>
        <w:footnoteReference w:id="86"/>
      </w:r>
      <w:r w:rsidRPr="001B6CFB">
        <w:rPr>
          <w:rFonts w:ascii="Book Antiqua" w:hAnsi="Book Antiqua"/>
        </w:rPr>
        <w:t xml:space="preserve">. </w:t>
      </w:r>
    </w:p>
    <w:p w14:paraId="2CD2E68F" w14:textId="77777777" w:rsidR="004F1B5A" w:rsidRDefault="005807D4" w:rsidP="00284B1F">
      <w:pPr>
        <w:jc w:val="both"/>
        <w:rPr>
          <w:rFonts w:ascii="Book Antiqua" w:eastAsia="Book Antiqua" w:hAnsi="Book Antiqua" w:cs="Book Antiqua"/>
          <w:sz w:val="26"/>
          <w:szCs w:val="26"/>
        </w:rPr>
      </w:pPr>
      <w:r>
        <w:br w:type="page"/>
      </w:r>
    </w:p>
    <w:p w14:paraId="31E3BD4A" w14:textId="5394D87E" w:rsidR="004F1B5A" w:rsidRPr="00C345F7" w:rsidRDefault="003A39DE">
      <w:pPr>
        <w:pStyle w:val="Titre3"/>
        <w:numPr>
          <w:ilvl w:val="1"/>
          <w:numId w:val="1"/>
        </w:numPr>
        <w:rPr>
          <w:b/>
          <w:bCs/>
        </w:rPr>
      </w:pPr>
      <w:bookmarkStart w:id="7" w:name="_Toc95769351"/>
      <w:r>
        <w:rPr>
          <w:b/>
          <w:bCs/>
        </w:rPr>
        <w:lastRenderedPageBreak/>
        <w:t>D</w:t>
      </w:r>
      <w:r w:rsidR="005807D4" w:rsidRPr="00C345F7">
        <w:rPr>
          <w:b/>
          <w:bCs/>
        </w:rPr>
        <w:t>roits politiques (articles 12 et 29 CDPH)</w:t>
      </w:r>
      <w:bookmarkEnd w:id="7"/>
    </w:p>
    <w:p w14:paraId="55B78BBC" w14:textId="77777777" w:rsidR="003A39DE" w:rsidRDefault="003A39DE" w:rsidP="00EF1053">
      <w:pPr>
        <w:jc w:val="both"/>
        <w:rPr>
          <w:rFonts w:ascii="Book Antiqua" w:eastAsia="Book Antiqua" w:hAnsi="Book Antiqua" w:cs="Book Antiqua"/>
          <w:b/>
          <w:bCs/>
          <w:highlight w:val="white"/>
          <w:u w:val="single"/>
        </w:rPr>
      </w:pPr>
      <w:bookmarkStart w:id="8" w:name="_4d34og8" w:colFirst="0" w:colLast="0"/>
      <w:bookmarkStart w:id="9" w:name="_gd50imek4r80" w:colFirst="0" w:colLast="0"/>
      <w:bookmarkStart w:id="10" w:name="_8hulw03o1lcf" w:colFirst="0" w:colLast="0"/>
      <w:bookmarkEnd w:id="8"/>
      <w:bookmarkEnd w:id="9"/>
      <w:bookmarkEnd w:id="10"/>
    </w:p>
    <w:p w14:paraId="5D9802BE" w14:textId="10422CA6" w:rsidR="00EF1053" w:rsidRPr="003A39DE" w:rsidRDefault="00EF1053" w:rsidP="00EF1053">
      <w:pPr>
        <w:jc w:val="both"/>
        <w:rPr>
          <w:rFonts w:ascii="Book Antiqua" w:eastAsia="Book Antiqua" w:hAnsi="Book Antiqua" w:cs="Book Antiqua"/>
          <w:highlight w:val="white"/>
          <w:u w:val="single"/>
        </w:rPr>
      </w:pPr>
      <w:r w:rsidRPr="003A39DE">
        <w:rPr>
          <w:rFonts w:ascii="Book Antiqua" w:eastAsia="Book Antiqua" w:hAnsi="Book Antiqua" w:cs="Book Antiqua"/>
          <w:highlight w:val="white"/>
          <w:u w:val="single"/>
        </w:rPr>
        <w:t>Titularité des droits politiques</w:t>
      </w:r>
    </w:p>
    <w:p w14:paraId="714B6ED0" w14:textId="23090CA9" w:rsidR="00EF1053" w:rsidRPr="00284B1F" w:rsidRDefault="00EF1053" w:rsidP="00EF1053">
      <w:pPr>
        <w:jc w:val="both"/>
        <w:rPr>
          <w:rFonts w:ascii="Book Antiqua" w:hAnsi="Book Antiqua" w:cs="Times New Roman"/>
          <w:szCs w:val="24"/>
        </w:rPr>
      </w:pPr>
      <w:r w:rsidRPr="00EF1053">
        <w:rPr>
          <w:rFonts w:ascii="Book Antiqua" w:eastAsia="Book Antiqua" w:hAnsi="Book Antiqua" w:cs="Book Antiqua"/>
          <w:highlight w:val="white"/>
        </w:rPr>
        <w:t xml:space="preserve">La Suisse étant un État fédéral, la Constitution fédérale règle les droits politiques au niveau fédéral, alors que les cantons restent compétents pour déterminer les droits politiques sur le plan cantonal et communal, </w:t>
      </w:r>
      <w:r w:rsidRPr="00284B1F">
        <w:rPr>
          <w:rFonts w:ascii="Book Antiqua" w:eastAsia="Book Antiqua" w:hAnsi="Book Antiqua" w:cs="Book Antiqua"/>
          <w:highlight w:val="white"/>
        </w:rPr>
        <w:t>dans les limites du droit fédéral</w:t>
      </w:r>
      <w:r w:rsidRPr="00284B1F">
        <w:rPr>
          <w:rFonts w:ascii="Book Antiqua" w:hAnsi="Book Antiqua"/>
          <w:highlight w:val="white"/>
          <w:vertAlign w:val="superscript"/>
        </w:rPr>
        <w:footnoteReference w:id="87"/>
      </w:r>
      <w:r w:rsidRPr="00284B1F">
        <w:rPr>
          <w:rFonts w:ascii="Book Antiqua" w:eastAsia="Book Antiqua" w:hAnsi="Book Antiqua" w:cs="Book Antiqua"/>
          <w:highlight w:val="white"/>
        </w:rPr>
        <w:t>. Des différences existent donc entre la titularité des droits de vote sur les plans fédéral, cantonal et communal, notamment s’agissant de l’âge et du droit de vote des personnes étrangères</w:t>
      </w:r>
      <w:bookmarkStart w:id="11" w:name="_Ref95753199"/>
      <w:r w:rsidRPr="00284B1F">
        <w:rPr>
          <w:rStyle w:val="Appelnotedebasdep"/>
          <w:rFonts w:ascii="Book Antiqua" w:eastAsia="Book Antiqua" w:hAnsi="Book Antiqua" w:cs="Book Antiqua"/>
          <w:highlight w:val="white"/>
        </w:rPr>
        <w:footnoteReference w:id="88"/>
      </w:r>
      <w:bookmarkEnd w:id="11"/>
      <w:r w:rsidRPr="00284B1F">
        <w:rPr>
          <w:rFonts w:ascii="Book Antiqua" w:eastAsia="Book Antiqua" w:hAnsi="Book Antiqua" w:cs="Book Antiqua"/>
          <w:highlight w:val="white"/>
        </w:rPr>
        <w:t>. En Suisse, l’importance des droits politiques se trouve encore accrue par la présence d’instruments de démocratie directe, notamment le droit d’initiative et de référendum, qui permet au corps électoral de se prononcer régulièrement sur des sujets politiques</w:t>
      </w:r>
      <w:r w:rsidRPr="00284B1F">
        <w:rPr>
          <w:rStyle w:val="Appelnotedebasdep"/>
          <w:rFonts w:ascii="Book Antiqua" w:eastAsia="Book Antiqua" w:hAnsi="Book Antiqua" w:cs="Book Antiqua"/>
          <w:highlight w:val="white"/>
        </w:rPr>
        <w:footnoteReference w:id="89"/>
      </w:r>
      <w:r w:rsidRPr="00284B1F">
        <w:rPr>
          <w:rFonts w:ascii="Book Antiqua" w:eastAsia="Book Antiqua" w:hAnsi="Book Antiqua" w:cs="Book Antiqua"/>
          <w:highlight w:val="white"/>
        </w:rPr>
        <w:t>. Sur le plan fédéral, l’article 136 al. 1 Cst. féd. prévoit que « [t]ous les Suisses et toutes les Suissesses ayant 18 ans révolus qui ne sont pas interdits pour cause de maladie mentale ou de faiblesse d’esprit ont les droits politiques en matière fédérale. Tous ont les mêmes droits et devoirs politiques ». Cette formulation doit être comprise comme excluant du droit de vote toutes les personnes qui « en raison d’une incapacité durable de discernement, sont protégées par une curatelle de portée générale ou par un mandat pour cause d’inaptitude »</w:t>
      </w:r>
      <w:bookmarkStart w:id="12" w:name="_Ref95749782"/>
      <w:r w:rsidRPr="00284B1F">
        <w:rPr>
          <w:rFonts w:ascii="Book Antiqua" w:hAnsi="Book Antiqua"/>
          <w:highlight w:val="white"/>
          <w:vertAlign w:val="superscript"/>
        </w:rPr>
        <w:footnoteReference w:id="90"/>
      </w:r>
      <w:bookmarkEnd w:id="12"/>
      <w:r w:rsidRPr="00284B1F">
        <w:rPr>
          <w:rFonts w:ascii="Book Antiqua" w:eastAsia="Book Antiqua" w:hAnsi="Book Antiqua" w:cs="Book Antiqua"/>
          <w:highlight w:val="white"/>
        </w:rPr>
        <w:t xml:space="preserve">. </w:t>
      </w:r>
      <w:r w:rsidRPr="00284B1F">
        <w:rPr>
          <w:rFonts w:ascii="Book Antiqua" w:hAnsi="Book Antiqua" w:cs="Times New Roman"/>
          <w:szCs w:val="24"/>
        </w:rPr>
        <w:t>La plupart des cantons ont adopté le même système</w:t>
      </w:r>
      <w:r w:rsidRPr="00284B1F">
        <w:rPr>
          <w:rFonts w:ascii="Book Antiqua" w:hAnsi="Book Antiqua" w:cs="Times New Roman"/>
          <w:szCs w:val="24"/>
          <w:vertAlign w:val="superscript"/>
        </w:rPr>
        <w:footnoteReference w:id="91"/>
      </w:r>
      <w:r w:rsidRPr="00284B1F">
        <w:rPr>
          <w:rFonts w:ascii="Book Antiqua" w:hAnsi="Book Antiqua" w:cs="Times New Roman"/>
          <w:szCs w:val="24"/>
        </w:rPr>
        <w:t>.</w:t>
      </w:r>
    </w:p>
    <w:p w14:paraId="75E71147" w14:textId="77777777" w:rsidR="00EF1053" w:rsidRPr="00EF1053" w:rsidRDefault="00EF1053" w:rsidP="00EF1053">
      <w:pPr>
        <w:jc w:val="both"/>
        <w:rPr>
          <w:rFonts w:ascii="Book Antiqua" w:hAnsi="Book Antiqua" w:cs="Times New Roman"/>
          <w:szCs w:val="24"/>
        </w:rPr>
      </w:pPr>
    </w:p>
    <w:p w14:paraId="4CF7A3C4" w14:textId="2D377FB8" w:rsidR="00EF1053" w:rsidRPr="00EF1053" w:rsidRDefault="00EF1053" w:rsidP="00EF1053">
      <w:pPr>
        <w:jc w:val="both"/>
        <w:rPr>
          <w:rFonts w:ascii="Book Antiqua" w:eastAsia="Book Antiqua" w:hAnsi="Book Antiqua" w:cs="Book Antiqua"/>
          <w:highlight w:val="white"/>
        </w:rPr>
      </w:pPr>
      <w:r w:rsidRPr="00EF1053">
        <w:rPr>
          <w:rFonts w:ascii="Book Antiqua" w:eastAsia="Book Antiqua" w:hAnsi="Book Antiqua" w:cs="Book Antiqua"/>
          <w:highlight w:val="white"/>
        </w:rPr>
        <w:t>Cette règlementation pose plusieurs problèmes au regard des droits humains. Tout d’abord, la privation des droits politiques dépend de l’établissement d’une curatelle pour la gestion des affaires privées d’une personne, deux éléments qui ne sont pas nécessairement liés</w:t>
      </w:r>
      <w:r>
        <w:rPr>
          <w:rStyle w:val="Appelnotedebasdep"/>
          <w:rFonts w:ascii="Book Antiqua" w:eastAsia="Book Antiqua" w:hAnsi="Book Antiqua" w:cs="Book Antiqua"/>
          <w:highlight w:val="white"/>
        </w:rPr>
        <w:footnoteReference w:id="92"/>
      </w:r>
      <w:r w:rsidRPr="00EF1053">
        <w:rPr>
          <w:rFonts w:ascii="Book Antiqua" w:eastAsia="Book Antiqua" w:hAnsi="Book Antiqua" w:cs="Book Antiqua"/>
          <w:highlight w:val="white"/>
        </w:rPr>
        <w:t>. Ensuite, cette privation est automatique, sans possibilité d’évaluation individuelle</w:t>
      </w:r>
      <w:bookmarkStart w:id="13" w:name="_Ref95750345"/>
      <w:r>
        <w:rPr>
          <w:rStyle w:val="Appelnotedebasdep"/>
          <w:rFonts w:ascii="Book Antiqua" w:eastAsia="Book Antiqua" w:hAnsi="Book Antiqua" w:cs="Book Antiqua"/>
          <w:highlight w:val="white"/>
        </w:rPr>
        <w:footnoteReference w:id="93"/>
      </w:r>
      <w:bookmarkEnd w:id="13"/>
      <w:r w:rsidRPr="00EF1053">
        <w:rPr>
          <w:rFonts w:ascii="Book Antiqua" w:eastAsia="Book Antiqua" w:hAnsi="Book Antiqua" w:cs="Book Antiqua"/>
          <w:highlight w:val="white"/>
        </w:rPr>
        <w:t>. Enfin, sous l’angle de l’article 29 CDPH, toute privation des droits politiques en raison du handicap mental ou psychique d’une personne est à proscrire</w:t>
      </w:r>
      <w:r>
        <w:rPr>
          <w:rStyle w:val="Appelnotedebasdep"/>
          <w:rFonts w:ascii="Book Antiqua" w:eastAsia="Book Antiqua" w:hAnsi="Book Antiqua" w:cs="Book Antiqua"/>
          <w:highlight w:val="white"/>
        </w:rPr>
        <w:footnoteReference w:id="94"/>
      </w:r>
      <w:r w:rsidRPr="00EF1053">
        <w:rPr>
          <w:rFonts w:ascii="Book Antiqua" w:eastAsia="Book Antiqua" w:hAnsi="Book Antiqua" w:cs="Book Antiqua"/>
          <w:highlight w:val="white"/>
        </w:rPr>
        <w:t>.</w:t>
      </w:r>
    </w:p>
    <w:p w14:paraId="53526195" w14:textId="77777777" w:rsidR="00EF1053" w:rsidRPr="00EF1053" w:rsidRDefault="00EF1053" w:rsidP="00EF1053">
      <w:pPr>
        <w:jc w:val="both"/>
        <w:rPr>
          <w:rFonts w:ascii="Book Antiqua" w:eastAsia="Book Antiqua" w:hAnsi="Book Antiqua" w:cs="Book Antiqua"/>
          <w:highlight w:val="white"/>
        </w:rPr>
      </w:pPr>
    </w:p>
    <w:p w14:paraId="4A65CF9D" w14:textId="0BCF1CBB" w:rsidR="00EF1053" w:rsidRPr="00EF1053" w:rsidRDefault="00EF1053" w:rsidP="00EF1053">
      <w:pPr>
        <w:spacing w:after="120"/>
        <w:jc w:val="both"/>
        <w:rPr>
          <w:rFonts w:ascii="Book Antiqua" w:eastAsia="Book Antiqua" w:hAnsi="Book Antiqua" w:cs="Book Antiqua"/>
        </w:rPr>
      </w:pPr>
      <w:r w:rsidRPr="00EF1053">
        <w:rPr>
          <w:rFonts w:ascii="Book Antiqua" w:hAnsi="Book Antiqua" w:cs="Times New Roman"/>
          <w:szCs w:val="24"/>
        </w:rPr>
        <w:t xml:space="preserve">Plusieurs cantons, Neuchâtel, Vaud et le Tessin en particulier, permettent aux personnes placées sous une curatelle de portée générale ou un </w:t>
      </w:r>
      <w:r w:rsidRPr="00EF1053">
        <w:rPr>
          <w:rFonts w:ascii="Book Antiqua" w:eastAsia="Book Antiqua" w:hAnsi="Book Antiqua" w:cs="Book Antiqua"/>
          <w:highlight w:val="white"/>
        </w:rPr>
        <w:t>mandat pour cause d’inaptitude </w:t>
      </w:r>
      <w:r w:rsidRPr="00EF1053">
        <w:rPr>
          <w:rFonts w:ascii="Book Antiqua" w:eastAsia="Book Antiqua" w:hAnsi="Book Antiqua" w:cs="Book Antiqua"/>
        </w:rPr>
        <w:t xml:space="preserve">de </w:t>
      </w:r>
      <w:r w:rsidRPr="00EF1053">
        <w:rPr>
          <w:rFonts w:ascii="Book Antiqua" w:eastAsia="Book Antiqua" w:hAnsi="Book Antiqua" w:cs="Book Antiqua"/>
        </w:rPr>
        <w:lastRenderedPageBreak/>
        <w:t>récupérer leurs droits politiques sur les plans cantonal et communal, en attestant leur capacité de discernement relative aux droits politiques</w:t>
      </w:r>
      <w:r>
        <w:rPr>
          <w:rStyle w:val="Appelnotedebasdep"/>
          <w:rFonts w:ascii="Book Antiqua" w:eastAsia="Book Antiqua" w:hAnsi="Book Antiqua" w:cs="Book Antiqua"/>
        </w:rPr>
        <w:footnoteReference w:id="95"/>
      </w:r>
      <w:r w:rsidRPr="00EF1053">
        <w:rPr>
          <w:rFonts w:ascii="Book Antiqua" w:eastAsia="Book Antiqua" w:hAnsi="Book Antiqua" w:cs="Book Antiqua"/>
        </w:rPr>
        <w:t>. Si ce régime a permis à certaines personnes de retrouver l’exercice des droits politiques</w:t>
      </w:r>
      <w:r>
        <w:rPr>
          <w:rStyle w:val="Appelnotedebasdep"/>
          <w:rFonts w:ascii="Book Antiqua" w:eastAsia="Book Antiqua" w:hAnsi="Book Antiqua" w:cs="Book Antiqua"/>
        </w:rPr>
        <w:footnoteReference w:id="96"/>
      </w:r>
      <w:r w:rsidRPr="00EF1053">
        <w:rPr>
          <w:rFonts w:ascii="Book Antiqua" w:eastAsia="Book Antiqua" w:hAnsi="Book Antiqua" w:cs="Book Antiqua"/>
        </w:rPr>
        <w:t>, il n’est pas satisfaisant dans la mesure où il place une charge disproportionnée sur l’individu concerné. D’ailleurs, dans les deux cantons, des propositions visant à abolir la privation des droits politiques sont en cours</w:t>
      </w:r>
      <w:r>
        <w:rPr>
          <w:rStyle w:val="Appelnotedebasdep"/>
          <w:rFonts w:ascii="Book Antiqua" w:eastAsia="Book Antiqua" w:hAnsi="Book Antiqua" w:cs="Book Antiqua"/>
        </w:rPr>
        <w:footnoteReference w:id="97"/>
      </w:r>
      <w:r w:rsidRPr="00EF1053">
        <w:rPr>
          <w:rFonts w:ascii="Book Antiqua" w:eastAsia="Book Antiqua" w:hAnsi="Book Antiqua" w:cs="Book Antiqua"/>
        </w:rPr>
        <w:t>. Des propositions similaires sont étudiées dans d’autres cantons</w:t>
      </w:r>
      <w:r w:rsidRPr="00E030A8">
        <w:rPr>
          <w:vertAlign w:val="superscript"/>
        </w:rPr>
        <w:footnoteReference w:id="98"/>
      </w:r>
      <w:r w:rsidRPr="00EF1053">
        <w:rPr>
          <w:rFonts w:ascii="Book Antiqua" w:eastAsia="Book Antiqua" w:hAnsi="Book Antiqua" w:cs="Book Antiqua"/>
        </w:rPr>
        <w:t> ; citons néanmoins aussi le canton de Fribourg, o</w:t>
      </w:r>
      <w:r w:rsidR="00C51343">
        <w:rPr>
          <w:rFonts w:ascii="Book Antiqua" w:eastAsia="Book Antiqua" w:hAnsi="Book Antiqua" w:cs="Book Antiqua"/>
        </w:rPr>
        <w:t>ù</w:t>
      </w:r>
      <w:r w:rsidRPr="00EF1053">
        <w:rPr>
          <w:rFonts w:ascii="Book Antiqua" w:eastAsia="Book Antiqua" w:hAnsi="Book Antiqua" w:cs="Book Antiqua"/>
        </w:rPr>
        <w:t xml:space="preserve"> une telle proposition a été refusée</w:t>
      </w:r>
      <w:r>
        <w:rPr>
          <w:rStyle w:val="Appelnotedebasdep"/>
          <w:rFonts w:ascii="Book Antiqua" w:eastAsia="Book Antiqua" w:hAnsi="Book Antiqua" w:cs="Book Antiqua"/>
        </w:rPr>
        <w:footnoteReference w:id="99"/>
      </w:r>
      <w:r w:rsidRPr="00EF1053">
        <w:rPr>
          <w:rFonts w:ascii="Book Antiqua" w:eastAsia="Book Antiqua" w:hAnsi="Book Antiqua" w:cs="Book Antiqua"/>
        </w:rPr>
        <w:t>.</w:t>
      </w:r>
    </w:p>
    <w:p w14:paraId="20C9D2F9" w14:textId="77777777" w:rsidR="00EF1053" w:rsidRDefault="00EF1053" w:rsidP="00EF1053">
      <w:pPr>
        <w:spacing w:after="120"/>
        <w:jc w:val="both"/>
        <w:rPr>
          <w:rFonts w:ascii="Book Antiqua" w:eastAsia="Book Antiqua" w:hAnsi="Book Antiqua" w:cs="Book Antiqua"/>
          <w:smallCaps/>
        </w:rPr>
      </w:pPr>
      <w:r w:rsidRPr="00EF1053">
        <w:rPr>
          <w:rFonts w:ascii="Book Antiqua" w:eastAsia="Book Antiqua" w:hAnsi="Book Antiqua" w:cs="Book Antiqua"/>
        </w:rPr>
        <w:t>Genève a été le premier canton, lors d’une votation populaire le 29 novembre 2020, à abroger les restrictions des droits politiques liées au handicap, garantissant ainsi l’accès aux droits politiques sur les plans cantonal et communal à toute personne âgée de 18 ans révolus et titulaire de la nationalité suisse</w:t>
      </w:r>
      <w:r w:rsidRPr="003A5434">
        <w:rPr>
          <w:rStyle w:val="Appelnotedebasdep"/>
          <w:rFonts w:ascii="Book Antiqua" w:eastAsia="Book Antiqua" w:hAnsi="Book Antiqua" w:cs="Book Antiqua"/>
        </w:rPr>
        <w:footnoteReference w:id="100"/>
      </w:r>
      <w:r w:rsidRPr="00EF1053">
        <w:rPr>
          <w:rFonts w:ascii="Book Antiqua" w:eastAsia="Book Antiqua" w:hAnsi="Book Antiqua" w:cs="Book Antiqua"/>
        </w:rPr>
        <w:t>. Auparavant, le cadre juridique cantonal prévoyait que les « droits politiques des personnes durablement incapables de discernement [pouvaient] être suspendus par décision d’une autorité judicaire », après une analyse au cas par cas de la capacité de discernement sur le plan politique</w:t>
      </w:r>
      <w:r w:rsidRPr="003A5434">
        <w:rPr>
          <w:rStyle w:val="Appelnotedebasdep"/>
          <w:rFonts w:ascii="Book Antiqua" w:eastAsia="Book Antiqua" w:hAnsi="Book Antiqua" w:cs="Book Antiqua"/>
        </w:rPr>
        <w:footnoteReference w:id="101"/>
      </w:r>
      <w:r w:rsidRPr="00EF1053">
        <w:rPr>
          <w:rFonts w:ascii="Book Antiqua" w:eastAsia="Book Antiqua" w:hAnsi="Book Antiqua" w:cs="Book Antiqua"/>
        </w:rPr>
        <w:t xml:space="preserve">. A la suite de l’entrée en vigueur de la CDPH, les parlementaires du canton de Genève ont estimé que </w:t>
      </w:r>
      <w:r w:rsidRPr="00EF1053">
        <w:rPr>
          <w:rFonts w:ascii="Book Antiqua" w:hAnsi="Book Antiqua" w:cs="Times New Roman"/>
          <w:szCs w:val="24"/>
        </w:rPr>
        <w:t>« [l]a mise en œuvre la plus complète, pleine et entière, de cette norme implique, tout simplement, que l’on</w:t>
      </w:r>
      <w:r w:rsidRPr="00EF1053">
        <w:rPr>
          <w:rFonts w:ascii="Book Antiqua" w:hAnsi="Book Antiqua" w:cs="Times New Roman"/>
          <w:iCs/>
          <w:szCs w:val="24"/>
        </w:rPr>
        <w:t xml:space="preserve"> renonce</w:t>
      </w:r>
      <w:r w:rsidRPr="00EF1053">
        <w:rPr>
          <w:rFonts w:ascii="Book Antiqua" w:hAnsi="Book Antiqua" w:cs="Times New Roman"/>
          <w:i/>
          <w:szCs w:val="24"/>
        </w:rPr>
        <w:t xml:space="preserve"> </w:t>
      </w:r>
      <w:r w:rsidRPr="00EF1053">
        <w:rPr>
          <w:rFonts w:ascii="Book Antiqua" w:hAnsi="Book Antiqua" w:cs="Times New Roman"/>
          <w:szCs w:val="24"/>
        </w:rPr>
        <w:t>à retirer les droits politiques à toute [personne] handicapée que ce soit »</w:t>
      </w:r>
      <w:r w:rsidRPr="00D0158D">
        <w:rPr>
          <w:rFonts w:cs="Times New Roman"/>
          <w:szCs w:val="24"/>
          <w:vertAlign w:val="superscript"/>
        </w:rPr>
        <w:footnoteReference w:id="102"/>
      </w:r>
      <w:r w:rsidRPr="00EF1053">
        <w:rPr>
          <w:rFonts w:ascii="Book Antiqua" w:hAnsi="Book Antiqua" w:cs="Times New Roman"/>
          <w:szCs w:val="24"/>
        </w:rPr>
        <w:t>. Cette réflexion indique les modifications qui seraient nécessaires sur le plan fédéral et dans les autres cantons afin de mettre le cadre juridique en conformité avec la CDPH. Sur le plan fédéral, d’ailleurs, un postulat a été accepté en 2021 chargeant le gouvernement d’élaborer un rapport déterminant les mesures à être prises pour mettre le cadre juridique en conformité avec la CDPH</w:t>
      </w:r>
      <w:r>
        <w:rPr>
          <w:rStyle w:val="Appelnotedebasdep"/>
          <w:rFonts w:ascii="Book Antiqua" w:hAnsi="Book Antiqua" w:cs="Times New Roman"/>
          <w:szCs w:val="24"/>
        </w:rPr>
        <w:footnoteReference w:id="103"/>
      </w:r>
      <w:r w:rsidRPr="00EF1053">
        <w:rPr>
          <w:rFonts w:ascii="Book Antiqua" w:hAnsi="Book Antiqua" w:cs="Times New Roman"/>
          <w:szCs w:val="24"/>
        </w:rPr>
        <w:t>.</w:t>
      </w:r>
      <w:bookmarkStart w:id="14" w:name="_128f7eofwtgn" w:colFirst="0" w:colLast="0"/>
      <w:bookmarkStart w:id="15" w:name="_7kn7ltnniy83" w:colFirst="0" w:colLast="0"/>
      <w:bookmarkStart w:id="16" w:name="_18s19ancvk6v" w:colFirst="0" w:colLast="0"/>
      <w:bookmarkEnd w:id="14"/>
      <w:bookmarkEnd w:id="15"/>
      <w:bookmarkEnd w:id="16"/>
    </w:p>
    <w:p w14:paraId="1AD65FA2" w14:textId="77777777" w:rsidR="003A39DE" w:rsidRPr="003A39DE" w:rsidRDefault="00EF1053" w:rsidP="003A39DE">
      <w:pPr>
        <w:jc w:val="both"/>
        <w:rPr>
          <w:rFonts w:ascii="Book Antiqua" w:eastAsia="Book Antiqua" w:hAnsi="Book Antiqua" w:cs="Book Antiqua"/>
          <w:smallCaps/>
        </w:rPr>
      </w:pPr>
      <w:r w:rsidRPr="003A39DE">
        <w:rPr>
          <w:rFonts w:ascii="Book Antiqua" w:eastAsia="Book Antiqua" w:hAnsi="Book Antiqua" w:cs="Book Antiqua"/>
          <w:highlight w:val="white"/>
          <w:u w:val="single"/>
        </w:rPr>
        <w:t xml:space="preserve">Accès effectif à la participation politique </w:t>
      </w:r>
      <w:bookmarkStart w:id="17" w:name="_zeqrrnm3hiip" w:colFirst="0" w:colLast="0"/>
      <w:bookmarkEnd w:id="17"/>
    </w:p>
    <w:p w14:paraId="5B78613E" w14:textId="1378C2D0" w:rsidR="00EF1053" w:rsidRDefault="00EF1053" w:rsidP="00EF1053">
      <w:pPr>
        <w:spacing w:after="120"/>
        <w:jc w:val="both"/>
        <w:rPr>
          <w:rFonts w:ascii="Book Antiqua" w:eastAsia="Book Antiqua" w:hAnsi="Book Antiqua" w:cs="Book Antiqua"/>
          <w:smallCaps/>
        </w:rPr>
      </w:pPr>
      <w:r w:rsidRPr="00EF1053">
        <w:rPr>
          <w:rFonts w:ascii="Book Antiqua" w:eastAsia="Book Antiqua" w:hAnsi="Book Antiqua" w:cs="Book Antiqua"/>
          <w:highlight w:val="white"/>
        </w:rPr>
        <w:t xml:space="preserve">Au-delà de la titularité des droits politiques se </w:t>
      </w:r>
      <w:r w:rsidRPr="00EF1053">
        <w:rPr>
          <w:rFonts w:ascii="Book Antiqua" w:eastAsia="Book Antiqua" w:hAnsi="Book Antiqua" w:cs="Book Antiqua"/>
        </w:rPr>
        <w:t xml:space="preserve">pose la question de leur jouissance effective. Rappelons à cet égard que l’article 29 CDPH comprend les droits politiques au sens large, incluant toute forme de participation à la vie politique et publique. Il oblige notamment les États à garantir que les personnes en situation de handicap puissent participer </w:t>
      </w:r>
      <w:r w:rsidRPr="00EF1053">
        <w:rPr>
          <w:rFonts w:ascii="Book Antiqua" w:hAnsi="Book Antiqua" w:cs="Times New Roman"/>
          <w:szCs w:val="24"/>
        </w:rPr>
        <w:t>« […] effectivement et pleinement à la vie politique et […] publique […] »</w:t>
      </w:r>
      <w:r w:rsidRPr="00CF0F61">
        <w:rPr>
          <w:rStyle w:val="Appelnotedebasdep"/>
          <w:rFonts w:ascii="Book Antiqua" w:hAnsi="Book Antiqua" w:cs="Times New Roman"/>
          <w:szCs w:val="24"/>
        </w:rPr>
        <w:footnoteReference w:id="104"/>
      </w:r>
      <w:r w:rsidRPr="00EF1053">
        <w:rPr>
          <w:rFonts w:ascii="Book Antiqua" w:hAnsi="Book Antiqua" w:cs="Times New Roman"/>
          <w:szCs w:val="24"/>
        </w:rPr>
        <w:t xml:space="preserve">. Cela signifie, entre autres, que les États « […] veillent à ce que les procédures, équipements et matériels </w:t>
      </w:r>
      <w:r w:rsidRPr="00EF1053">
        <w:rPr>
          <w:rFonts w:ascii="Book Antiqua" w:hAnsi="Book Antiqua" w:cs="Times New Roman"/>
          <w:szCs w:val="24"/>
        </w:rPr>
        <w:lastRenderedPageBreak/>
        <w:t>électoraux soient appropriés, accessibles et faciles à comprendre et à utiliser […] »</w:t>
      </w:r>
      <w:r w:rsidRPr="00CF0F61">
        <w:rPr>
          <w:rStyle w:val="Appelnotedebasdep"/>
          <w:rFonts w:ascii="Book Antiqua" w:hAnsi="Book Antiqua" w:cs="Times New Roman"/>
          <w:szCs w:val="24"/>
        </w:rPr>
        <w:footnoteReference w:id="105"/>
      </w:r>
      <w:r w:rsidRPr="00EF1053">
        <w:rPr>
          <w:rFonts w:ascii="Book Antiqua" w:hAnsi="Book Antiqua" w:cs="Times New Roman"/>
          <w:szCs w:val="24"/>
        </w:rPr>
        <w:t>. Cela implique également, en amont des votations et élections, l’accessibilité sans barrières des informations pertinentes</w:t>
      </w:r>
      <w:r>
        <w:rPr>
          <w:rStyle w:val="Appelnotedebasdep"/>
          <w:rFonts w:ascii="Book Antiqua" w:hAnsi="Book Antiqua" w:cs="Times New Roman"/>
          <w:szCs w:val="24"/>
        </w:rPr>
        <w:footnoteReference w:id="106"/>
      </w:r>
      <w:r w:rsidRPr="00EF1053">
        <w:rPr>
          <w:rFonts w:ascii="Book Antiqua" w:hAnsi="Book Antiqua" w:cs="Times New Roman"/>
          <w:szCs w:val="24"/>
        </w:rPr>
        <w:t>.</w:t>
      </w:r>
    </w:p>
    <w:p w14:paraId="392B3C01" w14:textId="77777777" w:rsidR="00EF1053" w:rsidRDefault="00EF1053" w:rsidP="00EF1053">
      <w:pPr>
        <w:spacing w:after="120"/>
        <w:jc w:val="both"/>
        <w:rPr>
          <w:rFonts w:ascii="Book Antiqua" w:eastAsia="Book Antiqua" w:hAnsi="Book Antiqua" w:cs="Book Antiqua"/>
          <w:smallCaps/>
        </w:rPr>
      </w:pPr>
      <w:r w:rsidRPr="00EF1053">
        <w:rPr>
          <w:rFonts w:ascii="Book Antiqua" w:hAnsi="Book Antiqua" w:cs="Times New Roman"/>
          <w:szCs w:val="24"/>
        </w:rPr>
        <w:t>En amont des votations et élections, se pose la question de l’accès aux informations (voir aussi art. 14 LHand). La Confédération a notamment créé une plateforme en ligne expliquant les votations et élections</w:t>
      </w:r>
      <w:r>
        <w:rPr>
          <w:rStyle w:val="Appelnotedebasdep"/>
          <w:rFonts w:ascii="Book Antiqua" w:hAnsi="Book Antiqua" w:cs="Times New Roman"/>
          <w:szCs w:val="24"/>
        </w:rPr>
        <w:footnoteReference w:id="107"/>
      </w:r>
      <w:r w:rsidRPr="00EF1053">
        <w:rPr>
          <w:rFonts w:ascii="Book Antiqua" w:hAnsi="Book Antiqua" w:cs="Times New Roman"/>
          <w:szCs w:val="24"/>
        </w:rPr>
        <w:t xml:space="preserve"> et créé une série de vidéos explicatives en langue des signes</w:t>
      </w:r>
      <w:r>
        <w:rPr>
          <w:rStyle w:val="Appelnotedebasdep"/>
          <w:rFonts w:ascii="Book Antiqua" w:hAnsi="Book Antiqua" w:cs="Times New Roman"/>
          <w:szCs w:val="24"/>
        </w:rPr>
        <w:footnoteReference w:id="108"/>
      </w:r>
      <w:r w:rsidRPr="00EF1053">
        <w:rPr>
          <w:rFonts w:ascii="Book Antiqua" w:hAnsi="Book Antiqua" w:cs="Times New Roman"/>
          <w:szCs w:val="24"/>
        </w:rPr>
        <w:t>. Citons plus généralement le plan d’action</w:t>
      </w:r>
      <w:r w:rsidRPr="00EF1053">
        <w:rPr>
          <w:rFonts w:ascii="Book Antiqua" w:hAnsi="Book Antiqua" w:cs="Times New Roman"/>
          <w:i/>
          <w:iCs/>
          <w:szCs w:val="24"/>
        </w:rPr>
        <w:t xml:space="preserve"> E-Accessibility </w:t>
      </w:r>
      <w:r w:rsidRPr="00EF1053">
        <w:rPr>
          <w:rFonts w:ascii="Book Antiqua" w:hAnsi="Book Antiqua" w:cs="Times New Roman"/>
          <w:szCs w:val="24"/>
        </w:rPr>
        <w:t>2015-2017 visant</w:t>
      </w:r>
      <w:r w:rsidRPr="00EF1053">
        <w:rPr>
          <w:rFonts w:ascii="Times" w:hAnsi="Times" w:cs="Times New Roman"/>
          <w:sz w:val="24"/>
          <w:szCs w:val="24"/>
          <w:lang w:val="fr-FR"/>
        </w:rPr>
        <w:t xml:space="preserve"> à diminuer les nombreux obstacles à l’accès qui subsistent sur les sites Internet de l’administration fédérale, notamment par le biais du sous-titrage de vidéos, de l’audiodescription des sites, de l’amélioration de l’accessibilité des fichiers </w:t>
      </w:r>
      <w:r w:rsidRPr="00EF1053">
        <w:rPr>
          <w:rFonts w:ascii="Times" w:hAnsi="Times" w:cs="Times New Roman"/>
          <w:i/>
          <w:sz w:val="24"/>
          <w:szCs w:val="24"/>
          <w:lang w:val="fr-FR"/>
        </w:rPr>
        <w:t>pdf</w:t>
      </w:r>
      <w:r w:rsidRPr="00EF1053">
        <w:rPr>
          <w:rFonts w:ascii="Times" w:hAnsi="Times" w:cs="Times New Roman"/>
          <w:sz w:val="24"/>
          <w:szCs w:val="24"/>
          <w:lang w:val="fr-FR"/>
        </w:rPr>
        <w:t xml:space="preserve">, et de la transmission d’informations en </w:t>
      </w:r>
      <w:r w:rsidRPr="00EF1053">
        <w:rPr>
          <w:rFonts w:ascii="Times" w:hAnsi="Times" w:cs="Times New Roman"/>
          <w:i/>
          <w:sz w:val="24"/>
          <w:szCs w:val="24"/>
          <w:lang w:val="fr-FR"/>
        </w:rPr>
        <w:t>langue facile à lire</w:t>
      </w:r>
      <w:bookmarkStart w:id="18" w:name="_Ref384028187"/>
      <w:r w:rsidRPr="00B844EB">
        <w:rPr>
          <w:rStyle w:val="Appelnotedebasdep"/>
          <w:rFonts w:ascii="Times" w:hAnsi="Times" w:cs="Times New Roman"/>
          <w:sz w:val="24"/>
          <w:szCs w:val="24"/>
          <w:lang w:val="fr-FR"/>
        </w:rPr>
        <w:footnoteReference w:id="109"/>
      </w:r>
      <w:bookmarkEnd w:id="18"/>
      <w:r w:rsidRPr="00EF1053">
        <w:rPr>
          <w:rFonts w:ascii="Times" w:hAnsi="Times" w:cs="Times New Roman"/>
          <w:i/>
          <w:sz w:val="24"/>
          <w:szCs w:val="24"/>
          <w:lang w:val="fr-FR"/>
        </w:rPr>
        <w:t xml:space="preserve">. </w:t>
      </w:r>
      <w:r w:rsidRPr="00EF1053">
        <w:rPr>
          <w:rFonts w:ascii="Book Antiqua" w:hAnsi="Book Antiqua" w:cs="Times New Roman"/>
          <w:iCs/>
          <w:szCs w:val="24"/>
        </w:rPr>
        <w:t xml:space="preserve"> </w:t>
      </w:r>
      <w:r w:rsidRPr="00EF1053">
        <w:rPr>
          <w:rFonts w:ascii="Book Antiqua" w:hAnsi="Book Antiqua" w:cs="Times New Roman"/>
          <w:szCs w:val="24"/>
        </w:rPr>
        <w:t>Néanmoins, ces efforts sont insuffisants, comme l’a montré une évaluation du plan d’action menée en 2018</w:t>
      </w:r>
      <w:r w:rsidRPr="00B844EB">
        <w:rPr>
          <w:rStyle w:val="Appelnotedebasdep"/>
          <w:rFonts w:ascii="Times" w:hAnsi="Times" w:cs="Times New Roman"/>
          <w:sz w:val="24"/>
          <w:szCs w:val="24"/>
          <w:lang w:val="fr-FR"/>
        </w:rPr>
        <w:footnoteReference w:id="110"/>
      </w:r>
      <w:r w:rsidRPr="00EF1053">
        <w:rPr>
          <w:rFonts w:ascii="Times" w:hAnsi="Times" w:cs="Times New Roman"/>
          <w:sz w:val="24"/>
          <w:szCs w:val="24"/>
          <w:lang w:val="fr-FR"/>
        </w:rPr>
        <w:t xml:space="preserve"> </w:t>
      </w:r>
      <w:r w:rsidRPr="00EF1053">
        <w:rPr>
          <w:rFonts w:ascii="Book Antiqua" w:hAnsi="Book Antiqua" w:cs="Times New Roman"/>
          <w:szCs w:val="24"/>
        </w:rPr>
        <w:t>et comme l’a aussi reconnu une commission parlementaire</w:t>
      </w:r>
      <w:r>
        <w:rPr>
          <w:rStyle w:val="Appelnotedebasdep"/>
          <w:rFonts w:ascii="Book Antiqua" w:hAnsi="Book Antiqua" w:cs="Times New Roman"/>
          <w:szCs w:val="24"/>
        </w:rPr>
        <w:footnoteReference w:id="111"/>
      </w:r>
      <w:r w:rsidRPr="00EF1053">
        <w:rPr>
          <w:rFonts w:ascii="Book Antiqua" w:hAnsi="Book Antiqua" w:cs="Times New Roman"/>
          <w:szCs w:val="24"/>
        </w:rPr>
        <w:t>, et ne remplissent ainsi pas les exigences des articles 21 et 29 CDPH. L’examen détaillé de ces mesures dans le cadre de l’examen de la Suisse devant le CRPD est d’autant plus important que certaines propositions politiques provenant d’associations de défense des droits des personnes en situation de handicap ont été refusées avec l’indication que ces questions seront examinées dans le cadre du suivi de la CDPH</w:t>
      </w:r>
      <w:r>
        <w:rPr>
          <w:rStyle w:val="Appelnotedebasdep"/>
          <w:rFonts w:ascii="Book Antiqua" w:hAnsi="Book Antiqua" w:cs="Times New Roman"/>
          <w:szCs w:val="24"/>
        </w:rPr>
        <w:footnoteReference w:id="112"/>
      </w:r>
      <w:r w:rsidRPr="00EF1053">
        <w:rPr>
          <w:rFonts w:ascii="Book Antiqua" w:hAnsi="Book Antiqua" w:cs="Times New Roman"/>
          <w:szCs w:val="24"/>
        </w:rPr>
        <w:t>.</w:t>
      </w:r>
    </w:p>
    <w:p w14:paraId="0D2C73CC" w14:textId="77777777" w:rsidR="00B11003" w:rsidRDefault="00EF1053" w:rsidP="000523D3">
      <w:pPr>
        <w:spacing w:after="120"/>
        <w:jc w:val="both"/>
        <w:rPr>
          <w:rFonts w:ascii="Book Antiqua" w:hAnsi="Book Antiqua" w:cs="Times New Roman"/>
          <w:szCs w:val="24"/>
        </w:rPr>
      </w:pPr>
      <w:r w:rsidRPr="00EF1053">
        <w:rPr>
          <w:rFonts w:ascii="Times" w:hAnsi="Times" w:cs="Times New Roman"/>
          <w:sz w:val="24"/>
          <w:szCs w:val="24"/>
          <w:lang w:val="fr-FR"/>
        </w:rPr>
        <w:t>Divers obstacles freinent ensuite l’exercice effectif des droits politiques au sens strict. Certains sont d’ordre matériel. Si l’accessibilité des bâtiments et installations perd son importance face à la généralisation du vote par correspondance</w:t>
      </w:r>
      <w:r>
        <w:rPr>
          <w:rStyle w:val="Appelnotedebasdep"/>
          <w:rFonts w:ascii="Times" w:hAnsi="Times" w:cs="Times New Roman"/>
          <w:sz w:val="24"/>
          <w:szCs w:val="24"/>
          <w:lang w:val="fr-FR"/>
        </w:rPr>
        <w:footnoteReference w:id="113"/>
      </w:r>
      <w:r w:rsidRPr="00EF1053">
        <w:rPr>
          <w:rFonts w:ascii="Times" w:hAnsi="Times" w:cs="Times New Roman"/>
          <w:sz w:val="24"/>
          <w:szCs w:val="24"/>
          <w:lang w:val="fr-FR"/>
        </w:rPr>
        <w:t>, elle garde toute son importance pour parlementaires et membres d’exécutifs. Une autre question est celle de la disponibilité du matériel de vote uniquement en format papier et le vote électronique qui peine à se généraliser</w:t>
      </w:r>
      <w:r>
        <w:rPr>
          <w:rStyle w:val="Appelnotedebasdep"/>
          <w:rFonts w:ascii="Times" w:hAnsi="Times" w:cs="Times New Roman"/>
          <w:sz w:val="24"/>
          <w:szCs w:val="24"/>
          <w:lang w:val="fr-FR"/>
        </w:rPr>
        <w:footnoteReference w:id="114"/>
      </w:r>
      <w:r w:rsidRPr="00EF1053">
        <w:rPr>
          <w:rFonts w:ascii="Times" w:hAnsi="Times" w:cs="Times New Roman"/>
          <w:sz w:val="24"/>
          <w:szCs w:val="24"/>
          <w:lang w:val="fr-FR"/>
        </w:rPr>
        <w:t xml:space="preserve">. L’article 5 al. 6 LDP, qui permet aux personnes qui ne sont pas en mesure d’écrire de faire remplir leur bulletin de vote par « un électeur de son choix » n’est pas </w:t>
      </w:r>
      <w:r w:rsidRPr="00EF1053">
        <w:rPr>
          <w:rFonts w:ascii="Times" w:hAnsi="Times" w:cs="Times New Roman"/>
          <w:sz w:val="24"/>
          <w:szCs w:val="24"/>
          <w:lang w:val="fr-FR"/>
        </w:rPr>
        <w:lastRenderedPageBreak/>
        <w:t>satisfaisant au regard du secret de vote (art. 5 al. 7 LDP, art. 29 al. 1 ch. ii CDPH). Au-delà des obstacles matériels, des préjugés contribuent à « invisibiliser » les personnes en situation de handicap dans le processus politique.</w:t>
      </w:r>
      <w:r w:rsidRPr="00EF1053">
        <w:rPr>
          <w:rFonts w:ascii="Book Antiqua" w:hAnsi="Book Antiqua" w:cs="Times New Roman"/>
          <w:szCs w:val="24"/>
        </w:rPr>
        <w:t xml:space="preserve"> En lien avec les personnes en situation de handicap mental, plus spécifiquement, les articles 12 et 29 CPDH commanderaient la prise de mesures spécifiques soutenant les personnes dans l’exercice effectif de leurs droits de vote.</w:t>
      </w:r>
    </w:p>
    <w:p w14:paraId="13328591" w14:textId="59E7DEEA" w:rsidR="003F1F1C" w:rsidRPr="00B11003" w:rsidRDefault="00B11003" w:rsidP="00B11003">
      <w:pPr>
        <w:rPr>
          <w:rFonts w:ascii="Book Antiqua" w:hAnsi="Book Antiqua" w:cs="Times New Roman"/>
          <w:szCs w:val="24"/>
        </w:rPr>
      </w:pPr>
      <w:r>
        <w:rPr>
          <w:rFonts w:ascii="Book Antiqua" w:hAnsi="Book Antiqua" w:cs="Times New Roman"/>
          <w:szCs w:val="24"/>
        </w:rPr>
        <w:br w:type="page"/>
      </w:r>
      <w:bookmarkStart w:id="19" w:name="_gqy8od1xbobg" w:colFirst="0" w:colLast="0"/>
      <w:bookmarkEnd w:id="19"/>
    </w:p>
    <w:p w14:paraId="5936B892" w14:textId="607346F1" w:rsidR="004F1B5A" w:rsidRPr="00C96CCE" w:rsidRDefault="00C96CCE" w:rsidP="00C96CCE">
      <w:pPr>
        <w:pStyle w:val="Titre3"/>
        <w:numPr>
          <w:ilvl w:val="1"/>
          <w:numId w:val="1"/>
        </w:numPr>
        <w:rPr>
          <w:b/>
          <w:bCs/>
        </w:rPr>
      </w:pPr>
      <w:bookmarkStart w:id="20" w:name="_Toc95769352"/>
      <w:r>
        <w:rPr>
          <w:b/>
          <w:bCs/>
        </w:rPr>
        <w:lastRenderedPageBreak/>
        <w:t>Stérilisations</w:t>
      </w:r>
      <w:r w:rsidR="0054201D">
        <w:rPr>
          <w:b/>
          <w:bCs/>
        </w:rPr>
        <w:t xml:space="preserve"> (articles </w:t>
      </w:r>
      <w:r w:rsidR="0033447F">
        <w:rPr>
          <w:b/>
          <w:bCs/>
        </w:rPr>
        <w:t>12, 23 et 25 CDPH)</w:t>
      </w:r>
      <w:bookmarkEnd w:id="20"/>
    </w:p>
    <w:p w14:paraId="6F6D65B1" w14:textId="52E33614" w:rsidR="003D59E1" w:rsidRDefault="003D59E1">
      <w:pPr>
        <w:rPr>
          <w:rFonts w:ascii="Book Antiqua" w:hAnsi="Book Antiqua"/>
        </w:rPr>
      </w:pPr>
    </w:p>
    <w:p w14:paraId="6F9D5EFF" w14:textId="79A7A26E" w:rsidR="00B1698D" w:rsidRPr="00B1698D" w:rsidRDefault="00805241" w:rsidP="00805241">
      <w:pPr>
        <w:jc w:val="both"/>
        <w:rPr>
          <w:rFonts w:ascii="Book Antiqua" w:hAnsi="Book Antiqua"/>
          <w:smallCaps/>
        </w:rPr>
      </w:pPr>
      <w:r>
        <w:rPr>
          <w:rFonts w:ascii="Book Antiqua" w:hAnsi="Book Antiqua"/>
        </w:rPr>
        <w:t xml:space="preserve">Un des aspects qui posent problème sont les stérilisations forcées ou non volontaires. </w:t>
      </w:r>
      <w:r w:rsidR="00B91DCE">
        <w:rPr>
          <w:rFonts w:ascii="Book Antiqua" w:hAnsi="Book Antiqua"/>
        </w:rPr>
        <w:t>La stérilisation représente une atteinte grave à l’intégrité corporelle (art. 10 al. 2 Cst.</w:t>
      </w:r>
      <w:r w:rsidR="00087508">
        <w:rPr>
          <w:rFonts w:ascii="Book Antiqua" w:hAnsi="Book Antiqua"/>
        </w:rPr>
        <w:t xml:space="preserve"> féd.</w:t>
      </w:r>
      <w:r w:rsidR="00B91DCE">
        <w:rPr>
          <w:rFonts w:ascii="Book Antiqua" w:hAnsi="Book Antiqua"/>
        </w:rPr>
        <w:t>, art.</w:t>
      </w:r>
      <w:r w:rsidR="007025A1">
        <w:rPr>
          <w:rFonts w:ascii="Book Antiqua" w:hAnsi="Book Antiqua"/>
        </w:rPr>
        <w:t> </w:t>
      </w:r>
      <w:r w:rsidR="00B91DCE">
        <w:rPr>
          <w:rFonts w:ascii="Book Antiqua" w:hAnsi="Book Antiqua"/>
        </w:rPr>
        <w:t>28</w:t>
      </w:r>
      <w:r w:rsidR="000C6A9C">
        <w:rPr>
          <w:rFonts w:ascii="Book Antiqua" w:hAnsi="Book Antiqua"/>
        </w:rPr>
        <w:t> </w:t>
      </w:r>
      <w:r w:rsidR="00B91DCE">
        <w:rPr>
          <w:rFonts w:ascii="Book Antiqua" w:hAnsi="Book Antiqua"/>
        </w:rPr>
        <w:t>CC, art. 122 CP)</w:t>
      </w:r>
      <w:r w:rsidR="00B91DCE">
        <w:rPr>
          <w:rStyle w:val="Appelnotedebasdep"/>
          <w:rFonts w:ascii="Book Antiqua" w:hAnsi="Book Antiqua"/>
        </w:rPr>
        <w:footnoteReference w:id="115"/>
      </w:r>
      <w:r w:rsidR="00A30EFC">
        <w:rPr>
          <w:rFonts w:ascii="Book Antiqua" w:hAnsi="Book Antiqua"/>
        </w:rPr>
        <w:t>.</w:t>
      </w:r>
      <w:r w:rsidR="007025A1">
        <w:rPr>
          <w:rFonts w:ascii="Book Antiqua" w:hAnsi="Book Antiqua"/>
        </w:rPr>
        <w:t xml:space="preserve"> Des stérilisations forcées</w:t>
      </w:r>
      <w:r w:rsidR="00476EA5">
        <w:rPr>
          <w:rFonts w:ascii="Book Antiqua" w:hAnsi="Book Antiqua"/>
        </w:rPr>
        <w:t xml:space="preserve"> </w:t>
      </w:r>
      <w:r w:rsidR="00A04120">
        <w:rPr>
          <w:rFonts w:ascii="Book Antiqua" w:hAnsi="Book Antiqua"/>
        </w:rPr>
        <w:t xml:space="preserve">ou sous contrainte </w:t>
      </w:r>
      <w:r w:rsidR="007025A1">
        <w:rPr>
          <w:rFonts w:ascii="Book Antiqua" w:hAnsi="Book Antiqua"/>
        </w:rPr>
        <w:t xml:space="preserve">effectuées par l’État doivent être qualifiées </w:t>
      </w:r>
      <w:r w:rsidR="000E08E6">
        <w:rPr>
          <w:rFonts w:ascii="Book Antiqua" w:hAnsi="Book Antiqua"/>
        </w:rPr>
        <w:t xml:space="preserve">de traitement inhumain et dégradant, voire </w:t>
      </w:r>
      <w:r w:rsidR="007025A1">
        <w:rPr>
          <w:rFonts w:ascii="Book Antiqua" w:hAnsi="Book Antiqua"/>
        </w:rPr>
        <w:t>de torture</w:t>
      </w:r>
      <w:r w:rsidR="007025A1">
        <w:rPr>
          <w:rStyle w:val="Appelnotedebasdep"/>
          <w:rFonts w:ascii="Book Antiqua" w:hAnsi="Book Antiqua"/>
        </w:rPr>
        <w:footnoteReference w:id="116"/>
      </w:r>
      <w:r w:rsidR="007025A1">
        <w:rPr>
          <w:rFonts w:ascii="Book Antiqua" w:hAnsi="Book Antiqua"/>
        </w:rPr>
        <w:t>.</w:t>
      </w:r>
      <w:r w:rsidR="00522AF2">
        <w:rPr>
          <w:rFonts w:ascii="Book Antiqua" w:hAnsi="Book Antiqua"/>
        </w:rPr>
        <w:t xml:space="preserve"> La décision de mettre fin à sa capacité de procréer relève de la liberté personnelle (art. 10 al. 2 Cst</w:t>
      </w:r>
      <w:r w:rsidR="00087508">
        <w:rPr>
          <w:rFonts w:ascii="Book Antiqua" w:hAnsi="Book Antiqua"/>
        </w:rPr>
        <w:t>. féd.</w:t>
      </w:r>
      <w:r w:rsidR="00522AF2">
        <w:rPr>
          <w:rFonts w:ascii="Book Antiqua" w:hAnsi="Book Antiqua"/>
        </w:rPr>
        <w:t>).</w:t>
      </w:r>
      <w:r w:rsidR="008D2719">
        <w:rPr>
          <w:rFonts w:ascii="Book Antiqua" w:hAnsi="Book Antiqua"/>
        </w:rPr>
        <w:t xml:space="preserve"> Au cours du 20</w:t>
      </w:r>
      <w:r w:rsidR="008D2719" w:rsidRPr="008D2719">
        <w:rPr>
          <w:rFonts w:ascii="Book Antiqua" w:hAnsi="Book Antiqua"/>
          <w:vertAlign w:val="superscript"/>
        </w:rPr>
        <w:t>e</w:t>
      </w:r>
      <w:r w:rsidR="008D2719">
        <w:rPr>
          <w:rFonts w:ascii="Book Antiqua" w:hAnsi="Book Antiqua"/>
        </w:rPr>
        <w:t xml:space="preserve"> siècle, des </w:t>
      </w:r>
      <w:r w:rsidR="008D2719" w:rsidRPr="001700B7">
        <w:rPr>
          <w:rFonts w:ascii="Book Antiqua" w:hAnsi="Book Antiqua"/>
        </w:rPr>
        <w:t>stérilisations et avortements sous contrainte ont été pratiqué en Suisse s’agissant de personnes en situation de handicap mental. Ces faits ont entretemps été reconnus comme des injustices historiques donnant, à certaines conditions, droit à des réparations</w:t>
      </w:r>
      <w:r w:rsidR="008D2719" w:rsidRPr="001700B7">
        <w:rPr>
          <w:rStyle w:val="Appelnotedebasdep"/>
          <w:rFonts w:ascii="Book Antiqua" w:hAnsi="Book Antiqua"/>
        </w:rPr>
        <w:footnoteReference w:id="117"/>
      </w:r>
      <w:r w:rsidR="007D6892" w:rsidRPr="001700B7">
        <w:rPr>
          <w:rFonts w:ascii="Book Antiqua" w:hAnsi="Book Antiqua"/>
        </w:rPr>
        <w:t xml:space="preserve">. Depuis </w:t>
      </w:r>
      <w:r w:rsidR="001700B7" w:rsidRPr="001700B7">
        <w:rPr>
          <w:rFonts w:ascii="Book Antiqua" w:hAnsi="Book Antiqua"/>
        </w:rPr>
        <w:t>le 1</w:t>
      </w:r>
      <w:r w:rsidR="001700B7" w:rsidRPr="001700B7">
        <w:rPr>
          <w:rFonts w:ascii="Book Antiqua" w:hAnsi="Book Antiqua"/>
          <w:vertAlign w:val="superscript"/>
        </w:rPr>
        <w:t>er</w:t>
      </w:r>
      <w:r w:rsidR="00C64E4A">
        <w:rPr>
          <w:rFonts w:ascii="Book Antiqua" w:hAnsi="Book Antiqua"/>
        </w:rPr>
        <w:t> </w:t>
      </w:r>
      <w:r w:rsidR="001700B7" w:rsidRPr="001700B7">
        <w:rPr>
          <w:rFonts w:ascii="Book Antiqua" w:hAnsi="Book Antiqua"/>
        </w:rPr>
        <w:t xml:space="preserve">juillet </w:t>
      </w:r>
      <w:r w:rsidR="007D6892" w:rsidRPr="001700B7">
        <w:rPr>
          <w:rFonts w:ascii="Book Antiqua" w:hAnsi="Book Antiqua"/>
        </w:rPr>
        <w:t>200</w:t>
      </w:r>
      <w:r w:rsidR="001700B7" w:rsidRPr="001700B7">
        <w:rPr>
          <w:rFonts w:ascii="Book Antiqua" w:hAnsi="Book Antiqua"/>
        </w:rPr>
        <w:t>5</w:t>
      </w:r>
      <w:r w:rsidR="007D6892" w:rsidRPr="001700B7">
        <w:rPr>
          <w:rFonts w:ascii="Book Antiqua" w:hAnsi="Book Antiqua"/>
        </w:rPr>
        <w:t xml:space="preserve">, la </w:t>
      </w:r>
      <w:r w:rsidR="007D6892" w:rsidRPr="00E41616">
        <w:rPr>
          <w:rFonts w:ascii="Book Antiqua" w:hAnsi="Book Antiqua"/>
        </w:rPr>
        <w:t>LStér</w:t>
      </w:r>
      <w:r w:rsidR="001700B7" w:rsidRPr="00E41616">
        <w:rPr>
          <w:rFonts w:ascii="Book Antiqua" w:hAnsi="Book Antiqua"/>
        </w:rPr>
        <w:t xml:space="preserve"> règle de manière exhaustive les stérilisations. Selon cette loi, la stérilisation d’une personne capable de discernement n’est possible que si elle est majeure et a donné son consentement libre et éclairé</w:t>
      </w:r>
      <w:r w:rsidRPr="00E41616">
        <w:rPr>
          <w:rFonts w:ascii="Book Antiqua" w:hAnsi="Book Antiqua"/>
        </w:rPr>
        <w:t xml:space="preserve"> (art. 5</w:t>
      </w:r>
      <w:r w:rsidR="00C64E4A" w:rsidRPr="00E41616">
        <w:rPr>
          <w:rFonts w:ascii="Book Antiqua" w:hAnsi="Book Antiqua"/>
        </w:rPr>
        <w:t xml:space="preserve"> </w:t>
      </w:r>
      <w:r w:rsidRPr="00E41616">
        <w:rPr>
          <w:rFonts w:ascii="Book Antiqua" w:hAnsi="Book Antiqua"/>
        </w:rPr>
        <w:t>LStér)</w:t>
      </w:r>
      <w:r w:rsidR="001700B7" w:rsidRPr="00E41616">
        <w:rPr>
          <w:rFonts w:ascii="Book Antiqua" w:hAnsi="Book Antiqua"/>
        </w:rPr>
        <w:t xml:space="preserve">. </w:t>
      </w:r>
      <w:r w:rsidRPr="00E41616">
        <w:rPr>
          <w:rFonts w:ascii="Book Antiqua" w:hAnsi="Book Antiqua"/>
        </w:rPr>
        <w:t>Une personne capable de discernement mais sous curatelle de portée générale a besoin, en plus de son propre consentement, du consentement de son</w:t>
      </w:r>
      <w:r w:rsidR="00B1698D" w:rsidRPr="00E41616">
        <w:rPr>
          <w:rFonts w:ascii="Book Antiqua" w:hAnsi="Book Antiqua"/>
        </w:rPr>
        <w:t xml:space="preserve"> ou de sa</w:t>
      </w:r>
      <w:r w:rsidRPr="00E41616">
        <w:rPr>
          <w:rFonts w:ascii="Book Antiqua" w:hAnsi="Book Antiqua"/>
        </w:rPr>
        <w:t xml:space="preserve"> représentant</w:t>
      </w:r>
      <w:r w:rsidR="00E41616">
        <w:rPr>
          <w:rFonts w:ascii="Book Antiqua" w:hAnsi="Book Antiqua"/>
        </w:rPr>
        <w:t>-</w:t>
      </w:r>
      <w:r w:rsidR="00B1698D" w:rsidRPr="00E41616">
        <w:rPr>
          <w:rFonts w:ascii="Book Antiqua" w:hAnsi="Book Antiqua"/>
        </w:rPr>
        <w:t>e</w:t>
      </w:r>
      <w:r w:rsidRPr="00E41616">
        <w:rPr>
          <w:rFonts w:ascii="Book Antiqua" w:hAnsi="Book Antiqua"/>
        </w:rPr>
        <w:t xml:space="preserve"> légal</w:t>
      </w:r>
      <w:r w:rsidR="00E41616">
        <w:rPr>
          <w:rFonts w:ascii="Book Antiqua" w:hAnsi="Book Antiqua"/>
        </w:rPr>
        <w:t>-</w:t>
      </w:r>
      <w:r w:rsidR="00B1698D" w:rsidRPr="00E41616">
        <w:rPr>
          <w:rFonts w:ascii="Book Antiqua" w:hAnsi="Book Antiqua"/>
        </w:rPr>
        <w:t>e</w:t>
      </w:r>
      <w:r w:rsidRPr="00E41616">
        <w:rPr>
          <w:rFonts w:ascii="Book Antiqua" w:hAnsi="Book Antiqua"/>
        </w:rPr>
        <w:t xml:space="preserve"> (art. 6 al. 1 LStér).</w:t>
      </w:r>
      <w:r w:rsidR="00B1698D" w:rsidRPr="00E41616">
        <w:rPr>
          <w:rFonts w:ascii="Book Antiqua" w:hAnsi="Book Antiqua"/>
        </w:rPr>
        <w:t xml:space="preserve"> Cette clause est problématique sous l’angle de l’auto-détermination des personnes en situation de handicap mental. En raison de la nature intime et personnelle de ce droit, il devrait pouvoir être exercé par la personne capable de discernement seule, sans que celle-ci dépende du consentement de son ou sa représentant</w:t>
      </w:r>
      <w:r w:rsidR="00E41616">
        <w:rPr>
          <w:rFonts w:ascii="Book Antiqua" w:hAnsi="Book Antiqua"/>
        </w:rPr>
        <w:t>-</w:t>
      </w:r>
      <w:r w:rsidR="00B1698D" w:rsidRPr="00E41616">
        <w:rPr>
          <w:rFonts w:ascii="Book Antiqua" w:hAnsi="Book Antiqua"/>
        </w:rPr>
        <w:t>e légal</w:t>
      </w:r>
      <w:r w:rsidR="00E41616">
        <w:rPr>
          <w:rFonts w:ascii="Book Antiqua" w:hAnsi="Book Antiqua"/>
        </w:rPr>
        <w:t>-</w:t>
      </w:r>
      <w:r w:rsidR="00B1698D" w:rsidRPr="00E41616">
        <w:rPr>
          <w:rFonts w:ascii="Book Antiqua" w:hAnsi="Book Antiqua"/>
        </w:rPr>
        <w:t>e.</w:t>
      </w:r>
      <w:r w:rsidR="00990B46" w:rsidRPr="00E41616">
        <w:rPr>
          <w:rFonts w:ascii="Book Antiqua" w:hAnsi="Book Antiqua"/>
        </w:rPr>
        <w:t xml:space="preserve"> La loi pourrait en revanche prévoir des mécanismes visant à s’assurer que la personne soit adéquatement informée et suivie dans cette prise de décision.</w:t>
      </w:r>
    </w:p>
    <w:p w14:paraId="0A27F133" w14:textId="77777777" w:rsidR="00B1698D" w:rsidRDefault="00B1698D" w:rsidP="00805241">
      <w:pPr>
        <w:jc w:val="both"/>
        <w:rPr>
          <w:rFonts w:ascii="Book Antiqua" w:hAnsi="Book Antiqua"/>
        </w:rPr>
      </w:pPr>
    </w:p>
    <w:p w14:paraId="71CD7DF5" w14:textId="03525F8A" w:rsidR="00805241" w:rsidRDefault="00C64E4A" w:rsidP="00805241">
      <w:pPr>
        <w:jc w:val="both"/>
        <w:rPr>
          <w:rFonts w:ascii="Book Antiqua" w:hAnsi="Book Antiqua"/>
        </w:rPr>
      </w:pPr>
      <w:r>
        <w:rPr>
          <w:rFonts w:ascii="Book Antiqua" w:hAnsi="Book Antiqua"/>
        </w:rPr>
        <w:t>Enfin, la stérilisation de personnes âgées de plus de 16 ans et durablement incapables de discernement n’est possible que de manière exceptionnelle, aux conditions restrictives et cumulatives énumérées par l’article 7 al. 2 LStér. :</w:t>
      </w:r>
    </w:p>
    <w:p w14:paraId="2BA660F9" w14:textId="28E3085A" w:rsidR="00C64E4A" w:rsidRDefault="00C64E4A" w:rsidP="00805241">
      <w:pPr>
        <w:jc w:val="both"/>
        <w:rPr>
          <w:rFonts w:ascii="Book Antiqua" w:hAnsi="Book Antiqua"/>
        </w:rPr>
      </w:pPr>
    </w:p>
    <w:p w14:paraId="28C41AA5" w14:textId="1A747DB9" w:rsidR="00C64E4A" w:rsidRDefault="00C64E4A" w:rsidP="00805241">
      <w:pPr>
        <w:jc w:val="both"/>
        <w:rPr>
          <w:rFonts w:ascii="Book Antiqua" w:hAnsi="Book Antiqua"/>
        </w:rPr>
      </w:pPr>
      <w:r w:rsidRPr="00C64E4A">
        <w:rPr>
          <w:rFonts w:ascii="Book Antiqua" w:hAnsi="Book Antiqua"/>
          <w:noProof/>
        </w:rPr>
        <w:drawing>
          <wp:inline distT="0" distB="0" distL="0" distR="0" wp14:anchorId="0207DBFB" wp14:editId="154C20DC">
            <wp:extent cx="5733415" cy="2141220"/>
            <wp:effectExtent l="0" t="0" r="0" b="5080"/>
            <wp:docPr id="3" name="Image 3"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a:blip r:embed="rId9"/>
                    <a:stretch>
                      <a:fillRect/>
                    </a:stretch>
                  </pic:blipFill>
                  <pic:spPr>
                    <a:xfrm>
                      <a:off x="0" y="0"/>
                      <a:ext cx="5733415" cy="2141220"/>
                    </a:xfrm>
                    <a:prstGeom prst="rect">
                      <a:avLst/>
                    </a:prstGeom>
                  </pic:spPr>
                </pic:pic>
              </a:graphicData>
            </a:graphic>
          </wp:inline>
        </w:drawing>
      </w:r>
    </w:p>
    <w:p w14:paraId="018171B6" w14:textId="06815776" w:rsidR="00C64E4A" w:rsidRDefault="00C64E4A" w:rsidP="00805241">
      <w:pPr>
        <w:jc w:val="both"/>
        <w:rPr>
          <w:rFonts w:ascii="Book Antiqua" w:hAnsi="Book Antiqua"/>
        </w:rPr>
      </w:pPr>
    </w:p>
    <w:p w14:paraId="2B0506EF" w14:textId="6609B89C" w:rsidR="00C64E4A" w:rsidRDefault="0080017F" w:rsidP="00805241">
      <w:pPr>
        <w:jc w:val="both"/>
        <w:rPr>
          <w:rFonts w:ascii="Book Antiqua" w:hAnsi="Book Antiqua"/>
        </w:rPr>
      </w:pPr>
      <w:r w:rsidRPr="0080017F">
        <w:rPr>
          <w:rFonts w:ascii="Book Antiqua" w:hAnsi="Book Antiqua"/>
        </w:rPr>
        <w:lastRenderedPageBreak/>
        <w:t xml:space="preserve">L’art. 8 al. 1 LStér prévoit que sur requête de la personne concernée ou d’un de ses proches, l’autorité de protection de l’adulte vérifie si les conditions requises pour la stérilisation sont remplies. L’al. 2 de l’art. 8 LStér précise qu’avant de se prononcer, l’autorité de protection doit entendre la personne concernée </w:t>
      </w:r>
      <w:r w:rsidRPr="0080017F">
        <w:rPr>
          <w:rFonts w:ascii="Book Antiqua" w:hAnsi="Book Antiqua"/>
          <w:i/>
          <w:iCs/>
        </w:rPr>
        <w:t>in corpore</w:t>
      </w:r>
      <w:r w:rsidRPr="0080017F">
        <w:rPr>
          <w:rFonts w:ascii="Book Antiqua" w:hAnsi="Book Antiqua"/>
        </w:rPr>
        <w:t xml:space="preserve"> ainsi que ses proches séparément (lettre a), elle fait établir par un expert un rapport sur la personne concernée et sur sa situation sociale (lettre b), et enfin elle recueille l’avis d’un expert psychiatre sur l’incapacité de discernement de la personne concernée et la durée de cette incapacité (lettre c).</w:t>
      </w:r>
    </w:p>
    <w:p w14:paraId="1DFC2E89" w14:textId="6E920CE4" w:rsidR="00B36F6D" w:rsidRDefault="00B36F6D" w:rsidP="00805241">
      <w:pPr>
        <w:jc w:val="both"/>
        <w:rPr>
          <w:rFonts w:ascii="Book Antiqua" w:hAnsi="Book Antiqua"/>
        </w:rPr>
      </w:pPr>
    </w:p>
    <w:p w14:paraId="74057FD6" w14:textId="21D997E2" w:rsidR="00B36F6D" w:rsidRPr="00453E7F" w:rsidRDefault="00B36F6D" w:rsidP="00805241">
      <w:pPr>
        <w:jc w:val="both"/>
        <w:rPr>
          <w:rFonts w:ascii="Book Antiqua" w:hAnsi="Book Antiqua"/>
        </w:rPr>
      </w:pPr>
      <w:r>
        <w:rPr>
          <w:rFonts w:ascii="Book Antiqua" w:hAnsi="Book Antiqua"/>
        </w:rPr>
        <w:t xml:space="preserve">Si les conditions </w:t>
      </w:r>
      <w:r w:rsidR="00127D6E">
        <w:rPr>
          <w:rFonts w:ascii="Book Antiqua" w:hAnsi="Book Antiqua"/>
        </w:rPr>
        <w:t xml:space="preserve">légales </w:t>
      </w:r>
      <w:r>
        <w:rPr>
          <w:rFonts w:ascii="Book Antiqua" w:hAnsi="Book Antiqua"/>
        </w:rPr>
        <w:t xml:space="preserve">restrictives sont à saluer, elles ne permettent pas de sauvegarder l’autodétermination </w:t>
      </w:r>
      <w:r w:rsidR="007E35C1">
        <w:rPr>
          <w:rFonts w:ascii="Book Antiqua" w:hAnsi="Book Antiqua"/>
        </w:rPr>
        <w:t xml:space="preserve">des personnes durablement incapables de discernement. </w:t>
      </w:r>
      <w:r w:rsidR="00BB487E">
        <w:rPr>
          <w:rFonts w:ascii="Book Antiqua" w:hAnsi="Book Antiqua"/>
        </w:rPr>
        <w:t xml:space="preserve">À ce propos, le rapport </w:t>
      </w:r>
      <w:r w:rsidR="00D84372">
        <w:rPr>
          <w:rFonts w:ascii="Book Antiqua" w:hAnsi="Book Antiqua"/>
        </w:rPr>
        <w:t xml:space="preserve">initial </w:t>
      </w:r>
      <w:r w:rsidR="00BB487E">
        <w:rPr>
          <w:rFonts w:ascii="Book Antiqua" w:hAnsi="Book Antiqua"/>
        </w:rPr>
        <w:t xml:space="preserve">de la Suisse donne une impression erronée de la situation, puisqu’il </w:t>
      </w:r>
      <w:r w:rsidR="00344118">
        <w:rPr>
          <w:rFonts w:ascii="Book Antiqua" w:hAnsi="Book Antiqua"/>
        </w:rPr>
        <w:t>précise que « la volonté de la personne concernée doit être en tout temps respectée. Ainsi, si la personne qui avait préalablement consenti à une stérilisation s’y oppose même juste avant l’intervention, celle-ci ne peut être effectuée »</w:t>
      </w:r>
      <w:r w:rsidR="00344118">
        <w:rPr>
          <w:rStyle w:val="Appelnotedebasdep"/>
          <w:rFonts w:ascii="Book Antiqua" w:hAnsi="Book Antiqua"/>
        </w:rPr>
        <w:footnoteReference w:id="118"/>
      </w:r>
      <w:r w:rsidR="00344118">
        <w:rPr>
          <w:rFonts w:ascii="Book Antiqua" w:hAnsi="Book Antiqua"/>
        </w:rPr>
        <w:t>.</w:t>
      </w:r>
      <w:r w:rsidR="00BB487E">
        <w:rPr>
          <w:rFonts w:ascii="Book Antiqua" w:hAnsi="Book Antiqua"/>
        </w:rPr>
        <w:t xml:space="preserve"> </w:t>
      </w:r>
      <w:r w:rsidR="0049082E">
        <w:rPr>
          <w:rFonts w:ascii="Book Antiqua" w:hAnsi="Book Antiqua"/>
        </w:rPr>
        <w:t xml:space="preserve">Or, </w:t>
      </w:r>
      <w:r w:rsidR="00B33B54">
        <w:rPr>
          <w:rFonts w:ascii="Book Antiqua" w:hAnsi="Book Antiqua"/>
        </w:rPr>
        <w:t xml:space="preserve">la loi ne donne pas ce poids à l’avis de la personne concernée. La loi prévoit tout au plus que la </w:t>
      </w:r>
      <w:r w:rsidR="00045519">
        <w:rPr>
          <w:rFonts w:ascii="Book Antiqua" w:hAnsi="Book Antiqua"/>
        </w:rPr>
        <w:t xml:space="preserve">personne concernée doit être entendue ; son consentement ou absence de consentement ne lie pas les autorités, et ne revêt même pas un poids important dans la pesée des intérêts. Cette lecture de la loi est confirmée par son </w:t>
      </w:r>
      <w:r w:rsidR="00045519" w:rsidRPr="000050BB">
        <w:rPr>
          <w:rFonts w:ascii="Book Antiqua" w:hAnsi="Book Antiqua"/>
        </w:rPr>
        <w:t>application judiciaire</w:t>
      </w:r>
      <w:r w:rsidR="00045519" w:rsidRPr="000050BB">
        <w:rPr>
          <w:rStyle w:val="Appelnotedebasdep"/>
          <w:rFonts w:ascii="Book Antiqua" w:hAnsi="Book Antiqua"/>
        </w:rPr>
        <w:footnoteReference w:id="119"/>
      </w:r>
      <w:r w:rsidR="00045519" w:rsidRPr="000050BB">
        <w:rPr>
          <w:rFonts w:ascii="Book Antiqua" w:hAnsi="Book Antiqua"/>
        </w:rPr>
        <w:t>.</w:t>
      </w:r>
      <w:r w:rsidR="006311A8" w:rsidRPr="000050BB">
        <w:rPr>
          <w:rFonts w:ascii="Book Antiqua" w:hAnsi="Book Antiqua"/>
        </w:rPr>
        <w:t xml:space="preserve"> </w:t>
      </w:r>
      <w:r w:rsidR="00D923D4" w:rsidRPr="000050BB">
        <w:rPr>
          <w:rFonts w:ascii="Book Antiqua" w:hAnsi="Book Antiqua"/>
        </w:rPr>
        <w:t>Il en découle que l’article 7 LStér pose des problèmes de conformité avec la CDPH</w:t>
      </w:r>
      <w:r w:rsidR="000050BB" w:rsidRPr="000050BB">
        <w:rPr>
          <w:rFonts w:ascii="Book Antiqua" w:hAnsi="Book Antiqua"/>
        </w:rPr>
        <w:t xml:space="preserve">, en particulier avec les articles </w:t>
      </w:r>
      <w:r w:rsidR="000050BB" w:rsidRPr="000050BB">
        <w:rPr>
          <w:rFonts w:ascii="Book Antiqua" w:hAnsi="Book Antiqua"/>
          <w:color w:val="000000" w:themeColor="text1"/>
        </w:rPr>
        <w:t xml:space="preserve">12 par. 2 CDPH, 23 par. 1 let c et 25 let. d CDPH. La règlementation </w:t>
      </w:r>
      <w:r w:rsidR="000050BB">
        <w:rPr>
          <w:rFonts w:ascii="Book Antiqua" w:hAnsi="Book Antiqua"/>
          <w:color w:val="000000" w:themeColor="text1"/>
        </w:rPr>
        <w:t xml:space="preserve">soulève </w:t>
      </w:r>
      <w:r w:rsidR="000050BB" w:rsidRPr="00453E7F">
        <w:rPr>
          <w:rFonts w:ascii="Book Antiqua" w:hAnsi="Book Antiqua"/>
          <w:color w:val="000000" w:themeColor="text1"/>
        </w:rPr>
        <w:t>également des questions de discrimination multiple, dans la mesure où les filles et les femmes sont touchées de manière disproportionnée par cette question.</w:t>
      </w:r>
    </w:p>
    <w:p w14:paraId="1CFD588A" w14:textId="3E3A7914" w:rsidR="00EF0EF4" w:rsidRPr="00453E7F" w:rsidRDefault="00EF0EF4" w:rsidP="00805241">
      <w:pPr>
        <w:jc w:val="both"/>
        <w:rPr>
          <w:rFonts w:ascii="Book Antiqua" w:hAnsi="Book Antiqua"/>
        </w:rPr>
      </w:pPr>
    </w:p>
    <w:p w14:paraId="23539534" w14:textId="3C90D60E" w:rsidR="004F1B5A" w:rsidRPr="00995339" w:rsidRDefault="00EF0EF4" w:rsidP="00A30B48">
      <w:pPr>
        <w:jc w:val="both"/>
        <w:rPr>
          <w:rFonts w:ascii="Book Antiqua" w:hAnsi="Book Antiqua"/>
        </w:rPr>
      </w:pPr>
      <w:r w:rsidRPr="00453E7F">
        <w:rPr>
          <w:rFonts w:ascii="Book Antiqua" w:hAnsi="Book Antiqua"/>
        </w:rPr>
        <w:t xml:space="preserve">Le Conseil fédéral a récemment eu l’occasion de se positionner sur </w:t>
      </w:r>
      <w:r w:rsidR="00663601" w:rsidRPr="00453E7F">
        <w:rPr>
          <w:rFonts w:ascii="Book Antiqua" w:hAnsi="Book Antiqua"/>
        </w:rPr>
        <w:t xml:space="preserve">la conformité de l’art. 7 al. 2 LStér à la CDPH </w:t>
      </w:r>
      <w:r w:rsidRPr="00453E7F">
        <w:rPr>
          <w:rFonts w:ascii="Book Antiqua" w:hAnsi="Book Antiqua"/>
        </w:rPr>
        <w:t>à la suite d’une interpellation quant aux stérilisations de femmes avec une déficience mentale</w:t>
      </w:r>
      <w:r w:rsidR="0067251C">
        <w:rPr>
          <w:rStyle w:val="Appelnotedebasdep"/>
          <w:rFonts w:ascii="Book Antiqua" w:hAnsi="Book Antiqua"/>
        </w:rPr>
        <w:footnoteReference w:id="120"/>
      </w:r>
      <w:r w:rsidRPr="00453E7F">
        <w:rPr>
          <w:rFonts w:ascii="Book Antiqua" w:hAnsi="Book Antiqua"/>
        </w:rPr>
        <w:t>. Le Conseil fédéral précise que la conformité aux droits fondamentaux de la LStér a été examinée lors de son adoption et estime que l’article 7 al. 2 LStér serait compatible avec la CDPH</w:t>
      </w:r>
      <w:r w:rsidR="001B7BB1">
        <w:rPr>
          <w:rStyle w:val="Appelnotedebasdep"/>
          <w:rFonts w:ascii="Book Antiqua" w:hAnsi="Book Antiqua"/>
        </w:rPr>
        <w:footnoteReference w:id="121"/>
      </w:r>
      <w:r w:rsidRPr="00453E7F">
        <w:rPr>
          <w:rFonts w:ascii="Book Antiqua" w:hAnsi="Book Antiqua"/>
        </w:rPr>
        <w:t>. Toutefois, cette analyse néglige le fait qu’en 2004, la CDPH n’était pas encore adoptée. Elle s’explique par ailleurs par une lecture trop restrictive de la CDPH</w:t>
      </w:r>
      <w:r w:rsidR="000050BB" w:rsidRPr="00453E7F">
        <w:rPr>
          <w:rFonts w:ascii="Book Antiqua" w:hAnsi="Book Antiqua"/>
        </w:rPr>
        <w:t>, et nous invitons le CRPD à ne pas suivre cette analyse.</w:t>
      </w:r>
    </w:p>
    <w:p w14:paraId="3B8B71C9" w14:textId="385D968A" w:rsidR="004F1B5A" w:rsidRDefault="00A30B48">
      <w:r>
        <w:br w:type="page"/>
      </w:r>
    </w:p>
    <w:p w14:paraId="4B218DA1" w14:textId="7BA55BAA" w:rsidR="00790F70" w:rsidRPr="00C345F7" w:rsidRDefault="00790F70" w:rsidP="00790F70">
      <w:pPr>
        <w:pStyle w:val="Titre3"/>
        <w:numPr>
          <w:ilvl w:val="1"/>
          <w:numId w:val="1"/>
        </w:numPr>
        <w:rPr>
          <w:b/>
          <w:bCs/>
        </w:rPr>
      </w:pPr>
      <w:bookmarkStart w:id="21" w:name="_Toc95769353"/>
      <w:r w:rsidRPr="00C345F7">
        <w:rPr>
          <w:b/>
          <w:bCs/>
        </w:rPr>
        <w:lastRenderedPageBreak/>
        <w:t>Migration</w:t>
      </w:r>
      <w:r>
        <w:rPr>
          <w:b/>
          <w:bCs/>
        </w:rPr>
        <w:t xml:space="preserve"> (art</w:t>
      </w:r>
      <w:r w:rsidR="002905FA">
        <w:rPr>
          <w:b/>
          <w:bCs/>
        </w:rPr>
        <w:t>icles</w:t>
      </w:r>
      <w:r>
        <w:rPr>
          <w:b/>
          <w:bCs/>
        </w:rPr>
        <w:t xml:space="preserve"> 5, 18, 22, 23 CDPH)</w:t>
      </w:r>
      <w:bookmarkEnd w:id="21"/>
    </w:p>
    <w:p w14:paraId="2A5131D5" w14:textId="77777777" w:rsidR="00B11003" w:rsidRDefault="00B11003" w:rsidP="00790F70">
      <w:pPr>
        <w:jc w:val="both"/>
        <w:rPr>
          <w:rFonts w:ascii="Book Antiqua" w:hAnsi="Book Antiqua"/>
        </w:rPr>
      </w:pPr>
    </w:p>
    <w:p w14:paraId="61432F95" w14:textId="175EC8FC" w:rsidR="00790F70" w:rsidRDefault="00790F70" w:rsidP="00790F70">
      <w:pPr>
        <w:jc w:val="both"/>
        <w:rPr>
          <w:rFonts w:ascii="Book Antiqua" w:hAnsi="Book Antiqua"/>
        </w:rPr>
      </w:pPr>
      <w:r w:rsidRPr="00ED6FA2">
        <w:rPr>
          <w:rFonts w:ascii="Book Antiqua" w:hAnsi="Book Antiqua"/>
        </w:rPr>
        <w:t>Dans le domaine des migrations, un des problèmes au regard de la CDPH vient des exigences élevées quant à l’indépendance financière posées par le droit fédéral</w:t>
      </w:r>
      <w:r>
        <w:rPr>
          <w:rStyle w:val="Appelnotedebasdep"/>
          <w:rFonts w:ascii="Book Antiqua" w:hAnsi="Book Antiqua"/>
        </w:rPr>
        <w:footnoteReference w:id="122"/>
      </w:r>
      <w:r w:rsidRPr="00ED6FA2">
        <w:rPr>
          <w:rFonts w:ascii="Book Antiqua" w:hAnsi="Book Antiqua"/>
        </w:rPr>
        <w:t>. En effet, le droit des migrations suisse accorde une importance primordiale à la participation à la vie économique, qui a encore été renforcée par des révisions récentes.</w:t>
      </w:r>
    </w:p>
    <w:p w14:paraId="6985440A" w14:textId="77777777" w:rsidR="00790F70" w:rsidRDefault="00790F70" w:rsidP="00790F70">
      <w:pPr>
        <w:jc w:val="both"/>
        <w:rPr>
          <w:rFonts w:ascii="Book Antiqua" w:hAnsi="Book Antiqua"/>
        </w:rPr>
      </w:pPr>
    </w:p>
    <w:p w14:paraId="38901677" w14:textId="77777777" w:rsidR="00790F70" w:rsidRPr="00F7794A" w:rsidRDefault="00790F70" w:rsidP="00790F70">
      <w:pPr>
        <w:jc w:val="both"/>
        <w:rPr>
          <w:rFonts w:ascii="Book Antiqua" w:hAnsi="Book Antiqua"/>
          <w:u w:val="single"/>
        </w:rPr>
      </w:pPr>
      <w:r w:rsidRPr="00F7794A">
        <w:rPr>
          <w:rFonts w:ascii="Book Antiqua" w:hAnsi="Book Antiqua"/>
          <w:u w:val="single"/>
        </w:rPr>
        <w:t>Critères d’intégration</w:t>
      </w:r>
    </w:p>
    <w:p w14:paraId="0ABA9D1D" w14:textId="77777777" w:rsidR="00790F70" w:rsidRDefault="00790F70" w:rsidP="00790F70">
      <w:pPr>
        <w:spacing w:after="120"/>
        <w:jc w:val="both"/>
        <w:rPr>
          <w:rFonts w:ascii="Book Antiqua" w:hAnsi="Book Antiqua"/>
          <w:highlight w:val="yellow"/>
        </w:rPr>
      </w:pPr>
      <w:r>
        <w:rPr>
          <w:rFonts w:ascii="Book Antiqua" w:hAnsi="Book Antiqua"/>
        </w:rPr>
        <w:t>Ainsi</w:t>
      </w:r>
      <w:r w:rsidRPr="00ED6FA2">
        <w:rPr>
          <w:rFonts w:ascii="Book Antiqua" w:hAnsi="Book Antiqua"/>
        </w:rPr>
        <w:t xml:space="preserve">, la participation à la vie économique ou l’acquisition d’une formation constitue un critère pour </w:t>
      </w:r>
      <w:r w:rsidRPr="00816BDB">
        <w:rPr>
          <w:rFonts w:ascii="Book Antiqua" w:hAnsi="Book Antiqua"/>
        </w:rPr>
        <w:t>évaluer l’intégration de la personne durant le séjour en Suisse (art. 58</w:t>
      </w:r>
      <w:r w:rsidRPr="00816BDB">
        <w:rPr>
          <w:rFonts w:ascii="Book Antiqua" w:hAnsi="Book Antiqua"/>
          <w:i/>
          <w:iCs/>
        </w:rPr>
        <w:t>a</w:t>
      </w:r>
      <w:r w:rsidRPr="00816BDB">
        <w:rPr>
          <w:rFonts w:ascii="Book Antiqua" w:hAnsi="Book Antiqua"/>
        </w:rPr>
        <w:t xml:space="preserve"> let. d LEI). Ainsi, le fait de percevoir des prestations</w:t>
      </w:r>
      <w:r w:rsidRPr="00ED6FA2">
        <w:rPr>
          <w:rFonts w:ascii="Book Antiqua" w:hAnsi="Book Antiqua"/>
        </w:rPr>
        <w:t xml:space="preserve"> de l’aide sociale ou des prestations complémentaires constitue un obstacle à l’obtention ou à la préservation d’un titre de séjour (risques de révocation, renouvellement, rétrogradation)</w:t>
      </w:r>
      <w:r>
        <w:rPr>
          <w:rStyle w:val="Appelnotedebasdep"/>
          <w:rFonts w:ascii="Book Antiqua" w:hAnsi="Book Antiqua"/>
        </w:rPr>
        <w:footnoteReference w:id="123"/>
      </w:r>
      <w:r w:rsidRPr="00ED6FA2">
        <w:rPr>
          <w:rFonts w:ascii="Book Antiqua" w:hAnsi="Book Antiqua"/>
        </w:rPr>
        <w:t xml:space="preserve"> ou encore à la naturalisation</w:t>
      </w:r>
      <w:r>
        <w:rPr>
          <w:rStyle w:val="Appelnotedebasdep"/>
          <w:rFonts w:ascii="Book Antiqua" w:hAnsi="Book Antiqua"/>
        </w:rPr>
        <w:footnoteReference w:id="124"/>
      </w:r>
      <w:r w:rsidRPr="00ED6FA2">
        <w:rPr>
          <w:rFonts w:ascii="Book Antiqua" w:hAnsi="Book Antiqua"/>
        </w:rPr>
        <w:t xml:space="preserve">. </w:t>
      </w:r>
      <w:r w:rsidRPr="001A542D">
        <w:rPr>
          <w:rFonts w:ascii="Book Antiqua" w:hAnsi="Book Antiqua"/>
        </w:rPr>
        <w:t xml:space="preserve"> </w:t>
      </w:r>
      <w:r>
        <w:rPr>
          <w:rFonts w:ascii="Book Antiqua" w:hAnsi="Book Antiqua"/>
        </w:rPr>
        <w:t>Il en va de même pour les compétences linguistiques</w:t>
      </w:r>
      <w:r>
        <w:rPr>
          <w:rStyle w:val="Appelnotedebasdep"/>
          <w:rFonts w:ascii="Book Antiqua" w:hAnsi="Book Antiqua"/>
        </w:rPr>
        <w:footnoteReference w:id="125"/>
      </w:r>
      <w:r>
        <w:rPr>
          <w:rFonts w:ascii="Book Antiqua" w:hAnsi="Book Antiqua"/>
        </w:rPr>
        <w:t>. Dans les deux cas, l</w:t>
      </w:r>
      <w:r w:rsidRPr="00524939">
        <w:rPr>
          <w:rFonts w:ascii="Book Antiqua" w:hAnsi="Book Antiqua"/>
        </w:rPr>
        <w:t xml:space="preserve">a loi prévoit toutefois une exception pour les personnes en situation de handicap, à savoir </w:t>
      </w:r>
      <w:r>
        <w:rPr>
          <w:rFonts w:ascii="Book Antiqua" w:hAnsi="Book Antiqua"/>
        </w:rPr>
        <w:t>que la</w:t>
      </w:r>
      <w:r w:rsidRPr="00524939">
        <w:rPr>
          <w:rFonts w:ascii="Book Antiqua" w:hAnsi="Book Antiqua"/>
        </w:rPr>
        <w:t xml:space="preserve"> « </w:t>
      </w:r>
      <w:r w:rsidRPr="00524939">
        <w:rPr>
          <w:rFonts w:ascii="Book Antiqua" w:eastAsiaTheme="majorEastAsia" w:hAnsi="Book Antiqua" w:cstheme="minorBidi"/>
        </w:rPr>
        <w:t>situation des personnes qui, du fait d’un handicap ou d’une maladie ou pour d’autres raisons personnelles majeures, ne remplissent pas ou remplissent difficilement les critères d’intégration prévus à l’al. 1, let. c et d, est prise en compte de manière appropriée »</w:t>
      </w:r>
      <w:r w:rsidRPr="00524939">
        <w:rPr>
          <w:rStyle w:val="Appelnotedebasdep"/>
          <w:rFonts w:ascii="Book Antiqua" w:eastAsiaTheme="majorEastAsia" w:hAnsi="Book Antiqua" w:cstheme="minorBidi"/>
        </w:rPr>
        <w:footnoteReference w:id="126"/>
      </w:r>
      <w:r w:rsidRPr="00524939">
        <w:rPr>
          <w:rFonts w:ascii="Book Antiqua" w:eastAsiaTheme="majorEastAsia" w:hAnsi="Book Antiqua" w:cstheme="minorBidi"/>
        </w:rPr>
        <w:t>.</w:t>
      </w:r>
      <w:r>
        <w:rPr>
          <w:rFonts w:ascii="Book Antiqua" w:hAnsi="Book Antiqua"/>
        </w:rPr>
        <w:t> Cette règlementation est inspirée de la jurisprudence du Tribunal fédéral, qui avait estimé que l’exigence quant à l’indépendance financière constituait une discrimination indirecte des personnes en situation de handicap</w:t>
      </w:r>
      <w:r>
        <w:rPr>
          <w:rStyle w:val="Appelnotedebasdep"/>
          <w:rFonts w:ascii="Book Antiqua" w:hAnsi="Book Antiqua"/>
        </w:rPr>
        <w:footnoteReference w:id="127"/>
      </w:r>
      <w:r>
        <w:rPr>
          <w:rFonts w:ascii="Book Antiqua" w:hAnsi="Book Antiqua"/>
        </w:rPr>
        <w:t>.</w:t>
      </w:r>
    </w:p>
    <w:p w14:paraId="342A18C2" w14:textId="77777777" w:rsidR="00790F70" w:rsidRDefault="00790F70" w:rsidP="00790F70">
      <w:pPr>
        <w:spacing w:after="120"/>
        <w:jc w:val="both"/>
        <w:rPr>
          <w:rFonts w:ascii="Book Antiqua" w:hAnsi="Book Antiqua"/>
        </w:rPr>
      </w:pPr>
      <w:r w:rsidRPr="00EA61D7">
        <w:rPr>
          <w:rFonts w:ascii="Book Antiqua" w:hAnsi="Book Antiqua"/>
        </w:rPr>
        <w:t xml:space="preserve">Pour être conforme avec la CDPH, en particulier à ses articles 18, 22, 23 et 5, il faut toutefois veiller à ce que cette règle soit interprétée de manière consistante et suffisamment large par les autorités d’application et les tribunaux. </w:t>
      </w:r>
      <w:r>
        <w:rPr>
          <w:rFonts w:ascii="Book Antiqua" w:hAnsi="Book Antiqua"/>
        </w:rPr>
        <w:t>En effet, les autorités migratoires sont parfois indûment sévères</w:t>
      </w:r>
      <w:r w:rsidRPr="00FB6FF4">
        <w:rPr>
          <w:rStyle w:val="Appelnotedebasdep"/>
          <w:rFonts w:ascii="Book Antiqua" w:hAnsi="Book Antiqua"/>
        </w:rPr>
        <w:footnoteReference w:id="128"/>
      </w:r>
      <w:r w:rsidRPr="00FB6FF4">
        <w:rPr>
          <w:rFonts w:ascii="Book Antiqua" w:hAnsi="Book Antiqua"/>
        </w:rPr>
        <w:t>. Il faut en particulier veiller à ce qu’un handicap mental ou psychique soit suffisamment pris en compte. Des dépressions chroniques, notamment, sont parfois discréditées trop facilement par les tribunaux</w:t>
      </w:r>
      <w:r w:rsidRPr="00FB6FF4">
        <w:rPr>
          <w:rStyle w:val="Appelnotedebasdep"/>
          <w:rFonts w:ascii="Book Antiqua" w:hAnsi="Book Antiqua"/>
        </w:rPr>
        <w:footnoteReference w:id="129"/>
      </w:r>
      <w:r w:rsidRPr="00FB6FF4">
        <w:rPr>
          <w:rFonts w:ascii="Book Antiqua" w:hAnsi="Book Antiqua"/>
        </w:rPr>
        <w:t>. L’interprétation du handicap dans ce contexte doit correspondre à la définition environnementaliste du handicap mise en avant par la CDPH, comprenant par exemple aussi l’il</w:t>
      </w:r>
      <w:r>
        <w:rPr>
          <w:rFonts w:ascii="Book Antiqua" w:hAnsi="Book Antiqua"/>
        </w:rPr>
        <w:t>le</w:t>
      </w:r>
      <w:r w:rsidRPr="00FB6FF4">
        <w:rPr>
          <w:rFonts w:ascii="Book Antiqua" w:hAnsi="Book Antiqua"/>
        </w:rPr>
        <w:t xml:space="preserve">ttrisme d’une personne. Il faut par ailleurs veiller à ce que les preuves exigées ne posent pas un seuil infranchissable pour l’application effective des articles 58a al. 2 LEI et 12 al. 2 LN. De plus, l’appréciation des circonstances </w:t>
      </w:r>
      <w:r w:rsidRPr="00EA61D7">
        <w:rPr>
          <w:rFonts w:ascii="Book Antiqua" w:hAnsi="Book Antiqua"/>
        </w:rPr>
        <w:t>personnelles en lien avec un handicap dans le cadre des critères d’intégration ne devrait pas dépendre de l’appréciation faite par les autorités dans le cadre de la décision d’une rente invalidité, qui suit une logique différente (à savoir, celle des assurances sociales)</w:t>
      </w:r>
      <w:r w:rsidRPr="00EA61D7">
        <w:rPr>
          <w:rStyle w:val="Appelnotedebasdep"/>
          <w:rFonts w:ascii="Book Antiqua" w:hAnsi="Book Antiqua"/>
        </w:rPr>
        <w:footnoteReference w:id="130"/>
      </w:r>
      <w:r w:rsidRPr="00EA61D7">
        <w:rPr>
          <w:rFonts w:ascii="Book Antiqua" w:hAnsi="Book Antiqua"/>
        </w:rPr>
        <w:t xml:space="preserve">. S’agissant </w:t>
      </w:r>
      <w:r w:rsidRPr="00EA61D7">
        <w:rPr>
          <w:rFonts w:ascii="Book Antiqua" w:hAnsi="Book Antiqua"/>
        </w:rPr>
        <w:lastRenderedPageBreak/>
        <w:t>de la naturalisation ordinaire, une difficulté additionnelle vient du fédéralisme, les cantons pouvant prévoir des critères additionnels. Si ceux-ci doivent respecter le droit fédéral, on constate que seule une minorité de cantons prévoit actuellement une règle similaire à l’article 12 al. 2 LN, ce qui crée le risque que le handicap ne soit pas suffisamment pris en compte dans l’évaluation de ces critères</w:t>
      </w:r>
      <w:r w:rsidRPr="00EA61D7">
        <w:rPr>
          <w:rStyle w:val="Appelnotedebasdep"/>
          <w:rFonts w:ascii="Book Antiqua" w:hAnsi="Book Antiqua"/>
        </w:rPr>
        <w:footnoteReference w:id="131"/>
      </w:r>
      <w:r w:rsidRPr="00EA61D7">
        <w:rPr>
          <w:rFonts w:ascii="Book Antiqua" w:hAnsi="Book Antiqua"/>
        </w:rPr>
        <w:t>.</w:t>
      </w:r>
    </w:p>
    <w:p w14:paraId="4E049F4B" w14:textId="77777777" w:rsidR="00790F70" w:rsidRDefault="00790F70" w:rsidP="00790F70">
      <w:pPr>
        <w:jc w:val="both"/>
        <w:rPr>
          <w:rFonts w:ascii="Book Antiqua" w:hAnsi="Book Antiqua"/>
          <w:u w:val="single"/>
        </w:rPr>
      </w:pPr>
      <w:r w:rsidRPr="00F7794A">
        <w:rPr>
          <w:rFonts w:ascii="Book Antiqua" w:hAnsi="Book Antiqua"/>
          <w:u w:val="single"/>
        </w:rPr>
        <w:t>Regroupement familial</w:t>
      </w:r>
    </w:p>
    <w:p w14:paraId="225FF1C4" w14:textId="329FF8AF" w:rsidR="00790F70" w:rsidRPr="001A078D" w:rsidRDefault="00790F70" w:rsidP="00790F70">
      <w:pPr>
        <w:spacing w:after="120"/>
        <w:jc w:val="both"/>
        <w:rPr>
          <w:rFonts w:ascii="Book Antiqua" w:hAnsi="Book Antiqua"/>
          <w:u w:val="single"/>
        </w:rPr>
      </w:pPr>
      <w:r>
        <w:rPr>
          <w:rFonts w:ascii="Book Antiqua" w:hAnsi="Book Antiqua"/>
        </w:rPr>
        <w:t xml:space="preserve">Dans le </w:t>
      </w:r>
      <w:r w:rsidRPr="00816BDB">
        <w:rPr>
          <w:rFonts w:ascii="Book Antiqua" w:hAnsi="Book Antiqua"/>
        </w:rPr>
        <w:t>domaine du regroupement familial, le</w:t>
      </w:r>
      <w:r>
        <w:rPr>
          <w:rFonts w:ascii="Book Antiqua" w:hAnsi="Book Antiqua"/>
        </w:rPr>
        <w:t xml:space="preserve"> cadre légal pose spécifiquement comme condition le fait </w:t>
      </w:r>
      <w:r w:rsidRPr="00ED6FA2">
        <w:rPr>
          <w:rFonts w:ascii="Book Antiqua" w:hAnsi="Book Antiqua"/>
        </w:rPr>
        <w:t>de ne pas percevoir de l’aide sociale ou des prestations complémentaires</w:t>
      </w:r>
      <w:r>
        <w:rPr>
          <w:rFonts w:ascii="Book Antiqua" w:hAnsi="Book Antiqua"/>
        </w:rPr>
        <w:t>, ni au moment de la demande, ni en tant que conséquence du regroupement familial</w:t>
      </w:r>
      <w:r w:rsidRPr="00ED6FA2">
        <w:rPr>
          <w:rFonts w:ascii="Book Antiqua" w:hAnsi="Book Antiqua"/>
        </w:rPr>
        <w:t xml:space="preserve"> (art. 43 al. 1 let. e, art. 44 al. 1 let. e, art. 85 al. 7 let. e</w:t>
      </w:r>
      <w:r>
        <w:rPr>
          <w:rFonts w:ascii="Book Antiqua" w:hAnsi="Book Antiqua"/>
        </w:rPr>
        <w:t xml:space="preserve"> LEI</w:t>
      </w:r>
      <w:r w:rsidRPr="00ED6FA2">
        <w:rPr>
          <w:rFonts w:ascii="Book Antiqua" w:hAnsi="Book Antiqua"/>
        </w:rPr>
        <w:t>).</w:t>
      </w:r>
      <w:r>
        <w:rPr>
          <w:rFonts w:ascii="Book Antiqua" w:hAnsi="Book Antiqua"/>
        </w:rPr>
        <w:t xml:space="preserve"> Cette règle est le résultat d’un durcissement entré en vigueur en 2019</w:t>
      </w:r>
      <w:r>
        <w:rPr>
          <w:rStyle w:val="Appelnotedebasdep"/>
          <w:rFonts w:ascii="Book Antiqua" w:hAnsi="Book Antiqua"/>
        </w:rPr>
        <w:footnoteReference w:id="132"/>
      </w:r>
      <w:r>
        <w:rPr>
          <w:rFonts w:ascii="Book Antiqua" w:hAnsi="Book Antiqua"/>
        </w:rPr>
        <w:t>. Si l’exigence de ne pas percevoir des prestations complémentaires a été relativement peu discuté</w:t>
      </w:r>
      <w:r w:rsidR="008D1376">
        <w:rPr>
          <w:rFonts w:ascii="Book Antiqua" w:hAnsi="Book Antiqua"/>
        </w:rPr>
        <w:t>e</w:t>
      </w:r>
      <w:r>
        <w:rPr>
          <w:rFonts w:ascii="Book Antiqua" w:hAnsi="Book Antiqua"/>
        </w:rPr>
        <w:t xml:space="preserve"> lors des débats parlementaires</w:t>
      </w:r>
      <w:bookmarkStart w:id="22" w:name="_Ref95747177"/>
      <w:r w:rsidR="008D1376">
        <w:rPr>
          <w:rStyle w:val="Appelnotedebasdep"/>
          <w:rFonts w:ascii="Book Antiqua" w:hAnsi="Book Antiqua"/>
        </w:rPr>
        <w:footnoteReference w:id="133"/>
      </w:r>
      <w:bookmarkEnd w:id="22"/>
      <w:r>
        <w:rPr>
          <w:rFonts w:ascii="Book Antiqua" w:hAnsi="Book Antiqua"/>
        </w:rPr>
        <w:t>, elle ne résiste pas à une analyse sous l’angle des droits humains.</w:t>
      </w:r>
    </w:p>
    <w:p w14:paraId="55CAA6CC" w14:textId="13A7B2BF" w:rsidR="00790F70" w:rsidRDefault="00790F70" w:rsidP="00790F70">
      <w:pPr>
        <w:spacing w:after="120"/>
        <w:jc w:val="both"/>
        <w:rPr>
          <w:rFonts w:ascii="Book Antiqua" w:hAnsi="Book Antiqua"/>
        </w:rPr>
      </w:pPr>
      <w:r>
        <w:rPr>
          <w:rFonts w:ascii="Book Antiqua" w:hAnsi="Book Antiqua"/>
        </w:rPr>
        <w:t xml:space="preserve">De manière schématique, on peut dire que les prestations complémentaires sont des prestations publiques qui viennent compléter les droits à une </w:t>
      </w:r>
      <w:r w:rsidRPr="00650CA9">
        <w:rPr>
          <w:rFonts w:ascii="Book Antiqua" w:hAnsi="Book Antiqua"/>
        </w:rPr>
        <w:t xml:space="preserve">rente AVS ou AI lorsque la rente ne couvre pas les besoins de </w:t>
      </w:r>
      <w:r>
        <w:rPr>
          <w:rFonts w:ascii="Book Antiqua" w:hAnsi="Book Antiqua"/>
        </w:rPr>
        <w:t>base ; en tant que telles, elles ne relèvent pas de l’aide sociale</w:t>
      </w:r>
      <w:r>
        <w:rPr>
          <w:rStyle w:val="Appelnotedebasdep"/>
          <w:rFonts w:ascii="Book Antiqua" w:hAnsi="Book Antiqua"/>
        </w:rPr>
        <w:footnoteReference w:id="134"/>
      </w:r>
      <w:r>
        <w:rPr>
          <w:rFonts w:ascii="Book Antiqua" w:hAnsi="Book Antiqua"/>
        </w:rPr>
        <w:t xml:space="preserve">. La différence réside notamment dans le fait que les </w:t>
      </w:r>
      <w:r w:rsidRPr="00E57B87">
        <w:rPr>
          <w:rFonts w:ascii="Book Antiqua" w:hAnsi="Book Antiqua"/>
        </w:rPr>
        <w:t>prestations complémentaires</w:t>
      </w:r>
      <w:r>
        <w:rPr>
          <w:rFonts w:ascii="Book Antiqua" w:hAnsi="Book Antiqua"/>
        </w:rPr>
        <w:t xml:space="preserve"> visent à couvrir les besoins de personnes qui ne sont pas (ou plus que partiellement) en mesure de travailler en raison de leur âge (AVS) ou de leur handicap (AI) et peuvent ainsi faire valoir des droits à des rentes, mais dont les rentes ne suffisent pas à couvrir les besoins vitaux</w:t>
      </w:r>
      <w:r w:rsidR="008D1376">
        <w:rPr>
          <w:rStyle w:val="Appelnotedebasdep"/>
          <w:rFonts w:ascii="Book Antiqua" w:hAnsi="Book Antiqua"/>
        </w:rPr>
        <w:footnoteReference w:id="135"/>
      </w:r>
      <w:r>
        <w:rPr>
          <w:rFonts w:ascii="Book Antiqua" w:hAnsi="Book Antiqua"/>
        </w:rPr>
        <w:t>. Ainsi, le fait d’exclure les personnes percevant des prestations complémentaires du droit au regroupement familial constitue une discrimination basée sur l’âge (en cas de rente AVS) ou le handicap (en cas de rente AI)</w:t>
      </w:r>
      <w:r>
        <w:rPr>
          <w:rStyle w:val="Appelnotedebasdep"/>
          <w:rFonts w:ascii="Book Antiqua" w:hAnsi="Book Antiqua"/>
        </w:rPr>
        <w:footnoteReference w:id="136"/>
      </w:r>
      <w:r>
        <w:rPr>
          <w:rFonts w:ascii="Book Antiqua" w:hAnsi="Book Antiqua"/>
        </w:rPr>
        <w:t xml:space="preserve">. Cette situation viole ainsi l’interdiction des discriminations en lien avec le droit à la vie privée et familiale (8 </w:t>
      </w:r>
      <w:r w:rsidRPr="00BE028E">
        <w:rPr>
          <w:rFonts w:ascii="Book Antiqua" w:hAnsi="Book Antiqua"/>
          <w:i/>
          <w:iCs/>
        </w:rPr>
        <w:t>cum</w:t>
      </w:r>
      <w:r>
        <w:rPr>
          <w:rFonts w:ascii="Book Antiqua" w:hAnsi="Book Antiqua"/>
        </w:rPr>
        <w:t xml:space="preserve"> 14 CEDH, 23 </w:t>
      </w:r>
      <w:r w:rsidRPr="00BE028E">
        <w:rPr>
          <w:rFonts w:ascii="Book Antiqua" w:hAnsi="Book Antiqua"/>
          <w:i/>
          <w:iCs/>
        </w:rPr>
        <w:t>cum</w:t>
      </w:r>
      <w:r>
        <w:rPr>
          <w:rFonts w:ascii="Book Antiqua" w:hAnsi="Book Antiqua"/>
        </w:rPr>
        <w:t xml:space="preserve"> 5 CDPH). Précisons à cet égard que même si l’article 23 CDPH est considéré comme n’étant pas directement applicable, l’interdiction des discriminations l’est. De plus, le droit à une vie privée et familiale, garanti par la C</w:t>
      </w:r>
      <w:r w:rsidR="00663601">
        <w:rPr>
          <w:rFonts w:ascii="Book Antiqua" w:hAnsi="Book Antiqua"/>
        </w:rPr>
        <w:t xml:space="preserve">st. féd </w:t>
      </w:r>
      <w:r>
        <w:rPr>
          <w:rFonts w:ascii="Book Antiqua" w:hAnsi="Book Antiqua"/>
        </w:rPr>
        <w:t xml:space="preserve">et la CEDH, doit être interprété à la lumière de la CDPH. </w:t>
      </w:r>
    </w:p>
    <w:p w14:paraId="4D9E0D43" w14:textId="1F6648E4" w:rsidR="00790F70" w:rsidRDefault="00790F70" w:rsidP="00790F70">
      <w:pPr>
        <w:spacing w:after="120"/>
        <w:jc w:val="both"/>
        <w:rPr>
          <w:rFonts w:ascii="Book Antiqua" w:hAnsi="Book Antiqua"/>
        </w:rPr>
      </w:pPr>
      <w:r>
        <w:rPr>
          <w:rFonts w:ascii="Book Antiqua" w:hAnsi="Book Antiqua"/>
        </w:rPr>
        <w:t xml:space="preserve">Plus généralement, pour éviter toute discrimination </w:t>
      </w:r>
      <w:r w:rsidRPr="00F4795C">
        <w:rPr>
          <w:rFonts w:ascii="Book Antiqua" w:hAnsi="Book Antiqua"/>
        </w:rPr>
        <w:t>fondée sur le handicap, le fait de percevoir de l’aide sociale ne devrait pas non plus faire obstacle à une demande de regroupement familial. En effet, en raison des critères restrictifs, il est possible qu’une personne ne puisse pas percevoir d’assurance invalidité et/ou de prestations complémentaires malgré un handicap : notamment parce que la rente AI est exclue si la raison de l’incapacité de travail est antérieure à l’arrivée en Suisse</w:t>
      </w:r>
      <w:r w:rsidRPr="00F4795C">
        <w:rPr>
          <w:rStyle w:val="Appelnotedebasdep"/>
          <w:rFonts w:ascii="Book Antiqua" w:hAnsi="Book Antiqua"/>
        </w:rPr>
        <w:footnoteReference w:id="137"/>
      </w:r>
      <w:r w:rsidRPr="00F4795C">
        <w:rPr>
          <w:rFonts w:ascii="Book Antiqua" w:hAnsi="Book Antiqua"/>
        </w:rPr>
        <w:t xml:space="preserve"> et parce qu’il existe des délais de carence importants pour le droit aux prestations complémentaires</w:t>
      </w:r>
      <w:r w:rsidRPr="00F4795C">
        <w:rPr>
          <w:rStyle w:val="Appelnotedebasdep"/>
          <w:rFonts w:ascii="Book Antiqua" w:hAnsi="Book Antiqua"/>
        </w:rPr>
        <w:footnoteReference w:id="138"/>
      </w:r>
      <w:r w:rsidRPr="00F4795C">
        <w:rPr>
          <w:rFonts w:ascii="Book Antiqua" w:hAnsi="Book Antiqua"/>
        </w:rPr>
        <w:t xml:space="preserve">. </w:t>
      </w:r>
    </w:p>
    <w:p w14:paraId="0039F967" w14:textId="39FFF130" w:rsidR="008D127D" w:rsidRDefault="00790F70" w:rsidP="00663601">
      <w:pPr>
        <w:jc w:val="both"/>
        <w:rPr>
          <w:rFonts w:ascii="Book Antiqua" w:hAnsi="Book Antiqua"/>
        </w:rPr>
      </w:pPr>
      <w:r>
        <w:rPr>
          <w:rFonts w:ascii="Book Antiqua" w:hAnsi="Book Antiqua"/>
        </w:rPr>
        <w:lastRenderedPageBreak/>
        <w:t>Dans tous les cas, le refus de regroupement familial doit être proportionné (analyse sous l’angle du droit à une vie privée et familiale)</w:t>
      </w:r>
      <w:r>
        <w:rPr>
          <w:rStyle w:val="Appelnotedebasdep"/>
          <w:rFonts w:ascii="Book Antiqua" w:hAnsi="Book Antiqua"/>
        </w:rPr>
        <w:footnoteReference w:id="139"/>
      </w:r>
      <w:r>
        <w:rPr>
          <w:rFonts w:ascii="Book Antiqua" w:hAnsi="Book Antiqua"/>
        </w:rPr>
        <w:t xml:space="preserve">. </w:t>
      </w:r>
      <w:r w:rsidR="00663601">
        <w:rPr>
          <w:rFonts w:ascii="Book Antiqua" w:hAnsi="Book Antiqua"/>
        </w:rPr>
        <w:t>Lors</w:t>
      </w:r>
      <w:r>
        <w:rPr>
          <w:rFonts w:ascii="Book Antiqua" w:hAnsi="Book Antiqua"/>
        </w:rPr>
        <w:t xml:space="preserve"> de cette analyse, la</w:t>
      </w:r>
      <w:r w:rsidR="00663601">
        <w:rPr>
          <w:rFonts w:ascii="Book Antiqua" w:hAnsi="Book Antiqua"/>
        </w:rPr>
        <w:t xml:space="preserve"> </w:t>
      </w:r>
      <w:r>
        <w:rPr>
          <w:rFonts w:ascii="Book Antiqua" w:hAnsi="Book Antiqua"/>
        </w:rPr>
        <w:t xml:space="preserve">jurisprudence tient compte de facteurs indépendants de la volonté d’une personne. Ainsi, elle considère notamment qu’on ne peut opposer à une personne reconnue comme réfugiée son manque d’intégration sur le marché du travail s’il est avéré que cette personne a fait tout ce qui était en son pouvoir pour </w:t>
      </w:r>
      <w:r w:rsidR="00663601">
        <w:rPr>
          <w:rFonts w:ascii="Book Antiqua" w:hAnsi="Book Antiqua"/>
        </w:rPr>
        <w:t>l</w:t>
      </w:r>
      <w:r>
        <w:rPr>
          <w:rFonts w:ascii="Book Antiqua" w:hAnsi="Book Antiqua"/>
        </w:rPr>
        <w:t>’intégrer</w:t>
      </w:r>
      <w:r>
        <w:rPr>
          <w:rStyle w:val="Appelnotedebasdep"/>
          <w:rFonts w:ascii="Book Antiqua" w:hAnsi="Book Antiqua"/>
        </w:rPr>
        <w:footnoteReference w:id="140"/>
      </w:r>
      <w:r>
        <w:rPr>
          <w:rFonts w:ascii="Book Antiqua" w:hAnsi="Book Antiqua"/>
        </w:rPr>
        <w:t>. Or, la jurisprudence applique ces critères de manière restrictive, en appliquant des exigences très élevés, et sans tenir dûment compte du handicap d’une personne</w:t>
      </w:r>
      <w:r>
        <w:rPr>
          <w:rStyle w:val="Appelnotedebasdep"/>
          <w:rFonts w:ascii="Book Antiqua" w:hAnsi="Book Antiqua"/>
        </w:rPr>
        <w:footnoteReference w:id="141"/>
      </w:r>
      <w:r>
        <w:rPr>
          <w:rFonts w:ascii="Book Antiqua" w:hAnsi="Book Antiqua"/>
        </w:rPr>
        <w:t>. La jurisprudence écarte notamment trop facilement la CDPH de son analyse</w:t>
      </w:r>
      <w:r>
        <w:rPr>
          <w:rStyle w:val="Appelnotedebasdep"/>
          <w:rFonts w:ascii="Book Antiqua" w:hAnsi="Book Antiqua"/>
        </w:rPr>
        <w:footnoteReference w:id="142"/>
      </w:r>
      <w:r>
        <w:rPr>
          <w:rFonts w:ascii="Book Antiqua" w:hAnsi="Book Antiqua"/>
        </w:rPr>
        <w:t>.</w:t>
      </w:r>
    </w:p>
    <w:p w14:paraId="4189F169" w14:textId="77777777" w:rsidR="008D127D" w:rsidRDefault="008D127D" w:rsidP="00663601">
      <w:pPr>
        <w:jc w:val="both"/>
        <w:rPr>
          <w:rFonts w:ascii="Book Antiqua" w:hAnsi="Book Antiqua"/>
        </w:rPr>
      </w:pPr>
      <w:r>
        <w:rPr>
          <w:rFonts w:ascii="Book Antiqua" w:hAnsi="Book Antiqua"/>
        </w:rPr>
        <w:br w:type="page"/>
      </w:r>
    </w:p>
    <w:p w14:paraId="2BE84568" w14:textId="1575BB39" w:rsidR="004F1B5A" w:rsidRPr="00EC3F02" w:rsidRDefault="005807D4">
      <w:pPr>
        <w:pStyle w:val="Titre2"/>
        <w:rPr>
          <w:rFonts w:ascii="Book Antiqua" w:eastAsia="Book Antiqua" w:hAnsi="Book Antiqua" w:cs="Book Antiqua"/>
          <w:b/>
          <w:bCs/>
        </w:rPr>
      </w:pPr>
      <w:bookmarkStart w:id="23" w:name="_Toc95769354"/>
      <w:r w:rsidRPr="00EC3F02">
        <w:rPr>
          <w:rFonts w:ascii="Book Antiqua" w:eastAsia="Book Antiqua" w:hAnsi="Book Antiqua" w:cs="Book Antiqua"/>
          <w:b/>
          <w:bCs/>
        </w:rPr>
        <w:lastRenderedPageBreak/>
        <w:t>I</w:t>
      </w:r>
      <w:r w:rsidR="00C378B9" w:rsidRPr="00EC3F02">
        <w:rPr>
          <w:rFonts w:ascii="Book Antiqua" w:eastAsia="Book Antiqua" w:hAnsi="Book Antiqua" w:cs="Book Antiqua"/>
          <w:b/>
          <w:bCs/>
        </w:rPr>
        <w:t>II</w:t>
      </w:r>
      <w:r w:rsidRPr="00EC3F02">
        <w:rPr>
          <w:rFonts w:ascii="Book Antiqua" w:eastAsia="Book Antiqua" w:hAnsi="Book Antiqua" w:cs="Book Antiqua"/>
          <w:b/>
          <w:bCs/>
        </w:rPr>
        <w:t>. Recommandations</w:t>
      </w:r>
      <w:bookmarkEnd w:id="23"/>
    </w:p>
    <w:p w14:paraId="609C4037" w14:textId="77777777" w:rsidR="00284B1F" w:rsidRPr="00284B1F" w:rsidRDefault="00284B1F" w:rsidP="007E7B3E">
      <w:pPr>
        <w:spacing w:line="360" w:lineRule="auto"/>
      </w:pPr>
    </w:p>
    <w:p w14:paraId="21B0C8E6" w14:textId="5122B41D" w:rsidR="00E6382B" w:rsidRPr="000A1D41" w:rsidRDefault="00E6382B" w:rsidP="007E7B3E">
      <w:pPr>
        <w:spacing w:line="360" w:lineRule="auto"/>
        <w:rPr>
          <w:rFonts w:ascii="Book Antiqua" w:hAnsi="Book Antiqua"/>
          <w:b/>
          <w:bCs/>
        </w:rPr>
      </w:pPr>
      <w:r w:rsidRPr="000A1D41">
        <w:rPr>
          <w:rFonts w:ascii="Book Antiqua" w:hAnsi="Book Antiqua"/>
          <w:b/>
          <w:bCs/>
        </w:rPr>
        <w:t xml:space="preserve">A. </w:t>
      </w:r>
      <w:r w:rsidR="00E7179B">
        <w:rPr>
          <w:rFonts w:ascii="Book Antiqua" w:hAnsi="Book Antiqua"/>
          <w:b/>
          <w:bCs/>
        </w:rPr>
        <w:t>Recours aux</w:t>
      </w:r>
      <w:r w:rsidRPr="000A1D41">
        <w:rPr>
          <w:rFonts w:ascii="Book Antiqua" w:hAnsi="Book Antiqua"/>
          <w:b/>
          <w:bCs/>
        </w:rPr>
        <w:t xml:space="preserve"> moyens de contrainte dans les établissements pénitentiaires</w:t>
      </w:r>
    </w:p>
    <w:p w14:paraId="35A78BE3" w14:textId="6A81B51D" w:rsidR="00B56CAE" w:rsidRDefault="009A623B" w:rsidP="007E7B3E">
      <w:pPr>
        <w:pStyle w:val="Paragraphedeliste"/>
        <w:numPr>
          <w:ilvl w:val="0"/>
          <w:numId w:val="13"/>
        </w:numPr>
        <w:spacing w:line="360" w:lineRule="auto"/>
        <w:rPr>
          <w:rFonts w:ascii="Book Antiqua" w:hAnsi="Book Antiqua"/>
        </w:rPr>
      </w:pPr>
      <w:r>
        <w:rPr>
          <w:rFonts w:ascii="Book Antiqua" w:hAnsi="Book Antiqua"/>
        </w:rPr>
        <w:t>Mettre fin à l’utilisation des moyens de contrainte physique, mécanique, chimique et spatiale à l’encontre des personnes en situation de handicap dans les établissements pénitentiaires</w:t>
      </w:r>
    </w:p>
    <w:p w14:paraId="16081486" w14:textId="77777777" w:rsidR="00284B1F" w:rsidRDefault="00284B1F" w:rsidP="007E7B3E">
      <w:pPr>
        <w:pStyle w:val="Paragraphedeliste"/>
        <w:spacing w:line="360" w:lineRule="auto"/>
        <w:rPr>
          <w:rFonts w:ascii="Book Antiqua" w:hAnsi="Book Antiqua"/>
        </w:rPr>
      </w:pPr>
    </w:p>
    <w:p w14:paraId="351B7F76" w14:textId="255DBB4F" w:rsidR="00E6382B" w:rsidRPr="000A1D41" w:rsidRDefault="00E6382B" w:rsidP="007E7B3E">
      <w:pPr>
        <w:spacing w:line="360" w:lineRule="auto"/>
        <w:rPr>
          <w:rFonts w:ascii="Book Antiqua" w:hAnsi="Book Antiqua"/>
          <w:b/>
          <w:bCs/>
        </w:rPr>
      </w:pPr>
      <w:r w:rsidRPr="000A1D41">
        <w:rPr>
          <w:rFonts w:ascii="Book Antiqua" w:hAnsi="Book Antiqua"/>
          <w:b/>
          <w:bCs/>
        </w:rPr>
        <w:t xml:space="preserve">B. </w:t>
      </w:r>
      <w:r w:rsidR="00E7179B">
        <w:rPr>
          <w:rFonts w:ascii="Book Antiqua" w:hAnsi="Book Antiqua"/>
          <w:b/>
          <w:bCs/>
        </w:rPr>
        <w:t>Recours aux</w:t>
      </w:r>
      <w:r w:rsidRPr="000A1D41">
        <w:rPr>
          <w:rFonts w:ascii="Book Antiqua" w:hAnsi="Book Antiqua"/>
          <w:b/>
          <w:bCs/>
        </w:rPr>
        <w:t xml:space="preserve"> moyens de contrainte dans les établissements psychiatriques</w:t>
      </w:r>
    </w:p>
    <w:p w14:paraId="4DD230C8" w14:textId="46A67FE7" w:rsidR="00F7253E" w:rsidRPr="00D25CB2" w:rsidRDefault="00F7253E" w:rsidP="007E7B3E">
      <w:pPr>
        <w:pStyle w:val="Default"/>
        <w:numPr>
          <w:ilvl w:val="0"/>
          <w:numId w:val="13"/>
        </w:numPr>
        <w:spacing w:line="360" w:lineRule="auto"/>
        <w:rPr>
          <w:rFonts w:ascii="Book Antiqua" w:hAnsi="Book Antiqua"/>
          <w:color w:val="auto"/>
          <w:sz w:val="22"/>
          <w:szCs w:val="22"/>
          <w:lang w:val="fr"/>
        </w:rPr>
      </w:pPr>
      <w:r w:rsidRPr="00D25CB2">
        <w:rPr>
          <w:rFonts w:ascii="Book Antiqua" w:hAnsi="Book Antiqua"/>
          <w:color w:val="auto"/>
          <w:sz w:val="22"/>
          <w:szCs w:val="22"/>
          <w:lang w:val="fr"/>
        </w:rPr>
        <w:t xml:space="preserve">Engager une réformation du système de santé mentale </w:t>
      </w:r>
      <w:r w:rsidR="00A32057" w:rsidRPr="00D25CB2">
        <w:rPr>
          <w:rFonts w:ascii="Book Antiqua" w:hAnsi="Book Antiqua"/>
          <w:color w:val="auto"/>
          <w:sz w:val="22"/>
          <w:szCs w:val="22"/>
          <w:lang w:val="fr"/>
        </w:rPr>
        <w:t>en abandonnant</w:t>
      </w:r>
      <w:r w:rsidR="00CD5E04" w:rsidRPr="00D25CB2">
        <w:rPr>
          <w:rFonts w:ascii="Book Antiqua" w:hAnsi="Book Antiqua"/>
          <w:color w:val="auto"/>
          <w:sz w:val="22"/>
          <w:szCs w:val="22"/>
          <w:lang w:val="fr"/>
        </w:rPr>
        <w:t xml:space="preserve"> </w:t>
      </w:r>
      <w:r w:rsidR="00A32057" w:rsidRPr="00D25CB2">
        <w:rPr>
          <w:rFonts w:ascii="Book Antiqua" w:hAnsi="Book Antiqua"/>
          <w:color w:val="auto"/>
          <w:sz w:val="22"/>
          <w:szCs w:val="22"/>
          <w:lang w:val="fr"/>
        </w:rPr>
        <w:t>l’institutionnalisation en faveur de la mise en place de services d’aide communautaires sans contrainte</w:t>
      </w:r>
    </w:p>
    <w:p w14:paraId="7C3B33C2" w14:textId="5D98111A" w:rsidR="000A1D41" w:rsidRPr="00CE5F93" w:rsidRDefault="000A1D41" w:rsidP="007E7B3E">
      <w:pPr>
        <w:pStyle w:val="Default"/>
        <w:numPr>
          <w:ilvl w:val="0"/>
          <w:numId w:val="13"/>
        </w:numPr>
        <w:spacing w:line="360" w:lineRule="auto"/>
        <w:rPr>
          <w:rFonts w:ascii="Book Antiqua" w:hAnsi="Book Antiqua"/>
          <w:color w:val="auto"/>
          <w:sz w:val="22"/>
          <w:szCs w:val="22"/>
          <w:lang w:val="fr"/>
        </w:rPr>
      </w:pPr>
      <w:r w:rsidRPr="00D25CB2">
        <w:rPr>
          <w:rFonts w:ascii="Book Antiqua" w:hAnsi="Book Antiqua"/>
          <w:color w:val="auto"/>
          <w:sz w:val="22"/>
          <w:szCs w:val="22"/>
          <w:lang w:val="fr"/>
        </w:rPr>
        <w:t>Renoncer à</w:t>
      </w:r>
      <w:r w:rsidRPr="00D25CB2">
        <w:rPr>
          <w:rFonts w:ascii="Book Antiqua" w:hAnsi="Book Antiqua"/>
          <w:sz w:val="22"/>
          <w:szCs w:val="22"/>
        </w:rPr>
        <w:t xml:space="preserve"> l’utilisation des moyens de contrainte physique, mécanique, chimique et spatiale à l’encontre des personnes en situation de handicap dans les </w:t>
      </w:r>
      <w:r w:rsidRPr="00CE5F93">
        <w:rPr>
          <w:rFonts w:ascii="Book Antiqua" w:hAnsi="Book Antiqua"/>
          <w:color w:val="auto"/>
          <w:sz w:val="22"/>
          <w:szCs w:val="22"/>
        </w:rPr>
        <w:t>établissements psychiatriques</w:t>
      </w:r>
    </w:p>
    <w:p w14:paraId="5C458190" w14:textId="4596691D" w:rsidR="006C158D" w:rsidRPr="00284B1F" w:rsidRDefault="006C158D" w:rsidP="007E7B3E">
      <w:pPr>
        <w:pStyle w:val="Default"/>
        <w:numPr>
          <w:ilvl w:val="0"/>
          <w:numId w:val="13"/>
        </w:numPr>
        <w:spacing w:line="360" w:lineRule="auto"/>
        <w:rPr>
          <w:rFonts w:ascii="Book Antiqua" w:hAnsi="Book Antiqua"/>
          <w:color w:val="auto"/>
          <w:sz w:val="22"/>
          <w:szCs w:val="22"/>
          <w:lang w:val="fr"/>
        </w:rPr>
      </w:pPr>
      <w:r>
        <w:rPr>
          <w:rFonts w:ascii="Book Antiqua" w:hAnsi="Book Antiqua"/>
          <w:color w:val="auto"/>
          <w:sz w:val="22"/>
          <w:szCs w:val="22"/>
        </w:rPr>
        <w:t>Abroger les dispositions législatives autorisant les traitements forcés (</w:t>
      </w:r>
      <w:r w:rsidR="000940F3">
        <w:rPr>
          <w:rFonts w:ascii="Book Antiqua" w:hAnsi="Book Antiqua"/>
          <w:color w:val="auto"/>
          <w:sz w:val="22"/>
          <w:szCs w:val="22"/>
        </w:rPr>
        <w:t>en particulier l’</w:t>
      </w:r>
      <w:r>
        <w:rPr>
          <w:rFonts w:ascii="Book Antiqua" w:hAnsi="Book Antiqua"/>
          <w:color w:val="auto"/>
          <w:sz w:val="22"/>
          <w:szCs w:val="22"/>
        </w:rPr>
        <w:t xml:space="preserve">art. 434 </w:t>
      </w:r>
      <w:r w:rsidRPr="007C0C51">
        <w:rPr>
          <w:rFonts w:ascii="Book Antiqua" w:hAnsi="Book Antiqua"/>
          <w:color w:val="auto"/>
          <w:sz w:val="22"/>
          <w:szCs w:val="22"/>
        </w:rPr>
        <w:t>CC) et ne plus procéder à des traitements sans obtention préalable du consentement des personnes concernées</w:t>
      </w:r>
    </w:p>
    <w:p w14:paraId="04A757F7" w14:textId="77777777" w:rsidR="00284B1F" w:rsidRPr="007C0C51" w:rsidRDefault="00284B1F" w:rsidP="007E7B3E">
      <w:pPr>
        <w:pStyle w:val="Default"/>
        <w:spacing w:line="360" w:lineRule="auto"/>
        <w:ind w:left="720"/>
        <w:rPr>
          <w:rFonts w:ascii="Book Antiqua" w:hAnsi="Book Antiqua"/>
          <w:color w:val="auto"/>
          <w:sz w:val="22"/>
          <w:szCs w:val="22"/>
          <w:lang w:val="fr"/>
        </w:rPr>
      </w:pPr>
    </w:p>
    <w:p w14:paraId="517D9494" w14:textId="59B9DCC3" w:rsidR="00B56CAE" w:rsidRPr="007C0C51" w:rsidRDefault="00E6382B" w:rsidP="007E7B3E">
      <w:pPr>
        <w:spacing w:line="360" w:lineRule="auto"/>
        <w:rPr>
          <w:rFonts w:ascii="Book Antiqua" w:hAnsi="Book Antiqua"/>
          <w:b/>
          <w:bCs/>
        </w:rPr>
      </w:pPr>
      <w:r w:rsidRPr="007C0C51">
        <w:rPr>
          <w:rFonts w:ascii="Book Antiqua" w:hAnsi="Book Antiqua"/>
          <w:b/>
          <w:bCs/>
        </w:rPr>
        <w:t>C</w:t>
      </w:r>
      <w:r w:rsidR="00D72C72" w:rsidRPr="007C0C51">
        <w:rPr>
          <w:rFonts w:ascii="Book Antiqua" w:hAnsi="Book Antiqua"/>
          <w:b/>
          <w:bCs/>
        </w:rPr>
        <w:t xml:space="preserve">. </w:t>
      </w:r>
      <w:r w:rsidRPr="007C0C51">
        <w:rPr>
          <w:rFonts w:ascii="Book Antiqua" w:hAnsi="Book Antiqua"/>
          <w:b/>
          <w:bCs/>
        </w:rPr>
        <w:t>Droits politiques</w:t>
      </w:r>
    </w:p>
    <w:p w14:paraId="7B37C236" w14:textId="77777777" w:rsidR="00AC0272" w:rsidRDefault="007C0C51" w:rsidP="007E7B3E">
      <w:pPr>
        <w:pStyle w:val="Paragraphedeliste"/>
        <w:numPr>
          <w:ilvl w:val="0"/>
          <w:numId w:val="13"/>
        </w:numPr>
        <w:spacing w:line="360" w:lineRule="auto"/>
        <w:jc w:val="both"/>
        <w:rPr>
          <w:rFonts w:ascii="Book Antiqua" w:eastAsia="Book Antiqua" w:hAnsi="Book Antiqua" w:cs="Book Antiqua"/>
          <w:highlight w:val="white"/>
        </w:rPr>
      </w:pPr>
      <w:r w:rsidRPr="00AC0272">
        <w:rPr>
          <w:rFonts w:ascii="Book Antiqua" w:eastAsia="Book Antiqua" w:hAnsi="Book Antiqua" w:cs="Book Antiqua"/>
          <w:highlight w:val="white"/>
        </w:rPr>
        <w:t xml:space="preserve">Garantir l’exercice des droits politiques à toutes les personnes âgées de 18 ans révolus et titulaires de la nationalité suisse, sans distinction basée sur le handicap (modifier l’article 136 Cst. féd. et les dispositions cantonales </w:t>
      </w:r>
      <w:r w:rsidR="00A0051D" w:rsidRPr="00AC0272">
        <w:rPr>
          <w:rFonts w:ascii="Book Antiqua" w:eastAsia="Book Antiqua" w:hAnsi="Book Antiqua" w:cs="Book Antiqua"/>
          <w:highlight w:val="white"/>
        </w:rPr>
        <w:t>s</w:t>
      </w:r>
      <w:r w:rsidR="00BA54BC" w:rsidRPr="00AC0272">
        <w:rPr>
          <w:rFonts w:ascii="Book Antiqua" w:eastAsia="Book Antiqua" w:hAnsi="Book Antiqua" w:cs="Book Antiqua"/>
          <w:highlight w:val="white"/>
        </w:rPr>
        <w:t>imilaires)</w:t>
      </w:r>
    </w:p>
    <w:p w14:paraId="2AACEBA9" w14:textId="77777777" w:rsidR="00AC0272" w:rsidRDefault="00373C0A" w:rsidP="007E7B3E">
      <w:pPr>
        <w:pStyle w:val="Paragraphedeliste"/>
        <w:numPr>
          <w:ilvl w:val="0"/>
          <w:numId w:val="13"/>
        </w:numPr>
        <w:spacing w:line="360" w:lineRule="auto"/>
        <w:jc w:val="both"/>
        <w:rPr>
          <w:rFonts w:ascii="Book Antiqua" w:eastAsia="Book Antiqua" w:hAnsi="Book Antiqua" w:cs="Book Antiqua"/>
          <w:highlight w:val="white"/>
        </w:rPr>
      </w:pPr>
      <w:r w:rsidRPr="00AC0272">
        <w:rPr>
          <w:rFonts w:ascii="Book Antiqua" w:eastAsia="Book Antiqua" w:hAnsi="Book Antiqua" w:cs="Book Antiqua"/>
          <w:highlight w:val="white"/>
        </w:rPr>
        <w:t>Prendre des mesures concrètes afin de garantir l’exercice effectif des droits politiques, y compris s’agissant de l’accès aux informations</w:t>
      </w:r>
    </w:p>
    <w:p w14:paraId="3CF4D8FF" w14:textId="4200FB45" w:rsidR="00E6382B" w:rsidRPr="00AC0272" w:rsidRDefault="00E6382B" w:rsidP="007E7B3E">
      <w:pPr>
        <w:pStyle w:val="Paragraphedeliste"/>
        <w:numPr>
          <w:ilvl w:val="0"/>
          <w:numId w:val="13"/>
        </w:numPr>
        <w:spacing w:line="360" w:lineRule="auto"/>
        <w:jc w:val="both"/>
        <w:rPr>
          <w:rFonts w:ascii="Book Antiqua" w:eastAsia="Book Antiqua" w:hAnsi="Book Antiqua" w:cs="Book Antiqua"/>
          <w:highlight w:val="white"/>
        </w:rPr>
      </w:pPr>
      <w:r w:rsidRPr="00AC0272">
        <w:rPr>
          <w:rFonts w:ascii="Book Antiqua" w:eastAsia="Book Antiqua" w:hAnsi="Book Antiqua" w:cs="Book Antiqua"/>
          <w:highlight w:val="white"/>
        </w:rPr>
        <w:t>Prendre des mesures de sensibilisation et de soutien pour visibiliser la participation politique de personnes en situation de handicap et lutter contre des préjugés</w:t>
      </w:r>
    </w:p>
    <w:p w14:paraId="7703E2E8" w14:textId="77777777" w:rsidR="00284B1F" w:rsidRPr="00373C0A" w:rsidRDefault="00284B1F" w:rsidP="007E7B3E">
      <w:pPr>
        <w:pStyle w:val="Paragraphedeliste"/>
        <w:spacing w:line="360" w:lineRule="auto"/>
        <w:rPr>
          <w:rFonts w:ascii="Book Antiqua" w:hAnsi="Book Antiqua"/>
        </w:rPr>
      </w:pPr>
    </w:p>
    <w:p w14:paraId="63D84855" w14:textId="1614092F" w:rsidR="00D72C72" w:rsidRPr="001501AB" w:rsidRDefault="00E6382B" w:rsidP="007E7B3E">
      <w:pPr>
        <w:spacing w:line="360" w:lineRule="auto"/>
        <w:rPr>
          <w:rFonts w:ascii="Book Antiqua" w:hAnsi="Book Antiqua"/>
          <w:b/>
          <w:bCs/>
        </w:rPr>
      </w:pPr>
      <w:r w:rsidRPr="001501AB">
        <w:rPr>
          <w:rFonts w:ascii="Book Antiqua" w:hAnsi="Book Antiqua"/>
          <w:b/>
          <w:bCs/>
        </w:rPr>
        <w:t xml:space="preserve">D. </w:t>
      </w:r>
      <w:r w:rsidR="00A30B48" w:rsidRPr="001501AB">
        <w:rPr>
          <w:rFonts w:ascii="Book Antiqua" w:hAnsi="Book Antiqua"/>
          <w:b/>
          <w:bCs/>
        </w:rPr>
        <w:t>Stérilisations</w:t>
      </w:r>
    </w:p>
    <w:p w14:paraId="1A84997B" w14:textId="4D541530" w:rsidR="004F1B5A" w:rsidRDefault="00D72C72" w:rsidP="007E7B3E">
      <w:pPr>
        <w:pStyle w:val="Paragraphedeliste"/>
        <w:numPr>
          <w:ilvl w:val="0"/>
          <w:numId w:val="13"/>
        </w:numPr>
        <w:spacing w:line="360" w:lineRule="auto"/>
        <w:jc w:val="both"/>
        <w:rPr>
          <w:rFonts w:ascii="Book Antiqua" w:eastAsia="Book Antiqua" w:hAnsi="Book Antiqua" w:cs="Book Antiqua"/>
        </w:rPr>
      </w:pPr>
      <w:r>
        <w:rPr>
          <w:rFonts w:ascii="Book Antiqua" w:eastAsia="Book Antiqua" w:hAnsi="Book Antiqua" w:cs="Book Antiqua"/>
        </w:rPr>
        <w:t>Abroger l’exigence du consentement du ou de la représentant-e légal-e pour les personnes capables de discernement (art. 6 LStér)</w:t>
      </w:r>
    </w:p>
    <w:p w14:paraId="74728630" w14:textId="6B24E812" w:rsidR="00D72C72" w:rsidRDefault="00D72C72" w:rsidP="007E7B3E">
      <w:pPr>
        <w:pStyle w:val="Paragraphedeliste"/>
        <w:numPr>
          <w:ilvl w:val="0"/>
          <w:numId w:val="13"/>
        </w:numPr>
        <w:spacing w:line="360" w:lineRule="auto"/>
        <w:jc w:val="both"/>
        <w:rPr>
          <w:rFonts w:ascii="Book Antiqua" w:eastAsia="Book Antiqua" w:hAnsi="Book Antiqua" w:cs="Book Antiqua"/>
        </w:rPr>
      </w:pPr>
      <w:r>
        <w:rPr>
          <w:rFonts w:ascii="Book Antiqua" w:eastAsia="Book Antiqua" w:hAnsi="Book Antiqua" w:cs="Book Antiqua"/>
        </w:rPr>
        <w:t>Ériger le consentement de la personne durablement incapable de discernement en critère-clé dans le cadre de l’article 7 LStér afin de pleinement respecter le principe de l’auto-détermination</w:t>
      </w:r>
    </w:p>
    <w:p w14:paraId="01E7FC3E" w14:textId="3AB46A19" w:rsidR="00284B1F" w:rsidRDefault="00284B1F" w:rsidP="007E7B3E">
      <w:pPr>
        <w:pStyle w:val="Paragraphedeliste"/>
        <w:spacing w:line="360" w:lineRule="auto"/>
        <w:jc w:val="both"/>
        <w:rPr>
          <w:rFonts w:ascii="Book Antiqua" w:eastAsia="Book Antiqua" w:hAnsi="Book Antiqua" w:cs="Book Antiqua"/>
        </w:rPr>
      </w:pPr>
    </w:p>
    <w:p w14:paraId="3657075E" w14:textId="77777777" w:rsidR="007E7B3E" w:rsidRPr="00D72C72" w:rsidRDefault="007E7B3E" w:rsidP="007E7B3E">
      <w:pPr>
        <w:pStyle w:val="Paragraphedeliste"/>
        <w:spacing w:line="360" w:lineRule="auto"/>
        <w:jc w:val="both"/>
        <w:rPr>
          <w:rFonts w:ascii="Book Antiqua" w:eastAsia="Book Antiqua" w:hAnsi="Book Antiqua" w:cs="Book Antiqua"/>
        </w:rPr>
      </w:pPr>
    </w:p>
    <w:p w14:paraId="391FA5EB" w14:textId="31F7845C" w:rsidR="00D72C72" w:rsidRDefault="00AC0272" w:rsidP="007E7B3E">
      <w:pPr>
        <w:spacing w:line="360" w:lineRule="auto"/>
        <w:jc w:val="both"/>
        <w:rPr>
          <w:rFonts w:ascii="Book Antiqua" w:eastAsia="Book Antiqua" w:hAnsi="Book Antiqua" w:cs="Book Antiqua"/>
          <w:b/>
          <w:bCs/>
        </w:rPr>
      </w:pPr>
      <w:r>
        <w:rPr>
          <w:rFonts w:ascii="Book Antiqua" w:eastAsia="Book Antiqua" w:hAnsi="Book Antiqua" w:cs="Book Antiqua"/>
          <w:b/>
          <w:bCs/>
        </w:rPr>
        <w:lastRenderedPageBreak/>
        <w:t>E</w:t>
      </w:r>
      <w:r w:rsidR="00D72C72" w:rsidRPr="00F74850">
        <w:rPr>
          <w:rFonts w:ascii="Book Antiqua" w:eastAsia="Book Antiqua" w:hAnsi="Book Antiqua" w:cs="Book Antiqua"/>
          <w:b/>
          <w:bCs/>
        </w:rPr>
        <w:t>. Migration</w:t>
      </w:r>
    </w:p>
    <w:p w14:paraId="05474A92" w14:textId="005BD7BE" w:rsidR="00806A14" w:rsidRPr="00284B1F" w:rsidRDefault="00806A14" w:rsidP="007E7B3E">
      <w:pPr>
        <w:spacing w:line="360" w:lineRule="auto"/>
        <w:jc w:val="both"/>
        <w:rPr>
          <w:rFonts w:ascii="Book Antiqua" w:eastAsia="Book Antiqua" w:hAnsi="Book Antiqua" w:cs="Book Antiqua"/>
        </w:rPr>
      </w:pPr>
      <w:r w:rsidRPr="00284B1F">
        <w:rPr>
          <w:rFonts w:ascii="Book Antiqua" w:eastAsia="Book Antiqua" w:hAnsi="Book Antiqua" w:cs="Book Antiqua"/>
        </w:rPr>
        <w:t>Critères d’intégration</w:t>
      </w:r>
      <w:r w:rsidR="00284B1F">
        <w:rPr>
          <w:rFonts w:ascii="Book Antiqua" w:eastAsia="Book Antiqua" w:hAnsi="Book Antiqua" w:cs="Book Antiqua"/>
        </w:rPr>
        <w:t> :</w:t>
      </w:r>
    </w:p>
    <w:p w14:paraId="5F288A86" w14:textId="2C726623" w:rsidR="00211580" w:rsidRPr="00AC0272" w:rsidRDefault="00211580" w:rsidP="007E7B3E">
      <w:pPr>
        <w:pStyle w:val="Paragraphedeliste"/>
        <w:numPr>
          <w:ilvl w:val="0"/>
          <w:numId w:val="13"/>
        </w:numPr>
        <w:spacing w:line="360" w:lineRule="auto"/>
        <w:jc w:val="both"/>
        <w:rPr>
          <w:rFonts w:ascii="Book Antiqua" w:hAnsi="Book Antiqua"/>
        </w:rPr>
      </w:pPr>
      <w:r w:rsidRPr="00AC0272">
        <w:rPr>
          <w:rFonts w:ascii="Book Antiqua" w:hAnsi="Book Antiqua"/>
        </w:rPr>
        <w:t>Dans l’évaluation des critères d’intégration, tenir compte du handicap d’une personne, en appliquant les articles 58a al. 2 LEI et 12 al. 2 LN de manière systématique et conforme à la CDPH</w:t>
      </w:r>
    </w:p>
    <w:p w14:paraId="41A2AFF6" w14:textId="5044080E" w:rsidR="00267565" w:rsidRPr="00495D52" w:rsidRDefault="00495D52" w:rsidP="007E7B3E">
      <w:pPr>
        <w:pStyle w:val="Paragraphedeliste"/>
        <w:numPr>
          <w:ilvl w:val="0"/>
          <w:numId w:val="13"/>
        </w:numPr>
        <w:spacing w:line="360" w:lineRule="auto"/>
        <w:jc w:val="both"/>
        <w:rPr>
          <w:rFonts w:ascii="Book Antiqua" w:hAnsi="Book Antiqua"/>
        </w:rPr>
      </w:pPr>
      <w:r w:rsidRPr="00495D52">
        <w:rPr>
          <w:rFonts w:ascii="Book Antiqua" w:hAnsi="Book Antiqua"/>
        </w:rPr>
        <w:t xml:space="preserve">Sur le plan cantonal, reprendre dans les règlementations au sujet des naturalisations ordinaires des dispositions </w:t>
      </w:r>
      <w:r w:rsidR="00267565" w:rsidRPr="00495D52">
        <w:rPr>
          <w:rFonts w:ascii="Book Antiqua" w:hAnsi="Book Antiqua"/>
        </w:rPr>
        <w:t xml:space="preserve">comparables à l’art. 12 al. 2 LN prévoyant explicitement la prise en compte </w:t>
      </w:r>
      <w:r w:rsidRPr="00495D52">
        <w:rPr>
          <w:rFonts w:ascii="Book Antiqua" w:hAnsi="Book Antiqua"/>
        </w:rPr>
        <w:t>du handicap dans l’évaluation des critères d’intégration</w:t>
      </w:r>
    </w:p>
    <w:p w14:paraId="1891C654" w14:textId="16AA11B3" w:rsidR="00E6382B" w:rsidRPr="00284B1F" w:rsidRDefault="00E6382B" w:rsidP="007E7B3E">
      <w:pPr>
        <w:spacing w:line="360" w:lineRule="auto"/>
        <w:jc w:val="both"/>
        <w:rPr>
          <w:rFonts w:ascii="Book Antiqua" w:eastAsia="Book Antiqua" w:hAnsi="Book Antiqua" w:cs="Book Antiqua"/>
        </w:rPr>
      </w:pPr>
      <w:r w:rsidRPr="00284B1F">
        <w:rPr>
          <w:rFonts w:ascii="Book Antiqua" w:eastAsia="Book Antiqua" w:hAnsi="Book Antiqua" w:cs="Book Antiqua"/>
        </w:rPr>
        <w:t>Regroupement familial</w:t>
      </w:r>
      <w:r w:rsidR="00284B1F">
        <w:rPr>
          <w:rFonts w:ascii="Book Antiqua" w:eastAsia="Book Antiqua" w:hAnsi="Book Antiqua" w:cs="Book Antiqua"/>
        </w:rPr>
        <w:t> :</w:t>
      </w:r>
    </w:p>
    <w:p w14:paraId="1BC80068" w14:textId="09621B0D" w:rsidR="00B54028" w:rsidRDefault="00B54028" w:rsidP="007E7B3E">
      <w:pPr>
        <w:pStyle w:val="Paragraphedeliste"/>
        <w:numPr>
          <w:ilvl w:val="0"/>
          <w:numId w:val="13"/>
        </w:numPr>
        <w:spacing w:line="360" w:lineRule="auto"/>
        <w:jc w:val="both"/>
        <w:rPr>
          <w:rFonts w:ascii="Book Antiqua" w:hAnsi="Book Antiqua"/>
        </w:rPr>
      </w:pPr>
      <w:r w:rsidRPr="00B54028">
        <w:rPr>
          <w:rFonts w:ascii="Book Antiqua" w:hAnsi="Book Antiqua"/>
        </w:rPr>
        <w:t>Abroger les dispositions qui érigent la perception de prestations complémentaires en obstacle au regroupement familial (supprimer ou modifier les articles 43 al. 1 let. e, art. 44 al. 1 let. e, art. 85 al. 7 let. e LEI et les articles 25 al. 4, 82d, 91c e</w:t>
      </w:r>
      <w:r w:rsidR="00332098">
        <w:rPr>
          <w:rFonts w:ascii="Book Antiqua" w:hAnsi="Book Antiqua"/>
        </w:rPr>
        <w:t>t</w:t>
      </w:r>
      <w:r w:rsidRPr="00B54028">
        <w:rPr>
          <w:rFonts w:ascii="Book Antiqua" w:hAnsi="Book Antiqua"/>
        </w:rPr>
        <w:t xml:space="preserve"> 97 al. 3 let. d</w:t>
      </w:r>
      <w:r w:rsidRPr="00B54028">
        <w:rPr>
          <w:rFonts w:ascii="Book Antiqua" w:hAnsi="Book Antiqua"/>
          <w:vertAlign w:val="superscript"/>
        </w:rPr>
        <w:t>ter</w:t>
      </w:r>
      <w:r w:rsidRPr="00B54028">
        <w:rPr>
          <w:rFonts w:ascii="Book Antiqua" w:hAnsi="Book Antiqua"/>
        </w:rPr>
        <w:t xml:space="preserve"> OASA)</w:t>
      </w:r>
    </w:p>
    <w:p w14:paraId="13B47593" w14:textId="27324467" w:rsidR="00A85823" w:rsidRPr="00B54028" w:rsidRDefault="00A85823" w:rsidP="007E7B3E">
      <w:pPr>
        <w:pStyle w:val="Paragraphedeliste"/>
        <w:numPr>
          <w:ilvl w:val="0"/>
          <w:numId w:val="13"/>
        </w:numPr>
        <w:spacing w:line="360" w:lineRule="auto"/>
        <w:jc w:val="both"/>
        <w:rPr>
          <w:rFonts w:ascii="Book Antiqua" w:hAnsi="Book Antiqua"/>
        </w:rPr>
      </w:pPr>
      <w:r>
        <w:rPr>
          <w:rFonts w:ascii="Book Antiqua" w:hAnsi="Book Antiqua"/>
        </w:rPr>
        <w:t xml:space="preserve">Interpréter les dispositions qui prévoient que la perception de l’aide sociale fait obstacle au regroupement familial </w:t>
      </w:r>
      <w:r w:rsidR="00183363">
        <w:rPr>
          <w:rFonts w:ascii="Book Antiqua" w:hAnsi="Book Antiqua"/>
        </w:rPr>
        <w:t>en conformité avec la CDPH (raisonnement de proportionnalité tenant compte du handicap)</w:t>
      </w:r>
    </w:p>
    <w:p w14:paraId="65E51403" w14:textId="3DB396A7" w:rsidR="00D72C72" w:rsidRPr="001F671E" w:rsidRDefault="001F671E" w:rsidP="007E7B3E">
      <w:pPr>
        <w:pStyle w:val="Paragraphedeliste"/>
        <w:numPr>
          <w:ilvl w:val="0"/>
          <w:numId w:val="13"/>
        </w:numPr>
        <w:spacing w:line="360" w:lineRule="auto"/>
        <w:jc w:val="both"/>
        <w:rPr>
          <w:rFonts w:ascii="Book Antiqua" w:eastAsia="Book Antiqua" w:hAnsi="Book Antiqua" w:cs="Book Antiqua"/>
        </w:rPr>
      </w:pPr>
      <w:r w:rsidRPr="001F671E">
        <w:rPr>
          <w:rFonts w:ascii="Book Antiqua" w:hAnsi="Book Antiqua"/>
        </w:rPr>
        <w:t xml:space="preserve">Dans l’intervalle, </w:t>
      </w:r>
      <w:r w:rsidR="00D72C72" w:rsidRPr="001F671E">
        <w:rPr>
          <w:rFonts w:ascii="Book Antiqua" w:hAnsi="Book Antiqua"/>
        </w:rPr>
        <w:t xml:space="preserve">les </w:t>
      </w:r>
      <w:r w:rsidRPr="001F671E">
        <w:rPr>
          <w:rFonts w:ascii="Book Antiqua" w:hAnsi="Book Antiqua"/>
        </w:rPr>
        <w:t xml:space="preserve">instances judicaires doivent </w:t>
      </w:r>
      <w:r w:rsidR="00D72C72" w:rsidRPr="001F671E">
        <w:rPr>
          <w:rFonts w:ascii="Book Antiqua" w:hAnsi="Book Antiqua"/>
        </w:rPr>
        <w:t>constater que les dispositions fédérales en lien avec la perception de prestations complémentaires viole</w:t>
      </w:r>
      <w:r w:rsidRPr="001F671E">
        <w:rPr>
          <w:rFonts w:ascii="Book Antiqua" w:hAnsi="Book Antiqua"/>
        </w:rPr>
        <w:t>nt</w:t>
      </w:r>
      <w:r w:rsidR="00D72C72" w:rsidRPr="001F671E">
        <w:rPr>
          <w:rFonts w:ascii="Book Antiqua" w:hAnsi="Book Antiqua"/>
        </w:rPr>
        <w:t xml:space="preserve"> le droit à la vie privée et familiale en lien avec l’interdiction des discriminations (8 </w:t>
      </w:r>
      <w:r w:rsidR="00D72C72" w:rsidRPr="001F671E">
        <w:rPr>
          <w:rFonts w:ascii="Book Antiqua" w:hAnsi="Book Antiqua"/>
          <w:i/>
          <w:iCs/>
        </w:rPr>
        <w:t>cum</w:t>
      </w:r>
      <w:r w:rsidR="00D72C72" w:rsidRPr="001F671E">
        <w:rPr>
          <w:rFonts w:ascii="Book Antiqua" w:hAnsi="Book Antiqua"/>
        </w:rPr>
        <w:t xml:space="preserve"> 14</w:t>
      </w:r>
      <w:r w:rsidRPr="001F671E">
        <w:rPr>
          <w:rFonts w:ascii="Book Antiqua" w:hAnsi="Book Antiqua"/>
        </w:rPr>
        <w:t> </w:t>
      </w:r>
      <w:r w:rsidR="00D72C72" w:rsidRPr="001F671E">
        <w:rPr>
          <w:rFonts w:ascii="Book Antiqua" w:hAnsi="Book Antiqua"/>
        </w:rPr>
        <w:t xml:space="preserve">CEDH, 23 </w:t>
      </w:r>
      <w:r w:rsidR="00D72C72" w:rsidRPr="001F671E">
        <w:rPr>
          <w:rFonts w:ascii="Book Antiqua" w:hAnsi="Book Antiqua"/>
          <w:i/>
          <w:iCs/>
        </w:rPr>
        <w:t>cum</w:t>
      </w:r>
      <w:r w:rsidR="00D72C72" w:rsidRPr="001F671E">
        <w:rPr>
          <w:rFonts w:ascii="Book Antiqua" w:hAnsi="Book Antiqua"/>
        </w:rPr>
        <w:t xml:space="preserve"> 5 CDPH)</w:t>
      </w:r>
      <w:r w:rsidRPr="001F671E">
        <w:rPr>
          <w:rFonts w:ascii="Book Antiqua" w:hAnsi="Book Antiqua"/>
        </w:rPr>
        <w:t xml:space="preserve"> et, </w:t>
      </w:r>
      <w:r w:rsidRPr="001F671E">
        <w:rPr>
          <w:rFonts w:ascii="Book Antiqua" w:eastAsia="Book Antiqua" w:hAnsi="Book Antiqua" w:cs="Book Antiqua"/>
        </w:rPr>
        <w:t xml:space="preserve">en </w:t>
      </w:r>
      <w:r w:rsidRPr="001F671E">
        <w:rPr>
          <w:rFonts w:ascii="Book Antiqua" w:hAnsi="Book Antiqua"/>
        </w:rPr>
        <w:t>vertu</w:t>
      </w:r>
      <w:r w:rsidR="00D72C72" w:rsidRPr="001F671E">
        <w:rPr>
          <w:rFonts w:ascii="Book Antiqua" w:hAnsi="Book Antiqua"/>
        </w:rPr>
        <w:t xml:space="preserve"> de la jurisprudence PKK (ATF 125 II 417), ne pas appliquer les dispositions en question</w:t>
      </w:r>
      <w:r w:rsidRPr="001F671E">
        <w:rPr>
          <w:rFonts w:ascii="Book Antiqua" w:hAnsi="Book Antiqua"/>
        </w:rPr>
        <w:t>.</w:t>
      </w:r>
    </w:p>
    <w:p w14:paraId="6C00CFA9" w14:textId="77777777" w:rsidR="004F1B5A" w:rsidRDefault="004F1B5A" w:rsidP="007E7B3E">
      <w:pPr>
        <w:spacing w:line="360" w:lineRule="auto"/>
        <w:jc w:val="both"/>
        <w:rPr>
          <w:rFonts w:ascii="Times New Roman" w:eastAsia="Times New Roman" w:hAnsi="Times New Roman" w:cs="Times New Roman"/>
        </w:rPr>
      </w:pPr>
    </w:p>
    <w:p w14:paraId="762B6746" w14:textId="77777777" w:rsidR="004F1B5A" w:rsidRDefault="005807D4" w:rsidP="007E7B3E">
      <w:pPr>
        <w:spacing w:line="360" w:lineRule="auto"/>
      </w:pPr>
      <w:r>
        <w:t xml:space="preserve"> </w:t>
      </w:r>
    </w:p>
    <w:p w14:paraId="7A25E362" w14:textId="77777777" w:rsidR="004F1B5A" w:rsidRDefault="005807D4" w:rsidP="007E7B3E">
      <w:pPr>
        <w:spacing w:line="360" w:lineRule="auto"/>
      </w:pPr>
      <w:r>
        <w:t xml:space="preserve"> </w:t>
      </w:r>
    </w:p>
    <w:p w14:paraId="1A9129A7" w14:textId="77777777" w:rsidR="004F1B5A" w:rsidRDefault="004F1B5A" w:rsidP="007E7B3E">
      <w:pPr>
        <w:spacing w:line="360" w:lineRule="auto"/>
      </w:pPr>
    </w:p>
    <w:sectPr w:rsidR="004F1B5A" w:rsidSect="00284B1F">
      <w:footerReference w:type="even"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170AF" w14:textId="77777777" w:rsidR="007D7D82" w:rsidRDefault="007D7D82">
      <w:pPr>
        <w:spacing w:line="240" w:lineRule="auto"/>
      </w:pPr>
      <w:r>
        <w:separator/>
      </w:r>
    </w:p>
  </w:endnote>
  <w:endnote w:type="continuationSeparator" w:id="0">
    <w:p w14:paraId="50145458" w14:textId="77777777" w:rsidR="007D7D82" w:rsidRDefault="007D7D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altName w:val="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021619176"/>
      <w:docPartObj>
        <w:docPartGallery w:val="Page Numbers (Bottom of Page)"/>
        <w:docPartUnique/>
      </w:docPartObj>
    </w:sdtPr>
    <w:sdtEndPr>
      <w:rPr>
        <w:rStyle w:val="Numrodepage"/>
      </w:rPr>
    </w:sdtEndPr>
    <w:sdtContent>
      <w:p w14:paraId="145D081E" w14:textId="24A2250E" w:rsidR="00284B1F" w:rsidRDefault="00284B1F" w:rsidP="00284B1F">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3B7F0E86" w14:textId="77777777" w:rsidR="00284B1F" w:rsidRDefault="00284B1F" w:rsidP="00284B1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109772634"/>
      <w:docPartObj>
        <w:docPartGallery w:val="Page Numbers (Bottom of Page)"/>
        <w:docPartUnique/>
      </w:docPartObj>
    </w:sdtPr>
    <w:sdtEndPr>
      <w:rPr>
        <w:rStyle w:val="Numrodepage"/>
      </w:rPr>
    </w:sdtEndPr>
    <w:sdtContent>
      <w:p w14:paraId="2E6FC853" w14:textId="7B6DF119" w:rsidR="00284B1F" w:rsidRDefault="00284B1F" w:rsidP="00284B1F">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14:paraId="2B3BC135" w14:textId="77777777" w:rsidR="00284B1F" w:rsidRDefault="00284B1F" w:rsidP="00284B1F">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49111" w14:textId="77777777" w:rsidR="007D7D82" w:rsidRDefault="007D7D82">
      <w:pPr>
        <w:spacing w:line="240" w:lineRule="auto"/>
      </w:pPr>
      <w:r>
        <w:separator/>
      </w:r>
    </w:p>
  </w:footnote>
  <w:footnote w:type="continuationSeparator" w:id="0">
    <w:p w14:paraId="1D025856" w14:textId="77777777" w:rsidR="007D7D82" w:rsidRDefault="007D7D82">
      <w:pPr>
        <w:spacing w:line="240" w:lineRule="auto"/>
      </w:pPr>
      <w:r>
        <w:continuationSeparator/>
      </w:r>
    </w:p>
  </w:footnote>
  <w:footnote w:id="1">
    <w:p w14:paraId="24B0CC73" w14:textId="77777777" w:rsidR="008D432A" w:rsidRPr="00F55701" w:rsidRDefault="008D432A" w:rsidP="00F55701">
      <w:pPr>
        <w:pStyle w:val="Notedebasdepage"/>
        <w:jc w:val="both"/>
        <w:rPr>
          <w:rFonts w:ascii="Times New Roman" w:hAnsi="Times New Roman" w:cs="Times New Roman"/>
        </w:rPr>
      </w:pPr>
      <w:r w:rsidRPr="00F55701">
        <w:rPr>
          <w:rStyle w:val="Appelnotedebasdep"/>
          <w:rFonts w:ascii="Times New Roman" w:hAnsi="Times New Roman" w:cs="Times New Roman"/>
        </w:rPr>
        <w:footnoteRef/>
      </w:r>
      <w:r w:rsidRPr="00F55701">
        <w:rPr>
          <w:rFonts w:ascii="Times New Roman" w:hAnsi="Times New Roman" w:cs="Times New Roman"/>
        </w:rPr>
        <w:t xml:space="preserve"> RS 210.</w:t>
      </w:r>
    </w:p>
  </w:footnote>
  <w:footnote w:id="2">
    <w:p w14:paraId="2DA01359" w14:textId="77777777" w:rsidR="008D432A" w:rsidRPr="00F55701" w:rsidRDefault="008D432A" w:rsidP="00F55701">
      <w:pPr>
        <w:pStyle w:val="Notedebasdepage"/>
        <w:jc w:val="both"/>
        <w:rPr>
          <w:rFonts w:ascii="Times New Roman" w:hAnsi="Times New Roman" w:cs="Times New Roman"/>
        </w:rPr>
      </w:pPr>
      <w:r w:rsidRPr="00F55701">
        <w:rPr>
          <w:rStyle w:val="Appelnotedebasdep"/>
          <w:rFonts w:ascii="Times New Roman" w:hAnsi="Times New Roman" w:cs="Times New Roman"/>
        </w:rPr>
        <w:footnoteRef/>
      </w:r>
      <w:r w:rsidRPr="00F55701">
        <w:rPr>
          <w:rFonts w:ascii="Times New Roman" w:hAnsi="Times New Roman" w:cs="Times New Roman"/>
        </w:rPr>
        <w:t xml:space="preserve"> RS 0.109.</w:t>
      </w:r>
    </w:p>
  </w:footnote>
  <w:footnote w:id="3">
    <w:p w14:paraId="71130051" w14:textId="77777777" w:rsidR="008D432A" w:rsidRPr="00F55701" w:rsidRDefault="008D432A" w:rsidP="00F55701">
      <w:pPr>
        <w:pStyle w:val="Notedebasdepage"/>
        <w:jc w:val="both"/>
        <w:rPr>
          <w:rFonts w:ascii="Times New Roman" w:hAnsi="Times New Roman" w:cs="Times New Roman"/>
        </w:rPr>
      </w:pPr>
      <w:r w:rsidRPr="00F55701">
        <w:rPr>
          <w:rStyle w:val="Appelnotedebasdep"/>
          <w:rFonts w:ascii="Times New Roman" w:eastAsiaTheme="majorEastAsia" w:hAnsi="Times New Roman" w:cs="Times New Roman"/>
        </w:rPr>
        <w:footnoteRef/>
      </w:r>
      <w:r w:rsidRPr="00F55701">
        <w:rPr>
          <w:rFonts w:ascii="Times New Roman" w:hAnsi="Times New Roman" w:cs="Times New Roman"/>
        </w:rPr>
        <w:t xml:space="preserve"> RS 0.101.</w:t>
      </w:r>
    </w:p>
  </w:footnote>
  <w:footnote w:id="4">
    <w:p w14:paraId="01000C1B" w14:textId="77777777" w:rsidR="008D432A" w:rsidRPr="00F55701" w:rsidRDefault="008D432A" w:rsidP="00F55701">
      <w:pPr>
        <w:pStyle w:val="Notedebasdepage"/>
        <w:jc w:val="both"/>
        <w:rPr>
          <w:rFonts w:ascii="Times New Roman" w:hAnsi="Times New Roman" w:cs="Times New Roman"/>
        </w:rPr>
      </w:pPr>
      <w:r w:rsidRPr="00F55701">
        <w:rPr>
          <w:rStyle w:val="Appelnotedebasdep"/>
          <w:rFonts w:ascii="Times New Roman" w:eastAsiaTheme="majorEastAsia" w:hAnsi="Times New Roman" w:cs="Times New Roman"/>
        </w:rPr>
        <w:footnoteRef/>
      </w:r>
      <w:r w:rsidRPr="00F55701">
        <w:rPr>
          <w:rFonts w:ascii="Times New Roman" w:hAnsi="Times New Roman" w:cs="Times New Roman"/>
        </w:rPr>
        <w:t xml:space="preserve"> RS 311.0.</w:t>
      </w:r>
    </w:p>
  </w:footnote>
  <w:footnote w:id="5">
    <w:p w14:paraId="3102617D" w14:textId="77777777" w:rsidR="008D432A" w:rsidRPr="00F55701" w:rsidRDefault="008D432A" w:rsidP="00F55701">
      <w:pPr>
        <w:pStyle w:val="Notedebasdepage"/>
        <w:jc w:val="both"/>
        <w:rPr>
          <w:rFonts w:ascii="Times New Roman" w:hAnsi="Times New Roman" w:cs="Times New Roman"/>
          <w:lang w:val="fr-CH"/>
        </w:rPr>
      </w:pPr>
      <w:r w:rsidRPr="00F55701">
        <w:rPr>
          <w:rStyle w:val="Appelnotedebasdep"/>
          <w:rFonts w:ascii="Times New Roman" w:eastAsiaTheme="majorEastAsia" w:hAnsi="Times New Roman" w:cs="Times New Roman"/>
        </w:rPr>
        <w:footnoteRef/>
      </w:r>
      <w:r w:rsidRPr="00F55701">
        <w:rPr>
          <w:rFonts w:ascii="Times New Roman" w:hAnsi="Times New Roman" w:cs="Times New Roman"/>
          <w:lang w:val="fr-CH"/>
        </w:rPr>
        <w:t xml:space="preserve"> RS 101.</w:t>
      </w:r>
    </w:p>
  </w:footnote>
  <w:footnote w:id="6">
    <w:p w14:paraId="6CCCAA55" w14:textId="0BE71335" w:rsidR="00E7179B" w:rsidRPr="00F55701" w:rsidRDefault="00E7179B" w:rsidP="00E7179B">
      <w:pPr>
        <w:pStyle w:val="Notedebasdepage"/>
        <w:jc w:val="both"/>
        <w:rPr>
          <w:rFonts w:ascii="Times New Roman" w:hAnsi="Times New Roman" w:cs="Times New Roman"/>
          <w:lang w:val="fr-CH"/>
        </w:rPr>
      </w:pPr>
      <w:r w:rsidRPr="00F55701">
        <w:rPr>
          <w:rStyle w:val="Appelnotedebasdep"/>
          <w:rFonts w:ascii="Times New Roman" w:hAnsi="Times New Roman" w:cs="Times New Roman"/>
        </w:rPr>
        <w:footnoteRef/>
      </w:r>
      <w:r w:rsidRPr="00F55701">
        <w:rPr>
          <w:rFonts w:ascii="Times New Roman" w:hAnsi="Times New Roman" w:cs="Times New Roman"/>
          <w:lang w:val="fr-CH"/>
        </w:rPr>
        <w:t xml:space="preserve"> RS </w:t>
      </w:r>
      <w:r w:rsidRPr="00E7179B">
        <w:rPr>
          <w:rFonts w:ascii="Times New Roman" w:hAnsi="Times New Roman" w:cs="Times New Roman"/>
          <w:lang w:val="fr-CH"/>
        </w:rPr>
        <w:t>161.1</w:t>
      </w:r>
      <w:r w:rsidRPr="00F55701">
        <w:rPr>
          <w:rFonts w:ascii="Times New Roman" w:hAnsi="Times New Roman" w:cs="Times New Roman"/>
          <w:lang w:val="fr-CH"/>
        </w:rPr>
        <w:t>.</w:t>
      </w:r>
    </w:p>
  </w:footnote>
  <w:footnote w:id="7">
    <w:p w14:paraId="726ECB90" w14:textId="0CBE3E74" w:rsidR="001B7FF9" w:rsidRPr="00F55701" w:rsidRDefault="001B7FF9" w:rsidP="00F55701">
      <w:pPr>
        <w:pStyle w:val="Notedebasdepage"/>
        <w:jc w:val="both"/>
        <w:rPr>
          <w:rFonts w:ascii="Times New Roman" w:hAnsi="Times New Roman" w:cs="Times New Roman"/>
          <w:lang w:val="fr-CH"/>
        </w:rPr>
      </w:pPr>
      <w:r w:rsidRPr="00F55701">
        <w:rPr>
          <w:rStyle w:val="Appelnotedebasdep"/>
          <w:rFonts w:ascii="Times New Roman" w:hAnsi="Times New Roman" w:cs="Times New Roman"/>
        </w:rPr>
        <w:footnoteRef/>
      </w:r>
      <w:r w:rsidRPr="00F55701">
        <w:rPr>
          <w:rFonts w:ascii="Times New Roman" w:hAnsi="Times New Roman" w:cs="Times New Roman"/>
          <w:lang w:val="fr-CH"/>
        </w:rPr>
        <w:t xml:space="preserve"> RS 142.20.</w:t>
      </w:r>
    </w:p>
  </w:footnote>
  <w:footnote w:id="8">
    <w:p w14:paraId="0CA3A6F8" w14:textId="77777777" w:rsidR="008D432A" w:rsidRPr="00F55701" w:rsidRDefault="008D432A" w:rsidP="00F55701">
      <w:pPr>
        <w:pStyle w:val="Notedebasdepage"/>
        <w:jc w:val="both"/>
        <w:rPr>
          <w:rFonts w:ascii="Times New Roman" w:hAnsi="Times New Roman" w:cs="Times New Roman"/>
          <w:lang w:val="fr-CH"/>
        </w:rPr>
      </w:pPr>
      <w:r w:rsidRPr="00F55701">
        <w:rPr>
          <w:rStyle w:val="Appelnotedebasdep"/>
          <w:rFonts w:ascii="Times New Roman" w:hAnsi="Times New Roman" w:cs="Times New Roman"/>
        </w:rPr>
        <w:footnoteRef/>
      </w:r>
      <w:r w:rsidRPr="00F55701">
        <w:rPr>
          <w:rFonts w:ascii="Times New Roman" w:hAnsi="Times New Roman" w:cs="Times New Roman"/>
          <w:lang w:val="fr-CH"/>
        </w:rPr>
        <w:t xml:space="preserve"> RS 151.3.</w:t>
      </w:r>
    </w:p>
  </w:footnote>
  <w:footnote w:id="9">
    <w:p w14:paraId="4D8F8DA7" w14:textId="7566CCAF" w:rsidR="00A42E0C" w:rsidRPr="00F55701" w:rsidRDefault="00A42E0C" w:rsidP="00A42E0C">
      <w:pPr>
        <w:pStyle w:val="Notedebasdepage"/>
        <w:jc w:val="both"/>
        <w:rPr>
          <w:rFonts w:ascii="Times New Roman" w:hAnsi="Times New Roman" w:cs="Times New Roman"/>
          <w:lang w:val="fr-CH"/>
        </w:rPr>
      </w:pPr>
      <w:r w:rsidRPr="00F55701">
        <w:rPr>
          <w:rStyle w:val="Appelnotedebasdep"/>
          <w:rFonts w:ascii="Times New Roman" w:hAnsi="Times New Roman" w:cs="Times New Roman"/>
        </w:rPr>
        <w:footnoteRef/>
      </w:r>
      <w:r w:rsidRPr="00F55701">
        <w:rPr>
          <w:rFonts w:ascii="Times New Roman" w:hAnsi="Times New Roman" w:cs="Times New Roman"/>
          <w:lang w:val="fr-CH"/>
        </w:rPr>
        <w:t xml:space="preserve"> RS </w:t>
      </w:r>
      <w:r>
        <w:rPr>
          <w:rFonts w:ascii="Times New Roman" w:hAnsi="Times New Roman" w:cs="Times New Roman"/>
          <w:lang w:val="fr-CH"/>
        </w:rPr>
        <w:t>141.0.</w:t>
      </w:r>
    </w:p>
  </w:footnote>
  <w:footnote w:id="10">
    <w:p w14:paraId="05CC14C1" w14:textId="17613790" w:rsidR="008D432A" w:rsidRPr="00F55701" w:rsidRDefault="008D432A" w:rsidP="00F55701">
      <w:pPr>
        <w:pStyle w:val="Notedebasdepage"/>
        <w:jc w:val="both"/>
        <w:rPr>
          <w:rFonts w:ascii="Times New Roman" w:hAnsi="Times New Roman" w:cs="Times New Roman"/>
          <w:lang w:val="fr-CH"/>
        </w:rPr>
      </w:pPr>
      <w:r w:rsidRPr="00F55701">
        <w:rPr>
          <w:rStyle w:val="Appelnotedebasdep"/>
          <w:rFonts w:ascii="Times New Roman" w:hAnsi="Times New Roman" w:cs="Times New Roman"/>
        </w:rPr>
        <w:footnoteRef/>
      </w:r>
      <w:r w:rsidRPr="00F55701">
        <w:rPr>
          <w:rFonts w:ascii="Times New Roman" w:hAnsi="Times New Roman" w:cs="Times New Roman"/>
          <w:lang w:val="fr-CH"/>
        </w:rPr>
        <w:t xml:space="preserve"> RS </w:t>
      </w:r>
      <w:r w:rsidR="00001A4B" w:rsidRPr="00F55701">
        <w:rPr>
          <w:rFonts w:ascii="Times New Roman" w:hAnsi="Times New Roman" w:cs="Times New Roman"/>
          <w:lang w:val="fr-CH"/>
        </w:rPr>
        <w:t>211.111.1</w:t>
      </w:r>
      <w:r w:rsidRPr="00F55701">
        <w:rPr>
          <w:rFonts w:ascii="Times New Roman" w:hAnsi="Times New Roman" w:cs="Times New Roman"/>
          <w:lang w:val="fr-CH"/>
        </w:rPr>
        <w:t>.</w:t>
      </w:r>
    </w:p>
  </w:footnote>
  <w:footnote w:id="11">
    <w:p w14:paraId="640EC59C" w14:textId="159A8251" w:rsidR="00A42E0C" w:rsidRPr="00F55701" w:rsidRDefault="00A42E0C" w:rsidP="00A42E0C">
      <w:pPr>
        <w:pStyle w:val="Notedebasdepage"/>
        <w:jc w:val="both"/>
        <w:rPr>
          <w:rFonts w:ascii="Times New Roman" w:hAnsi="Times New Roman" w:cs="Times New Roman"/>
          <w:lang w:val="fr-CH"/>
        </w:rPr>
      </w:pPr>
      <w:r w:rsidRPr="00F55701">
        <w:rPr>
          <w:rStyle w:val="Appelnotedebasdep"/>
          <w:rFonts w:ascii="Times New Roman" w:hAnsi="Times New Roman" w:cs="Times New Roman"/>
        </w:rPr>
        <w:footnoteRef/>
      </w:r>
      <w:r w:rsidRPr="00F55701">
        <w:rPr>
          <w:rFonts w:ascii="Times New Roman" w:hAnsi="Times New Roman" w:cs="Times New Roman"/>
          <w:lang w:val="fr-CH"/>
        </w:rPr>
        <w:t xml:space="preserve"> RS </w:t>
      </w:r>
      <w:r w:rsidRPr="00A42E0C">
        <w:rPr>
          <w:rFonts w:ascii="Times New Roman" w:hAnsi="Times New Roman" w:cs="Times New Roman"/>
          <w:lang w:val="fr-CH"/>
        </w:rPr>
        <w:t>142.201</w:t>
      </w:r>
      <w:r w:rsidRPr="00F55701">
        <w:rPr>
          <w:rFonts w:ascii="Times New Roman" w:hAnsi="Times New Roman" w:cs="Times New Roman"/>
          <w:lang w:val="fr-CH"/>
        </w:rPr>
        <w:t>.</w:t>
      </w:r>
    </w:p>
  </w:footnote>
  <w:footnote w:id="12">
    <w:p w14:paraId="5EB5900B" w14:textId="0580A3D5" w:rsidR="00A42E0C" w:rsidRPr="00F55701" w:rsidRDefault="00A42E0C" w:rsidP="00A42E0C">
      <w:pPr>
        <w:pStyle w:val="Notedebasdepage"/>
        <w:jc w:val="both"/>
        <w:rPr>
          <w:rFonts w:ascii="Times New Roman" w:hAnsi="Times New Roman" w:cs="Times New Roman"/>
          <w:lang w:val="fr-CH"/>
        </w:rPr>
      </w:pPr>
      <w:r w:rsidRPr="00F55701">
        <w:rPr>
          <w:rStyle w:val="Appelnotedebasdep"/>
          <w:rFonts w:ascii="Times New Roman" w:hAnsi="Times New Roman" w:cs="Times New Roman"/>
        </w:rPr>
        <w:footnoteRef/>
      </w:r>
      <w:r w:rsidRPr="00F55701">
        <w:rPr>
          <w:rFonts w:ascii="Times New Roman" w:hAnsi="Times New Roman" w:cs="Times New Roman"/>
          <w:lang w:val="fr-CH"/>
        </w:rPr>
        <w:t xml:space="preserve"> RS </w:t>
      </w:r>
      <w:r w:rsidRPr="00A42E0C">
        <w:rPr>
          <w:rFonts w:ascii="Times New Roman" w:hAnsi="Times New Roman" w:cs="Times New Roman"/>
          <w:lang w:val="fr-CH"/>
        </w:rPr>
        <w:t>141.01</w:t>
      </w:r>
      <w:r w:rsidRPr="00F55701">
        <w:rPr>
          <w:rFonts w:ascii="Times New Roman" w:hAnsi="Times New Roman" w:cs="Times New Roman"/>
          <w:lang w:val="fr-CH"/>
        </w:rPr>
        <w:t>.</w:t>
      </w:r>
    </w:p>
  </w:footnote>
  <w:footnote w:id="13">
    <w:p w14:paraId="299C4E2D" w14:textId="77777777" w:rsidR="008D432A" w:rsidRPr="00F55701" w:rsidRDefault="008D432A" w:rsidP="00F55701">
      <w:pPr>
        <w:pStyle w:val="Notedebasdepage"/>
        <w:jc w:val="both"/>
        <w:rPr>
          <w:rFonts w:ascii="Times New Roman" w:hAnsi="Times New Roman" w:cs="Times New Roman"/>
        </w:rPr>
      </w:pPr>
      <w:r w:rsidRPr="00F55701">
        <w:rPr>
          <w:rStyle w:val="Appelnotedebasdep"/>
          <w:rFonts w:ascii="Times New Roman" w:eastAsiaTheme="majorEastAsia" w:hAnsi="Times New Roman" w:cs="Times New Roman"/>
        </w:rPr>
        <w:footnoteRef/>
      </w:r>
      <w:r w:rsidRPr="00F55701">
        <w:rPr>
          <w:rFonts w:ascii="Times New Roman" w:hAnsi="Times New Roman" w:cs="Times New Roman"/>
        </w:rPr>
        <w:t xml:space="preserve"> A/RES/70/175.</w:t>
      </w:r>
    </w:p>
  </w:footnote>
  <w:footnote w:id="14">
    <w:p w14:paraId="7AA0D2B7" w14:textId="77777777" w:rsidR="00227F37" w:rsidRPr="00227F37" w:rsidRDefault="00227F37" w:rsidP="00227F37">
      <w:pPr>
        <w:pStyle w:val="Notedebasdepage"/>
        <w:jc w:val="both"/>
        <w:rPr>
          <w:rFonts w:ascii="Times New Roman" w:hAnsi="Times New Roman" w:cs="Times New Roman"/>
        </w:rPr>
      </w:pPr>
      <w:r w:rsidRPr="00F55701">
        <w:rPr>
          <w:rStyle w:val="Appelnotedebasdep"/>
          <w:rFonts w:ascii="Times New Roman" w:hAnsi="Times New Roman" w:cs="Times New Roman"/>
        </w:rPr>
        <w:footnoteRef/>
      </w:r>
      <w:r w:rsidRPr="00F55701">
        <w:rPr>
          <w:rFonts w:ascii="Times New Roman" w:hAnsi="Times New Roman" w:cs="Times New Roman"/>
        </w:rPr>
        <w:t xml:space="preserve"> </w:t>
      </w:r>
      <w:r w:rsidRPr="00F55701">
        <w:rPr>
          <w:rFonts w:ascii="Times New Roman" w:hAnsi="Times New Roman" w:cs="Times New Roman"/>
          <w:smallCaps/>
        </w:rPr>
        <w:t>Zimmermann N</w:t>
      </w:r>
      <w:r w:rsidRPr="00F55701">
        <w:rPr>
          <w:rFonts w:ascii="Times New Roman" w:hAnsi="Times New Roman" w:cs="Times New Roman"/>
        </w:rPr>
        <w:t>esa</w:t>
      </w:r>
      <w:r w:rsidRPr="00F55701">
        <w:rPr>
          <w:rFonts w:ascii="Times New Roman" w:hAnsi="Times New Roman" w:cs="Times New Roman"/>
          <w:smallCaps/>
        </w:rPr>
        <w:t>/Eskandari V</w:t>
      </w:r>
      <w:r w:rsidRPr="00F55701">
        <w:rPr>
          <w:rFonts w:ascii="Times New Roman" w:hAnsi="Times New Roman" w:cs="Times New Roman"/>
        </w:rPr>
        <w:t>ista</w:t>
      </w:r>
      <w:r w:rsidRPr="00F55701">
        <w:rPr>
          <w:rFonts w:ascii="Times New Roman" w:hAnsi="Times New Roman" w:cs="Times New Roman"/>
          <w:smallCaps/>
        </w:rPr>
        <w:t>/Carron D</w:t>
      </w:r>
      <w:r w:rsidRPr="00F55701">
        <w:rPr>
          <w:rFonts w:ascii="Times New Roman" w:hAnsi="Times New Roman" w:cs="Times New Roman"/>
        </w:rPr>
        <w:t xml:space="preserve">jemila, Des pédagogies cliniques aux pédagogies critiques. L’évolution de la Law Clinic sur les droits des personnes vulnérables de l’Université de Genève, </w:t>
      </w:r>
      <w:r w:rsidRPr="00F55701">
        <w:rPr>
          <w:rFonts w:ascii="Times New Roman" w:hAnsi="Times New Roman" w:cs="Times New Roman"/>
          <w:i/>
          <w:iCs/>
        </w:rPr>
        <w:t xml:space="preserve">Cliniques </w:t>
      </w:r>
      <w:r w:rsidRPr="00227F37">
        <w:rPr>
          <w:rFonts w:ascii="Times New Roman" w:hAnsi="Times New Roman" w:cs="Times New Roman"/>
          <w:i/>
          <w:iCs/>
        </w:rPr>
        <w:t>juridiques</w:t>
      </w:r>
      <w:r w:rsidRPr="00227F37">
        <w:rPr>
          <w:rFonts w:ascii="Times New Roman" w:hAnsi="Times New Roman" w:cs="Times New Roman"/>
        </w:rPr>
        <w:t>, N. 7, 2021.</w:t>
      </w:r>
    </w:p>
  </w:footnote>
  <w:footnote w:id="15">
    <w:p w14:paraId="06C0B0D8" w14:textId="77777777" w:rsidR="00227F37" w:rsidRPr="00227F37" w:rsidRDefault="00227F37" w:rsidP="00227F37">
      <w:pPr>
        <w:pStyle w:val="Notedebasdepage"/>
        <w:jc w:val="both"/>
        <w:rPr>
          <w:rFonts w:ascii="Times New Roman" w:hAnsi="Times New Roman" w:cs="Times New Roman"/>
          <w:lang w:val="fr-CH"/>
        </w:rPr>
      </w:pPr>
      <w:r w:rsidRPr="00227F37">
        <w:rPr>
          <w:rStyle w:val="Appelnotedebasdep"/>
          <w:rFonts w:ascii="Times New Roman" w:hAnsi="Times New Roman" w:cs="Times New Roman"/>
        </w:rPr>
        <w:footnoteRef/>
      </w:r>
      <w:r w:rsidRPr="00227F37">
        <w:rPr>
          <w:rFonts w:ascii="Times New Roman" w:hAnsi="Times New Roman" w:cs="Times New Roman"/>
        </w:rPr>
        <w:t xml:space="preserve"> </w:t>
      </w:r>
      <w:r w:rsidRPr="00227F37">
        <w:rPr>
          <w:rFonts w:ascii="Times New Roman" w:hAnsi="Times New Roman" w:cs="Times New Roman"/>
          <w:smallCaps/>
        </w:rPr>
        <w:t xml:space="preserve">Le Fort </w:t>
      </w:r>
      <w:r w:rsidRPr="00227F37">
        <w:rPr>
          <w:rFonts w:ascii="Times New Roman" w:hAnsi="Times New Roman" w:cs="Times New Roman"/>
        </w:rPr>
        <w:t>Olivia</w:t>
      </w:r>
      <w:r w:rsidRPr="00227F37">
        <w:rPr>
          <w:rFonts w:ascii="Times New Roman" w:hAnsi="Times New Roman" w:cs="Times New Roman"/>
          <w:smallCaps/>
        </w:rPr>
        <w:t>/Carron D</w:t>
      </w:r>
      <w:r w:rsidRPr="00227F37">
        <w:rPr>
          <w:rFonts w:ascii="Times New Roman" w:hAnsi="Times New Roman" w:cs="Times New Roman"/>
        </w:rPr>
        <w:t xml:space="preserve">jemila, L’enseignement clinique du droit à Genève : L’exemple de la Law Clinic sur les droits des personnes vulnérables, </w:t>
      </w:r>
      <w:r w:rsidRPr="00227F37">
        <w:rPr>
          <w:rFonts w:ascii="Times New Roman" w:hAnsi="Times New Roman" w:cs="Times New Roman"/>
          <w:i/>
        </w:rPr>
        <w:t>Jusletter</w:t>
      </w:r>
      <w:r w:rsidRPr="00227F37">
        <w:rPr>
          <w:rFonts w:ascii="Times New Roman" w:hAnsi="Times New Roman" w:cs="Times New Roman"/>
        </w:rPr>
        <w:t>, 2016, p. 5.</w:t>
      </w:r>
    </w:p>
  </w:footnote>
  <w:footnote w:id="16">
    <w:p w14:paraId="294CF369" w14:textId="05013497" w:rsidR="00227F37" w:rsidRPr="00227F37" w:rsidRDefault="00227F37" w:rsidP="00227F37">
      <w:pPr>
        <w:pStyle w:val="Notedebasdepage"/>
        <w:jc w:val="both"/>
        <w:rPr>
          <w:lang w:val="fr-CH"/>
        </w:rPr>
      </w:pPr>
      <w:r w:rsidRPr="00227F37">
        <w:rPr>
          <w:rStyle w:val="Appelnotedebasdep"/>
          <w:rFonts w:ascii="Times New Roman" w:hAnsi="Times New Roman" w:cs="Times New Roman"/>
        </w:rPr>
        <w:footnoteRef/>
      </w:r>
      <w:r w:rsidRPr="00227F37">
        <w:rPr>
          <w:rFonts w:ascii="Times New Roman" w:hAnsi="Times New Roman" w:cs="Times New Roman"/>
          <w:lang w:val="fr-CH"/>
        </w:rPr>
        <w:t xml:space="preserve"> V</w:t>
      </w:r>
      <w:r>
        <w:rPr>
          <w:rFonts w:ascii="Times New Roman" w:hAnsi="Times New Roman" w:cs="Times New Roman"/>
          <w:lang w:val="fr-CH"/>
        </w:rPr>
        <w:t xml:space="preserve">oir le site de la </w:t>
      </w:r>
      <w:r w:rsidRPr="00227F37">
        <w:rPr>
          <w:rFonts w:ascii="Times New Roman" w:hAnsi="Times New Roman" w:cs="Times New Roman"/>
          <w:i/>
          <w:iCs/>
          <w:lang w:val="fr-CH"/>
        </w:rPr>
        <w:t>Law Clinic</w:t>
      </w:r>
      <w:r w:rsidRPr="00227F37">
        <w:rPr>
          <w:rFonts w:ascii="Times New Roman" w:hAnsi="Times New Roman" w:cs="Times New Roman"/>
          <w:lang w:val="fr-CH"/>
        </w:rPr>
        <w:t xml:space="preserve"> </w:t>
      </w:r>
      <w:r w:rsidRPr="00B11003">
        <w:rPr>
          <w:rFonts w:ascii="Times New Roman" w:hAnsi="Times New Roman" w:cs="Times New Roman"/>
        </w:rPr>
        <w:t>[</w:t>
      </w:r>
      <w:hyperlink r:id="rId1" w:history="1">
        <w:r w:rsidRPr="00227F37">
          <w:rPr>
            <w:rStyle w:val="Lienhypertexte"/>
            <w:rFonts w:ascii="Times New Roman" w:hAnsi="Times New Roman" w:cs="Times New Roman"/>
            <w:lang w:val="fr-CH"/>
          </w:rPr>
          <w:t>https://www.unige.ch/droit/lawclinic/fr</w:t>
        </w:r>
      </w:hyperlink>
      <w:r w:rsidRPr="00B11003">
        <w:rPr>
          <w:rStyle w:val="Lienhypertexte"/>
          <w:rFonts w:ascii="Times New Roman" w:hAnsi="Times New Roman" w:cs="Times New Roman"/>
        </w:rPr>
        <w:t>]</w:t>
      </w:r>
      <w:r w:rsidRPr="00227F37">
        <w:rPr>
          <w:rFonts w:ascii="Times New Roman" w:hAnsi="Times New Roman" w:cs="Times New Roman"/>
          <w:lang w:val="fr-CH"/>
        </w:rPr>
        <w:t>.</w:t>
      </w:r>
      <w:r>
        <w:rPr>
          <w:rFonts w:ascii="Times New Roman" w:hAnsi="Times New Roman" w:cs="Times New Roman"/>
          <w:lang w:val="fr-CH"/>
        </w:rPr>
        <w:t xml:space="preserve"> </w:t>
      </w:r>
    </w:p>
  </w:footnote>
  <w:footnote w:id="17">
    <w:p w14:paraId="1E3EC29C" w14:textId="5C1345AA" w:rsidR="00157A64" w:rsidRPr="00B11003" w:rsidRDefault="00157A64" w:rsidP="00B11003">
      <w:pPr>
        <w:pStyle w:val="Notedebasdepage"/>
        <w:jc w:val="both"/>
        <w:rPr>
          <w:rFonts w:ascii="Times New Roman" w:hAnsi="Times New Roman" w:cs="Times New Roman"/>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2A1685" w:rsidRPr="00B11003">
        <w:rPr>
          <w:rFonts w:ascii="Times New Roman" w:hAnsi="Times New Roman" w:cs="Times New Roman"/>
        </w:rPr>
        <w:t>AGNU</w:t>
      </w:r>
      <w:r w:rsidR="002A1685" w:rsidRPr="00B11003">
        <w:rPr>
          <w:rFonts w:ascii="Times New Roman" w:hAnsi="Times New Roman" w:cs="Times New Roman"/>
          <w:i/>
          <w:iCs/>
        </w:rPr>
        <w:t xml:space="preserve">, Rapport du </w:t>
      </w:r>
      <w:r w:rsidR="00BF27B5" w:rsidRPr="00B11003">
        <w:rPr>
          <w:rFonts w:ascii="Times New Roman" w:hAnsi="Times New Roman" w:cs="Times New Roman"/>
          <w:i/>
          <w:iCs/>
        </w:rPr>
        <w:t>CRPD</w:t>
      </w:r>
      <w:r w:rsidR="002A1685" w:rsidRPr="00B11003">
        <w:rPr>
          <w:rFonts w:ascii="Times New Roman" w:hAnsi="Times New Roman" w:cs="Times New Roman"/>
          <w:i/>
          <w:iCs/>
        </w:rPr>
        <w:t>, Annexe : Directives relatives au droit à la liberté et à la sécurité des personnes handicapées</w:t>
      </w:r>
      <w:r w:rsidR="002A1685" w:rsidRPr="00B11003">
        <w:rPr>
          <w:rFonts w:ascii="Times New Roman" w:hAnsi="Times New Roman" w:cs="Times New Roman"/>
        </w:rPr>
        <w:t xml:space="preserve">, </w:t>
      </w:r>
      <w:r w:rsidRPr="00B11003">
        <w:rPr>
          <w:rFonts w:ascii="Times New Roman" w:hAnsi="Times New Roman" w:cs="Times New Roman"/>
          <w:smallCaps/>
          <w:color w:val="000000" w:themeColor="text1"/>
          <w:shd w:val="clear" w:color="auto" w:fill="FFFFFF"/>
        </w:rPr>
        <w:t>A/72/55</w:t>
      </w:r>
      <w:r w:rsidRPr="00B11003">
        <w:rPr>
          <w:rFonts w:ascii="Times New Roman" w:hAnsi="Times New Roman" w:cs="Times New Roman"/>
          <w:color w:val="000000" w:themeColor="text1"/>
          <w:shd w:val="clear" w:color="auto" w:fill="FFFFFF"/>
        </w:rPr>
        <w:t>,</w:t>
      </w:r>
      <w:r w:rsidR="00763F24" w:rsidRPr="00B11003">
        <w:rPr>
          <w:rFonts w:ascii="Times New Roman" w:hAnsi="Times New Roman" w:cs="Times New Roman"/>
          <w:color w:val="000000" w:themeColor="text1"/>
          <w:shd w:val="clear" w:color="auto" w:fill="FFFFFF"/>
        </w:rPr>
        <w:t xml:space="preserve"> 2017,</w:t>
      </w:r>
      <w:r w:rsidRPr="00B11003">
        <w:rPr>
          <w:rFonts w:ascii="Times New Roman" w:hAnsi="Times New Roman" w:cs="Times New Roman"/>
          <w:color w:val="000000" w:themeColor="text1"/>
          <w:shd w:val="clear" w:color="auto" w:fill="FFFFFF"/>
        </w:rPr>
        <w:t xml:space="preserve"> </w:t>
      </w:r>
      <w:r w:rsidR="00763F24" w:rsidRPr="00B11003">
        <w:rPr>
          <w:rFonts w:ascii="Times New Roman" w:hAnsi="Times New Roman" w:cs="Times New Roman"/>
          <w:color w:val="000000" w:themeColor="text1"/>
          <w:shd w:val="clear" w:color="auto" w:fill="FFFFFF"/>
        </w:rPr>
        <w:t xml:space="preserve">pp.19-20, </w:t>
      </w:r>
      <w:r w:rsidRPr="00B11003">
        <w:rPr>
          <w:rFonts w:ascii="Times New Roman" w:hAnsi="Times New Roman" w:cs="Times New Roman"/>
          <w:color w:val="000000" w:themeColor="text1"/>
        </w:rPr>
        <w:t>par. 12.</w:t>
      </w:r>
    </w:p>
  </w:footnote>
  <w:footnote w:id="18">
    <w:p w14:paraId="68BCA898" w14:textId="54E3384D" w:rsidR="00157A64" w:rsidRPr="00B11003" w:rsidRDefault="00157A64"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lang w:val="fr-CH"/>
        </w:rPr>
        <w:t xml:space="preserve"> </w:t>
      </w:r>
      <w:r w:rsidR="002A1685" w:rsidRPr="00B11003">
        <w:rPr>
          <w:rFonts w:ascii="Times New Roman" w:hAnsi="Times New Roman" w:cs="Times New Roman"/>
          <w:lang w:val="fr-CH"/>
        </w:rPr>
        <w:t xml:space="preserve">CRPD, </w:t>
      </w:r>
      <w:r w:rsidR="002A1685" w:rsidRPr="00B11003">
        <w:rPr>
          <w:rFonts w:ascii="Times New Roman" w:hAnsi="Times New Roman" w:cs="Times New Roman"/>
          <w:i/>
          <w:iCs/>
          <w:lang w:val="fr-CH"/>
        </w:rPr>
        <w:t>Observations finales sur le rapport initial de l’Australie</w:t>
      </w:r>
      <w:r w:rsidR="002A1685" w:rsidRPr="00B11003">
        <w:rPr>
          <w:rFonts w:ascii="Times New Roman" w:hAnsi="Times New Roman" w:cs="Times New Roman"/>
          <w:lang w:val="fr-CH"/>
        </w:rPr>
        <w:t xml:space="preserve">, </w:t>
      </w:r>
      <w:r w:rsidRPr="00B11003">
        <w:rPr>
          <w:rFonts w:ascii="Times New Roman" w:hAnsi="Times New Roman" w:cs="Times New Roman"/>
          <w:lang w:val="fr-CH"/>
        </w:rPr>
        <w:t xml:space="preserve">CRPD/C/AUS/CO/1, </w:t>
      </w:r>
      <w:r w:rsidR="002A1685" w:rsidRPr="00B11003">
        <w:rPr>
          <w:rFonts w:ascii="Times New Roman" w:hAnsi="Times New Roman" w:cs="Times New Roman"/>
          <w:lang w:val="fr-CH"/>
        </w:rPr>
        <w:t xml:space="preserve">21 octobre 2013, </w:t>
      </w:r>
      <w:r w:rsidRPr="00B11003">
        <w:rPr>
          <w:rFonts w:ascii="Times New Roman" w:hAnsi="Times New Roman" w:cs="Times New Roman"/>
          <w:lang w:val="fr-CH"/>
        </w:rPr>
        <w:t>par. 35-36.</w:t>
      </w:r>
    </w:p>
  </w:footnote>
  <w:footnote w:id="19">
    <w:p w14:paraId="22443A1E" w14:textId="2A3CEC26" w:rsidR="00157A64" w:rsidRPr="00B11003" w:rsidRDefault="00157A64" w:rsidP="00B11003">
      <w:pPr>
        <w:pStyle w:val="Notedebasdepage"/>
        <w:jc w:val="both"/>
        <w:rPr>
          <w:rFonts w:ascii="Times New Roman" w:hAnsi="Times New Roman" w:cs="Times New Roman"/>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C305F5" w:rsidRPr="00B11003">
        <w:rPr>
          <w:rFonts w:ascii="Times New Roman" w:hAnsi="Times New Roman" w:cs="Times New Roman"/>
          <w:smallCaps/>
        </w:rPr>
        <w:t xml:space="preserve">Brägger F. </w:t>
      </w:r>
      <w:r w:rsidR="00C305F5" w:rsidRPr="00B11003">
        <w:rPr>
          <w:rFonts w:ascii="Times New Roman" w:hAnsi="Times New Roman" w:cs="Times New Roman"/>
        </w:rPr>
        <w:t>Benjamin</w:t>
      </w:r>
      <w:r w:rsidR="00C305F5" w:rsidRPr="00B11003">
        <w:rPr>
          <w:rFonts w:ascii="Times New Roman" w:hAnsi="Times New Roman" w:cs="Times New Roman"/>
          <w:smallCaps/>
        </w:rPr>
        <w:t>,</w:t>
      </w:r>
      <w:r w:rsidR="00C305F5" w:rsidRPr="00B11003">
        <w:rPr>
          <w:rFonts w:ascii="Times New Roman" w:hAnsi="Times New Roman" w:cs="Times New Roman"/>
        </w:rPr>
        <w:t xml:space="preserve"> « </w:t>
      </w:r>
      <w:r w:rsidRPr="00B11003">
        <w:rPr>
          <w:rFonts w:ascii="Times New Roman" w:hAnsi="Times New Roman" w:cs="Times New Roman"/>
        </w:rPr>
        <w:t>Contrainte directe/Moyens de contrainte</w:t>
      </w:r>
      <w:r w:rsidR="00C305F5" w:rsidRPr="00B11003">
        <w:rPr>
          <w:rFonts w:ascii="Times New Roman" w:hAnsi="Times New Roman" w:cs="Times New Roman"/>
        </w:rPr>
        <w:t> »</w:t>
      </w:r>
      <w:r w:rsidRPr="00B11003">
        <w:rPr>
          <w:rFonts w:ascii="Times New Roman" w:hAnsi="Times New Roman" w:cs="Times New Roman"/>
        </w:rPr>
        <w:t>,</w:t>
      </w:r>
      <w:r w:rsidR="00C305F5" w:rsidRPr="00B11003">
        <w:rPr>
          <w:rFonts w:ascii="Times New Roman" w:hAnsi="Times New Roman" w:cs="Times New Roman"/>
        </w:rPr>
        <w:t xml:space="preserve"> </w:t>
      </w:r>
      <w:r w:rsidR="00C305F5" w:rsidRPr="00B11003">
        <w:rPr>
          <w:rFonts w:ascii="Times New Roman" w:hAnsi="Times New Roman" w:cs="Times New Roman"/>
          <w:i/>
          <w:iCs/>
        </w:rPr>
        <w:t xml:space="preserve">in </w:t>
      </w:r>
      <w:r w:rsidR="00C305F5" w:rsidRPr="00B11003">
        <w:rPr>
          <w:rFonts w:ascii="Times New Roman" w:hAnsi="Times New Roman" w:cs="Times New Roman"/>
        </w:rPr>
        <w:t>B</w:t>
      </w:r>
      <w:r w:rsidR="00C305F5" w:rsidRPr="00B11003">
        <w:rPr>
          <w:rFonts w:ascii="Times New Roman" w:hAnsi="Times New Roman" w:cs="Times New Roman"/>
          <w:smallCaps/>
        </w:rPr>
        <w:t>rägger</w:t>
      </w:r>
      <w:r w:rsidR="00C305F5" w:rsidRPr="00B11003">
        <w:rPr>
          <w:rFonts w:ascii="Times New Roman" w:hAnsi="Times New Roman" w:cs="Times New Roman"/>
        </w:rPr>
        <w:t xml:space="preserve"> B. F. et V</w:t>
      </w:r>
      <w:r w:rsidR="00C305F5" w:rsidRPr="00B11003">
        <w:rPr>
          <w:rFonts w:ascii="Times New Roman" w:hAnsi="Times New Roman" w:cs="Times New Roman"/>
          <w:smallCaps/>
        </w:rPr>
        <w:t>uille</w:t>
      </w:r>
      <w:r w:rsidR="00C305F5" w:rsidRPr="00B11003">
        <w:rPr>
          <w:rFonts w:ascii="Times New Roman" w:hAnsi="Times New Roman" w:cs="Times New Roman"/>
        </w:rPr>
        <w:t xml:space="preserve"> J. (éd.),</w:t>
      </w:r>
      <w:r w:rsidR="00C305F5" w:rsidRPr="00B11003">
        <w:rPr>
          <w:rFonts w:ascii="Times New Roman" w:hAnsi="Times New Roman" w:cs="Times New Roman"/>
          <w:i/>
          <w:iCs/>
        </w:rPr>
        <w:t xml:space="preserve"> Lexique pénitentiaire suisse. De l’arrestation provisoire à la libération conditionnelle, </w:t>
      </w:r>
      <w:r w:rsidR="00C305F5" w:rsidRPr="00B11003">
        <w:rPr>
          <w:rFonts w:ascii="Times New Roman" w:hAnsi="Times New Roman" w:cs="Times New Roman"/>
        </w:rPr>
        <w:t>Bâle, Helbing Lichtenhahn</w:t>
      </w:r>
      <w:r w:rsidR="00C305F5" w:rsidRPr="00B11003">
        <w:rPr>
          <w:rFonts w:ascii="Times New Roman" w:hAnsi="Times New Roman" w:cs="Times New Roman"/>
          <w:i/>
          <w:iCs/>
        </w:rPr>
        <w:t>,</w:t>
      </w:r>
      <w:r w:rsidRPr="00B11003">
        <w:rPr>
          <w:rFonts w:ascii="Times New Roman" w:hAnsi="Times New Roman" w:cs="Times New Roman"/>
        </w:rPr>
        <w:t xml:space="preserve"> </w:t>
      </w:r>
      <w:r w:rsidR="002A1685" w:rsidRPr="00B11003">
        <w:rPr>
          <w:rFonts w:ascii="Times New Roman" w:hAnsi="Times New Roman" w:cs="Times New Roman"/>
        </w:rPr>
        <w:t xml:space="preserve">2016, </w:t>
      </w:r>
      <w:r w:rsidRPr="00B11003">
        <w:rPr>
          <w:rFonts w:ascii="Times New Roman" w:hAnsi="Times New Roman" w:cs="Times New Roman"/>
          <w:color w:val="000000" w:themeColor="text1"/>
        </w:rPr>
        <w:t>p. 106</w:t>
      </w:r>
      <w:r w:rsidR="00763F24" w:rsidRPr="00B11003">
        <w:rPr>
          <w:rFonts w:ascii="Times New Roman" w:hAnsi="Times New Roman" w:cs="Times New Roman"/>
          <w:color w:val="000000" w:themeColor="text1"/>
        </w:rPr>
        <w:t>.</w:t>
      </w:r>
    </w:p>
  </w:footnote>
  <w:footnote w:id="20">
    <w:p w14:paraId="2E7649EC" w14:textId="44601934" w:rsidR="00157A64" w:rsidRPr="00B11003" w:rsidRDefault="00157A64" w:rsidP="00B11003">
      <w:pPr>
        <w:pStyle w:val="Notedebasdepage"/>
        <w:jc w:val="both"/>
        <w:rPr>
          <w:rFonts w:ascii="Times New Roman" w:hAnsi="Times New Roman" w:cs="Times New Roman"/>
          <w:lang w:val="de-CH"/>
        </w:rPr>
      </w:pPr>
      <w:r w:rsidRPr="00B11003">
        <w:rPr>
          <w:rStyle w:val="Appelnotedebasdep"/>
          <w:rFonts w:ascii="Times New Roman" w:eastAsiaTheme="majorEastAsia" w:hAnsi="Times New Roman" w:cs="Times New Roman"/>
        </w:rPr>
        <w:footnoteRef/>
      </w:r>
      <w:r w:rsidR="00325D83" w:rsidRPr="00B11003">
        <w:rPr>
          <w:rFonts w:ascii="Times New Roman" w:hAnsi="Times New Roman" w:cs="Times New Roman"/>
        </w:rPr>
        <w:t xml:space="preserve"> </w:t>
      </w:r>
      <w:r w:rsidR="00325D83" w:rsidRPr="00B11003">
        <w:rPr>
          <w:rFonts w:ascii="Times New Roman" w:hAnsi="Times New Roman" w:cs="Times New Roman"/>
          <w:i/>
          <w:iCs/>
        </w:rPr>
        <w:t>Ibid</w:t>
      </w:r>
      <w:r w:rsidR="00325D83" w:rsidRPr="00B11003">
        <w:rPr>
          <w:rFonts w:ascii="Times New Roman" w:hAnsi="Times New Roman" w:cs="Times New Roman"/>
        </w:rPr>
        <w:t>,</w:t>
      </w:r>
      <w:r w:rsidR="002A1685" w:rsidRPr="00B11003">
        <w:rPr>
          <w:rFonts w:ascii="Times New Roman" w:hAnsi="Times New Roman" w:cs="Times New Roman"/>
        </w:rPr>
        <w:t xml:space="preserve"> </w:t>
      </w:r>
      <w:r w:rsidRPr="00B11003">
        <w:rPr>
          <w:rFonts w:ascii="Times New Roman" w:hAnsi="Times New Roman" w:cs="Times New Roman"/>
        </w:rPr>
        <w:t xml:space="preserve">pp. </w:t>
      </w:r>
      <w:r w:rsidRPr="00B11003">
        <w:rPr>
          <w:rFonts w:ascii="Times New Roman" w:hAnsi="Times New Roman" w:cs="Times New Roman"/>
          <w:color w:val="000000" w:themeColor="text1"/>
        </w:rPr>
        <w:t>106-107 ; Dans le cadre des travaux préparatoires de la révision de la partie générale du Code pénal entré en vigueur au 1</w:t>
      </w:r>
      <w:r w:rsidRPr="00B11003">
        <w:rPr>
          <w:rFonts w:ascii="Times New Roman" w:hAnsi="Times New Roman" w:cs="Times New Roman"/>
          <w:color w:val="000000" w:themeColor="text1"/>
          <w:vertAlign w:val="superscript"/>
        </w:rPr>
        <w:t>er</w:t>
      </w:r>
      <w:r w:rsidRPr="00B11003">
        <w:rPr>
          <w:rFonts w:ascii="Times New Roman" w:hAnsi="Times New Roman" w:cs="Times New Roman"/>
          <w:color w:val="000000" w:themeColor="text1"/>
        </w:rPr>
        <w:t xml:space="preserve"> janvier 2007, une commission d’experts avait évoqué l’idée d’inclure une disposition réglant les moyens de contrainte au niveau du droit pénitentiaire. </w:t>
      </w:r>
      <w:r w:rsidR="00C305F5" w:rsidRPr="00B11003">
        <w:rPr>
          <w:rFonts w:ascii="Times New Roman" w:hAnsi="Times New Roman" w:cs="Times New Roman"/>
          <w:color w:val="000000" w:themeColor="text1"/>
        </w:rPr>
        <w:t>E</w:t>
      </w:r>
      <w:r w:rsidRPr="00B11003">
        <w:rPr>
          <w:rFonts w:ascii="Times New Roman" w:hAnsi="Times New Roman" w:cs="Times New Roman"/>
          <w:color w:val="000000" w:themeColor="text1"/>
        </w:rPr>
        <w:t xml:space="preserve">n raison de la complexité de la question, ce projet n’a pas abouti. </w:t>
      </w:r>
      <w:r w:rsidRPr="00B11003">
        <w:rPr>
          <w:rFonts w:ascii="Times New Roman" w:hAnsi="Times New Roman" w:cs="Times New Roman"/>
          <w:color w:val="000000" w:themeColor="text1"/>
          <w:lang w:val="de-DE"/>
        </w:rPr>
        <w:t>(</w:t>
      </w:r>
      <w:r w:rsidRPr="00B11003">
        <w:rPr>
          <w:rFonts w:ascii="Times New Roman" w:hAnsi="Times New Roman" w:cs="Times New Roman"/>
          <w:smallCaps/>
          <w:color w:val="000000" w:themeColor="text1"/>
          <w:lang w:val="de-DE"/>
        </w:rPr>
        <w:t>Riklin</w:t>
      </w:r>
      <w:r w:rsidRPr="00B11003">
        <w:rPr>
          <w:rFonts w:ascii="Times New Roman" w:hAnsi="Times New Roman" w:cs="Times New Roman"/>
          <w:color w:val="000000" w:themeColor="text1"/>
          <w:lang w:val="de-DE"/>
        </w:rPr>
        <w:t xml:space="preserve"> Franz, </w:t>
      </w:r>
      <w:r w:rsidR="00C305F5" w:rsidRPr="00B11003">
        <w:rPr>
          <w:rFonts w:ascii="Times New Roman" w:hAnsi="Times New Roman" w:cs="Times New Roman"/>
          <w:lang w:val="de-CH"/>
        </w:rPr>
        <w:t>« </w:t>
      </w:r>
      <w:r w:rsidRPr="00B11003">
        <w:rPr>
          <w:rFonts w:ascii="Times New Roman" w:hAnsi="Times New Roman" w:cs="Times New Roman"/>
          <w:color w:val="000000" w:themeColor="text1"/>
          <w:lang w:val="de-DE"/>
        </w:rPr>
        <w:t>Zwangsmassnahmen im Bereich der Gesundheitsfürsorge</w:t>
      </w:r>
      <w:r w:rsidR="00C305F5" w:rsidRPr="00B11003">
        <w:rPr>
          <w:rFonts w:ascii="Times New Roman" w:hAnsi="Times New Roman" w:cs="Times New Roman"/>
          <w:color w:val="000000" w:themeColor="text1"/>
          <w:lang w:val="de-DE"/>
        </w:rPr>
        <w:t xml:space="preserve"> </w:t>
      </w:r>
      <w:r w:rsidR="00C305F5" w:rsidRPr="00B11003">
        <w:rPr>
          <w:rFonts w:ascii="Times New Roman" w:hAnsi="Times New Roman" w:cs="Times New Roman"/>
          <w:lang w:val="de-CH"/>
        </w:rPr>
        <w:t>»,</w:t>
      </w:r>
      <w:r w:rsidRPr="00B11003">
        <w:rPr>
          <w:rFonts w:ascii="Times New Roman" w:hAnsi="Times New Roman" w:cs="Times New Roman"/>
          <w:color w:val="000000" w:themeColor="text1"/>
          <w:lang w:val="de-DE"/>
        </w:rPr>
        <w:t xml:space="preserve"> </w:t>
      </w:r>
      <w:r w:rsidRPr="00B11003">
        <w:rPr>
          <w:rFonts w:ascii="Times New Roman" w:hAnsi="Times New Roman" w:cs="Times New Roman"/>
          <w:i/>
          <w:color w:val="000000" w:themeColor="text1"/>
          <w:lang w:val="de-DE"/>
        </w:rPr>
        <w:t>in</w:t>
      </w:r>
      <w:r w:rsidR="00C305F5" w:rsidRPr="00B11003">
        <w:rPr>
          <w:rFonts w:ascii="Times New Roman" w:hAnsi="Times New Roman" w:cs="Times New Roman"/>
          <w:iCs/>
          <w:color w:val="000000" w:themeColor="text1"/>
          <w:lang w:val="de-DE"/>
        </w:rPr>
        <w:t xml:space="preserve"> </w:t>
      </w:r>
      <w:r w:rsidR="00C305F5" w:rsidRPr="00B11003">
        <w:rPr>
          <w:rFonts w:ascii="Times New Roman" w:hAnsi="Times New Roman" w:cs="Times New Roman"/>
          <w:smallCaps/>
          <w:color w:val="000000" w:themeColor="text1"/>
          <w:lang w:val="de-DE"/>
        </w:rPr>
        <w:t>Queloz</w:t>
      </w:r>
      <w:r w:rsidR="00C305F5" w:rsidRPr="00B11003">
        <w:rPr>
          <w:rFonts w:ascii="Times New Roman" w:hAnsi="Times New Roman" w:cs="Times New Roman"/>
          <w:color w:val="000000" w:themeColor="text1"/>
          <w:lang w:val="de-DE"/>
        </w:rPr>
        <w:t xml:space="preserve"> N./</w:t>
      </w:r>
      <w:r w:rsidR="00C305F5" w:rsidRPr="00B11003">
        <w:rPr>
          <w:rFonts w:ascii="Times New Roman" w:hAnsi="Times New Roman" w:cs="Times New Roman"/>
          <w:smallCaps/>
          <w:color w:val="000000" w:themeColor="text1"/>
          <w:lang w:val="de-DE"/>
        </w:rPr>
        <w:t>Riklin</w:t>
      </w:r>
      <w:r w:rsidR="00C305F5" w:rsidRPr="00B11003">
        <w:rPr>
          <w:rFonts w:ascii="Times New Roman" w:hAnsi="Times New Roman" w:cs="Times New Roman"/>
          <w:color w:val="000000" w:themeColor="text1"/>
          <w:lang w:val="de-DE"/>
        </w:rPr>
        <w:t xml:space="preserve"> F./</w:t>
      </w:r>
      <w:r w:rsidR="00C305F5" w:rsidRPr="00B11003">
        <w:rPr>
          <w:rFonts w:ascii="Times New Roman" w:hAnsi="Times New Roman" w:cs="Times New Roman"/>
          <w:smallCaps/>
          <w:color w:val="000000" w:themeColor="text1"/>
          <w:lang w:val="de-DE"/>
        </w:rPr>
        <w:t>Senn</w:t>
      </w:r>
      <w:r w:rsidR="00C305F5" w:rsidRPr="00B11003">
        <w:rPr>
          <w:rFonts w:ascii="Times New Roman" w:hAnsi="Times New Roman" w:cs="Times New Roman"/>
          <w:color w:val="000000" w:themeColor="text1"/>
          <w:lang w:val="de-DE"/>
        </w:rPr>
        <w:t xml:space="preserve"> A./</w:t>
      </w:r>
      <w:r w:rsidR="00C305F5" w:rsidRPr="00B11003">
        <w:rPr>
          <w:rFonts w:ascii="Times New Roman" w:hAnsi="Times New Roman" w:cs="Times New Roman"/>
          <w:smallCaps/>
          <w:color w:val="000000" w:themeColor="text1"/>
          <w:lang w:val="de-DE"/>
        </w:rPr>
        <w:t>Se Sinner</w:t>
      </w:r>
      <w:r w:rsidR="00C305F5" w:rsidRPr="00B11003">
        <w:rPr>
          <w:rFonts w:ascii="Times New Roman" w:hAnsi="Times New Roman" w:cs="Times New Roman"/>
          <w:color w:val="000000" w:themeColor="text1"/>
          <w:lang w:val="de-DE"/>
        </w:rPr>
        <w:t xml:space="preserve"> P. </w:t>
      </w:r>
      <w:r w:rsidR="00C305F5" w:rsidRPr="00B11003">
        <w:rPr>
          <w:rFonts w:ascii="Times New Roman" w:hAnsi="Times New Roman" w:cs="Times New Roman"/>
          <w:lang w:val="de-CH"/>
        </w:rPr>
        <w:t>(éd.),</w:t>
      </w:r>
      <w:r w:rsidRPr="00B11003">
        <w:rPr>
          <w:rFonts w:ascii="Times New Roman" w:hAnsi="Times New Roman" w:cs="Times New Roman"/>
          <w:i/>
          <w:color w:val="000000" w:themeColor="text1"/>
          <w:lang w:val="de-DE"/>
        </w:rPr>
        <w:t xml:space="preserve"> </w:t>
      </w:r>
      <w:r w:rsidRPr="00B11003">
        <w:rPr>
          <w:rFonts w:ascii="Times New Roman" w:hAnsi="Times New Roman" w:cs="Times New Roman"/>
          <w:i/>
          <w:iCs/>
          <w:color w:val="000000" w:themeColor="text1"/>
          <w:lang w:val="de-DE"/>
        </w:rPr>
        <w:t>Médecine et détention</w:t>
      </w:r>
      <w:r w:rsidR="00C305F5" w:rsidRPr="00B11003">
        <w:rPr>
          <w:rFonts w:ascii="Times New Roman" w:hAnsi="Times New Roman" w:cs="Times New Roman"/>
          <w:color w:val="000000" w:themeColor="text1"/>
          <w:lang w:val="de-DE"/>
        </w:rPr>
        <w:t xml:space="preserve">, </w:t>
      </w:r>
      <w:r w:rsidRPr="00B11003">
        <w:rPr>
          <w:rFonts w:ascii="Times New Roman" w:hAnsi="Times New Roman" w:cs="Times New Roman"/>
          <w:color w:val="000000" w:themeColor="text1"/>
          <w:lang w:val="de-DE"/>
        </w:rPr>
        <w:t>Berne</w:t>
      </w:r>
      <w:r w:rsidR="00C305F5" w:rsidRPr="00B11003">
        <w:rPr>
          <w:rFonts w:ascii="Times New Roman" w:hAnsi="Times New Roman" w:cs="Times New Roman"/>
          <w:color w:val="000000" w:themeColor="text1"/>
          <w:lang w:val="de-DE"/>
        </w:rPr>
        <w:t xml:space="preserve">, </w:t>
      </w:r>
      <w:r w:rsidRPr="00B11003">
        <w:rPr>
          <w:rFonts w:ascii="Times New Roman" w:hAnsi="Times New Roman" w:cs="Times New Roman"/>
          <w:color w:val="000000" w:themeColor="text1"/>
          <w:lang w:val="de-DE"/>
        </w:rPr>
        <w:t>Stämpfli</w:t>
      </w:r>
      <w:r w:rsidR="00C305F5" w:rsidRPr="00B11003">
        <w:rPr>
          <w:rFonts w:ascii="Times New Roman" w:hAnsi="Times New Roman" w:cs="Times New Roman"/>
          <w:color w:val="000000" w:themeColor="text1"/>
          <w:lang w:val="de-DE"/>
        </w:rPr>
        <w:t>,</w:t>
      </w:r>
      <w:r w:rsidRPr="00B11003">
        <w:rPr>
          <w:rFonts w:ascii="Times New Roman" w:hAnsi="Times New Roman" w:cs="Times New Roman"/>
          <w:color w:val="000000" w:themeColor="text1"/>
          <w:lang w:val="de-DE"/>
        </w:rPr>
        <w:t xml:space="preserve"> 2002, p. 58</w:t>
      </w:r>
      <w:r w:rsidR="00763F24" w:rsidRPr="00B11003">
        <w:rPr>
          <w:rFonts w:ascii="Times New Roman" w:hAnsi="Times New Roman" w:cs="Times New Roman"/>
          <w:color w:val="000000" w:themeColor="text1"/>
          <w:lang w:val="de-DE"/>
        </w:rPr>
        <w:t>)</w:t>
      </w:r>
      <w:r w:rsidR="00C305F5" w:rsidRPr="00B11003">
        <w:rPr>
          <w:rFonts w:ascii="Times New Roman" w:hAnsi="Times New Roman" w:cs="Times New Roman"/>
          <w:color w:val="000000" w:themeColor="text1"/>
          <w:lang w:val="de-DE"/>
        </w:rPr>
        <w:t>.</w:t>
      </w:r>
    </w:p>
  </w:footnote>
  <w:footnote w:id="21">
    <w:p w14:paraId="0AFE9EFB" w14:textId="6F0B063C" w:rsidR="00157A64" w:rsidRPr="00B11003" w:rsidRDefault="00157A64" w:rsidP="00B11003">
      <w:pPr>
        <w:pStyle w:val="Notedebasdepage"/>
        <w:jc w:val="both"/>
        <w:rPr>
          <w:rFonts w:ascii="Times New Roman" w:hAnsi="Times New Roman" w:cs="Times New Roman"/>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763F24" w:rsidRPr="00B11003">
        <w:rPr>
          <w:rFonts w:ascii="Times New Roman" w:hAnsi="Times New Roman" w:cs="Times New Roman"/>
        </w:rPr>
        <w:t xml:space="preserve">Office fédéral de la statistique, </w:t>
      </w:r>
      <w:r w:rsidR="00763F24" w:rsidRPr="00B11003">
        <w:rPr>
          <w:rFonts w:ascii="Times New Roman" w:hAnsi="Times New Roman" w:cs="Times New Roman"/>
          <w:i/>
          <w:iCs/>
        </w:rPr>
        <w:t>Catalogue des Établissements pénitentiaires</w:t>
      </w:r>
      <w:r w:rsidR="00763F24" w:rsidRPr="00B11003">
        <w:rPr>
          <w:rFonts w:ascii="Times New Roman" w:hAnsi="Times New Roman" w:cs="Times New Roman"/>
        </w:rPr>
        <w:t xml:space="preserve">, 2020, </w:t>
      </w:r>
      <w:r w:rsidRPr="00B11003">
        <w:rPr>
          <w:rFonts w:ascii="Times New Roman" w:hAnsi="Times New Roman" w:cs="Times New Roman"/>
        </w:rPr>
        <w:t>p.</w:t>
      </w:r>
      <w:r w:rsidR="00763F24" w:rsidRPr="00B11003">
        <w:rPr>
          <w:rFonts w:ascii="Times New Roman" w:hAnsi="Times New Roman" w:cs="Times New Roman"/>
        </w:rPr>
        <w:t xml:space="preserve"> </w:t>
      </w:r>
      <w:r w:rsidRPr="00B11003">
        <w:rPr>
          <w:rFonts w:ascii="Times New Roman" w:hAnsi="Times New Roman" w:cs="Times New Roman"/>
        </w:rPr>
        <w:t>40 et p. 82.</w:t>
      </w:r>
    </w:p>
  </w:footnote>
  <w:footnote w:id="22">
    <w:p w14:paraId="7316C07A" w14:textId="21D838CD" w:rsidR="00157A64" w:rsidRPr="00B11003" w:rsidRDefault="00157A64"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CNPT</w:t>
      </w:r>
      <w:r w:rsidR="00763F24" w:rsidRPr="00B11003">
        <w:rPr>
          <w:rFonts w:ascii="Times New Roman" w:hAnsi="Times New Roman" w:cs="Times New Roman"/>
          <w:lang w:val="fr-CH"/>
        </w:rPr>
        <w:t>,</w:t>
      </w:r>
      <w:r w:rsidRPr="00B11003">
        <w:rPr>
          <w:rFonts w:ascii="Times New Roman" w:hAnsi="Times New Roman" w:cs="Times New Roman"/>
          <w:lang w:val="fr-CH"/>
        </w:rPr>
        <w:t xml:space="preserve"> </w:t>
      </w:r>
      <w:r w:rsidR="00763F24" w:rsidRPr="00B11003">
        <w:rPr>
          <w:rFonts w:ascii="Times New Roman" w:hAnsi="Times New Roman" w:cs="Times New Roman"/>
          <w:i/>
          <w:iCs/>
          <w:lang w:val="fr-CH"/>
        </w:rPr>
        <w:t>Visite de suivi dans l’établissement pénitentiaire fermé de Curabilis</w:t>
      </w:r>
      <w:r w:rsidR="00763F24" w:rsidRPr="00B11003">
        <w:rPr>
          <w:rFonts w:ascii="Times New Roman" w:hAnsi="Times New Roman" w:cs="Times New Roman"/>
          <w:lang w:val="fr-CH"/>
        </w:rPr>
        <w:t xml:space="preserve">, 17 février </w:t>
      </w:r>
      <w:r w:rsidRPr="00B11003">
        <w:rPr>
          <w:rFonts w:ascii="Times New Roman" w:hAnsi="Times New Roman" w:cs="Times New Roman"/>
          <w:lang w:val="fr-CH"/>
        </w:rPr>
        <w:t>2020</w:t>
      </w:r>
      <w:r w:rsidR="00763F24" w:rsidRPr="00B11003">
        <w:rPr>
          <w:rFonts w:ascii="Times New Roman" w:hAnsi="Times New Roman" w:cs="Times New Roman"/>
          <w:lang w:val="fr-CH"/>
        </w:rPr>
        <w:t>, par. 7</w:t>
      </w:r>
      <w:r w:rsidRPr="00B11003">
        <w:rPr>
          <w:rFonts w:ascii="Times New Roman" w:hAnsi="Times New Roman" w:cs="Times New Roman"/>
          <w:lang w:val="fr-CH"/>
        </w:rPr>
        <w:t xml:space="preserve"> ; </w:t>
      </w:r>
      <w:r w:rsidRPr="00B11003">
        <w:rPr>
          <w:rFonts w:ascii="Times New Roman" w:hAnsi="Times New Roman" w:cs="Times New Roman"/>
        </w:rPr>
        <w:t>CNPT</w:t>
      </w:r>
      <w:r w:rsidR="00763F24" w:rsidRPr="00B11003">
        <w:rPr>
          <w:rFonts w:ascii="Times New Roman" w:hAnsi="Times New Roman" w:cs="Times New Roman"/>
        </w:rPr>
        <w:t xml:space="preserve">, </w:t>
      </w:r>
      <w:r w:rsidR="00763F24" w:rsidRPr="00B11003">
        <w:rPr>
          <w:rFonts w:ascii="Times New Roman" w:hAnsi="Times New Roman" w:cs="Times New Roman"/>
          <w:i/>
          <w:iCs/>
        </w:rPr>
        <w:t xml:space="preserve">Rapport visite aux </w:t>
      </w:r>
      <w:r w:rsidR="00BF27B5" w:rsidRPr="00B11003">
        <w:rPr>
          <w:rFonts w:ascii="Times New Roman" w:hAnsi="Times New Roman" w:cs="Times New Roman"/>
          <w:i/>
          <w:iCs/>
        </w:rPr>
        <w:t>EPO</w:t>
      </w:r>
      <w:r w:rsidR="00763F24" w:rsidRPr="00B11003">
        <w:rPr>
          <w:rFonts w:ascii="Times New Roman" w:hAnsi="Times New Roman" w:cs="Times New Roman"/>
        </w:rPr>
        <w:t>, 10 décembre 2013,</w:t>
      </w:r>
      <w:r w:rsidRPr="00B11003">
        <w:rPr>
          <w:rFonts w:ascii="Times New Roman" w:hAnsi="Times New Roman" w:cs="Times New Roman"/>
        </w:rPr>
        <w:t xml:space="preserve"> </w:t>
      </w:r>
      <w:r w:rsidR="00763F24" w:rsidRPr="00B11003">
        <w:rPr>
          <w:rFonts w:ascii="Times New Roman" w:hAnsi="Times New Roman" w:cs="Times New Roman"/>
          <w:lang w:val="fr-CH"/>
        </w:rPr>
        <w:t>par.</w:t>
      </w:r>
      <w:r w:rsidRPr="00B11003">
        <w:rPr>
          <w:rFonts w:ascii="Times New Roman" w:hAnsi="Times New Roman" w:cs="Times New Roman"/>
        </w:rPr>
        <w:t xml:space="preserve"> 69.</w:t>
      </w:r>
    </w:p>
  </w:footnote>
  <w:footnote w:id="23">
    <w:p w14:paraId="4AE30261" w14:textId="3CA47B41" w:rsidR="00157A64" w:rsidRPr="00B11003" w:rsidRDefault="00157A64"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325D83" w:rsidRPr="00B11003">
        <w:rPr>
          <w:rFonts w:ascii="Times New Roman" w:hAnsi="Times New Roman" w:cs="Times New Roman"/>
          <w:i/>
          <w:iCs/>
        </w:rPr>
        <w:t>Ibid</w:t>
      </w:r>
      <w:r w:rsidR="00763F24" w:rsidRPr="00B11003">
        <w:rPr>
          <w:rFonts w:ascii="Times New Roman" w:hAnsi="Times New Roman" w:cs="Times New Roman"/>
        </w:rPr>
        <w:t xml:space="preserve">, </w:t>
      </w:r>
      <w:r w:rsidR="00763F24" w:rsidRPr="00B11003">
        <w:rPr>
          <w:rFonts w:ascii="Times New Roman" w:hAnsi="Times New Roman" w:cs="Times New Roman"/>
          <w:lang w:val="fr-CH"/>
        </w:rPr>
        <w:t>par.</w:t>
      </w:r>
      <w:r w:rsidR="00763F24" w:rsidRPr="00B11003">
        <w:rPr>
          <w:rFonts w:ascii="Times New Roman" w:hAnsi="Times New Roman" w:cs="Times New Roman"/>
        </w:rPr>
        <w:t xml:space="preserve"> </w:t>
      </w:r>
      <w:r w:rsidRPr="00B11003">
        <w:rPr>
          <w:rFonts w:ascii="Times New Roman" w:hAnsi="Times New Roman" w:cs="Times New Roman"/>
        </w:rPr>
        <w:t>68-69.</w:t>
      </w:r>
    </w:p>
  </w:footnote>
  <w:footnote w:id="24">
    <w:p w14:paraId="01DF1909" w14:textId="69F5F582" w:rsidR="00157A64" w:rsidRPr="00B11003" w:rsidRDefault="00157A64" w:rsidP="00B11003">
      <w:pPr>
        <w:pStyle w:val="Commentaire"/>
        <w:jc w:val="both"/>
        <w:rPr>
          <w:rFonts w:ascii="Times New Roman" w:hAnsi="Times New Roman" w:cs="Times New Roman"/>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E64842" w:rsidRPr="00B11003">
        <w:rPr>
          <w:rFonts w:ascii="Times New Roman" w:hAnsi="Times New Roman" w:cs="Times New Roman"/>
        </w:rPr>
        <w:t xml:space="preserve">CourEDH, </w:t>
      </w:r>
      <w:r w:rsidR="00E64842" w:rsidRPr="00B11003">
        <w:rPr>
          <w:rFonts w:ascii="Times New Roman" w:hAnsi="Times New Roman" w:cs="Times New Roman"/>
          <w:i/>
          <w:iCs/>
        </w:rPr>
        <w:t>El Shennawy c. France</w:t>
      </w:r>
      <w:r w:rsidR="00E64842" w:rsidRPr="00B11003">
        <w:rPr>
          <w:rFonts w:ascii="Times New Roman" w:hAnsi="Times New Roman" w:cs="Times New Roman"/>
        </w:rPr>
        <w:t xml:space="preserve">, requête n° 51246/08, </w:t>
      </w:r>
      <w:r w:rsidR="000534E2" w:rsidRPr="00B11003">
        <w:rPr>
          <w:rFonts w:ascii="Times New Roman" w:hAnsi="Times New Roman" w:cs="Times New Roman"/>
        </w:rPr>
        <w:t xml:space="preserve">20 janvier 2011, </w:t>
      </w:r>
      <w:r w:rsidR="00E64842" w:rsidRPr="00B11003">
        <w:rPr>
          <w:rFonts w:ascii="Times New Roman" w:hAnsi="Times New Roman" w:cs="Times New Roman"/>
        </w:rPr>
        <w:t xml:space="preserve">par. 18 et 44 ; </w:t>
      </w:r>
      <w:r w:rsidR="00EE0E90" w:rsidRPr="00B11003">
        <w:rPr>
          <w:rFonts w:ascii="Times New Roman" w:hAnsi="Times New Roman" w:cs="Times New Roman"/>
        </w:rPr>
        <w:t xml:space="preserve">CourEDH, </w:t>
      </w:r>
      <w:r w:rsidRPr="00B11003">
        <w:rPr>
          <w:rFonts w:ascii="Times New Roman" w:hAnsi="Times New Roman" w:cs="Times New Roman"/>
          <w:i/>
          <w:iCs/>
        </w:rPr>
        <w:t>Ciupercescu c. Roumanie</w:t>
      </w:r>
      <w:r w:rsidR="00EE0E90" w:rsidRPr="00B11003">
        <w:rPr>
          <w:rFonts w:ascii="Times New Roman" w:hAnsi="Times New Roman" w:cs="Times New Roman"/>
        </w:rPr>
        <w:t xml:space="preserve">, requête n° </w:t>
      </w:r>
      <w:r w:rsidRPr="00B11003">
        <w:rPr>
          <w:rFonts w:ascii="Times New Roman" w:hAnsi="Times New Roman" w:cs="Times New Roman"/>
        </w:rPr>
        <w:t>35555/03</w:t>
      </w:r>
      <w:r w:rsidR="00EE0E90" w:rsidRPr="00B11003">
        <w:rPr>
          <w:rFonts w:ascii="Times New Roman" w:hAnsi="Times New Roman" w:cs="Times New Roman"/>
        </w:rPr>
        <w:t>,</w:t>
      </w:r>
      <w:r w:rsidR="000534E2" w:rsidRPr="00B11003">
        <w:rPr>
          <w:rFonts w:ascii="Times New Roman" w:hAnsi="Times New Roman" w:cs="Times New Roman"/>
        </w:rPr>
        <w:t xml:space="preserve"> 15 juin 2010, </w:t>
      </w:r>
      <w:r w:rsidRPr="00B11003">
        <w:rPr>
          <w:rFonts w:ascii="Times New Roman" w:hAnsi="Times New Roman" w:cs="Times New Roman"/>
        </w:rPr>
        <w:t xml:space="preserve">par. 122 ; </w:t>
      </w:r>
      <w:r w:rsidR="00E64842" w:rsidRPr="00B11003">
        <w:rPr>
          <w:rFonts w:ascii="Times New Roman" w:hAnsi="Times New Roman" w:cs="Times New Roman"/>
        </w:rPr>
        <w:t xml:space="preserve">CPT, </w:t>
      </w:r>
      <w:r w:rsidR="00E64842" w:rsidRPr="00B11003">
        <w:rPr>
          <w:rFonts w:ascii="Times New Roman" w:hAnsi="Times New Roman" w:cs="Times New Roman"/>
          <w:i/>
          <w:iCs/>
        </w:rPr>
        <w:t>Rapport visite en</w:t>
      </w:r>
      <w:r w:rsidR="00BF27B5" w:rsidRPr="00B11003">
        <w:rPr>
          <w:rFonts w:ascii="Times New Roman" w:hAnsi="Times New Roman" w:cs="Times New Roman"/>
          <w:i/>
          <w:iCs/>
        </w:rPr>
        <w:t xml:space="preserve"> France</w:t>
      </w:r>
      <w:r w:rsidR="00E64842" w:rsidRPr="00B11003">
        <w:rPr>
          <w:rFonts w:ascii="Times New Roman" w:hAnsi="Times New Roman" w:cs="Times New Roman"/>
        </w:rPr>
        <w:t xml:space="preserve">, CPT/Inf (2007)44, 10 décembre 2007, par. 218 ; </w:t>
      </w:r>
      <w:r w:rsidRPr="00B11003">
        <w:rPr>
          <w:rFonts w:ascii="Times New Roman" w:hAnsi="Times New Roman" w:cs="Times New Roman"/>
        </w:rPr>
        <w:t xml:space="preserve">CPT, </w:t>
      </w:r>
      <w:r w:rsidR="00E64842" w:rsidRPr="00B11003">
        <w:rPr>
          <w:rFonts w:ascii="Times New Roman" w:hAnsi="Times New Roman" w:cs="Times New Roman"/>
          <w:i/>
          <w:iCs/>
        </w:rPr>
        <w:t>Rapport visite en France</w:t>
      </w:r>
      <w:r w:rsidRPr="00B11003">
        <w:rPr>
          <w:rFonts w:ascii="Times New Roman" w:hAnsi="Times New Roman" w:cs="Times New Roman"/>
        </w:rPr>
        <w:t xml:space="preserve">, </w:t>
      </w:r>
      <w:r w:rsidR="00E64842" w:rsidRPr="00B11003">
        <w:rPr>
          <w:rFonts w:ascii="Times New Roman" w:hAnsi="Times New Roman" w:cs="Times New Roman"/>
        </w:rPr>
        <w:t>CPT/Inf (2004)6, 31 mars 2004, par. 48.</w:t>
      </w:r>
    </w:p>
  </w:footnote>
  <w:footnote w:id="25">
    <w:p w14:paraId="66D020EB" w14:textId="1BD874F0" w:rsidR="00157A64" w:rsidRPr="00B11003" w:rsidRDefault="00157A64" w:rsidP="00B11003">
      <w:pPr>
        <w:spacing w:line="240" w:lineRule="auto"/>
        <w:jc w:val="both"/>
        <w:rPr>
          <w:rFonts w:ascii="Times New Roman" w:hAnsi="Times New Roman" w:cs="Times New Roman"/>
          <w:i/>
          <w:color w:val="000000" w:themeColor="text1"/>
          <w:sz w:val="20"/>
          <w:szCs w:val="20"/>
          <w:lang w:val="fr-CH"/>
        </w:rPr>
      </w:pPr>
      <w:r w:rsidRPr="00B11003">
        <w:rPr>
          <w:rStyle w:val="Appelnotedebasdep"/>
          <w:rFonts w:ascii="Times New Roman" w:eastAsiaTheme="majorEastAsia" w:hAnsi="Times New Roman" w:cs="Times New Roman"/>
          <w:color w:val="000000" w:themeColor="text1"/>
          <w:sz w:val="20"/>
          <w:szCs w:val="20"/>
          <w:lang w:val="fr-CH"/>
        </w:rPr>
        <w:footnoteRef/>
      </w:r>
      <w:r w:rsidRPr="00B11003">
        <w:rPr>
          <w:rFonts w:ascii="Times New Roman" w:hAnsi="Times New Roman" w:cs="Times New Roman"/>
          <w:color w:val="000000" w:themeColor="text1"/>
          <w:sz w:val="20"/>
          <w:szCs w:val="20"/>
          <w:lang w:val="fr-CH"/>
        </w:rPr>
        <w:t xml:space="preserve"> </w:t>
      </w:r>
      <w:r w:rsidR="00CC3CE0" w:rsidRPr="00B11003">
        <w:rPr>
          <w:rFonts w:ascii="Times New Roman" w:hAnsi="Times New Roman" w:cs="Times New Roman"/>
          <w:sz w:val="20"/>
          <w:szCs w:val="20"/>
          <w:lang w:val="fr-CH"/>
        </w:rPr>
        <w:t xml:space="preserve">CNPT, </w:t>
      </w:r>
      <w:r w:rsidR="00CC3CE0" w:rsidRPr="00B11003">
        <w:rPr>
          <w:rFonts w:ascii="Times New Roman" w:hAnsi="Times New Roman" w:cs="Times New Roman"/>
          <w:i/>
          <w:iCs/>
          <w:sz w:val="20"/>
          <w:szCs w:val="20"/>
          <w:lang w:val="fr-CH"/>
        </w:rPr>
        <w:t>Visite de suivi dans l’établissement pénitentiaire fermé de Curabilis</w:t>
      </w:r>
      <w:r w:rsidR="00CC3CE0" w:rsidRPr="00B11003">
        <w:rPr>
          <w:rFonts w:ascii="Times New Roman" w:hAnsi="Times New Roman" w:cs="Times New Roman"/>
          <w:sz w:val="20"/>
          <w:szCs w:val="20"/>
          <w:lang w:val="fr-CH"/>
        </w:rPr>
        <w:t>, 17 février 2020, par. 7.</w:t>
      </w:r>
    </w:p>
  </w:footnote>
  <w:footnote w:id="26">
    <w:p w14:paraId="598BCF7B" w14:textId="35386EFE" w:rsidR="00157A64" w:rsidRPr="00B11003" w:rsidRDefault="00157A64" w:rsidP="00B11003">
      <w:pPr>
        <w:pStyle w:val="Notedebasdepage"/>
        <w:jc w:val="both"/>
        <w:rPr>
          <w:rFonts w:ascii="Times New Roman" w:hAnsi="Times New Roman" w:cs="Times New Roman"/>
        </w:rPr>
      </w:pPr>
      <w:r w:rsidRPr="00B11003">
        <w:rPr>
          <w:rStyle w:val="Appelnotedebasdep"/>
          <w:rFonts w:ascii="Times New Roman" w:hAnsi="Times New Roman" w:cs="Times New Roman"/>
        </w:rPr>
        <w:footnoteRef/>
      </w:r>
      <w:r w:rsidRPr="00B11003">
        <w:rPr>
          <w:rFonts w:ascii="Times New Roman" w:hAnsi="Times New Roman" w:cs="Times New Roman"/>
          <w:lang w:val="fr-CH"/>
        </w:rPr>
        <w:t xml:space="preserve"> Il s’agit de sections spéciales au sein des </w:t>
      </w:r>
      <w:r w:rsidR="00CC3CE0" w:rsidRPr="00B11003">
        <w:rPr>
          <w:rFonts w:ascii="Times New Roman" w:hAnsi="Times New Roman" w:cs="Times New Roman"/>
          <w:lang w:val="fr-CH"/>
        </w:rPr>
        <w:t>prisons</w:t>
      </w:r>
      <w:r w:rsidRPr="00B11003">
        <w:rPr>
          <w:rFonts w:ascii="Times New Roman" w:hAnsi="Times New Roman" w:cs="Times New Roman"/>
          <w:lang w:val="fr-CH"/>
        </w:rPr>
        <w:t xml:space="preserve"> pour les </w:t>
      </w:r>
      <w:r w:rsidR="00CC3CE0" w:rsidRPr="00B11003">
        <w:rPr>
          <w:rFonts w:ascii="Times New Roman" w:hAnsi="Times New Roman" w:cs="Times New Roman"/>
          <w:lang w:val="fr-CH"/>
        </w:rPr>
        <w:t>personnes détenues</w:t>
      </w:r>
      <w:r w:rsidRPr="00B11003">
        <w:rPr>
          <w:rFonts w:ascii="Times New Roman" w:hAnsi="Times New Roman" w:cs="Times New Roman"/>
          <w:lang w:val="fr-CH"/>
        </w:rPr>
        <w:t xml:space="preserve"> extrêmement violent</w:t>
      </w:r>
      <w:r w:rsidR="00CC3CE0" w:rsidRPr="00B11003">
        <w:rPr>
          <w:rFonts w:ascii="Times New Roman" w:hAnsi="Times New Roman" w:cs="Times New Roman"/>
          <w:lang w:val="fr-CH"/>
        </w:rPr>
        <w:t>e</w:t>
      </w:r>
      <w:r w:rsidRPr="00B11003">
        <w:rPr>
          <w:rFonts w:ascii="Times New Roman" w:hAnsi="Times New Roman" w:cs="Times New Roman"/>
          <w:lang w:val="fr-CH"/>
        </w:rPr>
        <w:t>s</w:t>
      </w:r>
      <w:r w:rsidR="00756641" w:rsidRPr="00B11003">
        <w:rPr>
          <w:rFonts w:ascii="Times New Roman" w:hAnsi="Times New Roman" w:cs="Times New Roman"/>
          <w:lang w:val="fr-CH"/>
        </w:rPr>
        <w:t xml:space="preserve">. </w:t>
      </w:r>
      <w:r w:rsidR="00756641" w:rsidRPr="00B11003">
        <w:rPr>
          <w:rFonts w:ascii="Times New Roman" w:hAnsi="Times New Roman" w:cs="Times New Roman"/>
          <w:smallCaps/>
        </w:rPr>
        <w:t xml:space="preserve">Brägger F. </w:t>
      </w:r>
      <w:r w:rsidR="00756641" w:rsidRPr="00B11003">
        <w:rPr>
          <w:rFonts w:ascii="Times New Roman" w:hAnsi="Times New Roman" w:cs="Times New Roman"/>
        </w:rPr>
        <w:t>Benjamin</w:t>
      </w:r>
      <w:r w:rsidR="00756641" w:rsidRPr="00B11003">
        <w:rPr>
          <w:rFonts w:ascii="Times New Roman" w:hAnsi="Times New Roman" w:cs="Times New Roman"/>
          <w:smallCaps/>
        </w:rPr>
        <w:t>,</w:t>
      </w:r>
      <w:r w:rsidR="00756641" w:rsidRPr="00B11003">
        <w:rPr>
          <w:rFonts w:ascii="Times New Roman" w:hAnsi="Times New Roman" w:cs="Times New Roman"/>
        </w:rPr>
        <w:t xml:space="preserve"> « Lieux de l’exécution des peines privatives de liberté », </w:t>
      </w:r>
      <w:r w:rsidR="00756641" w:rsidRPr="00B11003">
        <w:rPr>
          <w:rFonts w:ascii="Times New Roman" w:hAnsi="Times New Roman" w:cs="Times New Roman"/>
          <w:i/>
          <w:iCs/>
        </w:rPr>
        <w:t xml:space="preserve">in </w:t>
      </w:r>
      <w:r w:rsidR="00756641" w:rsidRPr="00B11003">
        <w:rPr>
          <w:rFonts w:ascii="Times New Roman" w:hAnsi="Times New Roman" w:cs="Times New Roman"/>
        </w:rPr>
        <w:t>B</w:t>
      </w:r>
      <w:r w:rsidR="00756641" w:rsidRPr="00B11003">
        <w:rPr>
          <w:rFonts w:ascii="Times New Roman" w:hAnsi="Times New Roman" w:cs="Times New Roman"/>
          <w:smallCaps/>
        </w:rPr>
        <w:t>rägger</w:t>
      </w:r>
      <w:r w:rsidR="00756641" w:rsidRPr="00B11003">
        <w:rPr>
          <w:rFonts w:ascii="Times New Roman" w:hAnsi="Times New Roman" w:cs="Times New Roman"/>
        </w:rPr>
        <w:t xml:space="preserve"> B. F. et V</w:t>
      </w:r>
      <w:r w:rsidR="00756641" w:rsidRPr="00B11003">
        <w:rPr>
          <w:rFonts w:ascii="Times New Roman" w:hAnsi="Times New Roman" w:cs="Times New Roman"/>
          <w:smallCaps/>
        </w:rPr>
        <w:t>uille</w:t>
      </w:r>
      <w:r w:rsidR="00756641" w:rsidRPr="00B11003">
        <w:rPr>
          <w:rFonts w:ascii="Times New Roman" w:hAnsi="Times New Roman" w:cs="Times New Roman"/>
        </w:rPr>
        <w:t xml:space="preserve"> J. (éd.),</w:t>
      </w:r>
      <w:r w:rsidR="00756641" w:rsidRPr="00B11003">
        <w:rPr>
          <w:rFonts w:ascii="Times New Roman" w:hAnsi="Times New Roman" w:cs="Times New Roman"/>
          <w:i/>
          <w:iCs/>
        </w:rPr>
        <w:t xml:space="preserve"> Lexique pénitentiaire suisse. De l’arrestation provisoire à la libération conditionnelle, </w:t>
      </w:r>
      <w:r w:rsidR="00756641" w:rsidRPr="00B11003">
        <w:rPr>
          <w:rFonts w:ascii="Times New Roman" w:hAnsi="Times New Roman" w:cs="Times New Roman"/>
        </w:rPr>
        <w:t>Bâle, Helbing Lichtenhahn</w:t>
      </w:r>
      <w:r w:rsidR="00756641" w:rsidRPr="00B11003">
        <w:rPr>
          <w:rFonts w:ascii="Times New Roman" w:hAnsi="Times New Roman" w:cs="Times New Roman"/>
          <w:i/>
          <w:iCs/>
        </w:rPr>
        <w:t>,</w:t>
      </w:r>
      <w:r w:rsidR="00756641" w:rsidRPr="00B11003">
        <w:rPr>
          <w:rFonts w:ascii="Times New Roman" w:hAnsi="Times New Roman" w:cs="Times New Roman"/>
        </w:rPr>
        <w:t xml:space="preserve"> 2016, </w:t>
      </w:r>
      <w:r w:rsidR="00756641" w:rsidRPr="00B11003">
        <w:rPr>
          <w:rFonts w:ascii="Times New Roman" w:hAnsi="Times New Roman" w:cs="Times New Roman"/>
          <w:color w:val="000000" w:themeColor="text1"/>
        </w:rPr>
        <w:t>p. 360.</w:t>
      </w:r>
    </w:p>
  </w:footnote>
  <w:footnote w:id="27">
    <w:p w14:paraId="63A3990B" w14:textId="520C088C" w:rsidR="00157A64" w:rsidRPr="00B11003" w:rsidRDefault="00157A64" w:rsidP="00B11003">
      <w:pPr>
        <w:pStyle w:val="Notedebasdepage"/>
        <w:jc w:val="both"/>
        <w:rPr>
          <w:rFonts w:ascii="Times New Roman" w:hAnsi="Times New Roman" w:cs="Times New Roman"/>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6260B3">
        <w:rPr>
          <w:rFonts w:ascii="Times New Roman" w:hAnsi="Times New Roman" w:cs="Times New Roman"/>
        </w:rPr>
        <w:t>Ces</w:t>
      </w:r>
      <w:r w:rsidRPr="00B11003">
        <w:rPr>
          <w:rFonts w:ascii="Times New Roman" w:hAnsi="Times New Roman" w:cs="Times New Roman"/>
        </w:rPr>
        <w:t xml:space="preserve"> établissements accueillant tant des personnes condamnées à une peine privatives de liberté que celles soumises à une mesure ou internées</w:t>
      </w:r>
      <w:r w:rsidR="00756641" w:rsidRPr="00B11003">
        <w:rPr>
          <w:rFonts w:ascii="Times New Roman" w:hAnsi="Times New Roman" w:cs="Times New Roman"/>
        </w:rPr>
        <w:t xml:space="preserve">. </w:t>
      </w:r>
      <w:r w:rsidR="00D43D96" w:rsidRPr="00B11003">
        <w:rPr>
          <w:rFonts w:ascii="Times New Roman" w:hAnsi="Times New Roman" w:cs="Times New Roman"/>
        </w:rPr>
        <w:t xml:space="preserve">Office fédéral de la statistique, </w:t>
      </w:r>
      <w:r w:rsidR="00D43D96" w:rsidRPr="00B11003">
        <w:rPr>
          <w:rFonts w:ascii="Times New Roman" w:hAnsi="Times New Roman" w:cs="Times New Roman"/>
          <w:i/>
          <w:iCs/>
        </w:rPr>
        <w:t>Catalogue des Établissements pénitentiaires</w:t>
      </w:r>
      <w:r w:rsidR="00D43D96" w:rsidRPr="00B11003">
        <w:rPr>
          <w:rFonts w:ascii="Times New Roman" w:hAnsi="Times New Roman" w:cs="Times New Roman"/>
        </w:rPr>
        <w:t>, 2020,</w:t>
      </w:r>
      <w:r w:rsidR="00756641" w:rsidRPr="00B11003">
        <w:rPr>
          <w:rFonts w:ascii="Times New Roman" w:hAnsi="Times New Roman" w:cs="Times New Roman"/>
        </w:rPr>
        <w:t xml:space="preserve"> p</w:t>
      </w:r>
      <w:r w:rsidR="00D43D96" w:rsidRPr="00B11003">
        <w:rPr>
          <w:rFonts w:ascii="Times New Roman" w:hAnsi="Times New Roman" w:cs="Times New Roman"/>
        </w:rPr>
        <w:t>p</w:t>
      </w:r>
      <w:r w:rsidR="00756641" w:rsidRPr="00B11003">
        <w:rPr>
          <w:rFonts w:ascii="Times New Roman" w:hAnsi="Times New Roman" w:cs="Times New Roman"/>
        </w:rPr>
        <w:t>.</w:t>
      </w:r>
      <w:r w:rsidR="00D43D96" w:rsidRPr="00B11003">
        <w:rPr>
          <w:rFonts w:ascii="Times New Roman" w:hAnsi="Times New Roman" w:cs="Times New Roman"/>
        </w:rPr>
        <w:t>10-11 et p.</w:t>
      </w:r>
      <w:r w:rsidR="00756641" w:rsidRPr="00B11003">
        <w:rPr>
          <w:rFonts w:ascii="Times New Roman" w:hAnsi="Times New Roman" w:cs="Times New Roman"/>
        </w:rPr>
        <w:t xml:space="preserve"> 20. </w:t>
      </w:r>
    </w:p>
  </w:footnote>
  <w:footnote w:id="28">
    <w:p w14:paraId="16332266" w14:textId="6F784578" w:rsidR="00157A64" w:rsidRPr="00B11003" w:rsidRDefault="00157A64" w:rsidP="00B11003">
      <w:pPr>
        <w:pStyle w:val="Notedebasdepage"/>
        <w:jc w:val="both"/>
        <w:rPr>
          <w:rFonts w:ascii="Times New Roman" w:hAnsi="Times New Roman" w:cs="Times New Roman"/>
        </w:rPr>
      </w:pPr>
      <w:r w:rsidRPr="00B11003">
        <w:rPr>
          <w:rStyle w:val="Appelnotedebasdep"/>
          <w:rFonts w:ascii="Times New Roman" w:eastAsiaTheme="majorEastAsia" w:hAnsi="Times New Roman" w:cs="Times New Roman"/>
        </w:rPr>
        <w:footnoteRef/>
      </w:r>
      <w:r w:rsidRPr="00B11003">
        <w:rPr>
          <w:rFonts w:ascii="Times New Roman" w:hAnsi="Times New Roman" w:cs="Times New Roman"/>
        </w:rPr>
        <w:t xml:space="preserve"> </w:t>
      </w:r>
      <w:r w:rsidR="00D43D96" w:rsidRPr="00B11003">
        <w:rPr>
          <w:rFonts w:ascii="Times New Roman" w:hAnsi="Times New Roman" w:cs="Times New Roman"/>
        </w:rPr>
        <w:t xml:space="preserve">CPT, </w:t>
      </w:r>
      <w:r w:rsidR="00D43D96" w:rsidRPr="00B11003">
        <w:rPr>
          <w:rFonts w:ascii="Times New Roman" w:hAnsi="Times New Roman" w:cs="Times New Roman"/>
          <w:i/>
          <w:iCs/>
        </w:rPr>
        <w:t>Rapport visite en Suisse</w:t>
      </w:r>
      <w:r w:rsidR="00D43D96" w:rsidRPr="00B11003">
        <w:rPr>
          <w:rFonts w:ascii="Times New Roman" w:hAnsi="Times New Roman" w:cs="Times New Roman"/>
        </w:rPr>
        <w:t>, CPT/Inf (2016)18, 23 juin 2016, par.</w:t>
      </w:r>
      <w:r w:rsidRPr="00B11003">
        <w:rPr>
          <w:rFonts w:ascii="Times New Roman" w:hAnsi="Times New Roman" w:cs="Times New Roman"/>
        </w:rPr>
        <w:t xml:space="preserve"> 117.</w:t>
      </w:r>
    </w:p>
  </w:footnote>
  <w:footnote w:id="29">
    <w:p w14:paraId="42BB7002" w14:textId="6B64B5EC" w:rsidR="00157A64" w:rsidRPr="00B11003" w:rsidRDefault="00157A64" w:rsidP="00B11003">
      <w:pPr>
        <w:pStyle w:val="Notedebasdepage"/>
        <w:jc w:val="both"/>
        <w:rPr>
          <w:rFonts w:ascii="Times New Roman" w:hAnsi="Times New Roman" w:cs="Times New Roman"/>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325D83" w:rsidRPr="00B11003">
        <w:rPr>
          <w:rFonts w:ascii="Times New Roman" w:hAnsi="Times New Roman" w:cs="Times New Roman"/>
          <w:i/>
          <w:iCs/>
        </w:rPr>
        <w:t>Ibid</w:t>
      </w:r>
      <w:r w:rsidR="00D43D96" w:rsidRPr="00B11003">
        <w:rPr>
          <w:rFonts w:ascii="Times New Roman" w:hAnsi="Times New Roman" w:cs="Times New Roman"/>
        </w:rPr>
        <w:t>, par. 116.</w:t>
      </w:r>
    </w:p>
  </w:footnote>
  <w:footnote w:id="30">
    <w:p w14:paraId="2BC4C51C" w14:textId="1198B9C1" w:rsidR="00157A64" w:rsidRPr="00B11003" w:rsidRDefault="00157A64"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Règles Nelson Mandela</w:t>
      </w:r>
      <w:r w:rsidR="00D43D96" w:rsidRPr="00B11003">
        <w:rPr>
          <w:rFonts w:ascii="Times New Roman" w:hAnsi="Times New Roman" w:cs="Times New Roman"/>
          <w:lang w:val="fr-CH"/>
        </w:rPr>
        <w:t xml:space="preserve"> (Règle 47.1) ; Règles pénitentiaires européennes (</w:t>
      </w:r>
      <w:r w:rsidRPr="00B11003">
        <w:rPr>
          <w:rFonts w:ascii="Times New Roman" w:hAnsi="Times New Roman" w:cs="Times New Roman"/>
          <w:lang w:val="fr-CH"/>
        </w:rPr>
        <w:t>Règle 68.4</w:t>
      </w:r>
      <w:r w:rsidR="00D43D96" w:rsidRPr="00B11003">
        <w:rPr>
          <w:rFonts w:ascii="Times New Roman" w:hAnsi="Times New Roman" w:cs="Times New Roman"/>
          <w:lang w:val="fr-CH"/>
        </w:rPr>
        <w:t>).</w:t>
      </w:r>
    </w:p>
  </w:footnote>
  <w:footnote w:id="31">
    <w:p w14:paraId="36CA887B" w14:textId="47AA0DE6" w:rsidR="00157A64" w:rsidRPr="00B11003" w:rsidRDefault="00157A64"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D43D96" w:rsidRPr="00B11003">
        <w:rPr>
          <w:rFonts w:ascii="Times New Roman" w:hAnsi="Times New Roman" w:cs="Times New Roman"/>
          <w:lang w:val="fr-CH"/>
        </w:rPr>
        <w:t>Règles pénitentiaires européennes (</w:t>
      </w:r>
      <w:r w:rsidRPr="00B11003">
        <w:rPr>
          <w:rFonts w:ascii="Times New Roman" w:hAnsi="Times New Roman" w:cs="Times New Roman"/>
          <w:lang w:val="fr-CH"/>
        </w:rPr>
        <w:t>Règles 68.1, 68.2 et 66.3</w:t>
      </w:r>
      <w:r w:rsidR="00D43D96" w:rsidRPr="00B11003">
        <w:rPr>
          <w:rFonts w:ascii="Times New Roman" w:hAnsi="Times New Roman" w:cs="Times New Roman"/>
          <w:lang w:val="fr-CH"/>
        </w:rPr>
        <w:t>)</w:t>
      </w:r>
      <w:r w:rsidRPr="00B11003">
        <w:rPr>
          <w:rFonts w:ascii="Times New Roman" w:hAnsi="Times New Roman" w:cs="Times New Roman"/>
          <w:lang w:val="fr-CH"/>
        </w:rPr>
        <w:t xml:space="preserve"> ; </w:t>
      </w:r>
      <w:r w:rsidR="00D43D96" w:rsidRPr="00B11003">
        <w:rPr>
          <w:rFonts w:ascii="Times New Roman" w:hAnsi="Times New Roman" w:cs="Times New Roman"/>
          <w:lang w:val="fr-CH"/>
        </w:rPr>
        <w:t xml:space="preserve">CourEDH, </w:t>
      </w:r>
      <w:r w:rsidRPr="00B11003">
        <w:rPr>
          <w:rFonts w:ascii="Times New Roman" w:hAnsi="Times New Roman" w:cs="Times New Roman"/>
          <w:i/>
          <w:iCs/>
        </w:rPr>
        <w:t>Kaverzin c</w:t>
      </w:r>
      <w:r w:rsidR="00D43D96" w:rsidRPr="00B11003">
        <w:rPr>
          <w:rFonts w:ascii="Times New Roman" w:hAnsi="Times New Roman" w:cs="Times New Roman"/>
          <w:i/>
          <w:iCs/>
        </w:rPr>
        <w:t>.</w:t>
      </w:r>
      <w:r w:rsidRPr="00B11003">
        <w:rPr>
          <w:rFonts w:ascii="Times New Roman" w:hAnsi="Times New Roman" w:cs="Times New Roman"/>
          <w:i/>
          <w:iCs/>
        </w:rPr>
        <w:t xml:space="preserve"> Ukraine</w:t>
      </w:r>
      <w:r w:rsidRPr="00B11003">
        <w:rPr>
          <w:rFonts w:ascii="Times New Roman" w:hAnsi="Times New Roman" w:cs="Times New Roman"/>
        </w:rPr>
        <w:t xml:space="preserve">, </w:t>
      </w:r>
      <w:r w:rsidR="000534E2" w:rsidRPr="00B11003">
        <w:rPr>
          <w:rFonts w:ascii="Times New Roman" w:hAnsi="Times New Roman" w:cs="Times New Roman"/>
        </w:rPr>
        <w:t xml:space="preserve">requête n° </w:t>
      </w:r>
      <w:r w:rsidR="00D43D96" w:rsidRPr="00B11003">
        <w:rPr>
          <w:rFonts w:ascii="Times New Roman" w:hAnsi="Times New Roman" w:cs="Times New Roman"/>
        </w:rPr>
        <w:t xml:space="preserve">23893/03, 15 mai 2012, </w:t>
      </w:r>
      <w:r w:rsidRPr="00B11003">
        <w:rPr>
          <w:rFonts w:ascii="Times New Roman" w:hAnsi="Times New Roman" w:cs="Times New Roman"/>
        </w:rPr>
        <w:t>par. 162.</w:t>
      </w:r>
    </w:p>
  </w:footnote>
  <w:footnote w:id="32">
    <w:p w14:paraId="12E2B133" w14:textId="624211E1" w:rsidR="00157A64" w:rsidRPr="00B11003" w:rsidRDefault="00157A64" w:rsidP="00B11003">
      <w:pPr>
        <w:pStyle w:val="Notedebasdepage"/>
        <w:jc w:val="both"/>
        <w:rPr>
          <w:rFonts w:ascii="Times New Roman" w:hAnsi="Times New Roman" w:cs="Times New Roman"/>
        </w:rPr>
      </w:pPr>
      <w:r w:rsidRPr="00B11003">
        <w:rPr>
          <w:rStyle w:val="Appelnotedebasdep"/>
          <w:rFonts w:ascii="Times New Roman" w:eastAsiaTheme="majorEastAsia" w:hAnsi="Times New Roman" w:cs="Times New Roman"/>
        </w:rPr>
        <w:footnoteRef/>
      </w:r>
      <w:r w:rsidRPr="00B11003">
        <w:rPr>
          <w:rFonts w:ascii="Times New Roman" w:hAnsi="Times New Roman" w:cs="Times New Roman"/>
        </w:rPr>
        <w:t xml:space="preserve"> CPT</w:t>
      </w:r>
      <w:r w:rsidR="000534E2" w:rsidRPr="00B11003">
        <w:rPr>
          <w:rFonts w:ascii="Times New Roman" w:hAnsi="Times New Roman" w:cs="Times New Roman"/>
        </w:rPr>
        <w:t>,</w:t>
      </w:r>
      <w:r w:rsidRPr="00B11003">
        <w:rPr>
          <w:rFonts w:ascii="Times New Roman" w:hAnsi="Times New Roman" w:cs="Times New Roman"/>
        </w:rPr>
        <w:t xml:space="preserve"> </w:t>
      </w:r>
      <w:r w:rsidR="000534E2" w:rsidRPr="00B11003">
        <w:rPr>
          <w:rFonts w:ascii="Times New Roman" w:hAnsi="Times New Roman" w:cs="Times New Roman"/>
          <w:i/>
          <w:iCs/>
        </w:rPr>
        <w:t>11</w:t>
      </w:r>
      <w:r w:rsidR="000534E2" w:rsidRPr="00B11003">
        <w:rPr>
          <w:rFonts w:ascii="Times New Roman" w:hAnsi="Times New Roman" w:cs="Times New Roman"/>
          <w:i/>
          <w:iCs/>
          <w:vertAlign w:val="superscript"/>
        </w:rPr>
        <w:t>e</w:t>
      </w:r>
      <w:r w:rsidR="000534E2" w:rsidRPr="00B11003">
        <w:rPr>
          <w:rFonts w:ascii="Times New Roman" w:hAnsi="Times New Roman" w:cs="Times New Roman"/>
          <w:i/>
          <w:iCs/>
        </w:rPr>
        <w:t xml:space="preserve"> rapport général d'activités</w:t>
      </w:r>
      <w:r w:rsidR="00BF27B5" w:rsidRPr="00B11003">
        <w:rPr>
          <w:rFonts w:ascii="Times New Roman" w:hAnsi="Times New Roman" w:cs="Times New Roman"/>
          <w:i/>
          <w:iCs/>
        </w:rPr>
        <w:t>,</w:t>
      </w:r>
      <w:r w:rsidRPr="00B11003">
        <w:rPr>
          <w:rFonts w:ascii="Times New Roman" w:hAnsi="Times New Roman" w:cs="Times New Roman"/>
        </w:rPr>
        <w:t xml:space="preserve"> </w:t>
      </w:r>
      <w:r w:rsidR="000534E2" w:rsidRPr="00B11003">
        <w:rPr>
          <w:rFonts w:ascii="Times New Roman" w:hAnsi="Times New Roman" w:cs="Times New Roman"/>
        </w:rPr>
        <w:t>CPT/Inf (2001)16, 3 septembre 2001, par.</w:t>
      </w:r>
      <w:r w:rsidRPr="00B11003">
        <w:rPr>
          <w:rFonts w:ascii="Times New Roman" w:hAnsi="Times New Roman" w:cs="Times New Roman"/>
        </w:rPr>
        <w:t xml:space="preserve"> 32.</w:t>
      </w:r>
    </w:p>
  </w:footnote>
  <w:footnote w:id="33">
    <w:p w14:paraId="1DB4B531" w14:textId="142A68C3"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1A6FB7" w:rsidRPr="00B11003">
        <w:rPr>
          <w:rFonts w:ascii="Times New Roman" w:hAnsi="Times New Roman" w:cs="Times New Roman"/>
          <w:color w:val="000000" w:themeColor="text1"/>
        </w:rPr>
        <w:t xml:space="preserve">CourEDH, </w:t>
      </w:r>
      <w:r w:rsidR="001A6FB7" w:rsidRPr="00B11003">
        <w:rPr>
          <w:rFonts w:ascii="Times New Roman" w:hAnsi="Times New Roman" w:cs="Times New Roman"/>
          <w:i/>
          <w:iCs/>
          <w:color w:val="000000" w:themeColor="text1"/>
        </w:rPr>
        <w:t>Shlykov et autres c. Russie</w:t>
      </w:r>
      <w:r w:rsidR="001A6FB7" w:rsidRPr="00B11003">
        <w:rPr>
          <w:rFonts w:ascii="Times New Roman" w:hAnsi="Times New Roman" w:cs="Times New Roman"/>
          <w:color w:val="000000" w:themeColor="text1"/>
        </w:rPr>
        <w:t xml:space="preserve">, requêtes n° 78638/11, 6086/14, 11402/17 et 82420/17, 19 janvier 2021 ; </w:t>
      </w:r>
      <w:r w:rsidR="003800C9" w:rsidRPr="00B11003">
        <w:rPr>
          <w:rFonts w:ascii="Times New Roman" w:hAnsi="Times New Roman" w:cs="Times New Roman"/>
          <w:color w:val="000000" w:themeColor="text1"/>
        </w:rPr>
        <w:t xml:space="preserve">CourEDH, </w:t>
      </w:r>
      <w:r w:rsidR="001A6FB7" w:rsidRPr="00B11003">
        <w:rPr>
          <w:rFonts w:ascii="Times New Roman" w:hAnsi="Times New Roman" w:cs="Times New Roman"/>
          <w:i/>
          <w:iCs/>
          <w:color w:val="000000" w:themeColor="text1"/>
        </w:rPr>
        <w:t>Goriunov c. République de Moldavie</w:t>
      </w:r>
      <w:r w:rsidR="001A6FB7" w:rsidRPr="00B11003">
        <w:rPr>
          <w:rFonts w:ascii="Times New Roman" w:hAnsi="Times New Roman" w:cs="Times New Roman"/>
          <w:color w:val="000000" w:themeColor="text1"/>
        </w:rPr>
        <w:t>, requête n° 14466/12, 29 mai 2018</w:t>
      </w:r>
      <w:r w:rsidRPr="00B11003">
        <w:rPr>
          <w:rFonts w:ascii="Times New Roman" w:hAnsi="Times New Roman" w:cs="Times New Roman"/>
          <w:color w:val="000000" w:themeColor="text1"/>
        </w:rPr>
        <w:t> ;</w:t>
      </w:r>
      <w:r w:rsidR="001A6FB7" w:rsidRPr="00B11003">
        <w:rPr>
          <w:rFonts w:ascii="Times New Roman" w:hAnsi="Times New Roman" w:cs="Times New Roman"/>
          <w:color w:val="000000" w:themeColor="text1"/>
        </w:rPr>
        <w:t xml:space="preserve"> CourEDH, </w:t>
      </w:r>
      <w:r w:rsidR="001A6FB7" w:rsidRPr="00B11003">
        <w:rPr>
          <w:rFonts w:ascii="Times New Roman" w:hAnsi="Times New Roman" w:cs="Times New Roman"/>
          <w:i/>
          <w:iCs/>
          <w:color w:val="000000" w:themeColor="text1"/>
        </w:rPr>
        <w:t>Csüllgög c. Hongrie</w:t>
      </w:r>
      <w:r w:rsidR="001A6FB7" w:rsidRPr="00B11003">
        <w:rPr>
          <w:rFonts w:ascii="Times New Roman" w:hAnsi="Times New Roman" w:cs="Times New Roman"/>
          <w:color w:val="000000" w:themeColor="text1"/>
        </w:rPr>
        <w:t>, requête n° 30042/08, 7 juin 2011.</w:t>
      </w:r>
    </w:p>
  </w:footnote>
  <w:footnote w:id="34">
    <w:p w14:paraId="3897CD1A" w14:textId="18EBD8BC" w:rsidR="00157A64" w:rsidRPr="00B11003" w:rsidRDefault="00157A64" w:rsidP="00B11003">
      <w:pPr>
        <w:pStyle w:val="Notedebasdepage"/>
        <w:jc w:val="both"/>
        <w:rPr>
          <w:rFonts w:ascii="Times New Roman" w:hAnsi="Times New Roman" w:cs="Times New Roman"/>
          <w:color w:val="FF0000"/>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lang w:val="fr-CH"/>
        </w:rPr>
        <w:t xml:space="preserve"> </w:t>
      </w:r>
      <w:r w:rsidR="001A6FB7" w:rsidRPr="00B11003">
        <w:rPr>
          <w:rFonts w:ascii="Times New Roman" w:hAnsi="Times New Roman" w:cs="Times New Roman"/>
          <w:color w:val="000000" w:themeColor="text1"/>
          <w:lang w:val="fr-CH"/>
        </w:rPr>
        <w:t xml:space="preserve">CourEDH, </w:t>
      </w:r>
      <w:r w:rsidR="001A6FB7" w:rsidRPr="00B11003">
        <w:rPr>
          <w:rFonts w:ascii="Times New Roman" w:hAnsi="Times New Roman" w:cs="Times New Roman"/>
          <w:i/>
          <w:iCs/>
          <w:color w:val="000000" w:themeColor="text1"/>
          <w:lang w:val="fr-CH"/>
        </w:rPr>
        <w:t>Pranjić-M-Lukić c. Bosnie-Herzégovine</w:t>
      </w:r>
      <w:r w:rsidR="001A6FB7" w:rsidRPr="00B11003">
        <w:rPr>
          <w:rFonts w:ascii="Times New Roman" w:hAnsi="Times New Roman" w:cs="Times New Roman"/>
          <w:color w:val="000000" w:themeColor="text1"/>
          <w:lang w:val="fr-CH"/>
        </w:rPr>
        <w:t xml:space="preserve">, </w:t>
      </w:r>
      <w:r w:rsidR="001A6FB7" w:rsidRPr="00B11003">
        <w:rPr>
          <w:rFonts w:ascii="Times New Roman" w:hAnsi="Times New Roman" w:cs="Times New Roman"/>
          <w:color w:val="000000" w:themeColor="text1"/>
        </w:rPr>
        <w:t xml:space="preserve">requête n° </w:t>
      </w:r>
      <w:r w:rsidR="001A6FB7" w:rsidRPr="00B11003">
        <w:rPr>
          <w:rFonts w:ascii="Times New Roman" w:hAnsi="Times New Roman" w:cs="Times New Roman"/>
          <w:color w:val="000000" w:themeColor="text1"/>
          <w:lang w:val="fr-CH"/>
        </w:rPr>
        <w:t xml:space="preserve">4938/16, 2 juin 2020, </w:t>
      </w:r>
      <w:r w:rsidRPr="00B11003">
        <w:rPr>
          <w:rFonts w:ascii="Times New Roman" w:hAnsi="Times New Roman" w:cs="Times New Roman"/>
          <w:color w:val="000000" w:themeColor="text1"/>
          <w:lang w:val="fr-CH"/>
        </w:rPr>
        <w:t xml:space="preserve">par. 80 et </w:t>
      </w:r>
      <w:r w:rsidR="001A6FB7" w:rsidRPr="00B11003">
        <w:rPr>
          <w:rFonts w:ascii="Times New Roman" w:hAnsi="Times New Roman" w:cs="Times New Roman"/>
          <w:color w:val="000000" w:themeColor="text1"/>
          <w:lang w:val="fr-CH"/>
        </w:rPr>
        <w:t xml:space="preserve">par. </w:t>
      </w:r>
      <w:r w:rsidRPr="00B11003">
        <w:rPr>
          <w:rFonts w:ascii="Times New Roman" w:hAnsi="Times New Roman" w:cs="Times New Roman"/>
          <w:color w:val="000000" w:themeColor="text1"/>
          <w:lang w:val="fr-CH"/>
        </w:rPr>
        <w:t>83.</w:t>
      </w:r>
    </w:p>
  </w:footnote>
  <w:footnote w:id="35">
    <w:p w14:paraId="32A4300B" w14:textId="68861112" w:rsidR="00157A64" w:rsidRPr="00B11003" w:rsidRDefault="00157A64" w:rsidP="00B11003">
      <w:pPr>
        <w:pStyle w:val="Notedebasdepage"/>
        <w:jc w:val="both"/>
        <w:rPr>
          <w:rFonts w:ascii="Times New Roman" w:hAnsi="Times New Roman" w:cs="Times New Roman"/>
          <w:color w:val="000000" w:themeColor="text1"/>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7811C8" w:rsidRPr="00B11003">
        <w:rPr>
          <w:rFonts w:ascii="Times New Roman" w:hAnsi="Times New Roman" w:cs="Times New Roman"/>
          <w:color w:val="000000" w:themeColor="text1"/>
        </w:rPr>
        <w:t xml:space="preserve">CNPT, </w:t>
      </w:r>
      <w:r w:rsidR="007811C8" w:rsidRPr="00B11003">
        <w:rPr>
          <w:rFonts w:ascii="Times New Roman" w:hAnsi="Times New Roman" w:cs="Times New Roman"/>
          <w:i/>
          <w:iCs/>
          <w:color w:val="000000" w:themeColor="text1"/>
        </w:rPr>
        <w:t xml:space="preserve">Rapport visite aux </w:t>
      </w:r>
      <w:r w:rsidR="00BF27B5" w:rsidRPr="00B11003">
        <w:rPr>
          <w:rFonts w:ascii="Times New Roman" w:hAnsi="Times New Roman" w:cs="Times New Roman"/>
          <w:i/>
          <w:iCs/>
          <w:color w:val="000000" w:themeColor="text1"/>
        </w:rPr>
        <w:t>EPO</w:t>
      </w:r>
      <w:r w:rsidR="007811C8" w:rsidRPr="00B11003">
        <w:rPr>
          <w:rFonts w:ascii="Times New Roman" w:hAnsi="Times New Roman" w:cs="Times New Roman"/>
          <w:color w:val="000000" w:themeColor="text1"/>
        </w:rPr>
        <w:t>, 10 décembre 2013</w:t>
      </w:r>
      <w:r w:rsidRPr="00B11003">
        <w:rPr>
          <w:rFonts w:ascii="Times New Roman" w:hAnsi="Times New Roman" w:cs="Times New Roman"/>
          <w:color w:val="000000" w:themeColor="text1"/>
        </w:rPr>
        <w:t xml:space="preserve">, </w:t>
      </w:r>
      <w:r w:rsidR="007811C8" w:rsidRPr="00B11003">
        <w:rPr>
          <w:rFonts w:ascii="Times New Roman" w:hAnsi="Times New Roman" w:cs="Times New Roman"/>
          <w:color w:val="000000" w:themeColor="text1"/>
        </w:rPr>
        <w:t>par.</w:t>
      </w:r>
      <w:r w:rsidRPr="00B11003">
        <w:rPr>
          <w:rFonts w:ascii="Times New Roman" w:hAnsi="Times New Roman" w:cs="Times New Roman"/>
          <w:color w:val="000000" w:themeColor="text1"/>
        </w:rPr>
        <w:t xml:space="preserve"> 32.</w:t>
      </w:r>
    </w:p>
  </w:footnote>
  <w:footnote w:id="36">
    <w:p w14:paraId="5FD3E86A" w14:textId="12192FE0" w:rsidR="00157A64" w:rsidRPr="00B11003" w:rsidRDefault="00157A64" w:rsidP="00B11003">
      <w:pPr>
        <w:pStyle w:val="Notedebasdepage"/>
        <w:jc w:val="both"/>
        <w:rPr>
          <w:rFonts w:ascii="Times New Roman" w:hAnsi="Times New Roman" w:cs="Times New Roman"/>
          <w:color w:val="FF0000"/>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325D83" w:rsidRPr="00B11003">
        <w:rPr>
          <w:rFonts w:ascii="Times New Roman" w:hAnsi="Times New Roman" w:cs="Times New Roman"/>
          <w:i/>
          <w:iCs/>
          <w:color w:val="000000" w:themeColor="text1"/>
        </w:rPr>
        <w:t>Ibid</w:t>
      </w:r>
      <w:r w:rsidR="007811C8" w:rsidRPr="00B11003">
        <w:rPr>
          <w:rFonts w:ascii="Times New Roman" w:hAnsi="Times New Roman" w:cs="Times New Roman"/>
          <w:color w:val="000000" w:themeColor="text1"/>
        </w:rPr>
        <w:t>, par. 32.</w:t>
      </w:r>
    </w:p>
  </w:footnote>
  <w:footnote w:id="37">
    <w:p w14:paraId="5F882337" w14:textId="6305BAFC" w:rsidR="00157A64" w:rsidRPr="00B11003" w:rsidRDefault="00157A64" w:rsidP="00B11003">
      <w:pPr>
        <w:pStyle w:val="Notedebasdepage"/>
        <w:jc w:val="both"/>
        <w:rPr>
          <w:rFonts w:ascii="Times New Roman" w:hAnsi="Times New Roman" w:cs="Times New Roman"/>
          <w:color w:val="FF0000"/>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7811C8" w:rsidRPr="00B11003">
        <w:rPr>
          <w:rFonts w:ascii="Times New Roman" w:hAnsi="Times New Roman" w:cs="Times New Roman"/>
          <w:color w:val="000000" w:themeColor="text1"/>
        </w:rPr>
        <w:t>Règles pénitentiaires européennes (</w:t>
      </w:r>
      <w:r w:rsidRPr="00B11003">
        <w:rPr>
          <w:rFonts w:ascii="Times New Roman" w:hAnsi="Times New Roman" w:cs="Times New Roman"/>
          <w:color w:val="000000" w:themeColor="text1"/>
        </w:rPr>
        <w:t>Règle 24.4</w:t>
      </w:r>
      <w:r w:rsidR="007811C8" w:rsidRPr="00B11003">
        <w:rPr>
          <w:rFonts w:ascii="Times New Roman" w:hAnsi="Times New Roman" w:cs="Times New Roman"/>
          <w:color w:val="000000" w:themeColor="text1"/>
        </w:rPr>
        <w:t>).</w:t>
      </w:r>
    </w:p>
  </w:footnote>
  <w:footnote w:id="38">
    <w:p w14:paraId="04BBE6BA" w14:textId="122F98B8" w:rsidR="00157A64" w:rsidRPr="00B11003" w:rsidRDefault="00157A64" w:rsidP="00B11003">
      <w:pPr>
        <w:pStyle w:val="Notedebasdepage"/>
        <w:jc w:val="both"/>
        <w:rPr>
          <w:rFonts w:ascii="Times New Roman" w:hAnsi="Times New Roman" w:cs="Times New Roman"/>
          <w:color w:val="000000" w:themeColor="text1"/>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154FE5" w:rsidRPr="00B11003">
        <w:rPr>
          <w:rFonts w:ascii="Times New Roman" w:hAnsi="Times New Roman" w:cs="Times New Roman"/>
          <w:color w:val="000000" w:themeColor="text1"/>
        </w:rPr>
        <w:t>Association pour la prévention de la torture/Penal Reform International</w:t>
      </w:r>
      <w:r w:rsidR="00154FE5" w:rsidRPr="00B11003">
        <w:rPr>
          <w:rFonts w:ascii="Times New Roman" w:hAnsi="Times New Roman" w:cs="Times New Roman"/>
          <w:i/>
          <w:iCs/>
          <w:color w:val="000000" w:themeColor="text1"/>
        </w:rPr>
        <w:t>, Fiche d’information : Instruments de contrainte</w:t>
      </w:r>
      <w:r w:rsidR="00154FE5" w:rsidRPr="00B11003">
        <w:rPr>
          <w:rFonts w:ascii="Times New Roman" w:hAnsi="Times New Roman" w:cs="Times New Roman"/>
          <w:color w:val="000000" w:themeColor="text1"/>
        </w:rPr>
        <w:t>, Genève, 2013, p. 6.</w:t>
      </w:r>
    </w:p>
  </w:footnote>
  <w:footnote w:id="39">
    <w:p w14:paraId="378F16B5" w14:textId="4F520F91"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7811C8" w:rsidRPr="00B11003">
        <w:rPr>
          <w:rFonts w:ascii="Times New Roman" w:hAnsi="Times New Roman" w:cs="Times New Roman"/>
          <w:color w:val="000000" w:themeColor="text1"/>
        </w:rPr>
        <w:t xml:space="preserve">CNPT, </w:t>
      </w:r>
      <w:r w:rsidR="007811C8" w:rsidRPr="00B11003">
        <w:rPr>
          <w:rFonts w:ascii="Times New Roman" w:hAnsi="Times New Roman" w:cs="Times New Roman"/>
          <w:i/>
          <w:iCs/>
          <w:color w:val="000000" w:themeColor="text1"/>
        </w:rPr>
        <w:t xml:space="preserve">Rapport visite aux </w:t>
      </w:r>
      <w:r w:rsidR="00BF27B5" w:rsidRPr="00B11003">
        <w:rPr>
          <w:rFonts w:ascii="Times New Roman" w:hAnsi="Times New Roman" w:cs="Times New Roman"/>
          <w:i/>
          <w:iCs/>
          <w:color w:val="000000" w:themeColor="text1"/>
        </w:rPr>
        <w:t>EPO</w:t>
      </w:r>
      <w:r w:rsidR="007811C8" w:rsidRPr="00B11003">
        <w:rPr>
          <w:rFonts w:ascii="Times New Roman" w:hAnsi="Times New Roman" w:cs="Times New Roman"/>
          <w:color w:val="000000" w:themeColor="text1"/>
        </w:rPr>
        <w:t>, 10 décembre 2013, par. 50.</w:t>
      </w:r>
    </w:p>
  </w:footnote>
  <w:footnote w:id="40">
    <w:p w14:paraId="0766ECE2" w14:textId="1B036CD7"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1A6FB7" w:rsidRPr="00B11003">
        <w:rPr>
          <w:rFonts w:ascii="Times New Roman" w:hAnsi="Times New Roman" w:cs="Times New Roman"/>
          <w:color w:val="000000" w:themeColor="text1"/>
        </w:rPr>
        <w:t xml:space="preserve">CourEDH, </w:t>
      </w:r>
      <w:r w:rsidRPr="00B11003">
        <w:rPr>
          <w:rFonts w:ascii="Times New Roman" w:hAnsi="Times New Roman" w:cs="Times New Roman"/>
          <w:i/>
          <w:iCs/>
          <w:color w:val="000000" w:themeColor="text1"/>
        </w:rPr>
        <w:t>Duval c</w:t>
      </w:r>
      <w:r w:rsidR="001A6FB7" w:rsidRPr="00B11003">
        <w:rPr>
          <w:rFonts w:ascii="Times New Roman" w:hAnsi="Times New Roman" w:cs="Times New Roman"/>
          <w:i/>
          <w:iCs/>
          <w:color w:val="000000" w:themeColor="text1"/>
        </w:rPr>
        <w:t>.</w:t>
      </w:r>
      <w:r w:rsidRPr="00B11003">
        <w:rPr>
          <w:rFonts w:ascii="Times New Roman" w:hAnsi="Times New Roman" w:cs="Times New Roman"/>
          <w:i/>
          <w:iCs/>
          <w:color w:val="000000" w:themeColor="text1"/>
        </w:rPr>
        <w:t xml:space="preserve"> France</w:t>
      </w:r>
      <w:r w:rsidRPr="00B11003">
        <w:rPr>
          <w:rFonts w:ascii="Times New Roman" w:hAnsi="Times New Roman" w:cs="Times New Roman"/>
          <w:color w:val="000000" w:themeColor="text1"/>
        </w:rPr>
        <w:t xml:space="preserve">, </w:t>
      </w:r>
      <w:r w:rsidR="001A6FB7" w:rsidRPr="00B11003">
        <w:rPr>
          <w:rFonts w:ascii="Times New Roman" w:hAnsi="Times New Roman" w:cs="Times New Roman"/>
          <w:color w:val="000000" w:themeColor="text1"/>
        </w:rPr>
        <w:t xml:space="preserve">requête n° 19868/08, </w:t>
      </w:r>
      <w:r w:rsidR="00D76E46" w:rsidRPr="00B11003">
        <w:rPr>
          <w:rFonts w:ascii="Times New Roman" w:hAnsi="Times New Roman" w:cs="Times New Roman"/>
          <w:color w:val="000000" w:themeColor="text1"/>
        </w:rPr>
        <w:t xml:space="preserve">26 mai 2011, </w:t>
      </w:r>
      <w:r w:rsidRPr="00B11003">
        <w:rPr>
          <w:rFonts w:ascii="Times New Roman" w:hAnsi="Times New Roman" w:cs="Times New Roman"/>
          <w:color w:val="000000" w:themeColor="text1"/>
        </w:rPr>
        <w:t xml:space="preserve">par. 49 ; </w:t>
      </w:r>
      <w:r w:rsidR="00D76E46" w:rsidRPr="00B11003">
        <w:rPr>
          <w:rFonts w:ascii="Times New Roman" w:hAnsi="Times New Roman" w:cs="Times New Roman"/>
          <w:color w:val="000000" w:themeColor="text1"/>
        </w:rPr>
        <w:t>CourEDH,</w:t>
      </w:r>
      <w:r w:rsidRPr="00B11003">
        <w:rPr>
          <w:rFonts w:ascii="Times New Roman" w:hAnsi="Times New Roman" w:cs="Times New Roman"/>
          <w:color w:val="000000" w:themeColor="text1"/>
        </w:rPr>
        <w:t xml:space="preserve"> </w:t>
      </w:r>
      <w:r w:rsidRPr="00B11003">
        <w:rPr>
          <w:rFonts w:ascii="Times New Roman" w:hAnsi="Times New Roman" w:cs="Times New Roman"/>
          <w:i/>
          <w:iCs/>
          <w:color w:val="000000" w:themeColor="text1"/>
        </w:rPr>
        <w:t>Hénaf c</w:t>
      </w:r>
      <w:r w:rsidR="00D76E46" w:rsidRPr="00B11003">
        <w:rPr>
          <w:rFonts w:ascii="Times New Roman" w:hAnsi="Times New Roman" w:cs="Times New Roman"/>
          <w:i/>
          <w:iCs/>
          <w:color w:val="000000" w:themeColor="text1"/>
        </w:rPr>
        <w:t>.</w:t>
      </w:r>
      <w:r w:rsidRPr="00B11003">
        <w:rPr>
          <w:rFonts w:ascii="Times New Roman" w:hAnsi="Times New Roman" w:cs="Times New Roman"/>
          <w:i/>
          <w:iCs/>
          <w:color w:val="000000" w:themeColor="text1"/>
        </w:rPr>
        <w:t xml:space="preserve"> France</w:t>
      </w:r>
      <w:r w:rsidRPr="00B11003">
        <w:rPr>
          <w:rFonts w:ascii="Times New Roman" w:hAnsi="Times New Roman" w:cs="Times New Roman"/>
          <w:color w:val="000000" w:themeColor="text1"/>
        </w:rPr>
        <w:t>,</w:t>
      </w:r>
      <w:r w:rsidR="00D76E46" w:rsidRPr="00B11003">
        <w:rPr>
          <w:rFonts w:ascii="Times New Roman" w:hAnsi="Times New Roman" w:cs="Times New Roman"/>
          <w:color w:val="000000" w:themeColor="text1"/>
        </w:rPr>
        <w:t xml:space="preserve"> requête n° 65436/01, 27 novembre 2003, </w:t>
      </w:r>
      <w:r w:rsidRPr="00B11003">
        <w:rPr>
          <w:rFonts w:ascii="Times New Roman" w:hAnsi="Times New Roman" w:cs="Times New Roman"/>
          <w:color w:val="000000" w:themeColor="text1"/>
        </w:rPr>
        <w:t xml:space="preserve">par. 48 ; </w:t>
      </w:r>
      <w:r w:rsidR="00D76E46" w:rsidRPr="00B11003">
        <w:rPr>
          <w:rFonts w:ascii="Times New Roman" w:hAnsi="Times New Roman" w:cs="Times New Roman"/>
          <w:color w:val="000000" w:themeColor="text1"/>
        </w:rPr>
        <w:t>CourEDH,</w:t>
      </w:r>
      <w:r w:rsidRPr="00B11003">
        <w:rPr>
          <w:rFonts w:ascii="Times New Roman" w:hAnsi="Times New Roman" w:cs="Times New Roman"/>
          <w:color w:val="000000" w:themeColor="text1"/>
        </w:rPr>
        <w:t xml:space="preserve"> </w:t>
      </w:r>
      <w:r w:rsidRPr="00B11003">
        <w:rPr>
          <w:rFonts w:ascii="Times New Roman" w:hAnsi="Times New Roman" w:cs="Times New Roman"/>
          <w:i/>
          <w:iCs/>
          <w:color w:val="000000" w:themeColor="text1"/>
        </w:rPr>
        <w:t>Mouisel c</w:t>
      </w:r>
      <w:r w:rsidR="00D76E46" w:rsidRPr="00B11003">
        <w:rPr>
          <w:rFonts w:ascii="Times New Roman" w:hAnsi="Times New Roman" w:cs="Times New Roman"/>
          <w:i/>
          <w:iCs/>
          <w:color w:val="000000" w:themeColor="text1"/>
        </w:rPr>
        <w:t>.</w:t>
      </w:r>
      <w:r w:rsidRPr="00B11003">
        <w:rPr>
          <w:rFonts w:ascii="Times New Roman" w:hAnsi="Times New Roman" w:cs="Times New Roman"/>
          <w:i/>
          <w:iCs/>
          <w:color w:val="000000" w:themeColor="text1"/>
        </w:rPr>
        <w:t xml:space="preserve"> France</w:t>
      </w:r>
      <w:r w:rsidRPr="00B11003">
        <w:rPr>
          <w:rFonts w:ascii="Times New Roman" w:hAnsi="Times New Roman" w:cs="Times New Roman"/>
          <w:color w:val="000000" w:themeColor="text1"/>
        </w:rPr>
        <w:t xml:space="preserve">, </w:t>
      </w:r>
      <w:r w:rsidR="00D76E46" w:rsidRPr="00B11003">
        <w:rPr>
          <w:rFonts w:ascii="Times New Roman" w:hAnsi="Times New Roman" w:cs="Times New Roman"/>
          <w:color w:val="000000" w:themeColor="text1"/>
        </w:rPr>
        <w:t xml:space="preserve">requête n° 67263/01, 14 novembre 2002, </w:t>
      </w:r>
      <w:r w:rsidRPr="00B11003">
        <w:rPr>
          <w:rFonts w:ascii="Times New Roman" w:hAnsi="Times New Roman" w:cs="Times New Roman"/>
          <w:color w:val="000000" w:themeColor="text1"/>
        </w:rPr>
        <w:t>par. 49.</w:t>
      </w:r>
    </w:p>
  </w:footnote>
  <w:footnote w:id="41">
    <w:p w14:paraId="129A4663" w14:textId="3233013C"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7811C8" w:rsidRPr="00B11003">
        <w:rPr>
          <w:rFonts w:ascii="Times New Roman" w:hAnsi="Times New Roman" w:cs="Times New Roman"/>
          <w:color w:val="000000" w:themeColor="text1"/>
        </w:rPr>
        <w:t xml:space="preserve">CNPT, </w:t>
      </w:r>
      <w:r w:rsidR="007811C8" w:rsidRPr="00B11003">
        <w:rPr>
          <w:rFonts w:ascii="Times New Roman" w:hAnsi="Times New Roman" w:cs="Times New Roman"/>
          <w:i/>
          <w:iCs/>
          <w:color w:val="000000" w:themeColor="text1"/>
        </w:rPr>
        <w:t xml:space="preserve">Rapport visite aux </w:t>
      </w:r>
      <w:r w:rsidR="00BF27B5" w:rsidRPr="00B11003">
        <w:rPr>
          <w:rFonts w:ascii="Times New Roman" w:hAnsi="Times New Roman" w:cs="Times New Roman"/>
          <w:i/>
          <w:iCs/>
          <w:color w:val="000000" w:themeColor="text1"/>
        </w:rPr>
        <w:t>EPO</w:t>
      </w:r>
      <w:r w:rsidR="007811C8" w:rsidRPr="00B11003">
        <w:rPr>
          <w:rFonts w:ascii="Times New Roman" w:hAnsi="Times New Roman" w:cs="Times New Roman"/>
          <w:color w:val="000000" w:themeColor="text1"/>
        </w:rPr>
        <w:t>, 10 décembre 2013, par. 50.</w:t>
      </w:r>
    </w:p>
  </w:footnote>
  <w:footnote w:id="42">
    <w:p w14:paraId="438B04DA" w14:textId="17EC4824" w:rsidR="00157A64" w:rsidRPr="00B11003" w:rsidRDefault="00157A64" w:rsidP="00B11003">
      <w:pPr>
        <w:pStyle w:val="Notedebasdepage"/>
        <w:jc w:val="both"/>
        <w:rPr>
          <w:rFonts w:ascii="Times New Roman" w:hAnsi="Times New Roman" w:cs="Times New Roman"/>
          <w:color w:val="000000" w:themeColor="text1"/>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4021F6" w:rsidRPr="00B11003">
        <w:rPr>
          <w:rFonts w:ascii="Times New Roman" w:hAnsi="Times New Roman" w:cs="Times New Roman"/>
          <w:color w:val="000000" w:themeColor="text1"/>
        </w:rPr>
        <w:t xml:space="preserve">CPT, </w:t>
      </w:r>
      <w:r w:rsidR="004021F6" w:rsidRPr="00B11003">
        <w:rPr>
          <w:rFonts w:ascii="Times New Roman" w:hAnsi="Times New Roman" w:cs="Times New Roman"/>
          <w:i/>
          <w:iCs/>
          <w:color w:val="000000" w:themeColor="text1"/>
        </w:rPr>
        <w:t>Rapport visite en Suisse</w:t>
      </w:r>
      <w:r w:rsidR="004021F6" w:rsidRPr="00B11003">
        <w:rPr>
          <w:rFonts w:ascii="Times New Roman" w:hAnsi="Times New Roman" w:cs="Times New Roman"/>
          <w:color w:val="000000" w:themeColor="text1"/>
        </w:rPr>
        <w:t>, CPT/Inf (2016)18, 23 juin 2016, par. 3.</w:t>
      </w:r>
    </w:p>
  </w:footnote>
  <w:footnote w:id="43">
    <w:p w14:paraId="47460493" w14:textId="7822D523"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325D83" w:rsidRPr="00B11003">
        <w:rPr>
          <w:rFonts w:ascii="Times New Roman" w:hAnsi="Times New Roman" w:cs="Times New Roman"/>
          <w:i/>
          <w:iCs/>
          <w:color w:val="000000" w:themeColor="text1"/>
        </w:rPr>
        <w:t>Ibid</w:t>
      </w:r>
      <w:r w:rsidR="004021F6" w:rsidRPr="00B11003">
        <w:rPr>
          <w:rFonts w:ascii="Times New Roman" w:hAnsi="Times New Roman" w:cs="Times New Roman"/>
          <w:color w:val="000000" w:themeColor="text1"/>
        </w:rPr>
        <w:t xml:space="preserve">, par. </w:t>
      </w:r>
      <w:r w:rsidRPr="00B11003">
        <w:rPr>
          <w:rFonts w:ascii="Times New Roman" w:hAnsi="Times New Roman" w:cs="Times New Roman"/>
          <w:color w:val="000000" w:themeColor="text1"/>
        </w:rPr>
        <w:t>64.</w:t>
      </w:r>
    </w:p>
  </w:footnote>
  <w:footnote w:id="44">
    <w:p w14:paraId="642A4C06" w14:textId="5C96DF6F"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33454E" w:rsidRPr="00B11003">
        <w:rPr>
          <w:rFonts w:ascii="Times New Roman" w:hAnsi="Times New Roman" w:cs="Times New Roman"/>
          <w:color w:val="000000" w:themeColor="text1"/>
        </w:rPr>
        <w:t>CourEDH,</w:t>
      </w:r>
      <w:r w:rsidRPr="00B11003">
        <w:rPr>
          <w:rFonts w:ascii="Times New Roman" w:hAnsi="Times New Roman" w:cs="Times New Roman"/>
          <w:color w:val="000000" w:themeColor="text1"/>
        </w:rPr>
        <w:t xml:space="preserve"> </w:t>
      </w:r>
      <w:r w:rsidRPr="00B11003">
        <w:rPr>
          <w:rFonts w:ascii="Times New Roman" w:hAnsi="Times New Roman" w:cs="Times New Roman"/>
          <w:i/>
          <w:iCs/>
          <w:color w:val="000000" w:themeColor="text1"/>
        </w:rPr>
        <w:t>A.T. c</w:t>
      </w:r>
      <w:r w:rsidR="0033454E" w:rsidRPr="00B11003">
        <w:rPr>
          <w:rFonts w:ascii="Times New Roman" w:hAnsi="Times New Roman" w:cs="Times New Roman"/>
          <w:i/>
          <w:iCs/>
          <w:color w:val="000000" w:themeColor="text1"/>
        </w:rPr>
        <w:t>.</w:t>
      </w:r>
      <w:r w:rsidRPr="00B11003">
        <w:rPr>
          <w:rFonts w:ascii="Times New Roman" w:hAnsi="Times New Roman" w:cs="Times New Roman"/>
          <w:i/>
          <w:iCs/>
          <w:color w:val="000000" w:themeColor="text1"/>
        </w:rPr>
        <w:t xml:space="preserve"> Estonie</w:t>
      </w:r>
      <w:r w:rsidRPr="00B11003">
        <w:rPr>
          <w:rFonts w:ascii="Times New Roman" w:hAnsi="Times New Roman" w:cs="Times New Roman"/>
          <w:color w:val="000000" w:themeColor="text1"/>
        </w:rPr>
        <w:t>,</w:t>
      </w:r>
      <w:r w:rsidR="0033454E" w:rsidRPr="00B11003">
        <w:rPr>
          <w:rFonts w:ascii="Times New Roman" w:hAnsi="Times New Roman" w:cs="Times New Roman"/>
          <w:color w:val="000000" w:themeColor="text1"/>
        </w:rPr>
        <w:t xml:space="preserve"> requête n° 23183/15, 13 novembre 2018,</w:t>
      </w:r>
      <w:r w:rsidRPr="00B11003">
        <w:rPr>
          <w:rFonts w:ascii="Times New Roman" w:hAnsi="Times New Roman" w:cs="Times New Roman"/>
          <w:color w:val="000000" w:themeColor="text1"/>
        </w:rPr>
        <w:t xml:space="preserve"> par. 62 ss.</w:t>
      </w:r>
    </w:p>
  </w:footnote>
  <w:footnote w:id="45">
    <w:p w14:paraId="45B36D1A" w14:textId="2C4057DA" w:rsidR="00157A64" w:rsidRPr="00B11003" w:rsidRDefault="00157A64" w:rsidP="00B11003">
      <w:pPr>
        <w:pStyle w:val="Notedebasdepage"/>
        <w:jc w:val="both"/>
        <w:rPr>
          <w:rFonts w:ascii="Times New Roman" w:hAnsi="Times New Roman" w:cs="Times New Roman"/>
          <w:color w:val="000000" w:themeColor="text1"/>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33454E" w:rsidRPr="00B11003">
        <w:rPr>
          <w:rFonts w:ascii="Times New Roman" w:hAnsi="Times New Roman" w:cs="Times New Roman"/>
          <w:color w:val="000000" w:themeColor="text1"/>
        </w:rPr>
        <w:t xml:space="preserve">CourEDH, </w:t>
      </w:r>
      <w:r w:rsidR="0033454E" w:rsidRPr="00B11003">
        <w:rPr>
          <w:rFonts w:ascii="Times New Roman" w:hAnsi="Times New Roman" w:cs="Times New Roman"/>
          <w:i/>
          <w:iCs/>
          <w:color w:val="000000" w:themeColor="text1"/>
        </w:rPr>
        <w:t>Duval c. France</w:t>
      </w:r>
      <w:r w:rsidR="0033454E" w:rsidRPr="00B11003">
        <w:rPr>
          <w:rFonts w:ascii="Times New Roman" w:hAnsi="Times New Roman" w:cs="Times New Roman"/>
          <w:color w:val="000000" w:themeColor="text1"/>
        </w:rPr>
        <w:t xml:space="preserve">, requête n° 19868/08, 26 mai 2011, </w:t>
      </w:r>
      <w:r w:rsidRPr="00B11003">
        <w:rPr>
          <w:rFonts w:ascii="Times New Roman" w:hAnsi="Times New Roman" w:cs="Times New Roman"/>
          <w:color w:val="000000" w:themeColor="text1"/>
        </w:rPr>
        <w:t xml:space="preserve">par. 50 ss ; </w:t>
      </w:r>
      <w:r w:rsidRPr="00B11003">
        <w:rPr>
          <w:rFonts w:ascii="Times New Roman" w:hAnsi="Times New Roman" w:cs="Times New Roman"/>
          <w:smallCaps/>
          <w:color w:val="000000" w:themeColor="text1"/>
        </w:rPr>
        <w:t>Donzallaz</w:t>
      </w:r>
      <w:r w:rsidR="0033454E" w:rsidRPr="00B11003">
        <w:rPr>
          <w:rFonts w:ascii="Times New Roman" w:hAnsi="Times New Roman" w:cs="Times New Roman"/>
          <w:color w:val="000000" w:themeColor="text1"/>
        </w:rPr>
        <w:t xml:space="preserve"> Yves, </w:t>
      </w:r>
      <w:r w:rsidR="0033454E" w:rsidRPr="00B11003">
        <w:rPr>
          <w:rFonts w:ascii="Times New Roman" w:hAnsi="Times New Roman" w:cs="Times New Roman"/>
          <w:i/>
          <w:iCs/>
          <w:color w:val="000000" w:themeColor="text1"/>
        </w:rPr>
        <w:t>Traité de droit médical</w:t>
      </w:r>
      <w:r w:rsidR="0033454E" w:rsidRPr="00B11003">
        <w:rPr>
          <w:rFonts w:ascii="Times New Roman" w:hAnsi="Times New Roman" w:cs="Times New Roman"/>
          <w:color w:val="000000" w:themeColor="text1"/>
        </w:rPr>
        <w:t>, 2</w:t>
      </w:r>
      <w:r w:rsidR="0033454E" w:rsidRPr="00B11003">
        <w:rPr>
          <w:rFonts w:ascii="Times New Roman" w:hAnsi="Times New Roman" w:cs="Times New Roman"/>
          <w:color w:val="000000" w:themeColor="text1"/>
          <w:vertAlign w:val="superscript"/>
        </w:rPr>
        <w:t>e</w:t>
      </w:r>
      <w:r w:rsidR="0033454E" w:rsidRPr="00B11003">
        <w:rPr>
          <w:rFonts w:ascii="Times New Roman" w:hAnsi="Times New Roman" w:cs="Times New Roman"/>
          <w:color w:val="000000" w:themeColor="text1"/>
        </w:rPr>
        <w:t xml:space="preserve"> éd., Berne, Stämpfli, 2021, p. </w:t>
      </w:r>
      <w:r w:rsidRPr="00B11003">
        <w:rPr>
          <w:rFonts w:ascii="Times New Roman" w:hAnsi="Times New Roman" w:cs="Times New Roman"/>
          <w:color w:val="000000" w:themeColor="text1"/>
        </w:rPr>
        <w:t>4249.</w:t>
      </w:r>
    </w:p>
  </w:footnote>
  <w:footnote w:id="46">
    <w:p w14:paraId="0F6D6001" w14:textId="7A6CF90D"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4021F6" w:rsidRPr="00B11003">
        <w:rPr>
          <w:rFonts w:ascii="Times New Roman" w:hAnsi="Times New Roman" w:cs="Times New Roman"/>
          <w:color w:val="000000" w:themeColor="text1"/>
        </w:rPr>
        <w:t xml:space="preserve">CPT, </w:t>
      </w:r>
      <w:r w:rsidR="004021F6" w:rsidRPr="00B11003">
        <w:rPr>
          <w:rFonts w:ascii="Times New Roman" w:hAnsi="Times New Roman" w:cs="Times New Roman"/>
          <w:i/>
          <w:iCs/>
          <w:color w:val="000000" w:themeColor="text1"/>
        </w:rPr>
        <w:t>Rapport visite en Suisse</w:t>
      </w:r>
      <w:r w:rsidR="004021F6" w:rsidRPr="00B11003">
        <w:rPr>
          <w:rFonts w:ascii="Times New Roman" w:hAnsi="Times New Roman" w:cs="Times New Roman"/>
        </w:rPr>
        <w:t xml:space="preserve">, CPT/Inf (2016)18, 23 juin 2016, par. </w:t>
      </w:r>
      <w:r w:rsidR="004021F6" w:rsidRPr="00B11003">
        <w:rPr>
          <w:rFonts w:ascii="Times New Roman" w:hAnsi="Times New Roman" w:cs="Times New Roman"/>
          <w:color w:val="000000" w:themeColor="text1"/>
        </w:rPr>
        <w:t xml:space="preserve">64 </w:t>
      </w:r>
      <w:r w:rsidRPr="00B11003">
        <w:rPr>
          <w:rFonts w:ascii="Times New Roman" w:hAnsi="Times New Roman" w:cs="Times New Roman"/>
          <w:color w:val="000000" w:themeColor="text1"/>
        </w:rPr>
        <w:t xml:space="preserve">; </w:t>
      </w:r>
      <w:r w:rsidR="0033454E" w:rsidRPr="00B11003">
        <w:rPr>
          <w:rFonts w:ascii="Times New Roman" w:hAnsi="Times New Roman" w:cs="Times New Roman"/>
          <w:color w:val="000000" w:themeColor="text1"/>
        </w:rPr>
        <w:t xml:space="preserve">CPT, </w:t>
      </w:r>
      <w:r w:rsidR="0033454E" w:rsidRPr="00B11003">
        <w:rPr>
          <w:rFonts w:ascii="Times New Roman" w:hAnsi="Times New Roman" w:cs="Times New Roman"/>
          <w:i/>
          <w:iCs/>
          <w:color w:val="000000" w:themeColor="text1"/>
        </w:rPr>
        <w:t>Rapport visite en Hongrie</w:t>
      </w:r>
      <w:r w:rsidR="0033454E" w:rsidRPr="00B11003">
        <w:rPr>
          <w:rFonts w:ascii="Times New Roman" w:hAnsi="Times New Roman" w:cs="Times New Roman"/>
          <w:color w:val="000000" w:themeColor="text1"/>
        </w:rPr>
        <w:t>, CPT/Inf (2007)24, 28 juin 2007, par.</w:t>
      </w:r>
      <w:r w:rsidRPr="00B11003">
        <w:rPr>
          <w:rFonts w:ascii="Times New Roman" w:hAnsi="Times New Roman" w:cs="Times New Roman"/>
          <w:color w:val="000000" w:themeColor="text1"/>
        </w:rPr>
        <w:t xml:space="preserve"> 25.</w:t>
      </w:r>
    </w:p>
  </w:footnote>
  <w:footnote w:id="47">
    <w:p w14:paraId="7208CCDE" w14:textId="409D7587" w:rsidR="00157A64" w:rsidRPr="00B11003" w:rsidRDefault="00157A64" w:rsidP="00B11003">
      <w:pPr>
        <w:pStyle w:val="Notedebasdepage"/>
        <w:jc w:val="both"/>
        <w:rPr>
          <w:rFonts w:ascii="Times New Roman" w:hAnsi="Times New Roman" w:cs="Times New Roman"/>
          <w:color w:val="000000" w:themeColor="text1"/>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7811C8" w:rsidRPr="00B11003">
        <w:rPr>
          <w:rFonts w:ascii="Times New Roman" w:hAnsi="Times New Roman" w:cs="Times New Roman"/>
          <w:color w:val="000000" w:themeColor="text1"/>
        </w:rPr>
        <w:t xml:space="preserve">CNPT, </w:t>
      </w:r>
      <w:r w:rsidR="007811C8" w:rsidRPr="00B11003">
        <w:rPr>
          <w:rFonts w:ascii="Times New Roman" w:hAnsi="Times New Roman" w:cs="Times New Roman"/>
          <w:i/>
          <w:iCs/>
          <w:color w:val="000000" w:themeColor="text1"/>
        </w:rPr>
        <w:t xml:space="preserve">Rapport visite </w:t>
      </w:r>
      <w:r w:rsidR="00BF27B5" w:rsidRPr="00B11003">
        <w:rPr>
          <w:rFonts w:ascii="Times New Roman" w:hAnsi="Times New Roman" w:cs="Times New Roman"/>
          <w:i/>
          <w:iCs/>
          <w:color w:val="000000" w:themeColor="text1"/>
        </w:rPr>
        <w:t>aux EPO</w:t>
      </w:r>
      <w:r w:rsidR="007811C8" w:rsidRPr="00B11003">
        <w:rPr>
          <w:rFonts w:ascii="Times New Roman" w:hAnsi="Times New Roman" w:cs="Times New Roman"/>
          <w:color w:val="000000" w:themeColor="text1"/>
        </w:rPr>
        <w:t>, 10 décembre 2013, par. 70.</w:t>
      </w:r>
    </w:p>
  </w:footnote>
  <w:footnote w:id="48">
    <w:p w14:paraId="56A85DED" w14:textId="7A7AA1AD" w:rsidR="00157A64" w:rsidRPr="00B11003" w:rsidRDefault="00157A64" w:rsidP="00B11003">
      <w:pPr>
        <w:pStyle w:val="Notedebasdepage"/>
        <w:jc w:val="both"/>
        <w:rPr>
          <w:rFonts w:ascii="Times New Roman" w:hAnsi="Times New Roman" w:cs="Times New Roman"/>
          <w:color w:val="000000" w:themeColor="text1"/>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CNP</w:t>
      </w:r>
      <w:r w:rsidR="00727814" w:rsidRPr="00B11003">
        <w:rPr>
          <w:rFonts w:ascii="Times New Roman" w:hAnsi="Times New Roman" w:cs="Times New Roman"/>
          <w:color w:val="000000" w:themeColor="text1"/>
        </w:rPr>
        <w:t xml:space="preserve">T, </w:t>
      </w:r>
      <w:r w:rsidR="00727814" w:rsidRPr="00B11003">
        <w:rPr>
          <w:rFonts w:ascii="Times New Roman" w:hAnsi="Times New Roman" w:cs="Times New Roman"/>
          <w:i/>
          <w:iCs/>
          <w:color w:val="000000" w:themeColor="text1"/>
        </w:rPr>
        <w:t>Exécution des mesures en Suisse : rapport thématique sur les visites effectuées par la CNPT entre 2013 et 2016</w:t>
      </w:r>
      <w:r w:rsidRPr="00B11003">
        <w:rPr>
          <w:rFonts w:ascii="Times New Roman" w:hAnsi="Times New Roman" w:cs="Times New Roman"/>
          <w:color w:val="000000" w:themeColor="text1"/>
        </w:rPr>
        <w:t xml:space="preserve">, </w:t>
      </w:r>
      <w:r w:rsidR="00727814" w:rsidRPr="00B11003">
        <w:rPr>
          <w:rFonts w:ascii="Times New Roman" w:hAnsi="Times New Roman" w:cs="Times New Roman"/>
          <w:color w:val="000000" w:themeColor="text1"/>
        </w:rPr>
        <w:t>18 mai 2017, par.</w:t>
      </w:r>
      <w:r w:rsidRPr="00B11003">
        <w:rPr>
          <w:rFonts w:ascii="Times New Roman" w:hAnsi="Times New Roman" w:cs="Times New Roman"/>
          <w:color w:val="000000" w:themeColor="text1"/>
        </w:rPr>
        <w:t xml:space="preserve"> 55.</w:t>
      </w:r>
    </w:p>
  </w:footnote>
  <w:footnote w:id="49">
    <w:p w14:paraId="142841EA" w14:textId="31A624B6"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CRPD</w:t>
      </w:r>
      <w:r w:rsidR="00727814" w:rsidRPr="00B11003">
        <w:rPr>
          <w:rFonts w:ascii="Times New Roman" w:hAnsi="Times New Roman" w:cs="Times New Roman"/>
          <w:color w:val="000000" w:themeColor="text1"/>
        </w:rPr>
        <w:t xml:space="preserve">, </w:t>
      </w:r>
      <w:r w:rsidR="00727814" w:rsidRPr="00B11003">
        <w:rPr>
          <w:rFonts w:ascii="Times New Roman" w:hAnsi="Times New Roman" w:cs="Times New Roman"/>
          <w:i/>
          <w:iCs/>
          <w:color w:val="000000" w:themeColor="text1"/>
        </w:rPr>
        <w:t>Observation générale n° 1</w:t>
      </w:r>
      <w:r w:rsidRPr="00B11003">
        <w:rPr>
          <w:rFonts w:ascii="Times New Roman" w:hAnsi="Times New Roman" w:cs="Times New Roman"/>
          <w:color w:val="000000" w:themeColor="text1"/>
        </w:rPr>
        <w:t xml:space="preserve">, </w:t>
      </w:r>
      <w:r w:rsidR="00727814" w:rsidRPr="00B11003">
        <w:rPr>
          <w:rFonts w:ascii="Times New Roman" w:hAnsi="Times New Roman" w:cs="Times New Roman"/>
          <w:color w:val="000000" w:themeColor="text1"/>
        </w:rPr>
        <w:t>CRPD/C/GC/1, 19 mai 2014, par.</w:t>
      </w:r>
      <w:r w:rsidRPr="00B11003">
        <w:rPr>
          <w:rFonts w:ascii="Times New Roman" w:hAnsi="Times New Roman" w:cs="Times New Roman"/>
          <w:color w:val="000000" w:themeColor="text1"/>
        </w:rPr>
        <w:t xml:space="preserve"> 41</w:t>
      </w:r>
      <w:r w:rsidR="00727814" w:rsidRPr="00B11003">
        <w:rPr>
          <w:rFonts w:ascii="Times New Roman" w:hAnsi="Times New Roman" w:cs="Times New Roman"/>
          <w:color w:val="000000" w:themeColor="text1"/>
        </w:rPr>
        <w:t>-</w:t>
      </w:r>
      <w:r w:rsidRPr="00B11003">
        <w:rPr>
          <w:rFonts w:ascii="Times New Roman" w:hAnsi="Times New Roman" w:cs="Times New Roman"/>
          <w:color w:val="000000" w:themeColor="text1"/>
        </w:rPr>
        <w:t>42.</w:t>
      </w:r>
    </w:p>
  </w:footnote>
  <w:footnote w:id="50">
    <w:p w14:paraId="6775684D" w14:textId="2F927E0A"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CPT, </w:t>
      </w:r>
      <w:r w:rsidR="00727814" w:rsidRPr="00B11003">
        <w:rPr>
          <w:rFonts w:ascii="Times New Roman" w:hAnsi="Times New Roman" w:cs="Times New Roman"/>
          <w:i/>
          <w:iCs/>
          <w:color w:val="000000" w:themeColor="text1"/>
        </w:rPr>
        <w:t>Rapport visite en Suisse</w:t>
      </w:r>
      <w:r w:rsidR="00727814" w:rsidRPr="00B11003">
        <w:rPr>
          <w:rFonts w:ascii="Times New Roman" w:hAnsi="Times New Roman" w:cs="Times New Roman"/>
          <w:color w:val="000000" w:themeColor="text1"/>
        </w:rPr>
        <w:t xml:space="preserve">, CPT/Inf (2012)26, 25 octobre 2012, par. </w:t>
      </w:r>
      <w:r w:rsidRPr="00B11003">
        <w:rPr>
          <w:rFonts w:ascii="Times New Roman" w:hAnsi="Times New Roman" w:cs="Times New Roman"/>
          <w:color w:val="000000" w:themeColor="text1"/>
        </w:rPr>
        <w:t xml:space="preserve">75 ; </w:t>
      </w:r>
      <w:r w:rsidR="00727814" w:rsidRPr="00B11003">
        <w:rPr>
          <w:rFonts w:ascii="Times New Roman" w:hAnsi="Times New Roman" w:cs="Times New Roman"/>
          <w:color w:val="000000" w:themeColor="text1"/>
        </w:rPr>
        <w:t xml:space="preserve">Académie Suisse des Sciences Médicales, </w:t>
      </w:r>
      <w:r w:rsidR="00727814" w:rsidRPr="00B11003">
        <w:rPr>
          <w:rFonts w:ascii="Times New Roman" w:hAnsi="Times New Roman" w:cs="Times New Roman"/>
          <w:i/>
          <w:iCs/>
          <w:color w:val="000000" w:themeColor="text1"/>
        </w:rPr>
        <w:t>Exercice de la médecine auprès de personnes détenues</w:t>
      </w:r>
      <w:r w:rsidRPr="00B11003">
        <w:rPr>
          <w:rFonts w:ascii="Times New Roman" w:hAnsi="Times New Roman" w:cs="Times New Roman"/>
          <w:color w:val="000000" w:themeColor="text1"/>
        </w:rPr>
        <w:t xml:space="preserve">, </w:t>
      </w:r>
      <w:r w:rsidR="00727814" w:rsidRPr="00B11003">
        <w:rPr>
          <w:rFonts w:ascii="Times New Roman" w:hAnsi="Times New Roman" w:cs="Times New Roman"/>
          <w:color w:val="000000" w:themeColor="text1"/>
        </w:rPr>
        <w:t xml:space="preserve">2018, </w:t>
      </w:r>
      <w:r w:rsidRPr="00B11003">
        <w:rPr>
          <w:rFonts w:ascii="Times New Roman" w:hAnsi="Times New Roman" w:cs="Times New Roman"/>
          <w:color w:val="000000" w:themeColor="text1"/>
        </w:rPr>
        <w:t>p. 16</w:t>
      </w:r>
      <w:r w:rsidR="00727814" w:rsidRPr="00B11003">
        <w:rPr>
          <w:rFonts w:ascii="Times New Roman" w:hAnsi="Times New Roman" w:cs="Times New Roman"/>
          <w:color w:val="000000" w:themeColor="text1"/>
        </w:rPr>
        <w:t xml:space="preserve"> et. p.</w:t>
      </w:r>
      <w:r w:rsidRPr="00B11003">
        <w:rPr>
          <w:rFonts w:ascii="Times New Roman" w:hAnsi="Times New Roman" w:cs="Times New Roman"/>
          <w:color w:val="000000" w:themeColor="text1"/>
        </w:rPr>
        <w:t xml:space="preserve"> 18.</w:t>
      </w:r>
    </w:p>
  </w:footnote>
  <w:footnote w:id="51">
    <w:p w14:paraId="1E2F37F4" w14:textId="3446A5A5" w:rsidR="00157A64" w:rsidRPr="00B11003" w:rsidRDefault="00157A64" w:rsidP="00B11003">
      <w:pPr>
        <w:pStyle w:val="Notedebasdepage"/>
        <w:jc w:val="both"/>
        <w:rPr>
          <w:rFonts w:ascii="Times New Roman" w:hAnsi="Times New Roman" w:cs="Times New Roman"/>
          <w:color w:val="000000" w:themeColor="text1"/>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727814" w:rsidRPr="00B11003">
        <w:rPr>
          <w:rFonts w:ascii="Times New Roman" w:hAnsi="Times New Roman" w:cs="Times New Roman"/>
          <w:smallCaps/>
          <w:color w:val="000000" w:themeColor="text1"/>
        </w:rPr>
        <w:t xml:space="preserve">Brägger F. </w:t>
      </w:r>
      <w:r w:rsidR="00727814" w:rsidRPr="00B11003">
        <w:rPr>
          <w:rFonts w:ascii="Times New Roman" w:hAnsi="Times New Roman" w:cs="Times New Roman"/>
          <w:color w:val="000000" w:themeColor="text1"/>
        </w:rPr>
        <w:t>Benjamin</w:t>
      </w:r>
      <w:r w:rsidR="00727814" w:rsidRPr="00B11003">
        <w:rPr>
          <w:rFonts w:ascii="Times New Roman" w:hAnsi="Times New Roman" w:cs="Times New Roman"/>
          <w:smallCaps/>
          <w:color w:val="000000" w:themeColor="text1"/>
        </w:rPr>
        <w:t>,</w:t>
      </w:r>
      <w:r w:rsidR="00727814" w:rsidRPr="00B11003">
        <w:rPr>
          <w:rFonts w:ascii="Times New Roman" w:hAnsi="Times New Roman" w:cs="Times New Roman"/>
          <w:color w:val="000000" w:themeColor="text1"/>
        </w:rPr>
        <w:t xml:space="preserve"> « Contrainte directe/Moyens de contrainte », </w:t>
      </w:r>
      <w:r w:rsidR="00727814" w:rsidRPr="00B11003">
        <w:rPr>
          <w:rFonts w:ascii="Times New Roman" w:hAnsi="Times New Roman" w:cs="Times New Roman"/>
          <w:i/>
          <w:iCs/>
          <w:color w:val="000000" w:themeColor="text1"/>
        </w:rPr>
        <w:t xml:space="preserve">in </w:t>
      </w:r>
      <w:r w:rsidR="00727814" w:rsidRPr="00B11003">
        <w:rPr>
          <w:rFonts w:ascii="Times New Roman" w:hAnsi="Times New Roman" w:cs="Times New Roman"/>
          <w:color w:val="000000" w:themeColor="text1"/>
        </w:rPr>
        <w:t>B</w:t>
      </w:r>
      <w:r w:rsidR="00727814" w:rsidRPr="00B11003">
        <w:rPr>
          <w:rFonts w:ascii="Times New Roman" w:hAnsi="Times New Roman" w:cs="Times New Roman"/>
          <w:smallCaps/>
          <w:color w:val="000000" w:themeColor="text1"/>
        </w:rPr>
        <w:t>rägger</w:t>
      </w:r>
      <w:r w:rsidR="00727814" w:rsidRPr="00B11003">
        <w:rPr>
          <w:rFonts w:ascii="Times New Roman" w:hAnsi="Times New Roman" w:cs="Times New Roman"/>
          <w:color w:val="000000" w:themeColor="text1"/>
        </w:rPr>
        <w:t xml:space="preserve"> B. F. et V</w:t>
      </w:r>
      <w:r w:rsidR="00727814" w:rsidRPr="00B11003">
        <w:rPr>
          <w:rFonts w:ascii="Times New Roman" w:hAnsi="Times New Roman" w:cs="Times New Roman"/>
          <w:smallCaps/>
          <w:color w:val="000000" w:themeColor="text1"/>
        </w:rPr>
        <w:t>uille</w:t>
      </w:r>
      <w:r w:rsidR="00727814" w:rsidRPr="00B11003">
        <w:rPr>
          <w:rFonts w:ascii="Times New Roman" w:hAnsi="Times New Roman" w:cs="Times New Roman"/>
          <w:color w:val="000000" w:themeColor="text1"/>
        </w:rPr>
        <w:t xml:space="preserve"> J. (éd.),</w:t>
      </w:r>
      <w:r w:rsidR="00727814" w:rsidRPr="00B11003">
        <w:rPr>
          <w:rFonts w:ascii="Times New Roman" w:hAnsi="Times New Roman" w:cs="Times New Roman"/>
          <w:i/>
          <w:iCs/>
          <w:color w:val="000000" w:themeColor="text1"/>
        </w:rPr>
        <w:t xml:space="preserve"> Lexique pénitentiaire suisse. De l’arrestation provisoire à la libération conditionnelle, </w:t>
      </w:r>
      <w:r w:rsidR="00727814" w:rsidRPr="00B11003">
        <w:rPr>
          <w:rFonts w:ascii="Times New Roman" w:hAnsi="Times New Roman" w:cs="Times New Roman"/>
          <w:color w:val="000000" w:themeColor="text1"/>
        </w:rPr>
        <w:t>Bâle, Helbing Lichtenhahn</w:t>
      </w:r>
      <w:r w:rsidR="00727814" w:rsidRPr="00B11003">
        <w:rPr>
          <w:rFonts w:ascii="Times New Roman" w:hAnsi="Times New Roman" w:cs="Times New Roman"/>
          <w:i/>
          <w:iCs/>
          <w:color w:val="000000" w:themeColor="text1"/>
        </w:rPr>
        <w:t>,</w:t>
      </w:r>
      <w:r w:rsidR="00727814" w:rsidRPr="00B11003">
        <w:rPr>
          <w:rFonts w:ascii="Times New Roman" w:hAnsi="Times New Roman" w:cs="Times New Roman"/>
          <w:color w:val="000000" w:themeColor="text1"/>
        </w:rPr>
        <w:t xml:space="preserve"> 2016, p.</w:t>
      </w:r>
      <w:r w:rsidRPr="00B11003">
        <w:rPr>
          <w:rFonts w:ascii="Times New Roman" w:hAnsi="Times New Roman" w:cs="Times New Roman"/>
          <w:color w:val="000000" w:themeColor="text1"/>
        </w:rPr>
        <w:t xml:space="preserve"> 107 ; </w:t>
      </w:r>
      <w:r w:rsidR="004021F6" w:rsidRPr="00B11003">
        <w:rPr>
          <w:rFonts w:ascii="Times New Roman" w:hAnsi="Times New Roman" w:cs="Times New Roman"/>
          <w:color w:val="000000" w:themeColor="text1"/>
        </w:rPr>
        <w:t xml:space="preserve">CPT, </w:t>
      </w:r>
      <w:r w:rsidR="004021F6" w:rsidRPr="00B11003">
        <w:rPr>
          <w:rFonts w:ascii="Times New Roman" w:hAnsi="Times New Roman" w:cs="Times New Roman"/>
          <w:i/>
          <w:iCs/>
          <w:color w:val="000000" w:themeColor="text1"/>
        </w:rPr>
        <w:t>Rapport visite en Suisse</w:t>
      </w:r>
      <w:r w:rsidR="004021F6" w:rsidRPr="00B11003">
        <w:rPr>
          <w:rFonts w:ascii="Times New Roman" w:hAnsi="Times New Roman" w:cs="Times New Roman"/>
          <w:color w:val="000000" w:themeColor="text1"/>
        </w:rPr>
        <w:t>, CPT/Inf (2016)18, 23 juin 2016, par.</w:t>
      </w:r>
      <w:r w:rsidRPr="00B11003">
        <w:rPr>
          <w:rFonts w:ascii="Times New Roman" w:hAnsi="Times New Roman" w:cs="Times New Roman"/>
          <w:color w:val="000000" w:themeColor="text1"/>
        </w:rPr>
        <w:t xml:space="preserve"> 86 ; </w:t>
      </w:r>
      <w:r w:rsidR="00727814" w:rsidRPr="00B11003">
        <w:rPr>
          <w:rFonts w:ascii="Times New Roman" w:hAnsi="Times New Roman" w:cs="Times New Roman"/>
          <w:i/>
          <w:iCs/>
          <w:color w:val="000000" w:themeColor="text1"/>
        </w:rPr>
        <w:t>CNPT, Rapport visite de la Prison de la Croisée</w:t>
      </w:r>
      <w:r w:rsidR="00727814" w:rsidRPr="00B11003">
        <w:rPr>
          <w:rFonts w:ascii="Times New Roman" w:hAnsi="Times New Roman" w:cs="Times New Roman"/>
          <w:color w:val="000000" w:themeColor="text1"/>
        </w:rPr>
        <w:t>, 20 avril 2015, par.</w:t>
      </w:r>
      <w:r w:rsidRPr="00B11003">
        <w:rPr>
          <w:rFonts w:ascii="Times New Roman" w:hAnsi="Times New Roman" w:cs="Times New Roman"/>
          <w:color w:val="000000" w:themeColor="text1"/>
        </w:rPr>
        <w:t xml:space="preserve"> 31.</w:t>
      </w:r>
    </w:p>
  </w:footnote>
  <w:footnote w:id="52">
    <w:p w14:paraId="14824749" w14:textId="14FA546F" w:rsidR="00157A64" w:rsidRPr="00B11003" w:rsidRDefault="00157A64" w:rsidP="00B11003">
      <w:pPr>
        <w:pStyle w:val="Commentair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lang w:val="fr-CH"/>
        </w:rPr>
        <w:t xml:space="preserve"> </w:t>
      </w:r>
      <w:r w:rsidR="004479BF" w:rsidRPr="00B11003">
        <w:rPr>
          <w:rFonts w:ascii="Times New Roman" w:hAnsi="Times New Roman" w:cs="Times New Roman"/>
          <w:color w:val="000000" w:themeColor="text1"/>
          <w:lang w:val="fr-CH"/>
        </w:rPr>
        <w:t xml:space="preserve">CPT, </w:t>
      </w:r>
      <w:r w:rsidRPr="00B11003">
        <w:rPr>
          <w:rFonts w:ascii="Times New Roman" w:hAnsi="Times New Roman" w:cs="Times New Roman"/>
          <w:i/>
          <w:iCs/>
          <w:color w:val="000000" w:themeColor="text1"/>
          <w:lang w:val="fr-CH"/>
        </w:rPr>
        <w:t>R</w:t>
      </w:r>
      <w:r w:rsidR="004479BF" w:rsidRPr="00B11003">
        <w:rPr>
          <w:rFonts w:ascii="Times New Roman" w:hAnsi="Times New Roman" w:cs="Times New Roman"/>
          <w:i/>
          <w:iCs/>
          <w:color w:val="000000" w:themeColor="text1"/>
          <w:lang w:val="fr-CH"/>
        </w:rPr>
        <w:t>apport visite en</w:t>
      </w:r>
      <w:r w:rsidRPr="00B11003">
        <w:rPr>
          <w:rFonts w:ascii="Times New Roman" w:hAnsi="Times New Roman" w:cs="Times New Roman"/>
          <w:i/>
          <w:iCs/>
          <w:color w:val="000000" w:themeColor="text1"/>
          <w:lang w:val="fr-CH"/>
        </w:rPr>
        <w:t xml:space="preserve"> </w:t>
      </w:r>
      <w:r w:rsidR="004479BF" w:rsidRPr="00B11003">
        <w:rPr>
          <w:rFonts w:ascii="Times New Roman" w:hAnsi="Times New Roman" w:cs="Times New Roman"/>
          <w:i/>
          <w:iCs/>
          <w:color w:val="000000" w:themeColor="text1"/>
          <w:lang w:val="fr-CH"/>
        </w:rPr>
        <w:t>Bosnie-Herzégovine</w:t>
      </w:r>
      <w:r w:rsidRPr="00B11003">
        <w:rPr>
          <w:rFonts w:ascii="Times New Roman" w:hAnsi="Times New Roman" w:cs="Times New Roman"/>
          <w:color w:val="000000" w:themeColor="text1"/>
          <w:lang w:val="fr-CH"/>
        </w:rPr>
        <w:t xml:space="preserve">, CPT/Inf (2009)25, </w:t>
      </w:r>
      <w:r w:rsidR="004479BF" w:rsidRPr="00B11003">
        <w:rPr>
          <w:rFonts w:ascii="Times New Roman" w:hAnsi="Times New Roman" w:cs="Times New Roman"/>
          <w:color w:val="000000" w:themeColor="text1"/>
          <w:lang w:val="fr-CH"/>
        </w:rPr>
        <w:t xml:space="preserve">14 octobre 2009, </w:t>
      </w:r>
      <w:r w:rsidRPr="00B11003">
        <w:rPr>
          <w:rFonts w:ascii="Times New Roman" w:hAnsi="Times New Roman" w:cs="Times New Roman"/>
          <w:color w:val="000000" w:themeColor="text1"/>
          <w:lang w:val="fr-CH"/>
        </w:rPr>
        <w:t xml:space="preserve">par. 79 ; </w:t>
      </w:r>
      <w:r w:rsidR="004479BF" w:rsidRPr="00B11003">
        <w:rPr>
          <w:rFonts w:ascii="Times New Roman" w:hAnsi="Times New Roman" w:cs="Times New Roman"/>
          <w:i/>
          <w:iCs/>
          <w:color w:val="000000" w:themeColor="text1"/>
          <w:lang w:val="fr-CH"/>
        </w:rPr>
        <w:t>Rapport visite en République tchèque</w:t>
      </w:r>
      <w:r w:rsidR="004479BF" w:rsidRPr="00B11003">
        <w:rPr>
          <w:rFonts w:ascii="Times New Roman" w:hAnsi="Times New Roman" w:cs="Times New Roman"/>
          <w:color w:val="000000" w:themeColor="text1"/>
          <w:lang w:val="fr-CH"/>
        </w:rPr>
        <w:t>,</w:t>
      </w:r>
      <w:r w:rsidRPr="00B11003">
        <w:rPr>
          <w:rFonts w:ascii="Times New Roman" w:hAnsi="Times New Roman" w:cs="Times New Roman"/>
          <w:color w:val="000000" w:themeColor="text1"/>
          <w:lang w:val="fr-CH"/>
        </w:rPr>
        <w:t xml:space="preserve"> CPT/Inf (2009)8, </w:t>
      </w:r>
      <w:r w:rsidR="004479BF" w:rsidRPr="00B11003">
        <w:rPr>
          <w:rFonts w:ascii="Times New Roman" w:hAnsi="Times New Roman" w:cs="Times New Roman"/>
          <w:color w:val="000000" w:themeColor="text1"/>
          <w:lang w:val="fr-CH"/>
        </w:rPr>
        <w:t xml:space="preserve">5 février 2009, </w:t>
      </w:r>
      <w:r w:rsidRPr="00B11003">
        <w:rPr>
          <w:rFonts w:ascii="Times New Roman" w:hAnsi="Times New Roman" w:cs="Times New Roman"/>
          <w:color w:val="000000" w:themeColor="text1"/>
          <w:lang w:val="fr-CH"/>
        </w:rPr>
        <w:t xml:space="preserve">par. 46. </w:t>
      </w:r>
      <w:r w:rsidRPr="00B11003">
        <w:rPr>
          <w:rFonts w:ascii="Times New Roman" w:hAnsi="Times New Roman" w:cs="Times New Roman"/>
          <w:color w:val="000000" w:themeColor="text1"/>
        </w:rPr>
        <w:t xml:space="preserve">Pour la traduction en francais voir : </w:t>
      </w:r>
      <w:r w:rsidR="004479BF" w:rsidRPr="00B11003">
        <w:rPr>
          <w:rFonts w:ascii="Times New Roman" w:hAnsi="Times New Roman" w:cs="Times New Roman"/>
          <w:i/>
          <w:iCs/>
          <w:color w:val="000000" w:themeColor="text1"/>
        </w:rPr>
        <w:t>Petruş Iacob c. Roumanie</w:t>
      </w:r>
      <w:r w:rsidR="004479BF" w:rsidRPr="00B11003">
        <w:rPr>
          <w:rFonts w:ascii="Times New Roman" w:hAnsi="Times New Roman" w:cs="Times New Roman"/>
          <w:color w:val="000000" w:themeColor="text1"/>
        </w:rPr>
        <w:t>, requête n° 13524/05, 4 décembre 2012, par.</w:t>
      </w:r>
      <w:r w:rsidRPr="00B11003">
        <w:rPr>
          <w:rFonts w:ascii="Times New Roman" w:hAnsi="Times New Roman" w:cs="Times New Roman"/>
          <w:color w:val="000000" w:themeColor="text1"/>
        </w:rPr>
        <w:t xml:space="preserve"> 24.</w:t>
      </w:r>
    </w:p>
  </w:footnote>
  <w:footnote w:id="53">
    <w:p w14:paraId="64F58579" w14:textId="07CB9EE1"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4479BF" w:rsidRPr="00B11003">
        <w:rPr>
          <w:rFonts w:ascii="Times New Roman" w:hAnsi="Times New Roman" w:cs="Times New Roman"/>
          <w:color w:val="000000" w:themeColor="text1"/>
        </w:rPr>
        <w:t>S</w:t>
      </w:r>
      <w:r w:rsidR="004479BF" w:rsidRPr="00B11003">
        <w:rPr>
          <w:rFonts w:ascii="Times New Roman" w:hAnsi="Times New Roman" w:cs="Times New Roman"/>
          <w:smallCaps/>
          <w:color w:val="000000" w:themeColor="text1"/>
        </w:rPr>
        <w:t>calia</w:t>
      </w:r>
      <w:r w:rsidR="004479BF" w:rsidRPr="00B11003">
        <w:rPr>
          <w:rFonts w:ascii="Times New Roman" w:hAnsi="Times New Roman" w:cs="Times New Roman"/>
          <w:color w:val="000000" w:themeColor="text1"/>
        </w:rPr>
        <w:t xml:space="preserve"> Damien, </w:t>
      </w:r>
      <w:r w:rsidR="004479BF" w:rsidRPr="00B11003">
        <w:rPr>
          <w:rFonts w:ascii="Times New Roman" w:hAnsi="Times New Roman" w:cs="Times New Roman"/>
          <w:i/>
          <w:iCs/>
          <w:color w:val="000000" w:themeColor="text1"/>
        </w:rPr>
        <w:t>Droit international de la détention. Des droits des prisonniers aux devoirs des Etats</w:t>
      </w:r>
      <w:r w:rsidR="004479BF" w:rsidRPr="00B11003">
        <w:rPr>
          <w:rFonts w:ascii="Times New Roman" w:hAnsi="Times New Roman" w:cs="Times New Roman"/>
          <w:color w:val="000000" w:themeColor="text1"/>
        </w:rPr>
        <w:t>, Bâle/Paris, Helbing Lichtenhahn/L.G.D.J, 2015,</w:t>
      </w:r>
      <w:r w:rsidRPr="00B11003">
        <w:rPr>
          <w:rFonts w:ascii="Times New Roman" w:hAnsi="Times New Roman" w:cs="Times New Roman"/>
          <w:color w:val="000000" w:themeColor="text1"/>
        </w:rPr>
        <w:t xml:space="preserve"> par. 769 ; </w:t>
      </w:r>
      <w:r w:rsidR="004479BF" w:rsidRPr="00B11003">
        <w:rPr>
          <w:rFonts w:ascii="Times New Roman" w:hAnsi="Times New Roman" w:cs="Times New Roman"/>
          <w:color w:val="000000" w:themeColor="text1"/>
        </w:rPr>
        <w:t xml:space="preserve">CourEDH, </w:t>
      </w:r>
      <w:r w:rsidRPr="00B11003">
        <w:rPr>
          <w:rFonts w:ascii="Times New Roman" w:hAnsi="Times New Roman" w:cs="Times New Roman"/>
          <w:i/>
          <w:iCs/>
          <w:color w:val="000000" w:themeColor="text1"/>
        </w:rPr>
        <w:t>Tali c</w:t>
      </w:r>
      <w:r w:rsidR="004479BF" w:rsidRPr="00B11003">
        <w:rPr>
          <w:rFonts w:ascii="Times New Roman" w:hAnsi="Times New Roman" w:cs="Times New Roman"/>
          <w:i/>
          <w:iCs/>
          <w:color w:val="000000" w:themeColor="text1"/>
        </w:rPr>
        <w:t>.</w:t>
      </w:r>
      <w:r w:rsidRPr="00B11003">
        <w:rPr>
          <w:rFonts w:ascii="Times New Roman" w:hAnsi="Times New Roman" w:cs="Times New Roman"/>
          <w:i/>
          <w:iCs/>
          <w:color w:val="000000" w:themeColor="text1"/>
        </w:rPr>
        <w:t xml:space="preserve"> Estonie</w:t>
      </w:r>
      <w:r w:rsidRPr="00B11003">
        <w:rPr>
          <w:rFonts w:ascii="Times New Roman" w:hAnsi="Times New Roman" w:cs="Times New Roman"/>
          <w:color w:val="000000" w:themeColor="text1"/>
        </w:rPr>
        <w:t xml:space="preserve">, requête </w:t>
      </w:r>
      <w:r w:rsidR="004479BF" w:rsidRPr="00B11003">
        <w:rPr>
          <w:rFonts w:ascii="Times New Roman" w:hAnsi="Times New Roman" w:cs="Times New Roman"/>
          <w:color w:val="000000" w:themeColor="text1"/>
        </w:rPr>
        <w:t>n°</w:t>
      </w:r>
      <w:r w:rsidRPr="00B11003">
        <w:rPr>
          <w:rFonts w:ascii="Times New Roman" w:hAnsi="Times New Roman" w:cs="Times New Roman"/>
          <w:color w:val="000000" w:themeColor="text1"/>
        </w:rPr>
        <w:t xml:space="preserve"> 66393/10, 13 février 2014</w:t>
      </w:r>
      <w:r w:rsidR="004479BF" w:rsidRPr="00B11003">
        <w:rPr>
          <w:rFonts w:ascii="Times New Roman" w:hAnsi="Times New Roman" w:cs="Times New Roman"/>
          <w:color w:val="000000" w:themeColor="text1"/>
        </w:rPr>
        <w:t>,</w:t>
      </w:r>
      <w:r w:rsidRPr="00B11003">
        <w:rPr>
          <w:rFonts w:ascii="Times New Roman" w:hAnsi="Times New Roman" w:cs="Times New Roman"/>
          <w:color w:val="000000" w:themeColor="text1"/>
        </w:rPr>
        <w:t xml:space="preserve"> par. 78 et 82 ; </w:t>
      </w:r>
      <w:r w:rsidR="004479BF" w:rsidRPr="00B11003">
        <w:rPr>
          <w:rFonts w:ascii="Times New Roman" w:hAnsi="Times New Roman" w:cs="Times New Roman"/>
          <w:color w:val="000000" w:themeColor="text1"/>
        </w:rPr>
        <w:t xml:space="preserve">CourEDH, </w:t>
      </w:r>
      <w:r w:rsidRPr="00B11003">
        <w:rPr>
          <w:rFonts w:ascii="Times New Roman" w:hAnsi="Times New Roman" w:cs="Times New Roman"/>
          <w:i/>
          <w:iCs/>
          <w:color w:val="000000" w:themeColor="text1"/>
        </w:rPr>
        <w:t>Petruş Iacob c. Roumanie</w:t>
      </w:r>
      <w:r w:rsidR="004479BF" w:rsidRPr="00B11003">
        <w:rPr>
          <w:rFonts w:ascii="Times New Roman" w:hAnsi="Times New Roman" w:cs="Times New Roman"/>
          <w:color w:val="000000" w:themeColor="text1"/>
        </w:rPr>
        <w:t>, r</w:t>
      </w:r>
      <w:r w:rsidRPr="00B11003">
        <w:rPr>
          <w:rFonts w:ascii="Times New Roman" w:hAnsi="Times New Roman" w:cs="Times New Roman"/>
          <w:color w:val="000000" w:themeColor="text1"/>
        </w:rPr>
        <w:t xml:space="preserve">equête </w:t>
      </w:r>
      <w:r w:rsidR="004479BF" w:rsidRPr="00B11003">
        <w:rPr>
          <w:rFonts w:ascii="Times New Roman" w:hAnsi="Times New Roman" w:cs="Times New Roman"/>
          <w:color w:val="000000" w:themeColor="text1"/>
        </w:rPr>
        <w:t xml:space="preserve">n° </w:t>
      </w:r>
      <w:r w:rsidRPr="00B11003">
        <w:rPr>
          <w:rFonts w:ascii="Times New Roman" w:hAnsi="Times New Roman" w:cs="Times New Roman"/>
          <w:color w:val="000000" w:themeColor="text1"/>
        </w:rPr>
        <w:t>13524/05</w:t>
      </w:r>
      <w:r w:rsidR="004479BF" w:rsidRPr="00B11003">
        <w:rPr>
          <w:rFonts w:ascii="Times New Roman" w:hAnsi="Times New Roman" w:cs="Times New Roman"/>
          <w:color w:val="000000" w:themeColor="text1"/>
        </w:rPr>
        <w:t>, 4 décembre 2012</w:t>
      </w:r>
      <w:r w:rsidRPr="00B11003">
        <w:rPr>
          <w:rFonts w:ascii="Times New Roman" w:hAnsi="Times New Roman" w:cs="Times New Roman"/>
          <w:color w:val="000000" w:themeColor="text1"/>
        </w:rPr>
        <w:t>, par. 28ss</w:t>
      </w:r>
      <w:r w:rsidR="004479BF" w:rsidRPr="00B11003">
        <w:rPr>
          <w:rFonts w:ascii="Times New Roman" w:hAnsi="Times New Roman" w:cs="Times New Roman"/>
          <w:color w:val="000000" w:themeColor="text1"/>
        </w:rPr>
        <w:t>.</w:t>
      </w:r>
    </w:p>
  </w:footnote>
  <w:footnote w:id="54">
    <w:p w14:paraId="3A0E5783" w14:textId="6CCD057F" w:rsidR="00157A64" w:rsidRPr="00B11003" w:rsidRDefault="00157A64" w:rsidP="00B11003">
      <w:pPr>
        <w:pBdr>
          <w:top w:val="nil"/>
          <w:left w:val="nil"/>
          <w:bottom w:val="nil"/>
          <w:right w:val="nil"/>
          <w:between w:val="nil"/>
        </w:pBdr>
        <w:spacing w:line="240" w:lineRule="auto"/>
        <w:jc w:val="both"/>
        <w:rPr>
          <w:rFonts w:ascii="Times New Roman" w:eastAsia="Times New Roman" w:hAnsi="Times New Roman" w:cs="Times New Roman"/>
          <w:color w:val="FF0000"/>
          <w:sz w:val="20"/>
          <w:szCs w:val="20"/>
          <w:lang w:val="de-CH"/>
        </w:rPr>
      </w:pPr>
      <w:r w:rsidRPr="00B11003">
        <w:rPr>
          <w:rFonts w:ascii="Times New Roman" w:hAnsi="Times New Roman" w:cs="Times New Roman"/>
          <w:color w:val="000000" w:themeColor="text1"/>
          <w:sz w:val="20"/>
          <w:szCs w:val="20"/>
          <w:vertAlign w:val="superscript"/>
        </w:rPr>
        <w:footnoteRef/>
      </w:r>
      <w:r w:rsidRPr="00B11003">
        <w:rPr>
          <w:rFonts w:ascii="Times New Roman" w:eastAsia="Times New Roman" w:hAnsi="Times New Roman" w:cs="Times New Roman"/>
          <w:color w:val="000000" w:themeColor="text1"/>
          <w:sz w:val="20"/>
          <w:szCs w:val="20"/>
          <w:lang w:val="de-CH"/>
        </w:rPr>
        <w:t xml:space="preserve"> </w:t>
      </w:r>
      <w:r w:rsidR="004479BF" w:rsidRPr="00B11003">
        <w:rPr>
          <w:rFonts w:ascii="Times New Roman" w:eastAsia="Times New Roman" w:hAnsi="Times New Roman" w:cs="Times New Roman"/>
          <w:color w:val="000000" w:themeColor="text1"/>
          <w:sz w:val="20"/>
          <w:szCs w:val="20"/>
          <w:lang w:val="de-CH"/>
        </w:rPr>
        <w:t>K</w:t>
      </w:r>
      <w:r w:rsidR="004479BF" w:rsidRPr="00B11003">
        <w:rPr>
          <w:rFonts w:ascii="Times New Roman" w:eastAsia="Times New Roman" w:hAnsi="Times New Roman" w:cs="Times New Roman"/>
          <w:smallCaps/>
          <w:color w:val="000000" w:themeColor="text1"/>
          <w:sz w:val="20"/>
          <w:szCs w:val="20"/>
          <w:lang w:val="de-CH"/>
        </w:rPr>
        <w:t>ünzli</w:t>
      </w:r>
      <w:r w:rsidR="004479BF" w:rsidRPr="00B11003">
        <w:rPr>
          <w:rFonts w:ascii="Times New Roman" w:eastAsia="Times New Roman" w:hAnsi="Times New Roman" w:cs="Times New Roman"/>
          <w:color w:val="000000" w:themeColor="text1"/>
          <w:sz w:val="20"/>
          <w:szCs w:val="20"/>
          <w:lang w:val="de-CH"/>
        </w:rPr>
        <w:t xml:space="preserve"> Jörg/F</w:t>
      </w:r>
      <w:r w:rsidR="004479BF" w:rsidRPr="00B11003">
        <w:rPr>
          <w:rFonts w:ascii="Times New Roman" w:eastAsia="Times New Roman" w:hAnsi="Times New Roman" w:cs="Times New Roman"/>
          <w:smallCaps/>
          <w:color w:val="000000" w:themeColor="text1"/>
          <w:sz w:val="20"/>
          <w:szCs w:val="20"/>
          <w:lang w:val="de-CH"/>
        </w:rPr>
        <w:t>rei</w:t>
      </w:r>
      <w:r w:rsidR="004479BF" w:rsidRPr="00B11003">
        <w:rPr>
          <w:rFonts w:ascii="Times New Roman" w:eastAsia="Times New Roman" w:hAnsi="Times New Roman" w:cs="Times New Roman"/>
          <w:color w:val="000000" w:themeColor="text1"/>
          <w:sz w:val="20"/>
          <w:szCs w:val="20"/>
          <w:lang w:val="de-CH"/>
        </w:rPr>
        <w:t xml:space="preserve"> Nula/S</w:t>
      </w:r>
      <w:r w:rsidR="004479BF" w:rsidRPr="00B11003">
        <w:rPr>
          <w:rFonts w:ascii="Times New Roman" w:eastAsia="Times New Roman" w:hAnsi="Times New Roman" w:cs="Times New Roman"/>
          <w:smallCaps/>
          <w:color w:val="000000" w:themeColor="text1"/>
          <w:sz w:val="20"/>
          <w:szCs w:val="20"/>
          <w:lang w:val="de-CH"/>
        </w:rPr>
        <w:t>pring</w:t>
      </w:r>
      <w:r w:rsidR="004479BF" w:rsidRPr="00B11003">
        <w:rPr>
          <w:rFonts w:ascii="Times New Roman" w:eastAsia="Times New Roman" w:hAnsi="Times New Roman" w:cs="Times New Roman"/>
          <w:color w:val="000000" w:themeColor="text1"/>
          <w:sz w:val="20"/>
          <w:szCs w:val="20"/>
          <w:lang w:val="de-CH"/>
        </w:rPr>
        <w:t xml:space="preserve"> Alexander, </w:t>
      </w:r>
      <w:r w:rsidR="004479BF" w:rsidRPr="00B11003">
        <w:rPr>
          <w:rFonts w:ascii="Times New Roman" w:eastAsia="Times New Roman" w:hAnsi="Times New Roman" w:cs="Times New Roman"/>
          <w:i/>
          <w:iCs/>
          <w:color w:val="000000" w:themeColor="text1"/>
          <w:sz w:val="20"/>
          <w:szCs w:val="20"/>
          <w:lang w:val="de-DE"/>
        </w:rPr>
        <w:t>Einzelhaft in Hochsicherheitsabteilungen</w:t>
      </w:r>
      <w:r w:rsidR="00525CB7" w:rsidRPr="00B11003">
        <w:rPr>
          <w:rFonts w:ascii="Times New Roman" w:eastAsia="Times New Roman" w:hAnsi="Times New Roman" w:cs="Times New Roman"/>
          <w:i/>
          <w:iCs/>
          <w:color w:val="000000" w:themeColor="text1"/>
          <w:sz w:val="20"/>
          <w:szCs w:val="20"/>
          <w:lang w:val="de-DE"/>
        </w:rPr>
        <w:t>.</w:t>
      </w:r>
      <w:r w:rsidR="004479BF" w:rsidRPr="00B11003">
        <w:rPr>
          <w:rFonts w:ascii="Times New Roman" w:eastAsia="Times New Roman" w:hAnsi="Times New Roman" w:cs="Times New Roman"/>
          <w:i/>
          <w:iCs/>
          <w:color w:val="000000" w:themeColor="text1"/>
          <w:sz w:val="20"/>
          <w:szCs w:val="20"/>
          <w:lang w:val="de-DE"/>
        </w:rPr>
        <w:t xml:space="preserve"> </w:t>
      </w:r>
      <w:r w:rsidR="004479BF" w:rsidRPr="00B11003">
        <w:rPr>
          <w:rFonts w:ascii="Times New Roman" w:eastAsia="Times New Roman" w:hAnsi="Times New Roman" w:cs="Times New Roman"/>
          <w:i/>
          <w:iCs/>
          <w:color w:val="000000" w:themeColor="text1"/>
          <w:sz w:val="20"/>
          <w:szCs w:val="20"/>
          <w:lang w:val="de-CH"/>
        </w:rPr>
        <w:t>Menschenrechtliche Standards und ihre Umsetzung in der Schweiz</w:t>
      </w:r>
      <w:r w:rsidR="004479BF" w:rsidRPr="00B11003">
        <w:rPr>
          <w:rFonts w:ascii="Times New Roman" w:eastAsia="Times New Roman" w:hAnsi="Times New Roman" w:cs="Times New Roman"/>
          <w:color w:val="000000" w:themeColor="text1"/>
          <w:sz w:val="20"/>
          <w:szCs w:val="20"/>
          <w:lang w:val="de-CH"/>
        </w:rPr>
        <w:t>, Berne</w:t>
      </w:r>
      <w:r w:rsidR="00525CB7" w:rsidRPr="00B11003">
        <w:rPr>
          <w:rFonts w:ascii="Times New Roman" w:eastAsia="Times New Roman" w:hAnsi="Times New Roman" w:cs="Times New Roman"/>
          <w:color w:val="000000" w:themeColor="text1"/>
          <w:sz w:val="20"/>
          <w:szCs w:val="20"/>
          <w:lang w:val="de-CH"/>
        </w:rPr>
        <w:t xml:space="preserve">, </w:t>
      </w:r>
      <w:r w:rsidR="00284B1F" w:rsidRPr="00B11003">
        <w:rPr>
          <w:rFonts w:ascii="Times New Roman" w:eastAsia="Times New Roman" w:hAnsi="Times New Roman" w:cs="Times New Roman"/>
          <w:color w:val="000000" w:themeColor="text1"/>
          <w:sz w:val="20"/>
          <w:szCs w:val="20"/>
          <w:lang w:val="de-CH"/>
        </w:rPr>
        <w:t>CSDH</w:t>
      </w:r>
      <w:r w:rsidR="00525CB7" w:rsidRPr="00B11003">
        <w:rPr>
          <w:rFonts w:ascii="Times New Roman" w:eastAsia="Times New Roman" w:hAnsi="Times New Roman" w:cs="Times New Roman"/>
          <w:color w:val="000000" w:themeColor="text1"/>
          <w:sz w:val="20"/>
          <w:szCs w:val="20"/>
          <w:lang w:val="de-CH"/>
        </w:rPr>
        <w:t xml:space="preserve">, </w:t>
      </w:r>
      <w:r w:rsidR="004479BF" w:rsidRPr="00B11003">
        <w:rPr>
          <w:rFonts w:ascii="Times New Roman" w:eastAsia="Times New Roman" w:hAnsi="Times New Roman" w:cs="Times New Roman"/>
          <w:color w:val="000000" w:themeColor="text1"/>
          <w:sz w:val="20"/>
          <w:szCs w:val="20"/>
          <w:lang w:val="de-CH"/>
        </w:rPr>
        <w:t>2014</w:t>
      </w:r>
      <w:r w:rsidR="00525CB7" w:rsidRPr="00B11003">
        <w:rPr>
          <w:rFonts w:ascii="Times New Roman" w:eastAsia="Times New Roman" w:hAnsi="Times New Roman" w:cs="Times New Roman"/>
          <w:color w:val="000000" w:themeColor="text1"/>
          <w:sz w:val="20"/>
          <w:szCs w:val="20"/>
          <w:lang w:val="de-CH"/>
        </w:rPr>
        <w:t>,</w:t>
      </w:r>
      <w:r w:rsidRPr="00B11003">
        <w:rPr>
          <w:rFonts w:ascii="Times New Roman" w:eastAsia="Times New Roman" w:hAnsi="Times New Roman" w:cs="Times New Roman"/>
          <w:color w:val="000000" w:themeColor="text1"/>
          <w:sz w:val="20"/>
          <w:szCs w:val="20"/>
          <w:lang w:val="de-CH"/>
        </w:rPr>
        <w:t xml:space="preserve"> p. 21.  </w:t>
      </w:r>
    </w:p>
  </w:footnote>
  <w:footnote w:id="55">
    <w:p w14:paraId="53400D49" w14:textId="39C5060C" w:rsidR="00157A64" w:rsidRPr="00B11003" w:rsidRDefault="00157A64" w:rsidP="00B11003">
      <w:pPr>
        <w:pBdr>
          <w:top w:val="nil"/>
          <w:left w:val="nil"/>
          <w:bottom w:val="nil"/>
          <w:right w:val="nil"/>
          <w:between w:val="nil"/>
        </w:pBdr>
        <w:spacing w:line="240" w:lineRule="auto"/>
        <w:jc w:val="both"/>
        <w:rPr>
          <w:rFonts w:ascii="Times New Roman" w:eastAsia="Times New Roman" w:hAnsi="Times New Roman" w:cs="Times New Roman"/>
          <w:color w:val="FF0000"/>
          <w:sz w:val="20"/>
          <w:szCs w:val="20"/>
          <w:lang w:val="fr-CH"/>
        </w:rPr>
      </w:pPr>
      <w:r w:rsidRPr="00B11003">
        <w:rPr>
          <w:rFonts w:ascii="Times New Roman" w:hAnsi="Times New Roman" w:cs="Times New Roman"/>
          <w:color w:val="000000" w:themeColor="text1"/>
          <w:sz w:val="20"/>
          <w:szCs w:val="20"/>
          <w:vertAlign w:val="superscript"/>
        </w:rPr>
        <w:footnoteRef/>
      </w:r>
      <w:r w:rsidR="00611AE2" w:rsidRPr="00B11003">
        <w:rPr>
          <w:rFonts w:ascii="Times New Roman" w:eastAsia="Times New Roman" w:hAnsi="Times New Roman" w:cs="Times New Roman"/>
          <w:color w:val="000000" w:themeColor="text1"/>
          <w:sz w:val="20"/>
          <w:szCs w:val="20"/>
          <w:lang w:val="fr-CH"/>
        </w:rPr>
        <w:t xml:space="preserve"> </w:t>
      </w:r>
      <w:r w:rsidRPr="00B11003">
        <w:rPr>
          <w:rFonts w:ascii="Times New Roman" w:eastAsia="Times New Roman" w:hAnsi="Times New Roman" w:cs="Times New Roman"/>
          <w:color w:val="000000" w:themeColor="text1"/>
          <w:sz w:val="20"/>
          <w:szCs w:val="20"/>
          <w:lang w:val="fr-CH"/>
        </w:rPr>
        <w:t>CPT</w:t>
      </w:r>
      <w:r w:rsidR="00611AE2" w:rsidRPr="00B11003">
        <w:rPr>
          <w:rFonts w:ascii="Times New Roman" w:eastAsia="Times New Roman" w:hAnsi="Times New Roman" w:cs="Times New Roman"/>
          <w:color w:val="000000" w:themeColor="text1"/>
          <w:sz w:val="20"/>
          <w:szCs w:val="20"/>
          <w:lang w:val="fr-CH"/>
        </w:rPr>
        <w:t xml:space="preserve">, </w:t>
      </w:r>
      <w:r w:rsidR="00611AE2" w:rsidRPr="00B11003">
        <w:rPr>
          <w:rFonts w:ascii="Times New Roman" w:eastAsia="Times New Roman" w:hAnsi="Times New Roman" w:cs="Times New Roman"/>
          <w:i/>
          <w:iCs/>
          <w:color w:val="000000" w:themeColor="text1"/>
          <w:sz w:val="20"/>
          <w:szCs w:val="20"/>
          <w:lang w:val="fr-CH"/>
        </w:rPr>
        <w:t>Les normes du CPT. Chapitres des rapports généraux du CPT consacrés à des questions de fond</w:t>
      </w:r>
      <w:r w:rsidRPr="00B11003">
        <w:rPr>
          <w:rFonts w:ascii="Times New Roman" w:eastAsia="Times New Roman" w:hAnsi="Times New Roman" w:cs="Times New Roman"/>
          <w:color w:val="000000" w:themeColor="text1"/>
          <w:sz w:val="20"/>
          <w:szCs w:val="20"/>
          <w:lang w:val="fr-CH"/>
        </w:rPr>
        <w:t xml:space="preserve">, </w:t>
      </w:r>
      <w:r w:rsidR="00611AE2" w:rsidRPr="00B11003">
        <w:rPr>
          <w:rFonts w:ascii="Times New Roman" w:eastAsia="Times New Roman" w:hAnsi="Times New Roman" w:cs="Times New Roman"/>
          <w:color w:val="000000" w:themeColor="text1"/>
          <w:sz w:val="20"/>
          <w:szCs w:val="20"/>
          <w:lang w:val="fr-CH"/>
        </w:rPr>
        <w:t xml:space="preserve">CPT/Inf/E (2002)1 - Rev. 2003, septembre 2003, </w:t>
      </w:r>
      <w:r w:rsidRPr="00B11003">
        <w:rPr>
          <w:rFonts w:ascii="Times New Roman" w:eastAsia="Times New Roman" w:hAnsi="Times New Roman" w:cs="Times New Roman"/>
          <w:color w:val="000000" w:themeColor="text1"/>
          <w:sz w:val="20"/>
          <w:szCs w:val="20"/>
          <w:lang w:val="fr-CH"/>
        </w:rPr>
        <w:t xml:space="preserve">par. 56 ; </w:t>
      </w:r>
      <w:r w:rsidR="00611AE2" w:rsidRPr="00B11003">
        <w:rPr>
          <w:rFonts w:ascii="Times New Roman" w:eastAsia="Times New Roman" w:hAnsi="Times New Roman" w:cs="Times New Roman"/>
          <w:color w:val="000000" w:themeColor="text1"/>
          <w:sz w:val="20"/>
          <w:szCs w:val="20"/>
          <w:lang w:val="fr-CH"/>
        </w:rPr>
        <w:t>CourEDH,</w:t>
      </w:r>
      <w:r w:rsidRPr="00B11003">
        <w:rPr>
          <w:rFonts w:ascii="Times New Roman" w:eastAsia="Times New Roman" w:hAnsi="Times New Roman" w:cs="Times New Roman"/>
          <w:color w:val="000000" w:themeColor="text1"/>
          <w:sz w:val="20"/>
          <w:szCs w:val="20"/>
          <w:lang w:val="fr-CH"/>
        </w:rPr>
        <w:t xml:space="preserve"> </w:t>
      </w:r>
      <w:r w:rsidRPr="00B11003">
        <w:rPr>
          <w:rFonts w:ascii="Times New Roman" w:eastAsia="Times New Roman" w:hAnsi="Times New Roman" w:cs="Times New Roman"/>
          <w:i/>
          <w:color w:val="000000" w:themeColor="text1"/>
          <w:sz w:val="20"/>
          <w:szCs w:val="20"/>
          <w:lang w:val="fr-CH"/>
        </w:rPr>
        <w:t>Renolde c</w:t>
      </w:r>
      <w:r w:rsidR="00611AE2" w:rsidRPr="00B11003">
        <w:rPr>
          <w:rFonts w:ascii="Times New Roman" w:eastAsia="Times New Roman" w:hAnsi="Times New Roman" w:cs="Times New Roman"/>
          <w:i/>
          <w:color w:val="000000" w:themeColor="text1"/>
          <w:sz w:val="20"/>
          <w:szCs w:val="20"/>
          <w:lang w:val="fr-CH"/>
        </w:rPr>
        <w:t>.</w:t>
      </w:r>
      <w:r w:rsidRPr="00B11003">
        <w:rPr>
          <w:rFonts w:ascii="Times New Roman" w:eastAsia="Times New Roman" w:hAnsi="Times New Roman" w:cs="Times New Roman"/>
          <w:i/>
          <w:color w:val="000000" w:themeColor="text1"/>
          <w:sz w:val="20"/>
          <w:szCs w:val="20"/>
          <w:lang w:val="fr-CH"/>
        </w:rPr>
        <w:t xml:space="preserve"> France</w:t>
      </w:r>
      <w:r w:rsidRPr="00B11003">
        <w:rPr>
          <w:rFonts w:ascii="Times New Roman" w:eastAsia="Times New Roman" w:hAnsi="Times New Roman" w:cs="Times New Roman"/>
          <w:color w:val="000000" w:themeColor="text1"/>
          <w:sz w:val="20"/>
          <w:szCs w:val="20"/>
          <w:lang w:val="fr-CH"/>
        </w:rPr>
        <w:t xml:space="preserve">, </w:t>
      </w:r>
      <w:r w:rsidR="00611AE2" w:rsidRPr="00B11003">
        <w:rPr>
          <w:rFonts w:ascii="Times New Roman" w:hAnsi="Times New Roman" w:cs="Times New Roman"/>
          <w:color w:val="000000" w:themeColor="text1"/>
          <w:sz w:val="20"/>
          <w:szCs w:val="20"/>
        </w:rPr>
        <w:t xml:space="preserve">requête n° </w:t>
      </w:r>
      <w:r w:rsidR="00611AE2" w:rsidRPr="00B11003">
        <w:rPr>
          <w:rFonts w:ascii="Times New Roman" w:eastAsia="Times New Roman" w:hAnsi="Times New Roman" w:cs="Times New Roman"/>
          <w:color w:val="000000" w:themeColor="text1"/>
          <w:sz w:val="20"/>
          <w:szCs w:val="20"/>
          <w:lang w:val="fr-CH"/>
        </w:rPr>
        <w:t xml:space="preserve">5608/05, 16 octobre 2008, </w:t>
      </w:r>
      <w:r w:rsidRPr="00B11003">
        <w:rPr>
          <w:rFonts w:ascii="Times New Roman" w:eastAsia="Times New Roman" w:hAnsi="Times New Roman" w:cs="Times New Roman"/>
          <w:color w:val="000000" w:themeColor="text1"/>
          <w:sz w:val="20"/>
          <w:szCs w:val="20"/>
          <w:lang w:val="fr-CH"/>
        </w:rPr>
        <w:t>par. 120 ; CNPT</w:t>
      </w:r>
      <w:r w:rsidR="003D5BA9" w:rsidRPr="00B11003">
        <w:rPr>
          <w:rFonts w:ascii="Times New Roman" w:eastAsia="Times New Roman" w:hAnsi="Times New Roman" w:cs="Times New Roman"/>
          <w:color w:val="000000" w:themeColor="text1"/>
          <w:sz w:val="20"/>
          <w:szCs w:val="20"/>
          <w:lang w:val="fr-CH"/>
        </w:rPr>
        <w:t>,</w:t>
      </w:r>
      <w:r w:rsidRPr="00B11003">
        <w:rPr>
          <w:rFonts w:ascii="Times New Roman" w:eastAsia="Times New Roman" w:hAnsi="Times New Roman" w:cs="Times New Roman"/>
          <w:color w:val="000000" w:themeColor="text1"/>
          <w:sz w:val="20"/>
          <w:szCs w:val="20"/>
          <w:lang w:val="fr-CH"/>
        </w:rPr>
        <w:t xml:space="preserve"> </w:t>
      </w:r>
      <w:r w:rsidR="003D5BA9" w:rsidRPr="00B11003">
        <w:rPr>
          <w:rFonts w:ascii="Times New Roman" w:eastAsia="Times New Roman" w:hAnsi="Times New Roman" w:cs="Times New Roman"/>
          <w:i/>
          <w:iCs/>
          <w:color w:val="000000" w:themeColor="text1"/>
          <w:sz w:val="20"/>
          <w:szCs w:val="20"/>
          <w:lang w:val="fr-CH"/>
        </w:rPr>
        <w:t>Rapport d’activité de la CNPT 2013</w:t>
      </w:r>
      <w:r w:rsidRPr="00B11003">
        <w:rPr>
          <w:rFonts w:ascii="Times New Roman" w:eastAsia="Times New Roman" w:hAnsi="Times New Roman" w:cs="Times New Roman"/>
          <w:color w:val="000000" w:themeColor="text1"/>
          <w:sz w:val="20"/>
          <w:szCs w:val="20"/>
          <w:lang w:val="fr-CH"/>
        </w:rPr>
        <w:t>, p. 38</w:t>
      </w:r>
      <w:r w:rsidR="00525CB7" w:rsidRPr="00B11003">
        <w:rPr>
          <w:rFonts w:ascii="Times New Roman" w:eastAsia="Times New Roman" w:hAnsi="Times New Roman" w:cs="Times New Roman"/>
          <w:color w:val="000000" w:themeColor="text1"/>
          <w:sz w:val="20"/>
          <w:szCs w:val="20"/>
          <w:lang w:val="fr-CH"/>
        </w:rPr>
        <w:t xml:space="preserve"> ; </w:t>
      </w:r>
      <w:r w:rsidR="00525CB7" w:rsidRPr="00B11003">
        <w:rPr>
          <w:rFonts w:ascii="Times New Roman" w:eastAsia="Times New Roman" w:hAnsi="Times New Roman" w:cs="Times New Roman"/>
          <w:smallCaps/>
          <w:color w:val="000000" w:themeColor="text1"/>
          <w:sz w:val="20"/>
          <w:szCs w:val="20"/>
          <w:lang w:val="fr-CH"/>
        </w:rPr>
        <w:t>Wolff</w:t>
      </w:r>
      <w:r w:rsidR="003D5BA9" w:rsidRPr="00B11003">
        <w:rPr>
          <w:rFonts w:ascii="Times New Roman" w:eastAsia="Times New Roman" w:hAnsi="Times New Roman" w:cs="Times New Roman"/>
          <w:smallCaps/>
          <w:color w:val="000000" w:themeColor="text1"/>
          <w:sz w:val="20"/>
          <w:szCs w:val="20"/>
          <w:lang w:val="fr-CH"/>
        </w:rPr>
        <w:t xml:space="preserve"> </w:t>
      </w:r>
      <w:r w:rsidR="003D5BA9" w:rsidRPr="00B11003">
        <w:rPr>
          <w:rFonts w:ascii="Times New Roman" w:eastAsia="Times New Roman" w:hAnsi="Times New Roman" w:cs="Times New Roman"/>
          <w:color w:val="000000" w:themeColor="text1"/>
          <w:sz w:val="20"/>
          <w:szCs w:val="20"/>
          <w:lang w:val="fr-CH"/>
        </w:rPr>
        <w:t>Hans</w:t>
      </w:r>
      <w:r w:rsidR="00525CB7" w:rsidRPr="00B11003">
        <w:rPr>
          <w:rFonts w:ascii="Times New Roman" w:eastAsia="Times New Roman" w:hAnsi="Times New Roman" w:cs="Times New Roman"/>
          <w:color w:val="000000" w:themeColor="text1"/>
          <w:sz w:val="20"/>
          <w:szCs w:val="20"/>
          <w:lang w:val="fr-CH"/>
        </w:rPr>
        <w:t>/</w:t>
      </w:r>
      <w:r w:rsidR="00525CB7" w:rsidRPr="00B11003">
        <w:rPr>
          <w:rFonts w:ascii="Times New Roman" w:eastAsia="Times New Roman" w:hAnsi="Times New Roman" w:cs="Times New Roman"/>
          <w:smallCaps/>
          <w:color w:val="000000" w:themeColor="text1"/>
          <w:sz w:val="20"/>
          <w:szCs w:val="20"/>
          <w:lang w:val="fr-CH"/>
        </w:rPr>
        <w:t>Chetwynd</w:t>
      </w:r>
      <w:r w:rsidR="003D5BA9" w:rsidRPr="00B11003">
        <w:rPr>
          <w:rFonts w:ascii="Times New Roman" w:eastAsia="Times New Roman" w:hAnsi="Times New Roman" w:cs="Times New Roman"/>
          <w:color w:val="000000" w:themeColor="text1"/>
          <w:sz w:val="20"/>
          <w:szCs w:val="20"/>
          <w:lang w:val="fr-CH"/>
        </w:rPr>
        <w:t xml:space="preserve"> Hugh, Une étape importante dans la consolidation des normes</w:t>
      </w:r>
      <w:r w:rsidR="003D5BA9" w:rsidRPr="00B11003">
        <w:rPr>
          <w:rFonts w:ascii="Times New Roman" w:eastAsia="Times New Roman" w:hAnsi="Times New Roman" w:cs="Times New Roman"/>
          <w:i/>
          <w:iCs/>
          <w:color w:val="000000" w:themeColor="text1"/>
          <w:sz w:val="20"/>
          <w:szCs w:val="20"/>
          <w:lang w:val="fr-CH"/>
        </w:rPr>
        <w:t>, #prison-info</w:t>
      </w:r>
      <w:r w:rsidR="001552F3" w:rsidRPr="00B11003">
        <w:rPr>
          <w:rFonts w:ascii="Times New Roman" w:eastAsia="Times New Roman" w:hAnsi="Times New Roman" w:cs="Times New Roman"/>
          <w:color w:val="000000" w:themeColor="text1"/>
          <w:sz w:val="20"/>
          <w:szCs w:val="20"/>
          <w:lang w:val="fr-CH"/>
        </w:rPr>
        <w:t xml:space="preserve">, </w:t>
      </w:r>
      <w:r w:rsidR="003D5BA9" w:rsidRPr="00B11003">
        <w:rPr>
          <w:rFonts w:ascii="Times New Roman" w:eastAsia="Times New Roman" w:hAnsi="Times New Roman" w:cs="Times New Roman"/>
          <w:color w:val="000000" w:themeColor="text1"/>
          <w:sz w:val="20"/>
          <w:szCs w:val="20"/>
          <w:lang w:val="fr-CH"/>
        </w:rPr>
        <w:t>2020</w:t>
      </w:r>
      <w:r w:rsidR="001552F3" w:rsidRPr="00B11003">
        <w:rPr>
          <w:rFonts w:ascii="Times New Roman" w:eastAsia="Times New Roman" w:hAnsi="Times New Roman" w:cs="Times New Roman"/>
          <w:color w:val="000000" w:themeColor="text1"/>
          <w:sz w:val="20"/>
          <w:szCs w:val="20"/>
          <w:lang w:val="fr-CH"/>
        </w:rPr>
        <w:t xml:space="preserve">, </w:t>
      </w:r>
      <w:r w:rsidR="00525CB7" w:rsidRPr="00B11003">
        <w:rPr>
          <w:rFonts w:ascii="Times New Roman" w:eastAsia="Times New Roman" w:hAnsi="Times New Roman" w:cs="Times New Roman"/>
          <w:color w:val="000000" w:themeColor="text1"/>
          <w:sz w:val="20"/>
          <w:szCs w:val="20"/>
          <w:lang w:val="fr-CH"/>
        </w:rPr>
        <w:t xml:space="preserve">p. 14 ; </w:t>
      </w:r>
      <w:r w:rsidR="00F34546" w:rsidRPr="00B11003">
        <w:rPr>
          <w:rFonts w:ascii="Times New Roman" w:eastAsia="Times New Roman" w:hAnsi="Times New Roman" w:cs="Times New Roman"/>
          <w:color w:val="000000" w:themeColor="text1"/>
          <w:sz w:val="20"/>
          <w:szCs w:val="20"/>
          <w:lang w:val="fr-CH"/>
        </w:rPr>
        <w:t xml:space="preserve">Penal Reform International/Human Rights Centre, </w:t>
      </w:r>
      <w:r w:rsidR="00F34546" w:rsidRPr="00B11003">
        <w:rPr>
          <w:rFonts w:ascii="Times New Roman" w:eastAsia="Times New Roman" w:hAnsi="Times New Roman" w:cs="Times New Roman"/>
          <w:i/>
          <w:iCs/>
          <w:color w:val="000000" w:themeColor="text1"/>
          <w:sz w:val="20"/>
          <w:szCs w:val="20"/>
          <w:lang w:val="fr-CH"/>
        </w:rPr>
        <w:t>Essex paper 3: Initial guidance on the interpretation and implementation of the UN Nelson Mandela Rules</w:t>
      </w:r>
      <w:r w:rsidR="00F34546" w:rsidRPr="00B11003">
        <w:rPr>
          <w:rFonts w:ascii="Times New Roman" w:eastAsia="Times New Roman" w:hAnsi="Times New Roman" w:cs="Times New Roman"/>
          <w:color w:val="000000" w:themeColor="text1"/>
          <w:sz w:val="20"/>
          <w:szCs w:val="20"/>
          <w:lang w:val="fr-CH"/>
        </w:rPr>
        <w:t xml:space="preserve">, Londres, Penal Reform International, 2017, </w:t>
      </w:r>
      <w:r w:rsidR="00525CB7" w:rsidRPr="00B11003">
        <w:rPr>
          <w:rFonts w:ascii="Times New Roman" w:eastAsia="Times New Roman" w:hAnsi="Times New Roman" w:cs="Times New Roman"/>
          <w:color w:val="000000" w:themeColor="text1"/>
          <w:sz w:val="20"/>
          <w:szCs w:val="20"/>
          <w:lang w:val="fr-CH"/>
        </w:rPr>
        <w:t xml:space="preserve">p. 86 et </w:t>
      </w:r>
      <w:r w:rsidR="001552F3" w:rsidRPr="00B11003">
        <w:rPr>
          <w:rFonts w:ascii="Times New Roman" w:eastAsia="Times New Roman" w:hAnsi="Times New Roman" w:cs="Times New Roman"/>
          <w:color w:val="000000" w:themeColor="text1"/>
          <w:sz w:val="20"/>
          <w:szCs w:val="20"/>
          <w:lang w:val="fr-CH"/>
        </w:rPr>
        <w:t xml:space="preserve">p. </w:t>
      </w:r>
      <w:r w:rsidR="00525CB7" w:rsidRPr="00B11003">
        <w:rPr>
          <w:rFonts w:ascii="Times New Roman" w:eastAsia="Times New Roman" w:hAnsi="Times New Roman" w:cs="Times New Roman"/>
          <w:color w:val="000000" w:themeColor="text1"/>
          <w:sz w:val="20"/>
          <w:szCs w:val="20"/>
          <w:lang w:val="fr-CH"/>
        </w:rPr>
        <w:t>90.</w:t>
      </w:r>
    </w:p>
  </w:footnote>
  <w:footnote w:id="56">
    <w:p w14:paraId="5B4A9B69" w14:textId="78205DCD" w:rsidR="00157A64" w:rsidRPr="00B11003" w:rsidRDefault="00157A64"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Pr="00B11003">
        <w:rPr>
          <w:rFonts w:ascii="Times New Roman" w:eastAsia="Times" w:hAnsi="Times New Roman" w:cs="Times New Roman"/>
          <w:color w:val="000000" w:themeColor="text1"/>
          <w:lang w:val="fr-CH"/>
        </w:rPr>
        <w:t>Règles Nelson Mandela </w:t>
      </w:r>
      <w:r w:rsidR="008C1382" w:rsidRPr="00B11003">
        <w:rPr>
          <w:rFonts w:ascii="Times New Roman" w:eastAsia="Times" w:hAnsi="Times New Roman" w:cs="Times New Roman"/>
          <w:color w:val="000000" w:themeColor="text1"/>
          <w:lang w:val="fr-CH"/>
        </w:rPr>
        <w:t xml:space="preserve">(Règle 45) </w:t>
      </w:r>
      <w:r w:rsidRPr="00B11003">
        <w:rPr>
          <w:rFonts w:ascii="Times New Roman" w:eastAsia="Times" w:hAnsi="Times New Roman" w:cs="Times New Roman"/>
          <w:color w:val="000000" w:themeColor="text1"/>
          <w:lang w:val="fr-CH"/>
        </w:rPr>
        <w:t>; Règles pénitentiaires européennes</w:t>
      </w:r>
      <w:r w:rsidR="008C1382" w:rsidRPr="00B11003">
        <w:rPr>
          <w:rFonts w:ascii="Times New Roman" w:eastAsia="Times" w:hAnsi="Times New Roman" w:cs="Times New Roman"/>
          <w:color w:val="000000" w:themeColor="text1"/>
          <w:lang w:val="fr-CH"/>
        </w:rPr>
        <w:t xml:space="preserve"> (Règle 60.6.b).</w:t>
      </w:r>
    </w:p>
  </w:footnote>
  <w:footnote w:id="57">
    <w:p w14:paraId="5838E894" w14:textId="0DFFDA4A" w:rsidR="00157A64" w:rsidRPr="00B11003" w:rsidRDefault="00157A64" w:rsidP="00B11003">
      <w:pPr>
        <w:spacing w:line="240" w:lineRule="auto"/>
        <w:jc w:val="both"/>
        <w:rPr>
          <w:rFonts w:ascii="Times New Roman" w:hAnsi="Times New Roman" w:cs="Times New Roman"/>
          <w:color w:val="000000" w:themeColor="text1"/>
          <w:sz w:val="20"/>
          <w:szCs w:val="20"/>
        </w:rPr>
      </w:pPr>
      <w:r w:rsidRPr="00B11003">
        <w:rPr>
          <w:rFonts w:ascii="Times New Roman" w:hAnsi="Times New Roman" w:cs="Times New Roman"/>
          <w:color w:val="000000" w:themeColor="text1"/>
          <w:sz w:val="20"/>
          <w:szCs w:val="20"/>
          <w:vertAlign w:val="superscript"/>
        </w:rPr>
        <w:footnoteRef/>
      </w:r>
      <w:r w:rsidRPr="00B11003">
        <w:rPr>
          <w:rFonts w:ascii="Times New Roman" w:eastAsia="Times New Roman" w:hAnsi="Times New Roman" w:cs="Times New Roman"/>
          <w:color w:val="000000" w:themeColor="text1"/>
          <w:sz w:val="20"/>
          <w:szCs w:val="20"/>
        </w:rPr>
        <w:t xml:space="preserve"> </w:t>
      </w:r>
      <w:r w:rsidRPr="00B11003">
        <w:rPr>
          <w:rFonts w:ascii="Times New Roman" w:hAnsi="Times New Roman" w:cs="Times New Roman"/>
          <w:color w:val="000000" w:themeColor="text1"/>
          <w:sz w:val="20"/>
          <w:szCs w:val="20"/>
          <w:lang w:val="fr-CH"/>
        </w:rPr>
        <w:t>CNPT</w:t>
      </w:r>
      <w:r w:rsidR="001A3B64" w:rsidRPr="00B11003">
        <w:rPr>
          <w:rFonts w:ascii="Times New Roman" w:hAnsi="Times New Roman" w:cs="Times New Roman"/>
          <w:color w:val="000000" w:themeColor="text1"/>
          <w:sz w:val="20"/>
          <w:szCs w:val="20"/>
          <w:lang w:val="fr-CH"/>
        </w:rPr>
        <w:t>,</w:t>
      </w:r>
      <w:r w:rsidRPr="00B11003">
        <w:rPr>
          <w:rFonts w:ascii="Times New Roman" w:hAnsi="Times New Roman" w:cs="Times New Roman"/>
          <w:color w:val="000000" w:themeColor="text1"/>
          <w:sz w:val="20"/>
          <w:szCs w:val="20"/>
          <w:lang w:val="fr-CH"/>
        </w:rPr>
        <w:t xml:space="preserve"> </w:t>
      </w:r>
      <w:r w:rsidR="001A3B64" w:rsidRPr="00B11003">
        <w:rPr>
          <w:rFonts w:ascii="Times New Roman" w:hAnsi="Times New Roman" w:cs="Times New Roman"/>
          <w:i/>
          <w:iCs/>
          <w:color w:val="000000" w:themeColor="text1"/>
          <w:sz w:val="20"/>
          <w:szCs w:val="20"/>
          <w:lang w:val="fr-CH"/>
        </w:rPr>
        <w:t>Haftbedingungen von Herrn B.K. in der Justizvollzugsanstalt Pöschwies</w:t>
      </w:r>
      <w:r w:rsidRPr="00B11003">
        <w:rPr>
          <w:rFonts w:ascii="Times New Roman" w:hAnsi="Times New Roman" w:cs="Times New Roman"/>
          <w:color w:val="000000" w:themeColor="text1"/>
          <w:sz w:val="20"/>
          <w:szCs w:val="20"/>
          <w:lang w:val="fr-CH"/>
        </w:rPr>
        <w:t>,</w:t>
      </w:r>
      <w:r w:rsidR="001A3B64" w:rsidRPr="00B11003">
        <w:rPr>
          <w:rFonts w:ascii="Times New Roman" w:hAnsi="Times New Roman" w:cs="Times New Roman"/>
          <w:color w:val="000000" w:themeColor="text1"/>
          <w:sz w:val="20"/>
          <w:szCs w:val="20"/>
          <w:lang w:val="fr-CH"/>
        </w:rPr>
        <w:t xml:space="preserve"> 22 septembre 2021,</w:t>
      </w:r>
      <w:r w:rsidRPr="00B11003">
        <w:rPr>
          <w:rFonts w:ascii="Times New Roman" w:hAnsi="Times New Roman" w:cs="Times New Roman"/>
          <w:color w:val="000000" w:themeColor="text1"/>
          <w:sz w:val="20"/>
          <w:szCs w:val="20"/>
          <w:lang w:val="fr-CH"/>
        </w:rPr>
        <w:t xml:space="preserve"> </w:t>
      </w:r>
      <w:r w:rsidR="009E322B" w:rsidRPr="00B11003">
        <w:rPr>
          <w:rFonts w:ascii="Times New Roman" w:hAnsi="Times New Roman" w:cs="Times New Roman"/>
          <w:color w:val="000000" w:themeColor="text1"/>
          <w:sz w:val="20"/>
          <w:szCs w:val="20"/>
          <w:lang w:val="fr-CH"/>
        </w:rPr>
        <w:t>par.</w:t>
      </w:r>
      <w:r w:rsidRPr="00B11003">
        <w:rPr>
          <w:rFonts w:ascii="Times New Roman" w:hAnsi="Times New Roman" w:cs="Times New Roman"/>
          <w:color w:val="000000" w:themeColor="text1"/>
          <w:sz w:val="20"/>
          <w:szCs w:val="20"/>
          <w:lang w:val="fr-CH"/>
        </w:rPr>
        <w:t xml:space="preserve"> 13 ;</w:t>
      </w:r>
      <w:r w:rsidR="001A3B64" w:rsidRPr="00B11003">
        <w:rPr>
          <w:rFonts w:ascii="Times New Roman" w:hAnsi="Times New Roman" w:cs="Times New Roman"/>
          <w:color w:val="000000" w:themeColor="text1"/>
          <w:sz w:val="20"/>
          <w:szCs w:val="20"/>
          <w:lang w:val="fr-CH"/>
        </w:rPr>
        <w:t xml:space="preserve"> </w:t>
      </w:r>
      <w:r w:rsidRPr="00B11003">
        <w:rPr>
          <w:rFonts w:ascii="Times New Roman" w:hAnsi="Times New Roman" w:cs="Times New Roman"/>
          <w:color w:val="000000" w:themeColor="text1"/>
          <w:sz w:val="20"/>
          <w:szCs w:val="20"/>
        </w:rPr>
        <w:t>CNPT</w:t>
      </w:r>
      <w:r w:rsidR="009E322B" w:rsidRPr="00B11003">
        <w:rPr>
          <w:rFonts w:ascii="Times New Roman" w:hAnsi="Times New Roman" w:cs="Times New Roman"/>
          <w:color w:val="000000" w:themeColor="text1"/>
          <w:sz w:val="20"/>
          <w:szCs w:val="20"/>
        </w:rPr>
        <w:t>,</w:t>
      </w:r>
      <w:r w:rsidRPr="00B11003">
        <w:rPr>
          <w:rFonts w:ascii="Times New Roman" w:hAnsi="Times New Roman" w:cs="Times New Roman"/>
          <w:color w:val="000000" w:themeColor="text1"/>
          <w:sz w:val="20"/>
          <w:szCs w:val="20"/>
        </w:rPr>
        <w:t xml:space="preserve"> </w:t>
      </w:r>
      <w:r w:rsidR="001A3B64" w:rsidRPr="00B11003">
        <w:rPr>
          <w:rFonts w:ascii="Times New Roman" w:hAnsi="Times New Roman" w:cs="Times New Roman"/>
          <w:i/>
          <w:iCs/>
          <w:color w:val="000000" w:themeColor="text1"/>
          <w:sz w:val="20"/>
          <w:szCs w:val="20"/>
        </w:rPr>
        <w:t>Rapport visite prison de Zurich</w:t>
      </w:r>
      <w:r w:rsidRPr="00B11003">
        <w:rPr>
          <w:rFonts w:ascii="Times New Roman" w:hAnsi="Times New Roman" w:cs="Times New Roman"/>
          <w:color w:val="000000" w:themeColor="text1"/>
          <w:sz w:val="20"/>
          <w:szCs w:val="20"/>
        </w:rPr>
        <w:t xml:space="preserve">, </w:t>
      </w:r>
      <w:r w:rsidR="001A3B64" w:rsidRPr="00B11003">
        <w:rPr>
          <w:rFonts w:ascii="Times New Roman" w:hAnsi="Times New Roman" w:cs="Times New Roman"/>
          <w:color w:val="000000" w:themeColor="text1"/>
          <w:sz w:val="20"/>
          <w:szCs w:val="20"/>
        </w:rPr>
        <w:t xml:space="preserve">18 avril 2018, </w:t>
      </w:r>
      <w:r w:rsidR="009E322B" w:rsidRPr="00B11003">
        <w:rPr>
          <w:rFonts w:ascii="Times New Roman" w:hAnsi="Times New Roman" w:cs="Times New Roman"/>
          <w:color w:val="000000" w:themeColor="text1"/>
          <w:sz w:val="20"/>
          <w:szCs w:val="20"/>
        </w:rPr>
        <w:t>par.</w:t>
      </w:r>
      <w:r w:rsidRPr="00B11003">
        <w:rPr>
          <w:rFonts w:ascii="Times New Roman" w:hAnsi="Times New Roman" w:cs="Times New Roman"/>
          <w:color w:val="000000" w:themeColor="text1"/>
          <w:sz w:val="20"/>
          <w:szCs w:val="20"/>
        </w:rPr>
        <w:t xml:space="preserve"> 23</w:t>
      </w:r>
      <w:r w:rsidR="001A3B64" w:rsidRPr="00B11003">
        <w:rPr>
          <w:rFonts w:ascii="Times New Roman" w:hAnsi="Times New Roman" w:cs="Times New Roman"/>
          <w:color w:val="000000" w:themeColor="text1"/>
          <w:sz w:val="20"/>
          <w:szCs w:val="20"/>
        </w:rPr>
        <w:t xml:space="preserve"> ; </w:t>
      </w:r>
      <w:r w:rsidR="00663ABC" w:rsidRPr="00B11003">
        <w:rPr>
          <w:rFonts w:ascii="Times New Roman" w:hAnsi="Times New Roman" w:cs="Times New Roman"/>
          <w:color w:val="000000" w:themeColor="text1"/>
          <w:sz w:val="20"/>
          <w:szCs w:val="20"/>
        </w:rPr>
        <w:t xml:space="preserve">CNPT, </w:t>
      </w:r>
      <w:r w:rsidR="00663ABC" w:rsidRPr="00B11003">
        <w:rPr>
          <w:rFonts w:ascii="Times New Roman" w:eastAsia="Times New Roman" w:hAnsi="Times New Roman" w:cs="Times New Roman"/>
          <w:i/>
          <w:iCs/>
          <w:color w:val="000000" w:themeColor="text1"/>
          <w:sz w:val="20"/>
          <w:szCs w:val="20"/>
        </w:rPr>
        <w:t>Nachfolgebesuch der NKVF in der Sicherheitsabteilung der JVA Lenzburg</w:t>
      </w:r>
      <w:r w:rsidR="00663ABC" w:rsidRPr="00B11003">
        <w:rPr>
          <w:rFonts w:ascii="Times New Roman" w:hAnsi="Times New Roman" w:cs="Times New Roman"/>
          <w:color w:val="000000" w:themeColor="text1"/>
          <w:sz w:val="20"/>
          <w:szCs w:val="20"/>
        </w:rPr>
        <w:t xml:space="preserve">, 6 mars 2018, par. 4ss ; </w:t>
      </w:r>
      <w:r w:rsidR="001A3B64" w:rsidRPr="00B11003">
        <w:rPr>
          <w:rFonts w:ascii="Times New Roman" w:hAnsi="Times New Roman" w:cs="Times New Roman"/>
          <w:color w:val="000000" w:themeColor="text1"/>
          <w:sz w:val="20"/>
          <w:szCs w:val="20"/>
        </w:rPr>
        <w:t xml:space="preserve">CNPT, </w:t>
      </w:r>
      <w:r w:rsidR="001A3B64" w:rsidRPr="00B11003">
        <w:rPr>
          <w:rFonts w:ascii="Times New Roman" w:hAnsi="Times New Roman" w:cs="Times New Roman"/>
          <w:i/>
          <w:iCs/>
          <w:color w:val="000000" w:themeColor="text1"/>
          <w:sz w:val="20"/>
          <w:szCs w:val="20"/>
        </w:rPr>
        <w:t>Visite de suivi dans les unités de haute sécurité de la prison de Thorberg</w:t>
      </w:r>
      <w:r w:rsidR="001A3B64" w:rsidRPr="00B11003">
        <w:rPr>
          <w:rFonts w:ascii="Times New Roman" w:hAnsi="Times New Roman" w:cs="Times New Roman"/>
          <w:color w:val="000000" w:themeColor="text1"/>
          <w:sz w:val="20"/>
          <w:szCs w:val="20"/>
        </w:rPr>
        <w:t xml:space="preserve">, 8 janvier 2018, par. 19-20 ; </w:t>
      </w:r>
      <w:r w:rsidR="001A3B64" w:rsidRPr="00B11003">
        <w:rPr>
          <w:rFonts w:ascii="Times New Roman" w:hAnsi="Times New Roman" w:cs="Times New Roman"/>
          <w:sz w:val="20"/>
          <w:szCs w:val="20"/>
        </w:rPr>
        <w:t xml:space="preserve">CNPT, </w:t>
      </w:r>
      <w:r w:rsidR="001A3B64" w:rsidRPr="00B11003">
        <w:rPr>
          <w:rFonts w:ascii="Times New Roman" w:hAnsi="Times New Roman" w:cs="Times New Roman"/>
          <w:i/>
          <w:iCs/>
          <w:sz w:val="20"/>
          <w:szCs w:val="20"/>
        </w:rPr>
        <w:t xml:space="preserve">Rapport visite </w:t>
      </w:r>
      <w:r w:rsidR="00BF27B5" w:rsidRPr="00B11003">
        <w:rPr>
          <w:rFonts w:ascii="Times New Roman" w:hAnsi="Times New Roman" w:cs="Times New Roman"/>
          <w:i/>
          <w:iCs/>
          <w:sz w:val="20"/>
          <w:szCs w:val="20"/>
        </w:rPr>
        <w:t>aux EPO</w:t>
      </w:r>
      <w:r w:rsidR="001A3B64" w:rsidRPr="00B11003">
        <w:rPr>
          <w:rFonts w:ascii="Times New Roman" w:hAnsi="Times New Roman" w:cs="Times New Roman"/>
          <w:sz w:val="20"/>
          <w:szCs w:val="20"/>
        </w:rPr>
        <w:t xml:space="preserve">, 10 décembre </w:t>
      </w:r>
      <w:r w:rsidR="001A3B64" w:rsidRPr="00B11003">
        <w:rPr>
          <w:rFonts w:ascii="Times New Roman" w:hAnsi="Times New Roman" w:cs="Times New Roman"/>
          <w:color w:val="000000" w:themeColor="text1"/>
          <w:sz w:val="20"/>
          <w:szCs w:val="20"/>
        </w:rPr>
        <w:t>2013, par. 42</w:t>
      </w:r>
      <w:r w:rsidR="00663ABC" w:rsidRPr="00B11003">
        <w:rPr>
          <w:rFonts w:ascii="Times New Roman" w:hAnsi="Times New Roman" w:cs="Times New Roman"/>
          <w:color w:val="000000" w:themeColor="text1"/>
          <w:sz w:val="20"/>
          <w:szCs w:val="20"/>
        </w:rPr>
        <w:t xml:space="preserve"> ; CNPT, </w:t>
      </w:r>
      <w:r w:rsidR="00663ABC" w:rsidRPr="00B11003">
        <w:rPr>
          <w:rFonts w:ascii="Times New Roman" w:hAnsi="Times New Roman" w:cs="Times New Roman"/>
          <w:i/>
          <w:iCs/>
          <w:color w:val="000000" w:themeColor="text1"/>
          <w:sz w:val="20"/>
          <w:szCs w:val="20"/>
        </w:rPr>
        <w:t xml:space="preserve">Rapport visite ad hoc aux </w:t>
      </w:r>
      <w:r w:rsidR="00BF27B5" w:rsidRPr="00B11003">
        <w:rPr>
          <w:rFonts w:ascii="Times New Roman" w:hAnsi="Times New Roman" w:cs="Times New Roman"/>
          <w:i/>
          <w:iCs/>
          <w:color w:val="000000" w:themeColor="text1"/>
          <w:sz w:val="20"/>
          <w:szCs w:val="20"/>
        </w:rPr>
        <w:t>EPO</w:t>
      </w:r>
      <w:r w:rsidR="00663ABC" w:rsidRPr="00B11003">
        <w:rPr>
          <w:rFonts w:ascii="Times New Roman" w:hAnsi="Times New Roman" w:cs="Times New Roman"/>
          <w:i/>
          <w:iCs/>
          <w:color w:val="000000" w:themeColor="text1"/>
          <w:sz w:val="20"/>
          <w:szCs w:val="20"/>
        </w:rPr>
        <w:t>, pénitencier de Bochuz</w:t>
      </w:r>
      <w:r w:rsidR="00663ABC" w:rsidRPr="00B11003">
        <w:rPr>
          <w:rFonts w:ascii="Times New Roman" w:hAnsi="Times New Roman" w:cs="Times New Roman"/>
          <w:color w:val="000000" w:themeColor="text1"/>
          <w:sz w:val="20"/>
          <w:szCs w:val="20"/>
        </w:rPr>
        <w:t>, 20 février 2012, par. 11.</w:t>
      </w:r>
    </w:p>
  </w:footnote>
  <w:footnote w:id="58">
    <w:p w14:paraId="1A3F6304" w14:textId="1067C95D" w:rsidR="00157A64" w:rsidRPr="00B11003" w:rsidRDefault="00157A64" w:rsidP="00B11003">
      <w:pPr>
        <w:pStyle w:val="Notedebasdepage"/>
        <w:jc w:val="both"/>
        <w:rPr>
          <w:rFonts w:ascii="Times New Roman" w:hAnsi="Times New Roman" w:cs="Times New Roman"/>
          <w:smallCaps/>
          <w:color w:val="FF0000"/>
          <w:lang w:val="de-CH"/>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i/>
          <w:color w:val="000000" w:themeColor="text1"/>
          <w:lang w:val="de-CH"/>
        </w:rPr>
        <w:t xml:space="preserve"> </w:t>
      </w:r>
      <w:r w:rsidR="008C1382" w:rsidRPr="00B11003">
        <w:rPr>
          <w:rFonts w:ascii="Times New Roman" w:eastAsia="Times New Roman" w:hAnsi="Times New Roman" w:cs="Times New Roman"/>
          <w:color w:val="000000" w:themeColor="text1"/>
          <w:lang w:val="de-CH"/>
        </w:rPr>
        <w:t>K</w:t>
      </w:r>
      <w:r w:rsidR="008C1382" w:rsidRPr="00B11003">
        <w:rPr>
          <w:rFonts w:ascii="Times New Roman" w:eastAsia="Times New Roman" w:hAnsi="Times New Roman" w:cs="Times New Roman"/>
          <w:smallCaps/>
          <w:color w:val="000000" w:themeColor="text1"/>
          <w:lang w:val="de-CH"/>
        </w:rPr>
        <w:t>ünzli</w:t>
      </w:r>
      <w:r w:rsidR="008C1382" w:rsidRPr="00B11003">
        <w:rPr>
          <w:rFonts w:ascii="Times New Roman" w:eastAsia="Times New Roman" w:hAnsi="Times New Roman" w:cs="Times New Roman"/>
          <w:color w:val="000000" w:themeColor="text1"/>
          <w:lang w:val="de-CH"/>
        </w:rPr>
        <w:t xml:space="preserve"> Jörg/F</w:t>
      </w:r>
      <w:r w:rsidR="008C1382" w:rsidRPr="00B11003">
        <w:rPr>
          <w:rFonts w:ascii="Times New Roman" w:eastAsia="Times New Roman" w:hAnsi="Times New Roman" w:cs="Times New Roman"/>
          <w:smallCaps/>
          <w:color w:val="000000" w:themeColor="text1"/>
          <w:lang w:val="de-CH"/>
        </w:rPr>
        <w:t>rei</w:t>
      </w:r>
      <w:r w:rsidR="008C1382" w:rsidRPr="00B11003">
        <w:rPr>
          <w:rFonts w:ascii="Times New Roman" w:eastAsia="Times New Roman" w:hAnsi="Times New Roman" w:cs="Times New Roman"/>
          <w:color w:val="000000" w:themeColor="text1"/>
          <w:lang w:val="de-CH"/>
        </w:rPr>
        <w:t xml:space="preserve"> Nula/S</w:t>
      </w:r>
      <w:r w:rsidR="008C1382" w:rsidRPr="00B11003">
        <w:rPr>
          <w:rFonts w:ascii="Times New Roman" w:eastAsia="Times New Roman" w:hAnsi="Times New Roman" w:cs="Times New Roman"/>
          <w:smallCaps/>
          <w:color w:val="000000" w:themeColor="text1"/>
          <w:lang w:val="de-CH"/>
        </w:rPr>
        <w:t>pring</w:t>
      </w:r>
      <w:r w:rsidR="008C1382" w:rsidRPr="00B11003">
        <w:rPr>
          <w:rFonts w:ascii="Times New Roman" w:eastAsia="Times New Roman" w:hAnsi="Times New Roman" w:cs="Times New Roman"/>
          <w:color w:val="000000" w:themeColor="text1"/>
          <w:lang w:val="de-CH"/>
        </w:rPr>
        <w:t xml:space="preserve"> Alexander, </w:t>
      </w:r>
      <w:r w:rsidR="008C1382" w:rsidRPr="00B11003">
        <w:rPr>
          <w:rFonts w:ascii="Times New Roman" w:eastAsia="Times New Roman" w:hAnsi="Times New Roman" w:cs="Times New Roman"/>
          <w:i/>
          <w:iCs/>
          <w:color w:val="000000" w:themeColor="text1"/>
          <w:lang w:val="de-DE"/>
        </w:rPr>
        <w:t xml:space="preserve">Einzelhaft in Hochsicherheitsabteilungen. </w:t>
      </w:r>
      <w:r w:rsidR="008C1382" w:rsidRPr="00B11003">
        <w:rPr>
          <w:rFonts w:ascii="Times New Roman" w:eastAsia="Times New Roman" w:hAnsi="Times New Roman" w:cs="Times New Roman"/>
          <w:i/>
          <w:iCs/>
          <w:color w:val="000000" w:themeColor="text1"/>
          <w:lang w:val="de-CH"/>
        </w:rPr>
        <w:t>Menschenrechtliche Standards und ihre Umsetzung in der Schweiz</w:t>
      </w:r>
      <w:r w:rsidR="008C1382" w:rsidRPr="00B11003">
        <w:rPr>
          <w:rFonts w:ascii="Times New Roman" w:eastAsia="Times New Roman" w:hAnsi="Times New Roman" w:cs="Times New Roman"/>
          <w:color w:val="000000" w:themeColor="text1"/>
          <w:lang w:val="de-CH"/>
        </w:rPr>
        <w:t xml:space="preserve">, Berne, </w:t>
      </w:r>
      <w:r w:rsidR="00284B1F" w:rsidRPr="00B11003">
        <w:rPr>
          <w:rFonts w:ascii="Times New Roman" w:eastAsia="Times New Roman" w:hAnsi="Times New Roman" w:cs="Times New Roman"/>
          <w:color w:val="000000" w:themeColor="text1"/>
          <w:lang w:val="de-CH"/>
        </w:rPr>
        <w:t>CSDH</w:t>
      </w:r>
      <w:r w:rsidR="008C1382" w:rsidRPr="00B11003">
        <w:rPr>
          <w:rFonts w:ascii="Times New Roman" w:eastAsia="Times New Roman" w:hAnsi="Times New Roman" w:cs="Times New Roman"/>
          <w:color w:val="000000" w:themeColor="text1"/>
          <w:lang w:val="de-CH"/>
        </w:rPr>
        <w:t>, 2014, p. 30.</w:t>
      </w:r>
    </w:p>
  </w:footnote>
  <w:footnote w:id="59">
    <w:p w14:paraId="0CC63D7D" w14:textId="66936DA9" w:rsidR="00157A64" w:rsidRPr="00B11003" w:rsidRDefault="00157A64" w:rsidP="00B11003">
      <w:pPr>
        <w:spacing w:line="240" w:lineRule="auto"/>
        <w:jc w:val="both"/>
        <w:rPr>
          <w:rFonts w:ascii="Times New Roman" w:eastAsia="Times New Roman" w:hAnsi="Times New Roman" w:cs="Times New Roman"/>
          <w:color w:val="FF0000"/>
          <w:sz w:val="20"/>
          <w:szCs w:val="20"/>
          <w:lang w:val="fr-CH"/>
        </w:rPr>
      </w:pPr>
      <w:r w:rsidRPr="00B11003">
        <w:rPr>
          <w:rFonts w:ascii="Times New Roman" w:hAnsi="Times New Roman" w:cs="Times New Roman"/>
          <w:color w:val="000000" w:themeColor="text1"/>
          <w:sz w:val="20"/>
          <w:szCs w:val="20"/>
          <w:vertAlign w:val="superscript"/>
        </w:rPr>
        <w:footnoteRef/>
      </w:r>
      <w:r w:rsidRPr="00B11003">
        <w:rPr>
          <w:rFonts w:ascii="Times New Roman" w:eastAsia="Times New Roman" w:hAnsi="Times New Roman" w:cs="Times New Roman"/>
          <w:color w:val="000000" w:themeColor="text1"/>
          <w:sz w:val="20"/>
          <w:szCs w:val="20"/>
          <w:lang w:val="fr-CH"/>
        </w:rPr>
        <w:t xml:space="preserve"> </w:t>
      </w:r>
      <w:r w:rsidR="00611AE2" w:rsidRPr="00B11003">
        <w:rPr>
          <w:rFonts w:ascii="Times New Roman" w:hAnsi="Times New Roman" w:cs="Times New Roman"/>
          <w:color w:val="000000" w:themeColor="text1"/>
          <w:sz w:val="20"/>
          <w:szCs w:val="20"/>
        </w:rPr>
        <w:t xml:space="preserve">CNPT, </w:t>
      </w:r>
      <w:r w:rsidR="00611AE2" w:rsidRPr="00B11003">
        <w:rPr>
          <w:rFonts w:ascii="Times New Roman" w:hAnsi="Times New Roman" w:cs="Times New Roman"/>
          <w:i/>
          <w:iCs/>
          <w:color w:val="000000" w:themeColor="text1"/>
          <w:sz w:val="20"/>
          <w:szCs w:val="20"/>
        </w:rPr>
        <w:t>Exécution des mesures en Suisse : rapport thématique sur les visites effectuées par la CNPT entre 2013 et 2016</w:t>
      </w:r>
      <w:r w:rsidR="00611AE2" w:rsidRPr="00B11003">
        <w:rPr>
          <w:rFonts w:ascii="Times New Roman" w:hAnsi="Times New Roman" w:cs="Times New Roman"/>
          <w:color w:val="000000" w:themeColor="text1"/>
          <w:sz w:val="20"/>
          <w:szCs w:val="20"/>
        </w:rPr>
        <w:t xml:space="preserve">, 18 mai 2017, par. </w:t>
      </w:r>
      <w:r w:rsidRPr="00B11003">
        <w:rPr>
          <w:rFonts w:ascii="Times New Roman" w:eastAsia="Times New Roman" w:hAnsi="Times New Roman" w:cs="Times New Roman"/>
          <w:color w:val="000000" w:themeColor="text1"/>
          <w:sz w:val="20"/>
          <w:szCs w:val="20"/>
          <w:lang w:val="fr-CH"/>
        </w:rPr>
        <w:t>95.</w:t>
      </w:r>
    </w:p>
  </w:footnote>
  <w:footnote w:id="60">
    <w:p w14:paraId="2C319E42" w14:textId="410C090A" w:rsidR="00157A64" w:rsidRPr="00B11003" w:rsidRDefault="00157A64" w:rsidP="00B11003">
      <w:pPr>
        <w:pStyle w:val="Notedebasdepage"/>
        <w:jc w:val="both"/>
        <w:rPr>
          <w:rFonts w:ascii="Times New Roman" w:hAnsi="Times New Roman" w:cs="Times New Roman"/>
          <w:color w:val="FF0000"/>
        </w:rPr>
      </w:pPr>
      <w:r w:rsidRPr="00B11003">
        <w:rPr>
          <w:rFonts w:ascii="Times New Roman" w:hAnsi="Times New Roman" w:cs="Times New Roman"/>
          <w:color w:val="000000" w:themeColor="text1"/>
          <w:vertAlign w:val="superscript"/>
        </w:rPr>
        <w:footnoteRef/>
      </w:r>
      <w:r w:rsidRPr="00B11003">
        <w:rPr>
          <w:rFonts w:ascii="Times New Roman" w:eastAsia="Times New Roman" w:hAnsi="Times New Roman" w:cs="Times New Roman"/>
          <w:color w:val="000000" w:themeColor="text1"/>
          <w:lang w:val="fr-CH"/>
        </w:rPr>
        <w:t xml:space="preserve"> </w:t>
      </w:r>
      <w:r w:rsidR="00611AE2" w:rsidRPr="00B11003">
        <w:rPr>
          <w:rFonts w:ascii="Times New Roman" w:hAnsi="Times New Roman" w:cs="Times New Roman"/>
          <w:color w:val="000000" w:themeColor="text1"/>
        </w:rPr>
        <w:t xml:space="preserve">CRPD, </w:t>
      </w:r>
      <w:r w:rsidR="00611AE2" w:rsidRPr="00B11003">
        <w:rPr>
          <w:rFonts w:ascii="Times New Roman" w:hAnsi="Times New Roman" w:cs="Times New Roman"/>
          <w:i/>
          <w:iCs/>
          <w:color w:val="000000" w:themeColor="text1"/>
        </w:rPr>
        <w:t>Observation générale n° 1</w:t>
      </w:r>
      <w:r w:rsidR="00611AE2" w:rsidRPr="00B11003">
        <w:rPr>
          <w:rFonts w:ascii="Times New Roman" w:hAnsi="Times New Roman" w:cs="Times New Roman"/>
          <w:color w:val="000000" w:themeColor="text1"/>
        </w:rPr>
        <w:t>, CRPD/C/GC/1, 19 mai 2014, par</w:t>
      </w:r>
      <w:r w:rsidR="00611AE2" w:rsidRPr="00B11003">
        <w:rPr>
          <w:rFonts w:ascii="Times New Roman" w:eastAsia="Times New Roman" w:hAnsi="Times New Roman" w:cs="Times New Roman"/>
          <w:color w:val="000000" w:themeColor="text1"/>
          <w:lang w:val="fr-CH"/>
        </w:rPr>
        <w:t xml:space="preserve">. </w:t>
      </w:r>
      <w:r w:rsidRPr="00B11003">
        <w:rPr>
          <w:rFonts w:ascii="Times New Roman" w:eastAsia="Times New Roman" w:hAnsi="Times New Roman" w:cs="Times New Roman"/>
          <w:color w:val="000000" w:themeColor="text1"/>
          <w:lang w:val="fr-CH"/>
        </w:rPr>
        <w:t xml:space="preserve">40 ; </w:t>
      </w:r>
      <w:r w:rsidR="009528CF" w:rsidRPr="00B11003">
        <w:rPr>
          <w:rFonts w:ascii="Times New Roman" w:hAnsi="Times New Roman" w:cs="Times New Roman"/>
        </w:rPr>
        <w:t>AGNU</w:t>
      </w:r>
      <w:r w:rsidR="009528CF" w:rsidRPr="00B11003">
        <w:rPr>
          <w:rFonts w:ascii="Times New Roman" w:hAnsi="Times New Roman" w:cs="Times New Roman"/>
          <w:i/>
          <w:iCs/>
        </w:rPr>
        <w:t xml:space="preserve">, Rapport du </w:t>
      </w:r>
      <w:r w:rsidR="00BF27B5" w:rsidRPr="00B11003">
        <w:rPr>
          <w:rFonts w:ascii="Times New Roman" w:hAnsi="Times New Roman" w:cs="Times New Roman"/>
          <w:i/>
          <w:iCs/>
        </w:rPr>
        <w:t>CRPD</w:t>
      </w:r>
      <w:r w:rsidR="009528CF" w:rsidRPr="00B11003">
        <w:rPr>
          <w:rFonts w:ascii="Times New Roman" w:hAnsi="Times New Roman" w:cs="Times New Roman"/>
          <w:i/>
          <w:iCs/>
        </w:rPr>
        <w:t>, Annexe : Directives relatives au droit à la liberté et à la sécurité des personnes handicapées</w:t>
      </w:r>
      <w:r w:rsidR="009528CF" w:rsidRPr="00B11003">
        <w:rPr>
          <w:rFonts w:ascii="Times New Roman" w:hAnsi="Times New Roman" w:cs="Times New Roman"/>
        </w:rPr>
        <w:t xml:space="preserve">, </w:t>
      </w:r>
      <w:r w:rsidR="009528CF" w:rsidRPr="00B11003">
        <w:rPr>
          <w:rFonts w:ascii="Times New Roman" w:hAnsi="Times New Roman" w:cs="Times New Roman"/>
          <w:smallCaps/>
          <w:color w:val="000000" w:themeColor="text1"/>
          <w:shd w:val="clear" w:color="auto" w:fill="FFFFFF"/>
        </w:rPr>
        <w:t>A/72/55</w:t>
      </w:r>
      <w:r w:rsidR="009528CF" w:rsidRPr="00B11003">
        <w:rPr>
          <w:rFonts w:ascii="Times New Roman" w:hAnsi="Times New Roman" w:cs="Times New Roman"/>
          <w:color w:val="000000" w:themeColor="text1"/>
          <w:shd w:val="clear" w:color="auto" w:fill="FFFFFF"/>
        </w:rPr>
        <w:t xml:space="preserve">, 2017, </w:t>
      </w:r>
      <w:r w:rsidR="009528CF" w:rsidRPr="00B11003">
        <w:rPr>
          <w:rFonts w:ascii="Times New Roman" w:hAnsi="Times New Roman" w:cs="Times New Roman"/>
          <w:color w:val="000000" w:themeColor="text1"/>
        </w:rPr>
        <w:t xml:space="preserve">par. </w:t>
      </w:r>
      <w:r w:rsidRPr="00B11003">
        <w:rPr>
          <w:rFonts w:ascii="Times New Roman" w:hAnsi="Times New Roman" w:cs="Times New Roman"/>
          <w:color w:val="000000" w:themeColor="text1"/>
        </w:rPr>
        <w:t>6 et 13</w:t>
      </w:r>
      <w:r w:rsidR="009528CF" w:rsidRPr="00B11003">
        <w:rPr>
          <w:rFonts w:ascii="Times New Roman" w:hAnsi="Times New Roman" w:cs="Times New Roman"/>
          <w:color w:val="000000" w:themeColor="text1"/>
        </w:rPr>
        <w:t>s</w:t>
      </w:r>
      <w:r w:rsidRPr="00B11003">
        <w:rPr>
          <w:rFonts w:ascii="Times New Roman" w:hAnsi="Times New Roman" w:cs="Times New Roman"/>
          <w:color w:val="000000" w:themeColor="text1"/>
        </w:rPr>
        <w:t xml:space="preserve">s ; </w:t>
      </w:r>
      <w:r w:rsidR="00A815CA" w:rsidRPr="00B11003">
        <w:rPr>
          <w:rFonts w:ascii="Times New Roman" w:hAnsi="Times New Roman" w:cs="Times New Roman"/>
          <w:color w:val="000000" w:themeColor="text1"/>
        </w:rPr>
        <w:t xml:space="preserve">AGNU, </w:t>
      </w:r>
      <w:r w:rsidR="00A815CA" w:rsidRPr="00B11003">
        <w:rPr>
          <w:rFonts w:ascii="Times New Roman" w:hAnsi="Times New Roman" w:cs="Times New Roman"/>
          <w:i/>
          <w:iCs/>
          <w:color w:val="000000" w:themeColor="text1"/>
        </w:rPr>
        <w:t>Rapport de la Rapporteuse spéciale sur les droits des personnes handicapées</w:t>
      </w:r>
      <w:r w:rsidR="00A815CA" w:rsidRPr="00B11003">
        <w:rPr>
          <w:rFonts w:ascii="Times New Roman" w:hAnsi="Times New Roman" w:cs="Times New Roman"/>
          <w:color w:val="000000" w:themeColor="text1"/>
        </w:rPr>
        <w:t xml:space="preserve">, A/HRC/40/54, 11 janvier 2019, par. </w:t>
      </w:r>
      <w:r w:rsidRPr="00B11003">
        <w:rPr>
          <w:rFonts w:ascii="Times New Roman" w:hAnsi="Times New Roman" w:cs="Times New Roman"/>
          <w:color w:val="000000" w:themeColor="text1"/>
        </w:rPr>
        <w:t>47.</w:t>
      </w:r>
    </w:p>
  </w:footnote>
  <w:footnote w:id="61">
    <w:p w14:paraId="06910626" w14:textId="43855C67" w:rsidR="00157A64" w:rsidRPr="00B11003" w:rsidRDefault="00157A64" w:rsidP="00B11003">
      <w:pPr>
        <w:spacing w:line="240" w:lineRule="auto"/>
        <w:jc w:val="both"/>
        <w:rPr>
          <w:rFonts w:ascii="Times New Roman" w:eastAsia="Times New Roman" w:hAnsi="Times New Roman" w:cs="Times New Roman"/>
          <w:color w:val="FF0000"/>
          <w:sz w:val="20"/>
          <w:szCs w:val="20"/>
          <w:lang w:val="fr-CH"/>
        </w:rPr>
      </w:pPr>
      <w:r w:rsidRPr="00B11003">
        <w:rPr>
          <w:rFonts w:ascii="Times New Roman" w:hAnsi="Times New Roman" w:cs="Times New Roman"/>
          <w:color w:val="000000" w:themeColor="text1"/>
          <w:sz w:val="20"/>
          <w:szCs w:val="20"/>
          <w:vertAlign w:val="superscript"/>
        </w:rPr>
        <w:footnoteRef/>
      </w:r>
      <w:r w:rsidRPr="00B11003">
        <w:rPr>
          <w:rFonts w:ascii="Times New Roman" w:eastAsia="Times New Roman" w:hAnsi="Times New Roman" w:cs="Times New Roman"/>
          <w:color w:val="000000" w:themeColor="text1"/>
          <w:sz w:val="20"/>
          <w:szCs w:val="20"/>
          <w:lang w:val="fr-CH"/>
        </w:rPr>
        <w:t xml:space="preserve"> </w:t>
      </w:r>
      <w:r w:rsidR="00A815CA" w:rsidRPr="00B11003">
        <w:rPr>
          <w:rFonts w:ascii="Times New Roman" w:eastAsia="Times New Roman" w:hAnsi="Times New Roman" w:cs="Times New Roman"/>
          <w:color w:val="000000" w:themeColor="text1"/>
          <w:sz w:val="20"/>
          <w:szCs w:val="20"/>
          <w:lang w:val="fr-CH"/>
        </w:rPr>
        <w:t xml:space="preserve">CourEDH, </w:t>
      </w:r>
      <w:r w:rsidRPr="00B11003">
        <w:rPr>
          <w:rFonts w:ascii="Times New Roman" w:eastAsia="Times New Roman" w:hAnsi="Times New Roman" w:cs="Times New Roman"/>
          <w:i/>
          <w:color w:val="000000" w:themeColor="text1"/>
          <w:sz w:val="20"/>
          <w:szCs w:val="20"/>
          <w:lang w:val="fr-CH"/>
        </w:rPr>
        <w:t>Rivière</w:t>
      </w:r>
      <w:r w:rsidRPr="00B11003">
        <w:rPr>
          <w:rFonts w:ascii="Times New Roman" w:eastAsia="Times New Roman" w:hAnsi="Times New Roman" w:cs="Times New Roman"/>
          <w:smallCaps/>
          <w:color w:val="000000" w:themeColor="text1"/>
          <w:sz w:val="20"/>
          <w:szCs w:val="20"/>
          <w:lang w:val="fr-CH"/>
        </w:rPr>
        <w:t xml:space="preserve"> </w:t>
      </w:r>
      <w:r w:rsidRPr="00B11003">
        <w:rPr>
          <w:rFonts w:ascii="Times New Roman" w:eastAsia="Times New Roman" w:hAnsi="Times New Roman" w:cs="Times New Roman"/>
          <w:i/>
          <w:color w:val="000000" w:themeColor="text1"/>
          <w:sz w:val="20"/>
          <w:szCs w:val="20"/>
          <w:lang w:val="fr-CH"/>
        </w:rPr>
        <w:t>c</w:t>
      </w:r>
      <w:r w:rsidR="00A815CA" w:rsidRPr="00B11003">
        <w:rPr>
          <w:rFonts w:ascii="Times New Roman" w:eastAsia="Times New Roman" w:hAnsi="Times New Roman" w:cs="Times New Roman"/>
          <w:i/>
          <w:color w:val="000000" w:themeColor="text1"/>
          <w:sz w:val="20"/>
          <w:szCs w:val="20"/>
          <w:lang w:val="fr-CH"/>
        </w:rPr>
        <w:t>.</w:t>
      </w:r>
      <w:r w:rsidRPr="00B11003">
        <w:rPr>
          <w:rFonts w:ascii="Times New Roman" w:eastAsia="Times New Roman" w:hAnsi="Times New Roman" w:cs="Times New Roman"/>
          <w:i/>
          <w:color w:val="000000" w:themeColor="text1"/>
          <w:sz w:val="20"/>
          <w:szCs w:val="20"/>
          <w:lang w:val="fr-CH"/>
        </w:rPr>
        <w:t xml:space="preserve"> France</w:t>
      </w:r>
      <w:r w:rsidRPr="00B11003">
        <w:rPr>
          <w:rFonts w:ascii="Times New Roman" w:eastAsia="Times New Roman" w:hAnsi="Times New Roman" w:cs="Times New Roman"/>
          <w:color w:val="000000" w:themeColor="text1"/>
          <w:sz w:val="20"/>
          <w:szCs w:val="20"/>
          <w:lang w:val="fr-CH"/>
        </w:rPr>
        <w:t>,</w:t>
      </w:r>
      <w:r w:rsidR="00A815CA" w:rsidRPr="00B11003">
        <w:rPr>
          <w:rFonts w:ascii="Times New Roman" w:eastAsia="Times New Roman" w:hAnsi="Times New Roman" w:cs="Times New Roman"/>
          <w:color w:val="000000" w:themeColor="text1"/>
          <w:sz w:val="20"/>
          <w:szCs w:val="20"/>
          <w:lang w:val="fr-CH"/>
        </w:rPr>
        <w:t xml:space="preserve"> requête n° 33834/03, 11 juillet 2006,</w:t>
      </w:r>
      <w:r w:rsidRPr="00B11003">
        <w:rPr>
          <w:rFonts w:ascii="Times New Roman" w:eastAsia="Times New Roman" w:hAnsi="Times New Roman" w:cs="Times New Roman"/>
          <w:color w:val="000000" w:themeColor="text1"/>
          <w:sz w:val="20"/>
          <w:szCs w:val="20"/>
          <w:lang w:val="fr-CH"/>
        </w:rPr>
        <w:t xml:space="preserve"> par. 76 ; </w:t>
      </w:r>
      <w:r w:rsidR="00A815CA" w:rsidRPr="00B11003">
        <w:rPr>
          <w:rFonts w:ascii="Times New Roman" w:hAnsi="Times New Roman" w:cs="Times New Roman"/>
          <w:color w:val="000000" w:themeColor="text1"/>
          <w:sz w:val="20"/>
          <w:szCs w:val="20"/>
        </w:rPr>
        <w:t xml:space="preserve">CNPT, </w:t>
      </w:r>
      <w:r w:rsidR="00A815CA" w:rsidRPr="00B11003">
        <w:rPr>
          <w:rFonts w:ascii="Times New Roman" w:hAnsi="Times New Roman" w:cs="Times New Roman"/>
          <w:i/>
          <w:iCs/>
          <w:color w:val="000000" w:themeColor="text1"/>
          <w:sz w:val="20"/>
          <w:szCs w:val="20"/>
        </w:rPr>
        <w:t>Exécution des mesures en Suisse : rapport thématique sur les visites effectuées par la CNPT entre 2013 et 2016</w:t>
      </w:r>
      <w:r w:rsidR="00A815CA" w:rsidRPr="00B11003">
        <w:rPr>
          <w:rFonts w:ascii="Times New Roman" w:hAnsi="Times New Roman" w:cs="Times New Roman"/>
          <w:color w:val="000000" w:themeColor="text1"/>
          <w:sz w:val="20"/>
          <w:szCs w:val="20"/>
        </w:rPr>
        <w:t>, 18 mai 2017, par.</w:t>
      </w:r>
      <w:r w:rsidRPr="00B11003">
        <w:rPr>
          <w:rFonts w:ascii="Times New Roman" w:eastAsia="Times New Roman" w:hAnsi="Times New Roman" w:cs="Times New Roman"/>
          <w:color w:val="000000" w:themeColor="text1"/>
          <w:sz w:val="20"/>
          <w:szCs w:val="20"/>
          <w:lang w:val="fr-CH"/>
        </w:rPr>
        <w:t xml:space="preserve"> 55.</w:t>
      </w:r>
    </w:p>
  </w:footnote>
  <w:footnote w:id="62">
    <w:p w14:paraId="04A58DD1" w14:textId="5404BB1C" w:rsidR="00157A64" w:rsidRPr="00B11003" w:rsidRDefault="00157A64" w:rsidP="00B11003">
      <w:pPr>
        <w:spacing w:line="240" w:lineRule="auto"/>
        <w:jc w:val="both"/>
        <w:rPr>
          <w:rFonts w:ascii="Times New Roman" w:eastAsia="Times New Roman" w:hAnsi="Times New Roman" w:cs="Times New Roman"/>
          <w:color w:val="FF0000"/>
          <w:sz w:val="20"/>
          <w:szCs w:val="20"/>
          <w:lang w:val="fr-CH"/>
        </w:rPr>
      </w:pPr>
      <w:r w:rsidRPr="00B11003">
        <w:rPr>
          <w:rFonts w:ascii="Times New Roman" w:hAnsi="Times New Roman" w:cs="Times New Roman"/>
          <w:color w:val="000000" w:themeColor="text1"/>
          <w:sz w:val="20"/>
          <w:szCs w:val="20"/>
          <w:vertAlign w:val="superscript"/>
        </w:rPr>
        <w:footnoteRef/>
      </w:r>
      <w:r w:rsidRPr="00B11003">
        <w:rPr>
          <w:rFonts w:ascii="Times New Roman" w:eastAsia="Times New Roman" w:hAnsi="Times New Roman" w:cs="Times New Roman"/>
          <w:color w:val="000000" w:themeColor="text1"/>
          <w:sz w:val="20"/>
          <w:szCs w:val="20"/>
          <w:lang w:val="fr-CH"/>
        </w:rPr>
        <w:t xml:space="preserve"> </w:t>
      </w:r>
      <w:r w:rsidR="00F34546" w:rsidRPr="00B11003">
        <w:rPr>
          <w:rFonts w:ascii="Times New Roman" w:eastAsia="Times New Roman" w:hAnsi="Times New Roman" w:cs="Times New Roman"/>
          <w:color w:val="000000" w:themeColor="text1"/>
          <w:sz w:val="20"/>
          <w:szCs w:val="20"/>
          <w:lang w:val="fr-CH"/>
        </w:rPr>
        <w:t xml:space="preserve">CPT, </w:t>
      </w:r>
      <w:r w:rsidR="00F34546" w:rsidRPr="00B11003">
        <w:rPr>
          <w:rFonts w:ascii="Times New Roman" w:eastAsia="Times New Roman" w:hAnsi="Times New Roman" w:cs="Times New Roman"/>
          <w:i/>
          <w:iCs/>
          <w:color w:val="000000" w:themeColor="text1"/>
          <w:sz w:val="20"/>
          <w:szCs w:val="20"/>
          <w:lang w:val="fr-CH"/>
        </w:rPr>
        <w:t>Rapport visite en Suisse</w:t>
      </w:r>
      <w:r w:rsidR="00F34546" w:rsidRPr="00B11003">
        <w:rPr>
          <w:rFonts w:ascii="Times New Roman" w:eastAsia="Times New Roman" w:hAnsi="Times New Roman" w:cs="Times New Roman"/>
          <w:color w:val="000000" w:themeColor="text1"/>
          <w:sz w:val="20"/>
          <w:szCs w:val="20"/>
          <w:lang w:val="fr-CH"/>
        </w:rPr>
        <w:t>, CPT/Inf (2008)33, 13 novembre 2008, par.</w:t>
      </w:r>
      <w:r w:rsidRPr="00B11003">
        <w:rPr>
          <w:rFonts w:ascii="Times New Roman" w:eastAsia="Times New Roman" w:hAnsi="Times New Roman" w:cs="Times New Roman"/>
          <w:color w:val="000000" w:themeColor="text1"/>
          <w:sz w:val="20"/>
          <w:szCs w:val="20"/>
          <w:lang w:val="fr-CH"/>
        </w:rPr>
        <w:t xml:space="preserve"> 138 ; </w:t>
      </w:r>
      <w:r w:rsidR="003D5BA9" w:rsidRPr="00B11003">
        <w:rPr>
          <w:rFonts w:ascii="Times New Roman" w:eastAsia="Times New Roman" w:hAnsi="Times New Roman" w:cs="Times New Roman"/>
          <w:color w:val="000000" w:themeColor="text1"/>
          <w:sz w:val="20"/>
          <w:szCs w:val="20"/>
          <w:lang w:val="fr-CH"/>
        </w:rPr>
        <w:t xml:space="preserve">CNPT, </w:t>
      </w:r>
      <w:r w:rsidR="003D5BA9" w:rsidRPr="00B11003">
        <w:rPr>
          <w:rFonts w:ascii="Times New Roman" w:eastAsia="Times New Roman" w:hAnsi="Times New Roman" w:cs="Times New Roman"/>
          <w:i/>
          <w:iCs/>
          <w:color w:val="000000" w:themeColor="text1"/>
          <w:sz w:val="20"/>
          <w:szCs w:val="20"/>
          <w:lang w:val="fr-CH"/>
        </w:rPr>
        <w:t>Rapport d’activité de la CNPT 2013</w:t>
      </w:r>
      <w:r w:rsidR="003D5BA9" w:rsidRPr="00B11003">
        <w:rPr>
          <w:rFonts w:ascii="Times New Roman" w:eastAsia="Times New Roman" w:hAnsi="Times New Roman" w:cs="Times New Roman"/>
          <w:color w:val="000000" w:themeColor="text1"/>
          <w:sz w:val="20"/>
          <w:szCs w:val="20"/>
          <w:lang w:val="fr-CH"/>
        </w:rPr>
        <w:t>, p.</w:t>
      </w:r>
      <w:r w:rsidRPr="00B11003">
        <w:rPr>
          <w:rFonts w:ascii="Times New Roman" w:eastAsia="Times New Roman" w:hAnsi="Times New Roman" w:cs="Times New Roman"/>
          <w:color w:val="000000" w:themeColor="text1"/>
          <w:sz w:val="20"/>
          <w:szCs w:val="20"/>
          <w:lang w:val="fr-CH"/>
        </w:rPr>
        <w:t xml:space="preserve"> 47.</w:t>
      </w:r>
    </w:p>
  </w:footnote>
  <w:footnote w:id="63">
    <w:p w14:paraId="428053E8" w14:textId="17E8E397"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9528CF" w:rsidRPr="00B11003">
        <w:rPr>
          <w:rFonts w:ascii="Times New Roman" w:hAnsi="Times New Roman" w:cs="Times New Roman"/>
          <w:color w:val="000000" w:themeColor="text1"/>
        </w:rPr>
        <w:t>AGNU</w:t>
      </w:r>
      <w:r w:rsidR="009528CF" w:rsidRPr="00B11003">
        <w:rPr>
          <w:rFonts w:ascii="Times New Roman" w:hAnsi="Times New Roman" w:cs="Times New Roman"/>
          <w:i/>
          <w:iCs/>
          <w:color w:val="000000" w:themeColor="text1"/>
        </w:rPr>
        <w:t xml:space="preserve">, Rapport du </w:t>
      </w:r>
      <w:r w:rsidR="00BF27B5" w:rsidRPr="00B11003">
        <w:rPr>
          <w:rFonts w:ascii="Times New Roman" w:hAnsi="Times New Roman" w:cs="Times New Roman"/>
          <w:i/>
          <w:iCs/>
          <w:color w:val="000000" w:themeColor="text1"/>
        </w:rPr>
        <w:t>CRPD</w:t>
      </w:r>
      <w:r w:rsidR="009528CF" w:rsidRPr="00B11003">
        <w:rPr>
          <w:rFonts w:ascii="Times New Roman" w:hAnsi="Times New Roman" w:cs="Times New Roman"/>
          <w:i/>
          <w:iCs/>
          <w:color w:val="000000" w:themeColor="text1"/>
        </w:rPr>
        <w:t>, Annexe : Directives relatives au droit à la liberté et à la sécurité des personnes handicapées</w:t>
      </w:r>
      <w:r w:rsidR="009528CF" w:rsidRPr="00B11003">
        <w:rPr>
          <w:rFonts w:ascii="Times New Roman" w:hAnsi="Times New Roman" w:cs="Times New Roman"/>
          <w:color w:val="000000" w:themeColor="text1"/>
        </w:rPr>
        <w:t xml:space="preserve">, </w:t>
      </w:r>
      <w:r w:rsidR="009528CF" w:rsidRPr="00B11003">
        <w:rPr>
          <w:rFonts w:ascii="Times New Roman" w:hAnsi="Times New Roman" w:cs="Times New Roman"/>
          <w:smallCaps/>
          <w:color w:val="000000" w:themeColor="text1"/>
          <w:shd w:val="clear" w:color="auto" w:fill="FFFFFF"/>
        </w:rPr>
        <w:t>A/72/55</w:t>
      </w:r>
      <w:r w:rsidR="009528CF" w:rsidRPr="00B11003">
        <w:rPr>
          <w:rFonts w:ascii="Times New Roman" w:hAnsi="Times New Roman" w:cs="Times New Roman"/>
          <w:color w:val="000000" w:themeColor="text1"/>
          <w:shd w:val="clear" w:color="auto" w:fill="FFFFFF"/>
        </w:rPr>
        <w:t>, 2017,</w:t>
      </w:r>
      <w:r w:rsidRPr="00B11003">
        <w:rPr>
          <w:rFonts w:ascii="Times New Roman" w:hAnsi="Times New Roman" w:cs="Times New Roman"/>
          <w:color w:val="000000" w:themeColor="text1"/>
        </w:rPr>
        <w:t xml:space="preserve"> pp</w:t>
      </w:r>
      <w:r w:rsidR="009528CF" w:rsidRPr="00B11003">
        <w:rPr>
          <w:rFonts w:ascii="Times New Roman" w:hAnsi="Times New Roman" w:cs="Times New Roman"/>
          <w:color w:val="000000" w:themeColor="text1"/>
        </w:rPr>
        <w:t xml:space="preserve">. </w:t>
      </w:r>
      <w:r w:rsidRPr="00B11003">
        <w:rPr>
          <w:rFonts w:ascii="Times New Roman" w:hAnsi="Times New Roman" w:cs="Times New Roman"/>
          <w:color w:val="000000" w:themeColor="text1"/>
        </w:rPr>
        <w:t>19-20</w:t>
      </w:r>
      <w:r w:rsidR="009528CF" w:rsidRPr="00B11003">
        <w:rPr>
          <w:rFonts w:ascii="Times New Roman" w:hAnsi="Times New Roman" w:cs="Times New Roman"/>
          <w:color w:val="000000" w:themeColor="text1"/>
        </w:rPr>
        <w:t>, par. 11-12 ss.</w:t>
      </w:r>
    </w:p>
  </w:footnote>
  <w:footnote w:id="64">
    <w:p w14:paraId="501FBE3A" w14:textId="35DD0789"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325D83" w:rsidRPr="00B11003">
        <w:rPr>
          <w:rFonts w:ascii="Times New Roman" w:hAnsi="Times New Roman" w:cs="Times New Roman"/>
          <w:color w:val="000000" w:themeColor="text1"/>
        </w:rPr>
        <w:t xml:space="preserve">Assemblée parlementaire du Conseil de l’Europe, </w:t>
      </w:r>
      <w:r w:rsidR="00325D83" w:rsidRPr="00B11003">
        <w:rPr>
          <w:rFonts w:ascii="Times New Roman" w:hAnsi="Times New Roman" w:cs="Times New Roman"/>
          <w:i/>
          <w:iCs/>
          <w:color w:val="000000" w:themeColor="text1"/>
        </w:rPr>
        <w:t>Recommandation 2158. Mettre fin à la contrainte en santé mentale : nécessité d’une approche fondée sur les droits humains</w:t>
      </w:r>
      <w:r w:rsidR="00325D83" w:rsidRPr="00B11003">
        <w:rPr>
          <w:rFonts w:ascii="Times New Roman" w:hAnsi="Times New Roman" w:cs="Times New Roman"/>
          <w:color w:val="000000" w:themeColor="text1"/>
        </w:rPr>
        <w:t>, 26 juin 2019</w:t>
      </w:r>
      <w:r w:rsidRPr="00B11003">
        <w:rPr>
          <w:rFonts w:ascii="Times New Roman" w:hAnsi="Times New Roman" w:cs="Times New Roman"/>
          <w:color w:val="000000" w:themeColor="text1"/>
        </w:rPr>
        <w:t xml:space="preserve">, </w:t>
      </w:r>
      <w:r w:rsidR="00325D83" w:rsidRPr="00B11003">
        <w:rPr>
          <w:rFonts w:ascii="Times New Roman" w:hAnsi="Times New Roman" w:cs="Times New Roman"/>
          <w:color w:val="000000" w:themeColor="text1"/>
        </w:rPr>
        <w:t>par.</w:t>
      </w:r>
      <w:r w:rsidRPr="00B11003">
        <w:rPr>
          <w:rFonts w:ascii="Times New Roman" w:hAnsi="Times New Roman" w:cs="Times New Roman"/>
          <w:color w:val="000000" w:themeColor="text1"/>
        </w:rPr>
        <w:t xml:space="preserve"> 5</w:t>
      </w:r>
      <w:r w:rsidR="00325D83" w:rsidRPr="00B11003">
        <w:rPr>
          <w:rFonts w:ascii="Times New Roman" w:hAnsi="Times New Roman" w:cs="Times New Roman"/>
          <w:color w:val="000000" w:themeColor="text1"/>
        </w:rPr>
        <w:t>-</w:t>
      </w:r>
      <w:r w:rsidRPr="00B11003">
        <w:rPr>
          <w:rFonts w:ascii="Times New Roman" w:hAnsi="Times New Roman" w:cs="Times New Roman"/>
          <w:color w:val="000000" w:themeColor="text1"/>
        </w:rPr>
        <w:t>6.</w:t>
      </w:r>
    </w:p>
  </w:footnote>
  <w:footnote w:id="65">
    <w:p w14:paraId="6CD193D4" w14:textId="04050CB8"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w:t>
      </w:r>
      <w:r w:rsidR="00325D83" w:rsidRPr="00B11003">
        <w:rPr>
          <w:rFonts w:ascii="Times New Roman" w:hAnsi="Times New Roman" w:cs="Times New Roman"/>
          <w:i/>
          <w:iCs/>
          <w:color w:val="000000" w:themeColor="text1"/>
        </w:rPr>
        <w:t>Ibid</w:t>
      </w:r>
      <w:r w:rsidR="00325D83" w:rsidRPr="00B11003">
        <w:rPr>
          <w:rFonts w:ascii="Times New Roman" w:hAnsi="Times New Roman" w:cs="Times New Roman"/>
          <w:color w:val="000000" w:themeColor="text1"/>
        </w:rPr>
        <w:t>, par. 5.</w:t>
      </w:r>
    </w:p>
  </w:footnote>
  <w:footnote w:id="66">
    <w:p w14:paraId="3F212746" w14:textId="0953127A"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F55701" w:rsidRPr="00B11003">
        <w:rPr>
          <w:rFonts w:ascii="Times New Roman" w:hAnsi="Times New Roman" w:cs="Times New Roman"/>
          <w:color w:val="000000" w:themeColor="text1"/>
        </w:rPr>
        <w:t xml:space="preserve">AGNU, </w:t>
      </w:r>
      <w:r w:rsidR="00F55701" w:rsidRPr="00B11003">
        <w:rPr>
          <w:rFonts w:ascii="Times New Roman" w:hAnsi="Times New Roman" w:cs="Times New Roman"/>
          <w:i/>
          <w:iCs/>
          <w:color w:val="000000" w:themeColor="text1"/>
        </w:rPr>
        <w:t>Rapport de la Rapporteuse spéciale sur les droits des personnes handicapées</w:t>
      </w:r>
      <w:r w:rsidR="00F55701" w:rsidRPr="00B11003">
        <w:rPr>
          <w:rFonts w:ascii="Times New Roman" w:hAnsi="Times New Roman" w:cs="Times New Roman"/>
          <w:color w:val="000000" w:themeColor="text1"/>
        </w:rPr>
        <w:t xml:space="preserve">, A/HRC/40/54, 11 janvier 2019, par. </w:t>
      </w:r>
      <w:r w:rsidRPr="00B11003">
        <w:rPr>
          <w:rFonts w:ascii="Times New Roman" w:hAnsi="Times New Roman" w:cs="Times New Roman"/>
          <w:color w:val="000000" w:themeColor="text1"/>
        </w:rPr>
        <w:t>71 ;</w:t>
      </w:r>
      <w:r w:rsidR="002E1DC8" w:rsidRPr="00B11003">
        <w:rPr>
          <w:rFonts w:ascii="Times New Roman" w:hAnsi="Times New Roman" w:cs="Times New Roman"/>
          <w:color w:val="000000" w:themeColor="text1"/>
        </w:rPr>
        <w:t xml:space="preserve"> AGNU, </w:t>
      </w:r>
      <w:r w:rsidR="002E1DC8" w:rsidRPr="00B11003">
        <w:rPr>
          <w:rFonts w:ascii="Times New Roman" w:hAnsi="Times New Roman" w:cs="Times New Roman"/>
          <w:i/>
          <w:iCs/>
          <w:color w:val="000000" w:themeColor="text1"/>
        </w:rPr>
        <w:t>Visite en France, Rapport de la Rapporteuse spéciale sur les droits des personnes handicapées</w:t>
      </w:r>
      <w:r w:rsidR="002E1DC8" w:rsidRPr="00B11003">
        <w:rPr>
          <w:rFonts w:ascii="Times New Roman" w:hAnsi="Times New Roman" w:cs="Times New Roman"/>
          <w:color w:val="000000" w:themeColor="text1"/>
        </w:rPr>
        <w:t>, A/HRC/40/54/Add.1, 8 janvier 2019,</w:t>
      </w:r>
      <w:r w:rsidRPr="00B11003">
        <w:rPr>
          <w:rFonts w:ascii="Times New Roman" w:hAnsi="Times New Roman" w:cs="Times New Roman"/>
          <w:color w:val="000000" w:themeColor="text1"/>
        </w:rPr>
        <w:t xml:space="preserve"> N 86 ; </w:t>
      </w:r>
      <w:r w:rsidR="002E1DC8" w:rsidRPr="00B11003">
        <w:rPr>
          <w:rFonts w:ascii="Times New Roman" w:hAnsi="Times New Roman" w:cs="Times New Roman"/>
          <w:color w:val="000000" w:themeColor="text1"/>
        </w:rPr>
        <w:t xml:space="preserve">AGNU, </w:t>
      </w:r>
      <w:r w:rsidR="002E1DC8" w:rsidRPr="00B11003">
        <w:rPr>
          <w:rFonts w:ascii="Times New Roman" w:hAnsi="Times New Roman" w:cs="Times New Roman"/>
          <w:i/>
          <w:iCs/>
          <w:color w:val="000000" w:themeColor="text1"/>
        </w:rPr>
        <w:t>Rapport du Comité contre la torture</w:t>
      </w:r>
      <w:r w:rsidR="002E1DC8" w:rsidRPr="00B11003">
        <w:rPr>
          <w:rFonts w:ascii="Times New Roman" w:hAnsi="Times New Roman" w:cs="Times New Roman"/>
          <w:color w:val="000000" w:themeColor="text1"/>
        </w:rPr>
        <w:t xml:space="preserve">, A/68/44, 2013, </w:t>
      </w:r>
      <w:r w:rsidR="00F55701" w:rsidRPr="00B11003">
        <w:rPr>
          <w:rFonts w:ascii="Times New Roman" w:hAnsi="Times New Roman" w:cs="Times New Roman"/>
          <w:color w:val="000000" w:themeColor="text1"/>
        </w:rPr>
        <w:t xml:space="preserve">p. 32 ; </w:t>
      </w:r>
      <w:r w:rsidRPr="00B11003">
        <w:rPr>
          <w:rFonts w:ascii="Times New Roman" w:hAnsi="Times New Roman" w:cs="Times New Roman"/>
          <w:smallCaps/>
          <w:color w:val="000000" w:themeColor="text1"/>
        </w:rPr>
        <w:t>Zinkler</w:t>
      </w:r>
      <w:r w:rsidR="002E1DC8" w:rsidRPr="00B11003">
        <w:rPr>
          <w:rFonts w:ascii="Times New Roman" w:hAnsi="Times New Roman" w:cs="Times New Roman"/>
          <w:smallCaps/>
          <w:color w:val="000000" w:themeColor="text1"/>
        </w:rPr>
        <w:t xml:space="preserve"> </w:t>
      </w:r>
      <w:r w:rsidR="002E1DC8" w:rsidRPr="00B11003">
        <w:rPr>
          <w:rFonts w:ascii="Times New Roman" w:hAnsi="Times New Roman" w:cs="Times New Roman"/>
          <w:color w:val="000000" w:themeColor="text1"/>
        </w:rPr>
        <w:t>Martin</w:t>
      </w:r>
      <w:r w:rsidRPr="00B11003">
        <w:rPr>
          <w:rFonts w:ascii="Times New Roman" w:hAnsi="Times New Roman" w:cs="Times New Roman"/>
          <w:smallCaps/>
          <w:color w:val="000000" w:themeColor="text1"/>
        </w:rPr>
        <w:t>/von Peter</w:t>
      </w:r>
      <w:r w:rsidR="002E1DC8" w:rsidRPr="00B11003">
        <w:rPr>
          <w:rFonts w:ascii="Times New Roman" w:hAnsi="Times New Roman" w:cs="Times New Roman"/>
          <w:smallCaps/>
          <w:color w:val="000000" w:themeColor="text1"/>
        </w:rPr>
        <w:t xml:space="preserve"> </w:t>
      </w:r>
      <w:r w:rsidR="002E1DC8" w:rsidRPr="00B11003">
        <w:rPr>
          <w:rFonts w:ascii="Times New Roman" w:hAnsi="Times New Roman" w:cs="Times New Roman"/>
          <w:color w:val="000000" w:themeColor="text1"/>
        </w:rPr>
        <w:t>Sebastian</w:t>
      </w:r>
      <w:r w:rsidRPr="00B11003">
        <w:rPr>
          <w:rFonts w:ascii="Times New Roman" w:hAnsi="Times New Roman" w:cs="Times New Roman"/>
          <w:color w:val="000000" w:themeColor="text1"/>
        </w:rPr>
        <w:t>,</w:t>
      </w:r>
      <w:r w:rsidR="002E1DC8" w:rsidRPr="00B11003">
        <w:rPr>
          <w:rFonts w:ascii="Times New Roman" w:hAnsi="Times New Roman" w:cs="Times New Roman"/>
          <w:color w:val="000000" w:themeColor="text1"/>
        </w:rPr>
        <w:t xml:space="preserve"> Ohne Zwang : ein Konzept für eine ausschließlich unterstützende Psychiatrie, </w:t>
      </w:r>
      <w:r w:rsidR="002E1DC8" w:rsidRPr="00B11003">
        <w:rPr>
          <w:rFonts w:ascii="Times New Roman" w:hAnsi="Times New Roman" w:cs="Times New Roman"/>
          <w:i/>
          <w:iCs/>
          <w:color w:val="000000" w:themeColor="text1"/>
        </w:rPr>
        <w:t>Psychiatrie Verlag</w:t>
      </w:r>
      <w:r w:rsidR="002E1DC8" w:rsidRPr="00B11003">
        <w:rPr>
          <w:rFonts w:ascii="Times New Roman" w:hAnsi="Times New Roman" w:cs="Times New Roman"/>
          <w:color w:val="000000" w:themeColor="text1"/>
        </w:rPr>
        <w:t>, 2019, pp. 203-209.</w:t>
      </w:r>
    </w:p>
  </w:footnote>
  <w:footnote w:id="67">
    <w:p w14:paraId="75EC7AA0" w14:textId="07210E4C" w:rsidR="00981D55" w:rsidRPr="00B11003" w:rsidRDefault="00981D55" w:rsidP="00B11003">
      <w:pPr>
        <w:pStyle w:val="Notedebasdepage"/>
        <w:jc w:val="both"/>
        <w:rPr>
          <w:rFonts w:ascii="Times New Roman" w:hAnsi="Times New Roman" w:cs="Times New Roman"/>
          <w:color w:val="FF0000"/>
          <w:lang w:val="de-CH"/>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lang w:val="de-CH"/>
        </w:rPr>
        <w:t xml:space="preserve"> </w:t>
      </w:r>
      <w:r w:rsidR="006C7CD8" w:rsidRPr="00B11003">
        <w:rPr>
          <w:rFonts w:ascii="Times New Roman" w:hAnsi="Times New Roman" w:cs="Times New Roman"/>
          <w:color w:val="000000" w:themeColor="text1"/>
          <w:lang w:val="de-CH"/>
        </w:rPr>
        <w:t>Académie Suisse des Sciences Médicales</w:t>
      </w:r>
      <w:r w:rsidRPr="00B11003">
        <w:rPr>
          <w:rFonts w:ascii="Times New Roman" w:hAnsi="Times New Roman" w:cs="Times New Roman"/>
          <w:color w:val="000000" w:themeColor="text1"/>
          <w:lang w:val="de-CH"/>
        </w:rPr>
        <w:t xml:space="preserve">, </w:t>
      </w:r>
      <w:r w:rsidRPr="00B11003">
        <w:rPr>
          <w:rFonts w:ascii="Times New Roman" w:hAnsi="Times New Roman" w:cs="Times New Roman"/>
          <w:i/>
          <w:iCs/>
          <w:color w:val="000000" w:themeColor="text1"/>
          <w:lang w:val="de-CH"/>
        </w:rPr>
        <w:t>Mesures de contrainte</w:t>
      </w:r>
      <w:r w:rsidR="006C7CD8" w:rsidRPr="00B11003">
        <w:rPr>
          <w:rFonts w:ascii="Times New Roman" w:hAnsi="Times New Roman" w:cs="Times New Roman"/>
          <w:i/>
          <w:iCs/>
          <w:color w:val="000000" w:themeColor="text1"/>
          <w:lang w:val="de-CH"/>
        </w:rPr>
        <w:t xml:space="preserve"> en médecine</w:t>
      </w:r>
      <w:r w:rsidRPr="00B11003">
        <w:rPr>
          <w:rFonts w:ascii="Times New Roman" w:hAnsi="Times New Roman" w:cs="Times New Roman"/>
          <w:color w:val="000000" w:themeColor="text1"/>
          <w:lang w:val="de-CH"/>
        </w:rPr>
        <w:t>,</w:t>
      </w:r>
      <w:r w:rsidR="006C7CD8" w:rsidRPr="00B11003">
        <w:rPr>
          <w:rFonts w:ascii="Times New Roman" w:hAnsi="Times New Roman" w:cs="Times New Roman"/>
          <w:color w:val="000000" w:themeColor="text1"/>
          <w:lang w:val="de-CH"/>
        </w:rPr>
        <w:t xml:space="preserve"> 2018,</w:t>
      </w:r>
      <w:r w:rsidRPr="00B11003">
        <w:rPr>
          <w:rFonts w:ascii="Times New Roman" w:hAnsi="Times New Roman" w:cs="Times New Roman"/>
          <w:color w:val="000000" w:themeColor="text1"/>
          <w:lang w:val="de-CH"/>
        </w:rPr>
        <w:t xml:space="preserve"> p. 9 ; </w:t>
      </w:r>
      <w:r w:rsidRPr="00B11003">
        <w:rPr>
          <w:rFonts w:ascii="Times New Roman" w:hAnsi="Times New Roman" w:cs="Times New Roman"/>
          <w:smallCaps/>
          <w:color w:val="000000" w:themeColor="text1"/>
          <w:lang w:val="de-CH"/>
        </w:rPr>
        <w:t>Bernhart</w:t>
      </w:r>
      <w:r w:rsidR="0055239C" w:rsidRPr="00B11003">
        <w:rPr>
          <w:rFonts w:ascii="Times New Roman" w:hAnsi="Times New Roman" w:cs="Times New Roman"/>
          <w:smallCaps/>
          <w:color w:val="000000" w:themeColor="text1"/>
          <w:lang w:val="de-CH"/>
        </w:rPr>
        <w:t xml:space="preserve"> </w:t>
      </w:r>
      <w:r w:rsidR="0055239C" w:rsidRPr="00B11003">
        <w:rPr>
          <w:rFonts w:ascii="Times New Roman" w:hAnsi="Times New Roman" w:cs="Times New Roman"/>
          <w:color w:val="000000" w:themeColor="text1"/>
          <w:lang w:val="de-CH"/>
        </w:rPr>
        <w:t xml:space="preserve">Christof, </w:t>
      </w:r>
      <w:r w:rsidR="0055239C" w:rsidRPr="00B11003">
        <w:rPr>
          <w:rFonts w:ascii="Times New Roman" w:hAnsi="Times New Roman" w:cs="Times New Roman"/>
          <w:i/>
          <w:iCs/>
          <w:color w:val="000000" w:themeColor="text1"/>
          <w:lang w:val="de-CH"/>
        </w:rPr>
        <w:t>Handbuch der fürsogerischen Unterbringung, Die fürsorgerische Unterbringung und medizinische Behandlung nach dem neuen Erwachsenenschutzrecht sowies dessen Grundsätze</w:t>
      </w:r>
      <w:r w:rsidR="0055239C" w:rsidRPr="00B11003">
        <w:rPr>
          <w:rFonts w:ascii="Times New Roman" w:hAnsi="Times New Roman" w:cs="Times New Roman"/>
          <w:color w:val="000000" w:themeColor="text1"/>
          <w:lang w:val="de-CH"/>
        </w:rPr>
        <w:t>, Bâle, Helbing, 2011, par.</w:t>
      </w:r>
      <w:r w:rsidRPr="00B11003">
        <w:rPr>
          <w:rFonts w:ascii="Times New Roman" w:hAnsi="Times New Roman" w:cs="Times New Roman"/>
          <w:color w:val="000000" w:themeColor="text1"/>
          <w:lang w:val="de-CH"/>
        </w:rPr>
        <w:t xml:space="preserve"> 669.</w:t>
      </w:r>
    </w:p>
  </w:footnote>
  <w:footnote w:id="68">
    <w:p w14:paraId="0C292FEF" w14:textId="65E4E3C5"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F55701" w:rsidRPr="00B11003">
        <w:rPr>
          <w:rFonts w:ascii="Times New Roman" w:hAnsi="Times New Roman" w:cs="Times New Roman"/>
          <w:color w:val="000000" w:themeColor="text1"/>
        </w:rPr>
        <w:t xml:space="preserve">CRPD, </w:t>
      </w:r>
      <w:r w:rsidR="00F55701" w:rsidRPr="00B11003">
        <w:rPr>
          <w:rFonts w:ascii="Times New Roman" w:hAnsi="Times New Roman" w:cs="Times New Roman"/>
          <w:i/>
          <w:iCs/>
          <w:color w:val="000000" w:themeColor="text1"/>
        </w:rPr>
        <w:t>Observations finales concernant le rapport initial de la Lettonie</w:t>
      </w:r>
      <w:r w:rsidR="00F55701" w:rsidRPr="00B11003">
        <w:rPr>
          <w:rFonts w:ascii="Times New Roman" w:hAnsi="Times New Roman" w:cs="Times New Roman"/>
          <w:color w:val="000000" w:themeColor="text1"/>
        </w:rPr>
        <w:t xml:space="preserve">, CRPD/C/LVA/CO/1, 10 octobre 2017, par. 27 </w:t>
      </w:r>
      <w:r w:rsidRPr="00B11003">
        <w:rPr>
          <w:rFonts w:ascii="Times New Roman" w:hAnsi="Times New Roman" w:cs="Times New Roman"/>
          <w:color w:val="000000" w:themeColor="text1"/>
        </w:rPr>
        <w:t xml:space="preserve">; </w:t>
      </w:r>
      <w:r w:rsidR="00F55701" w:rsidRPr="00B11003">
        <w:rPr>
          <w:rFonts w:ascii="Times New Roman" w:hAnsi="Times New Roman" w:cs="Times New Roman"/>
          <w:color w:val="000000" w:themeColor="text1"/>
        </w:rPr>
        <w:t xml:space="preserve">CRPD, </w:t>
      </w:r>
      <w:r w:rsidR="00F55701" w:rsidRPr="00B11003">
        <w:rPr>
          <w:rFonts w:ascii="Times New Roman" w:hAnsi="Times New Roman" w:cs="Times New Roman"/>
          <w:i/>
          <w:iCs/>
          <w:color w:val="000000" w:themeColor="text1"/>
        </w:rPr>
        <w:t>Observations finales concernant le rapport initial de la Nouvelle-Zélande</w:t>
      </w:r>
      <w:r w:rsidR="00F55701" w:rsidRPr="00B11003">
        <w:rPr>
          <w:rFonts w:ascii="Times New Roman" w:hAnsi="Times New Roman" w:cs="Times New Roman"/>
          <w:color w:val="000000" w:themeColor="text1"/>
        </w:rPr>
        <w:t>, CRPD/C/NZL/CO/1, 31 octobre 2014</w:t>
      </w:r>
      <w:r w:rsidRPr="00B11003">
        <w:rPr>
          <w:rFonts w:ascii="Times New Roman" w:hAnsi="Times New Roman" w:cs="Times New Roman"/>
          <w:color w:val="000000" w:themeColor="text1"/>
        </w:rPr>
        <w:t xml:space="preserve">, par. 32 ; </w:t>
      </w:r>
      <w:r w:rsidR="00F55701" w:rsidRPr="00B11003">
        <w:rPr>
          <w:rFonts w:ascii="Times New Roman" w:hAnsi="Times New Roman" w:cs="Times New Roman"/>
          <w:color w:val="000000" w:themeColor="text1"/>
        </w:rPr>
        <w:t xml:space="preserve">CRPD, </w:t>
      </w:r>
      <w:r w:rsidR="00F55701" w:rsidRPr="00B11003">
        <w:rPr>
          <w:rFonts w:ascii="Times New Roman" w:hAnsi="Times New Roman" w:cs="Times New Roman"/>
          <w:i/>
          <w:iCs/>
          <w:color w:val="000000" w:themeColor="text1"/>
        </w:rPr>
        <w:t>Observations finales concernant le rapport initial de l’Australie</w:t>
      </w:r>
      <w:r w:rsidR="00F55701" w:rsidRPr="00B11003">
        <w:rPr>
          <w:rFonts w:ascii="Times New Roman" w:hAnsi="Times New Roman" w:cs="Times New Roman"/>
          <w:color w:val="000000" w:themeColor="text1"/>
        </w:rPr>
        <w:t>, CRPD/C/AUS/CO/1, 21 octobre 2013</w:t>
      </w:r>
      <w:r w:rsidRPr="00B11003">
        <w:rPr>
          <w:rFonts w:ascii="Times New Roman" w:hAnsi="Times New Roman" w:cs="Times New Roman"/>
          <w:color w:val="000000" w:themeColor="text1"/>
        </w:rPr>
        <w:t>, par. 33ss.</w:t>
      </w:r>
    </w:p>
  </w:footnote>
  <w:footnote w:id="69">
    <w:p w14:paraId="23209534" w14:textId="1058B1C8"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9528CF" w:rsidRPr="00B11003">
        <w:rPr>
          <w:rFonts w:ascii="Times New Roman" w:hAnsi="Times New Roman" w:cs="Times New Roman"/>
          <w:color w:val="000000" w:themeColor="text1"/>
        </w:rPr>
        <w:t xml:space="preserve">CRPD, </w:t>
      </w:r>
      <w:r w:rsidR="009528CF" w:rsidRPr="00B11003">
        <w:rPr>
          <w:rFonts w:ascii="Times New Roman" w:hAnsi="Times New Roman" w:cs="Times New Roman"/>
          <w:i/>
          <w:iCs/>
          <w:color w:val="000000" w:themeColor="text1"/>
        </w:rPr>
        <w:t>Observation générale n° 1</w:t>
      </w:r>
      <w:r w:rsidR="009528CF" w:rsidRPr="00B11003">
        <w:rPr>
          <w:rFonts w:ascii="Times New Roman" w:hAnsi="Times New Roman" w:cs="Times New Roman"/>
          <w:color w:val="000000" w:themeColor="text1"/>
        </w:rPr>
        <w:t>, CRPD/C/GC/1, 19 mai 2014,</w:t>
      </w:r>
      <w:r w:rsidRPr="00B11003">
        <w:rPr>
          <w:rFonts w:ascii="Times New Roman" w:hAnsi="Times New Roman" w:cs="Times New Roman"/>
          <w:color w:val="000000" w:themeColor="text1"/>
        </w:rPr>
        <w:t xml:space="preserve"> p. 12.</w:t>
      </w:r>
    </w:p>
  </w:footnote>
  <w:footnote w:id="70">
    <w:p w14:paraId="3408BA44" w14:textId="133F5301"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Entretien du 24 novembre 2021 avec Pro Mente Sana</w:t>
      </w:r>
      <w:r w:rsidR="00F55701" w:rsidRPr="00B11003">
        <w:rPr>
          <w:rFonts w:ascii="Times New Roman" w:hAnsi="Times New Roman" w:cs="Times New Roman"/>
          <w:color w:val="000000" w:themeColor="text1"/>
        </w:rPr>
        <w:t> ; Entretien du 25 novembre 2021 avec le GRAAP.</w:t>
      </w:r>
    </w:p>
  </w:footnote>
  <w:footnote w:id="71">
    <w:p w14:paraId="4DDE9C64" w14:textId="470956DD" w:rsidR="00981D55" w:rsidRPr="00B11003" w:rsidRDefault="00981D55" w:rsidP="00B11003">
      <w:pPr>
        <w:pStyle w:val="Notedebasdepage"/>
        <w:jc w:val="both"/>
        <w:rPr>
          <w:rFonts w:ascii="Times New Roman" w:hAnsi="Times New Roman" w:cs="Times New Roman"/>
          <w:color w:val="FF0000"/>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CNPT, </w:t>
      </w:r>
      <w:r w:rsidR="001B2379" w:rsidRPr="00B11003">
        <w:rPr>
          <w:rFonts w:ascii="Times New Roman" w:hAnsi="Times New Roman" w:cs="Times New Roman"/>
          <w:i/>
          <w:iCs/>
          <w:color w:val="000000" w:themeColor="text1"/>
        </w:rPr>
        <w:t>Rapport d’activité de la CNPT 2016</w:t>
      </w:r>
      <w:r w:rsidRPr="00B11003">
        <w:rPr>
          <w:rFonts w:ascii="Times New Roman" w:hAnsi="Times New Roman" w:cs="Times New Roman"/>
          <w:color w:val="000000" w:themeColor="text1"/>
        </w:rPr>
        <w:t xml:space="preserve">, pp. 47-48 ; </w:t>
      </w:r>
      <w:r w:rsidR="001B2379" w:rsidRPr="00B11003">
        <w:rPr>
          <w:rFonts w:ascii="Times New Roman" w:hAnsi="Times New Roman" w:cs="Times New Roman"/>
          <w:color w:val="000000" w:themeColor="text1"/>
        </w:rPr>
        <w:t xml:space="preserve">CNPT, </w:t>
      </w:r>
      <w:r w:rsidR="001B2379" w:rsidRPr="00B11003">
        <w:rPr>
          <w:rFonts w:ascii="Times New Roman" w:hAnsi="Times New Roman" w:cs="Times New Roman"/>
          <w:i/>
          <w:iCs/>
          <w:color w:val="000000" w:themeColor="text1"/>
        </w:rPr>
        <w:t>Rapport visite à l’Hôpital de psychiatrie de Genève</w:t>
      </w:r>
      <w:r w:rsidR="001B2379" w:rsidRPr="00B11003">
        <w:rPr>
          <w:rFonts w:ascii="Times New Roman" w:hAnsi="Times New Roman" w:cs="Times New Roman"/>
          <w:color w:val="000000" w:themeColor="text1"/>
        </w:rPr>
        <w:t>, 14 mai 2019,</w:t>
      </w:r>
      <w:r w:rsidRPr="00B11003">
        <w:rPr>
          <w:rFonts w:ascii="Times New Roman" w:hAnsi="Times New Roman" w:cs="Times New Roman"/>
          <w:color w:val="000000" w:themeColor="text1"/>
        </w:rPr>
        <w:t xml:space="preserve"> </w:t>
      </w:r>
      <w:r w:rsidR="001B2379" w:rsidRPr="00B11003">
        <w:rPr>
          <w:rFonts w:ascii="Times New Roman" w:hAnsi="Times New Roman" w:cs="Times New Roman"/>
          <w:color w:val="000000" w:themeColor="text1"/>
        </w:rPr>
        <w:t>par.</w:t>
      </w:r>
      <w:r w:rsidRPr="00B11003">
        <w:rPr>
          <w:rFonts w:ascii="Times New Roman" w:hAnsi="Times New Roman" w:cs="Times New Roman"/>
          <w:color w:val="000000" w:themeColor="text1"/>
        </w:rPr>
        <w:t xml:space="preserve"> 17-18.</w:t>
      </w:r>
    </w:p>
  </w:footnote>
  <w:footnote w:id="72">
    <w:p w14:paraId="7022926D" w14:textId="57CEB3B0"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eastAsiaTheme="majorEastAsia" w:hAnsi="Times New Roman" w:cs="Times New Roman"/>
          <w:color w:val="000000" w:themeColor="text1"/>
        </w:rPr>
        <w:footnoteRef/>
      </w:r>
      <w:r w:rsidRPr="00B11003">
        <w:rPr>
          <w:rFonts w:ascii="Times New Roman" w:hAnsi="Times New Roman" w:cs="Times New Roman"/>
          <w:color w:val="000000" w:themeColor="text1"/>
        </w:rPr>
        <w:t xml:space="preserve"> CNPT, </w:t>
      </w:r>
      <w:r w:rsidR="001B2379" w:rsidRPr="00B11003">
        <w:rPr>
          <w:rFonts w:ascii="Times New Roman" w:hAnsi="Times New Roman" w:cs="Times New Roman"/>
          <w:i/>
          <w:iCs/>
          <w:color w:val="000000" w:themeColor="text1"/>
        </w:rPr>
        <w:t>Rapport d’activité de la CNPT 2016</w:t>
      </w:r>
      <w:r w:rsidR="001B2379" w:rsidRPr="00B11003">
        <w:rPr>
          <w:rFonts w:ascii="Times New Roman" w:hAnsi="Times New Roman" w:cs="Times New Roman"/>
          <w:color w:val="000000" w:themeColor="text1"/>
        </w:rPr>
        <w:t xml:space="preserve">, </w:t>
      </w:r>
      <w:r w:rsidRPr="00B11003">
        <w:rPr>
          <w:rFonts w:ascii="Times New Roman" w:hAnsi="Times New Roman" w:cs="Times New Roman"/>
          <w:color w:val="000000" w:themeColor="text1"/>
        </w:rPr>
        <w:t>p. 49.</w:t>
      </w:r>
    </w:p>
  </w:footnote>
  <w:footnote w:id="73">
    <w:p w14:paraId="7958413A" w14:textId="02B16E7B"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BF27B5" w:rsidRPr="00B11003">
        <w:rPr>
          <w:rFonts w:ascii="Times New Roman" w:hAnsi="Times New Roman" w:cs="Times New Roman"/>
          <w:color w:val="000000" w:themeColor="text1"/>
        </w:rPr>
        <w:t xml:space="preserve">CPT, </w:t>
      </w:r>
      <w:r w:rsidR="00BF27B5" w:rsidRPr="00B11003">
        <w:rPr>
          <w:rFonts w:ascii="Times New Roman" w:hAnsi="Times New Roman" w:cs="Times New Roman"/>
          <w:i/>
          <w:iCs/>
          <w:color w:val="000000" w:themeColor="text1"/>
        </w:rPr>
        <w:t>Rapport visite en Suisse</w:t>
      </w:r>
      <w:r w:rsidR="00BF27B5" w:rsidRPr="00B11003">
        <w:rPr>
          <w:rFonts w:ascii="Times New Roman" w:hAnsi="Times New Roman" w:cs="Times New Roman"/>
          <w:color w:val="000000" w:themeColor="text1"/>
        </w:rPr>
        <w:t>, CPT/Inf(2016)18, 23 juin 2016, par.</w:t>
      </w:r>
      <w:r w:rsidRPr="00B11003">
        <w:rPr>
          <w:rFonts w:ascii="Times New Roman" w:hAnsi="Times New Roman" w:cs="Times New Roman"/>
          <w:color w:val="000000" w:themeColor="text1"/>
        </w:rPr>
        <w:t xml:space="preserve"> 151 ; </w:t>
      </w:r>
      <w:r w:rsidR="000401E4" w:rsidRPr="00B11003">
        <w:rPr>
          <w:rFonts w:ascii="Times New Roman" w:hAnsi="Times New Roman" w:cs="Times New Roman"/>
          <w:color w:val="000000" w:themeColor="text1"/>
        </w:rPr>
        <w:t xml:space="preserve">CNPT, </w:t>
      </w:r>
      <w:r w:rsidR="000401E4" w:rsidRPr="00B11003">
        <w:rPr>
          <w:rFonts w:ascii="Times New Roman" w:hAnsi="Times New Roman" w:cs="Times New Roman"/>
          <w:i/>
          <w:iCs/>
          <w:color w:val="000000" w:themeColor="text1"/>
        </w:rPr>
        <w:t>Rapport visite à l’Hôpital psychiatrique de Cery</w:t>
      </w:r>
      <w:r w:rsidR="000401E4" w:rsidRPr="00B11003">
        <w:rPr>
          <w:rFonts w:ascii="Times New Roman" w:hAnsi="Times New Roman" w:cs="Times New Roman"/>
          <w:color w:val="000000" w:themeColor="text1"/>
        </w:rPr>
        <w:t xml:space="preserve">, 21 août 2019, par. 25 ss ; CNPT, </w:t>
      </w:r>
      <w:r w:rsidR="000401E4" w:rsidRPr="00B11003">
        <w:rPr>
          <w:rFonts w:ascii="Times New Roman" w:hAnsi="Times New Roman" w:cs="Times New Roman"/>
          <w:i/>
          <w:iCs/>
          <w:color w:val="000000" w:themeColor="text1"/>
        </w:rPr>
        <w:t>Rapport visite à l’Hôpital de psychiatrie de Genève</w:t>
      </w:r>
      <w:r w:rsidR="000401E4" w:rsidRPr="00B11003">
        <w:rPr>
          <w:rFonts w:ascii="Times New Roman" w:hAnsi="Times New Roman" w:cs="Times New Roman"/>
          <w:color w:val="000000" w:themeColor="text1"/>
        </w:rPr>
        <w:t xml:space="preserve">, 14 mai 2019, par. </w:t>
      </w:r>
      <w:r w:rsidRPr="00B11003">
        <w:rPr>
          <w:rFonts w:ascii="Times New Roman" w:hAnsi="Times New Roman" w:cs="Times New Roman"/>
          <w:color w:val="000000" w:themeColor="text1"/>
        </w:rPr>
        <w:t>25</w:t>
      </w:r>
      <w:r w:rsidR="000401E4" w:rsidRPr="00B11003">
        <w:rPr>
          <w:rFonts w:ascii="Times New Roman" w:hAnsi="Times New Roman" w:cs="Times New Roman"/>
          <w:color w:val="000000" w:themeColor="text1"/>
        </w:rPr>
        <w:t>-</w:t>
      </w:r>
      <w:r w:rsidRPr="00B11003">
        <w:rPr>
          <w:rFonts w:ascii="Times New Roman" w:hAnsi="Times New Roman" w:cs="Times New Roman"/>
          <w:color w:val="000000" w:themeColor="text1"/>
        </w:rPr>
        <w:t xml:space="preserve"> 26 ; </w:t>
      </w:r>
      <w:r w:rsidR="000401E4" w:rsidRPr="00B11003">
        <w:rPr>
          <w:rFonts w:ascii="Times New Roman" w:hAnsi="Times New Roman" w:cs="Times New Roman"/>
          <w:color w:val="000000" w:themeColor="text1"/>
        </w:rPr>
        <w:t xml:space="preserve">CNPT, </w:t>
      </w:r>
      <w:r w:rsidR="000401E4" w:rsidRPr="00B11003">
        <w:rPr>
          <w:rFonts w:ascii="Times New Roman" w:hAnsi="Times New Roman" w:cs="Times New Roman"/>
          <w:i/>
          <w:iCs/>
          <w:color w:val="000000" w:themeColor="text1"/>
        </w:rPr>
        <w:t>Rapport visite du Service psychiatrique universitaire de Berne</w:t>
      </w:r>
      <w:r w:rsidRPr="00B11003">
        <w:rPr>
          <w:rFonts w:ascii="Times New Roman" w:hAnsi="Times New Roman" w:cs="Times New Roman"/>
          <w:color w:val="000000" w:themeColor="text1"/>
        </w:rPr>
        <w:t xml:space="preserve">, </w:t>
      </w:r>
      <w:r w:rsidR="000401E4" w:rsidRPr="00B11003">
        <w:rPr>
          <w:rFonts w:ascii="Times New Roman" w:hAnsi="Times New Roman" w:cs="Times New Roman"/>
          <w:color w:val="000000" w:themeColor="text1"/>
        </w:rPr>
        <w:t>30 mai 2017, par.</w:t>
      </w:r>
      <w:r w:rsidRPr="00B11003">
        <w:rPr>
          <w:rFonts w:ascii="Times New Roman" w:hAnsi="Times New Roman" w:cs="Times New Roman"/>
          <w:color w:val="000000" w:themeColor="text1"/>
        </w:rPr>
        <w:t xml:space="preserve"> 32ss ; </w:t>
      </w:r>
      <w:r w:rsidR="000401E4" w:rsidRPr="00B11003">
        <w:rPr>
          <w:rFonts w:ascii="Times New Roman" w:hAnsi="Times New Roman" w:cs="Times New Roman"/>
          <w:color w:val="000000" w:themeColor="text1"/>
        </w:rPr>
        <w:t>v</w:t>
      </w:r>
      <w:r w:rsidRPr="00B11003">
        <w:rPr>
          <w:rFonts w:ascii="Times New Roman" w:hAnsi="Times New Roman" w:cs="Times New Roman"/>
          <w:color w:val="000000" w:themeColor="text1"/>
        </w:rPr>
        <w:t>oir aussi Tribunal cantonal Z</w:t>
      </w:r>
      <w:r w:rsidR="000401E4" w:rsidRPr="00B11003">
        <w:rPr>
          <w:rFonts w:ascii="Times New Roman" w:hAnsi="Times New Roman" w:cs="Times New Roman"/>
          <w:color w:val="000000" w:themeColor="text1"/>
        </w:rPr>
        <w:t>urich</w:t>
      </w:r>
      <w:r w:rsidRPr="00B11003">
        <w:rPr>
          <w:rFonts w:ascii="Times New Roman" w:hAnsi="Times New Roman" w:cs="Times New Roman"/>
          <w:color w:val="000000" w:themeColor="text1"/>
        </w:rPr>
        <w:t>, PA190005,</w:t>
      </w:r>
      <w:r w:rsidR="000401E4" w:rsidRPr="00B11003">
        <w:rPr>
          <w:rFonts w:ascii="Times New Roman" w:hAnsi="Times New Roman" w:cs="Times New Roman"/>
          <w:color w:val="000000" w:themeColor="text1"/>
        </w:rPr>
        <w:t xml:space="preserve"> 11 mars 2019, </w:t>
      </w:r>
      <w:r w:rsidRPr="00B11003">
        <w:rPr>
          <w:rFonts w:ascii="Times New Roman" w:hAnsi="Times New Roman" w:cs="Times New Roman"/>
          <w:color w:val="000000" w:themeColor="text1"/>
        </w:rPr>
        <w:t>consid. 2.2.5 et 2.3.1.</w:t>
      </w:r>
    </w:p>
  </w:footnote>
  <w:footnote w:id="74">
    <w:p w14:paraId="49CB41FC" w14:textId="358299E4" w:rsidR="00981D55" w:rsidRPr="00B11003" w:rsidRDefault="00981D55" w:rsidP="00B11003">
      <w:pPr>
        <w:pStyle w:val="Notedebasdepage"/>
        <w:jc w:val="both"/>
        <w:rPr>
          <w:rFonts w:ascii="Times New Roman" w:hAnsi="Times New Roman" w:cs="Times New Roman"/>
          <w:color w:val="000000" w:themeColor="text1"/>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EE2B7A" w:rsidRPr="00B11003">
        <w:rPr>
          <w:rFonts w:ascii="Times New Roman" w:hAnsi="Times New Roman" w:cs="Times New Roman"/>
          <w:color w:val="000000" w:themeColor="text1"/>
        </w:rPr>
        <w:t>CPT</w:t>
      </w:r>
      <w:r w:rsidRPr="00B11003">
        <w:rPr>
          <w:rFonts w:ascii="Times New Roman" w:hAnsi="Times New Roman" w:cs="Times New Roman"/>
          <w:color w:val="000000" w:themeColor="text1"/>
        </w:rPr>
        <w:t xml:space="preserve">, </w:t>
      </w:r>
      <w:r w:rsidR="00EE2B7A" w:rsidRPr="00B11003">
        <w:rPr>
          <w:rFonts w:ascii="Times New Roman" w:hAnsi="Times New Roman" w:cs="Times New Roman"/>
          <w:i/>
          <w:iCs/>
          <w:color w:val="000000" w:themeColor="text1"/>
        </w:rPr>
        <w:t>Moyens de contention dans les établissements psychiatriques pour adultes (Normes révisées du CPT),</w:t>
      </w:r>
      <w:r w:rsidR="00EE2B7A" w:rsidRPr="00B11003">
        <w:rPr>
          <w:rFonts w:ascii="Times New Roman" w:hAnsi="Times New Roman" w:cs="Times New Roman"/>
          <w:color w:val="000000" w:themeColor="text1"/>
        </w:rPr>
        <w:t xml:space="preserve"> CPT/Inf(2017)6, 21 mars 2017,</w:t>
      </w:r>
      <w:r w:rsidRPr="00B11003">
        <w:rPr>
          <w:rFonts w:ascii="Times New Roman" w:hAnsi="Times New Roman" w:cs="Times New Roman"/>
          <w:color w:val="000000" w:themeColor="text1"/>
        </w:rPr>
        <w:t xml:space="preserve"> </w:t>
      </w:r>
      <w:r w:rsidR="00EE2B7A" w:rsidRPr="00B11003">
        <w:rPr>
          <w:rFonts w:ascii="Times New Roman" w:hAnsi="Times New Roman" w:cs="Times New Roman"/>
          <w:color w:val="000000" w:themeColor="text1"/>
        </w:rPr>
        <w:t>par.</w:t>
      </w:r>
      <w:r w:rsidRPr="00B11003">
        <w:rPr>
          <w:rFonts w:ascii="Times New Roman" w:hAnsi="Times New Roman" w:cs="Times New Roman"/>
          <w:color w:val="000000" w:themeColor="text1"/>
        </w:rPr>
        <w:t xml:space="preserve"> 3.3 ; </w:t>
      </w:r>
      <w:r w:rsidR="00BF27B5" w:rsidRPr="00B11003">
        <w:rPr>
          <w:rFonts w:ascii="Times New Roman" w:hAnsi="Times New Roman" w:cs="Times New Roman"/>
          <w:color w:val="000000" w:themeColor="text1"/>
        </w:rPr>
        <w:t xml:space="preserve">CPT, </w:t>
      </w:r>
      <w:r w:rsidR="00BF27B5" w:rsidRPr="00B11003">
        <w:rPr>
          <w:rFonts w:ascii="Times New Roman" w:hAnsi="Times New Roman" w:cs="Times New Roman"/>
          <w:i/>
          <w:iCs/>
          <w:color w:val="000000" w:themeColor="text1"/>
        </w:rPr>
        <w:t>Rapport visite en Suisse</w:t>
      </w:r>
      <w:r w:rsidR="00BF27B5" w:rsidRPr="00B11003">
        <w:rPr>
          <w:rFonts w:ascii="Times New Roman" w:hAnsi="Times New Roman" w:cs="Times New Roman"/>
          <w:color w:val="000000" w:themeColor="text1"/>
        </w:rPr>
        <w:t xml:space="preserve">, CPT/Inf(2016)18, 23 juin 2016, par. </w:t>
      </w:r>
      <w:r w:rsidRPr="00B11003">
        <w:rPr>
          <w:rFonts w:ascii="Times New Roman" w:hAnsi="Times New Roman" w:cs="Times New Roman"/>
          <w:color w:val="000000" w:themeColor="text1"/>
        </w:rPr>
        <w:t xml:space="preserve">151 ; </w:t>
      </w:r>
      <w:r w:rsidR="000401E4" w:rsidRPr="00B11003">
        <w:rPr>
          <w:rFonts w:ascii="Times New Roman" w:hAnsi="Times New Roman" w:cs="Times New Roman"/>
          <w:color w:val="000000" w:themeColor="text1"/>
        </w:rPr>
        <w:t xml:space="preserve">CNPT, </w:t>
      </w:r>
      <w:r w:rsidR="000401E4" w:rsidRPr="00B11003">
        <w:rPr>
          <w:rFonts w:ascii="Times New Roman" w:hAnsi="Times New Roman" w:cs="Times New Roman"/>
          <w:i/>
          <w:iCs/>
          <w:color w:val="000000" w:themeColor="text1"/>
        </w:rPr>
        <w:t>Rapport visite à l’Hôpital psychiatrique de Cery</w:t>
      </w:r>
      <w:r w:rsidR="000401E4" w:rsidRPr="00B11003">
        <w:rPr>
          <w:rFonts w:ascii="Times New Roman" w:hAnsi="Times New Roman" w:cs="Times New Roman"/>
          <w:color w:val="000000" w:themeColor="text1"/>
        </w:rPr>
        <w:t xml:space="preserve">, 21 août 2019, par. </w:t>
      </w:r>
      <w:r w:rsidRPr="00B11003">
        <w:rPr>
          <w:rFonts w:ascii="Times New Roman" w:hAnsi="Times New Roman" w:cs="Times New Roman"/>
          <w:color w:val="000000" w:themeColor="text1"/>
        </w:rPr>
        <w:t>25 et 28.</w:t>
      </w:r>
    </w:p>
  </w:footnote>
  <w:footnote w:id="75">
    <w:p w14:paraId="15AF3A64" w14:textId="20CF0DAA"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0401E4" w:rsidRPr="00B11003">
        <w:rPr>
          <w:rFonts w:ascii="Times New Roman" w:hAnsi="Times New Roman" w:cs="Times New Roman"/>
          <w:color w:val="000000" w:themeColor="text1"/>
        </w:rPr>
        <w:t xml:space="preserve">CNPT, </w:t>
      </w:r>
      <w:r w:rsidR="000401E4" w:rsidRPr="00B11003">
        <w:rPr>
          <w:rFonts w:ascii="Times New Roman" w:hAnsi="Times New Roman" w:cs="Times New Roman"/>
          <w:i/>
          <w:iCs/>
          <w:color w:val="000000" w:themeColor="text1"/>
        </w:rPr>
        <w:t>Ibid</w:t>
      </w:r>
      <w:r w:rsidR="000401E4" w:rsidRPr="00B11003">
        <w:rPr>
          <w:rFonts w:ascii="Times New Roman" w:hAnsi="Times New Roman" w:cs="Times New Roman"/>
          <w:color w:val="000000" w:themeColor="text1"/>
        </w:rPr>
        <w:t xml:space="preserve">, par. </w:t>
      </w:r>
      <w:r w:rsidRPr="00B11003">
        <w:rPr>
          <w:rFonts w:ascii="Times New Roman" w:hAnsi="Times New Roman" w:cs="Times New Roman"/>
          <w:color w:val="000000" w:themeColor="text1"/>
        </w:rPr>
        <w:t xml:space="preserve">25 et 28 ; </w:t>
      </w:r>
      <w:r w:rsidR="000401E4" w:rsidRPr="00B11003">
        <w:rPr>
          <w:rFonts w:ascii="Times New Roman" w:hAnsi="Times New Roman" w:cs="Times New Roman"/>
          <w:color w:val="000000" w:themeColor="text1"/>
        </w:rPr>
        <w:t xml:space="preserve">CNPT, </w:t>
      </w:r>
      <w:r w:rsidR="000401E4" w:rsidRPr="00B11003">
        <w:rPr>
          <w:rFonts w:ascii="Times New Roman" w:hAnsi="Times New Roman" w:cs="Times New Roman"/>
          <w:i/>
          <w:iCs/>
          <w:color w:val="000000" w:themeColor="text1"/>
        </w:rPr>
        <w:t>Rapport visite du Service psychiatrique universitaire de Berne</w:t>
      </w:r>
      <w:r w:rsidR="000401E4" w:rsidRPr="00B11003">
        <w:rPr>
          <w:rFonts w:ascii="Times New Roman" w:hAnsi="Times New Roman" w:cs="Times New Roman"/>
          <w:color w:val="000000" w:themeColor="text1"/>
        </w:rPr>
        <w:t>, 30 mai 2017, par. 34.</w:t>
      </w:r>
    </w:p>
  </w:footnote>
  <w:footnote w:id="76">
    <w:p w14:paraId="7E5FB9A2" w14:textId="54D523EC"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V</w:t>
      </w:r>
      <w:r w:rsidRPr="00B11003">
        <w:rPr>
          <w:rFonts w:ascii="Times New Roman" w:hAnsi="Times New Roman" w:cs="Times New Roman"/>
          <w:smallCaps/>
          <w:color w:val="000000" w:themeColor="text1"/>
        </w:rPr>
        <w:t>aerini</w:t>
      </w:r>
      <w:r w:rsidR="00761D27" w:rsidRPr="00B11003">
        <w:rPr>
          <w:rFonts w:ascii="Times New Roman" w:hAnsi="Times New Roman" w:cs="Times New Roman"/>
          <w:color w:val="000000" w:themeColor="text1"/>
        </w:rPr>
        <w:t xml:space="preserve"> Micaela, CC 383, </w:t>
      </w:r>
      <w:r w:rsidR="00761D27" w:rsidRPr="00B11003">
        <w:rPr>
          <w:rFonts w:ascii="Times New Roman" w:hAnsi="Times New Roman" w:cs="Times New Roman"/>
          <w:i/>
          <w:iCs/>
          <w:color w:val="000000" w:themeColor="text1"/>
        </w:rPr>
        <w:t>in</w:t>
      </w:r>
      <w:r w:rsidR="00761D27" w:rsidRPr="00B11003">
        <w:rPr>
          <w:rFonts w:ascii="Times New Roman" w:hAnsi="Times New Roman" w:cs="Times New Roman"/>
          <w:color w:val="000000" w:themeColor="text1"/>
        </w:rPr>
        <w:t xml:space="preserve"> L</w:t>
      </w:r>
      <w:r w:rsidR="00761D27" w:rsidRPr="00B11003">
        <w:rPr>
          <w:rFonts w:ascii="Times New Roman" w:hAnsi="Times New Roman" w:cs="Times New Roman"/>
          <w:smallCaps/>
          <w:color w:val="000000" w:themeColor="text1"/>
        </w:rPr>
        <w:t>euba</w:t>
      </w:r>
      <w:r w:rsidR="00761D27" w:rsidRPr="00B11003">
        <w:rPr>
          <w:rFonts w:ascii="Times New Roman" w:hAnsi="Times New Roman" w:cs="Times New Roman"/>
          <w:color w:val="000000" w:themeColor="text1"/>
        </w:rPr>
        <w:t xml:space="preserve"> A./S</w:t>
      </w:r>
      <w:r w:rsidR="00761D27" w:rsidRPr="00B11003">
        <w:rPr>
          <w:rFonts w:ascii="Times New Roman" w:hAnsi="Times New Roman" w:cs="Times New Roman"/>
          <w:smallCaps/>
          <w:color w:val="000000" w:themeColor="text1"/>
        </w:rPr>
        <w:t>tettler</w:t>
      </w:r>
      <w:r w:rsidR="00761D27" w:rsidRPr="00B11003">
        <w:rPr>
          <w:rFonts w:ascii="Times New Roman" w:hAnsi="Times New Roman" w:cs="Times New Roman"/>
          <w:color w:val="000000" w:themeColor="text1"/>
        </w:rPr>
        <w:t xml:space="preserve"> M./B</w:t>
      </w:r>
      <w:r w:rsidR="00761D27" w:rsidRPr="00B11003">
        <w:rPr>
          <w:rFonts w:ascii="Times New Roman" w:hAnsi="Times New Roman" w:cs="Times New Roman"/>
          <w:smallCaps/>
          <w:color w:val="000000" w:themeColor="text1"/>
        </w:rPr>
        <w:t>üchler</w:t>
      </w:r>
      <w:r w:rsidR="00761D27" w:rsidRPr="00B11003">
        <w:rPr>
          <w:rFonts w:ascii="Times New Roman" w:hAnsi="Times New Roman" w:cs="Times New Roman"/>
          <w:color w:val="000000" w:themeColor="text1"/>
        </w:rPr>
        <w:t xml:space="preserve"> A./H</w:t>
      </w:r>
      <w:r w:rsidR="00761D27" w:rsidRPr="00B11003">
        <w:rPr>
          <w:rFonts w:ascii="Times New Roman" w:hAnsi="Times New Roman" w:cs="Times New Roman"/>
          <w:smallCaps/>
          <w:color w:val="000000" w:themeColor="text1"/>
        </w:rPr>
        <w:t>äfeli</w:t>
      </w:r>
      <w:r w:rsidR="00761D27" w:rsidRPr="00B11003">
        <w:rPr>
          <w:rFonts w:ascii="Times New Roman" w:hAnsi="Times New Roman" w:cs="Times New Roman"/>
          <w:color w:val="000000" w:themeColor="text1"/>
        </w:rPr>
        <w:t xml:space="preserve"> C. (éd.), </w:t>
      </w:r>
      <w:r w:rsidR="00761D27" w:rsidRPr="00B11003">
        <w:rPr>
          <w:rFonts w:ascii="Times New Roman" w:hAnsi="Times New Roman" w:cs="Times New Roman"/>
          <w:i/>
          <w:iCs/>
          <w:color w:val="000000" w:themeColor="text1"/>
        </w:rPr>
        <w:t>CommFam Protection de l’adulte</w:t>
      </w:r>
      <w:r w:rsidR="00761D27" w:rsidRPr="00B11003">
        <w:rPr>
          <w:rFonts w:ascii="Times New Roman" w:hAnsi="Times New Roman" w:cs="Times New Roman"/>
          <w:color w:val="000000" w:themeColor="text1"/>
        </w:rPr>
        <w:t xml:space="preserve">, Berne, Stämpfli, 2013, par. </w:t>
      </w:r>
      <w:r w:rsidRPr="00B11003">
        <w:rPr>
          <w:rFonts w:ascii="Times New Roman" w:hAnsi="Times New Roman" w:cs="Times New Roman"/>
          <w:color w:val="000000" w:themeColor="text1"/>
        </w:rPr>
        <w:t xml:space="preserve">10 ; </w:t>
      </w:r>
      <w:r w:rsidR="000401E4" w:rsidRPr="00B11003">
        <w:rPr>
          <w:rFonts w:ascii="Times New Roman" w:hAnsi="Times New Roman" w:cs="Times New Roman"/>
          <w:color w:val="000000" w:themeColor="text1"/>
        </w:rPr>
        <w:t xml:space="preserve">CNPT, </w:t>
      </w:r>
      <w:r w:rsidR="000401E4" w:rsidRPr="00B11003">
        <w:rPr>
          <w:rFonts w:ascii="Times New Roman" w:hAnsi="Times New Roman" w:cs="Times New Roman"/>
          <w:i/>
          <w:iCs/>
          <w:color w:val="000000" w:themeColor="text1"/>
        </w:rPr>
        <w:t>Rapport d’activité de la CNPT 2016</w:t>
      </w:r>
      <w:r w:rsidR="000401E4" w:rsidRPr="00B11003">
        <w:rPr>
          <w:rFonts w:ascii="Times New Roman" w:hAnsi="Times New Roman" w:cs="Times New Roman"/>
          <w:color w:val="000000" w:themeColor="text1"/>
        </w:rPr>
        <w:t xml:space="preserve">, p. </w:t>
      </w:r>
      <w:r w:rsidRPr="00B11003">
        <w:rPr>
          <w:rFonts w:ascii="Times New Roman" w:hAnsi="Times New Roman" w:cs="Times New Roman"/>
          <w:color w:val="000000" w:themeColor="text1"/>
        </w:rPr>
        <w:t xml:space="preserve">36 ; Curaviva, </w:t>
      </w:r>
      <w:r w:rsidR="00761D27" w:rsidRPr="00B11003">
        <w:rPr>
          <w:rFonts w:ascii="Times New Roman" w:hAnsi="Times New Roman" w:cs="Times New Roman"/>
          <w:i/>
          <w:iCs/>
          <w:color w:val="000000" w:themeColor="text1"/>
        </w:rPr>
        <w:t>Droit de la protection de l’adulte : les mesures de contention</w:t>
      </w:r>
      <w:r w:rsidRPr="00B11003">
        <w:rPr>
          <w:rFonts w:ascii="Times New Roman" w:hAnsi="Times New Roman" w:cs="Times New Roman"/>
          <w:color w:val="000000" w:themeColor="text1"/>
        </w:rPr>
        <w:t xml:space="preserve">, </w:t>
      </w:r>
      <w:r w:rsidR="00761D27" w:rsidRPr="00B11003">
        <w:rPr>
          <w:rFonts w:ascii="Times New Roman" w:hAnsi="Times New Roman" w:cs="Times New Roman"/>
          <w:color w:val="000000" w:themeColor="text1"/>
        </w:rPr>
        <w:t xml:space="preserve">2017, </w:t>
      </w:r>
      <w:r w:rsidRPr="00B11003">
        <w:rPr>
          <w:rFonts w:ascii="Times New Roman" w:hAnsi="Times New Roman" w:cs="Times New Roman"/>
          <w:color w:val="000000" w:themeColor="text1"/>
        </w:rPr>
        <w:t>p. 2 ; TF, 5A_335/2010, 6 juillet 2010.</w:t>
      </w:r>
    </w:p>
  </w:footnote>
  <w:footnote w:id="77">
    <w:p w14:paraId="39617B9B" w14:textId="424BEF86" w:rsidR="00981D55" w:rsidRPr="00B11003" w:rsidRDefault="00981D55" w:rsidP="00B11003">
      <w:pPr>
        <w:pStyle w:val="Notedebasdepage"/>
        <w:jc w:val="both"/>
        <w:rPr>
          <w:rFonts w:ascii="Times New Roman" w:hAnsi="Times New Roman" w:cs="Times New Roman"/>
          <w:color w:val="000000" w:themeColor="text1"/>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0401E4" w:rsidRPr="00B11003">
        <w:rPr>
          <w:rFonts w:ascii="Times New Roman" w:hAnsi="Times New Roman" w:cs="Times New Roman"/>
          <w:color w:val="000000" w:themeColor="text1"/>
        </w:rPr>
        <w:t xml:space="preserve">CNPT, </w:t>
      </w:r>
      <w:r w:rsidR="000401E4" w:rsidRPr="00B11003">
        <w:rPr>
          <w:rFonts w:ascii="Times New Roman" w:hAnsi="Times New Roman" w:cs="Times New Roman"/>
          <w:i/>
          <w:iCs/>
          <w:color w:val="000000" w:themeColor="text1"/>
        </w:rPr>
        <w:t>Rapport d’activité de la CNPT 2016</w:t>
      </w:r>
      <w:r w:rsidR="000401E4" w:rsidRPr="00B11003">
        <w:rPr>
          <w:rFonts w:ascii="Times New Roman" w:hAnsi="Times New Roman" w:cs="Times New Roman"/>
          <w:color w:val="000000" w:themeColor="text1"/>
        </w:rPr>
        <w:t>, p.</w:t>
      </w:r>
      <w:r w:rsidRPr="00B11003">
        <w:rPr>
          <w:rFonts w:ascii="Times New Roman" w:hAnsi="Times New Roman" w:cs="Times New Roman"/>
          <w:color w:val="000000" w:themeColor="text1"/>
        </w:rPr>
        <w:t xml:space="preserve"> 49 ; </w:t>
      </w:r>
      <w:r w:rsidR="000401E4" w:rsidRPr="00B11003">
        <w:rPr>
          <w:rFonts w:ascii="Times New Roman" w:hAnsi="Times New Roman" w:cs="Times New Roman"/>
          <w:color w:val="000000" w:themeColor="text1"/>
        </w:rPr>
        <w:t xml:space="preserve">CNPT, </w:t>
      </w:r>
      <w:r w:rsidR="000401E4" w:rsidRPr="00B11003">
        <w:rPr>
          <w:rFonts w:ascii="Times New Roman" w:hAnsi="Times New Roman" w:cs="Times New Roman"/>
          <w:i/>
          <w:iCs/>
          <w:color w:val="000000" w:themeColor="text1"/>
        </w:rPr>
        <w:t>Rapport visite du Service psychiatrique universitaire de Berne</w:t>
      </w:r>
      <w:r w:rsidR="000401E4" w:rsidRPr="00B11003">
        <w:rPr>
          <w:rFonts w:ascii="Times New Roman" w:hAnsi="Times New Roman" w:cs="Times New Roman"/>
          <w:color w:val="000000" w:themeColor="text1"/>
        </w:rPr>
        <w:t xml:space="preserve">, 30 mai 2017, par. </w:t>
      </w:r>
      <w:r w:rsidRPr="00B11003">
        <w:rPr>
          <w:rFonts w:ascii="Times New Roman" w:hAnsi="Times New Roman" w:cs="Times New Roman"/>
          <w:color w:val="000000" w:themeColor="text1"/>
        </w:rPr>
        <w:t xml:space="preserve">27 ; </w:t>
      </w:r>
      <w:r w:rsidR="000401E4" w:rsidRPr="00B11003">
        <w:rPr>
          <w:rFonts w:ascii="Times New Roman" w:hAnsi="Times New Roman" w:cs="Times New Roman"/>
          <w:color w:val="000000" w:themeColor="text1"/>
        </w:rPr>
        <w:t>ATF</w:t>
      </w:r>
      <w:r w:rsidRPr="00B11003">
        <w:rPr>
          <w:rFonts w:ascii="Times New Roman" w:hAnsi="Times New Roman" w:cs="Times New Roman"/>
          <w:color w:val="000000" w:themeColor="text1"/>
        </w:rPr>
        <w:t xml:space="preserve"> 5A_335/2010</w:t>
      </w:r>
      <w:r w:rsidR="000401E4" w:rsidRPr="00B11003">
        <w:rPr>
          <w:rFonts w:ascii="Times New Roman" w:hAnsi="Times New Roman" w:cs="Times New Roman"/>
          <w:color w:val="000000" w:themeColor="text1"/>
        </w:rPr>
        <w:t>,</w:t>
      </w:r>
      <w:r w:rsidRPr="00B11003">
        <w:rPr>
          <w:rFonts w:ascii="Times New Roman" w:hAnsi="Times New Roman" w:cs="Times New Roman"/>
          <w:color w:val="000000" w:themeColor="text1"/>
        </w:rPr>
        <w:t xml:space="preserve"> 6 juillet 2010, consid. 5.1</w:t>
      </w:r>
    </w:p>
  </w:footnote>
  <w:footnote w:id="78">
    <w:p w14:paraId="6BCFB79B" w14:textId="3DC90930"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00E7179B" w:rsidRPr="00B11003">
        <w:rPr>
          <w:rFonts w:ascii="Times New Roman" w:hAnsi="Times New Roman" w:cs="Times New Roman"/>
          <w:color w:val="000000" w:themeColor="text1"/>
        </w:rPr>
        <w:t xml:space="preserve"> Hôpital Universitaire de Genève, </w:t>
      </w:r>
      <w:r w:rsidR="00E7179B" w:rsidRPr="00B11003">
        <w:rPr>
          <w:rFonts w:ascii="Times New Roman" w:hAnsi="Times New Roman" w:cs="Times New Roman"/>
          <w:i/>
          <w:iCs/>
          <w:color w:val="000000" w:themeColor="text1"/>
        </w:rPr>
        <w:t>Mesures physiques limitant la liberté de mouvement</w:t>
      </w:r>
      <w:r w:rsidR="00E7179B" w:rsidRPr="00B11003">
        <w:rPr>
          <w:rFonts w:ascii="Times New Roman" w:hAnsi="Times New Roman" w:cs="Times New Roman"/>
          <w:color w:val="000000" w:themeColor="text1"/>
        </w:rPr>
        <w:t>, 2014</w:t>
      </w:r>
      <w:r w:rsidRPr="00B11003">
        <w:rPr>
          <w:rFonts w:ascii="Times New Roman" w:hAnsi="Times New Roman" w:cs="Times New Roman"/>
          <w:color w:val="000000" w:themeColor="text1"/>
        </w:rPr>
        <w:t>, p</w:t>
      </w:r>
      <w:r w:rsidR="00E7179B" w:rsidRPr="00B11003">
        <w:rPr>
          <w:rFonts w:ascii="Times New Roman" w:hAnsi="Times New Roman" w:cs="Times New Roman"/>
          <w:color w:val="000000" w:themeColor="text1"/>
        </w:rPr>
        <w:t>p</w:t>
      </w:r>
      <w:r w:rsidRPr="00B11003">
        <w:rPr>
          <w:rFonts w:ascii="Times New Roman" w:hAnsi="Times New Roman" w:cs="Times New Roman"/>
          <w:color w:val="000000" w:themeColor="text1"/>
        </w:rPr>
        <w:t>. 3</w:t>
      </w:r>
      <w:r w:rsidR="00E7179B" w:rsidRPr="00B11003">
        <w:rPr>
          <w:rFonts w:ascii="Times New Roman" w:hAnsi="Times New Roman" w:cs="Times New Roman"/>
          <w:color w:val="000000" w:themeColor="text1"/>
        </w:rPr>
        <w:t>-</w:t>
      </w:r>
      <w:r w:rsidRPr="00B11003">
        <w:rPr>
          <w:rFonts w:ascii="Times New Roman" w:hAnsi="Times New Roman" w:cs="Times New Roman"/>
          <w:color w:val="000000" w:themeColor="text1"/>
        </w:rPr>
        <w:t>6.</w:t>
      </w:r>
    </w:p>
  </w:footnote>
  <w:footnote w:id="79">
    <w:p w14:paraId="1AC3AE65" w14:textId="46B777FC"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1B2379" w:rsidRPr="00B11003">
        <w:rPr>
          <w:rFonts w:ascii="Times New Roman" w:hAnsi="Times New Roman" w:cs="Times New Roman"/>
          <w:color w:val="000000" w:themeColor="text1"/>
        </w:rPr>
        <w:t xml:space="preserve">AGNU, </w:t>
      </w:r>
      <w:r w:rsidR="001B2379" w:rsidRPr="00B11003">
        <w:rPr>
          <w:rFonts w:ascii="Times New Roman" w:hAnsi="Times New Roman" w:cs="Times New Roman"/>
          <w:i/>
          <w:iCs/>
          <w:color w:val="000000" w:themeColor="text1"/>
        </w:rPr>
        <w:t>Rapport de la Rapporteuse spéciale sur les droits des personnes handicapées</w:t>
      </w:r>
      <w:r w:rsidR="001B2379" w:rsidRPr="00B11003">
        <w:rPr>
          <w:rFonts w:ascii="Times New Roman" w:hAnsi="Times New Roman" w:cs="Times New Roman"/>
          <w:color w:val="000000" w:themeColor="text1"/>
        </w:rPr>
        <w:t>, A/HRC/40/54, 11 janvier 2019, par.</w:t>
      </w:r>
      <w:r w:rsidRPr="00B11003">
        <w:rPr>
          <w:rFonts w:ascii="Times New Roman" w:hAnsi="Times New Roman" w:cs="Times New Roman"/>
          <w:color w:val="000000" w:themeColor="text1"/>
        </w:rPr>
        <w:t xml:space="preserve">14 et </w:t>
      </w:r>
      <w:r w:rsidR="001B2379" w:rsidRPr="00B11003">
        <w:rPr>
          <w:rFonts w:ascii="Times New Roman" w:hAnsi="Times New Roman" w:cs="Times New Roman"/>
          <w:color w:val="000000" w:themeColor="text1"/>
        </w:rPr>
        <w:t xml:space="preserve">par. </w:t>
      </w:r>
      <w:r w:rsidRPr="00B11003">
        <w:rPr>
          <w:rFonts w:ascii="Times New Roman" w:hAnsi="Times New Roman" w:cs="Times New Roman"/>
          <w:color w:val="000000" w:themeColor="text1"/>
        </w:rPr>
        <w:t>31.</w:t>
      </w:r>
    </w:p>
  </w:footnote>
  <w:footnote w:id="80">
    <w:p w14:paraId="6006208C" w14:textId="6E569146" w:rsidR="00981D55" w:rsidRPr="00B11003" w:rsidRDefault="00981D55" w:rsidP="00B11003">
      <w:pPr>
        <w:pStyle w:val="Notedebasdepage"/>
        <w:jc w:val="both"/>
        <w:rPr>
          <w:rFonts w:ascii="Times New Roman" w:hAnsi="Times New Roman" w:cs="Times New Roman"/>
          <w:color w:val="000000" w:themeColor="text1"/>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BF27B5" w:rsidRPr="00B11003">
        <w:rPr>
          <w:rFonts w:ascii="Times New Roman" w:hAnsi="Times New Roman" w:cs="Times New Roman"/>
          <w:color w:val="000000" w:themeColor="text1"/>
        </w:rPr>
        <w:t xml:space="preserve">CPT, </w:t>
      </w:r>
      <w:r w:rsidR="00BF27B5" w:rsidRPr="00B11003">
        <w:rPr>
          <w:rFonts w:ascii="Times New Roman" w:hAnsi="Times New Roman" w:cs="Times New Roman"/>
          <w:i/>
          <w:iCs/>
          <w:color w:val="000000" w:themeColor="text1"/>
        </w:rPr>
        <w:t>Rapport visite en Suisse</w:t>
      </w:r>
      <w:r w:rsidR="00BF27B5" w:rsidRPr="00B11003">
        <w:rPr>
          <w:rFonts w:ascii="Times New Roman" w:hAnsi="Times New Roman" w:cs="Times New Roman"/>
          <w:color w:val="000000" w:themeColor="text1"/>
        </w:rPr>
        <w:t xml:space="preserve">, CPT/Inf(2016)18, 23 juin 2016, par. </w:t>
      </w:r>
      <w:r w:rsidRPr="00B11003">
        <w:rPr>
          <w:rFonts w:ascii="Times New Roman" w:hAnsi="Times New Roman" w:cs="Times New Roman"/>
          <w:color w:val="000000" w:themeColor="text1"/>
        </w:rPr>
        <w:t>104 et 126 ; ATF 134 I 209, consid. 2.4.2 ; Entretien du 10 novembre 2021 avec la Commission départementale de Belle-Idée.</w:t>
      </w:r>
    </w:p>
  </w:footnote>
  <w:footnote w:id="81">
    <w:p w14:paraId="661B7C1D" w14:textId="05168024"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E7179B" w:rsidRPr="00B11003">
        <w:rPr>
          <w:rFonts w:ascii="Times New Roman" w:hAnsi="Times New Roman" w:cs="Times New Roman"/>
          <w:color w:val="000000" w:themeColor="text1"/>
        </w:rPr>
        <w:t xml:space="preserve">GRAAP, Crise psychique et contrainte : le pouvoir de la parole, </w:t>
      </w:r>
      <w:r w:rsidR="00E7179B" w:rsidRPr="00B11003">
        <w:rPr>
          <w:rFonts w:ascii="Times New Roman" w:hAnsi="Times New Roman" w:cs="Times New Roman"/>
          <w:i/>
          <w:iCs/>
          <w:color w:val="000000" w:themeColor="text1"/>
        </w:rPr>
        <w:t>Diagonales</w:t>
      </w:r>
      <w:r w:rsidR="00E7179B" w:rsidRPr="00B11003">
        <w:rPr>
          <w:rFonts w:ascii="Times New Roman" w:hAnsi="Times New Roman" w:cs="Times New Roman"/>
          <w:color w:val="000000" w:themeColor="text1"/>
        </w:rPr>
        <w:t>, N. 128, 2019</w:t>
      </w:r>
      <w:r w:rsidRPr="00B11003">
        <w:rPr>
          <w:rFonts w:ascii="Times New Roman" w:hAnsi="Times New Roman" w:cs="Times New Roman"/>
          <w:color w:val="000000" w:themeColor="text1"/>
        </w:rPr>
        <w:t>, p. 6.</w:t>
      </w:r>
    </w:p>
  </w:footnote>
  <w:footnote w:id="82">
    <w:p w14:paraId="47755BE5" w14:textId="4945E86D"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0401E4" w:rsidRPr="00B11003">
        <w:rPr>
          <w:rFonts w:ascii="Times New Roman" w:hAnsi="Times New Roman" w:cs="Times New Roman"/>
          <w:color w:val="000000" w:themeColor="text1"/>
        </w:rPr>
        <w:t xml:space="preserve">CNPT, </w:t>
      </w:r>
      <w:r w:rsidR="000401E4" w:rsidRPr="00B11003">
        <w:rPr>
          <w:rFonts w:ascii="Times New Roman" w:hAnsi="Times New Roman" w:cs="Times New Roman"/>
          <w:i/>
          <w:iCs/>
          <w:color w:val="000000" w:themeColor="text1"/>
        </w:rPr>
        <w:t>Rapport visite à l’Hôpital de psychiatrie de Genève</w:t>
      </w:r>
      <w:r w:rsidR="000401E4" w:rsidRPr="00B11003">
        <w:rPr>
          <w:rFonts w:ascii="Times New Roman" w:hAnsi="Times New Roman" w:cs="Times New Roman"/>
          <w:color w:val="000000" w:themeColor="text1"/>
        </w:rPr>
        <w:t xml:space="preserve">, 14 mai 2019, par. </w:t>
      </w:r>
      <w:r w:rsidRPr="00B11003">
        <w:rPr>
          <w:rFonts w:ascii="Times New Roman" w:hAnsi="Times New Roman" w:cs="Times New Roman"/>
          <w:color w:val="000000" w:themeColor="text1"/>
        </w:rPr>
        <w:t>13.</w:t>
      </w:r>
    </w:p>
  </w:footnote>
  <w:footnote w:id="83">
    <w:p w14:paraId="7C534797" w14:textId="2B844C7F"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Entretien du 25 novembre 2021 avec </w:t>
      </w:r>
      <w:r w:rsidR="00F55701" w:rsidRPr="00B11003">
        <w:rPr>
          <w:rFonts w:ascii="Times New Roman" w:hAnsi="Times New Roman" w:cs="Times New Roman"/>
          <w:color w:val="000000" w:themeColor="text1"/>
        </w:rPr>
        <w:t>le</w:t>
      </w:r>
      <w:r w:rsidRPr="00B11003">
        <w:rPr>
          <w:rFonts w:ascii="Times New Roman" w:hAnsi="Times New Roman" w:cs="Times New Roman"/>
          <w:color w:val="000000" w:themeColor="text1"/>
        </w:rPr>
        <w:t xml:space="preserve"> GRAAP. </w:t>
      </w:r>
    </w:p>
  </w:footnote>
  <w:footnote w:id="84">
    <w:p w14:paraId="21EE5F2C" w14:textId="6302D22B"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BF27B5" w:rsidRPr="00B11003">
        <w:rPr>
          <w:rFonts w:ascii="Times New Roman" w:hAnsi="Times New Roman" w:cs="Times New Roman"/>
          <w:color w:val="000000" w:themeColor="text1"/>
        </w:rPr>
        <w:t xml:space="preserve">CPT, </w:t>
      </w:r>
      <w:r w:rsidR="00BF27B5" w:rsidRPr="00B11003">
        <w:rPr>
          <w:rFonts w:ascii="Times New Roman" w:hAnsi="Times New Roman" w:cs="Times New Roman"/>
          <w:i/>
          <w:iCs/>
          <w:color w:val="000000" w:themeColor="text1"/>
        </w:rPr>
        <w:t>Rapport visite en Suisse</w:t>
      </w:r>
      <w:r w:rsidR="00BF27B5" w:rsidRPr="00B11003">
        <w:rPr>
          <w:rFonts w:ascii="Times New Roman" w:hAnsi="Times New Roman" w:cs="Times New Roman"/>
          <w:color w:val="000000" w:themeColor="text1"/>
        </w:rPr>
        <w:t xml:space="preserve">, CPT/Inf(2016)18, 23 juin 2016, par. </w:t>
      </w:r>
      <w:r w:rsidRPr="00B11003">
        <w:rPr>
          <w:rFonts w:ascii="Times New Roman" w:hAnsi="Times New Roman" w:cs="Times New Roman"/>
          <w:color w:val="000000" w:themeColor="text1"/>
        </w:rPr>
        <w:t xml:space="preserve">126 ; </w:t>
      </w:r>
      <w:r w:rsidR="00E7179B" w:rsidRPr="00B11003">
        <w:rPr>
          <w:rFonts w:ascii="Times New Roman" w:hAnsi="Times New Roman" w:cs="Times New Roman"/>
          <w:color w:val="000000" w:themeColor="text1"/>
        </w:rPr>
        <w:t xml:space="preserve">GRAAP, Crise psychique et contrainte : le pouvoir de la parole, </w:t>
      </w:r>
      <w:r w:rsidR="00E7179B" w:rsidRPr="00B11003">
        <w:rPr>
          <w:rFonts w:ascii="Times New Roman" w:hAnsi="Times New Roman" w:cs="Times New Roman"/>
          <w:i/>
          <w:iCs/>
          <w:color w:val="000000" w:themeColor="text1"/>
        </w:rPr>
        <w:t>Diagonales</w:t>
      </w:r>
      <w:r w:rsidR="00E7179B" w:rsidRPr="00B11003">
        <w:rPr>
          <w:rFonts w:ascii="Times New Roman" w:hAnsi="Times New Roman" w:cs="Times New Roman"/>
          <w:color w:val="000000" w:themeColor="text1"/>
        </w:rPr>
        <w:t>, N. 128, 2019, p. 6.</w:t>
      </w:r>
    </w:p>
  </w:footnote>
  <w:footnote w:id="85">
    <w:p w14:paraId="50C5E370" w14:textId="05589B50" w:rsidR="00981D55" w:rsidRPr="00B11003" w:rsidRDefault="00981D55" w:rsidP="00B11003">
      <w:pPr>
        <w:pStyle w:val="Notedebasdepage"/>
        <w:jc w:val="both"/>
        <w:rPr>
          <w:rFonts w:ascii="Times New Roman" w:hAnsi="Times New Roman" w:cs="Times New Roman"/>
          <w:color w:val="FF0000"/>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1B2379" w:rsidRPr="00B11003">
        <w:rPr>
          <w:rFonts w:ascii="Times New Roman" w:hAnsi="Times New Roman" w:cs="Times New Roman"/>
          <w:i/>
          <w:iCs/>
          <w:color w:val="000000" w:themeColor="text1"/>
        </w:rPr>
        <w:t>Rapport visite à l’Hôpital de psychiatrie de Genève</w:t>
      </w:r>
      <w:r w:rsidR="001B2379" w:rsidRPr="00B11003">
        <w:rPr>
          <w:rFonts w:ascii="Times New Roman" w:hAnsi="Times New Roman" w:cs="Times New Roman"/>
          <w:color w:val="000000" w:themeColor="text1"/>
        </w:rPr>
        <w:t>, 14 mai 2019, par.</w:t>
      </w:r>
      <w:r w:rsidRPr="00B11003">
        <w:rPr>
          <w:rFonts w:ascii="Times New Roman" w:hAnsi="Times New Roman" w:cs="Times New Roman"/>
          <w:color w:val="000000" w:themeColor="text1"/>
        </w:rPr>
        <w:t xml:space="preserve"> 21.</w:t>
      </w:r>
    </w:p>
  </w:footnote>
  <w:footnote w:id="86">
    <w:p w14:paraId="52B33254" w14:textId="26B3398F" w:rsidR="00981D55" w:rsidRPr="00B11003" w:rsidRDefault="00981D55"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9F3994" w:rsidRPr="00B11003">
        <w:rPr>
          <w:rFonts w:ascii="Times New Roman" w:hAnsi="Times New Roman" w:cs="Times New Roman"/>
          <w:color w:val="000000" w:themeColor="text1"/>
        </w:rPr>
        <w:t xml:space="preserve">CRPD, </w:t>
      </w:r>
      <w:r w:rsidR="009F3994" w:rsidRPr="005F5DDA">
        <w:rPr>
          <w:rFonts w:ascii="Times New Roman" w:hAnsi="Times New Roman" w:cs="Times New Roman"/>
          <w:i/>
          <w:iCs/>
          <w:color w:val="000000" w:themeColor="text1"/>
        </w:rPr>
        <w:t>Observations finales concernant le rapport initial de la France</w:t>
      </w:r>
      <w:r w:rsidR="009F3994" w:rsidRPr="00B11003">
        <w:rPr>
          <w:rFonts w:ascii="Times New Roman" w:hAnsi="Times New Roman" w:cs="Times New Roman"/>
          <w:color w:val="000000" w:themeColor="text1"/>
        </w:rPr>
        <w:t xml:space="preserve">, CRPD/C/FRA/CO/1, 4 octobre 2021, par. </w:t>
      </w:r>
      <w:r w:rsidRPr="00B11003">
        <w:rPr>
          <w:rFonts w:ascii="Times New Roman" w:hAnsi="Times New Roman" w:cs="Times New Roman"/>
          <w:color w:val="000000" w:themeColor="text1"/>
        </w:rPr>
        <w:t xml:space="preserve">32 ; CRPD, </w:t>
      </w:r>
      <w:r w:rsidR="009F3994" w:rsidRPr="00B11003">
        <w:rPr>
          <w:rFonts w:ascii="Times New Roman" w:hAnsi="Times New Roman" w:cs="Times New Roman"/>
          <w:i/>
          <w:iCs/>
          <w:color w:val="000000" w:themeColor="text1"/>
        </w:rPr>
        <w:t>Observations finales concernant le rapport initial de l’Estonie</w:t>
      </w:r>
      <w:r w:rsidR="009F3994" w:rsidRPr="00B11003">
        <w:rPr>
          <w:rFonts w:ascii="Times New Roman" w:hAnsi="Times New Roman" w:cs="Times New Roman"/>
          <w:color w:val="000000" w:themeColor="text1"/>
        </w:rPr>
        <w:t xml:space="preserve">, CRPD/C/EST/CO/1, 5 mai 2021, par. </w:t>
      </w:r>
      <w:r w:rsidRPr="00B11003">
        <w:rPr>
          <w:rFonts w:ascii="Times New Roman" w:hAnsi="Times New Roman" w:cs="Times New Roman"/>
          <w:color w:val="000000" w:themeColor="text1"/>
        </w:rPr>
        <w:t>30</w:t>
      </w:r>
      <w:r w:rsidR="009F3994" w:rsidRPr="00B11003">
        <w:rPr>
          <w:rFonts w:ascii="Times New Roman" w:hAnsi="Times New Roman" w:cs="Times New Roman"/>
          <w:color w:val="000000" w:themeColor="text1"/>
        </w:rPr>
        <w:t>-</w:t>
      </w:r>
      <w:r w:rsidRPr="00B11003">
        <w:rPr>
          <w:rFonts w:ascii="Times New Roman" w:hAnsi="Times New Roman" w:cs="Times New Roman"/>
          <w:color w:val="000000" w:themeColor="text1"/>
        </w:rPr>
        <w:t xml:space="preserve">31 ; </w:t>
      </w:r>
      <w:r w:rsidR="009F3994" w:rsidRPr="00B11003">
        <w:rPr>
          <w:rFonts w:ascii="Times New Roman" w:hAnsi="Times New Roman" w:cs="Times New Roman"/>
          <w:color w:val="000000" w:themeColor="text1"/>
        </w:rPr>
        <w:t>CourEDH,</w:t>
      </w:r>
      <w:r w:rsidRPr="00B11003">
        <w:rPr>
          <w:rFonts w:ascii="Times New Roman" w:hAnsi="Times New Roman" w:cs="Times New Roman"/>
          <w:color w:val="000000" w:themeColor="text1"/>
        </w:rPr>
        <w:t xml:space="preserve"> </w:t>
      </w:r>
      <w:r w:rsidRPr="00B11003">
        <w:rPr>
          <w:rFonts w:ascii="Times New Roman" w:hAnsi="Times New Roman" w:cs="Times New Roman"/>
          <w:i/>
          <w:iCs/>
          <w:color w:val="000000" w:themeColor="text1"/>
        </w:rPr>
        <w:t>M.S. c</w:t>
      </w:r>
      <w:r w:rsidR="009F3994" w:rsidRPr="00B11003">
        <w:rPr>
          <w:rFonts w:ascii="Times New Roman" w:hAnsi="Times New Roman" w:cs="Times New Roman"/>
          <w:i/>
          <w:iCs/>
          <w:color w:val="000000" w:themeColor="text1"/>
        </w:rPr>
        <w:t>.</w:t>
      </w:r>
      <w:r w:rsidRPr="00B11003">
        <w:rPr>
          <w:rFonts w:ascii="Times New Roman" w:hAnsi="Times New Roman" w:cs="Times New Roman"/>
          <w:i/>
          <w:iCs/>
          <w:color w:val="000000" w:themeColor="text1"/>
        </w:rPr>
        <w:t xml:space="preserve"> Croatie (No. 2)</w:t>
      </w:r>
      <w:r w:rsidRPr="00B11003">
        <w:rPr>
          <w:rFonts w:ascii="Times New Roman" w:hAnsi="Times New Roman" w:cs="Times New Roman"/>
          <w:color w:val="000000" w:themeColor="text1"/>
        </w:rPr>
        <w:t xml:space="preserve">, </w:t>
      </w:r>
      <w:r w:rsidR="009F3994" w:rsidRPr="00B11003">
        <w:rPr>
          <w:rFonts w:ascii="Times New Roman" w:eastAsia="Times New Roman" w:hAnsi="Times New Roman" w:cs="Times New Roman"/>
          <w:color w:val="000000" w:themeColor="text1"/>
          <w:lang w:val="fr-CH"/>
        </w:rPr>
        <w:t xml:space="preserve">requête n° </w:t>
      </w:r>
      <w:r w:rsidR="009F3994" w:rsidRPr="00B11003">
        <w:rPr>
          <w:rFonts w:ascii="Times New Roman" w:hAnsi="Times New Roman" w:cs="Times New Roman"/>
          <w:color w:val="000000" w:themeColor="text1"/>
        </w:rPr>
        <w:t xml:space="preserve">75450/12, 19 février 2015, </w:t>
      </w:r>
      <w:r w:rsidRPr="00B11003">
        <w:rPr>
          <w:rFonts w:ascii="Times New Roman" w:hAnsi="Times New Roman" w:cs="Times New Roman"/>
          <w:color w:val="000000" w:themeColor="text1"/>
        </w:rPr>
        <w:t>par. 96.</w:t>
      </w:r>
    </w:p>
  </w:footnote>
  <w:footnote w:id="87">
    <w:p w14:paraId="12EC4A2B" w14:textId="2E6C41C9" w:rsidR="00EF1053" w:rsidRPr="00B11003" w:rsidRDefault="00EF1053" w:rsidP="00B11003">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sidRPr="00B11003">
        <w:rPr>
          <w:rFonts w:ascii="Times New Roman" w:hAnsi="Times New Roman" w:cs="Times New Roman"/>
          <w:sz w:val="20"/>
          <w:szCs w:val="20"/>
          <w:vertAlign w:val="superscript"/>
        </w:rPr>
        <w:footnoteRef/>
      </w:r>
      <w:r w:rsidRPr="00B11003">
        <w:rPr>
          <w:rFonts w:ascii="Times New Roman" w:eastAsia="Times New Roman" w:hAnsi="Times New Roman" w:cs="Times New Roman"/>
          <w:color w:val="000000"/>
          <w:sz w:val="20"/>
          <w:szCs w:val="20"/>
        </w:rPr>
        <w:t xml:space="preserve"> Art</w:t>
      </w:r>
      <w:r w:rsidR="00CB69D9" w:rsidRPr="00B11003">
        <w:rPr>
          <w:rFonts w:ascii="Times New Roman" w:eastAsia="Times New Roman" w:hAnsi="Times New Roman" w:cs="Times New Roman"/>
          <w:color w:val="000000"/>
          <w:sz w:val="20"/>
          <w:szCs w:val="20"/>
        </w:rPr>
        <w:t>.</w:t>
      </w:r>
      <w:r w:rsidRPr="00B11003">
        <w:rPr>
          <w:rFonts w:ascii="Times New Roman" w:eastAsia="Times New Roman" w:hAnsi="Times New Roman" w:cs="Times New Roman"/>
          <w:color w:val="000000"/>
          <w:sz w:val="20"/>
          <w:szCs w:val="20"/>
        </w:rPr>
        <w:t xml:space="preserve"> 39 Cst. féd.</w:t>
      </w:r>
    </w:p>
  </w:footnote>
  <w:footnote w:id="88">
    <w:p w14:paraId="0DE6000F" w14:textId="0A7201DB" w:rsidR="00EF1053" w:rsidRPr="00B11003" w:rsidRDefault="00EF1053" w:rsidP="00B11003">
      <w:pPr>
        <w:pStyle w:val="Notedebasdepage"/>
        <w:jc w:val="both"/>
        <w:rPr>
          <w:rFonts w:ascii="Times New Roman" w:hAnsi="Times New Roman" w:cs="Times New Roman"/>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smallCaps/>
        </w:rPr>
        <w:t>Grodecki</w:t>
      </w:r>
      <w:r w:rsidRPr="00B11003">
        <w:rPr>
          <w:rFonts w:ascii="Times New Roman" w:hAnsi="Times New Roman" w:cs="Times New Roman"/>
        </w:rPr>
        <w:t xml:space="preserve"> Stéphane, Corps électoral cantonal et communal, </w:t>
      </w:r>
      <w:r w:rsidRPr="00B11003">
        <w:rPr>
          <w:rFonts w:ascii="Times New Roman" w:hAnsi="Times New Roman" w:cs="Times New Roman"/>
          <w:i/>
          <w:iCs/>
        </w:rPr>
        <w:t>in</w:t>
      </w:r>
      <w:r w:rsidRPr="00B11003">
        <w:rPr>
          <w:rFonts w:ascii="Times New Roman" w:hAnsi="Times New Roman" w:cs="Times New Roman"/>
        </w:rPr>
        <w:t xml:space="preserve"> </w:t>
      </w:r>
      <w:r w:rsidRPr="00B11003">
        <w:rPr>
          <w:rFonts w:ascii="Times New Roman" w:hAnsi="Times New Roman" w:cs="Times New Roman"/>
          <w:smallCaps/>
        </w:rPr>
        <w:t>Diggelmann</w:t>
      </w:r>
      <w:r w:rsidRPr="00B11003">
        <w:rPr>
          <w:rFonts w:ascii="Times New Roman" w:hAnsi="Times New Roman" w:cs="Times New Roman"/>
        </w:rPr>
        <w:t xml:space="preserve"> O./</w:t>
      </w:r>
      <w:r w:rsidRPr="00B11003">
        <w:rPr>
          <w:rFonts w:ascii="Times New Roman" w:hAnsi="Times New Roman" w:cs="Times New Roman"/>
          <w:smallCaps/>
        </w:rPr>
        <w:t>Hertig Randall</w:t>
      </w:r>
      <w:r w:rsidRPr="00B11003">
        <w:rPr>
          <w:rFonts w:ascii="Times New Roman" w:hAnsi="Times New Roman" w:cs="Times New Roman"/>
        </w:rPr>
        <w:t xml:space="preserve"> M./</w:t>
      </w:r>
      <w:r w:rsidRPr="00B11003">
        <w:rPr>
          <w:rFonts w:ascii="Times New Roman" w:hAnsi="Times New Roman" w:cs="Times New Roman"/>
          <w:smallCaps/>
        </w:rPr>
        <w:t>Schindler</w:t>
      </w:r>
      <w:r w:rsidRPr="00B11003">
        <w:rPr>
          <w:rFonts w:ascii="Times New Roman" w:hAnsi="Times New Roman" w:cs="Times New Roman"/>
        </w:rPr>
        <w:t xml:space="preserve"> B.</w:t>
      </w:r>
      <w:r w:rsidR="0098189B" w:rsidRPr="00B11003">
        <w:rPr>
          <w:rFonts w:ascii="Times New Roman" w:hAnsi="Times New Roman" w:cs="Times New Roman"/>
        </w:rPr>
        <w:t xml:space="preserve"> (éd.)</w:t>
      </w:r>
      <w:r w:rsidRPr="00B11003">
        <w:rPr>
          <w:rFonts w:ascii="Times New Roman" w:hAnsi="Times New Roman" w:cs="Times New Roman"/>
        </w:rPr>
        <w:t xml:space="preserve">, </w:t>
      </w:r>
      <w:r w:rsidRPr="00B11003">
        <w:rPr>
          <w:rFonts w:ascii="Times New Roman" w:hAnsi="Times New Roman" w:cs="Times New Roman"/>
          <w:i/>
          <w:iCs/>
        </w:rPr>
        <w:t>Droit constitutionnel suisse</w:t>
      </w:r>
      <w:r w:rsidRPr="00B11003">
        <w:rPr>
          <w:rFonts w:ascii="Times New Roman" w:hAnsi="Times New Roman" w:cs="Times New Roman"/>
        </w:rPr>
        <w:t>, Zurich/Bâle/Genève</w:t>
      </w:r>
      <w:r w:rsidR="00E7179B" w:rsidRPr="00B11003">
        <w:rPr>
          <w:rFonts w:ascii="Times New Roman" w:hAnsi="Times New Roman" w:cs="Times New Roman"/>
        </w:rPr>
        <w:t>,</w:t>
      </w:r>
      <w:r w:rsidRPr="00B11003">
        <w:rPr>
          <w:rFonts w:ascii="Times New Roman" w:hAnsi="Times New Roman" w:cs="Times New Roman"/>
        </w:rPr>
        <w:t xml:space="preserve"> Schulthess</w:t>
      </w:r>
      <w:r w:rsidR="00E7179B" w:rsidRPr="00B11003">
        <w:rPr>
          <w:rFonts w:ascii="Times New Roman" w:hAnsi="Times New Roman" w:cs="Times New Roman"/>
        </w:rPr>
        <w:t>,</w:t>
      </w:r>
      <w:r w:rsidRPr="00B11003">
        <w:rPr>
          <w:rFonts w:ascii="Times New Roman" w:hAnsi="Times New Roman" w:cs="Times New Roman"/>
        </w:rPr>
        <w:t xml:space="preserve"> 2020, pp. 1783-1806.</w:t>
      </w:r>
    </w:p>
  </w:footnote>
  <w:footnote w:id="89">
    <w:p w14:paraId="4B9CE7E9" w14:textId="2F4C646A"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Sur le plan fédéral, voir </w:t>
      </w:r>
      <w:r w:rsidR="00CB69D9" w:rsidRPr="00B11003">
        <w:rPr>
          <w:rFonts w:ascii="Times New Roman" w:hAnsi="Times New Roman" w:cs="Times New Roman"/>
        </w:rPr>
        <w:t>l’</w:t>
      </w:r>
      <w:r w:rsidRPr="00B11003">
        <w:rPr>
          <w:rFonts w:ascii="Times New Roman" w:hAnsi="Times New Roman" w:cs="Times New Roman"/>
        </w:rPr>
        <w:t>art. 136 al. 2 Cst. féd.</w:t>
      </w:r>
    </w:p>
  </w:footnote>
  <w:footnote w:id="90">
    <w:p w14:paraId="5D79B2C7" w14:textId="22C831A8" w:rsidR="00EF1053" w:rsidRPr="00B11003" w:rsidRDefault="00EF1053" w:rsidP="00B11003">
      <w:pPr>
        <w:spacing w:line="240" w:lineRule="auto"/>
        <w:jc w:val="both"/>
        <w:rPr>
          <w:rFonts w:ascii="Times New Roman" w:hAnsi="Times New Roman" w:cs="Times New Roman"/>
          <w:sz w:val="20"/>
          <w:szCs w:val="20"/>
        </w:rPr>
      </w:pPr>
      <w:r w:rsidRPr="00B11003">
        <w:rPr>
          <w:rFonts w:ascii="Times New Roman" w:hAnsi="Times New Roman" w:cs="Times New Roman"/>
          <w:sz w:val="20"/>
          <w:szCs w:val="20"/>
          <w:vertAlign w:val="superscript"/>
        </w:rPr>
        <w:footnoteRef/>
      </w:r>
      <w:r w:rsidRPr="00B11003">
        <w:rPr>
          <w:rFonts w:ascii="Times New Roman" w:hAnsi="Times New Roman" w:cs="Times New Roman"/>
          <w:sz w:val="20"/>
          <w:szCs w:val="20"/>
        </w:rPr>
        <w:t xml:space="preserve"> Art. 2 LDP ; voir aussi </w:t>
      </w:r>
      <w:r w:rsidRPr="00B11003">
        <w:rPr>
          <w:rFonts w:ascii="Times New Roman" w:hAnsi="Times New Roman" w:cs="Times New Roman"/>
          <w:smallCaps/>
          <w:sz w:val="20"/>
          <w:szCs w:val="20"/>
        </w:rPr>
        <w:t>Tschannen</w:t>
      </w:r>
      <w:r w:rsidRPr="00B11003">
        <w:rPr>
          <w:rFonts w:ascii="Times New Roman" w:hAnsi="Times New Roman" w:cs="Times New Roman"/>
          <w:sz w:val="20"/>
          <w:szCs w:val="20"/>
        </w:rPr>
        <w:t xml:space="preserve"> Pierre, Art. 136 Cst., </w:t>
      </w:r>
      <w:r w:rsidRPr="00B11003">
        <w:rPr>
          <w:rFonts w:ascii="Times New Roman" w:hAnsi="Times New Roman" w:cs="Times New Roman"/>
          <w:i/>
          <w:iCs/>
          <w:sz w:val="20"/>
          <w:szCs w:val="20"/>
        </w:rPr>
        <w:t>in</w:t>
      </w:r>
      <w:r w:rsidRPr="00B11003">
        <w:rPr>
          <w:rFonts w:ascii="Times New Roman" w:hAnsi="Times New Roman" w:cs="Times New Roman"/>
          <w:sz w:val="20"/>
          <w:szCs w:val="20"/>
        </w:rPr>
        <w:t xml:space="preserve"> </w:t>
      </w:r>
      <w:r w:rsidRPr="00B11003">
        <w:rPr>
          <w:rFonts w:ascii="Times New Roman" w:eastAsia="Times New Roman" w:hAnsi="Times New Roman" w:cs="Times New Roman"/>
          <w:smallCaps/>
          <w:sz w:val="20"/>
          <w:szCs w:val="20"/>
          <w:lang w:val="fr-CH"/>
        </w:rPr>
        <w:t>Waldmann</w:t>
      </w:r>
      <w:r w:rsidRPr="00B11003">
        <w:rPr>
          <w:rFonts w:ascii="Times New Roman" w:eastAsia="Times New Roman" w:hAnsi="Times New Roman" w:cs="Times New Roman"/>
          <w:sz w:val="20"/>
          <w:szCs w:val="20"/>
          <w:lang w:val="fr-CH"/>
        </w:rPr>
        <w:t xml:space="preserve"> B./</w:t>
      </w:r>
      <w:r w:rsidRPr="00B11003">
        <w:rPr>
          <w:rFonts w:ascii="Times New Roman" w:eastAsia="Times New Roman" w:hAnsi="Times New Roman" w:cs="Times New Roman"/>
          <w:smallCaps/>
          <w:sz w:val="20"/>
          <w:szCs w:val="20"/>
          <w:lang w:val="fr-CH"/>
        </w:rPr>
        <w:t>Belser</w:t>
      </w:r>
      <w:r w:rsidRPr="00B11003">
        <w:rPr>
          <w:rFonts w:ascii="Times New Roman" w:eastAsia="Times New Roman" w:hAnsi="Times New Roman" w:cs="Times New Roman"/>
          <w:sz w:val="20"/>
          <w:szCs w:val="20"/>
          <w:lang w:val="fr-CH"/>
        </w:rPr>
        <w:t xml:space="preserve"> E. M./</w:t>
      </w:r>
      <w:r w:rsidRPr="00B11003">
        <w:rPr>
          <w:rFonts w:ascii="Times New Roman" w:eastAsia="Times New Roman" w:hAnsi="Times New Roman" w:cs="Times New Roman"/>
          <w:smallCaps/>
          <w:sz w:val="20"/>
          <w:szCs w:val="20"/>
          <w:lang w:val="fr-CH"/>
        </w:rPr>
        <w:t>Epiney</w:t>
      </w:r>
      <w:r w:rsidRPr="00B11003">
        <w:rPr>
          <w:rFonts w:ascii="Times New Roman" w:eastAsia="Times New Roman" w:hAnsi="Times New Roman" w:cs="Times New Roman"/>
          <w:sz w:val="20"/>
          <w:szCs w:val="20"/>
          <w:lang w:val="fr-CH"/>
        </w:rPr>
        <w:t xml:space="preserve"> A.</w:t>
      </w:r>
      <w:r w:rsidR="0098189B" w:rsidRPr="00B11003">
        <w:rPr>
          <w:rFonts w:ascii="Times New Roman" w:eastAsia="Times New Roman" w:hAnsi="Times New Roman" w:cs="Times New Roman"/>
          <w:sz w:val="20"/>
          <w:szCs w:val="20"/>
          <w:lang w:val="fr-CH"/>
        </w:rPr>
        <w:t xml:space="preserve"> </w:t>
      </w:r>
      <w:r w:rsidR="0098189B" w:rsidRPr="00B11003">
        <w:rPr>
          <w:rFonts w:ascii="Times New Roman" w:hAnsi="Times New Roman" w:cs="Times New Roman"/>
          <w:sz w:val="20"/>
          <w:szCs w:val="20"/>
        </w:rPr>
        <w:t>(éd.)</w:t>
      </w:r>
      <w:r w:rsidRPr="00B11003">
        <w:rPr>
          <w:rFonts w:ascii="Times New Roman" w:eastAsia="Times New Roman" w:hAnsi="Times New Roman" w:cs="Times New Roman"/>
          <w:sz w:val="20"/>
          <w:szCs w:val="20"/>
          <w:lang w:val="fr-CH"/>
        </w:rPr>
        <w:t xml:space="preserve">, </w:t>
      </w:r>
      <w:r w:rsidRPr="00B11003">
        <w:rPr>
          <w:rFonts w:ascii="Times New Roman" w:eastAsia="Times New Roman" w:hAnsi="Times New Roman" w:cs="Times New Roman"/>
          <w:i/>
          <w:iCs/>
          <w:sz w:val="20"/>
          <w:szCs w:val="20"/>
          <w:lang w:val="fr-CH"/>
        </w:rPr>
        <w:t>Bundesverfassung – Basler Kommentar</w:t>
      </w:r>
      <w:r w:rsidRPr="00B11003">
        <w:rPr>
          <w:rFonts w:ascii="Times New Roman" w:eastAsia="Times New Roman" w:hAnsi="Times New Roman" w:cs="Times New Roman"/>
          <w:sz w:val="20"/>
          <w:szCs w:val="20"/>
          <w:lang w:val="fr-CH"/>
        </w:rPr>
        <w:t>, Bâle</w:t>
      </w:r>
      <w:r w:rsidR="0098189B" w:rsidRPr="00B11003">
        <w:rPr>
          <w:rFonts w:ascii="Times New Roman" w:eastAsia="Times New Roman" w:hAnsi="Times New Roman" w:cs="Times New Roman"/>
          <w:sz w:val="20"/>
          <w:szCs w:val="20"/>
          <w:lang w:val="fr-CH"/>
        </w:rPr>
        <w:t>,</w:t>
      </w:r>
      <w:r w:rsidRPr="00B11003">
        <w:rPr>
          <w:rFonts w:ascii="Times New Roman" w:eastAsia="Times New Roman" w:hAnsi="Times New Roman" w:cs="Times New Roman"/>
          <w:sz w:val="20"/>
          <w:szCs w:val="20"/>
          <w:lang w:val="fr-CH"/>
        </w:rPr>
        <w:t xml:space="preserve"> Lichtenhahn, 2015, </w:t>
      </w:r>
      <w:r w:rsidR="0098189B" w:rsidRPr="00B11003">
        <w:rPr>
          <w:rFonts w:ascii="Times New Roman" w:eastAsia="Times New Roman" w:hAnsi="Times New Roman" w:cs="Times New Roman"/>
          <w:sz w:val="20"/>
          <w:szCs w:val="20"/>
          <w:lang w:val="fr-CH"/>
        </w:rPr>
        <w:t>par.</w:t>
      </w:r>
      <w:r w:rsidRPr="00B11003">
        <w:rPr>
          <w:rFonts w:ascii="Times New Roman" w:eastAsia="Times New Roman" w:hAnsi="Times New Roman" w:cs="Times New Roman"/>
          <w:sz w:val="20"/>
          <w:szCs w:val="20"/>
          <w:lang w:val="fr-CH"/>
        </w:rPr>
        <w:t xml:space="preserve"> 10 ; </w:t>
      </w:r>
      <w:r w:rsidRPr="00B11003">
        <w:rPr>
          <w:rFonts w:ascii="Times New Roman" w:eastAsia="Times New Roman" w:hAnsi="Times New Roman" w:cs="Times New Roman"/>
          <w:smallCaps/>
          <w:sz w:val="20"/>
          <w:szCs w:val="20"/>
          <w:lang w:val="fr-CH"/>
        </w:rPr>
        <w:t>Hess-Klein</w:t>
      </w:r>
      <w:r w:rsidRPr="00B11003">
        <w:rPr>
          <w:rFonts w:ascii="Times New Roman" w:eastAsia="Times New Roman" w:hAnsi="Times New Roman" w:cs="Times New Roman"/>
          <w:sz w:val="20"/>
          <w:szCs w:val="20"/>
          <w:lang w:val="fr-CH"/>
        </w:rPr>
        <w:t xml:space="preserve"> Caroline/</w:t>
      </w:r>
      <w:r w:rsidRPr="00B11003">
        <w:rPr>
          <w:rFonts w:ascii="Times New Roman" w:eastAsia="Times New Roman" w:hAnsi="Times New Roman" w:cs="Times New Roman"/>
          <w:smallCaps/>
          <w:sz w:val="20"/>
          <w:szCs w:val="20"/>
          <w:lang w:val="fr-CH"/>
        </w:rPr>
        <w:t>Schefer</w:t>
      </w:r>
      <w:r w:rsidRPr="00B11003">
        <w:rPr>
          <w:rFonts w:ascii="Times New Roman" w:eastAsia="Times New Roman" w:hAnsi="Times New Roman" w:cs="Times New Roman"/>
          <w:sz w:val="20"/>
          <w:szCs w:val="20"/>
          <w:lang w:val="fr-CH"/>
        </w:rPr>
        <w:t xml:space="preserve"> Markus, </w:t>
      </w:r>
      <w:r w:rsidRPr="00B11003">
        <w:rPr>
          <w:rFonts w:ascii="Times New Roman" w:eastAsia="Times New Roman" w:hAnsi="Times New Roman" w:cs="Times New Roman"/>
          <w:i/>
          <w:iCs/>
          <w:sz w:val="20"/>
          <w:szCs w:val="20"/>
          <w:lang w:val="fr-CH"/>
        </w:rPr>
        <w:t>Behindertengleichstellungsrecht</w:t>
      </w:r>
      <w:r w:rsidRPr="00B11003">
        <w:rPr>
          <w:rFonts w:ascii="Times New Roman" w:eastAsia="Times New Roman" w:hAnsi="Times New Roman" w:cs="Times New Roman"/>
          <w:sz w:val="20"/>
          <w:szCs w:val="20"/>
          <w:lang w:val="fr-CH"/>
        </w:rPr>
        <w:t>, Berne</w:t>
      </w:r>
      <w:r w:rsidR="0098189B" w:rsidRPr="00B11003">
        <w:rPr>
          <w:rFonts w:ascii="Times New Roman" w:eastAsia="Times New Roman" w:hAnsi="Times New Roman" w:cs="Times New Roman"/>
          <w:sz w:val="20"/>
          <w:szCs w:val="20"/>
          <w:lang w:val="fr-CH"/>
        </w:rPr>
        <w:t>,</w:t>
      </w:r>
      <w:r w:rsidRPr="00B11003">
        <w:rPr>
          <w:rFonts w:ascii="Times New Roman" w:eastAsia="Times New Roman" w:hAnsi="Times New Roman" w:cs="Times New Roman"/>
          <w:sz w:val="20"/>
          <w:szCs w:val="20"/>
          <w:lang w:val="fr-CH"/>
        </w:rPr>
        <w:t xml:space="preserve"> Stämpfli, 2014, p. 514 ; </w:t>
      </w:r>
      <w:r w:rsidRPr="00B11003">
        <w:rPr>
          <w:rFonts w:ascii="Times New Roman" w:hAnsi="Times New Roman" w:cs="Times New Roman"/>
          <w:smallCaps/>
          <w:sz w:val="20"/>
          <w:szCs w:val="20"/>
        </w:rPr>
        <w:t xml:space="preserve">Tanquerel </w:t>
      </w:r>
      <w:r w:rsidRPr="00B11003">
        <w:rPr>
          <w:rFonts w:ascii="Times New Roman" w:hAnsi="Times New Roman" w:cs="Times New Roman"/>
          <w:sz w:val="20"/>
          <w:szCs w:val="20"/>
        </w:rPr>
        <w:t xml:space="preserve">Thierry, Art. 136 al. 1 Droit politiques, </w:t>
      </w:r>
      <w:r w:rsidRPr="00B11003">
        <w:rPr>
          <w:rFonts w:ascii="Times New Roman" w:hAnsi="Times New Roman" w:cs="Times New Roman"/>
          <w:i/>
          <w:iCs/>
          <w:sz w:val="20"/>
          <w:szCs w:val="20"/>
        </w:rPr>
        <w:t>in</w:t>
      </w:r>
      <w:r w:rsidRPr="00B11003">
        <w:rPr>
          <w:rFonts w:ascii="Times New Roman" w:hAnsi="Times New Roman" w:cs="Times New Roman"/>
          <w:sz w:val="20"/>
          <w:szCs w:val="20"/>
        </w:rPr>
        <w:t xml:space="preserve"> </w:t>
      </w:r>
      <w:r w:rsidRPr="00B11003">
        <w:rPr>
          <w:rFonts w:ascii="Times New Roman" w:hAnsi="Times New Roman" w:cs="Times New Roman"/>
          <w:smallCaps/>
          <w:sz w:val="20"/>
          <w:szCs w:val="20"/>
        </w:rPr>
        <w:t xml:space="preserve">Weerts </w:t>
      </w:r>
      <w:r w:rsidRPr="00B11003">
        <w:rPr>
          <w:rFonts w:ascii="Times New Roman" w:hAnsi="Times New Roman" w:cs="Times New Roman"/>
          <w:sz w:val="20"/>
          <w:szCs w:val="20"/>
        </w:rPr>
        <w:t>S./</w:t>
      </w:r>
      <w:r w:rsidRPr="00B11003">
        <w:rPr>
          <w:rFonts w:ascii="Times New Roman" w:hAnsi="Times New Roman" w:cs="Times New Roman"/>
          <w:smallCaps/>
          <w:sz w:val="20"/>
          <w:szCs w:val="20"/>
        </w:rPr>
        <w:t>Rossat-Favre</w:t>
      </w:r>
      <w:r w:rsidRPr="00B11003">
        <w:rPr>
          <w:rFonts w:ascii="Times New Roman" w:hAnsi="Times New Roman" w:cs="Times New Roman"/>
          <w:sz w:val="20"/>
          <w:szCs w:val="20"/>
        </w:rPr>
        <w:t xml:space="preserve"> C./</w:t>
      </w:r>
      <w:r w:rsidRPr="00B11003">
        <w:rPr>
          <w:rFonts w:ascii="Times New Roman" w:hAnsi="Times New Roman" w:cs="Times New Roman"/>
          <w:smallCaps/>
          <w:sz w:val="20"/>
          <w:szCs w:val="20"/>
        </w:rPr>
        <w:t>Guy-Ecabert</w:t>
      </w:r>
      <w:r w:rsidRPr="00B11003">
        <w:rPr>
          <w:rFonts w:ascii="Times New Roman" w:hAnsi="Times New Roman" w:cs="Times New Roman"/>
          <w:sz w:val="20"/>
          <w:szCs w:val="20"/>
        </w:rPr>
        <w:t xml:space="preserve"> C./</w:t>
      </w:r>
      <w:r w:rsidRPr="00B11003">
        <w:rPr>
          <w:rFonts w:ascii="Times New Roman" w:hAnsi="Times New Roman" w:cs="Times New Roman"/>
          <w:smallCaps/>
          <w:sz w:val="20"/>
          <w:szCs w:val="20"/>
        </w:rPr>
        <w:t>Benoit</w:t>
      </w:r>
      <w:r w:rsidRPr="00B11003">
        <w:rPr>
          <w:rFonts w:ascii="Times New Roman" w:hAnsi="Times New Roman" w:cs="Times New Roman"/>
          <w:sz w:val="20"/>
          <w:szCs w:val="20"/>
        </w:rPr>
        <w:t>A./</w:t>
      </w:r>
      <w:r w:rsidRPr="00B11003">
        <w:rPr>
          <w:rFonts w:ascii="Times New Roman" w:hAnsi="Times New Roman" w:cs="Times New Roman"/>
          <w:smallCaps/>
          <w:sz w:val="20"/>
          <w:szCs w:val="20"/>
        </w:rPr>
        <w:t xml:space="preserve">Flückiger </w:t>
      </w:r>
      <w:r w:rsidRPr="00B11003">
        <w:rPr>
          <w:rFonts w:ascii="Times New Roman" w:hAnsi="Times New Roman" w:cs="Times New Roman"/>
          <w:sz w:val="20"/>
          <w:szCs w:val="20"/>
        </w:rPr>
        <w:t xml:space="preserve">A. (éd.), </w:t>
      </w:r>
      <w:r w:rsidRPr="00B11003">
        <w:rPr>
          <w:rFonts w:ascii="Times New Roman" w:hAnsi="Times New Roman" w:cs="Times New Roman"/>
          <w:i/>
          <w:iCs/>
          <w:sz w:val="20"/>
          <w:szCs w:val="20"/>
        </w:rPr>
        <w:t xml:space="preserve">Révision imaginaire de la Constitution fédérale : mélanges en hommages au prof. Luzius </w:t>
      </w:r>
      <w:r w:rsidRPr="00B11003">
        <w:rPr>
          <w:rFonts w:ascii="Times New Roman" w:hAnsi="Times New Roman" w:cs="Times New Roman"/>
          <w:i/>
          <w:iCs/>
          <w:smallCaps/>
          <w:sz w:val="20"/>
          <w:szCs w:val="20"/>
        </w:rPr>
        <w:t>Mader</w:t>
      </w:r>
      <w:r w:rsidRPr="00B11003">
        <w:rPr>
          <w:rFonts w:ascii="Times New Roman" w:hAnsi="Times New Roman" w:cs="Times New Roman"/>
          <w:sz w:val="20"/>
          <w:szCs w:val="20"/>
        </w:rPr>
        <w:t>,</w:t>
      </w:r>
      <w:r w:rsidRPr="00B11003">
        <w:rPr>
          <w:rFonts w:ascii="Times New Roman" w:hAnsi="Times New Roman" w:cs="Times New Roman"/>
          <w:sz w:val="20"/>
          <w:szCs w:val="20"/>
          <w:lang w:val="fr-CH"/>
        </w:rPr>
        <w:t xml:space="preserve"> Bâle</w:t>
      </w:r>
      <w:r w:rsidR="0098189B" w:rsidRPr="00B11003">
        <w:rPr>
          <w:rFonts w:ascii="Times New Roman" w:hAnsi="Times New Roman" w:cs="Times New Roman"/>
          <w:sz w:val="20"/>
          <w:szCs w:val="20"/>
          <w:lang w:val="fr-CH"/>
        </w:rPr>
        <w:t>,</w:t>
      </w:r>
      <w:r w:rsidRPr="00B11003">
        <w:rPr>
          <w:rFonts w:ascii="Times New Roman" w:hAnsi="Times New Roman" w:cs="Times New Roman"/>
          <w:sz w:val="20"/>
          <w:szCs w:val="20"/>
          <w:lang w:val="fr-CH"/>
        </w:rPr>
        <w:t xml:space="preserve"> Helbing Lichtenhahn, 2018, p. 244.</w:t>
      </w:r>
    </w:p>
  </w:footnote>
  <w:footnote w:id="91">
    <w:p w14:paraId="20CC7408" w14:textId="3A24096F" w:rsidR="00EF1053" w:rsidRPr="00B11003" w:rsidRDefault="00EF1053" w:rsidP="00B11003">
      <w:pPr>
        <w:spacing w:line="240" w:lineRule="auto"/>
        <w:jc w:val="both"/>
        <w:rPr>
          <w:rFonts w:ascii="Times New Roman" w:hAnsi="Times New Roman" w:cs="Times New Roman"/>
          <w:sz w:val="20"/>
          <w:szCs w:val="20"/>
        </w:rPr>
      </w:pPr>
      <w:r w:rsidRPr="00B11003">
        <w:rPr>
          <w:rFonts w:ascii="Times New Roman" w:hAnsi="Times New Roman" w:cs="Times New Roman"/>
          <w:sz w:val="20"/>
          <w:szCs w:val="20"/>
          <w:vertAlign w:val="superscript"/>
        </w:rPr>
        <w:footnoteRef/>
      </w:r>
      <w:r w:rsidRPr="00B11003">
        <w:rPr>
          <w:rFonts w:ascii="Times New Roman" w:hAnsi="Times New Roman" w:cs="Times New Roman"/>
          <w:sz w:val="20"/>
          <w:szCs w:val="20"/>
        </w:rPr>
        <w:t xml:space="preserve"> </w:t>
      </w:r>
      <w:r w:rsidRPr="00B11003">
        <w:rPr>
          <w:rFonts w:ascii="Times New Roman" w:hAnsi="Times New Roman" w:cs="Times New Roman"/>
          <w:smallCaps/>
          <w:sz w:val="20"/>
          <w:szCs w:val="20"/>
        </w:rPr>
        <w:t xml:space="preserve">Tanquerel </w:t>
      </w:r>
      <w:r w:rsidRPr="00B11003">
        <w:rPr>
          <w:rFonts w:ascii="Times New Roman" w:hAnsi="Times New Roman" w:cs="Times New Roman"/>
          <w:sz w:val="20"/>
          <w:szCs w:val="20"/>
        </w:rPr>
        <w:t xml:space="preserve">Thierry, op. cit. (note </w:t>
      </w:r>
      <w:r w:rsidRPr="00B11003">
        <w:rPr>
          <w:rFonts w:ascii="Times New Roman" w:hAnsi="Times New Roman" w:cs="Times New Roman"/>
          <w:sz w:val="20"/>
          <w:szCs w:val="20"/>
        </w:rPr>
        <w:fldChar w:fldCharType="begin"/>
      </w:r>
      <w:r w:rsidRPr="00B11003">
        <w:rPr>
          <w:rFonts w:ascii="Times New Roman" w:hAnsi="Times New Roman" w:cs="Times New Roman"/>
          <w:sz w:val="20"/>
          <w:szCs w:val="20"/>
        </w:rPr>
        <w:instrText xml:space="preserve"> NOTEREF _Ref95749782 \h  \* MERGEFORMAT </w:instrText>
      </w:r>
      <w:r w:rsidRPr="00B11003">
        <w:rPr>
          <w:rFonts w:ascii="Times New Roman" w:hAnsi="Times New Roman" w:cs="Times New Roman"/>
          <w:sz w:val="20"/>
          <w:szCs w:val="20"/>
        </w:rPr>
      </w:r>
      <w:r w:rsidRPr="00B11003">
        <w:rPr>
          <w:rFonts w:ascii="Times New Roman" w:hAnsi="Times New Roman" w:cs="Times New Roman"/>
          <w:sz w:val="20"/>
          <w:szCs w:val="20"/>
        </w:rPr>
        <w:fldChar w:fldCharType="separate"/>
      </w:r>
      <w:r w:rsidR="000C3CD7">
        <w:rPr>
          <w:rFonts w:ascii="Times New Roman" w:hAnsi="Times New Roman" w:cs="Times New Roman"/>
          <w:sz w:val="20"/>
          <w:szCs w:val="20"/>
        </w:rPr>
        <w:t>90</w:t>
      </w:r>
      <w:r w:rsidRPr="00B11003">
        <w:rPr>
          <w:rFonts w:ascii="Times New Roman" w:hAnsi="Times New Roman" w:cs="Times New Roman"/>
          <w:sz w:val="20"/>
          <w:szCs w:val="20"/>
        </w:rPr>
        <w:fldChar w:fldCharType="end"/>
      </w:r>
      <w:r w:rsidRPr="00B11003">
        <w:rPr>
          <w:rFonts w:ascii="Times New Roman" w:hAnsi="Times New Roman" w:cs="Times New Roman"/>
          <w:sz w:val="20"/>
          <w:szCs w:val="20"/>
        </w:rPr>
        <w:t xml:space="preserve">), </w:t>
      </w:r>
      <w:r w:rsidRPr="00B11003">
        <w:rPr>
          <w:rFonts w:ascii="Times New Roman" w:hAnsi="Times New Roman" w:cs="Times New Roman"/>
          <w:sz w:val="20"/>
          <w:szCs w:val="20"/>
          <w:lang w:val="fr-CH"/>
        </w:rPr>
        <w:t>p. 247 </w:t>
      </w:r>
      <w:r w:rsidRPr="00B11003">
        <w:rPr>
          <w:rFonts w:ascii="Times New Roman" w:hAnsi="Times New Roman" w:cs="Times New Roman"/>
          <w:sz w:val="20"/>
          <w:szCs w:val="20"/>
        </w:rPr>
        <w:t>; nous pouvons le voir également dans des débats politiques</w:t>
      </w:r>
      <w:r w:rsidR="006260B3">
        <w:rPr>
          <w:rFonts w:ascii="Times New Roman" w:hAnsi="Times New Roman" w:cs="Times New Roman"/>
          <w:sz w:val="20"/>
          <w:szCs w:val="20"/>
        </w:rPr>
        <w:t> :</w:t>
      </w:r>
      <w:r w:rsidRPr="00B11003">
        <w:rPr>
          <w:rFonts w:ascii="Times New Roman" w:hAnsi="Times New Roman" w:cs="Times New Roman"/>
          <w:sz w:val="20"/>
          <w:szCs w:val="20"/>
        </w:rPr>
        <w:t xml:space="preserve"> Interpellation B</w:t>
      </w:r>
      <w:r w:rsidRPr="00B11003">
        <w:rPr>
          <w:rFonts w:ascii="Times New Roman" w:hAnsi="Times New Roman" w:cs="Times New Roman"/>
          <w:smallCaps/>
          <w:sz w:val="20"/>
          <w:szCs w:val="20"/>
        </w:rPr>
        <w:t>aume</w:t>
      </w:r>
      <w:r w:rsidRPr="00B11003">
        <w:rPr>
          <w:rFonts w:ascii="Times New Roman" w:hAnsi="Times New Roman" w:cs="Times New Roman"/>
          <w:sz w:val="20"/>
          <w:szCs w:val="20"/>
        </w:rPr>
        <w:t>-S</w:t>
      </w:r>
      <w:r w:rsidRPr="00B11003">
        <w:rPr>
          <w:rFonts w:ascii="Times New Roman" w:hAnsi="Times New Roman" w:cs="Times New Roman"/>
          <w:smallCaps/>
          <w:sz w:val="20"/>
          <w:szCs w:val="20"/>
        </w:rPr>
        <w:t>chneider</w:t>
      </w:r>
      <w:r w:rsidRPr="00B11003">
        <w:rPr>
          <w:rFonts w:ascii="Times New Roman" w:hAnsi="Times New Roman" w:cs="Times New Roman"/>
          <w:sz w:val="20"/>
          <w:szCs w:val="20"/>
        </w:rPr>
        <w:t xml:space="preserve"> (21.3295) ; Projet de loi PL 11969 et 11970 du 14 septembre 2016, p. 3 </w:t>
      </w:r>
      <w:r w:rsidR="0055514C" w:rsidRPr="00B11003">
        <w:rPr>
          <w:rFonts w:ascii="Times New Roman" w:hAnsi="Times New Roman" w:cs="Times New Roman"/>
          <w:sz w:val="20"/>
          <w:szCs w:val="20"/>
        </w:rPr>
        <w:t>[</w:t>
      </w:r>
      <w:hyperlink r:id="rId2" w:history="1">
        <w:r w:rsidR="0055514C" w:rsidRPr="00B11003">
          <w:rPr>
            <w:rStyle w:val="Lienhypertexte"/>
            <w:rFonts w:ascii="Times New Roman" w:hAnsi="Times New Roman" w:cs="Times New Roman"/>
            <w:sz w:val="20"/>
            <w:szCs w:val="20"/>
          </w:rPr>
          <w:t>https://ge.ch/grandconseil/data/texte/PL11969.pdf</w:t>
        </w:r>
      </w:hyperlink>
      <w:r w:rsidR="0055514C" w:rsidRPr="00B11003">
        <w:rPr>
          <w:rStyle w:val="Lienhypertexte"/>
          <w:rFonts w:ascii="Times New Roman" w:hAnsi="Times New Roman" w:cs="Times New Roman"/>
          <w:sz w:val="20"/>
          <w:szCs w:val="20"/>
        </w:rPr>
        <w:t xml:space="preserve">] </w:t>
      </w:r>
      <w:r w:rsidRPr="00B11003">
        <w:rPr>
          <w:rFonts w:ascii="Times New Roman" w:hAnsi="Times New Roman" w:cs="Times New Roman"/>
          <w:sz w:val="20"/>
          <w:szCs w:val="20"/>
        </w:rPr>
        <w:t xml:space="preserve">; </w:t>
      </w:r>
      <w:r w:rsidRPr="00B11003">
        <w:rPr>
          <w:rFonts w:ascii="Times New Roman" w:eastAsia="Times New Roman" w:hAnsi="Times New Roman" w:cs="Times New Roman"/>
          <w:color w:val="000000"/>
          <w:sz w:val="20"/>
          <w:szCs w:val="20"/>
          <w:lang w:val="fr-CH"/>
        </w:rPr>
        <w:t>Projet de loi PL 12211 et 12212 du 3 novembre 2017, p. 23 et 33</w:t>
      </w:r>
      <w:r w:rsidR="0055514C" w:rsidRPr="00B11003">
        <w:rPr>
          <w:rFonts w:ascii="Times New Roman" w:eastAsia="Times New Roman" w:hAnsi="Times New Roman" w:cs="Times New Roman"/>
          <w:color w:val="000000"/>
          <w:sz w:val="20"/>
          <w:szCs w:val="20"/>
          <w:lang w:val="fr-CH"/>
        </w:rPr>
        <w:t xml:space="preserve"> [</w:t>
      </w:r>
      <w:hyperlink r:id="rId3" w:history="1">
        <w:r w:rsidR="0055514C" w:rsidRPr="00B11003">
          <w:rPr>
            <w:rStyle w:val="Lienhypertexte"/>
            <w:rFonts w:ascii="Times New Roman" w:eastAsia="Times New Roman" w:hAnsi="Times New Roman" w:cs="Times New Roman"/>
            <w:sz w:val="20"/>
            <w:szCs w:val="20"/>
            <w:lang w:val="fr-CH"/>
          </w:rPr>
          <w:t>https://ge.ch/grandconseil/data/texte/PL12211.pdf</w:t>
        </w:r>
      </w:hyperlink>
      <w:r w:rsidR="0055514C" w:rsidRPr="00B11003">
        <w:rPr>
          <w:rStyle w:val="Lienhypertexte"/>
          <w:rFonts w:ascii="Times New Roman" w:eastAsia="Times New Roman" w:hAnsi="Times New Roman" w:cs="Times New Roman"/>
          <w:sz w:val="20"/>
          <w:szCs w:val="20"/>
          <w:lang w:val="fr-CH"/>
        </w:rPr>
        <w:t>]</w:t>
      </w:r>
      <w:r w:rsidR="0055514C" w:rsidRPr="00B11003">
        <w:rPr>
          <w:rFonts w:ascii="Times New Roman" w:eastAsia="Times New Roman" w:hAnsi="Times New Roman" w:cs="Times New Roman"/>
          <w:color w:val="000000"/>
          <w:sz w:val="20"/>
          <w:szCs w:val="20"/>
          <w:lang w:val="fr-CH"/>
        </w:rPr>
        <w:t>.</w:t>
      </w:r>
    </w:p>
  </w:footnote>
  <w:footnote w:id="92">
    <w:p w14:paraId="5E8C146C" w14:textId="4DD0920A"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lang w:val="de-CH"/>
        </w:rPr>
        <w:t xml:space="preserve"> </w:t>
      </w:r>
      <w:r w:rsidRPr="00B11003">
        <w:rPr>
          <w:rFonts w:ascii="Times New Roman" w:eastAsia="Times New Roman" w:hAnsi="Times New Roman" w:cs="Times New Roman"/>
          <w:smallCaps/>
          <w:lang w:val="de-CH"/>
        </w:rPr>
        <w:t>Hess-Klein</w:t>
      </w:r>
      <w:r w:rsidRPr="00B11003">
        <w:rPr>
          <w:rFonts w:ascii="Times New Roman" w:eastAsia="Times New Roman" w:hAnsi="Times New Roman" w:cs="Times New Roman"/>
          <w:lang w:val="de-CH"/>
        </w:rPr>
        <w:t xml:space="preserve"> Caroline/</w:t>
      </w:r>
      <w:r w:rsidRPr="00B11003">
        <w:rPr>
          <w:rFonts w:ascii="Times New Roman" w:eastAsia="Times New Roman" w:hAnsi="Times New Roman" w:cs="Times New Roman"/>
          <w:smallCaps/>
          <w:lang w:val="de-CH"/>
        </w:rPr>
        <w:t>Schefer</w:t>
      </w:r>
      <w:r w:rsidRPr="00B11003">
        <w:rPr>
          <w:rFonts w:ascii="Times New Roman" w:eastAsia="Times New Roman" w:hAnsi="Times New Roman" w:cs="Times New Roman"/>
          <w:lang w:val="de-CH"/>
        </w:rPr>
        <w:t xml:space="preserve"> Markus, op. cit. </w:t>
      </w:r>
      <w:r w:rsidRPr="00B11003">
        <w:rPr>
          <w:rFonts w:ascii="Times New Roman" w:eastAsia="Times New Roman" w:hAnsi="Times New Roman" w:cs="Times New Roman"/>
          <w:lang w:val="fr-CH"/>
        </w:rPr>
        <w:t xml:space="preserve">(note </w:t>
      </w:r>
      <w:r w:rsidRPr="00B11003">
        <w:rPr>
          <w:rFonts w:ascii="Times New Roman" w:eastAsia="Times New Roman" w:hAnsi="Times New Roman" w:cs="Times New Roman"/>
          <w:lang w:val="de-CH"/>
        </w:rPr>
        <w:fldChar w:fldCharType="begin"/>
      </w:r>
      <w:r w:rsidRPr="00B11003">
        <w:rPr>
          <w:rFonts w:ascii="Times New Roman" w:eastAsia="Times New Roman" w:hAnsi="Times New Roman" w:cs="Times New Roman"/>
          <w:lang w:val="fr-CH"/>
        </w:rPr>
        <w:instrText xml:space="preserve"> NOTEREF _Ref95749782 \h  \* MERGEFORMAT </w:instrText>
      </w:r>
      <w:r w:rsidRPr="00B11003">
        <w:rPr>
          <w:rFonts w:ascii="Times New Roman" w:eastAsia="Times New Roman" w:hAnsi="Times New Roman" w:cs="Times New Roman"/>
          <w:lang w:val="de-CH"/>
        </w:rPr>
      </w:r>
      <w:r w:rsidRPr="00B11003">
        <w:rPr>
          <w:rFonts w:ascii="Times New Roman" w:eastAsia="Times New Roman" w:hAnsi="Times New Roman" w:cs="Times New Roman"/>
          <w:lang w:val="de-CH"/>
        </w:rPr>
        <w:fldChar w:fldCharType="separate"/>
      </w:r>
      <w:r w:rsidR="000C3CD7">
        <w:rPr>
          <w:rFonts w:ascii="Times New Roman" w:eastAsia="Times New Roman" w:hAnsi="Times New Roman" w:cs="Times New Roman"/>
          <w:lang w:val="fr-CH"/>
        </w:rPr>
        <w:t>90</w:t>
      </w:r>
      <w:r w:rsidRPr="00B11003">
        <w:rPr>
          <w:rFonts w:ascii="Times New Roman" w:eastAsia="Times New Roman" w:hAnsi="Times New Roman" w:cs="Times New Roman"/>
          <w:lang w:val="de-CH"/>
        </w:rPr>
        <w:fldChar w:fldCharType="end"/>
      </w:r>
      <w:r w:rsidRPr="00B11003">
        <w:rPr>
          <w:rFonts w:ascii="Times New Roman" w:eastAsia="Times New Roman" w:hAnsi="Times New Roman" w:cs="Times New Roman"/>
          <w:lang w:val="fr-CH"/>
        </w:rPr>
        <w:t>), pp. 514 s., 508</w:t>
      </w:r>
      <w:r w:rsidRPr="00B11003">
        <w:rPr>
          <w:rFonts w:ascii="Times New Roman" w:hAnsi="Times New Roman" w:cs="Times New Roman"/>
          <w:lang w:val="fr-CH"/>
        </w:rPr>
        <w:t>. La question de l’instauration d’une curatelle de portée générale soulève elle-même des questions de conformité avec la CDPH qui ne sont pas examinés ici.</w:t>
      </w:r>
    </w:p>
  </w:footnote>
  <w:footnote w:id="93">
    <w:p w14:paraId="3EF851F2" w14:textId="10C382D1" w:rsidR="00EF1053" w:rsidRPr="00B11003" w:rsidRDefault="00EF1053" w:rsidP="00B11003">
      <w:pPr>
        <w:pStyle w:val="Notedebasdepage"/>
        <w:jc w:val="both"/>
        <w:rPr>
          <w:rFonts w:ascii="Times New Roman" w:hAnsi="Times New Roman" w:cs="Times New Roman"/>
          <w:lang w:val="de-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 xml:space="preserve">Au-delà de la CDPH, cet aspect est aussi problématique sous l’angle de la jurisprudence relative au protocole additionnel </w:t>
      </w:r>
      <w:r w:rsidR="0055514C" w:rsidRPr="00B11003">
        <w:rPr>
          <w:rFonts w:ascii="Times New Roman" w:hAnsi="Times New Roman" w:cs="Times New Roman"/>
          <w:lang w:val="fr-CH"/>
        </w:rPr>
        <w:t>N</w:t>
      </w:r>
      <w:r w:rsidR="00CB69D9" w:rsidRPr="00B11003">
        <w:rPr>
          <w:rFonts w:ascii="Times New Roman" w:hAnsi="Times New Roman" w:cs="Times New Roman"/>
          <w:lang w:val="fr-CH"/>
        </w:rPr>
        <w:t>.</w:t>
      </w:r>
      <w:r w:rsidRPr="00B11003">
        <w:rPr>
          <w:rFonts w:ascii="Times New Roman" w:hAnsi="Times New Roman" w:cs="Times New Roman"/>
          <w:lang w:val="fr-CH"/>
        </w:rPr>
        <w:t xml:space="preserve">1 à la CEDH, que la Suisse n’a pas ratifiée, et au Pacte ONU II. </w:t>
      </w:r>
      <w:r w:rsidRPr="00B11003">
        <w:rPr>
          <w:rFonts w:ascii="Times New Roman" w:hAnsi="Times New Roman" w:cs="Times New Roman"/>
          <w:lang w:val="de-CH"/>
        </w:rPr>
        <w:t xml:space="preserve">Voir aussi </w:t>
      </w:r>
      <w:r w:rsidRPr="00B11003">
        <w:rPr>
          <w:rFonts w:ascii="Times New Roman" w:hAnsi="Times New Roman" w:cs="Times New Roman"/>
          <w:smallCaps/>
          <w:lang w:val="de-CH"/>
        </w:rPr>
        <w:t xml:space="preserve">Tobler </w:t>
      </w:r>
      <w:r w:rsidRPr="00B11003">
        <w:rPr>
          <w:rFonts w:ascii="Times New Roman" w:hAnsi="Times New Roman" w:cs="Times New Roman"/>
          <w:lang w:val="de-CH"/>
        </w:rPr>
        <w:t xml:space="preserve">Christa, Gleichstellung und politische Rechte : auf dem Weg zu einer integrativen Demokratie, </w:t>
      </w:r>
      <w:r w:rsidRPr="00B11003">
        <w:rPr>
          <w:rFonts w:ascii="Times New Roman" w:hAnsi="Times New Roman" w:cs="Times New Roman"/>
          <w:i/>
          <w:iCs/>
          <w:lang w:val="de-CH"/>
        </w:rPr>
        <w:t>RDS</w:t>
      </w:r>
      <w:r w:rsidRPr="00B11003">
        <w:rPr>
          <w:rFonts w:ascii="Times New Roman" w:hAnsi="Times New Roman" w:cs="Times New Roman"/>
          <w:lang w:val="de-CH"/>
        </w:rPr>
        <w:t xml:space="preserve">, </w:t>
      </w:r>
      <w:r w:rsidR="0055514C" w:rsidRPr="00B11003">
        <w:rPr>
          <w:rFonts w:ascii="Times New Roman" w:hAnsi="Times New Roman" w:cs="Times New Roman"/>
          <w:lang w:val="de-CH"/>
        </w:rPr>
        <w:t>N. 2</w:t>
      </w:r>
      <w:r w:rsidRPr="00B11003">
        <w:rPr>
          <w:rFonts w:ascii="Times New Roman" w:hAnsi="Times New Roman" w:cs="Times New Roman"/>
          <w:lang w:val="de-CH"/>
        </w:rPr>
        <w:t>,</w:t>
      </w:r>
      <w:r w:rsidR="0055514C" w:rsidRPr="00B11003">
        <w:rPr>
          <w:rFonts w:ascii="Times New Roman" w:hAnsi="Times New Roman" w:cs="Times New Roman"/>
          <w:lang w:val="de-CH"/>
        </w:rPr>
        <w:t xml:space="preserve"> 2021,</w:t>
      </w:r>
      <w:r w:rsidRPr="00B11003">
        <w:rPr>
          <w:rFonts w:ascii="Times New Roman" w:hAnsi="Times New Roman" w:cs="Times New Roman"/>
          <w:lang w:val="de-CH"/>
        </w:rPr>
        <w:t xml:space="preserve"> pp. 331-334.</w:t>
      </w:r>
    </w:p>
  </w:footnote>
  <w:footnote w:id="94">
    <w:p w14:paraId="576C7B2B" w14:textId="1598EDCB"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smallCaps/>
          <w:lang w:val="fr-CH"/>
        </w:rPr>
        <w:t xml:space="preserve">Tobler </w:t>
      </w:r>
      <w:r w:rsidRPr="00B11003">
        <w:rPr>
          <w:rFonts w:ascii="Times New Roman" w:hAnsi="Times New Roman" w:cs="Times New Roman"/>
          <w:lang w:val="fr-CH"/>
        </w:rPr>
        <w:t xml:space="preserve">Christa, </w:t>
      </w:r>
      <w:r w:rsidRPr="00B11003">
        <w:rPr>
          <w:rFonts w:ascii="Times New Roman" w:hAnsi="Times New Roman" w:cs="Times New Roman"/>
          <w:i/>
          <w:iCs/>
          <w:lang w:val="fr-CH"/>
        </w:rPr>
        <w:t>op. cit</w:t>
      </w:r>
      <w:r w:rsidRPr="00B11003">
        <w:rPr>
          <w:rFonts w:ascii="Times New Roman" w:hAnsi="Times New Roman" w:cs="Times New Roman"/>
          <w:lang w:val="fr-CH"/>
        </w:rPr>
        <w:t xml:space="preserve">. (note </w:t>
      </w:r>
      <w:r w:rsidRPr="00B11003">
        <w:rPr>
          <w:rFonts w:ascii="Times New Roman" w:hAnsi="Times New Roman" w:cs="Times New Roman"/>
          <w:lang w:val="fr-CH"/>
        </w:rPr>
        <w:fldChar w:fldCharType="begin"/>
      </w:r>
      <w:r w:rsidRPr="00B11003">
        <w:rPr>
          <w:rFonts w:ascii="Times New Roman" w:hAnsi="Times New Roman" w:cs="Times New Roman"/>
          <w:lang w:val="fr-CH"/>
        </w:rPr>
        <w:instrText xml:space="preserve"> NOTEREF _Ref95750345 \h  \* MERGEFORMAT </w:instrText>
      </w:r>
      <w:r w:rsidRPr="00B11003">
        <w:rPr>
          <w:rFonts w:ascii="Times New Roman" w:hAnsi="Times New Roman" w:cs="Times New Roman"/>
          <w:lang w:val="fr-CH"/>
        </w:rPr>
      </w:r>
      <w:r w:rsidRPr="00B11003">
        <w:rPr>
          <w:rFonts w:ascii="Times New Roman" w:hAnsi="Times New Roman" w:cs="Times New Roman"/>
          <w:lang w:val="fr-CH"/>
        </w:rPr>
        <w:fldChar w:fldCharType="separate"/>
      </w:r>
      <w:r w:rsidR="000C3CD7">
        <w:rPr>
          <w:rFonts w:ascii="Times New Roman" w:hAnsi="Times New Roman" w:cs="Times New Roman"/>
          <w:lang w:val="fr-CH"/>
        </w:rPr>
        <w:t>93</w:t>
      </w:r>
      <w:r w:rsidRPr="00B11003">
        <w:rPr>
          <w:rFonts w:ascii="Times New Roman" w:hAnsi="Times New Roman" w:cs="Times New Roman"/>
          <w:lang w:val="fr-CH"/>
        </w:rPr>
        <w:fldChar w:fldCharType="end"/>
      </w:r>
      <w:r w:rsidRPr="00B11003">
        <w:rPr>
          <w:rFonts w:ascii="Times New Roman" w:hAnsi="Times New Roman" w:cs="Times New Roman"/>
          <w:lang w:val="fr-CH"/>
        </w:rPr>
        <w:t>), pp. 339-334, 347-349.</w:t>
      </w:r>
    </w:p>
  </w:footnote>
  <w:footnote w:id="95">
    <w:p w14:paraId="77BDFAAF" w14:textId="6170ADF6"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Voir p</w:t>
      </w:r>
      <w:r w:rsidR="00CB69D9" w:rsidRPr="00B11003">
        <w:rPr>
          <w:rFonts w:ascii="Times New Roman" w:hAnsi="Times New Roman" w:cs="Times New Roman"/>
          <w:lang w:val="fr-CH"/>
        </w:rPr>
        <w:t>ar exemple</w:t>
      </w:r>
      <w:r w:rsidRPr="00B11003">
        <w:rPr>
          <w:rFonts w:ascii="Times New Roman" w:hAnsi="Times New Roman" w:cs="Times New Roman"/>
          <w:lang w:val="fr-CH"/>
        </w:rPr>
        <w:t xml:space="preserve"> </w:t>
      </w:r>
      <w:r w:rsidRPr="00B11003">
        <w:rPr>
          <w:rFonts w:ascii="Times New Roman" w:hAnsi="Times New Roman" w:cs="Times New Roman"/>
        </w:rPr>
        <w:t>l’art</w:t>
      </w:r>
      <w:r w:rsidR="00CB69D9" w:rsidRPr="00B11003">
        <w:rPr>
          <w:rFonts w:ascii="Times New Roman" w:hAnsi="Times New Roman" w:cs="Times New Roman"/>
        </w:rPr>
        <w:t>.</w:t>
      </w:r>
      <w:r w:rsidRPr="00B11003">
        <w:rPr>
          <w:rFonts w:ascii="Times New Roman" w:hAnsi="Times New Roman" w:cs="Times New Roman"/>
        </w:rPr>
        <w:t xml:space="preserve"> 7 du </w:t>
      </w:r>
      <w:r w:rsidR="00CB69D9" w:rsidRPr="00B11003">
        <w:rPr>
          <w:rFonts w:ascii="Times New Roman" w:hAnsi="Times New Roman" w:cs="Times New Roman"/>
        </w:rPr>
        <w:t>R</w:t>
      </w:r>
      <w:r w:rsidRPr="00B11003">
        <w:rPr>
          <w:rFonts w:ascii="Times New Roman" w:hAnsi="Times New Roman" w:cs="Times New Roman"/>
        </w:rPr>
        <w:t>èglement d’exécution du 17 février 2003 de la loi sur les droits politiques (RS NE 141.01) </w:t>
      </w:r>
      <w:r w:rsidR="0055514C" w:rsidRPr="00B11003">
        <w:rPr>
          <w:rFonts w:ascii="Times New Roman" w:hAnsi="Times New Roman" w:cs="Times New Roman"/>
        </w:rPr>
        <w:t>et</w:t>
      </w:r>
      <w:r w:rsidRPr="00B11003">
        <w:rPr>
          <w:rFonts w:ascii="Times New Roman" w:hAnsi="Times New Roman" w:cs="Times New Roman"/>
        </w:rPr>
        <w:t xml:space="preserve"> </w:t>
      </w:r>
      <w:r w:rsidR="0055514C" w:rsidRPr="00B11003">
        <w:rPr>
          <w:rFonts w:ascii="Times New Roman" w:hAnsi="Times New Roman" w:cs="Times New Roman"/>
        </w:rPr>
        <w:t>l’</w:t>
      </w:r>
      <w:r w:rsidRPr="00B11003">
        <w:rPr>
          <w:rFonts w:ascii="Times New Roman" w:hAnsi="Times New Roman" w:cs="Times New Roman"/>
        </w:rPr>
        <w:t xml:space="preserve">art. 3 de la </w:t>
      </w:r>
      <w:r w:rsidR="00CB69D9" w:rsidRPr="00B11003">
        <w:rPr>
          <w:rFonts w:ascii="Times New Roman" w:hAnsi="Times New Roman" w:cs="Times New Roman"/>
        </w:rPr>
        <w:t>L</w:t>
      </w:r>
      <w:r w:rsidRPr="00B11003">
        <w:rPr>
          <w:rFonts w:ascii="Times New Roman" w:hAnsi="Times New Roman" w:cs="Times New Roman"/>
        </w:rPr>
        <w:t>oi vaudoise du 16 mai 1989 sur l’exercice des droit politiques (</w:t>
      </w:r>
      <w:r w:rsidR="00CB69D9" w:rsidRPr="00B11003">
        <w:rPr>
          <w:rFonts w:ascii="Times New Roman" w:hAnsi="Times New Roman" w:cs="Times New Roman"/>
        </w:rPr>
        <w:t>RS VD 160.01).</w:t>
      </w:r>
    </w:p>
  </w:footnote>
  <w:footnote w:id="96">
    <w:p w14:paraId="4E46F227" w14:textId="0774F657"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Le Temps, </w:t>
      </w:r>
      <w:r w:rsidRPr="00B11003">
        <w:rPr>
          <w:rFonts w:ascii="Times New Roman" w:hAnsi="Times New Roman" w:cs="Times New Roman"/>
          <w:i/>
          <w:iCs/>
        </w:rPr>
        <w:t>Le combat d'Anne Tercier, atteinte de déficience intellectuelle, pour récupérer ses droits civiques</w:t>
      </w:r>
      <w:r w:rsidR="0055514C" w:rsidRPr="00B11003">
        <w:rPr>
          <w:rFonts w:ascii="Times New Roman" w:hAnsi="Times New Roman" w:cs="Times New Roman"/>
        </w:rPr>
        <w:t>, 18 septembre 2020 [</w:t>
      </w:r>
      <w:hyperlink r:id="rId4" w:history="1">
        <w:r w:rsidR="0055514C" w:rsidRPr="00B11003">
          <w:rPr>
            <w:rStyle w:val="Lienhypertexte"/>
            <w:rFonts w:ascii="Times New Roman" w:hAnsi="Times New Roman" w:cs="Times New Roman"/>
          </w:rPr>
          <w:t>https://www.letemps.ch/suisse/combat-danne-tercier-atteinte-deficience-intellectuelle-recuperer-droits-civiques</w:t>
        </w:r>
      </w:hyperlink>
      <w:r w:rsidR="0055514C" w:rsidRPr="00B11003">
        <w:rPr>
          <w:rFonts w:ascii="Times New Roman" w:hAnsi="Times New Roman" w:cs="Times New Roman"/>
        </w:rPr>
        <w:t xml:space="preserve">]. </w:t>
      </w:r>
    </w:p>
  </w:footnote>
  <w:footnote w:id="97">
    <w:p w14:paraId="12C48F46" w14:textId="5D49BA94" w:rsidR="00EF1053" w:rsidRPr="00B11003" w:rsidRDefault="00EF1053" w:rsidP="00B11003">
      <w:pPr>
        <w:pStyle w:val="Notedebasdepage"/>
        <w:jc w:val="both"/>
        <w:rPr>
          <w:rFonts w:ascii="Times New Roman" w:hAnsi="Times New Roman" w:cs="Times New Roman"/>
          <w:color w:val="FF0000"/>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6226A5" w:rsidRPr="00B11003">
        <w:rPr>
          <w:rFonts w:ascii="Times New Roman" w:hAnsi="Times New Roman" w:cs="Times New Roman"/>
        </w:rPr>
        <w:t xml:space="preserve">Grand Conseil Vaud, </w:t>
      </w:r>
      <w:r w:rsidR="006226A5" w:rsidRPr="00B11003">
        <w:rPr>
          <w:rFonts w:ascii="Times New Roman" w:hAnsi="Times New Roman" w:cs="Times New Roman"/>
          <w:i/>
          <w:iCs/>
        </w:rPr>
        <w:t>Motion Hadrien Buclin et consorts – Mettre un terme aux discriminations en matière de droits politiques contre les personnes atteintes de troubles psychiques ou de déficience mentale (19_MOT_117)</w:t>
      </w:r>
      <w:r w:rsidR="006226A5" w:rsidRPr="00B11003">
        <w:rPr>
          <w:rFonts w:ascii="Times New Roman" w:hAnsi="Times New Roman" w:cs="Times New Roman"/>
        </w:rPr>
        <w:t xml:space="preserve">, 16 juin 2021 ; Grand Conseil Neuchâtel, </w:t>
      </w:r>
      <w:r w:rsidR="006226A5" w:rsidRPr="00B11003">
        <w:rPr>
          <w:rFonts w:ascii="Times New Roman" w:hAnsi="Times New Roman" w:cs="Times New Roman"/>
          <w:i/>
          <w:iCs/>
        </w:rPr>
        <w:t>Motion 20.207: Rétablir les droits politiques cantonaux et communaux des personnes sous curatelle de portée générale et sous mandat pour cause d’inaptitude</w:t>
      </w:r>
      <w:r w:rsidR="006226A5" w:rsidRPr="00B11003">
        <w:rPr>
          <w:rFonts w:ascii="Times New Roman" w:hAnsi="Times New Roman" w:cs="Times New Roman"/>
        </w:rPr>
        <w:t>, 22 novembre 2020.</w:t>
      </w:r>
    </w:p>
  </w:footnote>
  <w:footnote w:id="98">
    <w:p w14:paraId="19B92063" w14:textId="5D2E18FB" w:rsidR="00EF1053" w:rsidRPr="00B11003" w:rsidRDefault="00EF1053" w:rsidP="00B11003">
      <w:pPr>
        <w:spacing w:line="240" w:lineRule="auto"/>
        <w:jc w:val="both"/>
        <w:rPr>
          <w:rFonts w:ascii="Times New Roman" w:hAnsi="Times New Roman" w:cs="Times New Roman"/>
          <w:color w:val="FF0000"/>
          <w:sz w:val="20"/>
          <w:szCs w:val="20"/>
        </w:rPr>
      </w:pPr>
      <w:r w:rsidRPr="00B11003">
        <w:rPr>
          <w:rFonts w:ascii="Times New Roman" w:hAnsi="Times New Roman" w:cs="Times New Roman"/>
          <w:color w:val="000000" w:themeColor="text1"/>
          <w:sz w:val="20"/>
          <w:szCs w:val="20"/>
          <w:vertAlign w:val="superscript"/>
        </w:rPr>
        <w:footnoteRef/>
      </w:r>
      <w:r w:rsidRPr="00B11003">
        <w:rPr>
          <w:rFonts w:ascii="Times New Roman" w:hAnsi="Times New Roman" w:cs="Times New Roman"/>
          <w:color w:val="000000" w:themeColor="text1"/>
          <w:sz w:val="20"/>
          <w:szCs w:val="20"/>
        </w:rPr>
        <w:t xml:space="preserve"> </w:t>
      </w:r>
      <w:r w:rsidR="006226A5" w:rsidRPr="00B11003">
        <w:rPr>
          <w:rFonts w:ascii="Times New Roman" w:hAnsi="Times New Roman" w:cs="Times New Roman"/>
          <w:color w:val="000000" w:themeColor="text1"/>
          <w:sz w:val="20"/>
          <w:szCs w:val="20"/>
        </w:rPr>
        <w:t xml:space="preserve">Constituante du canton du Valais, </w:t>
      </w:r>
      <w:r w:rsidR="006226A5" w:rsidRPr="00B11003">
        <w:rPr>
          <w:rFonts w:ascii="Times New Roman" w:hAnsi="Times New Roman" w:cs="Times New Roman"/>
          <w:i/>
          <w:iCs/>
          <w:color w:val="000000" w:themeColor="text1"/>
          <w:sz w:val="20"/>
          <w:szCs w:val="20"/>
        </w:rPr>
        <w:t>Droits politiques. Rapport présenté au Bureau de la Constituante</w:t>
      </w:r>
      <w:r w:rsidR="006226A5" w:rsidRPr="00B11003">
        <w:rPr>
          <w:rFonts w:ascii="Times New Roman" w:hAnsi="Times New Roman" w:cs="Times New Roman"/>
          <w:color w:val="000000" w:themeColor="text1"/>
          <w:sz w:val="20"/>
          <w:szCs w:val="20"/>
        </w:rPr>
        <w:t>, 16 juin 2021, p.5.</w:t>
      </w:r>
    </w:p>
  </w:footnote>
  <w:footnote w:id="99">
    <w:p w14:paraId="6E1C3307" w14:textId="77777777" w:rsidR="00EF1053" w:rsidRPr="00B11003" w:rsidRDefault="00EF1053" w:rsidP="00B11003">
      <w:pPr>
        <w:pStyle w:val="Notedebasdepage"/>
        <w:jc w:val="both"/>
        <w:rPr>
          <w:rFonts w:ascii="Times New Roman" w:hAnsi="Times New Roman" w:cs="Times New Roman"/>
          <w:color w:val="000000" w:themeColor="text1"/>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Motion </w:t>
      </w:r>
      <w:r w:rsidRPr="00B11003">
        <w:rPr>
          <w:rFonts w:ascii="Times New Roman" w:eastAsia="Times New Roman" w:hAnsi="Times New Roman" w:cs="Times New Roman"/>
          <w:color w:val="000000" w:themeColor="text1"/>
        </w:rPr>
        <w:t>Mauron/Ganioz (FR 2020-GC-13), PV, p. 2608.</w:t>
      </w:r>
    </w:p>
  </w:footnote>
  <w:footnote w:id="100">
    <w:p w14:paraId="4ADE952B" w14:textId="77777777" w:rsidR="00EF1053" w:rsidRPr="00B11003" w:rsidRDefault="00EF1053" w:rsidP="00B11003">
      <w:pPr>
        <w:pStyle w:val="Notedebasdepage"/>
        <w:jc w:val="both"/>
        <w:rPr>
          <w:rFonts w:ascii="Times New Roman" w:hAnsi="Times New Roman" w:cs="Times New Roman"/>
          <w:color w:val="000000" w:themeColor="text1"/>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Le canton de Genève garantit par ailleurs le droit de vote en matière communale aux ressortissants étrangers domiciliés dans une commune genevoise et qui résident légalement en Suisse depuis 8 ans au moins.</w:t>
      </w:r>
    </w:p>
  </w:footnote>
  <w:footnote w:id="101">
    <w:p w14:paraId="580D75C0" w14:textId="786D95D3" w:rsidR="00EF1053" w:rsidRPr="00B11003" w:rsidRDefault="00EF1053" w:rsidP="00B11003">
      <w:pPr>
        <w:pStyle w:val="Notedebasdepage"/>
        <w:jc w:val="both"/>
        <w:rPr>
          <w:rFonts w:ascii="Times New Roman" w:hAnsi="Times New Roman" w:cs="Times New Roman"/>
          <w:color w:val="000000" w:themeColor="text1"/>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lang w:val="fr-CH"/>
        </w:rPr>
        <w:t xml:space="preserve"> Ancien </w:t>
      </w:r>
      <w:r w:rsidRPr="00B11003">
        <w:rPr>
          <w:rFonts w:ascii="Times New Roman" w:hAnsi="Times New Roman" w:cs="Times New Roman"/>
          <w:color w:val="000000" w:themeColor="text1"/>
        </w:rPr>
        <w:t>art</w:t>
      </w:r>
      <w:r w:rsidR="00CB69D9" w:rsidRPr="00B11003">
        <w:rPr>
          <w:rFonts w:ascii="Times New Roman" w:hAnsi="Times New Roman" w:cs="Times New Roman"/>
          <w:color w:val="000000" w:themeColor="text1"/>
        </w:rPr>
        <w:t>.</w:t>
      </w:r>
      <w:r w:rsidRPr="00B11003">
        <w:rPr>
          <w:rFonts w:ascii="Times New Roman" w:hAnsi="Times New Roman" w:cs="Times New Roman"/>
          <w:color w:val="000000" w:themeColor="text1"/>
        </w:rPr>
        <w:t xml:space="preserve"> 48 al. 4 de la Constitution de la République et canton de Genève du 14 octobre 2012 (RS GE 131.234).</w:t>
      </w:r>
    </w:p>
  </w:footnote>
  <w:footnote w:id="102">
    <w:p w14:paraId="176B2C81" w14:textId="2D1B2B7E" w:rsidR="00EF1053" w:rsidRPr="00B11003" w:rsidRDefault="00EF1053" w:rsidP="00B11003">
      <w:pPr>
        <w:pBdr>
          <w:top w:val="nil"/>
          <w:left w:val="nil"/>
          <w:bottom w:val="nil"/>
          <w:right w:val="nil"/>
          <w:between w:val="nil"/>
        </w:pBdr>
        <w:spacing w:line="240" w:lineRule="auto"/>
        <w:jc w:val="both"/>
        <w:rPr>
          <w:rFonts w:ascii="Times New Roman" w:eastAsia="Times New Roman" w:hAnsi="Times New Roman" w:cs="Times New Roman"/>
          <w:color w:val="FF0000"/>
          <w:sz w:val="20"/>
          <w:szCs w:val="20"/>
          <w:lang w:val="fr-CH"/>
        </w:rPr>
      </w:pPr>
      <w:r w:rsidRPr="00B11003">
        <w:rPr>
          <w:rFonts w:ascii="Times New Roman" w:hAnsi="Times New Roman" w:cs="Times New Roman"/>
          <w:color w:val="000000" w:themeColor="text1"/>
          <w:sz w:val="20"/>
          <w:szCs w:val="20"/>
          <w:vertAlign w:val="superscript"/>
        </w:rPr>
        <w:footnoteRef/>
      </w:r>
      <w:r w:rsidRPr="00B11003">
        <w:rPr>
          <w:rFonts w:ascii="Times New Roman" w:eastAsia="Times New Roman" w:hAnsi="Times New Roman" w:cs="Times New Roman"/>
          <w:color w:val="000000" w:themeColor="text1"/>
          <w:sz w:val="20"/>
          <w:szCs w:val="20"/>
          <w:lang w:val="fr-CH"/>
        </w:rPr>
        <w:t xml:space="preserve"> Projet de loi PL 12211 et 12212 du 3 novembre 2017, p. 5</w:t>
      </w:r>
      <w:r w:rsidR="0055514C" w:rsidRPr="00B11003">
        <w:rPr>
          <w:rFonts w:ascii="Times New Roman" w:eastAsia="Times New Roman" w:hAnsi="Times New Roman" w:cs="Times New Roman"/>
          <w:color w:val="000000" w:themeColor="text1"/>
          <w:sz w:val="20"/>
          <w:szCs w:val="20"/>
          <w:lang w:val="fr-CH"/>
        </w:rPr>
        <w:t xml:space="preserve"> [</w:t>
      </w:r>
      <w:hyperlink r:id="rId5" w:history="1">
        <w:r w:rsidR="00AC0272" w:rsidRPr="00B11003">
          <w:rPr>
            <w:rStyle w:val="Lienhypertexte"/>
            <w:rFonts w:ascii="Times New Roman" w:eastAsia="Times New Roman" w:hAnsi="Times New Roman" w:cs="Times New Roman"/>
            <w:sz w:val="20"/>
            <w:szCs w:val="20"/>
            <w:lang w:val="fr-CH"/>
          </w:rPr>
          <w:t>https://ge.ch/grandconseil/data/texte/PL12211.pdf</w:t>
        </w:r>
      </w:hyperlink>
      <w:r w:rsidR="0055514C" w:rsidRPr="00B11003">
        <w:rPr>
          <w:rStyle w:val="Lienhypertexte"/>
          <w:rFonts w:ascii="Times New Roman" w:eastAsia="Times New Roman" w:hAnsi="Times New Roman" w:cs="Times New Roman"/>
          <w:color w:val="000000" w:themeColor="text1"/>
          <w:sz w:val="20"/>
          <w:szCs w:val="20"/>
          <w:lang w:val="fr-CH"/>
        </w:rPr>
        <w:t>]</w:t>
      </w:r>
      <w:r w:rsidR="0055514C" w:rsidRPr="00B11003">
        <w:rPr>
          <w:rFonts w:ascii="Times New Roman" w:eastAsia="Times New Roman" w:hAnsi="Times New Roman" w:cs="Times New Roman"/>
          <w:color w:val="000000" w:themeColor="text1"/>
          <w:sz w:val="20"/>
          <w:szCs w:val="20"/>
          <w:lang w:val="fr-CH"/>
        </w:rPr>
        <w:t>.</w:t>
      </w:r>
    </w:p>
  </w:footnote>
  <w:footnote w:id="103">
    <w:p w14:paraId="05971DF8" w14:textId="066049FB" w:rsidR="00EF1053" w:rsidRPr="00B11003" w:rsidRDefault="00EF1053" w:rsidP="00B11003">
      <w:pPr>
        <w:pStyle w:val="Notedebasdepage"/>
        <w:jc w:val="both"/>
        <w:rPr>
          <w:rFonts w:ascii="Times New Roman" w:hAnsi="Times New Roman" w:cs="Times New Roman"/>
          <w:color w:val="FF0000"/>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lang w:val="fr-CH"/>
        </w:rPr>
        <w:t xml:space="preserve"> </w:t>
      </w:r>
      <w:r w:rsidR="00AC0272" w:rsidRPr="00B11003">
        <w:rPr>
          <w:rFonts w:ascii="Times New Roman" w:hAnsi="Times New Roman" w:cs="Times New Roman"/>
          <w:color w:val="000000" w:themeColor="text1"/>
        </w:rPr>
        <w:t>Parlement suisse,</w:t>
      </w:r>
      <w:r w:rsidR="00AC0272" w:rsidRPr="00B11003">
        <w:rPr>
          <w:rFonts w:ascii="Times New Roman" w:hAnsi="Times New Roman" w:cs="Times New Roman"/>
        </w:rPr>
        <w:t xml:space="preserve"> </w:t>
      </w:r>
      <w:r w:rsidR="00AC0272" w:rsidRPr="00B11003">
        <w:rPr>
          <w:rFonts w:ascii="Times New Roman" w:hAnsi="Times New Roman" w:cs="Times New Roman"/>
          <w:i/>
          <w:iCs/>
          <w:color w:val="000000" w:themeColor="text1"/>
        </w:rPr>
        <w:t>Postulat 21.3296 de Marina Carobbio Guscetti : Pleine participation politique pour les personnes qui ont un handicap intellectuel</w:t>
      </w:r>
      <w:r w:rsidR="00AC0272" w:rsidRPr="00B11003">
        <w:rPr>
          <w:rFonts w:ascii="Times New Roman" w:hAnsi="Times New Roman" w:cs="Times New Roman"/>
          <w:color w:val="000000" w:themeColor="text1"/>
        </w:rPr>
        <w:t xml:space="preserve">, 18 mars 2021 </w:t>
      </w:r>
      <w:r w:rsidR="00AC0272" w:rsidRPr="00B11003">
        <w:rPr>
          <w:rFonts w:ascii="Times New Roman" w:eastAsia="Times New Roman" w:hAnsi="Times New Roman" w:cs="Times New Roman"/>
          <w:color w:val="000000" w:themeColor="text1"/>
          <w:lang w:val="fr-CH"/>
        </w:rPr>
        <w:t>[</w:t>
      </w:r>
      <w:hyperlink r:id="rId6" w:history="1">
        <w:r w:rsidR="00AC0272" w:rsidRPr="00B11003">
          <w:rPr>
            <w:rStyle w:val="Lienhypertexte"/>
            <w:rFonts w:ascii="Times New Roman" w:eastAsia="Times New Roman" w:hAnsi="Times New Roman" w:cs="Times New Roman"/>
            <w:lang w:val="fr-CH"/>
          </w:rPr>
          <w:t>https://www.parlament.ch/fr/ratsbetrieb/suche-curia-vista/geschaeft?AffairId=20213296</w:t>
        </w:r>
      </w:hyperlink>
      <w:r w:rsidR="00AC0272" w:rsidRPr="00B11003">
        <w:rPr>
          <w:rFonts w:ascii="Times New Roman" w:hAnsi="Times New Roman" w:cs="Times New Roman"/>
        </w:rPr>
        <w:t>].</w:t>
      </w:r>
    </w:p>
  </w:footnote>
  <w:footnote w:id="104">
    <w:p w14:paraId="1165630D" w14:textId="77777777" w:rsidR="00EF1053" w:rsidRPr="00B11003" w:rsidRDefault="00EF1053" w:rsidP="00B11003">
      <w:pPr>
        <w:pStyle w:val="Notedebasdepage"/>
        <w:jc w:val="both"/>
        <w:rPr>
          <w:rFonts w:ascii="Times New Roman" w:hAnsi="Times New Roman" w:cs="Times New Roman"/>
          <w:color w:val="000000" w:themeColor="text1"/>
          <w:lang w:val="en-US"/>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lang w:val="en-US"/>
        </w:rPr>
        <w:t xml:space="preserve"> Art. 29 let. a CDPH.</w:t>
      </w:r>
    </w:p>
  </w:footnote>
  <w:footnote w:id="105">
    <w:p w14:paraId="7995A6C9" w14:textId="77777777" w:rsidR="00EF1053" w:rsidRPr="00B11003" w:rsidRDefault="00EF1053" w:rsidP="00B11003">
      <w:pPr>
        <w:pStyle w:val="Notedebasdepage"/>
        <w:jc w:val="both"/>
        <w:rPr>
          <w:rFonts w:ascii="Times New Roman" w:hAnsi="Times New Roman" w:cs="Times New Roman"/>
          <w:color w:val="FF0000"/>
          <w:lang w:val="en-US"/>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lang w:val="en-US"/>
        </w:rPr>
        <w:t xml:space="preserve"> Art. 29 let. a CDPH.</w:t>
      </w:r>
    </w:p>
  </w:footnote>
  <w:footnote w:id="106">
    <w:p w14:paraId="7D2C6EA4" w14:textId="115B446C"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lang w:val="fr-CH"/>
        </w:rPr>
        <w:t xml:space="preserve"> Voir aussi </w:t>
      </w:r>
      <w:r w:rsidR="00CB69D9" w:rsidRPr="00B11003">
        <w:rPr>
          <w:rFonts w:ascii="Times New Roman" w:hAnsi="Times New Roman" w:cs="Times New Roman"/>
          <w:lang w:val="fr-CH"/>
        </w:rPr>
        <w:t>l</w:t>
      </w:r>
      <w:r w:rsidR="003F1F1C" w:rsidRPr="00B11003">
        <w:rPr>
          <w:rFonts w:ascii="Times New Roman" w:hAnsi="Times New Roman" w:cs="Times New Roman"/>
          <w:lang w:val="fr-CH"/>
        </w:rPr>
        <w:t>’</w:t>
      </w:r>
      <w:r w:rsidRPr="00B11003">
        <w:rPr>
          <w:rFonts w:ascii="Times New Roman" w:hAnsi="Times New Roman" w:cs="Times New Roman"/>
          <w:lang w:val="fr-CH"/>
        </w:rPr>
        <w:t>art. 21 CDPH.</w:t>
      </w:r>
    </w:p>
  </w:footnote>
  <w:footnote w:id="107">
    <w:p w14:paraId="2C9D9313" w14:textId="3702E76B" w:rsidR="00EF1053" w:rsidRPr="00B11003" w:rsidRDefault="00EF1053" w:rsidP="00B11003">
      <w:pPr>
        <w:pStyle w:val="Notedebasdepage"/>
        <w:jc w:val="both"/>
        <w:rPr>
          <w:rFonts w:ascii="Times New Roman" w:hAnsi="Times New Roman" w:cs="Times New Roman"/>
        </w:rPr>
      </w:pPr>
      <w:r w:rsidRPr="00B11003">
        <w:rPr>
          <w:rStyle w:val="Appelnotedebasdep"/>
          <w:rFonts w:ascii="Times New Roman" w:hAnsi="Times New Roman" w:cs="Times New Roman"/>
        </w:rPr>
        <w:footnoteRef/>
      </w:r>
      <w:r w:rsidR="00CB69D9" w:rsidRPr="00B11003">
        <w:rPr>
          <w:rFonts w:ascii="Times New Roman" w:hAnsi="Times New Roman" w:cs="Times New Roman"/>
          <w:lang w:val="fr-CH"/>
        </w:rPr>
        <w:t xml:space="preserve"> Plateforme ch.ch</w:t>
      </w:r>
      <w:r w:rsidRPr="00B11003">
        <w:rPr>
          <w:rFonts w:ascii="Times New Roman" w:hAnsi="Times New Roman" w:cs="Times New Roman"/>
          <w:lang w:val="fr-CH"/>
        </w:rPr>
        <w:t xml:space="preserve"> </w:t>
      </w:r>
      <w:r w:rsidR="00CB69D9" w:rsidRPr="00B11003">
        <w:rPr>
          <w:rFonts w:ascii="Times New Roman" w:hAnsi="Times New Roman" w:cs="Times New Roman"/>
        </w:rPr>
        <w:t>[</w:t>
      </w:r>
      <w:hyperlink r:id="rId7" w:history="1">
        <w:r w:rsidR="00CB69D9" w:rsidRPr="00B11003">
          <w:rPr>
            <w:rStyle w:val="Lienhypertexte"/>
            <w:rFonts w:ascii="Times New Roman" w:hAnsi="Times New Roman" w:cs="Times New Roman"/>
          </w:rPr>
          <w:t>https://www.ch.ch/fr/votations-et-elections/votations/remplir-correctement-le-bulletin-de-vote/</w:t>
        </w:r>
      </w:hyperlink>
      <w:r w:rsidR="00CB69D9" w:rsidRPr="00B11003">
        <w:rPr>
          <w:rFonts w:ascii="Times New Roman" w:hAnsi="Times New Roman" w:cs="Times New Roman"/>
        </w:rPr>
        <w:t xml:space="preserve">]. </w:t>
      </w:r>
    </w:p>
  </w:footnote>
  <w:footnote w:id="108">
    <w:p w14:paraId="341FFF5E" w14:textId="0574C76C"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Voir p</w:t>
      </w:r>
      <w:r w:rsidR="003F1F1C" w:rsidRPr="00B11003">
        <w:rPr>
          <w:rFonts w:ascii="Times New Roman" w:hAnsi="Times New Roman" w:cs="Times New Roman"/>
        </w:rPr>
        <w:t>ar exemple la vidéo du Conseil fédéral suisse, Langue des signes : Initiative sur les soins infirmiers</w:t>
      </w:r>
      <w:r w:rsidR="000523D3" w:rsidRPr="00B11003">
        <w:rPr>
          <w:rFonts w:ascii="Times New Roman" w:hAnsi="Times New Roman" w:cs="Times New Roman"/>
        </w:rPr>
        <w:t>, 1</w:t>
      </w:r>
      <w:r w:rsidR="000523D3" w:rsidRPr="00B11003">
        <w:rPr>
          <w:rFonts w:ascii="Times New Roman" w:hAnsi="Times New Roman" w:cs="Times New Roman"/>
          <w:vertAlign w:val="superscript"/>
        </w:rPr>
        <w:t>er</w:t>
      </w:r>
      <w:r w:rsidR="000523D3" w:rsidRPr="00B11003">
        <w:rPr>
          <w:rFonts w:ascii="Times New Roman" w:hAnsi="Times New Roman" w:cs="Times New Roman"/>
        </w:rPr>
        <w:t xml:space="preserve"> novembre 2021</w:t>
      </w:r>
      <w:r w:rsidRPr="00B11003">
        <w:rPr>
          <w:rFonts w:ascii="Times New Roman" w:hAnsi="Times New Roman" w:cs="Times New Roman"/>
        </w:rPr>
        <w:t xml:space="preserve"> </w:t>
      </w:r>
      <w:r w:rsidR="00CB69D9" w:rsidRPr="00B11003">
        <w:rPr>
          <w:rFonts w:ascii="Times New Roman" w:hAnsi="Times New Roman" w:cs="Times New Roman"/>
        </w:rPr>
        <w:t>[</w:t>
      </w:r>
      <w:hyperlink r:id="rId8" w:history="1">
        <w:r w:rsidRPr="00B11003">
          <w:rPr>
            <w:rStyle w:val="Lienhypertexte"/>
            <w:rFonts w:ascii="Times New Roman" w:hAnsi="Times New Roman" w:cs="Times New Roman"/>
          </w:rPr>
          <w:t>https://www.youtube.com/watch?v=rHiK57XGhaI</w:t>
        </w:r>
      </w:hyperlink>
      <w:r w:rsidR="00CB69D9" w:rsidRPr="00B11003">
        <w:rPr>
          <w:rFonts w:ascii="Times New Roman" w:hAnsi="Times New Roman" w:cs="Times New Roman"/>
        </w:rPr>
        <w:t>].</w:t>
      </w:r>
    </w:p>
  </w:footnote>
  <w:footnote w:id="109">
    <w:p w14:paraId="4A948D38" w14:textId="5E8703A4" w:rsidR="00EF1053" w:rsidRPr="00B11003" w:rsidRDefault="00EF1053" w:rsidP="00B11003">
      <w:pPr>
        <w:pStyle w:val="active"/>
        <w:spacing w:before="0" w:beforeAutospacing="0" w:after="0" w:afterAutospacing="0"/>
        <w:jc w:val="both"/>
        <w:rPr>
          <w:color w:val="454545"/>
          <w:sz w:val="20"/>
          <w:szCs w:val="20"/>
        </w:rPr>
      </w:pPr>
      <w:r w:rsidRPr="00B11003">
        <w:rPr>
          <w:rStyle w:val="Appelnotedebasdep"/>
          <w:sz w:val="20"/>
          <w:szCs w:val="20"/>
          <w:lang w:val="fr-FR"/>
        </w:rPr>
        <w:footnoteRef/>
      </w:r>
      <w:r w:rsidR="000523D3" w:rsidRPr="00B11003">
        <w:rPr>
          <w:sz w:val="20"/>
          <w:szCs w:val="20"/>
          <w:lang w:val="fr-FR"/>
        </w:rPr>
        <w:t xml:space="preserve"> Accès pour tous, </w:t>
      </w:r>
      <w:r w:rsidR="000523D3" w:rsidRPr="00B11003">
        <w:rPr>
          <w:i/>
          <w:iCs/>
          <w:sz w:val="20"/>
          <w:szCs w:val="20"/>
          <w:lang w:val="fr-FR"/>
        </w:rPr>
        <w:t>Étude Accessibility 2016 en Suisse. Bilan de l`accessibilité des considérables offres Internet suisses</w:t>
      </w:r>
      <w:r w:rsidR="000523D3" w:rsidRPr="00B11003">
        <w:rPr>
          <w:sz w:val="20"/>
          <w:szCs w:val="20"/>
          <w:lang w:val="fr-FR"/>
        </w:rPr>
        <w:t>, 2016.</w:t>
      </w:r>
    </w:p>
  </w:footnote>
  <w:footnote w:id="110">
    <w:p w14:paraId="3FFA6F8A" w14:textId="6C131BA6" w:rsidR="00EF1053" w:rsidRPr="00B11003" w:rsidRDefault="00EF1053" w:rsidP="00B11003">
      <w:pPr>
        <w:pStyle w:val="Notedebasdepage"/>
        <w:jc w:val="both"/>
        <w:rPr>
          <w:rFonts w:ascii="Times New Roman" w:hAnsi="Times New Roman" w:cs="Times New Roman"/>
          <w:color w:val="000000" w:themeColor="text1"/>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hyperlink r:id="rId9" w:history="1">
        <w:r w:rsidRPr="00B11003">
          <w:rPr>
            <w:rFonts w:ascii="Times New Roman" w:hAnsi="Times New Roman" w:cs="Times New Roman"/>
            <w:color w:val="000000" w:themeColor="text1"/>
          </w:rPr>
          <w:t>https://www.admin.ch</w:t>
        </w:r>
      </w:hyperlink>
      <w:r w:rsidRPr="00B11003">
        <w:rPr>
          <w:rFonts w:ascii="Times New Roman" w:hAnsi="Times New Roman" w:cs="Times New Roman"/>
          <w:color w:val="000000" w:themeColor="text1"/>
        </w:rPr>
        <w:t xml:space="preserve"> &gt; Département fédéral de l’intérieur &gt; BFEH &gt; Accessibilité numérique &gt; Mise en œuvre.</w:t>
      </w:r>
    </w:p>
  </w:footnote>
  <w:footnote w:id="111">
    <w:p w14:paraId="0595E4F1" w14:textId="32231F33" w:rsidR="00EF1053" w:rsidRPr="00B11003" w:rsidRDefault="00EF1053" w:rsidP="00B11003">
      <w:pPr>
        <w:pStyle w:val="Notedebasdepage"/>
        <w:jc w:val="both"/>
        <w:rPr>
          <w:rFonts w:ascii="Times New Roman" w:hAnsi="Times New Roman" w:cs="Times New Roman"/>
          <w:color w:val="FF0000"/>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3F1F1C" w:rsidRPr="00B11003">
        <w:rPr>
          <w:rFonts w:ascii="Times New Roman" w:hAnsi="Times New Roman" w:cs="Times New Roman"/>
          <w:color w:val="000000" w:themeColor="text1"/>
        </w:rPr>
        <w:t xml:space="preserve">Parlement suisse, </w:t>
      </w:r>
      <w:r w:rsidR="003F1F1C" w:rsidRPr="00B11003">
        <w:rPr>
          <w:rFonts w:ascii="Times New Roman" w:hAnsi="Times New Roman" w:cs="Times New Roman"/>
          <w:i/>
          <w:iCs/>
          <w:color w:val="000000" w:themeColor="text1"/>
        </w:rPr>
        <w:t>Rapport de la Commission de la sécurité sociale et de la santé publique sur la Pétition 15.2030 de Procap et AGILE.CH : Participation politique des personnes handicapées</w:t>
      </w:r>
      <w:r w:rsidR="003F1F1C" w:rsidRPr="00B11003">
        <w:rPr>
          <w:rFonts w:ascii="Times New Roman" w:hAnsi="Times New Roman" w:cs="Times New Roman"/>
          <w:color w:val="000000" w:themeColor="text1"/>
        </w:rPr>
        <w:t xml:space="preserve">, </w:t>
      </w:r>
      <w:r w:rsidRPr="00B11003">
        <w:rPr>
          <w:rFonts w:ascii="Times New Roman" w:hAnsi="Times New Roman" w:cs="Times New Roman"/>
          <w:color w:val="000000" w:themeColor="text1"/>
        </w:rPr>
        <w:t>26 octobre 2017 </w:t>
      </w:r>
      <w:r w:rsidR="00411682" w:rsidRPr="00B11003">
        <w:rPr>
          <w:rFonts w:ascii="Times New Roman" w:hAnsi="Times New Roman" w:cs="Times New Roman"/>
        </w:rPr>
        <w:t>[</w:t>
      </w:r>
      <w:hyperlink r:id="rId10" w:history="1">
        <w:r w:rsidR="00411682" w:rsidRPr="00B11003">
          <w:rPr>
            <w:rStyle w:val="Lienhypertexte"/>
            <w:rFonts w:ascii="Times New Roman" w:hAnsi="Times New Roman" w:cs="Times New Roman"/>
          </w:rPr>
          <w:t>https://www.parlament.ch/centers/kb/Documents/2015/Rapport_de_la_commission_CSSS-E_15.2030_2017-10-26.pdf</w:t>
        </w:r>
      </w:hyperlink>
      <w:r w:rsidR="00411682" w:rsidRPr="00B11003">
        <w:rPr>
          <w:rFonts w:ascii="Times New Roman" w:hAnsi="Times New Roman" w:cs="Times New Roman"/>
        </w:rPr>
        <w:t>]</w:t>
      </w:r>
      <w:r w:rsidR="00411682" w:rsidRPr="00B11003">
        <w:rPr>
          <w:rFonts w:ascii="Times New Roman" w:hAnsi="Times New Roman" w:cs="Times New Roman"/>
          <w:color w:val="000000" w:themeColor="text1"/>
        </w:rPr>
        <w:t xml:space="preserve"> </w:t>
      </w:r>
      <w:r w:rsidRPr="00B11003">
        <w:rPr>
          <w:rFonts w:ascii="Times New Roman" w:hAnsi="Times New Roman" w:cs="Times New Roman"/>
          <w:color w:val="000000" w:themeColor="text1"/>
        </w:rPr>
        <w:t>;</w:t>
      </w:r>
      <w:r w:rsidR="00411682" w:rsidRPr="00B11003">
        <w:rPr>
          <w:rFonts w:ascii="Times New Roman" w:hAnsi="Times New Roman" w:cs="Times New Roman"/>
          <w:color w:val="000000" w:themeColor="text1"/>
        </w:rPr>
        <w:t xml:space="preserve"> Parlement suisse, </w:t>
      </w:r>
      <w:r w:rsidRPr="00B11003">
        <w:rPr>
          <w:rFonts w:ascii="Times New Roman" w:hAnsi="Times New Roman" w:cs="Times New Roman"/>
          <w:i/>
          <w:iCs/>
          <w:color w:val="000000" w:themeColor="text1"/>
        </w:rPr>
        <w:t>Postulat 17.3972</w:t>
      </w:r>
      <w:r w:rsidR="00411682" w:rsidRPr="00B11003">
        <w:rPr>
          <w:rFonts w:ascii="Times New Roman" w:hAnsi="Times New Roman" w:cs="Times New Roman"/>
          <w:i/>
          <w:iCs/>
          <w:color w:val="000000" w:themeColor="text1"/>
        </w:rPr>
        <w:t xml:space="preserve"> de la Commission de la sécurité sociale et de la santé publique : Participation politique des personnes handicapées</w:t>
      </w:r>
      <w:r w:rsidR="00411682" w:rsidRPr="00B11003">
        <w:rPr>
          <w:rFonts w:ascii="Times New Roman" w:hAnsi="Times New Roman" w:cs="Times New Roman"/>
          <w:color w:val="000000" w:themeColor="text1"/>
        </w:rPr>
        <w:t xml:space="preserve">, 27 octobre 2017 </w:t>
      </w:r>
      <w:r w:rsidR="00411682" w:rsidRPr="00B11003">
        <w:rPr>
          <w:rFonts w:ascii="Times New Roman" w:hAnsi="Times New Roman" w:cs="Times New Roman"/>
        </w:rPr>
        <w:t>[</w:t>
      </w:r>
      <w:hyperlink r:id="rId11" w:history="1">
        <w:r w:rsidR="00411682" w:rsidRPr="00B11003">
          <w:rPr>
            <w:rStyle w:val="Lienhypertexte"/>
            <w:rFonts w:ascii="Times New Roman" w:hAnsi="Times New Roman" w:cs="Times New Roman"/>
          </w:rPr>
          <w:t>https://www.parlament.ch/fr/ratsbetrieb/suche-curia-vista/geschaeft?AffairId=20173972</w:t>
        </w:r>
      </w:hyperlink>
      <w:r w:rsidR="00411682" w:rsidRPr="00B11003">
        <w:rPr>
          <w:rFonts w:ascii="Times New Roman" w:hAnsi="Times New Roman" w:cs="Times New Roman"/>
        </w:rPr>
        <w:t>].</w:t>
      </w:r>
      <w:r w:rsidR="00411682" w:rsidRPr="00B11003">
        <w:rPr>
          <w:rFonts w:ascii="Times New Roman" w:hAnsi="Times New Roman" w:cs="Times New Roman"/>
          <w:color w:val="000000" w:themeColor="text1"/>
        </w:rPr>
        <w:t xml:space="preserve"> </w:t>
      </w:r>
    </w:p>
  </w:footnote>
  <w:footnote w:id="112">
    <w:p w14:paraId="627CA2ED" w14:textId="64C9C756"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3F1F1C" w:rsidRPr="00B11003">
        <w:rPr>
          <w:rFonts w:ascii="Times New Roman" w:hAnsi="Times New Roman" w:cs="Times New Roman"/>
          <w:color w:val="000000" w:themeColor="text1"/>
        </w:rPr>
        <w:t xml:space="preserve">Parlement suisse, </w:t>
      </w:r>
      <w:r w:rsidR="003F1F1C" w:rsidRPr="00B11003">
        <w:rPr>
          <w:rFonts w:ascii="Times New Roman" w:hAnsi="Times New Roman" w:cs="Times New Roman"/>
          <w:i/>
          <w:iCs/>
          <w:color w:val="000000" w:themeColor="text1"/>
        </w:rPr>
        <w:t>Pétition 15.2030 de Procap et AGILE.CH : Participation politique des personnes handicapées</w:t>
      </w:r>
      <w:r w:rsidR="003F1F1C" w:rsidRPr="00B11003">
        <w:rPr>
          <w:rFonts w:ascii="Times New Roman" w:hAnsi="Times New Roman" w:cs="Times New Roman"/>
          <w:color w:val="000000" w:themeColor="text1"/>
        </w:rPr>
        <w:t xml:space="preserve">, 8 septembre 2015 </w:t>
      </w:r>
      <w:r w:rsidRPr="00B11003">
        <w:rPr>
          <w:rFonts w:ascii="Times New Roman" w:hAnsi="Times New Roman" w:cs="Times New Roman"/>
          <w:color w:val="000000" w:themeColor="text1"/>
        </w:rPr>
        <w:t xml:space="preserve">; </w:t>
      </w:r>
      <w:r w:rsidR="00411682" w:rsidRPr="00B11003">
        <w:rPr>
          <w:rFonts w:ascii="Times New Roman" w:hAnsi="Times New Roman" w:cs="Times New Roman"/>
          <w:color w:val="000000" w:themeColor="text1"/>
        </w:rPr>
        <w:t>Parlement suisse,</w:t>
      </w:r>
      <w:r w:rsidR="00411682" w:rsidRPr="00B11003">
        <w:rPr>
          <w:rFonts w:ascii="Times New Roman" w:hAnsi="Times New Roman" w:cs="Times New Roman"/>
          <w:i/>
          <w:iCs/>
          <w:color w:val="000000" w:themeColor="text1"/>
        </w:rPr>
        <w:t xml:space="preserve"> Réponse du Conseil fédéral du postulat 17.3972 de la Commission de la sécurité sociale et de la santé publique : Participation politique des personnes handicapées</w:t>
      </w:r>
      <w:r w:rsidR="00411682" w:rsidRPr="00B11003">
        <w:rPr>
          <w:rFonts w:ascii="Times New Roman" w:hAnsi="Times New Roman" w:cs="Times New Roman"/>
          <w:color w:val="000000" w:themeColor="text1"/>
        </w:rPr>
        <w:t>, 22 novembre 2017.</w:t>
      </w:r>
    </w:p>
  </w:footnote>
  <w:footnote w:id="113">
    <w:p w14:paraId="628352D6" w14:textId="395D71BF"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smallCaps/>
        </w:rPr>
        <w:t xml:space="preserve">Mahon </w:t>
      </w:r>
      <w:r w:rsidRPr="00B11003">
        <w:rPr>
          <w:rFonts w:ascii="Times New Roman" w:hAnsi="Times New Roman" w:cs="Times New Roman"/>
        </w:rPr>
        <w:t>Pascal, La citoyenneté active en droit public suisse,</w:t>
      </w:r>
      <w:r w:rsidRPr="00B11003">
        <w:rPr>
          <w:rFonts w:ascii="Times New Roman" w:hAnsi="Times New Roman" w:cs="Times New Roman"/>
          <w:i/>
          <w:iCs/>
        </w:rPr>
        <w:t xml:space="preserve"> in</w:t>
      </w:r>
      <w:r w:rsidRPr="00B11003">
        <w:rPr>
          <w:rFonts w:ascii="Times New Roman" w:hAnsi="Times New Roman" w:cs="Times New Roman"/>
        </w:rPr>
        <w:t xml:space="preserve"> </w:t>
      </w:r>
      <w:r w:rsidRPr="00B11003">
        <w:rPr>
          <w:rFonts w:ascii="Times New Roman" w:hAnsi="Times New Roman" w:cs="Times New Roman"/>
          <w:smallCaps/>
        </w:rPr>
        <w:t>Thürer/Aubert/Müller</w:t>
      </w:r>
      <w:r w:rsidRPr="00B11003">
        <w:rPr>
          <w:rFonts w:ascii="Times New Roman" w:hAnsi="Times New Roman" w:cs="Times New Roman"/>
        </w:rPr>
        <w:t xml:space="preserve"> (éd.), </w:t>
      </w:r>
      <w:r w:rsidRPr="00B11003">
        <w:rPr>
          <w:rFonts w:ascii="Times New Roman" w:hAnsi="Times New Roman" w:cs="Times New Roman"/>
          <w:i/>
          <w:iCs/>
        </w:rPr>
        <w:t>Droit constitutionnel</w:t>
      </w:r>
      <w:r w:rsidRPr="00B11003">
        <w:rPr>
          <w:rFonts w:ascii="Times New Roman" w:hAnsi="Times New Roman" w:cs="Times New Roman"/>
        </w:rPr>
        <w:t xml:space="preserve"> suisse, Genève/Bâle/Zurich</w:t>
      </w:r>
      <w:r w:rsidR="00CB69D9" w:rsidRPr="00B11003">
        <w:rPr>
          <w:rFonts w:ascii="Times New Roman" w:hAnsi="Times New Roman" w:cs="Times New Roman"/>
        </w:rPr>
        <w:t>,</w:t>
      </w:r>
      <w:r w:rsidRPr="00B11003">
        <w:rPr>
          <w:rFonts w:ascii="Times New Roman" w:hAnsi="Times New Roman" w:cs="Times New Roman"/>
        </w:rPr>
        <w:t xml:space="preserve"> Schulthess</w:t>
      </w:r>
      <w:r w:rsidR="00CB69D9" w:rsidRPr="00B11003">
        <w:rPr>
          <w:rFonts w:ascii="Times New Roman" w:hAnsi="Times New Roman" w:cs="Times New Roman"/>
        </w:rPr>
        <w:t>,</w:t>
      </w:r>
      <w:r w:rsidRPr="00B11003">
        <w:rPr>
          <w:rFonts w:ascii="Times New Roman" w:hAnsi="Times New Roman" w:cs="Times New Roman"/>
        </w:rPr>
        <w:t xml:space="preserve"> 2000, </w:t>
      </w:r>
      <w:r w:rsidR="00CB69D9" w:rsidRPr="00B11003">
        <w:rPr>
          <w:rFonts w:ascii="Times New Roman" w:hAnsi="Times New Roman" w:cs="Times New Roman"/>
        </w:rPr>
        <w:t>par.</w:t>
      </w:r>
      <w:r w:rsidRPr="00B11003">
        <w:rPr>
          <w:rFonts w:ascii="Times New Roman" w:hAnsi="Times New Roman" w:cs="Times New Roman"/>
        </w:rPr>
        <w:t xml:space="preserve"> 39</w:t>
      </w:r>
      <w:r w:rsidR="00CB69D9" w:rsidRPr="00B11003">
        <w:rPr>
          <w:rFonts w:ascii="Times New Roman" w:hAnsi="Times New Roman" w:cs="Times New Roman"/>
        </w:rPr>
        <w:t>-</w:t>
      </w:r>
      <w:r w:rsidRPr="00B11003">
        <w:rPr>
          <w:rFonts w:ascii="Times New Roman" w:hAnsi="Times New Roman" w:cs="Times New Roman"/>
        </w:rPr>
        <w:t>42. L’art. 5 al. 6 LDP permet par ailleurs, à certaines conditions, de faire déposer le bulletin de vote à l’urne par une tierce personne.</w:t>
      </w:r>
    </w:p>
  </w:footnote>
  <w:footnote w:id="114">
    <w:p w14:paraId="630DB56E" w14:textId="77AA3028" w:rsidR="00EF1053" w:rsidRPr="00B11003" w:rsidRDefault="00EF1053"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A ce sujet, voir </w:t>
      </w:r>
      <w:r w:rsidRPr="00B11003">
        <w:rPr>
          <w:rFonts w:ascii="Times New Roman" w:hAnsi="Times New Roman" w:cs="Times New Roman"/>
          <w:smallCaps/>
        </w:rPr>
        <w:t xml:space="preserve">Grodecki </w:t>
      </w:r>
      <w:r w:rsidRPr="00B11003">
        <w:rPr>
          <w:rFonts w:ascii="Times New Roman" w:hAnsi="Times New Roman" w:cs="Times New Roman"/>
        </w:rPr>
        <w:t xml:space="preserve">Stephane, </w:t>
      </w:r>
      <w:r w:rsidRPr="00B11003">
        <w:rPr>
          <w:rFonts w:ascii="Times New Roman" w:hAnsi="Times New Roman" w:cs="Times New Roman"/>
          <w:i/>
          <w:iCs/>
        </w:rPr>
        <w:t>op. cit</w:t>
      </w:r>
      <w:r w:rsidRPr="00B11003">
        <w:rPr>
          <w:rFonts w:ascii="Times New Roman" w:hAnsi="Times New Roman" w:cs="Times New Roman"/>
        </w:rPr>
        <w:t xml:space="preserve">. (note </w:t>
      </w:r>
      <w:r w:rsidRPr="00B11003">
        <w:rPr>
          <w:rFonts w:ascii="Times New Roman" w:hAnsi="Times New Roman" w:cs="Times New Roman"/>
        </w:rPr>
        <w:fldChar w:fldCharType="begin"/>
      </w:r>
      <w:r w:rsidRPr="00B11003">
        <w:rPr>
          <w:rFonts w:ascii="Times New Roman" w:hAnsi="Times New Roman" w:cs="Times New Roman"/>
        </w:rPr>
        <w:instrText xml:space="preserve"> NOTEREF _Ref95753199 \h  \* MERGEFORMAT </w:instrText>
      </w:r>
      <w:r w:rsidRPr="00B11003">
        <w:rPr>
          <w:rFonts w:ascii="Times New Roman" w:hAnsi="Times New Roman" w:cs="Times New Roman"/>
        </w:rPr>
      </w:r>
      <w:r w:rsidRPr="00B11003">
        <w:rPr>
          <w:rFonts w:ascii="Times New Roman" w:hAnsi="Times New Roman" w:cs="Times New Roman"/>
        </w:rPr>
        <w:fldChar w:fldCharType="separate"/>
      </w:r>
      <w:r w:rsidR="000C3CD7">
        <w:rPr>
          <w:rFonts w:ascii="Times New Roman" w:hAnsi="Times New Roman" w:cs="Times New Roman"/>
        </w:rPr>
        <w:t>88</w:t>
      </w:r>
      <w:r w:rsidRPr="00B11003">
        <w:rPr>
          <w:rFonts w:ascii="Times New Roman" w:hAnsi="Times New Roman" w:cs="Times New Roman"/>
        </w:rPr>
        <w:fldChar w:fldCharType="end"/>
      </w:r>
      <w:r w:rsidRPr="00B11003">
        <w:rPr>
          <w:rFonts w:ascii="Times New Roman" w:hAnsi="Times New Roman" w:cs="Times New Roman"/>
        </w:rPr>
        <w:t xml:space="preserve">), pp. 1804-1805 ; </w:t>
      </w:r>
      <w:r w:rsidRPr="00B11003">
        <w:rPr>
          <w:rFonts w:ascii="Times New Roman" w:hAnsi="Times New Roman" w:cs="Times New Roman"/>
          <w:smallCaps/>
          <w:lang w:val="fr-CH"/>
        </w:rPr>
        <w:t xml:space="preserve">Tobler </w:t>
      </w:r>
      <w:r w:rsidRPr="00B11003">
        <w:rPr>
          <w:rFonts w:ascii="Times New Roman" w:hAnsi="Times New Roman" w:cs="Times New Roman"/>
          <w:lang w:val="fr-CH"/>
        </w:rPr>
        <w:t xml:space="preserve">Christa, </w:t>
      </w:r>
      <w:r w:rsidRPr="00B11003">
        <w:rPr>
          <w:rFonts w:ascii="Times New Roman" w:hAnsi="Times New Roman" w:cs="Times New Roman"/>
          <w:i/>
          <w:iCs/>
          <w:lang w:val="fr-CH"/>
        </w:rPr>
        <w:t>op. cit</w:t>
      </w:r>
      <w:r w:rsidRPr="00B11003">
        <w:rPr>
          <w:rFonts w:ascii="Times New Roman" w:hAnsi="Times New Roman" w:cs="Times New Roman"/>
          <w:lang w:val="fr-CH"/>
        </w:rPr>
        <w:t xml:space="preserve">. (note </w:t>
      </w:r>
      <w:r w:rsidRPr="00B11003">
        <w:rPr>
          <w:rFonts w:ascii="Times New Roman" w:hAnsi="Times New Roman" w:cs="Times New Roman"/>
          <w:lang w:val="fr-CH"/>
        </w:rPr>
        <w:fldChar w:fldCharType="begin"/>
      </w:r>
      <w:r w:rsidRPr="00B11003">
        <w:rPr>
          <w:rFonts w:ascii="Times New Roman" w:hAnsi="Times New Roman" w:cs="Times New Roman"/>
          <w:lang w:val="fr-CH"/>
        </w:rPr>
        <w:instrText xml:space="preserve"> NOTEREF _Ref95750345 \h  \* MERGEFORMAT </w:instrText>
      </w:r>
      <w:r w:rsidRPr="00B11003">
        <w:rPr>
          <w:rFonts w:ascii="Times New Roman" w:hAnsi="Times New Roman" w:cs="Times New Roman"/>
          <w:lang w:val="fr-CH"/>
        </w:rPr>
      </w:r>
      <w:r w:rsidRPr="00B11003">
        <w:rPr>
          <w:rFonts w:ascii="Times New Roman" w:hAnsi="Times New Roman" w:cs="Times New Roman"/>
          <w:lang w:val="fr-CH"/>
        </w:rPr>
        <w:fldChar w:fldCharType="separate"/>
      </w:r>
      <w:r w:rsidR="000C3CD7">
        <w:rPr>
          <w:rFonts w:ascii="Times New Roman" w:hAnsi="Times New Roman" w:cs="Times New Roman"/>
          <w:lang w:val="fr-CH"/>
        </w:rPr>
        <w:t>93</w:t>
      </w:r>
      <w:r w:rsidRPr="00B11003">
        <w:rPr>
          <w:rFonts w:ascii="Times New Roman" w:hAnsi="Times New Roman" w:cs="Times New Roman"/>
          <w:lang w:val="fr-CH"/>
        </w:rPr>
        <w:fldChar w:fldCharType="end"/>
      </w:r>
      <w:r w:rsidRPr="00B11003">
        <w:rPr>
          <w:rFonts w:ascii="Times New Roman" w:hAnsi="Times New Roman" w:cs="Times New Roman"/>
          <w:lang w:val="fr-CH"/>
        </w:rPr>
        <w:t xml:space="preserve">), </w:t>
      </w:r>
      <w:r w:rsidRPr="00B11003">
        <w:rPr>
          <w:rFonts w:ascii="Times New Roman" w:hAnsi="Times New Roman" w:cs="Times New Roman"/>
        </w:rPr>
        <w:t>pp.</w:t>
      </w:r>
      <w:r w:rsidR="003A39DE" w:rsidRPr="00B11003">
        <w:rPr>
          <w:rFonts w:ascii="Times New Roman" w:hAnsi="Times New Roman" w:cs="Times New Roman"/>
        </w:rPr>
        <w:t> </w:t>
      </w:r>
      <w:r w:rsidRPr="00B11003">
        <w:rPr>
          <w:rFonts w:ascii="Times New Roman" w:hAnsi="Times New Roman" w:cs="Times New Roman"/>
        </w:rPr>
        <w:t>345, 368-370.</w:t>
      </w:r>
    </w:p>
  </w:footnote>
  <w:footnote w:id="115">
    <w:p w14:paraId="2DF0AFE0" w14:textId="110A29B9" w:rsidR="00B91DCE" w:rsidRPr="00B11003" w:rsidRDefault="00B91DCE"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smallCaps/>
          <w:lang w:val="fr-CH"/>
        </w:rPr>
        <w:t>Manaï</w:t>
      </w:r>
      <w:r w:rsidR="00CB69D9" w:rsidRPr="00B11003">
        <w:rPr>
          <w:rFonts w:ascii="Times New Roman" w:hAnsi="Times New Roman" w:cs="Times New Roman"/>
          <w:lang w:val="fr-CH"/>
        </w:rPr>
        <w:t xml:space="preserve"> Dominique, </w:t>
      </w:r>
      <w:r w:rsidRPr="00B11003">
        <w:rPr>
          <w:rFonts w:ascii="Times New Roman" w:hAnsi="Times New Roman" w:cs="Times New Roman"/>
          <w:i/>
          <w:iCs/>
          <w:lang w:val="fr-CH"/>
        </w:rPr>
        <w:t xml:space="preserve">Droits du patient face à la </w:t>
      </w:r>
      <w:r w:rsidR="00CB69D9" w:rsidRPr="00B11003">
        <w:rPr>
          <w:rFonts w:ascii="Times New Roman" w:hAnsi="Times New Roman" w:cs="Times New Roman"/>
          <w:i/>
          <w:iCs/>
          <w:lang w:val="fr-CH"/>
        </w:rPr>
        <w:t>biomédecine</w:t>
      </w:r>
      <w:r w:rsidRPr="00B11003">
        <w:rPr>
          <w:rFonts w:ascii="Times New Roman" w:hAnsi="Times New Roman" w:cs="Times New Roman"/>
          <w:lang w:val="fr-CH"/>
        </w:rPr>
        <w:t>, Bern</w:t>
      </w:r>
      <w:r w:rsidR="00466978" w:rsidRPr="00B11003">
        <w:rPr>
          <w:rFonts w:ascii="Times New Roman" w:hAnsi="Times New Roman" w:cs="Times New Roman"/>
          <w:lang w:val="fr-CH"/>
        </w:rPr>
        <w:t>e</w:t>
      </w:r>
      <w:r w:rsidR="00CB69D9" w:rsidRPr="00B11003">
        <w:rPr>
          <w:rFonts w:ascii="Times New Roman" w:hAnsi="Times New Roman" w:cs="Times New Roman"/>
          <w:lang w:val="fr-CH"/>
        </w:rPr>
        <w:t>,</w:t>
      </w:r>
      <w:r w:rsidR="00466978" w:rsidRPr="00B11003">
        <w:rPr>
          <w:rFonts w:ascii="Times New Roman" w:hAnsi="Times New Roman" w:cs="Times New Roman"/>
          <w:lang w:val="fr-CH"/>
        </w:rPr>
        <w:t xml:space="preserve"> </w:t>
      </w:r>
      <w:r w:rsidRPr="00B11003">
        <w:rPr>
          <w:rFonts w:ascii="Times New Roman" w:hAnsi="Times New Roman" w:cs="Times New Roman"/>
          <w:lang w:val="fr-CH"/>
        </w:rPr>
        <w:t>Stämpfli</w:t>
      </w:r>
      <w:r w:rsidR="00CB69D9" w:rsidRPr="00B11003">
        <w:rPr>
          <w:rFonts w:ascii="Times New Roman" w:hAnsi="Times New Roman" w:cs="Times New Roman"/>
          <w:lang w:val="fr-CH"/>
        </w:rPr>
        <w:t>,</w:t>
      </w:r>
      <w:r w:rsidRPr="00B11003">
        <w:rPr>
          <w:rFonts w:ascii="Times New Roman" w:hAnsi="Times New Roman" w:cs="Times New Roman"/>
          <w:lang w:val="fr-CH"/>
        </w:rPr>
        <w:t xml:space="preserve"> 2013, p. 301. </w:t>
      </w:r>
    </w:p>
  </w:footnote>
  <w:footnote w:id="116">
    <w:p w14:paraId="2FEE43C0" w14:textId="7160722A" w:rsidR="007025A1" w:rsidRPr="00B11003" w:rsidRDefault="007025A1" w:rsidP="00B11003">
      <w:pPr>
        <w:spacing w:line="240" w:lineRule="auto"/>
        <w:jc w:val="both"/>
        <w:rPr>
          <w:rFonts w:ascii="Times New Roman" w:eastAsia="Times New Roman" w:hAnsi="Times New Roman" w:cs="Times New Roman"/>
          <w:color w:val="000000"/>
          <w:sz w:val="20"/>
          <w:szCs w:val="20"/>
          <w:shd w:val="clear" w:color="auto" w:fill="FFFFFF"/>
          <w:lang w:val="fr-CH"/>
        </w:rPr>
      </w:pPr>
      <w:r w:rsidRPr="00B11003">
        <w:rPr>
          <w:rStyle w:val="Appelnotedebasdep"/>
          <w:rFonts w:ascii="Times New Roman" w:hAnsi="Times New Roman" w:cs="Times New Roman"/>
          <w:sz w:val="20"/>
          <w:szCs w:val="20"/>
        </w:rPr>
        <w:footnoteRef/>
      </w:r>
      <w:r w:rsidRPr="00B11003">
        <w:rPr>
          <w:rFonts w:ascii="Times New Roman" w:hAnsi="Times New Roman" w:cs="Times New Roman"/>
          <w:sz w:val="20"/>
          <w:szCs w:val="20"/>
          <w:lang w:val="fr-CH"/>
        </w:rPr>
        <w:t xml:space="preserve"> </w:t>
      </w:r>
      <w:r w:rsidR="00CB69D9" w:rsidRPr="00B11003">
        <w:rPr>
          <w:rFonts w:ascii="Times New Roman" w:eastAsia="Times New Roman" w:hAnsi="Times New Roman" w:cs="Times New Roman"/>
          <w:color w:val="000000"/>
          <w:sz w:val="20"/>
          <w:szCs w:val="20"/>
          <w:lang w:val="fr-CH"/>
        </w:rPr>
        <w:t>AGNU,</w:t>
      </w:r>
      <w:r w:rsidRPr="00B11003">
        <w:rPr>
          <w:rFonts w:ascii="Times New Roman" w:eastAsia="Times New Roman" w:hAnsi="Times New Roman" w:cs="Times New Roman"/>
          <w:color w:val="000000"/>
          <w:sz w:val="20"/>
          <w:szCs w:val="20"/>
          <w:shd w:val="clear" w:color="auto" w:fill="FFFFFF"/>
          <w:lang w:val="fr-CH"/>
        </w:rPr>
        <w:t> </w:t>
      </w:r>
      <w:r w:rsidR="00CB69D9" w:rsidRPr="00B11003">
        <w:rPr>
          <w:rFonts w:ascii="Times New Roman" w:eastAsia="Times New Roman" w:hAnsi="Times New Roman" w:cs="Times New Roman"/>
          <w:i/>
          <w:iCs/>
          <w:color w:val="000000"/>
          <w:sz w:val="20"/>
          <w:szCs w:val="20"/>
          <w:lang w:val="fr-CH"/>
        </w:rPr>
        <w:t>Rapport du Rapporteur spécial sur la torture et autres peines ou traitements cruels, inhumains ou dégradants</w:t>
      </w:r>
      <w:r w:rsidR="00CB69D9" w:rsidRPr="00B11003">
        <w:rPr>
          <w:rFonts w:ascii="Times New Roman" w:eastAsia="Times New Roman" w:hAnsi="Times New Roman" w:cs="Times New Roman"/>
          <w:color w:val="000000"/>
          <w:sz w:val="20"/>
          <w:szCs w:val="20"/>
          <w:lang w:val="fr-CH"/>
        </w:rPr>
        <w:t>, A/HRC/22/53, 1er février 2013,</w:t>
      </w:r>
      <w:r w:rsidRPr="00B11003">
        <w:rPr>
          <w:rFonts w:ascii="Times New Roman" w:eastAsia="Times New Roman" w:hAnsi="Times New Roman" w:cs="Times New Roman"/>
          <w:color w:val="000000"/>
          <w:sz w:val="20"/>
          <w:szCs w:val="20"/>
          <w:shd w:val="clear" w:color="auto" w:fill="FFFFFF"/>
          <w:lang w:val="fr-CH"/>
        </w:rPr>
        <w:t xml:space="preserve"> </w:t>
      </w:r>
      <w:r w:rsidR="00320ABF" w:rsidRPr="00B11003">
        <w:rPr>
          <w:rFonts w:ascii="Times New Roman" w:eastAsia="Times New Roman" w:hAnsi="Times New Roman" w:cs="Times New Roman"/>
          <w:color w:val="000000"/>
          <w:sz w:val="20"/>
          <w:szCs w:val="20"/>
          <w:shd w:val="clear" w:color="auto" w:fill="FFFFFF"/>
          <w:lang w:val="fr-CH"/>
        </w:rPr>
        <w:t>p. 21.</w:t>
      </w:r>
    </w:p>
  </w:footnote>
  <w:footnote w:id="117">
    <w:p w14:paraId="4AEE08EB" w14:textId="1963A6F9" w:rsidR="008D2719" w:rsidRPr="00B11003" w:rsidRDefault="008D2719" w:rsidP="00B11003">
      <w:pPr>
        <w:spacing w:line="240" w:lineRule="auto"/>
        <w:jc w:val="both"/>
        <w:rPr>
          <w:rFonts w:ascii="Times New Roman" w:eastAsia="Times New Roman" w:hAnsi="Times New Roman" w:cs="Times New Roman"/>
          <w:sz w:val="20"/>
          <w:szCs w:val="20"/>
          <w:lang w:val="fr-CH"/>
        </w:rPr>
      </w:pPr>
      <w:r w:rsidRPr="00B11003">
        <w:rPr>
          <w:rStyle w:val="Appelnotedebasdep"/>
          <w:rFonts w:ascii="Times New Roman" w:hAnsi="Times New Roman" w:cs="Times New Roman"/>
          <w:sz w:val="20"/>
          <w:szCs w:val="20"/>
        </w:rPr>
        <w:footnoteRef/>
      </w:r>
      <w:r w:rsidRPr="00B11003">
        <w:rPr>
          <w:rFonts w:ascii="Times New Roman" w:hAnsi="Times New Roman" w:cs="Times New Roman"/>
          <w:sz w:val="20"/>
          <w:szCs w:val="20"/>
        </w:rPr>
        <w:t xml:space="preserve"> </w:t>
      </w:r>
      <w:r w:rsidRPr="00B11003">
        <w:rPr>
          <w:rFonts w:ascii="Times New Roman" w:eastAsia="Times New Roman" w:hAnsi="Times New Roman" w:cs="Times New Roman"/>
          <w:color w:val="000000"/>
          <w:sz w:val="20"/>
          <w:szCs w:val="20"/>
          <w:shd w:val="clear" w:color="auto" w:fill="FFFFFF"/>
          <w:lang w:val="fr-CH"/>
        </w:rPr>
        <w:t>Art. 2 let. d al. 5 de la Loi fédérale du 30 septembre 2016 sur les mesures de coercition à des fins d'assistance et les placements extrafamiliaux antérieurs à 1981 (LMCFA).</w:t>
      </w:r>
    </w:p>
    <w:p w14:paraId="658DEC0C" w14:textId="28D8F0BF" w:rsidR="008D2719" w:rsidRPr="00B11003" w:rsidRDefault="008D2719" w:rsidP="00B11003">
      <w:pPr>
        <w:pStyle w:val="Notedebasdepage"/>
        <w:jc w:val="both"/>
        <w:rPr>
          <w:rFonts w:ascii="Times New Roman" w:hAnsi="Times New Roman" w:cs="Times New Roman"/>
          <w:lang w:val="fr-CH"/>
        </w:rPr>
      </w:pPr>
    </w:p>
  </w:footnote>
  <w:footnote w:id="118">
    <w:p w14:paraId="46B03732" w14:textId="548B4FFE" w:rsidR="00344118" w:rsidRPr="00B11003" w:rsidRDefault="00344118"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000E28E8" w:rsidRPr="00B11003">
        <w:rPr>
          <w:rFonts w:ascii="Times New Roman" w:hAnsi="Times New Roman" w:cs="Times New Roman"/>
          <w:lang w:val="fr-CH"/>
        </w:rPr>
        <w:t>Conseil fédéral,</w:t>
      </w:r>
      <w:r w:rsidR="000E28E8" w:rsidRPr="00B11003">
        <w:rPr>
          <w:rFonts w:ascii="Times New Roman" w:hAnsi="Times New Roman" w:cs="Times New Roman"/>
          <w:i/>
          <w:iCs/>
          <w:lang w:val="fr-CH"/>
        </w:rPr>
        <w:t xml:space="preserve"> Premier rapport du Gouvernement suisse sur la mise en œuvre de la CDPH</w:t>
      </w:r>
      <w:r w:rsidR="000E28E8" w:rsidRPr="00B11003">
        <w:rPr>
          <w:rFonts w:ascii="Times New Roman" w:hAnsi="Times New Roman" w:cs="Times New Roman"/>
          <w:lang w:val="fr-CH"/>
        </w:rPr>
        <w:t>, 29 juin 2016, par.</w:t>
      </w:r>
      <w:r w:rsidRPr="00B11003">
        <w:rPr>
          <w:rFonts w:ascii="Times New Roman" w:hAnsi="Times New Roman" w:cs="Times New Roman"/>
          <w:lang w:val="fr-CH"/>
        </w:rPr>
        <w:t> 88.</w:t>
      </w:r>
    </w:p>
  </w:footnote>
  <w:footnote w:id="119">
    <w:p w14:paraId="7E49AFF4" w14:textId="1E2C335F" w:rsidR="00045519" w:rsidRPr="006260B3" w:rsidRDefault="00045519" w:rsidP="00B11003">
      <w:pPr>
        <w:pStyle w:val="Notedebasdepage"/>
        <w:jc w:val="both"/>
        <w:rPr>
          <w:rFonts w:ascii="Times New Roman" w:hAnsi="Times New Roman" w:cs="Times New Roman"/>
          <w:color w:val="FF0000"/>
          <w:lang w:val="de-CH"/>
        </w:rPr>
      </w:pPr>
      <w:r w:rsidRPr="00B11003">
        <w:rPr>
          <w:rStyle w:val="Appelnotedebasdep"/>
          <w:rFonts w:ascii="Times New Roman" w:hAnsi="Times New Roman" w:cs="Times New Roman"/>
          <w:color w:val="000000" w:themeColor="text1"/>
        </w:rPr>
        <w:footnoteRef/>
      </w:r>
      <w:r w:rsidRPr="006260B3">
        <w:rPr>
          <w:rFonts w:ascii="Times New Roman" w:hAnsi="Times New Roman" w:cs="Times New Roman"/>
          <w:color w:val="000000" w:themeColor="text1"/>
          <w:lang w:val="de-CH"/>
        </w:rPr>
        <w:t xml:space="preserve"> Voir</w:t>
      </w:r>
      <w:r w:rsidR="006260B3" w:rsidRPr="006260B3">
        <w:rPr>
          <w:rFonts w:ascii="Times New Roman" w:hAnsi="Times New Roman" w:cs="Times New Roman"/>
          <w:color w:val="000000" w:themeColor="text1"/>
          <w:lang w:val="de-CH"/>
        </w:rPr>
        <w:t xml:space="preserve"> </w:t>
      </w:r>
      <w:r w:rsidR="00137010" w:rsidRPr="006260B3">
        <w:rPr>
          <w:rFonts w:ascii="Times New Roman" w:hAnsi="Times New Roman" w:cs="Times New Roman"/>
          <w:color w:val="000000" w:themeColor="text1"/>
          <w:lang w:val="de-CH"/>
        </w:rPr>
        <w:t xml:space="preserve">: </w:t>
      </w:r>
      <w:r w:rsidRPr="006260B3">
        <w:rPr>
          <w:rFonts w:ascii="Times New Roman" w:hAnsi="Times New Roman" w:cs="Times New Roman"/>
          <w:color w:val="000000" w:themeColor="text1"/>
          <w:lang w:val="de-CH"/>
        </w:rPr>
        <w:t xml:space="preserve">Obergericht </w:t>
      </w:r>
      <w:r w:rsidR="00137010" w:rsidRPr="006260B3">
        <w:rPr>
          <w:rFonts w:ascii="Times New Roman" w:hAnsi="Times New Roman" w:cs="Times New Roman"/>
          <w:color w:val="000000" w:themeColor="text1"/>
          <w:lang w:val="de-CH"/>
        </w:rPr>
        <w:t>Zurich,</w:t>
      </w:r>
      <w:r w:rsidRPr="006260B3">
        <w:rPr>
          <w:rFonts w:ascii="Times New Roman" w:hAnsi="Times New Roman" w:cs="Times New Roman"/>
          <w:color w:val="000000" w:themeColor="text1"/>
          <w:lang w:val="de-CH"/>
        </w:rPr>
        <w:t xml:space="preserve"> ZR 107/2008</w:t>
      </w:r>
      <w:r w:rsidR="000E28E8" w:rsidRPr="006260B3">
        <w:rPr>
          <w:rFonts w:ascii="Times New Roman" w:hAnsi="Times New Roman" w:cs="Times New Roman"/>
          <w:color w:val="000000" w:themeColor="text1"/>
          <w:lang w:val="de-CH"/>
        </w:rPr>
        <w:t>,</w:t>
      </w:r>
      <w:r w:rsidR="00137010" w:rsidRPr="006260B3">
        <w:rPr>
          <w:rFonts w:ascii="Times New Roman" w:hAnsi="Times New Roman" w:cs="Times New Roman"/>
          <w:color w:val="000000" w:themeColor="text1"/>
          <w:lang w:val="de-CH"/>
        </w:rPr>
        <w:t xml:space="preserve"> 26 mars 2008, </w:t>
      </w:r>
      <w:r w:rsidRPr="006260B3">
        <w:rPr>
          <w:rFonts w:ascii="Times New Roman" w:hAnsi="Times New Roman" w:cs="Times New Roman"/>
          <w:color w:val="000000" w:themeColor="text1"/>
          <w:lang w:val="de-CH"/>
        </w:rPr>
        <w:t>p. 112.</w:t>
      </w:r>
    </w:p>
  </w:footnote>
  <w:footnote w:id="120">
    <w:p w14:paraId="5EE9B097" w14:textId="42428FC6" w:rsidR="0067251C" w:rsidRPr="00B11003" w:rsidRDefault="0067251C" w:rsidP="00B11003">
      <w:pPr>
        <w:pStyle w:val="Notedebasdepage"/>
        <w:jc w:val="both"/>
        <w:rPr>
          <w:rFonts w:ascii="Times New Roman" w:hAnsi="Times New Roman" w:cs="Times New Roman"/>
          <w:color w:val="000000" w:themeColor="text1"/>
          <w:lang w:val="fr-CH"/>
        </w:rPr>
      </w:pPr>
      <w:r w:rsidRPr="00B11003">
        <w:rPr>
          <w:rStyle w:val="Appelnotedebasdep"/>
          <w:rFonts w:ascii="Times New Roman" w:hAnsi="Times New Roman" w:cs="Times New Roman"/>
          <w:color w:val="000000" w:themeColor="text1"/>
        </w:rPr>
        <w:footnoteRef/>
      </w:r>
      <w:r w:rsidRPr="00B11003">
        <w:rPr>
          <w:rFonts w:ascii="Times New Roman" w:hAnsi="Times New Roman" w:cs="Times New Roman"/>
          <w:color w:val="000000" w:themeColor="text1"/>
        </w:rPr>
        <w:t xml:space="preserve"> </w:t>
      </w:r>
      <w:r w:rsidR="00137010" w:rsidRPr="00B11003">
        <w:rPr>
          <w:rFonts w:ascii="Times New Roman" w:hAnsi="Times New Roman" w:cs="Times New Roman"/>
          <w:color w:val="000000" w:themeColor="text1"/>
        </w:rPr>
        <w:t xml:space="preserve">Parlement suisse, </w:t>
      </w:r>
      <w:r w:rsidR="00137010" w:rsidRPr="00B11003">
        <w:rPr>
          <w:rFonts w:ascii="Times New Roman" w:hAnsi="Times New Roman" w:cs="Times New Roman"/>
          <w:i/>
          <w:iCs/>
          <w:color w:val="000000" w:themeColor="text1"/>
        </w:rPr>
        <w:t>Interpellation 20.4386 de Laurence Fehlmann Rielle</w:t>
      </w:r>
      <w:r w:rsidR="00137010" w:rsidRPr="00B11003">
        <w:rPr>
          <w:rFonts w:ascii="Times New Roman" w:hAnsi="Times New Roman" w:cs="Times New Roman"/>
          <w:color w:val="000000" w:themeColor="text1"/>
        </w:rPr>
        <w:t xml:space="preserve"> : </w:t>
      </w:r>
      <w:r w:rsidR="00137010" w:rsidRPr="00B11003">
        <w:rPr>
          <w:rFonts w:ascii="Times New Roman" w:hAnsi="Times New Roman" w:cs="Times New Roman"/>
          <w:i/>
          <w:iCs/>
          <w:color w:val="000000" w:themeColor="text1"/>
        </w:rPr>
        <w:t>Stérilisation de femmes avec déficiences mentales. Etat des lieux</w:t>
      </w:r>
      <w:r w:rsidR="00137010" w:rsidRPr="00B11003">
        <w:rPr>
          <w:rFonts w:ascii="Times New Roman" w:hAnsi="Times New Roman" w:cs="Times New Roman"/>
          <w:color w:val="000000" w:themeColor="text1"/>
        </w:rPr>
        <w:t xml:space="preserve">, 2 décembre 2020 </w:t>
      </w:r>
      <w:r w:rsidR="00137010" w:rsidRPr="00B11003">
        <w:rPr>
          <w:rFonts w:ascii="Times New Roman" w:hAnsi="Times New Roman" w:cs="Times New Roman"/>
        </w:rPr>
        <w:t>[</w:t>
      </w:r>
      <w:hyperlink r:id="rId12" w:history="1">
        <w:r w:rsidR="00137010" w:rsidRPr="00B11003">
          <w:rPr>
            <w:rStyle w:val="Lienhypertexte"/>
            <w:rFonts w:ascii="Times New Roman" w:hAnsi="Times New Roman" w:cs="Times New Roman"/>
          </w:rPr>
          <w:t>https://www.parlament.ch/fr/ratsbetrieb/suche-curia-vista/geschaeft?AffairId=20204386</w:t>
        </w:r>
      </w:hyperlink>
      <w:r w:rsidR="00137010" w:rsidRPr="00B11003">
        <w:rPr>
          <w:rFonts w:ascii="Times New Roman" w:hAnsi="Times New Roman" w:cs="Times New Roman"/>
          <w:lang w:val="fr-FR"/>
        </w:rPr>
        <w:t>].</w:t>
      </w:r>
    </w:p>
  </w:footnote>
  <w:footnote w:id="121">
    <w:p w14:paraId="1B2AA82C" w14:textId="0E927EC4" w:rsidR="001B7BB1" w:rsidRPr="00B11003" w:rsidRDefault="001B7BB1"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color w:val="000000" w:themeColor="text1"/>
        </w:rPr>
        <w:footnoteRef/>
      </w:r>
      <w:r w:rsidR="00C056EA" w:rsidRPr="00B11003">
        <w:rPr>
          <w:rFonts w:ascii="Times New Roman" w:hAnsi="Times New Roman" w:cs="Times New Roman"/>
          <w:color w:val="000000" w:themeColor="text1"/>
        </w:rPr>
        <w:t xml:space="preserve"> </w:t>
      </w:r>
      <w:r w:rsidR="00137010" w:rsidRPr="00B11003">
        <w:rPr>
          <w:rFonts w:ascii="Times New Roman" w:hAnsi="Times New Roman" w:cs="Times New Roman"/>
          <w:color w:val="000000" w:themeColor="text1"/>
        </w:rPr>
        <w:t xml:space="preserve">Parlement suisse, </w:t>
      </w:r>
      <w:r w:rsidR="00137010" w:rsidRPr="00B11003">
        <w:rPr>
          <w:rFonts w:ascii="Times New Roman" w:hAnsi="Times New Roman" w:cs="Times New Roman"/>
          <w:i/>
          <w:iCs/>
          <w:color w:val="000000" w:themeColor="text1"/>
        </w:rPr>
        <w:t>Avis du Conseil fédéral sur l’interpellation 20.4386 de Laurence Fehlmann Rielle</w:t>
      </w:r>
      <w:r w:rsidR="00137010" w:rsidRPr="00B11003">
        <w:rPr>
          <w:rFonts w:ascii="Times New Roman" w:hAnsi="Times New Roman" w:cs="Times New Roman"/>
          <w:color w:val="000000" w:themeColor="text1"/>
        </w:rPr>
        <w:t xml:space="preserve"> : </w:t>
      </w:r>
      <w:r w:rsidR="00137010" w:rsidRPr="00B11003">
        <w:rPr>
          <w:rFonts w:ascii="Times New Roman" w:hAnsi="Times New Roman" w:cs="Times New Roman"/>
          <w:i/>
          <w:iCs/>
          <w:color w:val="000000" w:themeColor="text1"/>
        </w:rPr>
        <w:t>Stérilisation de femmes avec déficiences mentales. Etat des lieux</w:t>
      </w:r>
      <w:r w:rsidR="00137010" w:rsidRPr="00B11003">
        <w:rPr>
          <w:rFonts w:ascii="Times New Roman" w:hAnsi="Times New Roman" w:cs="Times New Roman"/>
          <w:color w:val="000000" w:themeColor="text1"/>
        </w:rPr>
        <w:t>, 26 mai 2021</w:t>
      </w:r>
      <w:r w:rsidR="00E83889" w:rsidRPr="00B11003">
        <w:rPr>
          <w:rFonts w:ascii="Times New Roman" w:hAnsi="Times New Roman" w:cs="Times New Roman"/>
          <w:color w:val="000000" w:themeColor="text1"/>
        </w:rPr>
        <w:t xml:space="preserve"> </w:t>
      </w:r>
      <w:r w:rsidR="00E83889" w:rsidRPr="00B11003">
        <w:rPr>
          <w:rFonts w:ascii="Times New Roman" w:hAnsi="Times New Roman" w:cs="Times New Roman"/>
        </w:rPr>
        <w:t>[</w:t>
      </w:r>
      <w:hyperlink r:id="rId13" w:history="1">
        <w:r w:rsidR="00E83889" w:rsidRPr="00B11003">
          <w:rPr>
            <w:rStyle w:val="Lienhypertexte"/>
            <w:rFonts w:ascii="Times New Roman" w:hAnsi="Times New Roman" w:cs="Times New Roman"/>
          </w:rPr>
          <w:t>https://www.parlament.ch/fr/ratsbetrieb/suche-curia-vista/geschaeft?AffairId=20204386</w:t>
        </w:r>
      </w:hyperlink>
      <w:r w:rsidR="00E83889" w:rsidRPr="00B11003">
        <w:rPr>
          <w:rFonts w:ascii="Times New Roman" w:hAnsi="Times New Roman" w:cs="Times New Roman"/>
          <w:lang w:val="fr-FR"/>
        </w:rPr>
        <w:t>].</w:t>
      </w:r>
    </w:p>
  </w:footnote>
  <w:footnote w:id="122">
    <w:p w14:paraId="2B6C6534" w14:textId="52ECEDF4" w:rsidR="00790F70" w:rsidRPr="00B11003" w:rsidRDefault="00790F70" w:rsidP="001B2860">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D’autres questions, non moins importantes, concernent par exemple l’interprétation conforme à la CDPH de la notion de réfugié</w:t>
      </w:r>
      <w:r w:rsidR="001B2860">
        <w:rPr>
          <w:rFonts w:ascii="Times New Roman" w:hAnsi="Times New Roman" w:cs="Times New Roman"/>
          <w:smallCaps/>
          <w:lang w:val="fr-CH"/>
        </w:rPr>
        <w:t>-</w:t>
      </w:r>
      <w:r w:rsidRPr="00B11003">
        <w:rPr>
          <w:rFonts w:ascii="Times New Roman" w:hAnsi="Times New Roman" w:cs="Times New Roman"/>
          <w:lang w:val="fr-CH"/>
        </w:rPr>
        <w:t>e ou encore la prise en compte de vulnérabilité particulières liées à un handicap dans le cadre de l’application du principe de non-refoulement.</w:t>
      </w:r>
    </w:p>
  </w:footnote>
  <w:footnote w:id="123">
    <w:p w14:paraId="78734EE8" w14:textId="77777777" w:rsidR="00790F70" w:rsidRPr="00B11003" w:rsidRDefault="00790F70" w:rsidP="001B2860">
      <w:pPr>
        <w:pStyle w:val="Notedebasdepage"/>
        <w:jc w:val="both"/>
        <w:rPr>
          <w:rFonts w:ascii="Times New Roman" w:hAnsi="Times New Roman" w:cs="Times New Roman"/>
          <w:lang w:val="de-CH"/>
        </w:rPr>
      </w:pPr>
      <w:r w:rsidRPr="00B11003">
        <w:rPr>
          <w:rStyle w:val="Appelnotedebasdep"/>
          <w:rFonts w:ascii="Times New Roman" w:hAnsi="Times New Roman" w:cs="Times New Roman"/>
        </w:rPr>
        <w:footnoteRef/>
      </w:r>
      <w:r w:rsidRPr="00B11003">
        <w:rPr>
          <w:rFonts w:ascii="Times New Roman" w:hAnsi="Times New Roman" w:cs="Times New Roman"/>
          <w:lang w:val="de-CH"/>
        </w:rPr>
        <w:t xml:space="preserve"> Art. 62 et 63 LEI.</w:t>
      </w:r>
    </w:p>
  </w:footnote>
  <w:footnote w:id="124">
    <w:p w14:paraId="7AA7245F" w14:textId="77777777" w:rsidR="00790F70" w:rsidRPr="00B11003" w:rsidRDefault="00790F70" w:rsidP="001B2860">
      <w:pPr>
        <w:pStyle w:val="Notedebasdepage"/>
        <w:jc w:val="both"/>
        <w:rPr>
          <w:rFonts w:ascii="Times New Roman" w:hAnsi="Times New Roman" w:cs="Times New Roman"/>
          <w:lang w:val="de-CH"/>
        </w:rPr>
      </w:pPr>
      <w:r w:rsidRPr="00B11003">
        <w:rPr>
          <w:rStyle w:val="Appelnotedebasdep"/>
          <w:rFonts w:ascii="Times New Roman" w:hAnsi="Times New Roman" w:cs="Times New Roman"/>
        </w:rPr>
        <w:footnoteRef/>
      </w:r>
      <w:r w:rsidRPr="00B11003">
        <w:rPr>
          <w:rFonts w:ascii="Times New Roman" w:hAnsi="Times New Roman" w:cs="Times New Roman"/>
          <w:lang w:val="de-CH"/>
        </w:rPr>
        <w:t xml:space="preserve"> Art. 12 LN.</w:t>
      </w:r>
    </w:p>
  </w:footnote>
  <w:footnote w:id="125">
    <w:p w14:paraId="792B47B8" w14:textId="77777777" w:rsidR="00790F70" w:rsidRPr="00B11003" w:rsidRDefault="00790F70" w:rsidP="001B2860">
      <w:pPr>
        <w:pStyle w:val="Notedebasdepage"/>
        <w:tabs>
          <w:tab w:val="left" w:pos="2832"/>
        </w:tabs>
        <w:jc w:val="both"/>
        <w:rPr>
          <w:rFonts w:ascii="Times New Roman" w:hAnsi="Times New Roman" w:cs="Times New Roman"/>
          <w:lang w:val="en-US"/>
        </w:rPr>
      </w:pPr>
      <w:r w:rsidRPr="00B11003">
        <w:rPr>
          <w:rStyle w:val="Appelnotedebasdep"/>
          <w:rFonts w:ascii="Times New Roman" w:hAnsi="Times New Roman" w:cs="Times New Roman"/>
        </w:rPr>
        <w:footnoteRef/>
      </w:r>
      <w:r w:rsidRPr="00B11003">
        <w:rPr>
          <w:rFonts w:ascii="Times New Roman" w:hAnsi="Times New Roman" w:cs="Times New Roman"/>
          <w:lang w:val="en-US"/>
        </w:rPr>
        <w:t xml:space="preserve"> Art. 58a al. 1 let. c LEI ; art. 12 al. 1 let. c LN.</w:t>
      </w:r>
      <w:r w:rsidRPr="00B11003">
        <w:rPr>
          <w:rFonts w:ascii="Times New Roman" w:hAnsi="Times New Roman" w:cs="Times New Roman"/>
          <w:lang w:val="en-US"/>
        </w:rPr>
        <w:tab/>
      </w:r>
    </w:p>
  </w:footnote>
  <w:footnote w:id="126">
    <w:p w14:paraId="0C6B5DC0" w14:textId="77777777" w:rsidR="00790F70" w:rsidRPr="00B11003" w:rsidRDefault="00790F70" w:rsidP="001B2860">
      <w:pPr>
        <w:pStyle w:val="Notedebasdepage"/>
        <w:jc w:val="both"/>
        <w:rPr>
          <w:rFonts w:ascii="Times New Roman" w:hAnsi="Times New Roman" w:cs="Times New Roman"/>
          <w:lang w:val="en-US"/>
        </w:rPr>
      </w:pPr>
      <w:r w:rsidRPr="00B11003">
        <w:rPr>
          <w:rStyle w:val="Appelnotedebasdep"/>
          <w:rFonts w:ascii="Times New Roman" w:hAnsi="Times New Roman" w:cs="Times New Roman"/>
        </w:rPr>
        <w:footnoteRef/>
      </w:r>
      <w:r w:rsidRPr="00B11003">
        <w:rPr>
          <w:rFonts w:ascii="Times New Roman" w:hAnsi="Times New Roman" w:cs="Times New Roman"/>
          <w:lang w:val="en-US"/>
        </w:rPr>
        <w:t xml:space="preserve"> </w:t>
      </w:r>
      <w:r w:rsidRPr="00B11003">
        <w:rPr>
          <w:rFonts w:ascii="Times New Roman" w:eastAsiaTheme="majorEastAsia" w:hAnsi="Times New Roman" w:cs="Times New Roman"/>
          <w:lang w:val="en-US"/>
        </w:rPr>
        <w:t>Art. 58a al. 2LEI et 12 al. 2 LN ; art. 77f let. a OASA et 9 let. a OLN.</w:t>
      </w:r>
    </w:p>
  </w:footnote>
  <w:footnote w:id="127">
    <w:p w14:paraId="0DF844A0" w14:textId="77777777" w:rsidR="00790F70" w:rsidRPr="00B11003" w:rsidRDefault="00790F70" w:rsidP="001B2860">
      <w:pPr>
        <w:pStyle w:val="Notedebasdepage"/>
        <w:jc w:val="both"/>
        <w:rPr>
          <w:rFonts w:ascii="Times New Roman" w:hAnsi="Times New Roman" w:cs="Times New Roman"/>
          <w:lang w:val="en-US"/>
        </w:rPr>
      </w:pPr>
      <w:r w:rsidRPr="00B11003">
        <w:rPr>
          <w:rStyle w:val="Appelnotedebasdep"/>
          <w:rFonts w:ascii="Times New Roman" w:hAnsi="Times New Roman" w:cs="Times New Roman"/>
        </w:rPr>
        <w:footnoteRef/>
      </w:r>
      <w:r w:rsidRPr="00B11003">
        <w:rPr>
          <w:rFonts w:ascii="Times New Roman" w:hAnsi="Times New Roman" w:cs="Times New Roman"/>
          <w:lang w:val="en-US"/>
        </w:rPr>
        <w:t xml:space="preserve"> ATF 135 I 49, consid. 4 ss ; FF 2011 2639, 2664.</w:t>
      </w:r>
    </w:p>
  </w:footnote>
  <w:footnote w:id="128">
    <w:p w14:paraId="6AB89AE9" w14:textId="6B0E5C0D" w:rsidR="00790F70" w:rsidRPr="00B11003" w:rsidRDefault="00790F70" w:rsidP="001B2860">
      <w:pPr>
        <w:pStyle w:val="Notedebasdepage"/>
        <w:jc w:val="both"/>
        <w:rPr>
          <w:rFonts w:ascii="Times New Roman" w:hAnsi="Times New Roman" w:cs="Times New Roman"/>
          <w:lang w:val="de-CH"/>
        </w:rPr>
      </w:pPr>
      <w:r w:rsidRPr="00B11003">
        <w:rPr>
          <w:rStyle w:val="Appelnotedebasdep"/>
          <w:rFonts w:ascii="Times New Roman" w:hAnsi="Times New Roman" w:cs="Times New Roman"/>
        </w:rPr>
        <w:footnoteRef/>
      </w:r>
      <w:r w:rsidRPr="00B11003">
        <w:rPr>
          <w:rFonts w:ascii="Times New Roman" w:hAnsi="Times New Roman" w:cs="Times New Roman"/>
          <w:lang w:val="de-CH"/>
        </w:rPr>
        <w:t xml:space="preserve"> Voir p</w:t>
      </w:r>
      <w:r w:rsidR="001B2860">
        <w:rPr>
          <w:rFonts w:ascii="Times New Roman" w:hAnsi="Times New Roman" w:cs="Times New Roman"/>
          <w:lang w:val="de-CH"/>
        </w:rPr>
        <w:t>ar exemple</w:t>
      </w:r>
      <w:r w:rsidRPr="00B11003">
        <w:rPr>
          <w:rFonts w:ascii="Times New Roman" w:hAnsi="Times New Roman" w:cs="Times New Roman"/>
          <w:lang w:val="de-CH"/>
        </w:rPr>
        <w:t xml:space="preserve"> le cas présenté par </w:t>
      </w:r>
      <w:r w:rsidRPr="00B11003">
        <w:rPr>
          <w:rFonts w:ascii="Times New Roman" w:hAnsi="Times New Roman" w:cs="Times New Roman"/>
          <w:smallCaps/>
          <w:lang w:val="de-CH"/>
        </w:rPr>
        <w:t>Spescha</w:t>
      </w:r>
      <w:r w:rsidRPr="00B11003">
        <w:rPr>
          <w:rFonts w:ascii="Times New Roman" w:hAnsi="Times New Roman" w:cs="Times New Roman"/>
          <w:lang w:val="de-CH"/>
        </w:rPr>
        <w:t xml:space="preserve"> </w:t>
      </w:r>
      <w:r w:rsidR="001B2860">
        <w:rPr>
          <w:rFonts w:ascii="Times New Roman" w:hAnsi="Times New Roman" w:cs="Times New Roman"/>
          <w:lang w:val="de-CH"/>
        </w:rPr>
        <w:t xml:space="preserve">Marc, </w:t>
      </w:r>
      <w:r w:rsidRPr="00B11003">
        <w:rPr>
          <w:rFonts w:ascii="Times New Roman" w:hAnsi="Times New Roman" w:cs="Times New Roman"/>
          <w:lang w:val="de-CH"/>
        </w:rPr>
        <w:t>Ausländische Sozialhilfebeziehende im Fokus</w:t>
      </w:r>
      <w:r w:rsidR="001B2860">
        <w:rPr>
          <w:rFonts w:ascii="Times New Roman" w:hAnsi="Times New Roman" w:cs="Times New Roman"/>
          <w:lang w:val="de-CH"/>
        </w:rPr>
        <w:t xml:space="preserve"> </w:t>
      </w:r>
      <w:r w:rsidRPr="00B11003">
        <w:rPr>
          <w:rFonts w:ascii="Times New Roman" w:hAnsi="Times New Roman" w:cs="Times New Roman"/>
          <w:lang w:val="de-CH"/>
        </w:rPr>
        <w:t xml:space="preserve">der Migrationsbehörde. Unfaire Sanktionspraxis als Folge des meritokratischen Irrglaubens, </w:t>
      </w:r>
      <w:r w:rsidRPr="00B11003">
        <w:rPr>
          <w:rFonts w:ascii="Times New Roman" w:hAnsi="Times New Roman" w:cs="Times New Roman"/>
          <w:i/>
          <w:iCs/>
          <w:lang w:val="de-CH"/>
        </w:rPr>
        <w:t>Jusletter</w:t>
      </w:r>
      <w:r w:rsidRPr="00B11003">
        <w:rPr>
          <w:rFonts w:ascii="Times New Roman" w:hAnsi="Times New Roman" w:cs="Times New Roman"/>
          <w:lang w:val="de-CH"/>
        </w:rPr>
        <w:t>, 8 mars 2021, pp. 18-20.</w:t>
      </w:r>
    </w:p>
  </w:footnote>
  <w:footnote w:id="129">
    <w:p w14:paraId="471BDD39" w14:textId="2107A059" w:rsidR="00790F70" w:rsidRPr="00B11003" w:rsidRDefault="00790F70" w:rsidP="001B2860">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w:t>
      </w:r>
      <w:r w:rsidRPr="00B11003">
        <w:rPr>
          <w:rFonts w:ascii="Times New Roman" w:hAnsi="Times New Roman" w:cs="Times New Roman"/>
          <w:lang w:val="fr-CH"/>
        </w:rPr>
        <w:t>Voir p</w:t>
      </w:r>
      <w:r w:rsidR="001B2860">
        <w:rPr>
          <w:rFonts w:ascii="Times New Roman" w:hAnsi="Times New Roman" w:cs="Times New Roman"/>
          <w:lang w:val="fr-CH"/>
        </w:rPr>
        <w:t>ar</w:t>
      </w:r>
      <w:r w:rsidRPr="00B11003">
        <w:rPr>
          <w:rFonts w:ascii="Times New Roman" w:hAnsi="Times New Roman" w:cs="Times New Roman"/>
          <w:lang w:val="fr-CH"/>
        </w:rPr>
        <w:t> ex</w:t>
      </w:r>
      <w:r w:rsidR="001B2860">
        <w:rPr>
          <w:rFonts w:ascii="Times New Roman" w:hAnsi="Times New Roman" w:cs="Times New Roman"/>
          <w:lang w:val="fr-CH"/>
        </w:rPr>
        <w:t>emple</w:t>
      </w:r>
      <w:r w:rsidRPr="00B11003">
        <w:rPr>
          <w:rFonts w:ascii="Times New Roman" w:hAnsi="Times New Roman" w:cs="Times New Roman"/>
          <w:lang w:val="fr-CH"/>
        </w:rPr>
        <w:t xml:space="preserve"> TAF F-6710/2019</w:t>
      </w:r>
      <w:r w:rsidR="001B2860">
        <w:rPr>
          <w:rFonts w:ascii="Times New Roman" w:hAnsi="Times New Roman" w:cs="Times New Roman"/>
          <w:lang w:val="fr-CH"/>
        </w:rPr>
        <w:t>,</w:t>
      </w:r>
      <w:r w:rsidRPr="00B11003">
        <w:rPr>
          <w:rFonts w:ascii="Times New Roman" w:hAnsi="Times New Roman" w:cs="Times New Roman"/>
          <w:lang w:val="fr-CH"/>
        </w:rPr>
        <w:t xml:space="preserve"> 6.09.2020.</w:t>
      </w:r>
    </w:p>
  </w:footnote>
  <w:footnote w:id="130">
    <w:p w14:paraId="1302A1DC" w14:textId="68A096CB" w:rsidR="00790F70" w:rsidRPr="00B11003" w:rsidRDefault="00790F70" w:rsidP="001B2860">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 xml:space="preserve">Voir </w:t>
      </w:r>
      <w:r w:rsidR="001B2860">
        <w:rPr>
          <w:rFonts w:ascii="Times New Roman" w:hAnsi="Times New Roman" w:cs="Times New Roman"/>
          <w:lang w:val="fr-CH"/>
        </w:rPr>
        <w:t>par exemple</w:t>
      </w:r>
      <w:r w:rsidRPr="00B11003">
        <w:rPr>
          <w:rFonts w:ascii="Times New Roman" w:hAnsi="Times New Roman" w:cs="Times New Roman"/>
          <w:lang w:val="fr-CH"/>
        </w:rPr>
        <w:t xml:space="preserve"> VB.2020.00343</w:t>
      </w:r>
      <w:r w:rsidR="001B2860">
        <w:rPr>
          <w:rFonts w:ascii="Times New Roman" w:hAnsi="Times New Roman" w:cs="Times New Roman"/>
          <w:lang w:val="fr-CH"/>
        </w:rPr>
        <w:t>,</w:t>
      </w:r>
      <w:r w:rsidRPr="00B11003">
        <w:rPr>
          <w:rFonts w:ascii="Times New Roman" w:hAnsi="Times New Roman" w:cs="Times New Roman"/>
          <w:lang w:val="fr-CH"/>
        </w:rPr>
        <w:t xml:space="preserve"> 3 décembre 2020.</w:t>
      </w:r>
    </w:p>
  </w:footnote>
  <w:footnote w:id="131">
    <w:p w14:paraId="670839B4" w14:textId="77777777" w:rsidR="00790F70" w:rsidRPr="00B11003" w:rsidRDefault="00790F70"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Voir aussi Rapport alternatif Inclusion Handicap, p. 85.</w:t>
      </w:r>
    </w:p>
  </w:footnote>
  <w:footnote w:id="132">
    <w:p w14:paraId="419AA4DA" w14:textId="77777777" w:rsidR="00790F70" w:rsidRPr="001B2860" w:rsidRDefault="00790F70" w:rsidP="00B11003">
      <w:pPr>
        <w:spacing w:line="240" w:lineRule="auto"/>
        <w:jc w:val="both"/>
        <w:rPr>
          <w:rFonts w:ascii="Times New Roman" w:hAnsi="Times New Roman" w:cs="Times New Roman"/>
          <w:sz w:val="20"/>
          <w:szCs w:val="20"/>
          <w:lang w:val="de-CH"/>
        </w:rPr>
      </w:pPr>
      <w:r w:rsidRPr="00B11003">
        <w:rPr>
          <w:rStyle w:val="Appelnotedebasdep"/>
          <w:rFonts w:ascii="Times New Roman" w:hAnsi="Times New Roman" w:cs="Times New Roman"/>
          <w:sz w:val="20"/>
          <w:szCs w:val="20"/>
        </w:rPr>
        <w:footnoteRef/>
      </w:r>
      <w:r w:rsidRPr="001B2860">
        <w:rPr>
          <w:rFonts w:ascii="Times New Roman" w:hAnsi="Times New Roman" w:cs="Times New Roman"/>
          <w:sz w:val="20"/>
          <w:szCs w:val="20"/>
          <w:lang w:val="de-CH"/>
        </w:rPr>
        <w:t xml:space="preserve"> FF 2017 6521.</w:t>
      </w:r>
    </w:p>
  </w:footnote>
  <w:footnote w:id="133">
    <w:p w14:paraId="3E142D83" w14:textId="41F504ED" w:rsidR="008D1376" w:rsidRPr="00B11003" w:rsidRDefault="008D1376" w:rsidP="00B11003">
      <w:pPr>
        <w:spacing w:line="240" w:lineRule="auto"/>
        <w:jc w:val="both"/>
        <w:rPr>
          <w:rFonts w:ascii="Times New Roman" w:hAnsi="Times New Roman" w:cs="Times New Roman"/>
          <w:sz w:val="20"/>
          <w:szCs w:val="20"/>
          <w:lang w:val="de-CH"/>
        </w:rPr>
      </w:pPr>
      <w:r w:rsidRPr="00B11003">
        <w:rPr>
          <w:rStyle w:val="Appelnotedebasdep"/>
          <w:rFonts w:ascii="Times New Roman" w:hAnsi="Times New Roman" w:cs="Times New Roman"/>
          <w:sz w:val="20"/>
          <w:szCs w:val="20"/>
        </w:rPr>
        <w:footnoteRef/>
      </w:r>
      <w:r w:rsidRPr="00B11003">
        <w:rPr>
          <w:rFonts w:ascii="Times New Roman" w:hAnsi="Times New Roman" w:cs="Times New Roman"/>
          <w:sz w:val="20"/>
          <w:szCs w:val="20"/>
          <w:lang w:val="de-CH"/>
        </w:rPr>
        <w:t xml:space="preserve"> </w:t>
      </w:r>
      <w:r w:rsidRPr="00B11003">
        <w:rPr>
          <w:rFonts w:ascii="Times New Roman" w:hAnsi="Times New Roman" w:cs="Times New Roman"/>
          <w:smallCaps/>
          <w:sz w:val="20"/>
          <w:szCs w:val="20"/>
          <w:lang w:val="de-CH"/>
        </w:rPr>
        <w:t>Hongler</w:t>
      </w:r>
      <w:r w:rsidR="001B2860">
        <w:rPr>
          <w:rFonts w:ascii="Times New Roman" w:hAnsi="Times New Roman" w:cs="Times New Roman"/>
          <w:sz w:val="20"/>
          <w:szCs w:val="20"/>
          <w:lang w:val="de-CH"/>
        </w:rPr>
        <w:t xml:space="preserve"> David,</w:t>
      </w:r>
      <w:r w:rsidRPr="00B11003">
        <w:rPr>
          <w:rFonts w:ascii="Times New Roman" w:hAnsi="Times New Roman" w:cs="Times New Roman"/>
          <w:sz w:val="20"/>
          <w:szCs w:val="20"/>
          <w:lang w:val="de-CH"/>
        </w:rPr>
        <w:t xml:space="preserve"> Ergänzungsleistungen und der ausländerrechtliche Familiennachzug. Jenseits der Grenzen des Diskriminierungsverbots ?, </w:t>
      </w:r>
      <w:r w:rsidRPr="00B11003">
        <w:rPr>
          <w:rFonts w:ascii="Times New Roman" w:hAnsi="Times New Roman" w:cs="Times New Roman"/>
          <w:i/>
          <w:iCs/>
          <w:sz w:val="20"/>
          <w:szCs w:val="20"/>
          <w:lang w:val="de-CH"/>
        </w:rPr>
        <w:t>Jusletter</w:t>
      </w:r>
      <w:r w:rsidRPr="00B11003">
        <w:rPr>
          <w:rFonts w:ascii="Times New Roman" w:hAnsi="Times New Roman" w:cs="Times New Roman"/>
          <w:sz w:val="20"/>
          <w:szCs w:val="20"/>
          <w:lang w:val="de-CH"/>
        </w:rPr>
        <w:t>, 10 janvier 2022, p</w:t>
      </w:r>
      <w:r w:rsidR="001B2860">
        <w:rPr>
          <w:rFonts w:ascii="Times New Roman" w:hAnsi="Times New Roman" w:cs="Times New Roman"/>
          <w:sz w:val="20"/>
          <w:szCs w:val="20"/>
          <w:lang w:val="de-CH"/>
        </w:rPr>
        <w:t>p</w:t>
      </w:r>
      <w:r w:rsidRPr="00B11003">
        <w:rPr>
          <w:rFonts w:ascii="Times New Roman" w:hAnsi="Times New Roman" w:cs="Times New Roman"/>
          <w:sz w:val="20"/>
          <w:szCs w:val="20"/>
          <w:lang w:val="de-CH"/>
        </w:rPr>
        <w:t xml:space="preserve">. </w:t>
      </w:r>
      <w:r w:rsidR="006939C5" w:rsidRPr="00B11003">
        <w:rPr>
          <w:rFonts w:ascii="Times New Roman" w:hAnsi="Times New Roman" w:cs="Times New Roman"/>
          <w:sz w:val="20"/>
          <w:szCs w:val="20"/>
          <w:lang w:val="de-CH"/>
        </w:rPr>
        <w:t>12-13</w:t>
      </w:r>
      <w:r w:rsidRPr="00B11003">
        <w:rPr>
          <w:rFonts w:ascii="Times New Roman" w:hAnsi="Times New Roman" w:cs="Times New Roman"/>
          <w:sz w:val="20"/>
          <w:szCs w:val="20"/>
          <w:lang w:val="de-CH"/>
        </w:rPr>
        <w:t>.</w:t>
      </w:r>
    </w:p>
  </w:footnote>
  <w:footnote w:id="134">
    <w:p w14:paraId="64B31FB3" w14:textId="0866AE45" w:rsidR="00790F70" w:rsidRPr="001B2860" w:rsidRDefault="00790F70" w:rsidP="00B11003">
      <w:pPr>
        <w:spacing w:line="240" w:lineRule="auto"/>
        <w:jc w:val="both"/>
        <w:rPr>
          <w:rFonts w:ascii="Times New Roman" w:hAnsi="Times New Roman" w:cs="Times New Roman"/>
          <w:sz w:val="20"/>
          <w:szCs w:val="20"/>
          <w:lang w:val="de-CH"/>
        </w:rPr>
      </w:pPr>
      <w:r w:rsidRPr="00B11003">
        <w:rPr>
          <w:rStyle w:val="Appelnotedebasdep"/>
          <w:rFonts w:ascii="Times New Roman" w:hAnsi="Times New Roman" w:cs="Times New Roman"/>
          <w:sz w:val="20"/>
          <w:szCs w:val="20"/>
        </w:rPr>
        <w:footnoteRef/>
      </w:r>
      <w:r w:rsidRPr="001B2860">
        <w:rPr>
          <w:rFonts w:ascii="Times New Roman" w:hAnsi="Times New Roman" w:cs="Times New Roman"/>
          <w:sz w:val="20"/>
          <w:szCs w:val="20"/>
          <w:lang w:val="de-CH"/>
        </w:rPr>
        <w:t xml:space="preserve"> Voir TF 2C_448/2007</w:t>
      </w:r>
      <w:r w:rsidR="001B2860">
        <w:rPr>
          <w:rFonts w:ascii="Times New Roman" w:hAnsi="Times New Roman" w:cs="Times New Roman"/>
          <w:sz w:val="20"/>
          <w:szCs w:val="20"/>
          <w:lang w:val="de-CH"/>
        </w:rPr>
        <w:t>,</w:t>
      </w:r>
      <w:r w:rsidRPr="001B2860">
        <w:rPr>
          <w:rFonts w:ascii="Times New Roman" w:hAnsi="Times New Roman" w:cs="Times New Roman"/>
          <w:sz w:val="20"/>
          <w:szCs w:val="20"/>
          <w:lang w:val="de-CH"/>
        </w:rPr>
        <w:t xml:space="preserve"> 20.02.2008.</w:t>
      </w:r>
    </w:p>
  </w:footnote>
  <w:footnote w:id="135">
    <w:p w14:paraId="32242683" w14:textId="2D402F21" w:rsidR="008D1376" w:rsidRPr="00B11003" w:rsidRDefault="008D1376"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 xml:space="preserve">Voir aussi </w:t>
      </w:r>
      <w:r w:rsidRPr="00B11003">
        <w:rPr>
          <w:rFonts w:ascii="Times New Roman" w:hAnsi="Times New Roman" w:cs="Times New Roman"/>
          <w:smallCaps/>
          <w:lang w:val="fr-CH"/>
        </w:rPr>
        <w:t>Hongler</w:t>
      </w:r>
      <w:r w:rsidRPr="00B11003">
        <w:rPr>
          <w:rFonts w:ascii="Times New Roman" w:hAnsi="Times New Roman" w:cs="Times New Roman"/>
          <w:lang w:val="fr-CH"/>
        </w:rPr>
        <w:t xml:space="preserve"> </w:t>
      </w:r>
      <w:r w:rsidR="001B2860" w:rsidRPr="001B2860">
        <w:rPr>
          <w:rFonts w:ascii="Times New Roman" w:hAnsi="Times New Roman" w:cs="Times New Roman"/>
          <w:lang w:val="fr-CH"/>
        </w:rPr>
        <w:t xml:space="preserve">David </w:t>
      </w:r>
      <w:r w:rsidRPr="00B11003">
        <w:rPr>
          <w:rFonts w:ascii="Times New Roman" w:hAnsi="Times New Roman" w:cs="Times New Roman"/>
          <w:lang w:val="fr-CH"/>
        </w:rPr>
        <w:t xml:space="preserve">(note </w:t>
      </w:r>
      <w:r w:rsidRPr="00B11003">
        <w:rPr>
          <w:rFonts w:ascii="Times New Roman" w:hAnsi="Times New Roman" w:cs="Times New Roman"/>
        </w:rPr>
        <w:fldChar w:fldCharType="begin"/>
      </w:r>
      <w:r w:rsidRPr="00B11003">
        <w:rPr>
          <w:rFonts w:ascii="Times New Roman" w:hAnsi="Times New Roman" w:cs="Times New Roman"/>
          <w:lang w:val="fr-CH"/>
        </w:rPr>
        <w:instrText xml:space="preserve"> NOTEREF _Ref95747177 \h </w:instrText>
      </w:r>
      <w:r w:rsidRPr="00B11003">
        <w:rPr>
          <w:rFonts w:ascii="Times New Roman" w:hAnsi="Times New Roman" w:cs="Times New Roman"/>
        </w:rPr>
        <w:instrText xml:space="preserve"> \* MERGEFORMAT </w:instrText>
      </w:r>
      <w:r w:rsidRPr="00B11003">
        <w:rPr>
          <w:rFonts w:ascii="Times New Roman" w:hAnsi="Times New Roman" w:cs="Times New Roman"/>
        </w:rPr>
      </w:r>
      <w:r w:rsidRPr="00B11003">
        <w:rPr>
          <w:rFonts w:ascii="Times New Roman" w:hAnsi="Times New Roman" w:cs="Times New Roman"/>
        </w:rPr>
        <w:fldChar w:fldCharType="separate"/>
      </w:r>
      <w:r w:rsidR="000C3CD7">
        <w:rPr>
          <w:rFonts w:ascii="Times New Roman" w:hAnsi="Times New Roman" w:cs="Times New Roman"/>
          <w:lang w:val="fr-CH"/>
        </w:rPr>
        <w:t>133</w:t>
      </w:r>
      <w:r w:rsidRPr="00B11003">
        <w:rPr>
          <w:rFonts w:ascii="Times New Roman" w:hAnsi="Times New Roman" w:cs="Times New Roman"/>
        </w:rPr>
        <w:fldChar w:fldCharType="end"/>
      </w:r>
      <w:r w:rsidRPr="00B11003">
        <w:rPr>
          <w:rFonts w:ascii="Times New Roman" w:hAnsi="Times New Roman" w:cs="Times New Roman"/>
          <w:lang w:val="fr-CH"/>
        </w:rPr>
        <w:t>), p. 9.</w:t>
      </w:r>
    </w:p>
  </w:footnote>
  <w:footnote w:id="136">
    <w:p w14:paraId="5120AA35" w14:textId="105E96DF" w:rsidR="00790F70" w:rsidRPr="00B11003" w:rsidRDefault="00790F70"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lang w:val="fr-CH"/>
        </w:rPr>
        <w:t xml:space="preserve"> Voir aussi </w:t>
      </w:r>
      <w:r w:rsidRPr="00B11003">
        <w:rPr>
          <w:rFonts w:ascii="Times New Roman" w:hAnsi="Times New Roman" w:cs="Times New Roman"/>
          <w:smallCaps/>
          <w:lang w:val="fr-CH"/>
        </w:rPr>
        <w:t>Hongler</w:t>
      </w:r>
      <w:r w:rsidRPr="00B11003">
        <w:rPr>
          <w:rFonts w:ascii="Times New Roman" w:hAnsi="Times New Roman" w:cs="Times New Roman"/>
          <w:lang w:val="fr-CH"/>
        </w:rPr>
        <w:t xml:space="preserve"> </w:t>
      </w:r>
      <w:r w:rsidR="001B2860" w:rsidRPr="001B2860">
        <w:rPr>
          <w:rFonts w:ascii="Times New Roman" w:hAnsi="Times New Roman" w:cs="Times New Roman"/>
          <w:lang w:val="fr-CH"/>
        </w:rPr>
        <w:t>David</w:t>
      </w:r>
      <w:r w:rsidR="001B2860">
        <w:rPr>
          <w:rFonts w:ascii="Times New Roman" w:hAnsi="Times New Roman" w:cs="Times New Roman"/>
          <w:lang w:val="fr-CH"/>
        </w:rPr>
        <w:t xml:space="preserve"> </w:t>
      </w:r>
      <w:r w:rsidRPr="00B11003">
        <w:rPr>
          <w:rFonts w:ascii="Times New Roman" w:hAnsi="Times New Roman" w:cs="Times New Roman"/>
          <w:lang w:val="fr-CH"/>
        </w:rPr>
        <w:t xml:space="preserve">(note </w:t>
      </w:r>
      <w:r w:rsidRPr="00B11003">
        <w:rPr>
          <w:rFonts w:ascii="Times New Roman" w:hAnsi="Times New Roman" w:cs="Times New Roman"/>
        </w:rPr>
        <w:fldChar w:fldCharType="begin"/>
      </w:r>
      <w:r w:rsidRPr="00B11003">
        <w:rPr>
          <w:rFonts w:ascii="Times New Roman" w:hAnsi="Times New Roman" w:cs="Times New Roman"/>
          <w:lang w:val="fr-CH"/>
        </w:rPr>
        <w:instrText xml:space="preserve"> NOTEREF _Ref95747177 \h </w:instrText>
      </w:r>
      <w:r w:rsidRPr="00B11003">
        <w:rPr>
          <w:rFonts w:ascii="Times New Roman" w:hAnsi="Times New Roman" w:cs="Times New Roman"/>
        </w:rPr>
        <w:instrText xml:space="preserve"> \* MERGEFORMAT </w:instrText>
      </w:r>
      <w:r w:rsidRPr="00B11003">
        <w:rPr>
          <w:rFonts w:ascii="Times New Roman" w:hAnsi="Times New Roman" w:cs="Times New Roman"/>
        </w:rPr>
      </w:r>
      <w:r w:rsidRPr="00B11003">
        <w:rPr>
          <w:rFonts w:ascii="Times New Roman" w:hAnsi="Times New Roman" w:cs="Times New Roman"/>
        </w:rPr>
        <w:fldChar w:fldCharType="separate"/>
      </w:r>
      <w:r w:rsidR="000C3CD7">
        <w:rPr>
          <w:rFonts w:ascii="Times New Roman" w:hAnsi="Times New Roman" w:cs="Times New Roman"/>
          <w:lang w:val="fr-CH"/>
        </w:rPr>
        <w:t>133</w:t>
      </w:r>
      <w:r w:rsidRPr="00B11003">
        <w:rPr>
          <w:rFonts w:ascii="Times New Roman" w:hAnsi="Times New Roman" w:cs="Times New Roman"/>
        </w:rPr>
        <w:fldChar w:fldCharType="end"/>
      </w:r>
      <w:r w:rsidRPr="00B11003">
        <w:rPr>
          <w:rFonts w:ascii="Times New Roman" w:hAnsi="Times New Roman" w:cs="Times New Roman"/>
          <w:lang w:val="fr-CH"/>
        </w:rPr>
        <w:t>), p</w:t>
      </w:r>
      <w:r w:rsidR="001B2860">
        <w:rPr>
          <w:rFonts w:ascii="Times New Roman" w:hAnsi="Times New Roman" w:cs="Times New Roman"/>
          <w:lang w:val="fr-CH"/>
        </w:rPr>
        <w:t>p</w:t>
      </w:r>
      <w:r w:rsidRPr="00B11003">
        <w:rPr>
          <w:rFonts w:ascii="Times New Roman" w:hAnsi="Times New Roman" w:cs="Times New Roman"/>
          <w:lang w:val="fr-CH"/>
        </w:rPr>
        <w:t xml:space="preserve">. 9-20. </w:t>
      </w:r>
    </w:p>
  </w:footnote>
  <w:footnote w:id="137">
    <w:p w14:paraId="6D2EA2D2" w14:textId="768248ED" w:rsidR="00790F70" w:rsidRPr="00B11003" w:rsidRDefault="00790F70"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Art. 6 al. 2 </w:t>
      </w:r>
      <w:r w:rsidR="00FF77A4" w:rsidRPr="00FF77A4">
        <w:rPr>
          <w:rFonts w:ascii="Times New Roman" w:hAnsi="Times New Roman" w:cs="Times New Roman"/>
        </w:rPr>
        <w:t>Loi fédérale sur l’assurance-invalidité du 19 juin 1959 (RS 831.20)</w:t>
      </w:r>
      <w:r w:rsidRPr="00B11003">
        <w:rPr>
          <w:rFonts w:ascii="Times New Roman" w:hAnsi="Times New Roman" w:cs="Times New Roman"/>
        </w:rPr>
        <w:t>. Il faut par ailleurs une année de cotisation ou dix années de résidence ininterrompue en Suisse.</w:t>
      </w:r>
    </w:p>
  </w:footnote>
  <w:footnote w:id="138">
    <w:p w14:paraId="31293DE3" w14:textId="7F349DAF" w:rsidR="00790F70" w:rsidRPr="00B11003" w:rsidRDefault="00790F70"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Art. 5 </w:t>
      </w:r>
      <w:r w:rsidR="00E0369D" w:rsidRPr="00E0369D">
        <w:rPr>
          <w:rFonts w:ascii="Times New Roman" w:hAnsi="Times New Roman" w:cs="Times New Roman"/>
        </w:rPr>
        <w:t>Loi fédérale sur les prestations complémentaires à l’AVS et à l’AI du 6 octobre 2006 (RS 831.30</w:t>
      </w:r>
      <w:r w:rsidR="00E0369D">
        <w:rPr>
          <w:rFonts w:ascii="Times New Roman" w:hAnsi="Times New Roman" w:cs="Times New Roman"/>
        </w:rPr>
        <w:t>)</w:t>
      </w:r>
      <w:r w:rsidRPr="00B11003">
        <w:rPr>
          <w:rFonts w:ascii="Times New Roman" w:hAnsi="Times New Roman" w:cs="Times New Roman"/>
        </w:rPr>
        <w:t>.</w:t>
      </w:r>
    </w:p>
  </w:footnote>
  <w:footnote w:id="139">
    <w:p w14:paraId="16380103" w14:textId="6D394EDD" w:rsidR="00790F70" w:rsidRPr="00B11003" w:rsidRDefault="00790F70"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smallCaps/>
          <w:lang w:val="fr-CH"/>
        </w:rPr>
        <w:t>Hongler</w:t>
      </w:r>
      <w:r w:rsidRPr="00B11003">
        <w:rPr>
          <w:rFonts w:ascii="Times New Roman" w:hAnsi="Times New Roman" w:cs="Times New Roman"/>
          <w:lang w:val="fr-CH"/>
        </w:rPr>
        <w:t xml:space="preserve"> David, </w:t>
      </w:r>
      <w:r w:rsidRPr="00B11003">
        <w:rPr>
          <w:rFonts w:ascii="Times New Roman" w:hAnsi="Times New Roman" w:cs="Times New Roman"/>
          <w:i/>
          <w:iCs/>
          <w:lang w:val="fr-CH"/>
        </w:rPr>
        <w:t>op. cit.</w:t>
      </w:r>
      <w:r w:rsidRPr="00B11003">
        <w:rPr>
          <w:rFonts w:ascii="Times New Roman" w:hAnsi="Times New Roman" w:cs="Times New Roman"/>
          <w:lang w:val="fr-CH"/>
        </w:rPr>
        <w:t xml:space="preserve"> (note </w:t>
      </w:r>
      <w:r w:rsidRPr="00B11003">
        <w:rPr>
          <w:rFonts w:ascii="Times New Roman" w:hAnsi="Times New Roman" w:cs="Times New Roman"/>
        </w:rPr>
        <w:fldChar w:fldCharType="begin"/>
      </w:r>
      <w:r w:rsidRPr="00B11003">
        <w:rPr>
          <w:rFonts w:ascii="Times New Roman" w:hAnsi="Times New Roman" w:cs="Times New Roman"/>
          <w:lang w:val="fr-CH"/>
        </w:rPr>
        <w:instrText xml:space="preserve"> NOTEREF _Ref95747177 \h </w:instrText>
      </w:r>
      <w:r w:rsidRPr="00B11003">
        <w:rPr>
          <w:rFonts w:ascii="Times New Roman" w:hAnsi="Times New Roman" w:cs="Times New Roman"/>
        </w:rPr>
        <w:instrText xml:space="preserve"> \* MERGEFORMAT </w:instrText>
      </w:r>
      <w:r w:rsidRPr="00B11003">
        <w:rPr>
          <w:rFonts w:ascii="Times New Roman" w:hAnsi="Times New Roman" w:cs="Times New Roman"/>
        </w:rPr>
      </w:r>
      <w:r w:rsidRPr="00B11003">
        <w:rPr>
          <w:rFonts w:ascii="Times New Roman" w:hAnsi="Times New Roman" w:cs="Times New Roman"/>
        </w:rPr>
        <w:fldChar w:fldCharType="separate"/>
      </w:r>
      <w:r w:rsidR="000C3CD7">
        <w:rPr>
          <w:rFonts w:ascii="Times New Roman" w:hAnsi="Times New Roman" w:cs="Times New Roman"/>
          <w:lang w:val="fr-CH"/>
        </w:rPr>
        <w:t>133</w:t>
      </w:r>
      <w:r w:rsidRPr="00B11003">
        <w:rPr>
          <w:rFonts w:ascii="Times New Roman" w:hAnsi="Times New Roman" w:cs="Times New Roman"/>
        </w:rPr>
        <w:fldChar w:fldCharType="end"/>
      </w:r>
      <w:r w:rsidRPr="00B11003">
        <w:rPr>
          <w:rFonts w:ascii="Times New Roman" w:hAnsi="Times New Roman" w:cs="Times New Roman"/>
          <w:lang w:val="fr-CH"/>
        </w:rPr>
        <w:t>), pp. 18-22.</w:t>
      </w:r>
    </w:p>
  </w:footnote>
  <w:footnote w:id="140">
    <w:p w14:paraId="7D8B97DE" w14:textId="412BEDD3" w:rsidR="00790F70" w:rsidRPr="00B11003" w:rsidRDefault="00790F70" w:rsidP="00B11003">
      <w:pPr>
        <w:pStyle w:val="Notedebasdepage"/>
        <w:jc w:val="both"/>
        <w:rPr>
          <w:rFonts w:ascii="Times New Roman" w:hAnsi="Times New Roman" w:cs="Times New Roman"/>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TF 2C_983/2012</w:t>
      </w:r>
      <w:r w:rsidR="001B2860">
        <w:rPr>
          <w:rFonts w:ascii="Times New Roman" w:hAnsi="Times New Roman" w:cs="Times New Roman"/>
        </w:rPr>
        <w:t xml:space="preserve">, </w:t>
      </w:r>
      <w:r w:rsidRPr="00B11003">
        <w:rPr>
          <w:rFonts w:ascii="Times New Roman" w:hAnsi="Times New Roman" w:cs="Times New Roman"/>
        </w:rPr>
        <w:t>5</w:t>
      </w:r>
      <w:r w:rsidR="001B2860">
        <w:rPr>
          <w:rFonts w:ascii="Times New Roman" w:hAnsi="Times New Roman" w:cs="Times New Roman"/>
        </w:rPr>
        <w:t xml:space="preserve"> septembre </w:t>
      </w:r>
      <w:r w:rsidRPr="00B11003">
        <w:rPr>
          <w:rFonts w:ascii="Times New Roman" w:hAnsi="Times New Roman" w:cs="Times New Roman"/>
        </w:rPr>
        <w:t>2013, c</w:t>
      </w:r>
      <w:r w:rsidR="001B2860">
        <w:rPr>
          <w:rFonts w:ascii="Times New Roman" w:hAnsi="Times New Roman" w:cs="Times New Roman"/>
        </w:rPr>
        <w:t>onsid.</w:t>
      </w:r>
      <w:r w:rsidRPr="00B11003">
        <w:rPr>
          <w:rFonts w:ascii="Times New Roman" w:hAnsi="Times New Roman" w:cs="Times New Roman"/>
        </w:rPr>
        <w:t xml:space="preserve"> 4.2 ; TAF F-611/2017</w:t>
      </w:r>
      <w:r w:rsidR="001B2860">
        <w:rPr>
          <w:rFonts w:ascii="Times New Roman" w:hAnsi="Times New Roman" w:cs="Times New Roman"/>
        </w:rPr>
        <w:t>,</w:t>
      </w:r>
      <w:r w:rsidRPr="00B11003">
        <w:rPr>
          <w:rFonts w:ascii="Times New Roman" w:hAnsi="Times New Roman" w:cs="Times New Roman"/>
        </w:rPr>
        <w:t xml:space="preserve"> 2 février 2019, consid. 8.4.</w:t>
      </w:r>
    </w:p>
  </w:footnote>
  <w:footnote w:id="141">
    <w:p w14:paraId="6F4E204C" w14:textId="424E2E0A" w:rsidR="00790F70" w:rsidRPr="00B11003" w:rsidRDefault="00790F70" w:rsidP="00B11003">
      <w:pPr>
        <w:pStyle w:val="Notedebasdepage"/>
        <w:jc w:val="both"/>
        <w:rPr>
          <w:rFonts w:ascii="Times New Roman" w:hAnsi="Times New Roman" w:cs="Times New Roman"/>
          <w:lang w:val="fr-FR"/>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Voir p</w:t>
      </w:r>
      <w:r w:rsidR="001B2860">
        <w:rPr>
          <w:rFonts w:ascii="Times New Roman" w:hAnsi="Times New Roman" w:cs="Times New Roman"/>
          <w:lang w:val="fr-CH"/>
        </w:rPr>
        <w:t>ar exemple</w:t>
      </w:r>
      <w:r w:rsidRPr="00B11003">
        <w:rPr>
          <w:rFonts w:ascii="Times New Roman" w:hAnsi="Times New Roman" w:cs="Times New Roman"/>
          <w:lang w:val="fr-CH"/>
        </w:rPr>
        <w:t xml:space="preserve"> TAF </w:t>
      </w:r>
      <w:r w:rsidRPr="00B11003">
        <w:rPr>
          <w:rFonts w:ascii="Times New Roman" w:hAnsi="Times New Roman" w:cs="Times New Roman"/>
          <w:lang w:val="fr-FR"/>
        </w:rPr>
        <w:t>D-1993/2015</w:t>
      </w:r>
      <w:r w:rsidR="001B2860">
        <w:rPr>
          <w:rFonts w:ascii="Times New Roman" w:hAnsi="Times New Roman" w:cs="Times New Roman"/>
          <w:lang w:val="fr-FR"/>
        </w:rPr>
        <w:t>,</w:t>
      </w:r>
      <w:r w:rsidRPr="00B11003">
        <w:rPr>
          <w:rFonts w:ascii="Times New Roman" w:hAnsi="Times New Roman" w:cs="Times New Roman"/>
          <w:lang w:val="fr-FR"/>
        </w:rPr>
        <w:t xml:space="preserve"> 21 avril 2017, consid. 5.3.3 ; </w:t>
      </w:r>
      <w:r w:rsidRPr="00B11003">
        <w:rPr>
          <w:rFonts w:ascii="Times New Roman" w:hAnsi="Times New Roman" w:cs="Times New Roman"/>
        </w:rPr>
        <w:t>TAF F-611/2017</w:t>
      </w:r>
      <w:r w:rsidR="001B2860">
        <w:rPr>
          <w:rFonts w:ascii="Times New Roman" w:hAnsi="Times New Roman" w:cs="Times New Roman"/>
        </w:rPr>
        <w:t xml:space="preserve">, </w:t>
      </w:r>
      <w:r w:rsidRPr="00B11003">
        <w:rPr>
          <w:rFonts w:ascii="Times New Roman" w:hAnsi="Times New Roman" w:cs="Times New Roman"/>
        </w:rPr>
        <w:t>2 février 2019, consid. 6.2</w:t>
      </w:r>
      <w:r w:rsidRPr="00B11003">
        <w:rPr>
          <w:rFonts w:ascii="Times New Roman" w:hAnsi="Times New Roman" w:cs="Times New Roman"/>
          <w:lang w:val="fr-FR"/>
        </w:rPr>
        <w:t xml:space="preserve"> ; voir aussi </w:t>
      </w:r>
      <w:r w:rsidRPr="00B11003">
        <w:rPr>
          <w:rFonts w:ascii="Times New Roman" w:hAnsi="Times New Roman" w:cs="Times New Roman"/>
          <w:smallCaps/>
          <w:lang w:val="fr-FR"/>
        </w:rPr>
        <w:t>Frehner</w:t>
      </w:r>
      <w:r w:rsidRPr="00B11003">
        <w:rPr>
          <w:rFonts w:ascii="Times New Roman" w:hAnsi="Times New Roman" w:cs="Times New Roman"/>
          <w:lang w:val="fr-FR"/>
        </w:rPr>
        <w:t xml:space="preserve"> Sarah, Le regroupement familial de réfugié-e-s admis-e-s provisoirement avec handicap – quid du respect des droits humains ?, </w:t>
      </w:r>
      <w:r w:rsidRPr="00B11003">
        <w:rPr>
          <w:rFonts w:ascii="Times New Roman" w:hAnsi="Times New Roman" w:cs="Times New Roman"/>
          <w:i/>
          <w:iCs/>
          <w:lang w:val="fr-FR"/>
        </w:rPr>
        <w:t>Asyl</w:t>
      </w:r>
      <w:r w:rsidRPr="00B11003">
        <w:rPr>
          <w:rFonts w:ascii="Times New Roman" w:hAnsi="Times New Roman" w:cs="Times New Roman"/>
          <w:lang w:val="fr-FR"/>
        </w:rPr>
        <w:t>, 2020, p</w:t>
      </w:r>
      <w:r w:rsidR="001B2860">
        <w:rPr>
          <w:rFonts w:ascii="Times New Roman" w:hAnsi="Times New Roman" w:cs="Times New Roman"/>
          <w:lang w:val="fr-FR"/>
        </w:rPr>
        <w:t>p.</w:t>
      </w:r>
      <w:r w:rsidRPr="00B11003">
        <w:rPr>
          <w:rFonts w:ascii="Times New Roman" w:hAnsi="Times New Roman" w:cs="Times New Roman"/>
          <w:lang w:val="fr-FR"/>
        </w:rPr>
        <w:t xml:space="preserve"> 30-37.</w:t>
      </w:r>
    </w:p>
  </w:footnote>
  <w:footnote w:id="142">
    <w:p w14:paraId="2339FF2B" w14:textId="6712FFF6" w:rsidR="00790F70" w:rsidRPr="005D10F0" w:rsidRDefault="00790F70" w:rsidP="00B11003">
      <w:pPr>
        <w:pStyle w:val="Notedebasdepage"/>
        <w:jc w:val="both"/>
        <w:rPr>
          <w:lang w:val="fr-CH"/>
        </w:rPr>
      </w:pPr>
      <w:r w:rsidRPr="00B11003">
        <w:rPr>
          <w:rStyle w:val="Appelnotedebasdep"/>
          <w:rFonts w:ascii="Times New Roman" w:hAnsi="Times New Roman" w:cs="Times New Roman"/>
        </w:rPr>
        <w:footnoteRef/>
      </w:r>
      <w:r w:rsidRPr="00B11003">
        <w:rPr>
          <w:rFonts w:ascii="Times New Roman" w:hAnsi="Times New Roman" w:cs="Times New Roman"/>
        </w:rPr>
        <w:t xml:space="preserve"> </w:t>
      </w:r>
      <w:r w:rsidRPr="00B11003">
        <w:rPr>
          <w:rFonts w:ascii="Times New Roman" w:hAnsi="Times New Roman" w:cs="Times New Roman"/>
          <w:lang w:val="fr-CH"/>
        </w:rPr>
        <w:t>Voir p</w:t>
      </w:r>
      <w:r w:rsidR="001B2860">
        <w:rPr>
          <w:rFonts w:ascii="Times New Roman" w:hAnsi="Times New Roman" w:cs="Times New Roman"/>
          <w:lang w:val="fr-CH"/>
        </w:rPr>
        <w:t>ar exemple</w:t>
      </w:r>
      <w:r w:rsidRPr="00B11003">
        <w:rPr>
          <w:rFonts w:ascii="Times New Roman" w:hAnsi="Times New Roman" w:cs="Times New Roman"/>
          <w:lang w:val="fr-CH"/>
        </w:rPr>
        <w:t xml:space="preserve"> ATF 144 I 91 consid. 5.2 ; ATF 140 I 145 consid. 3.2 ; TAF F-1251/2020</w:t>
      </w:r>
      <w:r w:rsidR="001B2860">
        <w:rPr>
          <w:rFonts w:ascii="Times New Roman" w:hAnsi="Times New Roman" w:cs="Times New Roman"/>
          <w:lang w:val="fr-CH"/>
        </w:rPr>
        <w:t>,</w:t>
      </w:r>
      <w:r w:rsidRPr="00B11003">
        <w:rPr>
          <w:rFonts w:ascii="Times New Roman" w:hAnsi="Times New Roman" w:cs="Times New Roman"/>
          <w:lang w:val="fr-CH"/>
        </w:rPr>
        <w:t xml:space="preserve"> 30 mars 2020, consid. 6.2.5.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52D5A"/>
    <w:multiLevelType w:val="hybridMultilevel"/>
    <w:tmpl w:val="0108F9F4"/>
    <w:lvl w:ilvl="0" w:tplc="F5763A6C">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E5A1A3E"/>
    <w:multiLevelType w:val="multilevel"/>
    <w:tmpl w:val="DB8AD176"/>
    <w:lvl w:ilvl="0">
      <w:start w:val="1"/>
      <w:numFmt w:val="upperRoman"/>
      <w:lvlText w:val="%1."/>
      <w:lvlJc w:val="right"/>
      <w:pPr>
        <w:ind w:left="720" w:hanging="360"/>
      </w:pPr>
      <w:rPr>
        <w:u w:val="none"/>
      </w:rPr>
    </w:lvl>
    <w:lvl w:ilvl="1">
      <w:start w:val="1"/>
      <w:numFmt w:val="upperLetter"/>
      <w:lvlText w:val="%2."/>
      <w:lvlJc w:val="left"/>
      <w:pPr>
        <w:ind w:left="1069"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EF95FB4"/>
    <w:multiLevelType w:val="multilevel"/>
    <w:tmpl w:val="85BC27C8"/>
    <w:lvl w:ilvl="0">
      <w:start w:val="1"/>
      <w:numFmt w:val="decimal"/>
      <w:lvlText w:val="%1."/>
      <w:lvlJc w:val="left"/>
      <w:pPr>
        <w:ind w:left="720" w:hanging="360"/>
      </w:pPr>
      <w:rPr>
        <w:u w:val="none"/>
      </w:rPr>
    </w:lvl>
    <w:lvl w:ilvl="1">
      <w:start w:val="1"/>
      <w:numFmt w:val="upperLetter"/>
      <w:lvlText w:val="%2."/>
      <w:lvlJc w:val="left"/>
      <w:pPr>
        <w:ind w:left="1069"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F91260D"/>
    <w:multiLevelType w:val="hybridMultilevel"/>
    <w:tmpl w:val="F65E19D8"/>
    <w:lvl w:ilvl="0" w:tplc="F5763A6C">
      <w:start w:val="1"/>
      <w:numFmt w:val="bullet"/>
      <w:lvlText w:val="-"/>
      <w:lvlJc w:val="left"/>
      <w:pPr>
        <w:ind w:left="720"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8712375"/>
    <w:multiLevelType w:val="hybridMultilevel"/>
    <w:tmpl w:val="8BC6B15C"/>
    <w:lvl w:ilvl="0" w:tplc="F5763A6C">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C9924EA"/>
    <w:multiLevelType w:val="multilevel"/>
    <w:tmpl w:val="C5BC43A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365E7714"/>
    <w:multiLevelType w:val="hybridMultilevel"/>
    <w:tmpl w:val="113470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A7D0434"/>
    <w:multiLevelType w:val="multilevel"/>
    <w:tmpl w:val="85BC27C8"/>
    <w:lvl w:ilvl="0">
      <w:start w:val="1"/>
      <w:numFmt w:val="decimal"/>
      <w:lvlText w:val="%1."/>
      <w:lvlJc w:val="left"/>
      <w:pPr>
        <w:ind w:left="720" w:hanging="360"/>
      </w:pPr>
      <w:rPr>
        <w:u w:val="none"/>
      </w:rPr>
    </w:lvl>
    <w:lvl w:ilvl="1">
      <w:start w:val="1"/>
      <w:numFmt w:val="upperLetter"/>
      <w:lvlText w:val="%2."/>
      <w:lvlJc w:val="left"/>
      <w:pPr>
        <w:ind w:left="1069"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D135504"/>
    <w:multiLevelType w:val="hybridMultilevel"/>
    <w:tmpl w:val="85847C78"/>
    <w:lvl w:ilvl="0" w:tplc="F5763A6C">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7C91C77"/>
    <w:multiLevelType w:val="hybridMultilevel"/>
    <w:tmpl w:val="B8FACA1A"/>
    <w:lvl w:ilvl="0" w:tplc="0B62F146">
      <w:start w:val="5"/>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0" w15:restartNumberingAfterBreak="0">
    <w:nsid w:val="6A4A73EA"/>
    <w:multiLevelType w:val="hybridMultilevel"/>
    <w:tmpl w:val="4C7C95C4"/>
    <w:lvl w:ilvl="0" w:tplc="F5763A6C">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F9858E4"/>
    <w:multiLevelType w:val="hybridMultilevel"/>
    <w:tmpl w:val="C9BE1E2A"/>
    <w:lvl w:ilvl="0" w:tplc="F5763A6C">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7E27DF6"/>
    <w:multiLevelType w:val="hybridMultilevel"/>
    <w:tmpl w:val="1814318C"/>
    <w:lvl w:ilvl="0" w:tplc="F5763A6C">
      <w:start w:val="1"/>
      <w:numFmt w:val="bullet"/>
      <w:lvlText w:val="-"/>
      <w:lvlJc w:val="left"/>
      <w:pPr>
        <w:ind w:left="720"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BAB29EC"/>
    <w:multiLevelType w:val="multilevel"/>
    <w:tmpl w:val="18B8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842CB6"/>
    <w:multiLevelType w:val="hybridMultilevel"/>
    <w:tmpl w:val="0D28F384"/>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F9C5B69"/>
    <w:multiLevelType w:val="multilevel"/>
    <w:tmpl w:val="DB8AD176"/>
    <w:lvl w:ilvl="0">
      <w:start w:val="1"/>
      <w:numFmt w:val="upperRoman"/>
      <w:lvlText w:val="%1."/>
      <w:lvlJc w:val="right"/>
      <w:pPr>
        <w:ind w:left="720" w:hanging="360"/>
      </w:pPr>
      <w:rPr>
        <w:u w:val="none"/>
      </w:rPr>
    </w:lvl>
    <w:lvl w:ilvl="1">
      <w:start w:val="1"/>
      <w:numFmt w:val="upperLetter"/>
      <w:lvlText w:val="%2."/>
      <w:lvlJc w:val="left"/>
      <w:pPr>
        <w:ind w:left="1069"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5"/>
  </w:num>
  <w:num w:numId="3">
    <w:abstractNumId w:val="6"/>
  </w:num>
  <w:num w:numId="4">
    <w:abstractNumId w:val="13"/>
  </w:num>
  <w:num w:numId="5">
    <w:abstractNumId w:val="10"/>
  </w:num>
  <w:num w:numId="6">
    <w:abstractNumId w:val="4"/>
  </w:num>
  <w:num w:numId="7">
    <w:abstractNumId w:val="8"/>
  </w:num>
  <w:num w:numId="8">
    <w:abstractNumId w:val="12"/>
  </w:num>
  <w:num w:numId="9">
    <w:abstractNumId w:val="3"/>
  </w:num>
  <w:num w:numId="10">
    <w:abstractNumId w:val="11"/>
  </w:num>
  <w:num w:numId="11">
    <w:abstractNumId w:val="0"/>
  </w:num>
  <w:num w:numId="12">
    <w:abstractNumId w:val="15"/>
  </w:num>
  <w:num w:numId="13">
    <w:abstractNumId w:val="2"/>
  </w:num>
  <w:num w:numId="14">
    <w:abstractNumId w:val="7"/>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B5A"/>
    <w:rsid w:val="000002F5"/>
    <w:rsid w:val="00001A4B"/>
    <w:rsid w:val="000050BB"/>
    <w:rsid w:val="00010416"/>
    <w:rsid w:val="000109E9"/>
    <w:rsid w:val="00011AFA"/>
    <w:rsid w:val="00033B32"/>
    <w:rsid w:val="000401E4"/>
    <w:rsid w:val="00045519"/>
    <w:rsid w:val="000523D3"/>
    <w:rsid w:val="000534E2"/>
    <w:rsid w:val="000665E7"/>
    <w:rsid w:val="00071431"/>
    <w:rsid w:val="000873FA"/>
    <w:rsid w:val="00087508"/>
    <w:rsid w:val="000933A9"/>
    <w:rsid w:val="000940F3"/>
    <w:rsid w:val="000A1D41"/>
    <w:rsid w:val="000A268C"/>
    <w:rsid w:val="000B29F2"/>
    <w:rsid w:val="000C3CD7"/>
    <w:rsid w:val="000C6A9C"/>
    <w:rsid w:val="000E08E6"/>
    <w:rsid w:val="000E28E8"/>
    <w:rsid w:val="000E63DC"/>
    <w:rsid w:val="000F171B"/>
    <w:rsid w:val="000F23FA"/>
    <w:rsid w:val="000F6BC5"/>
    <w:rsid w:val="00106E67"/>
    <w:rsid w:val="00111254"/>
    <w:rsid w:val="00121F38"/>
    <w:rsid w:val="0012366B"/>
    <w:rsid w:val="00123A34"/>
    <w:rsid w:val="00127D6E"/>
    <w:rsid w:val="001344E9"/>
    <w:rsid w:val="00137010"/>
    <w:rsid w:val="0014071C"/>
    <w:rsid w:val="00144B10"/>
    <w:rsid w:val="001501AB"/>
    <w:rsid w:val="001538BC"/>
    <w:rsid w:val="00154FE5"/>
    <w:rsid w:val="001552F3"/>
    <w:rsid w:val="00155E67"/>
    <w:rsid w:val="00157A64"/>
    <w:rsid w:val="001700B7"/>
    <w:rsid w:val="00174AEF"/>
    <w:rsid w:val="00180849"/>
    <w:rsid w:val="00183363"/>
    <w:rsid w:val="001873A2"/>
    <w:rsid w:val="001877FD"/>
    <w:rsid w:val="001932CB"/>
    <w:rsid w:val="00193627"/>
    <w:rsid w:val="00194F68"/>
    <w:rsid w:val="00196E97"/>
    <w:rsid w:val="001A243F"/>
    <w:rsid w:val="001A3B64"/>
    <w:rsid w:val="001A542D"/>
    <w:rsid w:val="001A6FB7"/>
    <w:rsid w:val="001B1AEB"/>
    <w:rsid w:val="001B2379"/>
    <w:rsid w:val="001B2860"/>
    <w:rsid w:val="001B439A"/>
    <w:rsid w:val="001B7BB1"/>
    <w:rsid w:val="001B7FF9"/>
    <w:rsid w:val="001C23FA"/>
    <w:rsid w:val="001C3C64"/>
    <w:rsid w:val="001C6160"/>
    <w:rsid w:val="001D0405"/>
    <w:rsid w:val="001E2EEB"/>
    <w:rsid w:val="001F671E"/>
    <w:rsid w:val="001F73F9"/>
    <w:rsid w:val="00211149"/>
    <w:rsid w:val="00211580"/>
    <w:rsid w:val="00221051"/>
    <w:rsid w:val="002245F2"/>
    <w:rsid w:val="002266A4"/>
    <w:rsid w:val="00227F37"/>
    <w:rsid w:val="002405F0"/>
    <w:rsid w:val="00244A67"/>
    <w:rsid w:val="00257C10"/>
    <w:rsid w:val="00267565"/>
    <w:rsid w:val="00271887"/>
    <w:rsid w:val="00273E1C"/>
    <w:rsid w:val="00284B1F"/>
    <w:rsid w:val="002905FA"/>
    <w:rsid w:val="002A1685"/>
    <w:rsid w:val="002A44F6"/>
    <w:rsid w:val="002C4947"/>
    <w:rsid w:val="002D6111"/>
    <w:rsid w:val="002E1DC8"/>
    <w:rsid w:val="002E3C7C"/>
    <w:rsid w:val="002F0735"/>
    <w:rsid w:val="00301871"/>
    <w:rsid w:val="00302616"/>
    <w:rsid w:val="0030638A"/>
    <w:rsid w:val="00315974"/>
    <w:rsid w:val="00320ABF"/>
    <w:rsid w:val="00325D83"/>
    <w:rsid w:val="00332098"/>
    <w:rsid w:val="0033447F"/>
    <w:rsid w:val="0033454E"/>
    <w:rsid w:val="00344118"/>
    <w:rsid w:val="00363504"/>
    <w:rsid w:val="00365391"/>
    <w:rsid w:val="00373C0A"/>
    <w:rsid w:val="003750CE"/>
    <w:rsid w:val="003800C9"/>
    <w:rsid w:val="0038073F"/>
    <w:rsid w:val="00385C0E"/>
    <w:rsid w:val="003957B7"/>
    <w:rsid w:val="003A39DE"/>
    <w:rsid w:val="003A4675"/>
    <w:rsid w:val="003A5434"/>
    <w:rsid w:val="003B2D40"/>
    <w:rsid w:val="003C302C"/>
    <w:rsid w:val="003D59E1"/>
    <w:rsid w:val="003D5BA9"/>
    <w:rsid w:val="003D62DC"/>
    <w:rsid w:val="003E51E0"/>
    <w:rsid w:val="003F0D78"/>
    <w:rsid w:val="003F1515"/>
    <w:rsid w:val="003F1F1C"/>
    <w:rsid w:val="0040119C"/>
    <w:rsid w:val="004021F6"/>
    <w:rsid w:val="00405948"/>
    <w:rsid w:val="004069FE"/>
    <w:rsid w:val="0041062A"/>
    <w:rsid w:val="00411682"/>
    <w:rsid w:val="00415FDA"/>
    <w:rsid w:val="004200A8"/>
    <w:rsid w:val="0042120E"/>
    <w:rsid w:val="00427B22"/>
    <w:rsid w:val="0043312A"/>
    <w:rsid w:val="00446D96"/>
    <w:rsid w:val="004479BF"/>
    <w:rsid w:val="00453BE4"/>
    <w:rsid w:val="00453E7F"/>
    <w:rsid w:val="00464AD5"/>
    <w:rsid w:val="00466978"/>
    <w:rsid w:val="00467269"/>
    <w:rsid w:val="00476EA5"/>
    <w:rsid w:val="004810B1"/>
    <w:rsid w:val="00484FE1"/>
    <w:rsid w:val="00486FFD"/>
    <w:rsid w:val="0049082E"/>
    <w:rsid w:val="00495D52"/>
    <w:rsid w:val="00497C97"/>
    <w:rsid w:val="004A11BF"/>
    <w:rsid w:val="004C1E02"/>
    <w:rsid w:val="004C41A4"/>
    <w:rsid w:val="004C49C4"/>
    <w:rsid w:val="004D4A7B"/>
    <w:rsid w:val="004E6CE4"/>
    <w:rsid w:val="004E7BC1"/>
    <w:rsid w:val="004E7F73"/>
    <w:rsid w:val="004F0DB6"/>
    <w:rsid w:val="004F1B5A"/>
    <w:rsid w:val="00500030"/>
    <w:rsid w:val="0050306C"/>
    <w:rsid w:val="00521D1C"/>
    <w:rsid w:val="00522AF2"/>
    <w:rsid w:val="00522EBA"/>
    <w:rsid w:val="00524939"/>
    <w:rsid w:val="00525CB7"/>
    <w:rsid w:val="0054201D"/>
    <w:rsid w:val="005501CD"/>
    <w:rsid w:val="0055239C"/>
    <w:rsid w:val="0055514C"/>
    <w:rsid w:val="00563361"/>
    <w:rsid w:val="00573C79"/>
    <w:rsid w:val="005807D4"/>
    <w:rsid w:val="00596C9E"/>
    <w:rsid w:val="005A1798"/>
    <w:rsid w:val="005A64ED"/>
    <w:rsid w:val="005D1F77"/>
    <w:rsid w:val="005D3168"/>
    <w:rsid w:val="005D5702"/>
    <w:rsid w:val="005D6A8F"/>
    <w:rsid w:val="005D6E51"/>
    <w:rsid w:val="005D7F73"/>
    <w:rsid w:val="005E1DB9"/>
    <w:rsid w:val="005E2EFC"/>
    <w:rsid w:val="005E577D"/>
    <w:rsid w:val="005F5DDA"/>
    <w:rsid w:val="0060392E"/>
    <w:rsid w:val="00603E2E"/>
    <w:rsid w:val="00605611"/>
    <w:rsid w:val="00611AE2"/>
    <w:rsid w:val="006142B9"/>
    <w:rsid w:val="006175EB"/>
    <w:rsid w:val="006226A5"/>
    <w:rsid w:val="006243A4"/>
    <w:rsid w:val="0062484B"/>
    <w:rsid w:val="006260B3"/>
    <w:rsid w:val="006311A8"/>
    <w:rsid w:val="0063369B"/>
    <w:rsid w:val="006410F5"/>
    <w:rsid w:val="006473E2"/>
    <w:rsid w:val="00653907"/>
    <w:rsid w:val="00655892"/>
    <w:rsid w:val="006560B6"/>
    <w:rsid w:val="00663601"/>
    <w:rsid w:val="00663ABC"/>
    <w:rsid w:val="0067233D"/>
    <w:rsid w:val="0067251C"/>
    <w:rsid w:val="00676C91"/>
    <w:rsid w:val="006777F5"/>
    <w:rsid w:val="006939C5"/>
    <w:rsid w:val="006A2025"/>
    <w:rsid w:val="006A3B91"/>
    <w:rsid w:val="006B44D9"/>
    <w:rsid w:val="006C077C"/>
    <w:rsid w:val="006C158D"/>
    <w:rsid w:val="006C6200"/>
    <w:rsid w:val="006C7CD8"/>
    <w:rsid w:val="006E3C59"/>
    <w:rsid w:val="006F4E18"/>
    <w:rsid w:val="00700529"/>
    <w:rsid w:val="00700AC4"/>
    <w:rsid w:val="007025A1"/>
    <w:rsid w:val="00710128"/>
    <w:rsid w:val="00727814"/>
    <w:rsid w:val="00743254"/>
    <w:rsid w:val="00754118"/>
    <w:rsid w:val="0075418A"/>
    <w:rsid w:val="00756641"/>
    <w:rsid w:val="00761D27"/>
    <w:rsid w:val="00763232"/>
    <w:rsid w:val="00763F24"/>
    <w:rsid w:val="007759B2"/>
    <w:rsid w:val="007811C8"/>
    <w:rsid w:val="007839DB"/>
    <w:rsid w:val="00786F1A"/>
    <w:rsid w:val="00790F70"/>
    <w:rsid w:val="007914C8"/>
    <w:rsid w:val="00793CF8"/>
    <w:rsid w:val="007A1108"/>
    <w:rsid w:val="007A1336"/>
    <w:rsid w:val="007A3FCF"/>
    <w:rsid w:val="007B18F1"/>
    <w:rsid w:val="007B337F"/>
    <w:rsid w:val="007B43EE"/>
    <w:rsid w:val="007C0C51"/>
    <w:rsid w:val="007D30CB"/>
    <w:rsid w:val="007D4895"/>
    <w:rsid w:val="007D6892"/>
    <w:rsid w:val="007D7D82"/>
    <w:rsid w:val="007E22D2"/>
    <w:rsid w:val="007E35C1"/>
    <w:rsid w:val="007E4D57"/>
    <w:rsid w:val="007E7B3E"/>
    <w:rsid w:val="007F16F2"/>
    <w:rsid w:val="007F604E"/>
    <w:rsid w:val="0080017F"/>
    <w:rsid w:val="00805241"/>
    <w:rsid w:val="00805347"/>
    <w:rsid w:val="00806A14"/>
    <w:rsid w:val="00812372"/>
    <w:rsid w:val="0082275C"/>
    <w:rsid w:val="008270DA"/>
    <w:rsid w:val="00827882"/>
    <w:rsid w:val="008342D8"/>
    <w:rsid w:val="00850CDB"/>
    <w:rsid w:val="008609BE"/>
    <w:rsid w:val="008629F7"/>
    <w:rsid w:val="00867780"/>
    <w:rsid w:val="008808AE"/>
    <w:rsid w:val="00883462"/>
    <w:rsid w:val="008A1DEB"/>
    <w:rsid w:val="008A622F"/>
    <w:rsid w:val="008A7C2B"/>
    <w:rsid w:val="008B67E7"/>
    <w:rsid w:val="008C040E"/>
    <w:rsid w:val="008C0643"/>
    <w:rsid w:val="008C1382"/>
    <w:rsid w:val="008D127D"/>
    <w:rsid w:val="008D1376"/>
    <w:rsid w:val="008D2719"/>
    <w:rsid w:val="008D432A"/>
    <w:rsid w:val="008E06F0"/>
    <w:rsid w:val="008F7CF6"/>
    <w:rsid w:val="009001A8"/>
    <w:rsid w:val="0090380D"/>
    <w:rsid w:val="009062F5"/>
    <w:rsid w:val="00907802"/>
    <w:rsid w:val="00907DD7"/>
    <w:rsid w:val="00907E54"/>
    <w:rsid w:val="00917B23"/>
    <w:rsid w:val="009206EA"/>
    <w:rsid w:val="00935F75"/>
    <w:rsid w:val="009446AF"/>
    <w:rsid w:val="00947C62"/>
    <w:rsid w:val="00950ACF"/>
    <w:rsid w:val="009528CF"/>
    <w:rsid w:val="00961AAF"/>
    <w:rsid w:val="009630E3"/>
    <w:rsid w:val="0098058F"/>
    <w:rsid w:val="0098189B"/>
    <w:rsid w:val="00981D55"/>
    <w:rsid w:val="009867B3"/>
    <w:rsid w:val="00990B46"/>
    <w:rsid w:val="00991DCF"/>
    <w:rsid w:val="00993D40"/>
    <w:rsid w:val="00995339"/>
    <w:rsid w:val="00995BB2"/>
    <w:rsid w:val="00997E26"/>
    <w:rsid w:val="009A623B"/>
    <w:rsid w:val="009A7C77"/>
    <w:rsid w:val="009B100C"/>
    <w:rsid w:val="009B2DBD"/>
    <w:rsid w:val="009B5D64"/>
    <w:rsid w:val="009D08FF"/>
    <w:rsid w:val="009E322B"/>
    <w:rsid w:val="009F3994"/>
    <w:rsid w:val="00A0051D"/>
    <w:rsid w:val="00A03390"/>
    <w:rsid w:val="00A04120"/>
    <w:rsid w:val="00A239F1"/>
    <w:rsid w:val="00A248E0"/>
    <w:rsid w:val="00A30B48"/>
    <w:rsid w:val="00A30EFC"/>
    <w:rsid w:val="00A32057"/>
    <w:rsid w:val="00A33008"/>
    <w:rsid w:val="00A33333"/>
    <w:rsid w:val="00A33AFB"/>
    <w:rsid w:val="00A42E0C"/>
    <w:rsid w:val="00A47086"/>
    <w:rsid w:val="00A51286"/>
    <w:rsid w:val="00A5437C"/>
    <w:rsid w:val="00A636F7"/>
    <w:rsid w:val="00A65CE7"/>
    <w:rsid w:val="00A815CA"/>
    <w:rsid w:val="00A85823"/>
    <w:rsid w:val="00A92CDB"/>
    <w:rsid w:val="00AA169B"/>
    <w:rsid w:val="00AA3DF2"/>
    <w:rsid w:val="00AB4499"/>
    <w:rsid w:val="00AB5BA9"/>
    <w:rsid w:val="00AB5C4D"/>
    <w:rsid w:val="00AC0272"/>
    <w:rsid w:val="00AC29EA"/>
    <w:rsid w:val="00AD0F10"/>
    <w:rsid w:val="00AE724C"/>
    <w:rsid w:val="00B1010B"/>
    <w:rsid w:val="00B11003"/>
    <w:rsid w:val="00B144D4"/>
    <w:rsid w:val="00B1698D"/>
    <w:rsid w:val="00B23583"/>
    <w:rsid w:val="00B33B54"/>
    <w:rsid w:val="00B35F81"/>
    <w:rsid w:val="00B36F6D"/>
    <w:rsid w:val="00B54028"/>
    <w:rsid w:val="00B56CAE"/>
    <w:rsid w:val="00B56D1A"/>
    <w:rsid w:val="00B57448"/>
    <w:rsid w:val="00B60587"/>
    <w:rsid w:val="00B91DCE"/>
    <w:rsid w:val="00B922F8"/>
    <w:rsid w:val="00B941D1"/>
    <w:rsid w:val="00B96AED"/>
    <w:rsid w:val="00BA2252"/>
    <w:rsid w:val="00BA54BC"/>
    <w:rsid w:val="00BB21EE"/>
    <w:rsid w:val="00BB487E"/>
    <w:rsid w:val="00BE0828"/>
    <w:rsid w:val="00BE185F"/>
    <w:rsid w:val="00BE4C4A"/>
    <w:rsid w:val="00BF27B5"/>
    <w:rsid w:val="00BF34D8"/>
    <w:rsid w:val="00BF50D2"/>
    <w:rsid w:val="00C056EA"/>
    <w:rsid w:val="00C0637D"/>
    <w:rsid w:val="00C14B58"/>
    <w:rsid w:val="00C179AD"/>
    <w:rsid w:val="00C2022F"/>
    <w:rsid w:val="00C22A8C"/>
    <w:rsid w:val="00C305F5"/>
    <w:rsid w:val="00C345F7"/>
    <w:rsid w:val="00C3734A"/>
    <w:rsid w:val="00C378B9"/>
    <w:rsid w:val="00C43D85"/>
    <w:rsid w:val="00C51343"/>
    <w:rsid w:val="00C64E4A"/>
    <w:rsid w:val="00C650DE"/>
    <w:rsid w:val="00C67990"/>
    <w:rsid w:val="00C76BFF"/>
    <w:rsid w:val="00C96CCE"/>
    <w:rsid w:val="00CA59C0"/>
    <w:rsid w:val="00CB2CEC"/>
    <w:rsid w:val="00CB41E2"/>
    <w:rsid w:val="00CB63B0"/>
    <w:rsid w:val="00CB69D9"/>
    <w:rsid w:val="00CC0987"/>
    <w:rsid w:val="00CC3CE0"/>
    <w:rsid w:val="00CD5E04"/>
    <w:rsid w:val="00CE11DC"/>
    <w:rsid w:val="00CE5F93"/>
    <w:rsid w:val="00CF0F61"/>
    <w:rsid w:val="00D0158D"/>
    <w:rsid w:val="00D07294"/>
    <w:rsid w:val="00D11403"/>
    <w:rsid w:val="00D25CB2"/>
    <w:rsid w:val="00D27AAA"/>
    <w:rsid w:val="00D403EE"/>
    <w:rsid w:val="00D43D96"/>
    <w:rsid w:val="00D51730"/>
    <w:rsid w:val="00D67D4E"/>
    <w:rsid w:val="00D725BE"/>
    <w:rsid w:val="00D72C72"/>
    <w:rsid w:val="00D73B29"/>
    <w:rsid w:val="00D76E46"/>
    <w:rsid w:val="00D84372"/>
    <w:rsid w:val="00D923D4"/>
    <w:rsid w:val="00D93986"/>
    <w:rsid w:val="00DA38A0"/>
    <w:rsid w:val="00DB4143"/>
    <w:rsid w:val="00DB59A0"/>
    <w:rsid w:val="00DC7CF4"/>
    <w:rsid w:val="00DE59D4"/>
    <w:rsid w:val="00DF37BA"/>
    <w:rsid w:val="00DF488F"/>
    <w:rsid w:val="00E030A8"/>
    <w:rsid w:val="00E0369D"/>
    <w:rsid w:val="00E12AEA"/>
    <w:rsid w:val="00E14C80"/>
    <w:rsid w:val="00E2130F"/>
    <w:rsid w:val="00E24DE1"/>
    <w:rsid w:val="00E26B05"/>
    <w:rsid w:val="00E335BA"/>
    <w:rsid w:val="00E34E61"/>
    <w:rsid w:val="00E3628C"/>
    <w:rsid w:val="00E41616"/>
    <w:rsid w:val="00E42F2A"/>
    <w:rsid w:val="00E45FA9"/>
    <w:rsid w:val="00E53246"/>
    <w:rsid w:val="00E553A7"/>
    <w:rsid w:val="00E57C9A"/>
    <w:rsid w:val="00E62642"/>
    <w:rsid w:val="00E62C3D"/>
    <w:rsid w:val="00E6382B"/>
    <w:rsid w:val="00E64842"/>
    <w:rsid w:val="00E6563C"/>
    <w:rsid w:val="00E70D46"/>
    <w:rsid w:val="00E7179B"/>
    <w:rsid w:val="00E7435B"/>
    <w:rsid w:val="00E75E64"/>
    <w:rsid w:val="00E77221"/>
    <w:rsid w:val="00E83889"/>
    <w:rsid w:val="00E92687"/>
    <w:rsid w:val="00E96DBA"/>
    <w:rsid w:val="00EA3E2E"/>
    <w:rsid w:val="00EA50A7"/>
    <w:rsid w:val="00EA64F8"/>
    <w:rsid w:val="00EB6837"/>
    <w:rsid w:val="00EC3F02"/>
    <w:rsid w:val="00EC6E2B"/>
    <w:rsid w:val="00ED6FA2"/>
    <w:rsid w:val="00EE0E90"/>
    <w:rsid w:val="00EE2B7A"/>
    <w:rsid w:val="00EE5ACA"/>
    <w:rsid w:val="00EF03BF"/>
    <w:rsid w:val="00EF0DDB"/>
    <w:rsid w:val="00EF0EF4"/>
    <w:rsid w:val="00EF1053"/>
    <w:rsid w:val="00EF5189"/>
    <w:rsid w:val="00F010A1"/>
    <w:rsid w:val="00F16C86"/>
    <w:rsid w:val="00F34546"/>
    <w:rsid w:val="00F4008E"/>
    <w:rsid w:val="00F4667F"/>
    <w:rsid w:val="00F55701"/>
    <w:rsid w:val="00F55E5B"/>
    <w:rsid w:val="00F6779B"/>
    <w:rsid w:val="00F7253E"/>
    <w:rsid w:val="00F74850"/>
    <w:rsid w:val="00F75E62"/>
    <w:rsid w:val="00F7794A"/>
    <w:rsid w:val="00F835BC"/>
    <w:rsid w:val="00FA606F"/>
    <w:rsid w:val="00FB18BE"/>
    <w:rsid w:val="00FB4641"/>
    <w:rsid w:val="00FB634C"/>
    <w:rsid w:val="00FB6FF4"/>
    <w:rsid w:val="00FB712A"/>
    <w:rsid w:val="00FE0FB9"/>
    <w:rsid w:val="00FE510D"/>
    <w:rsid w:val="00FF77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D3D13"/>
  <w15:docId w15:val="{EEFFE768-F429-4246-A82B-0125003B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120"/>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unhideWhenUsed/>
    <w:qFormat/>
    <w:pPr>
      <w:keepNext/>
      <w:keepLines/>
      <w:spacing w:before="360" w:after="120"/>
      <w:outlineLvl w:val="1"/>
    </w:pPr>
    <w:rPr>
      <w:sz w:val="28"/>
      <w:szCs w:val="28"/>
    </w:rPr>
  </w:style>
  <w:style w:type="paragraph" w:styleId="Titre3">
    <w:name w:val="heading 3"/>
    <w:basedOn w:val="Normal"/>
    <w:next w:val="Normal"/>
    <w:link w:val="Titre3Car"/>
    <w:uiPriority w:val="9"/>
    <w:unhideWhenUsed/>
    <w:qFormat/>
    <w:pPr>
      <w:spacing w:line="301" w:lineRule="auto"/>
      <w:ind w:left="360" w:hanging="360"/>
      <w:jc w:val="both"/>
      <w:outlineLvl w:val="2"/>
    </w:pPr>
    <w:rPr>
      <w:rFonts w:ascii="Book Antiqua" w:eastAsia="Book Antiqua" w:hAnsi="Book Antiqua" w:cs="Book Antiqua"/>
      <w:sz w:val="26"/>
      <w:szCs w:val="26"/>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character" w:customStyle="1" w:styleId="apple-converted-space">
    <w:name w:val="apple-converted-space"/>
    <w:basedOn w:val="Policepardfaut"/>
    <w:rsid w:val="00E34E61"/>
  </w:style>
  <w:style w:type="paragraph" w:styleId="Notedebasdepage">
    <w:name w:val="footnote text"/>
    <w:basedOn w:val="Normal"/>
    <w:link w:val="NotedebasdepageCar"/>
    <w:uiPriority w:val="99"/>
    <w:unhideWhenUsed/>
    <w:qFormat/>
    <w:rsid w:val="008A7C2B"/>
    <w:pPr>
      <w:spacing w:line="240" w:lineRule="auto"/>
    </w:pPr>
    <w:rPr>
      <w:sz w:val="20"/>
      <w:szCs w:val="20"/>
    </w:rPr>
  </w:style>
  <w:style w:type="character" w:customStyle="1" w:styleId="NotedebasdepageCar">
    <w:name w:val="Note de bas de page Car"/>
    <w:basedOn w:val="Policepardfaut"/>
    <w:link w:val="Notedebasdepage"/>
    <w:uiPriority w:val="99"/>
    <w:rsid w:val="008A7C2B"/>
    <w:rPr>
      <w:sz w:val="20"/>
      <w:szCs w:val="20"/>
    </w:rPr>
  </w:style>
  <w:style w:type="character" w:styleId="Appelnotedebasdep">
    <w:name w:val="footnote reference"/>
    <w:basedOn w:val="Policepardfaut"/>
    <w:uiPriority w:val="99"/>
    <w:unhideWhenUsed/>
    <w:qFormat/>
    <w:rsid w:val="008A7C2B"/>
    <w:rPr>
      <w:vertAlign w:val="superscript"/>
    </w:rPr>
  </w:style>
  <w:style w:type="character" w:styleId="Marquedecommentaire">
    <w:name w:val="annotation reference"/>
    <w:basedOn w:val="Policepardfaut"/>
    <w:uiPriority w:val="99"/>
    <w:semiHidden/>
    <w:unhideWhenUsed/>
    <w:rsid w:val="00AD0F10"/>
    <w:rPr>
      <w:sz w:val="16"/>
      <w:szCs w:val="16"/>
    </w:rPr>
  </w:style>
  <w:style w:type="paragraph" w:styleId="Commentaire">
    <w:name w:val="annotation text"/>
    <w:basedOn w:val="Normal"/>
    <w:link w:val="CommentaireCar"/>
    <w:uiPriority w:val="99"/>
    <w:unhideWhenUsed/>
    <w:rsid w:val="00AD0F10"/>
    <w:pPr>
      <w:spacing w:line="240" w:lineRule="auto"/>
    </w:pPr>
    <w:rPr>
      <w:sz w:val="20"/>
      <w:szCs w:val="20"/>
    </w:rPr>
  </w:style>
  <w:style w:type="character" w:customStyle="1" w:styleId="CommentaireCar">
    <w:name w:val="Commentaire Car"/>
    <w:basedOn w:val="Policepardfaut"/>
    <w:link w:val="Commentaire"/>
    <w:uiPriority w:val="99"/>
    <w:rsid w:val="00AD0F10"/>
    <w:rPr>
      <w:sz w:val="20"/>
      <w:szCs w:val="20"/>
    </w:rPr>
  </w:style>
  <w:style w:type="paragraph" w:styleId="Objetducommentaire">
    <w:name w:val="annotation subject"/>
    <w:basedOn w:val="Commentaire"/>
    <w:next w:val="Commentaire"/>
    <w:link w:val="ObjetducommentaireCar"/>
    <w:uiPriority w:val="99"/>
    <w:semiHidden/>
    <w:unhideWhenUsed/>
    <w:rsid w:val="00AD0F10"/>
    <w:rPr>
      <w:b/>
      <w:bCs/>
    </w:rPr>
  </w:style>
  <w:style w:type="character" w:customStyle="1" w:styleId="ObjetducommentaireCar">
    <w:name w:val="Objet du commentaire Car"/>
    <w:basedOn w:val="CommentaireCar"/>
    <w:link w:val="Objetducommentaire"/>
    <w:uiPriority w:val="99"/>
    <w:semiHidden/>
    <w:rsid w:val="00AD0F10"/>
    <w:rPr>
      <w:b/>
      <w:bCs/>
      <w:sz w:val="20"/>
      <w:szCs w:val="20"/>
    </w:rPr>
  </w:style>
  <w:style w:type="character" w:styleId="Lienhypertexte">
    <w:name w:val="Hyperlink"/>
    <w:basedOn w:val="Policepardfaut"/>
    <w:uiPriority w:val="99"/>
    <w:unhideWhenUsed/>
    <w:rsid w:val="001344E9"/>
    <w:rPr>
      <w:color w:val="0000FF" w:themeColor="hyperlink"/>
      <w:u w:val="single"/>
    </w:rPr>
  </w:style>
  <w:style w:type="paragraph" w:customStyle="1" w:styleId="active">
    <w:name w:val="active"/>
    <w:basedOn w:val="Normal"/>
    <w:rsid w:val="001344E9"/>
    <w:pPr>
      <w:spacing w:before="100" w:beforeAutospacing="1" w:after="100" w:afterAutospacing="1" w:line="240" w:lineRule="auto"/>
    </w:pPr>
    <w:rPr>
      <w:rFonts w:ascii="Times New Roman" w:eastAsia="Times New Roman" w:hAnsi="Times New Roman" w:cs="Times New Roman"/>
      <w:sz w:val="24"/>
      <w:szCs w:val="24"/>
      <w:lang w:val="fr-CH"/>
    </w:rPr>
  </w:style>
  <w:style w:type="character" w:styleId="Mentionnonrsolue">
    <w:name w:val="Unresolved Mention"/>
    <w:basedOn w:val="Policepardfaut"/>
    <w:uiPriority w:val="99"/>
    <w:semiHidden/>
    <w:unhideWhenUsed/>
    <w:rsid w:val="0063369B"/>
    <w:rPr>
      <w:color w:val="605E5C"/>
      <w:shd w:val="clear" w:color="auto" w:fill="E1DFDD"/>
    </w:rPr>
  </w:style>
  <w:style w:type="character" w:customStyle="1" w:styleId="easy-footnote">
    <w:name w:val="easy-footnote"/>
    <w:basedOn w:val="Policepardfaut"/>
    <w:rsid w:val="005501CD"/>
  </w:style>
  <w:style w:type="character" w:customStyle="1" w:styleId="deadlink">
    <w:name w:val="deadlink"/>
    <w:basedOn w:val="Policepardfaut"/>
    <w:rsid w:val="007025A1"/>
  </w:style>
  <w:style w:type="character" w:customStyle="1" w:styleId="Titre3Car">
    <w:name w:val="Titre 3 Car"/>
    <w:basedOn w:val="Policepardfaut"/>
    <w:link w:val="Titre3"/>
    <w:uiPriority w:val="9"/>
    <w:rsid w:val="002D6111"/>
    <w:rPr>
      <w:rFonts w:ascii="Book Antiqua" w:eastAsia="Book Antiqua" w:hAnsi="Book Antiqua" w:cs="Book Antiqua"/>
      <w:sz w:val="26"/>
      <w:szCs w:val="26"/>
    </w:rPr>
  </w:style>
  <w:style w:type="paragraph" w:styleId="Paragraphedeliste">
    <w:name w:val="List Paragraph"/>
    <w:basedOn w:val="Normal"/>
    <w:uiPriority w:val="34"/>
    <w:qFormat/>
    <w:rsid w:val="00B57448"/>
    <w:pPr>
      <w:ind w:left="720"/>
      <w:contextualSpacing/>
    </w:pPr>
  </w:style>
  <w:style w:type="paragraph" w:customStyle="1" w:styleId="meta-entry">
    <w:name w:val="meta-entry"/>
    <w:basedOn w:val="Normal"/>
    <w:rsid w:val="00193627"/>
    <w:pPr>
      <w:spacing w:before="100" w:beforeAutospacing="1" w:after="100" w:afterAutospacing="1" w:line="240" w:lineRule="auto"/>
    </w:pPr>
    <w:rPr>
      <w:rFonts w:ascii="Times New Roman" w:eastAsia="Times New Roman" w:hAnsi="Times New Roman" w:cs="Times New Roman"/>
      <w:sz w:val="24"/>
      <w:szCs w:val="24"/>
      <w:lang w:val="fr-CH"/>
    </w:rPr>
  </w:style>
  <w:style w:type="character" w:customStyle="1" w:styleId="second-column">
    <w:name w:val="second-column"/>
    <w:basedOn w:val="Policepardfaut"/>
    <w:rsid w:val="00193627"/>
  </w:style>
  <w:style w:type="character" w:customStyle="1" w:styleId="first-column">
    <w:name w:val="first-column"/>
    <w:basedOn w:val="Policepardfaut"/>
    <w:rsid w:val="00193627"/>
  </w:style>
  <w:style w:type="paragraph" w:customStyle="1" w:styleId="EPRJ">
    <w:name w:val="EPRJ"/>
    <w:basedOn w:val="Normal"/>
    <w:qFormat/>
    <w:rsid w:val="008D432A"/>
    <w:pPr>
      <w:spacing w:line="240" w:lineRule="auto"/>
      <w:jc w:val="both"/>
    </w:pPr>
    <w:rPr>
      <w:rFonts w:ascii="Times New Roman" w:eastAsia="Calibri" w:hAnsi="Times New Roman" w:cs="Times New Roman"/>
      <w:sz w:val="24"/>
      <w:szCs w:val="24"/>
      <w:lang w:val="fr-CH" w:eastAsia="en-US"/>
    </w:rPr>
  </w:style>
  <w:style w:type="paragraph" w:styleId="En-tte">
    <w:name w:val="header"/>
    <w:basedOn w:val="Normal"/>
    <w:link w:val="En-tteCar"/>
    <w:uiPriority w:val="99"/>
    <w:unhideWhenUsed/>
    <w:rsid w:val="000534E2"/>
    <w:pPr>
      <w:tabs>
        <w:tab w:val="center" w:pos="4536"/>
        <w:tab w:val="right" w:pos="9072"/>
      </w:tabs>
      <w:spacing w:line="240" w:lineRule="auto"/>
    </w:pPr>
  </w:style>
  <w:style w:type="character" w:customStyle="1" w:styleId="En-tteCar">
    <w:name w:val="En-tête Car"/>
    <w:basedOn w:val="Policepardfaut"/>
    <w:link w:val="En-tte"/>
    <w:uiPriority w:val="99"/>
    <w:rsid w:val="000534E2"/>
  </w:style>
  <w:style w:type="paragraph" w:styleId="Pieddepage">
    <w:name w:val="footer"/>
    <w:basedOn w:val="Normal"/>
    <w:link w:val="PieddepageCar"/>
    <w:uiPriority w:val="99"/>
    <w:unhideWhenUsed/>
    <w:rsid w:val="000534E2"/>
    <w:pPr>
      <w:tabs>
        <w:tab w:val="center" w:pos="4536"/>
        <w:tab w:val="right" w:pos="9072"/>
      </w:tabs>
      <w:spacing w:line="240" w:lineRule="auto"/>
    </w:pPr>
  </w:style>
  <w:style w:type="character" w:customStyle="1" w:styleId="PieddepageCar">
    <w:name w:val="Pied de page Car"/>
    <w:basedOn w:val="Policepardfaut"/>
    <w:link w:val="Pieddepage"/>
    <w:uiPriority w:val="99"/>
    <w:rsid w:val="000534E2"/>
  </w:style>
  <w:style w:type="character" w:styleId="Lienhypertextesuivivisit">
    <w:name w:val="FollowedHyperlink"/>
    <w:basedOn w:val="Policepardfaut"/>
    <w:uiPriority w:val="99"/>
    <w:semiHidden/>
    <w:unhideWhenUsed/>
    <w:rsid w:val="00EF1053"/>
    <w:rPr>
      <w:color w:val="800080" w:themeColor="followedHyperlink"/>
      <w:u w:val="single"/>
    </w:rPr>
  </w:style>
  <w:style w:type="paragraph" w:styleId="TM2">
    <w:name w:val="toc 2"/>
    <w:basedOn w:val="Normal"/>
    <w:next w:val="Normal"/>
    <w:autoRedefine/>
    <w:uiPriority w:val="39"/>
    <w:unhideWhenUsed/>
    <w:rsid w:val="0033447F"/>
    <w:pPr>
      <w:tabs>
        <w:tab w:val="right" w:pos="9019"/>
      </w:tabs>
      <w:spacing w:after="100" w:line="360" w:lineRule="auto"/>
      <w:ind w:left="220"/>
      <w:jc w:val="both"/>
    </w:pPr>
  </w:style>
  <w:style w:type="paragraph" w:styleId="TM3">
    <w:name w:val="toc 3"/>
    <w:basedOn w:val="Normal"/>
    <w:next w:val="Normal"/>
    <w:autoRedefine/>
    <w:uiPriority w:val="39"/>
    <w:unhideWhenUsed/>
    <w:rsid w:val="000A268C"/>
    <w:pPr>
      <w:spacing w:after="100"/>
      <w:ind w:left="440"/>
    </w:pPr>
  </w:style>
  <w:style w:type="paragraph" w:customStyle="1" w:styleId="Default">
    <w:name w:val="Default"/>
    <w:rsid w:val="00F7253E"/>
    <w:pPr>
      <w:autoSpaceDE w:val="0"/>
      <w:autoSpaceDN w:val="0"/>
      <w:adjustRightInd w:val="0"/>
      <w:spacing w:line="240" w:lineRule="auto"/>
    </w:pPr>
    <w:rPr>
      <w:color w:val="000000"/>
      <w:sz w:val="24"/>
      <w:szCs w:val="24"/>
      <w:lang w:val="fr-FR"/>
    </w:rPr>
  </w:style>
  <w:style w:type="character" w:styleId="Numrodepage">
    <w:name w:val="page number"/>
    <w:basedOn w:val="Policepardfaut"/>
    <w:uiPriority w:val="99"/>
    <w:semiHidden/>
    <w:unhideWhenUsed/>
    <w:rsid w:val="00284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19933">
      <w:bodyDiv w:val="1"/>
      <w:marLeft w:val="0"/>
      <w:marRight w:val="0"/>
      <w:marTop w:val="0"/>
      <w:marBottom w:val="0"/>
      <w:divBdr>
        <w:top w:val="none" w:sz="0" w:space="0" w:color="auto"/>
        <w:left w:val="none" w:sz="0" w:space="0" w:color="auto"/>
        <w:bottom w:val="none" w:sz="0" w:space="0" w:color="auto"/>
        <w:right w:val="none" w:sz="0" w:space="0" w:color="auto"/>
      </w:divBdr>
    </w:div>
    <w:div w:id="78599246">
      <w:bodyDiv w:val="1"/>
      <w:marLeft w:val="0"/>
      <w:marRight w:val="0"/>
      <w:marTop w:val="0"/>
      <w:marBottom w:val="0"/>
      <w:divBdr>
        <w:top w:val="none" w:sz="0" w:space="0" w:color="auto"/>
        <w:left w:val="none" w:sz="0" w:space="0" w:color="auto"/>
        <w:bottom w:val="none" w:sz="0" w:space="0" w:color="auto"/>
        <w:right w:val="none" w:sz="0" w:space="0" w:color="auto"/>
      </w:divBdr>
    </w:div>
    <w:div w:id="429083908">
      <w:bodyDiv w:val="1"/>
      <w:marLeft w:val="0"/>
      <w:marRight w:val="0"/>
      <w:marTop w:val="0"/>
      <w:marBottom w:val="0"/>
      <w:divBdr>
        <w:top w:val="none" w:sz="0" w:space="0" w:color="auto"/>
        <w:left w:val="none" w:sz="0" w:space="0" w:color="auto"/>
        <w:bottom w:val="none" w:sz="0" w:space="0" w:color="auto"/>
        <w:right w:val="none" w:sz="0" w:space="0" w:color="auto"/>
      </w:divBdr>
    </w:div>
    <w:div w:id="819613239">
      <w:bodyDiv w:val="1"/>
      <w:marLeft w:val="0"/>
      <w:marRight w:val="0"/>
      <w:marTop w:val="0"/>
      <w:marBottom w:val="0"/>
      <w:divBdr>
        <w:top w:val="none" w:sz="0" w:space="0" w:color="auto"/>
        <w:left w:val="none" w:sz="0" w:space="0" w:color="auto"/>
        <w:bottom w:val="none" w:sz="0" w:space="0" w:color="auto"/>
        <w:right w:val="none" w:sz="0" w:space="0" w:color="auto"/>
      </w:divBdr>
    </w:div>
    <w:div w:id="1145775568">
      <w:bodyDiv w:val="1"/>
      <w:marLeft w:val="0"/>
      <w:marRight w:val="0"/>
      <w:marTop w:val="0"/>
      <w:marBottom w:val="0"/>
      <w:divBdr>
        <w:top w:val="none" w:sz="0" w:space="0" w:color="auto"/>
        <w:left w:val="none" w:sz="0" w:space="0" w:color="auto"/>
        <w:bottom w:val="none" w:sz="0" w:space="0" w:color="auto"/>
        <w:right w:val="none" w:sz="0" w:space="0" w:color="auto"/>
      </w:divBdr>
    </w:div>
    <w:div w:id="1536848458">
      <w:bodyDiv w:val="1"/>
      <w:marLeft w:val="0"/>
      <w:marRight w:val="0"/>
      <w:marTop w:val="0"/>
      <w:marBottom w:val="0"/>
      <w:divBdr>
        <w:top w:val="none" w:sz="0" w:space="0" w:color="auto"/>
        <w:left w:val="none" w:sz="0" w:space="0" w:color="auto"/>
        <w:bottom w:val="none" w:sz="0" w:space="0" w:color="auto"/>
        <w:right w:val="none" w:sz="0" w:space="0" w:color="auto"/>
      </w:divBdr>
    </w:div>
    <w:div w:id="1757899524">
      <w:bodyDiv w:val="1"/>
      <w:marLeft w:val="0"/>
      <w:marRight w:val="0"/>
      <w:marTop w:val="0"/>
      <w:marBottom w:val="0"/>
      <w:divBdr>
        <w:top w:val="none" w:sz="0" w:space="0" w:color="auto"/>
        <w:left w:val="none" w:sz="0" w:space="0" w:color="auto"/>
        <w:bottom w:val="none" w:sz="0" w:space="0" w:color="auto"/>
        <w:right w:val="none" w:sz="0" w:space="0" w:color="auto"/>
      </w:divBdr>
    </w:div>
    <w:div w:id="1914075553">
      <w:bodyDiv w:val="1"/>
      <w:marLeft w:val="0"/>
      <w:marRight w:val="0"/>
      <w:marTop w:val="0"/>
      <w:marBottom w:val="0"/>
      <w:divBdr>
        <w:top w:val="none" w:sz="0" w:space="0" w:color="auto"/>
        <w:left w:val="none" w:sz="0" w:space="0" w:color="auto"/>
        <w:bottom w:val="none" w:sz="0" w:space="0" w:color="auto"/>
        <w:right w:val="none" w:sz="0" w:space="0" w:color="auto"/>
      </w:divBdr>
      <w:divsChild>
        <w:div w:id="519854039">
          <w:marLeft w:val="0"/>
          <w:marRight w:val="0"/>
          <w:marTop w:val="0"/>
          <w:marBottom w:val="0"/>
          <w:divBdr>
            <w:top w:val="none" w:sz="0" w:space="0" w:color="auto"/>
            <w:left w:val="none" w:sz="0" w:space="0" w:color="auto"/>
            <w:bottom w:val="none" w:sz="0" w:space="0" w:color="auto"/>
            <w:right w:val="none" w:sz="0" w:space="0" w:color="auto"/>
          </w:divBdr>
          <w:divsChild>
            <w:div w:id="1438527659">
              <w:marLeft w:val="0"/>
              <w:marRight w:val="0"/>
              <w:marTop w:val="0"/>
              <w:marBottom w:val="0"/>
              <w:divBdr>
                <w:top w:val="none" w:sz="0" w:space="0" w:color="auto"/>
                <w:left w:val="none" w:sz="0" w:space="0" w:color="auto"/>
                <w:bottom w:val="none" w:sz="0" w:space="0" w:color="auto"/>
                <w:right w:val="none" w:sz="0" w:space="0" w:color="auto"/>
              </w:divBdr>
              <w:divsChild>
                <w:div w:id="138466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048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rHiK57XGhaI" TargetMode="External"/><Relationship Id="rId13" Type="http://schemas.openxmlformats.org/officeDocument/2006/relationships/hyperlink" Target="https://www.parlament.ch/fr/ratsbetrieb/suche-curia-vista/geschaeft?AffairId=20204386" TargetMode="External"/><Relationship Id="rId3" Type="http://schemas.openxmlformats.org/officeDocument/2006/relationships/hyperlink" Target="https://ge.ch/grandconseil/data/texte/PL12211.pdf" TargetMode="External"/><Relationship Id="rId7" Type="http://schemas.openxmlformats.org/officeDocument/2006/relationships/hyperlink" Target="https://www.ch.ch/fr/votations-et-elections/votations/remplir-correctement-le-bulletin-de-vote/" TargetMode="External"/><Relationship Id="rId12" Type="http://schemas.openxmlformats.org/officeDocument/2006/relationships/hyperlink" Target="https://www.parlament.ch/fr/ratsbetrieb/suche-curia-vista/geschaeft?AffairId=20204386" TargetMode="External"/><Relationship Id="rId2" Type="http://schemas.openxmlformats.org/officeDocument/2006/relationships/hyperlink" Target="https://ge.ch/grandconseil/data/texte/PL11969.pdf" TargetMode="External"/><Relationship Id="rId1" Type="http://schemas.openxmlformats.org/officeDocument/2006/relationships/hyperlink" Target="https://www.unige.ch/droit/lawclinic/fr" TargetMode="External"/><Relationship Id="rId6" Type="http://schemas.openxmlformats.org/officeDocument/2006/relationships/hyperlink" Target="https://www.parlament.ch/fr/ratsbetrieb/suche-curia-vista/geschaeft?AffairId=20213296" TargetMode="External"/><Relationship Id="rId11" Type="http://schemas.openxmlformats.org/officeDocument/2006/relationships/hyperlink" Target="https://www.parlament.ch/fr/ratsbetrieb/suche-curia-vista/geschaeft?AffairId=20173972" TargetMode="External"/><Relationship Id="rId5" Type="http://schemas.openxmlformats.org/officeDocument/2006/relationships/hyperlink" Target="https://ge.ch/grandconseil/data/texte/PL12211.pdf" TargetMode="External"/><Relationship Id="rId10" Type="http://schemas.openxmlformats.org/officeDocument/2006/relationships/hyperlink" Target="https://www.parlament.ch/centers/kb/Documents/2015/Rapport_de_la_commission_CSSS-E_15.2030_2017-10-26.pdf" TargetMode="External"/><Relationship Id="rId4" Type="http://schemas.openxmlformats.org/officeDocument/2006/relationships/hyperlink" Target="https://www.letemps.ch/suisse/combat-danne-tercier-atteinte-deficience-intellectuelle-recuperer-droits-civiques" TargetMode="External"/><Relationship Id="rId9" Type="http://schemas.openxmlformats.org/officeDocument/2006/relationships/hyperlink" Target="https://www.admin.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5FC97E-08E0-8646-AA7E-C082EE3A1C03}">
  <ds:schemaRefs>
    <ds:schemaRef ds:uri="http://schemas.openxmlformats.org/officeDocument/2006/bibliography"/>
  </ds:schemaRefs>
</ds:datastoreItem>
</file>

<file path=customXml/itemProps2.xml><?xml version="1.0" encoding="utf-8"?>
<ds:datastoreItem xmlns:ds="http://schemas.openxmlformats.org/officeDocument/2006/customXml" ds:itemID="{4FA6D594-16E3-4239-A166-ECCB3DFA93D8}"/>
</file>

<file path=customXml/itemProps3.xml><?xml version="1.0" encoding="utf-8"?>
<ds:datastoreItem xmlns:ds="http://schemas.openxmlformats.org/officeDocument/2006/customXml" ds:itemID="{5FFEA4C8-4C27-4535-AC98-0C1BB3659268}"/>
</file>

<file path=customXml/itemProps4.xml><?xml version="1.0" encoding="utf-8"?>
<ds:datastoreItem xmlns:ds="http://schemas.openxmlformats.org/officeDocument/2006/customXml" ds:itemID="{4013B77B-26F8-4823-BE85-A80459C5E436}"/>
</file>

<file path=docProps/app.xml><?xml version="1.0" encoding="utf-8"?>
<Properties xmlns="http://schemas.openxmlformats.org/officeDocument/2006/extended-properties" xmlns:vt="http://schemas.openxmlformats.org/officeDocument/2006/docPropsVTypes">
  <Template>Normal.dotm</Template>
  <TotalTime>1</TotalTime>
  <Pages>25</Pages>
  <Words>7698</Words>
  <Characters>40035</Characters>
  <Application>Microsoft Office Word</Application>
  <DocSecurity>0</DocSecurity>
  <Lines>800</Lines>
  <Paragraphs>237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Nesa Zimmermann</cp:lastModifiedBy>
  <cp:revision>2</cp:revision>
  <cp:lastPrinted>2022-02-23T16:25:00Z</cp:lastPrinted>
  <dcterms:created xsi:type="dcterms:W3CDTF">2022-02-23T16:25:00Z</dcterms:created>
  <dcterms:modified xsi:type="dcterms:W3CDTF">2022-02-23T16:25:00Z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