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EACAD" w14:textId="77777777" w:rsidR="00173481" w:rsidRDefault="007C19E9">
      <w:pPr>
        <w:spacing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114300" distB="114300" distL="114300" distR="114300" wp14:anchorId="7B6BD75D" wp14:editId="7331FB06">
            <wp:extent cx="5943600" cy="27813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b="11782"/>
                    <a:stretch>
                      <a:fillRect/>
                    </a:stretch>
                  </pic:blipFill>
                  <pic:spPr>
                    <a:xfrm>
                      <a:off x="0" y="0"/>
                      <a:ext cx="5943600" cy="2781300"/>
                    </a:xfrm>
                    <a:prstGeom prst="rect">
                      <a:avLst/>
                    </a:prstGeom>
                    <a:ln/>
                  </pic:spPr>
                </pic:pic>
              </a:graphicData>
            </a:graphic>
          </wp:inline>
        </w:drawing>
      </w:r>
    </w:p>
    <w:p w14:paraId="5AB32DEE" w14:textId="77777777" w:rsidR="00173481" w:rsidRDefault="007C19E9">
      <w:pPr>
        <w:spacing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noProof/>
          <w:sz w:val="26"/>
          <w:szCs w:val="26"/>
        </w:rPr>
        <w:drawing>
          <wp:inline distT="114300" distB="114300" distL="114300" distR="114300" wp14:anchorId="5F781947" wp14:editId="1D6E9BA0">
            <wp:extent cx="5943600" cy="4406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4406900"/>
                    </a:xfrm>
                    <a:prstGeom prst="rect">
                      <a:avLst/>
                    </a:prstGeom>
                    <a:ln/>
                  </pic:spPr>
                </pic:pic>
              </a:graphicData>
            </a:graphic>
          </wp:inline>
        </w:drawing>
      </w:r>
    </w:p>
    <w:p w14:paraId="2F05AEC7" w14:textId="77777777" w:rsidR="00047BC9" w:rsidRDefault="00047BC9">
      <w:pPr>
        <w:spacing w:line="240" w:lineRule="auto"/>
        <w:jc w:val="center"/>
        <w:rPr>
          <w:rFonts w:ascii="Times New Roman" w:eastAsia="Times New Roman" w:hAnsi="Times New Roman" w:cs="Times New Roman"/>
          <w:b/>
          <w:sz w:val="26"/>
          <w:szCs w:val="26"/>
        </w:rPr>
      </w:pPr>
    </w:p>
    <w:p w14:paraId="2A81108F" w14:textId="080EE655" w:rsidR="00047BC9" w:rsidRDefault="007C19E9" w:rsidP="00047BC9">
      <w:pPr>
        <w:spacing w:line="240" w:lineRule="auto"/>
        <w:jc w:val="center"/>
        <w:sectPr w:rsidR="00047BC9">
          <w:footerReference w:type="default" r:id="rId9"/>
          <w:pgSz w:w="12240" w:h="15840"/>
          <w:pgMar w:top="1440" w:right="1440" w:bottom="1440" w:left="1440" w:header="720" w:footer="720" w:gutter="0"/>
          <w:pgNumType w:start="1"/>
          <w:cols w:space="720"/>
        </w:sectPr>
      </w:pPr>
      <w:r>
        <w:rPr>
          <w:rFonts w:ascii="Times New Roman" w:eastAsia="Times New Roman" w:hAnsi="Times New Roman" w:cs="Times New Roman"/>
          <w:b/>
          <w:noProof/>
          <w:sz w:val="26"/>
          <w:szCs w:val="26"/>
        </w:rPr>
        <w:drawing>
          <wp:inline distT="114300" distB="114300" distL="114300" distR="114300" wp14:anchorId="37551301" wp14:editId="55C6EAF3">
            <wp:extent cx="5943600" cy="711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711200"/>
                    </a:xfrm>
                    <a:prstGeom prst="rect">
                      <a:avLst/>
                    </a:prstGeom>
                    <a:ln/>
                  </pic:spPr>
                </pic:pic>
              </a:graphicData>
            </a:graphic>
          </wp:inline>
        </w:drawing>
      </w:r>
    </w:p>
    <w:p w14:paraId="3764D9D4" w14:textId="77777777" w:rsidR="00F27196" w:rsidRDefault="00F27196" w:rsidP="00047BC9">
      <w:pPr>
        <w:spacing w:line="240" w:lineRule="auto"/>
      </w:pPr>
    </w:p>
    <w:p w14:paraId="43EF4559" w14:textId="77777777" w:rsidR="00173481" w:rsidRPr="00047BC9" w:rsidRDefault="007C19E9">
      <w:pPr>
        <w:pStyle w:val="Heading1"/>
        <w:keepNext w:val="0"/>
        <w:keepLines w:val="0"/>
        <w:numPr>
          <w:ilvl w:val="0"/>
          <w:numId w:val="6"/>
        </w:numPr>
        <w:spacing w:before="0" w:line="276" w:lineRule="auto"/>
        <w:rPr>
          <w:rFonts w:ascii="Times New Roman" w:eastAsia="Times New Roman" w:hAnsi="Times New Roman" w:cs="Times New Roman"/>
          <w:color w:val="000000"/>
          <w:u w:val="single"/>
        </w:rPr>
      </w:pPr>
      <w:bookmarkStart w:id="0" w:name="_8qh0zgmc04tw" w:colFirst="0" w:colLast="0"/>
      <w:bookmarkEnd w:id="0"/>
      <w:r w:rsidRPr="00047BC9">
        <w:rPr>
          <w:rFonts w:ascii="Times New Roman" w:eastAsia="Times New Roman" w:hAnsi="Times New Roman" w:cs="Times New Roman"/>
          <w:color w:val="000000"/>
          <w:u w:val="single"/>
        </w:rPr>
        <w:t>Introduction</w:t>
      </w:r>
    </w:p>
    <w:p w14:paraId="4D4440DF" w14:textId="77777777" w:rsidR="00173481" w:rsidRDefault="00173481">
      <w:pPr>
        <w:ind w:left="360"/>
        <w:rPr>
          <w:sz w:val="24"/>
          <w:szCs w:val="24"/>
        </w:rPr>
      </w:pPr>
    </w:p>
    <w:p w14:paraId="4E79872C" w14:textId="77777777" w:rsidR="00173481" w:rsidRDefault="007C19E9">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w:t>
      </w: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 xml:space="preserve">hematic </w:t>
      </w:r>
      <w:r>
        <w:rPr>
          <w:rFonts w:ascii="Times New Roman" w:eastAsia="Times New Roman" w:hAnsi="Times New Roman" w:cs="Times New Roman"/>
          <w:sz w:val="24"/>
          <w:szCs w:val="24"/>
        </w:rPr>
        <w:t>r</w:t>
      </w:r>
      <w:r>
        <w:rPr>
          <w:rFonts w:ascii="Times New Roman" w:eastAsia="Times New Roman" w:hAnsi="Times New Roman" w:cs="Times New Roman"/>
          <w:color w:val="000000"/>
          <w:sz w:val="24"/>
          <w:szCs w:val="24"/>
        </w:rPr>
        <w:t>eport is jointly prepared by civil society organizations affiliated with the Tanzania Early Childhood Development Network (TECDEN) and the Tanzania Child Rights Forum. It is submitted to the United Nations Committee on the Rights of the Child (UNCRC) to complement the 6th periodic report presented by the United Republic of Tanzania (hereafter referred to as the State Party).</w:t>
      </w:r>
    </w:p>
    <w:p w14:paraId="27438CDC" w14:textId="77777777" w:rsidR="00173481" w:rsidRDefault="00173481">
      <w:pPr>
        <w:pBdr>
          <w:top w:val="nil"/>
          <w:left w:val="nil"/>
          <w:bottom w:val="nil"/>
          <w:right w:val="nil"/>
          <w:between w:val="nil"/>
        </w:pBdr>
        <w:jc w:val="both"/>
        <w:rPr>
          <w:rFonts w:ascii="Times New Roman" w:eastAsia="Times New Roman" w:hAnsi="Times New Roman" w:cs="Times New Roman"/>
          <w:sz w:val="24"/>
          <w:szCs w:val="24"/>
        </w:rPr>
      </w:pPr>
    </w:p>
    <w:p w14:paraId="657FA0A6" w14:textId="77777777" w:rsidR="00173481" w:rsidRDefault="007C19E9">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While the State Party's report outlines the measures undertaken and progress made in implementing the Committee’s recommendations following the 2015 Concluding Observations, it provides limited information about young children particularly regarding the development, accessibility, and expansion of Early Childhood Care and Education (ECCE). This is despite the Committee’s explicit recommendation on ECCE in paragraph 61(f) of the 2015 Concluding Observations</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w:t>
      </w:r>
    </w:p>
    <w:p w14:paraId="6C42DA24" w14:textId="77777777" w:rsidR="00173481" w:rsidRDefault="00173481">
      <w:pPr>
        <w:pBdr>
          <w:top w:val="nil"/>
          <w:left w:val="nil"/>
          <w:bottom w:val="nil"/>
          <w:right w:val="nil"/>
          <w:between w:val="nil"/>
        </w:pBdr>
        <w:jc w:val="both"/>
        <w:rPr>
          <w:rFonts w:ascii="Times New Roman" w:eastAsia="Times New Roman" w:hAnsi="Times New Roman" w:cs="Times New Roman"/>
          <w:sz w:val="24"/>
          <w:szCs w:val="24"/>
        </w:rPr>
      </w:pPr>
    </w:p>
    <w:p w14:paraId="5BB78F1D" w14:textId="77777777" w:rsidR="00173481" w:rsidRDefault="007C19E9">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this context, the purpose of this thematic report is to:</w:t>
      </w:r>
    </w:p>
    <w:p w14:paraId="2BFA2513" w14:textId="77777777" w:rsidR="00173481" w:rsidRDefault="007C19E9">
      <w:pPr>
        <w:numPr>
          <w:ilvl w:val="0"/>
          <w:numId w:val="8"/>
        </w:numPr>
        <w:pBdr>
          <w:top w:val="nil"/>
          <w:left w:val="nil"/>
          <w:bottom w:val="nil"/>
          <w:right w:val="nil"/>
          <w:between w:val="nil"/>
        </w:pBdr>
        <w:jc w:val="both"/>
        <w:rPr>
          <w:sz w:val="24"/>
          <w:szCs w:val="24"/>
        </w:rPr>
      </w:pPr>
      <w:r>
        <w:rPr>
          <w:rFonts w:ascii="Times New Roman" w:eastAsia="Times New Roman" w:hAnsi="Times New Roman" w:cs="Times New Roman"/>
          <w:color w:val="000000"/>
          <w:sz w:val="24"/>
          <w:szCs w:val="24"/>
        </w:rPr>
        <w:t>Highlight the challenges that young children in Tanzania face, especially in accessing inclusive, equitable, and quality ECCE services; and</w:t>
      </w:r>
    </w:p>
    <w:p w14:paraId="366D2611" w14:textId="77777777" w:rsidR="00173481" w:rsidRDefault="007C19E9">
      <w:pPr>
        <w:numPr>
          <w:ilvl w:val="0"/>
          <w:numId w:val="8"/>
        </w:numPr>
        <w:pBdr>
          <w:top w:val="nil"/>
          <w:left w:val="nil"/>
          <w:bottom w:val="nil"/>
          <w:right w:val="nil"/>
          <w:between w:val="nil"/>
        </w:pBdr>
        <w:jc w:val="both"/>
        <w:rPr>
          <w:sz w:val="24"/>
          <w:szCs w:val="24"/>
        </w:rPr>
      </w:pPr>
      <w:r>
        <w:rPr>
          <w:rFonts w:ascii="Times New Roman" w:eastAsia="Times New Roman" w:hAnsi="Times New Roman" w:cs="Times New Roman"/>
          <w:color w:val="000000"/>
          <w:sz w:val="24"/>
          <w:szCs w:val="24"/>
        </w:rPr>
        <w:t>Offer concrete recommendations to advance the right of every child to quality early childhood care and education.</w:t>
      </w:r>
    </w:p>
    <w:p w14:paraId="145A1DB0" w14:textId="77777777" w:rsidR="00173481" w:rsidRDefault="00173481">
      <w:pPr>
        <w:pStyle w:val="Heading1"/>
        <w:keepNext w:val="0"/>
        <w:keepLines w:val="0"/>
        <w:pBdr>
          <w:top w:val="nil"/>
          <w:left w:val="nil"/>
          <w:bottom w:val="nil"/>
          <w:right w:val="nil"/>
          <w:between w:val="nil"/>
        </w:pBdr>
        <w:spacing w:before="0" w:line="276" w:lineRule="auto"/>
        <w:ind w:left="360"/>
        <w:rPr>
          <w:rFonts w:ascii="Times New Roman" w:eastAsia="Times New Roman" w:hAnsi="Times New Roman" w:cs="Times New Roman"/>
          <w:color w:val="000000"/>
        </w:rPr>
      </w:pPr>
      <w:bookmarkStart w:id="1" w:name="_72e3b6p1ev3o" w:colFirst="0" w:colLast="0"/>
      <w:bookmarkEnd w:id="1"/>
    </w:p>
    <w:p w14:paraId="6031B5AA" w14:textId="77777777" w:rsidR="00173481" w:rsidRDefault="007C19E9">
      <w:pPr>
        <w:pStyle w:val="Heading1"/>
        <w:keepNext w:val="0"/>
        <w:keepLines w:val="0"/>
        <w:numPr>
          <w:ilvl w:val="0"/>
          <w:numId w:val="6"/>
        </w:numPr>
        <w:pBdr>
          <w:top w:val="nil"/>
          <w:left w:val="nil"/>
          <w:bottom w:val="nil"/>
          <w:right w:val="nil"/>
          <w:between w:val="nil"/>
        </w:pBdr>
        <w:spacing w:before="0" w:line="276" w:lineRule="auto"/>
        <w:rPr>
          <w:rFonts w:ascii="Times New Roman" w:eastAsia="Times New Roman" w:hAnsi="Times New Roman" w:cs="Times New Roman"/>
          <w:color w:val="000000"/>
        </w:rPr>
      </w:pPr>
      <w:bookmarkStart w:id="2" w:name="_nf2p9ndrj5rd" w:colFirst="0" w:colLast="0"/>
      <w:bookmarkEnd w:id="2"/>
      <w:r>
        <w:rPr>
          <w:rFonts w:ascii="Times New Roman" w:eastAsia="Times New Roman" w:hAnsi="Times New Roman" w:cs="Times New Roman"/>
          <w:color w:val="000000"/>
          <w:u w:val="single"/>
        </w:rPr>
        <w:t>General measures of implementation</w:t>
      </w:r>
    </w:p>
    <w:p w14:paraId="6E131498" w14:textId="77777777" w:rsidR="00173481" w:rsidRDefault="00173481">
      <w:pPr>
        <w:pStyle w:val="Heading1"/>
        <w:keepNext w:val="0"/>
        <w:keepLines w:val="0"/>
        <w:pBdr>
          <w:top w:val="nil"/>
          <w:left w:val="nil"/>
          <w:bottom w:val="nil"/>
          <w:right w:val="nil"/>
          <w:between w:val="nil"/>
        </w:pBdr>
        <w:spacing w:before="0" w:line="276" w:lineRule="auto"/>
        <w:rPr>
          <w:rFonts w:ascii="Times New Roman" w:eastAsia="Times New Roman" w:hAnsi="Times New Roman" w:cs="Times New Roman"/>
          <w:color w:val="000000"/>
        </w:rPr>
      </w:pPr>
      <w:bookmarkStart w:id="3" w:name="_o9jtny18fp7t" w:colFirst="0" w:colLast="0"/>
      <w:bookmarkEnd w:id="3"/>
    </w:p>
    <w:p w14:paraId="6D0A0340" w14:textId="77777777" w:rsidR="00173481" w:rsidRDefault="007C19E9">
      <w:pPr>
        <w:pStyle w:val="Heading1"/>
        <w:keepNext w:val="0"/>
        <w:keepLines w:val="0"/>
        <w:pBdr>
          <w:top w:val="nil"/>
          <w:left w:val="nil"/>
          <w:bottom w:val="nil"/>
          <w:right w:val="nil"/>
          <w:between w:val="nil"/>
        </w:pBdr>
        <w:spacing w:before="0" w:line="276" w:lineRule="auto"/>
        <w:rPr>
          <w:rFonts w:ascii="Times New Roman" w:eastAsia="Times New Roman" w:hAnsi="Times New Roman" w:cs="Times New Roman"/>
          <w:color w:val="000000"/>
        </w:rPr>
      </w:pPr>
      <w:bookmarkStart w:id="4" w:name="_6f9zt54nz2kk" w:colFirst="0" w:colLast="0"/>
      <w:bookmarkEnd w:id="4"/>
      <w:r>
        <w:rPr>
          <w:rFonts w:ascii="Times New Roman" w:eastAsia="Times New Roman" w:hAnsi="Times New Roman" w:cs="Times New Roman"/>
          <w:color w:val="000000"/>
        </w:rPr>
        <w:t>2.1 Legal and Policy Frameworks on ECCE</w:t>
      </w:r>
    </w:p>
    <w:p w14:paraId="342BAE27"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previous review, the </w:t>
      </w:r>
      <w:hyperlink r:id="rId11">
        <w:r w:rsidR="00173481">
          <w:rPr>
            <w:rFonts w:ascii="Times New Roman" w:eastAsia="Times New Roman" w:hAnsi="Times New Roman" w:cs="Times New Roman"/>
            <w:b/>
            <w:color w:val="1155CC"/>
            <w:sz w:val="24"/>
            <w:szCs w:val="24"/>
            <w:u w:val="single"/>
          </w:rPr>
          <w:t xml:space="preserve">Committee </w:t>
        </w:r>
      </w:hyperlink>
      <w:r>
        <w:rPr>
          <w:rFonts w:ascii="Times New Roman" w:eastAsia="Times New Roman" w:hAnsi="Times New Roman" w:cs="Times New Roman"/>
          <w:b/>
          <w:color w:val="1155CC"/>
          <w:sz w:val="24"/>
          <w:szCs w:val="24"/>
          <w:u w:val="single"/>
        </w:rPr>
        <w:t>encouraged</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(para. 8) </w:t>
      </w:r>
      <w:r>
        <w:rPr>
          <w:rFonts w:ascii="Times New Roman" w:eastAsia="Times New Roman" w:hAnsi="Times New Roman" w:cs="Times New Roman"/>
          <w:sz w:val="24"/>
          <w:szCs w:val="24"/>
        </w:rPr>
        <w:t>the State party to reform existing legislation to create an appropriate legal framework in compliance with the provisions of the Convention as a measure to strengthen the protection of children’s rights.</w:t>
      </w:r>
    </w:p>
    <w:p w14:paraId="0AC4EA69"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hyperlink r:id="rId12">
        <w:r w:rsidR="00173481">
          <w:rPr>
            <w:rFonts w:ascii="Times New Roman" w:eastAsia="Times New Roman" w:hAnsi="Times New Roman" w:cs="Times New Roman"/>
            <w:b/>
            <w:color w:val="1155CC"/>
            <w:sz w:val="24"/>
            <w:szCs w:val="24"/>
            <w:u w:val="single"/>
          </w:rPr>
          <w:t>State Party</w:t>
        </w:r>
      </w:hyperlink>
      <w:r>
        <w:rPr>
          <w:rFonts w:ascii="Times New Roman" w:eastAsia="Times New Roman" w:hAnsi="Times New Roman" w:cs="Times New Roman"/>
          <w:sz w:val="24"/>
          <w:szCs w:val="24"/>
        </w:rPr>
        <w:t xml:space="preserve"> in its report (</w:t>
      </w:r>
      <w:r>
        <w:rPr>
          <w:rFonts w:ascii="Times New Roman" w:eastAsia="Times New Roman" w:hAnsi="Times New Roman" w:cs="Times New Roman"/>
          <w:b/>
          <w:sz w:val="24"/>
          <w:szCs w:val="24"/>
        </w:rPr>
        <w:t>paras. 22, 24 and 26</w:t>
      </w:r>
      <w:r>
        <w:rPr>
          <w:rFonts w:ascii="Times New Roman" w:eastAsia="Times New Roman" w:hAnsi="Times New Roman" w:cs="Times New Roman"/>
          <w:sz w:val="24"/>
          <w:szCs w:val="24"/>
        </w:rPr>
        <w:t>) highlighted the several measures taken to strengthen the legal protection of children’s rights including the adoption of the LCA (Day Care Centers and Crèches) Regulations in mainland Tanzania and the enactment of the Children’s Act of 2011 and the Children’s Act (Care and Protection of Children) Regulations of 2017 in Zanzibar.</w:t>
      </w:r>
    </w:p>
    <w:p w14:paraId="3F616243" w14:textId="77777777" w:rsidR="00173481" w:rsidRPr="009C3C3F" w:rsidRDefault="007C19E9">
      <w:pPr>
        <w:spacing w:after="240"/>
        <w:jc w:val="both"/>
        <w:rPr>
          <w:rFonts w:ascii="Times New Roman" w:eastAsia="Times New Roman" w:hAnsi="Times New Roman" w:cs="Times New Roman"/>
          <w:sz w:val="24"/>
          <w:szCs w:val="24"/>
        </w:rPr>
      </w:pPr>
      <w:r w:rsidRPr="009C3C3F">
        <w:rPr>
          <w:rFonts w:ascii="Times New Roman" w:eastAsia="Times New Roman" w:hAnsi="Times New Roman" w:cs="Times New Roman"/>
          <w:sz w:val="24"/>
          <w:szCs w:val="24"/>
        </w:rPr>
        <w:t xml:space="preserve">We also commend the State for adopting the </w:t>
      </w:r>
      <w:hyperlink r:id="rId13">
        <w:r w:rsidR="00173481" w:rsidRPr="009C3C3F">
          <w:rPr>
            <w:rFonts w:ascii="Times New Roman" w:eastAsia="Times New Roman" w:hAnsi="Times New Roman" w:cs="Times New Roman"/>
            <w:color w:val="1155CC"/>
            <w:sz w:val="24"/>
            <w:szCs w:val="24"/>
            <w:u w:val="single"/>
          </w:rPr>
          <w:t>National</w:t>
        </w:r>
      </w:hyperlink>
      <w:hyperlink r:id="rId14">
        <w:r w:rsidR="00173481" w:rsidRPr="009C3C3F">
          <w:rPr>
            <w:rFonts w:ascii="Times New Roman" w:eastAsia="Times New Roman" w:hAnsi="Times New Roman" w:cs="Times New Roman"/>
            <w:color w:val="1155CC"/>
            <w:sz w:val="24"/>
            <w:szCs w:val="24"/>
            <w:u w:val="single"/>
          </w:rPr>
          <w:t xml:space="preserve"> Multisectoral Early Childhood Development Program</w:t>
        </w:r>
      </w:hyperlink>
      <w:r w:rsidRPr="009C3C3F">
        <w:rPr>
          <w:rFonts w:ascii="Times New Roman" w:eastAsia="Times New Roman" w:hAnsi="Times New Roman" w:cs="Times New Roman"/>
          <w:sz w:val="24"/>
          <w:szCs w:val="24"/>
        </w:rPr>
        <w:t xml:space="preserve"> (NM-ECDP) 2021/22–2025/26 and the </w:t>
      </w:r>
      <w:hyperlink r:id="rId15">
        <w:r w:rsidR="00173481" w:rsidRPr="009C3C3F">
          <w:rPr>
            <w:rFonts w:ascii="Times New Roman" w:eastAsia="Times New Roman" w:hAnsi="Times New Roman" w:cs="Times New Roman"/>
            <w:color w:val="1155CC"/>
            <w:sz w:val="24"/>
            <w:szCs w:val="24"/>
            <w:u w:val="single"/>
          </w:rPr>
          <w:t>National Plan of Action to End Violence Against Women and Children</w:t>
        </w:r>
      </w:hyperlink>
      <w:r w:rsidRPr="009C3C3F">
        <w:rPr>
          <w:rFonts w:ascii="Times New Roman" w:eastAsia="Times New Roman" w:hAnsi="Times New Roman" w:cs="Times New Roman"/>
          <w:sz w:val="24"/>
          <w:szCs w:val="24"/>
        </w:rPr>
        <w:t xml:space="preserve"> (NPA-VAWC) II 2024/25-2028/29. </w:t>
      </w:r>
    </w:p>
    <w:p w14:paraId="16036CF3"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Despite notable progress in enacting ECCE related laws and policies, significant gaps remain in their dissemination and implementation</w:t>
      </w:r>
      <w:r>
        <w:rPr>
          <w:rFonts w:ascii="Times New Roman" w:eastAsia="Times New Roman" w:hAnsi="Times New Roman" w:cs="Times New Roman"/>
          <w:sz w:val="24"/>
          <w:szCs w:val="24"/>
        </w:rPr>
        <w:t xml:space="preserve">. Local Government Authorities (LGAs), ECCE providers, and frontline workers often lack adequate knowledge of the legal and policy frameworks due to inadequate training and communication. This has led to misinterpretation, inconsistent enforcement, and inappropriate service delivery, particularly at the community level. </w:t>
      </w:r>
    </w:p>
    <w:p w14:paraId="1C775A21"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continued use of the outdated 2008 National Child Development Policy poses a serious challenge as it does not reflect current priorities such as inclusive education, climate resilience, or integrated multi sectoral approaches to ECCE. The absence of updated guidelines to LGAs, strategic coordination, adequate resource allocation, and accountability mechanism, affects implementation of the new laws and policies. </w:t>
      </w:r>
    </w:p>
    <w:p w14:paraId="29C97224" w14:textId="77777777" w:rsidR="00173481" w:rsidRDefault="007C19E9">
      <w:pPr>
        <w:spacing w:after="240"/>
        <w:jc w:val="both"/>
        <w:rPr>
          <w:rFonts w:ascii="Times New Roman" w:eastAsia="Times New Roman" w:hAnsi="Times New Roman" w:cs="Times New Roman"/>
          <w:color w:val="0563C1"/>
          <w:sz w:val="24"/>
          <w:szCs w:val="24"/>
        </w:rPr>
      </w:pPr>
      <w:r>
        <w:rPr>
          <w:rFonts w:ascii="Times New Roman" w:eastAsia="Times New Roman" w:hAnsi="Times New Roman" w:cs="Times New Roman"/>
          <w:color w:val="0563C1"/>
          <w:sz w:val="24"/>
          <w:szCs w:val="24"/>
        </w:rPr>
        <w:t>The Committee may raise the below questions to the State:</w:t>
      </w:r>
    </w:p>
    <w:p w14:paraId="302C93DD" w14:textId="6BBA638C" w:rsidR="00173481" w:rsidRDefault="007C19E9">
      <w:pPr>
        <w:numPr>
          <w:ilvl w:val="0"/>
          <w:numId w:val="5"/>
        </w:numPr>
        <w:spacing w:after="240"/>
        <w:jc w:val="both"/>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 xml:space="preserve">What efforts have been made for </w:t>
      </w:r>
      <w:r w:rsidR="00F27196">
        <w:rPr>
          <w:rFonts w:ascii="Times New Roman" w:eastAsia="Times New Roman" w:hAnsi="Times New Roman" w:cs="Times New Roman"/>
          <w:b/>
          <w:color w:val="0563C1"/>
          <w:sz w:val="24"/>
          <w:szCs w:val="24"/>
        </w:rPr>
        <w:t>effective implementation and</w:t>
      </w:r>
      <w:r>
        <w:rPr>
          <w:rFonts w:ascii="Times New Roman" w:eastAsia="Times New Roman" w:hAnsi="Times New Roman" w:cs="Times New Roman"/>
          <w:b/>
          <w:color w:val="0563C1"/>
          <w:sz w:val="24"/>
          <w:szCs w:val="24"/>
        </w:rPr>
        <w:t xml:space="preserve"> awareness raising among the local government </w:t>
      </w:r>
      <w:r w:rsidR="00F27196">
        <w:rPr>
          <w:rFonts w:ascii="Times New Roman" w:eastAsia="Times New Roman" w:hAnsi="Times New Roman" w:cs="Times New Roman"/>
          <w:b/>
          <w:color w:val="0563C1"/>
          <w:sz w:val="24"/>
          <w:szCs w:val="24"/>
        </w:rPr>
        <w:t>authorities, and</w:t>
      </w:r>
      <w:r>
        <w:rPr>
          <w:rFonts w:ascii="Times New Roman" w:eastAsia="Times New Roman" w:hAnsi="Times New Roman" w:cs="Times New Roman"/>
          <w:b/>
          <w:color w:val="0563C1"/>
          <w:sz w:val="24"/>
          <w:szCs w:val="24"/>
        </w:rPr>
        <w:t xml:space="preserve"> frontline workers on the new legal and policy frameworks?</w:t>
      </w:r>
    </w:p>
    <w:p w14:paraId="39315562" w14:textId="77777777" w:rsidR="00173481" w:rsidRDefault="00173481">
      <w:pPr>
        <w:spacing w:after="240"/>
        <w:ind w:left="720"/>
        <w:jc w:val="both"/>
        <w:rPr>
          <w:rFonts w:ascii="Times New Roman" w:eastAsia="Times New Roman" w:hAnsi="Times New Roman" w:cs="Times New Roman"/>
          <w:b/>
          <w:color w:val="0563C1"/>
          <w:sz w:val="4"/>
          <w:szCs w:val="4"/>
        </w:rPr>
      </w:pPr>
    </w:p>
    <w:p w14:paraId="34A5711C" w14:textId="77777777" w:rsidR="00173481" w:rsidRDefault="007C19E9">
      <w:pPr>
        <w:pStyle w:val="Heading1"/>
        <w:keepNext w:val="0"/>
        <w:keepLines w:val="0"/>
        <w:pBdr>
          <w:top w:val="nil"/>
          <w:left w:val="nil"/>
          <w:bottom w:val="nil"/>
          <w:right w:val="nil"/>
          <w:between w:val="nil"/>
        </w:pBdr>
        <w:spacing w:before="0"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2.2 Coordination</w:t>
      </w:r>
    </w:p>
    <w:p w14:paraId="49F11736" w14:textId="77777777" w:rsidR="00173481" w:rsidRDefault="00173481"/>
    <w:p w14:paraId="41145CDE" w14:textId="605692CB"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 xml:space="preserve"> </w:t>
      </w:r>
      <w:hyperlink r:id="rId16">
        <w:r w:rsidR="00173481">
          <w:rPr>
            <w:rFonts w:ascii="Times New Roman" w:eastAsia="Times New Roman" w:hAnsi="Times New Roman" w:cs="Times New Roman"/>
            <w:b/>
            <w:color w:val="1155CC"/>
            <w:sz w:val="24"/>
            <w:szCs w:val="24"/>
            <w:u w:val="single"/>
          </w:rPr>
          <w:t>Committee recommended</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para. 12)</w:t>
      </w:r>
      <w:r>
        <w:rPr>
          <w:rFonts w:ascii="Times New Roman" w:eastAsia="Times New Roman" w:hAnsi="Times New Roman" w:cs="Times New Roman"/>
          <w:sz w:val="24"/>
          <w:szCs w:val="24"/>
        </w:rPr>
        <w:t>, that the State party establish an appropriate body at a high inter-ministerial level with a clear mandate and sufficient authority to coordinate all sectors relevant to the implementation of the Convention at the national and sub-national local levels. Furthermore, to ensure the coordinating body is provided with the necessary human and financial resources to operate effectively.</w:t>
      </w:r>
    </w:p>
    <w:p w14:paraId="453B79DA" w14:textId="0D212682"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connection to this, the </w:t>
      </w:r>
      <w:hyperlink r:id="rId17">
        <w:r w:rsidR="00173481">
          <w:rPr>
            <w:rFonts w:ascii="Times New Roman" w:eastAsia="Times New Roman" w:hAnsi="Times New Roman" w:cs="Times New Roman"/>
            <w:b/>
            <w:color w:val="1155CC"/>
            <w:sz w:val="24"/>
            <w:szCs w:val="24"/>
            <w:u w:val="single"/>
          </w:rPr>
          <w:t>State reported (para. 31)</w:t>
        </w:r>
      </w:hyperlink>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that it has developed functional institutional coordination mechanisms, both sectoral and cross-sectoral, involving all relevant line ministries and Ministries, Departments and Agencies (MDAs) and other key stakeholders in the implementation of the CRC in both mainland Tanzania and Zanzibar.</w:t>
      </w:r>
    </w:p>
    <w:p w14:paraId="15BE8BCC" w14:textId="664E9879"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w:t>
      </w:r>
      <w:r>
        <w:rPr>
          <w:rFonts w:ascii="Times New Roman" w:eastAsia="Times New Roman" w:hAnsi="Times New Roman" w:cs="Times New Roman"/>
          <w:b/>
          <w:sz w:val="24"/>
          <w:szCs w:val="24"/>
        </w:rPr>
        <w:t>ECCE services are affected due to poor intersectoral coordination</w:t>
      </w:r>
      <w:r>
        <w:rPr>
          <w:rFonts w:ascii="Times New Roman" w:eastAsia="Times New Roman" w:hAnsi="Times New Roman" w:cs="Times New Roman"/>
          <w:sz w:val="24"/>
          <w:szCs w:val="24"/>
        </w:rPr>
        <w:t xml:space="preserve">. ECCE does not have any standalone legislation </w:t>
      </w:r>
      <w:r w:rsidR="00F27196">
        <w:rPr>
          <w:rFonts w:ascii="Times New Roman" w:eastAsia="Times New Roman" w:hAnsi="Times New Roman" w:cs="Times New Roman"/>
          <w:sz w:val="24"/>
          <w:szCs w:val="24"/>
        </w:rPr>
        <w:t>and is</w:t>
      </w:r>
      <w:r>
        <w:rPr>
          <w:rFonts w:ascii="Times New Roman" w:eastAsia="Times New Roman" w:hAnsi="Times New Roman" w:cs="Times New Roman"/>
          <w:sz w:val="24"/>
          <w:szCs w:val="24"/>
        </w:rPr>
        <w:t xml:space="preserve"> not </w:t>
      </w:r>
      <w:r w:rsidR="00F27196">
        <w:rPr>
          <w:rFonts w:ascii="Times New Roman" w:eastAsia="Times New Roman" w:hAnsi="Times New Roman" w:cs="Times New Roman"/>
          <w:sz w:val="24"/>
          <w:szCs w:val="24"/>
        </w:rPr>
        <w:t>compulsory, therefore lacking</w:t>
      </w:r>
      <w:r>
        <w:rPr>
          <w:rFonts w:ascii="Times New Roman" w:eastAsia="Times New Roman" w:hAnsi="Times New Roman" w:cs="Times New Roman"/>
          <w:sz w:val="24"/>
          <w:szCs w:val="24"/>
        </w:rPr>
        <w:t xml:space="preserve"> clarity on institutional responsibilities, service standards, and accountability mechanisms. Responsible line ministries lack clear operational mandates and harmonized monitoring mechanisms. Pre-primary schools and Day Care Centers (DCCs) are administered under separate structures without formal transition mechanisms, resulting in service discontinuities a</w:t>
      </w:r>
      <w:r>
        <w:rPr>
          <w:rFonts w:ascii="Times New Roman" w:eastAsia="Times New Roman" w:hAnsi="Times New Roman" w:cs="Times New Roman"/>
          <w:sz w:val="24"/>
          <w:szCs w:val="24"/>
        </w:rPr>
        <w:t>nd dropouts.</w:t>
      </w:r>
    </w:p>
    <w:p w14:paraId="4A05BE4A" w14:textId="77777777" w:rsidR="00173481" w:rsidRDefault="00173481">
      <w:pPr>
        <w:spacing w:after="240"/>
        <w:jc w:val="both"/>
        <w:rPr>
          <w:rFonts w:ascii="Times New Roman" w:eastAsia="Times New Roman" w:hAnsi="Times New Roman" w:cs="Times New Roman"/>
          <w:color w:val="0563C1"/>
          <w:sz w:val="24"/>
          <w:szCs w:val="24"/>
        </w:rPr>
      </w:pPr>
    </w:p>
    <w:p w14:paraId="59620B07" w14:textId="77777777" w:rsidR="00173481" w:rsidRDefault="00173481">
      <w:pPr>
        <w:spacing w:after="240"/>
        <w:jc w:val="both"/>
        <w:rPr>
          <w:rFonts w:ascii="Times New Roman" w:eastAsia="Times New Roman" w:hAnsi="Times New Roman" w:cs="Times New Roman"/>
          <w:color w:val="0563C1"/>
          <w:sz w:val="24"/>
          <w:szCs w:val="24"/>
        </w:rPr>
      </w:pPr>
    </w:p>
    <w:p w14:paraId="214DE5D5"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color w:val="0563C1"/>
          <w:sz w:val="24"/>
          <w:szCs w:val="24"/>
        </w:rPr>
        <w:lastRenderedPageBreak/>
        <w:t>The Committee may inquire from the State on the below:</w:t>
      </w:r>
      <w:r>
        <w:rPr>
          <w:rFonts w:ascii="Times New Roman" w:eastAsia="Times New Roman" w:hAnsi="Times New Roman" w:cs="Times New Roman"/>
          <w:sz w:val="24"/>
          <w:szCs w:val="24"/>
        </w:rPr>
        <w:t xml:space="preserve"> </w:t>
      </w:r>
    </w:p>
    <w:p w14:paraId="4476F17F" w14:textId="77777777" w:rsidR="00173481" w:rsidRDefault="007C19E9">
      <w:pPr>
        <w:numPr>
          <w:ilvl w:val="0"/>
          <w:numId w:val="4"/>
        </w:numPr>
        <w:spacing w:before="240"/>
        <w:jc w:val="both"/>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Does the legal and/or policy framework on ECCE establish a central authority mandated to oversee ECCE, ensuring a comprehensive and holistic approach to early childhood care and development?</w:t>
      </w:r>
    </w:p>
    <w:p w14:paraId="221B7C2A" w14:textId="77777777" w:rsidR="00173481" w:rsidRDefault="007C19E9">
      <w:pPr>
        <w:numPr>
          <w:ilvl w:val="0"/>
          <w:numId w:val="4"/>
        </w:numPr>
        <w:spacing w:after="240"/>
        <w:jc w:val="both"/>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 xml:space="preserve">Are there any established mechanisms that exist to oversee the coordination of ECCE services between different ministries? Does this mechanism clearly define the roles and responsibilities of various ministries including the coordinating ministry? </w:t>
      </w:r>
    </w:p>
    <w:p w14:paraId="137727BC" w14:textId="77777777" w:rsidR="00173481" w:rsidRDefault="00173481">
      <w:pPr>
        <w:spacing w:after="240"/>
        <w:jc w:val="both"/>
        <w:rPr>
          <w:rFonts w:ascii="Times New Roman" w:eastAsia="Times New Roman" w:hAnsi="Times New Roman" w:cs="Times New Roman"/>
          <w:b/>
          <w:sz w:val="24"/>
          <w:szCs w:val="24"/>
        </w:rPr>
      </w:pPr>
    </w:p>
    <w:p w14:paraId="5D3C0DEB" w14:textId="77777777" w:rsidR="00173481" w:rsidRDefault="007C19E9">
      <w:pPr>
        <w:spacing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Data Collection</w:t>
      </w:r>
    </w:p>
    <w:p w14:paraId="63EEDA2B" w14:textId="77777777" w:rsidR="00173481" w:rsidRDefault="007C19E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hyperlink r:id="rId18">
        <w:r w:rsidR="00173481">
          <w:rPr>
            <w:rFonts w:ascii="Times New Roman" w:eastAsia="Times New Roman" w:hAnsi="Times New Roman" w:cs="Times New Roman"/>
            <w:b/>
            <w:color w:val="1155CC"/>
            <w:sz w:val="24"/>
            <w:szCs w:val="24"/>
            <w:u w:val="single"/>
          </w:rPr>
          <w:t>Committee's recommend</w:t>
        </w:r>
      </w:hyperlink>
      <w:r>
        <w:rPr>
          <w:rFonts w:ascii="Times New Roman" w:eastAsia="Times New Roman" w:hAnsi="Times New Roman" w:cs="Times New Roman"/>
          <w:b/>
          <w:color w:val="1155CC"/>
          <w:sz w:val="24"/>
          <w:szCs w:val="24"/>
          <w:u w:val="single"/>
        </w:rPr>
        <w:t>ed (</w:t>
      </w:r>
      <w:r>
        <w:rPr>
          <w:rFonts w:ascii="Times New Roman" w:eastAsia="Times New Roman" w:hAnsi="Times New Roman" w:cs="Times New Roman"/>
          <w:b/>
          <w:sz w:val="24"/>
          <w:szCs w:val="24"/>
        </w:rPr>
        <w:t xml:space="preserve">para. 16) </w:t>
      </w:r>
      <w:r>
        <w:rPr>
          <w:rFonts w:ascii="Times New Roman" w:eastAsia="Times New Roman" w:hAnsi="Times New Roman" w:cs="Times New Roman"/>
          <w:sz w:val="24"/>
          <w:szCs w:val="24"/>
        </w:rPr>
        <w:t>that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State party, expeditiously improve its data-collection system to cover all areas of the Convention and be disaggregated by age, sex, disability, geographic location, ethnic origin and socioeconomic background in order to facilitate analysis of the situation of all children, particularly those in situations of vulnerability. </w:t>
      </w:r>
    </w:p>
    <w:p w14:paraId="5D348FBE" w14:textId="77777777" w:rsidR="00173481" w:rsidRDefault="007C19E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b/>
          <w:sz w:val="24"/>
          <w:szCs w:val="24"/>
        </w:rPr>
        <w:t xml:space="preserve"> </w:t>
      </w:r>
      <w:hyperlink r:id="rId19">
        <w:r w:rsidR="00173481">
          <w:rPr>
            <w:rFonts w:ascii="Times New Roman" w:eastAsia="Times New Roman" w:hAnsi="Times New Roman" w:cs="Times New Roman"/>
            <w:b/>
            <w:color w:val="1155CC"/>
            <w:sz w:val="24"/>
            <w:szCs w:val="24"/>
            <w:u w:val="single"/>
          </w:rPr>
          <w:t xml:space="preserve">State reported </w:t>
        </w:r>
      </w:hyperlink>
      <w:r>
        <w:rPr>
          <w:rFonts w:ascii="Times New Roman" w:eastAsia="Times New Roman" w:hAnsi="Times New Roman" w:cs="Times New Roman"/>
          <w:sz w:val="24"/>
          <w:szCs w:val="24"/>
        </w:rPr>
        <w:t>in (</w:t>
      </w:r>
      <w:r>
        <w:rPr>
          <w:rFonts w:ascii="Times New Roman" w:eastAsia="Times New Roman" w:hAnsi="Times New Roman" w:cs="Times New Roman"/>
          <w:b/>
          <w:sz w:val="24"/>
          <w:szCs w:val="24"/>
        </w:rPr>
        <w:t>paras. 38 and 39)</w:t>
      </w:r>
      <w:r>
        <w:rPr>
          <w:rFonts w:ascii="Times New Roman" w:eastAsia="Times New Roman" w:hAnsi="Times New Roman" w:cs="Times New Roman"/>
          <w:sz w:val="24"/>
          <w:szCs w:val="24"/>
        </w:rPr>
        <w:t xml:space="preserve"> about the adoption of a centralized data collection and management system, managed by the National Bureau of Statistics (NBS) that collects data across sectors and ministries. </w:t>
      </w:r>
    </w:p>
    <w:p w14:paraId="447B49FC" w14:textId="66540BB1"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recognize government efforts in collecting data including on ECCE, as demonstrated in the Basic Education Statistics System (BEST) and through other initiatives including the Most Vulnerable Children Management Information System (MV-MIS) and the Integrated Monitoring and Evaluation System (IMES). </w:t>
      </w:r>
    </w:p>
    <w:p w14:paraId="48D219D8" w14:textId="371A4C27" w:rsidR="00173481" w:rsidRDefault="00F27230">
      <w:pPr>
        <w:spacing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However, the data collected is spread across ministries without a centralized, interoperable system, hindering cohesive analysis and decision-making</w:t>
      </w:r>
      <w:r>
        <w:rPr>
          <w:rFonts w:ascii="Times New Roman" w:eastAsia="Times New Roman" w:hAnsi="Times New Roman" w:cs="Times New Roman"/>
          <w:sz w:val="24"/>
          <w:szCs w:val="24"/>
        </w:rPr>
        <w:t xml:space="preserve">—especially for children aged 0–4 in Day care centres. </w:t>
      </w:r>
      <w:r>
        <w:rPr>
          <w:rFonts w:ascii="Times New Roman" w:eastAsia="Times New Roman" w:hAnsi="Times New Roman" w:cs="Times New Roman"/>
          <w:b/>
          <w:sz w:val="24"/>
          <w:szCs w:val="24"/>
        </w:rPr>
        <w:t>There’s insufficient data disaggregation</w:t>
      </w:r>
      <w:r>
        <w:rPr>
          <w:rFonts w:ascii="Times New Roman" w:eastAsia="Times New Roman" w:hAnsi="Times New Roman" w:cs="Times New Roman"/>
          <w:sz w:val="24"/>
          <w:szCs w:val="24"/>
        </w:rPr>
        <w:t xml:space="preserve"> as current datasets often lack detailed breakdowns by age (especially under-3), disability, socioeconomic status, and geography, limiting the ability to identify and address inequalities. This system also excludes informal DCCs and therefore official data doesn't capture information about unregistered or community-run centers.</w:t>
      </w:r>
    </w:p>
    <w:p w14:paraId="70C2886A" w14:textId="3EA6FCC8" w:rsidR="00173481" w:rsidRPr="00047BC9"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there’s inadequate capacity building, human resources and poor internet and power connectivity and shortage of devices affecting the data collection process, especially in the rural areas. Moreover</w:t>
      </w:r>
      <w:r w:rsidR="00F2723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indicators focus mainly on enrollment and infrastructure, and don't effectively measure quality, child outcomes</w:t>
      </w:r>
      <w:r w:rsidR="00F2723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or inclusivity.</w:t>
      </w:r>
    </w:p>
    <w:p w14:paraId="71F84E74" w14:textId="77777777" w:rsidR="00173481" w:rsidRDefault="007C19E9">
      <w:pPr>
        <w:spacing w:after="240"/>
        <w:jc w:val="both"/>
        <w:rPr>
          <w:rFonts w:ascii="Times New Roman" w:eastAsia="Times New Roman" w:hAnsi="Times New Roman" w:cs="Times New Roman"/>
          <w:color w:val="0563C1"/>
          <w:sz w:val="24"/>
          <w:szCs w:val="24"/>
        </w:rPr>
      </w:pPr>
      <w:r>
        <w:rPr>
          <w:rFonts w:ascii="Times New Roman" w:eastAsia="Times New Roman" w:hAnsi="Times New Roman" w:cs="Times New Roman"/>
          <w:color w:val="0563C1"/>
          <w:sz w:val="24"/>
          <w:szCs w:val="24"/>
        </w:rPr>
        <w:t xml:space="preserve">The Committee may consider raising the following questions to the State: </w:t>
      </w:r>
    </w:p>
    <w:p w14:paraId="5DE6B365" w14:textId="77777777" w:rsidR="00173481" w:rsidRDefault="007C19E9">
      <w:pPr>
        <w:numPr>
          <w:ilvl w:val="0"/>
          <w:numId w:val="2"/>
        </w:numPr>
        <w:jc w:val="both"/>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 xml:space="preserve">What specific measures does the State take to collect the disaggregated data of children in early childhood? </w:t>
      </w:r>
    </w:p>
    <w:p w14:paraId="767D223F" w14:textId="77777777" w:rsidR="00173481" w:rsidRDefault="007C19E9">
      <w:pPr>
        <w:numPr>
          <w:ilvl w:val="0"/>
          <w:numId w:val="2"/>
        </w:numPr>
        <w:spacing w:after="240"/>
        <w:jc w:val="both"/>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lastRenderedPageBreak/>
        <w:t>Are appropriate indicators included for assessing the dimensions of ECCE including quality, child outcomes and inclusivity?</w:t>
      </w:r>
    </w:p>
    <w:p w14:paraId="3997D50E" w14:textId="77777777" w:rsidR="00173481" w:rsidRDefault="00173481">
      <w:pPr>
        <w:spacing w:after="240"/>
        <w:jc w:val="both"/>
        <w:rPr>
          <w:rFonts w:ascii="Times New Roman" w:eastAsia="Times New Roman" w:hAnsi="Times New Roman" w:cs="Times New Roman"/>
          <w:b/>
          <w:sz w:val="24"/>
          <w:szCs w:val="24"/>
        </w:rPr>
      </w:pPr>
    </w:p>
    <w:p w14:paraId="10D551D5" w14:textId="77777777" w:rsidR="00173481" w:rsidRDefault="007C19E9">
      <w:pPr>
        <w:spacing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Monitoring of Private Providers</w:t>
      </w:r>
    </w:p>
    <w:p w14:paraId="62B10064"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Private providers of ECCE, including pre-primary schools, daycare centers, and home-based services—increasingly dominate Tanzania’s early learning landscape, particularly in urban and underserved areas </w:t>
      </w:r>
      <w:hyperlink r:id="rId20">
        <w:r w:rsidR="00173481">
          <w:rPr>
            <w:rFonts w:ascii="Times New Roman" w:eastAsia="Times New Roman" w:hAnsi="Times New Roman" w:cs="Times New Roman"/>
            <w:color w:val="1155CC"/>
            <w:sz w:val="24"/>
            <w:szCs w:val="24"/>
            <w:u w:val="single"/>
          </w:rPr>
          <w:t>(UNESCO, 2022)</w:t>
        </w:r>
      </w:hyperlink>
      <w:r>
        <w:rPr>
          <w:rFonts w:ascii="Times New Roman" w:eastAsia="Times New Roman" w:hAnsi="Times New Roman" w:cs="Times New Roman"/>
          <w:sz w:val="24"/>
          <w:szCs w:val="24"/>
        </w:rPr>
        <w:t xml:space="preserve">. While the Education Regulations of 2016 require all ECCE institutions to register and meet national standards (URT, 2016), many providers operate informally, with limited or no government oversight, especially in low-income and rural communities </w:t>
      </w:r>
      <w:hyperlink r:id="rId21">
        <w:r w:rsidR="00173481">
          <w:rPr>
            <w:rFonts w:ascii="Times New Roman" w:eastAsia="Times New Roman" w:hAnsi="Times New Roman" w:cs="Times New Roman"/>
            <w:color w:val="1155CC"/>
            <w:sz w:val="24"/>
            <w:szCs w:val="24"/>
            <w:u w:val="single"/>
          </w:rPr>
          <w:t>(World Bank &amp; UNICEF, 2022)</w:t>
        </w:r>
      </w:hyperlink>
      <w:r>
        <w:rPr>
          <w:rFonts w:ascii="Times New Roman" w:eastAsia="Times New Roman" w:hAnsi="Times New Roman" w:cs="Times New Roman"/>
          <w:sz w:val="24"/>
          <w:szCs w:val="24"/>
        </w:rPr>
        <w:t>.</w:t>
      </w:r>
    </w:p>
    <w:p w14:paraId="3B68D605"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monitoring and regulation mechanisms are weak due to inadequate resources, and logistical support at the local government level</w:t>
      </w:r>
      <w:r>
        <w:rPr>
          <w:rFonts w:ascii="Times New Roman" w:eastAsia="Times New Roman" w:hAnsi="Times New Roman" w:cs="Times New Roman"/>
          <w:sz w:val="24"/>
          <w:szCs w:val="24"/>
        </w:rPr>
        <w:t xml:space="preserve">. Ward Education and Quality Assurance Officers—tasked with supervision—are often overstretched and lack the tools to enforce compliance. Informal and home-based centers, which are emerging in large numbers, are unregulated and undocumented, making it difficult to ensure quality, safety, and developmental outcomes for children </w:t>
      </w:r>
      <w:r w:rsidRPr="00047BC9">
        <w:rPr>
          <w:rFonts w:ascii="Times New Roman" w:eastAsia="Times New Roman" w:hAnsi="Times New Roman" w:cs="Times New Roman"/>
          <w:i/>
          <w:iCs/>
          <w:sz w:val="24"/>
          <w:szCs w:val="24"/>
        </w:rPr>
        <w:t>(UNICEF, 2023).</w:t>
      </w:r>
      <w:r>
        <w:rPr>
          <w:rFonts w:ascii="Times New Roman" w:eastAsia="Times New Roman" w:hAnsi="Times New Roman" w:cs="Times New Roman"/>
          <w:sz w:val="24"/>
          <w:szCs w:val="24"/>
        </w:rPr>
        <w:t xml:space="preserve"> Although an estimated 4,000 daycare centers are officially registered, the majority operate informally without oversight—posing serious risks to child safety and development. Home-based childcare, while widely used by working parents, remains unrecognized and unsupported. Moreover, while national standards and curricula exist, compliance among private providers is inconsistent, leading to wide disparities in quality </w:t>
      </w:r>
      <w:r w:rsidRPr="00047BC9">
        <w:rPr>
          <w:rFonts w:ascii="Times New Roman" w:eastAsia="Times New Roman" w:hAnsi="Times New Roman" w:cs="Times New Roman"/>
          <w:i/>
          <w:iCs/>
          <w:sz w:val="24"/>
          <w:szCs w:val="24"/>
        </w:rPr>
        <w:t>(URT &amp;</w:t>
      </w:r>
      <w:r>
        <w:rPr>
          <w:rFonts w:ascii="Times New Roman" w:eastAsia="Times New Roman" w:hAnsi="Times New Roman" w:cs="Times New Roman"/>
          <w:sz w:val="24"/>
          <w:szCs w:val="24"/>
        </w:rPr>
        <w:t xml:space="preserve"> </w:t>
      </w:r>
      <w:r w:rsidRPr="00047BC9">
        <w:rPr>
          <w:rFonts w:ascii="Times New Roman" w:eastAsia="Times New Roman" w:hAnsi="Times New Roman" w:cs="Times New Roman"/>
          <w:i/>
          <w:iCs/>
          <w:sz w:val="24"/>
          <w:szCs w:val="24"/>
        </w:rPr>
        <w:t>UNICEF, 2021).</w:t>
      </w:r>
      <w:r>
        <w:rPr>
          <w:rFonts w:ascii="Times New Roman" w:eastAsia="Times New Roman" w:hAnsi="Times New Roman" w:cs="Times New Roman"/>
          <w:sz w:val="24"/>
          <w:szCs w:val="24"/>
        </w:rPr>
        <w:t xml:space="preserve"> While the law regulates service fees, private day care centers and pr</w:t>
      </w:r>
      <w:r>
        <w:rPr>
          <w:rFonts w:ascii="Times New Roman" w:eastAsia="Times New Roman" w:hAnsi="Times New Roman" w:cs="Times New Roman"/>
          <w:sz w:val="24"/>
          <w:szCs w:val="24"/>
        </w:rPr>
        <w:t>e-primary schools are unaffordable for families from marginalized backgrounds due to high direct and indirect costs, with minimal government subsidies or financial support.</w:t>
      </w:r>
    </w:p>
    <w:p w14:paraId="3FE7418D" w14:textId="77777777" w:rsidR="00173481" w:rsidRDefault="007C19E9">
      <w:pPr>
        <w:spacing w:after="240"/>
        <w:jc w:val="both"/>
        <w:rPr>
          <w:rFonts w:ascii="Times New Roman" w:eastAsia="Times New Roman" w:hAnsi="Times New Roman" w:cs="Times New Roman"/>
          <w:color w:val="0563C1"/>
          <w:sz w:val="24"/>
          <w:szCs w:val="24"/>
        </w:rPr>
      </w:pPr>
      <w:r>
        <w:rPr>
          <w:rFonts w:ascii="Times New Roman" w:eastAsia="Times New Roman" w:hAnsi="Times New Roman" w:cs="Times New Roman"/>
          <w:color w:val="0563C1"/>
          <w:sz w:val="24"/>
          <w:szCs w:val="24"/>
        </w:rPr>
        <w:t>The Committee may raise the below questions to the State:</w:t>
      </w:r>
    </w:p>
    <w:p w14:paraId="25CA9FDB" w14:textId="4245A468" w:rsidR="00173481" w:rsidRDefault="007C19E9">
      <w:pPr>
        <w:numPr>
          <w:ilvl w:val="0"/>
          <w:numId w:val="9"/>
        </w:numPr>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 xml:space="preserve">Are there laws and policies regulating the </w:t>
      </w:r>
      <w:proofErr w:type="spellStart"/>
      <w:r>
        <w:rPr>
          <w:rFonts w:ascii="Times New Roman" w:eastAsia="Times New Roman" w:hAnsi="Times New Roman" w:cs="Times New Roman"/>
          <w:b/>
          <w:color w:val="0563C1"/>
          <w:sz w:val="24"/>
          <w:szCs w:val="24"/>
        </w:rPr>
        <w:t>privatisation</w:t>
      </w:r>
      <w:proofErr w:type="spellEnd"/>
      <w:r>
        <w:rPr>
          <w:rFonts w:ascii="Times New Roman" w:eastAsia="Times New Roman" w:hAnsi="Times New Roman" w:cs="Times New Roman"/>
          <w:b/>
          <w:color w:val="0563C1"/>
          <w:sz w:val="24"/>
          <w:szCs w:val="24"/>
        </w:rPr>
        <w:t xml:space="preserve"> of ECCE and private day care centres/pre-primary schools? And is there an effective monitoring mechanism in place?</w:t>
      </w:r>
    </w:p>
    <w:p w14:paraId="69636208" w14:textId="77777777" w:rsidR="00173481" w:rsidRDefault="007C19E9">
      <w:pPr>
        <w:numPr>
          <w:ilvl w:val="0"/>
          <w:numId w:val="9"/>
        </w:numPr>
        <w:spacing w:after="240"/>
        <w:jc w:val="both"/>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 xml:space="preserve">Are fees and indirect costs to access private day care centres/pre-primary schools regulated to ensure they are free or affordable to families from </w:t>
      </w:r>
      <w:proofErr w:type="spellStart"/>
      <w:r>
        <w:rPr>
          <w:rFonts w:ascii="Times New Roman" w:eastAsia="Times New Roman" w:hAnsi="Times New Roman" w:cs="Times New Roman"/>
          <w:b/>
          <w:color w:val="0563C1"/>
          <w:sz w:val="24"/>
          <w:szCs w:val="24"/>
        </w:rPr>
        <w:t>marginalised</w:t>
      </w:r>
      <w:proofErr w:type="spellEnd"/>
      <w:r>
        <w:rPr>
          <w:rFonts w:ascii="Times New Roman" w:eastAsia="Times New Roman" w:hAnsi="Times New Roman" w:cs="Times New Roman"/>
          <w:b/>
          <w:color w:val="0563C1"/>
          <w:sz w:val="24"/>
          <w:szCs w:val="24"/>
        </w:rPr>
        <w:t xml:space="preserve"> backgrounds? </w:t>
      </w:r>
    </w:p>
    <w:p w14:paraId="24B4C611" w14:textId="77777777" w:rsidR="00173481" w:rsidRDefault="00173481">
      <w:pPr>
        <w:spacing w:after="240"/>
        <w:ind w:left="720"/>
        <w:jc w:val="both"/>
        <w:rPr>
          <w:rFonts w:ascii="Times New Roman" w:eastAsia="Times New Roman" w:hAnsi="Times New Roman" w:cs="Times New Roman"/>
          <w:b/>
          <w:color w:val="0563C1"/>
          <w:sz w:val="6"/>
          <w:szCs w:val="6"/>
        </w:rPr>
      </w:pPr>
    </w:p>
    <w:p w14:paraId="51D9C19E" w14:textId="77777777" w:rsidR="00047BC9" w:rsidRDefault="00047BC9">
      <w:pPr>
        <w:spacing w:after="240"/>
        <w:ind w:left="720"/>
        <w:jc w:val="both"/>
        <w:rPr>
          <w:rFonts w:ascii="Times New Roman" w:eastAsia="Times New Roman" w:hAnsi="Times New Roman" w:cs="Times New Roman"/>
          <w:b/>
          <w:color w:val="0563C1"/>
          <w:sz w:val="6"/>
          <w:szCs w:val="6"/>
        </w:rPr>
      </w:pPr>
    </w:p>
    <w:p w14:paraId="6CAEE93D" w14:textId="77777777" w:rsidR="00047BC9" w:rsidRDefault="00047BC9">
      <w:pPr>
        <w:spacing w:after="240"/>
        <w:ind w:left="720"/>
        <w:jc w:val="both"/>
        <w:rPr>
          <w:rFonts w:ascii="Times New Roman" w:eastAsia="Times New Roman" w:hAnsi="Times New Roman" w:cs="Times New Roman"/>
          <w:b/>
          <w:color w:val="0563C1"/>
          <w:sz w:val="6"/>
          <w:szCs w:val="6"/>
        </w:rPr>
      </w:pPr>
    </w:p>
    <w:p w14:paraId="095F0BF8" w14:textId="77777777" w:rsidR="00047BC9" w:rsidRDefault="00047BC9">
      <w:pPr>
        <w:spacing w:after="240"/>
        <w:ind w:left="720"/>
        <w:jc w:val="both"/>
        <w:rPr>
          <w:rFonts w:ascii="Times New Roman" w:eastAsia="Times New Roman" w:hAnsi="Times New Roman" w:cs="Times New Roman"/>
          <w:b/>
          <w:color w:val="0563C1"/>
          <w:sz w:val="6"/>
          <w:szCs w:val="6"/>
        </w:rPr>
      </w:pPr>
    </w:p>
    <w:p w14:paraId="1CF813CB" w14:textId="77777777" w:rsidR="00047BC9" w:rsidRDefault="00047BC9">
      <w:pPr>
        <w:spacing w:after="240"/>
        <w:ind w:left="720"/>
        <w:jc w:val="both"/>
        <w:rPr>
          <w:rFonts w:ascii="Times New Roman" w:eastAsia="Times New Roman" w:hAnsi="Times New Roman" w:cs="Times New Roman"/>
          <w:b/>
          <w:color w:val="0563C1"/>
          <w:sz w:val="6"/>
          <w:szCs w:val="6"/>
        </w:rPr>
      </w:pPr>
    </w:p>
    <w:p w14:paraId="461F4900" w14:textId="77777777" w:rsidR="00173481" w:rsidRDefault="007C19E9">
      <w:pPr>
        <w:pStyle w:val="Heading1"/>
        <w:keepNext w:val="0"/>
        <w:keepLines w:val="0"/>
        <w:numPr>
          <w:ilvl w:val="0"/>
          <w:numId w:val="6"/>
        </w:numPr>
        <w:pBdr>
          <w:top w:val="nil"/>
          <w:left w:val="nil"/>
          <w:bottom w:val="nil"/>
          <w:right w:val="nil"/>
          <w:between w:val="nil"/>
        </w:pBdr>
        <w:spacing w:before="0" w:line="276" w:lineRule="auto"/>
        <w:rPr>
          <w:rFonts w:ascii="Times New Roman" w:eastAsia="Times New Roman" w:hAnsi="Times New Roman" w:cs="Times New Roman"/>
          <w:color w:val="000000"/>
        </w:rPr>
      </w:pPr>
      <w:bookmarkStart w:id="5" w:name="_l5on2ye4oytk" w:colFirst="0" w:colLast="0"/>
      <w:bookmarkEnd w:id="5"/>
      <w:r>
        <w:rPr>
          <w:rFonts w:ascii="Times New Roman" w:eastAsia="Times New Roman" w:hAnsi="Times New Roman" w:cs="Times New Roman"/>
          <w:color w:val="000000"/>
          <w:u w:val="single"/>
        </w:rPr>
        <w:lastRenderedPageBreak/>
        <w:t>Violence against children</w:t>
      </w:r>
    </w:p>
    <w:p w14:paraId="39406223" w14:textId="77777777" w:rsidR="00173481" w:rsidRDefault="00173481">
      <w:pPr>
        <w:ind w:left="360"/>
        <w:rPr>
          <w:sz w:val="24"/>
          <w:szCs w:val="24"/>
        </w:rPr>
      </w:pPr>
    </w:p>
    <w:p w14:paraId="7601AA16" w14:textId="77777777" w:rsidR="00173481" w:rsidRDefault="007C19E9">
      <w:pPr>
        <w:pStyle w:val="Heading1"/>
        <w:keepNext w:val="0"/>
        <w:keepLines w:val="0"/>
        <w:pBdr>
          <w:top w:val="nil"/>
          <w:left w:val="nil"/>
          <w:bottom w:val="nil"/>
          <w:right w:val="nil"/>
          <w:between w:val="nil"/>
        </w:pBdr>
        <w:spacing w:before="0" w:line="240" w:lineRule="auto"/>
        <w:rPr>
          <w:rFonts w:ascii="Times New Roman" w:eastAsia="Times New Roman" w:hAnsi="Times New Roman" w:cs="Times New Roman"/>
          <w:color w:val="000000"/>
        </w:rPr>
      </w:pPr>
      <w:bookmarkStart w:id="6" w:name="_jbld3m9kikum" w:colFirst="0" w:colLast="0"/>
      <w:bookmarkEnd w:id="6"/>
      <w:r>
        <w:rPr>
          <w:rFonts w:ascii="Times New Roman" w:eastAsia="Times New Roman" w:hAnsi="Times New Roman" w:cs="Times New Roman"/>
          <w:color w:val="000000"/>
        </w:rPr>
        <w:t>3.1 Corporal punishment</w:t>
      </w:r>
    </w:p>
    <w:p w14:paraId="38E6F1DF" w14:textId="77777777" w:rsidR="00173481" w:rsidRDefault="007C19E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hyperlink r:id="rId22">
        <w:r w:rsidR="00173481">
          <w:rPr>
            <w:rFonts w:ascii="Times New Roman" w:eastAsia="Times New Roman" w:hAnsi="Times New Roman" w:cs="Times New Roman"/>
            <w:b/>
            <w:color w:val="1155CC"/>
            <w:sz w:val="24"/>
            <w:szCs w:val="24"/>
            <w:u w:val="single"/>
          </w:rPr>
          <w:t>Committee recommend</w:t>
        </w:r>
      </w:hyperlink>
      <w:r>
        <w:rPr>
          <w:rFonts w:ascii="Times New Roman" w:eastAsia="Times New Roman" w:hAnsi="Times New Roman" w:cs="Times New Roman"/>
          <w:b/>
          <w:color w:val="1155CC"/>
          <w:sz w:val="24"/>
          <w:szCs w:val="24"/>
          <w:u w:val="single"/>
        </w:rPr>
        <w:t>ed</w:t>
      </w:r>
      <w:r>
        <w:rPr>
          <w:rFonts w:ascii="Times New Roman" w:eastAsia="Times New Roman" w:hAnsi="Times New Roman" w:cs="Times New Roman"/>
          <w:b/>
          <w:sz w:val="24"/>
          <w:szCs w:val="24"/>
        </w:rPr>
        <w:t xml:space="preserve">  (para. 37)</w:t>
      </w:r>
      <w:r>
        <w:rPr>
          <w:rFonts w:ascii="Times New Roman" w:eastAsia="Times New Roman" w:hAnsi="Times New Roman" w:cs="Times New Roman"/>
          <w:sz w:val="24"/>
          <w:szCs w:val="24"/>
        </w:rPr>
        <w:t>, that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State party repeal or amend, as needed, all legislation in order to explicitly prohibit corporal/physical punishment in all settings as “justifiable” correction or discipline; sensitize and educate parents, guardians, teachers and professionals working with children and promote positive, non-violent and participatory forms of child-rearing and discipline in all settings.</w:t>
      </w:r>
    </w:p>
    <w:p w14:paraId="0ED9D6CD"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hyperlink r:id="rId23">
        <w:r w:rsidR="00173481">
          <w:rPr>
            <w:rFonts w:ascii="Times New Roman" w:eastAsia="Times New Roman" w:hAnsi="Times New Roman" w:cs="Times New Roman"/>
            <w:b/>
            <w:color w:val="1155CC"/>
            <w:sz w:val="24"/>
            <w:szCs w:val="24"/>
            <w:u w:val="single"/>
          </w:rPr>
          <w:t xml:space="preserve">State reported </w:t>
        </w:r>
      </w:hyperlink>
      <w:r>
        <w:rPr>
          <w:rFonts w:ascii="Times New Roman" w:eastAsia="Times New Roman" w:hAnsi="Times New Roman" w:cs="Times New Roman"/>
          <w:sz w:val="24"/>
          <w:szCs w:val="24"/>
        </w:rPr>
        <w:t>in (</w:t>
      </w:r>
      <w:r>
        <w:rPr>
          <w:rFonts w:ascii="Times New Roman" w:eastAsia="Times New Roman" w:hAnsi="Times New Roman" w:cs="Times New Roman"/>
          <w:b/>
          <w:sz w:val="24"/>
          <w:szCs w:val="24"/>
        </w:rPr>
        <w:t xml:space="preserve">paras. 77, 78 and 79 </w:t>
      </w:r>
      <w:r>
        <w:rPr>
          <w:rFonts w:ascii="Times New Roman" w:eastAsia="Times New Roman" w:hAnsi="Times New Roman" w:cs="Times New Roman"/>
          <w:sz w:val="24"/>
          <w:szCs w:val="24"/>
        </w:rPr>
        <w:t xml:space="preserve">the several efforts taken against abuse of corporal punishment especially for promoting positive, non-violent and participatory forms of child rearing and discipline in all settings. </w:t>
      </w:r>
    </w:p>
    <w:p w14:paraId="56122155"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laws have constantly been amended but despite such measures, corporal punishment remains a legally permitted disciplinary measure in schools, homes, religious settings and penal institutions</w:t>
      </w:r>
      <w:r>
        <w:rPr>
          <w:rFonts w:ascii="Times New Roman" w:eastAsia="Times New Roman" w:hAnsi="Times New Roman" w:cs="Times New Roman"/>
          <w:sz w:val="24"/>
          <w:szCs w:val="24"/>
        </w:rPr>
        <w:t xml:space="preserve">. While the Law of the Child Act 2009 (R.E 2024) prohibits torture and cruel, inhuman, or degrading treatment, it also allows for "justifiable" correction, which is interpreted to include some forms of corporal punishment. Excessive corporal punishment is still being practiced in schools, causing severe injuries to children and deaths in some instances; a vivid indication of failure to adhere to established guidelines. </w:t>
      </w:r>
    </w:p>
    <w:p w14:paraId="10958FD3" w14:textId="77777777" w:rsidR="00173481" w:rsidRDefault="007C19E9">
      <w:pPr>
        <w:spacing w:after="240"/>
        <w:jc w:val="both"/>
        <w:rPr>
          <w:rFonts w:ascii="Times New Roman" w:eastAsia="Times New Roman" w:hAnsi="Times New Roman" w:cs="Times New Roman"/>
          <w:color w:val="0563C1"/>
          <w:sz w:val="24"/>
          <w:szCs w:val="24"/>
        </w:rPr>
      </w:pPr>
      <w:r>
        <w:rPr>
          <w:rFonts w:ascii="Times New Roman" w:eastAsia="Times New Roman" w:hAnsi="Times New Roman" w:cs="Times New Roman"/>
          <w:color w:val="0563C1"/>
          <w:sz w:val="24"/>
          <w:szCs w:val="24"/>
        </w:rPr>
        <w:t>The Committee may inquire from the State:</w:t>
      </w:r>
    </w:p>
    <w:p w14:paraId="54BB523D" w14:textId="77777777" w:rsidR="00173481" w:rsidRDefault="007C19E9">
      <w:pPr>
        <w:numPr>
          <w:ilvl w:val="0"/>
          <w:numId w:val="10"/>
        </w:numPr>
        <w:spacing w:after="240"/>
        <w:jc w:val="both"/>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 xml:space="preserve">Does the State have an efficient enforcement mechanism in place for the implementation of the laws that ban corporal punishment in all settings? </w:t>
      </w:r>
    </w:p>
    <w:p w14:paraId="314EDE08" w14:textId="77777777" w:rsidR="00173481" w:rsidRDefault="00173481">
      <w:pPr>
        <w:spacing w:after="240"/>
        <w:ind w:left="720"/>
        <w:jc w:val="both"/>
        <w:rPr>
          <w:rFonts w:ascii="Times New Roman" w:eastAsia="Times New Roman" w:hAnsi="Times New Roman" w:cs="Times New Roman"/>
          <w:b/>
          <w:color w:val="0563C1"/>
          <w:sz w:val="10"/>
          <w:szCs w:val="10"/>
        </w:rPr>
      </w:pPr>
    </w:p>
    <w:p w14:paraId="39A893A7" w14:textId="77777777" w:rsidR="00173481" w:rsidRDefault="007C19E9">
      <w:pPr>
        <w:pStyle w:val="Heading1"/>
        <w:keepNext w:val="0"/>
        <w:keepLines w:val="0"/>
        <w:numPr>
          <w:ilvl w:val="0"/>
          <w:numId w:val="6"/>
        </w:numPr>
        <w:pBdr>
          <w:top w:val="nil"/>
          <w:left w:val="nil"/>
          <w:bottom w:val="nil"/>
          <w:right w:val="nil"/>
          <w:between w:val="nil"/>
        </w:pBdr>
        <w:spacing w:before="0" w:line="276" w:lineRule="auto"/>
        <w:rPr>
          <w:rFonts w:ascii="Times New Roman" w:eastAsia="Times New Roman" w:hAnsi="Times New Roman" w:cs="Times New Roman"/>
          <w:color w:val="000000"/>
          <w:sz w:val="28"/>
          <w:szCs w:val="28"/>
        </w:rPr>
      </w:pPr>
      <w:bookmarkStart w:id="7" w:name="_kkao1swzrcdw" w:colFirst="0" w:colLast="0"/>
      <w:bookmarkEnd w:id="7"/>
      <w:r>
        <w:rPr>
          <w:rFonts w:ascii="Times New Roman" w:eastAsia="Times New Roman" w:hAnsi="Times New Roman" w:cs="Times New Roman"/>
          <w:color w:val="000000"/>
          <w:u w:val="single"/>
        </w:rPr>
        <w:t xml:space="preserve">Disability, basic health and welfare </w:t>
      </w:r>
    </w:p>
    <w:p w14:paraId="133530BB" w14:textId="77777777" w:rsidR="00173481" w:rsidRDefault="00173481">
      <w:pPr>
        <w:ind w:left="360"/>
        <w:rPr>
          <w:sz w:val="24"/>
          <w:szCs w:val="24"/>
        </w:rPr>
      </w:pPr>
    </w:p>
    <w:p w14:paraId="7A9B3F36" w14:textId="77777777" w:rsidR="00173481" w:rsidRDefault="007C19E9">
      <w:pPr>
        <w:pStyle w:val="Heading1"/>
        <w:keepNext w:val="0"/>
        <w:keepLines w:val="0"/>
        <w:pBdr>
          <w:top w:val="nil"/>
          <w:left w:val="nil"/>
          <w:bottom w:val="nil"/>
          <w:right w:val="nil"/>
          <w:between w:val="nil"/>
        </w:pBdr>
        <w:spacing w:before="0" w:line="276" w:lineRule="auto"/>
        <w:rPr>
          <w:rFonts w:ascii="Times New Roman" w:eastAsia="Times New Roman" w:hAnsi="Times New Roman" w:cs="Times New Roman"/>
          <w:color w:val="000000"/>
        </w:rPr>
      </w:pPr>
      <w:bookmarkStart w:id="8" w:name="_2bmqglsrhzon" w:colFirst="0" w:colLast="0"/>
      <w:bookmarkEnd w:id="8"/>
      <w:r>
        <w:rPr>
          <w:rFonts w:ascii="Times New Roman" w:eastAsia="Times New Roman" w:hAnsi="Times New Roman" w:cs="Times New Roman"/>
          <w:color w:val="000000"/>
        </w:rPr>
        <w:t>4.1 Health Budget Allocation and Human Resource Investment</w:t>
      </w:r>
    </w:p>
    <w:p w14:paraId="30D4ED2F" w14:textId="6889E4F3" w:rsidR="00173481" w:rsidRDefault="007C19E9">
      <w:pPr>
        <w:spacing w:after="240"/>
        <w:jc w:val="both"/>
        <w:rPr>
          <w:rFonts w:ascii="Times New Roman" w:eastAsia="Times New Roman" w:hAnsi="Times New Roman" w:cs="Times New Roman"/>
          <w:b/>
          <w:color w:val="1155CC"/>
          <w:sz w:val="24"/>
          <w:szCs w:val="24"/>
          <w:u w:val="single"/>
        </w:rPr>
      </w:pPr>
      <w:r>
        <w:rPr>
          <w:rFonts w:ascii="Times New Roman" w:eastAsia="Times New Roman" w:hAnsi="Times New Roman" w:cs="Times New Roman"/>
          <w:sz w:val="24"/>
          <w:szCs w:val="24"/>
        </w:rPr>
        <w:t xml:space="preserve">The </w:t>
      </w:r>
      <w:hyperlink r:id="rId24">
        <w:r w:rsidR="00173481">
          <w:rPr>
            <w:rFonts w:ascii="Times New Roman" w:eastAsia="Times New Roman" w:hAnsi="Times New Roman" w:cs="Times New Roman"/>
            <w:b/>
            <w:color w:val="1155CC"/>
            <w:sz w:val="24"/>
            <w:szCs w:val="24"/>
            <w:u w:val="single"/>
          </w:rPr>
          <w:t>Committee recommend</w:t>
        </w:r>
      </w:hyperlink>
      <w:r>
        <w:rPr>
          <w:rFonts w:ascii="Times New Roman" w:eastAsia="Times New Roman" w:hAnsi="Times New Roman" w:cs="Times New Roman"/>
          <w:b/>
          <w:color w:val="1155CC"/>
          <w:sz w:val="24"/>
          <w:szCs w:val="24"/>
          <w:u w:val="single"/>
        </w:rPr>
        <w:t>ed (</w:t>
      </w:r>
      <w:r>
        <w:rPr>
          <w:rFonts w:ascii="Times New Roman" w:eastAsia="Times New Roman" w:hAnsi="Times New Roman" w:cs="Times New Roman"/>
          <w:b/>
          <w:sz w:val="24"/>
          <w:szCs w:val="24"/>
        </w:rPr>
        <w:t>para. 55(a))</w:t>
      </w:r>
      <w:r>
        <w:rPr>
          <w:rFonts w:ascii="Times New Roman" w:eastAsia="Times New Roman" w:hAnsi="Times New Roman" w:cs="Times New Roman"/>
          <w:b/>
          <w:color w:val="1155CC"/>
          <w:sz w:val="24"/>
          <w:szCs w:val="24"/>
        </w:rPr>
        <w:t xml:space="preserve"> </w:t>
      </w:r>
      <w:r>
        <w:rPr>
          <w:rFonts w:ascii="Times New Roman" w:eastAsia="Times New Roman" w:hAnsi="Times New Roman" w:cs="Times New Roman"/>
          <w:sz w:val="24"/>
          <w:szCs w:val="24"/>
        </w:rPr>
        <w:t>allocation of sufficient financial and human resources to health services; in particular, access to trained care at delivery, improved antenatal care, improved care for newborns and during the neonatal period, and services for infants and preschool children at primary health centres.</w:t>
      </w:r>
    </w:p>
    <w:p w14:paraId="739BF392" w14:textId="77777777" w:rsidR="00173481" w:rsidRDefault="007C19E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hyperlink r:id="rId25">
        <w:r w:rsidR="00173481">
          <w:rPr>
            <w:rFonts w:ascii="Times New Roman" w:eastAsia="Times New Roman" w:hAnsi="Times New Roman" w:cs="Times New Roman"/>
            <w:b/>
            <w:color w:val="1155CC"/>
            <w:sz w:val="24"/>
            <w:szCs w:val="24"/>
            <w:u w:val="single"/>
          </w:rPr>
          <w:t>State reported</w:t>
        </w:r>
      </w:hyperlink>
      <w:hyperlink r:id="rId26">
        <w:r w:rsidR="00173481">
          <w:rPr>
            <w:rFonts w:ascii="Times New Roman" w:eastAsia="Times New Roman" w:hAnsi="Times New Roman" w:cs="Times New Roman"/>
            <w:color w:val="1155CC"/>
            <w:sz w:val="24"/>
            <w:szCs w:val="24"/>
            <w:u w:val="single"/>
          </w:rPr>
          <w:t xml:space="preserve"> </w:t>
        </w:r>
      </w:hyperlink>
      <w:r>
        <w:rPr>
          <w:rFonts w:ascii="Times New Roman" w:eastAsia="Times New Roman" w:hAnsi="Times New Roman" w:cs="Times New Roman"/>
          <w:b/>
          <w:sz w:val="24"/>
          <w:szCs w:val="24"/>
        </w:rPr>
        <w:t>(para. 126)</w:t>
      </w:r>
      <w:r>
        <w:rPr>
          <w:rFonts w:ascii="Times New Roman" w:eastAsia="Times New Roman" w:hAnsi="Times New Roman" w:cs="Times New Roman"/>
          <w:sz w:val="24"/>
          <w:szCs w:val="24"/>
        </w:rPr>
        <w:t xml:space="preserve"> about its efforts to increase the health budget which accounts for 7% of the national budget and 1.8% of the GDP.  </w:t>
      </w:r>
    </w:p>
    <w:p w14:paraId="40DC1D87"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these advances, the health sector budget remains below the 15% </w:t>
      </w:r>
      <w:hyperlink r:id="rId27">
        <w:r w:rsidR="00173481">
          <w:rPr>
            <w:rFonts w:ascii="Times New Roman" w:eastAsia="Times New Roman" w:hAnsi="Times New Roman" w:cs="Times New Roman"/>
            <w:color w:val="1155CC"/>
            <w:sz w:val="24"/>
            <w:szCs w:val="24"/>
            <w:u w:val="single"/>
          </w:rPr>
          <w:t>Abuja Declaration</w:t>
        </w:r>
      </w:hyperlink>
      <w:r>
        <w:rPr>
          <w:rFonts w:ascii="Times New Roman" w:eastAsia="Times New Roman" w:hAnsi="Times New Roman" w:cs="Times New Roman"/>
          <w:sz w:val="24"/>
          <w:szCs w:val="24"/>
        </w:rPr>
        <w:t xml:space="preserve">  target, with only 5.3% allocated in the 2024/25 fiscal year. The Tanzania Demographic and Health Survey 2022 (TDHS) shows that access to care for children under five remains constrained in many rural areas, with only 60% of children with fever receiving medical treatment, and regional disparities </w:t>
      </w:r>
      <w:r>
        <w:rPr>
          <w:rFonts w:ascii="Times New Roman" w:eastAsia="Times New Roman" w:hAnsi="Times New Roman" w:cs="Times New Roman"/>
          <w:sz w:val="24"/>
          <w:szCs w:val="24"/>
        </w:rPr>
        <w:lastRenderedPageBreak/>
        <w:t>are stark. The integration of ECD into operational budgets and human resource planning is still weak, and staffing gaps disproportionately affect rural and hard-to-reach areas.</w:t>
      </w:r>
    </w:p>
    <w:p w14:paraId="576596B0" w14:textId="77777777" w:rsidR="00173481" w:rsidRDefault="007C19E9">
      <w:pPr>
        <w:spacing w:after="240"/>
        <w:jc w:val="both"/>
        <w:rPr>
          <w:rFonts w:ascii="Times New Roman" w:eastAsia="Times New Roman" w:hAnsi="Times New Roman" w:cs="Times New Roman"/>
          <w:color w:val="0563C1"/>
          <w:sz w:val="24"/>
          <w:szCs w:val="24"/>
        </w:rPr>
      </w:pPr>
      <w:r>
        <w:rPr>
          <w:rFonts w:ascii="Times New Roman" w:eastAsia="Times New Roman" w:hAnsi="Times New Roman" w:cs="Times New Roman"/>
          <w:color w:val="0563C1"/>
          <w:sz w:val="24"/>
          <w:szCs w:val="24"/>
        </w:rPr>
        <w:t>The Committee may inquire from the State:</w:t>
      </w:r>
    </w:p>
    <w:p w14:paraId="6F52C530" w14:textId="77777777" w:rsidR="00173481" w:rsidRDefault="007C19E9">
      <w:pPr>
        <w:numPr>
          <w:ilvl w:val="0"/>
          <w:numId w:val="3"/>
        </w:numPr>
        <w:spacing w:after="240"/>
        <w:jc w:val="both"/>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What measures has the State taken to integrate ECD into existing health and nutrition budgets? Especially in operational budgets and human resource planning.</w:t>
      </w:r>
    </w:p>
    <w:p w14:paraId="5563A7D1" w14:textId="77777777" w:rsidR="00173481" w:rsidRDefault="00173481">
      <w:pPr>
        <w:jc w:val="both"/>
        <w:rPr>
          <w:rFonts w:ascii="Times New Roman" w:eastAsia="Times New Roman" w:hAnsi="Times New Roman" w:cs="Times New Roman"/>
          <w:sz w:val="24"/>
          <w:szCs w:val="24"/>
        </w:rPr>
      </w:pPr>
    </w:p>
    <w:p w14:paraId="6B29CD9F" w14:textId="77777777" w:rsidR="00173481" w:rsidRDefault="007C19E9">
      <w:pPr>
        <w:pStyle w:val="Heading1"/>
        <w:keepNext w:val="0"/>
        <w:keepLines w:val="0"/>
        <w:numPr>
          <w:ilvl w:val="0"/>
          <w:numId w:val="6"/>
        </w:numPr>
        <w:pBdr>
          <w:top w:val="nil"/>
          <w:left w:val="nil"/>
          <w:bottom w:val="nil"/>
          <w:right w:val="nil"/>
          <w:between w:val="nil"/>
        </w:pBdr>
        <w:spacing w:before="0" w:line="240" w:lineRule="auto"/>
        <w:rPr>
          <w:rFonts w:ascii="Times New Roman" w:eastAsia="Times New Roman" w:hAnsi="Times New Roman" w:cs="Times New Roman"/>
          <w:color w:val="000000"/>
        </w:rPr>
      </w:pPr>
      <w:bookmarkStart w:id="9" w:name="_2mv4txld5sbh" w:colFirst="0" w:colLast="0"/>
      <w:bookmarkEnd w:id="9"/>
      <w:r>
        <w:rPr>
          <w:rFonts w:ascii="Times New Roman" w:eastAsia="Times New Roman" w:hAnsi="Times New Roman" w:cs="Times New Roman"/>
          <w:color w:val="000000"/>
          <w:u w:val="single"/>
        </w:rPr>
        <w:t>Education, leisure and cultural activities</w:t>
      </w:r>
    </w:p>
    <w:p w14:paraId="3DC23EA7" w14:textId="77777777" w:rsidR="00173481" w:rsidRDefault="00173481">
      <w:pPr>
        <w:spacing w:line="240" w:lineRule="auto"/>
        <w:ind w:left="360"/>
      </w:pPr>
    </w:p>
    <w:p w14:paraId="5FEA6A1A" w14:textId="77777777" w:rsidR="00173481" w:rsidRDefault="007C19E9">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5.1 Early Childhood Care and Education (ECCE)</w:t>
      </w:r>
    </w:p>
    <w:p w14:paraId="3EF554B1" w14:textId="04C0F70A" w:rsidR="00173481" w:rsidRDefault="007C19E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b/>
          <w:color w:val="0563C1"/>
          <w:sz w:val="24"/>
          <w:szCs w:val="24"/>
        </w:rPr>
        <w:t xml:space="preserve"> </w:t>
      </w:r>
      <w:hyperlink r:id="rId28">
        <w:r w:rsidR="00173481">
          <w:rPr>
            <w:rFonts w:ascii="Times New Roman" w:eastAsia="Times New Roman" w:hAnsi="Times New Roman" w:cs="Times New Roman"/>
            <w:b/>
            <w:color w:val="0563C1"/>
            <w:sz w:val="24"/>
            <w:szCs w:val="24"/>
            <w:u w:val="single"/>
          </w:rPr>
          <w:t>Committee recommended</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(para. 61(f))</w:t>
      </w:r>
      <w:r>
        <w:rPr>
          <w:rFonts w:ascii="Times New Roman" w:eastAsia="Times New Roman" w:hAnsi="Times New Roman" w:cs="Times New Roman"/>
          <w:sz w:val="24"/>
          <w:szCs w:val="24"/>
        </w:rPr>
        <w:t xml:space="preserve"> allocation of sufficient financial resources for the development and expansion of early childhood education, based on a comprehensive and holistic policy of ECCE. </w:t>
      </w:r>
    </w:p>
    <w:p w14:paraId="64BEDDB2" w14:textId="269636EE" w:rsidR="00173481" w:rsidRDefault="007C19E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b/>
          <w:sz w:val="24"/>
          <w:szCs w:val="24"/>
        </w:rPr>
        <w:t xml:space="preserve"> </w:t>
      </w:r>
      <w:hyperlink r:id="rId29">
        <w:r w:rsidR="00173481">
          <w:rPr>
            <w:rFonts w:ascii="Times New Roman" w:eastAsia="Times New Roman" w:hAnsi="Times New Roman" w:cs="Times New Roman"/>
            <w:b/>
            <w:color w:val="0563C1"/>
            <w:sz w:val="24"/>
            <w:szCs w:val="24"/>
            <w:u w:val="single"/>
          </w:rPr>
          <w:t>State report</w:t>
        </w:r>
      </w:hyperlink>
      <w:r>
        <w:rPr>
          <w:rFonts w:ascii="Times New Roman" w:eastAsia="Times New Roman" w:hAnsi="Times New Roman" w:cs="Times New Roman"/>
          <w:b/>
          <w:color w:val="0563C1"/>
          <w:sz w:val="24"/>
          <w:szCs w:val="24"/>
        </w:rPr>
        <w:t xml:space="preserve"> </w:t>
      </w:r>
      <w:r>
        <w:rPr>
          <w:rFonts w:ascii="Times New Roman" w:eastAsia="Times New Roman" w:hAnsi="Times New Roman" w:cs="Times New Roman"/>
          <w:b/>
          <w:sz w:val="24"/>
          <w:szCs w:val="24"/>
        </w:rPr>
        <w:t xml:space="preserve">(para. 153), </w:t>
      </w:r>
      <w:r>
        <w:rPr>
          <w:rFonts w:ascii="Times New Roman" w:eastAsia="Times New Roman" w:hAnsi="Times New Roman" w:cs="Times New Roman"/>
          <w:sz w:val="24"/>
          <w:szCs w:val="24"/>
        </w:rPr>
        <w:t>highlights</w:t>
      </w:r>
      <w:r w:rsidR="00364C73">
        <w:rPr>
          <w:rFonts w:ascii="Times New Roman" w:eastAsia="Times New Roman" w:hAnsi="Times New Roman" w:cs="Times New Roman"/>
          <w:sz w:val="24"/>
          <w:szCs w:val="24"/>
        </w:rPr>
        <w:t xml:space="preserve"> a 33% increase in</w:t>
      </w:r>
      <w:r>
        <w:rPr>
          <w:rFonts w:ascii="Times New Roman" w:eastAsia="Times New Roman" w:hAnsi="Times New Roman" w:cs="Times New Roman"/>
          <w:sz w:val="24"/>
          <w:szCs w:val="24"/>
        </w:rPr>
        <w:t xml:space="preserve"> </w:t>
      </w:r>
      <w:r w:rsidR="00F27230" w:rsidRPr="00364C73">
        <w:rPr>
          <w:rFonts w:ascii="Times New Roman" w:eastAsia="Times New Roman" w:hAnsi="Times New Roman" w:cs="Times New Roman"/>
          <w:sz w:val="24"/>
          <w:szCs w:val="24"/>
        </w:rPr>
        <w:t>pre-primary enrolment</w:t>
      </w:r>
      <w:r w:rsidR="00364C73">
        <w:rPr>
          <w:rFonts w:ascii="Times New Roman" w:eastAsia="Times New Roman" w:hAnsi="Times New Roman" w:cs="Times New Roman"/>
          <w:sz w:val="24"/>
          <w:szCs w:val="24"/>
        </w:rPr>
        <w:t xml:space="preserve">. </w:t>
      </w:r>
      <w:r w:rsidR="00F27230">
        <w:rPr>
          <w:rFonts w:ascii="Times New Roman" w:eastAsia="Times New Roman" w:hAnsi="Times New Roman" w:cs="Times New Roman"/>
          <w:sz w:val="24"/>
          <w:szCs w:val="24"/>
        </w:rPr>
        <w:t xml:space="preserve">That </w:t>
      </w:r>
      <w:r>
        <w:rPr>
          <w:rFonts w:ascii="Times New Roman" w:eastAsia="Times New Roman" w:hAnsi="Times New Roman" w:cs="Times New Roman"/>
          <w:sz w:val="24"/>
          <w:szCs w:val="24"/>
        </w:rPr>
        <w:t xml:space="preserve">the Educational and Training Policy of 2014 in mainland Tanzania promotes free basic education and in Zanzibar, the Education Policy of 2006 (reviewed in 2018) formalized free and compulsory basic education for 12 years including 2 years of pre-primary education. </w:t>
      </w:r>
    </w:p>
    <w:p w14:paraId="094BD5E0" w14:textId="0ABA6C8B" w:rsidR="00173481" w:rsidRDefault="007C19E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Reviewed Education Policy of 2014 acknowledges the importance of ECCE; further, the government introduced the </w:t>
      </w:r>
      <w:hyperlink r:id="rId30">
        <w:r w:rsidR="00173481">
          <w:rPr>
            <w:rFonts w:ascii="Times New Roman" w:eastAsia="Times New Roman" w:hAnsi="Times New Roman" w:cs="Times New Roman"/>
            <w:color w:val="1155CC"/>
            <w:sz w:val="24"/>
            <w:szCs w:val="24"/>
            <w:u w:val="single"/>
          </w:rPr>
          <w:t>National Multi-sectoral Early Childhood Development Programme</w:t>
        </w:r>
      </w:hyperlink>
      <w:r>
        <w:rPr>
          <w:rFonts w:ascii="Times New Roman" w:eastAsia="Times New Roman" w:hAnsi="Times New Roman" w:cs="Times New Roman"/>
          <w:sz w:val="24"/>
          <w:szCs w:val="24"/>
        </w:rPr>
        <w:t xml:space="preserve">, which focuses on meeting the holistic developmental needs of children aged 0–8 years and promotes multisectoral collaboration and coordination. </w:t>
      </w:r>
    </w:p>
    <w:p w14:paraId="3D58AE8B" w14:textId="77777777" w:rsidR="00173481" w:rsidRDefault="007C19E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Yet, the fact that ECCE is not compulsory in mainland Tanzania, inadequate budget allocation, and shortage of trained qualified ECCE teachers and caregivers, affects the overall quality and implementation of ECCE.</w:t>
      </w:r>
    </w:p>
    <w:p w14:paraId="0E2CDEDE" w14:textId="1AC51937" w:rsidR="00173481" w:rsidRDefault="007C19E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 government reports spending TZS 20.8 billion monthly on free education every month and prioritizing education budget in the total national budget, it doesn’t specify the resource allocated for pre-primary education. Although the education budget increased to TZS 6.7 billion for fiscal year 2025/26), there is no specific line item for ECCE. It is difficult to assess the percentage of the education budget allocated for ECCE. </w:t>
      </w:r>
    </w:p>
    <w:p w14:paraId="6A6EB25A" w14:textId="77777777" w:rsidR="00173481" w:rsidRDefault="007C19E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Councils are expected to allocate at least 3% of their budgets to social welfare interventions, including ECCE, but implementation is inconsistent. There is no dedicated budget line for ECCE or DCCs in the national education or social welfare budgets. As a result, ECCE expansion and quality are hindered through reliance on external funding and household contributions.</w:t>
      </w:r>
    </w:p>
    <w:p w14:paraId="33BD2061" w14:textId="5BEDA92D"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w:t>
      </w:r>
      <w:hyperlink r:id="rId31">
        <w:r w:rsidR="00173481">
          <w:rPr>
            <w:rFonts w:ascii="Times New Roman" w:eastAsia="Times New Roman" w:hAnsi="Times New Roman" w:cs="Times New Roman"/>
            <w:b/>
            <w:color w:val="1155CC"/>
            <w:sz w:val="24"/>
            <w:szCs w:val="24"/>
            <w:u w:val="single"/>
          </w:rPr>
          <w:t>Committee recommended</w:t>
        </w:r>
      </w:hyperlink>
      <w:r>
        <w:rPr>
          <w:rFonts w:ascii="Times New Roman" w:eastAsia="Times New Roman" w:hAnsi="Times New Roman" w:cs="Times New Roman"/>
          <w:b/>
          <w:sz w:val="24"/>
          <w:szCs w:val="24"/>
        </w:rPr>
        <w:t xml:space="preserve"> (para. 61(e))</w:t>
      </w:r>
      <w:r>
        <w:rPr>
          <w:rFonts w:ascii="Times New Roman" w:eastAsia="Times New Roman" w:hAnsi="Times New Roman" w:cs="Times New Roman"/>
          <w:sz w:val="24"/>
          <w:szCs w:val="24"/>
        </w:rPr>
        <w:t xml:space="preserve"> that the State Party continue its efforts to improve the quality of teacher training particularly in rural areas. The </w:t>
      </w:r>
      <w:hyperlink r:id="rId32">
        <w:r w:rsidR="00173481">
          <w:rPr>
            <w:rFonts w:ascii="Times New Roman" w:eastAsia="Times New Roman" w:hAnsi="Times New Roman" w:cs="Times New Roman"/>
            <w:b/>
            <w:color w:val="1155CC"/>
            <w:sz w:val="24"/>
            <w:szCs w:val="24"/>
            <w:u w:val="single"/>
          </w:rPr>
          <w:t>State reported</w:t>
        </w:r>
      </w:hyperlink>
      <w:hyperlink r:id="rId33">
        <w:r w:rsidR="00173481">
          <w:rPr>
            <w:rFonts w:ascii="Times New Roman" w:eastAsia="Times New Roman" w:hAnsi="Times New Roman" w:cs="Times New Roman"/>
            <w:color w:val="1155CC"/>
            <w:sz w:val="24"/>
            <w:szCs w:val="24"/>
            <w:u w:val="single"/>
          </w:rPr>
          <w:t xml:space="preserve"> </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(para. 159)</w:t>
      </w:r>
      <w:r>
        <w:rPr>
          <w:rFonts w:ascii="Times New Roman" w:eastAsia="Times New Roman" w:hAnsi="Times New Roman" w:cs="Times New Roman"/>
          <w:sz w:val="24"/>
          <w:szCs w:val="24"/>
        </w:rPr>
        <w:t xml:space="preserve"> </w:t>
      </w:r>
      <w:r w:rsidR="00364C73">
        <w:rPr>
          <w:rFonts w:ascii="Times New Roman" w:eastAsia="Times New Roman" w:hAnsi="Times New Roman" w:cs="Times New Roman"/>
          <w:sz w:val="24"/>
          <w:szCs w:val="24"/>
        </w:rPr>
        <w:t>about the</w:t>
      </w:r>
      <w:r>
        <w:rPr>
          <w:rFonts w:ascii="Times New Roman" w:eastAsia="Times New Roman" w:hAnsi="Times New Roman" w:cs="Times New Roman"/>
          <w:sz w:val="24"/>
          <w:szCs w:val="24"/>
        </w:rPr>
        <w:t xml:space="preserve"> development of the National School-Based Continuous Professional Development Framework and a National Framework for Continuous Professional Development for Practicing Teachers (NFCPDPT) in 2017, and data about the number of teachers trained at the primary and secondary level. </w:t>
      </w:r>
      <w:r w:rsidR="00364C73">
        <w:rPr>
          <w:rFonts w:ascii="Times New Roman" w:eastAsia="Times New Roman" w:hAnsi="Times New Roman" w:cs="Times New Roman"/>
          <w:sz w:val="24"/>
          <w:szCs w:val="24"/>
        </w:rPr>
        <w:t>But it</w:t>
      </w:r>
      <w:r>
        <w:rPr>
          <w:rFonts w:ascii="Times New Roman" w:eastAsia="Times New Roman" w:hAnsi="Times New Roman" w:cs="Times New Roman"/>
          <w:sz w:val="24"/>
          <w:szCs w:val="24"/>
        </w:rPr>
        <w:t xml:space="preserve"> doesn’t provide any information about pre-primary level.</w:t>
      </w:r>
    </w:p>
    <w:p w14:paraId="7990027A"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Education and Training Policy (2014) and the National Curriculum Framework for Pre-primary Education (2016) outline required teacher qualifications and competencies. Pre-primary teachers are expected to have at least a certificate in early childhood education, and there are provisions for in-service training. However, implementation remains uneven, especially in rural and private settings, where many caregivers lack formal training and access to continuous professional development opportunities is limit</w:t>
      </w:r>
      <w:r>
        <w:rPr>
          <w:rFonts w:ascii="Times New Roman" w:eastAsia="Times New Roman" w:hAnsi="Times New Roman" w:cs="Times New Roman"/>
          <w:sz w:val="24"/>
          <w:szCs w:val="24"/>
        </w:rPr>
        <w:t>ed.</w:t>
      </w:r>
    </w:p>
    <w:p w14:paraId="24BBE8F9" w14:textId="6F89CCF4" w:rsidR="00173481" w:rsidRDefault="007C19E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some legal provisions exist under national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laws and policies to promote fair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standards, most ECCE personnel particularly in private and informal settings do not enjoy guaranteed fair wages, equal pay, or comprehensive social protections. Many work in low-paid, unregulated environments without no access to any social security benefits. There is no standardized employment framework for ECCE personnel, leading to disparities in pay and working conditions, particularly between public and private sector workers. There is also a shortage of </w:t>
      </w:r>
      <w:r>
        <w:rPr>
          <w:rFonts w:ascii="Times New Roman" w:eastAsia="Times New Roman" w:hAnsi="Times New Roman" w:cs="Times New Roman"/>
          <w:sz w:val="24"/>
          <w:szCs w:val="24"/>
        </w:rPr>
        <w:t xml:space="preserve">ECCE personnel including trained qualified teachers, caregivers and Social Welfare Officers (SWOs) at the rural areas.  </w:t>
      </w:r>
    </w:p>
    <w:p w14:paraId="57E56C9A" w14:textId="63481B92" w:rsidR="00173481" w:rsidRDefault="00F2723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concerns include the lack of formal linkage between DCCs and pre-primary schools, resulting in gaps during the transition period, including loss of information and increased dropout rates. Compounding these challenges, many ECCE settings lack adequate Water, Sanitation, and Hygiene (WASH) facilities, affecting children’s health, attendance, and overall well-being.</w:t>
      </w:r>
    </w:p>
    <w:p w14:paraId="1784291D" w14:textId="77777777" w:rsidR="00173481" w:rsidRDefault="00173481">
      <w:pPr>
        <w:jc w:val="both"/>
        <w:rPr>
          <w:rFonts w:ascii="Times New Roman" w:eastAsia="Times New Roman" w:hAnsi="Times New Roman" w:cs="Times New Roman"/>
          <w:sz w:val="24"/>
          <w:szCs w:val="24"/>
        </w:rPr>
      </w:pPr>
    </w:p>
    <w:p w14:paraId="4429F6DB" w14:textId="77777777" w:rsidR="00173481" w:rsidRDefault="007C19E9">
      <w:pPr>
        <w:jc w:val="both"/>
        <w:rPr>
          <w:rFonts w:ascii="Times New Roman" w:eastAsia="Times New Roman" w:hAnsi="Times New Roman" w:cs="Times New Roman"/>
          <w:color w:val="0563C1"/>
          <w:sz w:val="24"/>
          <w:szCs w:val="24"/>
        </w:rPr>
      </w:pPr>
      <w:r>
        <w:rPr>
          <w:rFonts w:ascii="Times New Roman" w:eastAsia="Times New Roman" w:hAnsi="Times New Roman" w:cs="Times New Roman"/>
          <w:color w:val="0563C1"/>
          <w:sz w:val="24"/>
          <w:szCs w:val="24"/>
        </w:rPr>
        <w:t>The Committee may raise the below questions to the State:</w:t>
      </w:r>
    </w:p>
    <w:p w14:paraId="18F007AD" w14:textId="77777777" w:rsidR="00173481" w:rsidRDefault="007C19E9">
      <w:pPr>
        <w:numPr>
          <w:ilvl w:val="0"/>
          <w:numId w:val="11"/>
        </w:numPr>
        <w:jc w:val="both"/>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 xml:space="preserve">What percentage of the total education budget has been allocated to pre-primary education? </w:t>
      </w:r>
    </w:p>
    <w:p w14:paraId="4B6342B3" w14:textId="77777777" w:rsidR="00173481" w:rsidRDefault="007C19E9">
      <w:pPr>
        <w:numPr>
          <w:ilvl w:val="0"/>
          <w:numId w:val="11"/>
        </w:numPr>
        <w:jc w:val="both"/>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 xml:space="preserve">Has the ECCE budget been adequate to provide quality and free pre-primary education to all children? Especially to the children in rural areas? </w:t>
      </w:r>
    </w:p>
    <w:p w14:paraId="3A02B87A" w14:textId="77777777" w:rsidR="00173481" w:rsidRDefault="007C19E9">
      <w:pPr>
        <w:numPr>
          <w:ilvl w:val="0"/>
          <w:numId w:val="11"/>
        </w:numPr>
        <w:jc w:val="both"/>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Are there adequate resources allocated for recruitment and training of ECCE personnel?</w:t>
      </w:r>
    </w:p>
    <w:p w14:paraId="156BE5EE" w14:textId="77777777" w:rsidR="00173481" w:rsidRDefault="007C19E9">
      <w:pPr>
        <w:numPr>
          <w:ilvl w:val="0"/>
          <w:numId w:val="11"/>
        </w:numPr>
        <w:spacing w:line="278" w:lineRule="auto"/>
        <w:jc w:val="both"/>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Does the legal and/or policy framework establish minimum qualification standards for recruitment, and continuous professional development and training requirements for ECCE personnel?</w:t>
      </w:r>
    </w:p>
    <w:p w14:paraId="6760AB7B" w14:textId="77777777" w:rsidR="00173481" w:rsidRDefault="007C19E9">
      <w:pPr>
        <w:numPr>
          <w:ilvl w:val="0"/>
          <w:numId w:val="11"/>
        </w:numPr>
        <w:spacing w:after="240" w:line="278" w:lineRule="auto"/>
        <w:jc w:val="both"/>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 xml:space="preserve">Are ECCE personnel guaranteed fair wages and equal remuneration of work for equal value without discrimination? </w:t>
      </w:r>
    </w:p>
    <w:p w14:paraId="029F8D97" w14:textId="77777777" w:rsidR="00173481" w:rsidRDefault="00173481">
      <w:pPr>
        <w:jc w:val="both"/>
        <w:rPr>
          <w:rFonts w:ascii="Times New Roman" w:eastAsia="Times New Roman" w:hAnsi="Times New Roman" w:cs="Times New Roman"/>
          <w:sz w:val="24"/>
          <w:szCs w:val="24"/>
        </w:rPr>
      </w:pPr>
    </w:p>
    <w:p w14:paraId="3E078FA8" w14:textId="77777777" w:rsidR="00173481" w:rsidRDefault="007C19E9">
      <w:pPr>
        <w:pStyle w:val="Heading1"/>
        <w:keepNext w:val="0"/>
        <w:keepLines w:val="0"/>
        <w:numPr>
          <w:ilvl w:val="0"/>
          <w:numId w:val="6"/>
        </w:numPr>
        <w:pBdr>
          <w:top w:val="nil"/>
          <w:left w:val="nil"/>
          <w:bottom w:val="nil"/>
          <w:right w:val="nil"/>
          <w:between w:val="nil"/>
        </w:pBdr>
        <w:spacing w:before="0" w:line="276" w:lineRule="auto"/>
        <w:rPr>
          <w:rFonts w:ascii="Times New Roman" w:eastAsia="Times New Roman" w:hAnsi="Times New Roman" w:cs="Times New Roman"/>
          <w:color w:val="000000"/>
        </w:rPr>
      </w:pPr>
      <w:bookmarkStart w:id="10" w:name="_c195t0z69vp4" w:colFirst="0" w:colLast="0"/>
      <w:bookmarkEnd w:id="10"/>
      <w:r>
        <w:rPr>
          <w:rFonts w:ascii="Times New Roman" w:eastAsia="Times New Roman" w:hAnsi="Times New Roman" w:cs="Times New Roman"/>
          <w:color w:val="000000"/>
          <w:u w:val="single"/>
        </w:rPr>
        <w:lastRenderedPageBreak/>
        <w:t xml:space="preserve">Climate Change </w:t>
      </w:r>
    </w:p>
    <w:p w14:paraId="431EE38B" w14:textId="77777777" w:rsidR="00173481" w:rsidRDefault="00173481">
      <w:pPr>
        <w:ind w:left="360"/>
        <w:rPr>
          <w:sz w:val="12"/>
          <w:szCs w:val="12"/>
        </w:rPr>
      </w:pPr>
    </w:p>
    <w:p w14:paraId="130C2F3B"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2022, Tanzania was ranked the 47th most vulnerable country to Climate Change (CC), and 150th out of 191 countries on readiness to cope with climate change. Most climate models predict an average increase in temperature by 1.23°C from baseline across the country by 2050, with wide ranging impacts.</w:t>
      </w:r>
      <w:r>
        <w:rPr>
          <w:rFonts w:ascii="Times New Roman" w:eastAsia="Times New Roman" w:hAnsi="Times New Roman" w:cs="Times New Roman"/>
          <w:sz w:val="24"/>
          <w:szCs w:val="24"/>
          <w:vertAlign w:val="superscript"/>
        </w:rPr>
        <w:footnoteReference w:id="2"/>
      </w:r>
    </w:p>
    <w:p w14:paraId="557C94D8"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commend efforts by the State Party to develop and execute climate change actions, through legislation, policies, strategies and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including signing the Paris Agreement 2015 and regional frameworks for combating climate change. The State has integrated issues of climate change and environment in education curricula and in various sector-specific MDAs, to mitigate the impacts of CC and strengthen the resilience of communities. </w:t>
      </w:r>
    </w:p>
    <w:p w14:paraId="2766F4F7"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multiple efforts, there are concerns about the vulnerability of young children to climate effects which pose significant and multifaceted threats to children's well-being, impacting their health, safety, and access to essential resources like food, water, and education. </w:t>
      </w:r>
    </w:p>
    <w:p w14:paraId="33D0810C" w14:textId="77777777" w:rsidR="00173481" w:rsidRDefault="007C19E9">
      <w:pPr>
        <w:spacing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Tanzania has developed broader national disaster management frameworks, such as the National Disaster Management Policy (2015) and the Disaster Management Act (2015), which include general provisions for protecting vulnerable groups, including children. However, </w:t>
      </w:r>
      <w:r>
        <w:rPr>
          <w:rFonts w:ascii="Times New Roman" w:eastAsia="Times New Roman" w:hAnsi="Times New Roman" w:cs="Times New Roman"/>
          <w:b/>
          <w:sz w:val="24"/>
          <w:szCs w:val="24"/>
        </w:rPr>
        <w:t>there is no specific, widely implemented contingency plan exclusively focused on childcare facilities and preschools to ensure their protection during natural disasters.</w:t>
      </w:r>
    </w:p>
    <w:p w14:paraId="60F3709D" w14:textId="77777777" w:rsidR="00173481" w:rsidRDefault="007C19E9">
      <w:pPr>
        <w:spacing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Existing frameworks emphasize emergency response but lack tailored guidance on alternative education modalities or maintaining minimum educational standards during such events in ECCE settings. </w:t>
      </w:r>
      <w:r>
        <w:rPr>
          <w:rFonts w:ascii="Times New Roman" w:eastAsia="Times New Roman" w:hAnsi="Times New Roman" w:cs="Times New Roman"/>
          <w:b/>
          <w:sz w:val="24"/>
          <w:szCs w:val="24"/>
        </w:rPr>
        <w:t>Efforts to integrate ECCE into disaster preparedness remain limited and inconsistent.</w:t>
      </w:r>
    </w:p>
    <w:p w14:paraId="76342D45"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Currently, there is no dedicated policy mandating the training of ECCE personnel specifically to handle climate disasters or health crises such as pandemics. Strengthening capacity-building initiatives to equip ECCE personnel with disaster risk reduction and health crisis management skills is an identified gap needing urgent attention.</w:t>
      </w:r>
    </w:p>
    <w:p w14:paraId="4AB9A208" w14:textId="77777777" w:rsidR="00173481" w:rsidRDefault="007C19E9">
      <w:pPr>
        <w:jc w:val="both"/>
        <w:rPr>
          <w:rFonts w:ascii="Times New Roman" w:eastAsia="Times New Roman" w:hAnsi="Times New Roman" w:cs="Times New Roman"/>
          <w:color w:val="0563C1"/>
          <w:sz w:val="24"/>
          <w:szCs w:val="24"/>
        </w:rPr>
      </w:pPr>
      <w:r>
        <w:rPr>
          <w:rFonts w:ascii="Times New Roman" w:eastAsia="Times New Roman" w:hAnsi="Times New Roman" w:cs="Times New Roman"/>
          <w:color w:val="0563C1"/>
          <w:sz w:val="24"/>
          <w:szCs w:val="24"/>
        </w:rPr>
        <w:t>The Committee may raise the below questions to the State:</w:t>
      </w:r>
    </w:p>
    <w:p w14:paraId="4E89F162" w14:textId="77777777" w:rsidR="00173481" w:rsidRDefault="00173481">
      <w:pPr>
        <w:jc w:val="both"/>
        <w:rPr>
          <w:rFonts w:ascii="Times New Roman" w:eastAsia="Times New Roman" w:hAnsi="Times New Roman" w:cs="Times New Roman"/>
          <w:color w:val="0563C1"/>
          <w:sz w:val="24"/>
          <w:szCs w:val="24"/>
        </w:rPr>
      </w:pPr>
    </w:p>
    <w:p w14:paraId="1CFE2CB2" w14:textId="77777777" w:rsidR="00173481" w:rsidRDefault="007C19E9">
      <w:pPr>
        <w:numPr>
          <w:ilvl w:val="1"/>
          <w:numId w:val="1"/>
        </w:numPr>
        <w:spacing w:line="279" w:lineRule="auto"/>
        <w:ind w:left="425"/>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Do national contingency plans exist to protect children and staff in child care facilities and preschools in natural disasters? Does this plan include any alternative education modalities and plans to comply with minimum educational standards during natural disasters?</w:t>
      </w:r>
    </w:p>
    <w:p w14:paraId="12E57220" w14:textId="0096CB54" w:rsidR="00173481" w:rsidRPr="00364C73" w:rsidRDefault="007C19E9" w:rsidP="00364C73">
      <w:pPr>
        <w:numPr>
          <w:ilvl w:val="1"/>
          <w:numId w:val="1"/>
        </w:numPr>
        <w:spacing w:line="279" w:lineRule="auto"/>
        <w:ind w:left="425"/>
        <w:rPr>
          <w:rFonts w:ascii="Times New Roman" w:eastAsia="Times New Roman" w:hAnsi="Times New Roman" w:cs="Times New Roman"/>
          <w:b/>
          <w:color w:val="0563C1"/>
          <w:sz w:val="24"/>
          <w:szCs w:val="24"/>
        </w:rPr>
      </w:pPr>
      <w:r>
        <w:rPr>
          <w:rFonts w:ascii="Times New Roman" w:eastAsia="Times New Roman" w:hAnsi="Times New Roman" w:cs="Times New Roman"/>
          <w:b/>
          <w:color w:val="0563C1"/>
          <w:sz w:val="24"/>
          <w:szCs w:val="24"/>
        </w:rPr>
        <w:t>Is there a policy in place to ensure ECCE personnel are trained to handle climate disasters and health crises?</w:t>
      </w:r>
    </w:p>
    <w:p w14:paraId="07580008" w14:textId="77777777" w:rsidR="00173481" w:rsidRDefault="007C19E9">
      <w:pPr>
        <w:spacing w:after="24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 xml:space="preserve">Recommendations </w:t>
      </w:r>
    </w:p>
    <w:p w14:paraId="5605F48B" w14:textId="77777777" w:rsidR="00173481" w:rsidRDefault="007C19E9">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Committee may encourage the State party to consider:</w:t>
      </w:r>
    </w:p>
    <w:p w14:paraId="3D8356D5" w14:textId="3C0C4A2A" w:rsidR="00173481" w:rsidRDefault="007C19E9">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Enacting comprehensive legislation for ECCE that ensures at least one year of free and compulsory pre-primary education, adopting holistic approach with clear institutional mandates, and covers all ECCE settings including home and community</w:t>
      </w:r>
      <w:r w:rsidR="00F2723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based centres.</w:t>
      </w:r>
    </w:p>
    <w:p w14:paraId="72A6F727" w14:textId="3E860DEA" w:rsidR="00173481" w:rsidRDefault="007C19E9">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Strengthening ECCE data systems to provide disaggregated data and   developing a centralized and interoperable ECCE information system for effective utilization of data in addressing inequalities.</w:t>
      </w:r>
    </w:p>
    <w:p w14:paraId="0A6481D7" w14:textId="5BFC388D" w:rsidR="00173481" w:rsidRDefault="007C19E9">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Effectively regulating the private educational sector, ensuring that all pre-primary schools and day care centres are licensed, registered, have reasonable charges and are regularly monitored to ensure compliance with education law and standards.</w:t>
      </w:r>
    </w:p>
    <w:p w14:paraId="4CD5D385" w14:textId="37D0AFFC" w:rsidR="00173481" w:rsidRDefault="007C19E9">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Improving access and quality of ECCE by strengthening the monitoring and accountability mechanisms. </w:t>
      </w:r>
    </w:p>
    <w:p w14:paraId="42207AEB" w14:textId="77777777" w:rsidR="00173481" w:rsidRDefault="007C19E9">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Enhancing the ECCE workforce by safeguarding their rights with fair wages and social security benefits and establishing national standards for continuous professional development, especially in remote areas.</w:t>
      </w:r>
    </w:p>
    <w:p w14:paraId="73186EE5" w14:textId="77777777" w:rsidR="00173481" w:rsidRDefault="007C19E9">
      <w:pPr>
        <w:numPr>
          <w:ilvl w:val="0"/>
          <w:numId w:val="7"/>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Securing adequate ECCE financing by establishing a dedicated ECCE budget line at all government levels. Ensuring that at least 3% of each council's budget is allocated to ECCE-related social welfare programs and integrating ECCE funding into the mainstream education and social protection budget frameworks.</w:t>
      </w:r>
    </w:p>
    <w:p w14:paraId="0B634C1E" w14:textId="77777777" w:rsidR="00173481" w:rsidRDefault="00173481">
      <w:pPr>
        <w:jc w:val="both"/>
        <w:rPr>
          <w:rFonts w:ascii="Times New Roman" w:eastAsia="Times New Roman" w:hAnsi="Times New Roman" w:cs="Times New Roman"/>
          <w:color w:val="0563C1"/>
          <w:sz w:val="20"/>
          <w:szCs w:val="20"/>
          <w:u w:val="single"/>
        </w:rPr>
      </w:pPr>
    </w:p>
    <w:sectPr w:rsidR="00173481">
      <w:footerReference w:type="default" r:id="rId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3C1A8" w14:textId="77777777" w:rsidR="00E0545B" w:rsidRDefault="00E0545B">
      <w:pPr>
        <w:spacing w:line="240" w:lineRule="auto"/>
      </w:pPr>
      <w:r>
        <w:separator/>
      </w:r>
    </w:p>
  </w:endnote>
  <w:endnote w:type="continuationSeparator" w:id="0">
    <w:p w14:paraId="2B81714E" w14:textId="77777777" w:rsidR="00E0545B" w:rsidRDefault="00E054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A82420CE-2CCC-4CB0-90D9-3F116787D63C}"/>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F9B6A11A-38F7-4973-99A0-EF2843335371}"/>
  </w:font>
  <w:font w:name="Cambria">
    <w:panose1 w:val="02040503050406030204"/>
    <w:charset w:val="00"/>
    <w:family w:val="roman"/>
    <w:pitch w:val="variable"/>
    <w:sig w:usb0="E00006FF" w:usb1="420024FF" w:usb2="02000000" w:usb3="00000000" w:csb0="0000019F" w:csb1="00000000"/>
    <w:embedRegular r:id="rId3" w:fontKey="{64BF7900-07CB-48BE-97E4-7996D2CD303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5DD78" w14:textId="174ED8C8" w:rsidR="00173481" w:rsidRDefault="00173481">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5234280"/>
      <w:docPartObj>
        <w:docPartGallery w:val="Page Numbers (Bottom of Page)"/>
        <w:docPartUnique/>
      </w:docPartObj>
    </w:sdtPr>
    <w:sdtEndPr>
      <w:rPr>
        <w:noProof/>
      </w:rPr>
    </w:sdtEndPr>
    <w:sdtContent>
      <w:p w14:paraId="7FE9235E" w14:textId="38E5D2CC" w:rsidR="00047BC9" w:rsidRDefault="00047B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CB8325" w14:textId="77777777" w:rsidR="00047BC9" w:rsidRDefault="00047BC9">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87392" w14:textId="77777777" w:rsidR="00E0545B" w:rsidRDefault="00E0545B">
      <w:pPr>
        <w:spacing w:line="240" w:lineRule="auto"/>
      </w:pPr>
      <w:r>
        <w:separator/>
      </w:r>
    </w:p>
  </w:footnote>
  <w:footnote w:type="continuationSeparator" w:id="0">
    <w:p w14:paraId="3A938370" w14:textId="77777777" w:rsidR="00E0545B" w:rsidRDefault="00E0545B">
      <w:pPr>
        <w:spacing w:line="240" w:lineRule="auto"/>
      </w:pPr>
      <w:r>
        <w:continuationSeparator/>
      </w:r>
    </w:p>
  </w:footnote>
  <w:footnote w:id="1">
    <w:p w14:paraId="3894E005" w14:textId="77777777" w:rsidR="00173481" w:rsidRDefault="007C19E9">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b/>
          <w:sz w:val="18"/>
          <w:szCs w:val="18"/>
        </w:rPr>
        <w:t xml:space="preserve"> </w:t>
      </w:r>
      <w:r>
        <w:rPr>
          <w:rFonts w:ascii="Times New Roman" w:eastAsia="Times New Roman" w:hAnsi="Times New Roman" w:cs="Times New Roman"/>
          <w:sz w:val="18"/>
          <w:szCs w:val="18"/>
        </w:rPr>
        <w:t xml:space="preserve">Committee on the Rights of the Child. 2015. </w:t>
      </w:r>
      <w:hyperlink r:id="rId1">
        <w:r w:rsidR="00173481">
          <w:rPr>
            <w:rFonts w:ascii="Times New Roman" w:eastAsia="Times New Roman" w:hAnsi="Times New Roman" w:cs="Times New Roman"/>
            <w:color w:val="1155CC"/>
            <w:sz w:val="18"/>
            <w:szCs w:val="18"/>
            <w:u w:val="single"/>
          </w:rPr>
          <w:t>CRC/C/TZA/CO/3-5</w:t>
        </w:r>
      </w:hyperlink>
      <w:r>
        <w:rPr>
          <w:rFonts w:ascii="Times New Roman" w:eastAsia="Times New Roman" w:hAnsi="Times New Roman" w:cs="Times New Roman"/>
          <w:sz w:val="18"/>
          <w:szCs w:val="18"/>
        </w:rPr>
        <w:t>, para. 61.f: ‘Allocate sufficient financial resources for the development and expansion of early childhood education, based on a comprehensive and holistic policy of early childhood care and development.’</w:t>
      </w:r>
    </w:p>
  </w:footnote>
  <w:footnote w:id="2">
    <w:p w14:paraId="4262DED5" w14:textId="77777777" w:rsidR="00173481" w:rsidRDefault="007C19E9">
      <w:pPr>
        <w:spacing w:line="240" w:lineRule="auto"/>
        <w:rPr>
          <w:sz w:val="20"/>
          <w:szCs w:val="20"/>
        </w:rPr>
      </w:pPr>
      <w:r>
        <w:rPr>
          <w:vertAlign w:val="superscript"/>
        </w:rPr>
        <w:footnoteRef/>
      </w:r>
      <w:r>
        <w:rPr>
          <w:sz w:val="20"/>
          <w:szCs w:val="20"/>
        </w:rPr>
        <w:t xml:space="preserve"> </w:t>
      </w:r>
      <w:hyperlink r:id="rId2">
        <w:r w:rsidR="00173481">
          <w:rPr>
            <w:color w:val="1155CC"/>
            <w:sz w:val="20"/>
            <w:szCs w:val="20"/>
            <w:u w:val="single"/>
          </w:rPr>
          <w:t>https://www.worldbank.org/en/country/tanzania/publication/ccdr</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03A43"/>
    <w:multiLevelType w:val="multilevel"/>
    <w:tmpl w:val="BFEC6D80"/>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161F4E21"/>
    <w:multiLevelType w:val="multilevel"/>
    <w:tmpl w:val="F9889E4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CB33A2F"/>
    <w:multiLevelType w:val="multilevel"/>
    <w:tmpl w:val="CCB4BAE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BAC331F"/>
    <w:multiLevelType w:val="multilevel"/>
    <w:tmpl w:val="CC66F7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9544FD8"/>
    <w:multiLevelType w:val="multilevel"/>
    <w:tmpl w:val="B02E734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E473938"/>
    <w:multiLevelType w:val="multilevel"/>
    <w:tmpl w:val="8B70C9B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CD3494D"/>
    <w:multiLevelType w:val="multilevel"/>
    <w:tmpl w:val="8CF05CB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07E16A6"/>
    <w:multiLevelType w:val="multilevel"/>
    <w:tmpl w:val="2AF4472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3F67172"/>
    <w:multiLevelType w:val="multilevel"/>
    <w:tmpl w:val="D4F40F1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5B44498"/>
    <w:multiLevelType w:val="multilevel"/>
    <w:tmpl w:val="619E67D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74F51CE"/>
    <w:multiLevelType w:val="multilevel"/>
    <w:tmpl w:val="48A08CA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15463381">
    <w:abstractNumId w:val="0"/>
  </w:num>
  <w:num w:numId="2" w16cid:durableId="1603683408">
    <w:abstractNumId w:val="9"/>
  </w:num>
  <w:num w:numId="3" w16cid:durableId="1371297832">
    <w:abstractNumId w:val="4"/>
  </w:num>
  <w:num w:numId="4" w16cid:durableId="2068065332">
    <w:abstractNumId w:val="2"/>
  </w:num>
  <w:num w:numId="5" w16cid:durableId="407507201">
    <w:abstractNumId w:val="8"/>
  </w:num>
  <w:num w:numId="6" w16cid:durableId="629364184">
    <w:abstractNumId w:val="1"/>
  </w:num>
  <w:num w:numId="7" w16cid:durableId="800684557">
    <w:abstractNumId w:val="10"/>
  </w:num>
  <w:num w:numId="8" w16cid:durableId="529536979">
    <w:abstractNumId w:val="3"/>
  </w:num>
  <w:num w:numId="9" w16cid:durableId="1496064952">
    <w:abstractNumId w:val="6"/>
  </w:num>
  <w:num w:numId="10" w16cid:durableId="25451872">
    <w:abstractNumId w:val="7"/>
  </w:num>
  <w:num w:numId="11" w16cid:durableId="6955006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481"/>
    <w:rsid w:val="00047BC9"/>
    <w:rsid w:val="00173481"/>
    <w:rsid w:val="00364C73"/>
    <w:rsid w:val="006668E8"/>
    <w:rsid w:val="007C19E9"/>
    <w:rsid w:val="00895923"/>
    <w:rsid w:val="00931986"/>
    <w:rsid w:val="009C3C3F"/>
    <w:rsid w:val="00BC1832"/>
    <w:rsid w:val="00E0545B"/>
    <w:rsid w:val="00E4742C"/>
    <w:rsid w:val="00F27196"/>
    <w:rsid w:val="00F272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7334A"/>
  <w15:docId w15:val="{E5A1008A-CE32-4903-839A-A8A80B95D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line="232" w:lineRule="auto"/>
      <w:jc w:val="both"/>
      <w:outlineLvl w:val="0"/>
    </w:pPr>
    <w:rPr>
      <w:b/>
      <w:color w:val="434343"/>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47BC9"/>
    <w:pPr>
      <w:tabs>
        <w:tab w:val="center" w:pos="4680"/>
        <w:tab w:val="right" w:pos="9360"/>
      </w:tabs>
      <w:spacing w:line="240" w:lineRule="auto"/>
    </w:pPr>
  </w:style>
  <w:style w:type="character" w:customStyle="1" w:styleId="HeaderChar">
    <w:name w:val="Header Char"/>
    <w:basedOn w:val="DefaultParagraphFont"/>
    <w:link w:val="Header"/>
    <w:uiPriority w:val="99"/>
    <w:rsid w:val="00047BC9"/>
  </w:style>
  <w:style w:type="paragraph" w:styleId="Footer">
    <w:name w:val="footer"/>
    <w:basedOn w:val="Normal"/>
    <w:link w:val="FooterChar"/>
    <w:uiPriority w:val="99"/>
    <w:unhideWhenUsed/>
    <w:rsid w:val="00047BC9"/>
    <w:pPr>
      <w:tabs>
        <w:tab w:val="center" w:pos="4680"/>
        <w:tab w:val="right" w:pos="9360"/>
      </w:tabs>
      <w:spacing w:line="240" w:lineRule="auto"/>
    </w:pPr>
  </w:style>
  <w:style w:type="character" w:customStyle="1" w:styleId="FooterChar">
    <w:name w:val="Footer Char"/>
    <w:basedOn w:val="DefaultParagraphFont"/>
    <w:link w:val="Footer"/>
    <w:uiPriority w:val="99"/>
    <w:rsid w:val="00047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tecden.or.tz/resources/view/national-multi-sectoral-early-childhood-development-programme-nm-ecdp-2022-2026" TargetMode="External"/><Relationship Id="rId18" Type="http://schemas.openxmlformats.org/officeDocument/2006/relationships/hyperlink" Target="https://tbinternet.ohchr.org/_layouts/15/treatybodyexternal/Download.aspx?symbolno=CRC%2FC%2FTZA%2FCO%2F3-5&amp;Lang=en" TargetMode="External"/><Relationship Id="rId26" Type="http://schemas.openxmlformats.org/officeDocument/2006/relationships/hyperlink" Target="https://tbinternet.ohchr.org/_layouts/15/treatybodyexternal/Download.aspx?symbolno=CRC%2FC%2FTZA%2F6&amp;Lang=en" TargetMode="External"/><Relationship Id="rId39" Type="http://schemas.openxmlformats.org/officeDocument/2006/relationships/customXml" Target="../customXml/item3.xml"/><Relationship Id="rId21" Type="http://schemas.openxmlformats.org/officeDocument/2006/relationships/hyperlink" Target="https://documents.worldbank.org/en/publication/documents-reports/documentdetail/099340003072237042/p177125061e1c406d80a4d0e343601cf3b22"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tbinternet.ohchr.org/_layouts/15/treatybodyexternal/Download.aspx?symbolno=CRC%2FC%2FTZA%2F6&amp;Lang=en" TargetMode="External"/><Relationship Id="rId17" Type="http://schemas.openxmlformats.org/officeDocument/2006/relationships/hyperlink" Target="https://tbinternet.ohchr.org/_layouts/15/treatybodyexternal/Download.aspx?symbolno=CRC%2FC%2FTZA%2F6&amp;Lang=en" TargetMode="External"/><Relationship Id="rId25" Type="http://schemas.openxmlformats.org/officeDocument/2006/relationships/hyperlink" Target="https://tbinternet.ohchr.org/_layouts/15/treatybodyexternal/Download.aspx?symbolno=CRC%2FC%2FTZA%2F6&amp;Lang=en" TargetMode="External"/><Relationship Id="rId33" Type="http://schemas.openxmlformats.org/officeDocument/2006/relationships/hyperlink" Target="https://tbinternet.ohchr.org/_layouts/15/treatybodyexternal/Download.aspx?symbolno=CRC%2FC%2FTZA%2F6&amp;Lang=en" TargetMode="External"/><Relationship Id="rId38"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tbinternet.ohchr.org/_layouts/15/treatybodyexternal/Download.aspx?symbolno=CRC%2FC%2FTZA%2FCO%2F3-5&amp;Lang=en" TargetMode="External"/><Relationship Id="rId20" Type="http://schemas.openxmlformats.org/officeDocument/2006/relationships/hyperlink" Target="https://education-profiles.org/sub-saharan-africa/united-republic-of-tanzania/~non-state-actors-in-education" TargetMode="External"/><Relationship Id="rId29" Type="http://schemas.openxmlformats.org/officeDocument/2006/relationships/hyperlink" Target="https://tbinternet.ohchr.org/_layouts/15/treatybodyexternal/Download.aspx?symbolno=CRC%2FC%2FTZA%2F6&amp;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CRC%2FC%2FTZA%2FCO%2F3-5&amp;Lang=en" TargetMode="External"/><Relationship Id="rId24" Type="http://schemas.openxmlformats.org/officeDocument/2006/relationships/hyperlink" Target="https://tbinternet.ohchr.org/_layouts/15/treatybodyexternal/Download.aspx?symbolno=CRC%2FC%2FTZA%2FCO%2F3-5&amp;Lang=en" TargetMode="External"/><Relationship Id="rId32" Type="http://schemas.openxmlformats.org/officeDocument/2006/relationships/hyperlink" Target="https://tbinternet.ohchr.org/_layouts/15/treatybodyexternal/Download.aspx?symbolno=CRC%2FC%2FTZA%2F6&amp;Lang=en" TargetMode="External"/><Relationship Id="rId37"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www.jamii.go.tz/uploads/documents/sw-1739175592-NPA-VAWC-II.24.25.pdf" TargetMode="External"/><Relationship Id="rId23" Type="http://schemas.openxmlformats.org/officeDocument/2006/relationships/hyperlink" Target="https://tbinternet.ohchr.org/_layouts/15/treatybodyexternal/Download.aspx?symbolno=CRC%2FC%2FTZA%2F6&amp;Lang=en" TargetMode="External"/><Relationship Id="rId28" Type="http://schemas.openxmlformats.org/officeDocument/2006/relationships/hyperlink" Target="https://tbinternet.ohchr.org/_layouts/15/treatybodyexternal/Download.aspx?symbolno=CRC%2FC%2FTZA%2FCO%2F3-5&amp;Lang=en"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tbinternet.ohchr.org/_layouts/15/treatybodyexternal/Download.aspx?symbolno=CRC%2FC%2FTZA%2F6&amp;Lang=en" TargetMode="External"/><Relationship Id="rId31" Type="http://schemas.openxmlformats.org/officeDocument/2006/relationships/hyperlink" Target="https://tbinternet.ohchr.org/_layouts/15/treatybodyexternal/Download.aspx?symbolno=CRC%2FC%2FTZA%2FCO%2F3-5&amp;Lang=en"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tecden.or.tz/resources/view/national-multi-sectoral-early-childhood-development-programme-nm-ecdp-2022-2026" TargetMode="External"/><Relationship Id="rId22" Type="http://schemas.openxmlformats.org/officeDocument/2006/relationships/hyperlink" Target="https://tbinternet.ohchr.org/_layouts/15/treatybodyexternal/Download.aspx?symbolno=CRC%2FC%2FTZA%2FCO%2F3-5&amp;Lang=en" TargetMode="External"/><Relationship Id="rId27" Type="http://schemas.openxmlformats.org/officeDocument/2006/relationships/hyperlink" Target="https://au.int/sites/default/files/pages/32894-file-2001-abuja-declaration.pdf" TargetMode="External"/><Relationship Id="rId30" Type="http://schemas.openxmlformats.org/officeDocument/2006/relationships/hyperlink" Target="https://www.tecden.or.tz/resources/view/national-multi-sectoral-early-childhood-development-programme-nm-ecdp-2022-2026" TargetMode="External"/><Relationship Id="rId35"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2" Type="http://schemas.openxmlformats.org/officeDocument/2006/relationships/hyperlink" Target="https://www.worldbank.org/en/country/tanzania/publication/ccdr" TargetMode="External"/><Relationship Id="rId1" Type="http://schemas.openxmlformats.org/officeDocument/2006/relationships/hyperlink" Target="https://tbinternet.ohchr.org/_layouts/15/treatybodyexternal/Download.aspx?symbolno=CRC%2FC%2FTZA%2FCO%2F3-5&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63bc577be6a0207e6a765cc88e2b1746">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dd4800aaf0ea67308d5cff9d163d3ffa"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2026-05-07T09:59:47+00:00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A81CA81D-E41B-4CD1-82B7-3150FBF22E55}"/>
</file>

<file path=customXml/itemProps2.xml><?xml version="1.0" encoding="utf-8"?>
<ds:datastoreItem xmlns:ds="http://schemas.openxmlformats.org/officeDocument/2006/customXml" ds:itemID="{3BD08418-827A-4C48-9043-3D596D001DD0}"/>
</file>

<file path=customXml/itemProps3.xml><?xml version="1.0" encoding="utf-8"?>
<ds:datastoreItem xmlns:ds="http://schemas.openxmlformats.org/officeDocument/2006/customXml" ds:itemID="{FCCA65F1-49FB-4774-9162-C70AF272C8FA}"/>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10</Pages>
  <Words>3562</Words>
  <Characters>20309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James Boit</cp:lastModifiedBy>
  <cp:revision>2</cp:revision>
  <dcterms:created xsi:type="dcterms:W3CDTF">2026-05-07T09:59:00Z</dcterms:created>
  <dcterms:modified xsi:type="dcterms:W3CDTF">2026-05-07T09:59:00Z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ies>
</file>