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891D2" w14:textId="77C31300" w:rsidR="002F7E22" w:rsidRPr="002F7E22" w:rsidRDefault="002F7E22" w:rsidP="002F7E22">
      <w:pPr>
        <w:jc w:val="center"/>
        <w:rPr>
          <w:rFonts w:asciiTheme="majorBidi" w:hAnsiTheme="majorBidi" w:cstheme="majorBidi"/>
          <w:b/>
          <w:bCs/>
          <w:color w:val="1F3864" w:themeColor="accent5" w:themeShade="80"/>
          <w:sz w:val="32"/>
          <w:szCs w:val="32"/>
        </w:rPr>
      </w:pPr>
      <w:r w:rsidRPr="002F7E22">
        <w:rPr>
          <w:rFonts w:asciiTheme="majorBidi" w:hAnsiTheme="majorBidi" w:cstheme="majorBidi"/>
          <w:b/>
          <w:bCs/>
          <w:color w:val="1F3864" w:themeColor="accent5" w:themeShade="80"/>
          <w:sz w:val="32"/>
          <w:szCs w:val="32"/>
        </w:rPr>
        <w:t xml:space="preserve">Maat for Peace’ report submitted to the Committee Against Torture Regarding </w:t>
      </w:r>
      <w:r w:rsidRPr="002F7E22">
        <w:rPr>
          <w:rFonts w:asciiTheme="majorBidi" w:hAnsiTheme="majorBidi" w:cstheme="majorBidi"/>
          <w:b/>
          <w:bCs/>
          <w:color w:val="C45911" w:themeColor="accent2" w:themeShade="BF"/>
          <w:sz w:val="32"/>
          <w:szCs w:val="32"/>
        </w:rPr>
        <w:t>France</w:t>
      </w:r>
    </w:p>
    <w:p w14:paraId="189C7504" w14:textId="27C740C3" w:rsidR="002F7E22" w:rsidRPr="002F7E22" w:rsidRDefault="002F7E22" w:rsidP="002F7E22">
      <w:pPr>
        <w:pBdr>
          <w:bottom w:val="single" w:sz="18" w:space="1" w:color="auto"/>
        </w:pBdr>
        <w:jc w:val="center"/>
        <w:rPr>
          <w:rFonts w:asciiTheme="majorBidi" w:hAnsiTheme="majorBidi" w:cstheme="majorBidi"/>
          <w:b/>
          <w:bCs/>
          <w:color w:val="000000" w:themeColor="text1"/>
          <w:sz w:val="24"/>
          <w:szCs w:val="24"/>
        </w:rPr>
      </w:pPr>
      <w:r w:rsidRPr="002F7E22">
        <w:rPr>
          <w:rFonts w:asciiTheme="majorBidi" w:hAnsiTheme="majorBidi" w:cstheme="majorBidi"/>
          <w:b/>
          <w:bCs/>
          <w:color w:val="000000" w:themeColor="text1"/>
          <w:sz w:val="24"/>
          <w:szCs w:val="24"/>
        </w:rPr>
        <w:t>March 2025</w:t>
      </w:r>
    </w:p>
    <w:p w14:paraId="54EF1B4D"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 the context of the eighty-second session of the Committee Against Torture, France will undergo a review of its compliance with the provisions of the Convention Against Torture and Other Cruel, Inhuman or Degrading Treatment or Punishment (hereinafter referred to as "the Convention"), which it ratified on February 18, 1986.</w:t>
      </w:r>
      <w:r w:rsidRPr="002F7E22">
        <w:rPr>
          <w:rStyle w:val="FootnoteReference"/>
          <w:rFonts w:asciiTheme="majorBidi" w:hAnsiTheme="majorBidi" w:cstheme="majorBidi"/>
          <w:sz w:val="24"/>
          <w:szCs w:val="24"/>
        </w:rPr>
        <w:footnoteReference w:id="1"/>
      </w:r>
      <w:r w:rsidRPr="002F7E22">
        <w:rPr>
          <w:rFonts w:asciiTheme="majorBidi" w:hAnsiTheme="majorBidi" w:cstheme="majorBidi"/>
          <w:sz w:val="24"/>
          <w:szCs w:val="24"/>
        </w:rPr>
        <w:t xml:space="preserve"> By this ratification, France is legally obligated to implement the provisions of the Convention for all individuals under its jurisdiction, without discrimination, whether they are nationals or foreign residents on its territory. France is also subject to the international oversight mechanism stipulated in the Convention, including the submission of periodic reports on its implementation of obligations, the latest of which was the eighth periodic report submitted to the Committee.</w:t>
      </w:r>
    </w:p>
    <w:p w14:paraId="73F73608"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Furthermore, France ratified the Optional Protocol to the Convention on November 11, 2008, although it attached a declaration specifying the scope of its obligations under the Protocol.</w:t>
      </w:r>
    </w:p>
    <w:p w14:paraId="6DE0C1AC"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 this context, Maat for Peace, Development, and Human Rights submits this report to the Committee Against Torture to assess the extent of France's implementation of the provisions of the Convention, with a focus on aspects related to the definition of torture, the safeguards adopted to prevent its occurrence, the prohibition of coercion, mechanisms for filing complaints regarding acts of torture, and ensuring the victims' right to compensation. The report also reviews the progress made in this regard and identifies shortcomings and challenges that remain unaddressed in the periodic report submitted by France to the Committee.</w:t>
      </w:r>
    </w:p>
    <w:p w14:paraId="6272CB8F"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Definition of Torture (Article 1)</w:t>
      </w:r>
    </w:p>
    <w:p w14:paraId="68F81253"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Maat notes that French criminal legislation does not provide a clear and independent definition of the crime of torture as stipulated in Article 1 of the Convention Against Torture. Instead, acts of severe violence and serious assaults on individuals' integrity are addressed through various provisions in the criminal code, which may lead to the absence of a comprehensive legal framework that criminalizes torture in all its forms as outlined in the Convention.</w:t>
      </w:r>
    </w:p>
    <w:p w14:paraId="0FE3F124"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 xml:space="preserve">In this context, Article 222-1 of the French Penal Code punishes anyone who subjects another person to acts of torture or cruelty with imprisonment for fifteen years. Article 222-2 increases the </w:t>
      </w:r>
      <w:r w:rsidRPr="002F7E22">
        <w:rPr>
          <w:rFonts w:asciiTheme="majorBidi" w:hAnsiTheme="majorBidi" w:cstheme="majorBidi"/>
          <w:sz w:val="24"/>
          <w:szCs w:val="24"/>
        </w:rPr>
        <w:lastRenderedPageBreak/>
        <w:t>penalty to life imprisonment if the crime is committed in conjunction with other crimes such as murder or rape.</w:t>
      </w:r>
      <w:r w:rsidRPr="002F7E22">
        <w:rPr>
          <w:rStyle w:val="FootnoteReference"/>
          <w:rFonts w:asciiTheme="majorBidi" w:hAnsiTheme="majorBidi" w:cstheme="majorBidi"/>
          <w:sz w:val="24"/>
          <w:szCs w:val="24"/>
        </w:rPr>
        <w:footnoteReference w:id="2"/>
      </w:r>
      <w:r w:rsidRPr="002F7E22">
        <w:rPr>
          <w:rFonts w:asciiTheme="majorBidi" w:hAnsiTheme="majorBidi" w:cstheme="majorBidi"/>
          <w:sz w:val="24"/>
          <w:szCs w:val="24"/>
        </w:rPr>
        <w:t xml:space="preserve"> However, these provisions do not provide an accurate and comprehensive definition of torture that aligns with international standards, but rather address specific aspects of violent acts without recognizing them as a standalone crime as per the Convention.</w:t>
      </w:r>
    </w:p>
    <w:p w14:paraId="36A6B6A3"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The French legislation does not exempt acts of torture from the statute of limitations, as all crimes—including serious offenses—are subject to certain limitation periods, with the exception of crimes against humanity and genocide, which may sometimes include acts of torture. This raises concerns about the possibility of perpetrators of torture escaping legal accountability over time.</w:t>
      </w:r>
      <w:r w:rsidRPr="002F7E22">
        <w:rPr>
          <w:rStyle w:val="FootnoteReference"/>
          <w:rFonts w:asciiTheme="majorBidi" w:hAnsiTheme="majorBidi" w:cstheme="majorBidi"/>
          <w:sz w:val="24"/>
          <w:szCs w:val="24"/>
        </w:rPr>
        <w:footnoteReference w:id="3"/>
      </w:r>
    </w:p>
    <w:p w14:paraId="34B96CC6"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Despite France's commitment to implement the provisions of the Convention and criminalize torture through a set of legal provisions, the current legislative framework still does not fully align with the definition provided in Article 1 of the Convention. Maat recommends revising the French Penal Code to ensure the inclusion of a comprehensive definition of torture that encompasses all elements outlined in the Convention and aligns with international standards. It is worth noting that the UN Committee has repeatedly made recommendations to France in this regard, yet the current legislation—particularly Article 222-1 of the Penal Code—still lacks an explicit definition of torture and does not encompass all its forms and manifestations as stipulated by the Convention.</w:t>
      </w:r>
      <w:r w:rsidRPr="002F7E22">
        <w:rPr>
          <w:rStyle w:val="FootnoteReference"/>
          <w:rFonts w:asciiTheme="majorBidi" w:hAnsiTheme="majorBidi" w:cstheme="majorBidi"/>
          <w:sz w:val="24"/>
          <w:szCs w:val="24"/>
        </w:rPr>
        <w:footnoteReference w:id="4"/>
      </w:r>
    </w:p>
    <w:p w14:paraId="488EAE70"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Safeguards Against Torture (Article 2)</w:t>
      </w:r>
    </w:p>
    <w:p w14:paraId="24C6D59B"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Article 2 of the Convention Against Torture stipulates that each State Party must take effective legislative, administrative, or judicial measures to prevent torture in all territories under its jurisdiction, and no exceptional circumstances may be invoked as a justification for its practice. As a State Party to the Convention, France is legally obligated to implement these provisions. However, Maat expresses concern over several practices that contradict this obligation.</w:t>
      </w:r>
    </w:p>
    <w:p w14:paraId="7AFD69C1" w14:textId="77777777" w:rsidR="002F7E22" w:rsidRPr="002F7E22" w:rsidRDefault="002F7E22" w:rsidP="002F7E22">
      <w:pPr>
        <w:numPr>
          <w:ilvl w:val="0"/>
          <w:numId w:val="43"/>
        </w:numPr>
        <w:spacing w:line="278" w:lineRule="auto"/>
        <w:jc w:val="both"/>
        <w:rPr>
          <w:rFonts w:asciiTheme="majorBidi" w:hAnsiTheme="majorBidi" w:cstheme="majorBidi"/>
          <w:sz w:val="24"/>
          <w:szCs w:val="24"/>
        </w:rPr>
      </w:pPr>
      <w:r w:rsidRPr="002F7E22">
        <w:rPr>
          <w:rFonts w:asciiTheme="majorBidi" w:hAnsiTheme="majorBidi" w:cstheme="majorBidi"/>
          <w:b/>
          <w:bCs/>
          <w:sz w:val="24"/>
          <w:szCs w:val="24"/>
        </w:rPr>
        <w:t>Use of Excessive Force and Inhumane Detention Conditions</w:t>
      </w:r>
    </w:p>
    <w:p w14:paraId="66CF1822"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 xml:space="preserve">Reliable reports reviewed by Maat indicate that French authorities have employed excessive force and, at times, systematic torture, particularly against migrants and asylum seekers, constituting a blatant violation of Article 2 of the Convention. In detention centers designated for migrants and asylum seekers, such as the administrative detention center in Lyon, detainees face harsh conditions, allowed only half an hour for meals and one hour for medical care or meeting with </w:t>
      </w:r>
      <w:r w:rsidRPr="002F7E22">
        <w:rPr>
          <w:rFonts w:asciiTheme="majorBidi" w:hAnsiTheme="majorBidi" w:cstheme="majorBidi"/>
          <w:sz w:val="24"/>
          <w:szCs w:val="24"/>
        </w:rPr>
        <w:lastRenderedPageBreak/>
        <w:t>civil society organizations. The design of the center reflects a punitive environment aimed at deterring potential migrants rather than providing humane detention conditions.</w:t>
      </w:r>
      <w:r w:rsidRPr="002F7E22">
        <w:rPr>
          <w:rStyle w:val="FootnoteReference"/>
          <w:rFonts w:asciiTheme="majorBidi" w:hAnsiTheme="majorBidi" w:cstheme="majorBidi"/>
          <w:sz w:val="24"/>
          <w:szCs w:val="24"/>
        </w:rPr>
        <w:footnoteReference w:id="5"/>
      </w:r>
    </w:p>
    <w:p w14:paraId="31DDB67B"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Moreover, an administrative court in Montpellier condemned the French government for the inhumane and degrading treatment of prisoners in Perpignan Prison, noting serious violations of detainees' rights, including exposure to mistreatment by prison guards.</w:t>
      </w:r>
      <w:r w:rsidRPr="002F7E22">
        <w:rPr>
          <w:rStyle w:val="FootnoteReference"/>
          <w:rFonts w:asciiTheme="majorBidi" w:hAnsiTheme="majorBidi" w:cstheme="majorBidi"/>
          <w:sz w:val="24"/>
          <w:szCs w:val="24"/>
        </w:rPr>
        <w:footnoteReference w:id="6"/>
      </w:r>
    </w:p>
    <w:p w14:paraId="21AE5644" w14:textId="77777777" w:rsidR="002F7E22" w:rsidRPr="002F7E22" w:rsidRDefault="002F7E22" w:rsidP="002F7E22">
      <w:pPr>
        <w:pStyle w:val="ListParagraph"/>
        <w:numPr>
          <w:ilvl w:val="0"/>
          <w:numId w:val="43"/>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Forced Eviction of Refugees and Migrants</w:t>
      </w:r>
    </w:p>
    <w:p w14:paraId="3830306B"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On April 17, 2024, French police forces forcibly evacuated an informal shelter for refugees in the "Vitry-sur-Seine" suburb of Paris, displacing 450 individuals, most of whom were migrants and asylum seekers, under the pretext of clearing space ahead of the upcoming Olympic Games, despite the area not hosting any events. During the eviction process, the refugees' belongings were destroyed, exacerbating their humanitarian situation.</w:t>
      </w:r>
      <w:r w:rsidRPr="002F7E22">
        <w:rPr>
          <w:rStyle w:val="FootnoteReference"/>
          <w:rFonts w:asciiTheme="majorBidi" w:hAnsiTheme="majorBidi" w:cstheme="majorBidi"/>
          <w:sz w:val="24"/>
          <w:szCs w:val="24"/>
        </w:rPr>
        <w:footnoteReference w:id="7"/>
      </w:r>
    </w:p>
    <w:p w14:paraId="2BBE37D0" w14:textId="77777777" w:rsidR="002F7E22" w:rsidRPr="002F7E22" w:rsidRDefault="002F7E22" w:rsidP="002F7E22">
      <w:pPr>
        <w:pStyle w:val="ListParagraph"/>
        <w:numPr>
          <w:ilvl w:val="0"/>
          <w:numId w:val="43"/>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Violations in Detention and Solitary Confinement</w:t>
      </w:r>
    </w:p>
    <w:p w14:paraId="3B6FF038"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Human rights reports reveal a deterioration in the conditions of solitary confinement in French detention facilities, where individuals are held in isolated cells cut off from the outside world, deprived of daylight, and subjected to strict movement restrictions, allowed only one hour per day for exercise. Detainees face humiliating treatment, including violence, bullying, and harsh penalties for minor infractions.</w:t>
      </w:r>
      <w:r w:rsidRPr="002F7E22">
        <w:rPr>
          <w:rStyle w:val="FootnoteReference"/>
          <w:rFonts w:asciiTheme="majorBidi" w:hAnsiTheme="majorBidi" w:cstheme="majorBidi"/>
          <w:sz w:val="24"/>
          <w:szCs w:val="24"/>
        </w:rPr>
        <w:footnoteReference w:id="8"/>
      </w:r>
    </w:p>
    <w:p w14:paraId="505F5D06" w14:textId="77777777" w:rsidR="002F7E22" w:rsidRPr="002F7E22" w:rsidRDefault="002F7E22" w:rsidP="002F7E22">
      <w:pPr>
        <w:pStyle w:val="ListParagraph"/>
        <w:numPr>
          <w:ilvl w:val="0"/>
          <w:numId w:val="43"/>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Treatment of Migrant Children and International Condemnation of France</w:t>
      </w:r>
    </w:p>
    <w:p w14:paraId="7580905C"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On May 4, 2023, the European Court of Human Rights condemned France for the eleventh time for the inhumane and degrading treatment of migrant children. The ruling included two separate cases: the first involved the detention of a mother and her seven-and-a-half-month-old baby in a closed center for nine days in preparation for their deportation to Spain under the Dublin Agreement. The second case involved the detention of a mother and her three children, aged 8 months, 6 years, and 13 years, before their transfer to Portugal.</w:t>
      </w:r>
      <w:r w:rsidRPr="002F7E22">
        <w:rPr>
          <w:rStyle w:val="FootnoteReference"/>
          <w:rFonts w:asciiTheme="majorBidi" w:hAnsiTheme="majorBidi" w:cstheme="majorBidi"/>
          <w:sz w:val="24"/>
          <w:szCs w:val="24"/>
        </w:rPr>
        <w:footnoteReference w:id="9"/>
      </w:r>
    </w:p>
    <w:p w14:paraId="602F09D0"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lastRenderedPageBreak/>
        <w:t>Additionally, French authorities continue to expel unaccompanied minor migrants at the Italian border in Ventimiglia, citing their inability to accommodate them in the reception system, a procedure that violates international obligations regarding the protection of children.</w:t>
      </w:r>
    </w:p>
    <w:p w14:paraId="07985C17" w14:textId="77777777" w:rsidR="002F7E22" w:rsidRPr="002F7E22" w:rsidRDefault="002F7E22" w:rsidP="002F7E22">
      <w:pPr>
        <w:pStyle w:val="ListParagraph"/>
        <w:numPr>
          <w:ilvl w:val="0"/>
          <w:numId w:val="43"/>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Positive Developments in Banning Corporal Punishment of Children</w:t>
      </w:r>
    </w:p>
    <w:p w14:paraId="7B118491"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On the other hand, Maat commends legislative developments related to the prohibition of corporal punishment in homes. In July 2019, the "Prohibition of Ordinary Educational Violence" law was adopted, amending Article 371-1 of the French Civil Code to state that "parental authority is exercised without any physical or psychological violence." The government published a report in September 2019 examining the prevalence of corporal punishment and providing recommendations to enhance awareness campaigns and support positive parenting. This amendment represents a positive step toward abolishing practices that were previously legitimized under the "right to discipline" in French customary law.</w:t>
      </w:r>
      <w:r w:rsidRPr="002F7E22">
        <w:rPr>
          <w:rStyle w:val="FootnoteReference"/>
          <w:rFonts w:asciiTheme="majorBidi" w:hAnsiTheme="majorBidi" w:cstheme="majorBidi"/>
          <w:sz w:val="24"/>
          <w:szCs w:val="24"/>
        </w:rPr>
        <w:footnoteReference w:id="10"/>
      </w:r>
    </w:p>
    <w:p w14:paraId="6A17A0F0"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Non-Refoulement (Article 3)</w:t>
      </w:r>
    </w:p>
    <w:p w14:paraId="2786178B"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The principle of non-refoulement, as stated in Article 3 of the Convention Against Torture, prohibits the return of any person to a country where they may face the risk of torture or serious violations of their human rights. This principle applies strictly to all refugees and asylum seekers, regardless of their legal status.</w:t>
      </w:r>
      <w:r w:rsidRPr="002F7E22">
        <w:rPr>
          <w:rStyle w:val="FootnoteReference"/>
          <w:rFonts w:asciiTheme="majorBidi" w:hAnsiTheme="majorBidi" w:cstheme="majorBidi"/>
          <w:sz w:val="24"/>
          <w:szCs w:val="24"/>
        </w:rPr>
        <w:footnoteReference w:id="11"/>
      </w:r>
      <w:r w:rsidRPr="002F7E22">
        <w:rPr>
          <w:rFonts w:asciiTheme="majorBidi" w:hAnsiTheme="majorBidi" w:cstheme="majorBidi"/>
          <w:sz w:val="24"/>
          <w:szCs w:val="24"/>
        </w:rPr>
        <w:t xml:space="preserve"> However, Maat notes that France has not respected this obligation in several cases, constituting a clear violation of its international commitments.</w:t>
      </w:r>
      <w:r w:rsidRPr="002F7E22">
        <w:rPr>
          <w:rStyle w:val="FootnoteReference"/>
          <w:rFonts w:asciiTheme="majorBidi" w:hAnsiTheme="majorBidi" w:cstheme="majorBidi"/>
          <w:sz w:val="24"/>
          <w:szCs w:val="24"/>
        </w:rPr>
        <w:footnoteReference w:id="12"/>
      </w:r>
    </w:p>
    <w:p w14:paraId="5E41E8BD" w14:textId="77777777" w:rsidR="002F7E22" w:rsidRPr="002F7E22" w:rsidRDefault="002F7E22" w:rsidP="002F7E22">
      <w:pPr>
        <w:pStyle w:val="ListParagraph"/>
        <w:numPr>
          <w:ilvl w:val="0"/>
          <w:numId w:val="46"/>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Widespread Forced Returns</w:t>
      </w:r>
    </w:p>
    <w:p w14:paraId="218A922C"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 2024, France forcibly returned over 3,550 refugees and asylum seekers without conducting appropriate individual assessments of the risks they faced in their home countries.</w:t>
      </w:r>
      <w:r w:rsidRPr="002F7E22">
        <w:rPr>
          <w:rStyle w:val="FootnoteReference"/>
          <w:rFonts w:asciiTheme="majorBidi" w:hAnsiTheme="majorBidi" w:cstheme="majorBidi"/>
          <w:sz w:val="24"/>
          <w:szCs w:val="24"/>
        </w:rPr>
        <w:footnoteReference w:id="13"/>
      </w:r>
      <w:r w:rsidRPr="002F7E22">
        <w:rPr>
          <w:rFonts w:asciiTheme="majorBidi" w:hAnsiTheme="majorBidi" w:cstheme="majorBidi"/>
          <w:sz w:val="24"/>
          <w:szCs w:val="24"/>
        </w:rPr>
        <w:t xml:space="preserve"> Maat has documented an increase in the pace of forced returns, forcing migrants to resort to unsafe and perilous means to escape these policies. </w:t>
      </w:r>
      <w:r w:rsidRPr="002F7E22">
        <w:rPr>
          <w:rFonts w:asciiTheme="majorBidi" w:hAnsiTheme="majorBidi" w:cstheme="majorBidi"/>
          <w:b/>
          <w:bCs/>
          <w:sz w:val="24"/>
          <w:szCs w:val="24"/>
          <w:u w:val="single"/>
        </w:rPr>
        <w:t>As a result of these measures, fatal incidents along migration routes have increased, including:</w:t>
      </w:r>
    </w:p>
    <w:p w14:paraId="5C1670F5" w14:textId="77777777" w:rsidR="002F7E22" w:rsidRPr="002F7E22" w:rsidRDefault="002F7E22" w:rsidP="002F7E22">
      <w:pPr>
        <w:numPr>
          <w:ilvl w:val="0"/>
          <w:numId w:val="44"/>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Mountain trails and highways used by migrants to avoid checkpoints.</w:t>
      </w:r>
    </w:p>
    <w:p w14:paraId="63F85213" w14:textId="77777777" w:rsidR="002F7E22" w:rsidRPr="002F7E22" w:rsidRDefault="002F7E22" w:rsidP="002F7E22">
      <w:pPr>
        <w:numPr>
          <w:ilvl w:val="0"/>
          <w:numId w:val="44"/>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lastRenderedPageBreak/>
        <w:t>Railways, where fatalities have occurred due to unsafe crossing attempts.</w:t>
      </w:r>
    </w:p>
    <w:p w14:paraId="48719265" w14:textId="77777777" w:rsidR="002F7E22" w:rsidRPr="002F7E22" w:rsidRDefault="002F7E22" w:rsidP="002F7E22">
      <w:pPr>
        <w:numPr>
          <w:ilvl w:val="0"/>
          <w:numId w:val="44"/>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 xml:space="preserve">The </w:t>
      </w:r>
      <w:proofErr w:type="spellStart"/>
      <w:r w:rsidRPr="002F7E22">
        <w:rPr>
          <w:rFonts w:asciiTheme="majorBidi" w:hAnsiTheme="majorBidi" w:cstheme="majorBidi"/>
          <w:sz w:val="24"/>
          <w:szCs w:val="24"/>
        </w:rPr>
        <w:t>Bidassoa</w:t>
      </w:r>
      <w:proofErr w:type="spellEnd"/>
      <w:r w:rsidRPr="002F7E22">
        <w:rPr>
          <w:rFonts w:asciiTheme="majorBidi" w:hAnsiTheme="majorBidi" w:cstheme="majorBidi"/>
          <w:sz w:val="24"/>
          <w:szCs w:val="24"/>
        </w:rPr>
        <w:t xml:space="preserve"> River, which separates France and Spain, where several migrants have drowned while attempting to cross.</w:t>
      </w:r>
    </w:p>
    <w:p w14:paraId="480A1152"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At least 12 individuals lost their lives at the French border between January 1, 2021, and December 31, 2022, highlighting the tragic consequences of these policies.</w:t>
      </w:r>
      <w:r w:rsidRPr="002F7E22">
        <w:rPr>
          <w:rStyle w:val="FootnoteReference"/>
          <w:rFonts w:asciiTheme="majorBidi" w:hAnsiTheme="majorBidi" w:cstheme="majorBidi"/>
          <w:sz w:val="24"/>
          <w:szCs w:val="24"/>
        </w:rPr>
        <w:footnoteReference w:id="14"/>
      </w:r>
    </w:p>
    <w:p w14:paraId="45474E75" w14:textId="77777777" w:rsidR="002F7E22" w:rsidRPr="002F7E22" w:rsidRDefault="002F7E22" w:rsidP="002F7E22">
      <w:pPr>
        <w:pStyle w:val="ListParagraph"/>
        <w:numPr>
          <w:ilvl w:val="0"/>
          <w:numId w:val="46"/>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Forced Deportations in Mayotte</w:t>
      </w:r>
    </w:p>
    <w:p w14:paraId="5B99A5E9"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Maat emphasizes that the obligations of State Parties to international agreements extend beyond their territorial boundaries to include all areas under their control, even if outside their geographical borders. In this context, France launched a military operation on April 23, 2023, called "</w:t>
      </w:r>
      <w:proofErr w:type="spellStart"/>
      <w:r w:rsidRPr="002F7E22">
        <w:rPr>
          <w:rFonts w:asciiTheme="majorBidi" w:hAnsiTheme="majorBidi" w:cstheme="majorBidi"/>
          <w:sz w:val="24"/>
          <w:szCs w:val="24"/>
        </w:rPr>
        <w:t>Wambushu</w:t>
      </w:r>
      <w:proofErr w:type="spellEnd"/>
      <w:r w:rsidRPr="002F7E22">
        <w:rPr>
          <w:rFonts w:asciiTheme="majorBidi" w:hAnsiTheme="majorBidi" w:cstheme="majorBidi"/>
          <w:sz w:val="24"/>
          <w:szCs w:val="24"/>
        </w:rPr>
        <w:t>," meaning "restoration" in Mauritian Creole, targeting the dismantling of informal settlements on the island of Mayotte, a French sovereign territory in the Indian Ocean.</w:t>
      </w:r>
    </w:p>
    <w:p w14:paraId="307EB975"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Informal settlements account for 40% of housing in Mayotte, but France conducted a mass deportation campaign under the pretext of combating crime. Plans were made to destroy 1,000 shanties within two months, with promises of resettlement only for those who could prove their French nationality or legal residency permits. Undocumented migrants were subject to forced deportation to other countries.</w:t>
      </w:r>
    </w:p>
    <w:p w14:paraId="089D80DE"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Before the operation, 80 migrants were deported daily, but France increased this number to 250-280 migrants per day, reflecting an accelerated pace of forced returns.</w:t>
      </w:r>
    </w:p>
    <w:p w14:paraId="1D658371" w14:textId="77777777" w:rsidR="002F7E22" w:rsidRPr="002F7E22" w:rsidRDefault="002F7E22" w:rsidP="002F7E22">
      <w:pPr>
        <w:pStyle w:val="ListParagraph"/>
        <w:numPr>
          <w:ilvl w:val="0"/>
          <w:numId w:val="46"/>
        </w:numPr>
        <w:spacing w:line="278" w:lineRule="auto"/>
        <w:jc w:val="both"/>
        <w:rPr>
          <w:rFonts w:asciiTheme="majorBidi" w:hAnsiTheme="majorBidi" w:cstheme="majorBidi"/>
          <w:b/>
          <w:bCs/>
          <w:sz w:val="24"/>
          <w:szCs w:val="24"/>
        </w:rPr>
      </w:pPr>
      <w:r w:rsidRPr="002F7E22">
        <w:rPr>
          <w:rFonts w:asciiTheme="majorBidi" w:hAnsiTheme="majorBidi" w:cstheme="majorBidi"/>
          <w:b/>
          <w:bCs/>
          <w:sz w:val="24"/>
          <w:szCs w:val="24"/>
        </w:rPr>
        <w:t>Excessive Use of Force Against Migrants</w:t>
      </w:r>
    </w:p>
    <w:p w14:paraId="5A7041C4"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The "</w:t>
      </w:r>
      <w:proofErr w:type="spellStart"/>
      <w:r w:rsidRPr="002F7E22">
        <w:rPr>
          <w:rFonts w:asciiTheme="majorBidi" w:hAnsiTheme="majorBidi" w:cstheme="majorBidi"/>
          <w:sz w:val="24"/>
          <w:szCs w:val="24"/>
        </w:rPr>
        <w:t>Wambushu</w:t>
      </w:r>
      <w:proofErr w:type="spellEnd"/>
      <w:r w:rsidRPr="002F7E22">
        <w:rPr>
          <w:rFonts w:asciiTheme="majorBidi" w:hAnsiTheme="majorBidi" w:cstheme="majorBidi"/>
          <w:sz w:val="24"/>
          <w:szCs w:val="24"/>
        </w:rPr>
        <w:t>" operation did not proceed smoothly, despite the deployment of 1,800 French security personnel, including hundreds of riot police specifically sent to reinforce the operation. The brutality of these measures was evident in the use of 650 tear gas canisters, 85 hand grenades, 60 rubber bullets, and the shooting of a child in the leg, who was detained for 48 hours, with his parents threatened with deportation.</w:t>
      </w:r>
      <w:r w:rsidRPr="002F7E22">
        <w:rPr>
          <w:rStyle w:val="FootnoteReference"/>
          <w:rFonts w:asciiTheme="majorBidi" w:hAnsiTheme="majorBidi" w:cstheme="majorBidi"/>
          <w:sz w:val="24"/>
          <w:szCs w:val="24"/>
        </w:rPr>
        <w:footnoteReference w:id="15"/>
      </w:r>
    </w:p>
    <w:p w14:paraId="1F97F37E"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lastRenderedPageBreak/>
        <w:t>These violations constitute a serious breach of Article 3 of the Convention Against Torture, which prohibits returning individuals to countries where they may face serious danger or subjecting them to inhumane or degrading treatment.</w:t>
      </w:r>
    </w:p>
    <w:p w14:paraId="2364E2D8"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Complaints in Torture Cases (Article 13)</w:t>
      </w:r>
    </w:p>
    <w:p w14:paraId="705F498A"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Maat notes that France has taken some measures to ensure that perpetrators of excessive use of force do not evade punishment by enshrining the right to access justice for those who consider themselves victims of such violations. This includes the possibility of filing complaints and litigating against public authority personnel. Any officer suspected of involvement in excessive use of force is subject to administrative and judicial investigations to ensure accountability. The administrative authority, along with police and national gendarmerie oversight bodies, exercises strict control over the use of force, imposing disciplinary sanctions on officers found non-compliant with legal regulations.</w:t>
      </w:r>
      <w:r w:rsidRPr="002F7E22">
        <w:rPr>
          <w:rStyle w:val="FootnoteReference"/>
          <w:rFonts w:asciiTheme="majorBidi" w:hAnsiTheme="majorBidi" w:cstheme="majorBidi"/>
          <w:sz w:val="24"/>
          <w:szCs w:val="24"/>
        </w:rPr>
        <w:footnoteReference w:id="16"/>
      </w:r>
    </w:p>
    <w:p w14:paraId="12952181"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However, despite this legal framework, the absence of official statistics on the number of complaints filed in torture cases raises questions about the effectiveness and transparency of complaint mechanisms. Concerns also exist regarding the speed and independence of investigations, especially in cases where the perpetrators are members of security forces, which may undermine victims' trust in the judicial system.</w:t>
      </w:r>
    </w:p>
    <w:p w14:paraId="7E331AC4"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 this context, the European Committee Against Torture conducted a visit to France from September 23 to October 4, 2024,</w:t>
      </w:r>
      <w:r w:rsidRPr="002F7E22">
        <w:rPr>
          <w:rStyle w:val="FootnoteReference"/>
          <w:rFonts w:asciiTheme="majorBidi" w:hAnsiTheme="majorBidi" w:cstheme="majorBidi"/>
          <w:sz w:val="24"/>
          <w:szCs w:val="24"/>
        </w:rPr>
        <w:footnoteReference w:id="17"/>
      </w:r>
      <w:r w:rsidRPr="002F7E22">
        <w:rPr>
          <w:rFonts w:asciiTheme="majorBidi" w:hAnsiTheme="majorBidi" w:cstheme="majorBidi"/>
          <w:sz w:val="24"/>
          <w:szCs w:val="24"/>
        </w:rPr>
        <w:t xml:space="preserve"> aimed at assessing the treatment of detainees and the physical conditions of detention in prisons and police facilities. The delegation visited several facilities, including overcrowded prisons and various law enforcement sites, exchanging initial observations with French authorities. A detailed report from the committee is expected to be published in March 2025.</w:t>
      </w:r>
    </w:p>
    <w:p w14:paraId="0996C74B"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 xml:space="preserve">In light of these findings, Maat recommends improving transparency by regularly publishing official data on the number of complaints filed in torture cases and addressing their outcomes to ensure accountability and enhance victims' trust in the judicial system. It also calls for ensuring the independence of investigations into allegations of torture and mistreatment by establishing an independent oversight mechanism not subject to the Ministry of Interior or the Ministry of Justice. Additionally, Maat emphasizes the need to enhance the protection of complainants and witnesses </w:t>
      </w:r>
      <w:r w:rsidRPr="002F7E22">
        <w:rPr>
          <w:rFonts w:asciiTheme="majorBidi" w:hAnsiTheme="majorBidi" w:cstheme="majorBidi"/>
          <w:sz w:val="24"/>
          <w:szCs w:val="24"/>
        </w:rPr>
        <w:lastRenderedPageBreak/>
        <w:t>from retaliation by implementing clear mechanisms that guarantee their safety and encourage them to report without fear of reprisals.</w:t>
      </w:r>
    </w:p>
    <w:p w14:paraId="786845E9"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Compensation for Torture Victims (Article 14)</w:t>
      </w:r>
    </w:p>
    <w:p w14:paraId="534EE84A"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Maat notes that France, in principle, recognizes the right of torture victims to receive fair compensation, as stipulated in Article 14 of the Convention Against Torture. France has also provided financial support to the United Nations Fund for Victims of Torture, reflecting its stated commitment to protecting victims' rights and ensuring justice.</w:t>
      </w:r>
      <w:r w:rsidRPr="002F7E22">
        <w:rPr>
          <w:rStyle w:val="FootnoteReference"/>
          <w:rFonts w:asciiTheme="majorBidi" w:hAnsiTheme="majorBidi" w:cstheme="majorBidi"/>
          <w:sz w:val="24"/>
          <w:szCs w:val="24"/>
        </w:rPr>
        <w:footnoteReference w:id="18"/>
      </w:r>
    </w:p>
    <w:p w14:paraId="15324769" w14:textId="5FBB27BC"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However, Maat observes that the actual provision of compensation remains extremely limited. Despite the existence of a legal framework that recognizes this right, victims often face difficulties in obtaining actual compensation. Judicial decisions awarding compensation are not systematically or transparently implemented, restricting victims' access to their entitled rights.</w:t>
      </w:r>
    </w:p>
    <w:p w14:paraId="44EA4988"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In this context, an important issue has emerged concerning compensation for victims of Algerian nationality. The French Constitutional Council issued a decision granting them compensation, interpreted as a positive step reflecting the principle of non-discrimination in awarding compensation based on nationality. However, available information indicates that, despite submitting official requests for compensation, the victims’ families have not received anything, raising concerns about the implementation of judicial decisions regarding this matter.</w:t>
      </w:r>
    </w:p>
    <w:p w14:paraId="6B13BDB2" w14:textId="77777777" w:rsidR="002F7E22" w:rsidRPr="002F7E22" w:rsidRDefault="002F7E22" w:rsidP="002F7E22">
      <w:pPr>
        <w:jc w:val="both"/>
        <w:rPr>
          <w:rFonts w:asciiTheme="majorBidi" w:hAnsiTheme="majorBidi" w:cstheme="majorBidi"/>
          <w:sz w:val="24"/>
          <w:szCs w:val="24"/>
        </w:rPr>
      </w:pPr>
      <w:r w:rsidRPr="002F7E22">
        <w:rPr>
          <w:rFonts w:asciiTheme="majorBidi" w:hAnsiTheme="majorBidi" w:cstheme="majorBidi"/>
          <w:sz w:val="24"/>
          <w:szCs w:val="24"/>
        </w:rPr>
        <w:t>Based on this, Maat recommends the need to establish a clear and transparent mechanism to ensure the immediate and effective implementation of compensation decisions, along with publishing periodic reports detailing the number of beneficiaries. It also emphasizes the importance of ensuring that all victims receive compensation without discrimination, and enhancing programs for their psychological, physical, and social rehabilitation. Additionally, it stresses the crucial role of the judiciary in monitoring the implementation of compensation decisions and imposing penalties on entities that fail to comply. Maat believes that ensuring effective and comprehensive compensation for torture victims represents a fundamental obligation on France's part under the Convention Against Torture and is an essential element in achieving justice and preventing the recurrence of violations.</w:t>
      </w:r>
    </w:p>
    <w:p w14:paraId="6F6146F4" w14:textId="77777777" w:rsidR="002F7E22" w:rsidRPr="002F7E22" w:rsidRDefault="002F7E22" w:rsidP="002F7E22">
      <w:pPr>
        <w:jc w:val="both"/>
        <w:rPr>
          <w:rFonts w:asciiTheme="majorBidi" w:hAnsiTheme="majorBidi" w:cstheme="majorBidi"/>
          <w:b/>
          <w:bCs/>
          <w:color w:val="C45911" w:themeColor="accent2" w:themeShade="BF"/>
          <w:sz w:val="28"/>
          <w:szCs w:val="28"/>
        </w:rPr>
      </w:pPr>
      <w:r w:rsidRPr="002F7E22">
        <w:rPr>
          <w:rFonts w:asciiTheme="majorBidi" w:hAnsiTheme="majorBidi" w:cstheme="majorBidi"/>
          <w:b/>
          <w:bCs/>
          <w:color w:val="C45911" w:themeColor="accent2" w:themeShade="BF"/>
          <w:sz w:val="28"/>
          <w:szCs w:val="28"/>
        </w:rPr>
        <w:t>Recommendations</w:t>
      </w:r>
    </w:p>
    <w:p w14:paraId="01EBF10F" w14:textId="77777777" w:rsidR="002F7E22" w:rsidRPr="002F7E22" w:rsidRDefault="002F7E22" w:rsidP="002F7E22">
      <w:pPr>
        <w:jc w:val="both"/>
        <w:rPr>
          <w:rFonts w:asciiTheme="majorBidi" w:hAnsiTheme="majorBidi" w:cstheme="majorBidi"/>
          <w:b/>
          <w:bCs/>
          <w:sz w:val="24"/>
          <w:szCs w:val="24"/>
        </w:rPr>
      </w:pPr>
      <w:r w:rsidRPr="002F7E22">
        <w:rPr>
          <w:rFonts w:asciiTheme="majorBidi" w:hAnsiTheme="majorBidi" w:cstheme="majorBidi"/>
          <w:b/>
          <w:bCs/>
          <w:sz w:val="24"/>
          <w:szCs w:val="24"/>
        </w:rPr>
        <w:t xml:space="preserve">Based on these findings, </w:t>
      </w:r>
      <w:bookmarkStart w:id="0" w:name="OLE_LINK289"/>
      <w:r w:rsidRPr="002F7E22">
        <w:rPr>
          <w:rFonts w:asciiTheme="majorBidi" w:hAnsiTheme="majorBidi" w:cstheme="majorBidi"/>
          <w:b/>
          <w:bCs/>
          <w:sz w:val="24"/>
          <w:szCs w:val="24"/>
        </w:rPr>
        <w:t xml:space="preserve">Maat </w:t>
      </w:r>
      <w:bookmarkEnd w:id="0"/>
      <w:r w:rsidRPr="002F7E22">
        <w:rPr>
          <w:rFonts w:asciiTheme="majorBidi" w:hAnsiTheme="majorBidi" w:cstheme="majorBidi"/>
          <w:b/>
          <w:bCs/>
          <w:sz w:val="24"/>
          <w:szCs w:val="24"/>
        </w:rPr>
        <w:t>recommends the following:</w:t>
      </w:r>
    </w:p>
    <w:p w14:paraId="538B8E03"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lastRenderedPageBreak/>
        <w:t>Urge the French government to amend the Penal Code to include a clear and independent definition of the crime of torture, in line with Article 1 of the Convention Against Torture.</w:t>
      </w:r>
    </w:p>
    <w:p w14:paraId="2BD3E076"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Consider making acts of torture non-exempt from statutes of limitations to ensure accountability for perpetrators regardless of the time elapsed since the crime.</w:t>
      </w:r>
    </w:p>
    <w:p w14:paraId="7A56D166"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Explore the possibility of withdrawing the declaration accompanying the ratification of the Optional Protocol to the Convention Against Torture, allowing for more effective oversight by international bodies.</w:t>
      </w:r>
    </w:p>
    <w:p w14:paraId="6FAC41A5"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Enforce stricter oversight of detention centers for migrants and asylum seekers, improving living conditions within them while ensuring compliance with international standards regarding the rights of detainees.</w:t>
      </w:r>
    </w:p>
    <w:p w14:paraId="3E5F4011"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Increase training and awareness for security personnel on human rights and the prohibition of torture to ensure that excessive force is not used, with enhanced accountability for violations.</w:t>
      </w:r>
    </w:p>
    <w:p w14:paraId="6729A005"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Implement the French Constitutional Council's ruling to provide fair compensation to the families of Algerian victims of torture during the French colonial period, as part of France's commitment to achieving justice and reparations.</w:t>
      </w:r>
    </w:p>
    <w:p w14:paraId="42ECC379"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Strengthen the independence of oversight and inspection mechanisms for detention facilities, ensuring transparency and involving civil society organizations in monitoring and evaluation processes.</w:t>
      </w:r>
    </w:p>
    <w:p w14:paraId="1013C2C4"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Immediately and decisively halt forced returns of asylum seekers and migrants, particularly at the Spanish and Italian borders, ensuring an individual assessment for each case in accordance with Article 3 of the Convention Against Torture.</w:t>
      </w:r>
    </w:p>
    <w:p w14:paraId="61238975"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Enhance accountability and redress mechanisms for victims to ensure effective access to judicial and administrative complaint mechanisms, providing them protection from any potential retaliation.</w:t>
      </w:r>
    </w:p>
    <w:p w14:paraId="2B5D2672"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t>Impose stricter disciplinary and criminal sanctions on officials involved in torture or mistreatment, ensuring they do not evade punishment.</w:t>
      </w:r>
    </w:p>
    <w:p w14:paraId="2F98AE32" w14:textId="77777777" w:rsidR="002F7E22" w:rsidRPr="002F7E22" w:rsidRDefault="002F7E22" w:rsidP="002F7E22">
      <w:pPr>
        <w:numPr>
          <w:ilvl w:val="0"/>
          <w:numId w:val="45"/>
        </w:numPr>
        <w:spacing w:line="278" w:lineRule="auto"/>
        <w:jc w:val="both"/>
        <w:rPr>
          <w:rFonts w:asciiTheme="majorBidi" w:hAnsiTheme="majorBidi" w:cstheme="majorBidi"/>
          <w:sz w:val="24"/>
          <w:szCs w:val="24"/>
        </w:rPr>
      </w:pPr>
      <w:r w:rsidRPr="002F7E22">
        <w:rPr>
          <w:rFonts w:asciiTheme="majorBidi" w:hAnsiTheme="majorBidi" w:cstheme="majorBidi"/>
          <w:sz w:val="24"/>
          <w:szCs w:val="24"/>
        </w:rPr>
        <w:lastRenderedPageBreak/>
        <w:t>Improve conditions in prisons and detention facilities, including ensuring access to natural light, reducing strict movement restrictions, and implementing measures to prevent violence and mistreatment within prisons, including increased oversight of guard behavior.</w:t>
      </w:r>
    </w:p>
    <w:p w14:paraId="0F5F7248" w14:textId="77777777" w:rsidR="002F7E22" w:rsidRPr="002F7E22" w:rsidRDefault="002F7E22" w:rsidP="002F7E22">
      <w:pPr>
        <w:jc w:val="both"/>
        <w:rPr>
          <w:rFonts w:asciiTheme="majorBidi" w:hAnsiTheme="majorBidi" w:cstheme="majorBidi"/>
          <w:sz w:val="24"/>
          <w:szCs w:val="24"/>
        </w:rPr>
      </w:pPr>
    </w:p>
    <w:p w14:paraId="0258D1DD" w14:textId="77777777" w:rsidR="00047ED5" w:rsidRPr="002F7E22" w:rsidRDefault="00047ED5" w:rsidP="00683E71">
      <w:pPr>
        <w:rPr>
          <w:rFonts w:asciiTheme="majorBidi" w:hAnsiTheme="majorBidi" w:cstheme="majorBidi"/>
          <w:sz w:val="24"/>
          <w:szCs w:val="24"/>
          <w:rtl/>
        </w:rPr>
      </w:pPr>
    </w:p>
    <w:sectPr w:rsidR="00047ED5" w:rsidRPr="002F7E22"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6B872" w14:textId="77777777" w:rsidR="002533B2" w:rsidRDefault="002533B2" w:rsidP="004F6D5A">
      <w:pPr>
        <w:spacing w:after="0" w:line="240" w:lineRule="auto"/>
      </w:pPr>
      <w:r>
        <w:separator/>
      </w:r>
    </w:p>
  </w:endnote>
  <w:endnote w:type="continuationSeparator" w:id="0">
    <w:p w14:paraId="25FDAB9E" w14:textId="77777777" w:rsidR="002533B2" w:rsidRDefault="002533B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B11D0" w14:textId="77777777" w:rsidR="002533B2" w:rsidRDefault="002533B2" w:rsidP="004F6D5A">
      <w:pPr>
        <w:spacing w:after="0" w:line="240" w:lineRule="auto"/>
      </w:pPr>
      <w:r>
        <w:separator/>
      </w:r>
    </w:p>
  </w:footnote>
  <w:footnote w:type="continuationSeparator" w:id="0">
    <w:p w14:paraId="27CFCAB5" w14:textId="77777777" w:rsidR="002533B2" w:rsidRDefault="002533B2" w:rsidP="004F6D5A">
      <w:pPr>
        <w:spacing w:after="0" w:line="240" w:lineRule="auto"/>
      </w:pPr>
      <w:r>
        <w:continuationSeparator/>
      </w:r>
    </w:p>
  </w:footnote>
  <w:footnote w:id="1">
    <w:p w14:paraId="5BAFFDE2" w14:textId="6BB9697E"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Ratification, Reporting &amp; Documentation for France, </w:t>
      </w:r>
      <w:r>
        <w:rPr>
          <w:rFonts w:asciiTheme="majorBidi" w:hAnsiTheme="majorBidi" w:cstheme="majorBidi"/>
          <w:sz w:val="18"/>
          <w:szCs w:val="18"/>
        </w:rPr>
        <w:t>OHCHR</w:t>
      </w:r>
      <w:r w:rsidRPr="000C37BD">
        <w:rPr>
          <w:rFonts w:asciiTheme="majorBidi" w:hAnsiTheme="majorBidi" w:cstheme="majorBidi"/>
          <w:sz w:val="18"/>
          <w:szCs w:val="18"/>
        </w:rPr>
        <w:t xml:space="preserve">, </w:t>
      </w:r>
      <w:hyperlink r:id="rId1" w:history="1">
        <w:r w:rsidRPr="000C37BD">
          <w:rPr>
            <w:rStyle w:val="Hyperlink"/>
            <w:rFonts w:asciiTheme="majorBidi" w:hAnsiTheme="majorBidi" w:cstheme="majorBidi"/>
            <w:sz w:val="18"/>
            <w:szCs w:val="18"/>
          </w:rPr>
          <w:t>https://2h.ae/wfUt</w:t>
        </w:r>
      </w:hyperlink>
    </w:p>
  </w:footnote>
  <w:footnote w:id="2">
    <w:p w14:paraId="09ABBD1E" w14:textId="77777777" w:rsidR="002F7E22" w:rsidRPr="000C37BD" w:rsidRDefault="002F7E22" w:rsidP="002F7E22">
      <w:pPr>
        <w:pStyle w:val="FootnoteText"/>
        <w:rPr>
          <w:rFonts w:asciiTheme="majorBidi" w:hAnsiTheme="majorBidi" w:cstheme="majorBidi"/>
          <w:sz w:val="18"/>
          <w:szCs w:val="18"/>
          <w:lang w:bidi="ar-EG"/>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Code </w:t>
      </w:r>
      <w:proofErr w:type="spellStart"/>
      <w:r w:rsidRPr="000C37BD">
        <w:rPr>
          <w:rFonts w:asciiTheme="majorBidi" w:hAnsiTheme="majorBidi" w:cstheme="majorBidi"/>
          <w:sz w:val="18"/>
          <w:szCs w:val="18"/>
        </w:rPr>
        <w:t>pénal</w:t>
      </w:r>
      <w:proofErr w:type="spellEnd"/>
      <w:r w:rsidRPr="000C37BD">
        <w:rPr>
          <w:rFonts w:asciiTheme="majorBidi" w:hAnsiTheme="majorBidi" w:cstheme="majorBidi"/>
          <w:sz w:val="18"/>
          <w:szCs w:val="18"/>
        </w:rPr>
        <w:t xml:space="preserve">, </w:t>
      </w:r>
      <w:proofErr w:type="spellStart"/>
      <w:r w:rsidRPr="000C37BD">
        <w:rPr>
          <w:rFonts w:asciiTheme="majorBidi" w:hAnsiTheme="majorBidi" w:cstheme="majorBidi"/>
          <w:sz w:val="18"/>
          <w:szCs w:val="18"/>
        </w:rPr>
        <w:t>legifrance</w:t>
      </w:r>
      <w:proofErr w:type="spellEnd"/>
      <w:r w:rsidRPr="000C37BD">
        <w:rPr>
          <w:rFonts w:asciiTheme="majorBidi" w:hAnsiTheme="majorBidi" w:cstheme="majorBidi"/>
          <w:sz w:val="18"/>
          <w:szCs w:val="18"/>
        </w:rPr>
        <w:t xml:space="preserve">, </w:t>
      </w:r>
      <w:hyperlink r:id="rId2">
        <w:r w:rsidRPr="000C37BD">
          <w:rPr>
            <w:rFonts w:asciiTheme="majorBidi" w:hAnsiTheme="majorBidi" w:cstheme="majorBidi"/>
            <w:color w:val="1155CC"/>
            <w:sz w:val="18"/>
            <w:szCs w:val="18"/>
            <w:u w:val="single"/>
          </w:rPr>
          <w:t>https://2h.ae/YJYd</w:t>
        </w:r>
      </w:hyperlink>
      <w:r w:rsidRPr="000C37BD">
        <w:rPr>
          <w:rFonts w:asciiTheme="majorBidi" w:hAnsiTheme="majorBidi" w:cstheme="majorBidi"/>
          <w:sz w:val="18"/>
          <w:szCs w:val="18"/>
        </w:rPr>
        <w:t xml:space="preserve"> </w:t>
      </w:r>
    </w:p>
  </w:footnote>
  <w:footnote w:id="3">
    <w:p w14:paraId="1C82DE99"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Eighth periodic report submitted by France under article 19 of the Convention pursuant to the optional reporting procedure, due in 2020*, </w:t>
      </w:r>
      <w:hyperlink r:id="rId3">
        <w:r w:rsidRPr="000C37BD">
          <w:rPr>
            <w:rFonts w:asciiTheme="majorBidi" w:hAnsiTheme="majorBidi" w:cstheme="majorBidi"/>
            <w:color w:val="1155CC"/>
            <w:sz w:val="18"/>
            <w:szCs w:val="18"/>
            <w:u w:val="single"/>
          </w:rPr>
          <w:t>https://2h.ae/FaVT</w:t>
        </w:r>
      </w:hyperlink>
    </w:p>
  </w:footnote>
  <w:footnote w:id="4">
    <w:p w14:paraId="63A25DFC"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Concluding observations on the seventh periodic report of France, </w:t>
      </w:r>
      <w:hyperlink r:id="rId4" w:history="1">
        <w:r w:rsidRPr="000C37BD">
          <w:rPr>
            <w:rStyle w:val="Hyperlink"/>
            <w:rFonts w:asciiTheme="majorBidi" w:hAnsiTheme="majorBidi" w:cstheme="majorBidi"/>
            <w:sz w:val="18"/>
            <w:szCs w:val="18"/>
          </w:rPr>
          <w:t>https://tinyurl.com/5bt597jm</w:t>
        </w:r>
      </w:hyperlink>
    </w:p>
  </w:footnote>
  <w:footnote w:id="5">
    <w:p w14:paraId="66FC748C" w14:textId="77777777" w:rsidR="002F7E22" w:rsidRPr="000C37BD" w:rsidRDefault="002F7E22" w:rsidP="002F7E22">
      <w:pPr>
        <w:pStyle w:val="FootnoteText"/>
        <w:rPr>
          <w:rFonts w:asciiTheme="majorBidi" w:hAnsiTheme="majorBidi" w:cstheme="majorBidi"/>
          <w:sz w:val="18"/>
          <w:szCs w:val="18"/>
          <w:rtl/>
          <w:lang w:bidi="ar-EG"/>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France .. Displaying immigrants in very uncomfortable conditions, the Euro -Mediterranean Human Rights, </w:t>
      </w:r>
      <w:hyperlink r:id="rId5" w:history="1">
        <w:r w:rsidRPr="000C37BD">
          <w:rPr>
            <w:rStyle w:val="Hyperlink"/>
            <w:rFonts w:asciiTheme="majorBidi" w:hAnsiTheme="majorBidi" w:cstheme="majorBidi"/>
            <w:sz w:val="18"/>
            <w:szCs w:val="18"/>
          </w:rPr>
          <w:t>https://uromedmonitor.org/ar/article/5619</w:t>
        </w:r>
      </w:hyperlink>
      <w:r w:rsidRPr="000C37BD">
        <w:rPr>
          <w:rFonts w:asciiTheme="majorBidi" w:hAnsiTheme="majorBidi" w:cstheme="majorBidi"/>
          <w:sz w:val="18"/>
          <w:szCs w:val="18"/>
        </w:rPr>
        <w:t xml:space="preserve"> </w:t>
      </w:r>
    </w:p>
  </w:footnote>
  <w:footnote w:id="6">
    <w:p w14:paraId="7E0FFD31"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French court condemns state for inhuman treatment of prisoners, </w:t>
      </w:r>
      <w:hyperlink r:id="rId6" w:history="1">
        <w:r w:rsidRPr="000C37BD">
          <w:rPr>
            <w:rStyle w:val="Hyperlink"/>
            <w:rFonts w:asciiTheme="majorBidi" w:hAnsiTheme="majorBidi" w:cstheme="majorBidi"/>
            <w:sz w:val="18"/>
            <w:szCs w:val="18"/>
          </w:rPr>
          <w:t>https://www.aa.com.tr/en/europe/french-court-condemns-state-for-inhuman-treatment-of-prisoners/2975828</w:t>
        </w:r>
      </w:hyperlink>
    </w:p>
  </w:footnote>
  <w:footnote w:id="7">
    <w:p w14:paraId="467134F1" w14:textId="0E00ED09"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Vitry-sur-Seine: 450 </w:t>
      </w:r>
      <w:proofErr w:type="spellStart"/>
      <w:r w:rsidRPr="000C37BD">
        <w:rPr>
          <w:rFonts w:asciiTheme="majorBidi" w:hAnsiTheme="majorBidi" w:cstheme="majorBidi"/>
          <w:sz w:val="18"/>
          <w:szCs w:val="18"/>
        </w:rPr>
        <w:t>personnes</w:t>
      </w:r>
      <w:proofErr w:type="spellEnd"/>
      <w:r w:rsidRPr="000C37BD">
        <w:rPr>
          <w:rFonts w:asciiTheme="majorBidi" w:hAnsiTheme="majorBidi" w:cstheme="majorBidi"/>
          <w:sz w:val="18"/>
          <w:szCs w:val="18"/>
        </w:rPr>
        <w:t xml:space="preserve"> </w:t>
      </w:r>
      <w:proofErr w:type="spellStart"/>
      <w:r w:rsidRPr="000C37BD">
        <w:rPr>
          <w:rFonts w:asciiTheme="majorBidi" w:hAnsiTheme="majorBidi" w:cstheme="majorBidi"/>
          <w:sz w:val="18"/>
          <w:szCs w:val="18"/>
        </w:rPr>
        <w:t>expulsées</w:t>
      </w:r>
      <w:proofErr w:type="spellEnd"/>
      <w:r w:rsidRPr="000C37BD">
        <w:rPr>
          <w:rFonts w:asciiTheme="majorBidi" w:hAnsiTheme="majorBidi" w:cstheme="majorBidi"/>
          <w:sz w:val="18"/>
          <w:szCs w:val="18"/>
        </w:rPr>
        <w:t xml:space="preserve"> du plus </w:t>
      </w:r>
      <w:proofErr w:type="spellStart"/>
      <w:r w:rsidRPr="000C37BD">
        <w:rPr>
          <w:rFonts w:asciiTheme="majorBidi" w:hAnsiTheme="majorBidi" w:cstheme="majorBidi"/>
          <w:sz w:val="18"/>
          <w:szCs w:val="18"/>
        </w:rPr>
        <w:t>gros</w:t>
      </w:r>
      <w:proofErr w:type="spellEnd"/>
      <w:r w:rsidRPr="000C37BD">
        <w:rPr>
          <w:rFonts w:asciiTheme="majorBidi" w:hAnsiTheme="majorBidi" w:cstheme="majorBidi"/>
          <w:sz w:val="18"/>
          <w:szCs w:val="18"/>
        </w:rPr>
        <w:t xml:space="preserve"> squat </w:t>
      </w:r>
      <w:proofErr w:type="spellStart"/>
      <w:r w:rsidRPr="000C37BD">
        <w:rPr>
          <w:rFonts w:asciiTheme="majorBidi" w:hAnsiTheme="majorBidi" w:cstheme="majorBidi"/>
          <w:sz w:val="18"/>
          <w:szCs w:val="18"/>
        </w:rPr>
        <w:t>d’Île</w:t>
      </w:r>
      <w:proofErr w:type="spellEnd"/>
      <w:r w:rsidRPr="000C37BD">
        <w:rPr>
          <w:rFonts w:asciiTheme="majorBidi" w:hAnsiTheme="majorBidi" w:cstheme="majorBidi"/>
          <w:sz w:val="18"/>
          <w:szCs w:val="18"/>
        </w:rPr>
        <w:t xml:space="preserve">-de-France, </w:t>
      </w:r>
      <w:proofErr w:type="spellStart"/>
      <w:r w:rsidRPr="000C37BD">
        <w:rPr>
          <w:rFonts w:asciiTheme="majorBidi" w:hAnsiTheme="majorBidi" w:cstheme="majorBidi"/>
          <w:sz w:val="18"/>
          <w:szCs w:val="18"/>
        </w:rPr>
        <w:t>Bondy</w:t>
      </w:r>
      <w:proofErr w:type="spellEnd"/>
      <w:r>
        <w:rPr>
          <w:rFonts w:asciiTheme="majorBidi" w:hAnsiTheme="majorBidi" w:cstheme="majorBidi"/>
          <w:sz w:val="18"/>
          <w:szCs w:val="18"/>
        </w:rPr>
        <w:t xml:space="preserve"> B</w:t>
      </w:r>
      <w:r w:rsidRPr="000C37BD">
        <w:rPr>
          <w:rFonts w:asciiTheme="majorBidi" w:hAnsiTheme="majorBidi" w:cstheme="majorBidi"/>
          <w:sz w:val="18"/>
          <w:szCs w:val="18"/>
        </w:rPr>
        <w:t xml:space="preserve">log, </w:t>
      </w:r>
      <w:hyperlink r:id="rId7">
        <w:r w:rsidRPr="000C37BD">
          <w:rPr>
            <w:rFonts w:asciiTheme="majorBidi" w:hAnsiTheme="majorBidi" w:cstheme="majorBidi"/>
            <w:color w:val="1155CC"/>
            <w:sz w:val="18"/>
            <w:szCs w:val="18"/>
            <w:u w:val="single"/>
          </w:rPr>
          <w:t>https://n9.cl/fqhkz</w:t>
        </w:r>
      </w:hyperlink>
    </w:p>
  </w:footnote>
  <w:footnote w:id="8">
    <w:p w14:paraId="0008CA03"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Call to end to 'inhumane' solitary confinement in French prisons, RFI, </w:t>
      </w:r>
      <w:hyperlink r:id="rId8">
        <w:r w:rsidRPr="000C37BD">
          <w:rPr>
            <w:rFonts w:asciiTheme="majorBidi" w:hAnsiTheme="majorBidi" w:cstheme="majorBidi"/>
            <w:color w:val="1155CC"/>
            <w:sz w:val="18"/>
            <w:szCs w:val="18"/>
            <w:u w:val="single"/>
          </w:rPr>
          <w:t>https://2h.ae/CIdp</w:t>
        </w:r>
      </w:hyperlink>
    </w:p>
  </w:footnote>
  <w:footnote w:id="9">
    <w:p w14:paraId="6C3A7B00" w14:textId="77E0A661"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France: NGOs Point to “Violations” of Rights at French Border with Italy and Spain, Authorities Condemned for 11th Time for Ill-treatment of Migrant Children, Government Cracks Down on Migrants Amid Growing Far-Right Anti-Migrant Attacks, </w:t>
      </w:r>
      <w:r>
        <w:rPr>
          <w:rFonts w:asciiTheme="majorBidi" w:hAnsiTheme="majorBidi" w:cstheme="majorBidi"/>
          <w:sz w:val="18"/>
          <w:szCs w:val="18"/>
        </w:rPr>
        <w:t>ECRE</w:t>
      </w:r>
      <w:r w:rsidRPr="000C37BD">
        <w:rPr>
          <w:rFonts w:asciiTheme="majorBidi" w:hAnsiTheme="majorBidi" w:cstheme="majorBidi"/>
          <w:sz w:val="18"/>
          <w:szCs w:val="18"/>
        </w:rPr>
        <w:t xml:space="preserve">, </w:t>
      </w:r>
      <w:hyperlink r:id="rId9">
        <w:r w:rsidRPr="000C37BD">
          <w:rPr>
            <w:rFonts w:asciiTheme="majorBidi" w:hAnsiTheme="majorBidi" w:cstheme="majorBidi"/>
            <w:color w:val="1155CC"/>
            <w:sz w:val="18"/>
            <w:szCs w:val="18"/>
            <w:u w:val="single"/>
          </w:rPr>
          <w:t>https://2h.ae/XVrO</w:t>
        </w:r>
      </w:hyperlink>
    </w:p>
  </w:footnote>
  <w:footnote w:id="10">
    <w:p w14:paraId="1A8DABC2" w14:textId="77777777" w:rsidR="002F7E22" w:rsidRPr="000C37BD" w:rsidRDefault="002F7E22" w:rsidP="002F7E22">
      <w:pPr>
        <w:pStyle w:val="FootnoteText"/>
        <w:rPr>
          <w:rFonts w:asciiTheme="majorBidi" w:hAnsiTheme="majorBidi" w:cstheme="majorBidi"/>
          <w:sz w:val="18"/>
          <w:szCs w:val="18"/>
          <w:lang w:bidi="ar-EG"/>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Corporal punishment of children in France, end corporal punishment, </w:t>
      </w:r>
      <w:hyperlink r:id="rId10">
        <w:r w:rsidRPr="000C37BD">
          <w:rPr>
            <w:rFonts w:asciiTheme="majorBidi" w:hAnsiTheme="majorBidi" w:cstheme="majorBidi"/>
            <w:color w:val="1155CC"/>
            <w:sz w:val="18"/>
            <w:szCs w:val="18"/>
            <w:u w:val="single"/>
          </w:rPr>
          <w:t>https://2h.ae/ESOf</w:t>
        </w:r>
      </w:hyperlink>
    </w:p>
  </w:footnote>
  <w:footnote w:id="11">
    <w:p w14:paraId="48030339"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The principle of non-refoulement under international human rights law</w:t>
      </w:r>
      <w:r w:rsidRPr="000C37BD">
        <w:rPr>
          <w:rFonts w:asciiTheme="majorBidi" w:hAnsiTheme="majorBidi" w:cstheme="majorBidi"/>
          <w:sz w:val="18"/>
          <w:szCs w:val="18"/>
          <w:lang w:bidi="ar-EG"/>
        </w:rPr>
        <w:t xml:space="preserve">, </w:t>
      </w:r>
      <w:hyperlink r:id="rId11" w:history="1">
        <w:r w:rsidRPr="000C37BD">
          <w:rPr>
            <w:rStyle w:val="Hyperlink"/>
            <w:rFonts w:asciiTheme="majorBidi" w:hAnsiTheme="majorBidi" w:cstheme="majorBidi"/>
            <w:sz w:val="18"/>
            <w:szCs w:val="18"/>
            <w:lang w:bidi="ar-EG"/>
          </w:rPr>
          <w:t>https://tinyurl.com/mr33f8kj</w:t>
        </w:r>
      </w:hyperlink>
    </w:p>
  </w:footnote>
  <w:footnote w:id="12">
    <w:p w14:paraId="369F8211"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The 1951 Refugee Convention, </w:t>
      </w:r>
      <w:hyperlink r:id="rId12" w:history="1">
        <w:r w:rsidRPr="000C37BD">
          <w:rPr>
            <w:rStyle w:val="Hyperlink"/>
            <w:rFonts w:asciiTheme="majorBidi" w:hAnsiTheme="majorBidi" w:cstheme="majorBidi"/>
            <w:sz w:val="18"/>
            <w:szCs w:val="18"/>
          </w:rPr>
          <w:t>https://www.unhcr.org/media/1951-refugee-convention-and-1967-protocol-relating-status-refugees</w:t>
        </w:r>
      </w:hyperlink>
    </w:p>
  </w:footnote>
  <w:footnote w:id="13">
    <w:p w14:paraId="204D9048" w14:textId="77777777" w:rsidR="002F7E22" w:rsidRPr="000C37BD" w:rsidRDefault="002F7E22" w:rsidP="002F7E22">
      <w:pPr>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w:t>
      </w:r>
      <w:r w:rsidRPr="000C37BD">
        <w:rPr>
          <w:rFonts w:asciiTheme="majorBidi" w:hAnsiTheme="majorBidi" w:cstheme="majorBidi"/>
          <w:sz w:val="18"/>
          <w:szCs w:val="18"/>
          <w:rtl/>
        </w:rPr>
        <w:t>25 285</w:t>
      </w:r>
      <w:r w:rsidRPr="000C37BD">
        <w:rPr>
          <w:rFonts w:asciiTheme="majorBidi" w:hAnsiTheme="majorBidi" w:cstheme="majorBidi"/>
          <w:sz w:val="18"/>
          <w:szCs w:val="18"/>
        </w:rPr>
        <w:t xml:space="preserve"> persons returned to third countries in Q2 2024, Eurostat, </w:t>
      </w:r>
      <w:hyperlink r:id="rId13" w:history="1">
        <w:r w:rsidRPr="000C37BD">
          <w:rPr>
            <w:rStyle w:val="Hyperlink"/>
            <w:rFonts w:asciiTheme="majorBidi" w:hAnsiTheme="majorBidi" w:cstheme="majorBidi"/>
            <w:sz w:val="18"/>
            <w:szCs w:val="18"/>
          </w:rPr>
          <w:t>https://ec.europa.eu/eurostat/web/products-eurostat-news/w/ddn-20240930-1</w:t>
        </w:r>
      </w:hyperlink>
    </w:p>
  </w:footnote>
  <w:footnote w:id="14">
    <w:p w14:paraId="5AA4E648"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Non -governmental organizations condemning violations of the rights of migrants on the French -Spanish border, </w:t>
      </w:r>
      <w:proofErr w:type="spellStart"/>
      <w:r w:rsidRPr="000C37BD">
        <w:rPr>
          <w:rFonts w:asciiTheme="majorBidi" w:hAnsiTheme="majorBidi" w:cstheme="majorBidi"/>
          <w:sz w:val="18"/>
          <w:szCs w:val="18"/>
        </w:rPr>
        <w:t>Jusoor</w:t>
      </w:r>
      <w:proofErr w:type="spellEnd"/>
      <w:r w:rsidRPr="000C37BD">
        <w:rPr>
          <w:rFonts w:asciiTheme="majorBidi" w:hAnsiTheme="majorBidi" w:cstheme="majorBidi"/>
          <w:sz w:val="18"/>
          <w:szCs w:val="18"/>
        </w:rPr>
        <w:t xml:space="preserve"> Post, </w:t>
      </w:r>
      <w:hyperlink r:id="rId14" w:history="1">
        <w:r w:rsidRPr="000C37BD">
          <w:rPr>
            <w:rStyle w:val="Hyperlink"/>
            <w:rFonts w:asciiTheme="majorBidi" w:hAnsiTheme="majorBidi" w:cstheme="majorBidi"/>
            <w:sz w:val="18"/>
            <w:szCs w:val="18"/>
          </w:rPr>
          <w:t>https://2h.ae/imzi</w:t>
        </w:r>
      </w:hyperlink>
      <w:r w:rsidRPr="000C37BD">
        <w:rPr>
          <w:rFonts w:asciiTheme="majorBidi" w:hAnsiTheme="majorBidi" w:cstheme="majorBidi"/>
          <w:sz w:val="18"/>
          <w:szCs w:val="18"/>
        </w:rPr>
        <w:t xml:space="preserve"> </w:t>
      </w:r>
    </w:p>
  </w:footnote>
  <w:footnote w:id="15">
    <w:p w14:paraId="032346FB" w14:textId="47BF110F"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France: Violent Military Operation to Deport Irregular Migrants in Mayotte Raises Concerns Amid Diplomatic Crisis with Comoros and Puts French Rights Violations in The Spotlight, </w:t>
      </w:r>
      <w:r>
        <w:rPr>
          <w:rFonts w:asciiTheme="majorBidi" w:hAnsiTheme="majorBidi" w:cstheme="majorBidi"/>
          <w:sz w:val="18"/>
          <w:szCs w:val="18"/>
        </w:rPr>
        <w:t>ECRE</w:t>
      </w:r>
      <w:r w:rsidRPr="000C37BD">
        <w:rPr>
          <w:rFonts w:asciiTheme="majorBidi" w:hAnsiTheme="majorBidi" w:cstheme="majorBidi"/>
          <w:sz w:val="18"/>
          <w:szCs w:val="18"/>
        </w:rPr>
        <w:t xml:space="preserve">, </w:t>
      </w:r>
      <w:hyperlink r:id="rId15">
        <w:r w:rsidRPr="000C37BD">
          <w:rPr>
            <w:rFonts w:asciiTheme="majorBidi" w:hAnsiTheme="majorBidi" w:cstheme="majorBidi"/>
            <w:color w:val="1155CC"/>
            <w:sz w:val="18"/>
            <w:szCs w:val="18"/>
            <w:u w:val="single"/>
          </w:rPr>
          <w:t>https://2h.ae/jgln</w:t>
        </w:r>
      </w:hyperlink>
    </w:p>
  </w:footnote>
  <w:footnote w:id="16">
    <w:p w14:paraId="7B66B118"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Rapport national </w:t>
      </w:r>
      <w:proofErr w:type="spellStart"/>
      <w:r w:rsidRPr="000C37BD">
        <w:rPr>
          <w:rFonts w:asciiTheme="majorBidi" w:hAnsiTheme="majorBidi" w:cstheme="majorBidi"/>
          <w:sz w:val="18"/>
          <w:szCs w:val="18"/>
        </w:rPr>
        <w:t>soumis</w:t>
      </w:r>
      <w:proofErr w:type="spellEnd"/>
      <w:r w:rsidRPr="000C37BD">
        <w:rPr>
          <w:rFonts w:asciiTheme="majorBidi" w:hAnsiTheme="majorBidi" w:cstheme="majorBidi"/>
          <w:sz w:val="18"/>
          <w:szCs w:val="18"/>
        </w:rPr>
        <w:t xml:space="preserve"> </w:t>
      </w:r>
      <w:proofErr w:type="spellStart"/>
      <w:r w:rsidRPr="000C37BD">
        <w:rPr>
          <w:rFonts w:asciiTheme="majorBidi" w:hAnsiTheme="majorBidi" w:cstheme="majorBidi"/>
          <w:sz w:val="18"/>
          <w:szCs w:val="18"/>
        </w:rPr>
        <w:t>en</w:t>
      </w:r>
      <w:proofErr w:type="spellEnd"/>
      <w:r w:rsidRPr="000C37BD">
        <w:rPr>
          <w:rFonts w:asciiTheme="majorBidi" w:hAnsiTheme="majorBidi" w:cstheme="majorBidi"/>
          <w:sz w:val="18"/>
          <w:szCs w:val="18"/>
        </w:rPr>
        <w:t xml:space="preserve"> application des </w:t>
      </w:r>
      <w:proofErr w:type="spellStart"/>
      <w:r w:rsidRPr="000C37BD">
        <w:rPr>
          <w:rFonts w:asciiTheme="majorBidi" w:hAnsiTheme="majorBidi" w:cstheme="majorBidi"/>
          <w:sz w:val="18"/>
          <w:szCs w:val="18"/>
        </w:rPr>
        <w:t>résolutions</w:t>
      </w:r>
      <w:proofErr w:type="spellEnd"/>
      <w:r w:rsidRPr="000C37BD">
        <w:rPr>
          <w:rFonts w:asciiTheme="majorBidi" w:hAnsiTheme="majorBidi" w:cstheme="majorBidi"/>
          <w:sz w:val="18"/>
          <w:szCs w:val="18"/>
        </w:rPr>
        <w:t xml:space="preserve"> 5/1 et 16/21 du Conseil des droits de </w:t>
      </w:r>
      <w:proofErr w:type="spellStart"/>
      <w:r w:rsidRPr="000C37BD">
        <w:rPr>
          <w:rFonts w:asciiTheme="majorBidi" w:hAnsiTheme="majorBidi" w:cstheme="majorBidi"/>
          <w:sz w:val="18"/>
          <w:szCs w:val="18"/>
        </w:rPr>
        <w:t>l'homme</w:t>
      </w:r>
      <w:proofErr w:type="spellEnd"/>
      <w:r w:rsidRPr="000C37BD">
        <w:rPr>
          <w:rFonts w:asciiTheme="majorBidi" w:hAnsiTheme="majorBidi" w:cstheme="majorBidi"/>
          <w:sz w:val="18"/>
          <w:szCs w:val="18"/>
        </w:rPr>
        <w:t xml:space="preserve">, </w:t>
      </w:r>
      <w:hyperlink r:id="rId16">
        <w:r w:rsidRPr="000C37BD">
          <w:rPr>
            <w:rFonts w:asciiTheme="majorBidi" w:hAnsiTheme="majorBidi" w:cstheme="majorBidi"/>
            <w:color w:val="1155CC"/>
            <w:sz w:val="18"/>
            <w:szCs w:val="18"/>
            <w:u w:val="single"/>
          </w:rPr>
          <w:t>https://2h.ae/RSRu</w:t>
        </w:r>
      </w:hyperlink>
    </w:p>
  </w:footnote>
  <w:footnote w:id="17">
    <w:p w14:paraId="2DA4E27A"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The Council of Europe's anti-torture Committee (CPT) visits France, </w:t>
      </w:r>
      <w:hyperlink r:id="rId17" w:history="1">
        <w:r w:rsidRPr="000C37BD">
          <w:rPr>
            <w:rStyle w:val="Hyperlink"/>
            <w:rFonts w:asciiTheme="majorBidi" w:hAnsiTheme="majorBidi" w:cstheme="majorBidi"/>
            <w:sz w:val="18"/>
            <w:szCs w:val="18"/>
          </w:rPr>
          <w:t>https://www.coe.int/en/web/cpt/-/the-council-of-europe-s-anti-torture-committee-cpt-visits-france</w:t>
        </w:r>
      </w:hyperlink>
    </w:p>
  </w:footnote>
  <w:footnote w:id="18">
    <w:p w14:paraId="29913D5C" w14:textId="77777777" w:rsidR="002F7E22" w:rsidRPr="000C37BD" w:rsidRDefault="002F7E22" w:rsidP="002F7E22">
      <w:pPr>
        <w:pStyle w:val="FootnoteText"/>
        <w:rPr>
          <w:rFonts w:asciiTheme="majorBidi" w:hAnsiTheme="majorBidi" w:cstheme="majorBidi"/>
          <w:sz w:val="18"/>
          <w:szCs w:val="18"/>
        </w:rPr>
      </w:pPr>
      <w:r w:rsidRPr="000C37BD">
        <w:rPr>
          <w:rStyle w:val="FootnoteReference"/>
          <w:rFonts w:asciiTheme="majorBidi" w:hAnsiTheme="majorBidi" w:cstheme="majorBidi"/>
          <w:sz w:val="18"/>
          <w:szCs w:val="18"/>
        </w:rPr>
        <w:footnoteRef/>
      </w:r>
      <w:r w:rsidRPr="000C37BD">
        <w:rPr>
          <w:rFonts w:asciiTheme="majorBidi" w:hAnsiTheme="majorBidi" w:cstheme="majorBidi"/>
          <w:sz w:val="18"/>
          <w:szCs w:val="18"/>
        </w:rPr>
        <w:t xml:space="preserve"> International Day in Support of Victims of Torture (June 26, 2023), </w:t>
      </w:r>
      <w:hyperlink r:id="rId18" w:history="1">
        <w:r w:rsidRPr="000C37BD">
          <w:rPr>
            <w:rStyle w:val="Hyperlink"/>
            <w:rFonts w:asciiTheme="majorBidi" w:hAnsiTheme="majorBidi" w:cstheme="majorBidi"/>
            <w:sz w:val="18"/>
            <w:szCs w:val="18"/>
          </w:rPr>
          <w:t>https://tinyurl.com/bdedb4wh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E20"/>
    <w:multiLevelType w:val="multilevel"/>
    <w:tmpl w:val="DDA0BB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16CA5"/>
    <w:multiLevelType w:val="multilevel"/>
    <w:tmpl w:val="879C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26265F"/>
    <w:multiLevelType w:val="hybridMultilevel"/>
    <w:tmpl w:val="53FA1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8A55CA"/>
    <w:multiLevelType w:val="multilevel"/>
    <w:tmpl w:val="F336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5"/>
  </w:num>
  <w:num w:numId="3" w16cid:durableId="483819352">
    <w:abstractNumId w:val="2"/>
  </w:num>
  <w:num w:numId="4" w16cid:durableId="1550531087">
    <w:abstractNumId w:val="14"/>
  </w:num>
  <w:num w:numId="5" w16cid:durableId="365302262">
    <w:abstractNumId w:val="4"/>
  </w:num>
  <w:num w:numId="6" w16cid:durableId="1490904455">
    <w:abstractNumId w:val="34"/>
  </w:num>
  <w:num w:numId="7" w16cid:durableId="1975796718">
    <w:abstractNumId w:val="39"/>
  </w:num>
  <w:num w:numId="8" w16cid:durableId="168910388">
    <w:abstractNumId w:val="43"/>
  </w:num>
  <w:num w:numId="9" w16cid:durableId="864364265">
    <w:abstractNumId w:val="32"/>
  </w:num>
  <w:num w:numId="10" w16cid:durableId="1110662610">
    <w:abstractNumId w:val="35"/>
  </w:num>
  <w:num w:numId="11" w16cid:durableId="48504678">
    <w:abstractNumId w:val="25"/>
  </w:num>
  <w:num w:numId="12" w16cid:durableId="1057243330">
    <w:abstractNumId w:val="42"/>
  </w:num>
  <w:num w:numId="13" w16cid:durableId="113838224">
    <w:abstractNumId w:val="23"/>
  </w:num>
  <w:num w:numId="14" w16cid:durableId="1819300015">
    <w:abstractNumId w:val="8"/>
  </w:num>
  <w:num w:numId="15" w16cid:durableId="1354769003">
    <w:abstractNumId w:val="29"/>
  </w:num>
  <w:num w:numId="16" w16cid:durableId="765884069">
    <w:abstractNumId w:val="15"/>
  </w:num>
  <w:num w:numId="17" w16cid:durableId="1830708544">
    <w:abstractNumId w:val="1"/>
  </w:num>
  <w:num w:numId="18" w16cid:durableId="1195772453">
    <w:abstractNumId w:val="20"/>
  </w:num>
  <w:num w:numId="19" w16cid:durableId="116266373">
    <w:abstractNumId w:val="3"/>
  </w:num>
  <w:num w:numId="20" w16cid:durableId="1165899663">
    <w:abstractNumId w:val="10"/>
  </w:num>
  <w:num w:numId="21" w16cid:durableId="1921870603">
    <w:abstractNumId w:val="45"/>
  </w:num>
  <w:num w:numId="22" w16cid:durableId="1106846340">
    <w:abstractNumId w:val="13"/>
  </w:num>
  <w:num w:numId="23" w16cid:durableId="1120413215">
    <w:abstractNumId w:val="18"/>
  </w:num>
  <w:num w:numId="24" w16cid:durableId="884490536">
    <w:abstractNumId w:val="33"/>
  </w:num>
  <w:num w:numId="25" w16cid:durableId="1098991049">
    <w:abstractNumId w:val="37"/>
  </w:num>
  <w:num w:numId="26" w16cid:durableId="631596808">
    <w:abstractNumId w:val="9"/>
  </w:num>
  <w:num w:numId="27" w16cid:durableId="1306087360">
    <w:abstractNumId w:val="7"/>
  </w:num>
  <w:num w:numId="28" w16cid:durableId="909191109">
    <w:abstractNumId w:val="26"/>
  </w:num>
  <w:num w:numId="29" w16cid:durableId="556204899">
    <w:abstractNumId w:val="27"/>
  </w:num>
  <w:num w:numId="30" w16cid:durableId="1668284805">
    <w:abstractNumId w:val="16"/>
  </w:num>
  <w:num w:numId="31" w16cid:durableId="1777868951">
    <w:abstractNumId w:val="24"/>
  </w:num>
  <w:num w:numId="32" w16cid:durableId="1614898655">
    <w:abstractNumId w:val="6"/>
  </w:num>
  <w:num w:numId="33" w16cid:durableId="364449577">
    <w:abstractNumId w:val="12"/>
  </w:num>
  <w:num w:numId="34" w16cid:durableId="248081818">
    <w:abstractNumId w:val="41"/>
  </w:num>
  <w:num w:numId="35" w16cid:durableId="1742749116">
    <w:abstractNumId w:val="38"/>
  </w:num>
  <w:num w:numId="36" w16cid:durableId="1632056943">
    <w:abstractNumId w:val="28"/>
  </w:num>
  <w:num w:numId="37" w16cid:durableId="16198188">
    <w:abstractNumId w:val="36"/>
  </w:num>
  <w:num w:numId="38" w16cid:durableId="995642619">
    <w:abstractNumId w:val="21"/>
  </w:num>
  <w:num w:numId="39" w16cid:durableId="1951429902">
    <w:abstractNumId w:val="44"/>
  </w:num>
  <w:num w:numId="40" w16cid:durableId="1660618793">
    <w:abstractNumId w:val="22"/>
  </w:num>
  <w:num w:numId="41" w16cid:durableId="566649021">
    <w:abstractNumId w:val="40"/>
  </w:num>
  <w:num w:numId="42" w16cid:durableId="230387690">
    <w:abstractNumId w:val="17"/>
  </w:num>
  <w:num w:numId="43" w16cid:durableId="1811441021">
    <w:abstractNumId w:val="0"/>
  </w:num>
  <w:num w:numId="44" w16cid:durableId="1748335055">
    <w:abstractNumId w:val="11"/>
  </w:num>
  <w:num w:numId="45" w16cid:durableId="197475274">
    <w:abstractNumId w:val="31"/>
  </w:num>
  <w:num w:numId="46" w16cid:durableId="5855775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1DBC"/>
    <w:rsid w:val="001D532C"/>
    <w:rsid w:val="001D6213"/>
    <w:rsid w:val="001F47FD"/>
    <w:rsid w:val="002257CD"/>
    <w:rsid w:val="002305C5"/>
    <w:rsid w:val="002533B2"/>
    <w:rsid w:val="00284AAE"/>
    <w:rsid w:val="0028723E"/>
    <w:rsid w:val="002876FE"/>
    <w:rsid w:val="0029400A"/>
    <w:rsid w:val="002D0B34"/>
    <w:rsid w:val="002D5B01"/>
    <w:rsid w:val="002D65A3"/>
    <w:rsid w:val="002D7273"/>
    <w:rsid w:val="002F7E22"/>
    <w:rsid w:val="003216C7"/>
    <w:rsid w:val="00326F85"/>
    <w:rsid w:val="003319F3"/>
    <w:rsid w:val="00333785"/>
    <w:rsid w:val="003439F7"/>
    <w:rsid w:val="00360DAB"/>
    <w:rsid w:val="00372B51"/>
    <w:rsid w:val="0038184B"/>
    <w:rsid w:val="00383811"/>
    <w:rsid w:val="003A0EBE"/>
    <w:rsid w:val="003A1F96"/>
    <w:rsid w:val="003A60A9"/>
    <w:rsid w:val="003A745E"/>
    <w:rsid w:val="003B7C83"/>
    <w:rsid w:val="003C01C1"/>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83E71"/>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448D"/>
    <w:rsid w:val="00A37636"/>
    <w:rsid w:val="00A537CE"/>
    <w:rsid w:val="00A63977"/>
    <w:rsid w:val="00A64F85"/>
    <w:rsid w:val="00A81650"/>
    <w:rsid w:val="00A81860"/>
    <w:rsid w:val="00A83C1E"/>
    <w:rsid w:val="00AB2EAB"/>
    <w:rsid w:val="00AE6506"/>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CIdp" TargetMode="External"/><Relationship Id="rId13" Type="http://schemas.openxmlformats.org/officeDocument/2006/relationships/hyperlink" Target="https://ec.europa.eu/eurostat/web/products-eurostat-news/w/ddn-20240930-1" TargetMode="External"/><Relationship Id="rId18" Type="http://schemas.openxmlformats.org/officeDocument/2006/relationships/hyperlink" Target="https://tinyurl.com/bdedb4wh" TargetMode="External"/><Relationship Id="rId3" Type="http://schemas.openxmlformats.org/officeDocument/2006/relationships/hyperlink" Target="https://2h.ae/FaVT" TargetMode="External"/><Relationship Id="rId7" Type="http://schemas.openxmlformats.org/officeDocument/2006/relationships/hyperlink" Target="https://n9.cl/fqhkz" TargetMode="External"/><Relationship Id="rId12" Type="http://schemas.openxmlformats.org/officeDocument/2006/relationships/hyperlink" Target="https://www.unhcr.org/media/1951-refugee-convention-and-1967-protocol-relating-status-refugees" TargetMode="External"/><Relationship Id="rId17" Type="http://schemas.openxmlformats.org/officeDocument/2006/relationships/hyperlink" Target="https://www.coe.int/en/web/cpt/-/the-council-of-europe-s-anti-torture-committee-cpt-visits-france" TargetMode="External"/><Relationship Id="rId2" Type="http://schemas.openxmlformats.org/officeDocument/2006/relationships/hyperlink" Target="https://2h.ae/YJYd" TargetMode="External"/><Relationship Id="rId16" Type="http://schemas.openxmlformats.org/officeDocument/2006/relationships/hyperlink" Target="https://2h.ae/RSRu" TargetMode="External"/><Relationship Id="rId1" Type="http://schemas.openxmlformats.org/officeDocument/2006/relationships/hyperlink" Target="https://2h.ae/wfUt" TargetMode="External"/><Relationship Id="rId6" Type="http://schemas.openxmlformats.org/officeDocument/2006/relationships/hyperlink" Target="https://www.aa.com.tr/en/europe/french-court-condemns-state-for-inhuman-treatment-of-prisoners/2975828" TargetMode="External"/><Relationship Id="rId11" Type="http://schemas.openxmlformats.org/officeDocument/2006/relationships/hyperlink" Target="https://tinyurl.com/mr33f8kj" TargetMode="External"/><Relationship Id="rId5" Type="http://schemas.openxmlformats.org/officeDocument/2006/relationships/hyperlink" Target="https://uromedmonitor.org/ar/article/5619" TargetMode="External"/><Relationship Id="rId15" Type="http://schemas.openxmlformats.org/officeDocument/2006/relationships/hyperlink" Target="https://2h.ae/jgln" TargetMode="External"/><Relationship Id="rId10" Type="http://schemas.openxmlformats.org/officeDocument/2006/relationships/hyperlink" Target="https://2h.ae/ESOf" TargetMode="External"/><Relationship Id="rId4" Type="http://schemas.openxmlformats.org/officeDocument/2006/relationships/hyperlink" Target="https://tinyurl.com/5bt597jm" TargetMode="External"/><Relationship Id="rId9" Type="http://schemas.openxmlformats.org/officeDocument/2006/relationships/hyperlink" Target="https://2h.ae/XVrO" TargetMode="External"/><Relationship Id="rId14" Type="http://schemas.openxmlformats.org/officeDocument/2006/relationships/hyperlink" Target="https://2h.ae/imz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2025-03-18T07:41:15+00:00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2025-03-18T07:41:15+00:00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2025-03-18T07:41:15+00:00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AFCD2999-601F-4654-94F3-B3209A44880A}"/>
</file>

<file path=customXml/itemProps3.xml><?xml version="1.0" encoding="utf-8"?>
<ds:datastoreItem xmlns:ds="http://schemas.openxmlformats.org/officeDocument/2006/customXml" ds:itemID="{ACF529AA-4D8F-4260-8CD6-78C646FDF703}"/>
</file>

<file path=customXml/itemProps4.xml><?xml version="1.0" encoding="utf-8"?>
<ds:datastoreItem xmlns:ds="http://schemas.openxmlformats.org/officeDocument/2006/customXml" ds:itemID="{896CAF7A-B132-49AF-A9DD-755E0EB4F6A3}"/>
</file>

<file path=docProps/app.xml><?xml version="1.0" encoding="utf-8"?>
<Properties xmlns="http://schemas.openxmlformats.org/officeDocument/2006/extended-properties" xmlns:vt="http://schemas.openxmlformats.org/officeDocument/2006/docPropsVTypes">
  <Template>Normal.dotm</Template>
  <TotalTime>1</TotalTime>
  <Pages>9</Pages>
  <Words>2597</Words>
  <Characters>15470</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Youssef Hamdan</cp:lastModifiedBy>
  <cp:revision>2</cp:revision>
  <dcterms:created xsi:type="dcterms:W3CDTF">2025-03-11T14:44:00Z</dcterms:created>
  <dcterms:modified xsi:type="dcterms:W3CDTF">2025-03-11T14:44:00Z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