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17DFC" w14:paraId="688F50FC" w14:textId="77777777" w:rsidTr="005C06D4">
        <w:trPr>
          <w:cantSplit/>
          <w:trHeight w:hRule="exact" w:val="851"/>
        </w:trPr>
        <w:tc>
          <w:tcPr>
            <w:tcW w:w="1276" w:type="dxa"/>
            <w:tcBorders>
              <w:bottom w:val="single" w:sz="4" w:space="0" w:color="auto"/>
            </w:tcBorders>
            <w:vAlign w:val="bottom"/>
          </w:tcPr>
          <w:p w14:paraId="5785B3AD" w14:textId="77777777" w:rsidR="001E498C" w:rsidRPr="00B41FDC" w:rsidRDefault="001E498C" w:rsidP="005C06D4">
            <w:pPr>
              <w:spacing w:after="80"/>
            </w:pPr>
          </w:p>
        </w:tc>
        <w:tc>
          <w:tcPr>
            <w:tcW w:w="2268" w:type="dxa"/>
            <w:tcBorders>
              <w:bottom w:val="single" w:sz="4" w:space="0" w:color="auto"/>
            </w:tcBorders>
            <w:vAlign w:val="bottom"/>
          </w:tcPr>
          <w:p w14:paraId="3F4AD3E8" w14:textId="2EE60A58" w:rsidR="001E498C" w:rsidRPr="00B41FDC" w:rsidRDefault="001E498C" w:rsidP="005C06D4">
            <w:pPr>
              <w:spacing w:after="80" w:line="300" w:lineRule="exact"/>
              <w:rPr>
                <w:b/>
                <w:sz w:val="24"/>
                <w:szCs w:val="24"/>
              </w:rPr>
            </w:pPr>
          </w:p>
        </w:tc>
        <w:tc>
          <w:tcPr>
            <w:tcW w:w="6095" w:type="dxa"/>
            <w:gridSpan w:val="2"/>
            <w:tcBorders>
              <w:bottom w:val="single" w:sz="4" w:space="0" w:color="auto"/>
            </w:tcBorders>
            <w:vAlign w:val="bottom"/>
          </w:tcPr>
          <w:p w14:paraId="34B03FE0" w14:textId="77777777" w:rsidR="001E498C" w:rsidRPr="00B41FDC" w:rsidRDefault="0049642B" w:rsidP="005C06D4">
            <w:pPr>
              <w:suppressAutoHyphens w:val="0"/>
              <w:spacing w:after="20"/>
              <w:jc w:val="right"/>
            </w:pPr>
            <w:r>
              <w:rPr>
                <w:sz w:val="40"/>
              </w:rPr>
              <w:t>CCPR</w:t>
            </w:r>
            <w:r w:rsidRPr="00B41FDC">
              <w:t>/</w:t>
            </w:r>
            <w:r w:rsidR="006056E0" w:rsidRPr="00B41FDC">
              <w:t>C/MOZ/2</w:t>
            </w:r>
          </w:p>
        </w:tc>
      </w:tr>
      <w:tr w:rsidR="00817DFC" w14:paraId="79BB5346" w14:textId="77777777" w:rsidTr="005C06D4">
        <w:trPr>
          <w:cantSplit/>
          <w:trHeight w:hRule="exact" w:val="2835"/>
        </w:trPr>
        <w:tc>
          <w:tcPr>
            <w:tcW w:w="1276" w:type="dxa"/>
            <w:tcBorders>
              <w:top w:val="single" w:sz="4" w:space="0" w:color="auto"/>
              <w:bottom w:val="single" w:sz="12" w:space="0" w:color="auto"/>
            </w:tcBorders>
          </w:tcPr>
          <w:p w14:paraId="5D22C0DE" w14:textId="1767A875" w:rsidR="001E498C" w:rsidRPr="00B41FDC" w:rsidRDefault="001E498C" w:rsidP="005C06D4">
            <w:pPr>
              <w:spacing w:before="120"/>
              <w:jc w:val="center"/>
            </w:pPr>
          </w:p>
        </w:tc>
        <w:tc>
          <w:tcPr>
            <w:tcW w:w="5528" w:type="dxa"/>
            <w:gridSpan w:val="2"/>
            <w:tcBorders>
              <w:top w:val="single" w:sz="4" w:space="0" w:color="auto"/>
              <w:bottom w:val="single" w:sz="12" w:space="0" w:color="auto"/>
            </w:tcBorders>
          </w:tcPr>
          <w:p w14:paraId="194DDF04" w14:textId="78301ABA" w:rsidR="001E498C" w:rsidRPr="00B44B68" w:rsidRDefault="00B44B68" w:rsidP="005C06D4">
            <w:pPr>
              <w:spacing w:before="120" w:line="380" w:lineRule="exact"/>
              <w:rPr>
                <w:b/>
                <w:bCs/>
                <w:sz w:val="36"/>
                <w:szCs w:val="36"/>
              </w:rPr>
            </w:pPr>
            <w:r w:rsidRPr="00B44B68">
              <w:rPr>
                <w:b/>
                <w:bCs/>
                <w:sz w:val="36"/>
                <w:szCs w:val="36"/>
              </w:rPr>
              <w:t>Advance unedited version</w:t>
            </w:r>
          </w:p>
        </w:tc>
        <w:tc>
          <w:tcPr>
            <w:tcW w:w="2835" w:type="dxa"/>
            <w:tcBorders>
              <w:top w:val="single" w:sz="4" w:space="0" w:color="auto"/>
              <w:bottom w:val="single" w:sz="12" w:space="0" w:color="auto"/>
            </w:tcBorders>
          </w:tcPr>
          <w:p w14:paraId="5B71522D" w14:textId="77777777" w:rsidR="001E498C" w:rsidRPr="00B41FDC" w:rsidRDefault="0049642B" w:rsidP="005C06D4">
            <w:pPr>
              <w:suppressAutoHyphens w:val="0"/>
              <w:spacing w:before="240" w:line="240" w:lineRule="exact"/>
            </w:pPr>
            <w:r w:rsidRPr="00B41FDC">
              <w:t xml:space="preserve">Distr.: </w:t>
            </w:r>
            <w:r w:rsidR="006056E0" w:rsidRPr="00B41FDC">
              <w:t>General</w:t>
            </w:r>
          </w:p>
          <w:p w14:paraId="256A6B41" w14:textId="77777777" w:rsidR="001E498C" w:rsidRPr="00B41FDC" w:rsidRDefault="006056E0" w:rsidP="005C06D4">
            <w:pPr>
              <w:suppressAutoHyphens w:val="0"/>
            </w:pPr>
            <w:r w:rsidRPr="00B41FDC">
              <w:t>1 June 2026</w:t>
            </w:r>
          </w:p>
          <w:p w14:paraId="7EA16D75" w14:textId="77777777" w:rsidR="006056E0" w:rsidRPr="00B41FDC" w:rsidRDefault="006056E0" w:rsidP="005C06D4">
            <w:pPr>
              <w:suppressAutoHyphens w:val="0"/>
            </w:pPr>
          </w:p>
          <w:p w14:paraId="11F12156" w14:textId="77777777" w:rsidR="001E498C" w:rsidRPr="00B41FDC" w:rsidRDefault="0049642B" w:rsidP="005C06D4">
            <w:pPr>
              <w:suppressAutoHyphens w:val="0"/>
            </w:pPr>
            <w:r w:rsidRPr="00B41FDC">
              <w:t xml:space="preserve">Original: </w:t>
            </w:r>
            <w:r w:rsidR="006056E0" w:rsidRPr="00B41FDC">
              <w:t>English</w:t>
            </w:r>
          </w:p>
          <w:p w14:paraId="6A988F38" w14:textId="77777777" w:rsidR="006056E0" w:rsidRPr="00B41FDC" w:rsidRDefault="0049642B" w:rsidP="005C06D4">
            <w:pPr>
              <w:suppressAutoHyphens w:val="0"/>
            </w:pPr>
            <w:r w:rsidRPr="00B41FDC">
              <w:t>English, French and Spanish only</w:t>
            </w:r>
          </w:p>
        </w:tc>
      </w:tr>
    </w:tbl>
    <w:p w14:paraId="22768EE8" w14:textId="77777777" w:rsidR="003210CA" w:rsidRPr="006147E3" w:rsidRDefault="0049642B" w:rsidP="003210CA">
      <w:pPr>
        <w:spacing w:before="120"/>
        <w:rPr>
          <w:b/>
          <w:sz w:val="24"/>
          <w:szCs w:val="24"/>
        </w:rPr>
      </w:pPr>
      <w:r w:rsidRPr="006147E3">
        <w:rPr>
          <w:b/>
          <w:sz w:val="24"/>
          <w:szCs w:val="24"/>
        </w:rPr>
        <w:t>Human Rights Committee</w:t>
      </w:r>
    </w:p>
    <w:p w14:paraId="3955121B" w14:textId="22574656" w:rsidR="003210CA" w:rsidRPr="006B1483" w:rsidRDefault="0049642B" w:rsidP="00FA3126">
      <w:pPr>
        <w:pStyle w:val="HMG"/>
      </w:pPr>
      <w:r w:rsidRPr="006A5682">
        <w:tab/>
      </w:r>
      <w:r w:rsidRPr="006A5682">
        <w:tab/>
      </w:r>
      <w:r>
        <w:t xml:space="preserve">Second periodic report </w:t>
      </w:r>
      <w:r w:rsidRPr="006A5682">
        <w:t xml:space="preserve">submitted by </w:t>
      </w:r>
      <w:r w:rsidR="009E784E">
        <w:t xml:space="preserve">Mozambique </w:t>
      </w:r>
      <w:r w:rsidRPr="006A5682">
        <w:t xml:space="preserve">under article </w:t>
      </w:r>
      <w:r>
        <w:t>40</w:t>
      </w:r>
      <w:r w:rsidRPr="006A5682">
        <w:t xml:space="preserve"> of the </w:t>
      </w:r>
      <w:r w:rsidR="006C0A95">
        <w:t>Covenant</w:t>
      </w:r>
      <w:r>
        <w:t xml:space="preserve"> </w:t>
      </w:r>
      <w:r w:rsidRPr="00A21467">
        <w:t>pursuant to the optional reporting procedure,</w:t>
      </w:r>
      <w:r>
        <w:t xml:space="preserve"> due in</w:t>
      </w:r>
      <w:r w:rsidR="007C2635">
        <w:t xml:space="preserve"> 2022 </w:t>
      </w:r>
      <w:r>
        <w:rPr>
          <w:rStyle w:val="FootnoteReference"/>
          <w:b w:val="0"/>
          <w:sz w:val="20"/>
          <w:vertAlign w:val="baseline"/>
        </w:rPr>
        <w:footnoteReference w:customMarkFollows="1" w:id="2"/>
        <w:t>*</w:t>
      </w:r>
      <w:r w:rsidR="007B1A27" w:rsidRPr="002E04D8">
        <w:rPr>
          <w:rStyle w:val="FootnoteReference"/>
          <w:b w:val="0"/>
          <w:sz w:val="20"/>
        </w:rPr>
        <w:t>,</w:t>
      </w:r>
      <w:r w:rsidR="007B1A27">
        <w:rPr>
          <w:b w:val="0"/>
          <w:sz w:val="20"/>
        </w:rPr>
        <w:t xml:space="preserve"> </w:t>
      </w:r>
      <w:r>
        <w:rPr>
          <w:rStyle w:val="FootnoteReference"/>
          <w:b w:val="0"/>
          <w:sz w:val="20"/>
          <w:vertAlign w:val="baseline"/>
        </w:rPr>
        <w:footnoteReference w:customMarkFollows="1" w:id="3"/>
        <w:t>**</w:t>
      </w:r>
    </w:p>
    <w:p w14:paraId="0FA455A7" w14:textId="526E136A" w:rsidR="003210CA" w:rsidRPr="00C15D37" w:rsidRDefault="0049642B" w:rsidP="003210CA">
      <w:pPr>
        <w:pStyle w:val="SingleTxtG"/>
        <w:jc w:val="right"/>
      </w:pPr>
      <w:r w:rsidRPr="006B1483">
        <w:t>[</w:t>
      </w:r>
      <w:r w:rsidRPr="0026444E">
        <w:t xml:space="preserve">Date </w:t>
      </w:r>
      <w:r w:rsidRPr="00C15D37">
        <w:t>received:</w:t>
      </w:r>
      <w:r w:rsidRPr="00C15D37">
        <w:t xml:space="preserve"> </w:t>
      </w:r>
      <w:r w:rsidR="007C2635" w:rsidRPr="00C15D37">
        <w:t>27 April 2026</w:t>
      </w:r>
      <w:r w:rsidRPr="00C15D37">
        <w:t>]</w:t>
      </w:r>
    </w:p>
    <w:p w14:paraId="15C63C27" w14:textId="31EF5714" w:rsidR="0060662F" w:rsidRDefault="0060662F">
      <w:pPr>
        <w:suppressAutoHyphens w:val="0"/>
        <w:spacing w:after="200" w:line="276" w:lineRule="auto"/>
        <w:rPr>
          <w:rFonts w:eastAsiaTheme="minorHAnsi"/>
        </w:rPr>
      </w:pPr>
      <w:r>
        <w:br w:type="page"/>
      </w:r>
    </w:p>
    <w:p w14:paraId="13268A8D" w14:textId="4F1CDD76" w:rsidR="007C2635" w:rsidRDefault="007C2635" w:rsidP="007C2635">
      <w:pPr>
        <w:pStyle w:val="HChG"/>
      </w:pPr>
      <w:r>
        <w:lastRenderedPageBreak/>
        <w:tab/>
      </w:r>
      <w:r>
        <w:tab/>
      </w:r>
      <w:r>
        <w:t>Introduction</w:t>
      </w:r>
    </w:p>
    <w:p w14:paraId="489E0981" w14:textId="77777777" w:rsidR="007C2635" w:rsidRDefault="007C2635" w:rsidP="007C2635">
      <w:pPr>
        <w:pStyle w:val="SingleTxtG"/>
      </w:pPr>
      <w:r>
        <w:t>1.</w:t>
      </w:r>
      <w:r>
        <w:tab/>
        <w:t xml:space="preserve">This report presents the activities conducted and progress made by the Government of the Republic of Mozambique between 2014 </w:t>
      </w:r>
      <w:r w:rsidRPr="007C2635">
        <w:t>and</w:t>
      </w:r>
      <w:r>
        <w:t xml:space="preserve"> 2025 in complying its obligations as a State Party to the International Covenant on Civil and Political Rights (ICCPR) in accordance with Article 40.</w:t>
      </w:r>
    </w:p>
    <w:p w14:paraId="269438FA" w14:textId="77777777" w:rsidR="007C2635" w:rsidRDefault="007C2635" w:rsidP="007C2635">
      <w:pPr>
        <w:pStyle w:val="SingleTxtG"/>
      </w:pPr>
      <w:r>
        <w:t>2.</w:t>
      </w:r>
      <w:r>
        <w:tab/>
        <w:t>The report is divided into two parts. The first part provides a general overview on the national human rights situation. The second part addresses specific information regarding the implementation of Articles 1 to 27 of the International Covenant on Civil and Political Rights.</w:t>
      </w:r>
    </w:p>
    <w:p w14:paraId="6F1FE573" w14:textId="38265971" w:rsidR="007C2635" w:rsidRDefault="007C2635" w:rsidP="007C2635">
      <w:pPr>
        <w:pStyle w:val="HChG"/>
      </w:pPr>
      <w:r>
        <w:tab/>
      </w:r>
      <w:r>
        <w:t xml:space="preserve">I. </w:t>
      </w:r>
      <w:r>
        <w:tab/>
      </w:r>
      <w:r>
        <w:t>General Overview on the national human rights situation, including new measures and developments relating to the implementation of the Covenant</w:t>
      </w:r>
    </w:p>
    <w:p w14:paraId="1808F693" w14:textId="77777777" w:rsidR="007C2635" w:rsidRDefault="007C2635" w:rsidP="007C2635">
      <w:pPr>
        <w:pStyle w:val="SingleTxtG"/>
      </w:pPr>
      <w:r>
        <w:t>3.</w:t>
      </w:r>
      <w:r>
        <w:tab/>
        <w:t>The Constitution of the Republic of Mozambique (CRM) establishes, in Article 3(e), among other aspects, that Mozambique is a democratic state governed by the rule of law, based on the defence and promotion of human rights, guaranteeing the equality of citizens before the law and the construction of social justice based society, as well as the creation of material and spiritual well-being and quality of life for its citizens, as established in Article 11 of the CRM.</w:t>
      </w:r>
    </w:p>
    <w:p w14:paraId="2420AC25" w14:textId="77777777" w:rsidR="007C2635" w:rsidRDefault="007C2635" w:rsidP="007C2635">
      <w:pPr>
        <w:pStyle w:val="SingleTxtG"/>
      </w:pPr>
      <w:r>
        <w:t>4.</w:t>
      </w:r>
      <w:r>
        <w:tab/>
        <w:t>In addition, in Mozambique, international law standards that have been duly approved, ratified and published have the same value in the domestic legal system as infra-constitutional normative acts, according to Article 18 of the CRM, ensuring the promotion and protection of human rights.</w:t>
      </w:r>
    </w:p>
    <w:p w14:paraId="7BDA7F29" w14:textId="77777777" w:rsidR="007C2635" w:rsidRDefault="007C2635" w:rsidP="007C2635">
      <w:pPr>
        <w:pStyle w:val="SingleTxtG"/>
      </w:pPr>
      <w:r>
        <w:t>5.</w:t>
      </w:r>
      <w:r>
        <w:tab/>
        <w:t>To consolidate the implementation of the above-mentioned legal principles and constitutional values, reforms were introduced into the Mozambican legal and institutional framework, including, among others the following:</w:t>
      </w:r>
    </w:p>
    <w:p w14:paraId="19468813" w14:textId="2E0B8AC2" w:rsidR="007C2635" w:rsidRDefault="007C2635" w:rsidP="007C2635">
      <w:pPr>
        <w:pStyle w:val="SingleTxtG"/>
      </w:pPr>
      <w:r>
        <w:tab/>
        <w:t>(</w:t>
      </w:r>
      <w:r>
        <w:t>a)</w:t>
      </w:r>
      <w:r>
        <w:tab/>
        <w:t>Law No. 1/2018, of 12 June, approving the Specific Review of the Constitution of the Republic of Mozambique, of 2004</w:t>
      </w:r>
    </w:p>
    <w:p w14:paraId="41DEF966" w14:textId="5222440F" w:rsidR="007C2635" w:rsidRDefault="007C2635" w:rsidP="007C2635">
      <w:pPr>
        <w:pStyle w:val="SingleTxtG"/>
      </w:pPr>
      <w:r>
        <w:tab/>
        <w:t>(</w:t>
      </w:r>
      <w:r>
        <w:t>b)</w:t>
      </w:r>
      <w:r>
        <w:tab/>
        <w:t>Penal Code, approved by Law No. 24/2019, December 24, which revokes Law No. 35/2014, December 31</w:t>
      </w:r>
    </w:p>
    <w:p w14:paraId="2212963F" w14:textId="30CA540D" w:rsidR="007C2635" w:rsidRDefault="007C2635" w:rsidP="007C2635">
      <w:pPr>
        <w:pStyle w:val="SingleTxtG"/>
      </w:pPr>
      <w:r>
        <w:tab/>
        <w:t>(</w:t>
      </w:r>
      <w:r>
        <w:t>c)</w:t>
      </w:r>
      <w:r>
        <w:tab/>
        <w:t>Penal Procedure Code, approved by Law No. 25/2019, December 26</w:t>
      </w:r>
    </w:p>
    <w:p w14:paraId="3E1AC0B5" w14:textId="78ED410C" w:rsidR="007C2635" w:rsidRDefault="007C2635" w:rsidP="007C2635">
      <w:pPr>
        <w:pStyle w:val="SingleTxtG"/>
      </w:pPr>
      <w:r>
        <w:tab/>
        <w:t>(</w:t>
      </w:r>
      <w:r>
        <w:t>d)</w:t>
      </w:r>
      <w:r>
        <w:tab/>
        <w:t>Sentencing Code, approved by Law No. 26/2019, 27 December, which introduces the figure of the sentencing judge, contributing to a significant improvement in the flexibility of issues relating to prisoners, both at the beginning and during their sentences, as well as in their settlement</w:t>
      </w:r>
    </w:p>
    <w:p w14:paraId="235FC715" w14:textId="3AADFAE4" w:rsidR="007C2635" w:rsidRDefault="007C2635" w:rsidP="007C2635">
      <w:pPr>
        <w:pStyle w:val="SingleTxtG"/>
      </w:pPr>
      <w:r>
        <w:tab/>
        <w:t>(</w:t>
      </w:r>
      <w:r>
        <w:t>e)</w:t>
      </w:r>
      <w:r>
        <w:tab/>
        <w:t>Law No. 1/2022, January 12, which approves the Organic Law of the Public Prosecutor's Office and the Statute of the Public Prosecutors, and revokes Law No. 4/2017, January 18</w:t>
      </w:r>
    </w:p>
    <w:p w14:paraId="2C65369D" w14:textId="0126427A" w:rsidR="007C2635" w:rsidRDefault="007C2635" w:rsidP="007C2635">
      <w:pPr>
        <w:pStyle w:val="SingleTxtG"/>
      </w:pPr>
      <w:r>
        <w:tab/>
        <w:t>(</w:t>
      </w:r>
      <w:r>
        <w:t>f)</w:t>
      </w:r>
      <w:r>
        <w:tab/>
        <w:t>Law No. 19/2019, 22 October, approves the Law on Prevention and Combating Early Marriages</w:t>
      </w:r>
    </w:p>
    <w:p w14:paraId="41ECF18A" w14:textId="720249D3" w:rsidR="007C2635" w:rsidRDefault="007C2635" w:rsidP="007C2635">
      <w:pPr>
        <w:pStyle w:val="SingleTxtG"/>
      </w:pPr>
      <w:r>
        <w:tab/>
        <w:t>(</w:t>
      </w:r>
      <w:r>
        <w:t>g)</w:t>
      </w:r>
      <w:r>
        <w:tab/>
        <w:t>Family Law, approved by Law No. 22/2019, December 11.</w:t>
      </w:r>
    </w:p>
    <w:p w14:paraId="39FB0011" w14:textId="41866CDD" w:rsidR="007C2635" w:rsidRDefault="007C2635" w:rsidP="007C2635">
      <w:pPr>
        <w:pStyle w:val="SingleTxtG"/>
      </w:pPr>
      <w:r>
        <w:tab/>
        <w:t>(</w:t>
      </w:r>
      <w:r>
        <w:t>h)</w:t>
      </w:r>
      <w:r>
        <w:tab/>
        <w:t>Law No. 15/2023, August 28, which establishes the Legal Regime for Preventing, Repressing and Combating Terrorism and Proliferation of Weapons of Mass Destruction, and repeals Law No. 13/2022, July 8</w:t>
      </w:r>
    </w:p>
    <w:p w14:paraId="6D3E6A35" w14:textId="10CA6D96" w:rsidR="007C2635" w:rsidRDefault="007C2635" w:rsidP="007C2635">
      <w:pPr>
        <w:pStyle w:val="SingleTxtG"/>
      </w:pPr>
      <w:r>
        <w:tab/>
        <w:t>(</w:t>
      </w:r>
      <w:r>
        <w:t>i)</w:t>
      </w:r>
      <w:r>
        <w:tab/>
        <w:t>Law No. 14/2023, August 28, which establishes the Legal Regime and Measures to Prevent and Counter Money Laundering and Terrorist Financing, and revokes Law No. 11/2022, July 7.</w:t>
      </w:r>
    </w:p>
    <w:p w14:paraId="7D86C40A" w14:textId="77777777" w:rsidR="007C2635" w:rsidRDefault="007C2635" w:rsidP="007C2635">
      <w:pPr>
        <w:pStyle w:val="SingleTxtG"/>
      </w:pPr>
      <w:r>
        <w:t>6.</w:t>
      </w:r>
      <w:r>
        <w:tab/>
        <w:t xml:space="preserve">As to enhance the technical capacity of Public Prosecutor's Office (PGR) staff, the State provided professional training on investigation of terrorism, economic and financial </w:t>
      </w:r>
      <w:r>
        <w:lastRenderedPageBreak/>
        <w:t>crimes, trafficking, military justice and children's rights.  408 magistrates and 373 Court Officers were trained.</w:t>
      </w:r>
    </w:p>
    <w:p w14:paraId="5D8D248F" w14:textId="77777777" w:rsidR="007C2635" w:rsidRDefault="007C2635" w:rsidP="007C2635">
      <w:pPr>
        <w:pStyle w:val="SingleTxtG"/>
      </w:pPr>
      <w:r>
        <w:t>7.</w:t>
      </w:r>
      <w:r>
        <w:tab/>
        <w:t>To respond to the challenges due to organised crime, a Specialised Criminal Division was created, as well as a Technical Advisory Section (SAT), dedicated to providing technical assistance to magistrates.</w:t>
      </w:r>
    </w:p>
    <w:p w14:paraId="103AC9CF" w14:textId="77777777" w:rsidR="007C2635" w:rsidRDefault="007C2635" w:rsidP="007C2635">
      <w:pPr>
        <w:pStyle w:val="SingleTxtG"/>
      </w:pPr>
      <w:r>
        <w:t>8.</w:t>
      </w:r>
      <w:r>
        <w:tab/>
        <w:t>In addition, the Office of International Cooperation has restructured and now became the Technical Directorate for Legal and Judicial Cooperation, so has the Office of International Relations, which coordinates the Public Prosecutor's Office's cooperation strategies.</w:t>
      </w:r>
    </w:p>
    <w:p w14:paraId="137DC0AB" w14:textId="77777777" w:rsidR="007C2635" w:rsidRDefault="007C2635" w:rsidP="007C2635">
      <w:pPr>
        <w:pStyle w:val="SingleTxtG"/>
      </w:pPr>
      <w:r>
        <w:t>9.</w:t>
      </w:r>
      <w:r>
        <w:tab/>
        <w:t>Regarding the ratification of optional protocols, Mozambique has already ratified the Second Optional Protocol to the ICCPR (Resolution No. 6/91). However, the State remains engaged in the ratification process of the I Optional Protocol to this instrument.</w:t>
      </w:r>
    </w:p>
    <w:p w14:paraId="0E8FB2BB" w14:textId="5CEE23E9" w:rsidR="007C2635" w:rsidRDefault="007C2635" w:rsidP="007C2635">
      <w:pPr>
        <w:pStyle w:val="HChG"/>
      </w:pPr>
      <w:r>
        <w:tab/>
      </w:r>
      <w:r>
        <w:t xml:space="preserve">II. </w:t>
      </w:r>
      <w:r w:rsidR="0024619B">
        <w:tab/>
      </w:r>
      <w:r>
        <w:t>Specific information on the application of articles 1 to 27 of the Covenant, including the Committee's previous recommendations</w:t>
      </w:r>
    </w:p>
    <w:p w14:paraId="56447435" w14:textId="56C9FC7A" w:rsidR="007C2635" w:rsidRDefault="00377FE8" w:rsidP="00377FE8">
      <w:pPr>
        <w:pStyle w:val="H1G"/>
      </w:pPr>
      <w:r>
        <w:tab/>
      </w:r>
      <w:r>
        <w:tab/>
      </w:r>
      <w:r w:rsidR="007C2635">
        <w:t>State of emergency (article 4)</w:t>
      </w:r>
    </w:p>
    <w:p w14:paraId="57D2EC85" w14:textId="77777777" w:rsidR="007C2635" w:rsidRDefault="007C2635" w:rsidP="007C2635">
      <w:pPr>
        <w:pStyle w:val="SingleTxtG"/>
      </w:pPr>
      <w:r>
        <w:t>10.</w:t>
      </w:r>
      <w:r>
        <w:tab/>
        <w:t>To fight the coronavirus (COVID-19) pandemic, the State Party has taken the following measures:</w:t>
      </w:r>
    </w:p>
    <w:p w14:paraId="51C89982" w14:textId="5DA0BA97" w:rsidR="007C2635" w:rsidRDefault="00377FE8" w:rsidP="007C2635">
      <w:pPr>
        <w:pStyle w:val="SingleTxtG"/>
      </w:pPr>
      <w:r>
        <w:tab/>
        <w:t>(</w:t>
      </w:r>
      <w:r w:rsidR="007C2635">
        <w:t>a)</w:t>
      </w:r>
      <w:r w:rsidR="007C2635">
        <w:tab/>
        <w:t>of a state of emergency due to public calamity</w:t>
      </w:r>
    </w:p>
    <w:p w14:paraId="17B5FF59" w14:textId="2DFE3696" w:rsidR="007C2635" w:rsidRDefault="00377FE8" w:rsidP="007C2635">
      <w:pPr>
        <w:pStyle w:val="SingleTxtG"/>
      </w:pPr>
      <w:r>
        <w:tab/>
        <w:t>(</w:t>
      </w:r>
      <w:r w:rsidR="007C2635">
        <w:t>b)</w:t>
      </w:r>
      <w:r w:rsidR="007C2635">
        <w:tab/>
        <w:t>Creation of a Multidisciplinary Technical-Scientific Commission, chaired by the Minister of Health, to develop and discuss recommendations on areas of intersectoral response</w:t>
      </w:r>
    </w:p>
    <w:p w14:paraId="0F445A2C" w14:textId="2B6A427F" w:rsidR="007C2635" w:rsidRDefault="00377FE8" w:rsidP="007C2635">
      <w:pPr>
        <w:pStyle w:val="SingleTxtG"/>
      </w:pPr>
      <w:r>
        <w:tab/>
        <w:t>(</w:t>
      </w:r>
      <w:r w:rsidR="007C2635">
        <w:t>c)</w:t>
      </w:r>
      <w:r w:rsidR="007C2635">
        <w:tab/>
        <w:t>Raising public awareness about the pandemic</w:t>
      </w:r>
    </w:p>
    <w:p w14:paraId="4C440F84" w14:textId="7688EC2E" w:rsidR="007C2635" w:rsidRDefault="00377FE8" w:rsidP="007C2635">
      <w:pPr>
        <w:pStyle w:val="SingleTxtG"/>
      </w:pPr>
      <w:r>
        <w:tab/>
        <w:t>(</w:t>
      </w:r>
      <w:r w:rsidR="007C2635">
        <w:t>d)</w:t>
      </w:r>
      <w:r w:rsidR="007C2635">
        <w:tab/>
        <w:t>Adopting home quarantine measures</w:t>
      </w:r>
    </w:p>
    <w:p w14:paraId="6A142A5F" w14:textId="2201B71E" w:rsidR="007C2635" w:rsidRDefault="00377FE8" w:rsidP="007C2635">
      <w:pPr>
        <w:pStyle w:val="SingleTxtG"/>
      </w:pPr>
      <w:r>
        <w:tab/>
        <w:t>(</w:t>
      </w:r>
      <w:r w:rsidR="007C2635">
        <w:t>e)</w:t>
      </w:r>
      <w:r w:rsidR="007C2635">
        <w:tab/>
        <w:t>Creating COVID-19 isolation and treatment centres;</w:t>
      </w:r>
    </w:p>
    <w:p w14:paraId="7C9EDFC5" w14:textId="011FAC2F" w:rsidR="007C2635" w:rsidRDefault="00377FE8" w:rsidP="007C2635">
      <w:pPr>
        <w:pStyle w:val="SingleTxtG"/>
      </w:pPr>
      <w:r>
        <w:tab/>
        <w:t>(</w:t>
      </w:r>
      <w:r w:rsidR="007C2635">
        <w:t>f)</w:t>
      </w:r>
      <w:r w:rsidR="007C2635">
        <w:tab/>
        <w:t>Suspension of public and private classes</w:t>
      </w:r>
    </w:p>
    <w:p w14:paraId="75FB75F5" w14:textId="5F94CD5F" w:rsidR="007C2635" w:rsidRDefault="00377FE8" w:rsidP="007C2635">
      <w:pPr>
        <w:pStyle w:val="SingleTxtG"/>
      </w:pPr>
      <w:r>
        <w:tab/>
        <w:t>(</w:t>
      </w:r>
      <w:r w:rsidR="007C2635">
        <w:t>g)</w:t>
      </w:r>
      <w:r w:rsidR="007C2635">
        <w:tab/>
        <w:t>Prohibition of public and private events</w:t>
      </w:r>
    </w:p>
    <w:p w14:paraId="4AE93FB3" w14:textId="54E74FE8" w:rsidR="007C2635" w:rsidRDefault="00377FE8" w:rsidP="007C2635">
      <w:pPr>
        <w:pStyle w:val="SingleTxtG"/>
      </w:pPr>
      <w:r>
        <w:tab/>
        <w:t>(</w:t>
      </w:r>
      <w:r w:rsidR="007C2635">
        <w:t>h)</w:t>
      </w:r>
      <w:r w:rsidR="007C2635">
        <w:tab/>
        <w:t>Implementation of prevention measures in public and private institutions.</w:t>
      </w:r>
    </w:p>
    <w:p w14:paraId="713D8E11" w14:textId="6F8DA3BB" w:rsidR="007C2635" w:rsidRDefault="00377FE8" w:rsidP="007C2635">
      <w:pPr>
        <w:pStyle w:val="SingleTxtG"/>
      </w:pPr>
      <w:r>
        <w:tab/>
        <w:t>(</w:t>
      </w:r>
      <w:r w:rsidR="007C2635">
        <w:t>i)</w:t>
      </w:r>
      <w:r w:rsidR="007C2635">
        <w:tab/>
        <w:t>Mandatory use of masks and face shields</w:t>
      </w:r>
    </w:p>
    <w:p w14:paraId="61800C6C" w14:textId="500B0BD8" w:rsidR="007C2635" w:rsidRDefault="00377FE8" w:rsidP="007C2635">
      <w:pPr>
        <w:pStyle w:val="SingleTxtG"/>
      </w:pPr>
      <w:r>
        <w:tab/>
        <w:t>(</w:t>
      </w:r>
      <w:r w:rsidR="007C2635">
        <w:t>j)</w:t>
      </w:r>
      <w:r w:rsidR="007C2635">
        <w:tab/>
        <w:t>Frequent hand washing with soap and water or ash</w:t>
      </w:r>
    </w:p>
    <w:p w14:paraId="08697AF5" w14:textId="666CBA30" w:rsidR="007C2635" w:rsidRDefault="00377FE8" w:rsidP="007C2635">
      <w:pPr>
        <w:pStyle w:val="SingleTxtG"/>
      </w:pPr>
      <w:r>
        <w:tab/>
        <w:t>(</w:t>
      </w:r>
      <w:r w:rsidR="007C2635">
        <w:t>k)</w:t>
      </w:r>
      <w:r w:rsidR="007C2635">
        <w:tab/>
        <w:t>Minimum interpersonal distance of 1.5 meters</w:t>
      </w:r>
    </w:p>
    <w:p w14:paraId="519EB5CF" w14:textId="63C5468A" w:rsidR="007C2635" w:rsidRDefault="00377FE8" w:rsidP="007C2635">
      <w:pPr>
        <w:pStyle w:val="SingleTxtG"/>
      </w:pPr>
      <w:r>
        <w:tab/>
        <w:t>(</w:t>
      </w:r>
      <w:r w:rsidR="007C2635">
        <w:t>l)</w:t>
      </w:r>
      <w:r w:rsidR="007C2635">
        <w:tab/>
        <w:t xml:space="preserve">Coughing protocol (use a tissue or your elbow not your hand) </w:t>
      </w:r>
    </w:p>
    <w:p w14:paraId="50B1B7DD" w14:textId="25A89B5F" w:rsidR="007C2635" w:rsidRDefault="00377FE8" w:rsidP="007C2635">
      <w:pPr>
        <w:pStyle w:val="SingleTxtG"/>
      </w:pPr>
      <w:r>
        <w:tab/>
        <w:t>(</w:t>
      </w:r>
      <w:r w:rsidR="007C2635">
        <w:t>m)</w:t>
      </w:r>
      <w:r w:rsidR="007C2635">
        <w:tab/>
        <w:t>No sharing of personal items</w:t>
      </w:r>
    </w:p>
    <w:p w14:paraId="4CE7882E" w14:textId="27655DA2" w:rsidR="007C2635" w:rsidRDefault="00377FE8" w:rsidP="007C2635">
      <w:pPr>
        <w:pStyle w:val="SingleTxtG"/>
      </w:pPr>
      <w:r>
        <w:tab/>
        <w:t>(</w:t>
      </w:r>
      <w:r w:rsidR="007C2635">
        <w:t>n)</w:t>
      </w:r>
      <w:r w:rsidR="007C2635">
        <w:tab/>
        <w:t>Approval of five Presidential Decrees within the scope of the public calamity (Decrees No. 11/2020, 12/2020, 14/2020, 21/2020 and 23/2020)</w:t>
      </w:r>
    </w:p>
    <w:p w14:paraId="69601FF4" w14:textId="1C9B36EA" w:rsidR="007C2635" w:rsidRDefault="00377FE8" w:rsidP="007C2635">
      <w:pPr>
        <w:pStyle w:val="SingleTxtG"/>
      </w:pPr>
      <w:r>
        <w:tab/>
        <w:t>(</w:t>
      </w:r>
      <w:r w:rsidR="007C2635">
        <w:t>o)</w:t>
      </w:r>
      <w:r w:rsidR="007C2635">
        <w:tab/>
        <w:t>Holding meetings with Governors and Secretaries of State at the provincial level, aimed at an effective response to COVID-19, led by the President of the Republic</w:t>
      </w:r>
    </w:p>
    <w:p w14:paraId="27B6CC47" w14:textId="69F978F5" w:rsidR="007C2635" w:rsidRDefault="00377FE8" w:rsidP="007C2635">
      <w:pPr>
        <w:pStyle w:val="SingleTxtG"/>
      </w:pPr>
      <w:r>
        <w:tab/>
        <w:t>(</w:t>
      </w:r>
      <w:r w:rsidR="007C2635">
        <w:t>p)</w:t>
      </w:r>
      <w:r w:rsidR="007C2635">
        <w:tab/>
        <w:t xml:space="preserve">Roll-out of Covid-19 Vaccine </w:t>
      </w:r>
    </w:p>
    <w:p w14:paraId="43279283" w14:textId="77777777" w:rsidR="007C2635" w:rsidRDefault="007C2635" w:rsidP="007C2635">
      <w:pPr>
        <w:pStyle w:val="SingleTxtG"/>
      </w:pPr>
      <w:r>
        <w:t>11.</w:t>
      </w:r>
      <w:r>
        <w:tab/>
        <w:t>These measures proved to be appropriate. However, the curfew significantly altered social dynamics, particularly regarding access to and operation of schools, workplaces, commercial establishments, and roads. It should be noted that the measures adopted were proportionate because, although they limited certain rights, they helped prevent the spread of COVID-19, as initially projected.</w:t>
      </w:r>
    </w:p>
    <w:p w14:paraId="255E31C6" w14:textId="21618494" w:rsidR="007C2635" w:rsidRDefault="00377FE8" w:rsidP="00377FE8">
      <w:pPr>
        <w:pStyle w:val="H1G"/>
      </w:pPr>
      <w:r>
        <w:lastRenderedPageBreak/>
        <w:tab/>
      </w:r>
      <w:r>
        <w:tab/>
      </w:r>
      <w:r w:rsidR="007C2635">
        <w:t>Anti-corruption measures (article 2 and 25)</w:t>
      </w:r>
    </w:p>
    <w:p w14:paraId="38D568BD" w14:textId="77777777" w:rsidR="007C2635" w:rsidRDefault="007C2635" w:rsidP="007C2635">
      <w:pPr>
        <w:pStyle w:val="SingleTxtG"/>
      </w:pPr>
      <w:r>
        <w:t>12.</w:t>
      </w:r>
      <w:r>
        <w:tab/>
        <w:t>The Anti-Corruption Office, a Public Prosecutor's Office body, responsible for coordinating actions to prevent and suppress corruption and related crimes, promotes specialised training as part of its strategic plan, participates in the implementation of strategies with other State bodies to prevent and fight corruption, and liaises with various institutions in gathering evidence.</w:t>
      </w:r>
    </w:p>
    <w:p w14:paraId="5C3595B0" w14:textId="77777777" w:rsidR="007C2635" w:rsidRDefault="007C2635" w:rsidP="007C2635">
      <w:pPr>
        <w:pStyle w:val="SingleTxtG"/>
      </w:pPr>
      <w:r>
        <w:t>13.</w:t>
      </w:r>
      <w:r>
        <w:tab/>
        <w:t>In 2023, the Department of Investigation and Criminal Prosecution, as well as the Technical Sections, began operating inside the Anti-Corruption Office, bringing together magistrates and investigators responsible for investigating the various types of crimes within their jurisdiction.</w:t>
      </w:r>
    </w:p>
    <w:p w14:paraId="76B5784E" w14:textId="0D7EB472" w:rsidR="007C2635" w:rsidRDefault="007C2635" w:rsidP="00377FE8">
      <w:pPr>
        <w:pStyle w:val="SingleTxtG"/>
      </w:pPr>
      <w:r>
        <w:t>14.</w:t>
      </w:r>
      <w:r>
        <w:tab/>
        <w:t>On the repressive side, in 2020, a total of 1,343 complaints of corruption were filed with the Public Prosecutor's Office, of which 1,212 were prosecuted.</w:t>
      </w:r>
      <w:r w:rsidR="00377FE8">
        <w:t xml:space="preserve"> </w:t>
      </w:r>
      <w:r>
        <w:t>Of these, 531 cases were prosecuted at the level of the Offices and 681 at the level of the Attorney General's Office, Deputy Attorney General's Office and Provincial Prosecutor's Offices. 41 cases were closed due to lack of evidence, and 90 cases were referred to the appropriate prosecutors' offices for other crimes.</w:t>
      </w:r>
    </w:p>
    <w:p w14:paraId="2AD5356F" w14:textId="77777777" w:rsidR="007C2635" w:rsidRDefault="007C2635" w:rsidP="007C2635">
      <w:pPr>
        <w:pStyle w:val="SingleTxtG"/>
      </w:pPr>
      <w:r>
        <w:t>15.</w:t>
      </w:r>
      <w:r>
        <w:tab/>
        <w:t>As for the status of the defendants in corruption cases, like in previous years, most of them were public servants in management and leadership positions, staff running e-SISTAFE (Public Administration Electronic Payments) system, Procurement Officers (UGEA), Police Officers, the National Criminal Investigation Service and public fund managers.</w:t>
      </w:r>
    </w:p>
    <w:p w14:paraId="66AAE91B" w14:textId="77777777" w:rsidR="007C2635" w:rsidRDefault="007C2635" w:rsidP="007C2635">
      <w:pPr>
        <w:pStyle w:val="SingleTxtG"/>
      </w:pPr>
      <w:r>
        <w:t>16.</w:t>
      </w:r>
      <w:r>
        <w:tab/>
      </w:r>
      <w:proofErr w:type="gramStart"/>
      <w:r>
        <w:t>With regard to</w:t>
      </w:r>
      <w:proofErr w:type="gramEnd"/>
      <w:r>
        <w:t xml:space="preserve"> magistrates, 10 criminal proceedings were filed during the reporting period, on top of the 12 from 2019, accounting for 22 cases in total.</w:t>
      </w:r>
    </w:p>
    <w:p w14:paraId="14AD8645" w14:textId="77777777" w:rsidR="007C2635" w:rsidRDefault="007C2635" w:rsidP="007C2635">
      <w:pPr>
        <w:pStyle w:val="SingleTxtG"/>
      </w:pPr>
      <w:r>
        <w:t>17.</w:t>
      </w:r>
      <w:r>
        <w:tab/>
        <w:t>Of the 22 prosecutions, 12 magistrates from the Public Prosecutor's Office, 9 judicial magistrates and 3 administrative judicial magistrates were indicted. Once the preliminary investigations were completed, an indictment was issued against 9 magistrates, 5 from the Public Prosecutor's Office, 2 judicial magistrates and 2 administrative judicial magistrates, with the remaining cases still under investigation.</w:t>
      </w:r>
    </w:p>
    <w:p w14:paraId="339DD656" w14:textId="77777777" w:rsidR="007C2635" w:rsidRDefault="007C2635" w:rsidP="007C2635">
      <w:pPr>
        <w:pStyle w:val="SingleTxtG"/>
      </w:pPr>
      <w:r>
        <w:t>18.</w:t>
      </w:r>
      <w:r>
        <w:tab/>
        <w:t>Transparency in public procurement, through the implementation of electronic procurement and tracking systems for all administrative steps, ensuring that each stage is auditable and accessible to the public, is one of the main measures to combat corruption, particularly in the Procurement Management Units (UGEAs).</w:t>
      </w:r>
    </w:p>
    <w:p w14:paraId="7CD2ECC3" w14:textId="77777777" w:rsidR="007C2635" w:rsidRDefault="007C2635" w:rsidP="007C2635">
      <w:pPr>
        <w:pStyle w:val="SingleTxtG"/>
      </w:pPr>
      <w:r>
        <w:t>19.</w:t>
      </w:r>
      <w:r>
        <w:tab/>
        <w:t>Also noteworthy is the approval of the new Public Probity Law, Law No. 12/2024, 18 June, one of the fundamental instruments for preventing and combating corruption, whose implementation, regarding the Asset Declaration System, involves the intervention of the Public Prosecutor's Office.</w:t>
      </w:r>
    </w:p>
    <w:p w14:paraId="0DC360F3" w14:textId="77777777" w:rsidR="007C2635" w:rsidRDefault="007C2635" w:rsidP="007C2635">
      <w:pPr>
        <w:pStyle w:val="SingleTxtG"/>
      </w:pPr>
      <w:r>
        <w:t>20.</w:t>
      </w:r>
      <w:r>
        <w:tab/>
        <w:t>On the debts incurred by the companies EMATUM, PROINDICUS and MAM, a sentence was handed down on 7 December 2022 by the Judicial Court of the City of Maputo, and 11 defendants were convicted. All filled appeals with the High Court of Appeal. Upon the request of the Public Prosecutor's Office, the 6th Section of the Maputo City Judicial Court ordered the definitive seizure of the defendants' estate and rights.</w:t>
      </w:r>
    </w:p>
    <w:p w14:paraId="74E8AC03" w14:textId="77777777" w:rsidR="007C2635" w:rsidRDefault="007C2635" w:rsidP="007C2635">
      <w:pPr>
        <w:pStyle w:val="SingleTxtG"/>
      </w:pPr>
      <w:r>
        <w:t>21.</w:t>
      </w:r>
      <w:r>
        <w:tab/>
        <w:t xml:space="preserve">As for the former Minister of Finance, he was sentenced on 17 January 2025 by the Federal Court of Brooklyn to eight and a half years in prison and </w:t>
      </w:r>
      <w:proofErr w:type="gramStart"/>
      <w:r>
        <w:t>has to</w:t>
      </w:r>
      <w:proofErr w:type="gramEnd"/>
      <w:r>
        <w:t xml:space="preserve"> pay US$7 million for the crimes of conspiracy to commit electronic fraud and money laundering. Having been tried in the United States of America, the Mozambican courts cannot try him for the same crimes.</w:t>
      </w:r>
    </w:p>
    <w:p w14:paraId="524AD257" w14:textId="77777777" w:rsidR="007C2635" w:rsidRDefault="007C2635" w:rsidP="007C2635">
      <w:pPr>
        <w:pStyle w:val="SingleTxtG"/>
      </w:pPr>
      <w:r>
        <w:t>22.</w:t>
      </w:r>
      <w:r>
        <w:tab/>
        <w:t>In Mozambique, humanitarian assistance is led and coordinated by the National Institute for Disaster Risk Management and Reduction (INGD), with the support of the National Humanitarian Team (HCT).</w:t>
      </w:r>
    </w:p>
    <w:p w14:paraId="56A0B650" w14:textId="77777777" w:rsidR="007C2635" w:rsidRDefault="007C2635" w:rsidP="007C2635">
      <w:pPr>
        <w:pStyle w:val="SingleTxtG"/>
      </w:pPr>
      <w:r>
        <w:t>23.</w:t>
      </w:r>
      <w:r>
        <w:tab/>
        <w:t>During the provision of humanitarian assistance, INGD is guided by the principles of transparency, impartiality and accountability, ensuring that beneficiaries are informed about the eligibility criteria, modalities, quantities and deadlines for receiving support.</w:t>
      </w:r>
    </w:p>
    <w:p w14:paraId="6E7F0010" w14:textId="77777777" w:rsidR="007C2635" w:rsidRDefault="007C2635" w:rsidP="007C2635">
      <w:pPr>
        <w:pStyle w:val="SingleTxtG"/>
      </w:pPr>
      <w:r>
        <w:t>24.</w:t>
      </w:r>
      <w:r>
        <w:tab/>
        <w:t>The Code of Conduct was disseminated among all humanitarian actors, as well as complaint and grievance mechanisms.</w:t>
      </w:r>
    </w:p>
    <w:p w14:paraId="3CA60307" w14:textId="77777777" w:rsidR="007C2635" w:rsidRDefault="007C2635" w:rsidP="007C2635">
      <w:pPr>
        <w:pStyle w:val="SingleTxtG"/>
      </w:pPr>
      <w:r>
        <w:lastRenderedPageBreak/>
        <w:t>25.</w:t>
      </w:r>
      <w:r>
        <w:tab/>
        <w:t>However, there were confirmed cases of embezzlement of products intended to assist affected communities, which were dealt with under the Mozambican Penal Code and other applicable legislation.</w:t>
      </w:r>
    </w:p>
    <w:p w14:paraId="6CC6F428" w14:textId="77777777" w:rsidR="007C2635" w:rsidRDefault="007C2635" w:rsidP="007C2635">
      <w:pPr>
        <w:pStyle w:val="SingleTxtG"/>
      </w:pPr>
      <w:r>
        <w:t>26.</w:t>
      </w:r>
      <w:r>
        <w:tab/>
        <w:t>As for the legal types of crimes, petty corruption stands out, followed by grand corruption, abuse of power/office, embezzlement, and fraud.</w:t>
      </w:r>
    </w:p>
    <w:p w14:paraId="16EC5131" w14:textId="77777777" w:rsidR="007C2635" w:rsidRDefault="007C2635" w:rsidP="007C2635">
      <w:pPr>
        <w:pStyle w:val="SingleTxtG"/>
      </w:pPr>
      <w:r>
        <w:t>27.</w:t>
      </w:r>
      <w:r>
        <w:tab/>
        <w:t>As for corruption in humanitarian aid during COVID-19, the assessment of needs and identification of beneficiaries were carried out by local authorities followed by post-pandemic audits.</w:t>
      </w:r>
    </w:p>
    <w:p w14:paraId="50FB31BB" w14:textId="77777777" w:rsidR="007C2635" w:rsidRDefault="007C2635" w:rsidP="007C2635">
      <w:pPr>
        <w:pStyle w:val="SingleTxtG"/>
      </w:pPr>
      <w:r>
        <w:t>28.</w:t>
      </w:r>
      <w:r>
        <w:tab/>
        <w:t>The challenges faced highlighted the need to incorporate technological means that allow for greater transparency, traceability, and real-time accountability.</w:t>
      </w:r>
    </w:p>
    <w:p w14:paraId="2494CD4D" w14:textId="77777777" w:rsidR="007C2635" w:rsidRDefault="007C2635" w:rsidP="007C2635">
      <w:pPr>
        <w:pStyle w:val="SingleTxtG"/>
      </w:pPr>
      <w:r>
        <w:t>29.</w:t>
      </w:r>
      <w:r>
        <w:tab/>
        <w:t xml:space="preserve">Also, as to keep track of COVID-19 and natural disaster funds, INAS, IP, was audited by the Administrative Court, and several aspects were clarified during a hearing. </w:t>
      </w:r>
    </w:p>
    <w:p w14:paraId="6F0DE054" w14:textId="70986224" w:rsidR="007C2635" w:rsidRDefault="00377FE8" w:rsidP="00377FE8">
      <w:pPr>
        <w:pStyle w:val="H1G"/>
      </w:pPr>
      <w:r>
        <w:tab/>
      </w:r>
      <w:r>
        <w:tab/>
      </w:r>
      <w:r w:rsidR="007C2635">
        <w:t>Fight against Impunity and Human Rights Violations</w:t>
      </w:r>
      <w:r>
        <w:t xml:space="preserve"> </w:t>
      </w:r>
      <w:r w:rsidR="007C2635">
        <w:t>(article 2, 6, 7 and 17)</w:t>
      </w:r>
    </w:p>
    <w:p w14:paraId="4EFCEE2D" w14:textId="77777777" w:rsidR="007C2635" w:rsidRDefault="007C2635" w:rsidP="007C2635">
      <w:pPr>
        <w:pStyle w:val="SingleTxtG"/>
      </w:pPr>
      <w:r>
        <w:t>30.</w:t>
      </w:r>
      <w:r>
        <w:tab/>
        <w:t xml:space="preserve">To ensure respect for human rights in the front-line up north, Mozambican Defence Forces (FADM) received training from UNICEF, OHCHR, the Mozambican Red Cross and civil society organisations such as the Centre for Democracy and Human Rights (CDD). In addition, modules on Human Rights and International Humanitarian Law have been introduced in military training schools. </w:t>
      </w:r>
    </w:p>
    <w:p w14:paraId="2B8DD5EF" w14:textId="77777777" w:rsidR="007C2635" w:rsidRDefault="007C2635" w:rsidP="007C2635">
      <w:pPr>
        <w:pStyle w:val="SingleTxtG"/>
      </w:pPr>
      <w:r>
        <w:t>31.</w:t>
      </w:r>
      <w:r>
        <w:tab/>
        <w:t>These actions allowed forces in the front-line to spare insurgent’s lives who surrender, the sick, shipwrecked persons and child soldiers who, when captured, are handed over to the relevant authorities for social reintegration. There is also strict application of the principle of proportional use of force, especially in situations where insurgents are immobilised. But the main challenge remains ensuring that messages about human rights reach the officers on the ground.</w:t>
      </w:r>
    </w:p>
    <w:p w14:paraId="064BE5DA" w14:textId="77777777" w:rsidR="007C2635" w:rsidRDefault="007C2635" w:rsidP="007C2635">
      <w:pPr>
        <w:pStyle w:val="SingleTxtG"/>
      </w:pPr>
      <w:r>
        <w:t>32.</w:t>
      </w:r>
      <w:r>
        <w:tab/>
        <w:t>As part of the measures adopted, the rehabilitation of prisoners accused of terrorism has been promoted.</w:t>
      </w:r>
    </w:p>
    <w:p w14:paraId="09E49AAE" w14:textId="77777777" w:rsidR="007C2635" w:rsidRDefault="007C2635" w:rsidP="007C2635">
      <w:pPr>
        <w:pStyle w:val="SingleTxtG"/>
      </w:pPr>
      <w:r>
        <w:t>33.</w:t>
      </w:r>
      <w:r>
        <w:tab/>
        <w:t>Law No. 10/2019, 29 August (Amnesty Law) was passed in the context of armed conflict involving RENAMO fighters, with the aim of promoting political stability, ensuring effective and lasting peace, and fostering national reconciliation and mutual trust among Mozambicans.</w:t>
      </w:r>
    </w:p>
    <w:p w14:paraId="291DD1A1" w14:textId="77777777" w:rsidR="007C2635" w:rsidRDefault="007C2635" w:rsidP="007C2635">
      <w:pPr>
        <w:pStyle w:val="SingleTxtG"/>
      </w:pPr>
      <w:r>
        <w:t>34.</w:t>
      </w:r>
      <w:r>
        <w:tab/>
        <w:t>This instrument aimed to addressing crimes committed in the context of military hostilities, where it was not possible to prosecute the perpetrators of these crimes, even though they affected human rights such as life and physical integrity. This is a discretionary prerogative of the President of the Republic which, in this specific context, proved essential for consolidating peace and preventing further damage that would have been difficult to repair.</w:t>
      </w:r>
    </w:p>
    <w:p w14:paraId="2D54EA78" w14:textId="77777777" w:rsidR="007C2635" w:rsidRDefault="007C2635" w:rsidP="007C2635">
      <w:pPr>
        <w:pStyle w:val="SingleTxtG"/>
      </w:pPr>
      <w:r>
        <w:t>35.</w:t>
      </w:r>
      <w:r>
        <w:tab/>
        <w:t>Below is a list of cases filed for alleged human rights violations committed by members of the Defence and Security Forces and the Police, outside the scope of the Amnesty Law, demonstrating that everyone should hold accountable for human rights violation:</w:t>
      </w:r>
    </w:p>
    <w:p w14:paraId="637FBB7B" w14:textId="2F64BA1E" w:rsidR="007C2635" w:rsidRDefault="00377FE8" w:rsidP="007C2635">
      <w:pPr>
        <w:pStyle w:val="SingleTxtG"/>
      </w:pPr>
      <w:r>
        <w:tab/>
        <w:t>(</w:t>
      </w:r>
      <w:r w:rsidR="007C2635">
        <w:t>a)</w:t>
      </w:r>
      <w:r w:rsidR="007C2635">
        <w:tab/>
        <w:t>Case No. 707/11/P/2024, filed on 20 September 2024, still under investigation, in which a civil protection police officer is charged with the crime of aggravated homicide, under the terms of Article 160 of the Penal Code</w:t>
      </w:r>
    </w:p>
    <w:p w14:paraId="36485BA4" w14:textId="5AF15D39" w:rsidR="007C2635" w:rsidRDefault="00377FE8" w:rsidP="007C2635">
      <w:pPr>
        <w:pStyle w:val="SingleTxtG"/>
      </w:pPr>
      <w:r>
        <w:tab/>
        <w:t>(</w:t>
      </w:r>
      <w:r w:rsidR="007C2635">
        <w:t>b)</w:t>
      </w:r>
      <w:r w:rsidR="007C2635">
        <w:tab/>
        <w:t>Case No. 728/11/P/2024, still under investigation, involving an unknown police officer for aggravated homicide that occurred during the voting period</w:t>
      </w:r>
    </w:p>
    <w:p w14:paraId="10F06305" w14:textId="1AED0568" w:rsidR="007C2635" w:rsidRDefault="00377FE8" w:rsidP="007C2635">
      <w:pPr>
        <w:pStyle w:val="SingleTxtG"/>
      </w:pPr>
      <w:r>
        <w:tab/>
        <w:t>(</w:t>
      </w:r>
      <w:r w:rsidR="007C2635">
        <w:t>c)</w:t>
      </w:r>
      <w:r w:rsidR="007C2635">
        <w:tab/>
        <w:t>Case No. 930/11/P/2024, still under investigation, related to aggravated homicide committed by an unknown police officer</w:t>
      </w:r>
    </w:p>
    <w:p w14:paraId="71137262" w14:textId="0250AF69" w:rsidR="007C2635" w:rsidRDefault="00377FE8" w:rsidP="007C2635">
      <w:pPr>
        <w:pStyle w:val="SingleTxtG"/>
      </w:pPr>
      <w:r>
        <w:tab/>
        <w:t>(</w:t>
      </w:r>
      <w:r w:rsidR="007C2635">
        <w:t>d)</w:t>
      </w:r>
      <w:r w:rsidR="007C2635">
        <w:tab/>
        <w:t>Case No. 197/11/P/2023, filed on 13 July 2023, still under investigation, for intentional bodily harm resulting in inability to work</w:t>
      </w:r>
    </w:p>
    <w:p w14:paraId="121802F4" w14:textId="22FD82BA" w:rsidR="007C2635" w:rsidRDefault="00377FE8" w:rsidP="007C2635">
      <w:pPr>
        <w:pStyle w:val="SingleTxtG"/>
      </w:pPr>
      <w:r>
        <w:lastRenderedPageBreak/>
        <w:tab/>
        <w:t>(</w:t>
      </w:r>
      <w:r w:rsidR="007C2635">
        <w:t>e)</w:t>
      </w:r>
      <w:r w:rsidR="007C2635">
        <w:tab/>
        <w:t>Case No. 71/11/P/2023, filed on 23 March 2023, for the crime of unlawful imprisonment and intentional bodily harm</w:t>
      </w:r>
    </w:p>
    <w:p w14:paraId="3E360D1A" w14:textId="22E765E4" w:rsidR="007C2635" w:rsidRDefault="00377FE8" w:rsidP="007C2635">
      <w:pPr>
        <w:pStyle w:val="SingleTxtG"/>
      </w:pPr>
      <w:r>
        <w:tab/>
        <w:t>(</w:t>
      </w:r>
      <w:r w:rsidR="007C2635">
        <w:t>f)</w:t>
      </w:r>
      <w:r w:rsidR="007C2635">
        <w:tab/>
        <w:t>Case No. 712/11/P/2024, filed on 1 October 2024, relating to crimes of aggravated robbery and criminal association</w:t>
      </w:r>
    </w:p>
    <w:p w14:paraId="3AA17CB5" w14:textId="094F69A1" w:rsidR="007C2635" w:rsidRDefault="00377FE8" w:rsidP="007C2635">
      <w:pPr>
        <w:pStyle w:val="SingleTxtG"/>
      </w:pPr>
      <w:r>
        <w:tab/>
        <w:t>(</w:t>
      </w:r>
      <w:r w:rsidR="007C2635">
        <w:t>g)</w:t>
      </w:r>
      <w:r w:rsidR="007C2635">
        <w:tab/>
        <w:t>Cases No. 930/1101/P/24 and 931/1101/P/24 (attached), filed following a murder committed by PRM officers</w:t>
      </w:r>
    </w:p>
    <w:p w14:paraId="6039F28F" w14:textId="38D689F8" w:rsidR="007C2635" w:rsidRDefault="00377FE8" w:rsidP="007C2635">
      <w:pPr>
        <w:pStyle w:val="SingleTxtG"/>
      </w:pPr>
      <w:r>
        <w:tab/>
        <w:t>(</w:t>
      </w:r>
      <w:r w:rsidR="007C2635">
        <w:t>h)</w:t>
      </w:r>
      <w:r w:rsidR="007C2635">
        <w:tab/>
        <w:t>Case No. 965/1101/P/24, for voluntary bodily harm</w:t>
      </w:r>
    </w:p>
    <w:p w14:paraId="2A1B4ABE" w14:textId="20D4E7FC" w:rsidR="007C2635" w:rsidRDefault="00377FE8" w:rsidP="007C2635">
      <w:pPr>
        <w:pStyle w:val="SingleTxtG"/>
      </w:pPr>
      <w:r>
        <w:tab/>
        <w:t>(</w:t>
      </w:r>
      <w:r w:rsidR="007C2635">
        <w:t>i)</w:t>
      </w:r>
      <w:r w:rsidR="007C2635">
        <w:tab/>
        <w:t xml:space="preserve">Case No. 690/1105/P/24, involving PRM officers assigned to Police Station No. 17 – </w:t>
      </w:r>
      <w:proofErr w:type="spellStart"/>
      <w:r w:rsidR="007C2635">
        <w:t>Bagamoio</w:t>
      </w:r>
      <w:proofErr w:type="spellEnd"/>
    </w:p>
    <w:p w14:paraId="740F18FC" w14:textId="4B847209" w:rsidR="007C2635" w:rsidRDefault="00377FE8" w:rsidP="007C2635">
      <w:pPr>
        <w:pStyle w:val="SingleTxtG"/>
      </w:pPr>
      <w:r>
        <w:tab/>
        <w:t>(</w:t>
      </w:r>
      <w:r w:rsidR="007C2635">
        <w:t>j)</w:t>
      </w:r>
      <w:r w:rsidR="007C2635">
        <w:tab/>
        <w:t>Case No. 629/1105/P/24, involving unknown officers of the PRM 24th Police Station</w:t>
      </w:r>
    </w:p>
    <w:p w14:paraId="023E8412" w14:textId="2F2EE799" w:rsidR="007C2635" w:rsidRDefault="00377FE8" w:rsidP="007C2635">
      <w:pPr>
        <w:pStyle w:val="SingleTxtG"/>
      </w:pPr>
      <w:r>
        <w:tab/>
        <w:t>(</w:t>
      </w:r>
      <w:r w:rsidR="007C2635">
        <w:t>k)</w:t>
      </w:r>
      <w:r w:rsidR="007C2635">
        <w:tab/>
        <w:t xml:space="preserve">Case No. 1441-B/2024, concerning the deadly shooting of a citizen during a demonstration at </w:t>
      </w:r>
      <w:proofErr w:type="spellStart"/>
      <w:r w:rsidR="007C2635">
        <w:t>Praça</w:t>
      </w:r>
      <w:proofErr w:type="spellEnd"/>
      <w:r w:rsidR="007C2635">
        <w:t xml:space="preserve"> dos </w:t>
      </w:r>
      <w:proofErr w:type="spellStart"/>
      <w:r w:rsidR="007C2635">
        <w:t>Combatentes</w:t>
      </w:r>
      <w:proofErr w:type="spellEnd"/>
      <w:r w:rsidR="007C2635">
        <w:t xml:space="preserve"> (</w:t>
      </w:r>
      <w:proofErr w:type="spellStart"/>
      <w:r w:rsidR="007C2635">
        <w:t>Xiquelene</w:t>
      </w:r>
      <w:proofErr w:type="spellEnd"/>
      <w:r w:rsidR="007C2635">
        <w:t xml:space="preserve"> Market)</w:t>
      </w:r>
    </w:p>
    <w:p w14:paraId="335D5838" w14:textId="77777777" w:rsidR="007C2635" w:rsidRDefault="007C2635" w:rsidP="007C2635">
      <w:pPr>
        <w:pStyle w:val="SingleTxtG"/>
      </w:pPr>
      <w:r>
        <w:t>36.</w:t>
      </w:r>
      <w:r>
        <w:tab/>
        <w:t>There are also cases of abductions, torture and homicides committed by armed individuals for political or other reasons, as well as selective shooting in public by individuals transported in unidentified vehicles. These criminal acts continue to require the authority’s attention to ensure security, peace and social stability.</w:t>
      </w:r>
    </w:p>
    <w:p w14:paraId="5AEA111C" w14:textId="4C71A109" w:rsidR="007C2635" w:rsidRDefault="00377FE8" w:rsidP="00377FE8">
      <w:pPr>
        <w:pStyle w:val="H1G"/>
      </w:pPr>
      <w:r>
        <w:tab/>
      </w:r>
      <w:r>
        <w:tab/>
      </w:r>
      <w:r w:rsidR="007C2635">
        <w:t>Non-discrimination</w:t>
      </w:r>
      <w:r>
        <w:t xml:space="preserve"> </w:t>
      </w:r>
      <w:r w:rsidR="007C2635">
        <w:t>(article 2, 19, 20 and 26)</w:t>
      </w:r>
    </w:p>
    <w:p w14:paraId="609F339D" w14:textId="77777777" w:rsidR="007C2635" w:rsidRDefault="007C2635" w:rsidP="007C2635">
      <w:pPr>
        <w:pStyle w:val="SingleTxtG"/>
      </w:pPr>
      <w:r>
        <w:t>37.</w:t>
      </w:r>
      <w:r>
        <w:tab/>
        <w:t>The principle of non-discrimination is widely enshrined in the Constitution of the Republic of Mozambique, which guarantees the equality of all citizens before the law, prohibiting discrimination based, among other factors, on race, colour, gender, religion, sexual orientation, age or disability.</w:t>
      </w:r>
    </w:p>
    <w:p w14:paraId="545EBF1A" w14:textId="77777777" w:rsidR="007C2635" w:rsidRDefault="007C2635" w:rsidP="007C2635">
      <w:pPr>
        <w:pStyle w:val="SingleTxtG"/>
      </w:pPr>
      <w:r>
        <w:t>38.</w:t>
      </w:r>
      <w:r>
        <w:tab/>
        <w:t>This principle is reinforced by several national legislation, namely:</w:t>
      </w:r>
    </w:p>
    <w:p w14:paraId="51D6220F" w14:textId="121F5C83" w:rsidR="007C2635" w:rsidRDefault="00377FE8" w:rsidP="007C2635">
      <w:pPr>
        <w:pStyle w:val="SingleTxtG"/>
      </w:pPr>
      <w:r>
        <w:tab/>
        <w:t>(</w:t>
      </w:r>
      <w:r w:rsidR="007C2635">
        <w:t>a)</w:t>
      </w:r>
      <w:r w:rsidR="007C2635">
        <w:tab/>
        <w:t>Penal Code (Law No. 24/2019), article 191</w:t>
      </w:r>
    </w:p>
    <w:p w14:paraId="1EE57C95" w14:textId="49088E90" w:rsidR="007C2635" w:rsidRDefault="00377FE8" w:rsidP="007C2635">
      <w:pPr>
        <w:pStyle w:val="SingleTxtG"/>
      </w:pPr>
      <w:r>
        <w:tab/>
        <w:t>(</w:t>
      </w:r>
      <w:r w:rsidR="007C2635">
        <w:t>b)</w:t>
      </w:r>
      <w:r w:rsidR="007C2635">
        <w:tab/>
        <w:t>Inclusive Education and Development Strategy (2020–2029)</w:t>
      </w:r>
    </w:p>
    <w:p w14:paraId="64E91F84" w14:textId="2C370C32" w:rsidR="007C2635" w:rsidRDefault="00377FE8" w:rsidP="007C2635">
      <w:pPr>
        <w:pStyle w:val="SingleTxtG"/>
      </w:pPr>
      <w:r>
        <w:tab/>
        <w:t>(</w:t>
      </w:r>
      <w:r w:rsidR="007C2635">
        <w:t>c)</w:t>
      </w:r>
      <w:r w:rsidR="007C2635">
        <w:tab/>
        <w:t>Law No. 3/2014, 5 February, on the protection of the elderly</w:t>
      </w:r>
    </w:p>
    <w:p w14:paraId="5E6AFE6B" w14:textId="451401DB" w:rsidR="007C2635" w:rsidRDefault="00377FE8" w:rsidP="007C2635">
      <w:pPr>
        <w:pStyle w:val="SingleTxtG"/>
      </w:pPr>
      <w:r>
        <w:tab/>
        <w:t>(</w:t>
      </w:r>
      <w:r w:rsidR="007C2635">
        <w:t>d)</w:t>
      </w:r>
      <w:r w:rsidR="007C2635">
        <w:tab/>
        <w:t>National Policy for the Elderly</w:t>
      </w:r>
    </w:p>
    <w:p w14:paraId="49AF2530" w14:textId="01816E80" w:rsidR="007C2635" w:rsidRDefault="00377FE8" w:rsidP="007C2635">
      <w:pPr>
        <w:pStyle w:val="SingleTxtG"/>
      </w:pPr>
      <w:r>
        <w:tab/>
        <w:t>(</w:t>
      </w:r>
      <w:r w:rsidR="007C2635">
        <w:t>e)</w:t>
      </w:r>
      <w:r w:rsidR="007C2635">
        <w:tab/>
        <w:t xml:space="preserve">Creation of Reference Groups for Child Protection and Combating Human Trafficking </w:t>
      </w:r>
    </w:p>
    <w:p w14:paraId="5F3285DE" w14:textId="7EA69323" w:rsidR="007C2635" w:rsidRDefault="00377FE8" w:rsidP="007C2635">
      <w:pPr>
        <w:pStyle w:val="SingleTxtG"/>
      </w:pPr>
      <w:r>
        <w:tab/>
        <w:t>(</w:t>
      </w:r>
      <w:r w:rsidR="007C2635">
        <w:t>f)</w:t>
      </w:r>
      <w:r w:rsidR="007C2635">
        <w:tab/>
        <w:t>Labour Law (Law No. 13/2023)</w:t>
      </w:r>
    </w:p>
    <w:p w14:paraId="304670EA" w14:textId="3FF8A73D" w:rsidR="007C2635" w:rsidRDefault="00377FE8" w:rsidP="007C2635">
      <w:pPr>
        <w:pStyle w:val="SingleTxtG"/>
      </w:pPr>
      <w:r>
        <w:tab/>
        <w:t>(</w:t>
      </w:r>
      <w:r w:rsidR="007C2635">
        <w:t>g)</w:t>
      </w:r>
      <w:r w:rsidR="007C2635">
        <w:tab/>
        <w:t>Education Law (Law No. 18/2018)</w:t>
      </w:r>
    </w:p>
    <w:p w14:paraId="19667DA1" w14:textId="195038B0" w:rsidR="007C2635" w:rsidRDefault="00377FE8" w:rsidP="007C2635">
      <w:pPr>
        <w:pStyle w:val="SingleTxtG"/>
      </w:pPr>
      <w:r>
        <w:tab/>
        <w:t>(</w:t>
      </w:r>
      <w:r w:rsidR="007C2635">
        <w:t>h)</w:t>
      </w:r>
      <w:r w:rsidR="007C2635">
        <w:tab/>
        <w:t>Law No. 10/2024,7 June, on the Promotion and Protection of Persons with Disabilities</w:t>
      </w:r>
    </w:p>
    <w:p w14:paraId="0BEE3AF2" w14:textId="27D62346" w:rsidR="007C2635" w:rsidRDefault="00377FE8" w:rsidP="007C2635">
      <w:pPr>
        <w:pStyle w:val="SingleTxtG"/>
      </w:pPr>
      <w:r>
        <w:tab/>
        <w:t>(</w:t>
      </w:r>
      <w:r w:rsidR="007C2635">
        <w:t>i)</w:t>
      </w:r>
      <w:r w:rsidR="007C2635">
        <w:tab/>
        <w:t>National Council for Equality and Non-Discrimination</w:t>
      </w:r>
    </w:p>
    <w:p w14:paraId="4D5804E5" w14:textId="6429AD9C" w:rsidR="007C2635" w:rsidRDefault="00377FE8" w:rsidP="007C2635">
      <w:pPr>
        <w:pStyle w:val="SingleTxtG"/>
      </w:pPr>
      <w:r>
        <w:tab/>
        <w:t>(</w:t>
      </w:r>
      <w:r w:rsidR="007C2635">
        <w:t>j)</w:t>
      </w:r>
      <w:r w:rsidR="007C2635">
        <w:tab/>
        <w:t>National Program for the Promotion of Equality and Non-Discrimination</w:t>
      </w:r>
    </w:p>
    <w:p w14:paraId="2BFDEEF4" w14:textId="77777777" w:rsidR="007C2635" w:rsidRDefault="007C2635" w:rsidP="007C2635">
      <w:pPr>
        <w:pStyle w:val="SingleTxtG"/>
      </w:pPr>
      <w:r>
        <w:t>39.</w:t>
      </w:r>
      <w:r>
        <w:tab/>
        <w:t>In addition to legislative measures, actions to prevent and combat discrimination have been strengthened through the training of magistrates, investigators, labour inspectors, social workers, and immigration and customs officials, as well as through awareness-raising among communities and traditional, religious, and community leaders.</w:t>
      </w:r>
    </w:p>
    <w:p w14:paraId="61C8BB32" w14:textId="77777777" w:rsidR="007C2635" w:rsidRDefault="007C2635" w:rsidP="007C2635">
      <w:pPr>
        <w:pStyle w:val="SingleTxtG"/>
      </w:pPr>
      <w:r>
        <w:t>40.</w:t>
      </w:r>
      <w:r>
        <w:tab/>
      </w:r>
      <w:proofErr w:type="gramStart"/>
      <w:r>
        <w:t>With regard to</w:t>
      </w:r>
      <w:proofErr w:type="gramEnd"/>
      <w:r>
        <w:t xml:space="preserve"> people with albinism, a Multisectoral Action Plan (2023–2027) has been developed, pending approval, aimed at promoting their rights, combating stigma and discrimination, and strengthening the capacity of the organisations that represent them.</w:t>
      </w:r>
    </w:p>
    <w:p w14:paraId="792429BE" w14:textId="77777777" w:rsidR="007C2635" w:rsidRDefault="007C2635" w:rsidP="007C2635">
      <w:pPr>
        <w:pStyle w:val="SingleTxtG"/>
      </w:pPr>
      <w:r>
        <w:t>41.</w:t>
      </w:r>
      <w:r>
        <w:tab/>
        <w:t xml:space="preserve">As for the Public Prosecutor's Office, the number of cases related to discrimination against people with albinism varies. Two cases were filed in 2023, in Niassa and Zambezia province. </w:t>
      </w:r>
    </w:p>
    <w:p w14:paraId="04561065" w14:textId="77777777" w:rsidR="007C2635" w:rsidRDefault="007C2635" w:rsidP="007C2635">
      <w:pPr>
        <w:pStyle w:val="SingleTxtG"/>
      </w:pPr>
      <w:r>
        <w:lastRenderedPageBreak/>
        <w:t>42.</w:t>
      </w:r>
      <w:r>
        <w:tab/>
        <w:t>The reduction of cases in certain periods is associated with the reinforcement of preventive measures, specialized training and international judicial cooperation.</w:t>
      </w:r>
    </w:p>
    <w:p w14:paraId="7795CE72" w14:textId="77777777" w:rsidR="007C2635" w:rsidRDefault="007C2635" w:rsidP="007C2635">
      <w:pPr>
        <w:pStyle w:val="SingleTxtG"/>
      </w:pPr>
      <w:r>
        <w:t>43.</w:t>
      </w:r>
      <w:r>
        <w:tab/>
        <w:t>The Public Prosecutor's Office guarantees legal assistance to people with albinism at trial, ensuring procedural expedition.</w:t>
      </w:r>
    </w:p>
    <w:p w14:paraId="015BA6CC" w14:textId="08A39C52" w:rsidR="007C2635" w:rsidRDefault="00377FE8" w:rsidP="00377FE8">
      <w:pPr>
        <w:pStyle w:val="H1G"/>
      </w:pPr>
      <w:r>
        <w:tab/>
      </w:r>
      <w:r>
        <w:tab/>
      </w:r>
      <w:r w:rsidR="007C2635">
        <w:t>Violence against women and girls and harmful practices</w:t>
      </w:r>
      <w:r>
        <w:t xml:space="preserve"> </w:t>
      </w:r>
      <w:r w:rsidR="007C2635">
        <w:t>(article 2, 3, 6, 8 e 26)</w:t>
      </w:r>
    </w:p>
    <w:p w14:paraId="341A88A6" w14:textId="77777777" w:rsidR="007C2635" w:rsidRDefault="007C2635" w:rsidP="007C2635">
      <w:pPr>
        <w:pStyle w:val="SingleTxtG"/>
      </w:pPr>
      <w:r>
        <w:t>44.</w:t>
      </w:r>
      <w:r>
        <w:tab/>
        <w:t>Between 2020 and 2021, approximately 99,647 cases of gender-based violence were reported. The victims had access to healthcare. This figure represents 25% increase over the previous period, associated with the impact of the COVID-19 pandemic.</w:t>
      </w:r>
    </w:p>
    <w:p w14:paraId="0469D31E" w14:textId="77777777" w:rsidR="007C2635" w:rsidRDefault="007C2635" w:rsidP="007C2635">
      <w:pPr>
        <w:pStyle w:val="SingleTxtG"/>
      </w:pPr>
      <w:r>
        <w:t>45.</w:t>
      </w:r>
      <w:r>
        <w:tab/>
        <w:t>Mechanisms for reporting and supporting victims were strengthened, including the dissemination of information on rights and the existence of shelters.</w:t>
      </w:r>
    </w:p>
    <w:p w14:paraId="00AA2050" w14:textId="77777777" w:rsidR="007C2635" w:rsidRDefault="007C2635" w:rsidP="007C2635">
      <w:pPr>
        <w:pStyle w:val="SingleTxtG"/>
      </w:pPr>
      <w:r>
        <w:t>46.</w:t>
      </w:r>
      <w:r>
        <w:tab/>
        <w:t>The health sector has adopted several strategies, including training practitioners, remote care and dissemination of awareness materials.</w:t>
      </w:r>
    </w:p>
    <w:p w14:paraId="1BD71689" w14:textId="77777777" w:rsidR="007C2635" w:rsidRDefault="007C2635" w:rsidP="007C2635">
      <w:pPr>
        <w:pStyle w:val="SingleTxtG"/>
      </w:pPr>
      <w:r>
        <w:t>47.</w:t>
      </w:r>
      <w:r>
        <w:tab/>
        <w:t>The Public Prosecutor's Office has committed to strengthening its procedural intervention and prevention mechanisms, in coordination with various sectors of society.</w:t>
      </w:r>
    </w:p>
    <w:p w14:paraId="754F8FE6" w14:textId="77777777" w:rsidR="007C2635" w:rsidRDefault="007C2635" w:rsidP="007C2635">
      <w:pPr>
        <w:pStyle w:val="SingleTxtG"/>
      </w:pPr>
      <w:r>
        <w:t>48.</w:t>
      </w:r>
      <w:r>
        <w:tab/>
        <w:t>A multisectoral group involving state institutions and civil society organisations has been created with a view to prevention, referral and comprehensive assistance to victims.</w:t>
      </w:r>
    </w:p>
    <w:p w14:paraId="0CC25CDE" w14:textId="77777777" w:rsidR="007C2635" w:rsidRDefault="007C2635" w:rsidP="007C2635">
      <w:pPr>
        <w:pStyle w:val="SingleTxtG"/>
      </w:pPr>
      <w:r>
        <w:t>49.</w:t>
      </w:r>
      <w:r>
        <w:tab/>
        <w:t>In 2020, 2,018 cases were filed for crimes against sexual freedom, an increase of 9.5% over the previous year.</w:t>
      </w:r>
    </w:p>
    <w:p w14:paraId="75FAFBB2" w14:textId="77777777" w:rsidR="007C2635" w:rsidRDefault="007C2635" w:rsidP="007C2635">
      <w:pPr>
        <w:pStyle w:val="SingleTxtG"/>
      </w:pPr>
      <w:r>
        <w:t>50.</w:t>
      </w:r>
      <w:r>
        <w:tab/>
        <w:t>Of these, 678 criminal proceedings refer to the violation of children under 12 years old.</w:t>
      </w:r>
    </w:p>
    <w:p w14:paraId="3896DDBE" w14:textId="77777777" w:rsidR="007C2635" w:rsidRDefault="007C2635" w:rsidP="007C2635">
      <w:pPr>
        <w:pStyle w:val="SingleTxtG"/>
      </w:pPr>
      <w:r>
        <w:t>51.</w:t>
      </w:r>
      <w:r>
        <w:tab/>
        <w:t>In combating harmful practices, such as early marriages and others, joint prevention and enforcement actions have been developed.</w:t>
      </w:r>
    </w:p>
    <w:p w14:paraId="4A1C6B72" w14:textId="77777777" w:rsidR="007C2635" w:rsidRDefault="007C2635" w:rsidP="007C2635">
      <w:pPr>
        <w:pStyle w:val="SingleTxtG"/>
      </w:pPr>
      <w:r>
        <w:t>52.</w:t>
      </w:r>
      <w:r>
        <w:tab/>
        <w:t>The Public Prosecutor's Office carries out awareness-raising activities at bus terminals, border posts and in communities.</w:t>
      </w:r>
    </w:p>
    <w:p w14:paraId="6669292A" w14:textId="77777777" w:rsidR="007C2635" w:rsidRDefault="007C2635" w:rsidP="007C2635">
      <w:pPr>
        <w:pStyle w:val="SingleTxtG"/>
      </w:pPr>
      <w:r>
        <w:t>53.</w:t>
      </w:r>
      <w:r>
        <w:tab/>
        <w:t>Campaigns, training and community actions have been carried out to implement the Law on the Prevention of Early Marriage (Law No. 19/2019).</w:t>
      </w:r>
    </w:p>
    <w:p w14:paraId="6C8FA4C9" w14:textId="77777777" w:rsidR="007C2635" w:rsidRDefault="007C2635" w:rsidP="007C2635">
      <w:pPr>
        <w:pStyle w:val="SingleTxtG"/>
      </w:pPr>
      <w:r>
        <w:t>54.</w:t>
      </w:r>
      <w:r>
        <w:tab/>
        <w:t>These measures have strengthened institutional capacity and social awareness.</w:t>
      </w:r>
    </w:p>
    <w:p w14:paraId="01B48BCF" w14:textId="77777777" w:rsidR="007C2635" w:rsidRDefault="007C2635" w:rsidP="007C2635">
      <w:pPr>
        <w:pStyle w:val="SingleTxtG"/>
      </w:pPr>
      <w:r>
        <w:t>55.</w:t>
      </w:r>
      <w:r>
        <w:tab/>
        <w:t>There was an increase in complaints and greater protection for victims.</w:t>
      </w:r>
    </w:p>
    <w:p w14:paraId="4BE9EE58" w14:textId="77777777" w:rsidR="007C2635" w:rsidRDefault="007C2635" w:rsidP="007C2635">
      <w:pPr>
        <w:pStyle w:val="SingleTxtG"/>
      </w:pPr>
      <w:r>
        <w:t>56.</w:t>
      </w:r>
      <w:r>
        <w:tab/>
        <w:t>As for domestic violence, 7,680 cases were filed.</w:t>
      </w:r>
    </w:p>
    <w:p w14:paraId="31AC259F" w14:textId="77777777" w:rsidR="007C2635" w:rsidRDefault="007C2635" w:rsidP="007C2635">
      <w:pPr>
        <w:pStyle w:val="SingleTxtG"/>
      </w:pPr>
      <w:r>
        <w:t>57.</w:t>
      </w:r>
      <w:r>
        <w:tab/>
        <w:t>The highest incidence occurred in Maputo City and in Gaza and Inhambane Province.</w:t>
      </w:r>
    </w:p>
    <w:p w14:paraId="180CB4BF" w14:textId="77777777" w:rsidR="007C2635" w:rsidRDefault="007C2635" w:rsidP="007C2635">
      <w:pPr>
        <w:pStyle w:val="SingleTxtG"/>
      </w:pPr>
      <w:r>
        <w:t>58.</w:t>
      </w:r>
      <w:r>
        <w:tab/>
        <w:t>Most cases were dealt with in summary proceedings. Family Support Offices handled 14,607 cases.</w:t>
      </w:r>
    </w:p>
    <w:p w14:paraId="3A7EBC8F" w14:textId="77777777" w:rsidR="007C2635" w:rsidRDefault="007C2635" w:rsidP="007C2635">
      <w:pPr>
        <w:pStyle w:val="SingleTxtG"/>
      </w:pPr>
      <w:r>
        <w:t>59.</w:t>
      </w:r>
      <w:r>
        <w:tab/>
        <w:t>Risk factors included gender inequality, alcohol and drug abuse, and marital conflicts.</w:t>
      </w:r>
    </w:p>
    <w:p w14:paraId="4D1DB915" w14:textId="77777777" w:rsidR="007C2635" w:rsidRDefault="007C2635" w:rsidP="007C2635">
      <w:pPr>
        <w:pStyle w:val="SingleTxtG"/>
      </w:pPr>
      <w:r>
        <w:t>60.</w:t>
      </w:r>
      <w:r>
        <w:tab/>
        <w:t>The approval of the Law on the Prevention of Early Marriage strengthened the national legal framework.</w:t>
      </w:r>
    </w:p>
    <w:p w14:paraId="573A742B" w14:textId="77777777" w:rsidR="007C2635" w:rsidRDefault="007C2635" w:rsidP="007C2635">
      <w:pPr>
        <w:pStyle w:val="SingleTxtG"/>
      </w:pPr>
      <w:r>
        <w:t>61.</w:t>
      </w:r>
      <w:r>
        <w:tab/>
        <w:t>Investigations culminated, where applicable, in charges, trials, and convictions.</w:t>
      </w:r>
    </w:p>
    <w:p w14:paraId="7DC07F90" w14:textId="77777777" w:rsidR="007C2635" w:rsidRDefault="007C2635" w:rsidP="007C2635">
      <w:pPr>
        <w:pStyle w:val="SingleTxtG"/>
      </w:pPr>
      <w:r>
        <w:t>62.</w:t>
      </w:r>
      <w:r>
        <w:tab/>
        <w:t>Protection for victims and witnesses has also been strengthened through legal mechanisms and reporting green lines.</w:t>
      </w:r>
    </w:p>
    <w:p w14:paraId="337255FF" w14:textId="77777777" w:rsidR="007C2635" w:rsidRDefault="007C2635" w:rsidP="007C2635">
      <w:pPr>
        <w:pStyle w:val="SingleTxtG"/>
      </w:pPr>
      <w:r>
        <w:t>63.</w:t>
      </w:r>
      <w:r>
        <w:tab/>
        <w:t>The Ministry of Labour, Gender, Children and Social Action has developed awareness-raising and mitigation measures, benefiting thousands of girls.</w:t>
      </w:r>
    </w:p>
    <w:p w14:paraId="4539390B" w14:textId="77777777" w:rsidR="007C2635" w:rsidRDefault="007C2635" w:rsidP="007C2635">
      <w:pPr>
        <w:pStyle w:val="SingleTxtG"/>
      </w:pPr>
      <w:r>
        <w:t>64.</w:t>
      </w:r>
      <w:r>
        <w:tab/>
        <w:t>The Government works in coordination with humanitarian partners to respond to emergency situations.</w:t>
      </w:r>
    </w:p>
    <w:p w14:paraId="33C70483" w14:textId="77777777" w:rsidR="007C2635" w:rsidRDefault="007C2635" w:rsidP="007C2635">
      <w:pPr>
        <w:pStyle w:val="SingleTxtG"/>
      </w:pPr>
      <w:r>
        <w:t>65.</w:t>
      </w:r>
      <w:r>
        <w:tab/>
        <w:t>Sexual exploitation and abuse are prohibited by national law and UN policies, and the INGD Code of Conduct applies to all humanitarian actors.</w:t>
      </w:r>
    </w:p>
    <w:p w14:paraId="5A4AF628" w14:textId="77777777" w:rsidR="007C2635" w:rsidRDefault="007C2635" w:rsidP="007C2635">
      <w:pPr>
        <w:pStyle w:val="SingleTxtG"/>
      </w:pPr>
      <w:r>
        <w:lastRenderedPageBreak/>
        <w:t>66.</w:t>
      </w:r>
      <w:r>
        <w:tab/>
        <w:t>In December 2023, an interagency workshop was held in Pemba on preventing and responding to sexual exploitation and abuse.</w:t>
      </w:r>
    </w:p>
    <w:p w14:paraId="0526190C" w14:textId="77777777" w:rsidR="007C2635" w:rsidRDefault="007C2635" w:rsidP="007C2635">
      <w:pPr>
        <w:pStyle w:val="SingleTxtG"/>
      </w:pPr>
      <w:r>
        <w:t>67.</w:t>
      </w:r>
      <w:r>
        <w:tab/>
        <w:t>During emergency, dissemination of the Code of Conduct has been essential for the prevention, reporting and accountability of acts of sexual exploitation and abuse and the perpetrators were punished in accordance with current legislation.</w:t>
      </w:r>
    </w:p>
    <w:p w14:paraId="202F6DDF" w14:textId="5604ED48" w:rsidR="007C2635" w:rsidRDefault="00377FE8" w:rsidP="00377FE8">
      <w:pPr>
        <w:pStyle w:val="H1G"/>
      </w:pPr>
      <w:r>
        <w:tab/>
      </w:r>
      <w:r>
        <w:tab/>
      </w:r>
      <w:r w:rsidR="007C2635">
        <w:t>Right to life, prohibition of torture and cruel, inhuman or degrading treatment and excessive use of force</w:t>
      </w:r>
      <w:r>
        <w:t xml:space="preserve"> </w:t>
      </w:r>
      <w:r w:rsidR="007C2635">
        <w:t>(article 6 and 7):</w:t>
      </w:r>
    </w:p>
    <w:p w14:paraId="6FE19E61" w14:textId="77777777" w:rsidR="007C2635" w:rsidRDefault="007C2635" w:rsidP="007C2635">
      <w:pPr>
        <w:pStyle w:val="SingleTxtG"/>
      </w:pPr>
      <w:r>
        <w:t>68.</w:t>
      </w:r>
      <w:r>
        <w:tab/>
        <w:t>To ensure the protection of the civilians in areas affected by the armed conflict, the Government of Mozambique, through the Ministry of National Defence, has adopted, among others, the following measures:</w:t>
      </w:r>
    </w:p>
    <w:p w14:paraId="3D85ECD2" w14:textId="75FD46DB" w:rsidR="007C2635" w:rsidRDefault="00377FE8" w:rsidP="007C2635">
      <w:pPr>
        <w:pStyle w:val="SingleTxtG"/>
      </w:pPr>
      <w:r>
        <w:tab/>
        <w:t>(</w:t>
      </w:r>
      <w:r w:rsidR="007C2635">
        <w:t>a)</w:t>
      </w:r>
      <w:r w:rsidR="007C2635">
        <w:tab/>
        <w:t>evacuation of populations from conflict zones to safe areas (transitional zones)</w:t>
      </w:r>
    </w:p>
    <w:p w14:paraId="55DAF83F" w14:textId="2150B9BF" w:rsidR="007C2635" w:rsidRDefault="00377FE8" w:rsidP="007C2635">
      <w:pPr>
        <w:pStyle w:val="SingleTxtG"/>
      </w:pPr>
      <w:r>
        <w:tab/>
        <w:t>(</w:t>
      </w:r>
      <w:r w:rsidR="007C2635">
        <w:t>b)</w:t>
      </w:r>
      <w:r w:rsidR="007C2635">
        <w:tab/>
        <w:t>free communities from enemy control and actions and restoration of community normality</w:t>
      </w:r>
    </w:p>
    <w:p w14:paraId="4C727F6C" w14:textId="64DCC93D" w:rsidR="007C2635" w:rsidRDefault="00377FE8" w:rsidP="007C2635">
      <w:pPr>
        <w:pStyle w:val="SingleTxtG"/>
      </w:pPr>
      <w:r>
        <w:tab/>
        <w:t>(</w:t>
      </w:r>
      <w:r w:rsidR="007C2635">
        <w:t>c)</w:t>
      </w:r>
      <w:r w:rsidR="007C2635">
        <w:tab/>
        <w:t>resettlement of internally displaced persons resulting from conflict associated with terrorism.</w:t>
      </w:r>
    </w:p>
    <w:p w14:paraId="14A5CF0A" w14:textId="77777777" w:rsidR="007C2635" w:rsidRDefault="007C2635" w:rsidP="007C2635">
      <w:pPr>
        <w:pStyle w:val="SingleTxtG"/>
      </w:pPr>
      <w:r>
        <w:t>69.</w:t>
      </w:r>
      <w:r>
        <w:tab/>
        <w:t>With regard to complaining mechanisms, investigating and prosecuting alleged serious violations of international humanitarian law and human rights, including arbitrary detention without judicial oversight, unlawful killings, acts of torture or other ill-treatment, enforced disappearances and extrajudicial, summary or arbitrary executions, committed by both insurgents and members of the security forces, it is important to note that Article 40 of the Constitution of the Republic of Mozambique (CRM) establishes that summary or arbitrary executions committed by both insurgents and members of the security forces, it should be noted that Article 40 of the Constitution of the Republic of Mozambique (CRM) enshrines the right to life and physical and moral integrity, as well as the prohibition of torture, cruel, inhuman or degrading treatment and the death penalty.</w:t>
      </w:r>
    </w:p>
    <w:p w14:paraId="1E51F4E1" w14:textId="77777777" w:rsidR="007C2635" w:rsidRDefault="007C2635" w:rsidP="007C2635">
      <w:pPr>
        <w:pStyle w:val="SingleTxtG"/>
      </w:pPr>
      <w:r>
        <w:t>70.</w:t>
      </w:r>
      <w:r>
        <w:tab/>
        <w:t>Under Article 59(1) and (2) of the CRM, every citizen has the right to security and safety and may not be arrested or tried except in accordance with the law. Those held in pre-trial detention are presumed innocent until a final decision is reached.</w:t>
      </w:r>
    </w:p>
    <w:p w14:paraId="492C0C5E" w14:textId="77777777" w:rsidR="007C2635" w:rsidRDefault="007C2635" w:rsidP="007C2635">
      <w:pPr>
        <w:pStyle w:val="SingleTxtG"/>
      </w:pPr>
      <w:r>
        <w:t>71.</w:t>
      </w:r>
      <w:r>
        <w:tab/>
        <w:t>Under Article 65(3) of the CRM, any evidence obtained through torture, coercion, physical or moral harm to a person, or abusive interference in private and family life, home, correspondence or telecommunications shall be null and void.</w:t>
      </w:r>
    </w:p>
    <w:p w14:paraId="5F3D6236" w14:textId="77777777" w:rsidR="007C2635" w:rsidRDefault="007C2635" w:rsidP="007C2635">
      <w:pPr>
        <w:pStyle w:val="SingleTxtG"/>
      </w:pPr>
      <w:r>
        <w:t>72.</w:t>
      </w:r>
      <w:r>
        <w:tab/>
        <w:t>As a result of these constitutional provisions, the Public Prosecutor's Office is responsible for representing the State in court, defending the interests established by law, monitoring the legality of detentions and their respective time limits, directing the preliminary investigation and bringing criminal proceedings in accordance with Article 235 of the CRM.</w:t>
      </w:r>
    </w:p>
    <w:p w14:paraId="45EBE394" w14:textId="77777777" w:rsidR="007C2635" w:rsidRDefault="007C2635" w:rsidP="007C2635">
      <w:pPr>
        <w:pStyle w:val="SingleTxtG"/>
      </w:pPr>
      <w:r>
        <w:t>73.</w:t>
      </w:r>
      <w:r>
        <w:tab/>
        <w:t>In accordance with the provisions of Article 52 of the Penal Procedure Code (CPP), public criminal proceedings fall under the responsibility of the Public Prosecutor's Office, which shall act in accordance with the criteria of legality, objectivity, impartiality and exclusive subjection to the directives and orders established in the Constitution, Article 53 of the CPP, Law No. 1/2022, 12 January, international conventions and other applicable legislation</w:t>
      </w:r>
    </w:p>
    <w:p w14:paraId="13FBAEC0" w14:textId="77777777" w:rsidR="007C2635" w:rsidRDefault="007C2635" w:rsidP="007C2635">
      <w:pPr>
        <w:pStyle w:val="SingleTxtG"/>
      </w:pPr>
      <w:r>
        <w:t>74.</w:t>
      </w:r>
      <w:r>
        <w:tab/>
        <w:t>In carrying out its duties, the Public Prosecutor's Office is assisted by the National Criminal Investigation Service (SERNIC) and the Police of the Republic of Mozambique (PRM), which are responsible, in particular, for gathering information on crimes, preventing their consequences, identifying the perpetrators, securing evidence and assisting the judicial authorities, in accordance with Articles 61 and 64 of the CPP.</w:t>
      </w:r>
    </w:p>
    <w:p w14:paraId="74EBA1B2" w14:textId="77777777" w:rsidR="007C2635" w:rsidRDefault="007C2635" w:rsidP="007C2635">
      <w:pPr>
        <w:pStyle w:val="SingleTxtG"/>
      </w:pPr>
      <w:r>
        <w:t>75.</w:t>
      </w:r>
      <w:r>
        <w:tab/>
        <w:t>In turn, the courts have the mission of guaranteeing and reinforcing legality as a factor of legal stability, ensuring respect for the law and guaranteeing the fundamental rights, freedoms and guarantees of citizens, in accordance with Articles 56 and 211(1) of the CRM.</w:t>
      </w:r>
    </w:p>
    <w:p w14:paraId="3A2F872A" w14:textId="77777777" w:rsidR="007C2635" w:rsidRDefault="007C2635" w:rsidP="007C2635">
      <w:pPr>
        <w:pStyle w:val="SingleTxtG"/>
      </w:pPr>
      <w:r>
        <w:lastRenderedPageBreak/>
        <w:t>76.</w:t>
      </w:r>
      <w:r>
        <w:tab/>
        <w:t>The CRM and CPP guarantee the defendant the right to a fair hearing and the broadest right to defence. The trial is the final stage in the exercise of these rights, allowing the Public Prosecutor's Office to uphold the charges or seek acquittal, and the defence counsel — a Legal Aid Institute Lawyer or Technician — to present evidence in defence of the defendant, in accordance with Articles 62, 63 and 65 of the CRM.</w:t>
      </w:r>
    </w:p>
    <w:p w14:paraId="44124833" w14:textId="77777777" w:rsidR="007C2635" w:rsidRDefault="007C2635" w:rsidP="007C2635">
      <w:pPr>
        <w:pStyle w:val="SingleTxtG"/>
      </w:pPr>
      <w:r>
        <w:t>77.</w:t>
      </w:r>
      <w:r>
        <w:tab/>
        <w:t>In summary, the Court finds out that there is no evidence of extra-judicial, summary or arbitrary executions as an institutionalised practice. Should such acts occur, they are clearly unconstitutional and illegal, and their perpetrators will be held criminally, civilly and disciplinary accountable.</w:t>
      </w:r>
    </w:p>
    <w:p w14:paraId="0C689CDB" w14:textId="77777777" w:rsidR="007C2635" w:rsidRDefault="007C2635" w:rsidP="007C2635">
      <w:pPr>
        <w:pStyle w:val="SingleTxtG"/>
      </w:pPr>
      <w:r>
        <w:t>78.</w:t>
      </w:r>
      <w:r>
        <w:tab/>
        <w:t xml:space="preserve">During the period under review, no cases of serious violations of international humanitarian law were reported. However, one case of alleged human rights violations by members of the Defence and Security Forces assigned to protect Total's facilities in </w:t>
      </w:r>
      <w:proofErr w:type="spellStart"/>
      <w:r>
        <w:t>Afungi</w:t>
      </w:r>
      <w:proofErr w:type="spellEnd"/>
      <w:r>
        <w:t>, Palma district, was reported in 2021. Subsequently, criminal proceeding No. 1/02/P/2025, January 2, was filed against unknown persons, pending before the Provincial Prosecutor's Office of the Republic of Cabo Delgado.</w:t>
      </w:r>
    </w:p>
    <w:p w14:paraId="18060A91" w14:textId="77777777" w:rsidR="007C2635" w:rsidRDefault="007C2635" w:rsidP="007C2635">
      <w:pPr>
        <w:pStyle w:val="SingleTxtG"/>
      </w:pPr>
      <w:r>
        <w:t>79.</w:t>
      </w:r>
      <w:r>
        <w:tab/>
        <w:t>Regarding forced disappearances, there was a case involving journalist Arlindo Chissale, presumably held in the district of Chiúre, between January 7 and 8, 2025. Criminal proceeding No. 9/02/P/2025 was filed against unknown persons, currently under investigation at the Provincial Prosecutor's Office of the Republic of Cabo Delgado.</w:t>
      </w:r>
    </w:p>
    <w:p w14:paraId="5DA91B93" w14:textId="77777777" w:rsidR="007C2635" w:rsidRDefault="007C2635" w:rsidP="007C2635">
      <w:pPr>
        <w:pStyle w:val="SingleTxtG"/>
      </w:pPr>
      <w:r>
        <w:t>80.</w:t>
      </w:r>
      <w:r>
        <w:tab/>
        <w:t>As for the acts perpetrated by armed groups, it should be noted that Mozambique faces acts of terrorism, characterised by barbaric murders, sexual violence, human trafficking and organ trafficking, affecting mainly women and minors.</w:t>
      </w:r>
    </w:p>
    <w:p w14:paraId="30C253CF" w14:textId="77777777" w:rsidR="007C2635" w:rsidRDefault="007C2635" w:rsidP="007C2635">
      <w:pPr>
        <w:pStyle w:val="SingleTxtG"/>
      </w:pPr>
      <w:r>
        <w:t>81.</w:t>
      </w:r>
      <w:r>
        <w:tab/>
      </w:r>
      <w:proofErr w:type="gramStart"/>
      <w:r>
        <w:t>With regard to</w:t>
      </w:r>
      <w:proofErr w:type="gramEnd"/>
      <w:r>
        <w:t xml:space="preserve"> allegations of torture or ill-treatment by state officials, the CRM reaffirms, in Article 40, the right to life, physical and moral integrity and the absolute prohibition of torture and cruel or inhuman treatment.</w:t>
      </w:r>
    </w:p>
    <w:p w14:paraId="2A160BE2" w14:textId="77777777" w:rsidR="007C2635" w:rsidRDefault="007C2635" w:rsidP="007C2635">
      <w:pPr>
        <w:pStyle w:val="SingleTxtG"/>
      </w:pPr>
      <w:r>
        <w:t>82.</w:t>
      </w:r>
      <w:r>
        <w:tab/>
        <w:t>The Penal Code, approved by Law No. 24/2019, 24 December, classifies as crimes acts that threaten life, physical integrity and torture, in Articles 159 et seq., 171 et seq. and Article 194.</w:t>
      </w:r>
    </w:p>
    <w:p w14:paraId="707EF032" w14:textId="77777777" w:rsidR="007C2635" w:rsidRDefault="007C2635" w:rsidP="007C2635">
      <w:pPr>
        <w:pStyle w:val="SingleTxtG"/>
      </w:pPr>
      <w:r>
        <w:t>83.</w:t>
      </w:r>
      <w:r>
        <w:tab/>
        <w:t>Among the measures adopted to prevent and combat torture and ill-treatment, the following stand out: training courses and lectures for judges, public prosecutors, members of the Defence and Security Forces and SERNIC, radio debates, the creation of hotlines and the Prosecutor's Hotline for community complaints, as well as filling criminal proceedings.</w:t>
      </w:r>
    </w:p>
    <w:p w14:paraId="13FEE1CC" w14:textId="77777777" w:rsidR="007C2635" w:rsidRDefault="007C2635" w:rsidP="007C2635">
      <w:pPr>
        <w:pStyle w:val="SingleTxtG"/>
      </w:pPr>
      <w:r>
        <w:t>84.</w:t>
      </w:r>
      <w:r>
        <w:tab/>
        <w:t>Prevention and combat mechanisms include, but are not limited to:</w:t>
      </w:r>
    </w:p>
    <w:p w14:paraId="342906B5" w14:textId="600C76B2" w:rsidR="007C2635" w:rsidRDefault="00377FE8" w:rsidP="007C2635">
      <w:pPr>
        <w:pStyle w:val="SingleTxtG"/>
      </w:pPr>
      <w:r>
        <w:tab/>
        <w:t>(</w:t>
      </w:r>
      <w:r w:rsidR="007C2635">
        <w:t>a)</w:t>
      </w:r>
      <w:r w:rsidR="007C2635">
        <w:tab/>
        <w:t>Disclosure of the applicable legislation to the police and other entities</w:t>
      </w:r>
    </w:p>
    <w:p w14:paraId="24F31F0E" w14:textId="7D99D6C8" w:rsidR="007C2635" w:rsidRDefault="00377FE8" w:rsidP="007C2635">
      <w:pPr>
        <w:pStyle w:val="SingleTxtG"/>
      </w:pPr>
      <w:r>
        <w:tab/>
        <w:t>(</w:t>
      </w:r>
      <w:r w:rsidR="007C2635">
        <w:t>b)</w:t>
      </w:r>
      <w:r w:rsidR="007C2635">
        <w:tab/>
        <w:t>Awareness raising about the legal assumptions of pre-trial detention and respect for human dignity</w:t>
      </w:r>
    </w:p>
    <w:p w14:paraId="1DFB12A3" w14:textId="34A61027" w:rsidR="007C2635" w:rsidRDefault="00377FE8" w:rsidP="007C2635">
      <w:pPr>
        <w:pStyle w:val="SingleTxtG"/>
      </w:pPr>
      <w:r>
        <w:tab/>
        <w:t>(</w:t>
      </w:r>
      <w:r w:rsidR="007C2635">
        <w:t>c)</w:t>
      </w:r>
      <w:r w:rsidR="007C2635">
        <w:tab/>
        <w:t>Oversight of the actions of the police and criminal investigators</w:t>
      </w:r>
    </w:p>
    <w:p w14:paraId="4406B3AF" w14:textId="13A22480" w:rsidR="007C2635" w:rsidRDefault="00377FE8" w:rsidP="007C2635">
      <w:pPr>
        <w:pStyle w:val="SingleTxtG"/>
      </w:pPr>
      <w:r>
        <w:tab/>
        <w:t>(</w:t>
      </w:r>
      <w:r w:rsidR="007C2635">
        <w:t>d)</w:t>
      </w:r>
      <w:r w:rsidR="007C2635">
        <w:tab/>
        <w:t>Oversight of prison conditions</w:t>
      </w:r>
    </w:p>
    <w:p w14:paraId="50280A74" w14:textId="2F9E807F" w:rsidR="007C2635" w:rsidRDefault="00377FE8" w:rsidP="007C2635">
      <w:pPr>
        <w:pStyle w:val="SingleTxtG"/>
      </w:pPr>
      <w:r>
        <w:tab/>
        <w:t>(</w:t>
      </w:r>
      <w:r w:rsidR="007C2635">
        <w:t>e)</w:t>
      </w:r>
      <w:r w:rsidR="007C2635">
        <w:tab/>
        <w:t>Visits to hosting centres</w:t>
      </w:r>
    </w:p>
    <w:p w14:paraId="2B25E1BA" w14:textId="18C0A9C3" w:rsidR="007C2635" w:rsidRDefault="00377FE8" w:rsidP="007C2635">
      <w:pPr>
        <w:pStyle w:val="SingleTxtG"/>
      </w:pPr>
      <w:r>
        <w:tab/>
        <w:t>(</w:t>
      </w:r>
      <w:r w:rsidR="007C2635">
        <w:t>f)</w:t>
      </w:r>
      <w:r w:rsidR="007C2635">
        <w:tab/>
        <w:t>Regular meetings with local authorities and communities</w:t>
      </w:r>
    </w:p>
    <w:p w14:paraId="67517163" w14:textId="7878FEA9" w:rsidR="007C2635" w:rsidRDefault="00377FE8" w:rsidP="007C2635">
      <w:pPr>
        <w:pStyle w:val="SingleTxtG"/>
      </w:pPr>
      <w:r>
        <w:tab/>
        <w:t>(</w:t>
      </w:r>
      <w:r w:rsidR="007C2635">
        <w:t>g)</w:t>
      </w:r>
      <w:r w:rsidR="007C2635">
        <w:tab/>
        <w:t>Strict monitoring of legal deadlines for bringing defendants before a judge</w:t>
      </w:r>
    </w:p>
    <w:p w14:paraId="3A77D47B" w14:textId="1257F1D1" w:rsidR="007C2635" w:rsidRDefault="00377FE8" w:rsidP="007C2635">
      <w:pPr>
        <w:pStyle w:val="SingleTxtG"/>
      </w:pPr>
      <w:r>
        <w:tab/>
        <w:t>(</w:t>
      </w:r>
      <w:r w:rsidR="007C2635">
        <w:t>h)</w:t>
      </w:r>
      <w:r w:rsidR="007C2635">
        <w:tab/>
        <w:t>Calls against illegal detentions and promotion of ethical and professional values</w:t>
      </w:r>
    </w:p>
    <w:p w14:paraId="26D89611" w14:textId="77777777" w:rsidR="007C2635" w:rsidRDefault="007C2635" w:rsidP="007C2635">
      <w:pPr>
        <w:pStyle w:val="SingleTxtG"/>
      </w:pPr>
      <w:r>
        <w:t>85.</w:t>
      </w:r>
      <w:r>
        <w:tab/>
        <w:t>Current legislation establishes mechanisms for reporting and appealing violations of rights, including complaints to police stations, prosecutors' offices, SERNIC, anonymous reports, the press, social media and various helplines.</w:t>
      </w:r>
    </w:p>
    <w:p w14:paraId="5E01DBB2" w14:textId="77777777" w:rsidR="007C2635" w:rsidRDefault="007C2635" w:rsidP="007C2635">
      <w:pPr>
        <w:pStyle w:val="SingleTxtG"/>
      </w:pPr>
      <w:r>
        <w:t>86.</w:t>
      </w:r>
      <w:r>
        <w:tab/>
        <w:t>During the period under review, 180 cases relating to acts of torture and ill-treatment were filed, of which 128 were referred to the courts for trial. In the trial cases, the defendants were convicted and the Public Prosecutor's Office requested compensation for the moral damages caused to the victims, with compensation set by the court.</w:t>
      </w:r>
    </w:p>
    <w:p w14:paraId="578F092C" w14:textId="2348F7E7" w:rsidR="007C2635" w:rsidRDefault="00377FE8" w:rsidP="00377FE8">
      <w:pPr>
        <w:pStyle w:val="H1G"/>
      </w:pPr>
      <w:r>
        <w:lastRenderedPageBreak/>
        <w:tab/>
      </w:r>
      <w:r>
        <w:tab/>
      </w:r>
      <w:r w:rsidR="007C2635">
        <w:t>Right to liberty and security of person and treatment of persons deprived of liberty</w:t>
      </w:r>
      <w:r>
        <w:t xml:space="preserve"> </w:t>
      </w:r>
      <w:r w:rsidR="007C2635">
        <w:t>(article 6, 7, 9 and 10 of the ICCPR)</w:t>
      </w:r>
    </w:p>
    <w:p w14:paraId="62F2D9F6" w14:textId="77777777" w:rsidR="007C2635" w:rsidRDefault="007C2635" w:rsidP="007C2635">
      <w:pPr>
        <w:pStyle w:val="SingleTxtG"/>
      </w:pPr>
      <w:r>
        <w:t>87.</w:t>
      </w:r>
      <w:r>
        <w:tab/>
        <w:t>Following the entry into force of the Penal Code approved by Law No. 35/2014, 31 December, the courts began to apply alternative penalties to imprisonment, provided that the legal requirements were met, and the terms of preventive detention were also observed in approximately 90% of cases.</w:t>
      </w:r>
    </w:p>
    <w:p w14:paraId="42F57379" w14:textId="77777777" w:rsidR="007C2635" w:rsidRDefault="007C2635" w:rsidP="007C2635">
      <w:pPr>
        <w:pStyle w:val="SingleTxtG"/>
      </w:pPr>
      <w:r>
        <w:t>88.</w:t>
      </w:r>
      <w:r>
        <w:tab/>
        <w:t>Subsequently, the new Penal Code (Law No. 24/2019), the Criminal Procedure Code (Law No. 25/2019) and the Sentencing Code (Law No. 26/2019) were approved, consolidating the alternative sentencing regime.</w:t>
      </w:r>
    </w:p>
    <w:p w14:paraId="23B1A4C4" w14:textId="77777777" w:rsidR="007C2635" w:rsidRDefault="007C2635" w:rsidP="007C2635">
      <w:pPr>
        <w:pStyle w:val="SingleTxtG"/>
      </w:pPr>
      <w:r>
        <w:t>89.</w:t>
      </w:r>
      <w:r>
        <w:tab/>
        <w:t>To control the length of pre-trial detention, the Attorney General's Office issued Instruction No. 02/GAB-PGR/001/2022, 21 July on the management of prison overcrowding.</w:t>
      </w:r>
    </w:p>
    <w:p w14:paraId="45327EA3" w14:textId="77777777" w:rsidR="007C2635" w:rsidRDefault="007C2635" w:rsidP="007C2635">
      <w:pPr>
        <w:pStyle w:val="SingleTxtG"/>
      </w:pPr>
      <w:r>
        <w:t>90.</w:t>
      </w:r>
      <w:r>
        <w:tab/>
        <w:t>The application of alternative sentences to prison, the monitoring of detentions and regular visits to prisons, as well as the granting of parole under the terms of the law, have been promoted.</w:t>
      </w:r>
    </w:p>
    <w:p w14:paraId="1B78BEA9" w14:textId="77777777" w:rsidR="007C2635" w:rsidRDefault="007C2635" w:rsidP="007C2635">
      <w:pPr>
        <w:pStyle w:val="SingleTxtG"/>
      </w:pPr>
      <w:r>
        <w:t>91.</w:t>
      </w:r>
      <w:r>
        <w:tab/>
        <w:t>Despite the introduction of alternative sentences to prison, their application has still been limited, not reaching sufficient levels to significantly reduce prison overcrowding.</w:t>
      </w:r>
    </w:p>
    <w:p w14:paraId="16DE42B3" w14:textId="77777777" w:rsidR="007C2635" w:rsidRDefault="007C2635" w:rsidP="007C2635">
      <w:pPr>
        <w:pStyle w:val="SingleTxtG"/>
      </w:pPr>
      <w:r>
        <w:t>92.</w:t>
      </w:r>
      <w:r>
        <w:tab/>
        <w:t>Pre-trial detention periods are generally respected, although there have been some cases of delays, but tending to reduce.</w:t>
      </w:r>
    </w:p>
    <w:p w14:paraId="23C90D6E" w14:textId="77777777" w:rsidR="007C2635" w:rsidRDefault="007C2635" w:rsidP="007C2635">
      <w:pPr>
        <w:pStyle w:val="SingleTxtG"/>
      </w:pPr>
      <w:r>
        <w:t>93.</w:t>
      </w:r>
      <w:r>
        <w:tab/>
        <w:t>The prison system has a capacity of 8,873 inmates and currently hosts 19,346 ones.13,600 have been convicted and 5,746 are on remand.</w:t>
      </w:r>
    </w:p>
    <w:p w14:paraId="08B20DFC" w14:textId="77777777" w:rsidR="007C2635" w:rsidRDefault="007C2635" w:rsidP="007C2635">
      <w:pPr>
        <w:pStyle w:val="SingleTxtG"/>
      </w:pPr>
      <w:r>
        <w:t>94.</w:t>
      </w:r>
      <w:r>
        <w:tab/>
        <w:t>To address overcrowding and improve material conditions, several measures have been adopted, including speeding up proceedings, improving medical, food and hygiene assistance, educational and professional activities, social reintegration programmes and regular monitoring of detention conditions.</w:t>
      </w:r>
    </w:p>
    <w:p w14:paraId="773B07C7" w14:textId="77777777" w:rsidR="007C2635" w:rsidRDefault="007C2635" w:rsidP="007C2635">
      <w:pPr>
        <w:pStyle w:val="SingleTxtG"/>
      </w:pPr>
      <w:r>
        <w:t>95.</w:t>
      </w:r>
      <w:r>
        <w:tab/>
        <w:t>Overcrowding remains a persistent challenge, and efforts are being made to build and refurbish prisons and improve logistical conditions.</w:t>
      </w:r>
    </w:p>
    <w:p w14:paraId="3B9D8E14" w14:textId="77777777" w:rsidR="007C2635" w:rsidRDefault="007C2635" w:rsidP="007C2635">
      <w:pPr>
        <w:pStyle w:val="SingleTxtG"/>
      </w:pPr>
      <w:r>
        <w:t>96.</w:t>
      </w:r>
      <w:r>
        <w:tab/>
        <w:t>Additional measures include parole, alternative sentences, pardons, amnesties, modification of sentences on grounds of health or age, and the future use of ankle monitor.</w:t>
      </w:r>
    </w:p>
    <w:p w14:paraId="266070FB" w14:textId="77777777" w:rsidR="007C2635" w:rsidRDefault="007C2635" w:rsidP="007C2635">
      <w:pPr>
        <w:pStyle w:val="SingleTxtG"/>
      </w:pPr>
      <w:r>
        <w:t>SERNAP has cooperated with the National Human Rights Commission, allowing unannounced visits to prisons.</w:t>
      </w:r>
    </w:p>
    <w:p w14:paraId="5A980F57" w14:textId="77777777" w:rsidR="007C2635" w:rsidRDefault="007C2635" w:rsidP="007C2635">
      <w:pPr>
        <w:pStyle w:val="SingleTxtG"/>
      </w:pPr>
      <w:r>
        <w:t>97.</w:t>
      </w:r>
      <w:r>
        <w:tab/>
        <w:t>SERNAP has cooperated with the National Human Rights Commission, allowing unannounced visits to prisons.</w:t>
      </w:r>
    </w:p>
    <w:p w14:paraId="6057E8F7" w14:textId="77777777" w:rsidR="007C2635" w:rsidRDefault="007C2635" w:rsidP="007C2635">
      <w:pPr>
        <w:pStyle w:val="SingleTxtG"/>
      </w:pPr>
      <w:r>
        <w:t>98.</w:t>
      </w:r>
      <w:r>
        <w:tab/>
        <w:t>The Public Prosecutor's Office makes visits to prisons, either every six months or whenever necessary.</w:t>
      </w:r>
    </w:p>
    <w:p w14:paraId="079195BF" w14:textId="77777777" w:rsidR="007C2635" w:rsidRDefault="007C2635" w:rsidP="007C2635">
      <w:pPr>
        <w:pStyle w:val="SingleTxtG"/>
      </w:pPr>
      <w:r>
        <w:t>99.</w:t>
      </w:r>
      <w:r>
        <w:tab/>
        <w:t xml:space="preserve">Between 2019 and 2024, there were 762 deaths of inmates in SERNAP custody, from various causes. In 2024, following a riot and mass escape of 1,534 inmates, control operations resulted in the deadly shooting of 37 inmates in the </w:t>
      </w:r>
      <w:proofErr w:type="spellStart"/>
      <w:r>
        <w:t>Machava</w:t>
      </w:r>
      <w:proofErr w:type="spellEnd"/>
      <w:r>
        <w:t xml:space="preserve"> and Maputo prisons.</w:t>
      </w:r>
    </w:p>
    <w:p w14:paraId="34E4DD5A" w14:textId="77777777" w:rsidR="007C2635" w:rsidRDefault="007C2635" w:rsidP="007C2635">
      <w:pPr>
        <w:pStyle w:val="SingleTxtG"/>
      </w:pPr>
      <w:r>
        <w:t>100.</w:t>
      </w:r>
      <w:r>
        <w:tab/>
        <w:t>To protect women deprived of their liberty, training programmes for guards are promoted, along with dissemination of information on the rights of female inmates, internal surveillance and individualised hearings.</w:t>
      </w:r>
    </w:p>
    <w:p w14:paraId="3CB32F11" w14:textId="77777777" w:rsidR="007C2635" w:rsidRDefault="007C2635" w:rsidP="007C2635">
      <w:pPr>
        <w:pStyle w:val="SingleTxtG"/>
      </w:pPr>
      <w:r>
        <w:t>101.</w:t>
      </w:r>
      <w:r>
        <w:tab/>
        <w:t xml:space="preserve">As for the allegations of sexual exploitation at the </w:t>
      </w:r>
      <w:proofErr w:type="spellStart"/>
      <w:r>
        <w:t>Ndlavela</w:t>
      </w:r>
      <w:proofErr w:type="spellEnd"/>
      <w:r>
        <w:t xml:space="preserve"> </w:t>
      </w:r>
      <w:proofErr w:type="spellStart"/>
      <w:r>
        <w:t>Wowen</w:t>
      </w:r>
      <w:proofErr w:type="spellEnd"/>
      <w:r>
        <w:t xml:space="preserve"> Special Detention Facility in Maputo, the Public Prosecutor's Office investigation was closed due to lack of evidence.</w:t>
      </w:r>
    </w:p>
    <w:p w14:paraId="390D4414" w14:textId="77777777" w:rsidR="007C2635" w:rsidRDefault="007C2635" w:rsidP="007C2635">
      <w:pPr>
        <w:pStyle w:val="SingleTxtG"/>
      </w:pPr>
      <w:r>
        <w:t>102.</w:t>
      </w:r>
      <w:r>
        <w:tab/>
        <w:t>During COVID-19, restrictive measures were adopted emanating from the Presidential Decree No. 11/2020, ratified by Law No. 1/2020, which resulted in an increase in the prison population.</w:t>
      </w:r>
    </w:p>
    <w:p w14:paraId="1BCCA050" w14:textId="77777777" w:rsidR="007C2635" w:rsidRDefault="007C2635" w:rsidP="007C2635">
      <w:pPr>
        <w:pStyle w:val="SingleTxtG"/>
      </w:pPr>
      <w:r>
        <w:t>103.</w:t>
      </w:r>
      <w:r>
        <w:tab/>
        <w:t>To mitigate the effects of the pandemic, Law No. 2/2020, 6 April was passed, granting amnesty and presidential pardon.</w:t>
      </w:r>
    </w:p>
    <w:p w14:paraId="63E345B7" w14:textId="77777777" w:rsidR="007C2635" w:rsidRDefault="007C2635" w:rsidP="007C2635">
      <w:pPr>
        <w:pStyle w:val="SingleTxtG"/>
      </w:pPr>
      <w:r>
        <w:lastRenderedPageBreak/>
        <w:t>104.</w:t>
      </w:r>
      <w:r>
        <w:tab/>
        <w:t>SERNAP implemented preventive measures, including suspension of visits, quarantine, distribution of hygiene kits, vaccination and epidemiological screening, and no outbreaks were reported in the prison system.</w:t>
      </w:r>
    </w:p>
    <w:p w14:paraId="29018E1D" w14:textId="77777777" w:rsidR="007C2635" w:rsidRDefault="007C2635" w:rsidP="007C2635">
      <w:pPr>
        <w:pStyle w:val="SingleTxtG"/>
      </w:pPr>
      <w:r>
        <w:t>105.</w:t>
      </w:r>
      <w:r>
        <w:tab/>
      </w:r>
      <w:proofErr w:type="gramStart"/>
      <w:r>
        <w:t>With regard to</w:t>
      </w:r>
      <w:proofErr w:type="gramEnd"/>
      <w:r>
        <w:t xml:space="preserve"> alleged disproportionate punishment during COVID-19, proceedings were filed for crimes such as disobedience, speculation and hoarding.</w:t>
      </w:r>
    </w:p>
    <w:p w14:paraId="44CCBF77" w14:textId="77777777" w:rsidR="007C2635" w:rsidRDefault="007C2635" w:rsidP="007C2635">
      <w:pPr>
        <w:pStyle w:val="SingleTxtG"/>
      </w:pPr>
      <w:r>
        <w:t>106.</w:t>
      </w:r>
      <w:r>
        <w:tab/>
        <w:t>In total, 2,896 cases of disobedience were filed, with trials resulting in convictions, acquittals and various penalties. There were also isolated cases of excessive force by some law enforcement officers, who were subject to disciplinary and criminal proceedings.</w:t>
      </w:r>
    </w:p>
    <w:p w14:paraId="41B85F98" w14:textId="084DA45F" w:rsidR="007C2635" w:rsidRDefault="00377FE8" w:rsidP="00377FE8">
      <w:pPr>
        <w:pStyle w:val="H1G"/>
      </w:pPr>
      <w:r>
        <w:tab/>
      </w:r>
      <w:r>
        <w:tab/>
      </w:r>
      <w:r w:rsidR="007C2635">
        <w:t>Elimination of slavery, servitude and human trafficking</w:t>
      </w:r>
      <w:r>
        <w:t xml:space="preserve"> </w:t>
      </w:r>
      <w:r w:rsidR="007C2635">
        <w:t>(article 2, 7, 8, 24 and 26 of the ICCPR)</w:t>
      </w:r>
    </w:p>
    <w:p w14:paraId="44BF7C73" w14:textId="7613845E" w:rsidR="007C2635" w:rsidRDefault="007C2635" w:rsidP="00377FE8">
      <w:pPr>
        <w:pStyle w:val="SingleTxtG"/>
      </w:pPr>
      <w:r>
        <w:t>107.</w:t>
      </w:r>
      <w:r>
        <w:tab/>
        <w:t>Under Mozambican law, human trafficking is a crime according to Article 196-A of the Penal Code, approved by Law No. 24/2019, 24 December, as amended by Law No. 17/2020, 23 December.</w:t>
      </w:r>
      <w:r w:rsidR="00377FE8">
        <w:t xml:space="preserve"> </w:t>
      </w:r>
      <w:r>
        <w:t>Furthermore, an Anti-Trafficking Law bill has been submitted to the Ministry of Justice, Constitutional and Religious Affairs with a view to strengthening the regulatory framework.</w:t>
      </w:r>
    </w:p>
    <w:p w14:paraId="47F50901" w14:textId="77777777" w:rsidR="007C2635" w:rsidRDefault="007C2635" w:rsidP="007C2635">
      <w:pPr>
        <w:pStyle w:val="SingleTxtG"/>
      </w:pPr>
      <w:r>
        <w:t>108.</w:t>
      </w:r>
      <w:r>
        <w:tab/>
        <w:t>Over the last few decades, Mozambique has ratified several conventions and protocols directly or indirectly related to preventing and combating human trafficking, namely the Universal Declaration of Human Rights, the Convention on the Rights of the Child and the United Nations Convention against Transnational Organised Crime, approved by Resolution No. 87/2002, 11 December. The latter incorporates the Additional Protocol to Prevent, Suppress and Punish Human Trafficking, Especially Women and Children (Palermo Protocol).</w:t>
      </w:r>
    </w:p>
    <w:p w14:paraId="794A0ADF" w14:textId="77777777" w:rsidR="007C2635" w:rsidRDefault="007C2635" w:rsidP="007C2635">
      <w:pPr>
        <w:pStyle w:val="SingleTxtG"/>
      </w:pPr>
      <w:r>
        <w:t>109.</w:t>
      </w:r>
      <w:r>
        <w:tab/>
        <w:t>These international instruments compel States Parties to include their provisions through specific and comprehensive legislation and public policies aimed at preventing, suppressing and holding accountable those involved in human trafficking.</w:t>
      </w:r>
    </w:p>
    <w:p w14:paraId="371042E8" w14:textId="77777777" w:rsidR="007C2635" w:rsidRDefault="007C2635" w:rsidP="007C2635">
      <w:pPr>
        <w:pStyle w:val="SingleTxtG"/>
      </w:pPr>
      <w:r>
        <w:t>110.</w:t>
      </w:r>
      <w:r>
        <w:tab/>
        <w:t>Human trafficking crime was initially provided for in Mozambican law by Law No. 6/2008, 9 July, which, in its Article 10, established that whoever recruited, transported, hosted, supplied or received a person, by any means, for the purposes of prostitution, forced labour, slavery, involuntary servitude or debt bondage, would be punished with a prison sentence of 16 to 20 years.</w:t>
      </w:r>
    </w:p>
    <w:p w14:paraId="0621DC84" w14:textId="77777777" w:rsidR="007C2635" w:rsidRDefault="007C2635" w:rsidP="007C2635">
      <w:pPr>
        <w:pStyle w:val="SingleTxtG"/>
      </w:pPr>
      <w:r>
        <w:t>111.</w:t>
      </w:r>
      <w:r>
        <w:tab/>
        <w:t>With the approval of the 2014 Penal Code, by Law No. 35/2014, 31 December, human trafficking became part of Chapter V — Crimes against personal freedom, provided for in Article 198, substantially maintaining the criminal framework.</w:t>
      </w:r>
    </w:p>
    <w:p w14:paraId="3DB786EA" w14:textId="77777777" w:rsidR="007C2635" w:rsidRDefault="007C2635" w:rsidP="007C2635">
      <w:pPr>
        <w:pStyle w:val="SingleTxtG"/>
      </w:pPr>
      <w:r>
        <w:t>112.</w:t>
      </w:r>
      <w:r>
        <w:tab/>
        <w:t>With the 2019 penal reform and the approval of the new Penal Code, this crime was enshrined in Article 196-A, Chapter VI — Crimes against the freedom of persons, Section I — Crimes against personal freedom, with a broader definition, criminalising the recruitment, transport, transfer, harbouring, supply or reception of persons, through threats, use of force, coercion, abduction, fraud, deception, abuse of authority or vulnerability, or through payment or benefits to obtain the consent of a person who has authority over another, for the purpose of exploitation, punishable by 16 to 20 years' imprisonment.</w:t>
      </w:r>
    </w:p>
    <w:p w14:paraId="06E71C88" w14:textId="77777777" w:rsidR="007C2635" w:rsidRDefault="007C2635" w:rsidP="007C2635">
      <w:pPr>
        <w:pStyle w:val="SingleTxtG"/>
      </w:pPr>
      <w:r>
        <w:t>113.</w:t>
      </w:r>
      <w:r>
        <w:tab/>
        <w:t xml:space="preserve">Exploitation includes, among other forms, the exploitation of one’s prostitution or other forms of sexual exploitation, forced labour or services, slavery or practices </w:t>
      </w:r>
      <w:proofErr w:type="gramStart"/>
      <w:r>
        <w:t>similar to</w:t>
      </w:r>
      <w:proofErr w:type="gramEnd"/>
      <w:r>
        <w:t xml:space="preserve"> slavery, servitude, organ removal, forced marriages, forced begging and exploitation for the purpose of criminal activities.</w:t>
      </w:r>
    </w:p>
    <w:p w14:paraId="4E9F4C06" w14:textId="77777777" w:rsidR="007C2635" w:rsidRDefault="007C2635" w:rsidP="007C2635">
      <w:pPr>
        <w:pStyle w:val="SingleTxtG"/>
      </w:pPr>
      <w:r>
        <w:t>114.</w:t>
      </w:r>
      <w:r>
        <w:tab/>
        <w:t>The victim’s consent does not exclude or mitigate the criminal liability of the perpetrator. The legal framework is thus an essential element for an effective response to trafficking in persons, ensuring the prevention, repression and protection of victims.</w:t>
      </w:r>
    </w:p>
    <w:p w14:paraId="50345739" w14:textId="77777777" w:rsidR="007C2635" w:rsidRDefault="007C2635" w:rsidP="007C2635">
      <w:pPr>
        <w:pStyle w:val="SingleTxtG"/>
      </w:pPr>
      <w:r>
        <w:t>115.</w:t>
      </w:r>
      <w:r>
        <w:tab/>
        <w:t xml:space="preserve">In this regard, it proved necessary to revise Law No. 6/2008, 9 July </w:t>
      </w:r>
      <w:proofErr w:type="gramStart"/>
      <w:r>
        <w:t>in order to</w:t>
      </w:r>
      <w:proofErr w:type="gramEnd"/>
      <w:r>
        <w:t xml:space="preserve"> bring it into line with the Palermo Protocol, incorporating the three pillars for tackling the phenomenon: prevention, repression and victim protection.</w:t>
      </w:r>
    </w:p>
    <w:p w14:paraId="260104CD" w14:textId="77777777" w:rsidR="007C2635" w:rsidRDefault="007C2635" w:rsidP="007C2635">
      <w:pPr>
        <w:pStyle w:val="SingleTxtG"/>
      </w:pPr>
      <w:r>
        <w:t>116.</w:t>
      </w:r>
      <w:r>
        <w:tab/>
        <w:t>The proposed legislative revision provides, among other innovations, for:</w:t>
      </w:r>
    </w:p>
    <w:p w14:paraId="7F03B12A" w14:textId="44CEFA97" w:rsidR="007C2635" w:rsidRPr="00C15D37" w:rsidRDefault="00377FE8" w:rsidP="007C2635">
      <w:pPr>
        <w:pStyle w:val="SingleTxtG"/>
      </w:pPr>
      <w:r>
        <w:lastRenderedPageBreak/>
        <w:tab/>
      </w:r>
      <w:r w:rsidRPr="00C15D37">
        <w:t>(</w:t>
      </w:r>
      <w:r w:rsidR="007C2635" w:rsidRPr="00C15D37">
        <w:t>a) autonomous classification of the crime of child trafficking</w:t>
      </w:r>
      <w:r w:rsidR="00C15D37" w:rsidRPr="00C15D37">
        <w:t>:</w:t>
      </w:r>
    </w:p>
    <w:p w14:paraId="4BB08FEB" w14:textId="0A072984" w:rsidR="007C2635" w:rsidRPr="00C15D37" w:rsidRDefault="00377FE8" w:rsidP="007C2635">
      <w:pPr>
        <w:pStyle w:val="SingleTxtG"/>
      </w:pPr>
      <w:r w:rsidRPr="00C15D37">
        <w:tab/>
      </w:r>
      <w:r w:rsidR="00C15D37">
        <w:t>(b</w:t>
      </w:r>
      <w:r w:rsidR="007C2635" w:rsidRPr="00C15D37">
        <w:t>)</w:t>
      </w:r>
      <w:r w:rsidR="007C2635" w:rsidRPr="00C15D37">
        <w:tab/>
        <w:t xml:space="preserve"> the incorporation of related crimes, such as the disposal of minors, the use of services or organs, the deprivation of identification documents and the promotion or facilitation of trafficking</w:t>
      </w:r>
    </w:p>
    <w:p w14:paraId="4F8E075B" w14:textId="078F11C1" w:rsidR="007C2635" w:rsidRPr="00C15D37" w:rsidRDefault="00C15D37" w:rsidP="007C2635">
      <w:pPr>
        <w:pStyle w:val="SingleTxtG"/>
      </w:pPr>
      <w:r>
        <w:tab/>
        <w:t>(c</w:t>
      </w:r>
      <w:r w:rsidR="007C2635" w:rsidRPr="00C15D37">
        <w:t>)</w:t>
      </w:r>
      <w:r w:rsidR="007C2635" w:rsidRPr="00C15D37">
        <w:tab/>
        <w:t>Establishment of the principle of criminal irresponsibility of victims</w:t>
      </w:r>
    </w:p>
    <w:p w14:paraId="16BD17DC" w14:textId="6BCCC451" w:rsidR="007C2635" w:rsidRPr="00C15D37" w:rsidRDefault="00C15D37" w:rsidP="007C2635">
      <w:pPr>
        <w:pStyle w:val="SingleTxtG"/>
      </w:pPr>
      <w:r>
        <w:tab/>
        <w:t>(d</w:t>
      </w:r>
      <w:r w:rsidR="007C2635" w:rsidRPr="00C15D37">
        <w:t>)</w:t>
      </w:r>
      <w:r w:rsidR="007C2635" w:rsidRPr="00C15D37">
        <w:tab/>
        <w:t>Provision for a period of recovery and reflection</w:t>
      </w:r>
    </w:p>
    <w:p w14:paraId="6F4918AD" w14:textId="5BBBF637" w:rsidR="007C2635" w:rsidRPr="00C15D37" w:rsidRDefault="00C15D37" w:rsidP="007C2635">
      <w:pPr>
        <w:pStyle w:val="SingleTxtG"/>
      </w:pPr>
      <w:r>
        <w:tab/>
        <w:t>(e</w:t>
      </w:r>
      <w:r w:rsidR="007C2635" w:rsidRPr="00C15D37">
        <w:t>)</w:t>
      </w:r>
      <w:r w:rsidR="007C2635" w:rsidRPr="00C15D37">
        <w:tab/>
        <w:t>Clarification of assistance to foreign victims</w:t>
      </w:r>
    </w:p>
    <w:p w14:paraId="6244A92B" w14:textId="71037DFD" w:rsidR="007C2635" w:rsidRPr="00C15D37" w:rsidRDefault="00C15D37" w:rsidP="007C2635">
      <w:pPr>
        <w:pStyle w:val="SingleTxtG"/>
      </w:pPr>
      <w:r>
        <w:tab/>
        <w:t>(f</w:t>
      </w:r>
      <w:r w:rsidR="007C2635" w:rsidRPr="00C15D37">
        <w:t>)</w:t>
      </w:r>
      <w:r w:rsidR="007C2635" w:rsidRPr="00C15D37">
        <w:tab/>
        <w:t>Creation of a compensation fund for victims of trafficking</w:t>
      </w:r>
    </w:p>
    <w:p w14:paraId="7F1ACE6E" w14:textId="3838928F" w:rsidR="007C2635" w:rsidRDefault="00C15D37" w:rsidP="007C2635">
      <w:pPr>
        <w:pStyle w:val="SingleTxtG"/>
      </w:pPr>
      <w:r>
        <w:tab/>
        <w:t>(g</w:t>
      </w:r>
      <w:r w:rsidR="007C2635" w:rsidRPr="00C15D37">
        <w:t>)</w:t>
      </w:r>
      <w:r w:rsidR="007C2635" w:rsidRPr="00C15D37">
        <w:tab/>
        <w:t>Revoke and adaptation of provisions incompatible with the new Penal Code</w:t>
      </w:r>
    </w:p>
    <w:p w14:paraId="1A1FABF1" w14:textId="77777777" w:rsidR="007C2635" w:rsidRDefault="007C2635" w:rsidP="007C2635">
      <w:pPr>
        <w:pStyle w:val="SingleTxtG"/>
      </w:pPr>
      <w:r>
        <w:t>117.</w:t>
      </w:r>
      <w:r>
        <w:tab/>
        <w:t>Among the measures to prevent human trafficking, including the trafficking of children for sexual exploitation, forced labour and organ trafficking, the following stand out: community lectures, radio debates, training for community leaders, training for magistrates, involvement of civil society and awareness-raising campaigns.</w:t>
      </w:r>
    </w:p>
    <w:p w14:paraId="33BB306A" w14:textId="77777777" w:rsidR="007C2635" w:rsidRDefault="007C2635" w:rsidP="007C2635">
      <w:pPr>
        <w:pStyle w:val="SingleTxtG"/>
      </w:pPr>
      <w:r>
        <w:t>118.</w:t>
      </w:r>
      <w:r>
        <w:tab/>
        <w:t>Reference Groups for Child Protection, Combating Human Trafficking and Illegal Migration have also been set up with the aim of strengthening prevention, repression and assistance, including the reintegration of victims and rapid response to cases of illegal migration involving vulnerable groups.</w:t>
      </w:r>
    </w:p>
    <w:p w14:paraId="57CA104A" w14:textId="77777777" w:rsidR="007C2635" w:rsidRDefault="007C2635" w:rsidP="007C2635">
      <w:pPr>
        <w:pStyle w:val="SingleTxtG"/>
      </w:pPr>
      <w:r>
        <w:t>119.</w:t>
      </w:r>
      <w:r>
        <w:tab/>
        <w:t>The National Plan to Prevent and Combat Human Trafficking 2023-2027 was approved, through Resolution No. 37/2023, 12 October.</w:t>
      </w:r>
    </w:p>
    <w:p w14:paraId="0D0DDE14" w14:textId="77777777" w:rsidR="007C2635" w:rsidRDefault="007C2635" w:rsidP="007C2635">
      <w:pPr>
        <w:pStyle w:val="SingleTxtG"/>
      </w:pPr>
      <w:r>
        <w:t>120.</w:t>
      </w:r>
      <w:r>
        <w:tab/>
        <w:t>The National Referral Mechanism for Victims of Human Trafficking aims to ensure inter-institutional coordination and ensure that victims' needs are met in accordance with the national legal framework and international good practices.</w:t>
      </w:r>
    </w:p>
    <w:p w14:paraId="651D6B28" w14:textId="77777777" w:rsidR="007C2635" w:rsidRDefault="007C2635" w:rsidP="007C2635">
      <w:pPr>
        <w:pStyle w:val="SingleTxtG"/>
      </w:pPr>
      <w:r>
        <w:t>121.</w:t>
      </w:r>
      <w:r>
        <w:tab/>
        <w:t>The assistance flowchart defines the different stages of victim support, the responsible bodies and the specific procedures to be followed, depending on the type of violence suffered, reinforcing protection mechanisms, especially for children.</w:t>
      </w:r>
    </w:p>
    <w:p w14:paraId="309F6C37" w14:textId="77777777" w:rsidR="007C2635" w:rsidRDefault="007C2635" w:rsidP="007C2635">
      <w:pPr>
        <w:pStyle w:val="SingleTxtG"/>
      </w:pPr>
      <w:r>
        <w:t>122.</w:t>
      </w:r>
      <w:r>
        <w:tab/>
        <w:t>It is the responsibility of all institutions involved to inform victims of their rights and to use inter-institutional coordination mechanisms for adequate monitoring and responsible management of information.</w:t>
      </w:r>
    </w:p>
    <w:p w14:paraId="06BA35E1" w14:textId="77777777" w:rsidR="007C2635" w:rsidRDefault="007C2635" w:rsidP="007C2635">
      <w:pPr>
        <w:pStyle w:val="SingleTxtG"/>
      </w:pPr>
      <w:r>
        <w:t>123.</w:t>
      </w:r>
      <w:r>
        <w:tab/>
        <w:t>The members of the Reference Groups are trained to provide initial support to victims, including referral to social and health services, ensuring medical and psychological care and avoiding public exposure.</w:t>
      </w:r>
    </w:p>
    <w:p w14:paraId="2B900700" w14:textId="77777777" w:rsidR="007C2635" w:rsidRDefault="007C2635" w:rsidP="007C2635">
      <w:pPr>
        <w:pStyle w:val="SingleTxtG"/>
      </w:pPr>
      <w:r>
        <w:t>124.</w:t>
      </w:r>
      <w:r>
        <w:tab/>
        <w:t xml:space="preserve">Between 2022 and 2023, six criminal proceedings were filed for human trafficking, one for sexual exploitation and five for labour exploitation. Of the cases referred to court, three were tried, resulting in the conviction of three defendants to sentences ranging from two to sixteen years in prison. Poverty, social exclusion, inequality, unemployment and cultural factors are behind such vulnerabilities. </w:t>
      </w:r>
    </w:p>
    <w:p w14:paraId="16AA51E3" w14:textId="08439DC9" w:rsidR="007C2635" w:rsidRDefault="00C15D37" w:rsidP="00C15D37">
      <w:pPr>
        <w:pStyle w:val="H1G"/>
      </w:pPr>
      <w:r>
        <w:tab/>
      </w:r>
      <w:r>
        <w:tab/>
      </w:r>
      <w:r w:rsidR="007C2635">
        <w:t>Freedom of movement</w:t>
      </w:r>
      <w:r>
        <w:t xml:space="preserve"> </w:t>
      </w:r>
      <w:r w:rsidR="007C2635">
        <w:t>(article 12 of the ICCPR)</w:t>
      </w:r>
    </w:p>
    <w:p w14:paraId="64978F2D" w14:textId="77777777" w:rsidR="007C2635" w:rsidRDefault="007C2635" w:rsidP="007C2635">
      <w:pPr>
        <w:pStyle w:val="SingleTxtG"/>
      </w:pPr>
      <w:r>
        <w:t>123.</w:t>
      </w:r>
      <w:r>
        <w:tab/>
        <w:t>Freedom of movement is enshrined in Articles 55 and 56(3) of the Constitution of the Republic of Mozambique (CRM), guaranteeing all citizens the right to move freely within the national territory and abroad, except for restrictions provided for by law or imposed by court order. The Defence and Security Forces are responsible for ensuring the free movement of people and goods.</w:t>
      </w:r>
    </w:p>
    <w:p w14:paraId="6C45CBBC" w14:textId="77777777" w:rsidR="007C2635" w:rsidRDefault="007C2635" w:rsidP="007C2635">
      <w:pPr>
        <w:pStyle w:val="SingleTxtG"/>
      </w:pPr>
      <w:r>
        <w:t>124.</w:t>
      </w:r>
      <w:r>
        <w:tab/>
        <w:t>Restrictions on freedom of movement, the checkpoints in the north of Cabo Delgado province front line, we set up to protect local communities and to control the movement of terrorist groups.</w:t>
      </w:r>
    </w:p>
    <w:p w14:paraId="10DBA6C5" w14:textId="77777777" w:rsidR="007C2635" w:rsidRDefault="007C2635" w:rsidP="007C2635">
      <w:pPr>
        <w:pStyle w:val="SingleTxtG"/>
      </w:pPr>
      <w:r>
        <w:t>125.</w:t>
      </w:r>
      <w:r>
        <w:tab/>
        <w:t>Along National Road No. 318, on the Silva-</w:t>
      </w:r>
      <w:proofErr w:type="spellStart"/>
      <w:r>
        <w:t>Macua</w:t>
      </w:r>
      <w:proofErr w:type="spellEnd"/>
      <w:r>
        <w:t>–</w:t>
      </w:r>
      <w:proofErr w:type="spellStart"/>
      <w:r>
        <w:t>Macomia</w:t>
      </w:r>
      <w:proofErr w:type="spellEnd"/>
      <w:r>
        <w:t>–</w:t>
      </w:r>
      <w:proofErr w:type="spellStart"/>
      <w:r>
        <w:t>Awasse</w:t>
      </w:r>
      <w:proofErr w:type="spellEnd"/>
      <w:r>
        <w:t xml:space="preserve"> section, checkpoints were installed to prevent attacks on civilian, commercial and military vehicles.</w:t>
      </w:r>
    </w:p>
    <w:p w14:paraId="7E881B09" w14:textId="77777777" w:rsidR="007C2635" w:rsidRDefault="007C2635" w:rsidP="007C2635">
      <w:pPr>
        <w:pStyle w:val="SingleTxtG"/>
      </w:pPr>
      <w:r>
        <w:lastRenderedPageBreak/>
        <w:t>126.</w:t>
      </w:r>
      <w:r>
        <w:tab/>
        <w:t>The guarantees for filing complaints are provided for in the Constitution and in the legislation in force. Despite general reports of alleged involvement of military officers in corruption, no specific complaints were filed that would allow formal investigations to be opened.</w:t>
      </w:r>
    </w:p>
    <w:p w14:paraId="0854F2C8" w14:textId="77777777" w:rsidR="007C2635" w:rsidRDefault="007C2635" w:rsidP="007C2635">
      <w:pPr>
        <w:pStyle w:val="SingleTxtG"/>
      </w:pPr>
      <w:r>
        <w:t>127.</w:t>
      </w:r>
      <w:r>
        <w:tab/>
        <w:t>Nevertheless, in 2020, following terrorist attacks in Palma district, members of the Mozambican Armed Defence Forces were involved in the robbery of the Standard Bank vault, stealing large sums of money.</w:t>
      </w:r>
    </w:p>
    <w:p w14:paraId="1FB579AC" w14:textId="77777777" w:rsidR="007C2635" w:rsidRDefault="007C2635" w:rsidP="007C2635">
      <w:pPr>
        <w:pStyle w:val="SingleTxtG"/>
      </w:pPr>
      <w:r>
        <w:t>128.</w:t>
      </w:r>
      <w:r>
        <w:tab/>
        <w:t>As a result, 25 soldiers were arrested and criminal proceeding No. 28/02/P/2022 were filed on 11 March 2022. The case is currently being investigated by the 3rd Section of the Provincial Prosecutor's Office of Cabo Delgado, with the defendants released on bail.</w:t>
      </w:r>
    </w:p>
    <w:p w14:paraId="6EA4ED18" w14:textId="45C2C41B" w:rsidR="007C2635" w:rsidRDefault="00C15D37" w:rsidP="00C15D37">
      <w:pPr>
        <w:pStyle w:val="H1G"/>
      </w:pPr>
      <w:r>
        <w:tab/>
      </w:r>
      <w:r>
        <w:tab/>
      </w:r>
      <w:r w:rsidR="007C2635">
        <w:t>Access to justice, independence of the judiciary and fair trial</w:t>
      </w:r>
      <w:r>
        <w:t xml:space="preserve"> </w:t>
      </w:r>
      <w:r w:rsidR="007C2635">
        <w:t>(article 14 of the ICCPR)</w:t>
      </w:r>
    </w:p>
    <w:p w14:paraId="59F6F6A8" w14:textId="77777777" w:rsidR="007C2635" w:rsidRDefault="007C2635" w:rsidP="007C2635">
      <w:pPr>
        <w:pStyle w:val="SingleTxtG"/>
      </w:pPr>
      <w:r>
        <w:t>129.</w:t>
      </w:r>
      <w:r>
        <w:tab/>
        <w:t>The Government of Mozambique is committed to promoting access to justice, independence of the judiciary and fair trial, as reflected in the Government's Five-Year Program 2014-2019, in Pillar I — Consolidation of the Democratic Rule of Law, Good Governance and Decentralization, aiming at a closer, more accessible and effective justice.</w:t>
      </w:r>
    </w:p>
    <w:p w14:paraId="21F97C0D" w14:textId="77777777" w:rsidR="007C2635" w:rsidRDefault="007C2635" w:rsidP="007C2635">
      <w:pPr>
        <w:pStyle w:val="SingleTxtG"/>
      </w:pPr>
      <w:r>
        <w:t>130.</w:t>
      </w:r>
      <w:r>
        <w:tab/>
        <w:t>To mitigate prison overcrowding and bring justice closer to citizens, Mobile Justice initiatives have been implemented, consisting of holding trial sessions and providing legal assistance in mobile courts.</w:t>
      </w:r>
    </w:p>
    <w:p w14:paraId="7F05CE59" w14:textId="77777777" w:rsidR="007C2635" w:rsidRDefault="007C2635" w:rsidP="007C2635">
      <w:pPr>
        <w:pStyle w:val="SingleTxtG"/>
      </w:pPr>
      <w:r>
        <w:t>131.</w:t>
      </w:r>
      <w:r>
        <w:tab/>
      </w:r>
      <w:proofErr w:type="gramStart"/>
      <w:r>
        <w:t>With regard to</w:t>
      </w:r>
      <w:proofErr w:type="gramEnd"/>
      <w:r>
        <w:t xml:space="preserve"> strengthening the independence of the judicial system, judges exercise their duties independently, judging solely in accordance with the Constitution, the law and their conscience, and are not subject to orders or instructions, except for the duty to comply with the decisions of higher courts.</w:t>
      </w:r>
    </w:p>
    <w:p w14:paraId="140CCAA8" w14:textId="77777777" w:rsidR="007C2635" w:rsidRDefault="007C2635" w:rsidP="007C2635">
      <w:pPr>
        <w:pStyle w:val="SingleTxtG"/>
      </w:pPr>
      <w:r>
        <w:t>132.</w:t>
      </w:r>
      <w:r>
        <w:tab/>
        <w:t>As to facilitating effective access to justice, especially for the most vulnerable groups, the Court Costs Code is under review, bringing together the courts, the Attorney General's Office, the Mozambican Bar Association and civil society, with the aim of simplifying the calculation of costs and removing economic barriers to access to the courts.</w:t>
      </w:r>
    </w:p>
    <w:p w14:paraId="5700C4BE" w14:textId="348FF7AA" w:rsidR="007C2635" w:rsidRDefault="00C15D37" w:rsidP="00C15D37">
      <w:pPr>
        <w:pStyle w:val="H1G"/>
      </w:pPr>
      <w:r>
        <w:tab/>
      </w:r>
      <w:r>
        <w:tab/>
      </w:r>
      <w:r w:rsidR="007C2635">
        <w:t>Internally Displaced Persons</w:t>
      </w:r>
      <w:r>
        <w:t xml:space="preserve"> </w:t>
      </w:r>
      <w:r w:rsidR="007C2635">
        <w:t>(article 2, 6–7, 9–10 and 12)</w:t>
      </w:r>
    </w:p>
    <w:p w14:paraId="3A230182" w14:textId="77777777" w:rsidR="007C2635" w:rsidRDefault="007C2635" w:rsidP="007C2635">
      <w:pPr>
        <w:pStyle w:val="SingleTxtG"/>
      </w:pPr>
      <w:r>
        <w:t>133.</w:t>
      </w:r>
      <w:r>
        <w:tab/>
        <w:t xml:space="preserve">According to information submitted to the International Committee of the Red Cross, it is estimated that more than 700,000 people are internally displaced in the State Party </w:t>
      </w:r>
      <w:proofErr w:type="gramStart"/>
      <w:r>
        <w:t>as a result of</w:t>
      </w:r>
      <w:proofErr w:type="gramEnd"/>
      <w:r>
        <w:t xml:space="preserve"> armed conflict and natural disasters. Internal displacement resulting from conflict and natural disasters falls under the National Institute for Disaster Management (INGD). However, in cases of armed conflict, this institution acts in coordination with the Ministry of the Interior and the Ministry of National Defence.</w:t>
      </w:r>
    </w:p>
    <w:p w14:paraId="7AF07286" w14:textId="77777777" w:rsidR="007C2635" w:rsidRDefault="007C2635" w:rsidP="007C2635">
      <w:pPr>
        <w:pStyle w:val="SingleTxtG"/>
      </w:pPr>
      <w:r>
        <w:t>134.</w:t>
      </w:r>
      <w:r>
        <w:tab/>
        <w:t>Various efforts have been made to ensure that internally displaced persons achieve lasting solutions, as well as autonomy and financial independence.</w:t>
      </w:r>
    </w:p>
    <w:p w14:paraId="74E29B17" w14:textId="77777777" w:rsidR="007C2635" w:rsidRDefault="007C2635" w:rsidP="007C2635">
      <w:pPr>
        <w:pStyle w:val="SingleTxtG"/>
      </w:pPr>
      <w:r>
        <w:t>135.</w:t>
      </w:r>
      <w:r>
        <w:tab/>
        <w:t xml:space="preserve">INGD has held several meetings focusing on the IDPs situation, for instance, the ‘Meeting for the operationalisation and implementation of the Action Plan for the Policy and Strategy for the Management of Internally Displaced Persons – PAPEGDI 2025–2029’, involving 13 ministries and national institutes, namely: MOPHRH, MJCR, MIREME, ICS, MDN, MJD, INAM, CNDH, MTGAS, MISAU, MAAP, MAEFP, MEC and INAMI. Several United Nations agencies also participated, including IOM, UNHCR, UNDP, UNFPA, RCO, UNOPS, UN-Habitat, WFP, UNICEF, FAO, OCHA, NRC and ILO, as well as provincial delegates from INGD in the provinces of </w:t>
      </w:r>
      <w:proofErr w:type="spellStart"/>
      <w:r>
        <w:t>Sofala</w:t>
      </w:r>
      <w:proofErr w:type="spellEnd"/>
      <w:r>
        <w:t>, Nampula and Cabo Delgado.</w:t>
      </w:r>
    </w:p>
    <w:p w14:paraId="19035575" w14:textId="77777777" w:rsidR="007C2635" w:rsidRDefault="007C2635" w:rsidP="007C2635">
      <w:pPr>
        <w:pStyle w:val="SingleTxtG"/>
      </w:pPr>
      <w:r>
        <w:t>136.</w:t>
      </w:r>
      <w:r>
        <w:tab/>
        <w:t xml:space="preserve">In the PEGDI Action Plan, based on current data on internally displaced persons, a total of 885,824 internally displaced persons (IDPs) were prioritised to find lasting solutions in the provinces of Cabo Delgado, Nampula, Niassa, </w:t>
      </w:r>
      <w:proofErr w:type="spellStart"/>
      <w:r>
        <w:t>Sofala</w:t>
      </w:r>
      <w:proofErr w:type="spellEnd"/>
      <w:r>
        <w:t xml:space="preserve">, </w:t>
      </w:r>
      <w:proofErr w:type="spellStart"/>
      <w:r>
        <w:t>Zambézia</w:t>
      </w:r>
      <w:proofErr w:type="spellEnd"/>
      <w:r>
        <w:t xml:space="preserve"> and Gaza for the period 2025–2029.</w:t>
      </w:r>
    </w:p>
    <w:p w14:paraId="7731B0A3" w14:textId="77777777" w:rsidR="007C2635" w:rsidRDefault="007C2635" w:rsidP="007C2635">
      <w:pPr>
        <w:pStyle w:val="SingleTxtG"/>
      </w:pPr>
      <w:r>
        <w:lastRenderedPageBreak/>
        <w:t>137.</w:t>
      </w:r>
      <w:r>
        <w:tab/>
        <w:t>The Action Plan for the implementation of the Policy and Strategy for Internally Displaced Persons (PEGDI) Management, approved by Resolution No. 42/2021, 8 September 2021, was developed and launched. It aims at reducing internal displacement risks, respond effectively to emergency situations, strengthen the resilience of affected populations and promote lasting solutions in Mozambique.</w:t>
      </w:r>
    </w:p>
    <w:p w14:paraId="17F9A486" w14:textId="77777777" w:rsidR="007C2635" w:rsidRDefault="007C2635" w:rsidP="007C2635">
      <w:pPr>
        <w:pStyle w:val="SingleTxtG"/>
      </w:pPr>
      <w:r>
        <w:t>138.</w:t>
      </w:r>
      <w:r>
        <w:tab/>
        <w:t>The Code of Conduct was also launched on 29 April 2025, laying down fundamental principles, obligations of humanitarian actors, reporting mechanisms and applicable sanctions.</w:t>
      </w:r>
    </w:p>
    <w:p w14:paraId="52F1C2FC" w14:textId="77777777" w:rsidR="007C2635" w:rsidRDefault="007C2635" w:rsidP="007C2635">
      <w:pPr>
        <w:pStyle w:val="SingleTxtG"/>
      </w:pPr>
      <w:r>
        <w:t>139.</w:t>
      </w:r>
      <w:r>
        <w:tab/>
        <w:t>The Gender and Social Inclusion Strategy was approved. It aims to actively promote the integration of gender and social inclusion perspectives in all stages of disaster risk management and reduction, strengthening the resilience of the most vulnerable communities, such as women, men, girls, boys, children, the elderly and people with disabilities. As part of this strategy, a green line has been set up for reporting noncompliance with the Code of Conduct.</w:t>
      </w:r>
    </w:p>
    <w:p w14:paraId="47689CCB" w14:textId="2A808CC4" w:rsidR="007C2635" w:rsidRDefault="00C15D37" w:rsidP="00C15D37">
      <w:pPr>
        <w:pStyle w:val="H1G"/>
      </w:pPr>
      <w:r>
        <w:tab/>
      </w:r>
      <w:r>
        <w:tab/>
      </w:r>
      <w:r w:rsidR="007C2635">
        <w:t>Treatment of foreigners, including migrants, refugees and asylum seekers (article 7, 9, 12–13 and 24)</w:t>
      </w:r>
    </w:p>
    <w:p w14:paraId="14B5CCB2" w14:textId="77777777" w:rsidR="007C2635" w:rsidRDefault="007C2635" w:rsidP="007C2635">
      <w:pPr>
        <w:pStyle w:val="SingleTxtG"/>
      </w:pPr>
      <w:r>
        <w:t>140.</w:t>
      </w:r>
      <w:r>
        <w:tab/>
        <w:t>Regarding the disappearance of Cassien Ntamuhanga, the case file states that on 23 May 2021, at around 4 p.m., approximately eight unknown individuals, posing as National Criminal Investigation Service (SERNIC) and the Police of the Republic of Mozambique (PRM) officers, went to the victim's residence, located in the Municipal District of Ka-</w:t>
      </w:r>
      <w:proofErr w:type="spellStart"/>
      <w:r>
        <w:t>Nhaca</w:t>
      </w:r>
      <w:proofErr w:type="spellEnd"/>
      <w:r>
        <w:t>, Maputo City.</w:t>
      </w:r>
    </w:p>
    <w:p w14:paraId="002CD4EB" w14:textId="77777777" w:rsidR="007C2635" w:rsidRDefault="007C2635" w:rsidP="007C2635">
      <w:pPr>
        <w:pStyle w:val="SingleTxtG"/>
      </w:pPr>
      <w:r>
        <w:t>141.</w:t>
      </w:r>
      <w:r>
        <w:tab/>
        <w:t xml:space="preserve">The victim was a pig farmer. The individuals claimed they wanted to buy the animals but instead kidnaped the victim and took him to an unknown location. Cassien </w:t>
      </w:r>
      <w:proofErr w:type="spellStart"/>
      <w:r>
        <w:t>Ntamuhanga</w:t>
      </w:r>
      <w:proofErr w:type="spellEnd"/>
      <w:r>
        <w:t xml:space="preserve"> had been living in Mozambique as a refugee since 2017.</w:t>
      </w:r>
    </w:p>
    <w:p w14:paraId="7D1F4DFF" w14:textId="77777777" w:rsidR="007C2635" w:rsidRDefault="007C2635" w:rsidP="007C2635">
      <w:pPr>
        <w:pStyle w:val="SingleTxtG"/>
      </w:pPr>
      <w:r>
        <w:t>142.</w:t>
      </w:r>
      <w:r>
        <w:tab/>
        <w:t>The criminal proceeding was filed under No. 877-B/21, and several investigations were conducted. The case is currently at the 3rd Brigade, 1st Section of SERNIC – Maputo City and is still in the preliminary investigation phase.</w:t>
      </w:r>
    </w:p>
    <w:p w14:paraId="1CA1B9D9" w14:textId="778CC724" w:rsidR="007C2635" w:rsidRDefault="00C15D37" w:rsidP="00C15D37">
      <w:pPr>
        <w:pStyle w:val="H1G"/>
      </w:pPr>
      <w:r>
        <w:tab/>
      </w:r>
      <w:r>
        <w:tab/>
      </w:r>
      <w:r w:rsidR="007C2635">
        <w:t>Right to freedom of religion (article 18)</w:t>
      </w:r>
    </w:p>
    <w:p w14:paraId="1800A5E6" w14:textId="77777777" w:rsidR="007C2635" w:rsidRDefault="007C2635" w:rsidP="007C2635">
      <w:pPr>
        <w:pStyle w:val="SingleTxtG"/>
      </w:pPr>
      <w:r>
        <w:t>143.</w:t>
      </w:r>
      <w:r>
        <w:tab/>
        <w:t>Regarding the proposed Religious Freedom and Worship Bill, the National Directorate for Religious Affairs (DNAR) reports that it has been returned by the Assembly of the Republic to the Ministry of Justice, Constitutional and Religious Affairs for further harmonisation with the public, private and civil society sectors.</w:t>
      </w:r>
    </w:p>
    <w:p w14:paraId="6D321F0B" w14:textId="77777777" w:rsidR="007C2635" w:rsidRDefault="007C2635" w:rsidP="007C2635">
      <w:pPr>
        <w:pStyle w:val="SingleTxtG"/>
      </w:pPr>
      <w:r>
        <w:t>144.</w:t>
      </w:r>
      <w:r>
        <w:tab/>
        <w:t>The bill covers the aspects as follows:</w:t>
      </w:r>
    </w:p>
    <w:p w14:paraId="36DDE35B" w14:textId="71880847" w:rsidR="007C2635" w:rsidRDefault="00C15D37" w:rsidP="007C2635">
      <w:pPr>
        <w:pStyle w:val="SingleTxtG"/>
      </w:pPr>
      <w:r>
        <w:tab/>
        <w:t>(</w:t>
      </w:r>
      <w:r w:rsidR="007C2635">
        <w:t>a)</w:t>
      </w:r>
      <w:r w:rsidR="007C2635">
        <w:tab/>
        <w:t>Definition of the object, scope and fundamental principles of freedom of religion and worship</w:t>
      </w:r>
    </w:p>
    <w:p w14:paraId="7967E55C" w14:textId="7FA2FC84" w:rsidR="007C2635" w:rsidRDefault="00C15D37" w:rsidP="007C2635">
      <w:pPr>
        <w:pStyle w:val="SingleTxtG"/>
      </w:pPr>
      <w:r>
        <w:tab/>
        <w:t>(</w:t>
      </w:r>
      <w:r w:rsidR="007C2635">
        <w:t>b)</w:t>
      </w:r>
      <w:r w:rsidR="007C2635">
        <w:tab/>
        <w:t>Acknowledgement of the secular and non-denominational nature of the state</w:t>
      </w:r>
    </w:p>
    <w:p w14:paraId="21D6E951" w14:textId="6386EAA7" w:rsidR="007C2635" w:rsidRDefault="00C15D37" w:rsidP="007C2635">
      <w:pPr>
        <w:pStyle w:val="SingleTxtG"/>
      </w:pPr>
      <w:r>
        <w:tab/>
        <w:t>(</w:t>
      </w:r>
      <w:r w:rsidR="007C2635">
        <w:t>c)</w:t>
      </w:r>
      <w:r w:rsidR="007C2635">
        <w:tab/>
        <w:t>Guarantee of the principles of equality, cooperation and tolerance</w:t>
      </w:r>
    </w:p>
    <w:p w14:paraId="4CC19BAC" w14:textId="6E84735E" w:rsidR="007C2635" w:rsidRDefault="00C15D37" w:rsidP="007C2635">
      <w:pPr>
        <w:pStyle w:val="SingleTxtG"/>
      </w:pPr>
      <w:r>
        <w:tab/>
        <w:t>(</w:t>
      </w:r>
      <w:r w:rsidR="007C2635">
        <w:t>d)</w:t>
      </w:r>
      <w:r w:rsidR="007C2635">
        <w:tab/>
        <w:t>List of rights to freedom of religion and worship</w:t>
      </w:r>
    </w:p>
    <w:p w14:paraId="3A7DE7C2" w14:textId="53C486C2" w:rsidR="007C2635" w:rsidRDefault="00C15D37" w:rsidP="007C2635">
      <w:pPr>
        <w:pStyle w:val="SingleTxtG"/>
      </w:pPr>
      <w:r>
        <w:tab/>
        <w:t>(</w:t>
      </w:r>
      <w:r w:rsidR="007C2635">
        <w:t>e)</w:t>
      </w:r>
      <w:r w:rsidR="007C2635">
        <w:tab/>
        <w:t>Definition of limits to the exercise of religious freedom</w:t>
      </w:r>
    </w:p>
    <w:p w14:paraId="688AF515" w14:textId="10FD0807" w:rsidR="007C2635" w:rsidRDefault="00C15D37" w:rsidP="00C15D37">
      <w:pPr>
        <w:pStyle w:val="Bullet1G"/>
      </w:pPr>
      <w:r>
        <w:tab/>
      </w:r>
      <w:r w:rsidR="007C2635">
        <w:t>Compatibility with the ICCPR:</w:t>
      </w:r>
    </w:p>
    <w:p w14:paraId="35E91BBE" w14:textId="178CD494" w:rsidR="007C2635" w:rsidRDefault="00C15D37" w:rsidP="007C2635">
      <w:pPr>
        <w:pStyle w:val="SingleTxtG"/>
      </w:pPr>
      <w:r>
        <w:tab/>
        <w:t>(</w:t>
      </w:r>
      <w:r w:rsidR="007C2635">
        <w:t>a)</w:t>
      </w:r>
      <w:r w:rsidR="007C2635">
        <w:tab/>
        <w:t>The requirement for a minimum number of members for registration purposes is compatible with the ICCPR, as the proposal does not prohibit or prevent religious practice in the country, but is intended solely for the organisation and attribution of legal personality; and</w:t>
      </w:r>
    </w:p>
    <w:p w14:paraId="2CC5134C" w14:textId="45B45367" w:rsidR="007C2635" w:rsidRDefault="00C15D37" w:rsidP="007C2635">
      <w:pPr>
        <w:pStyle w:val="SingleTxtG"/>
      </w:pPr>
      <w:r>
        <w:tab/>
        <w:t>(</w:t>
      </w:r>
      <w:r w:rsidR="007C2635">
        <w:t>b)</w:t>
      </w:r>
      <w:r w:rsidR="007C2635">
        <w:tab/>
        <w:t>The bill is in line with international and national human rights instruments, as it regulates exclusively the exercise of religious freedom, and not religion itself.</w:t>
      </w:r>
    </w:p>
    <w:p w14:paraId="1FCECC30" w14:textId="1926D2D1" w:rsidR="007C2635" w:rsidRDefault="00C15D37" w:rsidP="00C15D37">
      <w:pPr>
        <w:pStyle w:val="H1G"/>
      </w:pPr>
      <w:r>
        <w:lastRenderedPageBreak/>
        <w:tab/>
      </w:r>
      <w:r>
        <w:tab/>
      </w:r>
      <w:r w:rsidR="007C2635">
        <w:t>Rights to freedom of speech, peaceful assembly and association, and protection of human rights defenders (article 2 e 19–22)</w:t>
      </w:r>
    </w:p>
    <w:p w14:paraId="43C80E4E" w14:textId="77777777" w:rsidR="007C2635" w:rsidRDefault="007C2635" w:rsidP="007C2635">
      <w:pPr>
        <w:pStyle w:val="SingleTxtG"/>
      </w:pPr>
      <w:r>
        <w:t>145.</w:t>
      </w:r>
      <w:r>
        <w:tab/>
        <w:t>The Constitution of the Republic of Mozambique establishes, in its Article 48, the right to freedom of speech and information. Further, Law No. 18/91 of 10 August reinforces freedom of the press, ensuring the independence of the media.</w:t>
      </w:r>
    </w:p>
    <w:p w14:paraId="70E8F24A" w14:textId="77777777" w:rsidR="007C2635" w:rsidRDefault="007C2635" w:rsidP="007C2635">
      <w:pPr>
        <w:pStyle w:val="SingleTxtG"/>
      </w:pPr>
      <w:r>
        <w:t>146.</w:t>
      </w:r>
      <w:r>
        <w:tab/>
        <w:t>As a mechanism for protecting human rights, the Public Prosecutor's Office instituted criminal proceedings No. 1212/1101/P/24, under investigation in the 3rd Criminal Section, against PRM officers for the use of force in expelling a journalist who was covering protesters on 4 June 2024, near the United Nations headquarters in Maputo City.</w:t>
      </w:r>
    </w:p>
    <w:p w14:paraId="32AB5EB1" w14:textId="77777777" w:rsidR="007C2635" w:rsidRDefault="007C2635" w:rsidP="007C2635">
      <w:pPr>
        <w:pStyle w:val="SingleTxtG"/>
      </w:pPr>
      <w:r>
        <w:t>147.</w:t>
      </w:r>
      <w:r>
        <w:tab/>
        <w:t>The Public Prosecutor's Office, as the body responsible for criminal proceedings, acts based on facts and evidence gathered during the investigation and cannot comment on allegations that have not been investigated. Any arrest must be immediately reported to the Public Prosecutor's Office. Acts of torture, harassment, intimidation or other human rights violations are prohibited and punishable by law.</w:t>
      </w:r>
    </w:p>
    <w:p w14:paraId="540B7B5B" w14:textId="0927144B" w:rsidR="007C2635" w:rsidRDefault="00C15D37" w:rsidP="00C15D37">
      <w:pPr>
        <w:pStyle w:val="H1G"/>
      </w:pPr>
      <w:r>
        <w:tab/>
      </w:r>
      <w:r>
        <w:tab/>
      </w:r>
      <w:r w:rsidR="007C2635">
        <w:t>Participation in public affairs (article 25–26)</w:t>
      </w:r>
    </w:p>
    <w:p w14:paraId="1E4B0541" w14:textId="77777777" w:rsidR="007C2635" w:rsidRDefault="007C2635" w:rsidP="007C2635">
      <w:pPr>
        <w:pStyle w:val="SingleTxtG"/>
      </w:pPr>
      <w:r>
        <w:t>148.</w:t>
      </w:r>
      <w:r>
        <w:tab/>
        <w:t>During the 2019 electoral process, there were 352 cases of electoral crimes. 56 cases happened during the voter registration phase, 220 during the election campaign, 71 on polling day and 5 during the counting of votes. The Public Prosecutor's Office also intervened in 22 electoral litigation cases.</w:t>
      </w:r>
    </w:p>
    <w:p w14:paraId="308EFBC2" w14:textId="77777777" w:rsidR="007C2635" w:rsidRDefault="007C2635" w:rsidP="007C2635">
      <w:pPr>
        <w:pStyle w:val="SingleTxtG"/>
      </w:pPr>
      <w:r>
        <w:t>149.</w:t>
      </w:r>
      <w:r>
        <w:tab/>
        <w:t>Throughout the electoral process, 46 criminal offences were also recorded, such as forgery of authentic documents and falsification of documents and voluntary bodily harm.</w:t>
      </w:r>
    </w:p>
    <w:p w14:paraId="242D83C9" w14:textId="77777777" w:rsidR="007C2635" w:rsidRDefault="007C2635" w:rsidP="007C2635">
      <w:pPr>
        <w:pStyle w:val="SingleTxtG"/>
      </w:pPr>
      <w:r>
        <w:t>150.</w:t>
      </w:r>
      <w:r>
        <w:tab/>
        <w:t>Procedural irregularities were detected, such as illegal detention and non-compliance with deadlines, which were duly corrected by the relevant authorities.</w:t>
      </w:r>
    </w:p>
    <w:p w14:paraId="15132A61" w14:textId="77777777" w:rsidR="007C2635" w:rsidRDefault="007C2635" w:rsidP="007C2635">
      <w:pPr>
        <w:pStyle w:val="SingleTxtG"/>
      </w:pPr>
      <w:r>
        <w:t>151.</w:t>
      </w:r>
      <w:r>
        <w:tab/>
      </w:r>
      <w:proofErr w:type="gramStart"/>
      <w:r>
        <w:t>With regard to</w:t>
      </w:r>
      <w:proofErr w:type="gramEnd"/>
      <w:r>
        <w:t xml:space="preserve"> the murder of constitutionalist Gilles </w:t>
      </w:r>
      <w:proofErr w:type="spellStart"/>
      <w:r>
        <w:t>Cistac</w:t>
      </w:r>
      <w:proofErr w:type="spellEnd"/>
      <w:r>
        <w:t xml:space="preserve"> in 2015, the Public Prosecutor's Office filled criminal proceedings No. 408/PRC/2015. As the perpetrators are still at large, an order was issued for further evidence to be produced, which was approved in January 2024.</w:t>
      </w:r>
    </w:p>
    <w:p w14:paraId="071A0E9F" w14:textId="77777777" w:rsidR="007C2635" w:rsidRDefault="007C2635" w:rsidP="007C2635">
      <w:pPr>
        <w:pStyle w:val="SingleTxtG"/>
      </w:pPr>
      <w:r>
        <w:t>152.</w:t>
      </w:r>
      <w:r>
        <w:tab/>
        <w:t>As for the election observer Anastácio Matável, who was murdered on 7 October 2019, the Court sentenced the perpetrators to prison, ranging from 3 to 24 years, as well as ordering them to pay compensation to the victim's family.</w:t>
      </w:r>
    </w:p>
    <w:p w14:paraId="281FAD04" w14:textId="5BE567B8" w:rsidR="007C2635" w:rsidRDefault="00C15D37" w:rsidP="00C15D37">
      <w:pPr>
        <w:pStyle w:val="HChG"/>
      </w:pPr>
      <w:r>
        <w:tab/>
      </w:r>
      <w:r>
        <w:tab/>
      </w:r>
      <w:r w:rsidR="007C2635">
        <w:t>Final Considerations</w:t>
      </w:r>
    </w:p>
    <w:p w14:paraId="612DE2D0" w14:textId="77777777" w:rsidR="007C2635" w:rsidRDefault="007C2635" w:rsidP="007C2635">
      <w:pPr>
        <w:pStyle w:val="SingleTxtG"/>
      </w:pPr>
      <w:r>
        <w:t>153.</w:t>
      </w:r>
      <w:r>
        <w:tab/>
        <w:t>Mozambique reiterates its strong commitment to protecting and promoting human rights, as enshrined in the Constitution of the Republic, national legislation and ratified international instruments, including the International Covenant on Civil and Political Rights (ICCPR).</w:t>
      </w:r>
    </w:p>
    <w:p w14:paraId="51533A93" w14:textId="77777777" w:rsidR="007C2635" w:rsidRDefault="007C2635" w:rsidP="007C2635">
      <w:pPr>
        <w:pStyle w:val="SingleTxtG"/>
      </w:pPr>
      <w:r>
        <w:t>154.</w:t>
      </w:r>
      <w:r>
        <w:tab/>
        <w:t>The State recognises the significant progress in preventing violations, strengthening justice, protecting vulnerable groups, combating human trafficking and managing internally displaced persons. This progress is reflected in the implementation of public policies, legislative review and institutional capacity building.</w:t>
      </w:r>
    </w:p>
    <w:p w14:paraId="393AE1B3" w14:textId="77777777" w:rsidR="007C2635" w:rsidRDefault="007C2635" w:rsidP="007C2635">
      <w:pPr>
        <w:pStyle w:val="SingleTxtG"/>
      </w:pPr>
      <w:r>
        <w:t>155.</w:t>
      </w:r>
      <w:r>
        <w:tab/>
        <w:t>In addition, Mozambique recognises the existence of structural challenges, including armed conflict in Cabo Delgado, prison overcrowding, labour and sexual exploitation, protection of journalists and human rights defenders, as well as the need to integrate gender and social inclusion into public policies.</w:t>
      </w:r>
    </w:p>
    <w:p w14:paraId="236B9BCB" w14:textId="77777777" w:rsidR="007C2635" w:rsidRDefault="007C2635" w:rsidP="007C2635">
      <w:pPr>
        <w:pStyle w:val="SingleTxtG"/>
      </w:pPr>
      <w:r>
        <w:t>156.</w:t>
      </w:r>
      <w:r>
        <w:tab/>
        <w:t>The Government reiterates its determination to improve prevention and protection mechanisms, strengthen inter-institutional and international cooperation, consolidate access to justice, and ensure that all measures adopted are in line with international human rights standards.</w:t>
      </w:r>
    </w:p>
    <w:p w14:paraId="49FFA771" w14:textId="77777777" w:rsidR="007C2635" w:rsidRDefault="007C2635" w:rsidP="007C2635">
      <w:pPr>
        <w:pStyle w:val="SingleTxtG"/>
      </w:pPr>
      <w:r>
        <w:lastRenderedPageBreak/>
        <w:t>157.</w:t>
      </w:r>
      <w:r>
        <w:tab/>
        <w:t>Mozambique remains committed to engaging in dialogue with the Committee, providing additional information when requested, and implementing the recommendations issued, ensuring the full enjoyment of civil and political rights by all citizens and residents of the country.</w:t>
      </w:r>
    </w:p>
    <w:p w14:paraId="6FC7807A" w14:textId="38A4C4C5" w:rsidR="007C2635" w:rsidRDefault="00C15D37" w:rsidP="00C15D37">
      <w:pPr>
        <w:pStyle w:val="H23G"/>
      </w:pPr>
      <w:r>
        <w:tab/>
      </w:r>
      <w:r>
        <w:tab/>
      </w:r>
      <w:r w:rsidR="007C2635">
        <w:t xml:space="preserve">Challenges </w:t>
      </w:r>
    </w:p>
    <w:p w14:paraId="5398ADC6" w14:textId="77777777" w:rsidR="007C2635" w:rsidRDefault="007C2635" w:rsidP="007C2635">
      <w:pPr>
        <w:pStyle w:val="SingleTxtG"/>
      </w:pPr>
      <w:r>
        <w:t>158.</w:t>
      </w:r>
      <w:r>
        <w:tab/>
        <w:t>Despite breakthroughs, the country faces structural challenges that require continued attention, including:</w:t>
      </w:r>
    </w:p>
    <w:p w14:paraId="234F5CAC" w14:textId="0C181387" w:rsidR="007C2635" w:rsidRDefault="00C15D37" w:rsidP="007C2635">
      <w:pPr>
        <w:pStyle w:val="SingleTxtG"/>
      </w:pPr>
      <w:r>
        <w:tab/>
        <w:t>(</w:t>
      </w:r>
      <w:r w:rsidR="007C2635">
        <w:t>a)</w:t>
      </w:r>
      <w:r w:rsidR="007C2635">
        <w:tab/>
        <w:t>Armed conflict and terrorism in Cabo Delgado province, affecting the safety of the population and the protection of fundamental rights</w:t>
      </w:r>
    </w:p>
    <w:p w14:paraId="36A300DC" w14:textId="1F19DE08" w:rsidR="007C2635" w:rsidRDefault="00C15D37" w:rsidP="007C2635">
      <w:pPr>
        <w:pStyle w:val="SingleTxtG"/>
      </w:pPr>
      <w:r>
        <w:tab/>
        <w:t>(</w:t>
      </w:r>
      <w:r w:rsidR="007C2635">
        <w:t>b)</w:t>
      </w:r>
      <w:r w:rsidR="007C2635">
        <w:tab/>
        <w:t>Overcrowding and poor prison conditions</w:t>
      </w:r>
    </w:p>
    <w:p w14:paraId="2664D19D" w14:textId="277E2662" w:rsidR="007C2635" w:rsidRDefault="00C15D37" w:rsidP="007C2635">
      <w:pPr>
        <w:pStyle w:val="SingleTxtG"/>
      </w:pPr>
      <w:r>
        <w:tab/>
        <w:t>(</w:t>
      </w:r>
      <w:r w:rsidR="007C2635">
        <w:t>c)</w:t>
      </w:r>
      <w:r w:rsidR="007C2635">
        <w:tab/>
        <w:t>Labour and sexual exploitation of children and women</w:t>
      </w:r>
    </w:p>
    <w:p w14:paraId="04CA37C6" w14:textId="0868FD68" w:rsidR="007C2635" w:rsidRDefault="00C15D37" w:rsidP="007C2635">
      <w:pPr>
        <w:pStyle w:val="SingleTxtG"/>
      </w:pPr>
      <w:r>
        <w:tab/>
        <w:t>(</w:t>
      </w:r>
      <w:r w:rsidR="007C2635">
        <w:t>d)</w:t>
      </w:r>
      <w:r w:rsidR="007C2635">
        <w:tab/>
        <w:t>Protection of journalists, human rights defenders and vulnerable citizens from threats or violence</w:t>
      </w:r>
    </w:p>
    <w:p w14:paraId="5CCA6232" w14:textId="09A1262D" w:rsidR="007C2635" w:rsidRDefault="00C15D37" w:rsidP="007C2635">
      <w:pPr>
        <w:pStyle w:val="SingleTxtG"/>
      </w:pPr>
      <w:r>
        <w:tab/>
        <w:t>(</w:t>
      </w:r>
      <w:r w:rsidR="007C2635">
        <w:t>e)</w:t>
      </w:r>
      <w:r w:rsidR="007C2635">
        <w:tab/>
        <w:t>The need to strengthen gender inclusion and social integration in public policies and humanitarian responses</w:t>
      </w:r>
    </w:p>
    <w:p w14:paraId="5B260C00" w14:textId="35977ED6" w:rsidR="007C2635" w:rsidRDefault="00C15D37" w:rsidP="007C2635">
      <w:pPr>
        <w:pStyle w:val="SingleTxtG"/>
      </w:pPr>
      <w:r>
        <w:tab/>
        <w:t>(</w:t>
      </w:r>
      <w:r w:rsidR="007C2635">
        <w:t>f)</w:t>
      </w:r>
      <w:r w:rsidR="007C2635">
        <w:tab/>
        <w:t>Prevention and repression of human trafficking, including the improvement of mechanisms for protecting victims</w:t>
      </w:r>
    </w:p>
    <w:p w14:paraId="5DA75528" w14:textId="10B670AE" w:rsidR="007C2635" w:rsidRDefault="00C15D37" w:rsidP="007C2635">
      <w:pPr>
        <w:pStyle w:val="SingleTxtG"/>
      </w:pPr>
      <w:r>
        <w:tab/>
        <w:t>(</w:t>
      </w:r>
      <w:r w:rsidR="007C2635">
        <w:t>g)</w:t>
      </w:r>
      <w:r w:rsidR="007C2635">
        <w:tab/>
        <w:t>Guaranteeing full access to justice, including procedural speed, training and continuous capacity building for magistrates and security agents.</w:t>
      </w:r>
    </w:p>
    <w:p w14:paraId="777AD4B7" w14:textId="6A2214A8" w:rsidR="007C2635" w:rsidRDefault="00C15D37" w:rsidP="00C15D37">
      <w:pPr>
        <w:pStyle w:val="H23G"/>
      </w:pPr>
      <w:r>
        <w:tab/>
      </w:r>
      <w:r>
        <w:tab/>
      </w:r>
      <w:r w:rsidR="007C2635">
        <w:t>Perspectives</w:t>
      </w:r>
    </w:p>
    <w:p w14:paraId="3E3F73FB" w14:textId="77777777" w:rsidR="007C2635" w:rsidRDefault="007C2635" w:rsidP="007C2635">
      <w:pPr>
        <w:pStyle w:val="SingleTxtG"/>
      </w:pPr>
      <w:r>
        <w:t>159.</w:t>
      </w:r>
      <w:r>
        <w:tab/>
        <w:t>Mozambique outlines the following strategic perspectives to consolidate and streamline the promotion of human rights:</w:t>
      </w:r>
    </w:p>
    <w:p w14:paraId="235135A2" w14:textId="0790315E" w:rsidR="007C2635" w:rsidRDefault="00C15D37" w:rsidP="007C2635">
      <w:pPr>
        <w:pStyle w:val="SingleTxtG"/>
      </w:pPr>
      <w:r>
        <w:tab/>
        <w:t>(</w:t>
      </w:r>
      <w:r w:rsidR="007C2635">
        <w:t>a)</w:t>
      </w:r>
      <w:r w:rsidR="007C2635">
        <w:tab/>
        <w:t>Strengthen inter-institutional and international cooperation to prevent and combat human rights violations</w:t>
      </w:r>
    </w:p>
    <w:p w14:paraId="7D834C55" w14:textId="60A92ED7" w:rsidR="007C2635" w:rsidRDefault="00C15D37" w:rsidP="007C2635">
      <w:pPr>
        <w:pStyle w:val="SingleTxtG"/>
      </w:pPr>
      <w:r>
        <w:tab/>
        <w:t>(</w:t>
      </w:r>
      <w:r w:rsidR="007C2635">
        <w:t>b)</w:t>
      </w:r>
      <w:r w:rsidR="007C2635">
        <w:tab/>
        <w:t>Expand training programs for magistrates, security and justice officers, focusing on compliance with international standards</w:t>
      </w:r>
    </w:p>
    <w:p w14:paraId="311459D5" w14:textId="49E6F4D1" w:rsidR="007C2635" w:rsidRDefault="00C15D37" w:rsidP="007C2635">
      <w:pPr>
        <w:pStyle w:val="SingleTxtG"/>
      </w:pPr>
      <w:r>
        <w:tab/>
        <w:t>(</w:t>
      </w:r>
      <w:r w:rsidR="007C2635">
        <w:t>c)</w:t>
      </w:r>
      <w:r w:rsidR="007C2635">
        <w:tab/>
        <w:t>Improve policies for social reintegration and protection of victims of violence, human trafficking and internal displacement</w:t>
      </w:r>
    </w:p>
    <w:p w14:paraId="74C70B14" w14:textId="1E4AB5C8" w:rsidR="007C2635" w:rsidRDefault="00C15D37" w:rsidP="007C2635">
      <w:pPr>
        <w:pStyle w:val="SingleTxtG"/>
      </w:pPr>
      <w:r>
        <w:tab/>
        <w:t>(</w:t>
      </w:r>
      <w:r w:rsidR="007C2635">
        <w:t>d)</w:t>
      </w:r>
      <w:r w:rsidR="007C2635">
        <w:tab/>
        <w:t>Improve material and logistical conditions in prisons, promoting dignity and respect for the fundamental rights of inmates</w:t>
      </w:r>
    </w:p>
    <w:p w14:paraId="13010224" w14:textId="4BFE9088" w:rsidR="007C2635" w:rsidRDefault="00C15D37" w:rsidP="007C2635">
      <w:pPr>
        <w:pStyle w:val="SingleTxtG"/>
      </w:pPr>
      <w:r>
        <w:tab/>
        <w:t>(</w:t>
      </w:r>
      <w:r w:rsidR="007C2635">
        <w:t>e)</w:t>
      </w:r>
      <w:r w:rsidR="007C2635">
        <w:tab/>
        <w:t>Expand reporting and monitoring mechanisms and holding human rights violators accountable</w:t>
      </w:r>
    </w:p>
    <w:p w14:paraId="28BBECEE" w14:textId="6DF4BA42" w:rsidR="007C2635" w:rsidRDefault="00C15D37" w:rsidP="007C2635">
      <w:pPr>
        <w:pStyle w:val="SingleTxtG"/>
      </w:pPr>
      <w:r>
        <w:tab/>
        <w:t>(</w:t>
      </w:r>
      <w:r w:rsidR="007C2635">
        <w:t>f)</w:t>
      </w:r>
      <w:r w:rsidR="007C2635">
        <w:tab/>
        <w:t>Promote awareness and civic education on human rights, freedom of expression, political participation and access to justice</w:t>
      </w:r>
    </w:p>
    <w:p w14:paraId="4C7D35BC" w14:textId="1DE0350D" w:rsidR="007C2635" w:rsidRDefault="00C15D37" w:rsidP="007C2635">
      <w:pPr>
        <w:pStyle w:val="SingleTxtG"/>
      </w:pPr>
      <w:r>
        <w:tab/>
        <w:t>(</w:t>
      </w:r>
      <w:r w:rsidR="007C2635">
        <w:t>g)</w:t>
      </w:r>
      <w:r w:rsidR="007C2635">
        <w:tab/>
        <w:t>Consolidate legal and normative instruments to ensure the full effectiveness of the International Covenant on Civil and Political Rights in Mozambique</w:t>
      </w:r>
    </w:p>
    <w:p w14:paraId="45EC771A" w14:textId="7ABD5BB8" w:rsidR="00C715D0" w:rsidRPr="004A48CA" w:rsidRDefault="00C15D37" w:rsidP="00C15D37">
      <w:pPr>
        <w:pStyle w:val="SingleTxtG"/>
        <w:jc w:val="center"/>
      </w:pPr>
      <w:r>
        <w:t>___________</w:t>
      </w:r>
    </w:p>
    <w:sectPr w:rsidR="00C715D0" w:rsidRPr="004A48CA"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300AA0" w14:textId="77777777" w:rsidR="0049642B" w:rsidRDefault="0049642B" w:rsidP="00F95C08">
      <w:pPr>
        <w:spacing w:line="240" w:lineRule="auto"/>
      </w:pPr>
    </w:p>
  </w:endnote>
  <w:endnote w:type="continuationSeparator" w:id="0">
    <w:p w14:paraId="33127580" w14:textId="77777777" w:rsidR="0049642B" w:rsidRPr="00AC3823" w:rsidRDefault="0049642B" w:rsidP="00AC3823">
      <w:pPr>
        <w:pStyle w:val="Footer"/>
      </w:pPr>
    </w:p>
  </w:endnote>
  <w:endnote w:type="continuationNotice" w:id="1">
    <w:p w14:paraId="3767B2D8" w14:textId="77777777" w:rsidR="0049642B" w:rsidRDefault="004964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7B5CC" w14:textId="77777777" w:rsidR="006056E0" w:rsidRDefault="0049642B" w:rsidP="005B6BC9">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4D2814">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D5F44" w14:textId="77777777" w:rsidR="001E498C" w:rsidRDefault="005B6BC9" w:rsidP="005B6BC9">
    <w:pPr>
      <w:pStyle w:val="Footer"/>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B9766A">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3B6B4" w14:textId="77777777" w:rsidR="008F69EF" w:rsidRPr="006A2080" w:rsidRDefault="0049642B" w:rsidP="008F69EF">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21B4B1CA" wp14:editId="2C155AC4">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CB56FC" w:rsidRPr="006A2080">
      <w:rPr>
        <w:sz w:val="20"/>
      </w:rPr>
      <w:t>GE.</w:t>
    </w:r>
    <w:r w:rsidR="00CB56FC" w:rsidRPr="006A2080">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817DFC" w14:paraId="2F1DAD06" w14:textId="77777777" w:rsidTr="004B66EA">
      <w:tc>
        <w:tcPr>
          <w:tcW w:w="1848" w:type="dxa"/>
          <w:vAlign w:val="bottom"/>
        </w:tcPr>
        <w:p w14:paraId="0E6505EA" w14:textId="77777777" w:rsidR="008F69EF" w:rsidRPr="008F69EF" w:rsidRDefault="0049642B" w:rsidP="008F69EF">
          <w:pPr>
            <w:kinsoku w:val="0"/>
            <w:overflowPunct w:val="0"/>
            <w:autoSpaceDE w:val="0"/>
            <w:autoSpaceDN w:val="0"/>
            <w:adjustRightInd w:val="0"/>
            <w:snapToGrid w:val="0"/>
            <w:spacing w:before="120" w:after="120" w:line="240" w:lineRule="auto"/>
            <w:jc w:val="right"/>
            <w:rPr>
              <w:rFonts w:eastAsiaTheme="minorHAnsi"/>
              <w:sz w:val="16"/>
              <w:lang w:val="fr-CH"/>
            </w:rPr>
          </w:pPr>
          <w:r w:rsidRPr="008F69EF">
            <w:rPr>
              <w:rFonts w:eastAsiaTheme="minorHAnsi"/>
              <w:noProof/>
              <w:lang w:val="fr-CH" w:eastAsia="fr-CH"/>
            </w:rPr>
            <w:drawing>
              <wp:inline distT="0" distB="0" distL="0" distR="0" wp14:anchorId="4A47D683" wp14:editId="40FD3A1A">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54A09269" w14:textId="77777777" w:rsidR="008F69EF" w:rsidRPr="008F69EF" w:rsidRDefault="008F69EF" w:rsidP="008F69EF">
          <w:pPr>
            <w:kinsoku w:val="0"/>
            <w:overflowPunct w:val="0"/>
            <w:autoSpaceDE w:val="0"/>
            <w:autoSpaceDN w:val="0"/>
            <w:adjustRightInd w:val="0"/>
            <w:snapToGrid w:val="0"/>
            <w:spacing w:line="240" w:lineRule="auto"/>
            <w:jc w:val="right"/>
            <w:rPr>
              <w:rFonts w:eastAsiaTheme="minorHAnsi"/>
              <w:sz w:val="16"/>
              <w:lang w:val="fr-CH"/>
            </w:rPr>
          </w:pPr>
        </w:p>
      </w:tc>
    </w:tr>
  </w:tbl>
  <w:p w14:paraId="208381B8" w14:textId="77777777" w:rsidR="006056E0" w:rsidRDefault="006056E0" w:rsidP="008F69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A69E3" w14:textId="77777777" w:rsidR="0049642B" w:rsidRPr="00AC3823" w:rsidRDefault="0049642B" w:rsidP="00AC3823">
      <w:pPr>
        <w:pStyle w:val="Footer"/>
        <w:tabs>
          <w:tab w:val="right" w:pos="2155"/>
        </w:tabs>
        <w:spacing w:after="80" w:line="240" w:lineRule="atLeast"/>
        <w:ind w:left="680"/>
        <w:rPr>
          <w:u w:val="single"/>
        </w:rPr>
      </w:pPr>
      <w:r>
        <w:rPr>
          <w:u w:val="single"/>
        </w:rPr>
        <w:tab/>
      </w:r>
    </w:p>
  </w:footnote>
  <w:footnote w:type="continuationSeparator" w:id="0">
    <w:p w14:paraId="3DD0F20A" w14:textId="77777777" w:rsidR="0049642B" w:rsidRPr="00AC3823" w:rsidRDefault="0049642B" w:rsidP="00AC3823">
      <w:pPr>
        <w:pStyle w:val="Footer"/>
        <w:tabs>
          <w:tab w:val="right" w:pos="2155"/>
        </w:tabs>
        <w:spacing w:after="80" w:line="240" w:lineRule="atLeast"/>
        <w:ind w:left="680"/>
        <w:rPr>
          <w:u w:val="single"/>
        </w:rPr>
      </w:pPr>
      <w:r>
        <w:rPr>
          <w:u w:val="single"/>
        </w:rPr>
        <w:tab/>
      </w:r>
    </w:p>
  </w:footnote>
  <w:footnote w:type="continuationNotice" w:id="1">
    <w:p w14:paraId="6C5712B4" w14:textId="77777777" w:rsidR="0049642B" w:rsidRPr="00AC3823" w:rsidRDefault="0049642B">
      <w:pPr>
        <w:spacing w:line="240" w:lineRule="auto"/>
        <w:rPr>
          <w:sz w:val="2"/>
          <w:szCs w:val="2"/>
        </w:rPr>
      </w:pPr>
    </w:p>
  </w:footnote>
  <w:footnote w:id="2">
    <w:p w14:paraId="4DAAE178" w14:textId="77777777" w:rsidR="007B1A27" w:rsidRDefault="0049642B" w:rsidP="007B1A27">
      <w:pPr>
        <w:pStyle w:val="FootnoteText"/>
      </w:pPr>
      <w:r>
        <w:tab/>
      </w:r>
      <w:r w:rsidRPr="007B1A27">
        <w:rPr>
          <w:rStyle w:val="FootnoteReference"/>
          <w:sz w:val="20"/>
          <w:vertAlign w:val="baseline"/>
        </w:rPr>
        <w:t>*</w:t>
      </w:r>
      <w:r>
        <w:tab/>
        <w:t>The present document is being issued without formal editing</w:t>
      </w:r>
      <w:r w:rsidRPr="00C7194D">
        <w:rPr>
          <w:szCs w:val="18"/>
        </w:rPr>
        <w:t>.</w:t>
      </w:r>
      <w:r>
        <w:rPr>
          <w:szCs w:val="18"/>
        </w:rPr>
        <w:t xml:space="preserve"> </w:t>
      </w:r>
    </w:p>
  </w:footnote>
  <w:footnote w:id="3">
    <w:p w14:paraId="2F989342" w14:textId="72134CC8" w:rsidR="007B1A27" w:rsidRPr="006146BE" w:rsidRDefault="0049642B" w:rsidP="007B1A27">
      <w:pPr>
        <w:pStyle w:val="FootnoteText"/>
        <w:rPr>
          <w:sz w:val="20"/>
        </w:rPr>
      </w:pPr>
      <w:r>
        <w:rPr>
          <w:color w:val="FF0000"/>
        </w:rPr>
        <w:tab/>
      </w:r>
      <w:r w:rsidRPr="007B1A27">
        <w:rPr>
          <w:rStyle w:val="FootnoteReference"/>
          <w:sz w:val="20"/>
          <w:vertAlign w:val="baseline"/>
        </w:rPr>
        <w:t>**</w:t>
      </w:r>
      <w:r>
        <w:rPr>
          <w:sz w:val="20"/>
        </w:rPr>
        <w:tab/>
      </w:r>
      <w:r>
        <w:t xml:space="preserve">The present document was submitted pursuant to the simplified reporting procedure. </w:t>
      </w:r>
      <w:r w:rsidRPr="007C08F8">
        <w:t xml:space="preserve">It contains the responses of the State party to the Committee’s list of issues prior to reporting </w:t>
      </w:r>
      <w:r w:rsidRPr="002872D4">
        <w:t>(</w:t>
      </w:r>
      <w:hyperlink r:id="rId1" w:history="1">
        <w:r w:rsidRPr="0024619B">
          <w:rPr>
            <w:rStyle w:val="Hyperlink"/>
          </w:rPr>
          <w:t>CCPR/C/</w:t>
        </w:r>
        <w:r w:rsidR="007C2635" w:rsidRPr="0024619B">
          <w:rPr>
            <w:rStyle w:val="Hyperlink"/>
          </w:rPr>
          <w:t>MOZ</w:t>
        </w:r>
        <w:r w:rsidRPr="0024619B">
          <w:rPr>
            <w:rStyle w:val="Hyperlink"/>
          </w:rPr>
          <w:t>/QPR/</w:t>
        </w:r>
        <w:r w:rsidR="007C2635" w:rsidRPr="0024619B">
          <w:rPr>
            <w:rStyle w:val="Hyperlink"/>
          </w:rPr>
          <w:t>2</w:t>
        </w:r>
      </w:hyperlink>
      <w:r w:rsidRPr="002872D4">
        <w:t>)</w:t>
      </w:r>
      <w:r w:rsidRPr="007C08F8">
        <w:t>.</w:t>
      </w:r>
    </w:p>
    <w:p w14:paraId="0B561C94" w14:textId="09321F19" w:rsidR="007B1A27" w:rsidRPr="0040591D" w:rsidRDefault="0049642B" w:rsidP="007B1A27">
      <w:pPr>
        <w:pStyle w:val="FootnoteText"/>
        <w:rPr>
          <w:lang w:val="en-US"/>
        </w:rPr>
      </w:pPr>
      <w:r>
        <w:rPr>
          <w:color w:val="FF0000"/>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45F6B" w14:textId="77777777" w:rsidR="006056E0" w:rsidRDefault="008F69EF">
    <w:pPr>
      <w:pStyle w:val="Header"/>
    </w:pPr>
    <w:r>
      <w:t>CCPR/C/MOZ/2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E91BC" w14:textId="77777777" w:rsidR="005B6BC9" w:rsidRDefault="008F69EF" w:rsidP="005B6BC9">
    <w:pPr>
      <w:pStyle w:val="Header"/>
      <w:jc w:val="right"/>
    </w:pPr>
    <w:r>
      <w:t>CCPR/C/MOZ/2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AC5EB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CAF4D3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2B362816"/>
    <w:lvl w:ilvl="0" w:tplc="E17A82A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BBAFD62" w:tentative="1">
      <w:start w:val="1"/>
      <w:numFmt w:val="lowerLetter"/>
      <w:lvlText w:val="%2."/>
      <w:lvlJc w:val="left"/>
      <w:pPr>
        <w:tabs>
          <w:tab w:val="num" w:pos="1440"/>
        </w:tabs>
        <w:ind w:left="1440" w:hanging="360"/>
      </w:pPr>
    </w:lvl>
    <w:lvl w:ilvl="2" w:tplc="2A3A5D42" w:tentative="1">
      <w:start w:val="1"/>
      <w:numFmt w:val="lowerRoman"/>
      <w:lvlText w:val="%3."/>
      <w:lvlJc w:val="right"/>
      <w:pPr>
        <w:tabs>
          <w:tab w:val="num" w:pos="2160"/>
        </w:tabs>
        <w:ind w:left="2160" w:hanging="180"/>
      </w:pPr>
    </w:lvl>
    <w:lvl w:ilvl="3" w:tplc="156C548C" w:tentative="1">
      <w:start w:val="1"/>
      <w:numFmt w:val="decimal"/>
      <w:lvlText w:val="%4."/>
      <w:lvlJc w:val="left"/>
      <w:pPr>
        <w:tabs>
          <w:tab w:val="num" w:pos="2880"/>
        </w:tabs>
        <w:ind w:left="2880" w:hanging="360"/>
      </w:pPr>
    </w:lvl>
    <w:lvl w:ilvl="4" w:tplc="FB1E5E66" w:tentative="1">
      <w:start w:val="1"/>
      <w:numFmt w:val="lowerLetter"/>
      <w:lvlText w:val="%5."/>
      <w:lvlJc w:val="left"/>
      <w:pPr>
        <w:tabs>
          <w:tab w:val="num" w:pos="3600"/>
        </w:tabs>
        <w:ind w:left="3600" w:hanging="360"/>
      </w:pPr>
    </w:lvl>
    <w:lvl w:ilvl="5" w:tplc="CF12A202" w:tentative="1">
      <w:start w:val="1"/>
      <w:numFmt w:val="lowerRoman"/>
      <w:lvlText w:val="%6."/>
      <w:lvlJc w:val="right"/>
      <w:pPr>
        <w:tabs>
          <w:tab w:val="num" w:pos="4320"/>
        </w:tabs>
        <w:ind w:left="4320" w:hanging="180"/>
      </w:pPr>
    </w:lvl>
    <w:lvl w:ilvl="6" w:tplc="C654184C" w:tentative="1">
      <w:start w:val="1"/>
      <w:numFmt w:val="decimal"/>
      <w:lvlText w:val="%7."/>
      <w:lvlJc w:val="left"/>
      <w:pPr>
        <w:tabs>
          <w:tab w:val="num" w:pos="5040"/>
        </w:tabs>
        <w:ind w:left="5040" w:hanging="360"/>
      </w:pPr>
    </w:lvl>
    <w:lvl w:ilvl="7" w:tplc="5E58DC24" w:tentative="1">
      <w:start w:val="1"/>
      <w:numFmt w:val="lowerLetter"/>
      <w:lvlText w:val="%8."/>
      <w:lvlJc w:val="left"/>
      <w:pPr>
        <w:tabs>
          <w:tab w:val="num" w:pos="5760"/>
        </w:tabs>
        <w:ind w:left="5760" w:hanging="360"/>
      </w:pPr>
    </w:lvl>
    <w:lvl w:ilvl="8" w:tplc="DDA49E0E"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CB6C816A"/>
    <w:lvl w:ilvl="0" w:tplc="09DEE470">
      <w:start w:val="1"/>
      <w:numFmt w:val="bullet"/>
      <w:pStyle w:val="Bullet2G"/>
      <w:lvlText w:val="•"/>
      <w:lvlJc w:val="left"/>
      <w:pPr>
        <w:tabs>
          <w:tab w:val="num" w:pos="2268"/>
        </w:tabs>
        <w:ind w:left="2268" w:hanging="170"/>
      </w:pPr>
      <w:rPr>
        <w:rFonts w:ascii="Times New Roman" w:hAnsi="Times New Roman" w:cs="Times New Roman" w:hint="default"/>
      </w:rPr>
    </w:lvl>
    <w:lvl w:ilvl="1" w:tplc="3C6EBE4C" w:tentative="1">
      <w:start w:val="1"/>
      <w:numFmt w:val="bullet"/>
      <w:lvlText w:val="o"/>
      <w:lvlJc w:val="left"/>
      <w:pPr>
        <w:tabs>
          <w:tab w:val="num" w:pos="3708"/>
        </w:tabs>
        <w:ind w:left="3708" w:hanging="360"/>
      </w:pPr>
      <w:rPr>
        <w:rFonts w:ascii="Courier New" w:hAnsi="Courier New" w:hint="default"/>
      </w:rPr>
    </w:lvl>
    <w:lvl w:ilvl="2" w:tplc="00540A70" w:tentative="1">
      <w:start w:val="1"/>
      <w:numFmt w:val="bullet"/>
      <w:lvlText w:val=""/>
      <w:lvlJc w:val="left"/>
      <w:pPr>
        <w:tabs>
          <w:tab w:val="num" w:pos="4428"/>
        </w:tabs>
        <w:ind w:left="4428" w:hanging="360"/>
      </w:pPr>
      <w:rPr>
        <w:rFonts w:ascii="Wingdings" w:hAnsi="Wingdings" w:hint="default"/>
      </w:rPr>
    </w:lvl>
    <w:lvl w:ilvl="3" w:tplc="EAAA1D44" w:tentative="1">
      <w:start w:val="1"/>
      <w:numFmt w:val="bullet"/>
      <w:lvlText w:val=""/>
      <w:lvlJc w:val="left"/>
      <w:pPr>
        <w:tabs>
          <w:tab w:val="num" w:pos="5148"/>
        </w:tabs>
        <w:ind w:left="5148" w:hanging="360"/>
      </w:pPr>
      <w:rPr>
        <w:rFonts w:ascii="Symbol" w:hAnsi="Symbol" w:hint="default"/>
      </w:rPr>
    </w:lvl>
    <w:lvl w:ilvl="4" w:tplc="F8B4D87C" w:tentative="1">
      <w:start w:val="1"/>
      <w:numFmt w:val="bullet"/>
      <w:lvlText w:val="o"/>
      <w:lvlJc w:val="left"/>
      <w:pPr>
        <w:tabs>
          <w:tab w:val="num" w:pos="5868"/>
        </w:tabs>
        <w:ind w:left="5868" w:hanging="360"/>
      </w:pPr>
      <w:rPr>
        <w:rFonts w:ascii="Courier New" w:hAnsi="Courier New" w:hint="default"/>
      </w:rPr>
    </w:lvl>
    <w:lvl w:ilvl="5" w:tplc="9EA0F0F8" w:tentative="1">
      <w:start w:val="1"/>
      <w:numFmt w:val="bullet"/>
      <w:lvlText w:val=""/>
      <w:lvlJc w:val="left"/>
      <w:pPr>
        <w:tabs>
          <w:tab w:val="num" w:pos="6588"/>
        </w:tabs>
        <w:ind w:left="6588" w:hanging="360"/>
      </w:pPr>
      <w:rPr>
        <w:rFonts w:ascii="Wingdings" w:hAnsi="Wingdings" w:hint="default"/>
      </w:rPr>
    </w:lvl>
    <w:lvl w:ilvl="6" w:tplc="FB06D360" w:tentative="1">
      <w:start w:val="1"/>
      <w:numFmt w:val="bullet"/>
      <w:lvlText w:val=""/>
      <w:lvlJc w:val="left"/>
      <w:pPr>
        <w:tabs>
          <w:tab w:val="num" w:pos="7308"/>
        </w:tabs>
        <w:ind w:left="7308" w:hanging="360"/>
      </w:pPr>
      <w:rPr>
        <w:rFonts w:ascii="Symbol" w:hAnsi="Symbol" w:hint="default"/>
      </w:rPr>
    </w:lvl>
    <w:lvl w:ilvl="7" w:tplc="86526300" w:tentative="1">
      <w:start w:val="1"/>
      <w:numFmt w:val="bullet"/>
      <w:lvlText w:val="o"/>
      <w:lvlJc w:val="left"/>
      <w:pPr>
        <w:tabs>
          <w:tab w:val="num" w:pos="8028"/>
        </w:tabs>
        <w:ind w:left="8028" w:hanging="360"/>
      </w:pPr>
      <w:rPr>
        <w:rFonts w:ascii="Courier New" w:hAnsi="Courier New" w:hint="default"/>
      </w:rPr>
    </w:lvl>
    <w:lvl w:ilvl="8" w:tplc="57C6C6CE"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0F6C0202">
      <w:start w:val="1"/>
      <w:numFmt w:val="bullet"/>
      <w:pStyle w:val="Bullet1G"/>
      <w:lvlText w:val="•"/>
      <w:lvlJc w:val="left"/>
      <w:pPr>
        <w:tabs>
          <w:tab w:val="num" w:pos="1701"/>
        </w:tabs>
        <w:ind w:left="1701" w:hanging="170"/>
      </w:pPr>
      <w:rPr>
        <w:rFonts w:ascii="Times New Roman" w:hAnsi="Times New Roman" w:cs="Times New Roman" w:hint="default"/>
      </w:rPr>
    </w:lvl>
    <w:lvl w:ilvl="1" w:tplc="852A1786" w:tentative="1">
      <w:start w:val="1"/>
      <w:numFmt w:val="bullet"/>
      <w:lvlText w:val="o"/>
      <w:lvlJc w:val="left"/>
      <w:pPr>
        <w:tabs>
          <w:tab w:val="num" w:pos="3141"/>
        </w:tabs>
        <w:ind w:left="3141" w:hanging="360"/>
      </w:pPr>
      <w:rPr>
        <w:rFonts w:ascii="Courier New" w:hAnsi="Courier New" w:hint="default"/>
      </w:rPr>
    </w:lvl>
    <w:lvl w:ilvl="2" w:tplc="D138FFCC" w:tentative="1">
      <w:start w:val="1"/>
      <w:numFmt w:val="bullet"/>
      <w:lvlText w:val=""/>
      <w:lvlJc w:val="left"/>
      <w:pPr>
        <w:tabs>
          <w:tab w:val="num" w:pos="3861"/>
        </w:tabs>
        <w:ind w:left="3861" w:hanging="360"/>
      </w:pPr>
      <w:rPr>
        <w:rFonts w:ascii="Wingdings" w:hAnsi="Wingdings" w:hint="default"/>
      </w:rPr>
    </w:lvl>
    <w:lvl w:ilvl="3" w:tplc="DE028E48" w:tentative="1">
      <w:start w:val="1"/>
      <w:numFmt w:val="bullet"/>
      <w:lvlText w:val=""/>
      <w:lvlJc w:val="left"/>
      <w:pPr>
        <w:tabs>
          <w:tab w:val="num" w:pos="4581"/>
        </w:tabs>
        <w:ind w:left="4581" w:hanging="360"/>
      </w:pPr>
      <w:rPr>
        <w:rFonts w:ascii="Symbol" w:hAnsi="Symbol" w:hint="default"/>
      </w:rPr>
    </w:lvl>
    <w:lvl w:ilvl="4" w:tplc="03FE79B6" w:tentative="1">
      <w:start w:val="1"/>
      <w:numFmt w:val="bullet"/>
      <w:lvlText w:val="o"/>
      <w:lvlJc w:val="left"/>
      <w:pPr>
        <w:tabs>
          <w:tab w:val="num" w:pos="5301"/>
        </w:tabs>
        <w:ind w:left="5301" w:hanging="360"/>
      </w:pPr>
      <w:rPr>
        <w:rFonts w:ascii="Courier New" w:hAnsi="Courier New" w:hint="default"/>
      </w:rPr>
    </w:lvl>
    <w:lvl w:ilvl="5" w:tplc="C91019E0" w:tentative="1">
      <w:start w:val="1"/>
      <w:numFmt w:val="bullet"/>
      <w:lvlText w:val=""/>
      <w:lvlJc w:val="left"/>
      <w:pPr>
        <w:tabs>
          <w:tab w:val="num" w:pos="6021"/>
        </w:tabs>
        <w:ind w:left="6021" w:hanging="360"/>
      </w:pPr>
      <w:rPr>
        <w:rFonts w:ascii="Wingdings" w:hAnsi="Wingdings" w:hint="default"/>
      </w:rPr>
    </w:lvl>
    <w:lvl w:ilvl="6" w:tplc="E73C8180" w:tentative="1">
      <w:start w:val="1"/>
      <w:numFmt w:val="bullet"/>
      <w:lvlText w:val=""/>
      <w:lvlJc w:val="left"/>
      <w:pPr>
        <w:tabs>
          <w:tab w:val="num" w:pos="6741"/>
        </w:tabs>
        <w:ind w:left="6741" w:hanging="360"/>
      </w:pPr>
      <w:rPr>
        <w:rFonts w:ascii="Symbol" w:hAnsi="Symbol" w:hint="default"/>
      </w:rPr>
    </w:lvl>
    <w:lvl w:ilvl="7" w:tplc="80D4AD48" w:tentative="1">
      <w:start w:val="1"/>
      <w:numFmt w:val="bullet"/>
      <w:lvlText w:val="o"/>
      <w:lvlJc w:val="left"/>
      <w:pPr>
        <w:tabs>
          <w:tab w:val="num" w:pos="7461"/>
        </w:tabs>
        <w:ind w:left="7461" w:hanging="360"/>
      </w:pPr>
      <w:rPr>
        <w:rFonts w:ascii="Courier New" w:hAnsi="Courier New" w:hint="default"/>
      </w:rPr>
    </w:lvl>
    <w:lvl w:ilvl="8" w:tplc="131EEE1A"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47488153">
    <w:abstractNumId w:val="15"/>
  </w:num>
  <w:num w:numId="2" w16cid:durableId="503282759">
    <w:abstractNumId w:val="13"/>
  </w:num>
  <w:num w:numId="3" w16cid:durableId="760685366">
    <w:abstractNumId w:val="12"/>
  </w:num>
  <w:num w:numId="4" w16cid:durableId="1154684416">
    <w:abstractNumId w:val="8"/>
  </w:num>
  <w:num w:numId="5" w16cid:durableId="1510221504">
    <w:abstractNumId w:val="3"/>
  </w:num>
  <w:num w:numId="6" w16cid:durableId="1706252987">
    <w:abstractNumId w:val="2"/>
  </w:num>
  <w:num w:numId="7" w16cid:durableId="2066293346">
    <w:abstractNumId w:val="1"/>
  </w:num>
  <w:num w:numId="8" w16cid:durableId="154150074">
    <w:abstractNumId w:val="0"/>
  </w:num>
  <w:num w:numId="9" w16cid:durableId="1239250215">
    <w:abstractNumId w:val="9"/>
  </w:num>
  <w:num w:numId="10" w16cid:durableId="397901183">
    <w:abstractNumId w:val="7"/>
  </w:num>
  <w:num w:numId="11" w16cid:durableId="1762220605">
    <w:abstractNumId w:val="6"/>
  </w:num>
  <w:num w:numId="12" w16cid:durableId="151726042">
    <w:abstractNumId w:val="5"/>
  </w:num>
  <w:num w:numId="13" w16cid:durableId="750279769">
    <w:abstractNumId w:val="4"/>
  </w:num>
  <w:num w:numId="14" w16cid:durableId="1130897812">
    <w:abstractNumId w:val="15"/>
  </w:num>
  <w:num w:numId="15" w16cid:durableId="604076530">
    <w:abstractNumId w:val="13"/>
  </w:num>
  <w:num w:numId="16" w16cid:durableId="1468544641">
    <w:abstractNumId w:val="12"/>
  </w:num>
  <w:num w:numId="17" w16cid:durableId="1932856389">
    <w:abstractNumId w:val="10"/>
  </w:num>
  <w:num w:numId="18" w16cid:durableId="1179388739">
    <w:abstractNumId w:val="14"/>
  </w:num>
  <w:num w:numId="19" w16cid:durableId="1180704274">
    <w:abstractNumId w:val="11"/>
  </w:num>
  <w:num w:numId="20" w16cid:durableId="20381916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0085"/>
    <w:rsid w:val="000334F9"/>
    <w:rsid w:val="0007796D"/>
    <w:rsid w:val="000B7790"/>
    <w:rsid w:val="000C390E"/>
    <w:rsid w:val="000C4A15"/>
    <w:rsid w:val="00111F2F"/>
    <w:rsid w:val="00140B6A"/>
    <w:rsid w:val="0014365E"/>
    <w:rsid w:val="0015037D"/>
    <w:rsid w:val="00150DB2"/>
    <w:rsid w:val="00176178"/>
    <w:rsid w:val="001E498C"/>
    <w:rsid w:val="001F3AC2"/>
    <w:rsid w:val="001F525A"/>
    <w:rsid w:val="00223272"/>
    <w:rsid w:val="00231953"/>
    <w:rsid w:val="0024619B"/>
    <w:rsid w:val="0024779E"/>
    <w:rsid w:val="0026444E"/>
    <w:rsid w:val="002872D4"/>
    <w:rsid w:val="00291F1D"/>
    <w:rsid w:val="002C769C"/>
    <w:rsid w:val="002E04D8"/>
    <w:rsid w:val="003210CA"/>
    <w:rsid w:val="00353ED5"/>
    <w:rsid w:val="00377FE8"/>
    <w:rsid w:val="0039005B"/>
    <w:rsid w:val="003D1AD0"/>
    <w:rsid w:val="0040591D"/>
    <w:rsid w:val="00446FE5"/>
    <w:rsid w:val="00452396"/>
    <w:rsid w:val="00455DD8"/>
    <w:rsid w:val="0049642B"/>
    <w:rsid w:val="004A48CA"/>
    <w:rsid w:val="004D0848"/>
    <w:rsid w:val="004D2814"/>
    <w:rsid w:val="005505B7"/>
    <w:rsid w:val="00573BE5"/>
    <w:rsid w:val="00586ED3"/>
    <w:rsid w:val="00596AA9"/>
    <w:rsid w:val="005A14CB"/>
    <w:rsid w:val="005B43E7"/>
    <w:rsid w:val="005B6BC9"/>
    <w:rsid w:val="005C06D4"/>
    <w:rsid w:val="005C554F"/>
    <w:rsid w:val="005E5372"/>
    <w:rsid w:val="006056E0"/>
    <w:rsid w:val="0060662F"/>
    <w:rsid w:val="006146BE"/>
    <w:rsid w:val="006147E3"/>
    <w:rsid w:val="00647ADF"/>
    <w:rsid w:val="00670DFB"/>
    <w:rsid w:val="00691F46"/>
    <w:rsid w:val="006A2080"/>
    <w:rsid w:val="006A5682"/>
    <w:rsid w:val="006B1483"/>
    <w:rsid w:val="006B627B"/>
    <w:rsid w:val="006C0A95"/>
    <w:rsid w:val="007003CE"/>
    <w:rsid w:val="00706E82"/>
    <w:rsid w:val="0071601D"/>
    <w:rsid w:val="0072392D"/>
    <w:rsid w:val="00766CEC"/>
    <w:rsid w:val="007A1FF5"/>
    <w:rsid w:val="007A62E6"/>
    <w:rsid w:val="007B1A27"/>
    <w:rsid w:val="007C08F8"/>
    <w:rsid w:val="007C2635"/>
    <w:rsid w:val="007E725A"/>
    <w:rsid w:val="0080684C"/>
    <w:rsid w:val="00815502"/>
    <w:rsid w:val="00817DFC"/>
    <w:rsid w:val="00831242"/>
    <w:rsid w:val="00871C75"/>
    <w:rsid w:val="008776DC"/>
    <w:rsid w:val="008C7952"/>
    <w:rsid w:val="008E2BD2"/>
    <w:rsid w:val="008F69EF"/>
    <w:rsid w:val="00957790"/>
    <w:rsid w:val="009705C8"/>
    <w:rsid w:val="009E784E"/>
    <w:rsid w:val="00A17804"/>
    <w:rsid w:val="00A21467"/>
    <w:rsid w:val="00A26891"/>
    <w:rsid w:val="00A50614"/>
    <w:rsid w:val="00A75EB9"/>
    <w:rsid w:val="00A815AF"/>
    <w:rsid w:val="00A9248D"/>
    <w:rsid w:val="00AC3823"/>
    <w:rsid w:val="00AE323C"/>
    <w:rsid w:val="00B00181"/>
    <w:rsid w:val="00B33B11"/>
    <w:rsid w:val="00B41FDC"/>
    <w:rsid w:val="00B43C66"/>
    <w:rsid w:val="00B44B68"/>
    <w:rsid w:val="00B765F7"/>
    <w:rsid w:val="00B9024D"/>
    <w:rsid w:val="00B9766A"/>
    <w:rsid w:val="00BA07AB"/>
    <w:rsid w:val="00BA0CA9"/>
    <w:rsid w:val="00BA4104"/>
    <w:rsid w:val="00BE4745"/>
    <w:rsid w:val="00BF30B9"/>
    <w:rsid w:val="00BF3C2C"/>
    <w:rsid w:val="00C02897"/>
    <w:rsid w:val="00C15D37"/>
    <w:rsid w:val="00C23E3B"/>
    <w:rsid w:val="00C35D39"/>
    <w:rsid w:val="00C715D0"/>
    <w:rsid w:val="00C7194D"/>
    <w:rsid w:val="00CB56FC"/>
    <w:rsid w:val="00CC2887"/>
    <w:rsid w:val="00D0768D"/>
    <w:rsid w:val="00D33E40"/>
    <w:rsid w:val="00D3439C"/>
    <w:rsid w:val="00DA22F4"/>
    <w:rsid w:val="00DB1831"/>
    <w:rsid w:val="00DD3BFD"/>
    <w:rsid w:val="00DE5958"/>
    <w:rsid w:val="00DF1C4C"/>
    <w:rsid w:val="00DF6678"/>
    <w:rsid w:val="00E22CF2"/>
    <w:rsid w:val="00E52D9F"/>
    <w:rsid w:val="00E62AE1"/>
    <w:rsid w:val="00ED1298"/>
    <w:rsid w:val="00ED5F12"/>
    <w:rsid w:val="00F164B0"/>
    <w:rsid w:val="00F660DF"/>
    <w:rsid w:val="00F80094"/>
    <w:rsid w:val="00F95C08"/>
    <w:rsid w:val="00FA312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BF53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891"/>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B9766A"/>
    <w:pPr>
      <w:keepNext/>
      <w:keepLines/>
      <w:spacing w:after="0" w:line="240" w:lineRule="auto"/>
      <w:ind w:right="0"/>
      <w:jc w:val="left"/>
      <w:outlineLvl w:val="0"/>
    </w:pPr>
  </w:style>
  <w:style w:type="paragraph" w:styleId="Heading2">
    <w:name w:val="heading 2"/>
    <w:basedOn w:val="Normal"/>
    <w:next w:val="Normal"/>
    <w:link w:val="Heading2Char"/>
    <w:semiHidden/>
    <w:qFormat/>
    <w:rsid w:val="00B9766A"/>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B9766A"/>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B9766A"/>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B9766A"/>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B9766A"/>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B9766A"/>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B9766A"/>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B9766A"/>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9766A"/>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B9766A"/>
    <w:rPr>
      <w:rFonts w:ascii="Times New Roman" w:hAnsi="Times New Roman" w:cs="Times New Roman"/>
      <w:b/>
      <w:sz w:val="18"/>
      <w:szCs w:val="20"/>
      <w:lang w:val="en-GB"/>
    </w:rPr>
  </w:style>
  <w:style w:type="paragraph" w:styleId="Footer">
    <w:name w:val="footer"/>
    <w:aliases w:val="3_G"/>
    <w:basedOn w:val="Normal"/>
    <w:link w:val="FooterChar"/>
    <w:rsid w:val="00B9766A"/>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B9766A"/>
    <w:rPr>
      <w:rFonts w:ascii="Times New Roman" w:hAnsi="Times New Roman" w:cs="Times New Roman"/>
      <w:sz w:val="16"/>
      <w:szCs w:val="20"/>
      <w:lang w:val="en-GB"/>
    </w:rPr>
  </w:style>
  <w:style w:type="paragraph" w:customStyle="1" w:styleId="HMG">
    <w:name w:val="_ H __M_G"/>
    <w:basedOn w:val="Normal"/>
    <w:next w:val="Normal"/>
    <w:qFormat/>
    <w:rsid w:val="00140B6A"/>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140B6A"/>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140B6A"/>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140B6A"/>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140B6A"/>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140B6A"/>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rsid w:val="00B9766A"/>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B9766A"/>
    <w:pPr>
      <w:keepNext/>
      <w:keepLines/>
      <w:spacing w:before="240" w:after="240" w:line="580" w:lineRule="exact"/>
      <w:ind w:left="1134" w:right="1134"/>
    </w:pPr>
    <w:rPr>
      <w:b/>
      <w:sz w:val="56"/>
    </w:rPr>
  </w:style>
  <w:style w:type="paragraph" w:customStyle="1" w:styleId="SMG">
    <w:name w:val="__S_M_G"/>
    <w:basedOn w:val="Normal"/>
    <w:next w:val="Normal"/>
    <w:rsid w:val="00B9766A"/>
    <w:pPr>
      <w:keepNext/>
      <w:keepLines/>
      <w:spacing w:before="240" w:after="240" w:line="420" w:lineRule="exact"/>
      <w:ind w:left="1134" w:right="1134"/>
    </w:pPr>
    <w:rPr>
      <w:b/>
      <w:sz w:val="40"/>
    </w:rPr>
  </w:style>
  <w:style w:type="paragraph" w:customStyle="1" w:styleId="SSG">
    <w:name w:val="__S_S_G"/>
    <w:basedOn w:val="Normal"/>
    <w:next w:val="Normal"/>
    <w:rsid w:val="00B9766A"/>
    <w:pPr>
      <w:keepNext/>
      <w:keepLines/>
      <w:spacing w:before="240" w:after="240" w:line="300" w:lineRule="exact"/>
      <w:ind w:left="1134" w:right="1134"/>
    </w:pPr>
    <w:rPr>
      <w:b/>
      <w:sz w:val="28"/>
    </w:rPr>
  </w:style>
  <w:style w:type="paragraph" w:customStyle="1" w:styleId="XLargeG">
    <w:name w:val="__XLarge_G"/>
    <w:basedOn w:val="Normal"/>
    <w:next w:val="Normal"/>
    <w:rsid w:val="00B9766A"/>
    <w:pPr>
      <w:keepNext/>
      <w:keepLines/>
      <w:spacing w:before="240" w:after="240" w:line="420" w:lineRule="exact"/>
      <w:ind w:left="1134" w:right="1134"/>
    </w:pPr>
    <w:rPr>
      <w:b/>
      <w:sz w:val="40"/>
    </w:rPr>
  </w:style>
  <w:style w:type="paragraph" w:customStyle="1" w:styleId="Bullet1G">
    <w:name w:val="_Bullet 1_G"/>
    <w:basedOn w:val="Normal"/>
    <w:qFormat/>
    <w:rsid w:val="00B9766A"/>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B9766A"/>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B9766A"/>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B9766A"/>
    <w:rPr>
      <w:rFonts w:ascii="Times New Roman" w:hAnsi="Times New Roman"/>
      <w:sz w:val="18"/>
      <w:vertAlign w:val="superscript"/>
      <w:lang w:val="en-GB"/>
    </w:rPr>
  </w:style>
  <w:style w:type="character" w:styleId="EndnoteReference">
    <w:name w:val="endnote reference"/>
    <w:aliases w:val="1_G"/>
    <w:basedOn w:val="FootnoteReference"/>
    <w:qFormat/>
    <w:rsid w:val="00B9766A"/>
    <w:rPr>
      <w:rFonts w:ascii="Times New Roman" w:hAnsi="Times New Roman"/>
      <w:sz w:val="18"/>
      <w:vertAlign w:val="superscript"/>
      <w:lang w:val="en-GB"/>
    </w:rPr>
  </w:style>
  <w:style w:type="table" w:styleId="TableGrid">
    <w:name w:val="Table Grid"/>
    <w:basedOn w:val="TableNormal"/>
    <w:rsid w:val="00B9766A"/>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B9766A"/>
    <w:rPr>
      <w:color w:val="0000FF"/>
      <w:u w:val="none"/>
    </w:rPr>
  </w:style>
  <w:style w:type="character" w:styleId="FollowedHyperlink">
    <w:name w:val="FollowedHyperlink"/>
    <w:basedOn w:val="DefaultParagraphFont"/>
    <w:semiHidden/>
    <w:rsid w:val="00B9766A"/>
    <w:rPr>
      <w:color w:val="0000FF"/>
      <w:u w:val="none"/>
    </w:rPr>
  </w:style>
  <w:style w:type="paragraph" w:styleId="FootnoteText">
    <w:name w:val="footnote text"/>
    <w:aliases w:val="5_G"/>
    <w:basedOn w:val="Normal"/>
    <w:link w:val="FootnoteTextChar"/>
    <w:qFormat/>
    <w:rsid w:val="00B9766A"/>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B9766A"/>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B9766A"/>
  </w:style>
  <w:style w:type="character" w:customStyle="1" w:styleId="EndnoteTextChar">
    <w:name w:val="Endnote Text Char"/>
    <w:aliases w:val="2_G Char"/>
    <w:basedOn w:val="DefaultParagraphFont"/>
    <w:link w:val="EndnoteText"/>
    <w:rsid w:val="00B9766A"/>
    <w:rPr>
      <w:rFonts w:ascii="Times New Roman" w:hAnsi="Times New Roman" w:cs="Times New Roman"/>
      <w:sz w:val="18"/>
      <w:szCs w:val="20"/>
      <w:lang w:val="en-GB"/>
    </w:rPr>
  </w:style>
  <w:style w:type="character" w:styleId="PageNumber">
    <w:name w:val="page number"/>
    <w:aliases w:val="7_G"/>
    <w:basedOn w:val="DefaultParagraphFont"/>
    <w:qFormat/>
    <w:rsid w:val="00B9766A"/>
    <w:rPr>
      <w:rFonts w:ascii="Times New Roman" w:hAnsi="Times New Roman"/>
      <w:b/>
      <w:sz w:val="18"/>
      <w:lang w:val="en-GB"/>
    </w:rPr>
  </w:style>
  <w:style w:type="character" w:customStyle="1" w:styleId="Heading1Char">
    <w:name w:val="Heading 1 Char"/>
    <w:aliases w:val="Table_G Char"/>
    <w:basedOn w:val="DefaultParagraphFont"/>
    <w:link w:val="Heading1"/>
    <w:rsid w:val="00B9766A"/>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B9766A"/>
    <w:rPr>
      <w:rFonts w:ascii="Times New Roman" w:hAnsi="Times New Roman" w:cs="Times New Roman"/>
      <w:sz w:val="20"/>
      <w:szCs w:val="20"/>
    </w:rPr>
  </w:style>
  <w:style w:type="character" w:customStyle="1" w:styleId="Heading3Char">
    <w:name w:val="Heading 3 Char"/>
    <w:basedOn w:val="DefaultParagraphFont"/>
    <w:link w:val="Heading3"/>
    <w:semiHidden/>
    <w:rsid w:val="00B9766A"/>
    <w:rPr>
      <w:rFonts w:ascii="Times New Roman" w:hAnsi="Times New Roman" w:cs="Times New Roman"/>
      <w:sz w:val="20"/>
      <w:szCs w:val="20"/>
    </w:rPr>
  </w:style>
  <w:style w:type="character" w:customStyle="1" w:styleId="Heading4Char">
    <w:name w:val="Heading 4 Char"/>
    <w:basedOn w:val="DefaultParagraphFont"/>
    <w:link w:val="Heading4"/>
    <w:semiHidden/>
    <w:rsid w:val="00B9766A"/>
    <w:rPr>
      <w:rFonts w:ascii="Times New Roman" w:hAnsi="Times New Roman" w:cs="Times New Roman"/>
      <w:sz w:val="20"/>
      <w:szCs w:val="20"/>
    </w:rPr>
  </w:style>
  <w:style w:type="character" w:customStyle="1" w:styleId="Heading5Char">
    <w:name w:val="Heading 5 Char"/>
    <w:basedOn w:val="DefaultParagraphFont"/>
    <w:link w:val="Heading5"/>
    <w:semiHidden/>
    <w:rsid w:val="00B9766A"/>
    <w:rPr>
      <w:rFonts w:ascii="Times New Roman" w:hAnsi="Times New Roman" w:cs="Times New Roman"/>
      <w:sz w:val="20"/>
      <w:szCs w:val="20"/>
    </w:rPr>
  </w:style>
  <w:style w:type="character" w:customStyle="1" w:styleId="Heading6Char">
    <w:name w:val="Heading 6 Char"/>
    <w:basedOn w:val="DefaultParagraphFont"/>
    <w:link w:val="Heading6"/>
    <w:semiHidden/>
    <w:rsid w:val="00B9766A"/>
    <w:rPr>
      <w:rFonts w:ascii="Times New Roman" w:hAnsi="Times New Roman" w:cs="Times New Roman"/>
      <w:sz w:val="20"/>
      <w:szCs w:val="20"/>
    </w:rPr>
  </w:style>
  <w:style w:type="character" w:customStyle="1" w:styleId="Heading7Char">
    <w:name w:val="Heading 7 Char"/>
    <w:basedOn w:val="DefaultParagraphFont"/>
    <w:link w:val="Heading7"/>
    <w:semiHidden/>
    <w:rsid w:val="00B9766A"/>
    <w:rPr>
      <w:rFonts w:ascii="Times New Roman" w:hAnsi="Times New Roman" w:cs="Times New Roman"/>
      <w:sz w:val="20"/>
      <w:szCs w:val="20"/>
    </w:rPr>
  </w:style>
  <w:style w:type="character" w:customStyle="1" w:styleId="Heading8Char">
    <w:name w:val="Heading 8 Char"/>
    <w:basedOn w:val="DefaultParagraphFont"/>
    <w:link w:val="Heading8"/>
    <w:semiHidden/>
    <w:rsid w:val="00B9766A"/>
    <w:rPr>
      <w:rFonts w:ascii="Times New Roman" w:hAnsi="Times New Roman" w:cs="Times New Roman"/>
      <w:sz w:val="20"/>
      <w:szCs w:val="20"/>
    </w:rPr>
  </w:style>
  <w:style w:type="character" w:customStyle="1" w:styleId="Heading9Char">
    <w:name w:val="Heading 9 Char"/>
    <w:basedOn w:val="DefaultParagraphFont"/>
    <w:link w:val="Heading9"/>
    <w:semiHidden/>
    <w:rsid w:val="00B9766A"/>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B9766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766A"/>
    <w:rPr>
      <w:rFonts w:ascii="Tahoma" w:eastAsia="Times New Roman" w:hAnsi="Tahoma" w:cs="Tahoma"/>
      <w:sz w:val="16"/>
      <w:szCs w:val="16"/>
      <w:lang w:val="en-GB"/>
    </w:rPr>
  </w:style>
  <w:style w:type="character" w:customStyle="1" w:styleId="SingleTxtGChar">
    <w:name w:val="_ Single Txt_G Char"/>
    <w:link w:val="SingleTxtG"/>
    <w:locked/>
    <w:rsid w:val="00B9766A"/>
    <w:rPr>
      <w:rFonts w:ascii="Times New Roman" w:hAnsi="Times New Roman" w:cs="Times New Roman"/>
      <w:sz w:val="20"/>
      <w:szCs w:val="20"/>
      <w:lang w:val="en-GB"/>
    </w:rPr>
  </w:style>
  <w:style w:type="numbering" w:styleId="111111">
    <w:name w:val="Outline List 2"/>
    <w:basedOn w:val="NoList"/>
    <w:semiHidden/>
    <w:rsid w:val="00B9766A"/>
    <w:pPr>
      <w:numPr>
        <w:numId w:val="18"/>
      </w:numPr>
    </w:pPr>
  </w:style>
  <w:style w:type="numbering" w:styleId="1ai">
    <w:name w:val="Outline List 1"/>
    <w:basedOn w:val="NoList"/>
    <w:semiHidden/>
    <w:rsid w:val="00B9766A"/>
    <w:pPr>
      <w:numPr>
        <w:numId w:val="20"/>
      </w:numPr>
    </w:pPr>
  </w:style>
  <w:style w:type="table" w:customStyle="1" w:styleId="TableGrid1">
    <w:name w:val="Table Grid1"/>
    <w:basedOn w:val="TableNormal"/>
    <w:rsid w:val="00B9766A"/>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2461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CCPR/C/MOZ/QPR/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b248d7e1-e1e1-4a8e-9310-749402edb8a9">
      <Terms xmlns="http://schemas.microsoft.com/office/infopath/2007/PartnerControls"/>
    </lcf76f155ced4ddcb4097134ff3c332f>
    <Document_x0020_Date xmlns="985ec44e-1bab-4c0b-9df0-6ba128686fc9">2026-06-01T10:07:11+00:00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9AFCB1-10CE-44A5-829A-B123C862F6DC}">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AFB5FF42-3829-4F80-BAC3-73AD188676A2}">
  <ds:schemaRefs>
    <ds:schemaRef ds:uri="http://schemas.microsoft.com/sharepoint/v3/contenttype/forms"/>
  </ds:schemaRefs>
</ds:datastoreItem>
</file>

<file path=customXml/itemProps3.xml><?xml version="1.0" encoding="utf-8"?>
<ds:datastoreItem xmlns:ds="http://schemas.openxmlformats.org/officeDocument/2006/customXml" ds:itemID="{DB0A9CCE-758F-4938-85B8-9759A52ED9C0}"/>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16</Pages>
  <Words>7548</Words>
  <Characters>43482</Characters>
  <Application>Microsoft Office Word</Application>
  <DocSecurity>0</DocSecurity>
  <Lines>966</Lines>
  <Paragraphs>340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50690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CCPR/C/MOZ/2</dc:title>
  <dc:creator>Gloria</dc:creator>
  <cp:lastModifiedBy>Cherry Balmaceda</cp:lastModifiedBy>
  <cp:revision>2</cp:revision>
  <cp:lastPrinted>2017-04-21T12:16:00Z</cp:lastPrinted>
  <dcterms:created xsi:type="dcterms:W3CDTF">2026-06-01T10:07:00Z</dcterms:created>
  <dcterms:modified xsi:type="dcterms:W3CDTF">2026-06-01T10:07:00Z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ntentTypeId">
    <vt:lpwstr>0x0101004100868408537B4FA2A9FA4AC7F0070F</vt:lpwstr>
  </property>
  <property fmtid="{D5CDD505-2E9C-101B-9397-08002B2CF9AE}" pid="8" name="count">
    <vt:lpwstr>Mozambique</vt:lpwstr>
  </property>
  <property fmtid="{D5CDD505-2E9C-101B-9397-08002B2CF9AE}" pid="9" name="countw">
    <vt:lpwstr>Mozambique</vt:lpwstr>
  </property>
  <property fmtid="{D5CDD505-2E9C-101B-9397-08002B2CF9AE}" pid="10" name="countwd">
    <vt:lpwstr>Mozambique</vt:lpwstr>
  </property>
  <property fmtid="{D5CDD505-2E9C-101B-9397-08002B2CF9AE}" pid="11" name="date">
    <vt:lpwstr>1 June 2026</vt:lpwstr>
  </property>
  <property fmtid="{D5CDD505-2E9C-101B-9397-08002B2CF9AE}" pid="12" name="Date-Generated">
    <vt:filetime>2026-06-01T08:43:18Z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 - Optional Procedure</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152800</vt:r8>
  </property>
  <property fmtid="{D5CDD505-2E9C-101B-9397-08002B2CF9AE}" pid="22" name="Org">
    <vt:lpwstr>OHCHR</vt:lpwstr>
  </property>
  <property fmtid="{D5CDD505-2E9C-101B-9397-08002B2CF9AE}" pid="23" name="prep">
    <vt:lpwstr>second periodic report of Mozambique</vt:lpwstr>
  </property>
  <property fmtid="{D5CDD505-2E9C-101B-9397-08002B2CF9AE}" pid="24" name="preps">
    <vt:lpwstr>second periodic report of Mozambique</vt:lpwstr>
  </property>
  <property fmtid="{D5CDD505-2E9C-101B-9397-08002B2CF9AE}" pid="25" name="prepw">
    <vt:lpwstr>second periodic report</vt:lpwstr>
  </property>
  <property fmtid="{D5CDD505-2E9C-101B-9397-08002B2CF9AE}" pid="26" name="prepwc">
    <vt:lpwstr>Second periodic report </vt:lpwstr>
  </property>
  <property fmtid="{D5CDD505-2E9C-101B-9397-08002B2CF9AE}" pid="27" name="prepws">
    <vt:lpwstr>second periodic report</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C/MOZ/2</vt:lpwstr>
  </property>
  <property fmtid="{D5CDD505-2E9C-101B-9397-08002B2CF9AE}" pid="33" name="symh">
    <vt:lpwstr>CCPR/C/MOZ/2</vt:lpwstr>
  </property>
  <property fmtid="{D5CDD505-2E9C-101B-9397-08002B2CF9AE}" pid="34" name="Title">
    <vt:lpwstr>CCPR/C/MOZ/2</vt:lpwstr>
  </property>
  <property fmtid="{D5CDD505-2E9C-101B-9397-08002B2CF9AE}" pid="35" name="tlang">
    <vt:lpwstr/>
  </property>
  <property fmtid="{D5CDD505-2E9C-101B-9397-08002B2CF9AE}" pid="36" name="virs">
    <vt:lpwstr>English, French and Spanish only</vt:lpwstr>
  </property>
</Properties>
</file>