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8F533" w14:textId="77777777" w:rsidR="00291803" w:rsidRPr="00FE7EA7" w:rsidRDefault="00291803" w:rsidP="00236CB2">
      <w:pPr>
        <w:jc w:val="center"/>
        <w:rPr>
          <w:rFonts w:cs="Arial"/>
          <w:sz w:val="24"/>
          <w:szCs w:val="24"/>
        </w:rPr>
      </w:pPr>
      <w:bookmarkStart w:id="0" w:name="_GoBack"/>
      <w:bookmarkEnd w:id="0"/>
    </w:p>
    <w:p w14:paraId="0AFAE460" w14:textId="77777777" w:rsidR="00291803" w:rsidRPr="00F34CAA" w:rsidRDefault="00291803" w:rsidP="00236CB2">
      <w:pPr>
        <w:jc w:val="center"/>
        <w:rPr>
          <w:rFonts w:cs="Arial"/>
          <w:sz w:val="40"/>
          <w:szCs w:val="24"/>
        </w:rPr>
      </w:pPr>
    </w:p>
    <w:p w14:paraId="44D80972" w14:textId="77777777" w:rsidR="00C726D4" w:rsidRPr="00F34CAA" w:rsidRDefault="00C726D4" w:rsidP="00C726D4">
      <w:pPr>
        <w:jc w:val="center"/>
        <w:rPr>
          <w:rFonts w:cs="Arial"/>
          <w:sz w:val="40"/>
          <w:szCs w:val="24"/>
        </w:rPr>
      </w:pPr>
    </w:p>
    <w:p w14:paraId="2EEF3D8C" w14:textId="77777777" w:rsidR="00C726D4" w:rsidRPr="00F34CAA" w:rsidRDefault="00C726D4" w:rsidP="00C726D4">
      <w:pPr>
        <w:jc w:val="center"/>
        <w:rPr>
          <w:rFonts w:cs="Arial"/>
          <w:sz w:val="40"/>
          <w:szCs w:val="24"/>
        </w:rPr>
      </w:pPr>
      <w:r w:rsidRPr="00F34CAA">
        <w:rPr>
          <w:rFonts w:cs="Arial"/>
          <w:sz w:val="40"/>
          <w:szCs w:val="24"/>
        </w:rPr>
        <w:t>Organización de las Naciones Unidas (ONU)</w:t>
      </w:r>
    </w:p>
    <w:p w14:paraId="2B18EEB7" w14:textId="77777777" w:rsidR="00C726D4" w:rsidRPr="00F34CAA" w:rsidRDefault="00C726D4" w:rsidP="00C726D4">
      <w:pPr>
        <w:jc w:val="center"/>
        <w:rPr>
          <w:rFonts w:cs="Arial"/>
          <w:sz w:val="28"/>
          <w:szCs w:val="24"/>
        </w:rPr>
      </w:pPr>
      <w:r w:rsidRPr="00F34CAA">
        <w:rPr>
          <w:rFonts w:cs="Arial"/>
          <w:sz w:val="28"/>
          <w:szCs w:val="24"/>
        </w:rPr>
        <w:t>Comité sobre los Derechos de las Personas con Discapacidad</w:t>
      </w:r>
    </w:p>
    <w:p w14:paraId="768AA790" w14:textId="77777777" w:rsidR="00C726D4" w:rsidRPr="00527436" w:rsidRDefault="00C726D4" w:rsidP="00C726D4">
      <w:pPr>
        <w:jc w:val="center"/>
        <w:rPr>
          <w:rFonts w:cs="Arial"/>
          <w:b/>
          <w:sz w:val="26"/>
          <w:szCs w:val="26"/>
        </w:rPr>
      </w:pPr>
      <w:r w:rsidRPr="00527436">
        <w:rPr>
          <w:rFonts w:cs="Arial"/>
          <w:b/>
          <w:sz w:val="26"/>
          <w:szCs w:val="26"/>
        </w:rPr>
        <w:t>XXI periodo de sesiones (11 de marzo de 2019 - 05 de abril de 2019)</w:t>
      </w:r>
    </w:p>
    <w:p w14:paraId="404B2B49" w14:textId="77777777" w:rsidR="00C726D4" w:rsidRPr="00F34CAA" w:rsidRDefault="00C726D4" w:rsidP="00C726D4">
      <w:pPr>
        <w:jc w:val="center"/>
        <w:rPr>
          <w:rFonts w:cs="Arial"/>
          <w:sz w:val="28"/>
          <w:szCs w:val="24"/>
        </w:rPr>
      </w:pPr>
      <w:r w:rsidRPr="00F34CAA">
        <w:rPr>
          <w:rFonts w:cs="Arial"/>
          <w:sz w:val="28"/>
          <w:szCs w:val="24"/>
        </w:rPr>
        <w:t>Ginebra, Suiza</w:t>
      </w:r>
    </w:p>
    <w:p w14:paraId="1EC85F9F" w14:textId="77777777" w:rsidR="00C726D4" w:rsidRPr="00F34CAA" w:rsidRDefault="00C726D4" w:rsidP="00C726D4">
      <w:pPr>
        <w:jc w:val="center"/>
        <w:rPr>
          <w:rFonts w:cs="Arial"/>
          <w:sz w:val="40"/>
          <w:szCs w:val="24"/>
        </w:rPr>
      </w:pPr>
    </w:p>
    <w:p w14:paraId="080910E9" w14:textId="77777777" w:rsidR="00C726D4" w:rsidRPr="00F34CAA" w:rsidRDefault="00C726D4" w:rsidP="00C726D4">
      <w:pPr>
        <w:spacing w:line="360" w:lineRule="auto"/>
        <w:jc w:val="center"/>
        <w:rPr>
          <w:rFonts w:cs="Arial"/>
          <w:b/>
          <w:sz w:val="56"/>
          <w:szCs w:val="24"/>
        </w:rPr>
      </w:pPr>
      <w:r w:rsidRPr="00F34CAA">
        <w:rPr>
          <w:rFonts w:cs="Arial"/>
          <w:b/>
          <w:sz w:val="56"/>
          <w:szCs w:val="24"/>
        </w:rPr>
        <w:t>INFORME SOMBRA</w:t>
      </w:r>
    </w:p>
    <w:p w14:paraId="5EDA6C52" w14:textId="77777777" w:rsidR="00C726D4" w:rsidRPr="00F34CAA" w:rsidRDefault="00C726D4" w:rsidP="00C726D4">
      <w:pPr>
        <w:spacing w:line="360" w:lineRule="auto"/>
        <w:jc w:val="center"/>
        <w:rPr>
          <w:rFonts w:cs="Arial"/>
          <w:b/>
          <w:sz w:val="40"/>
          <w:szCs w:val="24"/>
        </w:rPr>
      </w:pPr>
      <w:r w:rsidRPr="00F34CAA">
        <w:rPr>
          <w:rFonts w:cs="Arial"/>
          <w:b/>
          <w:sz w:val="40"/>
          <w:szCs w:val="24"/>
        </w:rPr>
        <w:t xml:space="preserve">DE LA FUNDACION CERMI MUJERES PARA LA </w:t>
      </w:r>
      <w:r>
        <w:rPr>
          <w:rFonts w:cs="Arial"/>
          <w:b/>
          <w:sz w:val="40"/>
          <w:szCs w:val="24"/>
        </w:rPr>
        <w:t>REVISIÓN PERIÓDICA DE ESPAÑA</w:t>
      </w:r>
      <w:r w:rsidRPr="00F34CAA">
        <w:rPr>
          <w:rFonts w:cs="Arial"/>
          <w:b/>
          <w:sz w:val="40"/>
          <w:szCs w:val="24"/>
        </w:rPr>
        <w:t xml:space="preserve"> </w:t>
      </w:r>
    </w:p>
    <w:p w14:paraId="7C7A7009" w14:textId="77777777" w:rsidR="00C726D4" w:rsidRPr="00FE7EA7" w:rsidRDefault="00C726D4" w:rsidP="00C726D4">
      <w:pPr>
        <w:rPr>
          <w:rFonts w:cs="Arial"/>
          <w:sz w:val="24"/>
          <w:szCs w:val="24"/>
        </w:rPr>
      </w:pPr>
    </w:p>
    <w:p w14:paraId="0028F8D8" w14:textId="77777777" w:rsidR="00C726D4" w:rsidRPr="00FE7EA7" w:rsidRDefault="00C726D4" w:rsidP="00C726D4">
      <w:pPr>
        <w:jc w:val="right"/>
        <w:rPr>
          <w:rFonts w:cs="Arial"/>
          <w:sz w:val="24"/>
          <w:szCs w:val="24"/>
        </w:rPr>
      </w:pPr>
      <w:r>
        <w:rPr>
          <w:rFonts w:cs="Arial"/>
          <w:b/>
          <w:sz w:val="24"/>
          <w:szCs w:val="24"/>
        </w:rPr>
        <w:t xml:space="preserve">1 de febrero </w:t>
      </w:r>
      <w:r w:rsidRPr="00FE7EA7">
        <w:rPr>
          <w:rFonts w:cs="Arial"/>
          <w:b/>
          <w:sz w:val="24"/>
          <w:szCs w:val="24"/>
        </w:rPr>
        <w:t>de 2019</w:t>
      </w:r>
    </w:p>
    <w:p w14:paraId="3EDF156A" w14:textId="77777777" w:rsidR="00C726D4" w:rsidRPr="00FE7EA7" w:rsidRDefault="00C726D4" w:rsidP="00C726D4">
      <w:pPr>
        <w:rPr>
          <w:rFonts w:cs="Arial"/>
          <w:sz w:val="24"/>
          <w:szCs w:val="24"/>
        </w:rPr>
      </w:pPr>
    </w:p>
    <w:p w14:paraId="6AFF5872" w14:textId="77777777" w:rsidR="00FD5994" w:rsidRPr="00FE7EA7" w:rsidRDefault="00FD5994" w:rsidP="00CF2B59">
      <w:pPr>
        <w:rPr>
          <w:rFonts w:cs="Arial"/>
          <w:sz w:val="24"/>
          <w:szCs w:val="24"/>
        </w:rPr>
      </w:pPr>
    </w:p>
    <w:p w14:paraId="6F052F66" w14:textId="77777777" w:rsidR="00844476" w:rsidRPr="00FE7EA7" w:rsidRDefault="00844476" w:rsidP="00CF2B59">
      <w:pPr>
        <w:rPr>
          <w:rFonts w:cs="Arial"/>
          <w:sz w:val="24"/>
          <w:szCs w:val="24"/>
        </w:rPr>
      </w:pPr>
    </w:p>
    <w:p w14:paraId="4FA97595" w14:textId="77777777" w:rsidR="001F2A03" w:rsidRPr="00FE7EA7" w:rsidRDefault="001F2A03">
      <w:pPr>
        <w:rPr>
          <w:rFonts w:cs="Arial"/>
          <w:b/>
          <w:sz w:val="24"/>
          <w:szCs w:val="24"/>
        </w:rPr>
      </w:pPr>
      <w:r w:rsidRPr="00FE7EA7">
        <w:rPr>
          <w:rFonts w:cs="Arial"/>
          <w:b/>
          <w:sz w:val="24"/>
          <w:szCs w:val="24"/>
        </w:rPr>
        <w:br w:type="page"/>
      </w:r>
    </w:p>
    <w:p w14:paraId="34F85225" w14:textId="3B678DF5" w:rsidR="00844476" w:rsidRPr="00FE7EA7" w:rsidRDefault="00C57584" w:rsidP="00DB5C27">
      <w:pPr>
        <w:jc w:val="center"/>
        <w:rPr>
          <w:rFonts w:cs="Arial"/>
          <w:b/>
          <w:sz w:val="24"/>
          <w:szCs w:val="24"/>
        </w:rPr>
      </w:pPr>
      <w:r w:rsidRPr="00FE7EA7">
        <w:rPr>
          <w:rFonts w:cs="Arial"/>
          <w:b/>
          <w:sz w:val="24"/>
          <w:szCs w:val="24"/>
        </w:rPr>
        <w:lastRenderedPageBreak/>
        <w:t>ÍNDICE</w:t>
      </w:r>
    </w:p>
    <w:p w14:paraId="26D71D42" w14:textId="33D09EE4" w:rsidR="00D97277" w:rsidRDefault="00E33B85">
      <w:pPr>
        <w:pStyle w:val="TOC1"/>
        <w:rPr>
          <w:rFonts w:asciiTheme="minorHAnsi" w:eastAsiaTheme="minorEastAsia" w:hAnsiTheme="minorHAnsi"/>
          <w:noProof/>
          <w:lang w:eastAsia="es-ES"/>
        </w:rPr>
      </w:pPr>
      <w:r w:rsidRPr="00FE7EA7">
        <w:rPr>
          <w:rFonts w:cs="Arial"/>
          <w:sz w:val="24"/>
          <w:szCs w:val="24"/>
        </w:rPr>
        <w:fldChar w:fldCharType="begin"/>
      </w:r>
      <w:r w:rsidRPr="00FE7EA7">
        <w:rPr>
          <w:rFonts w:cs="Arial"/>
          <w:sz w:val="24"/>
          <w:szCs w:val="24"/>
        </w:rPr>
        <w:instrText xml:space="preserve"> TOC \o "1-3" \h \z \u </w:instrText>
      </w:r>
      <w:r w:rsidRPr="00FE7EA7">
        <w:rPr>
          <w:rFonts w:cs="Arial"/>
          <w:sz w:val="24"/>
          <w:szCs w:val="24"/>
        </w:rPr>
        <w:fldChar w:fldCharType="separate"/>
      </w:r>
      <w:hyperlink w:anchor="_Toc166218" w:history="1">
        <w:r w:rsidR="00D97277" w:rsidRPr="003A5368">
          <w:rPr>
            <w:rStyle w:val="Hyperlink"/>
            <w:rFonts w:cs="Arial"/>
            <w:noProof/>
          </w:rPr>
          <w:t>1.</w:t>
        </w:r>
        <w:r w:rsidR="00D97277">
          <w:rPr>
            <w:rFonts w:asciiTheme="minorHAnsi" w:eastAsiaTheme="minorEastAsia" w:hAnsiTheme="minorHAnsi"/>
            <w:noProof/>
            <w:lang w:eastAsia="es-ES"/>
          </w:rPr>
          <w:tab/>
        </w:r>
        <w:r w:rsidR="00D97277" w:rsidRPr="003A5368">
          <w:rPr>
            <w:rStyle w:val="Hyperlink"/>
            <w:rFonts w:cs="Arial"/>
            <w:noProof/>
          </w:rPr>
          <w:t>ANTECEDENTES</w:t>
        </w:r>
        <w:r w:rsidR="00D97277">
          <w:rPr>
            <w:noProof/>
            <w:webHidden/>
          </w:rPr>
          <w:tab/>
        </w:r>
        <w:r w:rsidR="00D97277">
          <w:rPr>
            <w:noProof/>
            <w:webHidden/>
          </w:rPr>
          <w:fldChar w:fldCharType="begin"/>
        </w:r>
        <w:r w:rsidR="00D97277">
          <w:rPr>
            <w:noProof/>
            <w:webHidden/>
          </w:rPr>
          <w:instrText xml:space="preserve"> PAGEREF _Toc166218 \h </w:instrText>
        </w:r>
        <w:r w:rsidR="00D97277">
          <w:rPr>
            <w:noProof/>
            <w:webHidden/>
          </w:rPr>
        </w:r>
        <w:r w:rsidR="00D97277">
          <w:rPr>
            <w:noProof/>
            <w:webHidden/>
          </w:rPr>
          <w:fldChar w:fldCharType="separate"/>
        </w:r>
        <w:r w:rsidR="00D97277">
          <w:rPr>
            <w:noProof/>
            <w:webHidden/>
          </w:rPr>
          <w:t>2</w:t>
        </w:r>
        <w:r w:rsidR="00D97277">
          <w:rPr>
            <w:noProof/>
            <w:webHidden/>
          </w:rPr>
          <w:fldChar w:fldCharType="end"/>
        </w:r>
      </w:hyperlink>
    </w:p>
    <w:p w14:paraId="258A240D" w14:textId="3B822953" w:rsidR="00D97277" w:rsidRDefault="00E93CFC">
      <w:pPr>
        <w:pStyle w:val="TOC1"/>
        <w:rPr>
          <w:rFonts w:asciiTheme="minorHAnsi" w:eastAsiaTheme="minorEastAsia" w:hAnsiTheme="minorHAnsi"/>
          <w:noProof/>
          <w:lang w:eastAsia="es-ES"/>
        </w:rPr>
      </w:pPr>
      <w:hyperlink w:anchor="_Toc166219" w:history="1">
        <w:r w:rsidR="00D97277" w:rsidRPr="003A5368">
          <w:rPr>
            <w:rStyle w:val="Hyperlink"/>
            <w:rFonts w:cs="Arial"/>
            <w:noProof/>
          </w:rPr>
          <w:t>2.</w:t>
        </w:r>
        <w:r w:rsidR="00D97277">
          <w:rPr>
            <w:rFonts w:asciiTheme="minorHAnsi" w:eastAsiaTheme="minorEastAsia" w:hAnsiTheme="minorHAnsi"/>
            <w:noProof/>
            <w:lang w:eastAsia="es-ES"/>
          </w:rPr>
          <w:tab/>
        </w:r>
        <w:r w:rsidR="00D97277" w:rsidRPr="003A5368">
          <w:rPr>
            <w:rStyle w:val="Hyperlink"/>
            <w:rFonts w:cs="Arial"/>
            <w:noProof/>
          </w:rPr>
          <w:t>CONTENIDO DEL INFORME</w:t>
        </w:r>
        <w:r w:rsidR="00D97277">
          <w:rPr>
            <w:noProof/>
            <w:webHidden/>
          </w:rPr>
          <w:tab/>
        </w:r>
        <w:r w:rsidR="00D97277">
          <w:rPr>
            <w:noProof/>
            <w:webHidden/>
          </w:rPr>
          <w:fldChar w:fldCharType="begin"/>
        </w:r>
        <w:r w:rsidR="00D97277">
          <w:rPr>
            <w:noProof/>
            <w:webHidden/>
          </w:rPr>
          <w:instrText xml:space="preserve"> PAGEREF _Toc166219 \h </w:instrText>
        </w:r>
        <w:r w:rsidR="00D97277">
          <w:rPr>
            <w:noProof/>
            <w:webHidden/>
          </w:rPr>
        </w:r>
        <w:r w:rsidR="00D97277">
          <w:rPr>
            <w:noProof/>
            <w:webHidden/>
          </w:rPr>
          <w:fldChar w:fldCharType="separate"/>
        </w:r>
        <w:r w:rsidR="00D97277">
          <w:rPr>
            <w:noProof/>
            <w:webHidden/>
          </w:rPr>
          <w:t>3</w:t>
        </w:r>
        <w:r w:rsidR="00D97277">
          <w:rPr>
            <w:noProof/>
            <w:webHidden/>
          </w:rPr>
          <w:fldChar w:fldCharType="end"/>
        </w:r>
      </w:hyperlink>
    </w:p>
    <w:p w14:paraId="3F95CD9B" w14:textId="153E23C2" w:rsidR="00D97277" w:rsidRDefault="00E93CFC">
      <w:pPr>
        <w:pStyle w:val="TOC1"/>
        <w:rPr>
          <w:rFonts w:asciiTheme="minorHAnsi" w:eastAsiaTheme="minorEastAsia" w:hAnsiTheme="minorHAnsi"/>
          <w:noProof/>
          <w:lang w:eastAsia="es-ES"/>
        </w:rPr>
      </w:pPr>
      <w:hyperlink w:anchor="_Toc166220" w:history="1">
        <w:r w:rsidR="00D97277" w:rsidRPr="003A5368">
          <w:rPr>
            <w:rStyle w:val="Hyperlink"/>
            <w:rFonts w:cs="Arial"/>
            <w:noProof/>
          </w:rPr>
          <w:t>3.</w:t>
        </w:r>
        <w:r w:rsidR="00D97277">
          <w:rPr>
            <w:rFonts w:asciiTheme="minorHAnsi" w:eastAsiaTheme="minorEastAsia" w:hAnsiTheme="minorHAnsi"/>
            <w:noProof/>
            <w:lang w:eastAsia="es-ES"/>
          </w:rPr>
          <w:tab/>
        </w:r>
        <w:r w:rsidR="00D97277" w:rsidRPr="003A5368">
          <w:rPr>
            <w:rStyle w:val="Hyperlink"/>
            <w:rFonts w:cs="Arial"/>
            <w:noProof/>
          </w:rPr>
          <w:t>CONSIDERACIÓN DE LAS MUJERES Y NIÑAS CON DISCAPACIDAD EN LA IMPLEMENTACIÓN DE LA CDPD EN ESPAÑA</w:t>
        </w:r>
        <w:r w:rsidR="00D97277">
          <w:rPr>
            <w:noProof/>
            <w:webHidden/>
          </w:rPr>
          <w:tab/>
        </w:r>
        <w:r w:rsidR="00D97277">
          <w:rPr>
            <w:noProof/>
            <w:webHidden/>
          </w:rPr>
          <w:fldChar w:fldCharType="begin"/>
        </w:r>
        <w:r w:rsidR="00D97277">
          <w:rPr>
            <w:noProof/>
            <w:webHidden/>
          </w:rPr>
          <w:instrText xml:space="preserve"> PAGEREF _Toc166220 \h </w:instrText>
        </w:r>
        <w:r w:rsidR="00D97277">
          <w:rPr>
            <w:noProof/>
            <w:webHidden/>
          </w:rPr>
        </w:r>
        <w:r w:rsidR="00D97277">
          <w:rPr>
            <w:noProof/>
            <w:webHidden/>
          </w:rPr>
          <w:fldChar w:fldCharType="separate"/>
        </w:r>
        <w:r w:rsidR="00D97277">
          <w:rPr>
            <w:noProof/>
            <w:webHidden/>
          </w:rPr>
          <w:t>4</w:t>
        </w:r>
        <w:r w:rsidR="00D97277">
          <w:rPr>
            <w:noProof/>
            <w:webHidden/>
          </w:rPr>
          <w:fldChar w:fldCharType="end"/>
        </w:r>
      </w:hyperlink>
    </w:p>
    <w:p w14:paraId="70FD86B3" w14:textId="2C9FAA0B" w:rsidR="00D97277" w:rsidRDefault="00E93CFC">
      <w:pPr>
        <w:pStyle w:val="TOC1"/>
        <w:rPr>
          <w:rStyle w:val="Hyperlink"/>
          <w:noProof/>
        </w:rPr>
      </w:pPr>
      <w:hyperlink w:anchor="_Toc166221" w:history="1">
        <w:r w:rsidR="00D97277" w:rsidRPr="003A5368">
          <w:rPr>
            <w:rStyle w:val="Hyperlink"/>
            <w:rFonts w:cs="Arial"/>
            <w:noProof/>
          </w:rPr>
          <w:t>4.</w:t>
        </w:r>
        <w:r w:rsidR="00D97277">
          <w:rPr>
            <w:rFonts w:asciiTheme="minorHAnsi" w:eastAsiaTheme="minorEastAsia" w:hAnsiTheme="minorHAnsi"/>
            <w:noProof/>
            <w:lang w:eastAsia="es-ES"/>
          </w:rPr>
          <w:tab/>
        </w:r>
        <w:r w:rsidR="00D97277" w:rsidRPr="003A5368">
          <w:rPr>
            <w:rStyle w:val="Hyperlink"/>
            <w:rFonts w:cs="Arial"/>
            <w:noProof/>
          </w:rPr>
          <w:t>RECOMENDACIONES DE LA FUNDACIÓN CERMI MUJERES AL COMITÉ</w:t>
        </w:r>
        <w:r w:rsidR="00D97277">
          <w:rPr>
            <w:noProof/>
            <w:webHidden/>
          </w:rPr>
          <w:tab/>
        </w:r>
        <w:r w:rsidR="00D97277">
          <w:rPr>
            <w:noProof/>
            <w:webHidden/>
          </w:rPr>
          <w:fldChar w:fldCharType="begin"/>
        </w:r>
        <w:r w:rsidR="00D97277">
          <w:rPr>
            <w:noProof/>
            <w:webHidden/>
          </w:rPr>
          <w:instrText xml:space="preserve"> PAGEREF _Toc166221 \h </w:instrText>
        </w:r>
        <w:r w:rsidR="00D97277">
          <w:rPr>
            <w:noProof/>
            <w:webHidden/>
          </w:rPr>
        </w:r>
        <w:r w:rsidR="00D97277">
          <w:rPr>
            <w:noProof/>
            <w:webHidden/>
          </w:rPr>
          <w:fldChar w:fldCharType="separate"/>
        </w:r>
        <w:r w:rsidR="00D97277">
          <w:rPr>
            <w:noProof/>
            <w:webHidden/>
          </w:rPr>
          <w:t>23</w:t>
        </w:r>
        <w:r w:rsidR="00D97277">
          <w:rPr>
            <w:noProof/>
            <w:webHidden/>
          </w:rPr>
          <w:fldChar w:fldCharType="end"/>
        </w:r>
      </w:hyperlink>
    </w:p>
    <w:p w14:paraId="044B370D" w14:textId="77777777" w:rsidR="00D97277" w:rsidRDefault="00D97277">
      <w:pPr>
        <w:spacing w:before="0" w:after="160"/>
        <w:jc w:val="left"/>
        <w:rPr>
          <w:rStyle w:val="Hyperlink"/>
          <w:noProof/>
        </w:rPr>
      </w:pPr>
      <w:r>
        <w:rPr>
          <w:rStyle w:val="Hyperlink"/>
          <w:noProof/>
        </w:rPr>
        <w:br w:type="page"/>
      </w:r>
    </w:p>
    <w:p w14:paraId="38E54336" w14:textId="13A7C902" w:rsidR="00FD5994" w:rsidRDefault="00E33B85" w:rsidP="00657B21">
      <w:pPr>
        <w:pStyle w:val="Heading1"/>
        <w:numPr>
          <w:ilvl w:val="0"/>
          <w:numId w:val="31"/>
        </w:numPr>
        <w:spacing w:before="0"/>
        <w:rPr>
          <w:rFonts w:cs="Arial"/>
          <w:sz w:val="24"/>
          <w:szCs w:val="24"/>
        </w:rPr>
      </w:pPr>
      <w:r w:rsidRPr="00FE7EA7">
        <w:rPr>
          <w:rFonts w:cs="Arial"/>
          <w:sz w:val="24"/>
          <w:szCs w:val="24"/>
        </w:rPr>
        <w:lastRenderedPageBreak/>
        <w:fldChar w:fldCharType="end"/>
      </w:r>
      <w:bookmarkStart w:id="1" w:name="_Toc501045225"/>
      <w:bookmarkStart w:id="2" w:name="_Toc166218"/>
      <w:r w:rsidR="00E256AF">
        <w:rPr>
          <w:rFonts w:cs="Arial"/>
          <w:sz w:val="24"/>
          <w:szCs w:val="24"/>
        </w:rPr>
        <w:t>ANTECEDENTES</w:t>
      </w:r>
      <w:bookmarkEnd w:id="1"/>
      <w:bookmarkEnd w:id="2"/>
    </w:p>
    <w:p w14:paraId="229AAC11" w14:textId="4246E348" w:rsidR="00657B21" w:rsidRDefault="00657B21" w:rsidP="00657B21">
      <w:pPr>
        <w:spacing w:before="0" w:after="0"/>
      </w:pPr>
    </w:p>
    <w:p w14:paraId="348A2ACE" w14:textId="77777777" w:rsidR="00657B21" w:rsidRPr="00657B21" w:rsidRDefault="00657B21" w:rsidP="00657B21">
      <w:pPr>
        <w:spacing w:before="0" w:after="0"/>
      </w:pPr>
    </w:p>
    <w:p w14:paraId="4D93F850" w14:textId="7EC8ED0F" w:rsidR="00C726D4" w:rsidRDefault="00C726D4" w:rsidP="00657B21">
      <w:pPr>
        <w:pStyle w:val="ListParagraph"/>
        <w:spacing w:before="0" w:after="0" w:line="240" w:lineRule="auto"/>
        <w:ind w:left="0"/>
        <w:rPr>
          <w:rFonts w:eastAsia="Calibri" w:cs="Arial"/>
          <w:bCs/>
          <w:iCs/>
          <w:sz w:val="24"/>
          <w:szCs w:val="24"/>
        </w:rPr>
      </w:pPr>
      <w:r w:rsidRPr="00C726D4">
        <w:rPr>
          <w:rFonts w:cs="Arial"/>
          <w:sz w:val="24"/>
          <w:szCs w:val="24"/>
        </w:rPr>
        <w:t xml:space="preserve">La Fundación CERMI MUJERES es una organización española sin ánimo de lucro que fue creada en 2014 por el Comité Español de Representantes de Personas con Discapacidad (CERMI) para la defensa y acción del pleno goce de todos los derechos humanos y libertades fundamentales de las mujeres y niñas con discapacidad, una población de aproximadamente dos millones y medio de ciudadanas. </w:t>
      </w:r>
      <w:r w:rsidRPr="00C726D4">
        <w:rPr>
          <w:rFonts w:eastAsia="Calibri" w:cs="Arial"/>
          <w:bCs/>
          <w:iCs/>
          <w:sz w:val="24"/>
          <w:szCs w:val="24"/>
        </w:rPr>
        <w:t xml:space="preserve">Para ello, la Fundación CERMI MUJERES toma fundamentalmente como referencia la </w:t>
      </w:r>
      <w:r w:rsidRPr="00C726D4">
        <w:rPr>
          <w:rFonts w:eastAsia="Calibri" w:cs="Arial"/>
          <w:bCs/>
          <w:i/>
          <w:iCs/>
          <w:sz w:val="24"/>
          <w:szCs w:val="24"/>
        </w:rPr>
        <w:t>Convención sobre los Derechos de las Personas con Discapacidad</w:t>
      </w:r>
      <w:r w:rsidRPr="00C726D4">
        <w:rPr>
          <w:rFonts w:eastAsia="Calibri" w:cs="Arial"/>
          <w:bCs/>
          <w:iCs/>
          <w:sz w:val="24"/>
          <w:szCs w:val="24"/>
        </w:rPr>
        <w:t xml:space="preserve"> y la </w:t>
      </w:r>
      <w:r w:rsidRPr="00C726D4">
        <w:rPr>
          <w:rFonts w:eastAsia="Calibri" w:cs="Arial"/>
          <w:bCs/>
          <w:i/>
          <w:iCs/>
          <w:sz w:val="24"/>
          <w:szCs w:val="24"/>
        </w:rPr>
        <w:t xml:space="preserve">Convención sobre la Eliminación de Todas las Formas de Discriminación contra la Mujer </w:t>
      </w:r>
      <w:r w:rsidRPr="00C726D4">
        <w:rPr>
          <w:rFonts w:eastAsia="Calibri" w:cs="Arial"/>
          <w:bCs/>
          <w:iCs/>
          <w:sz w:val="24"/>
          <w:szCs w:val="24"/>
        </w:rPr>
        <w:t>de Naciones Unidas desde un enfoque interseccional basado en la discapacidad y el género. Siendo su propósito la lucha contra la discriminación múltiple y el pleno desarrollo, adelanto y potenciación de las mujeres y niñas con discapacidad, CERMI MUJERES hace especial hincapié en los principios de respeto de la dignidad inherente, autonomía individual, incluida la libertad de tomar las propias decisiones, no discriminación, igualdad de oportunidades, inclusión en la comunidad, vida independiente y acción positiva.</w:t>
      </w:r>
    </w:p>
    <w:p w14:paraId="7D3B62FD" w14:textId="77777777" w:rsidR="000370B6" w:rsidRPr="00C726D4" w:rsidRDefault="000370B6" w:rsidP="000370B6">
      <w:pPr>
        <w:pStyle w:val="ListParagraph"/>
        <w:spacing w:before="360" w:line="240" w:lineRule="auto"/>
        <w:ind w:left="0"/>
        <w:rPr>
          <w:rFonts w:eastAsia="Calibri" w:cs="Arial"/>
          <w:bCs/>
          <w:iCs/>
          <w:sz w:val="24"/>
          <w:szCs w:val="24"/>
        </w:rPr>
      </w:pPr>
    </w:p>
    <w:p w14:paraId="40AA0455" w14:textId="56253EA0" w:rsidR="00C726D4" w:rsidRDefault="00C726D4" w:rsidP="000370B6">
      <w:pPr>
        <w:pStyle w:val="ListParagraph"/>
        <w:spacing w:before="360" w:line="240" w:lineRule="auto"/>
        <w:ind w:left="0"/>
        <w:rPr>
          <w:rFonts w:eastAsia="Calibri" w:cs="Arial"/>
          <w:bCs/>
          <w:iCs/>
          <w:sz w:val="24"/>
          <w:szCs w:val="24"/>
        </w:rPr>
      </w:pPr>
      <w:r w:rsidRPr="00C726D4">
        <w:rPr>
          <w:rFonts w:eastAsia="Calibri" w:cs="Arial"/>
          <w:bCs/>
          <w:iCs/>
          <w:sz w:val="24"/>
          <w:szCs w:val="24"/>
        </w:rPr>
        <w:t xml:space="preserve">Algunas de las actividades desarrolladas en 2018 han sido: la Conferencia Sectorial sobre el acceso a la justicia de las mujeres y niñas con discapacidad en el Senado de España; el II Foro Social de Mujeres y Niñas con Discapacidad en Murcia como espacio de encuentro anual de más de doscientas cincuenta participantes procedentes de todo el estado; el estudio sobre la esterilización forzosa de las mujeres y niñas con discapacidad y la guía para incorporar la perspectiva de género y discapacidad en los programas del Fondo Social Europeo; el servicio de asesoramiento legal e intermediación a mujeres con discapacidad víctimas de violencia de género; el programa piloto para la activación socio laboral de mujeres con discapacidad en el medio rural en Extremadura; la formación en Derechos Humanos de mujeres y niñas con discapacidad tanto de forma presencial, como a través de la plataforma digital; la publicación de manifiestos y movilización de las mujeres y niñas con discapacidad en concentraciones cívicas con motivo del Día Internacional de la Mujer y el Día Internacional de la Eliminación de la Violencia contra la Mujer; la representación de las mujeres y niñas con discapacidad en el Observatorio Estatal de Violencia contra la Mujer y en el Consejo de Participación de la Mujer del Gobierno de España; la incidencia política en numerosas iniciativas legislativas, administrativas y de otra índole, y la publicación mensual del boletín informativo </w:t>
      </w:r>
      <w:r w:rsidRPr="00C726D4">
        <w:rPr>
          <w:rFonts w:eastAsia="Calibri" w:cs="Arial"/>
          <w:bCs/>
          <w:i/>
          <w:iCs/>
          <w:sz w:val="24"/>
          <w:szCs w:val="24"/>
        </w:rPr>
        <w:t>Generosidad</w:t>
      </w:r>
      <w:r w:rsidRPr="00C726D4">
        <w:rPr>
          <w:rFonts w:eastAsia="Calibri" w:cs="Arial"/>
          <w:bCs/>
          <w:iCs/>
          <w:sz w:val="24"/>
          <w:szCs w:val="24"/>
        </w:rPr>
        <w:t xml:space="preserve">. </w:t>
      </w:r>
      <w:r w:rsidR="00AF0E63">
        <w:rPr>
          <w:rStyle w:val="FootnoteReference"/>
          <w:rFonts w:eastAsia="Calibri" w:cs="Arial"/>
          <w:bCs/>
          <w:iCs/>
          <w:sz w:val="24"/>
          <w:szCs w:val="24"/>
        </w:rPr>
        <w:footnoteReference w:id="1"/>
      </w:r>
    </w:p>
    <w:p w14:paraId="0DECE148" w14:textId="77777777" w:rsidR="000370B6" w:rsidRPr="00C726D4" w:rsidRDefault="000370B6" w:rsidP="000370B6">
      <w:pPr>
        <w:pStyle w:val="ListParagraph"/>
        <w:spacing w:before="360" w:line="240" w:lineRule="auto"/>
        <w:ind w:left="0"/>
        <w:rPr>
          <w:rFonts w:eastAsia="Calibri" w:cs="Arial"/>
          <w:bCs/>
          <w:iCs/>
          <w:sz w:val="24"/>
          <w:szCs w:val="24"/>
        </w:rPr>
      </w:pPr>
    </w:p>
    <w:p w14:paraId="5575009A" w14:textId="261074AC" w:rsidR="00C726D4" w:rsidRPr="00C726D4" w:rsidRDefault="00C726D4" w:rsidP="00297022">
      <w:pPr>
        <w:pStyle w:val="ListParagraph"/>
        <w:spacing w:before="360" w:after="0" w:line="240" w:lineRule="auto"/>
        <w:ind w:left="0"/>
        <w:rPr>
          <w:rFonts w:eastAsia="Calibri" w:cs="Arial"/>
          <w:bCs/>
          <w:iCs/>
          <w:sz w:val="24"/>
          <w:szCs w:val="24"/>
        </w:rPr>
      </w:pPr>
      <w:r w:rsidRPr="00C726D4">
        <w:rPr>
          <w:rFonts w:eastAsia="Calibri" w:cs="Arial"/>
          <w:bCs/>
          <w:iCs/>
          <w:sz w:val="24"/>
          <w:szCs w:val="24"/>
        </w:rPr>
        <w:t>Es importante señalar que la Fundación cuenta además con un Consejo de Participación de Mujeres</w:t>
      </w:r>
      <w:r w:rsidR="00A049AB">
        <w:rPr>
          <w:rFonts w:eastAsia="Calibri" w:cs="Arial"/>
          <w:bCs/>
          <w:iCs/>
          <w:sz w:val="24"/>
          <w:szCs w:val="24"/>
        </w:rPr>
        <w:t xml:space="preserve"> con Discapacidad</w:t>
      </w:r>
      <w:r w:rsidRPr="00C726D4">
        <w:rPr>
          <w:rFonts w:eastAsia="Calibri" w:cs="Arial"/>
          <w:bCs/>
          <w:iCs/>
          <w:sz w:val="24"/>
          <w:szCs w:val="24"/>
        </w:rPr>
        <w:t xml:space="preserve"> como instrumento consultivo para dar voz directa a todas las mujeres y niñas con discapacidad de España a través de sus organizaciones representativas, tanto organizaciones de personas con discapacidad, como organizaciones específicas de mujeres con discapacidad. Entre las funciones de este Consejo están: ser consultado con carácter previo y asesorar a la Fundación en todos los asuntos que se precise; promover el intercambio de experiencias, debates, y discusiones sobre la realidad social de las mujeres y las niñas con discapacidad, </w:t>
      </w:r>
      <w:r w:rsidRPr="00C726D4">
        <w:rPr>
          <w:rFonts w:eastAsia="Calibri" w:cs="Arial"/>
          <w:bCs/>
          <w:iCs/>
          <w:sz w:val="24"/>
          <w:szCs w:val="24"/>
        </w:rPr>
        <w:lastRenderedPageBreak/>
        <w:t>así como de las madres y cuidadoras de personas con discapacidad; sugerir y proponer la elaboración de estudios, investigaciones, y formular tantas propuestas y recomendaciones como sean necesarias.</w:t>
      </w:r>
    </w:p>
    <w:p w14:paraId="3554812C" w14:textId="4556CD73" w:rsidR="00E107D1" w:rsidRDefault="00E107D1" w:rsidP="00297022">
      <w:pPr>
        <w:spacing w:before="0" w:after="0"/>
        <w:rPr>
          <w:rFonts w:eastAsia="Calibri" w:cs="Arial"/>
          <w:bCs/>
          <w:iCs/>
          <w:sz w:val="24"/>
          <w:szCs w:val="24"/>
        </w:rPr>
      </w:pPr>
    </w:p>
    <w:p w14:paraId="2E1487F3" w14:textId="77777777" w:rsidR="009E549F" w:rsidRDefault="009E549F" w:rsidP="00297022">
      <w:pPr>
        <w:spacing w:before="0" w:after="0"/>
        <w:rPr>
          <w:rFonts w:eastAsia="Calibri" w:cs="Arial"/>
          <w:bCs/>
          <w:iCs/>
          <w:sz w:val="24"/>
          <w:szCs w:val="24"/>
        </w:rPr>
      </w:pPr>
    </w:p>
    <w:p w14:paraId="49E27999" w14:textId="39923D9A" w:rsidR="00C44C13" w:rsidRDefault="00C44C13" w:rsidP="00297022">
      <w:pPr>
        <w:spacing w:before="0" w:after="0"/>
        <w:rPr>
          <w:rFonts w:eastAsia="Calibri" w:cs="Arial"/>
          <w:bCs/>
          <w:iCs/>
          <w:sz w:val="24"/>
          <w:szCs w:val="24"/>
        </w:rPr>
      </w:pPr>
    </w:p>
    <w:p w14:paraId="7098CB72" w14:textId="3AD7DF44" w:rsidR="00913B07" w:rsidRDefault="00650481" w:rsidP="00657B21">
      <w:pPr>
        <w:pStyle w:val="Heading1"/>
        <w:numPr>
          <w:ilvl w:val="0"/>
          <w:numId w:val="31"/>
        </w:numPr>
        <w:spacing w:before="0"/>
        <w:rPr>
          <w:rFonts w:cs="Arial"/>
          <w:sz w:val="24"/>
          <w:szCs w:val="24"/>
        </w:rPr>
      </w:pPr>
      <w:bookmarkStart w:id="3" w:name="_Toc166219"/>
      <w:r>
        <w:rPr>
          <w:rFonts w:cs="Arial"/>
          <w:sz w:val="24"/>
          <w:szCs w:val="24"/>
        </w:rPr>
        <w:t>CONTENIDO DEL INFORME</w:t>
      </w:r>
      <w:bookmarkEnd w:id="3"/>
    </w:p>
    <w:p w14:paraId="069D0F6B" w14:textId="35204516" w:rsidR="00657B21" w:rsidRDefault="00657B21" w:rsidP="00657B21">
      <w:pPr>
        <w:spacing w:before="0" w:after="0"/>
      </w:pPr>
    </w:p>
    <w:p w14:paraId="32073FAD" w14:textId="77777777" w:rsidR="00657B21" w:rsidRPr="00657B21" w:rsidRDefault="00657B21" w:rsidP="00657B21">
      <w:pPr>
        <w:spacing w:before="0" w:after="0"/>
      </w:pPr>
    </w:p>
    <w:p w14:paraId="2A3E14F5" w14:textId="44DFB091" w:rsidR="006B27C9" w:rsidRDefault="00105F3E" w:rsidP="00657B21">
      <w:pPr>
        <w:autoSpaceDE w:val="0"/>
        <w:autoSpaceDN w:val="0"/>
        <w:adjustRightInd w:val="0"/>
        <w:spacing w:before="0" w:after="0" w:line="240" w:lineRule="auto"/>
        <w:rPr>
          <w:rFonts w:eastAsia="Calibri" w:cs="Arial"/>
          <w:bCs/>
          <w:iCs/>
          <w:sz w:val="24"/>
          <w:szCs w:val="24"/>
        </w:rPr>
      </w:pPr>
      <w:r>
        <w:rPr>
          <w:rFonts w:eastAsia="Calibri" w:cs="Arial"/>
          <w:bCs/>
          <w:iCs/>
          <w:sz w:val="24"/>
          <w:szCs w:val="24"/>
        </w:rPr>
        <w:t>Atendiendo a lo dispuesto en el artículo 33.3 de la CDPD (</w:t>
      </w:r>
      <w:r w:rsidRPr="00E34700">
        <w:rPr>
          <w:rFonts w:eastAsia="Calibri" w:cs="Arial"/>
          <w:bCs/>
          <w:i/>
          <w:iCs/>
          <w:sz w:val="24"/>
          <w:szCs w:val="24"/>
        </w:rPr>
        <w:t>Aplicación y seguimiento nacionales</w:t>
      </w:r>
      <w:r w:rsidRPr="00E34700">
        <w:rPr>
          <w:rFonts w:eastAsia="Calibri" w:cs="Arial"/>
          <w:bCs/>
          <w:iCs/>
          <w:sz w:val="24"/>
          <w:szCs w:val="24"/>
        </w:rPr>
        <w:t xml:space="preserve">) </w:t>
      </w:r>
      <w:r>
        <w:rPr>
          <w:rFonts w:eastAsia="Calibri" w:cs="Arial"/>
          <w:bCs/>
          <w:iCs/>
          <w:sz w:val="24"/>
          <w:szCs w:val="24"/>
        </w:rPr>
        <w:t xml:space="preserve">y </w:t>
      </w:r>
      <w:r w:rsidR="00EF20DE">
        <w:rPr>
          <w:rFonts w:eastAsia="Calibri" w:cs="Arial"/>
          <w:bCs/>
          <w:iCs/>
          <w:sz w:val="24"/>
          <w:szCs w:val="24"/>
        </w:rPr>
        <w:t xml:space="preserve">a </w:t>
      </w:r>
      <w:r>
        <w:rPr>
          <w:rFonts w:eastAsia="Calibri" w:cs="Arial"/>
          <w:bCs/>
          <w:iCs/>
          <w:sz w:val="24"/>
          <w:szCs w:val="24"/>
        </w:rPr>
        <w:t>lo establecido por el Comité en sus</w:t>
      </w:r>
      <w:r>
        <w:rPr>
          <w:rFonts w:eastAsia="Calibri" w:cs="Arial"/>
          <w:bCs/>
          <w:i/>
          <w:iCs/>
          <w:sz w:val="24"/>
          <w:szCs w:val="24"/>
        </w:rPr>
        <w:t xml:space="preserve"> Directrices para la participación de las organizaciones de personas con discapacidad y las organizaciones de la sociedad civil en los trabajos del Comité</w:t>
      </w:r>
      <w:r>
        <w:rPr>
          <w:rFonts w:eastAsia="Calibri" w:cs="Arial"/>
          <w:bCs/>
          <w:iCs/>
          <w:sz w:val="24"/>
          <w:szCs w:val="24"/>
        </w:rPr>
        <w:t xml:space="preserve">, la Fundación CERMI Mujeres somete a la consideración </w:t>
      </w:r>
      <w:r w:rsidR="007C4BB2">
        <w:rPr>
          <w:rFonts w:eastAsia="Calibri" w:cs="Arial"/>
          <w:bCs/>
          <w:iCs/>
          <w:sz w:val="24"/>
          <w:szCs w:val="24"/>
        </w:rPr>
        <w:t xml:space="preserve">de dicho </w:t>
      </w:r>
      <w:r w:rsidR="00FB3475">
        <w:rPr>
          <w:rFonts w:eastAsia="Calibri" w:cs="Arial"/>
          <w:bCs/>
          <w:iCs/>
          <w:sz w:val="24"/>
          <w:szCs w:val="24"/>
        </w:rPr>
        <w:t>órgano</w:t>
      </w:r>
      <w:r w:rsidR="007C4BB2">
        <w:rPr>
          <w:rFonts w:eastAsia="Calibri" w:cs="Arial"/>
          <w:bCs/>
          <w:iCs/>
          <w:sz w:val="24"/>
          <w:szCs w:val="24"/>
        </w:rPr>
        <w:t xml:space="preserve"> </w:t>
      </w:r>
      <w:r>
        <w:rPr>
          <w:rFonts w:eastAsia="Calibri" w:cs="Arial"/>
          <w:bCs/>
          <w:iCs/>
          <w:sz w:val="24"/>
          <w:szCs w:val="24"/>
        </w:rPr>
        <w:t xml:space="preserve">el presente </w:t>
      </w:r>
      <w:r w:rsidRPr="001564C2">
        <w:rPr>
          <w:rFonts w:eastAsia="Calibri" w:cs="Arial"/>
          <w:bCs/>
          <w:iCs/>
          <w:sz w:val="24"/>
          <w:szCs w:val="24"/>
        </w:rPr>
        <w:t xml:space="preserve">informe </w:t>
      </w:r>
      <w:r w:rsidRPr="00CD410B">
        <w:rPr>
          <w:rFonts w:eastAsia="Calibri" w:cs="Arial"/>
          <w:bCs/>
          <w:iCs/>
          <w:sz w:val="24"/>
          <w:szCs w:val="24"/>
        </w:rPr>
        <w:t>sombra</w:t>
      </w:r>
      <w:r w:rsidR="007C4BB2">
        <w:rPr>
          <w:rFonts w:eastAsia="Calibri" w:cs="Arial"/>
          <w:bCs/>
          <w:iCs/>
          <w:sz w:val="24"/>
          <w:szCs w:val="24"/>
        </w:rPr>
        <w:t xml:space="preserve"> para la revisión periódica de España</w:t>
      </w:r>
      <w:r>
        <w:rPr>
          <w:rFonts w:eastAsia="Calibri" w:cs="Arial"/>
          <w:bCs/>
          <w:iCs/>
          <w:sz w:val="24"/>
          <w:szCs w:val="24"/>
        </w:rPr>
        <w:t xml:space="preserve"> con el propósito de ofrecer información complementaria </w:t>
      </w:r>
      <w:r w:rsidR="00D519A9">
        <w:rPr>
          <w:rFonts w:eastAsia="Calibri" w:cs="Arial"/>
          <w:bCs/>
          <w:iCs/>
          <w:sz w:val="24"/>
          <w:szCs w:val="24"/>
        </w:rPr>
        <w:t xml:space="preserve">sobre mujeres y niñas con discapacidad </w:t>
      </w:r>
      <w:r>
        <w:rPr>
          <w:rFonts w:eastAsia="Calibri" w:cs="Arial"/>
          <w:bCs/>
          <w:iCs/>
          <w:sz w:val="24"/>
          <w:szCs w:val="24"/>
        </w:rPr>
        <w:t>a la</w:t>
      </w:r>
      <w:r w:rsidR="00FB3475">
        <w:rPr>
          <w:rFonts w:eastAsia="Calibri" w:cs="Arial"/>
          <w:bCs/>
          <w:iCs/>
          <w:sz w:val="24"/>
          <w:szCs w:val="24"/>
        </w:rPr>
        <w:t xml:space="preserve"> </w:t>
      </w:r>
      <w:r w:rsidR="00862D48">
        <w:rPr>
          <w:rFonts w:eastAsia="Calibri" w:cs="Arial"/>
          <w:bCs/>
          <w:iCs/>
          <w:sz w:val="24"/>
          <w:szCs w:val="24"/>
        </w:rPr>
        <w:t>aportada</w:t>
      </w:r>
      <w:r w:rsidR="00FB3475">
        <w:rPr>
          <w:rFonts w:eastAsia="Calibri" w:cs="Arial"/>
          <w:bCs/>
          <w:iCs/>
          <w:sz w:val="24"/>
          <w:szCs w:val="24"/>
        </w:rPr>
        <w:t xml:space="preserve"> por el Gobierno </w:t>
      </w:r>
      <w:r w:rsidR="00C57584">
        <w:rPr>
          <w:rFonts w:eastAsia="Calibri" w:cs="Arial"/>
          <w:bCs/>
          <w:iCs/>
          <w:sz w:val="24"/>
          <w:szCs w:val="24"/>
        </w:rPr>
        <w:t>del Estado P</w:t>
      </w:r>
      <w:r w:rsidR="00AB731A">
        <w:rPr>
          <w:rFonts w:eastAsia="Calibri" w:cs="Arial"/>
          <w:bCs/>
          <w:iCs/>
          <w:sz w:val="24"/>
          <w:szCs w:val="24"/>
        </w:rPr>
        <w:t xml:space="preserve">arte </w:t>
      </w:r>
      <w:r w:rsidR="00FB3475">
        <w:rPr>
          <w:rFonts w:eastAsia="Calibri" w:cs="Arial"/>
          <w:bCs/>
          <w:iCs/>
          <w:sz w:val="24"/>
          <w:szCs w:val="24"/>
        </w:rPr>
        <w:t>en sus informes</w:t>
      </w:r>
      <w:r w:rsidR="00754AFB">
        <w:rPr>
          <w:rFonts w:eastAsia="Calibri" w:cs="Arial"/>
          <w:bCs/>
          <w:iCs/>
          <w:sz w:val="24"/>
          <w:szCs w:val="24"/>
        </w:rPr>
        <w:t xml:space="preserve"> periódicos segundo y tercero combinados y en </w:t>
      </w:r>
      <w:r w:rsidR="00240D3C">
        <w:rPr>
          <w:rFonts w:eastAsia="Calibri" w:cs="Arial"/>
          <w:bCs/>
          <w:iCs/>
          <w:sz w:val="24"/>
          <w:szCs w:val="24"/>
        </w:rPr>
        <w:t xml:space="preserve">la respuesta a la lista de cuestiones previas a la presentación de </w:t>
      </w:r>
      <w:r w:rsidR="00AB731A">
        <w:rPr>
          <w:rFonts w:eastAsia="Calibri" w:cs="Arial"/>
          <w:bCs/>
          <w:iCs/>
          <w:sz w:val="24"/>
          <w:szCs w:val="24"/>
        </w:rPr>
        <w:t>los mismos</w:t>
      </w:r>
      <w:r w:rsidR="00397A62">
        <w:rPr>
          <w:rFonts w:eastAsia="Calibri" w:cs="Arial"/>
          <w:bCs/>
          <w:iCs/>
          <w:sz w:val="24"/>
          <w:szCs w:val="24"/>
        </w:rPr>
        <w:t>.</w:t>
      </w:r>
      <w:r w:rsidR="00291FC4" w:rsidRPr="00291FC4">
        <w:rPr>
          <w:rFonts w:eastAsia="Calibri" w:cs="Arial"/>
          <w:bCs/>
          <w:iCs/>
          <w:sz w:val="24"/>
          <w:szCs w:val="24"/>
        </w:rPr>
        <w:t xml:space="preserve"> </w:t>
      </w:r>
      <w:r w:rsidR="00EC577E">
        <w:rPr>
          <w:rFonts w:eastAsia="Calibri" w:cs="Arial"/>
          <w:bCs/>
          <w:iCs/>
          <w:sz w:val="24"/>
          <w:szCs w:val="24"/>
        </w:rPr>
        <w:t xml:space="preserve">Más concretamente, </w:t>
      </w:r>
      <w:r w:rsidR="00B57E9F">
        <w:rPr>
          <w:rFonts w:eastAsia="Calibri" w:cs="Arial"/>
          <w:bCs/>
          <w:iCs/>
          <w:sz w:val="24"/>
          <w:szCs w:val="24"/>
        </w:rPr>
        <w:t xml:space="preserve">ofrece información sobre </w:t>
      </w:r>
      <w:r w:rsidR="008D41E1">
        <w:rPr>
          <w:rFonts w:eastAsia="Calibri" w:cs="Arial"/>
          <w:bCs/>
          <w:iCs/>
          <w:sz w:val="24"/>
          <w:szCs w:val="24"/>
        </w:rPr>
        <w:t>el artículo</w:t>
      </w:r>
      <w:r w:rsidR="00291FC4">
        <w:rPr>
          <w:rFonts w:eastAsia="Calibri" w:cs="Arial"/>
          <w:bCs/>
          <w:iCs/>
          <w:sz w:val="24"/>
          <w:szCs w:val="24"/>
        </w:rPr>
        <w:t xml:space="preserve"> 6</w:t>
      </w:r>
      <w:r w:rsidR="00477C2E">
        <w:rPr>
          <w:rFonts w:eastAsia="Calibri" w:cs="Arial"/>
          <w:bCs/>
          <w:iCs/>
          <w:sz w:val="24"/>
          <w:szCs w:val="24"/>
        </w:rPr>
        <w:t xml:space="preserve">, </w:t>
      </w:r>
      <w:r w:rsidR="00291FC4" w:rsidRPr="001564C2">
        <w:rPr>
          <w:rFonts w:eastAsia="Calibri" w:cs="Arial"/>
          <w:bCs/>
          <w:i/>
          <w:iCs/>
          <w:sz w:val="24"/>
          <w:szCs w:val="24"/>
        </w:rPr>
        <w:t>Mujeres con discapacidad</w:t>
      </w:r>
      <w:r w:rsidR="00477C2E">
        <w:rPr>
          <w:rFonts w:eastAsia="Calibri" w:cs="Arial"/>
          <w:bCs/>
          <w:iCs/>
          <w:sz w:val="24"/>
          <w:szCs w:val="24"/>
        </w:rPr>
        <w:t xml:space="preserve"> (cuestión número 4);</w:t>
      </w:r>
      <w:r w:rsidR="00291FC4" w:rsidRPr="00CD410B">
        <w:rPr>
          <w:rFonts w:eastAsia="Calibri" w:cs="Arial"/>
          <w:bCs/>
          <w:iCs/>
          <w:sz w:val="24"/>
          <w:szCs w:val="24"/>
        </w:rPr>
        <w:t xml:space="preserve"> artículo 16</w:t>
      </w:r>
      <w:r w:rsidR="00477C2E">
        <w:rPr>
          <w:rFonts w:eastAsia="Calibri" w:cs="Arial"/>
          <w:bCs/>
          <w:iCs/>
          <w:sz w:val="24"/>
          <w:szCs w:val="24"/>
        </w:rPr>
        <w:t xml:space="preserve">, </w:t>
      </w:r>
      <w:r w:rsidR="00291FC4" w:rsidRPr="001564C2">
        <w:rPr>
          <w:rFonts w:eastAsia="Calibri" w:cs="Arial"/>
          <w:bCs/>
          <w:i/>
          <w:iCs/>
          <w:sz w:val="24"/>
          <w:szCs w:val="24"/>
        </w:rPr>
        <w:t>Protección contra la explo</w:t>
      </w:r>
      <w:r w:rsidR="00291FC4">
        <w:rPr>
          <w:rFonts w:eastAsia="Calibri" w:cs="Arial"/>
          <w:bCs/>
          <w:i/>
          <w:iCs/>
          <w:sz w:val="24"/>
          <w:szCs w:val="24"/>
        </w:rPr>
        <w:t>tación, la violencia y el abuso</w:t>
      </w:r>
      <w:r w:rsidR="00477C2E">
        <w:rPr>
          <w:rFonts w:eastAsia="Calibri" w:cs="Arial"/>
          <w:bCs/>
          <w:i/>
          <w:iCs/>
          <w:sz w:val="24"/>
          <w:szCs w:val="24"/>
        </w:rPr>
        <w:t xml:space="preserve"> </w:t>
      </w:r>
      <w:r w:rsidR="00477C2E">
        <w:rPr>
          <w:rFonts w:eastAsia="Calibri" w:cs="Arial"/>
          <w:bCs/>
          <w:iCs/>
          <w:sz w:val="24"/>
          <w:szCs w:val="24"/>
        </w:rPr>
        <w:t>(cuestión número 17);</w:t>
      </w:r>
      <w:r w:rsidR="00291FC4" w:rsidRPr="001564C2">
        <w:rPr>
          <w:rFonts w:eastAsia="Calibri" w:cs="Arial"/>
          <w:bCs/>
          <w:i/>
          <w:iCs/>
          <w:sz w:val="24"/>
          <w:szCs w:val="24"/>
        </w:rPr>
        <w:t xml:space="preserve"> </w:t>
      </w:r>
      <w:r w:rsidR="00573007">
        <w:rPr>
          <w:rFonts w:eastAsia="Calibri" w:cs="Arial"/>
          <w:bCs/>
          <w:iCs/>
          <w:sz w:val="24"/>
          <w:szCs w:val="24"/>
        </w:rPr>
        <w:t>art</w:t>
      </w:r>
      <w:r w:rsidR="00477C2E">
        <w:rPr>
          <w:rFonts w:eastAsia="Calibri" w:cs="Arial"/>
          <w:bCs/>
          <w:iCs/>
          <w:sz w:val="24"/>
          <w:szCs w:val="24"/>
        </w:rPr>
        <w:t xml:space="preserve">ículo 17, </w:t>
      </w:r>
      <w:r w:rsidR="00573007">
        <w:rPr>
          <w:rFonts w:eastAsia="Calibri" w:cs="Arial"/>
          <w:bCs/>
          <w:i/>
          <w:iCs/>
          <w:sz w:val="24"/>
          <w:szCs w:val="24"/>
        </w:rPr>
        <w:t>Protecci</w:t>
      </w:r>
      <w:r w:rsidR="00477C2E">
        <w:rPr>
          <w:rFonts w:eastAsia="Calibri" w:cs="Arial"/>
          <w:bCs/>
          <w:i/>
          <w:iCs/>
          <w:sz w:val="24"/>
          <w:szCs w:val="24"/>
        </w:rPr>
        <w:t xml:space="preserve">ón de la integridad personal, </w:t>
      </w:r>
      <w:r w:rsidR="00477C2E">
        <w:rPr>
          <w:rFonts w:eastAsia="Calibri" w:cs="Arial"/>
          <w:bCs/>
          <w:iCs/>
          <w:sz w:val="24"/>
          <w:szCs w:val="24"/>
        </w:rPr>
        <w:t>(cuestión número 18);</w:t>
      </w:r>
      <w:r w:rsidR="00573007">
        <w:rPr>
          <w:rFonts w:eastAsia="Calibri" w:cs="Arial"/>
          <w:bCs/>
          <w:iCs/>
          <w:sz w:val="24"/>
          <w:szCs w:val="24"/>
        </w:rPr>
        <w:t xml:space="preserve"> </w:t>
      </w:r>
      <w:r w:rsidR="00477C2E">
        <w:rPr>
          <w:rFonts w:eastAsia="Calibri" w:cs="Arial"/>
          <w:bCs/>
          <w:iCs/>
          <w:sz w:val="24"/>
          <w:szCs w:val="24"/>
        </w:rPr>
        <w:t xml:space="preserve">artículo 25, </w:t>
      </w:r>
      <w:r w:rsidR="00291FC4" w:rsidRPr="001564C2">
        <w:rPr>
          <w:rFonts w:eastAsia="Calibri" w:cs="Arial"/>
          <w:bCs/>
          <w:i/>
          <w:iCs/>
          <w:sz w:val="24"/>
          <w:szCs w:val="24"/>
        </w:rPr>
        <w:t>Salud</w:t>
      </w:r>
      <w:r w:rsidR="00477C2E">
        <w:rPr>
          <w:rFonts w:eastAsia="Calibri" w:cs="Arial"/>
          <w:bCs/>
          <w:iCs/>
          <w:sz w:val="24"/>
          <w:szCs w:val="24"/>
        </w:rPr>
        <w:t xml:space="preserve"> </w:t>
      </w:r>
      <w:r w:rsidR="00477C2E" w:rsidRPr="00477C2E">
        <w:rPr>
          <w:rFonts w:eastAsia="Calibri" w:cs="Arial"/>
          <w:bCs/>
          <w:iCs/>
          <w:sz w:val="24"/>
          <w:szCs w:val="24"/>
        </w:rPr>
        <w:t>(cuestión número 24)</w:t>
      </w:r>
      <w:r w:rsidR="00477C2E">
        <w:rPr>
          <w:rFonts w:eastAsia="Calibri" w:cs="Arial"/>
          <w:bCs/>
          <w:iCs/>
          <w:sz w:val="24"/>
          <w:szCs w:val="24"/>
        </w:rPr>
        <w:t xml:space="preserve">; artículo 27, </w:t>
      </w:r>
      <w:r w:rsidR="00291FC4" w:rsidRPr="001564C2">
        <w:rPr>
          <w:rFonts w:eastAsia="Calibri" w:cs="Arial"/>
          <w:bCs/>
          <w:i/>
          <w:iCs/>
          <w:sz w:val="24"/>
          <w:szCs w:val="24"/>
        </w:rPr>
        <w:t>Trabajo y empleo</w:t>
      </w:r>
      <w:r w:rsidR="00477C2E">
        <w:rPr>
          <w:rFonts w:eastAsia="Calibri" w:cs="Arial"/>
          <w:bCs/>
          <w:iCs/>
          <w:sz w:val="24"/>
          <w:szCs w:val="24"/>
        </w:rPr>
        <w:t xml:space="preserve"> (cuestión número 25), y artículo 28, </w:t>
      </w:r>
      <w:r w:rsidR="00291FC4" w:rsidRPr="001564C2">
        <w:rPr>
          <w:rFonts w:eastAsia="Calibri" w:cs="Arial"/>
          <w:bCs/>
          <w:i/>
          <w:iCs/>
          <w:sz w:val="24"/>
          <w:szCs w:val="24"/>
        </w:rPr>
        <w:t>Nivel de vida adecuado y protección social</w:t>
      </w:r>
      <w:r w:rsidR="00477C2E">
        <w:rPr>
          <w:rFonts w:eastAsia="Calibri" w:cs="Arial"/>
          <w:bCs/>
          <w:i/>
          <w:iCs/>
          <w:sz w:val="24"/>
          <w:szCs w:val="24"/>
        </w:rPr>
        <w:t xml:space="preserve">, </w:t>
      </w:r>
      <w:r w:rsidR="00477C2E">
        <w:rPr>
          <w:rFonts w:eastAsia="Calibri" w:cs="Arial"/>
          <w:bCs/>
          <w:iCs/>
          <w:sz w:val="24"/>
          <w:szCs w:val="24"/>
        </w:rPr>
        <w:t>(cuestión número 26</w:t>
      </w:r>
      <w:r w:rsidR="00291FC4" w:rsidRPr="00CD410B">
        <w:rPr>
          <w:rFonts w:eastAsia="Calibri" w:cs="Arial"/>
          <w:bCs/>
          <w:iCs/>
          <w:sz w:val="24"/>
          <w:szCs w:val="24"/>
        </w:rPr>
        <w:t>)</w:t>
      </w:r>
      <w:r w:rsidR="00AF0E63">
        <w:rPr>
          <w:rStyle w:val="FootnoteReference"/>
          <w:rFonts w:eastAsia="Calibri" w:cs="Arial"/>
          <w:bCs/>
          <w:iCs/>
          <w:sz w:val="24"/>
          <w:szCs w:val="24"/>
        </w:rPr>
        <w:footnoteReference w:id="2"/>
      </w:r>
      <w:r w:rsidR="00291FC4" w:rsidRPr="001564C2">
        <w:rPr>
          <w:rFonts w:eastAsia="Calibri" w:cs="Arial"/>
          <w:bCs/>
          <w:iCs/>
          <w:sz w:val="24"/>
          <w:szCs w:val="24"/>
        </w:rPr>
        <w:t>.</w:t>
      </w:r>
      <w:r w:rsidR="005012A9">
        <w:rPr>
          <w:rFonts w:eastAsia="Calibri" w:cs="Arial"/>
          <w:bCs/>
          <w:iCs/>
          <w:sz w:val="24"/>
          <w:szCs w:val="24"/>
        </w:rPr>
        <w:t xml:space="preserve"> </w:t>
      </w:r>
    </w:p>
    <w:p w14:paraId="6458EE14" w14:textId="77777777" w:rsidR="00903AD7" w:rsidRDefault="00903AD7" w:rsidP="00291FC4">
      <w:pPr>
        <w:autoSpaceDE w:val="0"/>
        <w:autoSpaceDN w:val="0"/>
        <w:adjustRightInd w:val="0"/>
        <w:spacing w:before="0" w:after="0" w:line="240" w:lineRule="auto"/>
        <w:rPr>
          <w:rFonts w:eastAsia="Calibri" w:cs="Arial"/>
          <w:bCs/>
          <w:iCs/>
          <w:sz w:val="24"/>
          <w:szCs w:val="24"/>
        </w:rPr>
      </w:pPr>
    </w:p>
    <w:p w14:paraId="7096703A" w14:textId="2818B553" w:rsidR="00291FC4" w:rsidRDefault="005012A9" w:rsidP="00291FC4">
      <w:pPr>
        <w:autoSpaceDE w:val="0"/>
        <w:autoSpaceDN w:val="0"/>
        <w:adjustRightInd w:val="0"/>
        <w:spacing w:before="0" w:after="0" w:line="240" w:lineRule="auto"/>
        <w:rPr>
          <w:rFonts w:eastAsia="Calibri" w:cs="Arial"/>
          <w:bCs/>
          <w:iCs/>
          <w:sz w:val="24"/>
          <w:szCs w:val="24"/>
        </w:rPr>
      </w:pPr>
      <w:r>
        <w:rPr>
          <w:rFonts w:eastAsia="Calibri" w:cs="Arial"/>
          <w:bCs/>
          <w:iCs/>
          <w:sz w:val="24"/>
          <w:szCs w:val="24"/>
        </w:rPr>
        <w:t>La información ofrecida por la Fundaci</w:t>
      </w:r>
      <w:r w:rsidR="006B27C9">
        <w:rPr>
          <w:rFonts w:eastAsia="Calibri" w:cs="Arial"/>
          <w:bCs/>
          <w:iCs/>
          <w:sz w:val="24"/>
          <w:szCs w:val="24"/>
        </w:rPr>
        <w:t>ón CERMI MUJERES para la consideración de</w:t>
      </w:r>
      <w:r>
        <w:rPr>
          <w:rFonts w:eastAsia="Calibri" w:cs="Arial"/>
          <w:bCs/>
          <w:iCs/>
          <w:sz w:val="24"/>
          <w:szCs w:val="24"/>
        </w:rPr>
        <w:t xml:space="preserve"> cada uno de estos artículos </w:t>
      </w:r>
      <w:r w:rsidR="006B27C9">
        <w:rPr>
          <w:rFonts w:cs="Arial"/>
          <w:sz w:val="24"/>
          <w:szCs w:val="24"/>
        </w:rPr>
        <w:t>tiene</w:t>
      </w:r>
      <w:r w:rsidR="006B27C9" w:rsidRPr="00FE7EA7">
        <w:rPr>
          <w:rFonts w:cs="Arial"/>
          <w:sz w:val="24"/>
          <w:szCs w:val="24"/>
        </w:rPr>
        <w:t xml:space="preserve"> una perspectiva crítica cuya finali</w:t>
      </w:r>
      <w:r w:rsidR="006B27C9">
        <w:rPr>
          <w:rFonts w:cs="Arial"/>
          <w:sz w:val="24"/>
          <w:szCs w:val="24"/>
        </w:rPr>
        <w:t>dad</w:t>
      </w:r>
      <w:r w:rsidR="006B27C9" w:rsidRPr="00FE7EA7">
        <w:rPr>
          <w:rFonts w:cs="Arial"/>
          <w:sz w:val="24"/>
          <w:szCs w:val="24"/>
        </w:rPr>
        <w:t xml:space="preserve"> es que el gobierno de España garantice el ejercicio pleno de los derechos de ciudadanía de las mujeres y niñas con discapacidad</w:t>
      </w:r>
      <w:r w:rsidR="00DD786F">
        <w:rPr>
          <w:rFonts w:cs="Arial"/>
          <w:sz w:val="24"/>
          <w:szCs w:val="24"/>
        </w:rPr>
        <w:t>.</w:t>
      </w:r>
      <w:r w:rsidR="00DE58D8">
        <w:rPr>
          <w:rFonts w:cs="Arial"/>
          <w:sz w:val="24"/>
          <w:szCs w:val="24"/>
        </w:rPr>
        <w:t xml:space="preserve"> Para ello, vamos a dedicar un epígrafe específico para cada artículo, incorporando al final de cada uno</w:t>
      </w:r>
      <w:r w:rsidR="0083505D">
        <w:rPr>
          <w:rFonts w:cs="Arial"/>
          <w:sz w:val="24"/>
          <w:szCs w:val="24"/>
        </w:rPr>
        <w:t xml:space="preserve"> una propuesta de recomendación</w:t>
      </w:r>
      <w:r w:rsidR="00EA51BA">
        <w:rPr>
          <w:rFonts w:cs="Arial"/>
          <w:sz w:val="24"/>
          <w:szCs w:val="24"/>
        </w:rPr>
        <w:t xml:space="preserve"> para la elaboración</w:t>
      </w:r>
      <w:r w:rsidR="000F0188">
        <w:rPr>
          <w:rFonts w:cs="Arial"/>
          <w:sz w:val="24"/>
          <w:szCs w:val="24"/>
        </w:rPr>
        <w:t xml:space="preserve"> de las Observaciones Finales del Comité</w:t>
      </w:r>
      <w:r w:rsidR="002E3997">
        <w:rPr>
          <w:rFonts w:cs="Arial"/>
          <w:sz w:val="24"/>
          <w:szCs w:val="24"/>
        </w:rPr>
        <w:t xml:space="preserve"> a España.</w:t>
      </w:r>
      <w:r w:rsidR="0077439F">
        <w:rPr>
          <w:rFonts w:cs="Arial"/>
          <w:sz w:val="24"/>
          <w:szCs w:val="24"/>
        </w:rPr>
        <w:t xml:space="preserve"> El informe sombra ofrece también enlaces directos a estudios e investigaciones </w:t>
      </w:r>
      <w:r w:rsidR="009629F6">
        <w:rPr>
          <w:rFonts w:cs="Arial"/>
          <w:sz w:val="24"/>
          <w:szCs w:val="24"/>
        </w:rPr>
        <w:t>específicas sobre las cuestiones tratadas, como son la esterilización forzosa, la violencia,</w:t>
      </w:r>
      <w:r w:rsidR="006B7BDE">
        <w:rPr>
          <w:rFonts w:cs="Arial"/>
          <w:sz w:val="24"/>
          <w:szCs w:val="24"/>
        </w:rPr>
        <w:t xml:space="preserve"> la salud y</w:t>
      </w:r>
      <w:r w:rsidR="009629F6">
        <w:rPr>
          <w:rFonts w:cs="Arial"/>
          <w:sz w:val="24"/>
          <w:szCs w:val="24"/>
        </w:rPr>
        <w:t xml:space="preserve"> los derechos </w:t>
      </w:r>
      <w:r w:rsidR="00E32E4C">
        <w:rPr>
          <w:rFonts w:cs="Arial"/>
          <w:sz w:val="24"/>
          <w:szCs w:val="24"/>
        </w:rPr>
        <w:t xml:space="preserve">sexuales y reproductivos </w:t>
      </w:r>
      <w:r w:rsidR="00315EC9">
        <w:rPr>
          <w:rFonts w:cs="Arial"/>
          <w:sz w:val="24"/>
          <w:szCs w:val="24"/>
        </w:rPr>
        <w:t>de las m</w:t>
      </w:r>
      <w:r w:rsidR="00A31AEF">
        <w:rPr>
          <w:rFonts w:cs="Arial"/>
          <w:sz w:val="24"/>
          <w:szCs w:val="24"/>
        </w:rPr>
        <w:t>ujeres y niñas con discapacidad, solo disponibles en español.</w:t>
      </w:r>
    </w:p>
    <w:p w14:paraId="7570C45E" w14:textId="2416741E" w:rsidR="00A049AB" w:rsidRDefault="00A049AB" w:rsidP="00105F3E">
      <w:pPr>
        <w:autoSpaceDE w:val="0"/>
        <w:autoSpaceDN w:val="0"/>
        <w:adjustRightInd w:val="0"/>
        <w:spacing w:before="0" w:after="0" w:line="240" w:lineRule="auto"/>
        <w:rPr>
          <w:rFonts w:eastAsia="Calibri" w:cs="Arial"/>
          <w:bCs/>
          <w:iCs/>
          <w:sz w:val="24"/>
          <w:szCs w:val="24"/>
        </w:rPr>
      </w:pPr>
    </w:p>
    <w:p w14:paraId="192B97FB" w14:textId="4ACECE73" w:rsidR="00896C6D" w:rsidRPr="00F229EA" w:rsidRDefault="00AF0E63" w:rsidP="0081555C">
      <w:pPr>
        <w:autoSpaceDE w:val="0"/>
        <w:autoSpaceDN w:val="0"/>
        <w:adjustRightInd w:val="0"/>
        <w:spacing w:before="0" w:after="0" w:line="240" w:lineRule="auto"/>
        <w:rPr>
          <w:rFonts w:eastAsia="Calibri" w:cs="Arial"/>
          <w:bCs/>
          <w:iCs/>
          <w:sz w:val="24"/>
          <w:szCs w:val="24"/>
        </w:rPr>
      </w:pPr>
      <w:r>
        <w:rPr>
          <w:rFonts w:eastAsia="Calibri" w:cs="Arial"/>
          <w:bCs/>
          <w:iCs/>
          <w:sz w:val="24"/>
          <w:szCs w:val="24"/>
        </w:rPr>
        <w:t>Este informe sombra</w:t>
      </w:r>
      <w:r w:rsidR="0096253D">
        <w:rPr>
          <w:rFonts w:eastAsia="Calibri" w:cs="Arial"/>
          <w:bCs/>
          <w:iCs/>
          <w:sz w:val="24"/>
          <w:szCs w:val="24"/>
        </w:rPr>
        <w:t>, además,</w:t>
      </w:r>
      <w:r w:rsidR="00A049AB">
        <w:rPr>
          <w:rFonts w:eastAsia="Calibri" w:cs="Arial"/>
          <w:bCs/>
          <w:iCs/>
          <w:sz w:val="24"/>
          <w:szCs w:val="24"/>
        </w:rPr>
        <w:t xml:space="preserve"> ha sido validado por el </w:t>
      </w:r>
      <w:r w:rsidR="00E2056B">
        <w:rPr>
          <w:rFonts w:eastAsia="Calibri" w:cs="Arial"/>
          <w:bCs/>
          <w:iCs/>
          <w:sz w:val="24"/>
          <w:szCs w:val="24"/>
        </w:rPr>
        <w:t xml:space="preserve">Consejo de Participación de </w:t>
      </w:r>
      <w:r w:rsidR="00A049AB">
        <w:rPr>
          <w:rFonts w:eastAsia="Calibri" w:cs="Arial"/>
          <w:bCs/>
          <w:iCs/>
          <w:sz w:val="24"/>
          <w:szCs w:val="24"/>
        </w:rPr>
        <w:t>Mujeres con Discapacidad</w:t>
      </w:r>
      <w:r w:rsidR="00A24963">
        <w:rPr>
          <w:rFonts w:eastAsia="Calibri" w:cs="Arial"/>
          <w:bCs/>
          <w:iCs/>
          <w:sz w:val="24"/>
          <w:szCs w:val="24"/>
        </w:rPr>
        <w:t xml:space="preserve"> de la Fundación CERMI M</w:t>
      </w:r>
      <w:r w:rsidR="003B6A75">
        <w:rPr>
          <w:rFonts w:eastAsia="Calibri" w:cs="Arial"/>
          <w:bCs/>
          <w:iCs/>
          <w:sz w:val="24"/>
          <w:szCs w:val="24"/>
        </w:rPr>
        <w:t>UJERES</w:t>
      </w:r>
      <w:r w:rsidR="00A24963">
        <w:rPr>
          <w:rFonts w:eastAsia="Calibri" w:cs="Arial"/>
          <w:bCs/>
          <w:iCs/>
          <w:sz w:val="24"/>
          <w:szCs w:val="24"/>
        </w:rPr>
        <w:t xml:space="preserve"> con la </w:t>
      </w:r>
      <w:r w:rsidR="004F3AC7">
        <w:rPr>
          <w:rFonts w:eastAsia="Calibri" w:cs="Arial"/>
          <w:bCs/>
          <w:iCs/>
          <w:sz w:val="24"/>
          <w:szCs w:val="24"/>
        </w:rPr>
        <w:t>participación</w:t>
      </w:r>
      <w:r w:rsidR="00A24963">
        <w:rPr>
          <w:rFonts w:eastAsia="Calibri" w:cs="Arial"/>
          <w:bCs/>
          <w:iCs/>
          <w:sz w:val="24"/>
          <w:szCs w:val="24"/>
        </w:rPr>
        <w:t xml:space="preserve"> de las siguientes organizaciones: </w:t>
      </w:r>
      <w:r w:rsidR="00993BE9" w:rsidRPr="00F229EA">
        <w:rPr>
          <w:rFonts w:eastAsia="Calibri" w:cs="Arial"/>
          <w:bCs/>
          <w:iCs/>
          <w:sz w:val="24"/>
          <w:szCs w:val="24"/>
        </w:rPr>
        <w:t>Confederación Autismo España</w:t>
      </w:r>
      <w:r w:rsidR="00657B21">
        <w:rPr>
          <w:rFonts w:eastAsia="Calibri" w:cs="Arial"/>
          <w:bCs/>
          <w:iCs/>
          <w:sz w:val="24"/>
          <w:szCs w:val="24"/>
        </w:rPr>
        <w:t xml:space="preserve">; </w:t>
      </w:r>
      <w:r w:rsidR="00896C6D" w:rsidRPr="00F229EA">
        <w:rPr>
          <w:rFonts w:eastAsia="Calibri" w:cs="Arial"/>
          <w:bCs/>
          <w:iCs/>
          <w:sz w:val="24"/>
          <w:szCs w:val="24"/>
        </w:rPr>
        <w:t>Confederación Española de Asociaciones de Atención a las P</w:t>
      </w:r>
      <w:r w:rsidR="00993BE9" w:rsidRPr="00F229EA">
        <w:rPr>
          <w:rFonts w:eastAsia="Calibri" w:cs="Arial"/>
          <w:bCs/>
          <w:iCs/>
          <w:sz w:val="24"/>
          <w:szCs w:val="24"/>
        </w:rPr>
        <w:t>ersonas con Parálisis Cerebral (Confederación ASPACE)</w:t>
      </w:r>
      <w:r w:rsidR="00657B21">
        <w:rPr>
          <w:rFonts w:eastAsia="Calibri" w:cs="Arial"/>
          <w:bCs/>
          <w:iCs/>
          <w:sz w:val="24"/>
          <w:szCs w:val="24"/>
        </w:rPr>
        <w:t xml:space="preserve">, </w:t>
      </w:r>
      <w:r w:rsidR="00896C6D" w:rsidRPr="00F229EA">
        <w:rPr>
          <w:rFonts w:eastAsia="Calibri" w:cs="Arial"/>
          <w:bCs/>
          <w:iCs/>
          <w:sz w:val="24"/>
          <w:szCs w:val="24"/>
        </w:rPr>
        <w:t xml:space="preserve">Confederación Española </w:t>
      </w:r>
      <w:r w:rsidR="00ED5746" w:rsidRPr="00F229EA">
        <w:rPr>
          <w:rFonts w:eastAsia="Calibri" w:cs="Arial"/>
          <w:bCs/>
          <w:iCs/>
          <w:sz w:val="24"/>
          <w:szCs w:val="24"/>
        </w:rPr>
        <w:t>de Familias de Personas Sordas (</w:t>
      </w:r>
      <w:r w:rsidR="00896C6D" w:rsidRPr="00F229EA">
        <w:rPr>
          <w:rFonts w:eastAsia="Calibri" w:cs="Arial"/>
          <w:bCs/>
          <w:iCs/>
          <w:sz w:val="24"/>
          <w:szCs w:val="24"/>
        </w:rPr>
        <w:t>FIAPAS</w:t>
      </w:r>
      <w:r w:rsidR="00ED5746" w:rsidRPr="00F229EA">
        <w:rPr>
          <w:rFonts w:eastAsia="Calibri" w:cs="Arial"/>
          <w:bCs/>
          <w:iCs/>
          <w:sz w:val="24"/>
          <w:szCs w:val="24"/>
        </w:rPr>
        <w:t>)</w:t>
      </w:r>
      <w:r w:rsidR="00657B21">
        <w:rPr>
          <w:rFonts w:eastAsia="Calibri" w:cs="Arial"/>
          <w:bCs/>
          <w:iCs/>
          <w:sz w:val="24"/>
          <w:szCs w:val="24"/>
        </w:rPr>
        <w:t xml:space="preserve">, </w:t>
      </w:r>
      <w:r w:rsidR="00E74E23" w:rsidRPr="00F229EA">
        <w:rPr>
          <w:rFonts w:eastAsia="Calibri" w:cs="Arial"/>
          <w:bCs/>
          <w:iCs/>
          <w:sz w:val="24"/>
          <w:szCs w:val="24"/>
        </w:rPr>
        <w:t>Confederación Estatal de Mujeres con Discapacidad (CEMUDIS)</w:t>
      </w:r>
      <w:r w:rsidR="00657B21">
        <w:rPr>
          <w:rFonts w:eastAsia="Calibri" w:cs="Arial"/>
          <w:bCs/>
          <w:iCs/>
          <w:sz w:val="24"/>
          <w:szCs w:val="24"/>
        </w:rPr>
        <w:t xml:space="preserve">, </w:t>
      </w:r>
      <w:r w:rsidR="00F51320" w:rsidRPr="00F229EA">
        <w:rPr>
          <w:rFonts w:eastAsia="Calibri" w:cs="Arial"/>
          <w:bCs/>
          <w:iCs/>
          <w:sz w:val="24"/>
          <w:szCs w:val="24"/>
        </w:rPr>
        <w:t>Confederación Española de Personas con Discapacidad Física y Orgánica (COCEMFE)</w:t>
      </w:r>
      <w:r w:rsidR="00657B21">
        <w:rPr>
          <w:rFonts w:eastAsia="Calibri" w:cs="Arial"/>
          <w:bCs/>
          <w:iCs/>
          <w:sz w:val="24"/>
          <w:szCs w:val="24"/>
        </w:rPr>
        <w:t xml:space="preserve">, </w:t>
      </w:r>
      <w:r w:rsidR="00896C6D" w:rsidRPr="00F229EA">
        <w:rPr>
          <w:rFonts w:eastAsia="Calibri" w:cs="Arial"/>
          <w:bCs/>
          <w:iCs/>
          <w:sz w:val="24"/>
          <w:szCs w:val="24"/>
        </w:rPr>
        <w:t>Confedera</w:t>
      </w:r>
      <w:r w:rsidR="00996D24" w:rsidRPr="00F229EA">
        <w:rPr>
          <w:rFonts w:eastAsia="Calibri" w:cs="Arial"/>
          <w:bCs/>
          <w:iCs/>
          <w:sz w:val="24"/>
          <w:szCs w:val="24"/>
        </w:rPr>
        <w:t>ción Estatal de Personas Sordas (</w:t>
      </w:r>
      <w:r w:rsidR="00896C6D" w:rsidRPr="00F229EA">
        <w:rPr>
          <w:rFonts w:eastAsia="Calibri" w:cs="Arial"/>
          <w:bCs/>
          <w:iCs/>
          <w:sz w:val="24"/>
          <w:szCs w:val="24"/>
        </w:rPr>
        <w:t>CNSE</w:t>
      </w:r>
      <w:r w:rsidR="00996D24" w:rsidRPr="00F229EA">
        <w:rPr>
          <w:rFonts w:eastAsia="Calibri" w:cs="Arial"/>
          <w:bCs/>
          <w:iCs/>
          <w:sz w:val="24"/>
          <w:szCs w:val="24"/>
        </w:rPr>
        <w:t>)</w:t>
      </w:r>
      <w:r w:rsidR="00657B21">
        <w:rPr>
          <w:rFonts w:eastAsia="Calibri" w:cs="Arial"/>
          <w:bCs/>
          <w:iCs/>
          <w:sz w:val="24"/>
          <w:szCs w:val="24"/>
        </w:rPr>
        <w:t xml:space="preserve">, </w:t>
      </w:r>
      <w:r w:rsidR="00896C6D" w:rsidRPr="00F229EA">
        <w:rPr>
          <w:rFonts w:eastAsia="Calibri" w:cs="Arial"/>
          <w:bCs/>
          <w:iCs/>
          <w:sz w:val="24"/>
          <w:szCs w:val="24"/>
        </w:rPr>
        <w:t>Federación de Asociaciones de Per</w:t>
      </w:r>
      <w:r w:rsidR="00896C6D" w:rsidRPr="00F229EA">
        <w:rPr>
          <w:rFonts w:eastAsia="Calibri" w:cs="Arial"/>
          <w:bCs/>
          <w:iCs/>
          <w:sz w:val="24"/>
          <w:szCs w:val="24"/>
        </w:rPr>
        <w:lastRenderedPageBreak/>
        <w:t xml:space="preserve">sonas Sordociegas </w:t>
      </w:r>
      <w:r w:rsidR="00F51320" w:rsidRPr="00F229EA">
        <w:rPr>
          <w:rFonts w:eastAsia="Calibri" w:cs="Arial"/>
          <w:bCs/>
          <w:iCs/>
          <w:sz w:val="24"/>
          <w:szCs w:val="24"/>
        </w:rPr>
        <w:t>(</w:t>
      </w:r>
      <w:r w:rsidR="00896C6D" w:rsidRPr="00F229EA">
        <w:rPr>
          <w:rFonts w:eastAsia="Calibri" w:cs="Arial"/>
          <w:bCs/>
          <w:iCs/>
          <w:sz w:val="24"/>
          <w:szCs w:val="24"/>
        </w:rPr>
        <w:t>FASOCIDE</w:t>
      </w:r>
      <w:r w:rsidR="00F51320" w:rsidRPr="00F229EA">
        <w:rPr>
          <w:rFonts w:eastAsia="Calibri" w:cs="Arial"/>
          <w:bCs/>
          <w:iCs/>
          <w:sz w:val="24"/>
          <w:szCs w:val="24"/>
        </w:rPr>
        <w:t>)</w:t>
      </w:r>
      <w:r w:rsidR="00657B21">
        <w:rPr>
          <w:rFonts w:eastAsia="Calibri" w:cs="Arial"/>
          <w:bCs/>
          <w:iCs/>
          <w:sz w:val="24"/>
          <w:szCs w:val="24"/>
        </w:rPr>
        <w:t xml:space="preserve">, </w:t>
      </w:r>
      <w:r w:rsidR="00896C6D" w:rsidRPr="00F229EA">
        <w:rPr>
          <w:rFonts w:eastAsia="Calibri" w:cs="Arial"/>
          <w:bCs/>
          <w:iCs/>
          <w:sz w:val="24"/>
          <w:szCs w:val="24"/>
        </w:rPr>
        <w:t>Organizaci</w:t>
      </w:r>
      <w:r w:rsidR="00F51320" w:rsidRPr="00F229EA">
        <w:rPr>
          <w:rFonts w:eastAsia="Calibri" w:cs="Arial"/>
          <w:bCs/>
          <w:iCs/>
          <w:sz w:val="24"/>
          <w:szCs w:val="24"/>
        </w:rPr>
        <w:t>ón Nacional de Ciegos Españoles</w:t>
      </w:r>
      <w:r w:rsidR="00896C6D" w:rsidRPr="00F229EA">
        <w:rPr>
          <w:rFonts w:eastAsia="Calibri" w:cs="Arial"/>
          <w:bCs/>
          <w:iCs/>
          <w:sz w:val="24"/>
          <w:szCs w:val="24"/>
        </w:rPr>
        <w:t xml:space="preserve"> </w:t>
      </w:r>
      <w:r w:rsidR="00F51320" w:rsidRPr="00F229EA">
        <w:rPr>
          <w:rFonts w:eastAsia="Calibri" w:cs="Arial"/>
          <w:bCs/>
          <w:iCs/>
          <w:sz w:val="24"/>
          <w:szCs w:val="24"/>
        </w:rPr>
        <w:t>(ONCE)</w:t>
      </w:r>
      <w:r w:rsidR="00657B21">
        <w:rPr>
          <w:rFonts w:eastAsia="Calibri" w:cs="Arial"/>
          <w:bCs/>
          <w:iCs/>
          <w:sz w:val="24"/>
          <w:szCs w:val="24"/>
        </w:rPr>
        <w:t xml:space="preserve">, </w:t>
      </w:r>
      <w:r w:rsidR="00896C6D" w:rsidRPr="00F229EA">
        <w:rPr>
          <w:rFonts w:eastAsia="Calibri" w:cs="Arial"/>
          <w:bCs/>
          <w:iCs/>
          <w:sz w:val="24"/>
          <w:szCs w:val="24"/>
        </w:rPr>
        <w:t>Plataforma Representativa Estatal de Personas con Discapaci</w:t>
      </w:r>
      <w:r w:rsidR="00F51320" w:rsidRPr="00F229EA">
        <w:rPr>
          <w:rFonts w:eastAsia="Calibri" w:cs="Arial"/>
          <w:bCs/>
          <w:iCs/>
          <w:sz w:val="24"/>
          <w:szCs w:val="24"/>
        </w:rPr>
        <w:t>dad Física (</w:t>
      </w:r>
      <w:r w:rsidR="00896C6D" w:rsidRPr="00F229EA">
        <w:rPr>
          <w:rFonts w:eastAsia="Calibri" w:cs="Arial"/>
          <w:bCs/>
          <w:iCs/>
          <w:sz w:val="24"/>
          <w:szCs w:val="24"/>
        </w:rPr>
        <w:t>PREDIF</w:t>
      </w:r>
      <w:r w:rsidR="00F51320" w:rsidRPr="00F229EA">
        <w:rPr>
          <w:rFonts w:eastAsia="Calibri" w:cs="Arial"/>
          <w:bCs/>
          <w:iCs/>
          <w:sz w:val="24"/>
          <w:szCs w:val="24"/>
        </w:rPr>
        <w:t>)</w:t>
      </w:r>
      <w:r w:rsidR="00657B21">
        <w:rPr>
          <w:rFonts w:eastAsia="Calibri" w:cs="Arial"/>
          <w:bCs/>
          <w:iCs/>
          <w:sz w:val="24"/>
          <w:szCs w:val="24"/>
        </w:rPr>
        <w:t xml:space="preserve">, </w:t>
      </w:r>
      <w:r w:rsidR="00896C6D" w:rsidRPr="00F229EA">
        <w:rPr>
          <w:rFonts w:eastAsia="Calibri" w:cs="Arial"/>
          <w:bCs/>
          <w:iCs/>
          <w:sz w:val="24"/>
          <w:szCs w:val="24"/>
        </w:rPr>
        <w:t>PLENA INCLUSIÓN</w:t>
      </w:r>
      <w:r w:rsidR="00657B21">
        <w:rPr>
          <w:rFonts w:eastAsia="Calibri" w:cs="Arial"/>
          <w:bCs/>
          <w:iCs/>
          <w:sz w:val="24"/>
          <w:szCs w:val="24"/>
        </w:rPr>
        <w:t xml:space="preserve">, </w:t>
      </w:r>
      <w:r w:rsidR="00896C6D" w:rsidRPr="00F229EA">
        <w:rPr>
          <w:rFonts w:eastAsia="Calibri" w:cs="Arial"/>
          <w:bCs/>
          <w:iCs/>
          <w:sz w:val="24"/>
          <w:szCs w:val="24"/>
        </w:rPr>
        <w:t>CERMI Aragón</w:t>
      </w:r>
      <w:r w:rsidR="0081555C">
        <w:rPr>
          <w:rFonts w:eastAsia="Calibri" w:cs="Arial"/>
          <w:bCs/>
          <w:iCs/>
          <w:sz w:val="24"/>
          <w:szCs w:val="24"/>
        </w:rPr>
        <w:t xml:space="preserve">, </w:t>
      </w:r>
      <w:r w:rsidR="00896C6D" w:rsidRPr="00F229EA">
        <w:rPr>
          <w:rFonts w:eastAsia="Calibri" w:cs="Arial"/>
          <w:bCs/>
          <w:iCs/>
          <w:sz w:val="24"/>
          <w:szCs w:val="24"/>
        </w:rPr>
        <w:t>CERMI Asturias</w:t>
      </w:r>
      <w:r w:rsidR="0081555C">
        <w:rPr>
          <w:rFonts w:eastAsia="Calibri" w:cs="Arial"/>
          <w:bCs/>
          <w:iCs/>
          <w:sz w:val="24"/>
          <w:szCs w:val="24"/>
        </w:rPr>
        <w:t xml:space="preserve">, </w:t>
      </w:r>
      <w:r w:rsidR="00896C6D" w:rsidRPr="00F229EA">
        <w:rPr>
          <w:rFonts w:eastAsia="Calibri" w:cs="Arial"/>
          <w:bCs/>
          <w:iCs/>
          <w:sz w:val="24"/>
          <w:szCs w:val="24"/>
        </w:rPr>
        <w:t>CERMI Cantabria</w:t>
      </w:r>
      <w:r w:rsidR="0081555C">
        <w:rPr>
          <w:rFonts w:eastAsia="Calibri" w:cs="Arial"/>
          <w:bCs/>
          <w:iCs/>
          <w:sz w:val="24"/>
          <w:szCs w:val="24"/>
        </w:rPr>
        <w:t xml:space="preserve">, </w:t>
      </w:r>
      <w:r w:rsidR="00896C6D" w:rsidRPr="00F229EA">
        <w:rPr>
          <w:rFonts w:eastAsia="Calibri" w:cs="Arial"/>
          <w:bCs/>
          <w:iCs/>
          <w:sz w:val="24"/>
          <w:szCs w:val="24"/>
        </w:rPr>
        <w:t>CERMI Castilla La Mancha</w:t>
      </w:r>
      <w:r w:rsidR="0081555C">
        <w:rPr>
          <w:rFonts w:eastAsia="Calibri" w:cs="Arial"/>
          <w:bCs/>
          <w:iCs/>
          <w:sz w:val="24"/>
          <w:szCs w:val="24"/>
        </w:rPr>
        <w:t xml:space="preserve">, </w:t>
      </w:r>
      <w:r w:rsidR="00896C6D" w:rsidRPr="00F229EA">
        <w:rPr>
          <w:rFonts w:eastAsia="Calibri" w:cs="Arial"/>
          <w:bCs/>
          <w:iCs/>
          <w:sz w:val="24"/>
          <w:szCs w:val="24"/>
        </w:rPr>
        <w:t>CERMI Ceuta</w:t>
      </w:r>
      <w:r w:rsidR="0081555C">
        <w:rPr>
          <w:rFonts w:eastAsia="Calibri" w:cs="Arial"/>
          <w:bCs/>
          <w:iCs/>
          <w:sz w:val="24"/>
          <w:szCs w:val="24"/>
        </w:rPr>
        <w:t xml:space="preserve">, </w:t>
      </w:r>
      <w:r w:rsidR="00896C6D" w:rsidRPr="00F229EA">
        <w:rPr>
          <w:rFonts w:eastAsia="Calibri" w:cs="Arial"/>
          <w:bCs/>
          <w:iCs/>
          <w:sz w:val="24"/>
          <w:szCs w:val="24"/>
        </w:rPr>
        <w:t>CERMI Rioja</w:t>
      </w:r>
      <w:r w:rsidR="0081555C">
        <w:rPr>
          <w:rFonts w:eastAsia="Calibri" w:cs="Arial"/>
          <w:bCs/>
          <w:iCs/>
          <w:sz w:val="24"/>
          <w:szCs w:val="24"/>
        </w:rPr>
        <w:t xml:space="preserve">, </w:t>
      </w:r>
      <w:r w:rsidR="00896C6D" w:rsidRPr="00F229EA">
        <w:rPr>
          <w:rFonts w:eastAsia="Calibri" w:cs="Arial"/>
          <w:bCs/>
          <w:iCs/>
          <w:sz w:val="24"/>
          <w:szCs w:val="24"/>
        </w:rPr>
        <w:t>CERMI Melilla</w:t>
      </w:r>
      <w:r w:rsidR="0081555C">
        <w:rPr>
          <w:rFonts w:eastAsia="Calibri" w:cs="Arial"/>
          <w:bCs/>
          <w:iCs/>
          <w:sz w:val="24"/>
          <w:szCs w:val="24"/>
        </w:rPr>
        <w:t xml:space="preserve">, </w:t>
      </w:r>
      <w:r w:rsidR="00896C6D" w:rsidRPr="00F229EA">
        <w:rPr>
          <w:rFonts w:eastAsia="Calibri" w:cs="Arial"/>
          <w:bCs/>
          <w:iCs/>
          <w:sz w:val="24"/>
          <w:szCs w:val="24"/>
        </w:rPr>
        <w:t>CERMIN (CERMI Navarra)</w:t>
      </w:r>
      <w:r w:rsidR="0081555C">
        <w:rPr>
          <w:rFonts w:eastAsia="Calibri" w:cs="Arial"/>
          <w:bCs/>
          <w:iCs/>
          <w:sz w:val="24"/>
          <w:szCs w:val="24"/>
        </w:rPr>
        <w:t xml:space="preserve">, </w:t>
      </w:r>
      <w:r w:rsidR="00896C6D" w:rsidRPr="00F229EA">
        <w:rPr>
          <w:rFonts w:eastAsia="Calibri" w:cs="Arial"/>
          <w:bCs/>
          <w:iCs/>
          <w:sz w:val="24"/>
          <w:szCs w:val="24"/>
        </w:rPr>
        <w:t xml:space="preserve">CERMI Región de Murcia </w:t>
      </w:r>
      <w:r w:rsidR="0081555C">
        <w:rPr>
          <w:rFonts w:eastAsia="Calibri" w:cs="Arial"/>
          <w:bCs/>
          <w:iCs/>
          <w:sz w:val="24"/>
          <w:szCs w:val="24"/>
        </w:rPr>
        <w:t xml:space="preserve">, </w:t>
      </w:r>
      <w:r w:rsidR="00896C6D" w:rsidRPr="00F229EA">
        <w:rPr>
          <w:rFonts w:eastAsia="Calibri" w:cs="Arial"/>
          <w:bCs/>
          <w:iCs/>
          <w:sz w:val="24"/>
          <w:szCs w:val="24"/>
        </w:rPr>
        <w:t>CERMI Extremadura</w:t>
      </w:r>
      <w:r w:rsidR="0081555C">
        <w:rPr>
          <w:rFonts w:eastAsia="Calibri" w:cs="Arial"/>
          <w:bCs/>
          <w:iCs/>
          <w:sz w:val="24"/>
          <w:szCs w:val="24"/>
        </w:rPr>
        <w:t xml:space="preserve">, </w:t>
      </w:r>
      <w:r w:rsidR="00896C6D" w:rsidRPr="00F229EA">
        <w:rPr>
          <w:rFonts w:eastAsia="Calibri" w:cs="Arial"/>
          <w:bCs/>
          <w:iCs/>
          <w:sz w:val="24"/>
          <w:szCs w:val="24"/>
        </w:rPr>
        <w:t>CERMI Comunidad de Madrid</w:t>
      </w:r>
      <w:r w:rsidR="00A811D1">
        <w:rPr>
          <w:rFonts w:eastAsia="Calibri" w:cs="Arial"/>
          <w:bCs/>
          <w:iCs/>
          <w:sz w:val="24"/>
          <w:szCs w:val="24"/>
        </w:rPr>
        <w:t xml:space="preserve"> y</w:t>
      </w:r>
      <w:r w:rsidR="0081555C">
        <w:rPr>
          <w:rFonts w:eastAsia="Calibri" w:cs="Arial"/>
          <w:bCs/>
          <w:iCs/>
          <w:sz w:val="24"/>
          <w:szCs w:val="24"/>
        </w:rPr>
        <w:t xml:space="preserve"> CERMI Andalucía.</w:t>
      </w:r>
    </w:p>
    <w:p w14:paraId="729ADB59" w14:textId="70308024" w:rsidR="00BB2EF8" w:rsidRDefault="00BB2EF8" w:rsidP="00105F3E">
      <w:pPr>
        <w:autoSpaceDE w:val="0"/>
        <w:autoSpaceDN w:val="0"/>
        <w:adjustRightInd w:val="0"/>
        <w:spacing w:before="0" w:after="0" w:line="240" w:lineRule="auto"/>
        <w:rPr>
          <w:rFonts w:eastAsia="Calibri" w:cs="Arial"/>
          <w:bCs/>
          <w:iCs/>
          <w:sz w:val="24"/>
          <w:szCs w:val="24"/>
        </w:rPr>
      </w:pPr>
    </w:p>
    <w:p w14:paraId="0FB0DBFE" w14:textId="02E7C6CB" w:rsidR="00BB2EF8" w:rsidRDefault="00BB2EF8" w:rsidP="00105F3E">
      <w:pPr>
        <w:autoSpaceDE w:val="0"/>
        <w:autoSpaceDN w:val="0"/>
        <w:adjustRightInd w:val="0"/>
        <w:spacing w:before="0" w:after="0" w:line="240" w:lineRule="auto"/>
        <w:rPr>
          <w:rFonts w:eastAsia="Calibri" w:cs="Arial"/>
          <w:bCs/>
          <w:iCs/>
          <w:sz w:val="24"/>
          <w:szCs w:val="24"/>
        </w:rPr>
      </w:pPr>
    </w:p>
    <w:p w14:paraId="10C2026F" w14:textId="77777777" w:rsidR="00BB2EF8" w:rsidRDefault="00BB2EF8" w:rsidP="00105F3E">
      <w:pPr>
        <w:autoSpaceDE w:val="0"/>
        <w:autoSpaceDN w:val="0"/>
        <w:adjustRightInd w:val="0"/>
        <w:spacing w:before="0" w:after="0" w:line="240" w:lineRule="auto"/>
        <w:rPr>
          <w:rFonts w:eastAsia="Calibri" w:cs="Arial"/>
          <w:bCs/>
          <w:iCs/>
          <w:sz w:val="24"/>
          <w:szCs w:val="24"/>
        </w:rPr>
      </w:pPr>
    </w:p>
    <w:p w14:paraId="3119FD1A" w14:textId="6239E396" w:rsidR="007C4BB2" w:rsidRDefault="00EB3C1A" w:rsidP="0081555C">
      <w:pPr>
        <w:pStyle w:val="Heading1"/>
        <w:numPr>
          <w:ilvl w:val="0"/>
          <w:numId w:val="31"/>
        </w:numPr>
        <w:spacing w:before="0"/>
        <w:rPr>
          <w:rFonts w:cs="Arial"/>
          <w:sz w:val="24"/>
          <w:szCs w:val="24"/>
        </w:rPr>
      </w:pPr>
      <w:bookmarkStart w:id="4" w:name="_Toc166220"/>
      <w:r>
        <w:rPr>
          <w:rFonts w:cs="Arial"/>
          <w:sz w:val="24"/>
          <w:szCs w:val="24"/>
        </w:rPr>
        <w:t xml:space="preserve">CONSIDERACIÓN DE </w:t>
      </w:r>
      <w:r w:rsidR="008F0CBE">
        <w:rPr>
          <w:rFonts w:cs="Arial"/>
          <w:sz w:val="24"/>
          <w:szCs w:val="24"/>
        </w:rPr>
        <w:t>LAS MUJERES Y NIÑAS CON DISCAPACIDAD</w:t>
      </w:r>
      <w:r w:rsidR="00071D8C">
        <w:rPr>
          <w:rFonts w:cs="Arial"/>
          <w:sz w:val="24"/>
          <w:szCs w:val="24"/>
        </w:rPr>
        <w:t xml:space="preserve"> </w:t>
      </w:r>
      <w:r>
        <w:rPr>
          <w:rFonts w:cs="Arial"/>
          <w:sz w:val="24"/>
          <w:szCs w:val="24"/>
        </w:rPr>
        <w:t>EN LA IMPLEMENTACIÓN DE LA CDPD</w:t>
      </w:r>
      <w:r w:rsidR="002A340C" w:rsidRPr="002A340C">
        <w:rPr>
          <w:rFonts w:cs="Arial"/>
          <w:sz w:val="24"/>
          <w:szCs w:val="24"/>
        </w:rPr>
        <w:t xml:space="preserve"> </w:t>
      </w:r>
      <w:r w:rsidR="002A340C">
        <w:rPr>
          <w:rFonts w:cs="Arial"/>
          <w:sz w:val="24"/>
          <w:szCs w:val="24"/>
        </w:rPr>
        <w:t>EN ESPAÑA</w:t>
      </w:r>
      <w:bookmarkEnd w:id="4"/>
    </w:p>
    <w:p w14:paraId="61DCEE65" w14:textId="4C24FA96" w:rsidR="0081555C" w:rsidRDefault="0081555C" w:rsidP="0081555C">
      <w:pPr>
        <w:spacing w:before="0" w:after="0"/>
      </w:pPr>
    </w:p>
    <w:p w14:paraId="41AE2150" w14:textId="77777777" w:rsidR="0081555C" w:rsidRPr="0081555C" w:rsidRDefault="0081555C" w:rsidP="0081555C">
      <w:pPr>
        <w:spacing w:before="0" w:after="0"/>
      </w:pPr>
    </w:p>
    <w:p w14:paraId="39853521" w14:textId="0B5E1EDF" w:rsidR="00B75B2E" w:rsidRDefault="00E8480C" w:rsidP="0081555C">
      <w:pPr>
        <w:spacing w:before="0" w:after="0"/>
        <w:rPr>
          <w:b/>
          <w:sz w:val="24"/>
          <w:szCs w:val="24"/>
        </w:rPr>
      </w:pPr>
      <w:r w:rsidRPr="00E8480C">
        <w:rPr>
          <w:b/>
          <w:sz w:val="24"/>
          <w:szCs w:val="24"/>
        </w:rPr>
        <w:t>Mujeres con discapacidad (artículo 6)</w:t>
      </w:r>
    </w:p>
    <w:p w14:paraId="34D2F61A" w14:textId="77777777" w:rsidR="0081555C" w:rsidRDefault="0081555C" w:rsidP="0081555C">
      <w:pPr>
        <w:spacing w:before="0" w:after="0"/>
        <w:rPr>
          <w:b/>
          <w:sz w:val="24"/>
          <w:szCs w:val="24"/>
        </w:rPr>
      </w:pPr>
    </w:p>
    <w:p w14:paraId="4FAB187D" w14:textId="7F964AD7" w:rsidR="00B75B2E" w:rsidRDefault="00F70E40" w:rsidP="0081555C">
      <w:pPr>
        <w:spacing w:before="0" w:after="0"/>
        <w:rPr>
          <w:rFonts w:eastAsia="Calibri" w:cs="Arial"/>
          <w:b/>
          <w:sz w:val="24"/>
          <w:szCs w:val="24"/>
          <w:lang w:bidi="ar-DZ"/>
        </w:rPr>
      </w:pPr>
      <w:r w:rsidRPr="00B75B2E">
        <w:rPr>
          <w:rFonts w:eastAsia="Calibri" w:cs="Arial"/>
          <w:b/>
          <w:sz w:val="24"/>
          <w:szCs w:val="24"/>
          <w:lang w:bidi="ar-DZ"/>
        </w:rPr>
        <w:t xml:space="preserve">C4. </w:t>
      </w:r>
      <w:r w:rsidR="00E8480C" w:rsidRPr="00B75B2E">
        <w:rPr>
          <w:rFonts w:eastAsia="Calibri" w:cs="Arial"/>
          <w:b/>
          <w:sz w:val="24"/>
          <w:szCs w:val="24"/>
          <w:lang w:bidi="ar-DZ"/>
        </w:rPr>
        <w:t>“</w:t>
      </w:r>
      <w:r w:rsidRPr="00B75B2E">
        <w:rPr>
          <w:rFonts w:eastAsia="Calibri" w:cs="Arial"/>
          <w:b/>
          <w:sz w:val="24"/>
          <w:szCs w:val="24"/>
          <w:lang w:bidi="ar-DZ"/>
        </w:rPr>
        <w:t>Sírvanse explicar la inclusión de mujeres con discapacidad en las leyes y políticas de igualdad de género y en aquellas para el empleo, la salud y la seguridad social, así como la incorporación del enfoque de género en la legislación y en las políticas de discapacidad. Informen de los esfuerzos para derogar leyes, políticas y prácticas que impidan el disfrute de las mujeres con discapacidad de sus derechos e indiquen medidas para asegurar el pleno desarrollo, adelanto y potenciación de las mujeres con discapacidad.</w:t>
      </w:r>
      <w:r w:rsidR="00E8480C" w:rsidRPr="00B75B2E">
        <w:rPr>
          <w:rFonts w:eastAsia="Calibri" w:cs="Arial"/>
          <w:b/>
          <w:sz w:val="24"/>
          <w:szCs w:val="24"/>
          <w:lang w:bidi="ar-DZ"/>
        </w:rPr>
        <w:t>”</w:t>
      </w:r>
      <w:r w:rsidRPr="00B75B2E">
        <w:rPr>
          <w:rFonts w:eastAsia="Calibri" w:cs="Arial"/>
          <w:b/>
          <w:sz w:val="24"/>
          <w:szCs w:val="24"/>
          <w:lang w:bidi="ar-DZ"/>
        </w:rPr>
        <w:t xml:space="preserve"> </w:t>
      </w:r>
    </w:p>
    <w:p w14:paraId="43C2113E" w14:textId="77777777" w:rsidR="0081555C" w:rsidRDefault="0081555C" w:rsidP="0081555C">
      <w:pPr>
        <w:spacing w:before="0" w:after="0"/>
        <w:rPr>
          <w:rFonts w:eastAsia="Calibri" w:cs="Arial"/>
          <w:b/>
          <w:sz w:val="24"/>
          <w:szCs w:val="24"/>
          <w:lang w:bidi="ar-DZ"/>
        </w:rPr>
      </w:pPr>
    </w:p>
    <w:p w14:paraId="550F3EA8" w14:textId="192A146E" w:rsidR="00297022" w:rsidRDefault="00297022" w:rsidP="00B75B2E">
      <w:pPr>
        <w:spacing w:before="0" w:after="0"/>
        <w:rPr>
          <w:sz w:val="24"/>
          <w:szCs w:val="24"/>
        </w:rPr>
      </w:pPr>
      <w:r w:rsidRPr="00B75B2E">
        <w:rPr>
          <w:sz w:val="24"/>
          <w:szCs w:val="24"/>
        </w:rPr>
        <w:t xml:space="preserve">Esta cuestión entra de lleno en revisar el cumplimiento del artículo 6 de la Convención referido a “Mujeres con discapacidad”. Pero además atraviesa las relativas al empleo (artículo 27) y a la salud (artículo 25), que serán explicadas debidamente en las respuestas a las cuestiones 24 y 25 del presente informe. </w:t>
      </w:r>
    </w:p>
    <w:p w14:paraId="7E5E8F88" w14:textId="77777777" w:rsidR="00B75B2E" w:rsidRPr="00B75B2E" w:rsidRDefault="00B75B2E" w:rsidP="00B75B2E">
      <w:pPr>
        <w:spacing w:before="0" w:after="0"/>
        <w:rPr>
          <w:sz w:val="24"/>
          <w:szCs w:val="24"/>
        </w:rPr>
      </w:pPr>
    </w:p>
    <w:p w14:paraId="2184168F" w14:textId="31CBF548" w:rsidR="00297022" w:rsidRDefault="00297022" w:rsidP="00B75B2E">
      <w:pPr>
        <w:spacing w:before="0" w:after="0"/>
        <w:rPr>
          <w:sz w:val="24"/>
          <w:szCs w:val="24"/>
        </w:rPr>
      </w:pPr>
      <w:r>
        <w:rPr>
          <w:sz w:val="24"/>
          <w:szCs w:val="24"/>
        </w:rPr>
        <w:t>A pesar de los avances expresa</w:t>
      </w:r>
      <w:r w:rsidR="00285ED6">
        <w:rPr>
          <w:sz w:val="24"/>
          <w:szCs w:val="24"/>
        </w:rPr>
        <w:t xml:space="preserve">dos en el Informe del Gobierno </w:t>
      </w:r>
      <w:r>
        <w:rPr>
          <w:sz w:val="24"/>
          <w:szCs w:val="24"/>
        </w:rPr>
        <w:t>de España en cuanto al diseño de planes y programas para personas con discapacidad en los que se han incluido acciones específicas para mujeres, aún sigue existiendo una brecha de género en la vulneración de los derechos fundamentales de mujeres y niñas con discapacidad; entre otras razones, porque estas m</w:t>
      </w:r>
      <w:r w:rsidR="00285ED6">
        <w:rPr>
          <w:sz w:val="24"/>
          <w:szCs w:val="24"/>
        </w:rPr>
        <w:t>edidas de acción afirmativa a favor</w:t>
      </w:r>
      <w:r>
        <w:rPr>
          <w:sz w:val="24"/>
          <w:szCs w:val="24"/>
        </w:rPr>
        <w:t xml:space="preserve"> de la población femenina con discapacidad (el 60,02% de las personas con discapacidad de España), son todavía insuficientes en las políticas de discapacidad e </w:t>
      </w:r>
      <w:r w:rsidR="00285ED6">
        <w:rPr>
          <w:sz w:val="24"/>
          <w:szCs w:val="24"/>
        </w:rPr>
        <w:t>anecdóticas</w:t>
      </w:r>
      <w:r>
        <w:rPr>
          <w:sz w:val="24"/>
          <w:szCs w:val="24"/>
        </w:rPr>
        <w:t xml:space="preserve"> en las políticas dirigidas a la igualdad de género, lo que se agrava dada la gran disparidad de criterio entre las diferentes comunidades autónomas del país.</w:t>
      </w:r>
    </w:p>
    <w:p w14:paraId="788D9914" w14:textId="77777777" w:rsidR="00B75B2E" w:rsidRDefault="00B75B2E" w:rsidP="00B75B2E">
      <w:pPr>
        <w:spacing w:before="0" w:after="0"/>
        <w:rPr>
          <w:sz w:val="24"/>
          <w:szCs w:val="24"/>
        </w:rPr>
      </w:pPr>
    </w:p>
    <w:p w14:paraId="03D52D2F" w14:textId="6999CB8A" w:rsidR="00B11B94" w:rsidRDefault="00297022" w:rsidP="00B11B94">
      <w:pPr>
        <w:spacing w:before="0" w:after="0"/>
        <w:rPr>
          <w:sz w:val="24"/>
          <w:szCs w:val="24"/>
        </w:rPr>
      </w:pPr>
      <w:r>
        <w:rPr>
          <w:sz w:val="24"/>
          <w:szCs w:val="24"/>
        </w:rPr>
        <w:t xml:space="preserve">En términos generales, las mujeres con discapacidad siguen presentando mayores dificultades para acceder al mercado de trabajo que los hombres con discapacidad, lo que se aprecia, por ejemplo, en los datos de 2017 en el número de mujeres activas (372.200 hombres frente a 275.000 mujeres), en que hay un mayor número de mujeres con discapacidad que de hombres con discapacidad en situación de desempleo, en que el mayor porcentaje de personas con discapacidad contratadas se correspondió a los hombres (61,60 % y 38,40 %), y en el tipo de contrato -el 70,17% de los contratos a tiempo completo se han realizado con hombres y el 52,21% </w:t>
      </w:r>
      <w:r>
        <w:rPr>
          <w:sz w:val="24"/>
          <w:szCs w:val="24"/>
        </w:rPr>
        <w:lastRenderedPageBreak/>
        <w:t xml:space="preserve">de los contratos a tiempo parcial se ha realizado con mujeres-; todo ello de acuerdo con los últimos datos recogidos en </w:t>
      </w:r>
      <w:r w:rsidRPr="008C7C6F">
        <w:rPr>
          <w:i/>
          <w:sz w:val="24"/>
          <w:szCs w:val="24"/>
        </w:rPr>
        <w:t>el Informe del Mercado de Trabajo de las Personas con Discapacidad</w:t>
      </w:r>
      <w:r w:rsidR="00285ED6" w:rsidRPr="008C7C6F">
        <w:rPr>
          <w:i/>
          <w:sz w:val="24"/>
          <w:szCs w:val="24"/>
        </w:rPr>
        <w:t xml:space="preserve"> Estatal</w:t>
      </w:r>
      <w:r w:rsidR="00285ED6">
        <w:rPr>
          <w:rStyle w:val="FootnoteReference"/>
          <w:sz w:val="24"/>
          <w:szCs w:val="24"/>
        </w:rPr>
        <w:footnoteReference w:id="3"/>
      </w:r>
      <w:r w:rsidR="00466876">
        <w:rPr>
          <w:sz w:val="24"/>
          <w:szCs w:val="24"/>
        </w:rPr>
        <w:t xml:space="preserve"> publicado en 2018</w:t>
      </w:r>
      <w:r>
        <w:rPr>
          <w:sz w:val="24"/>
          <w:szCs w:val="24"/>
        </w:rPr>
        <w:t xml:space="preserve"> por el Ministerio de Empleo y Seguridad Social.</w:t>
      </w:r>
    </w:p>
    <w:p w14:paraId="389B8987" w14:textId="77777777" w:rsidR="00B11B94" w:rsidRDefault="00B11B94" w:rsidP="00B11B94">
      <w:pPr>
        <w:spacing w:before="0" w:after="0"/>
        <w:rPr>
          <w:sz w:val="24"/>
          <w:szCs w:val="24"/>
        </w:rPr>
      </w:pPr>
    </w:p>
    <w:p w14:paraId="1428BABE" w14:textId="14EAFC18" w:rsidR="00297022" w:rsidRDefault="00297022" w:rsidP="00B11B94">
      <w:pPr>
        <w:spacing w:before="0" w:after="0"/>
        <w:rPr>
          <w:sz w:val="24"/>
          <w:szCs w:val="24"/>
        </w:rPr>
      </w:pPr>
      <w:r>
        <w:rPr>
          <w:sz w:val="24"/>
          <w:szCs w:val="24"/>
        </w:rPr>
        <w:t>Frente a esta realidad, las mujeres con discapacidad siguen estando expuestas en mayor medida a situaciones de discriminación frente a los hombres con discapacidad, debido a la confluencia de otros ejes de opresión, entendiéndose desde la perspectiva de la interseccionalidad. Esta mirada pone de manifiesto las limitaciones de la hasta ahora política de “superposición” de intervenciones, diferenciadas según donde se sitúe el foco de desigualdad, frente a una política más integral que tome como punto de partida las condiciones estructurales que comparten todas ellas y establezca criterios para determinar las relaciones e interdependencias que se establecen entre las distintas formas de desigualdad. Este enfoque supone un reto para el diseño de las políticas públicas ya que ha de considerar la intersección entre las desigualdades, pero siempre sin olvidar las condiciones estructurales que están en su base, y frente a las que la estrategia de la transversalidad de género sigue mostrándose como la más adecuada.</w:t>
      </w:r>
    </w:p>
    <w:p w14:paraId="15D5E2FD" w14:textId="77777777" w:rsidR="00B11B94" w:rsidRDefault="00B11B94" w:rsidP="00B11B94">
      <w:pPr>
        <w:spacing w:before="0" w:after="0"/>
        <w:rPr>
          <w:sz w:val="24"/>
          <w:szCs w:val="24"/>
        </w:rPr>
      </w:pPr>
    </w:p>
    <w:p w14:paraId="7990C0AB" w14:textId="55A83F99" w:rsidR="00297022" w:rsidRDefault="00297022" w:rsidP="00B11B94">
      <w:pPr>
        <w:spacing w:before="0" w:after="0"/>
        <w:rPr>
          <w:sz w:val="24"/>
          <w:szCs w:val="24"/>
        </w:rPr>
      </w:pPr>
      <w:r>
        <w:rPr>
          <w:sz w:val="24"/>
          <w:szCs w:val="24"/>
        </w:rPr>
        <w:t xml:space="preserve">Por otro lado, reconocemos el apoyo recibido por parte del Gobierno de España a la candidatura de Ana Peláez Narváez al Comité </w:t>
      </w:r>
      <w:r w:rsidR="00650176">
        <w:rPr>
          <w:sz w:val="24"/>
          <w:szCs w:val="24"/>
        </w:rPr>
        <w:t>para la Eliminación de la Discriminación contra la Mujer</w:t>
      </w:r>
      <w:r>
        <w:rPr>
          <w:sz w:val="24"/>
          <w:szCs w:val="24"/>
        </w:rPr>
        <w:t xml:space="preserve"> de Naciones Unidas, pero sin duda hay que visibilizar también el impulso y movilización de la sociedad civil encarnada en el CERMI para que esto fuera una realidad. La candidatura de Ana Peláez, primera mujer con discapacidad que ya forma parte del </w:t>
      </w:r>
      <w:r w:rsidRPr="009E549F">
        <w:rPr>
          <w:sz w:val="24"/>
          <w:szCs w:val="24"/>
        </w:rPr>
        <w:t xml:space="preserve">Comité de la </w:t>
      </w:r>
      <w:r w:rsidRPr="009E549F">
        <w:rPr>
          <w:i/>
          <w:sz w:val="24"/>
          <w:szCs w:val="24"/>
        </w:rPr>
        <w:t>Convención sobre la Eliminación de toda</w:t>
      </w:r>
      <w:r w:rsidR="002F6946">
        <w:rPr>
          <w:i/>
          <w:sz w:val="24"/>
          <w:szCs w:val="24"/>
        </w:rPr>
        <w:t>s las</w:t>
      </w:r>
      <w:r w:rsidRPr="009E549F">
        <w:rPr>
          <w:i/>
          <w:sz w:val="24"/>
          <w:szCs w:val="24"/>
        </w:rPr>
        <w:t xml:space="preserve"> forma</w:t>
      </w:r>
      <w:r w:rsidR="002F6946">
        <w:rPr>
          <w:i/>
          <w:sz w:val="24"/>
          <w:szCs w:val="24"/>
        </w:rPr>
        <w:t>s</w:t>
      </w:r>
      <w:r w:rsidRPr="009E549F">
        <w:rPr>
          <w:i/>
          <w:sz w:val="24"/>
          <w:szCs w:val="24"/>
        </w:rPr>
        <w:t xml:space="preserve"> de Discriminación contra la Mujer de Naciones Unidas</w:t>
      </w:r>
      <w:r w:rsidRPr="009E549F">
        <w:rPr>
          <w:sz w:val="24"/>
          <w:szCs w:val="24"/>
        </w:rPr>
        <w:t xml:space="preserve"> (Comité de la CEDAW)</w:t>
      </w:r>
      <w:r>
        <w:rPr>
          <w:sz w:val="24"/>
          <w:szCs w:val="24"/>
        </w:rPr>
        <w:t xml:space="preserve">, </w:t>
      </w:r>
      <w:r w:rsidR="00613BC2">
        <w:rPr>
          <w:sz w:val="24"/>
          <w:szCs w:val="24"/>
        </w:rPr>
        <w:t>para los próximos cuatro años s</w:t>
      </w:r>
      <w:r>
        <w:rPr>
          <w:sz w:val="24"/>
          <w:szCs w:val="24"/>
        </w:rPr>
        <w:t>e trata de un hecho muy significativo que supone un avance para la visibilidad,</w:t>
      </w:r>
      <w:r w:rsidR="00650176">
        <w:rPr>
          <w:sz w:val="24"/>
          <w:szCs w:val="24"/>
        </w:rPr>
        <w:t xml:space="preserve"> presencia y toma de conciencia </w:t>
      </w:r>
      <w:r>
        <w:rPr>
          <w:sz w:val="24"/>
          <w:szCs w:val="24"/>
        </w:rPr>
        <w:t>respecto de las mujeres con discapacidad en los trabajos de Naciones Unidas y la incorporación definitiva a las cuestiones de género y de la perspectiv</w:t>
      </w:r>
      <w:r w:rsidR="00650176">
        <w:rPr>
          <w:sz w:val="24"/>
          <w:szCs w:val="24"/>
        </w:rPr>
        <w:t>a inclusiva de la discapacidad.</w:t>
      </w:r>
    </w:p>
    <w:p w14:paraId="253BAED2" w14:textId="77777777" w:rsidR="00B924DC" w:rsidRDefault="00B924DC" w:rsidP="00B11B94">
      <w:pPr>
        <w:spacing w:before="0" w:after="0"/>
        <w:rPr>
          <w:sz w:val="24"/>
          <w:szCs w:val="24"/>
        </w:rPr>
      </w:pPr>
    </w:p>
    <w:p w14:paraId="56845C30" w14:textId="77777777" w:rsidR="00E70E29" w:rsidRDefault="00297022" w:rsidP="00E70E29">
      <w:pPr>
        <w:spacing w:before="0" w:after="0"/>
        <w:rPr>
          <w:sz w:val="24"/>
          <w:szCs w:val="24"/>
        </w:rPr>
      </w:pPr>
      <w:r>
        <w:rPr>
          <w:sz w:val="24"/>
          <w:szCs w:val="24"/>
        </w:rPr>
        <w:t>Finalmente, en relación con los derechos de mujeres y niñas con discapacidad existen dos materias de abordaje urgente, debido a sus graves e irreparables consecuencias</w:t>
      </w:r>
      <w:r w:rsidR="00650176">
        <w:rPr>
          <w:sz w:val="24"/>
          <w:szCs w:val="24"/>
        </w:rPr>
        <w:t xml:space="preserve">: la violencia de género y las </w:t>
      </w:r>
      <w:r>
        <w:rPr>
          <w:sz w:val="24"/>
          <w:szCs w:val="24"/>
        </w:rPr>
        <w:t>esterilizaciones forzosas, que</w:t>
      </w:r>
      <w:r w:rsidR="00650176">
        <w:rPr>
          <w:sz w:val="24"/>
          <w:szCs w:val="24"/>
        </w:rPr>
        <w:t xml:space="preserve"> s</w:t>
      </w:r>
      <w:r>
        <w:rPr>
          <w:sz w:val="24"/>
          <w:szCs w:val="24"/>
        </w:rPr>
        <w:t>erán tratadas respectivamente en los epígrafes dedicados a los artículos 16 y 17 de la Convención.</w:t>
      </w:r>
    </w:p>
    <w:p w14:paraId="305013F4" w14:textId="77777777" w:rsidR="00E70E29" w:rsidRDefault="00E70E29" w:rsidP="00E70E29">
      <w:pPr>
        <w:spacing w:before="0" w:after="0"/>
        <w:rPr>
          <w:sz w:val="24"/>
          <w:szCs w:val="24"/>
        </w:rPr>
      </w:pPr>
    </w:p>
    <w:p w14:paraId="475D0812" w14:textId="77777777" w:rsidR="00E70E29" w:rsidRDefault="00E70E29" w:rsidP="00E70E29">
      <w:pPr>
        <w:spacing w:before="0" w:after="0"/>
        <w:rPr>
          <w:sz w:val="24"/>
          <w:szCs w:val="24"/>
        </w:rPr>
      </w:pPr>
    </w:p>
    <w:p w14:paraId="2022B78E" w14:textId="0A9D5D0E" w:rsidR="00B75B2E" w:rsidRDefault="00E70E29" w:rsidP="00E70E29">
      <w:pPr>
        <w:spacing w:before="0" w:after="0"/>
        <w:rPr>
          <w:b/>
          <w:bCs/>
          <w:sz w:val="24"/>
          <w:szCs w:val="24"/>
        </w:rPr>
      </w:pPr>
      <w:r w:rsidRPr="00E70E29">
        <w:rPr>
          <w:b/>
          <w:sz w:val="24"/>
          <w:szCs w:val="24"/>
        </w:rPr>
        <w:t>P</w:t>
      </w:r>
      <w:r w:rsidR="00C44C13" w:rsidRPr="00E70E29">
        <w:rPr>
          <w:b/>
          <w:sz w:val="24"/>
          <w:szCs w:val="24"/>
        </w:rPr>
        <w:t>rotección contra la explotación, la violencia y el abuso (artículo 16</w:t>
      </w:r>
      <w:r w:rsidR="00B75B2E" w:rsidRPr="00E70E29">
        <w:rPr>
          <w:b/>
          <w:bCs/>
          <w:sz w:val="24"/>
          <w:szCs w:val="24"/>
        </w:rPr>
        <w:t>)</w:t>
      </w:r>
    </w:p>
    <w:p w14:paraId="52078F7E" w14:textId="77777777" w:rsidR="0081555C" w:rsidRPr="00E70E29" w:rsidRDefault="0081555C" w:rsidP="00E70E29">
      <w:pPr>
        <w:spacing w:before="0" w:after="0"/>
        <w:rPr>
          <w:b/>
          <w:sz w:val="24"/>
          <w:szCs w:val="24"/>
        </w:rPr>
      </w:pPr>
    </w:p>
    <w:p w14:paraId="58231E54" w14:textId="4957BA55" w:rsidR="00395502" w:rsidRDefault="00395502" w:rsidP="0081555C">
      <w:pPr>
        <w:spacing w:before="0" w:after="0"/>
        <w:rPr>
          <w:rFonts w:eastAsia="Calibri" w:cs="Arial"/>
          <w:b/>
          <w:sz w:val="24"/>
          <w:szCs w:val="24"/>
          <w:lang w:bidi="ar-DZ"/>
        </w:rPr>
      </w:pPr>
      <w:r w:rsidRPr="00B75B2E">
        <w:rPr>
          <w:rFonts w:eastAsia="Calibri" w:cs="Arial"/>
          <w:b/>
          <w:sz w:val="24"/>
          <w:szCs w:val="24"/>
          <w:lang w:bidi="ar-DZ"/>
        </w:rPr>
        <w:t xml:space="preserve">C17 </w:t>
      </w:r>
      <w:r w:rsidR="0051398F">
        <w:rPr>
          <w:rFonts w:eastAsia="Calibri" w:cs="Arial"/>
          <w:b/>
          <w:sz w:val="24"/>
          <w:szCs w:val="24"/>
          <w:lang w:bidi="ar-DZ"/>
        </w:rPr>
        <w:t>“</w:t>
      </w:r>
      <w:r w:rsidRPr="00B75B2E">
        <w:rPr>
          <w:rFonts w:eastAsia="Calibri" w:cs="Arial"/>
          <w:b/>
          <w:sz w:val="24"/>
          <w:szCs w:val="24"/>
          <w:lang w:bidi="ar-DZ"/>
        </w:rPr>
        <w:t xml:space="preserve">Indiquen las medidas para tomar en cuenta la edad, género y discapacidad en el diseño, desarrollo, implementación y seguimiento de los programas y políticas públicas sobre la prevención de la violencia, incluyendo los previstos en la Ley Orgánica 1/2004, </w:t>
      </w:r>
      <w:r w:rsidRPr="00B75B2E">
        <w:rPr>
          <w:rFonts w:eastAsia="Calibri" w:cs="Arial"/>
          <w:b/>
          <w:sz w:val="24"/>
          <w:szCs w:val="24"/>
          <w:lang w:bidi="ar-DZ"/>
        </w:rPr>
        <w:lastRenderedPageBreak/>
        <w:t>del 28 de diciembre, de Medidas de Protección Integral contra la Violencia de Género. Sírvanse facilitar datos relativos a la violencia contra las mujeres y niñas con discapacidad, incluidas las víctimas mortales, y las mujeres y sus hijos e hijas que adquieren una discapacidad como causa de la violencia.</w:t>
      </w:r>
      <w:r w:rsidR="0051398F">
        <w:rPr>
          <w:rFonts w:eastAsia="Calibri" w:cs="Arial"/>
          <w:b/>
          <w:sz w:val="24"/>
          <w:szCs w:val="24"/>
          <w:lang w:bidi="ar-DZ"/>
        </w:rPr>
        <w:t>”</w:t>
      </w:r>
    </w:p>
    <w:p w14:paraId="4594365B" w14:textId="77777777" w:rsidR="0081555C" w:rsidRPr="00B75B2E" w:rsidRDefault="0081555C" w:rsidP="0081555C">
      <w:pPr>
        <w:spacing w:before="0" w:after="0"/>
        <w:rPr>
          <w:rFonts w:eastAsia="Calibri" w:cs="Arial"/>
          <w:b/>
          <w:sz w:val="24"/>
          <w:szCs w:val="24"/>
          <w:lang w:bidi="ar-DZ"/>
        </w:rPr>
      </w:pPr>
    </w:p>
    <w:p w14:paraId="1B7B7E30" w14:textId="0EB248B8" w:rsidR="008C7C6F" w:rsidRDefault="008C7C6F" w:rsidP="008C7C6F">
      <w:pPr>
        <w:spacing w:before="0" w:after="0"/>
        <w:rPr>
          <w:sz w:val="24"/>
          <w:szCs w:val="24"/>
        </w:rPr>
      </w:pPr>
      <w:r>
        <w:rPr>
          <w:sz w:val="24"/>
          <w:szCs w:val="24"/>
        </w:rPr>
        <w:t>La Ley Orgánica 1/2004 de medidas de Protección Integral contra la Violencia de Género</w:t>
      </w:r>
      <w:r w:rsidR="00860C73">
        <w:rPr>
          <w:rStyle w:val="FootnoteReference"/>
          <w:sz w:val="24"/>
          <w:szCs w:val="24"/>
        </w:rPr>
        <w:footnoteReference w:id="4"/>
      </w:r>
      <w:r>
        <w:rPr>
          <w:sz w:val="24"/>
          <w:szCs w:val="24"/>
        </w:rPr>
        <w:t xml:space="preserve"> responde a una realidad muy concreta en la que lamentablemente también se ven reflejadas las mujeres con discapacidad.</w:t>
      </w:r>
    </w:p>
    <w:p w14:paraId="5A40AF33" w14:textId="77777777" w:rsidR="008C7C6F" w:rsidRDefault="008C7C6F" w:rsidP="008C7C6F">
      <w:pPr>
        <w:spacing w:before="0" w:after="0"/>
        <w:rPr>
          <w:sz w:val="24"/>
          <w:szCs w:val="24"/>
        </w:rPr>
      </w:pPr>
    </w:p>
    <w:p w14:paraId="0DCCBD11" w14:textId="5D26559A" w:rsidR="00460C90" w:rsidRDefault="008C7C6F" w:rsidP="001149DC">
      <w:pPr>
        <w:spacing w:before="0" w:after="0"/>
        <w:rPr>
          <w:sz w:val="24"/>
          <w:szCs w:val="24"/>
        </w:rPr>
      </w:pPr>
      <w:r w:rsidRPr="0085542A">
        <w:rPr>
          <w:sz w:val="24"/>
          <w:szCs w:val="24"/>
        </w:rPr>
        <w:t>Si bien no hay datos oficiales que permitan trazar una imagen de la situación real de las mujeres con discapacidad en relación a la violencia de género, el único indicador oficial establecido desde 2012 solo permite conocer el número de mujeres con discapacidad que cada año son asesinadas por sus parejas o expareja</w:t>
      </w:r>
      <w:r w:rsidR="00023819" w:rsidRPr="0085542A">
        <w:rPr>
          <w:sz w:val="24"/>
          <w:szCs w:val="24"/>
        </w:rPr>
        <w:t>s, que en el 2017 fue de un 5,9</w:t>
      </w:r>
      <w:r w:rsidR="0096673B" w:rsidRPr="0085542A">
        <w:rPr>
          <w:sz w:val="24"/>
          <w:szCs w:val="24"/>
        </w:rPr>
        <w:t>%</w:t>
      </w:r>
      <w:r w:rsidR="0096673B" w:rsidRPr="0085542A">
        <w:footnoteReference w:id="5"/>
      </w:r>
      <w:r w:rsidR="0096673B" w:rsidRPr="0085542A">
        <w:rPr>
          <w:sz w:val="24"/>
          <w:szCs w:val="24"/>
        </w:rPr>
        <w:t>.</w:t>
      </w:r>
      <w:r w:rsidRPr="0085542A">
        <w:rPr>
          <w:sz w:val="24"/>
          <w:szCs w:val="24"/>
        </w:rPr>
        <w:t xml:space="preserve"> (Fuente: Boletín Estadístico Anual de Violencia de Género que elabora la Delegación del Gobierno para la Violencia de Género).</w:t>
      </w:r>
      <w:r>
        <w:rPr>
          <w:sz w:val="24"/>
          <w:szCs w:val="24"/>
        </w:rPr>
        <w:t xml:space="preserve"> Aun así, desde la experiencia de la Fundación CERMI Mujeres nos preocupa que este porcentaje es sustancialmente inferior a la realidad social, ya que en muchos casos la situación de discapacidad no trasciende ni existe un mecanismo de recogida sistemático y riguroso por parte del sistema de estadística oficial. Además, gran parte de las mujeres, sobre todo aquellas con discapacidad psicosocial no acceden a los centros base de valoración de discapacidad, mientras que otras adquieren una situación de discapacidad como consecuencia de la propia situación de violencia, que en ningún momento de su vida llegan a reconocer oficialmente. Este porcentaje refleja, por tanto, la punta del iceberg de una situación que según estimaciones oficiosas realizadas por la Fundación CERMI Mujeres </w:t>
      </w:r>
      <w:r w:rsidR="0089177E">
        <w:rPr>
          <w:sz w:val="24"/>
          <w:szCs w:val="24"/>
        </w:rPr>
        <w:t xml:space="preserve">podría ascender al 20% del total de </w:t>
      </w:r>
      <w:r w:rsidR="0020549D">
        <w:rPr>
          <w:sz w:val="24"/>
          <w:szCs w:val="24"/>
        </w:rPr>
        <w:t xml:space="preserve">los </w:t>
      </w:r>
      <w:r>
        <w:rPr>
          <w:sz w:val="24"/>
          <w:szCs w:val="24"/>
        </w:rPr>
        <w:t>casos.</w:t>
      </w:r>
    </w:p>
    <w:p w14:paraId="22AECEF0" w14:textId="77777777" w:rsidR="001149DC" w:rsidRDefault="001149DC" w:rsidP="001149DC">
      <w:pPr>
        <w:spacing w:before="0" w:after="0"/>
        <w:rPr>
          <w:sz w:val="24"/>
          <w:szCs w:val="24"/>
        </w:rPr>
      </w:pPr>
    </w:p>
    <w:p w14:paraId="2B0938F8" w14:textId="21D89B5B" w:rsidR="008C7C6F" w:rsidRDefault="008C7C6F" w:rsidP="00634124">
      <w:pPr>
        <w:spacing w:before="0" w:after="0"/>
        <w:rPr>
          <w:sz w:val="24"/>
          <w:szCs w:val="24"/>
        </w:rPr>
      </w:pPr>
      <w:r>
        <w:rPr>
          <w:sz w:val="24"/>
          <w:szCs w:val="24"/>
        </w:rPr>
        <w:t xml:space="preserve">Asimismo, la explotación de la información contenida en el </w:t>
      </w:r>
      <w:r w:rsidRPr="008C7C6F">
        <w:rPr>
          <w:i/>
          <w:sz w:val="24"/>
          <w:szCs w:val="24"/>
        </w:rPr>
        <w:t>Informe sobre violencia de género hacia las mujeres con discapacidad a partir de la Macroencuesta 2015</w:t>
      </w:r>
      <w:r w:rsidR="00FD57FD">
        <w:rPr>
          <w:rStyle w:val="FootnoteReference"/>
          <w:i/>
          <w:sz w:val="24"/>
          <w:szCs w:val="24"/>
        </w:rPr>
        <w:footnoteReference w:id="6"/>
      </w:r>
      <w:r w:rsidRPr="008C7C6F">
        <w:rPr>
          <w:i/>
          <w:sz w:val="24"/>
          <w:szCs w:val="24"/>
        </w:rPr>
        <w:t xml:space="preserve"> </w:t>
      </w:r>
      <w:r>
        <w:rPr>
          <w:sz w:val="24"/>
          <w:szCs w:val="24"/>
        </w:rPr>
        <w:t>publicada por la Fundación CERMI Mujeres pone de manifiesto que en todos los tipos de violencia (física, psicológica, ya sea emocional o de control, económica y sexual) las mujeres con discapacidad tienen un riesgo 10 puntos porcentuales superior de ser víctimas de violencia que las mujeres sin discapacidad. Sin duda esta realidad debe ser abordada desde un enfoque integral en el marco de la LO 1/2004, dado que se ha revelado como un instrumento fundamental.</w:t>
      </w:r>
    </w:p>
    <w:p w14:paraId="48224FE1" w14:textId="77777777" w:rsidR="00FD57FD" w:rsidRDefault="00FD57FD" w:rsidP="00FD57FD">
      <w:pPr>
        <w:spacing w:before="0" w:after="0"/>
        <w:rPr>
          <w:sz w:val="24"/>
          <w:szCs w:val="24"/>
        </w:rPr>
      </w:pPr>
    </w:p>
    <w:p w14:paraId="1BDB4FA6" w14:textId="30DA0414" w:rsidR="008C7C6F" w:rsidRDefault="008C7C6F" w:rsidP="00FD57FD">
      <w:pPr>
        <w:spacing w:before="0" w:after="0"/>
        <w:rPr>
          <w:sz w:val="24"/>
          <w:szCs w:val="24"/>
        </w:rPr>
      </w:pPr>
      <w:r>
        <w:rPr>
          <w:sz w:val="24"/>
          <w:szCs w:val="24"/>
        </w:rPr>
        <w:t xml:space="preserve">Pero también hay otras formas de violencia que no aparecen contempladas en la Ley y que sin duda alguna se ejercen desde el paradigma patriarcal contra las mujeres por el mero hecho de ser mujeres. Además de las agresiones sexuales, la trata con fines de explotación sexual o la </w:t>
      </w:r>
      <w:r>
        <w:rPr>
          <w:sz w:val="24"/>
          <w:szCs w:val="24"/>
        </w:rPr>
        <w:lastRenderedPageBreak/>
        <w:t>mutilación genital femenina, las mujeres con discapacidad de manera muy especial se enfrentan a la práctica de esterilizaciones contra su voluntad y el aborto coercitivo.</w:t>
      </w:r>
    </w:p>
    <w:p w14:paraId="36DB3D39" w14:textId="77777777" w:rsidR="00FD57FD" w:rsidRDefault="00FD57FD" w:rsidP="00FD57FD">
      <w:pPr>
        <w:spacing w:before="0" w:after="0"/>
        <w:rPr>
          <w:sz w:val="24"/>
          <w:szCs w:val="24"/>
        </w:rPr>
      </w:pPr>
    </w:p>
    <w:p w14:paraId="478B46B5" w14:textId="0BCE8E53" w:rsidR="008C7C6F" w:rsidRDefault="008C7C6F" w:rsidP="00FD57FD">
      <w:pPr>
        <w:spacing w:before="0" w:after="0"/>
        <w:rPr>
          <w:sz w:val="24"/>
          <w:szCs w:val="24"/>
        </w:rPr>
      </w:pPr>
      <w:r>
        <w:rPr>
          <w:sz w:val="24"/>
          <w:szCs w:val="24"/>
        </w:rPr>
        <w:t>Además, no se puede pasar por alto las situaciones que viven las mujeres con discapacidad institucionalizadas, ya que tienen frecuentemente un mayor riesgo de ver violados sus derechos (violencia sexual principalmente) y cuentan con menos posibilidades de ejercitar los mecanismos de protección jurídica al uso. Es necesario que el Estado garantice sus derechos y que el hecho de estar “institucionalizada” no es una razón para privarle de los mismos, entre ellos: el derecho de visita y comunicación, el de confidencialidad, o el derecho a la intimidad, entre otros.</w:t>
      </w:r>
    </w:p>
    <w:p w14:paraId="0E36B237" w14:textId="77777777" w:rsidR="00FD57FD" w:rsidRDefault="00FD57FD" w:rsidP="00FD57FD">
      <w:pPr>
        <w:spacing w:before="0" w:after="0"/>
        <w:rPr>
          <w:sz w:val="24"/>
          <w:szCs w:val="24"/>
        </w:rPr>
      </w:pPr>
    </w:p>
    <w:p w14:paraId="45245875" w14:textId="48745F58" w:rsidR="008C7C6F" w:rsidRDefault="008C7C6F" w:rsidP="00B242E8">
      <w:pPr>
        <w:spacing w:before="0" w:after="0"/>
        <w:rPr>
          <w:sz w:val="24"/>
          <w:szCs w:val="24"/>
        </w:rPr>
      </w:pPr>
      <w:r>
        <w:rPr>
          <w:sz w:val="24"/>
          <w:szCs w:val="24"/>
        </w:rPr>
        <w:t>Por lo tanto, hay que tener presente, además, que la especificidad de las mujeres y niñas con discapacidad ante la violencia se manifiesta también en forma de fuerza física, coacción legal, coerción económica, intimidación, manipulación psicológica, engaño y desinformación, y en la cual la ausencia de consentimiento libre e informado consti</w:t>
      </w:r>
      <w:r w:rsidR="00B242E8">
        <w:rPr>
          <w:sz w:val="24"/>
          <w:szCs w:val="24"/>
        </w:rPr>
        <w:t>tuye un componente fundamental.</w:t>
      </w:r>
    </w:p>
    <w:p w14:paraId="337A8F82" w14:textId="77777777" w:rsidR="00B242E8" w:rsidRDefault="00B242E8" w:rsidP="00B242E8">
      <w:pPr>
        <w:spacing w:before="0" w:after="0"/>
        <w:rPr>
          <w:sz w:val="24"/>
          <w:szCs w:val="24"/>
        </w:rPr>
      </w:pPr>
    </w:p>
    <w:p w14:paraId="1E625E04" w14:textId="3D3BCE08" w:rsidR="008C7C6F" w:rsidRDefault="008C7C6F" w:rsidP="00274A02">
      <w:pPr>
        <w:spacing w:before="0" w:after="0"/>
        <w:rPr>
          <w:i/>
          <w:iCs/>
          <w:sz w:val="24"/>
          <w:szCs w:val="24"/>
        </w:rPr>
      </w:pPr>
      <w:r>
        <w:rPr>
          <w:sz w:val="24"/>
          <w:szCs w:val="24"/>
        </w:rPr>
        <w:t>Por todo ello y para conocer la realidad social de la violencia de género en las mujeres con discapacidad incidimos en que se lleve a cabo una Macroencuesta sobre violencia de genero específica que arroje información sobre la situación real que viven las mujeres con discapacidad, contemplando las diferentes manifestaciones de las violencias y las específicas, así como las de las mujeres institucionalizadas. Por otro lado, nos preocupa que, en la siguiente edición de la Macroencuesta sobre violencia de género, que ya se está desarrollando, se queden fuera mujeres con discapacidad por la forma de aplicación del cuestionario, por lo tanto, apelamos a que sigan nuestras recomendaciones expresadas en el Informe de “</w:t>
      </w:r>
      <w:r>
        <w:rPr>
          <w:i/>
          <w:iCs/>
          <w:sz w:val="24"/>
          <w:szCs w:val="24"/>
        </w:rPr>
        <w:t>Bases para el diseño metodológico de la parte de mujeres con discapacidad en la Macroencuesta de Violencia de Género”</w:t>
      </w:r>
      <w:r w:rsidR="00274A02">
        <w:rPr>
          <w:i/>
          <w:iCs/>
          <w:sz w:val="24"/>
          <w:szCs w:val="24"/>
        </w:rPr>
        <w:t>.</w:t>
      </w:r>
    </w:p>
    <w:p w14:paraId="3A5BCD8B" w14:textId="77777777" w:rsidR="00274A02" w:rsidRDefault="00274A02" w:rsidP="00274A02">
      <w:pPr>
        <w:spacing w:before="0" w:after="0"/>
        <w:rPr>
          <w:i/>
          <w:iCs/>
          <w:sz w:val="24"/>
          <w:szCs w:val="24"/>
        </w:rPr>
      </w:pPr>
    </w:p>
    <w:p w14:paraId="3EBD8D4E" w14:textId="6B73CCC0" w:rsidR="008C7C6F" w:rsidRDefault="008C7C6F" w:rsidP="00DF622E">
      <w:pPr>
        <w:spacing w:before="0" w:after="0"/>
        <w:rPr>
          <w:sz w:val="24"/>
          <w:szCs w:val="24"/>
        </w:rPr>
      </w:pPr>
      <w:r>
        <w:rPr>
          <w:sz w:val="24"/>
          <w:szCs w:val="24"/>
        </w:rPr>
        <w:t>En este sentido y relacionado con la cuestión 28 planteada, reclamamos que las operaciones estadísticas emprendidas desde instancias oficiales tengan presente la variable de la discapacidad. Esta demanda daría cumplimiento al</w:t>
      </w:r>
      <w:r w:rsidR="00DF622E">
        <w:rPr>
          <w:sz w:val="24"/>
          <w:szCs w:val="24"/>
        </w:rPr>
        <w:t xml:space="preserve"> punto 2 del artículo 31 de la C</w:t>
      </w:r>
      <w:r>
        <w:rPr>
          <w:sz w:val="24"/>
          <w:szCs w:val="24"/>
        </w:rPr>
        <w:t>onvención que habla de desglosar los datos estadísticos. En su caso, se utilizaría como ayuda para evaluar el cumplimiento por los Estados Partes de sus obligaciones conforme a la presente Convención, en concreto, para combatir la violencia machista hacia las mujeres con discapacidad.</w:t>
      </w:r>
    </w:p>
    <w:p w14:paraId="5482DBA8" w14:textId="77777777" w:rsidR="00DF622E" w:rsidRDefault="00DF622E" w:rsidP="00DF622E">
      <w:pPr>
        <w:spacing w:before="0" w:after="0"/>
        <w:rPr>
          <w:sz w:val="24"/>
          <w:szCs w:val="24"/>
        </w:rPr>
      </w:pPr>
    </w:p>
    <w:p w14:paraId="08E2B89D" w14:textId="76E6BFAA" w:rsidR="008C7C6F" w:rsidRDefault="008C7C6F" w:rsidP="00DF622E">
      <w:pPr>
        <w:spacing w:before="0" w:after="0"/>
        <w:rPr>
          <w:sz w:val="24"/>
          <w:szCs w:val="24"/>
        </w:rPr>
      </w:pPr>
      <w:r>
        <w:rPr>
          <w:sz w:val="24"/>
          <w:szCs w:val="24"/>
        </w:rPr>
        <w:t xml:space="preserve">Otro de los asuntos que nos preocupan es la invisibilización de los efectos psicológicos de la violencia de género que, a su vez, afecta muy gravemente también a los hijos e hijas menores de las mujeres víctimas de violencia, pese a que la LO 1/2004, las reconoce como víctimas también de dicha violencia. En este sentido, el hecho de que la discapacidad sea psicosocial o intelectual constituye en esta materia también un factor esencial para no ser creídas y contribuye gravemente a su invisibilización. A esto hay que añadir los graves impedimentos a los que se enfrentan las mujeres con discapacidad psicosocial a la hora de acceder a los recursos de acogida, lo cual repercute también en los hijos e hijas que están a su cargo. De hecho, la exposición a la violencia de género, además de engrosar las estadísticas de asesinatos de niñas y niños por </w:t>
      </w:r>
      <w:r>
        <w:rPr>
          <w:sz w:val="24"/>
          <w:szCs w:val="24"/>
        </w:rPr>
        <w:lastRenderedPageBreak/>
        <w:t>su progenitor, compromete la salud mental temprana, al convertirse en testigos involuntarios. Diversos estudios han puesto de manifiesto las alteraciones psicológicas en menores expuestas a violencia de género, advirtiendo un estrés crónico que, además, puede desencadenar o acelerar cualquier otro problema mental: ansiedad, depresión, retraimiento, problemas somáticos, problemas sociales, problemas de atención, conducta disruptiva, conducta agresiva, etc. Por lo tanto, no se puede seguir perpetuando los mitos de que se recuperan “espontáneamente”, “no recuerdan” o “no comprenden”. De este modo, se dificulta el diagnóstico de trauma y del Trastorno de Estrés Postraumático en estas edades, al no adoptarse medidas preventivas y de atención suficientes y adecuadas. Esperamos que la futura Ley frente a la violencia contra la infancia garantice la protección de las niñas y niños expuestos en esas situaciones.</w:t>
      </w:r>
    </w:p>
    <w:p w14:paraId="0D53D3AC" w14:textId="77777777" w:rsidR="00DF622E" w:rsidRDefault="00DF622E" w:rsidP="00DF622E">
      <w:pPr>
        <w:spacing w:before="0" w:after="0"/>
        <w:rPr>
          <w:sz w:val="24"/>
          <w:szCs w:val="24"/>
        </w:rPr>
      </w:pPr>
    </w:p>
    <w:p w14:paraId="7CD11940" w14:textId="17F93370" w:rsidR="008C7C6F" w:rsidRDefault="008C7C6F" w:rsidP="00DF622E">
      <w:pPr>
        <w:spacing w:before="0" w:after="0"/>
        <w:rPr>
          <w:sz w:val="24"/>
          <w:szCs w:val="24"/>
        </w:rPr>
      </w:pPr>
      <w:r>
        <w:rPr>
          <w:sz w:val="24"/>
          <w:szCs w:val="24"/>
        </w:rPr>
        <w:t>En el mismo sentido, nos preocupa también las mujeres afectadas por violencia de género que son madres de hijas o hijos con discapacidad, para quienes presencia de una discapacidad en las hijas e hijos menores sitúa en una situación especialmente vulnerable ya que, en muchas ocasiones, el temor de no poder cubrir las particulares necesidades de sus hijas e hijos con discapacidad les impide dar un paso adelante y denunciar la situación de maltrato.</w:t>
      </w:r>
    </w:p>
    <w:p w14:paraId="4E36FF57" w14:textId="77777777" w:rsidR="00DF622E" w:rsidRDefault="00DF622E" w:rsidP="00DF622E">
      <w:pPr>
        <w:spacing w:before="0" w:after="0"/>
        <w:rPr>
          <w:sz w:val="24"/>
          <w:szCs w:val="24"/>
        </w:rPr>
      </w:pPr>
    </w:p>
    <w:p w14:paraId="7CC2B19E" w14:textId="1FA2A3FB" w:rsidR="008C7C6F" w:rsidRDefault="008C7C6F" w:rsidP="00DF622E">
      <w:pPr>
        <w:spacing w:before="0" w:after="0"/>
        <w:rPr>
          <w:sz w:val="24"/>
          <w:szCs w:val="24"/>
        </w:rPr>
      </w:pPr>
      <w:r>
        <w:rPr>
          <w:sz w:val="24"/>
          <w:szCs w:val="24"/>
        </w:rPr>
        <w:t xml:space="preserve">En cuanto a los programas y políticas públicas de prevención de la violencia de género, a pesar de los avances en accesibilidad reflejados en el Informe de España nos preocupa que aún no se cuente de manera integral con todas las especificidades de todas las discapacidades en las que se pueden encontrar las mujeres, son escasos los protocolos de atención específicos y el abordaje de la violencia contra las mujeres adolece del enfoque de discapacidad apropiado. </w:t>
      </w:r>
    </w:p>
    <w:p w14:paraId="3D799D64" w14:textId="77777777" w:rsidR="00DF622E" w:rsidRDefault="00DF622E" w:rsidP="00DF622E">
      <w:pPr>
        <w:spacing w:before="0" w:after="0"/>
        <w:rPr>
          <w:sz w:val="24"/>
          <w:szCs w:val="24"/>
        </w:rPr>
      </w:pPr>
    </w:p>
    <w:p w14:paraId="542506E3" w14:textId="5314A1A0" w:rsidR="008C7C6F" w:rsidRDefault="008C7C6F" w:rsidP="00DF622E">
      <w:pPr>
        <w:spacing w:before="0" w:after="0"/>
        <w:rPr>
          <w:sz w:val="24"/>
          <w:szCs w:val="24"/>
        </w:rPr>
      </w:pPr>
      <w:r>
        <w:rPr>
          <w:sz w:val="24"/>
          <w:szCs w:val="24"/>
        </w:rPr>
        <w:t>En este sentido, nos preocupa que sigan faltando recursos plenamente accesibles para mujeres con discapacidad víctimas (acceso a la información, campañas de prevención, casas de acogida accesibles); además los diferentes actores involucrados en su abordaje siguen careciendo de formación específica (cuerpos de seguridad del estado, abogacía, fiscalía, judicatura, prestadores de salud, servicios sociales…); y, en general, no existen protocolos generales de atención a mujeres víctimas de violencia de género, salvo en algunos territorios del Estado.</w:t>
      </w:r>
    </w:p>
    <w:p w14:paraId="59896BB6" w14:textId="77777777" w:rsidR="00DF622E" w:rsidRDefault="00DF622E" w:rsidP="00DF622E">
      <w:pPr>
        <w:spacing w:before="0" w:after="0"/>
        <w:rPr>
          <w:sz w:val="24"/>
          <w:szCs w:val="24"/>
        </w:rPr>
      </w:pPr>
    </w:p>
    <w:p w14:paraId="2B86227C" w14:textId="689A1332" w:rsidR="008C7C6F" w:rsidRDefault="008C7C6F" w:rsidP="00DF622E">
      <w:pPr>
        <w:pStyle w:val="SingleTxtG"/>
        <w:spacing w:before="0" w:after="0"/>
        <w:ind w:left="0" w:right="0"/>
        <w:rPr>
          <w:rFonts w:ascii="Arial" w:hAnsi="Arial" w:cs="Arial"/>
        </w:rPr>
      </w:pPr>
      <w:r>
        <w:rPr>
          <w:rFonts w:ascii="Arial" w:hAnsi="Arial" w:cs="Arial"/>
        </w:rPr>
        <w:t xml:space="preserve">Aún son muchos los obstáculos existentes que inhiben a las mujeres y niñas con discapacidad a accionar sus derechos. Desde las barreras simbólicas, que impregnan la labor de todos los operadores involucrados (cuerpos de seguridad del estado, abogacía, fiscalía, magistratura), hasta las puramente materiales y evidentes relacionadas con el entorno físico y de la comunicación. Las mujeres que actualmente se encuentran incapacitadas judicialmente y, por lo tanto, no pueden acceder a la justicia por sí mismas cuando sus derechos son conculcados, si no es a través de una persona intermediaria (tutora o curadora), situándolas en una situación de especial vulnerabilidad. En este sentido, el procedimiento de modificación de la capacidad legal recogido en nuestro ordenamiento jurídico contraviene lo establecido en el art. 12 de la </w:t>
      </w:r>
      <w:r w:rsidRPr="0049476A">
        <w:rPr>
          <w:rFonts w:ascii="Arial" w:hAnsi="Arial" w:cs="Arial"/>
          <w:i/>
        </w:rPr>
        <w:t xml:space="preserve">Convención sobre los Derechos de las Personas con Discapacidad, </w:t>
      </w:r>
      <w:r>
        <w:rPr>
          <w:rFonts w:ascii="Arial" w:hAnsi="Arial" w:cs="Arial"/>
        </w:rPr>
        <w:t>y por ello es pertinente su total abolición, a favor de la introducción de mecanismos efectivos para el apoy</w:t>
      </w:r>
      <w:r w:rsidR="003C7C6A">
        <w:rPr>
          <w:rFonts w:ascii="Arial" w:hAnsi="Arial" w:cs="Arial"/>
        </w:rPr>
        <w:t>o en la adopción de decisiones.</w:t>
      </w:r>
    </w:p>
    <w:p w14:paraId="79DF4F42" w14:textId="77777777" w:rsidR="003C7C6A" w:rsidRDefault="003C7C6A" w:rsidP="00DF622E">
      <w:pPr>
        <w:pStyle w:val="SingleTxtG"/>
        <w:spacing w:before="0" w:after="0"/>
        <w:ind w:left="0" w:right="0"/>
        <w:rPr>
          <w:rFonts w:ascii="Arial" w:hAnsi="Arial" w:cs="Arial"/>
        </w:rPr>
      </w:pPr>
    </w:p>
    <w:p w14:paraId="53E5B7BA" w14:textId="3EBED3BA" w:rsidR="008C7C6F" w:rsidRDefault="008C7C6F" w:rsidP="003C7C6A">
      <w:pPr>
        <w:pStyle w:val="SingleTxtG"/>
        <w:spacing w:before="0" w:after="0"/>
        <w:ind w:left="0" w:right="0"/>
        <w:rPr>
          <w:rFonts w:ascii="Arial" w:hAnsi="Arial" w:cs="Arial"/>
        </w:rPr>
      </w:pPr>
      <w:r>
        <w:rPr>
          <w:rFonts w:ascii="Arial" w:hAnsi="Arial" w:cs="Arial"/>
        </w:rPr>
        <w:lastRenderedPageBreak/>
        <w:t xml:space="preserve">El requisito de la previa modificación de la capacidad legal de las mujeres en estos casos preocupa especialmente, ya que supone además un obstáculo añadido para estas mujeres a la hora de acceder a la justicia para defender sus derechos cuando son víctimas de violencia, ya que no pueden hacerlo directamente, sino solamente a través de persona interpuesta (la persona tutora) que puede ser además quien esté perpetrando los actos de violencia. </w:t>
      </w:r>
    </w:p>
    <w:p w14:paraId="39CD5612" w14:textId="77777777" w:rsidR="003C7C6A" w:rsidRDefault="003C7C6A" w:rsidP="003C7C6A">
      <w:pPr>
        <w:pStyle w:val="SingleTxtG"/>
        <w:spacing w:before="0" w:after="0"/>
        <w:ind w:left="0" w:right="0"/>
        <w:rPr>
          <w:rFonts w:ascii="Arial" w:hAnsi="Arial" w:cs="Arial"/>
          <w:sz w:val="20"/>
          <w:szCs w:val="20"/>
        </w:rPr>
      </w:pPr>
    </w:p>
    <w:p w14:paraId="2EC63BC1" w14:textId="2FD1332E" w:rsidR="008C7C6F" w:rsidRDefault="008C7C6F" w:rsidP="00515F36">
      <w:pPr>
        <w:pStyle w:val="SingleTxtG"/>
        <w:spacing w:before="0" w:after="0"/>
        <w:ind w:left="0" w:right="0"/>
        <w:rPr>
          <w:rFonts w:ascii="Arial" w:hAnsi="Arial" w:cs="Arial"/>
        </w:rPr>
      </w:pPr>
      <w:r>
        <w:rPr>
          <w:rFonts w:ascii="Arial" w:hAnsi="Arial" w:cs="Arial"/>
        </w:rPr>
        <w:t>La falta de accesibilidad en todas las instancias por las que debe transitar una mujer que decide denunciar, la escasa preparación de las y los profesionales involucrados en este campo agrava la falta de conciencia de ser titulares de derechos que muchas mujeres co</w:t>
      </w:r>
      <w:r w:rsidR="003C7C6A">
        <w:rPr>
          <w:rFonts w:ascii="Arial" w:hAnsi="Arial" w:cs="Arial"/>
        </w:rPr>
        <w:t>n discapacidad tienen hoy día.</w:t>
      </w:r>
    </w:p>
    <w:p w14:paraId="07A53C90" w14:textId="77777777" w:rsidR="00515F36" w:rsidRDefault="00515F36" w:rsidP="00515F36">
      <w:pPr>
        <w:pStyle w:val="SingleTxtG"/>
        <w:spacing w:before="0" w:after="0"/>
        <w:ind w:left="0" w:right="0"/>
        <w:rPr>
          <w:rFonts w:ascii="Arial" w:hAnsi="Arial" w:cs="Arial"/>
        </w:rPr>
      </w:pPr>
    </w:p>
    <w:p w14:paraId="05EF2525" w14:textId="6C9D04A1" w:rsidR="008C7C6F" w:rsidRDefault="008C7C6F" w:rsidP="00515F36">
      <w:pPr>
        <w:pStyle w:val="SingleTxtG"/>
        <w:spacing w:before="0" w:after="0"/>
        <w:ind w:left="0" w:right="0"/>
        <w:rPr>
          <w:rFonts w:ascii="Arial" w:hAnsi="Arial" w:cs="Arial"/>
        </w:rPr>
      </w:pPr>
      <w:r>
        <w:rPr>
          <w:rFonts w:ascii="Arial" w:hAnsi="Arial" w:cs="Arial"/>
        </w:rPr>
        <w:t>Como consecuencia, asistimos en la práctica ante una baja tasa de denuncia y casi inexistente índice de inicio de procedimiento penal en casos de violencia de género. Esto hecho, especialmente reseñable en las mujeres con discapacidad intelectual o del desarrollo, discapacidad psicosocial o sordoceguera, deja, en la práctica, sin amparo judicial al grupo de mujeres y niñas con discapacidad.</w:t>
      </w:r>
    </w:p>
    <w:p w14:paraId="5EC77E23" w14:textId="77777777" w:rsidR="00515F36" w:rsidRDefault="00515F36" w:rsidP="00515F36">
      <w:pPr>
        <w:pStyle w:val="SingleTxtG"/>
        <w:spacing w:before="0" w:after="0"/>
        <w:ind w:left="0" w:right="0"/>
        <w:rPr>
          <w:rFonts w:ascii="Arial" w:hAnsi="Arial" w:cs="Arial"/>
        </w:rPr>
      </w:pPr>
    </w:p>
    <w:p w14:paraId="4270C19A" w14:textId="2C0760D4" w:rsidR="008C7C6F" w:rsidRDefault="008C7C6F" w:rsidP="00515F36">
      <w:pPr>
        <w:spacing w:before="0" w:after="0"/>
        <w:rPr>
          <w:sz w:val="24"/>
          <w:szCs w:val="24"/>
          <w:lang w:val="es-ES_tradnl"/>
        </w:rPr>
      </w:pPr>
      <w:r>
        <w:rPr>
          <w:sz w:val="24"/>
          <w:szCs w:val="24"/>
          <w:lang w:val="es-ES_tradnl"/>
        </w:rPr>
        <w:t>Entre las medidas de protección ante la violencia de género, las mujeres con discapacidad con específicas necesidades de apoyo no tienen reconocido su derecho a recibir asistencia para las tareas básicas de la vida diaria (alimentarse, asearse, etc.) por parte de personal formado en las casas de acogida u otros dispositivos de emergencia. No es suficiente que el entorno sea accesible, también es necesaria asistencia para ellas y/o los hijas/os que las acompañan. Hay que tener pr</w:t>
      </w:r>
      <w:r w:rsidR="00E43B21">
        <w:rPr>
          <w:sz w:val="24"/>
          <w:szCs w:val="24"/>
          <w:lang w:val="es-ES_tradnl"/>
        </w:rPr>
        <w:t xml:space="preserve">esente que una de las formas de </w:t>
      </w:r>
      <w:r>
        <w:rPr>
          <w:sz w:val="24"/>
          <w:szCs w:val="24"/>
          <w:lang w:val="es-ES_tradnl"/>
        </w:rPr>
        <w:t>violencia machista hacia las mujeres con discapacidad es precisamente esa, la negación de la ayuda necesaria para las tarea</w:t>
      </w:r>
      <w:r w:rsidR="00515F36">
        <w:rPr>
          <w:sz w:val="24"/>
          <w:szCs w:val="24"/>
          <w:lang w:val="es-ES_tradnl"/>
        </w:rPr>
        <w:t>s personales de la vida diaria.</w:t>
      </w:r>
    </w:p>
    <w:p w14:paraId="3B789D1D" w14:textId="77777777" w:rsidR="00515F36" w:rsidRDefault="00515F36" w:rsidP="00515F36">
      <w:pPr>
        <w:spacing w:before="0" w:after="0"/>
        <w:rPr>
          <w:rFonts w:cs="Arial"/>
          <w:sz w:val="24"/>
          <w:szCs w:val="24"/>
          <w:lang w:val="es-ES_tradnl"/>
        </w:rPr>
      </w:pPr>
    </w:p>
    <w:p w14:paraId="7ABFFD85" w14:textId="734758C0" w:rsidR="008C7C6F" w:rsidRDefault="008C7C6F" w:rsidP="001149DC">
      <w:pPr>
        <w:spacing w:before="0" w:after="0"/>
        <w:rPr>
          <w:sz w:val="24"/>
          <w:szCs w:val="24"/>
        </w:rPr>
      </w:pPr>
      <w:r>
        <w:rPr>
          <w:sz w:val="24"/>
          <w:szCs w:val="24"/>
        </w:rPr>
        <w:t>Por últi</w:t>
      </w:r>
      <w:r w:rsidR="0001438D">
        <w:rPr>
          <w:sz w:val="24"/>
          <w:szCs w:val="24"/>
        </w:rPr>
        <w:t>mo, la reciente aprobación del P</w:t>
      </w:r>
      <w:r>
        <w:rPr>
          <w:sz w:val="24"/>
          <w:szCs w:val="24"/>
        </w:rPr>
        <w:t xml:space="preserve">acto de Estado contra la Violencia de Género en España ha contado con la participación activa de la sociedad civil organizada del CERMI y la Fundación CERMI Mujeres. En este sentido, y a propuesta de estas entidades, se han aprobado una batería de medidas dirigidas específicamente a </w:t>
      </w:r>
      <w:r w:rsidR="00515F36">
        <w:rPr>
          <w:sz w:val="24"/>
          <w:szCs w:val="24"/>
        </w:rPr>
        <w:t>las mujeres con discapacidad:</w:t>
      </w:r>
    </w:p>
    <w:p w14:paraId="1324A814" w14:textId="77777777" w:rsidR="001149DC" w:rsidRDefault="001149DC" w:rsidP="001149DC">
      <w:pPr>
        <w:spacing w:before="0" w:after="0"/>
        <w:rPr>
          <w:sz w:val="24"/>
          <w:szCs w:val="24"/>
        </w:rPr>
      </w:pPr>
    </w:p>
    <w:p w14:paraId="326DC995" w14:textId="4849600E" w:rsidR="008C7C6F" w:rsidRDefault="008C7C6F" w:rsidP="001149DC">
      <w:pPr>
        <w:spacing w:after="0"/>
        <w:rPr>
          <w:i/>
          <w:iCs/>
          <w:sz w:val="24"/>
          <w:szCs w:val="24"/>
        </w:rPr>
      </w:pPr>
      <w:r>
        <w:rPr>
          <w:i/>
          <w:iCs/>
          <w:sz w:val="24"/>
          <w:szCs w:val="24"/>
        </w:rPr>
        <w:t>MEDIDA 28. Tener en cuenta, en la realización de campañas publicitarias contra la violencia de género y en la elaboración de los materiales, los distintos tipos de diversidad funcional/discapacidad y la especial incidencia de la violencia de género sobre dicha condición.</w:t>
      </w:r>
    </w:p>
    <w:p w14:paraId="41F6CBE2" w14:textId="77777777" w:rsidR="001149DC" w:rsidRDefault="001149DC" w:rsidP="001149DC">
      <w:pPr>
        <w:spacing w:before="0" w:after="0"/>
        <w:rPr>
          <w:sz w:val="24"/>
          <w:szCs w:val="24"/>
        </w:rPr>
      </w:pPr>
    </w:p>
    <w:p w14:paraId="38DB331E" w14:textId="5704E292" w:rsidR="008C7C6F" w:rsidRDefault="008C7C6F" w:rsidP="001149DC">
      <w:pPr>
        <w:spacing w:before="0" w:after="0"/>
        <w:rPr>
          <w:i/>
          <w:iCs/>
          <w:sz w:val="24"/>
          <w:szCs w:val="24"/>
        </w:rPr>
      </w:pPr>
      <w:r>
        <w:rPr>
          <w:i/>
          <w:iCs/>
          <w:sz w:val="24"/>
          <w:szCs w:val="24"/>
        </w:rPr>
        <w:t>MEDIDA 135. Facilitar el acceso de mujeres y niñas con diversidad funcional/discapacidad a lecturas informativas adaptadas (Braille, comunicación aumentativa, etc.) sobre prevención de la violencia de género, acoso, agresiones sexuales, etc.</w:t>
      </w:r>
    </w:p>
    <w:p w14:paraId="7174CF7B" w14:textId="77777777" w:rsidR="001149DC" w:rsidRPr="001149DC" w:rsidRDefault="001149DC" w:rsidP="001149DC">
      <w:pPr>
        <w:spacing w:before="0" w:after="0"/>
        <w:rPr>
          <w:i/>
          <w:iCs/>
          <w:sz w:val="24"/>
          <w:szCs w:val="24"/>
        </w:rPr>
      </w:pPr>
    </w:p>
    <w:p w14:paraId="4C44E582" w14:textId="13F43E37" w:rsidR="008C7C6F" w:rsidRDefault="008C7C6F" w:rsidP="001149DC">
      <w:pPr>
        <w:spacing w:before="0" w:after="0"/>
        <w:rPr>
          <w:i/>
          <w:iCs/>
          <w:sz w:val="24"/>
          <w:szCs w:val="24"/>
        </w:rPr>
      </w:pPr>
      <w:r>
        <w:rPr>
          <w:i/>
          <w:iCs/>
          <w:sz w:val="24"/>
          <w:szCs w:val="24"/>
        </w:rPr>
        <w:t>MEDIDA 136. Diseñar protocolos específicos o incorporar medidas especializadas en los que ya existen, para la atención de mujeres de colectivos más vulnerables, como las mujeres mayores, mujeres con diversidad funcional/discapacidad o mujeres migrantes en situación irregular.</w:t>
      </w:r>
    </w:p>
    <w:p w14:paraId="1C0387A5" w14:textId="77777777" w:rsidR="001149DC" w:rsidRPr="001149DC" w:rsidRDefault="001149DC" w:rsidP="001149DC">
      <w:pPr>
        <w:spacing w:before="0" w:after="0"/>
        <w:rPr>
          <w:i/>
          <w:iCs/>
          <w:sz w:val="24"/>
          <w:szCs w:val="24"/>
        </w:rPr>
      </w:pPr>
    </w:p>
    <w:p w14:paraId="0A257D61" w14:textId="0959B10F" w:rsidR="008C7C6F" w:rsidRDefault="008C7C6F" w:rsidP="001149DC">
      <w:pPr>
        <w:spacing w:before="0" w:after="0"/>
        <w:rPr>
          <w:i/>
          <w:iCs/>
          <w:sz w:val="24"/>
          <w:szCs w:val="24"/>
        </w:rPr>
      </w:pPr>
      <w:r>
        <w:rPr>
          <w:i/>
          <w:iCs/>
          <w:sz w:val="24"/>
          <w:szCs w:val="24"/>
        </w:rPr>
        <w:t>MEDIDA 137. Activar los protocolos de violencia machista ante los casos de violencia ejercida sobre mujeres con diversidad funcional/discapacidad, del mismo modo que se activan para el resto de las mujeres, y no derivarlos directamente a servicios sociales.</w:t>
      </w:r>
    </w:p>
    <w:p w14:paraId="50EA3CA1" w14:textId="77777777" w:rsidR="001149DC" w:rsidRPr="001149DC" w:rsidRDefault="001149DC" w:rsidP="001149DC">
      <w:pPr>
        <w:spacing w:before="0" w:after="0"/>
        <w:rPr>
          <w:i/>
          <w:iCs/>
          <w:sz w:val="24"/>
          <w:szCs w:val="24"/>
        </w:rPr>
      </w:pPr>
    </w:p>
    <w:p w14:paraId="5B479AD9" w14:textId="5084C52A" w:rsidR="008C7C6F" w:rsidRDefault="008C7C6F" w:rsidP="001149DC">
      <w:pPr>
        <w:spacing w:before="0" w:after="0"/>
        <w:rPr>
          <w:i/>
          <w:iCs/>
          <w:sz w:val="24"/>
          <w:szCs w:val="24"/>
        </w:rPr>
      </w:pPr>
      <w:r>
        <w:rPr>
          <w:i/>
          <w:iCs/>
          <w:sz w:val="24"/>
          <w:szCs w:val="24"/>
        </w:rPr>
        <w:t>MEDIDA 138. Implementar la Asistencia Personal suficiente y necesaria, en colaboración y con respeto a las competencias de las Comunidades Autónomas, para que las mujeres con diversidad funcional/discapacidad puedan tomar el control de sus propias vidas, para evitar la violencia familiar o de género y la institucionalización.</w:t>
      </w:r>
    </w:p>
    <w:p w14:paraId="108CB640" w14:textId="77777777" w:rsidR="001149DC" w:rsidRDefault="001149DC" w:rsidP="001149DC">
      <w:pPr>
        <w:spacing w:before="0" w:after="0"/>
        <w:rPr>
          <w:sz w:val="24"/>
          <w:szCs w:val="24"/>
        </w:rPr>
      </w:pPr>
    </w:p>
    <w:p w14:paraId="650C61E7" w14:textId="1F4328B9" w:rsidR="008C7C6F" w:rsidRDefault="008C7C6F" w:rsidP="00515F36">
      <w:pPr>
        <w:spacing w:before="0" w:after="0"/>
        <w:rPr>
          <w:sz w:val="24"/>
          <w:szCs w:val="24"/>
        </w:rPr>
      </w:pPr>
      <w:r>
        <w:rPr>
          <w:i/>
          <w:iCs/>
          <w:sz w:val="24"/>
          <w:szCs w:val="24"/>
        </w:rPr>
        <w:t>MEDIDA 139. Dotar de correcta formación a los y las profesionales de los servicios de información, emergencias, sanitarios, policiales y jurídicos para que toda la información sea adaptada, accesible e inclusiva, así como para que el trato sea digno y respetuoso y proteja la intimidad de la mujer con diversidad funcional/discapacidad</w:t>
      </w:r>
      <w:r>
        <w:rPr>
          <w:sz w:val="24"/>
          <w:szCs w:val="24"/>
        </w:rPr>
        <w:t>.</w:t>
      </w:r>
    </w:p>
    <w:p w14:paraId="6E7E15A6" w14:textId="77777777" w:rsidR="00515F36" w:rsidRDefault="00515F36" w:rsidP="00515F36">
      <w:pPr>
        <w:spacing w:before="0" w:after="0"/>
        <w:rPr>
          <w:sz w:val="24"/>
          <w:szCs w:val="24"/>
        </w:rPr>
      </w:pPr>
    </w:p>
    <w:p w14:paraId="2714CA6A" w14:textId="083C99F1" w:rsidR="008C7C6F" w:rsidRDefault="008C7C6F" w:rsidP="00B92BA8">
      <w:pPr>
        <w:spacing w:before="0" w:after="0"/>
        <w:rPr>
          <w:sz w:val="24"/>
          <w:szCs w:val="24"/>
        </w:rPr>
      </w:pPr>
      <w:r>
        <w:rPr>
          <w:sz w:val="24"/>
          <w:szCs w:val="24"/>
        </w:rPr>
        <w:t>En el marco de este Pacto de Estado contra la Violencia de Género, destaca, asimismo, la obligación de garantizar la plena accesibilidad en lengua de signos a servicios telefónicos como el 112, el 062, el 091, y en general, a todos aquellos teléfonos públicos a disposición de la ciudadanía a través del servicio de videointerpretación a la lengua de signos SVisual que ya se utiliza en el 016. En la misma línea, las Comunidades Autónomas deben asegurar la presencia de intérpretes de lengua de signos, así como de mediadoras especializadas en la atención a personas sordas durante todas las fases del proceso de salida de la violencia. Finalmente hacer hincapié en la necesidad de formar en Violencia de Género a intérpretes de Lengua de Signos que se encarguen de realizar labores de interpretación de casos en comisarías, juzgados, aten</w:t>
      </w:r>
      <w:r w:rsidR="00B92BA8">
        <w:rPr>
          <w:sz w:val="24"/>
          <w:szCs w:val="24"/>
        </w:rPr>
        <w:t>ción psicológica y social, etc.</w:t>
      </w:r>
    </w:p>
    <w:p w14:paraId="17EA6B93" w14:textId="77777777" w:rsidR="00B92BA8" w:rsidRDefault="00B92BA8" w:rsidP="00B92BA8">
      <w:pPr>
        <w:spacing w:before="0" w:after="0"/>
        <w:rPr>
          <w:sz w:val="24"/>
          <w:szCs w:val="24"/>
        </w:rPr>
      </w:pPr>
    </w:p>
    <w:p w14:paraId="520451D1" w14:textId="77777777" w:rsidR="001D4E82" w:rsidRDefault="008C7C6F" w:rsidP="001D4E82">
      <w:pPr>
        <w:spacing w:before="0" w:after="0"/>
        <w:rPr>
          <w:sz w:val="24"/>
          <w:szCs w:val="24"/>
        </w:rPr>
      </w:pPr>
      <w:r>
        <w:rPr>
          <w:sz w:val="24"/>
          <w:szCs w:val="24"/>
        </w:rPr>
        <w:t>Concluimos este apartado en materia de violencia contra las mujeres manifestando la falta, hasta la fecha, de medidas efectivas y accesibles que protejan a las mujeres y niñas con discapacidad de la violencia, la explotación y el abuso y hacemos un llamamiento para que el Pacto de Estado Contra la Violenc</w:t>
      </w:r>
      <w:r w:rsidR="001D4E82">
        <w:rPr>
          <w:sz w:val="24"/>
          <w:szCs w:val="24"/>
        </w:rPr>
        <w:t>ia de Género no les deje atrás.</w:t>
      </w:r>
    </w:p>
    <w:p w14:paraId="7A4EE3D1" w14:textId="77777777" w:rsidR="001D4E82" w:rsidRDefault="001D4E82" w:rsidP="001D4E82">
      <w:pPr>
        <w:spacing w:before="0" w:after="0"/>
        <w:rPr>
          <w:sz w:val="24"/>
          <w:szCs w:val="24"/>
        </w:rPr>
      </w:pPr>
    </w:p>
    <w:p w14:paraId="43F6709E" w14:textId="77777777" w:rsidR="001D4E82" w:rsidRDefault="001D4E82" w:rsidP="001D4E82">
      <w:pPr>
        <w:spacing w:before="0" w:after="0"/>
        <w:rPr>
          <w:sz w:val="24"/>
          <w:szCs w:val="24"/>
        </w:rPr>
      </w:pPr>
    </w:p>
    <w:p w14:paraId="1116FABA" w14:textId="3E619820" w:rsidR="00AF5935" w:rsidRDefault="00C84088" w:rsidP="001D4E82">
      <w:pPr>
        <w:spacing w:before="0" w:after="0"/>
        <w:rPr>
          <w:b/>
          <w:sz w:val="24"/>
          <w:szCs w:val="24"/>
        </w:rPr>
      </w:pPr>
      <w:r w:rsidRPr="0051398F">
        <w:rPr>
          <w:b/>
          <w:sz w:val="24"/>
          <w:szCs w:val="24"/>
        </w:rPr>
        <w:t>Protección de la integridad personal (artículo 17)</w:t>
      </w:r>
    </w:p>
    <w:p w14:paraId="4115E5EE" w14:textId="77777777" w:rsidR="001149DC" w:rsidRPr="0051398F" w:rsidRDefault="001149DC" w:rsidP="001D4E82">
      <w:pPr>
        <w:spacing w:before="0" w:after="0"/>
        <w:rPr>
          <w:b/>
          <w:sz w:val="24"/>
          <w:szCs w:val="24"/>
        </w:rPr>
      </w:pPr>
    </w:p>
    <w:p w14:paraId="37903983" w14:textId="6EDB15A3" w:rsidR="00E847C9" w:rsidRDefault="00E847C9" w:rsidP="001149DC">
      <w:pPr>
        <w:spacing w:before="0" w:after="0"/>
        <w:rPr>
          <w:rFonts w:eastAsia="Calibri" w:cs="Arial"/>
          <w:b/>
          <w:sz w:val="24"/>
          <w:szCs w:val="24"/>
          <w:lang w:bidi="ar-DZ"/>
        </w:rPr>
      </w:pPr>
      <w:r w:rsidRPr="00B75B2E">
        <w:rPr>
          <w:rFonts w:eastAsia="Calibri" w:cs="Arial"/>
          <w:b/>
          <w:sz w:val="24"/>
          <w:szCs w:val="24"/>
          <w:lang w:bidi="ar-DZ"/>
        </w:rPr>
        <w:t xml:space="preserve">C18 </w:t>
      </w:r>
      <w:r w:rsidR="0051398F">
        <w:rPr>
          <w:rFonts w:eastAsia="Calibri" w:cs="Arial"/>
          <w:b/>
          <w:sz w:val="24"/>
          <w:szCs w:val="24"/>
          <w:lang w:bidi="ar-DZ"/>
        </w:rPr>
        <w:t>“</w:t>
      </w:r>
      <w:r w:rsidRPr="00B75B2E">
        <w:rPr>
          <w:rFonts w:eastAsia="Calibri" w:cs="Arial"/>
          <w:b/>
          <w:sz w:val="24"/>
          <w:szCs w:val="24"/>
          <w:lang w:bidi="ar-DZ"/>
        </w:rPr>
        <w:t>Expliquen cómo se garantiza el consentimiento libre e informado de todas las personas con discapacidad para cualquier intervención o tratamiento médico, así como las medidas avanzadas para tipificar, prohibir y castigar la esterilización y/o el aborto forzoso no consentido de personas con discapacidad, sin su consentimiento libre e informado, pero con el consentimiento de un tercero.</w:t>
      </w:r>
      <w:r w:rsidR="0051398F">
        <w:rPr>
          <w:rFonts w:eastAsia="Calibri" w:cs="Arial"/>
          <w:b/>
          <w:sz w:val="24"/>
          <w:szCs w:val="24"/>
          <w:lang w:bidi="ar-DZ"/>
        </w:rPr>
        <w:t>”</w:t>
      </w:r>
      <w:r w:rsidRPr="00B75B2E">
        <w:rPr>
          <w:rFonts w:eastAsia="Calibri" w:cs="Arial"/>
          <w:b/>
          <w:sz w:val="24"/>
          <w:szCs w:val="24"/>
          <w:lang w:bidi="ar-DZ"/>
        </w:rPr>
        <w:t xml:space="preserve"> </w:t>
      </w:r>
    </w:p>
    <w:p w14:paraId="65D9F204" w14:textId="77777777" w:rsidR="001149DC" w:rsidRPr="00B75B2E" w:rsidRDefault="001149DC" w:rsidP="001149DC">
      <w:pPr>
        <w:spacing w:before="0" w:after="0"/>
        <w:rPr>
          <w:rFonts w:eastAsia="Calibri" w:cs="Arial"/>
          <w:b/>
          <w:sz w:val="24"/>
          <w:szCs w:val="24"/>
          <w:lang w:bidi="ar-DZ"/>
        </w:rPr>
      </w:pPr>
    </w:p>
    <w:p w14:paraId="4B1B4985" w14:textId="657C38E4" w:rsidR="00F832F3" w:rsidRDefault="00F832F3" w:rsidP="003F4BCA">
      <w:pPr>
        <w:spacing w:before="0" w:after="0"/>
        <w:rPr>
          <w:sz w:val="24"/>
          <w:szCs w:val="24"/>
        </w:rPr>
      </w:pPr>
      <w:r>
        <w:rPr>
          <w:sz w:val="24"/>
          <w:szCs w:val="24"/>
        </w:rPr>
        <w:lastRenderedPageBreak/>
        <w:t>La Ley Orgánica 1/2015</w:t>
      </w:r>
      <w:r w:rsidR="00611C63">
        <w:rPr>
          <w:rStyle w:val="FootnoteReference"/>
          <w:sz w:val="24"/>
          <w:szCs w:val="24"/>
        </w:rPr>
        <w:footnoteReference w:id="7"/>
      </w:r>
      <w:r>
        <w:rPr>
          <w:sz w:val="24"/>
          <w:szCs w:val="24"/>
        </w:rPr>
        <w:t xml:space="preserve"> que modificó el Código Penal</w:t>
      </w:r>
      <w:r w:rsidR="00861D64">
        <w:rPr>
          <w:rStyle w:val="FootnoteReference"/>
          <w:i/>
          <w:iCs/>
          <w:sz w:val="24"/>
          <w:szCs w:val="24"/>
        </w:rPr>
        <w:footnoteReference w:id="8"/>
      </w:r>
      <w:r>
        <w:rPr>
          <w:sz w:val="24"/>
          <w:szCs w:val="24"/>
        </w:rPr>
        <w:t xml:space="preserve"> limitó las posibilidades de la esterilización forzosa en España que se contemplaban en la anterior regulación. La redacción antes vigente, permitía la esterilización de una persona incapacitada con “grave deficiencia psíquica” sin contar con su consentimiento, tomándose como criterio rector el de su mejor interés, siempre que hubiese sido autorizada por el juez, “a petición del representante del incapaz, oído el dictamen de dos especialistas, el Ministerio Fiscal y previa exploración del incapaz”. </w:t>
      </w:r>
    </w:p>
    <w:p w14:paraId="21E062A4" w14:textId="77777777" w:rsidR="003F4BCA" w:rsidRDefault="003F4BCA" w:rsidP="003F4BCA">
      <w:pPr>
        <w:spacing w:before="0" w:after="0"/>
        <w:rPr>
          <w:sz w:val="24"/>
          <w:szCs w:val="24"/>
        </w:rPr>
      </w:pPr>
    </w:p>
    <w:p w14:paraId="70E044D6" w14:textId="7722F0C5" w:rsidR="00F832F3" w:rsidRDefault="00F832F3" w:rsidP="003F4BCA">
      <w:pPr>
        <w:spacing w:before="0" w:after="0"/>
        <w:rPr>
          <w:sz w:val="24"/>
          <w:szCs w:val="24"/>
        </w:rPr>
      </w:pPr>
      <w:r>
        <w:rPr>
          <w:sz w:val="24"/>
          <w:szCs w:val="24"/>
        </w:rPr>
        <w:t>Así pues, pese a que, para la esterilización forzosa se contempla, como régimen de garantías, la autorización judicial, el problema radica en la pervivencia de la institución jurídica de la incapacitación.</w:t>
      </w:r>
    </w:p>
    <w:p w14:paraId="127BB2ED" w14:textId="77777777" w:rsidR="003F4BCA" w:rsidRDefault="003F4BCA" w:rsidP="003F4BCA">
      <w:pPr>
        <w:spacing w:before="0" w:after="0"/>
        <w:rPr>
          <w:sz w:val="24"/>
          <w:szCs w:val="24"/>
        </w:rPr>
      </w:pPr>
    </w:p>
    <w:p w14:paraId="66BDB78E" w14:textId="4934AA42" w:rsidR="00F832F3" w:rsidRDefault="00F832F3" w:rsidP="003F4BCA">
      <w:pPr>
        <w:spacing w:before="0" w:after="0"/>
        <w:rPr>
          <w:i/>
          <w:iCs/>
          <w:sz w:val="24"/>
          <w:szCs w:val="24"/>
        </w:rPr>
      </w:pPr>
      <w:r>
        <w:rPr>
          <w:sz w:val="24"/>
          <w:szCs w:val="24"/>
        </w:rPr>
        <w:t xml:space="preserve">Frente a la anterior regulación, el actual art. 156 del Código Penal dispone: </w:t>
      </w:r>
      <w:r>
        <w:rPr>
          <w:i/>
          <w:iCs/>
          <w:sz w:val="24"/>
          <w:szCs w:val="24"/>
        </w:rPr>
        <w:t>“No será punible la esterilización acordada por órgano judicial en el caso de personas que de forma permanente no puedan prestar en modo alguno el consentimiento al que se refiere el párrafo anterior, siempre que se trate de supuestos excepcionales en los que se produzca grave conflicto de bienes jurídicos protegidos, a fin de salvaguardar el mayor interés del afectado, todo ello con arreglo a lo establecido en la legislación civil”.</w:t>
      </w:r>
    </w:p>
    <w:p w14:paraId="3745DB06" w14:textId="77777777" w:rsidR="003F4BCA" w:rsidRDefault="003F4BCA" w:rsidP="003F4BCA">
      <w:pPr>
        <w:spacing w:before="0" w:after="0"/>
        <w:rPr>
          <w:sz w:val="24"/>
          <w:szCs w:val="24"/>
        </w:rPr>
      </w:pPr>
    </w:p>
    <w:p w14:paraId="488B99A1" w14:textId="59AC6DA3" w:rsidR="00F832F3" w:rsidRDefault="00F832F3" w:rsidP="003F4BCA">
      <w:pPr>
        <w:spacing w:before="0" w:after="0"/>
        <w:rPr>
          <w:sz w:val="24"/>
          <w:szCs w:val="24"/>
        </w:rPr>
      </w:pPr>
      <w:r>
        <w:rPr>
          <w:sz w:val="24"/>
          <w:szCs w:val="24"/>
        </w:rPr>
        <w:t xml:space="preserve">Así, es cierto – como indica el Informe presentado por el Gobierno de España – que la reforma de 2015 ha limitado la posibilidad de aplicar la esterilización forzosa a quien carezca absolutamente y de forma permanente de aptitud para prestar consentimiento y en los supuestos en los que exista un grave conflicto de bienes jurídicos protegidos. De esta forma, a priori esta práctica contraria a Derechos Humanos quedaría subsanada con la nueva regulación, ya que, por lo que precede, en muchos de los casos no podrían aplicarse al amparo de la nueva </w:t>
      </w:r>
      <w:r w:rsidR="00E847C9" w:rsidRPr="00FE7EA7">
        <w:rPr>
          <w:rFonts w:eastAsia="Times New Roman" w:cs="Arial"/>
          <w:sz w:val="24"/>
          <w:szCs w:val="24"/>
        </w:rPr>
        <w:t>regulación</w:t>
      </w:r>
      <w:r w:rsidR="00E847C9" w:rsidRPr="00FE7EA7">
        <w:rPr>
          <w:rStyle w:val="FootnoteReference"/>
          <w:rFonts w:eastAsia="Times New Roman" w:cs="Arial"/>
          <w:sz w:val="24"/>
          <w:szCs w:val="24"/>
        </w:rPr>
        <w:footnoteReference w:id="9"/>
      </w:r>
      <w:r w:rsidR="00E847C9" w:rsidRPr="00FE7EA7">
        <w:rPr>
          <w:rFonts w:eastAsia="Times New Roman" w:cs="Arial"/>
          <w:sz w:val="24"/>
          <w:szCs w:val="24"/>
        </w:rPr>
        <w:t xml:space="preserve">. </w:t>
      </w:r>
      <w:r>
        <w:rPr>
          <w:sz w:val="24"/>
          <w:szCs w:val="24"/>
        </w:rPr>
        <w:t xml:space="preserve">Sin </w:t>
      </w:r>
      <w:r>
        <w:rPr>
          <w:sz w:val="24"/>
          <w:szCs w:val="24"/>
        </w:rPr>
        <w:lastRenderedPageBreak/>
        <w:t>embargo, si se tiene en cuenta el procedimiento trasladado del artículo 156 del Código Penal a la disposición primera de la Ley Orgánica 1/2015, el esperanzador panorama descrito queda anulado. De hecho, el procedimiento para la autorización de la esterilización, es sustancialmente idéntico al anterior, en la medida que dispone que la esterilización “deberá ser autorizada por un juez en el procedimiento de modificación de la capacidad o en un procedimiento contradictorio posterior, a instancia del representante legal de la persona sobre cuya esterilización se resuelve, oído el dictamen de dos especialistas y el Ministerio Fiscal, y previo examen por el juez de la persona afectada que carezca de capacidad para prestar su consentimiento”.</w:t>
      </w:r>
    </w:p>
    <w:p w14:paraId="46F6E872" w14:textId="77777777" w:rsidR="003F4BCA" w:rsidRDefault="003F4BCA" w:rsidP="003F4BCA">
      <w:pPr>
        <w:spacing w:before="0" w:after="0"/>
        <w:rPr>
          <w:sz w:val="24"/>
          <w:szCs w:val="24"/>
        </w:rPr>
      </w:pPr>
    </w:p>
    <w:p w14:paraId="2E9199BE" w14:textId="019D56B5" w:rsidR="00F832F3" w:rsidRDefault="00F832F3" w:rsidP="003F4BCA">
      <w:pPr>
        <w:spacing w:before="0" w:after="0"/>
        <w:rPr>
          <w:sz w:val="24"/>
          <w:szCs w:val="24"/>
        </w:rPr>
      </w:pPr>
      <w:r>
        <w:rPr>
          <w:sz w:val="24"/>
          <w:szCs w:val="24"/>
        </w:rPr>
        <w:t>Por tanto, se trata solo de una modificación normativa “de cara a la galería”, ya que en la práctica jurídica la situación de las personas con discapacidad sigue siendo la misma. En este sentido se puede afirmar categóricamente que, con la actual regulación, la esterilización forzosa se mantiene y con ella las razones que motivaron la preocupación del Comité en sus Observaciones Finales y propiciaron que instase al Estado su eliminación en el marco del cuestionamiento de los tratamientos médicos sin consentimiento. En efecto, el vigente Código Penal español sigue permitiendo la esterilización forzosa para personas con discapacidad y ha llegado a convertirse en una práctica con un claro sesgo de género, ya que se aplica mayoritariamente en mujeres. El sometimiento a esta práctica mutiladora sin contar con el consentimiento de la mujer concernida conculca el art. 17 y el art. 23 de la CDPD.</w:t>
      </w:r>
    </w:p>
    <w:p w14:paraId="0C141774" w14:textId="77777777" w:rsidR="003F4BCA" w:rsidRDefault="003F4BCA" w:rsidP="003F4BCA">
      <w:pPr>
        <w:spacing w:before="0" w:after="0"/>
        <w:rPr>
          <w:sz w:val="24"/>
          <w:szCs w:val="24"/>
        </w:rPr>
      </w:pPr>
    </w:p>
    <w:p w14:paraId="22C3E937" w14:textId="692CD95D" w:rsidR="00F832F3" w:rsidRDefault="00F832F3" w:rsidP="00501089">
      <w:pPr>
        <w:pStyle w:val="SingleTxtG"/>
        <w:spacing w:before="0" w:after="0"/>
        <w:ind w:left="0" w:right="0"/>
        <w:rPr>
          <w:rFonts w:ascii="Arial" w:hAnsi="Arial" w:cs="Arial"/>
        </w:rPr>
      </w:pPr>
      <w:r>
        <w:rPr>
          <w:rFonts w:ascii="Arial" w:hAnsi="Arial" w:cs="Arial"/>
        </w:rPr>
        <w:t>El requisito de la previa modificación de la capacidad legal de las mujeres en estos casos preocupa especialmente, ya que supone además un obstáculo añadido para estas mujeres a la hora de acceder a la justicia para defender sus derechos cuando son víctimas de violencia, ya que no pueden hacerlo directamente, sino solamente a través de persona interpuesta (la persona tutora) que puede ser además quien esté perpetrando los actos de violencia.</w:t>
      </w:r>
    </w:p>
    <w:p w14:paraId="789BB613" w14:textId="77777777" w:rsidR="00501089" w:rsidRDefault="00501089" w:rsidP="00501089">
      <w:pPr>
        <w:pStyle w:val="SingleTxtG"/>
        <w:spacing w:before="0" w:after="0"/>
        <w:ind w:left="0" w:right="0"/>
        <w:rPr>
          <w:rFonts w:ascii="Arial" w:hAnsi="Arial" w:cs="Arial"/>
        </w:rPr>
      </w:pPr>
    </w:p>
    <w:p w14:paraId="50D698A1" w14:textId="222C5A68" w:rsidR="00F832F3" w:rsidRDefault="00F832F3" w:rsidP="003E1454">
      <w:pPr>
        <w:spacing w:after="0"/>
        <w:rPr>
          <w:sz w:val="24"/>
          <w:szCs w:val="24"/>
        </w:rPr>
      </w:pPr>
      <w:r>
        <w:rPr>
          <w:sz w:val="24"/>
          <w:szCs w:val="24"/>
        </w:rPr>
        <w:t xml:space="preserve">Por otro lado, y con el fin de conocer el fenómeno, la Fundación CERMI Mujeres viene denunciando públicamente esta práctica contraria a los derechos humanos. En 2017 publicó </w:t>
      </w:r>
      <w:r w:rsidR="00501089">
        <w:rPr>
          <w:sz w:val="24"/>
          <w:szCs w:val="24"/>
        </w:rPr>
        <w:t xml:space="preserve">un estudio, que bajo el título </w:t>
      </w:r>
      <w:r>
        <w:rPr>
          <w:i/>
          <w:iCs/>
          <w:sz w:val="24"/>
          <w:szCs w:val="24"/>
        </w:rPr>
        <w:t>Poner fin a la</w:t>
      </w:r>
      <w:r w:rsidR="00501089">
        <w:rPr>
          <w:i/>
          <w:iCs/>
          <w:sz w:val="24"/>
          <w:szCs w:val="24"/>
        </w:rPr>
        <w:t xml:space="preserve"> esterilización</w:t>
      </w:r>
      <w:r>
        <w:rPr>
          <w:i/>
          <w:iCs/>
          <w:sz w:val="24"/>
          <w:szCs w:val="24"/>
        </w:rPr>
        <w:t xml:space="preserve"> forzosa de las m</w:t>
      </w:r>
      <w:r w:rsidR="00501089">
        <w:rPr>
          <w:i/>
          <w:iCs/>
          <w:sz w:val="24"/>
          <w:szCs w:val="24"/>
        </w:rPr>
        <w:t>ujeres y niñas con discapacidad</w:t>
      </w:r>
      <w:r w:rsidR="00501089">
        <w:rPr>
          <w:rStyle w:val="FootnoteReference"/>
          <w:i/>
          <w:iCs/>
          <w:sz w:val="24"/>
          <w:szCs w:val="24"/>
        </w:rPr>
        <w:footnoteReference w:id="10"/>
      </w:r>
      <w:r>
        <w:rPr>
          <w:i/>
          <w:iCs/>
          <w:sz w:val="24"/>
          <w:szCs w:val="24"/>
        </w:rPr>
        <w:t xml:space="preserve">, </w:t>
      </w:r>
      <w:r>
        <w:rPr>
          <w:sz w:val="24"/>
          <w:szCs w:val="24"/>
        </w:rPr>
        <w:lastRenderedPageBreak/>
        <w:t xml:space="preserve">revela que uno de los grandes problemas existentes es la falta de transparencia, algo que viola la </w:t>
      </w:r>
      <w:r w:rsidRPr="00501089">
        <w:rPr>
          <w:i/>
          <w:sz w:val="24"/>
          <w:szCs w:val="24"/>
        </w:rPr>
        <w:t xml:space="preserve">Convención sobre los Derechos de las </w:t>
      </w:r>
      <w:r w:rsidR="00501089">
        <w:rPr>
          <w:i/>
          <w:sz w:val="24"/>
          <w:szCs w:val="24"/>
        </w:rPr>
        <w:t>P</w:t>
      </w:r>
      <w:r w:rsidRPr="00501089">
        <w:rPr>
          <w:i/>
          <w:sz w:val="24"/>
          <w:szCs w:val="24"/>
        </w:rPr>
        <w:t>ersonas con Discapacidad</w:t>
      </w:r>
      <w:r>
        <w:rPr>
          <w:sz w:val="24"/>
          <w:szCs w:val="24"/>
        </w:rPr>
        <w:t xml:space="preserve">. Los datos existentes, según el Consejo General del Poder Judicial (CGPJ), reflejan que el número total de casos resueltos asciende a 140 en 2016, sin que sea posible conocer la resolución final de cada procedimiento y sin que se pueda saber la incidencia en mujeres y hombres, ya que los datos no se hallan desagregados por sexo. Aunque las informaciones recibidas por las organizaciones de referencia indican que esta práctica afecta en mucha mayor medida a las mujeres. La media anual se aproxima al centenar de autorizaciones de esterilización o la utilización de medios anticonceptivos sin informar a la persona, o incluso contra su voluntad. </w:t>
      </w:r>
    </w:p>
    <w:p w14:paraId="1A94FBDC" w14:textId="77777777" w:rsidR="003E1454" w:rsidRDefault="003E1454" w:rsidP="003E1454">
      <w:pPr>
        <w:spacing w:before="0" w:after="0"/>
        <w:rPr>
          <w:rFonts w:cs="Arial"/>
          <w:sz w:val="24"/>
          <w:szCs w:val="24"/>
        </w:rPr>
      </w:pPr>
    </w:p>
    <w:p w14:paraId="53AA346D" w14:textId="04817BDC" w:rsidR="00F832F3" w:rsidRDefault="00F832F3" w:rsidP="00821412">
      <w:pPr>
        <w:spacing w:before="0" w:after="0"/>
        <w:rPr>
          <w:sz w:val="24"/>
          <w:szCs w:val="24"/>
        </w:rPr>
      </w:pPr>
      <w:r>
        <w:rPr>
          <w:sz w:val="24"/>
          <w:szCs w:val="24"/>
        </w:rPr>
        <w:t>Esta ausencia de cifras pone en evidencia la falta de cumplimiento de las recomendaciones que en su día hizo el Comité de Naciones Unidas sobre los Derechos de las Personas con Discapacidad en 2011 en materia de recopilación de datos y estadísticas. Además de la necesidad de que exista mayor transparencia estadística se exige que se desarrollen políticas encaminadas a indemnizar a las personas con discapacidad, especialmente mujeres y niñas, que han sido esterilizadas; poner en marcha medidas para proporcionar formación sobre los derechos sexuales y reproductivos a las mujeres con discapacidad, y derogar las leyes que amparen la práctica de esterilizaciones forzadas.</w:t>
      </w:r>
    </w:p>
    <w:p w14:paraId="76796C9A" w14:textId="77777777" w:rsidR="00821412" w:rsidRDefault="00821412" w:rsidP="00821412">
      <w:pPr>
        <w:spacing w:before="0" w:after="0"/>
        <w:rPr>
          <w:sz w:val="24"/>
          <w:szCs w:val="24"/>
        </w:rPr>
      </w:pPr>
    </w:p>
    <w:p w14:paraId="43AA0E91" w14:textId="619B9584" w:rsidR="00F832F3" w:rsidRDefault="00F832F3" w:rsidP="00AA7C65">
      <w:pPr>
        <w:spacing w:before="0" w:after="0"/>
        <w:rPr>
          <w:sz w:val="24"/>
          <w:szCs w:val="24"/>
        </w:rPr>
      </w:pPr>
      <w:r>
        <w:rPr>
          <w:sz w:val="24"/>
          <w:szCs w:val="24"/>
        </w:rPr>
        <w:t xml:space="preserve">De otro lado, similar panorama se produce en los supuestos de interrupción voluntaria del embarazo. En este sentido, la aplicación de la </w:t>
      </w:r>
      <w:r>
        <w:rPr>
          <w:i/>
          <w:iCs/>
          <w:sz w:val="24"/>
          <w:szCs w:val="24"/>
        </w:rPr>
        <w:t>Ley Orgánica 2/2010, de 3 de marzo, de salud sexual y reproductiva y de la interrupción voluntaria del embarazo</w:t>
      </w:r>
      <w:r w:rsidR="00821412">
        <w:rPr>
          <w:rStyle w:val="FootnoteReference"/>
          <w:i/>
          <w:iCs/>
          <w:sz w:val="24"/>
          <w:szCs w:val="24"/>
        </w:rPr>
        <w:footnoteReference w:id="11"/>
      </w:r>
      <w:r>
        <w:rPr>
          <w:sz w:val="24"/>
          <w:szCs w:val="24"/>
        </w:rPr>
        <w:t xml:space="preserve">, en el caso de las mujeres con discapacidad arroja deficiencias en su aplicación práctica. </w:t>
      </w:r>
    </w:p>
    <w:p w14:paraId="28C3E32A" w14:textId="77777777" w:rsidR="0086004D" w:rsidRDefault="0086004D" w:rsidP="00AA7C65">
      <w:pPr>
        <w:spacing w:before="0" w:after="0"/>
        <w:rPr>
          <w:sz w:val="24"/>
          <w:szCs w:val="24"/>
        </w:rPr>
      </w:pPr>
    </w:p>
    <w:p w14:paraId="6DFDA9C3" w14:textId="3B31B24E" w:rsidR="00F832F3" w:rsidRDefault="00F832F3" w:rsidP="00AA7C65">
      <w:pPr>
        <w:spacing w:before="0" w:after="0"/>
        <w:rPr>
          <w:sz w:val="24"/>
          <w:szCs w:val="24"/>
        </w:rPr>
      </w:pPr>
      <w:r>
        <w:rPr>
          <w:sz w:val="24"/>
          <w:szCs w:val="24"/>
        </w:rPr>
        <w:t xml:space="preserve">La falta de conciencia del engranaje social –familia, sistema educativo, sistema sanitario y servicios sociales- limitan el poder decisorio de las mujeres con discapacidad. </w:t>
      </w:r>
    </w:p>
    <w:p w14:paraId="7C923CDD" w14:textId="77777777" w:rsidR="00AA7C65" w:rsidRDefault="00AA7C65" w:rsidP="00AA7C65">
      <w:pPr>
        <w:spacing w:before="0" w:after="0"/>
        <w:rPr>
          <w:sz w:val="24"/>
          <w:szCs w:val="24"/>
        </w:rPr>
      </w:pPr>
    </w:p>
    <w:p w14:paraId="37669CEB" w14:textId="6DE0FC21" w:rsidR="00F832F3" w:rsidRDefault="00F832F3" w:rsidP="00AA7C65">
      <w:pPr>
        <w:spacing w:before="0" w:after="0"/>
        <w:rPr>
          <w:sz w:val="24"/>
          <w:szCs w:val="24"/>
        </w:rPr>
      </w:pPr>
      <w:r>
        <w:rPr>
          <w:sz w:val="24"/>
          <w:szCs w:val="24"/>
        </w:rPr>
        <w:t>En este contexto, resulta imperativo desarrollar programas de formación, extensibles a todos los agentes implicados, incluyendo especialmente al vínculo social inmediato que rodea a las mujeres con discapacidad. Las familias son un elemento fundamental en este transcendental momento de la vida de toda mujer. En el caso de las mujeres con discapacidad, la familia, debido a un enfoque, en ocasiones, proteccionista que debería superarse a favor del fomento de la independencia y autonomía personal, reviste si cabe más peso aún, especialmente en los casos de discapacidad psicosocial y discapacidad intelectual. Junto a ello es, sin duda, categórico impulsar la autonomía de la mujer con discapacidad, a fin de lograr su empoderamiento y garantizar así el reconocimiento de sus propios derechos.</w:t>
      </w:r>
    </w:p>
    <w:p w14:paraId="6B356E9A" w14:textId="77777777" w:rsidR="00AA7C65" w:rsidRDefault="00AA7C65" w:rsidP="00AA7C65">
      <w:pPr>
        <w:spacing w:before="0" w:after="0"/>
        <w:rPr>
          <w:sz w:val="24"/>
          <w:szCs w:val="24"/>
        </w:rPr>
      </w:pPr>
    </w:p>
    <w:p w14:paraId="769EBF9B" w14:textId="7EC24F7D" w:rsidR="00F832F3" w:rsidRDefault="00F832F3" w:rsidP="00AF5935">
      <w:pPr>
        <w:spacing w:before="0" w:after="0"/>
        <w:rPr>
          <w:sz w:val="24"/>
          <w:szCs w:val="24"/>
        </w:rPr>
      </w:pPr>
      <w:r>
        <w:rPr>
          <w:sz w:val="24"/>
          <w:szCs w:val="24"/>
        </w:rPr>
        <w:lastRenderedPageBreak/>
        <w:t>Nos preocupa que todos los esfuerzos de ruptura de las barreras de accesibilidad no se despliegan para mujeres que no son consideradas socialmente como madres idóneas y que, consecuentemente, se ven empujadas a la práctica del aborto coercitivo. Sin programas de educación, que permitan la apertura al entendimiento de la discapacidad como una diversidad dentro de la multitud de dinámicas sociales, y sin recursos personales y materiales que posibiliten el efectivo acceso de la mujer con discapacidad a la información, toda decisión será directa o indirectamente coercitiva.</w:t>
      </w:r>
    </w:p>
    <w:p w14:paraId="7F70707B" w14:textId="77777777" w:rsidR="00AA7C65" w:rsidRDefault="00AA7C65" w:rsidP="00AA7C65">
      <w:pPr>
        <w:spacing w:before="0" w:after="0"/>
        <w:rPr>
          <w:sz w:val="24"/>
          <w:szCs w:val="24"/>
        </w:rPr>
      </w:pPr>
    </w:p>
    <w:p w14:paraId="43298E27" w14:textId="1007F404" w:rsidR="00F832F3" w:rsidRDefault="00F832F3" w:rsidP="00AA7C65">
      <w:pPr>
        <w:spacing w:before="0" w:after="0"/>
        <w:rPr>
          <w:sz w:val="24"/>
          <w:szCs w:val="24"/>
        </w:rPr>
      </w:pPr>
      <w:r>
        <w:rPr>
          <w:sz w:val="24"/>
          <w:szCs w:val="24"/>
        </w:rPr>
        <w:t xml:space="preserve">De este modo, la demanda y objetivo último es garantizar que las mujeres con discapacidad puedan hacerse cargo de su propia decisión, tal y como le sería posible a una mujer sin discapacidad, y garantizando, por tanto, el mismo plano de igualdad jurídica y social. </w:t>
      </w:r>
    </w:p>
    <w:p w14:paraId="1C28FF78" w14:textId="77777777" w:rsidR="00AA7C65" w:rsidRDefault="00AA7C65" w:rsidP="00AA7C65">
      <w:pPr>
        <w:spacing w:before="0" w:after="0"/>
        <w:rPr>
          <w:sz w:val="24"/>
          <w:szCs w:val="24"/>
        </w:rPr>
      </w:pPr>
    </w:p>
    <w:p w14:paraId="2C3F36ED" w14:textId="5D4A6F4A" w:rsidR="00F832F3" w:rsidRDefault="00F832F3" w:rsidP="00AA7C65">
      <w:pPr>
        <w:spacing w:before="0" w:after="0"/>
        <w:rPr>
          <w:sz w:val="24"/>
          <w:szCs w:val="24"/>
        </w:rPr>
      </w:pPr>
      <w:r>
        <w:rPr>
          <w:sz w:val="24"/>
          <w:szCs w:val="24"/>
        </w:rPr>
        <w:t xml:space="preserve">Tal y como se desprende de esta exposición argumentativa, tanto en el caso de esterilizaciones forzosas como en el caso del aborto coercitivo, se puede identificar un elemento común clave: el consentimiento informado del paciente. Así pues, la </w:t>
      </w:r>
      <w:r>
        <w:rPr>
          <w:i/>
          <w:iCs/>
          <w:sz w:val="24"/>
          <w:szCs w:val="24"/>
        </w:rPr>
        <w:t>Ley 41/2002, de 14 de noviembre, básica reguladora de la autonomía del paciente y de derechos y obligaciones en materia de información y documentación clínic</w:t>
      </w:r>
      <w:r>
        <w:rPr>
          <w:sz w:val="24"/>
          <w:szCs w:val="24"/>
        </w:rPr>
        <w:t>a</w:t>
      </w:r>
      <w:r w:rsidR="00AA7C65">
        <w:rPr>
          <w:rStyle w:val="FootnoteReference"/>
          <w:sz w:val="24"/>
          <w:szCs w:val="24"/>
        </w:rPr>
        <w:footnoteReference w:id="12"/>
      </w:r>
      <w:r>
        <w:rPr>
          <w:sz w:val="24"/>
          <w:szCs w:val="24"/>
        </w:rPr>
        <w:t>, reconoce los derechos de las y los pacientes como eje básico de las relaciones clínico-asistenciales. Se trata de una normativa de aplicación de una demanda histórica internacional por parte de organismos como Naciones Unidas, UNESCO, Consejo de Europa y OMS.</w:t>
      </w:r>
    </w:p>
    <w:p w14:paraId="0B9C4274" w14:textId="77777777" w:rsidR="00D97277" w:rsidRDefault="00D97277" w:rsidP="00AA7C65">
      <w:pPr>
        <w:spacing w:before="0" w:after="0"/>
        <w:rPr>
          <w:sz w:val="24"/>
          <w:szCs w:val="24"/>
        </w:rPr>
      </w:pPr>
    </w:p>
    <w:p w14:paraId="102AE3E3" w14:textId="6D2517A6" w:rsidR="00F832F3" w:rsidRDefault="00F832F3" w:rsidP="00D97277">
      <w:pPr>
        <w:spacing w:before="0" w:after="0"/>
        <w:rPr>
          <w:sz w:val="24"/>
          <w:szCs w:val="24"/>
        </w:rPr>
      </w:pPr>
      <w:r>
        <w:rPr>
          <w:sz w:val="24"/>
          <w:szCs w:val="24"/>
        </w:rPr>
        <w:t xml:space="preserve">El objetivo último de esta normativa es el respecto a la dignidad de la persona humana, la autonomía de la voluntad y la intimidad personal. De este modo, </w:t>
      </w:r>
      <w:r>
        <w:rPr>
          <w:i/>
          <w:iCs/>
          <w:sz w:val="24"/>
          <w:szCs w:val="24"/>
        </w:rPr>
        <w:t>“toda actuación en el ámbito de la sanidad requiere, con carácter general, el previo consentimiento… que debe obtenerse después de que el o la paciente reciba una información adecuada, se hará por escrito en los supuestos previstos en la Ley</w:t>
      </w:r>
      <w:r>
        <w:rPr>
          <w:sz w:val="24"/>
          <w:szCs w:val="24"/>
        </w:rPr>
        <w:t>”.  Nos preocupa que, estas premisas resulten vulneradas en los dos procedimientos descritos, dejando a las mujeres con discapacidad en una situación no solo de desigualdad y desventaja social, sino fundamentalmente de indefensión.</w:t>
      </w:r>
    </w:p>
    <w:p w14:paraId="43091A50" w14:textId="77777777" w:rsidR="00AF5935" w:rsidRDefault="00AF5935" w:rsidP="00AF5935">
      <w:pPr>
        <w:spacing w:before="0" w:after="0"/>
        <w:rPr>
          <w:sz w:val="24"/>
          <w:szCs w:val="24"/>
        </w:rPr>
      </w:pPr>
    </w:p>
    <w:p w14:paraId="42E1812B" w14:textId="77777777" w:rsidR="00B75B2E" w:rsidRDefault="00F832F3" w:rsidP="00B75B2E">
      <w:pPr>
        <w:spacing w:before="0" w:after="0"/>
        <w:rPr>
          <w:sz w:val="24"/>
          <w:szCs w:val="24"/>
        </w:rPr>
      </w:pPr>
      <w:r>
        <w:rPr>
          <w:sz w:val="24"/>
          <w:szCs w:val="24"/>
        </w:rPr>
        <w:t xml:space="preserve">Para concluir esta cuestión, no podemos dejar de lado a un grupo bastante numeroso de mujeres transexuales mayores de 55 años que han adquirido una discapacidad debido a la terrible situación de exclusión social que han vivido en su juventud, junto con la aplicación de tratamientos hormonales inadecuados y las operaciones de reasignación de sexo clandestinas a las que se han sometido. Esta situación es necesario evidenciarla y estudiarla puesto que es más que previsible que exista un gran porcentaje de personas con discapacidades orgánicas que no </w:t>
      </w:r>
      <w:r w:rsidR="00B75B2E">
        <w:rPr>
          <w:sz w:val="24"/>
          <w:szCs w:val="24"/>
        </w:rPr>
        <w:t xml:space="preserve">están ni tan siquiera valoradas. </w:t>
      </w:r>
    </w:p>
    <w:p w14:paraId="292A8C2A" w14:textId="77777777" w:rsidR="00B75B2E" w:rsidRDefault="00B75B2E" w:rsidP="00B75B2E">
      <w:pPr>
        <w:spacing w:before="0" w:after="0"/>
        <w:rPr>
          <w:sz w:val="24"/>
          <w:szCs w:val="24"/>
        </w:rPr>
      </w:pPr>
    </w:p>
    <w:p w14:paraId="6A0A63E2" w14:textId="77777777" w:rsidR="00B75B2E" w:rsidRDefault="00B75B2E" w:rsidP="00B75B2E">
      <w:pPr>
        <w:spacing w:before="0" w:after="0"/>
        <w:rPr>
          <w:sz w:val="24"/>
          <w:szCs w:val="24"/>
        </w:rPr>
      </w:pPr>
    </w:p>
    <w:p w14:paraId="04E7F279" w14:textId="798CB72F" w:rsidR="00AF5935" w:rsidRDefault="00C84088" w:rsidP="00B75B2E">
      <w:pPr>
        <w:spacing w:before="0" w:after="0"/>
        <w:rPr>
          <w:b/>
          <w:sz w:val="24"/>
          <w:szCs w:val="24"/>
        </w:rPr>
      </w:pPr>
      <w:r w:rsidRPr="00B75B2E">
        <w:rPr>
          <w:b/>
          <w:sz w:val="24"/>
          <w:szCs w:val="24"/>
        </w:rPr>
        <w:lastRenderedPageBreak/>
        <w:t>Salud (artículo 25)</w:t>
      </w:r>
    </w:p>
    <w:p w14:paraId="265C88C0" w14:textId="77777777" w:rsidR="001149DC" w:rsidRPr="00B75B2E" w:rsidRDefault="001149DC" w:rsidP="00B75B2E">
      <w:pPr>
        <w:spacing w:before="0" w:after="0"/>
        <w:rPr>
          <w:b/>
          <w:sz w:val="24"/>
          <w:szCs w:val="24"/>
        </w:rPr>
      </w:pPr>
    </w:p>
    <w:p w14:paraId="21BFF98B" w14:textId="18D32ECC" w:rsidR="00955570" w:rsidRDefault="00955570" w:rsidP="001149DC">
      <w:pPr>
        <w:spacing w:before="0" w:after="0"/>
        <w:rPr>
          <w:rFonts w:eastAsia="Calibri" w:cs="Arial"/>
          <w:b/>
          <w:sz w:val="24"/>
          <w:szCs w:val="24"/>
          <w:lang w:bidi="ar-DZ"/>
        </w:rPr>
      </w:pPr>
      <w:r w:rsidRPr="00B75B2E">
        <w:rPr>
          <w:rFonts w:eastAsia="Calibri" w:cs="Arial"/>
          <w:b/>
          <w:sz w:val="24"/>
          <w:szCs w:val="24"/>
          <w:lang w:bidi="ar-DZ"/>
        </w:rPr>
        <w:t xml:space="preserve">C24. </w:t>
      </w:r>
      <w:r w:rsidR="0051398F">
        <w:rPr>
          <w:rFonts w:eastAsia="Calibri" w:cs="Arial"/>
          <w:b/>
          <w:sz w:val="24"/>
          <w:szCs w:val="24"/>
          <w:lang w:bidi="ar-DZ"/>
        </w:rPr>
        <w:t>“</w:t>
      </w:r>
      <w:r w:rsidRPr="00F81520">
        <w:rPr>
          <w:rFonts w:eastAsia="Calibri" w:cs="Arial"/>
          <w:b/>
          <w:sz w:val="24"/>
          <w:szCs w:val="24"/>
          <w:lang w:bidi="ar-DZ"/>
        </w:rPr>
        <w:t>Sírvanse explicar las medidas para asegurar la accesibilidad de personas con discapacidad a la atención en salud, incluyendo instalaciones físicas, mobiliario y equipo, incluyendo el mobiliario y equipo específico para mujeres, así como información y comunicaciones en la prestación de los servicios de salud. Expliquen también las medidas para eliminar las diferencias existentes entre comunidades autónomas en cuanto a la distribución de recursos para su provisión y los planes para que la regulación del copago farmacéutico tome en cuenta los costes adicionales de la discapacidad. Igualmente, informen qué medidas se han tomado para capacitar al personal de salud, incluyendo la salud sexual y reproductiva, acerca de los derechos y requerimientos de las personas con discapacidad.</w:t>
      </w:r>
      <w:r w:rsidR="0051398F">
        <w:rPr>
          <w:rFonts w:eastAsia="Calibri" w:cs="Arial"/>
          <w:b/>
          <w:sz w:val="24"/>
          <w:szCs w:val="24"/>
          <w:lang w:bidi="ar-DZ"/>
        </w:rPr>
        <w:t>”</w:t>
      </w:r>
    </w:p>
    <w:p w14:paraId="78B70506" w14:textId="77777777" w:rsidR="001149DC" w:rsidRPr="00B75B2E" w:rsidRDefault="001149DC" w:rsidP="001149DC">
      <w:pPr>
        <w:spacing w:before="0" w:after="0"/>
        <w:rPr>
          <w:rFonts w:eastAsia="Calibri" w:cs="Arial"/>
          <w:b/>
          <w:sz w:val="24"/>
          <w:szCs w:val="24"/>
          <w:lang w:bidi="ar-DZ"/>
        </w:rPr>
      </w:pPr>
    </w:p>
    <w:p w14:paraId="09060884" w14:textId="4E3648AE" w:rsidR="0034568E" w:rsidRDefault="0034568E" w:rsidP="001149DC">
      <w:pPr>
        <w:spacing w:before="0" w:after="0"/>
        <w:rPr>
          <w:sz w:val="24"/>
          <w:szCs w:val="24"/>
        </w:rPr>
      </w:pPr>
      <w:r>
        <w:rPr>
          <w:sz w:val="24"/>
          <w:szCs w:val="24"/>
        </w:rPr>
        <w:t>En relación a la accesibilidad universal a la salud, a pesar de lo reflejado en el Informe del Gobierno de España, se siguen dando situaciones tales como que aún no se incorporan medidas como, por ejemplo, la presencia de intérpretes de lengua de signos, para pacientes sordas usuarias de esta lengua, ni se adaptan medios de apoyo a la comunicación oral para que el personal facultativo y sanitario pueda comunicarse con mujeres con discapacidad auditiva, cuya ausencia da lugar a situaciones de grave riesgo para estas mujeres. Otra medida que tampoco se ofrece todavía es la información en Lectura fácil necesaria para mujeres con discapacidad intelectual o del desarrollo.</w:t>
      </w:r>
    </w:p>
    <w:p w14:paraId="138F1DE5" w14:textId="77777777" w:rsidR="0034568E" w:rsidRDefault="0034568E" w:rsidP="0034568E">
      <w:pPr>
        <w:spacing w:before="0" w:after="0"/>
        <w:rPr>
          <w:sz w:val="24"/>
          <w:szCs w:val="24"/>
        </w:rPr>
      </w:pPr>
    </w:p>
    <w:p w14:paraId="4781614B" w14:textId="3171D6C9" w:rsidR="0034568E" w:rsidRDefault="0034568E" w:rsidP="00B10868">
      <w:pPr>
        <w:spacing w:before="0" w:after="0"/>
        <w:rPr>
          <w:sz w:val="24"/>
          <w:szCs w:val="24"/>
        </w:rPr>
      </w:pPr>
      <w:r>
        <w:rPr>
          <w:sz w:val="24"/>
          <w:szCs w:val="24"/>
        </w:rPr>
        <w:t>Los centros de salud y hospitales aún no están adaptados a las diferentes necesidades: falta de adaptaciones técnicas como en el caso de los estudios mamográficos, mesas exploratorias ginecológicas, carencia de intérpretes de lengua española de signos española,</w:t>
      </w:r>
      <w:r>
        <w:t xml:space="preserve"> </w:t>
      </w:r>
      <w:r>
        <w:rPr>
          <w:sz w:val="24"/>
          <w:szCs w:val="24"/>
        </w:rPr>
        <w:t xml:space="preserve">falta de recursos de apoyo a la audición y a la comunicación oral, falta de diversidad en los formatos en los que ofrecen información, desconocimiento de las características propias de cada discapacidad, ya que presuponen que siempre las mujeres con discapacidad acudirán con una persona acompañante. Los centros públicos deben garantizar la existencia de al menos una consulta ginecológica accesible y la disponibilidad real de transporte público accesible a dichos dispositivos. Asimismo, han de existir diversas modalidades de acceso tecnológico, dispositivo telefónico para personas sordas, internet, soportes auditivos y/o visuales, etc. </w:t>
      </w:r>
    </w:p>
    <w:p w14:paraId="77499B48" w14:textId="77777777" w:rsidR="00B10868" w:rsidRDefault="00B10868" w:rsidP="00B10868">
      <w:pPr>
        <w:spacing w:before="0" w:after="0"/>
        <w:rPr>
          <w:sz w:val="24"/>
          <w:szCs w:val="24"/>
        </w:rPr>
      </w:pPr>
    </w:p>
    <w:p w14:paraId="497E5851" w14:textId="27430524" w:rsidR="0034568E" w:rsidRDefault="0034568E" w:rsidP="00B10868">
      <w:pPr>
        <w:spacing w:before="0" w:after="0"/>
        <w:rPr>
          <w:sz w:val="24"/>
          <w:szCs w:val="24"/>
        </w:rPr>
      </w:pPr>
      <w:r>
        <w:rPr>
          <w:sz w:val="24"/>
          <w:szCs w:val="24"/>
        </w:rPr>
        <w:t>Por todo ello nos preocupa que aun siga sin cumplirse la accesibilidad universal en los centros sanitarios no habiendo sido eliminadas las barreras arquitectónicas, las barreras cognitivas (entornos comprensibles) y las de comunicación (por ejemplo, con información en lectura fácil).</w:t>
      </w:r>
    </w:p>
    <w:p w14:paraId="5128FDDC" w14:textId="77777777" w:rsidR="00B10868" w:rsidRDefault="00B10868" w:rsidP="00B10868">
      <w:pPr>
        <w:spacing w:before="0" w:after="0"/>
        <w:rPr>
          <w:sz w:val="24"/>
          <w:szCs w:val="24"/>
        </w:rPr>
      </w:pPr>
    </w:p>
    <w:p w14:paraId="0F0F0A53" w14:textId="24F7AC47" w:rsidR="0034568E" w:rsidRDefault="0034568E" w:rsidP="00B10868">
      <w:pPr>
        <w:spacing w:before="0" w:after="0"/>
        <w:rPr>
          <w:sz w:val="24"/>
          <w:szCs w:val="24"/>
        </w:rPr>
      </w:pPr>
      <w:r>
        <w:rPr>
          <w:sz w:val="24"/>
          <w:szCs w:val="24"/>
        </w:rPr>
        <w:t xml:space="preserve">En lo que respecta a la salud sexual y reproductiva, la negación del derecho a acceder a servicios seguros y legales de interrupción del embarazo es considerado una violación del derecho a la salud sexual y reproductiva de las mujeres. En este sentido, hay que recordar que el derecho a </w:t>
      </w:r>
      <w:r>
        <w:rPr>
          <w:sz w:val="24"/>
          <w:szCs w:val="24"/>
        </w:rPr>
        <w:lastRenderedPageBreak/>
        <w:t xml:space="preserve">contar con servicios integrales de salud sexual y reproductiva, incluyendo la interrupción del embarazo, encuentra su fundamentación en los tratados internacionales de derechos humanos y contraviene por tanto la CDPD de la que España es parte. </w:t>
      </w:r>
    </w:p>
    <w:p w14:paraId="4C98F4B0" w14:textId="77777777" w:rsidR="00B10868" w:rsidRDefault="00B10868" w:rsidP="00B10868">
      <w:pPr>
        <w:spacing w:before="0" w:after="0"/>
        <w:rPr>
          <w:sz w:val="24"/>
          <w:szCs w:val="24"/>
        </w:rPr>
      </w:pPr>
    </w:p>
    <w:p w14:paraId="4F0BBF09" w14:textId="4794FAF5" w:rsidR="0034568E" w:rsidRDefault="0034568E" w:rsidP="00B10868">
      <w:pPr>
        <w:spacing w:before="0" w:after="0"/>
        <w:rPr>
          <w:sz w:val="24"/>
          <w:szCs w:val="24"/>
        </w:rPr>
      </w:pPr>
      <w:r>
        <w:rPr>
          <w:sz w:val="24"/>
          <w:szCs w:val="24"/>
        </w:rPr>
        <w:t xml:space="preserve">Otra violencia estructural que afecta gravemente a la salud de las mujeres, y muy especialmente a las mujeres con discapacidad, es la negación para acceder a métodos anticonceptivos, incluyendo a aquellos de emergencia. </w:t>
      </w:r>
    </w:p>
    <w:p w14:paraId="396C72E1" w14:textId="77777777" w:rsidR="00B10868" w:rsidRDefault="00B10868" w:rsidP="00B10868">
      <w:pPr>
        <w:spacing w:before="0" w:after="0"/>
        <w:rPr>
          <w:sz w:val="24"/>
          <w:szCs w:val="24"/>
        </w:rPr>
      </w:pPr>
    </w:p>
    <w:p w14:paraId="10AC8E8B" w14:textId="2C07FEED" w:rsidR="0034568E" w:rsidRDefault="0034568E" w:rsidP="001149DC">
      <w:pPr>
        <w:spacing w:before="0" w:after="0"/>
        <w:rPr>
          <w:sz w:val="24"/>
          <w:szCs w:val="24"/>
        </w:rPr>
      </w:pPr>
      <w:r>
        <w:rPr>
          <w:sz w:val="24"/>
          <w:szCs w:val="24"/>
        </w:rPr>
        <w:t>Asimismo, en todo el entramado de la salud sexual y reproductiva, el elemento de la accesibilidad resulta fundamental a todos los tipos de discapacidad, ya sea física, sensorial, intelectual y del desarrollo o psicosocial. En concreto, los servicios destinados a la atención ginecológica y obstétrica en los que lo más frecuente es encontrarse con camillas no hidráulicas que dificultan o imposibilitan la exploración de mujeres con discapacidad física, lo que puede originar además un grave riesgo para el feto.</w:t>
      </w:r>
    </w:p>
    <w:p w14:paraId="49CBA1B0" w14:textId="77777777" w:rsidR="001149DC" w:rsidRDefault="001149DC" w:rsidP="001149DC">
      <w:pPr>
        <w:spacing w:before="0" w:after="0"/>
        <w:rPr>
          <w:sz w:val="24"/>
          <w:szCs w:val="24"/>
        </w:rPr>
      </w:pPr>
    </w:p>
    <w:p w14:paraId="46E52EE8" w14:textId="1B43B018" w:rsidR="0034568E" w:rsidRDefault="0034568E" w:rsidP="001149DC">
      <w:pPr>
        <w:spacing w:before="0" w:after="0"/>
        <w:rPr>
          <w:sz w:val="24"/>
          <w:szCs w:val="24"/>
        </w:rPr>
      </w:pPr>
      <w:r>
        <w:rPr>
          <w:sz w:val="24"/>
          <w:szCs w:val="24"/>
        </w:rPr>
        <w:t>La violencia obstétrica es, asimismo, otra forma concreta de violencia que atenta contra los derechos de las mujeres. Estas violaciones a los derechos humanos pueden rastrearse en la práctica médica pública y privada durante la atención al embarazo, parto y post-parto. Esto exige que los servicios de salud de atención perinatal derriben las barreras físicas y actitudinales a la hora de atender a una mujer con discapacidad embarazada. En este sentido, resulta fundamental el desarrollo y puesto en marcha de planes de parto y nacimiento que permitan a las mujeres embarazadas expresar sus preferencias, deseos y expectativas sobre el proceso de parto y nacimiento. Asimismo, hay que tener presente esta misma problemática cuando afecta a las mujeres con discapacidad psicosocial. Estas mujeres han de enfrentarse, además de al estigma que las invalida de antemano como madres, a la interrupción de sus tratamientos durante el proceso de embarazo sin soporte adecuado alguno. Esta realidad se suma a la falta de prevención en materia de salud mental materna (depresión post parto y duelo por la muerte gestacional, perinatal o neonatal)</w:t>
      </w:r>
      <w:r w:rsidR="001149DC">
        <w:rPr>
          <w:sz w:val="24"/>
          <w:szCs w:val="24"/>
        </w:rPr>
        <w:t>.</w:t>
      </w:r>
    </w:p>
    <w:p w14:paraId="0EC750A7" w14:textId="77777777" w:rsidR="001149DC" w:rsidRDefault="001149DC" w:rsidP="001149DC">
      <w:pPr>
        <w:spacing w:before="0" w:after="0"/>
        <w:rPr>
          <w:sz w:val="24"/>
          <w:szCs w:val="24"/>
        </w:rPr>
      </w:pPr>
    </w:p>
    <w:p w14:paraId="61454DE6" w14:textId="26D7DE66" w:rsidR="0034568E" w:rsidRDefault="0034568E" w:rsidP="001149DC">
      <w:pPr>
        <w:spacing w:before="0" w:after="0"/>
        <w:rPr>
          <w:sz w:val="24"/>
          <w:szCs w:val="24"/>
        </w:rPr>
      </w:pPr>
      <w:r>
        <w:rPr>
          <w:sz w:val="24"/>
          <w:szCs w:val="24"/>
        </w:rPr>
        <w:t>Es importante destacar que la perspectiva de género continúa siendo una asignatura pendiente en el ámbito de la salud mental. Las carencias de España en la prevención y atención de la salud mental se muestran en toda su crudeza en los que a la salud mental materna se refiere. Los recursos son muy escasos y como explica Ibone Olza (</w:t>
      </w:r>
      <w:r w:rsidRPr="00D03CDA">
        <w:rPr>
          <w:sz w:val="24"/>
          <w:szCs w:val="24"/>
        </w:rPr>
        <w:t>Psiquiatra infantil y perinatal)</w:t>
      </w:r>
      <w:r w:rsidRPr="00D03CDA">
        <w:rPr>
          <w:i/>
          <w:iCs/>
          <w:sz w:val="24"/>
          <w:szCs w:val="24"/>
        </w:rPr>
        <w:t>: “Apenas hay profesionales de la psicología en los equipos obstétricos o de neonatología. Es una carencia tremenda y dramática. Las familias a veces transitan situaciones durísimas, como la muerte gestacional (muerte del bebé en el útero o en el parto), sin apenas atención o apoyo psicológico</w:t>
      </w:r>
      <w:r w:rsidRPr="00D03CDA">
        <w:rPr>
          <w:sz w:val="24"/>
          <w:szCs w:val="24"/>
        </w:rPr>
        <w:t>”</w:t>
      </w:r>
      <w:r w:rsidR="00D03CDA" w:rsidRPr="00D03CDA">
        <w:rPr>
          <w:sz w:val="24"/>
          <w:szCs w:val="24"/>
        </w:rPr>
        <w:t xml:space="preserve"> </w:t>
      </w:r>
      <w:r w:rsidR="00D03CDA" w:rsidRPr="00D03CDA">
        <w:rPr>
          <w:rStyle w:val="FootnoteReference"/>
          <w:sz w:val="24"/>
          <w:szCs w:val="24"/>
        </w:rPr>
        <w:footnoteReference w:id="13"/>
      </w:r>
      <w:r w:rsidRPr="00D03CDA">
        <w:rPr>
          <w:sz w:val="24"/>
          <w:szCs w:val="24"/>
        </w:rPr>
        <w:t>.</w:t>
      </w:r>
    </w:p>
    <w:p w14:paraId="78A1C103" w14:textId="77777777" w:rsidR="007F637F" w:rsidRDefault="007F637F" w:rsidP="007F637F">
      <w:pPr>
        <w:spacing w:before="0" w:after="0"/>
        <w:rPr>
          <w:sz w:val="24"/>
          <w:szCs w:val="24"/>
        </w:rPr>
      </w:pPr>
    </w:p>
    <w:p w14:paraId="3ACA65AB" w14:textId="22A49EF9" w:rsidR="0034568E" w:rsidRDefault="0034568E" w:rsidP="007F637F">
      <w:pPr>
        <w:spacing w:before="0" w:after="0"/>
        <w:rPr>
          <w:sz w:val="24"/>
          <w:szCs w:val="24"/>
        </w:rPr>
      </w:pPr>
      <w:r>
        <w:rPr>
          <w:sz w:val="24"/>
          <w:szCs w:val="24"/>
        </w:rPr>
        <w:lastRenderedPageBreak/>
        <w:t>Esta carencia también afecta a los y las profesionales, que a menudo tienen que atender situaciones muy complejas de gestantes con trastornos mentales sin recursos especializados. No tenemos apenas unidades ni programas de psiquiatría perinatal ni existen las llamadas Unidades Madre-bebé donde ingresar de forma conjunta a las madres que requieren un ingreso psiquiátrico en el posparto, a diferencia de lo que ocurre en otros países europeos. Es urgente que se incorporen profesionales de la psicología perinatal a los equipos de atención al embarazo y posparto, así como a los servicios de neonatología.</w:t>
      </w:r>
    </w:p>
    <w:p w14:paraId="207368BC" w14:textId="77777777" w:rsidR="007F637F" w:rsidRDefault="007F637F" w:rsidP="007F637F">
      <w:pPr>
        <w:spacing w:before="0" w:after="0"/>
        <w:rPr>
          <w:sz w:val="24"/>
          <w:szCs w:val="24"/>
        </w:rPr>
      </w:pPr>
    </w:p>
    <w:p w14:paraId="6BF7E66D" w14:textId="77777777" w:rsidR="001D4E82" w:rsidRDefault="0034568E" w:rsidP="001D4E82">
      <w:pPr>
        <w:spacing w:before="0" w:after="0"/>
        <w:rPr>
          <w:sz w:val="24"/>
          <w:szCs w:val="24"/>
        </w:rPr>
      </w:pPr>
      <w:r>
        <w:rPr>
          <w:sz w:val="24"/>
          <w:szCs w:val="24"/>
        </w:rPr>
        <w:t>Por último, se hace necesario que el personal socio-sanitario cuente con una formación específica para proporcionar una mejor atención a las mujeres con discapacidad. Ya que la imagen social que las y los profesionales de la salud tienen de una mujer con discapacidad puede ser estereotipada y caer en errores, como dudar de nuestra capacidad para entender el problema que tenemos o tomar una decisión sobre el mismo, medicarnos en exceso, etc. A veces esas ideas preconcebidas llegan hasta el punto de que se da por hecho que una mujer con discapacidad no consume tabaco, alcohol, psicofár</w:t>
      </w:r>
      <w:r w:rsidR="001D4E82">
        <w:rPr>
          <w:sz w:val="24"/>
          <w:szCs w:val="24"/>
        </w:rPr>
        <w:t xml:space="preserve">macos u otras drogas. </w:t>
      </w:r>
    </w:p>
    <w:p w14:paraId="46888302" w14:textId="77777777" w:rsidR="001D4E82" w:rsidRDefault="001D4E82" w:rsidP="001D4E82">
      <w:pPr>
        <w:spacing w:before="0" w:after="0"/>
        <w:rPr>
          <w:sz w:val="24"/>
          <w:szCs w:val="24"/>
        </w:rPr>
      </w:pPr>
    </w:p>
    <w:p w14:paraId="7F5BB83C" w14:textId="77777777" w:rsidR="001D4E82" w:rsidRDefault="001D4E82" w:rsidP="001D4E82">
      <w:pPr>
        <w:spacing w:before="0" w:after="0"/>
        <w:rPr>
          <w:sz w:val="24"/>
          <w:szCs w:val="24"/>
        </w:rPr>
      </w:pPr>
    </w:p>
    <w:p w14:paraId="2C1075D4" w14:textId="1B7F7C75" w:rsidR="00514CFB" w:rsidRDefault="00C84088" w:rsidP="001D4E82">
      <w:pPr>
        <w:spacing w:before="0" w:after="0"/>
        <w:rPr>
          <w:rFonts w:cs="Arial"/>
          <w:b/>
          <w:sz w:val="24"/>
          <w:szCs w:val="24"/>
        </w:rPr>
      </w:pPr>
      <w:r w:rsidRPr="001D4E82">
        <w:rPr>
          <w:rFonts w:cs="Arial"/>
          <w:b/>
          <w:sz w:val="24"/>
          <w:szCs w:val="24"/>
        </w:rPr>
        <w:t>Trabajo y empleo (artículo 27)</w:t>
      </w:r>
    </w:p>
    <w:p w14:paraId="04D650AD" w14:textId="77777777" w:rsidR="001149DC" w:rsidRPr="001D4E82" w:rsidRDefault="001149DC" w:rsidP="001D4E82">
      <w:pPr>
        <w:spacing w:before="0" w:after="0"/>
        <w:rPr>
          <w:b/>
          <w:sz w:val="24"/>
          <w:szCs w:val="24"/>
        </w:rPr>
      </w:pPr>
    </w:p>
    <w:p w14:paraId="0ABFBA2A" w14:textId="5F4D7513" w:rsidR="0079693C" w:rsidRDefault="0079693C" w:rsidP="001149DC">
      <w:pPr>
        <w:spacing w:before="0" w:after="0"/>
        <w:rPr>
          <w:rFonts w:eastAsia="Calibri" w:cs="Arial"/>
          <w:b/>
          <w:sz w:val="24"/>
          <w:szCs w:val="24"/>
          <w:lang w:bidi="ar-DZ"/>
        </w:rPr>
      </w:pPr>
      <w:r w:rsidRPr="00B75B2E">
        <w:rPr>
          <w:rFonts w:eastAsia="Calibri" w:cs="Arial"/>
          <w:b/>
          <w:sz w:val="24"/>
          <w:szCs w:val="24"/>
          <w:lang w:bidi="ar-DZ"/>
        </w:rPr>
        <w:t xml:space="preserve">C25. </w:t>
      </w:r>
      <w:r w:rsidR="0051398F">
        <w:rPr>
          <w:rFonts w:eastAsia="Calibri" w:cs="Arial"/>
          <w:b/>
          <w:sz w:val="24"/>
          <w:szCs w:val="24"/>
          <w:lang w:bidi="ar-DZ"/>
        </w:rPr>
        <w:t>“</w:t>
      </w:r>
      <w:r w:rsidRPr="00B75B2E">
        <w:rPr>
          <w:rFonts w:eastAsia="Calibri" w:cs="Arial"/>
          <w:b/>
          <w:sz w:val="24"/>
          <w:szCs w:val="24"/>
          <w:lang w:bidi="ar-DZ"/>
        </w:rPr>
        <w:t>Sírvanse informar sobre las medidas legislativas y otras para promover el aumento de las tasas de actividad y empleo de las personas con discapacidad y la existencia de programas para aumentar las oportunidades de empleo de las mujeres y hombres con discapacidad en el mercado laboral abierto, en empresas del sector productivo.</w:t>
      </w:r>
      <w:r w:rsidR="0051398F">
        <w:rPr>
          <w:rFonts w:eastAsia="Calibri" w:cs="Arial"/>
          <w:b/>
          <w:sz w:val="24"/>
          <w:szCs w:val="24"/>
          <w:lang w:bidi="ar-DZ"/>
        </w:rPr>
        <w:t>”</w:t>
      </w:r>
      <w:r w:rsidRPr="00B75B2E">
        <w:rPr>
          <w:rFonts w:eastAsia="Calibri" w:cs="Arial"/>
          <w:b/>
          <w:sz w:val="24"/>
          <w:szCs w:val="24"/>
          <w:lang w:bidi="ar-DZ"/>
        </w:rPr>
        <w:t xml:space="preserve"> </w:t>
      </w:r>
    </w:p>
    <w:p w14:paraId="39913235" w14:textId="77777777" w:rsidR="001149DC" w:rsidRPr="00B75B2E" w:rsidRDefault="001149DC" w:rsidP="001149DC">
      <w:pPr>
        <w:spacing w:before="0" w:after="0"/>
        <w:rPr>
          <w:rFonts w:eastAsia="Calibri" w:cs="Arial"/>
          <w:b/>
          <w:sz w:val="24"/>
          <w:szCs w:val="24"/>
          <w:lang w:bidi="ar-DZ"/>
        </w:rPr>
      </w:pPr>
    </w:p>
    <w:p w14:paraId="44F40D96" w14:textId="11E44C12" w:rsidR="00966C88" w:rsidRDefault="00966C88" w:rsidP="00966C88">
      <w:pPr>
        <w:spacing w:before="0" w:after="0"/>
        <w:rPr>
          <w:sz w:val="24"/>
          <w:szCs w:val="24"/>
        </w:rPr>
      </w:pPr>
      <w:r>
        <w:rPr>
          <w:sz w:val="24"/>
          <w:szCs w:val="24"/>
        </w:rPr>
        <w:t>De las políticas descritas en el Informe del Gobierno de España llama la atención que estas políticas de empleo deberían incluir la perspectiva de género puesto que los índices de actividad, empleo y desempleo son ligeramente peores en las mujeres que en los hombres con discapacidad y sensiblemente peores las condiciones laborales. Se calcula que aun siendo las mujeres con discapacidad más del 42% de este colectivo, no se benefician por igual de las medidas de fomento de empleo-bonificaciones/reducciones de cuota de seguridad social (solo el 36,7% de las personas beneficiadas son mujeres).</w:t>
      </w:r>
    </w:p>
    <w:p w14:paraId="7E4717F7" w14:textId="77777777" w:rsidR="00966C88" w:rsidRDefault="00966C88" w:rsidP="00966C88">
      <w:pPr>
        <w:spacing w:before="0" w:after="0"/>
        <w:rPr>
          <w:sz w:val="24"/>
          <w:szCs w:val="24"/>
        </w:rPr>
      </w:pPr>
    </w:p>
    <w:p w14:paraId="61BA0A7B" w14:textId="784CF312" w:rsidR="00966C88" w:rsidRDefault="00966C88" w:rsidP="00966C88">
      <w:pPr>
        <w:spacing w:before="0" w:after="0"/>
        <w:rPr>
          <w:sz w:val="24"/>
          <w:szCs w:val="24"/>
        </w:rPr>
      </w:pPr>
      <w:r>
        <w:rPr>
          <w:sz w:val="24"/>
          <w:szCs w:val="24"/>
        </w:rPr>
        <w:t>Nos preocupa que según los datos recogidos en el Informe 2 (ODISMET, 2017)</w:t>
      </w:r>
      <w:r w:rsidR="00AC52BF">
        <w:rPr>
          <w:rStyle w:val="FootnoteReference"/>
          <w:sz w:val="24"/>
          <w:szCs w:val="24"/>
        </w:rPr>
        <w:footnoteReference w:id="14"/>
      </w:r>
      <w:r>
        <w:rPr>
          <w:sz w:val="24"/>
          <w:szCs w:val="24"/>
        </w:rPr>
        <w:t xml:space="preserve"> se sigue evidenciado que:</w:t>
      </w:r>
    </w:p>
    <w:p w14:paraId="2105FA3B" w14:textId="77777777" w:rsidR="00966C88" w:rsidRDefault="00966C88" w:rsidP="00966C88">
      <w:pPr>
        <w:spacing w:before="0" w:after="0"/>
        <w:rPr>
          <w:sz w:val="24"/>
          <w:szCs w:val="24"/>
        </w:rPr>
      </w:pPr>
    </w:p>
    <w:p w14:paraId="39310C77" w14:textId="657F4260" w:rsidR="00966C88" w:rsidRDefault="00966C88" w:rsidP="001149DC">
      <w:pPr>
        <w:pStyle w:val="ListParagraph"/>
        <w:numPr>
          <w:ilvl w:val="0"/>
          <w:numId w:val="34"/>
        </w:numPr>
        <w:spacing w:before="0" w:after="0" w:line="252" w:lineRule="auto"/>
        <w:contextualSpacing w:val="0"/>
        <w:rPr>
          <w:sz w:val="24"/>
          <w:szCs w:val="24"/>
        </w:rPr>
      </w:pPr>
      <w:r>
        <w:rPr>
          <w:sz w:val="24"/>
          <w:szCs w:val="24"/>
        </w:rPr>
        <w:t xml:space="preserve">En términos generales, las personas con discapacidad tienen una baja participación en el mercado de trabajo, con una tasa de actividad del 33,9%, 44 puntos porcentuales inferior </w:t>
      </w:r>
      <w:r>
        <w:rPr>
          <w:sz w:val="24"/>
          <w:szCs w:val="24"/>
        </w:rPr>
        <w:lastRenderedPageBreak/>
        <w:t xml:space="preserve">a la de la población sin discapacidad (78,1%). </w:t>
      </w:r>
      <w:r w:rsidR="00323A58">
        <w:rPr>
          <w:sz w:val="24"/>
          <w:szCs w:val="24"/>
        </w:rPr>
        <w:t>La tasa de inactividad de las mujeres con discapacidad asciende al 64,8 % según el Instituto Nacional de Estadística.</w:t>
      </w:r>
      <w:r w:rsidR="00323A58">
        <w:rPr>
          <w:rStyle w:val="FootnoteReference"/>
          <w:sz w:val="24"/>
          <w:szCs w:val="24"/>
        </w:rPr>
        <w:footnoteReference w:id="15"/>
      </w:r>
      <w:r w:rsidR="00323A58">
        <w:rPr>
          <w:sz w:val="24"/>
          <w:szCs w:val="24"/>
        </w:rPr>
        <w:t xml:space="preserve"> </w:t>
      </w:r>
      <w:r>
        <w:rPr>
          <w:sz w:val="24"/>
          <w:szCs w:val="24"/>
        </w:rPr>
        <w:t xml:space="preserve">La tasa de actividad de las mujeres con discapacidad (33,1%) resulta inferior frente a la masculina (34,4%) y a la de las mujeres sin discapacidad. </w:t>
      </w:r>
    </w:p>
    <w:p w14:paraId="5E22556F" w14:textId="77777777" w:rsidR="001149DC" w:rsidRDefault="001149DC" w:rsidP="001149DC">
      <w:pPr>
        <w:pStyle w:val="ListParagraph"/>
        <w:spacing w:before="0" w:after="0" w:line="252" w:lineRule="auto"/>
        <w:contextualSpacing w:val="0"/>
        <w:rPr>
          <w:sz w:val="24"/>
          <w:szCs w:val="24"/>
        </w:rPr>
      </w:pPr>
    </w:p>
    <w:p w14:paraId="29B80DC5" w14:textId="0200B915" w:rsidR="00966C88" w:rsidRDefault="00966C88" w:rsidP="001149DC">
      <w:pPr>
        <w:pStyle w:val="ListParagraph"/>
        <w:numPr>
          <w:ilvl w:val="0"/>
          <w:numId w:val="34"/>
        </w:numPr>
        <w:spacing w:before="0" w:after="0" w:line="252" w:lineRule="auto"/>
        <w:contextualSpacing w:val="0"/>
        <w:rPr>
          <w:sz w:val="24"/>
          <w:szCs w:val="24"/>
        </w:rPr>
      </w:pPr>
      <w:r>
        <w:rPr>
          <w:sz w:val="24"/>
          <w:szCs w:val="24"/>
        </w:rPr>
        <w:t>La tasa de paro de las mujeres con discapacidad (31,1%) es algo superior a la de los hombres con discapacidad (30,9%). La diferencia entre ambos sexos es también inferior que la que encontramos entre las personas sin discapacidad (21,9%), en gran parte explicada por la considerablemente menor tasa de actividad de este grupo. La situación de paro de larga duración es más frecuente en las mujeres (53,34% del total) y en las personas mayores de 45 años (57,08%).</w:t>
      </w:r>
    </w:p>
    <w:p w14:paraId="66B2B9C6" w14:textId="77777777" w:rsidR="001149DC" w:rsidRPr="001149DC" w:rsidRDefault="001149DC" w:rsidP="001149DC">
      <w:pPr>
        <w:pStyle w:val="ListParagraph"/>
        <w:rPr>
          <w:sz w:val="24"/>
          <w:szCs w:val="24"/>
        </w:rPr>
      </w:pPr>
    </w:p>
    <w:p w14:paraId="14F4FE8F" w14:textId="34DB8E24" w:rsidR="00966C88" w:rsidRDefault="00966C88" w:rsidP="001149DC">
      <w:pPr>
        <w:pStyle w:val="ListParagraph"/>
        <w:numPr>
          <w:ilvl w:val="0"/>
          <w:numId w:val="34"/>
        </w:numPr>
        <w:spacing w:before="0" w:after="0" w:line="252" w:lineRule="auto"/>
        <w:contextualSpacing w:val="0"/>
        <w:rPr>
          <w:sz w:val="24"/>
          <w:szCs w:val="24"/>
        </w:rPr>
      </w:pPr>
      <w:r>
        <w:rPr>
          <w:sz w:val="24"/>
          <w:szCs w:val="24"/>
        </w:rPr>
        <w:t>En consonancia con este panorama, las cifras de empleo de las mujeres con discapacidad (22,8%) son muy bajas, inferiores a las de sus compañeros (23,8%) y menos de la mitad que las de las mujeres sin discapacidad (53,8%).</w:t>
      </w:r>
    </w:p>
    <w:p w14:paraId="3EE280A0" w14:textId="77777777" w:rsidR="001149DC" w:rsidRPr="001149DC" w:rsidRDefault="001149DC" w:rsidP="001149DC">
      <w:pPr>
        <w:pStyle w:val="ListParagraph"/>
        <w:rPr>
          <w:sz w:val="24"/>
          <w:szCs w:val="24"/>
        </w:rPr>
      </w:pPr>
    </w:p>
    <w:p w14:paraId="15D66C13" w14:textId="78DCA987" w:rsidR="00966C88" w:rsidRDefault="00966C88" w:rsidP="001149DC">
      <w:pPr>
        <w:pStyle w:val="ListParagraph"/>
        <w:numPr>
          <w:ilvl w:val="0"/>
          <w:numId w:val="34"/>
        </w:numPr>
        <w:spacing w:before="0" w:after="0" w:line="252" w:lineRule="auto"/>
        <w:contextualSpacing w:val="0"/>
        <w:rPr>
          <w:sz w:val="24"/>
          <w:szCs w:val="24"/>
        </w:rPr>
      </w:pPr>
      <w:r>
        <w:rPr>
          <w:sz w:val="24"/>
          <w:szCs w:val="24"/>
        </w:rPr>
        <w:t>La contratación a hombres, supera en más de 20 puntos a las mujeres (60,96% frente a 39,04%). La precariedad laboral afecta en mayor medida a las personas con discapacidad: más del 90% tiene contratos temporales. En el caso de las mujeres con discapacidad esta circunstancia tiene mayor incidencia, y en 2015 apenas el 8% de las ocupadas tenía contrato indefinido.</w:t>
      </w:r>
    </w:p>
    <w:p w14:paraId="3C032A96" w14:textId="77777777" w:rsidR="001149DC" w:rsidRPr="001149DC" w:rsidRDefault="001149DC" w:rsidP="001149DC">
      <w:pPr>
        <w:pStyle w:val="ListParagraph"/>
        <w:rPr>
          <w:sz w:val="24"/>
          <w:szCs w:val="24"/>
        </w:rPr>
      </w:pPr>
    </w:p>
    <w:p w14:paraId="5DFCCA40" w14:textId="0C7AD76F" w:rsidR="00966C88" w:rsidRDefault="00966C88" w:rsidP="001149DC">
      <w:pPr>
        <w:pStyle w:val="ListParagraph"/>
        <w:numPr>
          <w:ilvl w:val="0"/>
          <w:numId w:val="34"/>
        </w:numPr>
        <w:spacing w:before="0" w:after="0" w:line="252" w:lineRule="auto"/>
        <w:contextualSpacing w:val="0"/>
        <w:rPr>
          <w:sz w:val="24"/>
          <w:szCs w:val="24"/>
        </w:rPr>
      </w:pPr>
      <w:r>
        <w:rPr>
          <w:sz w:val="24"/>
          <w:szCs w:val="24"/>
        </w:rPr>
        <w:t xml:space="preserve">En cuanto a la segregación ocupacional horizontal, es un fenómeno presente y que adquiere mucha mayor gravedad -y además con una evolución negativa- en el empleo de las personas con discapacidad. Los datos recientes muestran que el sector primario es el más dinámico en la contratación del colectivo en los últimos diez años, pero con una gran diferencia a favor de los hombres, que representan más del 80% de las personas contratadas y con un incremento mucho mayor que las mujeres. El industrial también presenta un incremento en la contratación, pero igualmente con mayor incidencia en los hombres (que ya suponen más del 76% de las personas con discapacidad contratadas en este sector). La representación de las mujeres con discapacidad en el sector de la construcción es muy pequeña (algo más del 11%) y, al igual que la de los hombres, presenta tasas de variación negativa. Acorde con las dinámicas de segregación horizontal, el sector Servicios es el único en el que la presencia de las mujeres, si bien inferior, está más equilibrada respecto a la de los hombres (ellas representan el 43% de las personas con discapacidad en el sector). </w:t>
      </w:r>
    </w:p>
    <w:p w14:paraId="5FA763B0" w14:textId="77777777" w:rsidR="001149DC" w:rsidRDefault="001149DC" w:rsidP="001149DC">
      <w:pPr>
        <w:pStyle w:val="ListParagraph"/>
        <w:spacing w:before="0" w:after="0" w:line="252" w:lineRule="auto"/>
        <w:contextualSpacing w:val="0"/>
        <w:rPr>
          <w:sz w:val="24"/>
          <w:szCs w:val="24"/>
        </w:rPr>
      </w:pPr>
    </w:p>
    <w:p w14:paraId="45E7DFAD" w14:textId="0116F26C" w:rsidR="00966C88" w:rsidRDefault="00966C88" w:rsidP="001149DC">
      <w:pPr>
        <w:pStyle w:val="ListParagraph"/>
        <w:numPr>
          <w:ilvl w:val="0"/>
          <w:numId w:val="34"/>
        </w:numPr>
        <w:spacing w:before="0" w:after="0" w:line="252" w:lineRule="auto"/>
        <w:contextualSpacing w:val="0"/>
        <w:rPr>
          <w:sz w:val="24"/>
          <w:szCs w:val="24"/>
        </w:rPr>
      </w:pPr>
      <w:r>
        <w:rPr>
          <w:sz w:val="24"/>
          <w:szCs w:val="24"/>
        </w:rPr>
        <w:t xml:space="preserve">La brecha salarial (salario de las personas con discapacidad respecto al salario bruto anual medio de la población en general) alcanza el 17,1% (ODISMET, 2017). La precariedad </w:t>
      </w:r>
      <w:r>
        <w:rPr>
          <w:sz w:val="24"/>
          <w:szCs w:val="24"/>
        </w:rPr>
        <w:lastRenderedPageBreak/>
        <w:t>salarial es evidente para la población con discapacidad. Una vez más, estos datos adquieren aún peores cifras en el caso de las mujeres, en las que confluye además la brecha salarial de género. Según los últimos datos del INE de 2014 (ODISMET, 2017), ellas perciben anualmente una media de 3.770,2 euros menos que los hombres con discapacidad, lo que supone una brecha del 18,4%.</w:t>
      </w:r>
    </w:p>
    <w:p w14:paraId="685EC91D" w14:textId="77777777" w:rsidR="001149DC" w:rsidRDefault="001149DC" w:rsidP="001149DC">
      <w:pPr>
        <w:pStyle w:val="ListParagraph"/>
        <w:spacing w:before="0" w:after="0" w:line="252" w:lineRule="auto"/>
        <w:contextualSpacing w:val="0"/>
        <w:rPr>
          <w:sz w:val="24"/>
          <w:szCs w:val="24"/>
        </w:rPr>
      </w:pPr>
    </w:p>
    <w:p w14:paraId="6B7CD54C" w14:textId="378443C8" w:rsidR="00966C88" w:rsidRDefault="00966C88" w:rsidP="00966C88">
      <w:pPr>
        <w:spacing w:before="0" w:after="0"/>
        <w:rPr>
          <w:sz w:val="24"/>
          <w:szCs w:val="24"/>
        </w:rPr>
      </w:pPr>
      <w:r>
        <w:rPr>
          <w:sz w:val="24"/>
          <w:szCs w:val="24"/>
        </w:rPr>
        <w:t>Sin embargo, pese a estas consideraciones estadísticas, las políticas de formación, orientación e intermediación laboral, así como la búsqueda activa de empleo no ha introducido del enfoque de género y, por tanto, no han servido para corregir la doble brecha salarial y de inclusión laboral.</w:t>
      </w:r>
    </w:p>
    <w:p w14:paraId="682920A7" w14:textId="77777777" w:rsidR="00966C88" w:rsidRDefault="00966C88" w:rsidP="00966C88">
      <w:pPr>
        <w:spacing w:before="0" w:after="0"/>
        <w:rPr>
          <w:sz w:val="24"/>
          <w:szCs w:val="24"/>
        </w:rPr>
      </w:pPr>
    </w:p>
    <w:p w14:paraId="2F0FC291" w14:textId="7EA80FFC" w:rsidR="00966C88" w:rsidRDefault="00966C88" w:rsidP="00966C88">
      <w:pPr>
        <w:spacing w:before="0" w:after="0"/>
        <w:rPr>
          <w:sz w:val="24"/>
          <w:szCs w:val="24"/>
        </w:rPr>
      </w:pPr>
      <w:r>
        <w:rPr>
          <w:sz w:val="24"/>
          <w:szCs w:val="24"/>
        </w:rPr>
        <w:t>Por todo ello la Fundación CERMI Mujeres, apunta que el principal reto a la luz de estos datos es la activación de las mujeres con discapacidad. Esa idea de lo “económicamente activo” no tiene en cuenta la dimensión económica del trabajo doméstico, a pesar de que supone una aportación determinante para el conjunto de la economía. Por otro lado, si este enfoque estuviese incluido en las estadísticas oficiales, resultaría nítido que la contribución real que hacen las mujeres, en general, y en particular las mujeres con discapacidad, es enorme. Un enfoque de estas características revelaría no solamente el valor de estas contribuciones sino también la ausencia clara del trabajo doméstico desarrollado por hombres en nuestra sociedad, señal inequívoca de que sigue consolidándose un modelo económico basado en la división sexual del trabajo.</w:t>
      </w:r>
    </w:p>
    <w:p w14:paraId="107A419E" w14:textId="77777777" w:rsidR="00966C88" w:rsidRDefault="00966C88" w:rsidP="00966C88">
      <w:pPr>
        <w:spacing w:before="0" w:after="0"/>
        <w:rPr>
          <w:sz w:val="24"/>
          <w:szCs w:val="24"/>
        </w:rPr>
      </w:pPr>
    </w:p>
    <w:p w14:paraId="3711A549" w14:textId="77777777" w:rsidR="001D4E82" w:rsidRDefault="00966C88" w:rsidP="001D4E82">
      <w:pPr>
        <w:spacing w:before="0" w:after="0"/>
        <w:rPr>
          <w:sz w:val="24"/>
          <w:szCs w:val="24"/>
        </w:rPr>
      </w:pPr>
      <w:r>
        <w:rPr>
          <w:sz w:val="24"/>
          <w:szCs w:val="24"/>
        </w:rPr>
        <w:t xml:space="preserve">La confluencia de factores tales como la falta de una formación profesional competitiva, la brecha digital de género, la alta tasa de inactividad laboral, la falta de acceso al mercado de trabajo, el desarrollo de actividades no mercantilizadas, las diferencias de sueldo existentes entre hombres y mujeres, los obstáculos creados por la ausencia de conciliación de la vida familiar y laboral, la mayor esperanza de vida de las mujeres y, en general, las distintas formas de discriminación por razón de género y discapacidad, determinan que las mujeres con discapacidad integren uno de los grupos </w:t>
      </w:r>
      <w:r w:rsidR="001D4E82">
        <w:rPr>
          <w:sz w:val="24"/>
          <w:szCs w:val="24"/>
        </w:rPr>
        <w:t>sociales más pobres y excluidos.</w:t>
      </w:r>
    </w:p>
    <w:p w14:paraId="1615BE26" w14:textId="77777777" w:rsidR="001D4E82" w:rsidRDefault="001D4E82" w:rsidP="001D4E82">
      <w:pPr>
        <w:spacing w:before="0" w:after="0"/>
        <w:rPr>
          <w:sz w:val="24"/>
          <w:szCs w:val="24"/>
        </w:rPr>
      </w:pPr>
    </w:p>
    <w:p w14:paraId="04F43D3F" w14:textId="77777777" w:rsidR="001D4E82" w:rsidRDefault="001D4E82" w:rsidP="001D4E82">
      <w:pPr>
        <w:spacing w:before="0" w:after="0"/>
        <w:rPr>
          <w:sz w:val="24"/>
          <w:szCs w:val="24"/>
        </w:rPr>
      </w:pPr>
    </w:p>
    <w:p w14:paraId="3E3E6702" w14:textId="4018B5A4" w:rsidR="00C84088" w:rsidRDefault="00762868" w:rsidP="001D4E82">
      <w:pPr>
        <w:spacing w:before="0" w:after="0"/>
        <w:rPr>
          <w:b/>
          <w:sz w:val="24"/>
          <w:szCs w:val="24"/>
        </w:rPr>
      </w:pPr>
      <w:r w:rsidRPr="00BC4F05">
        <w:rPr>
          <w:b/>
          <w:sz w:val="24"/>
          <w:szCs w:val="24"/>
        </w:rPr>
        <w:t xml:space="preserve">Nivel de vida adecuado y protección social </w:t>
      </w:r>
      <w:r w:rsidR="00ED54F0" w:rsidRPr="00BC4F05">
        <w:rPr>
          <w:b/>
          <w:sz w:val="24"/>
          <w:szCs w:val="24"/>
        </w:rPr>
        <w:t>(a</w:t>
      </w:r>
      <w:r w:rsidRPr="00BC4F05">
        <w:rPr>
          <w:b/>
          <w:sz w:val="24"/>
          <w:szCs w:val="24"/>
        </w:rPr>
        <w:t>rtículo 28)</w:t>
      </w:r>
    </w:p>
    <w:p w14:paraId="0EFD1851" w14:textId="77777777" w:rsidR="001149DC" w:rsidRPr="00BC4F05" w:rsidRDefault="001149DC" w:rsidP="001D4E82">
      <w:pPr>
        <w:spacing w:before="0" w:after="0"/>
        <w:rPr>
          <w:b/>
          <w:sz w:val="24"/>
          <w:szCs w:val="24"/>
        </w:rPr>
      </w:pPr>
    </w:p>
    <w:p w14:paraId="05BBFD28" w14:textId="06F84487" w:rsidR="00A54DB0" w:rsidRDefault="00A54DB0" w:rsidP="001149DC">
      <w:pPr>
        <w:spacing w:before="0" w:after="0"/>
        <w:rPr>
          <w:rFonts w:eastAsia="Calibri" w:cs="Arial"/>
          <w:b/>
          <w:sz w:val="24"/>
          <w:szCs w:val="24"/>
          <w:lang w:bidi="ar-DZ"/>
        </w:rPr>
      </w:pPr>
      <w:r w:rsidRPr="00B75B2E">
        <w:rPr>
          <w:rFonts w:eastAsia="Calibri" w:cs="Arial"/>
          <w:b/>
          <w:sz w:val="24"/>
          <w:szCs w:val="24"/>
          <w:lang w:bidi="ar-DZ"/>
        </w:rPr>
        <w:t xml:space="preserve">C26. </w:t>
      </w:r>
      <w:r w:rsidR="0051398F">
        <w:rPr>
          <w:rFonts w:eastAsia="Calibri" w:cs="Arial"/>
          <w:b/>
          <w:sz w:val="24"/>
          <w:szCs w:val="24"/>
          <w:lang w:bidi="ar-DZ"/>
        </w:rPr>
        <w:t>“</w:t>
      </w:r>
      <w:r w:rsidRPr="00B75B2E">
        <w:rPr>
          <w:rFonts w:eastAsia="Calibri" w:cs="Arial"/>
          <w:b/>
          <w:sz w:val="24"/>
          <w:szCs w:val="24"/>
          <w:lang w:bidi="ar-DZ"/>
        </w:rPr>
        <w:t>Informen sobre las iniciativas para asegurar que las medidas de austeridad ante las crisis financieras no impacten adversa y desproporcionadamente los derechos de las personas con discapacidad para acceder a medidas de protección social generales y específicas a la discapacidad y evitar que se encuentren en situación de exclusión y pobreza.</w:t>
      </w:r>
      <w:r w:rsidR="0051398F">
        <w:rPr>
          <w:rFonts w:eastAsia="Calibri" w:cs="Arial"/>
          <w:b/>
          <w:sz w:val="24"/>
          <w:szCs w:val="24"/>
          <w:lang w:bidi="ar-DZ"/>
        </w:rPr>
        <w:t>”</w:t>
      </w:r>
    </w:p>
    <w:p w14:paraId="7D699FD1" w14:textId="77777777" w:rsidR="001149DC" w:rsidRPr="00B75B2E" w:rsidRDefault="001149DC" w:rsidP="001149DC">
      <w:pPr>
        <w:spacing w:before="0" w:after="0"/>
        <w:rPr>
          <w:rFonts w:eastAsia="Calibri" w:cs="Arial"/>
          <w:b/>
          <w:sz w:val="24"/>
          <w:szCs w:val="24"/>
          <w:lang w:bidi="ar-DZ"/>
        </w:rPr>
      </w:pPr>
    </w:p>
    <w:p w14:paraId="32CE2530" w14:textId="25137FD5" w:rsidR="00591244" w:rsidRDefault="00591244" w:rsidP="001149DC">
      <w:pPr>
        <w:spacing w:before="0" w:after="0"/>
        <w:rPr>
          <w:sz w:val="24"/>
          <w:szCs w:val="24"/>
        </w:rPr>
      </w:pPr>
      <w:r>
        <w:rPr>
          <w:sz w:val="24"/>
          <w:szCs w:val="24"/>
        </w:rPr>
        <w:lastRenderedPageBreak/>
        <w:t xml:space="preserve">Según la Red Europea de Lucha contra la Pobreza y la Exclusión Social, EAPN, en su </w:t>
      </w:r>
      <w:r w:rsidRPr="00591244">
        <w:rPr>
          <w:i/>
          <w:sz w:val="24"/>
          <w:szCs w:val="24"/>
        </w:rPr>
        <w:t>VIII Informe anual de seguimiento del indicador AROPE -At Risk Of Poverty and/or Exclusion</w:t>
      </w:r>
      <w:r>
        <w:rPr>
          <w:rStyle w:val="FootnoteReference"/>
          <w:i/>
          <w:sz w:val="24"/>
          <w:szCs w:val="24"/>
        </w:rPr>
        <w:footnoteReference w:id="16"/>
      </w:r>
      <w:r>
        <w:rPr>
          <w:sz w:val="24"/>
          <w:szCs w:val="24"/>
        </w:rPr>
        <w:t>-, para el año 2017, el 22,4 % de las personas con discapacidad están en riesgo de pobreza.</w:t>
      </w:r>
    </w:p>
    <w:p w14:paraId="1455ED0D" w14:textId="77777777" w:rsidR="00591244" w:rsidRDefault="00591244" w:rsidP="00A42F5D">
      <w:pPr>
        <w:spacing w:before="0" w:after="0"/>
        <w:rPr>
          <w:sz w:val="24"/>
          <w:szCs w:val="24"/>
        </w:rPr>
      </w:pPr>
    </w:p>
    <w:p w14:paraId="29757755" w14:textId="64582345" w:rsidR="00591244" w:rsidRDefault="00591244" w:rsidP="00C158EA">
      <w:pPr>
        <w:spacing w:before="0" w:after="0"/>
        <w:rPr>
          <w:sz w:val="24"/>
          <w:szCs w:val="24"/>
        </w:rPr>
      </w:pPr>
      <w:r>
        <w:rPr>
          <w:sz w:val="24"/>
          <w:szCs w:val="24"/>
        </w:rPr>
        <w:t xml:space="preserve">En este sentido, las mujeres con discapacidad tienen niveles de dependencia mucho mayores que indican una falta de incorporación al mercado de trabajo y un nivel de vida por debajo, o en el límite, del umbral de la pobreza. Aproximadamente el 73% del total de pensiones no contributivas son percibidas por mujeres, triplicando al de los hombres. Ello deviene como consecuencia de las particulares condiciones de inserción de las mujeres en los mercados de trabajo, y que pueden resumirse en la exclusión de puestos directivos, diferencias salariales y carreras </w:t>
      </w:r>
      <w:r w:rsidRPr="00E70E29">
        <w:rPr>
          <w:sz w:val="24"/>
          <w:szCs w:val="24"/>
        </w:rPr>
        <w:t xml:space="preserve">de </w:t>
      </w:r>
      <w:r w:rsidRPr="00E70E29">
        <w:rPr>
          <w:rFonts w:eastAsia="Calibri" w:cs="Arial"/>
          <w:sz w:val="24"/>
          <w:szCs w:val="24"/>
          <w:lang w:bidi="ar-DZ"/>
        </w:rPr>
        <w:t>cotización</w:t>
      </w:r>
      <w:r w:rsidRPr="00E70E29">
        <w:rPr>
          <w:sz w:val="24"/>
          <w:szCs w:val="24"/>
        </w:rPr>
        <w:t xml:space="preserve"> más</w:t>
      </w:r>
      <w:r>
        <w:rPr>
          <w:sz w:val="24"/>
          <w:szCs w:val="24"/>
        </w:rPr>
        <w:t xml:space="preserve"> cortas y discontinuas. </w:t>
      </w:r>
    </w:p>
    <w:p w14:paraId="38F09538" w14:textId="5082177F" w:rsidR="00D86385" w:rsidRDefault="00D86385" w:rsidP="00C158EA">
      <w:pPr>
        <w:spacing w:before="0" w:after="0"/>
        <w:rPr>
          <w:sz w:val="24"/>
          <w:szCs w:val="24"/>
        </w:rPr>
      </w:pPr>
    </w:p>
    <w:p w14:paraId="29CC44C5" w14:textId="31985F3D" w:rsidR="00D86385" w:rsidRDefault="00D86385" w:rsidP="00C158EA">
      <w:pPr>
        <w:spacing w:before="0" w:after="0"/>
        <w:rPr>
          <w:sz w:val="24"/>
          <w:szCs w:val="24"/>
        </w:rPr>
      </w:pPr>
    </w:p>
    <w:p w14:paraId="3D8A8652" w14:textId="77777777" w:rsidR="00C74805" w:rsidRDefault="00C74805" w:rsidP="00C158EA">
      <w:pPr>
        <w:spacing w:before="0" w:after="0"/>
        <w:rPr>
          <w:sz w:val="24"/>
          <w:szCs w:val="24"/>
        </w:rPr>
      </w:pPr>
    </w:p>
    <w:p w14:paraId="3F9D5490" w14:textId="4CE91D6D" w:rsidR="00A33B16" w:rsidRPr="00D86385" w:rsidRDefault="00A33B16" w:rsidP="0018351E">
      <w:pPr>
        <w:pStyle w:val="Heading1"/>
        <w:numPr>
          <w:ilvl w:val="0"/>
          <w:numId w:val="31"/>
        </w:numPr>
        <w:spacing w:before="0"/>
        <w:rPr>
          <w:rFonts w:cs="Arial"/>
          <w:sz w:val="24"/>
          <w:szCs w:val="24"/>
        </w:rPr>
      </w:pPr>
      <w:bookmarkStart w:id="5" w:name="_Toc166221"/>
      <w:r w:rsidRPr="00D86385">
        <w:rPr>
          <w:rFonts w:cs="Arial"/>
          <w:sz w:val="24"/>
          <w:szCs w:val="24"/>
        </w:rPr>
        <w:t xml:space="preserve">RECOMENDACIONES DE LA FUNDACIÓN CERMI MUJERES </w:t>
      </w:r>
      <w:r w:rsidR="00E00D0D" w:rsidRPr="00D86385">
        <w:rPr>
          <w:rFonts w:cs="Arial"/>
          <w:sz w:val="24"/>
          <w:szCs w:val="24"/>
        </w:rPr>
        <w:t>AL COMITÉ</w:t>
      </w:r>
      <w:bookmarkEnd w:id="5"/>
    </w:p>
    <w:p w14:paraId="261AAEB3" w14:textId="172B1578" w:rsidR="00E00D0D" w:rsidRDefault="00E00D0D" w:rsidP="00F75254">
      <w:pPr>
        <w:pStyle w:val="ListParagraph"/>
        <w:spacing w:before="0"/>
        <w:ind w:left="0"/>
        <w:rPr>
          <w:sz w:val="24"/>
          <w:szCs w:val="24"/>
        </w:rPr>
      </w:pPr>
    </w:p>
    <w:p w14:paraId="6AE353BD" w14:textId="77777777" w:rsidR="00C74805" w:rsidRDefault="00C74805" w:rsidP="00F75254">
      <w:pPr>
        <w:pStyle w:val="ListParagraph"/>
        <w:spacing w:before="0"/>
        <w:ind w:left="0"/>
        <w:rPr>
          <w:sz w:val="24"/>
          <w:szCs w:val="24"/>
        </w:rPr>
      </w:pPr>
    </w:p>
    <w:p w14:paraId="7E619E81" w14:textId="7E59CCBB" w:rsidR="00E00D0D" w:rsidRDefault="00E00D0D" w:rsidP="00E00D0D">
      <w:pPr>
        <w:pStyle w:val="ListParagraph"/>
        <w:spacing w:before="0"/>
        <w:ind w:left="0"/>
        <w:rPr>
          <w:sz w:val="24"/>
          <w:szCs w:val="24"/>
        </w:rPr>
      </w:pPr>
      <w:r>
        <w:rPr>
          <w:sz w:val="24"/>
          <w:szCs w:val="24"/>
        </w:rPr>
        <w:t xml:space="preserve">A partir de todo lo expuesto, Fundación CERMI MUJERES propone al Comité de Naciones Unidas sobre los Derechos de las Personas con Discapacidad las siguientes recomendaciones para que sean tenidas en cuenta en la elaboración de las </w:t>
      </w:r>
      <w:r w:rsidR="00FD5934">
        <w:rPr>
          <w:sz w:val="24"/>
          <w:szCs w:val="24"/>
        </w:rPr>
        <w:t>Observaciones</w:t>
      </w:r>
      <w:r>
        <w:rPr>
          <w:sz w:val="24"/>
          <w:szCs w:val="24"/>
        </w:rPr>
        <w:t xml:space="preserve"> </w:t>
      </w:r>
      <w:r w:rsidR="00FD5934">
        <w:rPr>
          <w:sz w:val="24"/>
          <w:szCs w:val="24"/>
        </w:rPr>
        <w:t>Finales</w:t>
      </w:r>
      <w:r w:rsidR="00AB455A">
        <w:rPr>
          <w:sz w:val="24"/>
          <w:szCs w:val="24"/>
        </w:rPr>
        <w:t xml:space="preserve"> </w:t>
      </w:r>
      <w:r w:rsidR="00A66F99">
        <w:rPr>
          <w:sz w:val="24"/>
          <w:szCs w:val="24"/>
        </w:rPr>
        <w:t>a España.</w:t>
      </w:r>
    </w:p>
    <w:p w14:paraId="65C3AD14" w14:textId="59D3022F" w:rsidR="00E00D0D" w:rsidRDefault="00E00D0D" w:rsidP="00F75254">
      <w:pPr>
        <w:pStyle w:val="ListParagraph"/>
        <w:spacing w:before="0"/>
        <w:ind w:left="0"/>
        <w:rPr>
          <w:sz w:val="24"/>
          <w:szCs w:val="24"/>
        </w:rPr>
      </w:pPr>
    </w:p>
    <w:p w14:paraId="0F07B386" w14:textId="77777777" w:rsidR="00C74805" w:rsidRDefault="00C74805" w:rsidP="00F75254">
      <w:pPr>
        <w:pStyle w:val="ListParagraph"/>
        <w:spacing w:before="0"/>
        <w:ind w:left="0"/>
        <w:rPr>
          <w:sz w:val="24"/>
          <w:szCs w:val="24"/>
        </w:rPr>
      </w:pPr>
    </w:p>
    <w:p w14:paraId="7C4FF070" w14:textId="0DCD5118" w:rsidR="00E00D0D" w:rsidRDefault="00E00D0D" w:rsidP="00C74805">
      <w:pPr>
        <w:pStyle w:val="ListParagraph"/>
        <w:spacing w:before="0"/>
        <w:ind w:left="0"/>
        <w:rPr>
          <w:b/>
          <w:sz w:val="24"/>
          <w:szCs w:val="24"/>
        </w:rPr>
      </w:pPr>
      <w:r>
        <w:rPr>
          <w:b/>
          <w:sz w:val="24"/>
          <w:szCs w:val="24"/>
        </w:rPr>
        <w:t>Artículo 6. Mujeres con discapacidad.</w:t>
      </w:r>
    </w:p>
    <w:p w14:paraId="18ACBEF7" w14:textId="071DA263" w:rsidR="00E00D0D" w:rsidRDefault="00E00D0D" w:rsidP="00F75254">
      <w:pPr>
        <w:pStyle w:val="ListParagraph"/>
        <w:spacing w:before="0"/>
        <w:ind w:left="0"/>
        <w:rPr>
          <w:b/>
          <w:sz w:val="24"/>
          <w:szCs w:val="24"/>
        </w:rPr>
      </w:pPr>
    </w:p>
    <w:p w14:paraId="16EB677D" w14:textId="65EF7450" w:rsidR="00E00D0D" w:rsidRDefault="00C158EA" w:rsidP="00E00D0D">
      <w:pPr>
        <w:pStyle w:val="ListParagraph"/>
        <w:spacing w:before="0"/>
        <w:ind w:left="0"/>
        <w:rPr>
          <w:i/>
          <w:sz w:val="24"/>
          <w:szCs w:val="24"/>
        </w:rPr>
      </w:pPr>
      <w:r>
        <w:rPr>
          <w:i/>
          <w:sz w:val="24"/>
          <w:szCs w:val="24"/>
        </w:rPr>
        <w:t>Preocupa al Comité que los derechos de las mujeres y niñas con discapacidad</w:t>
      </w:r>
      <w:r w:rsidR="00ED6D6A">
        <w:rPr>
          <w:i/>
          <w:sz w:val="24"/>
          <w:szCs w:val="24"/>
        </w:rPr>
        <w:t xml:space="preserve"> no se garanticen todavía </w:t>
      </w:r>
      <w:r w:rsidR="008A32F0">
        <w:rPr>
          <w:i/>
          <w:sz w:val="24"/>
          <w:szCs w:val="24"/>
        </w:rPr>
        <w:t xml:space="preserve">en el Estado Parte y que existan diferencias significativas </w:t>
      </w:r>
      <w:r w:rsidR="00525E87">
        <w:rPr>
          <w:i/>
          <w:sz w:val="24"/>
          <w:szCs w:val="24"/>
        </w:rPr>
        <w:t>entre comunidades aut</w:t>
      </w:r>
      <w:r w:rsidR="00FD5934">
        <w:rPr>
          <w:i/>
          <w:sz w:val="24"/>
          <w:szCs w:val="24"/>
        </w:rPr>
        <w:t>ónomas para su pleno disfrute por las mujeres y niñas con discapacidad.</w:t>
      </w:r>
      <w:r w:rsidR="00F02E7A">
        <w:rPr>
          <w:i/>
          <w:sz w:val="24"/>
          <w:szCs w:val="24"/>
        </w:rPr>
        <w:t xml:space="preserve"> También le preocupa </w:t>
      </w:r>
      <w:r w:rsidR="00621FFB">
        <w:rPr>
          <w:i/>
          <w:sz w:val="24"/>
          <w:szCs w:val="24"/>
        </w:rPr>
        <w:t xml:space="preserve">que las políticas públicas de discapacidad y </w:t>
      </w:r>
      <w:r w:rsidR="003B6098">
        <w:rPr>
          <w:i/>
          <w:sz w:val="24"/>
          <w:szCs w:val="24"/>
        </w:rPr>
        <w:t xml:space="preserve">las </w:t>
      </w:r>
      <w:r w:rsidR="00621FFB">
        <w:rPr>
          <w:i/>
          <w:sz w:val="24"/>
          <w:szCs w:val="24"/>
        </w:rPr>
        <w:t xml:space="preserve">de igualdad de género no </w:t>
      </w:r>
      <w:r w:rsidR="005B7D9A">
        <w:rPr>
          <w:i/>
          <w:sz w:val="24"/>
          <w:szCs w:val="24"/>
        </w:rPr>
        <w:t xml:space="preserve">contemplen medidas </w:t>
      </w:r>
      <w:r w:rsidR="00A66F99">
        <w:rPr>
          <w:i/>
          <w:sz w:val="24"/>
          <w:szCs w:val="24"/>
        </w:rPr>
        <w:t>para la lucha contra la discriminación múltiple e interseccional que sufren las mujeres y niñas con discapacidad y que no se disponga de datos sobre su situación.</w:t>
      </w:r>
      <w:r w:rsidR="00DD6C8D">
        <w:rPr>
          <w:i/>
          <w:sz w:val="24"/>
          <w:szCs w:val="24"/>
        </w:rPr>
        <w:t xml:space="preserve"> </w:t>
      </w:r>
      <w:r w:rsidR="00210A7E">
        <w:rPr>
          <w:i/>
          <w:sz w:val="24"/>
          <w:szCs w:val="24"/>
        </w:rPr>
        <w:t xml:space="preserve"> </w:t>
      </w:r>
    </w:p>
    <w:p w14:paraId="2E4E10DC" w14:textId="76EF922D" w:rsidR="00A9016D" w:rsidRDefault="00A9016D" w:rsidP="00E00D0D">
      <w:pPr>
        <w:pStyle w:val="ListParagraph"/>
        <w:spacing w:before="0"/>
        <w:ind w:left="0"/>
        <w:rPr>
          <w:i/>
          <w:sz w:val="24"/>
          <w:szCs w:val="24"/>
        </w:rPr>
      </w:pPr>
    </w:p>
    <w:p w14:paraId="65785DDF" w14:textId="584D11CB" w:rsidR="00FA5420" w:rsidRDefault="00765697" w:rsidP="00E00D0D">
      <w:pPr>
        <w:pStyle w:val="ListParagraph"/>
        <w:spacing w:before="0"/>
        <w:ind w:left="0"/>
        <w:rPr>
          <w:b/>
          <w:i/>
          <w:sz w:val="24"/>
          <w:szCs w:val="24"/>
        </w:rPr>
      </w:pPr>
      <w:r>
        <w:rPr>
          <w:b/>
          <w:i/>
          <w:sz w:val="24"/>
          <w:szCs w:val="24"/>
        </w:rPr>
        <w:t>El Comité recomienda al Estado P</w:t>
      </w:r>
      <w:r w:rsidR="00A9016D" w:rsidRPr="007A57E7">
        <w:rPr>
          <w:b/>
          <w:i/>
          <w:sz w:val="24"/>
          <w:szCs w:val="24"/>
        </w:rPr>
        <w:t>arte q</w:t>
      </w:r>
      <w:r w:rsidR="001B5AA2">
        <w:rPr>
          <w:b/>
          <w:i/>
          <w:sz w:val="24"/>
          <w:szCs w:val="24"/>
        </w:rPr>
        <w:t>ue, en estrecha consulta con</w:t>
      </w:r>
      <w:r w:rsidR="00A9016D" w:rsidRPr="007A57E7">
        <w:rPr>
          <w:b/>
          <w:i/>
          <w:sz w:val="24"/>
          <w:szCs w:val="24"/>
        </w:rPr>
        <w:t xml:space="preserve"> organizaciones de mujeres y niñas con discapacidad, incorpore l</w:t>
      </w:r>
      <w:r w:rsidR="001B5AA2">
        <w:rPr>
          <w:b/>
          <w:i/>
          <w:sz w:val="24"/>
          <w:szCs w:val="24"/>
        </w:rPr>
        <w:t>os derechos de las mujeres y</w:t>
      </w:r>
      <w:r w:rsidR="00A9016D" w:rsidRPr="007A57E7">
        <w:rPr>
          <w:b/>
          <w:i/>
          <w:sz w:val="24"/>
          <w:szCs w:val="24"/>
        </w:rPr>
        <w:t xml:space="preserve"> niñas con discapacidad en las políticas de discapacidad y </w:t>
      </w:r>
      <w:r w:rsidR="007A57E7">
        <w:rPr>
          <w:b/>
          <w:i/>
          <w:sz w:val="24"/>
          <w:szCs w:val="24"/>
        </w:rPr>
        <w:t xml:space="preserve">en las </w:t>
      </w:r>
      <w:r w:rsidR="00A9016D" w:rsidRPr="007A57E7">
        <w:rPr>
          <w:b/>
          <w:i/>
          <w:sz w:val="24"/>
          <w:szCs w:val="24"/>
        </w:rPr>
        <w:t>de igualdad de género</w:t>
      </w:r>
      <w:r w:rsidR="00BA5AE5">
        <w:rPr>
          <w:b/>
          <w:i/>
          <w:sz w:val="24"/>
          <w:szCs w:val="24"/>
        </w:rPr>
        <w:t>, velando porque no existan diferencias significativas entre comunidades autónomas.</w:t>
      </w:r>
      <w:r w:rsidR="007A57E7">
        <w:rPr>
          <w:b/>
          <w:i/>
          <w:sz w:val="24"/>
          <w:szCs w:val="24"/>
        </w:rPr>
        <w:t xml:space="preserve"> </w:t>
      </w:r>
      <w:r w:rsidR="00A9016D" w:rsidRPr="007A57E7">
        <w:rPr>
          <w:b/>
          <w:i/>
          <w:sz w:val="24"/>
          <w:szCs w:val="24"/>
        </w:rPr>
        <w:t xml:space="preserve">También </w:t>
      </w:r>
      <w:r>
        <w:rPr>
          <w:b/>
          <w:i/>
          <w:sz w:val="24"/>
          <w:szCs w:val="24"/>
        </w:rPr>
        <w:t xml:space="preserve">le </w:t>
      </w:r>
      <w:r w:rsidR="00A9016D" w:rsidRPr="007A57E7">
        <w:rPr>
          <w:b/>
          <w:i/>
          <w:sz w:val="24"/>
          <w:szCs w:val="24"/>
        </w:rPr>
        <w:t xml:space="preserve">recomienda al Estado </w:t>
      </w:r>
      <w:r>
        <w:rPr>
          <w:b/>
          <w:i/>
          <w:sz w:val="24"/>
          <w:szCs w:val="24"/>
        </w:rPr>
        <w:t>P</w:t>
      </w:r>
      <w:r w:rsidR="00A9016D" w:rsidRPr="007A57E7">
        <w:rPr>
          <w:b/>
          <w:i/>
          <w:sz w:val="24"/>
          <w:szCs w:val="24"/>
        </w:rPr>
        <w:t>arte que, en consonancia con la observación general núm. 3 (2016) del Comité sobre las mujeres y la</w:t>
      </w:r>
      <w:r w:rsidR="006162A5">
        <w:rPr>
          <w:b/>
          <w:i/>
          <w:sz w:val="24"/>
          <w:szCs w:val="24"/>
        </w:rPr>
        <w:t>s niñas con discapacidad y</w:t>
      </w:r>
      <w:r w:rsidR="00264B4F">
        <w:rPr>
          <w:b/>
          <w:i/>
          <w:sz w:val="24"/>
          <w:szCs w:val="24"/>
        </w:rPr>
        <w:t xml:space="preserve"> con</w:t>
      </w:r>
      <w:r w:rsidR="006162A5">
        <w:rPr>
          <w:b/>
          <w:i/>
          <w:sz w:val="24"/>
          <w:szCs w:val="24"/>
        </w:rPr>
        <w:t xml:space="preserve"> las M</w:t>
      </w:r>
      <w:r w:rsidR="00A9016D" w:rsidRPr="007A57E7">
        <w:rPr>
          <w:b/>
          <w:i/>
          <w:sz w:val="24"/>
          <w:szCs w:val="24"/>
        </w:rPr>
        <w:t xml:space="preserve">etas 5.1, 5.2 y 5.5 </w:t>
      </w:r>
      <w:r w:rsidR="00A9016D" w:rsidRPr="007A57E7">
        <w:rPr>
          <w:b/>
          <w:i/>
          <w:sz w:val="24"/>
          <w:szCs w:val="24"/>
        </w:rPr>
        <w:lastRenderedPageBreak/>
        <w:t xml:space="preserve">de los Objetivos de Desarrollo Sostenible, adopte medidas </w:t>
      </w:r>
      <w:r w:rsidR="00264B4F">
        <w:rPr>
          <w:b/>
          <w:i/>
          <w:sz w:val="24"/>
          <w:szCs w:val="24"/>
        </w:rPr>
        <w:t>para luchar contra la discriminación m</w:t>
      </w:r>
      <w:r w:rsidR="00FA5420">
        <w:rPr>
          <w:b/>
          <w:i/>
          <w:sz w:val="24"/>
          <w:szCs w:val="24"/>
        </w:rPr>
        <w:t>últiple e interseccional que sufren</w:t>
      </w:r>
      <w:r w:rsidR="00264B4F">
        <w:rPr>
          <w:b/>
          <w:i/>
          <w:sz w:val="24"/>
          <w:szCs w:val="24"/>
        </w:rPr>
        <w:t xml:space="preserve"> las</w:t>
      </w:r>
      <w:r w:rsidR="00FA5420">
        <w:rPr>
          <w:b/>
          <w:i/>
          <w:sz w:val="24"/>
          <w:szCs w:val="24"/>
        </w:rPr>
        <w:t xml:space="preserve"> </w:t>
      </w:r>
      <w:r w:rsidR="00264B4F">
        <w:rPr>
          <w:b/>
          <w:i/>
          <w:sz w:val="24"/>
          <w:szCs w:val="24"/>
        </w:rPr>
        <w:t>mujeres y niñas con discapacidad</w:t>
      </w:r>
      <w:r w:rsidR="00FA5420">
        <w:rPr>
          <w:b/>
          <w:i/>
          <w:sz w:val="24"/>
          <w:szCs w:val="24"/>
        </w:rPr>
        <w:t xml:space="preserve">, especialmente en las áreas de </w:t>
      </w:r>
      <w:r w:rsidR="001B5AA2">
        <w:rPr>
          <w:b/>
          <w:i/>
          <w:sz w:val="24"/>
          <w:szCs w:val="24"/>
        </w:rPr>
        <w:t xml:space="preserve">educación, </w:t>
      </w:r>
      <w:r w:rsidR="00FA5420" w:rsidRPr="007A57E7">
        <w:rPr>
          <w:b/>
          <w:i/>
          <w:sz w:val="24"/>
          <w:szCs w:val="24"/>
        </w:rPr>
        <w:t xml:space="preserve">empleo, </w:t>
      </w:r>
      <w:r w:rsidR="00A53FEE">
        <w:rPr>
          <w:b/>
          <w:i/>
          <w:sz w:val="24"/>
          <w:szCs w:val="24"/>
        </w:rPr>
        <w:t xml:space="preserve">salud, acceso a la justicia, </w:t>
      </w:r>
      <w:r w:rsidR="001B5AA2">
        <w:rPr>
          <w:b/>
          <w:i/>
          <w:sz w:val="24"/>
          <w:szCs w:val="24"/>
        </w:rPr>
        <w:t xml:space="preserve">pobreza y </w:t>
      </w:r>
      <w:r w:rsidR="00FA5420" w:rsidRPr="007A57E7">
        <w:rPr>
          <w:b/>
          <w:i/>
          <w:sz w:val="24"/>
          <w:szCs w:val="24"/>
        </w:rPr>
        <w:t>violencia</w:t>
      </w:r>
      <w:r w:rsidR="00FA5420">
        <w:rPr>
          <w:b/>
          <w:i/>
          <w:sz w:val="24"/>
          <w:szCs w:val="24"/>
        </w:rPr>
        <w:t>, incluyendo la recopilación de datos de</w:t>
      </w:r>
      <w:r w:rsidR="00802AC8">
        <w:rPr>
          <w:b/>
          <w:i/>
          <w:sz w:val="24"/>
          <w:szCs w:val="24"/>
        </w:rPr>
        <w:t xml:space="preserve">sagregados y estudios </w:t>
      </w:r>
      <w:r w:rsidR="0003100D">
        <w:rPr>
          <w:b/>
          <w:i/>
          <w:sz w:val="24"/>
          <w:szCs w:val="24"/>
        </w:rPr>
        <w:t>específicos</w:t>
      </w:r>
      <w:r w:rsidR="006D7F89">
        <w:rPr>
          <w:b/>
          <w:i/>
          <w:sz w:val="24"/>
          <w:szCs w:val="24"/>
        </w:rPr>
        <w:t>.</w:t>
      </w:r>
    </w:p>
    <w:p w14:paraId="1FB06E2B" w14:textId="1F7578DE" w:rsidR="006D7F89" w:rsidRDefault="006D7F89" w:rsidP="00E00D0D">
      <w:pPr>
        <w:pStyle w:val="ListParagraph"/>
        <w:spacing w:before="0"/>
        <w:ind w:left="0"/>
        <w:rPr>
          <w:b/>
          <w:i/>
          <w:sz w:val="24"/>
          <w:szCs w:val="24"/>
        </w:rPr>
      </w:pPr>
    </w:p>
    <w:p w14:paraId="78AAAC4B" w14:textId="67E44297" w:rsidR="006D7F89" w:rsidRDefault="006D7F89" w:rsidP="00E00D0D">
      <w:pPr>
        <w:pStyle w:val="ListParagraph"/>
        <w:spacing w:before="0"/>
        <w:ind w:left="0"/>
        <w:rPr>
          <w:b/>
          <w:i/>
          <w:sz w:val="24"/>
          <w:szCs w:val="24"/>
        </w:rPr>
      </w:pPr>
    </w:p>
    <w:p w14:paraId="3ADB7F8F" w14:textId="46CFB1EB" w:rsidR="005E0A83" w:rsidRPr="005E0A83" w:rsidRDefault="005E0A83" w:rsidP="005E0A83">
      <w:pPr>
        <w:pStyle w:val="ListParagraph"/>
        <w:spacing w:before="0"/>
        <w:ind w:left="0"/>
        <w:rPr>
          <w:b/>
          <w:sz w:val="24"/>
          <w:szCs w:val="24"/>
        </w:rPr>
      </w:pPr>
      <w:r w:rsidRPr="005E0A83">
        <w:rPr>
          <w:b/>
          <w:sz w:val="24"/>
          <w:szCs w:val="24"/>
        </w:rPr>
        <w:t>Artículo 16. Protección contra la explotación, la violencia y el abuso</w:t>
      </w:r>
    </w:p>
    <w:p w14:paraId="67119756" w14:textId="164463C7" w:rsidR="005E0A83" w:rsidRDefault="005E0A83" w:rsidP="005E0A83">
      <w:pPr>
        <w:pStyle w:val="ListParagraph"/>
        <w:spacing w:before="0"/>
        <w:ind w:left="0"/>
        <w:rPr>
          <w:i/>
        </w:rPr>
      </w:pPr>
    </w:p>
    <w:p w14:paraId="58B47580" w14:textId="39249124" w:rsidR="005E0A83" w:rsidRDefault="005E0A83" w:rsidP="005E0A83">
      <w:pPr>
        <w:pStyle w:val="ListParagraph"/>
        <w:spacing w:before="0"/>
        <w:ind w:left="0"/>
        <w:rPr>
          <w:i/>
          <w:sz w:val="24"/>
          <w:szCs w:val="24"/>
        </w:rPr>
      </w:pPr>
      <w:r w:rsidRPr="005E0A83">
        <w:rPr>
          <w:i/>
          <w:sz w:val="24"/>
          <w:szCs w:val="24"/>
        </w:rPr>
        <w:t>El Comité toma nota de la</w:t>
      </w:r>
      <w:r w:rsidR="00163BF5">
        <w:rPr>
          <w:i/>
          <w:sz w:val="24"/>
          <w:szCs w:val="24"/>
        </w:rPr>
        <w:t xml:space="preserve"> reciente</w:t>
      </w:r>
      <w:r w:rsidRPr="005E0A83">
        <w:rPr>
          <w:i/>
          <w:sz w:val="24"/>
          <w:szCs w:val="24"/>
        </w:rPr>
        <w:t xml:space="preserve"> aprobación </w:t>
      </w:r>
      <w:r w:rsidR="00897D89">
        <w:rPr>
          <w:i/>
          <w:sz w:val="24"/>
          <w:szCs w:val="24"/>
        </w:rPr>
        <w:t>del</w:t>
      </w:r>
      <w:r w:rsidRPr="005E0A83">
        <w:rPr>
          <w:i/>
          <w:sz w:val="24"/>
          <w:szCs w:val="24"/>
        </w:rPr>
        <w:t xml:space="preserve"> Pacto de Estado contra la Violencia de Género </w:t>
      </w:r>
      <w:r>
        <w:rPr>
          <w:i/>
          <w:sz w:val="24"/>
          <w:szCs w:val="24"/>
        </w:rPr>
        <w:t xml:space="preserve">que </w:t>
      </w:r>
      <w:r w:rsidR="00163BF5">
        <w:rPr>
          <w:i/>
          <w:sz w:val="24"/>
          <w:szCs w:val="24"/>
        </w:rPr>
        <w:t xml:space="preserve">contiene medidas específicas para la atención a víctimas </w:t>
      </w:r>
      <w:r w:rsidR="00592D47">
        <w:rPr>
          <w:i/>
          <w:sz w:val="24"/>
          <w:szCs w:val="24"/>
        </w:rPr>
        <w:t xml:space="preserve">con discapacidad, así como </w:t>
      </w:r>
      <w:r w:rsidR="00750C32">
        <w:rPr>
          <w:i/>
          <w:sz w:val="24"/>
          <w:szCs w:val="24"/>
        </w:rPr>
        <w:t xml:space="preserve">de </w:t>
      </w:r>
      <w:r w:rsidR="00592D47">
        <w:rPr>
          <w:i/>
          <w:sz w:val="24"/>
          <w:szCs w:val="24"/>
        </w:rPr>
        <w:t>la incorporación de la variable de discapacidad en algunas de las estadísticas</w:t>
      </w:r>
      <w:r w:rsidR="00F30D05">
        <w:rPr>
          <w:i/>
          <w:sz w:val="24"/>
          <w:szCs w:val="24"/>
        </w:rPr>
        <w:t xml:space="preserve"> </w:t>
      </w:r>
      <w:r w:rsidR="008C2469">
        <w:rPr>
          <w:i/>
          <w:sz w:val="24"/>
          <w:szCs w:val="24"/>
        </w:rPr>
        <w:t xml:space="preserve">oficiales </w:t>
      </w:r>
      <w:r w:rsidR="00F30D05">
        <w:rPr>
          <w:i/>
          <w:sz w:val="24"/>
          <w:szCs w:val="24"/>
        </w:rPr>
        <w:t>sobre violencia de género</w:t>
      </w:r>
      <w:r w:rsidR="001904D4">
        <w:rPr>
          <w:i/>
          <w:sz w:val="24"/>
          <w:szCs w:val="24"/>
        </w:rPr>
        <w:t xml:space="preserve"> del Estado Parte</w:t>
      </w:r>
      <w:r w:rsidR="003B3D66">
        <w:rPr>
          <w:i/>
          <w:sz w:val="24"/>
          <w:szCs w:val="24"/>
        </w:rPr>
        <w:t>.</w:t>
      </w:r>
      <w:r w:rsidR="00C54EAB">
        <w:rPr>
          <w:i/>
          <w:sz w:val="24"/>
          <w:szCs w:val="24"/>
        </w:rPr>
        <w:t xml:space="preserve"> Le preocupa, sin embargo, al Comité </w:t>
      </w:r>
      <w:r w:rsidR="007B2E01">
        <w:rPr>
          <w:i/>
          <w:sz w:val="24"/>
          <w:szCs w:val="24"/>
        </w:rPr>
        <w:t xml:space="preserve">que las mujeres y niñas con discapacidad </w:t>
      </w:r>
      <w:r w:rsidR="00C57B0F">
        <w:rPr>
          <w:i/>
          <w:sz w:val="24"/>
          <w:szCs w:val="24"/>
        </w:rPr>
        <w:t>tengan</w:t>
      </w:r>
      <w:r w:rsidR="00521CB3">
        <w:rPr>
          <w:i/>
          <w:sz w:val="24"/>
          <w:szCs w:val="24"/>
        </w:rPr>
        <w:t xml:space="preserve"> un </w:t>
      </w:r>
      <w:r w:rsidR="0027042A">
        <w:rPr>
          <w:i/>
          <w:sz w:val="24"/>
          <w:szCs w:val="24"/>
        </w:rPr>
        <w:t xml:space="preserve">mayor </w:t>
      </w:r>
      <w:r w:rsidR="00521CB3">
        <w:rPr>
          <w:i/>
          <w:sz w:val="24"/>
          <w:szCs w:val="24"/>
        </w:rPr>
        <w:t>riesgo</w:t>
      </w:r>
      <w:r w:rsidR="00AA30E3">
        <w:rPr>
          <w:i/>
          <w:sz w:val="24"/>
          <w:szCs w:val="24"/>
        </w:rPr>
        <w:t xml:space="preserve"> </w:t>
      </w:r>
      <w:r w:rsidR="00E4528F">
        <w:rPr>
          <w:i/>
          <w:sz w:val="24"/>
          <w:szCs w:val="24"/>
        </w:rPr>
        <w:t>de</w:t>
      </w:r>
      <w:r w:rsidR="00AA30E3">
        <w:rPr>
          <w:i/>
          <w:sz w:val="24"/>
          <w:szCs w:val="24"/>
        </w:rPr>
        <w:t xml:space="preserve"> sufrir todo tipo </w:t>
      </w:r>
      <w:r w:rsidR="00634124">
        <w:rPr>
          <w:i/>
          <w:sz w:val="24"/>
          <w:szCs w:val="24"/>
        </w:rPr>
        <w:t>de violencia</w:t>
      </w:r>
      <w:r w:rsidR="00935225">
        <w:rPr>
          <w:i/>
          <w:sz w:val="24"/>
          <w:szCs w:val="24"/>
        </w:rPr>
        <w:t>,</w:t>
      </w:r>
      <w:r w:rsidR="002746D3">
        <w:rPr>
          <w:i/>
          <w:sz w:val="24"/>
          <w:szCs w:val="24"/>
        </w:rPr>
        <w:t xml:space="preserve"> </w:t>
      </w:r>
      <w:r w:rsidR="00EE453E">
        <w:rPr>
          <w:i/>
          <w:sz w:val="24"/>
          <w:szCs w:val="24"/>
        </w:rPr>
        <w:t xml:space="preserve">que no se haya efectuado ningún estudio amplio sobre esta cuestión y que </w:t>
      </w:r>
      <w:r w:rsidR="00935225">
        <w:rPr>
          <w:i/>
          <w:sz w:val="24"/>
          <w:szCs w:val="24"/>
        </w:rPr>
        <w:t>los recursos especializados</w:t>
      </w:r>
      <w:r w:rsidR="00EE453E">
        <w:rPr>
          <w:i/>
          <w:sz w:val="24"/>
          <w:szCs w:val="24"/>
        </w:rPr>
        <w:t xml:space="preserve"> de violencia de género del Estado Parte</w:t>
      </w:r>
      <w:r w:rsidR="00935225">
        <w:rPr>
          <w:i/>
          <w:sz w:val="24"/>
          <w:szCs w:val="24"/>
        </w:rPr>
        <w:t xml:space="preserve"> n</w:t>
      </w:r>
      <w:r w:rsidR="00E4528F">
        <w:rPr>
          <w:i/>
          <w:sz w:val="24"/>
          <w:szCs w:val="24"/>
        </w:rPr>
        <w:t>o sean accesibles e inclusivos</w:t>
      </w:r>
      <w:r w:rsidR="00814882">
        <w:rPr>
          <w:i/>
          <w:sz w:val="24"/>
          <w:szCs w:val="24"/>
        </w:rPr>
        <w:t>.</w:t>
      </w:r>
    </w:p>
    <w:p w14:paraId="475AFD9A" w14:textId="30B905A0" w:rsidR="00E4494B" w:rsidRDefault="00E4494B" w:rsidP="005E0A83">
      <w:pPr>
        <w:pStyle w:val="ListParagraph"/>
        <w:spacing w:before="0"/>
        <w:ind w:left="0"/>
        <w:rPr>
          <w:i/>
          <w:sz w:val="24"/>
          <w:szCs w:val="24"/>
        </w:rPr>
      </w:pPr>
    </w:p>
    <w:p w14:paraId="451987D1" w14:textId="587F144A" w:rsidR="00E4494B" w:rsidRDefault="00355D56" w:rsidP="005E0A83">
      <w:pPr>
        <w:pStyle w:val="ListParagraph"/>
        <w:spacing w:before="0"/>
        <w:ind w:left="0"/>
        <w:rPr>
          <w:b/>
          <w:i/>
          <w:sz w:val="24"/>
          <w:szCs w:val="24"/>
        </w:rPr>
      </w:pPr>
      <w:r>
        <w:rPr>
          <w:b/>
          <w:i/>
          <w:sz w:val="24"/>
          <w:szCs w:val="24"/>
        </w:rPr>
        <w:t>El Comité recomienda al Estado Parte la puesta en marcha de todas las medidas específicas para la atención a víctimas con discapacidad previstas en el Pacto de Estado contra la Violencia de G</w:t>
      </w:r>
      <w:r w:rsidR="008D3677">
        <w:rPr>
          <w:b/>
          <w:i/>
          <w:sz w:val="24"/>
          <w:szCs w:val="24"/>
        </w:rPr>
        <w:t xml:space="preserve">énero, y que </w:t>
      </w:r>
      <w:r w:rsidR="00F73304">
        <w:rPr>
          <w:b/>
          <w:i/>
          <w:sz w:val="24"/>
          <w:szCs w:val="24"/>
        </w:rPr>
        <w:t xml:space="preserve">incorpore a las mujeres y niñas con discapacidad en todas sus </w:t>
      </w:r>
      <w:r w:rsidR="00BC2C8A">
        <w:rPr>
          <w:b/>
          <w:i/>
          <w:sz w:val="24"/>
          <w:szCs w:val="24"/>
        </w:rPr>
        <w:t>estadísticas oficiales y en la próxima Macroencuesta de Violencia contra la Mujer</w:t>
      </w:r>
      <w:r w:rsidR="00941646">
        <w:rPr>
          <w:b/>
          <w:i/>
          <w:sz w:val="24"/>
          <w:szCs w:val="24"/>
        </w:rPr>
        <w:t>. También le recomienda que</w:t>
      </w:r>
      <w:r w:rsidR="00972315">
        <w:rPr>
          <w:b/>
          <w:i/>
          <w:sz w:val="24"/>
          <w:szCs w:val="24"/>
        </w:rPr>
        <w:t>, en consulta con las organizaciones de mujeres y n</w:t>
      </w:r>
      <w:r w:rsidR="0048505F">
        <w:rPr>
          <w:b/>
          <w:i/>
          <w:sz w:val="24"/>
          <w:szCs w:val="24"/>
        </w:rPr>
        <w:t>iñas con d</w:t>
      </w:r>
      <w:r w:rsidR="00972315">
        <w:rPr>
          <w:b/>
          <w:i/>
          <w:sz w:val="24"/>
          <w:szCs w:val="24"/>
        </w:rPr>
        <w:t>iscapacidad, desarrolle</w:t>
      </w:r>
      <w:r w:rsidR="00941646">
        <w:rPr>
          <w:b/>
          <w:i/>
          <w:sz w:val="24"/>
          <w:szCs w:val="24"/>
        </w:rPr>
        <w:t xml:space="preserve"> un estudio amplio y específico sobre la violencia contra las mujeres y niñas con discapacidad, </w:t>
      </w:r>
      <w:r w:rsidR="00F871B5">
        <w:rPr>
          <w:b/>
          <w:i/>
          <w:sz w:val="24"/>
          <w:szCs w:val="24"/>
        </w:rPr>
        <w:t xml:space="preserve">incluyendo aquellas que viven institucionalizadas o </w:t>
      </w:r>
      <w:r w:rsidR="00B31241">
        <w:rPr>
          <w:b/>
          <w:i/>
          <w:sz w:val="24"/>
          <w:szCs w:val="24"/>
        </w:rPr>
        <w:t>a</w:t>
      </w:r>
      <w:r w:rsidR="008865F9">
        <w:rPr>
          <w:b/>
          <w:i/>
          <w:sz w:val="24"/>
          <w:szCs w:val="24"/>
        </w:rPr>
        <w:t>que</w:t>
      </w:r>
      <w:r w:rsidR="00B31241">
        <w:rPr>
          <w:b/>
          <w:i/>
          <w:sz w:val="24"/>
          <w:szCs w:val="24"/>
        </w:rPr>
        <w:t>llas que</w:t>
      </w:r>
      <w:r w:rsidR="008865F9">
        <w:rPr>
          <w:b/>
          <w:i/>
          <w:sz w:val="24"/>
          <w:szCs w:val="24"/>
        </w:rPr>
        <w:t xml:space="preserve"> tienen </w:t>
      </w:r>
      <w:r w:rsidR="00F871B5">
        <w:rPr>
          <w:b/>
          <w:i/>
          <w:sz w:val="24"/>
          <w:szCs w:val="24"/>
        </w:rPr>
        <w:t xml:space="preserve">mayores dificultades </w:t>
      </w:r>
      <w:r w:rsidR="008865F9">
        <w:rPr>
          <w:b/>
          <w:i/>
          <w:sz w:val="24"/>
          <w:szCs w:val="24"/>
        </w:rPr>
        <w:t>(</w:t>
      </w:r>
      <w:r w:rsidR="000C4C65">
        <w:rPr>
          <w:b/>
          <w:i/>
          <w:sz w:val="24"/>
          <w:szCs w:val="24"/>
        </w:rPr>
        <w:t>discapacidad intelectual, psicosocial, sordoceguera</w:t>
      </w:r>
      <w:r w:rsidR="001A30FF">
        <w:rPr>
          <w:b/>
          <w:i/>
          <w:sz w:val="24"/>
          <w:szCs w:val="24"/>
        </w:rPr>
        <w:t>, etc.</w:t>
      </w:r>
      <w:r w:rsidR="008865F9">
        <w:rPr>
          <w:b/>
          <w:i/>
          <w:sz w:val="24"/>
          <w:szCs w:val="24"/>
        </w:rPr>
        <w:t>)</w:t>
      </w:r>
      <w:r w:rsidR="000C4C65">
        <w:rPr>
          <w:b/>
          <w:i/>
          <w:sz w:val="24"/>
          <w:szCs w:val="24"/>
        </w:rPr>
        <w:t>.</w:t>
      </w:r>
      <w:r w:rsidR="00C82DA1">
        <w:rPr>
          <w:b/>
          <w:i/>
          <w:sz w:val="24"/>
          <w:szCs w:val="24"/>
        </w:rPr>
        <w:t xml:space="preserve"> Por último, el Comité tambi</w:t>
      </w:r>
      <w:r w:rsidR="00321A03">
        <w:rPr>
          <w:b/>
          <w:i/>
          <w:sz w:val="24"/>
          <w:szCs w:val="24"/>
        </w:rPr>
        <w:t>én</w:t>
      </w:r>
      <w:r w:rsidR="00C82DA1">
        <w:rPr>
          <w:b/>
          <w:i/>
          <w:sz w:val="24"/>
          <w:szCs w:val="24"/>
        </w:rPr>
        <w:t xml:space="preserve"> recomienda </w:t>
      </w:r>
      <w:r w:rsidR="00321A03">
        <w:rPr>
          <w:b/>
          <w:i/>
          <w:sz w:val="24"/>
          <w:szCs w:val="24"/>
        </w:rPr>
        <w:t xml:space="preserve">al Estado Parte </w:t>
      </w:r>
      <w:r w:rsidR="00C82DA1">
        <w:rPr>
          <w:b/>
          <w:i/>
          <w:sz w:val="24"/>
          <w:szCs w:val="24"/>
        </w:rPr>
        <w:t>que todos los recursos especializados de violencia de género sean accesibles e inclusivos.</w:t>
      </w:r>
    </w:p>
    <w:p w14:paraId="1E3A438F" w14:textId="5D55749D" w:rsidR="00A13848" w:rsidRDefault="00A13848" w:rsidP="005E0A83">
      <w:pPr>
        <w:pStyle w:val="ListParagraph"/>
        <w:spacing w:before="0"/>
        <w:ind w:left="0"/>
        <w:rPr>
          <w:b/>
          <w:i/>
          <w:sz w:val="24"/>
          <w:szCs w:val="24"/>
        </w:rPr>
      </w:pPr>
    </w:p>
    <w:p w14:paraId="326787C3" w14:textId="77777777" w:rsidR="00A13848" w:rsidRDefault="00A13848" w:rsidP="005E0A83">
      <w:pPr>
        <w:pStyle w:val="ListParagraph"/>
        <w:spacing w:before="0"/>
        <w:ind w:left="0"/>
        <w:rPr>
          <w:b/>
          <w:i/>
          <w:sz w:val="24"/>
          <w:szCs w:val="24"/>
        </w:rPr>
      </w:pPr>
    </w:p>
    <w:p w14:paraId="3DAA30B7" w14:textId="0117DE98" w:rsidR="00A13848" w:rsidRDefault="00A13848" w:rsidP="00A13848">
      <w:pPr>
        <w:pStyle w:val="ListParagraph"/>
        <w:spacing w:before="0"/>
        <w:ind w:left="0"/>
        <w:rPr>
          <w:b/>
          <w:sz w:val="24"/>
          <w:szCs w:val="24"/>
        </w:rPr>
      </w:pPr>
      <w:r>
        <w:rPr>
          <w:b/>
          <w:sz w:val="24"/>
          <w:szCs w:val="24"/>
        </w:rPr>
        <w:t xml:space="preserve">Artículo 17. </w:t>
      </w:r>
      <w:r w:rsidRPr="00A13848">
        <w:rPr>
          <w:b/>
          <w:sz w:val="24"/>
          <w:szCs w:val="24"/>
        </w:rPr>
        <w:t>Protección de la integridad personal</w:t>
      </w:r>
    </w:p>
    <w:p w14:paraId="0BC32199" w14:textId="0B722B98" w:rsidR="00A13848" w:rsidRDefault="00A13848" w:rsidP="00121ED0">
      <w:pPr>
        <w:pStyle w:val="ListParagraph"/>
        <w:spacing w:before="0" w:after="0"/>
        <w:ind w:left="0"/>
        <w:rPr>
          <w:b/>
          <w:sz w:val="24"/>
          <w:szCs w:val="24"/>
        </w:rPr>
      </w:pPr>
    </w:p>
    <w:p w14:paraId="58ED0A83" w14:textId="1597AB12" w:rsidR="00223445" w:rsidRDefault="00223445" w:rsidP="00505291">
      <w:pPr>
        <w:spacing w:before="0" w:after="0"/>
        <w:rPr>
          <w:i/>
          <w:sz w:val="24"/>
          <w:szCs w:val="24"/>
        </w:rPr>
      </w:pPr>
      <w:r w:rsidRPr="00223445">
        <w:rPr>
          <w:i/>
          <w:sz w:val="24"/>
          <w:szCs w:val="24"/>
        </w:rPr>
        <w:t>El Comité considera preocupante que las personas con discapacidad, en partic</w:t>
      </w:r>
      <w:r w:rsidR="003D55F2">
        <w:rPr>
          <w:i/>
          <w:sz w:val="24"/>
          <w:szCs w:val="24"/>
        </w:rPr>
        <w:t>ular las mujeres</w:t>
      </w:r>
      <w:r w:rsidR="00305D05">
        <w:rPr>
          <w:i/>
          <w:sz w:val="24"/>
          <w:szCs w:val="24"/>
        </w:rPr>
        <w:t xml:space="preserve"> y niñas</w:t>
      </w:r>
      <w:r w:rsidRPr="00223445">
        <w:rPr>
          <w:i/>
          <w:sz w:val="24"/>
          <w:szCs w:val="24"/>
        </w:rPr>
        <w:t>, sigan siendo al parecer sometidas a tratamientos médicos involuntarios, como la esterilización forzada</w:t>
      </w:r>
      <w:r w:rsidR="008026FE">
        <w:rPr>
          <w:i/>
          <w:sz w:val="24"/>
          <w:szCs w:val="24"/>
        </w:rPr>
        <w:t xml:space="preserve"> y el aborto coercitivo</w:t>
      </w:r>
      <w:r w:rsidR="00DE79D3">
        <w:rPr>
          <w:i/>
          <w:sz w:val="24"/>
          <w:szCs w:val="24"/>
        </w:rPr>
        <w:t>. Le preocupa</w:t>
      </w:r>
      <w:r w:rsidR="00375B00">
        <w:rPr>
          <w:i/>
          <w:sz w:val="24"/>
          <w:szCs w:val="24"/>
        </w:rPr>
        <w:t xml:space="preserve"> que</w:t>
      </w:r>
      <w:r w:rsidR="00416C31">
        <w:rPr>
          <w:i/>
          <w:sz w:val="24"/>
          <w:szCs w:val="24"/>
        </w:rPr>
        <w:t>,</w:t>
      </w:r>
      <w:r w:rsidR="00375B00">
        <w:rPr>
          <w:i/>
          <w:sz w:val="24"/>
          <w:szCs w:val="24"/>
        </w:rPr>
        <w:t xml:space="preserve"> al parecer, existan</w:t>
      </w:r>
      <w:r w:rsidR="00DE79D3">
        <w:rPr>
          <w:i/>
          <w:sz w:val="24"/>
          <w:szCs w:val="24"/>
        </w:rPr>
        <w:t xml:space="preserve"> mujeres</w:t>
      </w:r>
      <w:r w:rsidR="00375B00">
        <w:rPr>
          <w:i/>
          <w:sz w:val="24"/>
          <w:szCs w:val="24"/>
        </w:rPr>
        <w:t xml:space="preserve"> mayores</w:t>
      </w:r>
      <w:r w:rsidR="00DE79D3">
        <w:rPr>
          <w:i/>
          <w:sz w:val="24"/>
          <w:szCs w:val="24"/>
        </w:rPr>
        <w:t xml:space="preserve"> que </w:t>
      </w:r>
      <w:r w:rsidR="00525DEB">
        <w:rPr>
          <w:i/>
          <w:sz w:val="24"/>
          <w:szCs w:val="24"/>
        </w:rPr>
        <w:t>han adquirido</w:t>
      </w:r>
      <w:r w:rsidR="00DE79D3">
        <w:rPr>
          <w:i/>
          <w:sz w:val="24"/>
          <w:szCs w:val="24"/>
        </w:rPr>
        <w:t xml:space="preserve"> una discapacidad como consecuencia de </w:t>
      </w:r>
      <w:r w:rsidR="00DE79D3" w:rsidRPr="00DE79D3">
        <w:rPr>
          <w:i/>
          <w:sz w:val="24"/>
          <w:szCs w:val="24"/>
        </w:rPr>
        <w:t xml:space="preserve">la aplicación de tratamientos hormonales inadecuados y las operaciones de reasignación de sexo clandestinas a las que </w:t>
      </w:r>
      <w:r w:rsidR="00525DEB">
        <w:rPr>
          <w:i/>
          <w:sz w:val="24"/>
          <w:szCs w:val="24"/>
        </w:rPr>
        <w:t>se sometieron.</w:t>
      </w:r>
    </w:p>
    <w:p w14:paraId="3CB47AC8" w14:textId="77777777" w:rsidR="00223445" w:rsidRPr="00223445" w:rsidRDefault="00223445" w:rsidP="00223445">
      <w:pPr>
        <w:spacing w:before="0" w:after="0"/>
        <w:rPr>
          <w:i/>
          <w:sz w:val="24"/>
          <w:szCs w:val="24"/>
        </w:rPr>
      </w:pPr>
    </w:p>
    <w:p w14:paraId="35FF175F" w14:textId="73620638" w:rsidR="00A13848" w:rsidRDefault="00D00EE1" w:rsidP="00223445">
      <w:pPr>
        <w:pStyle w:val="ListParagraph"/>
        <w:spacing w:before="0"/>
        <w:ind w:left="0"/>
        <w:rPr>
          <w:b/>
          <w:i/>
          <w:sz w:val="24"/>
          <w:szCs w:val="24"/>
        </w:rPr>
      </w:pPr>
      <w:r>
        <w:rPr>
          <w:b/>
          <w:i/>
          <w:sz w:val="24"/>
          <w:szCs w:val="24"/>
        </w:rPr>
        <w:t>El Comité recomienda al Estado P</w:t>
      </w:r>
      <w:r w:rsidR="00223445" w:rsidRPr="00223445">
        <w:rPr>
          <w:b/>
          <w:i/>
          <w:sz w:val="24"/>
          <w:szCs w:val="24"/>
        </w:rPr>
        <w:t xml:space="preserve">arte que derogue todo tipo de leyes, reglamentos y prácticas que permitan cualquier forma de intervención u operación quirúrgica forzosa, </w:t>
      </w:r>
      <w:r w:rsidR="00E7778B">
        <w:rPr>
          <w:b/>
          <w:i/>
          <w:sz w:val="24"/>
          <w:szCs w:val="24"/>
        </w:rPr>
        <w:t xml:space="preserve">incluida la esterilización </w:t>
      </w:r>
      <w:r w:rsidR="004C0C48">
        <w:rPr>
          <w:b/>
          <w:i/>
          <w:sz w:val="24"/>
          <w:szCs w:val="24"/>
        </w:rPr>
        <w:t xml:space="preserve">no consentida </w:t>
      </w:r>
      <w:r w:rsidR="0040366D">
        <w:rPr>
          <w:b/>
          <w:i/>
          <w:sz w:val="24"/>
          <w:szCs w:val="24"/>
        </w:rPr>
        <w:t>y el aborto</w:t>
      </w:r>
      <w:r w:rsidR="004C0C48">
        <w:rPr>
          <w:b/>
          <w:i/>
          <w:sz w:val="24"/>
          <w:szCs w:val="24"/>
        </w:rPr>
        <w:t xml:space="preserve"> coercitivo</w:t>
      </w:r>
      <w:r w:rsidR="0040366D">
        <w:rPr>
          <w:b/>
          <w:i/>
          <w:sz w:val="24"/>
          <w:szCs w:val="24"/>
        </w:rPr>
        <w:t xml:space="preserve">, </w:t>
      </w:r>
      <w:r w:rsidR="00223445" w:rsidRPr="00223445">
        <w:rPr>
          <w:b/>
          <w:i/>
          <w:sz w:val="24"/>
          <w:szCs w:val="24"/>
        </w:rPr>
        <w:t xml:space="preserve">y vele por que se defienda el derecho al consentimiento libre, previo e informado al tratamiento y se establezcan mecanismos de apoyo para la adopción de decisiones y salvaguardias reforzadas, prestando </w:t>
      </w:r>
      <w:r w:rsidR="00223445" w:rsidRPr="00223445">
        <w:rPr>
          <w:b/>
          <w:i/>
          <w:sz w:val="24"/>
          <w:szCs w:val="24"/>
        </w:rPr>
        <w:lastRenderedPageBreak/>
        <w:t>especial atención a las mujeres</w:t>
      </w:r>
      <w:r w:rsidR="004F0DBB">
        <w:rPr>
          <w:b/>
          <w:i/>
          <w:sz w:val="24"/>
          <w:szCs w:val="24"/>
        </w:rPr>
        <w:t xml:space="preserve"> y niñas con discapacidad</w:t>
      </w:r>
      <w:r w:rsidR="00223445" w:rsidRPr="00223445">
        <w:rPr>
          <w:b/>
          <w:i/>
          <w:sz w:val="24"/>
          <w:szCs w:val="24"/>
        </w:rPr>
        <w:t>.</w:t>
      </w:r>
      <w:r w:rsidR="00416C31">
        <w:rPr>
          <w:b/>
          <w:i/>
          <w:sz w:val="24"/>
          <w:szCs w:val="24"/>
        </w:rPr>
        <w:t xml:space="preserve"> </w:t>
      </w:r>
      <w:r w:rsidR="006D1434">
        <w:rPr>
          <w:b/>
          <w:i/>
          <w:sz w:val="24"/>
          <w:szCs w:val="24"/>
        </w:rPr>
        <w:t>El Comité t</w:t>
      </w:r>
      <w:r w:rsidR="00416C31">
        <w:rPr>
          <w:b/>
          <w:i/>
          <w:sz w:val="24"/>
          <w:szCs w:val="24"/>
        </w:rPr>
        <w:t xml:space="preserve">ambién le recomienda </w:t>
      </w:r>
      <w:r w:rsidR="006D1434">
        <w:rPr>
          <w:b/>
          <w:i/>
          <w:sz w:val="24"/>
          <w:szCs w:val="24"/>
        </w:rPr>
        <w:t xml:space="preserve">al Estado Parte que investigue </w:t>
      </w:r>
      <w:r w:rsidR="00001D0D">
        <w:rPr>
          <w:b/>
          <w:i/>
          <w:sz w:val="24"/>
          <w:szCs w:val="24"/>
        </w:rPr>
        <w:t xml:space="preserve">y </w:t>
      </w:r>
      <w:r w:rsidR="00160B27">
        <w:rPr>
          <w:b/>
          <w:i/>
          <w:sz w:val="24"/>
          <w:szCs w:val="24"/>
        </w:rPr>
        <w:t xml:space="preserve">persiga a </w:t>
      </w:r>
      <w:r w:rsidR="00001D0D">
        <w:rPr>
          <w:b/>
          <w:i/>
          <w:sz w:val="24"/>
          <w:szCs w:val="24"/>
        </w:rPr>
        <w:t xml:space="preserve">las clínicas </w:t>
      </w:r>
      <w:r w:rsidR="004C0588">
        <w:rPr>
          <w:b/>
          <w:i/>
          <w:sz w:val="24"/>
          <w:szCs w:val="24"/>
        </w:rPr>
        <w:t xml:space="preserve">e </w:t>
      </w:r>
      <w:r w:rsidR="00001D0D">
        <w:rPr>
          <w:b/>
          <w:i/>
          <w:sz w:val="24"/>
          <w:szCs w:val="24"/>
        </w:rPr>
        <w:t xml:space="preserve">instituciones que </w:t>
      </w:r>
      <w:r w:rsidR="005F4614">
        <w:rPr>
          <w:b/>
          <w:i/>
          <w:sz w:val="24"/>
          <w:szCs w:val="24"/>
        </w:rPr>
        <w:t>animan o actúan de forma il</w:t>
      </w:r>
      <w:r w:rsidR="004E26E6">
        <w:rPr>
          <w:b/>
          <w:i/>
          <w:sz w:val="24"/>
          <w:szCs w:val="24"/>
        </w:rPr>
        <w:t xml:space="preserve">ícita sobre tratamientos </w:t>
      </w:r>
      <w:r w:rsidR="0079176D">
        <w:rPr>
          <w:b/>
          <w:i/>
          <w:sz w:val="24"/>
          <w:szCs w:val="24"/>
        </w:rPr>
        <w:t>no consentidos</w:t>
      </w:r>
      <w:r w:rsidR="00586B58">
        <w:rPr>
          <w:b/>
          <w:i/>
          <w:sz w:val="24"/>
          <w:szCs w:val="24"/>
        </w:rPr>
        <w:t xml:space="preserve"> ni autorizados</w:t>
      </w:r>
      <w:r w:rsidR="0079176D">
        <w:rPr>
          <w:b/>
          <w:i/>
          <w:sz w:val="24"/>
          <w:szCs w:val="24"/>
        </w:rPr>
        <w:t>.</w:t>
      </w:r>
      <w:r w:rsidR="00BC590A">
        <w:rPr>
          <w:b/>
          <w:i/>
          <w:sz w:val="24"/>
          <w:szCs w:val="24"/>
        </w:rPr>
        <w:t xml:space="preserve"> </w:t>
      </w:r>
    </w:p>
    <w:p w14:paraId="129596D2" w14:textId="3FE606A4" w:rsidR="000709DD" w:rsidRDefault="000709DD" w:rsidP="00223445">
      <w:pPr>
        <w:pStyle w:val="ListParagraph"/>
        <w:spacing w:before="0"/>
        <w:ind w:left="0"/>
        <w:rPr>
          <w:b/>
          <w:sz w:val="24"/>
          <w:szCs w:val="24"/>
        </w:rPr>
      </w:pPr>
    </w:p>
    <w:p w14:paraId="7699A18F" w14:textId="77777777" w:rsidR="004C1E8F" w:rsidRPr="004C1E8F" w:rsidRDefault="004C1E8F" w:rsidP="004C1E8F">
      <w:pPr>
        <w:pStyle w:val="ListParagraph"/>
        <w:spacing w:before="0" w:after="0"/>
        <w:ind w:left="0"/>
        <w:rPr>
          <w:b/>
          <w:sz w:val="24"/>
          <w:szCs w:val="24"/>
        </w:rPr>
      </w:pPr>
    </w:p>
    <w:p w14:paraId="2F32C643" w14:textId="1876D518" w:rsidR="004C1E8F" w:rsidRDefault="004C1E8F" w:rsidP="00E53852">
      <w:pPr>
        <w:spacing w:before="0" w:after="0"/>
        <w:rPr>
          <w:b/>
          <w:sz w:val="24"/>
          <w:szCs w:val="24"/>
        </w:rPr>
      </w:pPr>
      <w:r>
        <w:rPr>
          <w:b/>
          <w:sz w:val="24"/>
          <w:szCs w:val="24"/>
        </w:rPr>
        <w:t>Artículo 25. Salud</w:t>
      </w:r>
    </w:p>
    <w:p w14:paraId="21D9C64C" w14:textId="77777777" w:rsidR="00F30FB0" w:rsidRPr="004C1E8F" w:rsidRDefault="00F30FB0" w:rsidP="00F30FB0">
      <w:pPr>
        <w:spacing w:before="0" w:after="0"/>
        <w:rPr>
          <w:b/>
          <w:sz w:val="24"/>
          <w:szCs w:val="24"/>
        </w:rPr>
      </w:pPr>
    </w:p>
    <w:p w14:paraId="19DB47D4" w14:textId="54FB4071" w:rsidR="004C1E8F" w:rsidRPr="00F30FB0" w:rsidRDefault="004C1E8F" w:rsidP="00F30FB0">
      <w:pPr>
        <w:spacing w:before="0" w:after="0"/>
        <w:rPr>
          <w:i/>
          <w:sz w:val="24"/>
          <w:szCs w:val="24"/>
        </w:rPr>
      </w:pPr>
      <w:r w:rsidRPr="00F30FB0">
        <w:rPr>
          <w:i/>
          <w:sz w:val="24"/>
          <w:szCs w:val="24"/>
        </w:rPr>
        <w:t xml:space="preserve">El Comité está preocupado por </w:t>
      </w:r>
      <w:r w:rsidR="00F30FB0" w:rsidRPr="00F30FB0">
        <w:rPr>
          <w:i/>
          <w:sz w:val="24"/>
          <w:szCs w:val="24"/>
        </w:rPr>
        <w:t>l</w:t>
      </w:r>
      <w:r w:rsidRPr="00F30FB0">
        <w:rPr>
          <w:i/>
          <w:sz w:val="24"/>
          <w:szCs w:val="24"/>
        </w:rPr>
        <w:t>os múltiples obstáculos</w:t>
      </w:r>
      <w:r w:rsidR="00F30FB0" w:rsidRPr="00F30FB0">
        <w:rPr>
          <w:i/>
          <w:sz w:val="24"/>
          <w:szCs w:val="24"/>
        </w:rPr>
        <w:t xml:space="preserve"> que enfrentan las mujeres y niñas con discapacidad</w:t>
      </w:r>
      <w:r w:rsidRPr="00F30FB0">
        <w:rPr>
          <w:i/>
          <w:sz w:val="24"/>
          <w:szCs w:val="24"/>
        </w:rPr>
        <w:t xml:space="preserve"> para acceder a los servicios de salud sexual y reproductiva</w:t>
      </w:r>
      <w:r w:rsidR="005B4110">
        <w:rPr>
          <w:i/>
          <w:sz w:val="24"/>
          <w:szCs w:val="24"/>
        </w:rPr>
        <w:t>, incluidos los servicios de reproducción asistida, así como</w:t>
      </w:r>
      <w:r w:rsidRPr="00F30FB0">
        <w:rPr>
          <w:i/>
          <w:sz w:val="24"/>
          <w:szCs w:val="24"/>
        </w:rPr>
        <w:t xml:space="preserve"> la insuficiente información y educación sobre planificación familiar en formatos accesibles</w:t>
      </w:r>
      <w:r w:rsidR="00F30FB0">
        <w:rPr>
          <w:i/>
          <w:sz w:val="24"/>
          <w:szCs w:val="24"/>
        </w:rPr>
        <w:t>.</w:t>
      </w:r>
    </w:p>
    <w:p w14:paraId="25783ACE" w14:textId="77777777" w:rsidR="00E53852" w:rsidRDefault="00E53852" w:rsidP="00E53852">
      <w:pPr>
        <w:spacing w:before="0" w:after="0"/>
        <w:rPr>
          <w:b/>
        </w:rPr>
      </w:pPr>
    </w:p>
    <w:p w14:paraId="41FFB8A8" w14:textId="1BBF31C1" w:rsidR="004C1E8F" w:rsidRPr="00E53852" w:rsidRDefault="00B66A09" w:rsidP="00B66A09">
      <w:pPr>
        <w:spacing w:before="0" w:after="0"/>
        <w:rPr>
          <w:b/>
          <w:i/>
          <w:sz w:val="24"/>
          <w:szCs w:val="24"/>
        </w:rPr>
      </w:pPr>
      <w:r>
        <w:rPr>
          <w:b/>
          <w:i/>
          <w:sz w:val="24"/>
          <w:szCs w:val="24"/>
        </w:rPr>
        <w:t>El Comité recomienda al Estado P</w:t>
      </w:r>
      <w:r w:rsidR="004C1E8F" w:rsidRPr="00E53852">
        <w:rPr>
          <w:b/>
          <w:i/>
          <w:sz w:val="24"/>
          <w:szCs w:val="24"/>
        </w:rPr>
        <w:t>arte que, en estrecha colaboración con las organizaciones</w:t>
      </w:r>
      <w:r w:rsidR="00E53852" w:rsidRPr="00E53852">
        <w:rPr>
          <w:b/>
          <w:i/>
          <w:sz w:val="24"/>
          <w:szCs w:val="24"/>
        </w:rPr>
        <w:t xml:space="preserve"> de mujeres y niñas con discapacidad</w:t>
      </w:r>
      <w:r w:rsidR="004C1E8F" w:rsidRPr="00E53852">
        <w:rPr>
          <w:b/>
          <w:i/>
          <w:sz w:val="24"/>
          <w:szCs w:val="24"/>
        </w:rPr>
        <w:t xml:space="preserve"> </w:t>
      </w:r>
      <w:r w:rsidR="00E53852" w:rsidRPr="00E53852">
        <w:rPr>
          <w:b/>
          <w:i/>
          <w:sz w:val="24"/>
          <w:szCs w:val="24"/>
        </w:rPr>
        <w:t>g</w:t>
      </w:r>
      <w:r w:rsidR="004C1E8F" w:rsidRPr="00E53852">
        <w:rPr>
          <w:b/>
          <w:i/>
          <w:sz w:val="24"/>
          <w:szCs w:val="24"/>
        </w:rPr>
        <w:t>arantice la igualdad de acceso a los servicios de salud sexual y reproductiva</w:t>
      </w:r>
      <w:r>
        <w:rPr>
          <w:b/>
          <w:i/>
          <w:sz w:val="24"/>
          <w:szCs w:val="24"/>
        </w:rPr>
        <w:t>, incluido el acceso a los servicios de reproducción asistida</w:t>
      </w:r>
      <w:r w:rsidR="004C1E8F" w:rsidRPr="00E53852">
        <w:rPr>
          <w:b/>
          <w:i/>
          <w:sz w:val="24"/>
          <w:szCs w:val="24"/>
        </w:rPr>
        <w:t>, como se establece en la meta 3.7 de los Objet</w:t>
      </w:r>
      <w:r>
        <w:rPr>
          <w:b/>
          <w:i/>
          <w:sz w:val="24"/>
          <w:szCs w:val="24"/>
        </w:rPr>
        <w:t>ivos de Desarrollo Sostenible, así como que</w:t>
      </w:r>
      <w:r w:rsidR="004C1E8F" w:rsidRPr="00E53852">
        <w:rPr>
          <w:b/>
          <w:i/>
          <w:sz w:val="24"/>
          <w:szCs w:val="24"/>
        </w:rPr>
        <w:t xml:space="preserve"> proporcione información y educación sobre planificación familiar a las </w:t>
      </w:r>
      <w:r w:rsidR="009E1F28">
        <w:rPr>
          <w:b/>
          <w:i/>
          <w:sz w:val="24"/>
          <w:szCs w:val="24"/>
        </w:rPr>
        <w:t>mujeres</w:t>
      </w:r>
      <w:r w:rsidR="004C1E8F" w:rsidRPr="00E53852">
        <w:rPr>
          <w:b/>
          <w:i/>
          <w:sz w:val="24"/>
          <w:szCs w:val="24"/>
        </w:rPr>
        <w:t xml:space="preserve"> con discapacidad en formatos accesibles,</w:t>
      </w:r>
      <w:r w:rsidR="00E53852">
        <w:rPr>
          <w:b/>
          <w:i/>
          <w:sz w:val="24"/>
          <w:szCs w:val="24"/>
        </w:rPr>
        <w:t xml:space="preserve"> incluidos los de lectura fácil.</w:t>
      </w:r>
    </w:p>
    <w:p w14:paraId="02E06E8B" w14:textId="2151C9F0" w:rsidR="004C1E8F" w:rsidRDefault="004C1E8F" w:rsidP="00B66A09">
      <w:pPr>
        <w:pStyle w:val="ListParagraph"/>
        <w:spacing w:before="0" w:after="0"/>
        <w:ind w:left="0"/>
        <w:rPr>
          <w:b/>
          <w:i/>
          <w:sz w:val="24"/>
          <w:szCs w:val="24"/>
        </w:rPr>
      </w:pPr>
    </w:p>
    <w:p w14:paraId="59BCCCBC" w14:textId="3D144B0C" w:rsidR="00B66A09" w:rsidRDefault="00B66A09" w:rsidP="00B66A09">
      <w:pPr>
        <w:pStyle w:val="ListParagraph"/>
        <w:spacing w:before="0" w:after="0"/>
        <w:ind w:left="0"/>
        <w:rPr>
          <w:b/>
          <w:i/>
          <w:sz w:val="24"/>
          <w:szCs w:val="24"/>
        </w:rPr>
      </w:pPr>
    </w:p>
    <w:p w14:paraId="467CB3D0" w14:textId="2544BE54" w:rsidR="000709DD" w:rsidRDefault="000709DD" w:rsidP="00C74805">
      <w:pPr>
        <w:spacing w:before="0" w:after="0"/>
        <w:rPr>
          <w:b/>
          <w:sz w:val="24"/>
          <w:szCs w:val="24"/>
        </w:rPr>
      </w:pPr>
      <w:r w:rsidRPr="000709DD">
        <w:rPr>
          <w:b/>
          <w:sz w:val="24"/>
          <w:szCs w:val="24"/>
        </w:rPr>
        <w:t>Artículo 27</w:t>
      </w:r>
      <w:r>
        <w:rPr>
          <w:b/>
          <w:sz w:val="24"/>
          <w:szCs w:val="24"/>
        </w:rPr>
        <w:t>. Trabajo y empleo</w:t>
      </w:r>
    </w:p>
    <w:p w14:paraId="59465370" w14:textId="77777777" w:rsidR="00BE3ADA" w:rsidRPr="000709DD" w:rsidRDefault="00BE3ADA" w:rsidP="00BE3ADA">
      <w:pPr>
        <w:spacing w:before="0" w:after="0"/>
        <w:rPr>
          <w:b/>
          <w:sz w:val="24"/>
          <w:szCs w:val="24"/>
        </w:rPr>
      </w:pPr>
    </w:p>
    <w:p w14:paraId="390B05BC" w14:textId="023F2E18" w:rsidR="000709DD" w:rsidRPr="000709DD" w:rsidRDefault="000709DD" w:rsidP="00BE3ADA">
      <w:pPr>
        <w:spacing w:before="0" w:after="0"/>
        <w:rPr>
          <w:i/>
          <w:sz w:val="24"/>
          <w:szCs w:val="24"/>
        </w:rPr>
      </w:pPr>
      <w:r w:rsidRPr="000709DD">
        <w:rPr>
          <w:i/>
          <w:sz w:val="24"/>
          <w:szCs w:val="24"/>
        </w:rPr>
        <w:t xml:space="preserve">Al </w:t>
      </w:r>
      <w:r>
        <w:rPr>
          <w:i/>
          <w:sz w:val="24"/>
          <w:szCs w:val="24"/>
        </w:rPr>
        <w:t>Comité le preocupa</w:t>
      </w:r>
      <w:r w:rsidRPr="000709DD">
        <w:rPr>
          <w:i/>
          <w:sz w:val="24"/>
          <w:szCs w:val="24"/>
        </w:rPr>
        <w:t xml:space="preserve"> </w:t>
      </w:r>
      <w:r w:rsidR="00D92124">
        <w:rPr>
          <w:i/>
          <w:sz w:val="24"/>
          <w:szCs w:val="24"/>
        </w:rPr>
        <w:t>la alta</w:t>
      </w:r>
      <w:r w:rsidRPr="000709DD">
        <w:rPr>
          <w:i/>
          <w:sz w:val="24"/>
          <w:szCs w:val="24"/>
        </w:rPr>
        <w:t xml:space="preserve"> </w:t>
      </w:r>
      <w:r w:rsidR="00744343">
        <w:rPr>
          <w:i/>
          <w:sz w:val="24"/>
          <w:szCs w:val="24"/>
        </w:rPr>
        <w:t xml:space="preserve">tasa </w:t>
      </w:r>
      <w:r w:rsidRPr="000709DD">
        <w:rPr>
          <w:i/>
          <w:sz w:val="24"/>
          <w:szCs w:val="24"/>
        </w:rPr>
        <w:t>de in</w:t>
      </w:r>
      <w:r w:rsidR="005E5DFF">
        <w:rPr>
          <w:i/>
          <w:sz w:val="24"/>
          <w:szCs w:val="24"/>
        </w:rPr>
        <w:t>activida</w:t>
      </w:r>
      <w:r w:rsidR="00BF178A">
        <w:rPr>
          <w:i/>
          <w:sz w:val="24"/>
          <w:szCs w:val="24"/>
        </w:rPr>
        <w:t>d</w:t>
      </w:r>
      <w:r w:rsidR="00D92124">
        <w:rPr>
          <w:i/>
          <w:sz w:val="24"/>
          <w:szCs w:val="24"/>
        </w:rPr>
        <w:t xml:space="preserve"> laboral</w:t>
      </w:r>
      <w:r w:rsidR="00744343">
        <w:rPr>
          <w:i/>
          <w:sz w:val="24"/>
          <w:szCs w:val="24"/>
        </w:rPr>
        <w:t xml:space="preserve"> de las mujeres con discapacidad</w:t>
      </w:r>
      <w:r w:rsidR="008577D7">
        <w:rPr>
          <w:i/>
          <w:sz w:val="24"/>
          <w:szCs w:val="24"/>
        </w:rPr>
        <w:t>,</w:t>
      </w:r>
      <w:r w:rsidR="008E70DC">
        <w:rPr>
          <w:i/>
          <w:sz w:val="24"/>
          <w:szCs w:val="24"/>
        </w:rPr>
        <w:t xml:space="preserve"> así como</w:t>
      </w:r>
      <w:r w:rsidR="008577D7">
        <w:rPr>
          <w:i/>
          <w:sz w:val="24"/>
          <w:szCs w:val="24"/>
        </w:rPr>
        <w:t xml:space="preserve"> la precariedad en el empleo</w:t>
      </w:r>
      <w:r w:rsidR="00576EA8">
        <w:rPr>
          <w:i/>
          <w:sz w:val="24"/>
          <w:szCs w:val="24"/>
        </w:rPr>
        <w:t xml:space="preserve"> y la brecha salarial que sufren las</w:t>
      </w:r>
      <w:r w:rsidR="008E70DC">
        <w:rPr>
          <w:i/>
          <w:sz w:val="24"/>
          <w:szCs w:val="24"/>
        </w:rPr>
        <w:t xml:space="preserve"> trabajadoras</w:t>
      </w:r>
      <w:r w:rsidR="00576EA8">
        <w:rPr>
          <w:i/>
          <w:sz w:val="24"/>
          <w:szCs w:val="24"/>
        </w:rPr>
        <w:t xml:space="preserve"> con discapacidad</w:t>
      </w:r>
      <w:r w:rsidR="00E021EC">
        <w:rPr>
          <w:i/>
          <w:sz w:val="24"/>
          <w:szCs w:val="24"/>
        </w:rPr>
        <w:t>, en particular aquellas que tienen una discapacidad intelectual, psicosocial o con sordoceguera.</w:t>
      </w:r>
    </w:p>
    <w:p w14:paraId="7F217DCA" w14:textId="77777777" w:rsidR="00BE3ADA" w:rsidRDefault="00BE3ADA" w:rsidP="00BE3ADA">
      <w:pPr>
        <w:spacing w:before="0" w:after="0"/>
        <w:rPr>
          <w:b/>
          <w:i/>
          <w:sz w:val="24"/>
          <w:szCs w:val="24"/>
        </w:rPr>
      </w:pPr>
    </w:p>
    <w:p w14:paraId="3C0DADBD" w14:textId="2F8E3F5C" w:rsidR="000709DD" w:rsidRDefault="000709DD" w:rsidP="00BE3ADA">
      <w:pPr>
        <w:spacing w:before="0" w:after="0"/>
        <w:rPr>
          <w:b/>
          <w:i/>
          <w:sz w:val="24"/>
          <w:szCs w:val="24"/>
        </w:rPr>
      </w:pPr>
      <w:r w:rsidRPr="00BB3BBA">
        <w:rPr>
          <w:b/>
          <w:i/>
          <w:sz w:val="24"/>
          <w:szCs w:val="24"/>
        </w:rPr>
        <w:t xml:space="preserve">El Comité recomienda al Estado </w:t>
      </w:r>
      <w:r w:rsidR="005D3C3A">
        <w:rPr>
          <w:b/>
          <w:i/>
          <w:sz w:val="24"/>
          <w:szCs w:val="24"/>
        </w:rPr>
        <w:t>P</w:t>
      </w:r>
      <w:r w:rsidRPr="00BB3BBA">
        <w:rPr>
          <w:b/>
          <w:i/>
          <w:sz w:val="24"/>
          <w:szCs w:val="24"/>
        </w:rPr>
        <w:t xml:space="preserve">arte que, en estrecha colaboración con las organizaciones de </w:t>
      </w:r>
      <w:r w:rsidR="00B11441" w:rsidRPr="00BB3BBA">
        <w:rPr>
          <w:b/>
          <w:i/>
          <w:sz w:val="24"/>
          <w:szCs w:val="24"/>
        </w:rPr>
        <w:t xml:space="preserve">mujeres </w:t>
      </w:r>
      <w:r w:rsidRPr="00BB3BBA">
        <w:rPr>
          <w:b/>
          <w:i/>
          <w:sz w:val="24"/>
          <w:szCs w:val="24"/>
        </w:rPr>
        <w:t>con discapacidad</w:t>
      </w:r>
      <w:r w:rsidR="00CA76AE">
        <w:rPr>
          <w:b/>
          <w:i/>
          <w:sz w:val="24"/>
          <w:szCs w:val="24"/>
        </w:rPr>
        <w:t>,</w:t>
      </w:r>
      <w:r w:rsidR="00914F36" w:rsidRPr="00BB3BBA">
        <w:rPr>
          <w:b/>
          <w:i/>
          <w:sz w:val="24"/>
          <w:szCs w:val="24"/>
        </w:rPr>
        <w:t xml:space="preserve"> f</w:t>
      </w:r>
      <w:r w:rsidRPr="00BB3BBA">
        <w:rPr>
          <w:b/>
          <w:i/>
          <w:sz w:val="24"/>
          <w:szCs w:val="24"/>
        </w:rPr>
        <w:t xml:space="preserve">ormule y establezca una política de empleo eficaz para las </w:t>
      </w:r>
      <w:r w:rsidR="00BB3BBA" w:rsidRPr="00BB3BBA">
        <w:rPr>
          <w:b/>
          <w:i/>
          <w:sz w:val="24"/>
          <w:szCs w:val="24"/>
        </w:rPr>
        <w:t>mujeres</w:t>
      </w:r>
      <w:r w:rsidRPr="00BB3BBA">
        <w:rPr>
          <w:b/>
          <w:i/>
          <w:sz w:val="24"/>
          <w:szCs w:val="24"/>
        </w:rPr>
        <w:t xml:space="preserve"> con discapacidad a fin de garantizar</w:t>
      </w:r>
      <w:r w:rsidR="00BB3BBA">
        <w:rPr>
          <w:b/>
          <w:i/>
          <w:sz w:val="24"/>
          <w:szCs w:val="24"/>
        </w:rPr>
        <w:t>les</w:t>
      </w:r>
      <w:r w:rsidRPr="00BB3BBA">
        <w:rPr>
          <w:b/>
          <w:i/>
          <w:sz w:val="24"/>
          <w:szCs w:val="24"/>
        </w:rPr>
        <w:t xml:space="preserve"> un </w:t>
      </w:r>
      <w:r w:rsidRPr="0089239A">
        <w:rPr>
          <w:b/>
          <w:i/>
          <w:sz w:val="24"/>
          <w:szCs w:val="24"/>
        </w:rPr>
        <w:t xml:space="preserve">trabajo decente y </w:t>
      </w:r>
      <w:r w:rsidR="005D3C3A">
        <w:rPr>
          <w:b/>
          <w:i/>
          <w:sz w:val="24"/>
          <w:szCs w:val="24"/>
        </w:rPr>
        <w:t>e igual</w:t>
      </w:r>
      <w:r w:rsidRPr="0089239A">
        <w:rPr>
          <w:b/>
          <w:i/>
          <w:sz w:val="24"/>
          <w:szCs w:val="24"/>
        </w:rPr>
        <w:t xml:space="preserve"> remunera</w:t>
      </w:r>
      <w:r w:rsidR="00E35D0F" w:rsidRPr="0089239A">
        <w:rPr>
          <w:b/>
          <w:i/>
          <w:sz w:val="24"/>
          <w:szCs w:val="24"/>
        </w:rPr>
        <w:t>c</w:t>
      </w:r>
      <w:r w:rsidR="00C15761">
        <w:rPr>
          <w:b/>
          <w:i/>
          <w:sz w:val="24"/>
          <w:szCs w:val="24"/>
        </w:rPr>
        <w:t>ión</w:t>
      </w:r>
      <w:r w:rsidR="008D6E2E">
        <w:rPr>
          <w:b/>
          <w:i/>
          <w:sz w:val="24"/>
          <w:szCs w:val="24"/>
        </w:rPr>
        <w:t xml:space="preserve"> p</w:t>
      </w:r>
      <w:r w:rsidR="00960704">
        <w:rPr>
          <w:b/>
          <w:i/>
          <w:sz w:val="24"/>
          <w:szCs w:val="24"/>
        </w:rPr>
        <w:t xml:space="preserve">or trabajo de igual valor, </w:t>
      </w:r>
      <w:r w:rsidR="009E7F7C">
        <w:rPr>
          <w:b/>
          <w:i/>
          <w:sz w:val="24"/>
          <w:szCs w:val="24"/>
        </w:rPr>
        <w:t>tomando particular</w:t>
      </w:r>
      <w:r w:rsidR="00C15761">
        <w:rPr>
          <w:b/>
          <w:i/>
          <w:sz w:val="24"/>
          <w:szCs w:val="24"/>
        </w:rPr>
        <w:t xml:space="preserve"> consideraci</w:t>
      </w:r>
      <w:r w:rsidR="00E933B8">
        <w:rPr>
          <w:b/>
          <w:i/>
          <w:sz w:val="24"/>
          <w:szCs w:val="24"/>
        </w:rPr>
        <w:t>ón de la situación de las</w:t>
      </w:r>
      <w:r w:rsidR="00C15761">
        <w:rPr>
          <w:b/>
          <w:i/>
          <w:sz w:val="24"/>
          <w:szCs w:val="24"/>
        </w:rPr>
        <w:t xml:space="preserve"> mujeres con discapacidad intelectual,</w:t>
      </w:r>
      <w:r w:rsidR="009076D8">
        <w:rPr>
          <w:b/>
          <w:i/>
          <w:sz w:val="24"/>
          <w:szCs w:val="24"/>
        </w:rPr>
        <w:t xml:space="preserve"> psicosocial o con sordoceguera.</w:t>
      </w:r>
    </w:p>
    <w:p w14:paraId="560E672F" w14:textId="4DE92D26" w:rsidR="0037147D" w:rsidRDefault="0037147D" w:rsidP="0037147D">
      <w:pPr>
        <w:spacing w:before="0" w:after="0"/>
        <w:rPr>
          <w:b/>
          <w:i/>
          <w:sz w:val="24"/>
          <w:szCs w:val="24"/>
        </w:rPr>
      </w:pPr>
    </w:p>
    <w:p w14:paraId="0575E22D" w14:textId="77777777" w:rsidR="0037147D" w:rsidRDefault="0037147D" w:rsidP="0037147D">
      <w:pPr>
        <w:spacing w:before="0" w:after="0"/>
        <w:rPr>
          <w:b/>
          <w:i/>
          <w:sz w:val="24"/>
          <w:szCs w:val="24"/>
        </w:rPr>
      </w:pPr>
    </w:p>
    <w:p w14:paraId="3E5270A4" w14:textId="123CEF39" w:rsidR="0037147D" w:rsidRPr="0037147D" w:rsidRDefault="0037147D" w:rsidP="0037147D">
      <w:pPr>
        <w:spacing w:before="0" w:after="0"/>
        <w:rPr>
          <w:b/>
          <w:sz w:val="24"/>
          <w:szCs w:val="24"/>
        </w:rPr>
      </w:pPr>
      <w:r>
        <w:rPr>
          <w:b/>
          <w:sz w:val="24"/>
          <w:szCs w:val="24"/>
        </w:rPr>
        <w:t xml:space="preserve">Artículo 28. </w:t>
      </w:r>
      <w:r w:rsidRPr="0037147D">
        <w:rPr>
          <w:b/>
          <w:sz w:val="24"/>
          <w:szCs w:val="24"/>
        </w:rPr>
        <w:t>Nivel de vi</w:t>
      </w:r>
      <w:r>
        <w:rPr>
          <w:b/>
          <w:sz w:val="24"/>
          <w:szCs w:val="24"/>
        </w:rPr>
        <w:t>da adecuado y protección social</w:t>
      </w:r>
    </w:p>
    <w:p w14:paraId="77D0BE0C" w14:textId="20AA8B10" w:rsidR="0037147D" w:rsidRDefault="0037147D" w:rsidP="0037147D">
      <w:pPr>
        <w:spacing w:before="0" w:after="0"/>
        <w:rPr>
          <w:b/>
          <w:szCs w:val="24"/>
        </w:rPr>
      </w:pPr>
    </w:p>
    <w:p w14:paraId="49A5ACF8" w14:textId="434609BB" w:rsidR="0037147D" w:rsidRDefault="0037147D" w:rsidP="0037147D">
      <w:pPr>
        <w:spacing w:before="0" w:after="0"/>
        <w:rPr>
          <w:i/>
          <w:sz w:val="24"/>
          <w:szCs w:val="24"/>
        </w:rPr>
      </w:pPr>
      <w:r w:rsidRPr="0037147D">
        <w:rPr>
          <w:i/>
          <w:sz w:val="24"/>
          <w:szCs w:val="24"/>
        </w:rPr>
        <w:t>El Comit</w:t>
      </w:r>
      <w:r>
        <w:rPr>
          <w:i/>
          <w:sz w:val="24"/>
          <w:szCs w:val="24"/>
        </w:rPr>
        <w:t>é se muestra preocupado por</w:t>
      </w:r>
      <w:r w:rsidRPr="0037147D">
        <w:rPr>
          <w:i/>
          <w:sz w:val="24"/>
          <w:szCs w:val="24"/>
        </w:rPr>
        <w:t>que</w:t>
      </w:r>
      <w:r>
        <w:rPr>
          <w:i/>
          <w:sz w:val="24"/>
          <w:szCs w:val="24"/>
        </w:rPr>
        <w:t xml:space="preserve"> debido a</w:t>
      </w:r>
      <w:r w:rsidRPr="0037147D">
        <w:rPr>
          <w:i/>
          <w:sz w:val="24"/>
          <w:szCs w:val="24"/>
        </w:rPr>
        <w:t xml:space="preserve"> las medidas de austeridad</w:t>
      </w:r>
      <w:r>
        <w:rPr>
          <w:i/>
          <w:sz w:val="24"/>
          <w:szCs w:val="24"/>
        </w:rPr>
        <w:t xml:space="preserve"> tomadas por el Estado Parte, las personas con discapacidad, especialmente las mujeres, han visto reducido las medidas de protección social</w:t>
      </w:r>
      <w:r w:rsidR="005A4AAB">
        <w:rPr>
          <w:i/>
          <w:sz w:val="24"/>
          <w:szCs w:val="24"/>
        </w:rPr>
        <w:t xml:space="preserve"> generales y de discapacidad</w:t>
      </w:r>
      <w:r>
        <w:rPr>
          <w:i/>
          <w:sz w:val="24"/>
          <w:szCs w:val="24"/>
        </w:rPr>
        <w:t xml:space="preserve">, lo que ha provocado </w:t>
      </w:r>
      <w:r w:rsidR="00F97F6A">
        <w:rPr>
          <w:i/>
          <w:sz w:val="24"/>
          <w:szCs w:val="24"/>
        </w:rPr>
        <w:t>un aumento de su exclusión y pobreza.</w:t>
      </w:r>
      <w:r>
        <w:rPr>
          <w:i/>
          <w:sz w:val="24"/>
          <w:szCs w:val="24"/>
        </w:rPr>
        <w:t xml:space="preserve"> </w:t>
      </w:r>
    </w:p>
    <w:p w14:paraId="70F02166" w14:textId="77777777" w:rsidR="00F53991" w:rsidRPr="0037147D" w:rsidRDefault="00F53991" w:rsidP="0037147D">
      <w:pPr>
        <w:spacing w:before="0" w:after="0"/>
        <w:rPr>
          <w:i/>
          <w:sz w:val="24"/>
          <w:szCs w:val="24"/>
        </w:rPr>
      </w:pPr>
    </w:p>
    <w:p w14:paraId="7B15F2E2" w14:textId="1D5D1248" w:rsidR="0037147D" w:rsidRPr="00F53991" w:rsidRDefault="00F53991" w:rsidP="00F53991">
      <w:pPr>
        <w:spacing w:before="0"/>
        <w:rPr>
          <w:b/>
          <w:i/>
          <w:sz w:val="24"/>
          <w:szCs w:val="24"/>
        </w:rPr>
      </w:pPr>
      <w:r>
        <w:rPr>
          <w:b/>
          <w:i/>
          <w:sz w:val="24"/>
          <w:szCs w:val="24"/>
        </w:rPr>
        <w:lastRenderedPageBreak/>
        <w:t>El Comité recomienda al Estado Parte que restablezca con carácter de urgencia las medidas de protección social y de reducción de la pobreza de las person</w:t>
      </w:r>
      <w:r w:rsidR="009F5EE9">
        <w:rPr>
          <w:b/>
          <w:i/>
          <w:sz w:val="24"/>
          <w:szCs w:val="24"/>
        </w:rPr>
        <w:t>as con discapacidad con perspectiva de género.</w:t>
      </w:r>
    </w:p>
    <w:p w14:paraId="03EFBAA9" w14:textId="50CF4C36" w:rsidR="0048738F" w:rsidRDefault="0048738F">
      <w:pPr>
        <w:spacing w:before="0" w:after="160"/>
        <w:jc w:val="left"/>
        <w:rPr>
          <w:sz w:val="24"/>
          <w:szCs w:val="24"/>
        </w:rPr>
      </w:pPr>
      <w:r>
        <w:rPr>
          <w:sz w:val="24"/>
          <w:szCs w:val="24"/>
        </w:rPr>
        <w:br w:type="page"/>
      </w:r>
    </w:p>
    <w:p w14:paraId="162EBB96" w14:textId="1E69C09A" w:rsidR="006A48D9" w:rsidRDefault="006A48D9" w:rsidP="006A48D9">
      <w:pPr>
        <w:pStyle w:val="ListParagraph"/>
        <w:numPr>
          <w:ilvl w:val="0"/>
          <w:numId w:val="31"/>
        </w:numPr>
        <w:spacing w:before="0"/>
        <w:rPr>
          <w:rFonts w:eastAsiaTheme="majorEastAsia" w:cs="Arial"/>
          <w:b/>
          <w:bCs/>
          <w:sz w:val="24"/>
          <w:szCs w:val="24"/>
        </w:rPr>
      </w:pPr>
      <w:r w:rsidRPr="006A48D9">
        <w:rPr>
          <w:rFonts w:eastAsiaTheme="majorEastAsia" w:cs="Arial"/>
          <w:b/>
          <w:bCs/>
          <w:sz w:val="24"/>
          <w:szCs w:val="24"/>
        </w:rPr>
        <w:lastRenderedPageBreak/>
        <w:t>BIBLIOGRAFÍA</w:t>
      </w:r>
    </w:p>
    <w:p w14:paraId="5A0E974E" w14:textId="6D74AF6F" w:rsidR="006A48D9" w:rsidRDefault="006A48D9" w:rsidP="0035387C">
      <w:pPr>
        <w:pStyle w:val="ListParagraph"/>
        <w:spacing w:before="0" w:after="0"/>
        <w:rPr>
          <w:rFonts w:eastAsiaTheme="majorEastAsia" w:cs="Arial"/>
          <w:b/>
          <w:bCs/>
          <w:sz w:val="24"/>
          <w:szCs w:val="24"/>
        </w:rPr>
      </w:pPr>
    </w:p>
    <w:p w14:paraId="08D2224D" w14:textId="77777777" w:rsidR="00475A4B" w:rsidRDefault="00475A4B" w:rsidP="00475A4B">
      <w:pPr>
        <w:pStyle w:val="FootnoteText"/>
        <w:spacing w:before="0" w:after="0"/>
        <w:rPr>
          <w:rFonts w:ascii="Arial" w:eastAsiaTheme="minorHAnsi" w:hAnsi="Arial" w:cstheme="minorBidi"/>
          <w:sz w:val="22"/>
          <w:szCs w:val="22"/>
        </w:rPr>
      </w:pPr>
      <w:r w:rsidRPr="00144337">
        <w:rPr>
          <w:rFonts w:ascii="Arial" w:eastAsiaTheme="minorHAnsi" w:hAnsi="Arial" w:cstheme="minorBidi"/>
          <w:sz w:val="22"/>
          <w:szCs w:val="22"/>
        </w:rPr>
        <w:t>Delegación del Gobierno para la Violencia de Género</w:t>
      </w:r>
      <w:r>
        <w:rPr>
          <w:rFonts w:ascii="Arial" w:eastAsiaTheme="minorHAnsi" w:hAnsi="Arial" w:cstheme="minorBidi"/>
          <w:sz w:val="22"/>
          <w:szCs w:val="22"/>
        </w:rPr>
        <w:t>.</w:t>
      </w:r>
      <w:r w:rsidRPr="00144337">
        <w:rPr>
          <w:rFonts w:ascii="Arial" w:eastAsiaTheme="minorHAnsi" w:hAnsi="Arial" w:cstheme="minorBidi"/>
          <w:sz w:val="22"/>
          <w:szCs w:val="22"/>
        </w:rPr>
        <w:t xml:space="preserve"> Boletín Estadístic</w:t>
      </w:r>
      <w:r>
        <w:rPr>
          <w:rFonts w:ascii="Arial" w:eastAsiaTheme="minorHAnsi" w:hAnsi="Arial" w:cstheme="minorBidi"/>
          <w:sz w:val="22"/>
          <w:szCs w:val="22"/>
        </w:rPr>
        <w:t>o Anual de Violencia de Género 2017</w:t>
      </w:r>
    </w:p>
    <w:p w14:paraId="007A938E" w14:textId="77777777" w:rsidR="00475A4B" w:rsidRPr="0035387C" w:rsidRDefault="00E93CFC" w:rsidP="00475A4B">
      <w:pPr>
        <w:pStyle w:val="FootnoteText"/>
        <w:spacing w:before="0" w:after="0"/>
        <w:rPr>
          <w:rStyle w:val="Hyperlink"/>
          <w:rFonts w:ascii="Arial" w:eastAsiaTheme="minorHAnsi" w:hAnsi="Arial" w:cstheme="minorBidi"/>
          <w:sz w:val="22"/>
          <w:szCs w:val="22"/>
        </w:rPr>
      </w:pPr>
      <w:hyperlink r:id="rId8" w:history="1">
        <w:r w:rsidR="00475A4B" w:rsidRPr="0035387C">
          <w:rPr>
            <w:rStyle w:val="Hyperlink"/>
            <w:rFonts w:ascii="Arial" w:eastAsiaTheme="minorHAnsi" w:hAnsi="Arial" w:cstheme="minorBidi"/>
            <w:sz w:val="22"/>
            <w:szCs w:val="22"/>
          </w:rPr>
          <w:t>http://www.violenciagenero.igualdad.mpr.gob.es/violenciaEnCifras/boletines/boletinAnual/docs/B_E_Anual_2017_1.pdf</w:t>
        </w:r>
      </w:hyperlink>
    </w:p>
    <w:p w14:paraId="22B39B71" w14:textId="77777777" w:rsidR="00475A4B" w:rsidRDefault="00475A4B" w:rsidP="00475A4B">
      <w:pPr>
        <w:pStyle w:val="ListParagraph"/>
        <w:spacing w:before="0" w:after="0"/>
        <w:ind w:left="0"/>
        <w:jc w:val="left"/>
      </w:pPr>
    </w:p>
    <w:p w14:paraId="4D5348A0" w14:textId="2E703BD1" w:rsidR="004264D4" w:rsidRDefault="004264D4" w:rsidP="004264D4">
      <w:pPr>
        <w:pStyle w:val="ListParagraph"/>
        <w:spacing w:before="0"/>
        <w:ind w:left="0"/>
        <w:jc w:val="left"/>
      </w:pPr>
      <w:r>
        <w:t xml:space="preserve">El País. </w:t>
      </w:r>
      <w:r w:rsidRPr="0048738F">
        <w:t>Depresión ‘sonriente’, mujeres que ocultan su dolor por miedo a ser malas madres</w:t>
      </w:r>
      <w:r>
        <w:t>. 04/05/2017</w:t>
      </w:r>
    </w:p>
    <w:p w14:paraId="0F15F6B9" w14:textId="77777777" w:rsidR="004264D4" w:rsidRDefault="004264D4" w:rsidP="004264D4">
      <w:pPr>
        <w:pStyle w:val="ListParagraph"/>
        <w:spacing w:before="0"/>
        <w:ind w:left="0"/>
        <w:jc w:val="left"/>
      </w:pPr>
      <w:r>
        <w:t xml:space="preserve"> </w:t>
      </w:r>
      <w:hyperlink r:id="rId9" w:history="1">
        <w:r w:rsidRPr="00D5424C">
          <w:rPr>
            <w:rStyle w:val="Hyperlink"/>
          </w:rPr>
          <w:t>https://elpais.com/elpais/2017/05/02/mamas_papas/1493711645_276126.html</w:t>
        </w:r>
      </w:hyperlink>
    </w:p>
    <w:p w14:paraId="12093F1A" w14:textId="6C424EEB" w:rsidR="00B47D8C" w:rsidRDefault="00B47D8C" w:rsidP="00926C21">
      <w:pPr>
        <w:pStyle w:val="ListParagraph"/>
        <w:spacing w:before="0"/>
        <w:ind w:left="0"/>
      </w:pPr>
    </w:p>
    <w:p w14:paraId="239D73EE" w14:textId="670F3B91" w:rsidR="004264D4" w:rsidRDefault="004264D4" w:rsidP="004264D4">
      <w:pPr>
        <w:pStyle w:val="ListParagraph"/>
        <w:spacing w:before="0"/>
        <w:ind w:left="0"/>
        <w:jc w:val="left"/>
        <w:rPr>
          <w:rStyle w:val="Hyperlink"/>
        </w:rPr>
      </w:pPr>
      <w:r>
        <w:t xml:space="preserve">España. </w:t>
      </w:r>
      <w:r w:rsidRPr="00611C63">
        <w:t>Ley Orgánica 10/1995, de 23 de noviembre, del Código Penal.</w:t>
      </w:r>
      <w:r>
        <w:t xml:space="preserve"> Boletín Oficial del Estado, 24 de noviembre de 1995, n</w:t>
      </w:r>
      <w:r w:rsidR="000B2FA5">
        <w:t>úm.</w:t>
      </w:r>
      <w:r>
        <w:t xml:space="preserve"> 281, página 33987 a 34058. </w:t>
      </w:r>
      <w:hyperlink r:id="rId10" w:history="1">
        <w:r w:rsidRPr="00D5424C">
          <w:rPr>
            <w:rStyle w:val="Hyperlink"/>
          </w:rPr>
          <w:t>https://www.boe.es/buscar/act.php?id=BOE-A-1995-25444&amp;tn=1&amp;p=20150428</w:t>
        </w:r>
      </w:hyperlink>
    </w:p>
    <w:p w14:paraId="074B4B0E" w14:textId="77777777" w:rsidR="004264D4" w:rsidRDefault="004264D4" w:rsidP="004264D4">
      <w:pPr>
        <w:pStyle w:val="ListParagraph"/>
        <w:spacing w:before="0"/>
        <w:ind w:left="0"/>
        <w:jc w:val="left"/>
      </w:pPr>
    </w:p>
    <w:p w14:paraId="3A382A45" w14:textId="60295D8E" w:rsidR="004264D4" w:rsidRPr="00D76E0A" w:rsidRDefault="004264D4" w:rsidP="004264D4">
      <w:pPr>
        <w:pStyle w:val="ListParagraph"/>
        <w:spacing w:before="0"/>
        <w:ind w:left="0"/>
        <w:jc w:val="left"/>
      </w:pPr>
      <w:r>
        <w:t xml:space="preserve">España. </w:t>
      </w:r>
      <w:r w:rsidRPr="00033A22">
        <w:t>Ley 41/2002, de 14 de noviembre, básica reguladora de la autonomía del paciente y de derechos y obligaciones en materia de información y documentación clínica</w:t>
      </w:r>
      <w:r w:rsidR="00D76E0A">
        <w:t xml:space="preserve">. </w:t>
      </w:r>
      <w:r w:rsidR="00D76E0A" w:rsidRPr="00D76E0A">
        <w:t>Bolet</w:t>
      </w:r>
      <w:r w:rsidR="00D76E0A">
        <w:t xml:space="preserve">ín Oficial del Estado, </w:t>
      </w:r>
      <w:r w:rsidR="007F00C2">
        <w:t xml:space="preserve">15 de noviembre de 2002, </w:t>
      </w:r>
      <w:r w:rsidR="00D76E0A">
        <w:t>núm. 274, página 40126 a 40132.</w:t>
      </w:r>
      <w:r w:rsidRPr="00D76E0A">
        <w:t xml:space="preserve">  </w:t>
      </w:r>
      <w:hyperlink r:id="rId11" w:history="1">
        <w:r w:rsidRPr="00D76E0A">
          <w:rPr>
            <w:rStyle w:val="Hyperlink"/>
          </w:rPr>
          <w:t>https://www.boe.es/buscar/act.php?id=BOE-A-2002-22188</w:t>
        </w:r>
      </w:hyperlink>
      <w:r w:rsidRPr="00D76E0A">
        <w:t xml:space="preserve"> </w:t>
      </w:r>
    </w:p>
    <w:p w14:paraId="7B3CE1DC" w14:textId="3ABF5197" w:rsidR="004264D4" w:rsidRDefault="004264D4" w:rsidP="004264D4">
      <w:pPr>
        <w:pStyle w:val="ListParagraph"/>
        <w:spacing w:before="0"/>
        <w:ind w:left="0"/>
        <w:jc w:val="left"/>
      </w:pPr>
    </w:p>
    <w:p w14:paraId="2452C05A" w14:textId="6F5D2D7B" w:rsidR="00860C73" w:rsidRDefault="00860C73" w:rsidP="00860C73">
      <w:pPr>
        <w:pStyle w:val="ListParagraph"/>
        <w:spacing w:before="0"/>
        <w:ind w:left="0"/>
        <w:jc w:val="left"/>
      </w:pPr>
      <w:r>
        <w:t xml:space="preserve">España. </w:t>
      </w:r>
      <w:r w:rsidRPr="00860C73">
        <w:t>Ley Orgánica 1/2004, de 28 de diciembre, de Medidas de Protección Integr</w:t>
      </w:r>
      <w:r>
        <w:t>al contra la Violencia de Género. Boletín Oficial del Estado, 29 de diciembre de 2004, núm. 313, pág. 42166 a 42197.</w:t>
      </w:r>
    </w:p>
    <w:p w14:paraId="58A9D722" w14:textId="4BC11C5F" w:rsidR="00860C73" w:rsidRDefault="00860C73" w:rsidP="00860C73">
      <w:pPr>
        <w:pStyle w:val="ListParagraph"/>
        <w:spacing w:before="0"/>
        <w:ind w:left="0"/>
        <w:jc w:val="left"/>
      </w:pPr>
      <w:r>
        <w:t xml:space="preserve"> </w:t>
      </w:r>
      <w:hyperlink r:id="rId12" w:history="1">
        <w:r w:rsidRPr="00D5424C">
          <w:rPr>
            <w:rStyle w:val="Hyperlink"/>
          </w:rPr>
          <w:t>https://www.boe.es/buscar/act.php?id=BOE-A-2004-21760</w:t>
        </w:r>
      </w:hyperlink>
    </w:p>
    <w:p w14:paraId="4A6A3889" w14:textId="77777777" w:rsidR="00A02583" w:rsidRPr="00D76E0A" w:rsidRDefault="00A02583" w:rsidP="00860C73">
      <w:pPr>
        <w:pStyle w:val="ListParagraph"/>
        <w:spacing w:before="0"/>
        <w:ind w:left="0"/>
        <w:jc w:val="left"/>
      </w:pPr>
    </w:p>
    <w:p w14:paraId="7FB9B9B8" w14:textId="30FE54DA" w:rsidR="004264D4" w:rsidRPr="005E3876" w:rsidRDefault="004264D4" w:rsidP="004264D4">
      <w:pPr>
        <w:pStyle w:val="ListParagraph"/>
        <w:spacing w:before="0"/>
        <w:ind w:left="0"/>
        <w:jc w:val="left"/>
      </w:pPr>
      <w:r>
        <w:t xml:space="preserve">España. </w:t>
      </w:r>
      <w:r w:rsidRPr="005E3876">
        <w:t>Ley Orgánica 2/2010, de 3 de marzo, de salud sexual y reproductiva y de la interrupción voluntaria del embarazo</w:t>
      </w:r>
      <w:r w:rsidR="00DD48CE">
        <w:t>. Boletín Oficial del Estado, 04 de marzo de 2010, núm. 55, página 21001 a 21014.</w:t>
      </w:r>
    </w:p>
    <w:p w14:paraId="1316BF95" w14:textId="278C01CD" w:rsidR="004264D4" w:rsidRDefault="004264D4" w:rsidP="004264D4">
      <w:pPr>
        <w:pStyle w:val="ListParagraph"/>
        <w:spacing w:before="0"/>
        <w:ind w:left="0"/>
        <w:jc w:val="left"/>
      </w:pPr>
      <w:r>
        <w:t xml:space="preserve"> </w:t>
      </w:r>
      <w:hyperlink r:id="rId13" w:history="1">
        <w:r w:rsidRPr="00D5424C">
          <w:rPr>
            <w:rStyle w:val="Hyperlink"/>
          </w:rPr>
          <w:t>https://www.boe.es/buscar/act.php?id=BOE-A-2010-3514</w:t>
        </w:r>
      </w:hyperlink>
      <w:r>
        <w:t xml:space="preserve"> </w:t>
      </w:r>
    </w:p>
    <w:p w14:paraId="412DCBA5" w14:textId="77777777" w:rsidR="004264D4" w:rsidRDefault="004264D4" w:rsidP="004264D4">
      <w:pPr>
        <w:pStyle w:val="ListParagraph"/>
        <w:spacing w:before="0"/>
        <w:ind w:left="0"/>
        <w:jc w:val="left"/>
      </w:pPr>
    </w:p>
    <w:p w14:paraId="46DA7B71" w14:textId="697AA0D4" w:rsidR="00611C63" w:rsidRDefault="006E67B6" w:rsidP="00F144EF">
      <w:pPr>
        <w:pStyle w:val="ListParagraph"/>
        <w:spacing w:before="0"/>
        <w:ind w:left="0"/>
        <w:jc w:val="left"/>
      </w:pPr>
      <w:r>
        <w:t xml:space="preserve">España. </w:t>
      </w:r>
      <w:r w:rsidR="00611C63" w:rsidRPr="00611C63">
        <w:t>Ley Orgánica 1/2015, de 30 de marzo, por la que se modifica la Ley Orgánica 10/1995, de 23 de noviembre, del Código Penal</w:t>
      </w:r>
      <w:r>
        <w:t xml:space="preserve">. Boletín Oficial del Estado, </w:t>
      </w:r>
      <w:r w:rsidR="00B23383">
        <w:t>31 de marzo de 2015, núm. 77, p</w:t>
      </w:r>
      <w:r w:rsidR="000F7274">
        <w:t>ágina 27061 a 27176.</w:t>
      </w:r>
      <w:r w:rsidR="00B23383">
        <w:t xml:space="preserve"> </w:t>
      </w:r>
      <w:hyperlink r:id="rId14" w:history="1">
        <w:r w:rsidR="00611C63" w:rsidRPr="00D5424C">
          <w:rPr>
            <w:rStyle w:val="Hyperlink"/>
          </w:rPr>
          <w:t>http://www.boe.es/boe/dias/2015/03/31/pdfs/BOE-A-2015-3439.pdf</w:t>
        </w:r>
      </w:hyperlink>
      <w:r w:rsidR="00611C63">
        <w:t xml:space="preserve"> </w:t>
      </w:r>
    </w:p>
    <w:p w14:paraId="1598361A" w14:textId="77777777" w:rsidR="004264D4" w:rsidRDefault="004264D4" w:rsidP="004264D4">
      <w:pPr>
        <w:pStyle w:val="ListParagraph"/>
        <w:spacing w:before="0"/>
        <w:ind w:left="0"/>
        <w:jc w:val="left"/>
      </w:pPr>
    </w:p>
    <w:p w14:paraId="58BC62D4" w14:textId="6F7E1F5E" w:rsidR="004264D4" w:rsidRDefault="004264D4" w:rsidP="004264D4">
      <w:pPr>
        <w:pStyle w:val="ListParagraph"/>
        <w:spacing w:before="0"/>
        <w:ind w:left="0"/>
        <w:jc w:val="left"/>
        <w:rPr>
          <w:rStyle w:val="Hyperlink"/>
        </w:rPr>
      </w:pPr>
      <w:r>
        <w:t xml:space="preserve">Fundación CERMI MUJERES. </w:t>
      </w:r>
      <w:r w:rsidRPr="00926C21">
        <w:t>Informe sobre violencia de género hacia las mujeres con discapacidad a partir de la Macroencuesta</w:t>
      </w:r>
      <w:r>
        <w:t xml:space="preserve"> </w:t>
      </w:r>
      <w:r w:rsidRPr="00DF48F8">
        <w:t>2015</w:t>
      </w:r>
      <w:r>
        <w:t xml:space="preserve">. </w:t>
      </w:r>
      <w:hyperlink r:id="rId15" w:history="1">
        <w:r w:rsidRPr="00D5424C">
          <w:rPr>
            <w:rStyle w:val="Hyperlink"/>
          </w:rPr>
          <w:t>http://www.fundacioncermimujeres.es/sites/default/files/informe_sobre_violencia_de_genero_2.pdf</w:t>
        </w:r>
      </w:hyperlink>
    </w:p>
    <w:p w14:paraId="7EAFE156" w14:textId="77777777" w:rsidR="004264D4" w:rsidRDefault="004264D4" w:rsidP="004264D4">
      <w:pPr>
        <w:pStyle w:val="ListParagraph"/>
        <w:spacing w:before="0"/>
        <w:ind w:left="0"/>
        <w:jc w:val="left"/>
        <w:rPr>
          <w:rStyle w:val="Hyperlink"/>
        </w:rPr>
      </w:pPr>
    </w:p>
    <w:p w14:paraId="57A347A0" w14:textId="2EB5BB83" w:rsidR="00611C63" w:rsidRDefault="00BB22C1" w:rsidP="00F144EF">
      <w:pPr>
        <w:pStyle w:val="ListParagraph"/>
        <w:spacing w:before="0"/>
        <w:ind w:left="0"/>
        <w:jc w:val="left"/>
      </w:pPr>
      <w:r>
        <w:t xml:space="preserve">Fundación CERMI MUJERES. </w:t>
      </w:r>
      <w:r w:rsidR="00B24DF0">
        <w:t xml:space="preserve">Poner fin a la esterilización forzosa de las mujeres y niñas con discapacidad. </w:t>
      </w:r>
      <w:hyperlink r:id="rId16" w:history="1">
        <w:r w:rsidR="00B24DF0" w:rsidRPr="00D5424C">
          <w:rPr>
            <w:rStyle w:val="Hyperlink"/>
          </w:rPr>
          <w:t>http://www.fundacioncermimujeres.es/sites/default/files/poner_fin_a_la_esterilizacion_forzosa_de_las_mujeres_y_ninas_con_discapacidad.pdf</w:t>
        </w:r>
      </w:hyperlink>
    </w:p>
    <w:p w14:paraId="5AD70730" w14:textId="51D0365D" w:rsidR="004264D4" w:rsidRDefault="004264D4" w:rsidP="00AC52BF">
      <w:pPr>
        <w:pStyle w:val="ListParagraph"/>
        <w:spacing w:before="0"/>
        <w:ind w:left="0"/>
        <w:jc w:val="left"/>
      </w:pPr>
    </w:p>
    <w:p w14:paraId="3547F3E9" w14:textId="4B184D08" w:rsidR="000F15D0" w:rsidRDefault="000F15D0" w:rsidP="00AC52BF">
      <w:pPr>
        <w:pStyle w:val="ListParagraph"/>
        <w:spacing w:before="0"/>
        <w:ind w:left="0"/>
        <w:jc w:val="left"/>
      </w:pPr>
      <w:r>
        <w:t xml:space="preserve">Instituto Nacional de Estadística. El Empleo de las Personas con Discapacidad. Año 2016. (Nota de prensa del 01/12/2017) </w:t>
      </w:r>
    </w:p>
    <w:p w14:paraId="3BC25F9C" w14:textId="3EAAC605" w:rsidR="000F15D0" w:rsidRDefault="00E93CFC" w:rsidP="00AC52BF">
      <w:pPr>
        <w:pStyle w:val="ListParagraph"/>
        <w:spacing w:before="0"/>
        <w:ind w:left="0"/>
        <w:jc w:val="left"/>
        <w:rPr>
          <w:rStyle w:val="Hyperlink"/>
        </w:rPr>
      </w:pPr>
      <w:hyperlink r:id="rId17" w:history="1">
        <w:r w:rsidR="000F15D0" w:rsidRPr="00323A58">
          <w:rPr>
            <w:rStyle w:val="Hyperlink"/>
          </w:rPr>
          <w:t>https://www.ine.es/prensa/epd_2016.pdf</w:t>
        </w:r>
      </w:hyperlink>
    </w:p>
    <w:p w14:paraId="387B729A" w14:textId="77777777" w:rsidR="000F15D0" w:rsidRDefault="000F15D0" w:rsidP="00AC52BF">
      <w:pPr>
        <w:pStyle w:val="ListParagraph"/>
        <w:spacing w:before="0"/>
        <w:ind w:left="0"/>
        <w:jc w:val="left"/>
      </w:pPr>
    </w:p>
    <w:p w14:paraId="70D7ABAA" w14:textId="714008DF" w:rsidR="004264D4" w:rsidRDefault="004264D4" w:rsidP="004264D4">
      <w:pPr>
        <w:pStyle w:val="ListParagraph"/>
        <w:spacing w:before="0"/>
        <w:ind w:left="0"/>
        <w:jc w:val="left"/>
        <w:rPr>
          <w:rStyle w:val="Hyperlink"/>
        </w:rPr>
      </w:pPr>
      <w:r>
        <w:lastRenderedPageBreak/>
        <w:t>Ministerio de Empleo y Seguridad Social. Informe de Mercado de Trabajo de las Personas con Discapacidad Estatal 201</w:t>
      </w:r>
      <w:r w:rsidR="002542BA">
        <w:t>8</w:t>
      </w:r>
      <w:r>
        <w:t xml:space="preserve">. </w:t>
      </w:r>
      <w:hyperlink r:id="rId18" w:history="1">
        <w:r w:rsidR="002542BA" w:rsidRPr="00D96AA9">
          <w:rPr>
            <w:rStyle w:val="Hyperlink"/>
          </w:rPr>
          <w:t>http://www.sepe.es/contenidos/observatorio/mercado_trabajo/3070-1.pdf</w:t>
        </w:r>
      </w:hyperlink>
    </w:p>
    <w:p w14:paraId="19BD5E6D" w14:textId="77777777" w:rsidR="002233DD" w:rsidRDefault="002233DD" w:rsidP="004264D4">
      <w:pPr>
        <w:pStyle w:val="ListParagraph"/>
        <w:spacing w:before="0"/>
        <w:ind w:left="0"/>
        <w:jc w:val="left"/>
      </w:pPr>
    </w:p>
    <w:p w14:paraId="46507B2A" w14:textId="77777777" w:rsidR="002233DD" w:rsidRDefault="002233DD" w:rsidP="002233DD">
      <w:pPr>
        <w:pStyle w:val="ListParagraph"/>
        <w:spacing w:before="0"/>
        <w:ind w:left="0"/>
        <w:jc w:val="left"/>
        <w:rPr>
          <w:rStyle w:val="Hyperlink"/>
        </w:rPr>
      </w:pPr>
      <w:r>
        <w:t xml:space="preserve">Observatorio sobre Discapacidad y Mercado de Trabajo en España. Informe 2 del Observatorio sobre Discapacidad y Mercado de Trabajo de la Fundación ONCE. </w:t>
      </w:r>
      <w:hyperlink r:id="rId19" w:history="1">
        <w:r w:rsidRPr="00D5424C">
          <w:rPr>
            <w:rStyle w:val="Hyperlink"/>
          </w:rPr>
          <w:t>http://odismet.es/es/informes/informe-2-del-observatorio-sobre-discapacidad-y-mercado-de-trabajo-de-la-fundacin-once/25/</w:t>
        </w:r>
      </w:hyperlink>
    </w:p>
    <w:p w14:paraId="0B41B682" w14:textId="77777777" w:rsidR="00AC52BF" w:rsidRDefault="00AC52BF" w:rsidP="0048738F">
      <w:pPr>
        <w:pStyle w:val="ListParagraph"/>
        <w:spacing w:before="0"/>
        <w:ind w:left="0"/>
        <w:jc w:val="left"/>
      </w:pPr>
    </w:p>
    <w:p w14:paraId="4A16AF9E" w14:textId="128BF4A1" w:rsidR="00645951" w:rsidRDefault="001D0FBF" w:rsidP="00645951">
      <w:pPr>
        <w:pStyle w:val="ListParagraph"/>
        <w:spacing w:before="0"/>
        <w:ind w:left="0"/>
        <w:jc w:val="left"/>
      </w:pPr>
      <w:r w:rsidRPr="00645951">
        <w:t xml:space="preserve">Red Europea de </w:t>
      </w:r>
      <w:r>
        <w:t xml:space="preserve">Lucha contra la Pobreza y la Exclusión Social. </w:t>
      </w:r>
      <w:r w:rsidR="00645951" w:rsidRPr="00F95FDD">
        <w:rPr>
          <w:lang w:val="en-GB"/>
        </w:rPr>
        <w:t xml:space="preserve">VIII Informe anual de seguimiento del indicador AROPE -At Risk Of Poverty and/or Exclusion. </w:t>
      </w:r>
      <w:hyperlink r:id="rId20" w:history="1">
        <w:r w:rsidR="00645951" w:rsidRPr="00645951">
          <w:rPr>
            <w:rStyle w:val="Hyperlink"/>
          </w:rPr>
          <w:t>https://www.eapn.es/estadodepobreza/ARCHIVO/documentos/Informe_AROPE_2018.pdf</w:t>
        </w:r>
      </w:hyperlink>
      <w:r w:rsidR="00645951" w:rsidRPr="00645951">
        <w:t xml:space="preserve"> </w:t>
      </w:r>
    </w:p>
    <w:sectPr w:rsidR="00645951" w:rsidSect="00827631">
      <w:headerReference w:type="default" r:id="rId21"/>
      <w:footerReference w:type="default" r:id="rId22"/>
      <w:pgSz w:w="11906" w:h="16838"/>
      <w:pgMar w:top="1417" w:right="1701" w:bottom="1417" w:left="1701" w:header="708" w:footer="11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3E02C" w14:textId="77777777" w:rsidR="00E23581" w:rsidRDefault="00E23581" w:rsidP="00FD5994">
      <w:pPr>
        <w:spacing w:after="0" w:line="240" w:lineRule="auto"/>
      </w:pPr>
      <w:r>
        <w:separator/>
      </w:r>
    </w:p>
  </w:endnote>
  <w:endnote w:type="continuationSeparator" w:id="0">
    <w:p w14:paraId="1E85C0E0" w14:textId="77777777" w:rsidR="00E23581" w:rsidRDefault="00E23581" w:rsidP="00FD5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HEKFA+Arial,Bold">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235310"/>
      <w:docPartObj>
        <w:docPartGallery w:val="Page Numbers (Bottom of Page)"/>
        <w:docPartUnique/>
      </w:docPartObj>
    </w:sdtPr>
    <w:sdtEndPr/>
    <w:sdtContent>
      <w:p w14:paraId="4D9769A7" w14:textId="0C2FEFD8" w:rsidR="0078350F" w:rsidRDefault="0078350F">
        <w:pPr>
          <w:pStyle w:val="Footer"/>
          <w:jc w:val="right"/>
        </w:pPr>
        <w:r>
          <w:fldChar w:fldCharType="begin"/>
        </w:r>
        <w:r>
          <w:instrText>PAGE   \* MERGEFORMAT</w:instrText>
        </w:r>
        <w:r>
          <w:fldChar w:fldCharType="separate"/>
        </w:r>
        <w:r w:rsidR="00E93CFC">
          <w:rPr>
            <w:noProof/>
          </w:rPr>
          <w:t>1</w:t>
        </w:r>
        <w:r>
          <w:fldChar w:fldCharType="end"/>
        </w:r>
      </w:p>
    </w:sdtContent>
  </w:sdt>
  <w:p w14:paraId="28484BC5" w14:textId="2F0AD4EE" w:rsidR="002A4E57" w:rsidRDefault="002A4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8D161" w14:textId="77777777" w:rsidR="00E23581" w:rsidRDefault="00E23581" w:rsidP="00FD5994">
      <w:pPr>
        <w:spacing w:after="0" w:line="240" w:lineRule="auto"/>
      </w:pPr>
      <w:r>
        <w:separator/>
      </w:r>
    </w:p>
  </w:footnote>
  <w:footnote w:type="continuationSeparator" w:id="0">
    <w:p w14:paraId="3008B888" w14:textId="77777777" w:rsidR="00E23581" w:rsidRDefault="00E23581" w:rsidP="00FD5994">
      <w:pPr>
        <w:spacing w:after="0" w:line="240" w:lineRule="auto"/>
      </w:pPr>
      <w:r>
        <w:continuationSeparator/>
      </w:r>
    </w:p>
  </w:footnote>
  <w:footnote w:id="1">
    <w:p w14:paraId="6DE06400" w14:textId="3EB847C3" w:rsidR="00AF0E63" w:rsidRDefault="00AF0E63" w:rsidP="00AF0E63">
      <w:pPr>
        <w:pStyle w:val="FootnoteText"/>
      </w:pPr>
      <w:r>
        <w:rPr>
          <w:rStyle w:val="FootnoteReference"/>
        </w:rPr>
        <w:footnoteRef/>
      </w:r>
      <w:r>
        <w:t xml:space="preserve"> </w:t>
      </w:r>
      <w:r w:rsidRPr="0051529A">
        <w:rPr>
          <w:rFonts w:cs="Arial"/>
          <w:bCs/>
          <w:iCs/>
        </w:rPr>
        <w:t xml:space="preserve">Para mayor información, consúltese </w:t>
      </w:r>
      <w:hyperlink r:id="rId1" w:history="1">
        <w:r w:rsidRPr="0051529A">
          <w:rPr>
            <w:rStyle w:val="Hyperlink"/>
            <w:rFonts w:cs="Arial"/>
            <w:bCs/>
            <w:iCs/>
          </w:rPr>
          <w:t>www.fundacioncermimujeres.es</w:t>
        </w:r>
      </w:hyperlink>
    </w:p>
  </w:footnote>
  <w:footnote w:id="2">
    <w:p w14:paraId="3539D7F6" w14:textId="34BFA175" w:rsidR="00AF0E63" w:rsidRDefault="00AF0E63">
      <w:pPr>
        <w:pStyle w:val="FootnoteText"/>
      </w:pPr>
      <w:r>
        <w:rPr>
          <w:rStyle w:val="FootnoteReference"/>
        </w:rPr>
        <w:footnoteRef/>
      </w:r>
      <w:r>
        <w:t xml:space="preserve"> El informe está disponible en español e inglés, siendo la versión original la española.</w:t>
      </w:r>
    </w:p>
  </w:footnote>
  <w:footnote w:id="3">
    <w:p w14:paraId="1749E4AA" w14:textId="6C6FA050" w:rsidR="00285ED6" w:rsidRPr="00285ED6" w:rsidRDefault="00285ED6">
      <w:pPr>
        <w:pStyle w:val="FootnoteText"/>
      </w:pPr>
      <w:r>
        <w:rPr>
          <w:rStyle w:val="FootnoteReference"/>
        </w:rPr>
        <w:footnoteRef/>
      </w:r>
      <w:r>
        <w:t xml:space="preserve"> </w:t>
      </w:r>
      <w:hyperlink r:id="rId2" w:history="1">
        <w:r w:rsidR="002542BA" w:rsidRPr="00D96AA9">
          <w:rPr>
            <w:rStyle w:val="Hyperlink"/>
          </w:rPr>
          <w:t>http://www.sepe.es/contenidos/observatorio/mercado_trabajo/3070-1.pdf</w:t>
        </w:r>
      </w:hyperlink>
      <w:r w:rsidR="002542BA">
        <w:t xml:space="preserve"> </w:t>
      </w:r>
    </w:p>
  </w:footnote>
  <w:footnote w:id="4">
    <w:p w14:paraId="689C72F7" w14:textId="7D78CE5B" w:rsidR="00860C73" w:rsidRPr="00860C73" w:rsidRDefault="00860C73">
      <w:pPr>
        <w:pStyle w:val="FootnoteText"/>
      </w:pPr>
      <w:r>
        <w:rPr>
          <w:rStyle w:val="FootnoteReference"/>
        </w:rPr>
        <w:footnoteRef/>
      </w:r>
      <w:r>
        <w:t xml:space="preserve"> </w:t>
      </w:r>
      <w:hyperlink r:id="rId3" w:history="1">
        <w:r w:rsidRPr="00D5424C">
          <w:rPr>
            <w:rStyle w:val="Hyperlink"/>
          </w:rPr>
          <w:t>https://www.boe.es/buscar/act.php?id=BOE-A-2004-21760</w:t>
        </w:r>
      </w:hyperlink>
      <w:r>
        <w:t xml:space="preserve"> </w:t>
      </w:r>
    </w:p>
  </w:footnote>
  <w:footnote w:id="5">
    <w:p w14:paraId="4920417A" w14:textId="04E18134" w:rsidR="0096673B" w:rsidRPr="0096673B" w:rsidRDefault="0096673B" w:rsidP="0096673B">
      <w:pPr>
        <w:pStyle w:val="FootnoteText"/>
      </w:pPr>
      <w:r>
        <w:rPr>
          <w:rStyle w:val="FootnoteReference"/>
        </w:rPr>
        <w:footnoteRef/>
      </w:r>
      <w:r>
        <w:t xml:space="preserve"> </w:t>
      </w:r>
      <w:hyperlink r:id="rId4" w:history="1">
        <w:r w:rsidRPr="0096673B">
          <w:rPr>
            <w:rStyle w:val="Hyperlink"/>
          </w:rPr>
          <w:t>http://www.violenciagenero.igualdad.mpr.gob.es/violenciaEnCifras/boletines/boletinAnual/docs/B_E_Anual_2017_1.pdf</w:t>
        </w:r>
      </w:hyperlink>
    </w:p>
  </w:footnote>
  <w:footnote w:id="6">
    <w:p w14:paraId="2AE66CD4" w14:textId="28555D81" w:rsidR="00FD57FD" w:rsidRPr="00FD57FD" w:rsidRDefault="00FD57FD">
      <w:pPr>
        <w:pStyle w:val="FootnoteText"/>
      </w:pPr>
      <w:r>
        <w:rPr>
          <w:rStyle w:val="FootnoteReference"/>
        </w:rPr>
        <w:footnoteRef/>
      </w:r>
      <w:r>
        <w:t xml:space="preserve"> </w:t>
      </w:r>
      <w:hyperlink r:id="rId5" w:history="1">
        <w:r w:rsidRPr="00D5424C">
          <w:rPr>
            <w:rStyle w:val="Hyperlink"/>
          </w:rPr>
          <w:t>http://www.fundacioncermimujeres.es/sites/default/files/informe_sobre_violencia_de_genero_2.pdf</w:t>
        </w:r>
      </w:hyperlink>
      <w:r>
        <w:t xml:space="preserve"> </w:t>
      </w:r>
    </w:p>
  </w:footnote>
  <w:footnote w:id="7">
    <w:p w14:paraId="2BC9F174" w14:textId="5C7EA629" w:rsidR="00611C63" w:rsidRPr="00611C63" w:rsidRDefault="00611C63">
      <w:pPr>
        <w:pStyle w:val="FootnoteText"/>
      </w:pPr>
      <w:r>
        <w:rPr>
          <w:rStyle w:val="FootnoteReference"/>
        </w:rPr>
        <w:footnoteRef/>
      </w:r>
      <w:r>
        <w:t xml:space="preserve"> </w:t>
      </w:r>
      <w:hyperlink r:id="rId6" w:history="1">
        <w:r w:rsidRPr="00D5424C">
          <w:rPr>
            <w:rStyle w:val="Hyperlink"/>
          </w:rPr>
          <w:t>http://www.boe.es/boe/dias/2015/03/31/pdfs/BOE-A-2015-3439.pdf</w:t>
        </w:r>
      </w:hyperlink>
      <w:r>
        <w:t xml:space="preserve"> </w:t>
      </w:r>
    </w:p>
  </w:footnote>
  <w:footnote w:id="8">
    <w:p w14:paraId="699F73F8" w14:textId="77777777" w:rsidR="00861D64" w:rsidRPr="003F4BCA" w:rsidRDefault="00861D64" w:rsidP="00861D64">
      <w:pPr>
        <w:pStyle w:val="FootnoteText"/>
      </w:pPr>
      <w:r>
        <w:rPr>
          <w:rStyle w:val="FootnoteReference"/>
        </w:rPr>
        <w:footnoteRef/>
      </w:r>
      <w:r>
        <w:t xml:space="preserve"> </w:t>
      </w:r>
      <w:hyperlink r:id="rId7" w:history="1">
        <w:r w:rsidRPr="00D5424C">
          <w:rPr>
            <w:rStyle w:val="Hyperlink"/>
          </w:rPr>
          <w:t>https://www.boe.es/buscar/act.php?id=BOE-A-1995-25444&amp;tn=1&amp;p=20150428</w:t>
        </w:r>
      </w:hyperlink>
      <w:r>
        <w:t xml:space="preserve"> </w:t>
      </w:r>
    </w:p>
  </w:footnote>
  <w:footnote w:id="9">
    <w:p w14:paraId="73ED3E1E" w14:textId="39CDBBD1" w:rsidR="00E847C9" w:rsidRPr="001123F1" w:rsidRDefault="00E847C9" w:rsidP="00AE39A9">
      <w:pPr>
        <w:pStyle w:val="p1"/>
        <w:rPr>
          <w:rFonts w:ascii="Arial" w:hAnsi="Arial" w:cs="Arial"/>
          <w:sz w:val="20"/>
          <w:szCs w:val="20"/>
        </w:rPr>
      </w:pPr>
      <w:r w:rsidRPr="001123F1">
        <w:rPr>
          <w:rStyle w:val="FootnoteReference"/>
          <w:rFonts w:ascii="Arial" w:hAnsi="Arial" w:cs="Arial"/>
          <w:sz w:val="20"/>
          <w:szCs w:val="20"/>
        </w:rPr>
        <w:footnoteRef/>
      </w:r>
      <w:r w:rsidRPr="001123F1">
        <w:rPr>
          <w:rFonts w:ascii="Arial" w:hAnsi="Arial" w:cs="Arial"/>
          <w:sz w:val="20"/>
          <w:szCs w:val="20"/>
        </w:rPr>
        <w:t xml:space="preserve"> </w:t>
      </w:r>
      <w:r w:rsidRPr="001123F1">
        <w:rPr>
          <w:rFonts w:ascii="Arial" w:hAnsi="Arial" w:cs="Arial"/>
          <w:sz w:val="20"/>
          <w:szCs w:val="20"/>
          <w:lang w:val="es-ES"/>
        </w:rPr>
        <w:t xml:space="preserve">Así, por ejemplo, por </w:t>
      </w:r>
      <w:r w:rsidRPr="001123F1">
        <w:rPr>
          <w:rFonts w:ascii="Arial" w:hAnsi="Arial" w:cs="Arial"/>
          <w:sz w:val="20"/>
          <w:szCs w:val="20"/>
        </w:rPr>
        <w:t xml:space="preserve">Sentencia de la Audiencia Provincial de Girona de 19 de junio de 2009 se acordó la esterilización de una mujer con déficit cognitivo respecto de la que la propia Sentencia afirma que desarrolla un trabajo fuera de su domicilio con cierta autonomía, lo que permite presumir que podría consentir respecto de la esterilización; la Sentencia autoriza la medida, sin embargo, porque uno de los dictámenes médicos indica que la persona afectada “tiene una considerable dificultad para entender y comprender los aspectos básicos de la trascendencia de una relación sexual y de las posibilidades de una concepción, que es incapaz de desarrollar de forma coherente el ejercicio de la maternidad responsable y que no podría educar y cuidar de sus hijos de forma socialmente deseable”, exigiéndole cualidades que desde luego no se requieren a una persona sin discapacidad. </w:t>
      </w:r>
    </w:p>
    <w:p w14:paraId="51A5317E" w14:textId="77777777" w:rsidR="001123F1" w:rsidRPr="001123F1" w:rsidRDefault="001123F1" w:rsidP="001123F1">
      <w:pPr>
        <w:pStyle w:val="p1"/>
        <w:rPr>
          <w:rFonts w:ascii="Arial" w:hAnsi="Arial" w:cs="Arial"/>
          <w:iCs/>
          <w:sz w:val="20"/>
          <w:szCs w:val="20"/>
        </w:rPr>
      </w:pPr>
      <w:r w:rsidRPr="001123F1">
        <w:rPr>
          <w:rFonts w:ascii="Arial" w:hAnsi="Arial" w:cs="Arial"/>
          <w:sz w:val="20"/>
          <w:szCs w:val="20"/>
        </w:rPr>
        <w:t>Del mismo modo, la Sentencia 80/2015 de la Audiencia Provincial de Asturias, de 26 de marzo de 2015 adoptó la esterilización forzosa en lugar del empleo de otras medidas menos invasivas con base a los informes forenses. En ellos se dictaminaba que la mujer tenía “dificultad para entender y comprender la trascendencia de la relación sexual, no podría desarrollar la maternidad responsable y no podría educar y cuidar de sus hijos de forma socialmente deseable, aconsejando la esterilización quirúrgica y desaconsejando los tratamientos hormonales “por sus riesgos y contraindicaciones, así como por la posibilidad de descuidos terapéuticos contrarrestar o entrar en contraindicación con el tratamiento hormonal”.</w:t>
      </w:r>
    </w:p>
    <w:p w14:paraId="24AB020A" w14:textId="67E8A555" w:rsidR="001123F1" w:rsidRPr="001123F1" w:rsidRDefault="001123F1" w:rsidP="00AE39A9">
      <w:pPr>
        <w:pStyle w:val="p1"/>
        <w:rPr>
          <w:rFonts w:ascii="Arial" w:hAnsi="Arial" w:cs="Arial"/>
          <w:sz w:val="20"/>
          <w:szCs w:val="20"/>
          <w:lang w:val="es-ES"/>
        </w:rPr>
      </w:pPr>
      <w:r w:rsidRPr="001123F1">
        <w:rPr>
          <w:rFonts w:ascii="Arial" w:hAnsi="Arial" w:cs="Arial"/>
          <w:sz w:val="20"/>
          <w:szCs w:val="20"/>
        </w:rPr>
        <w:t xml:space="preserve">En última instancia, cabe reflejar la STS 146/2002, de 1 de enero de 2002, donde se produce una doble discriminación de una mujer con discapacidad, al resolver la absolución de dos facultativos implicados en la esterilización forzosa de una mujer efectuada sin autorización judicial. Así pues, el TS considera que los hechos probados no son constitutivos de delito de lesiones, sino que acreditan la existencia de un “error invencible” porque ambos médicos eran del todo ignorantes del requisito de la autorización judicial. La doble discriminación de la mujer con discapacidad cognitiva se produce, en primer lugar, al ser discriminada por su condición de mujer con discapacidad al ser esterilizada sin su consentimiento e incluso sin el consentimiento sustituido por no cumplir con el requisito de la autorización judicial exigido por el Art 156 CP; y, en segundo lugar, al ser discriminada con respecto a las demás mujeres sin discapacidad que sin mediar el consentimiento o por error son sometidas a esterilización y a las que la justicia repara con condenas e indemnizaciones conforme al daño causado. </w:t>
      </w:r>
    </w:p>
  </w:footnote>
  <w:footnote w:id="10">
    <w:p w14:paraId="1EFB8F7F" w14:textId="7FBABCF0" w:rsidR="00501089" w:rsidRPr="00501089" w:rsidRDefault="00501089">
      <w:pPr>
        <w:pStyle w:val="FootnoteText"/>
        <w:rPr>
          <w:lang w:val="es-ES_tradnl"/>
        </w:rPr>
      </w:pPr>
      <w:r>
        <w:rPr>
          <w:rStyle w:val="FootnoteReference"/>
        </w:rPr>
        <w:footnoteRef/>
      </w:r>
      <w:r>
        <w:t xml:space="preserve"> </w:t>
      </w:r>
      <w:hyperlink r:id="rId8" w:history="1">
        <w:r w:rsidRPr="00D5424C">
          <w:rPr>
            <w:rStyle w:val="Hyperlink"/>
          </w:rPr>
          <w:t>http://www.fundacioncermimujeres.es/sites/default/files/poner_fin_a_la_esterilizacion_forzosa_de_las_mujeres_y_ninas_con_discapacidad.pdf</w:t>
        </w:r>
      </w:hyperlink>
      <w:r>
        <w:t xml:space="preserve"> </w:t>
      </w:r>
    </w:p>
  </w:footnote>
  <w:footnote w:id="11">
    <w:p w14:paraId="572DEF3F" w14:textId="08803FA2" w:rsidR="00821412" w:rsidRPr="00821412" w:rsidRDefault="00821412">
      <w:pPr>
        <w:pStyle w:val="FootnoteText"/>
        <w:rPr>
          <w:lang w:val="es-ES_tradnl"/>
        </w:rPr>
      </w:pPr>
      <w:r>
        <w:rPr>
          <w:rStyle w:val="FootnoteReference"/>
        </w:rPr>
        <w:footnoteRef/>
      </w:r>
      <w:r>
        <w:t xml:space="preserve"> </w:t>
      </w:r>
      <w:hyperlink r:id="rId9" w:history="1">
        <w:r w:rsidRPr="00D5424C">
          <w:rPr>
            <w:rStyle w:val="Hyperlink"/>
          </w:rPr>
          <w:t>https://www.boe.es/buscar/act.php?id=BOE-A-2010-3514</w:t>
        </w:r>
      </w:hyperlink>
      <w:r>
        <w:t xml:space="preserve"> </w:t>
      </w:r>
    </w:p>
  </w:footnote>
  <w:footnote w:id="12">
    <w:p w14:paraId="12ECC5F3" w14:textId="419AB98C" w:rsidR="00AA7C65" w:rsidRPr="00AA7C65" w:rsidRDefault="00AA7C65">
      <w:pPr>
        <w:pStyle w:val="FootnoteText"/>
        <w:rPr>
          <w:lang w:val="es-ES_tradnl"/>
        </w:rPr>
      </w:pPr>
      <w:r>
        <w:rPr>
          <w:rStyle w:val="FootnoteReference"/>
        </w:rPr>
        <w:footnoteRef/>
      </w:r>
      <w:r>
        <w:t xml:space="preserve"> </w:t>
      </w:r>
      <w:hyperlink r:id="rId10" w:history="1">
        <w:r w:rsidRPr="00D5424C">
          <w:rPr>
            <w:rStyle w:val="Hyperlink"/>
          </w:rPr>
          <w:t>https://www.boe.es/buscar/act.php?id=BOE-A-2002-22188</w:t>
        </w:r>
      </w:hyperlink>
      <w:r>
        <w:t xml:space="preserve"> </w:t>
      </w:r>
    </w:p>
  </w:footnote>
  <w:footnote w:id="13">
    <w:p w14:paraId="427BC0A7" w14:textId="4AA3968D" w:rsidR="00D03CDA" w:rsidRPr="00D03CDA" w:rsidRDefault="00D03CDA">
      <w:pPr>
        <w:pStyle w:val="FootnoteText"/>
      </w:pPr>
      <w:r>
        <w:rPr>
          <w:rStyle w:val="FootnoteReference"/>
        </w:rPr>
        <w:footnoteRef/>
      </w:r>
      <w:r>
        <w:t xml:space="preserve">   </w:t>
      </w:r>
      <w:hyperlink r:id="rId11" w:history="1">
        <w:r w:rsidRPr="00D5424C">
          <w:rPr>
            <w:rStyle w:val="Hyperlink"/>
          </w:rPr>
          <w:t>https://elpais.com/elpais/2017/05/02/mamas_papas/1493711645_276126.html</w:t>
        </w:r>
      </w:hyperlink>
      <w:r>
        <w:t xml:space="preserve"> </w:t>
      </w:r>
    </w:p>
  </w:footnote>
  <w:footnote w:id="14">
    <w:p w14:paraId="3B15F77F" w14:textId="6EFF8773" w:rsidR="00AC52BF" w:rsidRPr="00AC52BF" w:rsidRDefault="00AC52BF">
      <w:pPr>
        <w:pStyle w:val="FootnoteText"/>
      </w:pPr>
      <w:r>
        <w:rPr>
          <w:rStyle w:val="FootnoteReference"/>
        </w:rPr>
        <w:footnoteRef/>
      </w:r>
      <w:r>
        <w:t xml:space="preserve"> </w:t>
      </w:r>
      <w:hyperlink r:id="rId12" w:history="1">
        <w:r w:rsidRPr="00D5424C">
          <w:rPr>
            <w:rStyle w:val="Hyperlink"/>
          </w:rPr>
          <w:t>http://odismet.es/es/informes/informe-2-del-observatorio-sobre-discapacidad-y-mercado-de-trabajo-de-la-fundacin-once/25/</w:t>
        </w:r>
      </w:hyperlink>
      <w:r>
        <w:t xml:space="preserve"> </w:t>
      </w:r>
    </w:p>
  </w:footnote>
  <w:footnote w:id="15">
    <w:p w14:paraId="46761259" w14:textId="5B459667" w:rsidR="00323A58" w:rsidRPr="00323A58" w:rsidRDefault="00323A58" w:rsidP="00323A58">
      <w:pPr>
        <w:pStyle w:val="FootnoteText"/>
      </w:pPr>
      <w:r w:rsidRPr="00323A58">
        <w:rPr>
          <w:rStyle w:val="FootnoteReference"/>
        </w:rPr>
        <w:footnoteRef/>
      </w:r>
      <w:r w:rsidRPr="00323A58">
        <w:t xml:space="preserve"> </w:t>
      </w:r>
      <w:hyperlink r:id="rId13" w:history="1">
        <w:r w:rsidRPr="00323A58">
          <w:rPr>
            <w:rStyle w:val="Hyperlink"/>
          </w:rPr>
          <w:t>https://www.ine.es/prensa/epd_2016.pdf</w:t>
        </w:r>
      </w:hyperlink>
    </w:p>
  </w:footnote>
  <w:footnote w:id="16">
    <w:p w14:paraId="781BDF86" w14:textId="28C3F460" w:rsidR="00591244" w:rsidRPr="00591244" w:rsidRDefault="00591244">
      <w:pPr>
        <w:pStyle w:val="FootnoteText"/>
        <w:rPr>
          <w:lang w:val="es-ES_tradnl"/>
        </w:rPr>
      </w:pPr>
      <w:r>
        <w:rPr>
          <w:rStyle w:val="FootnoteReference"/>
        </w:rPr>
        <w:footnoteRef/>
      </w:r>
      <w:r>
        <w:t xml:space="preserve"> </w:t>
      </w:r>
      <w:hyperlink r:id="rId14" w:history="1">
        <w:r w:rsidRPr="00D5424C">
          <w:rPr>
            <w:rStyle w:val="Hyperlink"/>
          </w:rPr>
          <w:t>https://www.eapn.es/estadodepobreza/ARCHIVO/documentos/Informe_AROPE_2018.pdf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50FC9" w14:textId="6AE43BB0" w:rsidR="002A4E57" w:rsidRDefault="002A4E57">
    <w:pPr>
      <w:pStyle w:val="Header"/>
    </w:pPr>
    <w:r>
      <w:rPr>
        <w:noProof/>
        <w:lang w:val="en-GB" w:eastAsia="en-GB"/>
      </w:rPr>
      <w:drawing>
        <wp:anchor distT="0" distB="0" distL="114300" distR="114300" simplePos="0" relativeHeight="251659264" behindDoc="0" locked="0" layoutInCell="1" allowOverlap="1" wp14:anchorId="705FD143" wp14:editId="06A5510C">
          <wp:simplePos x="0" y="0"/>
          <wp:positionH relativeFrom="margin">
            <wp:align>center</wp:align>
          </wp:positionH>
          <wp:positionV relativeFrom="paragraph">
            <wp:posOffset>-278130</wp:posOffset>
          </wp:positionV>
          <wp:extent cx="1980000" cy="846000"/>
          <wp:effectExtent l="0" t="0" r="127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rmi-mujeres.JPG"/>
                  <pic:cNvPicPr/>
                </pic:nvPicPr>
                <pic:blipFill>
                  <a:blip r:embed="rId1">
                    <a:extLst>
                      <a:ext uri="{28A0092B-C50C-407E-A947-70E740481C1C}">
                        <a14:useLocalDpi xmlns:a14="http://schemas.microsoft.com/office/drawing/2010/main" val="0"/>
                      </a:ext>
                    </a:extLst>
                  </a:blip>
                  <a:stretch>
                    <a:fillRect/>
                  </a:stretch>
                </pic:blipFill>
                <pic:spPr>
                  <a:xfrm>
                    <a:off x="0" y="0"/>
                    <a:ext cx="1980000" cy="846000"/>
                  </a:xfrm>
                  <a:prstGeom prst="rect">
                    <a:avLst/>
                  </a:prstGeom>
                </pic:spPr>
              </pic:pic>
            </a:graphicData>
          </a:graphic>
          <wp14:sizeRelH relativeFrom="margin">
            <wp14:pctWidth>0</wp14:pctWidth>
          </wp14:sizeRelH>
          <wp14:sizeRelV relativeFrom="margin">
            <wp14:pctHeight>0</wp14:pctHeight>
          </wp14:sizeRelV>
        </wp:anchor>
      </w:drawing>
    </w:r>
  </w:p>
  <w:p w14:paraId="12DB7E5E" w14:textId="77777777" w:rsidR="002A4E57" w:rsidRDefault="002A4E57">
    <w:pPr>
      <w:pStyle w:val="Header"/>
    </w:pPr>
  </w:p>
  <w:p w14:paraId="098BA8CE" w14:textId="77777777" w:rsidR="002A4E57" w:rsidRDefault="002A4E57">
    <w:pPr>
      <w:pStyle w:val="Header"/>
    </w:pPr>
  </w:p>
  <w:p w14:paraId="09289C4F" w14:textId="77777777" w:rsidR="002A4E57" w:rsidRDefault="002A4E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1C6F"/>
    <w:multiLevelType w:val="hybridMultilevel"/>
    <w:tmpl w:val="4FD88EBE"/>
    <w:lvl w:ilvl="0" w:tplc="5C441B42">
      <w:start w:val="1"/>
      <w:numFmt w:val="decimal"/>
      <w:lvlText w:val="%1."/>
      <w:lvlJc w:val="left"/>
      <w:pPr>
        <w:ind w:left="720" w:hanging="360"/>
      </w:pPr>
      <w:rPr>
        <w:rFonts w:hint="default"/>
      </w:rPr>
    </w:lvl>
    <w:lvl w:ilvl="1" w:tplc="0C0A000D">
      <w:start w:val="1"/>
      <w:numFmt w:val="bullet"/>
      <w:lvlText w:val=""/>
      <w:lvlJc w:val="left"/>
      <w:pPr>
        <w:ind w:left="1440" w:hanging="360"/>
      </w:pPr>
      <w:rPr>
        <w:rFonts w:ascii="Wingdings" w:hAnsi="Wingding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CA4990"/>
    <w:multiLevelType w:val="hybridMultilevel"/>
    <w:tmpl w:val="843EB144"/>
    <w:lvl w:ilvl="0" w:tplc="F968973A">
      <w:start w:val="8"/>
      <w:numFmt w:val="decimal"/>
      <w:lvlText w:val="%1."/>
      <w:lvlJc w:val="left"/>
      <w:pPr>
        <w:ind w:left="270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720D4C"/>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6B2ADB"/>
    <w:multiLevelType w:val="hybridMultilevel"/>
    <w:tmpl w:val="91D6630E"/>
    <w:lvl w:ilvl="0" w:tplc="A7C24630">
      <w:start w:val="1"/>
      <w:numFmt w:val="decimal"/>
      <w:lvlText w:val="%1."/>
      <w:lvlJc w:val="left"/>
      <w:pPr>
        <w:ind w:left="720" w:hanging="360"/>
      </w:pPr>
      <w:rPr>
        <w:rFonts w:cs="Arial"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F9035AA"/>
    <w:multiLevelType w:val="multilevel"/>
    <w:tmpl w:val="1304C198"/>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E10E76"/>
    <w:multiLevelType w:val="hybridMultilevel"/>
    <w:tmpl w:val="A8706466"/>
    <w:lvl w:ilvl="0" w:tplc="6BDE8E0C">
      <w:numFmt w:val="bullet"/>
      <w:lvlText w:val=""/>
      <w:lvlJc w:val="left"/>
      <w:pPr>
        <w:ind w:left="720" w:hanging="360"/>
      </w:pPr>
      <w:rPr>
        <w:rFonts w:ascii="Symbol" w:eastAsiaTheme="minorHAnsi" w:hAnsi="Symbol" w:cs="Arial" w:hint="default"/>
      </w:rPr>
    </w:lvl>
    <w:lvl w:ilvl="1" w:tplc="0C0A0003">
      <w:start w:val="1"/>
      <w:numFmt w:val="bullet"/>
      <w:lvlText w:val="o"/>
      <w:lvlJc w:val="left"/>
      <w:pPr>
        <w:ind w:left="1440" w:hanging="360"/>
      </w:pPr>
      <w:rPr>
        <w:rFonts w:ascii="Courier New" w:hAnsi="Courier New" w:cs="Courier New" w:hint="default"/>
      </w:rPr>
    </w:lvl>
    <w:lvl w:ilvl="2" w:tplc="FD82F340">
      <w:numFmt w:val="bullet"/>
      <w:lvlText w:val="·"/>
      <w:lvlJc w:val="left"/>
      <w:pPr>
        <w:ind w:left="2160" w:hanging="360"/>
      </w:pPr>
      <w:rPr>
        <w:rFonts w:ascii="Arial" w:eastAsiaTheme="minorHAnsi"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3D197B"/>
    <w:multiLevelType w:val="hybridMultilevel"/>
    <w:tmpl w:val="BE2E5A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106703"/>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D22CEF"/>
    <w:multiLevelType w:val="hybridMultilevel"/>
    <w:tmpl w:val="FD487390"/>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47C616A"/>
    <w:multiLevelType w:val="hybridMultilevel"/>
    <w:tmpl w:val="1E90D676"/>
    <w:lvl w:ilvl="0" w:tplc="0C0A000F">
      <w:start w:val="1"/>
      <w:numFmt w:val="decimal"/>
      <w:lvlText w:val="%1."/>
      <w:lvlJc w:val="left"/>
      <w:pPr>
        <w:tabs>
          <w:tab w:val="num" w:pos="720"/>
        </w:tabs>
        <w:ind w:left="720" w:hanging="360"/>
      </w:pPr>
    </w:lvl>
    <w:lvl w:ilvl="1" w:tplc="0C0A0001">
      <w:start w:val="1"/>
      <w:numFmt w:val="bullet"/>
      <w:lvlText w:val=""/>
      <w:lvlJc w:val="left"/>
      <w:pPr>
        <w:tabs>
          <w:tab w:val="num" w:pos="1440"/>
        </w:tabs>
        <w:ind w:left="1440" w:hanging="360"/>
      </w:pPr>
      <w:rPr>
        <w:rFonts w:ascii="Symbol" w:hAnsi="Symbol" w:hint="default"/>
      </w:rPr>
    </w:lvl>
    <w:lvl w:ilvl="2" w:tplc="2AE0230C">
      <w:start w:val="17"/>
      <w:numFmt w:val="decimal"/>
      <w:lvlText w:val="%3"/>
      <w:lvlJc w:val="left"/>
      <w:pPr>
        <w:tabs>
          <w:tab w:val="num" w:pos="2685"/>
        </w:tabs>
        <w:ind w:left="2685" w:hanging="705"/>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94F7390"/>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BA22210"/>
    <w:multiLevelType w:val="hybridMultilevel"/>
    <w:tmpl w:val="D3642D8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25E7D88"/>
    <w:multiLevelType w:val="hybridMultilevel"/>
    <w:tmpl w:val="C602C598"/>
    <w:lvl w:ilvl="0" w:tplc="8DBA9A7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8AC5585"/>
    <w:multiLevelType w:val="hybridMultilevel"/>
    <w:tmpl w:val="3822DD48"/>
    <w:lvl w:ilvl="0" w:tplc="A7C24630">
      <w:start w:val="1"/>
      <w:numFmt w:val="decimal"/>
      <w:lvlText w:val="%1."/>
      <w:lvlJc w:val="left"/>
      <w:pPr>
        <w:ind w:left="720" w:hanging="360"/>
      </w:pPr>
      <w:rPr>
        <w:rFonts w:cs="Arial" w:hint="default"/>
        <w:b/>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F4164C"/>
    <w:multiLevelType w:val="hybridMultilevel"/>
    <w:tmpl w:val="96CED3AE"/>
    <w:lvl w:ilvl="0" w:tplc="6688F29E">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BDF1FE5"/>
    <w:multiLevelType w:val="hybridMultilevel"/>
    <w:tmpl w:val="BD108D88"/>
    <w:lvl w:ilvl="0" w:tplc="0C0A0019">
      <w:start w:val="1"/>
      <w:numFmt w:val="lowerLetter"/>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16" w15:restartNumberingAfterBreak="0">
    <w:nsid w:val="3DF76BF8"/>
    <w:multiLevelType w:val="hybridMultilevel"/>
    <w:tmpl w:val="C19C0C36"/>
    <w:lvl w:ilvl="0" w:tplc="0C0A000D">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7" w15:restartNumberingAfterBreak="0">
    <w:nsid w:val="46D76380"/>
    <w:multiLevelType w:val="hybridMultilevel"/>
    <w:tmpl w:val="0B68ED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C6D3F73"/>
    <w:multiLevelType w:val="multilevel"/>
    <w:tmpl w:val="AF8CF962"/>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7994EFD"/>
    <w:multiLevelType w:val="hybridMultilevel"/>
    <w:tmpl w:val="1F80B450"/>
    <w:lvl w:ilvl="0" w:tplc="0C0A0019">
      <w:start w:val="1"/>
      <w:numFmt w:val="lowerLetter"/>
      <w:lvlText w:val="%1."/>
      <w:lvlJc w:val="left"/>
      <w:pPr>
        <w:ind w:left="2520" w:hanging="360"/>
      </w:pPr>
    </w:lvl>
    <w:lvl w:ilvl="1" w:tplc="0C0A0019">
      <w:start w:val="1"/>
      <w:numFmt w:val="lowerLetter"/>
      <w:lvlText w:val="%2."/>
      <w:lvlJc w:val="left"/>
      <w:pPr>
        <w:ind w:left="3240" w:hanging="360"/>
      </w:pPr>
    </w:lvl>
    <w:lvl w:ilvl="2" w:tplc="0C0A001B" w:tentative="1">
      <w:start w:val="1"/>
      <w:numFmt w:val="lowerRoman"/>
      <w:lvlText w:val="%3."/>
      <w:lvlJc w:val="right"/>
      <w:pPr>
        <w:ind w:left="3960" w:hanging="180"/>
      </w:pPr>
    </w:lvl>
    <w:lvl w:ilvl="3" w:tplc="0C0A000F" w:tentative="1">
      <w:start w:val="1"/>
      <w:numFmt w:val="decimal"/>
      <w:lvlText w:val="%4."/>
      <w:lvlJc w:val="left"/>
      <w:pPr>
        <w:ind w:left="4680" w:hanging="360"/>
      </w:pPr>
    </w:lvl>
    <w:lvl w:ilvl="4" w:tplc="0C0A0019" w:tentative="1">
      <w:start w:val="1"/>
      <w:numFmt w:val="lowerLetter"/>
      <w:lvlText w:val="%5."/>
      <w:lvlJc w:val="left"/>
      <w:pPr>
        <w:ind w:left="5400" w:hanging="360"/>
      </w:pPr>
    </w:lvl>
    <w:lvl w:ilvl="5" w:tplc="0C0A001B" w:tentative="1">
      <w:start w:val="1"/>
      <w:numFmt w:val="lowerRoman"/>
      <w:lvlText w:val="%6."/>
      <w:lvlJc w:val="right"/>
      <w:pPr>
        <w:ind w:left="6120" w:hanging="180"/>
      </w:pPr>
    </w:lvl>
    <w:lvl w:ilvl="6" w:tplc="0C0A000F" w:tentative="1">
      <w:start w:val="1"/>
      <w:numFmt w:val="decimal"/>
      <w:lvlText w:val="%7."/>
      <w:lvlJc w:val="left"/>
      <w:pPr>
        <w:ind w:left="6840" w:hanging="360"/>
      </w:pPr>
    </w:lvl>
    <w:lvl w:ilvl="7" w:tplc="0C0A0019" w:tentative="1">
      <w:start w:val="1"/>
      <w:numFmt w:val="lowerLetter"/>
      <w:lvlText w:val="%8."/>
      <w:lvlJc w:val="left"/>
      <w:pPr>
        <w:ind w:left="7560" w:hanging="360"/>
      </w:pPr>
    </w:lvl>
    <w:lvl w:ilvl="8" w:tplc="0C0A001B" w:tentative="1">
      <w:start w:val="1"/>
      <w:numFmt w:val="lowerRoman"/>
      <w:lvlText w:val="%9."/>
      <w:lvlJc w:val="right"/>
      <w:pPr>
        <w:ind w:left="8280" w:hanging="180"/>
      </w:pPr>
    </w:lvl>
  </w:abstractNum>
  <w:abstractNum w:abstractNumId="20" w15:restartNumberingAfterBreak="0">
    <w:nsid w:val="589176CB"/>
    <w:multiLevelType w:val="hybridMultilevel"/>
    <w:tmpl w:val="F01AD2C0"/>
    <w:lvl w:ilvl="0" w:tplc="0C0A000F">
      <w:start w:val="1"/>
      <w:numFmt w:val="decimal"/>
      <w:lvlText w:val="%1."/>
      <w:lvlJc w:val="left"/>
      <w:pPr>
        <w:ind w:left="720" w:hanging="360"/>
      </w:pPr>
      <w:rPr>
        <w:rFonts w:hint="default"/>
      </w:rPr>
    </w:lvl>
    <w:lvl w:ilvl="1" w:tplc="C89CA614">
      <w:numFmt w:val="bullet"/>
      <w:lvlText w:val="-"/>
      <w:lvlJc w:val="left"/>
      <w:pPr>
        <w:ind w:left="1440" w:hanging="360"/>
      </w:pPr>
      <w:rPr>
        <w:rFonts w:ascii="Arial" w:eastAsiaTheme="minorHAns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9D20C3A"/>
    <w:multiLevelType w:val="hybridMultilevel"/>
    <w:tmpl w:val="6526DFC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CB6702A"/>
    <w:multiLevelType w:val="hybridMultilevel"/>
    <w:tmpl w:val="786E80F0"/>
    <w:lvl w:ilvl="0" w:tplc="6BDE8E0C">
      <w:numFmt w:val="bullet"/>
      <w:lvlText w:val=""/>
      <w:lvlJc w:val="left"/>
      <w:pPr>
        <w:ind w:left="360" w:hanging="360"/>
      </w:pPr>
      <w:rPr>
        <w:rFonts w:ascii="Symbol" w:eastAsiaTheme="minorHAnsi" w:hAnsi="Symbol" w:cs="Arial" w:hint="default"/>
      </w:rPr>
    </w:lvl>
    <w:lvl w:ilvl="1" w:tplc="0C0A0003">
      <w:start w:val="1"/>
      <w:numFmt w:val="bullet"/>
      <w:lvlText w:val="o"/>
      <w:lvlJc w:val="left"/>
      <w:pPr>
        <w:ind w:left="1080" w:hanging="360"/>
      </w:pPr>
      <w:rPr>
        <w:rFonts w:ascii="Courier New" w:hAnsi="Courier New" w:cs="Courier New" w:hint="default"/>
      </w:rPr>
    </w:lvl>
    <w:lvl w:ilvl="2" w:tplc="0C0A0001">
      <w:start w:val="1"/>
      <w:numFmt w:val="bullet"/>
      <w:lvlText w:val=""/>
      <w:lvlJc w:val="left"/>
      <w:pPr>
        <w:ind w:left="1800" w:hanging="360"/>
      </w:pPr>
      <w:rPr>
        <w:rFonts w:ascii="Symbol" w:hAnsi="Symbo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5DCB7F16"/>
    <w:multiLevelType w:val="multilevel"/>
    <w:tmpl w:val="9BE8AEEE"/>
    <w:lvl w:ilvl="0">
      <w:start w:val="1"/>
      <w:numFmt w:val="decimal"/>
      <w:lvlText w:val="%1."/>
      <w:lvlJc w:val="left"/>
      <w:pPr>
        <w:ind w:left="360" w:hanging="360"/>
      </w:pPr>
      <w:rPr>
        <w:rFonts w:cs="Arial" w:hint="default"/>
        <w:b/>
        <w:sz w:val="24"/>
        <w:szCs w:val="24"/>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FF16466"/>
    <w:multiLevelType w:val="hybridMultilevel"/>
    <w:tmpl w:val="C7267EA0"/>
    <w:lvl w:ilvl="0" w:tplc="0C0A0005">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6406FF3"/>
    <w:multiLevelType w:val="hybridMultilevel"/>
    <w:tmpl w:val="EA30D2EE"/>
    <w:lvl w:ilvl="0" w:tplc="AB70942C">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96E7219"/>
    <w:multiLevelType w:val="hybridMultilevel"/>
    <w:tmpl w:val="D31096EE"/>
    <w:lvl w:ilvl="0" w:tplc="AB4C37E8">
      <w:start w:val="1"/>
      <w:numFmt w:val="decimal"/>
      <w:lvlText w:val="%1."/>
      <w:lvlJc w:val="left"/>
      <w:pPr>
        <w:ind w:left="720" w:hanging="360"/>
      </w:pPr>
      <w:rPr>
        <w:rFonts w:ascii="Arial" w:hAnsi="Arial" w:cs="Arial" w:hint="default"/>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B425D4"/>
    <w:multiLevelType w:val="hybridMultilevel"/>
    <w:tmpl w:val="44FABF02"/>
    <w:lvl w:ilvl="0" w:tplc="0C0A0001">
      <w:start w:val="1"/>
      <w:numFmt w:val="bullet"/>
      <w:lvlText w:val=""/>
      <w:lvlJc w:val="left"/>
      <w:pPr>
        <w:ind w:left="720" w:hanging="360"/>
      </w:pPr>
      <w:rPr>
        <w:rFonts w:ascii="Symbol" w:hAnsi="Symbol" w:hint="default"/>
        <w:color w:val="4472C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BFF6509"/>
    <w:multiLevelType w:val="hybridMultilevel"/>
    <w:tmpl w:val="B732A100"/>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1D5F53"/>
    <w:multiLevelType w:val="hybridMultilevel"/>
    <w:tmpl w:val="AB347F6C"/>
    <w:lvl w:ilvl="0" w:tplc="BD06005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C640958"/>
    <w:multiLevelType w:val="hybridMultilevel"/>
    <w:tmpl w:val="602CDD4C"/>
    <w:lvl w:ilvl="0" w:tplc="438A8298">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D2E3C09"/>
    <w:multiLevelType w:val="multilevel"/>
    <w:tmpl w:val="DFF2F19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76E500A7"/>
    <w:multiLevelType w:val="hybridMultilevel"/>
    <w:tmpl w:val="D2BC1A5A"/>
    <w:lvl w:ilvl="0" w:tplc="0C0A0001">
      <w:start w:val="1"/>
      <w:numFmt w:val="bullet"/>
      <w:lvlText w:val=""/>
      <w:lvlJc w:val="left"/>
      <w:pPr>
        <w:ind w:left="780" w:hanging="360"/>
      </w:pPr>
      <w:rPr>
        <w:rFonts w:ascii="Symbol" w:hAnsi="Symbol" w:hint="default"/>
        <w:color w:val="4472C4"/>
      </w:rPr>
    </w:lvl>
    <w:lvl w:ilvl="1" w:tplc="0C0A0003">
      <w:start w:val="1"/>
      <w:numFmt w:val="bullet"/>
      <w:lvlText w:val="o"/>
      <w:lvlJc w:val="left"/>
      <w:pPr>
        <w:ind w:left="1500" w:hanging="360"/>
      </w:pPr>
      <w:rPr>
        <w:rFonts w:ascii="Courier New" w:hAnsi="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hint="default"/>
      </w:rPr>
    </w:lvl>
    <w:lvl w:ilvl="8" w:tplc="0C0A0005" w:tentative="1">
      <w:start w:val="1"/>
      <w:numFmt w:val="bullet"/>
      <w:lvlText w:val=""/>
      <w:lvlJc w:val="left"/>
      <w:pPr>
        <w:ind w:left="6540" w:hanging="360"/>
      </w:pPr>
      <w:rPr>
        <w:rFonts w:ascii="Wingdings" w:hAnsi="Wingdings" w:hint="default"/>
      </w:rPr>
    </w:lvl>
  </w:abstractNum>
  <w:num w:numId="1">
    <w:abstractNumId w:val="10"/>
  </w:num>
  <w:num w:numId="2">
    <w:abstractNumId w:val="5"/>
  </w:num>
  <w:num w:numId="3">
    <w:abstractNumId w:val="29"/>
  </w:num>
  <w:num w:numId="4">
    <w:abstractNumId w:val="0"/>
  </w:num>
  <w:num w:numId="5">
    <w:abstractNumId w:val="32"/>
  </w:num>
  <w:num w:numId="6">
    <w:abstractNumId w:val="27"/>
  </w:num>
  <w:num w:numId="7">
    <w:abstractNumId w:val="12"/>
  </w:num>
  <w:num w:numId="8">
    <w:abstractNumId w:val="31"/>
  </w:num>
  <w:num w:numId="9">
    <w:abstractNumId w:val="9"/>
  </w:num>
  <w:num w:numId="10">
    <w:abstractNumId w:val="24"/>
  </w:num>
  <w:num w:numId="11">
    <w:abstractNumId w:val="11"/>
  </w:num>
  <w:num w:numId="12">
    <w:abstractNumId w:val="18"/>
  </w:num>
  <w:num w:numId="13">
    <w:abstractNumId w:val="14"/>
  </w:num>
  <w:num w:numId="14">
    <w:abstractNumId w:val="2"/>
  </w:num>
  <w:num w:numId="15">
    <w:abstractNumId w:val="7"/>
  </w:num>
  <w:num w:numId="16">
    <w:abstractNumId w:val="22"/>
  </w:num>
  <w:num w:numId="17">
    <w:abstractNumId w:val="30"/>
  </w:num>
  <w:num w:numId="18">
    <w:abstractNumId w:val="1"/>
  </w:num>
  <w:num w:numId="19">
    <w:abstractNumId w:val="19"/>
  </w:num>
  <w:num w:numId="20">
    <w:abstractNumId w:val="15"/>
  </w:num>
  <w:num w:numId="21">
    <w:abstractNumId w:val="16"/>
  </w:num>
  <w:num w:numId="22">
    <w:abstractNumId w:val="20"/>
  </w:num>
  <w:num w:numId="23">
    <w:abstractNumId w:val="25"/>
  </w:num>
  <w:num w:numId="24">
    <w:abstractNumId w:val="17"/>
  </w:num>
  <w:num w:numId="25">
    <w:abstractNumId w:val="28"/>
  </w:num>
  <w:num w:numId="26">
    <w:abstractNumId w:val="21"/>
  </w:num>
  <w:num w:numId="27">
    <w:abstractNumId w:val="4"/>
  </w:num>
  <w:num w:numId="28">
    <w:abstractNumId w:val="26"/>
  </w:num>
  <w:num w:numId="29">
    <w:abstractNumId w:val="8"/>
  </w:num>
  <w:num w:numId="30">
    <w:abstractNumId w:val="6"/>
  </w:num>
  <w:num w:numId="31">
    <w:abstractNumId w:val="23"/>
  </w:num>
  <w:num w:numId="32">
    <w:abstractNumId w:val="13"/>
  </w:num>
  <w:num w:numId="33">
    <w:abstractNumId w:val="3"/>
  </w:num>
  <w:num w:numId="3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994"/>
    <w:rsid w:val="00001D0D"/>
    <w:rsid w:val="0000703D"/>
    <w:rsid w:val="0001373E"/>
    <w:rsid w:val="0001438D"/>
    <w:rsid w:val="00014CDB"/>
    <w:rsid w:val="000153C1"/>
    <w:rsid w:val="00016297"/>
    <w:rsid w:val="000213EF"/>
    <w:rsid w:val="00021DE3"/>
    <w:rsid w:val="00023819"/>
    <w:rsid w:val="00024DF8"/>
    <w:rsid w:val="000259B3"/>
    <w:rsid w:val="0003100D"/>
    <w:rsid w:val="00033A22"/>
    <w:rsid w:val="000355DB"/>
    <w:rsid w:val="000370B6"/>
    <w:rsid w:val="0004007B"/>
    <w:rsid w:val="000412F4"/>
    <w:rsid w:val="00043BD6"/>
    <w:rsid w:val="0005057B"/>
    <w:rsid w:val="00050BC5"/>
    <w:rsid w:val="00050F17"/>
    <w:rsid w:val="0006089D"/>
    <w:rsid w:val="000618B1"/>
    <w:rsid w:val="00061A0F"/>
    <w:rsid w:val="00062A66"/>
    <w:rsid w:val="00065B4F"/>
    <w:rsid w:val="00066AB4"/>
    <w:rsid w:val="00067866"/>
    <w:rsid w:val="0007013C"/>
    <w:rsid w:val="000709DD"/>
    <w:rsid w:val="00071CF9"/>
    <w:rsid w:val="00071D8C"/>
    <w:rsid w:val="000762FA"/>
    <w:rsid w:val="0008043B"/>
    <w:rsid w:val="00083CE8"/>
    <w:rsid w:val="000866F7"/>
    <w:rsid w:val="000919DA"/>
    <w:rsid w:val="00093E23"/>
    <w:rsid w:val="000A281F"/>
    <w:rsid w:val="000A7655"/>
    <w:rsid w:val="000B2C58"/>
    <w:rsid w:val="000B2FA5"/>
    <w:rsid w:val="000B4985"/>
    <w:rsid w:val="000C4C65"/>
    <w:rsid w:val="000C5183"/>
    <w:rsid w:val="000C713C"/>
    <w:rsid w:val="000D341A"/>
    <w:rsid w:val="000D4EEA"/>
    <w:rsid w:val="000D538A"/>
    <w:rsid w:val="000E5193"/>
    <w:rsid w:val="000E544B"/>
    <w:rsid w:val="000F0188"/>
    <w:rsid w:val="000F15D0"/>
    <w:rsid w:val="000F4ABB"/>
    <w:rsid w:val="000F69C5"/>
    <w:rsid w:val="000F6C81"/>
    <w:rsid w:val="000F7274"/>
    <w:rsid w:val="00100DE6"/>
    <w:rsid w:val="001022B7"/>
    <w:rsid w:val="00103227"/>
    <w:rsid w:val="00105F3E"/>
    <w:rsid w:val="001117D3"/>
    <w:rsid w:val="00111858"/>
    <w:rsid w:val="001123F1"/>
    <w:rsid w:val="001149BD"/>
    <w:rsid w:val="001149DC"/>
    <w:rsid w:val="00116909"/>
    <w:rsid w:val="00117A61"/>
    <w:rsid w:val="0012179A"/>
    <w:rsid w:val="00121ED0"/>
    <w:rsid w:val="00126757"/>
    <w:rsid w:val="0013057D"/>
    <w:rsid w:val="001362C9"/>
    <w:rsid w:val="00141FD9"/>
    <w:rsid w:val="00144337"/>
    <w:rsid w:val="001447D8"/>
    <w:rsid w:val="00155365"/>
    <w:rsid w:val="00160B27"/>
    <w:rsid w:val="0016137E"/>
    <w:rsid w:val="001616CF"/>
    <w:rsid w:val="0016205A"/>
    <w:rsid w:val="00163BF5"/>
    <w:rsid w:val="00170D1C"/>
    <w:rsid w:val="001765D6"/>
    <w:rsid w:val="0018351E"/>
    <w:rsid w:val="001904D4"/>
    <w:rsid w:val="001960E2"/>
    <w:rsid w:val="00196237"/>
    <w:rsid w:val="001A30FF"/>
    <w:rsid w:val="001A460D"/>
    <w:rsid w:val="001A6610"/>
    <w:rsid w:val="001B07F4"/>
    <w:rsid w:val="001B2334"/>
    <w:rsid w:val="001B46D9"/>
    <w:rsid w:val="001B4EA8"/>
    <w:rsid w:val="001B5AA2"/>
    <w:rsid w:val="001B70E7"/>
    <w:rsid w:val="001B7128"/>
    <w:rsid w:val="001B73C5"/>
    <w:rsid w:val="001B7847"/>
    <w:rsid w:val="001C5356"/>
    <w:rsid w:val="001C6549"/>
    <w:rsid w:val="001D0FBF"/>
    <w:rsid w:val="001D27EE"/>
    <w:rsid w:val="001D41AB"/>
    <w:rsid w:val="001D4E82"/>
    <w:rsid w:val="001D7369"/>
    <w:rsid w:val="001D7AA9"/>
    <w:rsid w:val="001E18D6"/>
    <w:rsid w:val="001E38A7"/>
    <w:rsid w:val="001E768F"/>
    <w:rsid w:val="001F0823"/>
    <w:rsid w:val="001F2A03"/>
    <w:rsid w:val="001F5DA8"/>
    <w:rsid w:val="001F6C60"/>
    <w:rsid w:val="00200527"/>
    <w:rsid w:val="0020514B"/>
    <w:rsid w:val="0020549D"/>
    <w:rsid w:val="00210A7E"/>
    <w:rsid w:val="00213D2E"/>
    <w:rsid w:val="00222B77"/>
    <w:rsid w:val="002233DD"/>
    <w:rsid w:val="00223445"/>
    <w:rsid w:val="00236CB2"/>
    <w:rsid w:val="002370A8"/>
    <w:rsid w:val="00240D3C"/>
    <w:rsid w:val="00240DBC"/>
    <w:rsid w:val="00242FD6"/>
    <w:rsid w:val="002448E6"/>
    <w:rsid w:val="00246A9F"/>
    <w:rsid w:val="002542BA"/>
    <w:rsid w:val="00257FBD"/>
    <w:rsid w:val="00261052"/>
    <w:rsid w:val="00262E7A"/>
    <w:rsid w:val="00264B4F"/>
    <w:rsid w:val="0026616B"/>
    <w:rsid w:val="00267513"/>
    <w:rsid w:val="0027042A"/>
    <w:rsid w:val="00270E20"/>
    <w:rsid w:val="0027166A"/>
    <w:rsid w:val="002746D3"/>
    <w:rsid w:val="00274A02"/>
    <w:rsid w:val="00276769"/>
    <w:rsid w:val="0027736F"/>
    <w:rsid w:val="002836F0"/>
    <w:rsid w:val="00285ED6"/>
    <w:rsid w:val="00291803"/>
    <w:rsid w:val="00291FC4"/>
    <w:rsid w:val="00294FD6"/>
    <w:rsid w:val="00296D4C"/>
    <w:rsid w:val="00297022"/>
    <w:rsid w:val="00297806"/>
    <w:rsid w:val="002A340C"/>
    <w:rsid w:val="002A4E57"/>
    <w:rsid w:val="002A60A1"/>
    <w:rsid w:val="002B080F"/>
    <w:rsid w:val="002B2CBD"/>
    <w:rsid w:val="002B3AAA"/>
    <w:rsid w:val="002B40D2"/>
    <w:rsid w:val="002B5243"/>
    <w:rsid w:val="002B7CBE"/>
    <w:rsid w:val="002C12C7"/>
    <w:rsid w:val="002C5544"/>
    <w:rsid w:val="002D010A"/>
    <w:rsid w:val="002D1484"/>
    <w:rsid w:val="002D24CA"/>
    <w:rsid w:val="002D314A"/>
    <w:rsid w:val="002D430A"/>
    <w:rsid w:val="002D6A42"/>
    <w:rsid w:val="002E3997"/>
    <w:rsid w:val="002E5352"/>
    <w:rsid w:val="002E5D26"/>
    <w:rsid w:val="002F060D"/>
    <w:rsid w:val="002F2EBC"/>
    <w:rsid w:val="002F3392"/>
    <w:rsid w:val="002F3719"/>
    <w:rsid w:val="002F6946"/>
    <w:rsid w:val="00301A96"/>
    <w:rsid w:val="00301D86"/>
    <w:rsid w:val="00305D05"/>
    <w:rsid w:val="003130DB"/>
    <w:rsid w:val="00315EC9"/>
    <w:rsid w:val="00321A03"/>
    <w:rsid w:val="00323A58"/>
    <w:rsid w:val="0032559E"/>
    <w:rsid w:val="003318AD"/>
    <w:rsid w:val="00331919"/>
    <w:rsid w:val="003322EE"/>
    <w:rsid w:val="0034568E"/>
    <w:rsid w:val="0035047D"/>
    <w:rsid w:val="00351527"/>
    <w:rsid w:val="0035387C"/>
    <w:rsid w:val="00355990"/>
    <w:rsid w:val="00355C51"/>
    <w:rsid w:val="00355D56"/>
    <w:rsid w:val="003560A6"/>
    <w:rsid w:val="00357062"/>
    <w:rsid w:val="00357DFE"/>
    <w:rsid w:val="0036044F"/>
    <w:rsid w:val="00365E62"/>
    <w:rsid w:val="00366A3D"/>
    <w:rsid w:val="0037147D"/>
    <w:rsid w:val="00371965"/>
    <w:rsid w:val="0037560B"/>
    <w:rsid w:val="00375B00"/>
    <w:rsid w:val="0037602B"/>
    <w:rsid w:val="00381557"/>
    <w:rsid w:val="00385B62"/>
    <w:rsid w:val="003879B4"/>
    <w:rsid w:val="0039331D"/>
    <w:rsid w:val="00393971"/>
    <w:rsid w:val="003939B1"/>
    <w:rsid w:val="00395502"/>
    <w:rsid w:val="00397A62"/>
    <w:rsid w:val="003A5106"/>
    <w:rsid w:val="003B0F6B"/>
    <w:rsid w:val="003B2F19"/>
    <w:rsid w:val="003B3D66"/>
    <w:rsid w:val="003B3FC8"/>
    <w:rsid w:val="003B6098"/>
    <w:rsid w:val="003B6734"/>
    <w:rsid w:val="003B6A75"/>
    <w:rsid w:val="003C00A0"/>
    <w:rsid w:val="003C2775"/>
    <w:rsid w:val="003C77C9"/>
    <w:rsid w:val="003C7C6A"/>
    <w:rsid w:val="003D55F2"/>
    <w:rsid w:val="003D5C41"/>
    <w:rsid w:val="003D7A9C"/>
    <w:rsid w:val="003D7D88"/>
    <w:rsid w:val="003E1454"/>
    <w:rsid w:val="003E1AE4"/>
    <w:rsid w:val="003F4BCA"/>
    <w:rsid w:val="003F6BE2"/>
    <w:rsid w:val="004032EE"/>
    <w:rsid w:val="0040366D"/>
    <w:rsid w:val="00403E59"/>
    <w:rsid w:val="00405708"/>
    <w:rsid w:val="00406C38"/>
    <w:rsid w:val="0040755C"/>
    <w:rsid w:val="0041307A"/>
    <w:rsid w:val="00415F93"/>
    <w:rsid w:val="00416C31"/>
    <w:rsid w:val="00416F28"/>
    <w:rsid w:val="004264D4"/>
    <w:rsid w:val="004304C3"/>
    <w:rsid w:val="00435BF3"/>
    <w:rsid w:val="00437C96"/>
    <w:rsid w:val="004462DD"/>
    <w:rsid w:val="00457356"/>
    <w:rsid w:val="0045744B"/>
    <w:rsid w:val="00460687"/>
    <w:rsid w:val="00460C90"/>
    <w:rsid w:val="004650E5"/>
    <w:rsid w:val="004659AE"/>
    <w:rsid w:val="00466876"/>
    <w:rsid w:val="0047482B"/>
    <w:rsid w:val="00475A4B"/>
    <w:rsid w:val="00477086"/>
    <w:rsid w:val="00477C2E"/>
    <w:rsid w:val="0048249A"/>
    <w:rsid w:val="0048505F"/>
    <w:rsid w:val="00485B3F"/>
    <w:rsid w:val="0048738F"/>
    <w:rsid w:val="0049173C"/>
    <w:rsid w:val="0049476A"/>
    <w:rsid w:val="004A0697"/>
    <w:rsid w:val="004A4CB7"/>
    <w:rsid w:val="004A524B"/>
    <w:rsid w:val="004A65CF"/>
    <w:rsid w:val="004A78B2"/>
    <w:rsid w:val="004B0D2F"/>
    <w:rsid w:val="004B2539"/>
    <w:rsid w:val="004B4CD7"/>
    <w:rsid w:val="004C0588"/>
    <w:rsid w:val="004C0C48"/>
    <w:rsid w:val="004C1E8F"/>
    <w:rsid w:val="004C4322"/>
    <w:rsid w:val="004C5369"/>
    <w:rsid w:val="004C6BDB"/>
    <w:rsid w:val="004D051E"/>
    <w:rsid w:val="004D1736"/>
    <w:rsid w:val="004D1882"/>
    <w:rsid w:val="004D5BAA"/>
    <w:rsid w:val="004D6A78"/>
    <w:rsid w:val="004D72E4"/>
    <w:rsid w:val="004E26E6"/>
    <w:rsid w:val="004E61D3"/>
    <w:rsid w:val="004F0DBB"/>
    <w:rsid w:val="004F18EB"/>
    <w:rsid w:val="004F28A9"/>
    <w:rsid w:val="004F2FF3"/>
    <w:rsid w:val="004F3AC7"/>
    <w:rsid w:val="004F3B0A"/>
    <w:rsid w:val="00501089"/>
    <w:rsid w:val="005012A9"/>
    <w:rsid w:val="00505291"/>
    <w:rsid w:val="00507B7F"/>
    <w:rsid w:val="005103BB"/>
    <w:rsid w:val="005124D1"/>
    <w:rsid w:val="0051376F"/>
    <w:rsid w:val="0051398F"/>
    <w:rsid w:val="00514CFB"/>
    <w:rsid w:val="0051529A"/>
    <w:rsid w:val="00515F36"/>
    <w:rsid w:val="00517093"/>
    <w:rsid w:val="00517724"/>
    <w:rsid w:val="00521B95"/>
    <w:rsid w:val="00521CB3"/>
    <w:rsid w:val="00525DEB"/>
    <w:rsid w:val="00525E87"/>
    <w:rsid w:val="00536308"/>
    <w:rsid w:val="0053740B"/>
    <w:rsid w:val="0054389F"/>
    <w:rsid w:val="00546E5D"/>
    <w:rsid w:val="0055548B"/>
    <w:rsid w:val="005556FC"/>
    <w:rsid w:val="005619B3"/>
    <w:rsid w:val="00562348"/>
    <w:rsid w:val="0056361C"/>
    <w:rsid w:val="00566E73"/>
    <w:rsid w:val="00570A20"/>
    <w:rsid w:val="00573007"/>
    <w:rsid w:val="00575623"/>
    <w:rsid w:val="00576EA8"/>
    <w:rsid w:val="0058099B"/>
    <w:rsid w:val="00580B2D"/>
    <w:rsid w:val="00581E36"/>
    <w:rsid w:val="0058534E"/>
    <w:rsid w:val="00586B58"/>
    <w:rsid w:val="00591244"/>
    <w:rsid w:val="00592D47"/>
    <w:rsid w:val="0059658A"/>
    <w:rsid w:val="005974AD"/>
    <w:rsid w:val="005A4AAB"/>
    <w:rsid w:val="005A7FA7"/>
    <w:rsid w:val="005B39C5"/>
    <w:rsid w:val="005B4110"/>
    <w:rsid w:val="005B7D9A"/>
    <w:rsid w:val="005C56F7"/>
    <w:rsid w:val="005D3C3A"/>
    <w:rsid w:val="005D7529"/>
    <w:rsid w:val="005D7891"/>
    <w:rsid w:val="005E0A83"/>
    <w:rsid w:val="005E3876"/>
    <w:rsid w:val="005E5DFF"/>
    <w:rsid w:val="005F14E7"/>
    <w:rsid w:val="005F1791"/>
    <w:rsid w:val="005F4614"/>
    <w:rsid w:val="005F5857"/>
    <w:rsid w:val="005F69EE"/>
    <w:rsid w:val="006008D3"/>
    <w:rsid w:val="00602A98"/>
    <w:rsid w:val="00602B27"/>
    <w:rsid w:val="006036F7"/>
    <w:rsid w:val="00605482"/>
    <w:rsid w:val="006100D2"/>
    <w:rsid w:val="00610B3D"/>
    <w:rsid w:val="00610C24"/>
    <w:rsid w:val="00611AC3"/>
    <w:rsid w:val="00611C63"/>
    <w:rsid w:val="00612DA4"/>
    <w:rsid w:val="00613BC2"/>
    <w:rsid w:val="006162A5"/>
    <w:rsid w:val="00620250"/>
    <w:rsid w:val="00621FFB"/>
    <w:rsid w:val="006308E5"/>
    <w:rsid w:val="00634124"/>
    <w:rsid w:val="00637F3C"/>
    <w:rsid w:val="006449F7"/>
    <w:rsid w:val="00645951"/>
    <w:rsid w:val="00645A9D"/>
    <w:rsid w:val="00646643"/>
    <w:rsid w:val="00646E48"/>
    <w:rsid w:val="00650176"/>
    <w:rsid w:val="00650481"/>
    <w:rsid w:val="0065143F"/>
    <w:rsid w:val="006514B6"/>
    <w:rsid w:val="00651583"/>
    <w:rsid w:val="00655F44"/>
    <w:rsid w:val="00657B21"/>
    <w:rsid w:val="00666395"/>
    <w:rsid w:val="006667F9"/>
    <w:rsid w:val="00673407"/>
    <w:rsid w:val="00681A2E"/>
    <w:rsid w:val="00684FA8"/>
    <w:rsid w:val="00686352"/>
    <w:rsid w:val="006869DB"/>
    <w:rsid w:val="00691FBE"/>
    <w:rsid w:val="00692AEE"/>
    <w:rsid w:val="00693A54"/>
    <w:rsid w:val="00693B7E"/>
    <w:rsid w:val="0069637E"/>
    <w:rsid w:val="006A001D"/>
    <w:rsid w:val="006A0A33"/>
    <w:rsid w:val="006A48D9"/>
    <w:rsid w:val="006A53AE"/>
    <w:rsid w:val="006B0ECE"/>
    <w:rsid w:val="006B214E"/>
    <w:rsid w:val="006B27C9"/>
    <w:rsid w:val="006B4D5C"/>
    <w:rsid w:val="006B7BDE"/>
    <w:rsid w:val="006C0D1F"/>
    <w:rsid w:val="006C177F"/>
    <w:rsid w:val="006C526F"/>
    <w:rsid w:val="006C66CD"/>
    <w:rsid w:val="006C6965"/>
    <w:rsid w:val="006C7D24"/>
    <w:rsid w:val="006D1434"/>
    <w:rsid w:val="006D2754"/>
    <w:rsid w:val="006D38E9"/>
    <w:rsid w:val="006D7C6F"/>
    <w:rsid w:val="006D7F89"/>
    <w:rsid w:val="006E3D73"/>
    <w:rsid w:val="006E67B6"/>
    <w:rsid w:val="006F22B2"/>
    <w:rsid w:val="006F3CFF"/>
    <w:rsid w:val="006F56D6"/>
    <w:rsid w:val="0070009D"/>
    <w:rsid w:val="00700AB5"/>
    <w:rsid w:val="00702261"/>
    <w:rsid w:val="00707598"/>
    <w:rsid w:val="00707C6F"/>
    <w:rsid w:val="00712297"/>
    <w:rsid w:val="00712C9F"/>
    <w:rsid w:val="0071602B"/>
    <w:rsid w:val="00716DFB"/>
    <w:rsid w:val="00717AFD"/>
    <w:rsid w:val="00717C26"/>
    <w:rsid w:val="00723415"/>
    <w:rsid w:val="00725734"/>
    <w:rsid w:val="007316AB"/>
    <w:rsid w:val="007333CB"/>
    <w:rsid w:val="00734535"/>
    <w:rsid w:val="0073511E"/>
    <w:rsid w:val="00735B7B"/>
    <w:rsid w:val="00736256"/>
    <w:rsid w:val="00737316"/>
    <w:rsid w:val="00737945"/>
    <w:rsid w:val="00737CAB"/>
    <w:rsid w:val="00740FAE"/>
    <w:rsid w:val="00742422"/>
    <w:rsid w:val="0074293F"/>
    <w:rsid w:val="00744343"/>
    <w:rsid w:val="0074479A"/>
    <w:rsid w:val="007452F0"/>
    <w:rsid w:val="007477B0"/>
    <w:rsid w:val="00750C32"/>
    <w:rsid w:val="0075386B"/>
    <w:rsid w:val="00754AFB"/>
    <w:rsid w:val="00760571"/>
    <w:rsid w:val="00762868"/>
    <w:rsid w:val="0076316A"/>
    <w:rsid w:val="00765697"/>
    <w:rsid w:val="00765924"/>
    <w:rsid w:val="00766D51"/>
    <w:rsid w:val="0077439F"/>
    <w:rsid w:val="007757E8"/>
    <w:rsid w:val="00781983"/>
    <w:rsid w:val="0078350F"/>
    <w:rsid w:val="007846DB"/>
    <w:rsid w:val="0079176D"/>
    <w:rsid w:val="00794653"/>
    <w:rsid w:val="0079693C"/>
    <w:rsid w:val="007A57E7"/>
    <w:rsid w:val="007A674D"/>
    <w:rsid w:val="007A7711"/>
    <w:rsid w:val="007B1361"/>
    <w:rsid w:val="007B2E01"/>
    <w:rsid w:val="007B3178"/>
    <w:rsid w:val="007B59E0"/>
    <w:rsid w:val="007C0330"/>
    <w:rsid w:val="007C41CE"/>
    <w:rsid w:val="007C4BB2"/>
    <w:rsid w:val="007D33FF"/>
    <w:rsid w:val="007D59CD"/>
    <w:rsid w:val="007E2E60"/>
    <w:rsid w:val="007E4B50"/>
    <w:rsid w:val="007E532C"/>
    <w:rsid w:val="007E55E9"/>
    <w:rsid w:val="007E5B04"/>
    <w:rsid w:val="007E69E4"/>
    <w:rsid w:val="007E704D"/>
    <w:rsid w:val="007F00C2"/>
    <w:rsid w:val="007F20E8"/>
    <w:rsid w:val="007F37A9"/>
    <w:rsid w:val="007F5919"/>
    <w:rsid w:val="007F637F"/>
    <w:rsid w:val="007F6AA3"/>
    <w:rsid w:val="0080071E"/>
    <w:rsid w:val="008026FE"/>
    <w:rsid w:val="00802AC8"/>
    <w:rsid w:val="00812F36"/>
    <w:rsid w:val="00814882"/>
    <w:rsid w:val="0081555C"/>
    <w:rsid w:val="0082036E"/>
    <w:rsid w:val="00821412"/>
    <w:rsid w:val="00823A79"/>
    <w:rsid w:val="00827571"/>
    <w:rsid w:val="00827631"/>
    <w:rsid w:val="00831AAA"/>
    <w:rsid w:val="0083505D"/>
    <w:rsid w:val="008428C6"/>
    <w:rsid w:val="0084347C"/>
    <w:rsid w:val="00844476"/>
    <w:rsid w:val="0084779E"/>
    <w:rsid w:val="00850666"/>
    <w:rsid w:val="00854D8D"/>
    <w:rsid w:val="0085542A"/>
    <w:rsid w:val="0085622F"/>
    <w:rsid w:val="008577D7"/>
    <w:rsid w:val="0086004D"/>
    <w:rsid w:val="00860C73"/>
    <w:rsid w:val="00860F5B"/>
    <w:rsid w:val="00861D64"/>
    <w:rsid w:val="00862D48"/>
    <w:rsid w:val="00866970"/>
    <w:rsid w:val="008801AA"/>
    <w:rsid w:val="00885247"/>
    <w:rsid w:val="00886124"/>
    <w:rsid w:val="008865F9"/>
    <w:rsid w:val="008868C7"/>
    <w:rsid w:val="0089177E"/>
    <w:rsid w:val="0089181C"/>
    <w:rsid w:val="0089239A"/>
    <w:rsid w:val="00892A62"/>
    <w:rsid w:val="00895F6D"/>
    <w:rsid w:val="00895F74"/>
    <w:rsid w:val="00896C6D"/>
    <w:rsid w:val="00897D89"/>
    <w:rsid w:val="008A1172"/>
    <w:rsid w:val="008A32F0"/>
    <w:rsid w:val="008A525A"/>
    <w:rsid w:val="008A6C8F"/>
    <w:rsid w:val="008B07BF"/>
    <w:rsid w:val="008B4FF5"/>
    <w:rsid w:val="008C082A"/>
    <w:rsid w:val="008C2087"/>
    <w:rsid w:val="008C2469"/>
    <w:rsid w:val="008C7C6F"/>
    <w:rsid w:val="008D03BF"/>
    <w:rsid w:val="008D0986"/>
    <w:rsid w:val="008D19E9"/>
    <w:rsid w:val="008D3677"/>
    <w:rsid w:val="008D391C"/>
    <w:rsid w:val="008D41E1"/>
    <w:rsid w:val="008D63BF"/>
    <w:rsid w:val="008D6E2E"/>
    <w:rsid w:val="008D7BD1"/>
    <w:rsid w:val="008E178F"/>
    <w:rsid w:val="008E1D96"/>
    <w:rsid w:val="008E5111"/>
    <w:rsid w:val="008E70DC"/>
    <w:rsid w:val="008F0CBE"/>
    <w:rsid w:val="008F3C47"/>
    <w:rsid w:val="008F551D"/>
    <w:rsid w:val="00900A63"/>
    <w:rsid w:val="00902927"/>
    <w:rsid w:val="00903AD7"/>
    <w:rsid w:val="00904021"/>
    <w:rsid w:val="009054E3"/>
    <w:rsid w:val="009076D8"/>
    <w:rsid w:val="00907933"/>
    <w:rsid w:val="00912CC0"/>
    <w:rsid w:val="00913B07"/>
    <w:rsid w:val="00913BE2"/>
    <w:rsid w:val="00913F18"/>
    <w:rsid w:val="00914A00"/>
    <w:rsid w:val="00914E8D"/>
    <w:rsid w:val="00914F36"/>
    <w:rsid w:val="009150B7"/>
    <w:rsid w:val="0091671F"/>
    <w:rsid w:val="009173EA"/>
    <w:rsid w:val="00917EBB"/>
    <w:rsid w:val="00925B3E"/>
    <w:rsid w:val="00926A9A"/>
    <w:rsid w:val="00926C21"/>
    <w:rsid w:val="00927403"/>
    <w:rsid w:val="009333CC"/>
    <w:rsid w:val="00935225"/>
    <w:rsid w:val="009402E4"/>
    <w:rsid w:val="00941646"/>
    <w:rsid w:val="00947611"/>
    <w:rsid w:val="00950428"/>
    <w:rsid w:val="0095197F"/>
    <w:rsid w:val="00953652"/>
    <w:rsid w:val="00954FEC"/>
    <w:rsid w:val="00955570"/>
    <w:rsid w:val="009556E3"/>
    <w:rsid w:val="009603DA"/>
    <w:rsid w:val="00960704"/>
    <w:rsid w:val="0096253D"/>
    <w:rsid w:val="009629F6"/>
    <w:rsid w:val="0096673B"/>
    <w:rsid w:val="00966C88"/>
    <w:rsid w:val="0096771B"/>
    <w:rsid w:val="00967BBB"/>
    <w:rsid w:val="00972315"/>
    <w:rsid w:val="00982307"/>
    <w:rsid w:val="009825C1"/>
    <w:rsid w:val="00984A81"/>
    <w:rsid w:val="009863EB"/>
    <w:rsid w:val="0099176D"/>
    <w:rsid w:val="00991B7E"/>
    <w:rsid w:val="0099263B"/>
    <w:rsid w:val="009936EE"/>
    <w:rsid w:val="00993BE9"/>
    <w:rsid w:val="00996D24"/>
    <w:rsid w:val="009B174F"/>
    <w:rsid w:val="009B2F47"/>
    <w:rsid w:val="009B65F5"/>
    <w:rsid w:val="009B7CB5"/>
    <w:rsid w:val="009C6B5E"/>
    <w:rsid w:val="009C779F"/>
    <w:rsid w:val="009D000D"/>
    <w:rsid w:val="009D02C3"/>
    <w:rsid w:val="009D2840"/>
    <w:rsid w:val="009E1200"/>
    <w:rsid w:val="009E1F28"/>
    <w:rsid w:val="009E28BA"/>
    <w:rsid w:val="009E549F"/>
    <w:rsid w:val="009E6303"/>
    <w:rsid w:val="009E7F7C"/>
    <w:rsid w:val="009F26E3"/>
    <w:rsid w:val="009F2C8C"/>
    <w:rsid w:val="009F5EE9"/>
    <w:rsid w:val="00A00C56"/>
    <w:rsid w:val="00A02583"/>
    <w:rsid w:val="00A049AB"/>
    <w:rsid w:val="00A04C46"/>
    <w:rsid w:val="00A077D8"/>
    <w:rsid w:val="00A12B43"/>
    <w:rsid w:val="00A12CD7"/>
    <w:rsid w:val="00A13848"/>
    <w:rsid w:val="00A14E2D"/>
    <w:rsid w:val="00A15FCA"/>
    <w:rsid w:val="00A1694B"/>
    <w:rsid w:val="00A20464"/>
    <w:rsid w:val="00A24228"/>
    <w:rsid w:val="00A24963"/>
    <w:rsid w:val="00A26223"/>
    <w:rsid w:val="00A317AB"/>
    <w:rsid w:val="00A31AEF"/>
    <w:rsid w:val="00A31F36"/>
    <w:rsid w:val="00A33B16"/>
    <w:rsid w:val="00A4170A"/>
    <w:rsid w:val="00A42F5D"/>
    <w:rsid w:val="00A431FE"/>
    <w:rsid w:val="00A47733"/>
    <w:rsid w:val="00A52043"/>
    <w:rsid w:val="00A534AC"/>
    <w:rsid w:val="00A53FEE"/>
    <w:rsid w:val="00A54DB0"/>
    <w:rsid w:val="00A550CE"/>
    <w:rsid w:val="00A563A7"/>
    <w:rsid w:val="00A568C7"/>
    <w:rsid w:val="00A61FE2"/>
    <w:rsid w:val="00A66F99"/>
    <w:rsid w:val="00A712EB"/>
    <w:rsid w:val="00A74450"/>
    <w:rsid w:val="00A75B29"/>
    <w:rsid w:val="00A7620F"/>
    <w:rsid w:val="00A77372"/>
    <w:rsid w:val="00A80DFA"/>
    <w:rsid w:val="00A8115F"/>
    <w:rsid w:val="00A811D1"/>
    <w:rsid w:val="00A81398"/>
    <w:rsid w:val="00A86712"/>
    <w:rsid w:val="00A9016D"/>
    <w:rsid w:val="00A901D7"/>
    <w:rsid w:val="00A93F03"/>
    <w:rsid w:val="00AA30E3"/>
    <w:rsid w:val="00AA7C65"/>
    <w:rsid w:val="00AB2171"/>
    <w:rsid w:val="00AB271F"/>
    <w:rsid w:val="00AB3662"/>
    <w:rsid w:val="00AB455A"/>
    <w:rsid w:val="00AB5365"/>
    <w:rsid w:val="00AB7015"/>
    <w:rsid w:val="00AB731A"/>
    <w:rsid w:val="00AC032C"/>
    <w:rsid w:val="00AC52BF"/>
    <w:rsid w:val="00AD23C4"/>
    <w:rsid w:val="00AD50E2"/>
    <w:rsid w:val="00AD6185"/>
    <w:rsid w:val="00AE0CE3"/>
    <w:rsid w:val="00AE39A9"/>
    <w:rsid w:val="00AE4E74"/>
    <w:rsid w:val="00AF0E63"/>
    <w:rsid w:val="00AF571F"/>
    <w:rsid w:val="00AF5935"/>
    <w:rsid w:val="00AF5F25"/>
    <w:rsid w:val="00AF7C11"/>
    <w:rsid w:val="00AF7F16"/>
    <w:rsid w:val="00B0312E"/>
    <w:rsid w:val="00B0682A"/>
    <w:rsid w:val="00B10868"/>
    <w:rsid w:val="00B11441"/>
    <w:rsid w:val="00B11B94"/>
    <w:rsid w:val="00B139AF"/>
    <w:rsid w:val="00B16CAC"/>
    <w:rsid w:val="00B20792"/>
    <w:rsid w:val="00B23383"/>
    <w:rsid w:val="00B242E8"/>
    <w:rsid w:val="00B24DF0"/>
    <w:rsid w:val="00B276B8"/>
    <w:rsid w:val="00B31241"/>
    <w:rsid w:val="00B31346"/>
    <w:rsid w:val="00B4625D"/>
    <w:rsid w:val="00B47D8C"/>
    <w:rsid w:val="00B51516"/>
    <w:rsid w:val="00B569A7"/>
    <w:rsid w:val="00B57E9F"/>
    <w:rsid w:val="00B6271F"/>
    <w:rsid w:val="00B64C46"/>
    <w:rsid w:val="00B66175"/>
    <w:rsid w:val="00B66A09"/>
    <w:rsid w:val="00B71573"/>
    <w:rsid w:val="00B75B2E"/>
    <w:rsid w:val="00B76F64"/>
    <w:rsid w:val="00B814F3"/>
    <w:rsid w:val="00B827EC"/>
    <w:rsid w:val="00B843EA"/>
    <w:rsid w:val="00B924DC"/>
    <w:rsid w:val="00B92BA8"/>
    <w:rsid w:val="00BA0A35"/>
    <w:rsid w:val="00BA1FE6"/>
    <w:rsid w:val="00BA52D8"/>
    <w:rsid w:val="00BA5A05"/>
    <w:rsid w:val="00BA5AE5"/>
    <w:rsid w:val="00BA5AF6"/>
    <w:rsid w:val="00BA652B"/>
    <w:rsid w:val="00BB22C1"/>
    <w:rsid w:val="00BB2EF8"/>
    <w:rsid w:val="00BB3BBA"/>
    <w:rsid w:val="00BB3DA6"/>
    <w:rsid w:val="00BB5356"/>
    <w:rsid w:val="00BB7F92"/>
    <w:rsid w:val="00BC2C8A"/>
    <w:rsid w:val="00BC4225"/>
    <w:rsid w:val="00BC4F05"/>
    <w:rsid w:val="00BC590A"/>
    <w:rsid w:val="00BE0BD3"/>
    <w:rsid w:val="00BE3ADA"/>
    <w:rsid w:val="00BE3FD8"/>
    <w:rsid w:val="00BE417B"/>
    <w:rsid w:val="00BE4F0F"/>
    <w:rsid w:val="00BE5CB2"/>
    <w:rsid w:val="00BE6AA5"/>
    <w:rsid w:val="00BF178A"/>
    <w:rsid w:val="00BF5A23"/>
    <w:rsid w:val="00BF769F"/>
    <w:rsid w:val="00C035B2"/>
    <w:rsid w:val="00C03AD8"/>
    <w:rsid w:val="00C1103F"/>
    <w:rsid w:val="00C115B5"/>
    <w:rsid w:val="00C15761"/>
    <w:rsid w:val="00C158EA"/>
    <w:rsid w:val="00C23416"/>
    <w:rsid w:val="00C261C6"/>
    <w:rsid w:val="00C31601"/>
    <w:rsid w:val="00C32454"/>
    <w:rsid w:val="00C3372F"/>
    <w:rsid w:val="00C36926"/>
    <w:rsid w:val="00C3799C"/>
    <w:rsid w:val="00C37ADB"/>
    <w:rsid w:val="00C406F6"/>
    <w:rsid w:val="00C41E99"/>
    <w:rsid w:val="00C4229F"/>
    <w:rsid w:val="00C42775"/>
    <w:rsid w:val="00C433B1"/>
    <w:rsid w:val="00C44C13"/>
    <w:rsid w:val="00C45068"/>
    <w:rsid w:val="00C51368"/>
    <w:rsid w:val="00C532D2"/>
    <w:rsid w:val="00C539A6"/>
    <w:rsid w:val="00C5454D"/>
    <w:rsid w:val="00C54EAB"/>
    <w:rsid w:val="00C5550F"/>
    <w:rsid w:val="00C56176"/>
    <w:rsid w:val="00C57584"/>
    <w:rsid w:val="00C57B0F"/>
    <w:rsid w:val="00C62D65"/>
    <w:rsid w:val="00C726D4"/>
    <w:rsid w:val="00C74805"/>
    <w:rsid w:val="00C748F0"/>
    <w:rsid w:val="00C7784A"/>
    <w:rsid w:val="00C80894"/>
    <w:rsid w:val="00C816CC"/>
    <w:rsid w:val="00C82DA1"/>
    <w:rsid w:val="00C84088"/>
    <w:rsid w:val="00C849AE"/>
    <w:rsid w:val="00C84EF9"/>
    <w:rsid w:val="00C86177"/>
    <w:rsid w:val="00C90623"/>
    <w:rsid w:val="00C925D1"/>
    <w:rsid w:val="00CA01CA"/>
    <w:rsid w:val="00CA0370"/>
    <w:rsid w:val="00CA1ACC"/>
    <w:rsid w:val="00CA5A70"/>
    <w:rsid w:val="00CA624A"/>
    <w:rsid w:val="00CA76AE"/>
    <w:rsid w:val="00CB1F8E"/>
    <w:rsid w:val="00CC0A26"/>
    <w:rsid w:val="00CC519F"/>
    <w:rsid w:val="00CC5B16"/>
    <w:rsid w:val="00CC6ED0"/>
    <w:rsid w:val="00CD5A6B"/>
    <w:rsid w:val="00CD6AAD"/>
    <w:rsid w:val="00CD6F09"/>
    <w:rsid w:val="00CD79EF"/>
    <w:rsid w:val="00CE3077"/>
    <w:rsid w:val="00CE5C87"/>
    <w:rsid w:val="00CE7CBB"/>
    <w:rsid w:val="00CF04AE"/>
    <w:rsid w:val="00CF2B59"/>
    <w:rsid w:val="00CF3B6B"/>
    <w:rsid w:val="00CF50F6"/>
    <w:rsid w:val="00CF55A4"/>
    <w:rsid w:val="00D00760"/>
    <w:rsid w:val="00D00EE1"/>
    <w:rsid w:val="00D03CDA"/>
    <w:rsid w:val="00D124BA"/>
    <w:rsid w:val="00D12E1F"/>
    <w:rsid w:val="00D14C27"/>
    <w:rsid w:val="00D156F9"/>
    <w:rsid w:val="00D1645B"/>
    <w:rsid w:val="00D21A9C"/>
    <w:rsid w:val="00D324D1"/>
    <w:rsid w:val="00D32655"/>
    <w:rsid w:val="00D3430B"/>
    <w:rsid w:val="00D37780"/>
    <w:rsid w:val="00D40D6B"/>
    <w:rsid w:val="00D411F3"/>
    <w:rsid w:val="00D42319"/>
    <w:rsid w:val="00D4572A"/>
    <w:rsid w:val="00D459DB"/>
    <w:rsid w:val="00D519A9"/>
    <w:rsid w:val="00D547B4"/>
    <w:rsid w:val="00D61CF4"/>
    <w:rsid w:val="00D63309"/>
    <w:rsid w:val="00D63DBD"/>
    <w:rsid w:val="00D7051E"/>
    <w:rsid w:val="00D72EAD"/>
    <w:rsid w:val="00D74177"/>
    <w:rsid w:val="00D75181"/>
    <w:rsid w:val="00D7687A"/>
    <w:rsid w:val="00D76E0A"/>
    <w:rsid w:val="00D816FA"/>
    <w:rsid w:val="00D847A1"/>
    <w:rsid w:val="00D8515A"/>
    <w:rsid w:val="00D86385"/>
    <w:rsid w:val="00D92124"/>
    <w:rsid w:val="00D97277"/>
    <w:rsid w:val="00D97624"/>
    <w:rsid w:val="00DB0CA5"/>
    <w:rsid w:val="00DB36AF"/>
    <w:rsid w:val="00DB5C27"/>
    <w:rsid w:val="00DB6F83"/>
    <w:rsid w:val="00DC04AA"/>
    <w:rsid w:val="00DD1229"/>
    <w:rsid w:val="00DD2FA7"/>
    <w:rsid w:val="00DD48CE"/>
    <w:rsid w:val="00DD5F59"/>
    <w:rsid w:val="00DD6662"/>
    <w:rsid w:val="00DD6C8D"/>
    <w:rsid w:val="00DD786F"/>
    <w:rsid w:val="00DE3F25"/>
    <w:rsid w:val="00DE58D8"/>
    <w:rsid w:val="00DE59BF"/>
    <w:rsid w:val="00DE5B91"/>
    <w:rsid w:val="00DE68C1"/>
    <w:rsid w:val="00DE79D3"/>
    <w:rsid w:val="00DF0531"/>
    <w:rsid w:val="00DF1E10"/>
    <w:rsid w:val="00DF1E98"/>
    <w:rsid w:val="00DF279B"/>
    <w:rsid w:val="00DF48F8"/>
    <w:rsid w:val="00DF4D27"/>
    <w:rsid w:val="00DF622E"/>
    <w:rsid w:val="00E00D0D"/>
    <w:rsid w:val="00E021EC"/>
    <w:rsid w:val="00E107D1"/>
    <w:rsid w:val="00E10B29"/>
    <w:rsid w:val="00E11CAE"/>
    <w:rsid w:val="00E13390"/>
    <w:rsid w:val="00E1368B"/>
    <w:rsid w:val="00E17292"/>
    <w:rsid w:val="00E2056B"/>
    <w:rsid w:val="00E21F67"/>
    <w:rsid w:val="00E23581"/>
    <w:rsid w:val="00E256AF"/>
    <w:rsid w:val="00E25E45"/>
    <w:rsid w:val="00E26E6F"/>
    <w:rsid w:val="00E272DC"/>
    <w:rsid w:val="00E30228"/>
    <w:rsid w:val="00E3191B"/>
    <w:rsid w:val="00E32296"/>
    <w:rsid w:val="00E32362"/>
    <w:rsid w:val="00E32E4C"/>
    <w:rsid w:val="00E33B85"/>
    <w:rsid w:val="00E35D0F"/>
    <w:rsid w:val="00E35D17"/>
    <w:rsid w:val="00E421A1"/>
    <w:rsid w:val="00E43B21"/>
    <w:rsid w:val="00E43D0D"/>
    <w:rsid w:val="00E4494B"/>
    <w:rsid w:val="00E4528F"/>
    <w:rsid w:val="00E46D2E"/>
    <w:rsid w:val="00E509B8"/>
    <w:rsid w:val="00E511CA"/>
    <w:rsid w:val="00E53852"/>
    <w:rsid w:val="00E56E77"/>
    <w:rsid w:val="00E57B3F"/>
    <w:rsid w:val="00E61023"/>
    <w:rsid w:val="00E704BB"/>
    <w:rsid w:val="00E70E29"/>
    <w:rsid w:val="00E731F5"/>
    <w:rsid w:val="00E74613"/>
    <w:rsid w:val="00E74844"/>
    <w:rsid w:val="00E74E23"/>
    <w:rsid w:val="00E7609E"/>
    <w:rsid w:val="00E7778B"/>
    <w:rsid w:val="00E816AA"/>
    <w:rsid w:val="00E829CA"/>
    <w:rsid w:val="00E847C9"/>
    <w:rsid w:val="00E8480C"/>
    <w:rsid w:val="00E91527"/>
    <w:rsid w:val="00E933B8"/>
    <w:rsid w:val="00E934F1"/>
    <w:rsid w:val="00E93CFC"/>
    <w:rsid w:val="00E9505F"/>
    <w:rsid w:val="00E9770F"/>
    <w:rsid w:val="00E978B3"/>
    <w:rsid w:val="00E97FC7"/>
    <w:rsid w:val="00EA10E9"/>
    <w:rsid w:val="00EA51BA"/>
    <w:rsid w:val="00EA58FA"/>
    <w:rsid w:val="00EB03BD"/>
    <w:rsid w:val="00EB12F8"/>
    <w:rsid w:val="00EB3C1A"/>
    <w:rsid w:val="00EB4019"/>
    <w:rsid w:val="00EB490F"/>
    <w:rsid w:val="00EB72E3"/>
    <w:rsid w:val="00EC22B8"/>
    <w:rsid w:val="00EC3D8B"/>
    <w:rsid w:val="00EC56AE"/>
    <w:rsid w:val="00EC577E"/>
    <w:rsid w:val="00EC722A"/>
    <w:rsid w:val="00ED54F0"/>
    <w:rsid w:val="00ED5746"/>
    <w:rsid w:val="00ED68E1"/>
    <w:rsid w:val="00ED6D6A"/>
    <w:rsid w:val="00ED7FE8"/>
    <w:rsid w:val="00EE0D68"/>
    <w:rsid w:val="00EE3F25"/>
    <w:rsid w:val="00EE453E"/>
    <w:rsid w:val="00EE52DD"/>
    <w:rsid w:val="00EF20DE"/>
    <w:rsid w:val="00F002F8"/>
    <w:rsid w:val="00F02E7A"/>
    <w:rsid w:val="00F07F84"/>
    <w:rsid w:val="00F11134"/>
    <w:rsid w:val="00F121C7"/>
    <w:rsid w:val="00F12582"/>
    <w:rsid w:val="00F13E63"/>
    <w:rsid w:val="00F144EF"/>
    <w:rsid w:val="00F14671"/>
    <w:rsid w:val="00F15FFA"/>
    <w:rsid w:val="00F229EA"/>
    <w:rsid w:val="00F22F1A"/>
    <w:rsid w:val="00F261C9"/>
    <w:rsid w:val="00F30D05"/>
    <w:rsid w:val="00F30FB0"/>
    <w:rsid w:val="00F32117"/>
    <w:rsid w:val="00F34CAA"/>
    <w:rsid w:val="00F37229"/>
    <w:rsid w:val="00F37251"/>
    <w:rsid w:val="00F4089A"/>
    <w:rsid w:val="00F51320"/>
    <w:rsid w:val="00F52F22"/>
    <w:rsid w:val="00F53991"/>
    <w:rsid w:val="00F542EA"/>
    <w:rsid w:val="00F649E9"/>
    <w:rsid w:val="00F67A1A"/>
    <w:rsid w:val="00F70E40"/>
    <w:rsid w:val="00F71FC8"/>
    <w:rsid w:val="00F73304"/>
    <w:rsid w:val="00F73B53"/>
    <w:rsid w:val="00F75254"/>
    <w:rsid w:val="00F76028"/>
    <w:rsid w:val="00F7625D"/>
    <w:rsid w:val="00F76CD5"/>
    <w:rsid w:val="00F81520"/>
    <w:rsid w:val="00F82F26"/>
    <w:rsid w:val="00F832F3"/>
    <w:rsid w:val="00F871B5"/>
    <w:rsid w:val="00F87678"/>
    <w:rsid w:val="00F94C3A"/>
    <w:rsid w:val="00F95FDD"/>
    <w:rsid w:val="00F9715E"/>
    <w:rsid w:val="00F9772F"/>
    <w:rsid w:val="00F97F6A"/>
    <w:rsid w:val="00FA5420"/>
    <w:rsid w:val="00FA652B"/>
    <w:rsid w:val="00FB06D5"/>
    <w:rsid w:val="00FB3475"/>
    <w:rsid w:val="00FB3482"/>
    <w:rsid w:val="00FB37B3"/>
    <w:rsid w:val="00FB4601"/>
    <w:rsid w:val="00FB5B15"/>
    <w:rsid w:val="00FB6C3D"/>
    <w:rsid w:val="00FB7FEB"/>
    <w:rsid w:val="00FC13A2"/>
    <w:rsid w:val="00FC3A20"/>
    <w:rsid w:val="00FC6C2A"/>
    <w:rsid w:val="00FC7793"/>
    <w:rsid w:val="00FC7B0D"/>
    <w:rsid w:val="00FC7C8C"/>
    <w:rsid w:val="00FD57FD"/>
    <w:rsid w:val="00FD5934"/>
    <w:rsid w:val="00FD5994"/>
    <w:rsid w:val="00FD7DFF"/>
    <w:rsid w:val="00FE72AB"/>
    <w:rsid w:val="00FE78EF"/>
    <w:rsid w:val="00FE7EA7"/>
    <w:rsid w:val="00FF030F"/>
    <w:rsid w:val="00FF2637"/>
    <w:rsid w:val="00FF6B01"/>
    <w:rsid w:val="00FF71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7A7072F"/>
  <w15:docId w15:val="{0F1A3523-5988-4797-8942-E75390AA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971"/>
    <w:pPr>
      <w:spacing w:before="120" w:after="280"/>
      <w:jc w:val="both"/>
    </w:pPr>
    <w:rPr>
      <w:rFonts w:ascii="Arial" w:hAnsi="Arial"/>
    </w:rPr>
  </w:style>
  <w:style w:type="paragraph" w:styleId="Heading1">
    <w:name w:val="heading 1"/>
    <w:basedOn w:val="Normal"/>
    <w:next w:val="Normal"/>
    <w:link w:val="Heading1Char"/>
    <w:uiPriority w:val="9"/>
    <w:qFormat/>
    <w:rsid w:val="00DB5C27"/>
    <w:pPr>
      <w:keepNext/>
      <w:keepLines/>
      <w:spacing w:before="480" w:after="0"/>
      <w:outlineLvl w:val="0"/>
    </w:pPr>
    <w:rPr>
      <w:rFonts w:eastAsiaTheme="majorEastAsia" w:cstheme="majorBidi"/>
      <w:b/>
      <w:bCs/>
      <w:sz w:val="28"/>
      <w:szCs w:val="28"/>
    </w:rPr>
  </w:style>
  <w:style w:type="paragraph" w:styleId="Heading2">
    <w:name w:val="heading 2"/>
    <w:basedOn w:val="Normal"/>
    <w:link w:val="Heading2Char"/>
    <w:uiPriority w:val="9"/>
    <w:qFormat/>
    <w:rsid w:val="00B31346"/>
    <w:pPr>
      <w:spacing w:before="100" w:beforeAutospacing="1" w:after="100" w:afterAutospacing="1" w:line="240" w:lineRule="auto"/>
      <w:outlineLvl w:val="1"/>
    </w:pPr>
    <w:rPr>
      <w:rFonts w:eastAsia="Times New Roman" w:cs="Times New Roman"/>
      <w:b/>
      <w:bCs/>
      <w:sz w:val="24"/>
      <w:szCs w:val="36"/>
      <w:lang w:eastAsia="es-ES"/>
    </w:rPr>
  </w:style>
  <w:style w:type="paragraph" w:styleId="Heading3">
    <w:name w:val="heading 3"/>
    <w:basedOn w:val="Normal"/>
    <w:next w:val="Normal"/>
    <w:link w:val="Heading3Char"/>
    <w:uiPriority w:val="9"/>
    <w:unhideWhenUsed/>
    <w:qFormat/>
    <w:rsid w:val="007C41CE"/>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297806"/>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85622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994"/>
    <w:pPr>
      <w:tabs>
        <w:tab w:val="center" w:pos="4252"/>
        <w:tab w:val="right" w:pos="8504"/>
      </w:tabs>
      <w:spacing w:after="0" w:line="240" w:lineRule="auto"/>
    </w:pPr>
  </w:style>
  <w:style w:type="character" w:customStyle="1" w:styleId="HeaderChar">
    <w:name w:val="Header Char"/>
    <w:basedOn w:val="DefaultParagraphFont"/>
    <w:link w:val="Header"/>
    <w:uiPriority w:val="99"/>
    <w:rsid w:val="00FD5994"/>
  </w:style>
  <w:style w:type="paragraph" w:styleId="Footer">
    <w:name w:val="footer"/>
    <w:basedOn w:val="Normal"/>
    <w:link w:val="FooterChar"/>
    <w:uiPriority w:val="99"/>
    <w:unhideWhenUsed/>
    <w:rsid w:val="00FD5994"/>
    <w:pPr>
      <w:tabs>
        <w:tab w:val="center" w:pos="4252"/>
        <w:tab w:val="right" w:pos="8504"/>
      </w:tabs>
      <w:spacing w:after="0" w:line="240" w:lineRule="auto"/>
    </w:pPr>
  </w:style>
  <w:style w:type="character" w:customStyle="1" w:styleId="FooterChar">
    <w:name w:val="Footer Char"/>
    <w:basedOn w:val="DefaultParagraphFont"/>
    <w:link w:val="Footer"/>
    <w:uiPriority w:val="99"/>
    <w:rsid w:val="00FD5994"/>
  </w:style>
  <w:style w:type="paragraph" w:styleId="ListParagraph">
    <w:name w:val="List Paragraph"/>
    <w:basedOn w:val="Normal"/>
    <w:uiPriority w:val="34"/>
    <w:qFormat/>
    <w:rsid w:val="00FD5994"/>
    <w:pPr>
      <w:ind w:left="720"/>
      <w:contextualSpacing/>
    </w:pPr>
  </w:style>
  <w:style w:type="paragraph" w:styleId="BalloonText">
    <w:name w:val="Balloon Text"/>
    <w:basedOn w:val="Normal"/>
    <w:link w:val="BalloonTextChar"/>
    <w:uiPriority w:val="99"/>
    <w:semiHidden/>
    <w:unhideWhenUsed/>
    <w:rsid w:val="008434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347C"/>
    <w:rPr>
      <w:rFonts w:ascii="Segoe UI" w:hAnsi="Segoe UI" w:cs="Segoe UI"/>
      <w:sz w:val="18"/>
      <w:szCs w:val="18"/>
    </w:rPr>
  </w:style>
  <w:style w:type="character" w:customStyle="1" w:styleId="Heading2Char">
    <w:name w:val="Heading 2 Char"/>
    <w:basedOn w:val="DefaultParagraphFont"/>
    <w:link w:val="Heading2"/>
    <w:uiPriority w:val="9"/>
    <w:rsid w:val="00B31346"/>
    <w:rPr>
      <w:rFonts w:ascii="Arial" w:eastAsia="Times New Roman" w:hAnsi="Arial" w:cs="Times New Roman"/>
      <w:b/>
      <w:bCs/>
      <w:sz w:val="24"/>
      <w:szCs w:val="36"/>
      <w:lang w:eastAsia="es-ES"/>
    </w:rPr>
  </w:style>
  <w:style w:type="paragraph" w:styleId="NormalWeb">
    <w:name w:val="Normal (Web)"/>
    <w:basedOn w:val="Normal"/>
    <w:uiPriority w:val="99"/>
    <w:semiHidden/>
    <w:unhideWhenUsed/>
    <w:rsid w:val="00D7417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yperlink">
    <w:name w:val="Hyperlink"/>
    <w:basedOn w:val="DefaultParagraphFont"/>
    <w:uiPriority w:val="99"/>
    <w:unhideWhenUsed/>
    <w:rsid w:val="00D74177"/>
    <w:rPr>
      <w:color w:val="0000FF"/>
      <w:u w:val="single"/>
    </w:rPr>
  </w:style>
  <w:style w:type="character" w:styleId="Strong">
    <w:name w:val="Strong"/>
    <w:basedOn w:val="DefaultParagraphFont"/>
    <w:uiPriority w:val="22"/>
    <w:qFormat/>
    <w:rsid w:val="00895F6D"/>
    <w:rPr>
      <w:b/>
      <w:bCs/>
    </w:rPr>
  </w:style>
  <w:style w:type="paragraph" w:customStyle="1" w:styleId="Default">
    <w:name w:val="Default"/>
    <w:rsid w:val="00691FBE"/>
    <w:pPr>
      <w:autoSpaceDE w:val="0"/>
      <w:autoSpaceDN w:val="0"/>
      <w:adjustRightInd w:val="0"/>
      <w:spacing w:after="0" w:line="240" w:lineRule="auto"/>
    </w:pPr>
    <w:rPr>
      <w:rFonts w:ascii="LHEKFA+Arial,Bold" w:hAnsi="LHEKFA+Arial,Bold" w:cs="LHEKFA+Arial,Bold"/>
      <w:color w:val="000000"/>
      <w:sz w:val="24"/>
      <w:szCs w:val="24"/>
    </w:rPr>
  </w:style>
  <w:style w:type="character" w:styleId="Emphasis">
    <w:name w:val="Emphasis"/>
    <w:basedOn w:val="DefaultParagraphFont"/>
    <w:uiPriority w:val="20"/>
    <w:qFormat/>
    <w:rsid w:val="00262E7A"/>
    <w:rPr>
      <w:b/>
      <w:bCs/>
      <w:i w:val="0"/>
      <w:iCs w:val="0"/>
    </w:rPr>
  </w:style>
  <w:style w:type="character" w:customStyle="1" w:styleId="st1">
    <w:name w:val="st1"/>
    <w:basedOn w:val="DefaultParagraphFont"/>
    <w:rsid w:val="00262E7A"/>
  </w:style>
  <w:style w:type="paragraph" w:styleId="FootnoteText">
    <w:name w:val="footnote text"/>
    <w:aliases w:val="Footnote Text Char Char Char Char Char,Footnote Text Char Char Char Char,Footnote reference,FA Fu,Footnote Text Char Char Char,5_G,Tekst przypisu,Schriftart: 9 pt,Schriftart: 10 pt,Schriftart: 8 pt,WB-Fußnotentext,Footnote,Fußnote,o,f,ft"/>
    <w:basedOn w:val="Normal"/>
    <w:link w:val="FootnoteTextChar"/>
    <w:unhideWhenUsed/>
    <w:qFormat/>
    <w:rsid w:val="001B7847"/>
    <w:pPr>
      <w:spacing w:after="200" w:line="276" w:lineRule="auto"/>
    </w:pPr>
    <w:rPr>
      <w:rFonts w:ascii="Calibri" w:eastAsia="Calibri" w:hAnsi="Calibri" w:cs="Times New Roman"/>
      <w:sz w:val="20"/>
      <w:szCs w:val="20"/>
    </w:rPr>
  </w:style>
  <w:style w:type="character" w:customStyle="1" w:styleId="FootnoteTextChar">
    <w:name w:val="Footnote Text Char"/>
    <w:aliases w:val="Footnote Text Char Char Char Char Char Char,Footnote Text Char Char Char Char Char1,Footnote reference Char,FA Fu Char,Footnote Text Char Char Char Char1,5_G Char,Tekst przypisu Char,Schriftart: 9 pt Char,Schriftart: 10 pt Char,o Char"/>
    <w:basedOn w:val="DefaultParagraphFont"/>
    <w:link w:val="FootnoteText"/>
    <w:rsid w:val="001B7847"/>
    <w:rPr>
      <w:rFonts w:ascii="Calibri" w:eastAsia="Calibri" w:hAnsi="Calibri" w:cs="Times New Roman"/>
      <w:sz w:val="20"/>
      <w:szCs w:val="20"/>
    </w:rPr>
  </w:style>
  <w:style w:type="character" w:styleId="FootnoteReference">
    <w:name w:val="footnote reference"/>
    <w:aliases w:val="Texto de nota al pie,Appel note de bas de page,Fn Ref,Odwołanie przypisu,Footnote symbol,Footnote Reference Number,4_G,Footnote Reference Superscript,Footnote Reference/,richiamo note eggsi,Rimando nota a piè di pagina1,BVI fnr,10 pt"/>
    <w:basedOn w:val="DefaultParagraphFont"/>
    <w:link w:val="FootnoteReferneceCharChar1Char"/>
    <w:uiPriority w:val="99"/>
    <w:unhideWhenUsed/>
    <w:qFormat/>
    <w:rsid w:val="001B7847"/>
    <w:rPr>
      <w:vertAlign w:val="superscript"/>
    </w:rPr>
  </w:style>
  <w:style w:type="character" w:customStyle="1" w:styleId="Heading3Char">
    <w:name w:val="Heading 3 Char"/>
    <w:basedOn w:val="DefaultParagraphFont"/>
    <w:link w:val="Heading3"/>
    <w:uiPriority w:val="9"/>
    <w:rsid w:val="007C41CE"/>
    <w:rPr>
      <w:rFonts w:ascii="Arial" w:eastAsiaTheme="majorEastAsia" w:hAnsi="Arial" w:cstheme="majorBidi"/>
      <w:b/>
      <w:i/>
      <w:szCs w:val="24"/>
    </w:rPr>
  </w:style>
  <w:style w:type="character" w:customStyle="1" w:styleId="Heading4Char">
    <w:name w:val="Heading 4 Char"/>
    <w:basedOn w:val="DefaultParagraphFont"/>
    <w:link w:val="Heading4"/>
    <w:uiPriority w:val="9"/>
    <w:rsid w:val="00297806"/>
    <w:rPr>
      <w:rFonts w:ascii="Arial" w:eastAsiaTheme="majorEastAsia" w:hAnsi="Arial" w:cstheme="majorBidi"/>
      <w:b/>
      <w:i/>
      <w:iCs/>
    </w:rPr>
  </w:style>
  <w:style w:type="character" w:customStyle="1" w:styleId="Heading5Char">
    <w:name w:val="Heading 5 Char"/>
    <w:basedOn w:val="DefaultParagraphFont"/>
    <w:link w:val="Heading5"/>
    <w:uiPriority w:val="9"/>
    <w:semiHidden/>
    <w:rsid w:val="0085622F"/>
    <w:rPr>
      <w:rFonts w:asciiTheme="majorHAnsi" w:eastAsiaTheme="majorEastAsia" w:hAnsiTheme="majorHAnsi" w:cstheme="majorBidi"/>
      <w:color w:val="2F5496" w:themeColor="accent1" w:themeShade="BF"/>
    </w:rPr>
  </w:style>
  <w:style w:type="table" w:customStyle="1" w:styleId="TableGrid">
    <w:name w:val="TableGrid"/>
    <w:rsid w:val="0085622F"/>
    <w:pPr>
      <w:spacing w:after="0" w:line="240" w:lineRule="auto"/>
    </w:pPr>
    <w:rPr>
      <w:rFonts w:eastAsiaTheme="minorEastAsia"/>
      <w:lang w:eastAsia="es-ES"/>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B5C27"/>
    <w:rPr>
      <w:rFonts w:ascii="Arial" w:eastAsiaTheme="majorEastAsia" w:hAnsi="Arial" w:cstheme="majorBidi"/>
      <w:b/>
      <w:bCs/>
      <w:sz w:val="28"/>
      <w:szCs w:val="28"/>
    </w:rPr>
  </w:style>
  <w:style w:type="paragraph" w:styleId="TOC1">
    <w:name w:val="toc 1"/>
    <w:basedOn w:val="Normal"/>
    <w:next w:val="Normal"/>
    <w:autoRedefine/>
    <w:uiPriority w:val="39"/>
    <w:unhideWhenUsed/>
    <w:rsid w:val="00D86385"/>
    <w:pPr>
      <w:tabs>
        <w:tab w:val="left" w:pos="440"/>
        <w:tab w:val="right" w:leader="dot" w:pos="8494"/>
      </w:tabs>
      <w:spacing w:after="100"/>
    </w:pPr>
  </w:style>
  <w:style w:type="paragraph" w:styleId="TOC2">
    <w:name w:val="toc 2"/>
    <w:basedOn w:val="Normal"/>
    <w:next w:val="Normal"/>
    <w:autoRedefine/>
    <w:uiPriority w:val="39"/>
    <w:unhideWhenUsed/>
    <w:rsid w:val="00B31346"/>
    <w:pPr>
      <w:spacing w:after="100"/>
      <w:ind w:left="220"/>
    </w:pPr>
  </w:style>
  <w:style w:type="paragraph" w:styleId="TOC3">
    <w:name w:val="toc 3"/>
    <w:basedOn w:val="Normal"/>
    <w:next w:val="Normal"/>
    <w:autoRedefine/>
    <w:uiPriority w:val="39"/>
    <w:unhideWhenUsed/>
    <w:rsid w:val="008D19E9"/>
    <w:pPr>
      <w:spacing w:after="100"/>
      <w:ind w:left="440"/>
    </w:pPr>
  </w:style>
  <w:style w:type="table" w:styleId="TableGrid0">
    <w:name w:val="Table Grid"/>
    <w:basedOn w:val="TableNormal"/>
    <w:uiPriority w:val="39"/>
    <w:unhideWhenUsed/>
    <w:rsid w:val="008D1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C3A20"/>
    <w:rPr>
      <w:color w:val="808080"/>
      <w:shd w:val="clear" w:color="auto" w:fill="E6E6E6"/>
    </w:rPr>
  </w:style>
  <w:style w:type="paragraph" w:customStyle="1" w:styleId="SingleTxtG">
    <w:name w:val="_ Single Txt_G"/>
    <w:basedOn w:val="Normal"/>
    <w:link w:val="SingleTxtGChar"/>
    <w:rsid w:val="00F70E40"/>
    <w:pPr>
      <w:spacing w:after="120" w:line="240" w:lineRule="atLeast"/>
      <w:ind w:left="1134" w:right="1134"/>
    </w:pPr>
    <w:rPr>
      <w:rFonts w:ascii="Times New Roman" w:eastAsia="Times New Roman" w:hAnsi="Times New Roman" w:cs="Times New Roman"/>
      <w:sz w:val="24"/>
      <w:szCs w:val="24"/>
      <w:lang w:val="es-ES_tradnl" w:eastAsia="es-ES_tradnl"/>
    </w:rPr>
  </w:style>
  <w:style w:type="character" w:customStyle="1" w:styleId="SingleTxtGChar">
    <w:name w:val="_ Single Txt_G Char"/>
    <w:link w:val="SingleTxtG"/>
    <w:locked/>
    <w:rsid w:val="00F70E40"/>
    <w:rPr>
      <w:rFonts w:ascii="Times New Roman" w:eastAsia="Times New Roman" w:hAnsi="Times New Roman" w:cs="Times New Roman"/>
      <w:sz w:val="24"/>
      <w:szCs w:val="24"/>
      <w:lang w:val="es-ES_tradnl" w:eastAsia="es-ES_tradnl"/>
    </w:rPr>
  </w:style>
  <w:style w:type="paragraph" w:customStyle="1" w:styleId="H23G">
    <w:name w:val="_ H_2/3_G"/>
    <w:basedOn w:val="Normal"/>
    <w:next w:val="Normal"/>
    <w:rsid w:val="00F70E4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4"/>
      <w:szCs w:val="24"/>
      <w:lang w:val="es-ES_tradnl" w:eastAsia="es-ES_tradnl"/>
    </w:rPr>
  </w:style>
  <w:style w:type="paragraph" w:customStyle="1" w:styleId="p1">
    <w:name w:val="p1"/>
    <w:basedOn w:val="Normal"/>
    <w:rsid w:val="00E847C9"/>
    <w:pPr>
      <w:spacing w:after="0" w:line="240" w:lineRule="auto"/>
    </w:pPr>
    <w:rPr>
      <w:rFonts w:ascii="Times" w:eastAsia="Calibri" w:hAnsi="Times" w:cs="Times New Roman"/>
      <w:sz w:val="17"/>
      <w:szCs w:val="17"/>
      <w:lang w:val="es-ES_tradnl" w:eastAsia="es-ES_tradnl"/>
    </w:rPr>
  </w:style>
  <w:style w:type="paragraph" w:customStyle="1" w:styleId="FootnoteReferneceCharChar1Char">
    <w:name w:val="Footnote Refernece Char Char1 Char"/>
    <w:aliases w:val="Footnote Reference Superscript Char Char1 Char,Footnote Refernece Char Char Char Char Char,Footnote Reference Superscript Char Char Char Char Char,Footnote Reference Number Char Char Char Char Char"/>
    <w:basedOn w:val="Normal"/>
    <w:link w:val="FootnoteReference"/>
    <w:uiPriority w:val="99"/>
    <w:rsid w:val="00E847C9"/>
    <w:pPr>
      <w:spacing w:after="0" w:line="240" w:lineRule="auto"/>
    </w:pPr>
    <w:rPr>
      <w:vertAlign w:val="superscript"/>
    </w:rPr>
  </w:style>
  <w:style w:type="paragraph" w:customStyle="1" w:styleId="H1G">
    <w:name w:val="_ H_1_G"/>
    <w:basedOn w:val="Normal"/>
    <w:next w:val="Normal"/>
    <w:rsid w:val="000D538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4"/>
      <w:lang w:val="es-ES_tradnl" w:eastAsia="es-ES_tradnl"/>
    </w:rPr>
  </w:style>
  <w:style w:type="paragraph" w:customStyle="1" w:styleId="HChG">
    <w:name w:val="_ H _Ch_G"/>
    <w:basedOn w:val="Normal"/>
    <w:next w:val="Normal"/>
    <w:rsid w:val="00686352"/>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eastAsia="es-ES"/>
    </w:rPr>
  </w:style>
  <w:style w:type="character" w:styleId="CommentReference">
    <w:name w:val="annotation reference"/>
    <w:basedOn w:val="DefaultParagraphFont"/>
    <w:uiPriority w:val="99"/>
    <w:semiHidden/>
    <w:unhideWhenUsed/>
    <w:rsid w:val="007F5919"/>
    <w:rPr>
      <w:sz w:val="16"/>
      <w:szCs w:val="16"/>
    </w:rPr>
  </w:style>
  <w:style w:type="paragraph" w:styleId="CommentText">
    <w:name w:val="annotation text"/>
    <w:basedOn w:val="Normal"/>
    <w:link w:val="CommentTextChar"/>
    <w:uiPriority w:val="99"/>
    <w:semiHidden/>
    <w:unhideWhenUsed/>
    <w:rsid w:val="007F5919"/>
    <w:pPr>
      <w:spacing w:line="240" w:lineRule="auto"/>
    </w:pPr>
    <w:rPr>
      <w:sz w:val="20"/>
      <w:szCs w:val="20"/>
    </w:rPr>
  </w:style>
  <w:style w:type="character" w:customStyle="1" w:styleId="CommentTextChar">
    <w:name w:val="Comment Text Char"/>
    <w:basedOn w:val="DefaultParagraphFont"/>
    <w:link w:val="CommentText"/>
    <w:uiPriority w:val="99"/>
    <w:semiHidden/>
    <w:rsid w:val="007F591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F5919"/>
    <w:rPr>
      <w:b/>
      <w:bCs/>
    </w:rPr>
  </w:style>
  <w:style w:type="character" w:customStyle="1" w:styleId="CommentSubjectChar">
    <w:name w:val="Comment Subject Char"/>
    <w:basedOn w:val="CommentTextChar"/>
    <w:link w:val="CommentSubject"/>
    <w:uiPriority w:val="99"/>
    <w:semiHidden/>
    <w:rsid w:val="007F5919"/>
    <w:rPr>
      <w:rFonts w:ascii="Arial" w:hAnsi="Arial"/>
      <w:b/>
      <w:bCs/>
      <w:sz w:val="20"/>
      <w:szCs w:val="20"/>
    </w:rPr>
  </w:style>
  <w:style w:type="paragraph" w:styleId="Revision">
    <w:name w:val="Revision"/>
    <w:hidden/>
    <w:uiPriority w:val="99"/>
    <w:semiHidden/>
    <w:rsid w:val="007F5919"/>
    <w:pPr>
      <w:spacing w:after="0" w:line="240" w:lineRule="auto"/>
    </w:pPr>
    <w:rPr>
      <w:rFonts w:ascii="Arial" w:hAnsi="Arial"/>
    </w:rPr>
  </w:style>
  <w:style w:type="character" w:styleId="FollowedHyperlink">
    <w:name w:val="FollowedHyperlink"/>
    <w:basedOn w:val="DefaultParagraphFont"/>
    <w:uiPriority w:val="99"/>
    <w:semiHidden/>
    <w:unhideWhenUsed/>
    <w:rsid w:val="00FD57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39736">
      <w:bodyDiv w:val="1"/>
      <w:marLeft w:val="0"/>
      <w:marRight w:val="0"/>
      <w:marTop w:val="0"/>
      <w:marBottom w:val="0"/>
      <w:divBdr>
        <w:top w:val="none" w:sz="0" w:space="0" w:color="auto"/>
        <w:left w:val="none" w:sz="0" w:space="0" w:color="auto"/>
        <w:bottom w:val="none" w:sz="0" w:space="0" w:color="auto"/>
        <w:right w:val="none" w:sz="0" w:space="0" w:color="auto"/>
      </w:divBdr>
    </w:div>
    <w:div w:id="123428301">
      <w:bodyDiv w:val="1"/>
      <w:marLeft w:val="0"/>
      <w:marRight w:val="0"/>
      <w:marTop w:val="0"/>
      <w:marBottom w:val="0"/>
      <w:divBdr>
        <w:top w:val="none" w:sz="0" w:space="0" w:color="auto"/>
        <w:left w:val="none" w:sz="0" w:space="0" w:color="auto"/>
        <w:bottom w:val="none" w:sz="0" w:space="0" w:color="auto"/>
        <w:right w:val="none" w:sz="0" w:space="0" w:color="auto"/>
      </w:divBdr>
    </w:div>
    <w:div w:id="509759490">
      <w:bodyDiv w:val="1"/>
      <w:marLeft w:val="0"/>
      <w:marRight w:val="0"/>
      <w:marTop w:val="0"/>
      <w:marBottom w:val="0"/>
      <w:divBdr>
        <w:top w:val="none" w:sz="0" w:space="0" w:color="auto"/>
        <w:left w:val="none" w:sz="0" w:space="0" w:color="auto"/>
        <w:bottom w:val="none" w:sz="0" w:space="0" w:color="auto"/>
        <w:right w:val="none" w:sz="0" w:space="0" w:color="auto"/>
      </w:divBdr>
    </w:div>
    <w:div w:id="536701737">
      <w:bodyDiv w:val="1"/>
      <w:marLeft w:val="0"/>
      <w:marRight w:val="0"/>
      <w:marTop w:val="0"/>
      <w:marBottom w:val="0"/>
      <w:divBdr>
        <w:top w:val="none" w:sz="0" w:space="0" w:color="auto"/>
        <w:left w:val="none" w:sz="0" w:space="0" w:color="auto"/>
        <w:bottom w:val="none" w:sz="0" w:space="0" w:color="auto"/>
        <w:right w:val="none" w:sz="0" w:space="0" w:color="auto"/>
      </w:divBdr>
    </w:div>
    <w:div w:id="589706211">
      <w:bodyDiv w:val="1"/>
      <w:marLeft w:val="0"/>
      <w:marRight w:val="0"/>
      <w:marTop w:val="0"/>
      <w:marBottom w:val="0"/>
      <w:divBdr>
        <w:top w:val="none" w:sz="0" w:space="0" w:color="auto"/>
        <w:left w:val="none" w:sz="0" w:space="0" w:color="auto"/>
        <w:bottom w:val="none" w:sz="0" w:space="0" w:color="auto"/>
        <w:right w:val="none" w:sz="0" w:space="0" w:color="auto"/>
      </w:divBdr>
    </w:div>
    <w:div w:id="673343417">
      <w:bodyDiv w:val="1"/>
      <w:marLeft w:val="0"/>
      <w:marRight w:val="0"/>
      <w:marTop w:val="0"/>
      <w:marBottom w:val="0"/>
      <w:divBdr>
        <w:top w:val="none" w:sz="0" w:space="0" w:color="auto"/>
        <w:left w:val="none" w:sz="0" w:space="0" w:color="auto"/>
        <w:bottom w:val="none" w:sz="0" w:space="0" w:color="auto"/>
        <w:right w:val="none" w:sz="0" w:space="0" w:color="auto"/>
      </w:divBdr>
    </w:div>
    <w:div w:id="765229319">
      <w:bodyDiv w:val="1"/>
      <w:marLeft w:val="0"/>
      <w:marRight w:val="0"/>
      <w:marTop w:val="0"/>
      <w:marBottom w:val="0"/>
      <w:divBdr>
        <w:top w:val="none" w:sz="0" w:space="0" w:color="auto"/>
        <w:left w:val="none" w:sz="0" w:space="0" w:color="auto"/>
        <w:bottom w:val="none" w:sz="0" w:space="0" w:color="auto"/>
        <w:right w:val="none" w:sz="0" w:space="0" w:color="auto"/>
      </w:divBdr>
    </w:div>
    <w:div w:id="772825459">
      <w:bodyDiv w:val="1"/>
      <w:marLeft w:val="0"/>
      <w:marRight w:val="0"/>
      <w:marTop w:val="0"/>
      <w:marBottom w:val="0"/>
      <w:divBdr>
        <w:top w:val="none" w:sz="0" w:space="0" w:color="auto"/>
        <w:left w:val="none" w:sz="0" w:space="0" w:color="auto"/>
        <w:bottom w:val="none" w:sz="0" w:space="0" w:color="auto"/>
        <w:right w:val="none" w:sz="0" w:space="0" w:color="auto"/>
      </w:divBdr>
    </w:div>
    <w:div w:id="854345554">
      <w:bodyDiv w:val="1"/>
      <w:marLeft w:val="0"/>
      <w:marRight w:val="0"/>
      <w:marTop w:val="0"/>
      <w:marBottom w:val="0"/>
      <w:divBdr>
        <w:top w:val="none" w:sz="0" w:space="0" w:color="auto"/>
        <w:left w:val="none" w:sz="0" w:space="0" w:color="auto"/>
        <w:bottom w:val="none" w:sz="0" w:space="0" w:color="auto"/>
        <w:right w:val="none" w:sz="0" w:space="0" w:color="auto"/>
      </w:divBdr>
    </w:div>
    <w:div w:id="1011106617">
      <w:bodyDiv w:val="1"/>
      <w:marLeft w:val="0"/>
      <w:marRight w:val="0"/>
      <w:marTop w:val="0"/>
      <w:marBottom w:val="0"/>
      <w:divBdr>
        <w:top w:val="none" w:sz="0" w:space="0" w:color="auto"/>
        <w:left w:val="none" w:sz="0" w:space="0" w:color="auto"/>
        <w:bottom w:val="none" w:sz="0" w:space="0" w:color="auto"/>
        <w:right w:val="none" w:sz="0" w:space="0" w:color="auto"/>
      </w:divBdr>
    </w:div>
    <w:div w:id="1227495082">
      <w:bodyDiv w:val="1"/>
      <w:marLeft w:val="0"/>
      <w:marRight w:val="0"/>
      <w:marTop w:val="0"/>
      <w:marBottom w:val="0"/>
      <w:divBdr>
        <w:top w:val="none" w:sz="0" w:space="0" w:color="auto"/>
        <w:left w:val="none" w:sz="0" w:space="0" w:color="auto"/>
        <w:bottom w:val="none" w:sz="0" w:space="0" w:color="auto"/>
        <w:right w:val="none" w:sz="0" w:space="0" w:color="auto"/>
      </w:divBdr>
    </w:div>
    <w:div w:id="1366708895">
      <w:bodyDiv w:val="1"/>
      <w:marLeft w:val="0"/>
      <w:marRight w:val="0"/>
      <w:marTop w:val="0"/>
      <w:marBottom w:val="0"/>
      <w:divBdr>
        <w:top w:val="none" w:sz="0" w:space="0" w:color="auto"/>
        <w:left w:val="none" w:sz="0" w:space="0" w:color="auto"/>
        <w:bottom w:val="none" w:sz="0" w:space="0" w:color="auto"/>
        <w:right w:val="none" w:sz="0" w:space="0" w:color="auto"/>
      </w:divBdr>
    </w:div>
    <w:div w:id="1427115873">
      <w:bodyDiv w:val="1"/>
      <w:marLeft w:val="0"/>
      <w:marRight w:val="0"/>
      <w:marTop w:val="0"/>
      <w:marBottom w:val="0"/>
      <w:divBdr>
        <w:top w:val="none" w:sz="0" w:space="0" w:color="auto"/>
        <w:left w:val="none" w:sz="0" w:space="0" w:color="auto"/>
        <w:bottom w:val="none" w:sz="0" w:space="0" w:color="auto"/>
        <w:right w:val="none" w:sz="0" w:space="0" w:color="auto"/>
      </w:divBdr>
    </w:div>
    <w:div w:id="1503350252">
      <w:bodyDiv w:val="1"/>
      <w:marLeft w:val="0"/>
      <w:marRight w:val="0"/>
      <w:marTop w:val="0"/>
      <w:marBottom w:val="0"/>
      <w:divBdr>
        <w:top w:val="none" w:sz="0" w:space="0" w:color="auto"/>
        <w:left w:val="none" w:sz="0" w:space="0" w:color="auto"/>
        <w:bottom w:val="none" w:sz="0" w:space="0" w:color="auto"/>
        <w:right w:val="none" w:sz="0" w:space="0" w:color="auto"/>
      </w:divBdr>
    </w:div>
    <w:div w:id="1511987010">
      <w:bodyDiv w:val="1"/>
      <w:marLeft w:val="0"/>
      <w:marRight w:val="0"/>
      <w:marTop w:val="0"/>
      <w:marBottom w:val="0"/>
      <w:divBdr>
        <w:top w:val="none" w:sz="0" w:space="0" w:color="auto"/>
        <w:left w:val="none" w:sz="0" w:space="0" w:color="auto"/>
        <w:bottom w:val="none" w:sz="0" w:space="0" w:color="auto"/>
        <w:right w:val="none" w:sz="0" w:space="0" w:color="auto"/>
      </w:divBdr>
    </w:div>
    <w:div w:id="1538810270">
      <w:bodyDiv w:val="1"/>
      <w:marLeft w:val="0"/>
      <w:marRight w:val="0"/>
      <w:marTop w:val="0"/>
      <w:marBottom w:val="0"/>
      <w:divBdr>
        <w:top w:val="none" w:sz="0" w:space="0" w:color="auto"/>
        <w:left w:val="none" w:sz="0" w:space="0" w:color="auto"/>
        <w:bottom w:val="none" w:sz="0" w:space="0" w:color="auto"/>
        <w:right w:val="none" w:sz="0" w:space="0" w:color="auto"/>
      </w:divBdr>
    </w:div>
    <w:div w:id="1603610966">
      <w:bodyDiv w:val="1"/>
      <w:marLeft w:val="0"/>
      <w:marRight w:val="0"/>
      <w:marTop w:val="0"/>
      <w:marBottom w:val="0"/>
      <w:divBdr>
        <w:top w:val="none" w:sz="0" w:space="0" w:color="auto"/>
        <w:left w:val="none" w:sz="0" w:space="0" w:color="auto"/>
        <w:bottom w:val="none" w:sz="0" w:space="0" w:color="auto"/>
        <w:right w:val="none" w:sz="0" w:space="0" w:color="auto"/>
      </w:divBdr>
    </w:div>
    <w:div w:id="1648633653">
      <w:bodyDiv w:val="1"/>
      <w:marLeft w:val="0"/>
      <w:marRight w:val="0"/>
      <w:marTop w:val="0"/>
      <w:marBottom w:val="0"/>
      <w:divBdr>
        <w:top w:val="none" w:sz="0" w:space="0" w:color="auto"/>
        <w:left w:val="none" w:sz="0" w:space="0" w:color="auto"/>
        <w:bottom w:val="none" w:sz="0" w:space="0" w:color="auto"/>
        <w:right w:val="none" w:sz="0" w:space="0" w:color="auto"/>
      </w:divBdr>
    </w:div>
    <w:div w:id="1707868603">
      <w:bodyDiv w:val="1"/>
      <w:marLeft w:val="0"/>
      <w:marRight w:val="0"/>
      <w:marTop w:val="0"/>
      <w:marBottom w:val="0"/>
      <w:divBdr>
        <w:top w:val="none" w:sz="0" w:space="0" w:color="auto"/>
        <w:left w:val="none" w:sz="0" w:space="0" w:color="auto"/>
        <w:bottom w:val="none" w:sz="0" w:space="0" w:color="auto"/>
        <w:right w:val="none" w:sz="0" w:space="0" w:color="auto"/>
      </w:divBdr>
      <w:divsChild>
        <w:div w:id="1378701787">
          <w:marLeft w:val="1"/>
          <w:marRight w:val="1"/>
          <w:marTop w:val="0"/>
          <w:marBottom w:val="0"/>
          <w:divBdr>
            <w:top w:val="none" w:sz="0" w:space="0" w:color="auto"/>
            <w:left w:val="single" w:sz="6" w:space="0" w:color="E5E6E8"/>
            <w:bottom w:val="none" w:sz="0" w:space="0" w:color="auto"/>
            <w:right w:val="single" w:sz="6" w:space="0" w:color="E5E6E8"/>
          </w:divBdr>
          <w:divsChild>
            <w:div w:id="1354306557">
              <w:marLeft w:val="0"/>
              <w:marRight w:val="0"/>
              <w:marTop w:val="0"/>
              <w:marBottom w:val="0"/>
              <w:divBdr>
                <w:top w:val="none" w:sz="0" w:space="0" w:color="auto"/>
                <w:left w:val="none" w:sz="0" w:space="0" w:color="auto"/>
                <w:bottom w:val="none" w:sz="0" w:space="0" w:color="auto"/>
                <w:right w:val="none" w:sz="0" w:space="0" w:color="auto"/>
              </w:divBdr>
              <w:divsChild>
                <w:div w:id="1307003548">
                  <w:marLeft w:val="0"/>
                  <w:marRight w:val="0"/>
                  <w:marTop w:val="0"/>
                  <w:marBottom w:val="0"/>
                  <w:divBdr>
                    <w:top w:val="none" w:sz="0" w:space="0" w:color="auto"/>
                    <w:left w:val="none" w:sz="0" w:space="0" w:color="auto"/>
                    <w:bottom w:val="none" w:sz="0" w:space="0" w:color="auto"/>
                    <w:right w:val="none" w:sz="0" w:space="0" w:color="auto"/>
                  </w:divBdr>
                  <w:divsChild>
                    <w:div w:id="1587299531">
                      <w:marLeft w:val="0"/>
                      <w:marRight w:val="0"/>
                      <w:marTop w:val="0"/>
                      <w:marBottom w:val="0"/>
                      <w:divBdr>
                        <w:top w:val="none" w:sz="0" w:space="0" w:color="auto"/>
                        <w:left w:val="none" w:sz="0" w:space="0" w:color="auto"/>
                        <w:bottom w:val="none" w:sz="0" w:space="0" w:color="auto"/>
                        <w:right w:val="none" w:sz="0" w:space="0" w:color="auto"/>
                      </w:divBdr>
                      <w:divsChild>
                        <w:div w:id="1828935512">
                          <w:marLeft w:val="0"/>
                          <w:marRight w:val="0"/>
                          <w:marTop w:val="0"/>
                          <w:marBottom w:val="0"/>
                          <w:divBdr>
                            <w:top w:val="none" w:sz="0" w:space="0" w:color="auto"/>
                            <w:left w:val="none" w:sz="0" w:space="0" w:color="auto"/>
                            <w:bottom w:val="none" w:sz="0" w:space="0" w:color="auto"/>
                            <w:right w:val="none" w:sz="0" w:space="0" w:color="auto"/>
                          </w:divBdr>
                          <w:divsChild>
                            <w:div w:id="1450396757">
                              <w:marLeft w:val="0"/>
                              <w:marRight w:val="0"/>
                              <w:marTop w:val="0"/>
                              <w:marBottom w:val="0"/>
                              <w:divBdr>
                                <w:top w:val="none" w:sz="0" w:space="0" w:color="auto"/>
                                <w:left w:val="none" w:sz="0" w:space="0" w:color="auto"/>
                                <w:bottom w:val="none" w:sz="0" w:space="0" w:color="auto"/>
                                <w:right w:val="none" w:sz="0" w:space="0" w:color="auto"/>
                              </w:divBdr>
                              <w:divsChild>
                                <w:div w:id="644504438">
                                  <w:marLeft w:val="0"/>
                                  <w:marRight w:val="0"/>
                                  <w:marTop w:val="0"/>
                                  <w:marBottom w:val="0"/>
                                  <w:divBdr>
                                    <w:top w:val="none" w:sz="0" w:space="0" w:color="auto"/>
                                    <w:left w:val="none" w:sz="0" w:space="0" w:color="auto"/>
                                    <w:bottom w:val="none" w:sz="0" w:space="0" w:color="auto"/>
                                    <w:right w:val="none" w:sz="0" w:space="0" w:color="auto"/>
                                  </w:divBdr>
                                  <w:divsChild>
                                    <w:div w:id="286621372">
                                      <w:marLeft w:val="0"/>
                                      <w:marRight w:val="0"/>
                                      <w:marTop w:val="0"/>
                                      <w:marBottom w:val="0"/>
                                      <w:divBdr>
                                        <w:top w:val="none" w:sz="0" w:space="0" w:color="auto"/>
                                        <w:left w:val="none" w:sz="0" w:space="0" w:color="auto"/>
                                        <w:bottom w:val="none" w:sz="0" w:space="0" w:color="auto"/>
                                        <w:right w:val="none" w:sz="0" w:space="0" w:color="auto"/>
                                      </w:divBdr>
                                      <w:divsChild>
                                        <w:div w:id="907154857">
                                          <w:marLeft w:val="0"/>
                                          <w:marRight w:val="0"/>
                                          <w:marTop w:val="0"/>
                                          <w:marBottom w:val="0"/>
                                          <w:divBdr>
                                            <w:top w:val="none" w:sz="0" w:space="0" w:color="auto"/>
                                            <w:left w:val="none" w:sz="0" w:space="0" w:color="auto"/>
                                            <w:bottom w:val="none" w:sz="0" w:space="0" w:color="auto"/>
                                            <w:right w:val="none" w:sz="0" w:space="0" w:color="auto"/>
                                          </w:divBdr>
                                          <w:divsChild>
                                            <w:div w:id="1236667221">
                                              <w:marLeft w:val="0"/>
                                              <w:marRight w:val="0"/>
                                              <w:marTop w:val="0"/>
                                              <w:marBottom w:val="0"/>
                                              <w:divBdr>
                                                <w:top w:val="none" w:sz="0" w:space="0" w:color="auto"/>
                                                <w:left w:val="none" w:sz="0" w:space="0" w:color="auto"/>
                                                <w:bottom w:val="none" w:sz="0" w:space="0" w:color="auto"/>
                                                <w:right w:val="none" w:sz="0" w:space="0" w:color="auto"/>
                                              </w:divBdr>
                                              <w:divsChild>
                                                <w:div w:id="2140952404">
                                                  <w:marLeft w:val="0"/>
                                                  <w:marRight w:val="0"/>
                                                  <w:marTop w:val="0"/>
                                                  <w:marBottom w:val="0"/>
                                                  <w:divBdr>
                                                    <w:top w:val="none" w:sz="0" w:space="0" w:color="auto"/>
                                                    <w:left w:val="none" w:sz="0" w:space="0" w:color="auto"/>
                                                    <w:bottom w:val="none" w:sz="0" w:space="0" w:color="auto"/>
                                                    <w:right w:val="none" w:sz="0" w:space="0" w:color="auto"/>
                                                  </w:divBdr>
                                                  <w:divsChild>
                                                    <w:div w:id="1332830875">
                                                      <w:marLeft w:val="0"/>
                                                      <w:marRight w:val="0"/>
                                                      <w:marTop w:val="0"/>
                                                      <w:marBottom w:val="0"/>
                                                      <w:divBdr>
                                                        <w:top w:val="none" w:sz="0" w:space="0" w:color="auto"/>
                                                        <w:left w:val="none" w:sz="0" w:space="0" w:color="auto"/>
                                                        <w:bottom w:val="none" w:sz="0" w:space="0" w:color="auto"/>
                                                        <w:right w:val="none" w:sz="0" w:space="0" w:color="auto"/>
                                                      </w:divBdr>
                                                      <w:divsChild>
                                                        <w:div w:id="1001856808">
                                                          <w:marLeft w:val="0"/>
                                                          <w:marRight w:val="0"/>
                                                          <w:marTop w:val="0"/>
                                                          <w:marBottom w:val="0"/>
                                                          <w:divBdr>
                                                            <w:top w:val="none" w:sz="0" w:space="0" w:color="auto"/>
                                                            <w:left w:val="none" w:sz="0" w:space="0" w:color="auto"/>
                                                            <w:bottom w:val="none" w:sz="0" w:space="0" w:color="auto"/>
                                                            <w:right w:val="none" w:sz="0" w:space="0" w:color="auto"/>
                                                          </w:divBdr>
                                                          <w:divsChild>
                                                            <w:div w:id="1906913782">
                                                              <w:marLeft w:val="0"/>
                                                              <w:marRight w:val="0"/>
                                                              <w:marTop w:val="0"/>
                                                              <w:marBottom w:val="0"/>
                                                              <w:divBdr>
                                                                <w:top w:val="none" w:sz="0" w:space="0" w:color="auto"/>
                                                                <w:left w:val="none" w:sz="0" w:space="0" w:color="auto"/>
                                                                <w:bottom w:val="none" w:sz="0" w:space="0" w:color="auto"/>
                                                                <w:right w:val="none" w:sz="0" w:space="0" w:color="auto"/>
                                                              </w:divBdr>
                                                              <w:divsChild>
                                                                <w:div w:id="41891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79395316">
      <w:bodyDiv w:val="1"/>
      <w:marLeft w:val="0"/>
      <w:marRight w:val="0"/>
      <w:marTop w:val="0"/>
      <w:marBottom w:val="0"/>
      <w:divBdr>
        <w:top w:val="none" w:sz="0" w:space="0" w:color="auto"/>
        <w:left w:val="none" w:sz="0" w:space="0" w:color="auto"/>
        <w:bottom w:val="none" w:sz="0" w:space="0" w:color="auto"/>
        <w:right w:val="none" w:sz="0" w:space="0" w:color="auto"/>
      </w:divBdr>
    </w:div>
    <w:div w:id="1889880062">
      <w:bodyDiv w:val="1"/>
      <w:marLeft w:val="0"/>
      <w:marRight w:val="0"/>
      <w:marTop w:val="0"/>
      <w:marBottom w:val="0"/>
      <w:divBdr>
        <w:top w:val="none" w:sz="0" w:space="0" w:color="auto"/>
        <w:left w:val="none" w:sz="0" w:space="0" w:color="auto"/>
        <w:bottom w:val="none" w:sz="0" w:space="0" w:color="auto"/>
        <w:right w:val="none" w:sz="0" w:space="0" w:color="auto"/>
      </w:divBdr>
    </w:div>
    <w:div w:id="1920864075">
      <w:bodyDiv w:val="1"/>
      <w:marLeft w:val="0"/>
      <w:marRight w:val="0"/>
      <w:marTop w:val="0"/>
      <w:marBottom w:val="0"/>
      <w:divBdr>
        <w:top w:val="none" w:sz="0" w:space="0" w:color="auto"/>
        <w:left w:val="none" w:sz="0" w:space="0" w:color="auto"/>
        <w:bottom w:val="none" w:sz="0" w:space="0" w:color="auto"/>
        <w:right w:val="none" w:sz="0" w:space="0" w:color="auto"/>
      </w:divBdr>
    </w:div>
    <w:div w:id="1997223330">
      <w:bodyDiv w:val="1"/>
      <w:marLeft w:val="0"/>
      <w:marRight w:val="0"/>
      <w:marTop w:val="0"/>
      <w:marBottom w:val="0"/>
      <w:divBdr>
        <w:top w:val="none" w:sz="0" w:space="0" w:color="auto"/>
        <w:left w:val="none" w:sz="0" w:space="0" w:color="auto"/>
        <w:bottom w:val="none" w:sz="0" w:space="0" w:color="auto"/>
        <w:right w:val="none" w:sz="0" w:space="0" w:color="auto"/>
      </w:divBdr>
    </w:div>
    <w:div w:id="1997874760">
      <w:bodyDiv w:val="1"/>
      <w:marLeft w:val="0"/>
      <w:marRight w:val="0"/>
      <w:marTop w:val="0"/>
      <w:marBottom w:val="0"/>
      <w:divBdr>
        <w:top w:val="none" w:sz="0" w:space="0" w:color="auto"/>
        <w:left w:val="none" w:sz="0" w:space="0" w:color="auto"/>
        <w:bottom w:val="none" w:sz="0" w:space="0" w:color="auto"/>
        <w:right w:val="none" w:sz="0" w:space="0" w:color="auto"/>
      </w:divBdr>
    </w:div>
    <w:div w:id="2054109833">
      <w:bodyDiv w:val="1"/>
      <w:marLeft w:val="0"/>
      <w:marRight w:val="0"/>
      <w:marTop w:val="0"/>
      <w:marBottom w:val="0"/>
      <w:divBdr>
        <w:top w:val="none" w:sz="0" w:space="0" w:color="auto"/>
        <w:left w:val="none" w:sz="0" w:space="0" w:color="auto"/>
        <w:bottom w:val="none" w:sz="0" w:space="0" w:color="auto"/>
        <w:right w:val="none" w:sz="0" w:space="0" w:color="auto"/>
      </w:divBdr>
    </w:div>
    <w:div w:id="2090151033">
      <w:bodyDiv w:val="1"/>
      <w:marLeft w:val="0"/>
      <w:marRight w:val="0"/>
      <w:marTop w:val="0"/>
      <w:marBottom w:val="0"/>
      <w:divBdr>
        <w:top w:val="none" w:sz="0" w:space="0" w:color="auto"/>
        <w:left w:val="none" w:sz="0" w:space="0" w:color="auto"/>
        <w:bottom w:val="none" w:sz="0" w:space="0" w:color="auto"/>
        <w:right w:val="none" w:sz="0" w:space="0" w:color="auto"/>
      </w:divBdr>
      <w:divsChild>
        <w:div w:id="946038367">
          <w:marLeft w:val="1"/>
          <w:marRight w:val="1"/>
          <w:marTop w:val="0"/>
          <w:marBottom w:val="0"/>
          <w:divBdr>
            <w:top w:val="none" w:sz="0" w:space="0" w:color="auto"/>
            <w:left w:val="single" w:sz="6" w:space="0" w:color="E5E6E8"/>
            <w:bottom w:val="none" w:sz="0" w:space="0" w:color="auto"/>
            <w:right w:val="single" w:sz="6" w:space="0" w:color="E5E6E8"/>
          </w:divBdr>
          <w:divsChild>
            <w:div w:id="23409092">
              <w:marLeft w:val="0"/>
              <w:marRight w:val="0"/>
              <w:marTop w:val="0"/>
              <w:marBottom w:val="0"/>
              <w:divBdr>
                <w:top w:val="none" w:sz="0" w:space="0" w:color="auto"/>
                <w:left w:val="none" w:sz="0" w:space="0" w:color="auto"/>
                <w:bottom w:val="none" w:sz="0" w:space="0" w:color="auto"/>
                <w:right w:val="none" w:sz="0" w:space="0" w:color="auto"/>
              </w:divBdr>
              <w:divsChild>
                <w:div w:id="204493156">
                  <w:marLeft w:val="0"/>
                  <w:marRight w:val="0"/>
                  <w:marTop w:val="0"/>
                  <w:marBottom w:val="0"/>
                  <w:divBdr>
                    <w:top w:val="none" w:sz="0" w:space="0" w:color="auto"/>
                    <w:left w:val="none" w:sz="0" w:space="0" w:color="auto"/>
                    <w:bottom w:val="none" w:sz="0" w:space="0" w:color="auto"/>
                    <w:right w:val="none" w:sz="0" w:space="0" w:color="auto"/>
                  </w:divBdr>
                  <w:divsChild>
                    <w:div w:id="252128823">
                      <w:marLeft w:val="0"/>
                      <w:marRight w:val="0"/>
                      <w:marTop w:val="0"/>
                      <w:marBottom w:val="0"/>
                      <w:divBdr>
                        <w:top w:val="none" w:sz="0" w:space="0" w:color="auto"/>
                        <w:left w:val="none" w:sz="0" w:space="0" w:color="auto"/>
                        <w:bottom w:val="none" w:sz="0" w:space="0" w:color="auto"/>
                        <w:right w:val="none" w:sz="0" w:space="0" w:color="auto"/>
                      </w:divBdr>
                      <w:divsChild>
                        <w:div w:id="440804395">
                          <w:marLeft w:val="0"/>
                          <w:marRight w:val="0"/>
                          <w:marTop w:val="0"/>
                          <w:marBottom w:val="0"/>
                          <w:divBdr>
                            <w:top w:val="none" w:sz="0" w:space="0" w:color="auto"/>
                            <w:left w:val="none" w:sz="0" w:space="0" w:color="auto"/>
                            <w:bottom w:val="none" w:sz="0" w:space="0" w:color="auto"/>
                            <w:right w:val="none" w:sz="0" w:space="0" w:color="auto"/>
                          </w:divBdr>
                          <w:divsChild>
                            <w:div w:id="496918795">
                              <w:marLeft w:val="0"/>
                              <w:marRight w:val="0"/>
                              <w:marTop w:val="0"/>
                              <w:marBottom w:val="0"/>
                              <w:divBdr>
                                <w:top w:val="none" w:sz="0" w:space="0" w:color="auto"/>
                                <w:left w:val="none" w:sz="0" w:space="0" w:color="auto"/>
                                <w:bottom w:val="none" w:sz="0" w:space="0" w:color="auto"/>
                                <w:right w:val="none" w:sz="0" w:space="0" w:color="auto"/>
                              </w:divBdr>
                              <w:divsChild>
                                <w:div w:id="630743091">
                                  <w:marLeft w:val="0"/>
                                  <w:marRight w:val="0"/>
                                  <w:marTop w:val="0"/>
                                  <w:marBottom w:val="0"/>
                                  <w:divBdr>
                                    <w:top w:val="none" w:sz="0" w:space="0" w:color="auto"/>
                                    <w:left w:val="none" w:sz="0" w:space="0" w:color="auto"/>
                                    <w:bottom w:val="none" w:sz="0" w:space="0" w:color="auto"/>
                                    <w:right w:val="none" w:sz="0" w:space="0" w:color="auto"/>
                                  </w:divBdr>
                                  <w:divsChild>
                                    <w:div w:id="1240401951">
                                      <w:marLeft w:val="0"/>
                                      <w:marRight w:val="0"/>
                                      <w:marTop w:val="0"/>
                                      <w:marBottom w:val="0"/>
                                      <w:divBdr>
                                        <w:top w:val="none" w:sz="0" w:space="0" w:color="auto"/>
                                        <w:left w:val="none" w:sz="0" w:space="0" w:color="auto"/>
                                        <w:bottom w:val="none" w:sz="0" w:space="0" w:color="auto"/>
                                        <w:right w:val="none" w:sz="0" w:space="0" w:color="auto"/>
                                      </w:divBdr>
                                      <w:divsChild>
                                        <w:div w:id="1719209593">
                                          <w:marLeft w:val="0"/>
                                          <w:marRight w:val="0"/>
                                          <w:marTop w:val="0"/>
                                          <w:marBottom w:val="0"/>
                                          <w:divBdr>
                                            <w:top w:val="none" w:sz="0" w:space="0" w:color="auto"/>
                                            <w:left w:val="none" w:sz="0" w:space="0" w:color="auto"/>
                                            <w:bottom w:val="none" w:sz="0" w:space="0" w:color="auto"/>
                                            <w:right w:val="none" w:sz="0" w:space="0" w:color="auto"/>
                                          </w:divBdr>
                                          <w:divsChild>
                                            <w:div w:id="1569922516">
                                              <w:marLeft w:val="0"/>
                                              <w:marRight w:val="0"/>
                                              <w:marTop w:val="0"/>
                                              <w:marBottom w:val="0"/>
                                              <w:divBdr>
                                                <w:top w:val="none" w:sz="0" w:space="0" w:color="auto"/>
                                                <w:left w:val="none" w:sz="0" w:space="0" w:color="auto"/>
                                                <w:bottom w:val="none" w:sz="0" w:space="0" w:color="auto"/>
                                                <w:right w:val="none" w:sz="0" w:space="0" w:color="auto"/>
                                              </w:divBdr>
                                              <w:divsChild>
                                                <w:div w:id="474874562">
                                                  <w:marLeft w:val="0"/>
                                                  <w:marRight w:val="0"/>
                                                  <w:marTop w:val="0"/>
                                                  <w:marBottom w:val="0"/>
                                                  <w:divBdr>
                                                    <w:top w:val="none" w:sz="0" w:space="0" w:color="auto"/>
                                                    <w:left w:val="none" w:sz="0" w:space="0" w:color="auto"/>
                                                    <w:bottom w:val="none" w:sz="0" w:space="0" w:color="auto"/>
                                                    <w:right w:val="none" w:sz="0" w:space="0" w:color="auto"/>
                                                  </w:divBdr>
                                                  <w:divsChild>
                                                    <w:div w:id="16544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794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olenciagenero.igualdad.mpr.gob.es/violenciaEnCifras/boletines/boletinAnual/docs/B_E_Anual_2017_1.pdf" TargetMode="External"/><Relationship Id="rId13" Type="http://schemas.openxmlformats.org/officeDocument/2006/relationships/hyperlink" Target="https://www.boe.es/buscar/act.php?id=BOE-A-2010-3514" TargetMode="External"/><Relationship Id="rId18" Type="http://schemas.openxmlformats.org/officeDocument/2006/relationships/hyperlink" Target="http://www.sepe.es/contenidos/observatorio/mercado_trabajo/3070-1.pdf"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oe.es/buscar/act.php?id=BOE-A-2004-21760" TargetMode="External"/><Relationship Id="rId17" Type="http://schemas.openxmlformats.org/officeDocument/2006/relationships/hyperlink" Target="https://www.ine.es/prensa/epd_2016.pdf"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www.fundacioncermimujeres.es/sites/default/files/poner_fin_a_la_esterilizacion_forzosa_de_las_mujeres_y_ninas_con_discapacidad.pdf" TargetMode="External"/><Relationship Id="rId20" Type="http://schemas.openxmlformats.org/officeDocument/2006/relationships/hyperlink" Target="https://www.eapn.es/estadodepobreza/ARCHIVO/documentos/Informe_AROPE_20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es/buscar/act.php?id=BOE-A-2002-22188"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fundacioncermimujeres.es/sites/default/files/informe_sobre_violencia_de_genero_2.pdf" TargetMode="External"/><Relationship Id="rId23" Type="http://schemas.openxmlformats.org/officeDocument/2006/relationships/fontTable" Target="fontTable.xml"/><Relationship Id="rId10" Type="http://schemas.openxmlformats.org/officeDocument/2006/relationships/hyperlink" Target="https://www.boe.es/buscar/act.php?id=BOE-A-1995-25444&amp;tn=1&amp;p=20150428" TargetMode="External"/><Relationship Id="rId19" Type="http://schemas.openxmlformats.org/officeDocument/2006/relationships/hyperlink" Target="http://odismet.es/es/informes/informe-2-del-observatorio-sobre-discapacidad-y-mercado-de-trabajo-de-la-fundacin-once/25/" TargetMode="External"/><Relationship Id="rId4" Type="http://schemas.openxmlformats.org/officeDocument/2006/relationships/settings" Target="settings.xml"/><Relationship Id="rId9" Type="http://schemas.openxmlformats.org/officeDocument/2006/relationships/hyperlink" Target="https://elpais.com/elpais/2017/05/02/mamas_papas/1493711645_276126.html" TargetMode="External"/><Relationship Id="rId14" Type="http://schemas.openxmlformats.org/officeDocument/2006/relationships/hyperlink" Target="http://www.boe.es/boe/dias/2015/03/31/pdfs/BOE-A-2015-3439.pdf" TargetMode="External"/><Relationship Id="rId22" Type="http://schemas.openxmlformats.org/officeDocument/2006/relationships/footer" Target="footer1.xm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fundacioncermimujeres.es/sites/default/files/poner_fin_a_la_esterilizacion_forzosa_de_las_mujeres_y_ninas_con_discapacidad.pdf" TargetMode="External"/><Relationship Id="rId13" Type="http://schemas.openxmlformats.org/officeDocument/2006/relationships/hyperlink" Target="https://www.ine.es/prensa/epd_2016.pdf" TargetMode="External"/><Relationship Id="rId3" Type="http://schemas.openxmlformats.org/officeDocument/2006/relationships/hyperlink" Target="https://www.boe.es/buscar/act.php?id=BOE-A-2004-21760" TargetMode="External"/><Relationship Id="rId7" Type="http://schemas.openxmlformats.org/officeDocument/2006/relationships/hyperlink" Target="https://www.boe.es/buscar/act.php?id=BOE-A-1995-25444&amp;tn=1&amp;p=20150428" TargetMode="External"/><Relationship Id="rId12" Type="http://schemas.openxmlformats.org/officeDocument/2006/relationships/hyperlink" Target="http://odismet.es/es/informes/informe-2-del-observatorio-sobre-discapacidad-y-mercado-de-trabajo-de-la-fundacin-once/25/" TargetMode="External"/><Relationship Id="rId2" Type="http://schemas.openxmlformats.org/officeDocument/2006/relationships/hyperlink" Target="http://www.sepe.es/contenidos/observatorio/mercado_trabajo/3070-1.pdf" TargetMode="External"/><Relationship Id="rId1" Type="http://schemas.openxmlformats.org/officeDocument/2006/relationships/hyperlink" Target="http://www.fundacioncermimujeres.es" TargetMode="External"/><Relationship Id="rId6" Type="http://schemas.openxmlformats.org/officeDocument/2006/relationships/hyperlink" Target="http://www.boe.es/boe/dias/2015/03/31/pdfs/BOE-A-2015-3439.pdf" TargetMode="External"/><Relationship Id="rId11" Type="http://schemas.openxmlformats.org/officeDocument/2006/relationships/hyperlink" Target="https://elpais.com/elpais/2017/05/02/mamas_papas/1493711645_276126.html" TargetMode="External"/><Relationship Id="rId5" Type="http://schemas.openxmlformats.org/officeDocument/2006/relationships/hyperlink" Target="http://www.fundacioncermimujeres.es/sites/default/files/informe_sobre_violencia_de_genero_2.pdf" TargetMode="External"/><Relationship Id="rId10" Type="http://schemas.openxmlformats.org/officeDocument/2006/relationships/hyperlink" Target="https://www.boe.es/buscar/act.php?id=BOE-A-2002-22188" TargetMode="External"/><Relationship Id="rId4" Type="http://schemas.openxmlformats.org/officeDocument/2006/relationships/hyperlink" Target="http://www.violenciagenero.igualdad.mpr.gob.es/violenciaEnCifras/boletines/boletinAnual/docs/B_E_Anual_2017_1.pdf" TargetMode="External"/><Relationship Id="rId9" Type="http://schemas.openxmlformats.org/officeDocument/2006/relationships/hyperlink" Target="https://www.boe.es/buscar/act.php?id=BOE-A-2010-3514" TargetMode="External"/><Relationship Id="rId14" Type="http://schemas.openxmlformats.org/officeDocument/2006/relationships/hyperlink" Target="https://www.eapn.es/estadodepobreza/ARCHIVO/documentos/Informe_AROPE_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6215A4-F865-4EE5-B8D2-1734D03336FB}"/>
</file>

<file path=customXml/itemProps2.xml><?xml version="1.0" encoding="utf-8"?>
<ds:datastoreItem xmlns:ds="http://schemas.openxmlformats.org/officeDocument/2006/customXml" ds:itemID="{09B746D5-A6AB-499E-9572-4A960F40881F}"/>
</file>

<file path=customXml/itemProps3.xml><?xml version="1.0" encoding="utf-8"?>
<ds:datastoreItem xmlns:ds="http://schemas.openxmlformats.org/officeDocument/2006/customXml" ds:itemID="{E0775C16-7343-4D72-89C6-641D464BA587}"/>
</file>

<file path=customXml/itemProps4.xml><?xml version="1.0" encoding="utf-8"?>
<ds:datastoreItem xmlns:ds="http://schemas.openxmlformats.org/officeDocument/2006/customXml" ds:itemID="{5BA75460-C9B6-4D38-AC67-4842436132A8}"/>
</file>

<file path=docProps/app.xml><?xml version="1.0" encoding="utf-8"?>
<Properties xmlns="http://schemas.openxmlformats.org/officeDocument/2006/extended-properties" xmlns:vt="http://schemas.openxmlformats.org/officeDocument/2006/docPropsVTypes">
  <Template>Normal.dotm</Template>
  <TotalTime>1</TotalTime>
  <Pages>3</Pages>
  <Words>9344</Words>
  <Characters>53262</Characters>
  <Application>Microsoft Office Word</Application>
  <DocSecurity>4</DocSecurity>
  <Lines>443</Lines>
  <Paragraphs>124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62482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Fundación CERMI Mujeres</dc:creator>
  <cp:lastModifiedBy>CAILLOT Lucille</cp:lastModifiedBy>
  <cp:revision>2</cp:revision>
  <cp:lastPrinted>2017-12-15T06:28:00Z</cp:lastPrinted>
  <dcterms:created xsi:type="dcterms:W3CDTF">2019-02-04T16:45:00Z</dcterms:created>
  <dcterms:modified xsi:type="dcterms:W3CDTF">2019-02-04T16:45:00Z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