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3F641" w14:textId="77777777" w:rsidR="009B71D1" w:rsidRPr="00945926" w:rsidRDefault="009B71D1" w:rsidP="009B71D1">
      <w:pPr>
        <w:spacing w:before="240"/>
        <w:ind w:firstLine="709"/>
        <w:jc w:val="center"/>
        <w:rPr>
          <w:rFonts w:ascii="Cambria" w:hAnsi="Cambria"/>
          <w:b/>
          <w:bCs/>
          <w:sz w:val="24"/>
          <w:szCs w:val="24"/>
          <w:u w:val="single"/>
        </w:rPr>
      </w:pPr>
      <w:r w:rsidRPr="00945926">
        <w:rPr>
          <w:rFonts w:ascii="Cambria" w:hAnsi="Cambria"/>
          <w:noProof/>
          <w:sz w:val="24"/>
          <w:szCs w:val="24"/>
        </w:rPr>
        <w:drawing>
          <wp:inline distT="0" distB="0" distL="0" distR="0" wp14:anchorId="1F5C3FAE" wp14:editId="20C0CF58">
            <wp:extent cx="4308127" cy="2726690"/>
            <wp:effectExtent l="0" t="0" r="0" b="0"/>
            <wp:docPr id="2" name="0 Imagen" descr="aula abierta nuevo logo.jpg"/>
            <wp:cNvGraphicFramePr/>
            <a:graphic xmlns:a="http://schemas.openxmlformats.org/drawingml/2006/main">
              <a:graphicData uri="http://schemas.openxmlformats.org/drawingml/2006/picture">
                <pic:pic xmlns:pic="http://schemas.openxmlformats.org/drawingml/2006/picture">
                  <pic:nvPicPr>
                    <pic:cNvPr id="1" name="0 Imagen" descr="aula abierta nuevo logo.jpg"/>
                    <pic:cNvPicPr/>
                  </pic:nvPicPr>
                  <pic:blipFill>
                    <a:blip r:embed="rId8"/>
                    <a:stretch>
                      <a:fillRect/>
                    </a:stretch>
                  </pic:blipFill>
                  <pic:spPr>
                    <a:xfrm>
                      <a:off x="0" y="0"/>
                      <a:ext cx="4351477" cy="2754127"/>
                    </a:xfrm>
                    <a:prstGeom prst="rect">
                      <a:avLst/>
                    </a:prstGeom>
                  </pic:spPr>
                </pic:pic>
              </a:graphicData>
            </a:graphic>
          </wp:inline>
        </w:drawing>
      </w:r>
    </w:p>
    <w:p w14:paraId="4DBD35F4" w14:textId="77777777" w:rsidR="009B71D1" w:rsidRPr="00945926" w:rsidRDefault="009B71D1" w:rsidP="009B71D1">
      <w:pPr>
        <w:jc w:val="center"/>
        <w:rPr>
          <w:rFonts w:ascii="Cambria" w:hAnsi="Cambria"/>
          <w:b/>
          <w:bCs/>
          <w:sz w:val="24"/>
          <w:szCs w:val="24"/>
        </w:rPr>
      </w:pPr>
    </w:p>
    <w:p w14:paraId="18E8638E" w14:textId="77777777" w:rsidR="009B71D1" w:rsidRPr="00945926" w:rsidRDefault="009B71D1" w:rsidP="009B71D1">
      <w:pPr>
        <w:jc w:val="center"/>
        <w:rPr>
          <w:rFonts w:ascii="Cambria" w:hAnsi="Cambria"/>
          <w:b/>
          <w:bCs/>
          <w:sz w:val="24"/>
          <w:szCs w:val="24"/>
        </w:rPr>
      </w:pPr>
    </w:p>
    <w:p w14:paraId="23E4859C" w14:textId="6ECBBB96" w:rsidR="009B71D1" w:rsidRPr="00945926" w:rsidRDefault="009B71D1" w:rsidP="009B71D1">
      <w:pPr>
        <w:jc w:val="center"/>
        <w:rPr>
          <w:rFonts w:ascii="Cambria" w:hAnsi="Cambria"/>
          <w:b/>
          <w:bCs/>
          <w:sz w:val="24"/>
          <w:szCs w:val="24"/>
        </w:rPr>
      </w:pPr>
      <w:r w:rsidRPr="00945926">
        <w:rPr>
          <w:rFonts w:ascii="Cambria" w:hAnsi="Cambria"/>
          <w:b/>
          <w:bCs/>
          <w:sz w:val="24"/>
          <w:szCs w:val="24"/>
        </w:rPr>
        <w:t>VENEZUELA</w:t>
      </w:r>
    </w:p>
    <w:p w14:paraId="7D9AE710" w14:textId="70FB1619" w:rsidR="009B71D1" w:rsidRPr="00945926" w:rsidRDefault="009B71D1" w:rsidP="009B71D1">
      <w:pPr>
        <w:jc w:val="center"/>
        <w:rPr>
          <w:rFonts w:ascii="Cambria" w:hAnsi="Cambria"/>
          <w:b/>
          <w:bCs/>
          <w:sz w:val="24"/>
          <w:szCs w:val="24"/>
        </w:rPr>
      </w:pPr>
      <w:r w:rsidRPr="00945926">
        <w:rPr>
          <w:rFonts w:ascii="Cambria" w:hAnsi="Cambria"/>
          <w:b/>
          <w:bCs/>
          <w:sz w:val="24"/>
          <w:szCs w:val="24"/>
        </w:rPr>
        <w:t>Informe alternativo sobre la aplicación del Pacto de Derechos Civiles y Políticos Sesión 139° del Comité de Derechos Humanos</w:t>
      </w:r>
    </w:p>
    <w:p w14:paraId="66F2B8FE" w14:textId="77777777" w:rsidR="009B71D1" w:rsidRPr="00945926" w:rsidRDefault="009B71D1" w:rsidP="009B71D1">
      <w:pPr>
        <w:jc w:val="center"/>
        <w:rPr>
          <w:rFonts w:ascii="Cambria" w:hAnsi="Cambria"/>
          <w:b/>
          <w:bCs/>
          <w:sz w:val="24"/>
          <w:szCs w:val="24"/>
        </w:rPr>
      </w:pPr>
    </w:p>
    <w:p w14:paraId="7D9AE877" w14:textId="77777777" w:rsidR="009B71D1" w:rsidRPr="00945926" w:rsidRDefault="009B71D1" w:rsidP="009B71D1">
      <w:pPr>
        <w:jc w:val="center"/>
        <w:rPr>
          <w:rFonts w:ascii="Cambria" w:hAnsi="Cambria"/>
          <w:b/>
          <w:bCs/>
          <w:sz w:val="24"/>
          <w:szCs w:val="24"/>
        </w:rPr>
      </w:pPr>
    </w:p>
    <w:p w14:paraId="1BA08B0A" w14:textId="77777777" w:rsidR="009B71D1" w:rsidRPr="00945926" w:rsidRDefault="009B71D1" w:rsidP="009B71D1">
      <w:pPr>
        <w:jc w:val="center"/>
        <w:rPr>
          <w:rFonts w:ascii="Cambria" w:hAnsi="Cambria"/>
          <w:b/>
          <w:bCs/>
          <w:sz w:val="24"/>
          <w:szCs w:val="24"/>
        </w:rPr>
      </w:pPr>
    </w:p>
    <w:p w14:paraId="5B49121A" w14:textId="3AD51557" w:rsidR="009B71D1" w:rsidRPr="00945926" w:rsidRDefault="009B71D1" w:rsidP="009B71D1">
      <w:pPr>
        <w:jc w:val="center"/>
        <w:rPr>
          <w:rFonts w:ascii="Cambria" w:hAnsi="Cambria"/>
          <w:b/>
          <w:bCs/>
          <w:sz w:val="24"/>
          <w:szCs w:val="24"/>
        </w:rPr>
      </w:pPr>
      <w:r w:rsidRPr="00945926">
        <w:rPr>
          <w:rFonts w:ascii="Cambria" w:hAnsi="Cambria"/>
          <w:b/>
          <w:bCs/>
          <w:sz w:val="24"/>
          <w:szCs w:val="24"/>
        </w:rPr>
        <w:t>Maracaibo, septiembre 2023</w:t>
      </w:r>
    </w:p>
    <w:p w14:paraId="29009633" w14:textId="77777777" w:rsidR="009B71D1" w:rsidRPr="00945926" w:rsidRDefault="009B71D1" w:rsidP="009B71D1">
      <w:pPr>
        <w:jc w:val="center"/>
        <w:rPr>
          <w:rFonts w:ascii="Cambria" w:hAnsi="Cambria"/>
          <w:b/>
          <w:bCs/>
          <w:sz w:val="24"/>
          <w:szCs w:val="24"/>
        </w:rPr>
      </w:pPr>
    </w:p>
    <w:p w14:paraId="7BE71AC2" w14:textId="77777777" w:rsidR="009B71D1" w:rsidRPr="00945926" w:rsidRDefault="009B71D1" w:rsidP="009B71D1">
      <w:pPr>
        <w:jc w:val="center"/>
        <w:rPr>
          <w:rFonts w:ascii="Cambria" w:hAnsi="Cambria"/>
          <w:b/>
          <w:bCs/>
          <w:sz w:val="24"/>
          <w:szCs w:val="24"/>
        </w:rPr>
      </w:pPr>
    </w:p>
    <w:p w14:paraId="02373631" w14:textId="77777777" w:rsidR="009B71D1" w:rsidRPr="00945926" w:rsidRDefault="009B71D1" w:rsidP="009B71D1">
      <w:pPr>
        <w:jc w:val="center"/>
        <w:rPr>
          <w:rFonts w:ascii="Cambria" w:hAnsi="Cambria"/>
          <w:b/>
          <w:bCs/>
          <w:sz w:val="24"/>
          <w:szCs w:val="24"/>
        </w:rPr>
      </w:pPr>
    </w:p>
    <w:p w14:paraId="067FF34F" w14:textId="77777777" w:rsidR="009B71D1" w:rsidRDefault="009B71D1" w:rsidP="009B71D1">
      <w:pPr>
        <w:jc w:val="center"/>
        <w:rPr>
          <w:rFonts w:ascii="Cambria" w:hAnsi="Cambria"/>
          <w:b/>
          <w:bCs/>
          <w:sz w:val="24"/>
          <w:szCs w:val="24"/>
        </w:rPr>
      </w:pPr>
    </w:p>
    <w:p w14:paraId="1348FCC5" w14:textId="77777777" w:rsidR="005D2128" w:rsidRDefault="005D2128" w:rsidP="009B71D1">
      <w:pPr>
        <w:jc w:val="center"/>
        <w:rPr>
          <w:rFonts w:ascii="Cambria" w:hAnsi="Cambria"/>
          <w:b/>
          <w:bCs/>
          <w:sz w:val="24"/>
          <w:szCs w:val="24"/>
        </w:rPr>
      </w:pPr>
    </w:p>
    <w:p w14:paraId="488E24A9" w14:textId="77777777" w:rsidR="005D2128" w:rsidRDefault="005D2128" w:rsidP="009B71D1">
      <w:pPr>
        <w:jc w:val="center"/>
        <w:rPr>
          <w:rFonts w:ascii="Cambria" w:hAnsi="Cambria"/>
          <w:b/>
          <w:bCs/>
          <w:sz w:val="24"/>
          <w:szCs w:val="24"/>
        </w:rPr>
      </w:pPr>
    </w:p>
    <w:p w14:paraId="64DC42F8" w14:textId="77777777" w:rsidR="005D2128" w:rsidRDefault="005D2128" w:rsidP="009B71D1">
      <w:pPr>
        <w:jc w:val="center"/>
        <w:rPr>
          <w:rFonts w:ascii="Cambria" w:hAnsi="Cambria"/>
          <w:b/>
          <w:bCs/>
          <w:sz w:val="24"/>
          <w:szCs w:val="24"/>
        </w:rPr>
      </w:pPr>
    </w:p>
    <w:p w14:paraId="785FDE7D" w14:textId="77777777" w:rsidR="005D2128" w:rsidRDefault="005D2128" w:rsidP="009B71D1">
      <w:pPr>
        <w:jc w:val="center"/>
        <w:rPr>
          <w:rFonts w:ascii="Cambria" w:hAnsi="Cambria"/>
          <w:b/>
          <w:bCs/>
          <w:sz w:val="24"/>
          <w:szCs w:val="24"/>
        </w:rPr>
      </w:pPr>
    </w:p>
    <w:p w14:paraId="1559AFA6" w14:textId="77777777" w:rsidR="005D2128" w:rsidRPr="00945926" w:rsidRDefault="005D2128" w:rsidP="009B71D1">
      <w:pPr>
        <w:jc w:val="center"/>
        <w:rPr>
          <w:rFonts w:ascii="Cambria" w:hAnsi="Cambria"/>
          <w:b/>
          <w:bCs/>
          <w:sz w:val="24"/>
          <w:szCs w:val="24"/>
        </w:rPr>
      </w:pPr>
    </w:p>
    <w:p w14:paraId="72CCDA3F" w14:textId="0FC20935" w:rsidR="009B71D1" w:rsidRPr="00945926" w:rsidRDefault="009B71D1" w:rsidP="009B71D1">
      <w:pPr>
        <w:rPr>
          <w:rFonts w:ascii="Cambria" w:hAnsi="Cambria"/>
          <w:sz w:val="24"/>
          <w:szCs w:val="24"/>
        </w:rPr>
      </w:pPr>
      <w:r w:rsidRPr="00945926">
        <w:rPr>
          <w:rFonts w:ascii="Cambria" w:hAnsi="Cambria"/>
          <w:sz w:val="24"/>
          <w:szCs w:val="24"/>
        </w:rPr>
        <w:t>Elaborado por:</w:t>
      </w:r>
    </w:p>
    <w:p w14:paraId="5A0130F7" w14:textId="6FA2F16F" w:rsidR="009B71D1" w:rsidRPr="00945926" w:rsidRDefault="009B71D1" w:rsidP="009B71D1">
      <w:pPr>
        <w:rPr>
          <w:rFonts w:ascii="Cambria" w:hAnsi="Cambria"/>
          <w:b/>
          <w:bCs/>
          <w:sz w:val="24"/>
          <w:szCs w:val="24"/>
        </w:rPr>
      </w:pPr>
      <w:r w:rsidRPr="00945926">
        <w:rPr>
          <w:rFonts w:ascii="Cambria" w:hAnsi="Cambria"/>
          <w:b/>
          <w:bCs/>
          <w:sz w:val="24"/>
          <w:szCs w:val="24"/>
        </w:rPr>
        <w:t>Aula Abierta</w:t>
      </w:r>
      <w:r w:rsidR="00BA1574">
        <w:rPr>
          <w:rFonts w:ascii="Cambria" w:hAnsi="Cambria"/>
          <w:b/>
          <w:bCs/>
          <w:sz w:val="24"/>
          <w:szCs w:val="24"/>
        </w:rPr>
        <w:br/>
      </w:r>
      <w:r w:rsidR="00BA1574">
        <w:rPr>
          <w:rFonts w:ascii="Cambria" w:hAnsi="Cambria"/>
          <w:b/>
          <w:bCs/>
          <w:sz w:val="24"/>
          <w:szCs w:val="24"/>
        </w:rPr>
        <w:br/>
        <w:t xml:space="preserve">Se autoriza la publicación de este informe en el sitio web del Comité. </w:t>
      </w:r>
    </w:p>
    <w:p w14:paraId="3F793669" w14:textId="77777777" w:rsidR="00E736CE" w:rsidRDefault="00E736CE">
      <w:pPr>
        <w:rPr>
          <w:rFonts w:ascii="Cambria" w:hAnsi="Cambria"/>
          <w:sz w:val="24"/>
          <w:szCs w:val="24"/>
        </w:rPr>
      </w:pPr>
      <w:r>
        <w:rPr>
          <w:rFonts w:ascii="Cambria" w:hAnsi="Cambria"/>
          <w:sz w:val="24"/>
          <w:szCs w:val="24"/>
        </w:rPr>
        <w:br w:type="page"/>
      </w:r>
    </w:p>
    <w:sdt>
      <w:sdtPr>
        <w:rPr>
          <w:rFonts w:ascii="Cambria" w:eastAsiaTheme="minorHAnsi" w:hAnsi="Cambria" w:cstheme="minorBidi"/>
          <w:color w:val="auto"/>
          <w:sz w:val="24"/>
          <w:szCs w:val="24"/>
          <w:lang w:val="es-ES" w:eastAsia="en-US"/>
        </w:rPr>
        <w:id w:val="85202148"/>
        <w:docPartObj>
          <w:docPartGallery w:val="Table of Contents"/>
          <w:docPartUnique/>
        </w:docPartObj>
      </w:sdtPr>
      <w:sdtEndPr>
        <w:rPr>
          <w:rFonts w:asciiTheme="minorHAnsi" w:hAnsiTheme="minorHAnsi"/>
          <w:b/>
          <w:bCs/>
          <w:sz w:val="22"/>
          <w:szCs w:val="22"/>
        </w:rPr>
      </w:sdtEndPr>
      <w:sdtContent>
        <w:p w14:paraId="2CB43FE2" w14:textId="33E20FF0" w:rsidR="005D2128" w:rsidRPr="006223DE" w:rsidRDefault="005D2128" w:rsidP="006223DE">
          <w:pPr>
            <w:pStyle w:val="TOCHeading"/>
            <w:jc w:val="center"/>
            <w:rPr>
              <w:rFonts w:ascii="Cambria" w:hAnsi="Cambria"/>
              <w:b/>
              <w:bCs/>
              <w:color w:val="auto"/>
            </w:rPr>
          </w:pPr>
          <w:r w:rsidRPr="006223DE">
            <w:rPr>
              <w:rFonts w:ascii="Cambria" w:hAnsi="Cambria"/>
              <w:b/>
              <w:bCs/>
              <w:color w:val="auto"/>
              <w:lang w:val="es-ES"/>
            </w:rPr>
            <w:t>Contenido</w:t>
          </w:r>
        </w:p>
        <w:p w14:paraId="3D134524" w14:textId="09121730" w:rsidR="005D2128" w:rsidRPr="006223DE" w:rsidRDefault="005D2128">
          <w:pPr>
            <w:pStyle w:val="TOC1"/>
            <w:tabs>
              <w:tab w:val="right" w:leader="dot" w:pos="8830"/>
            </w:tabs>
            <w:rPr>
              <w:rFonts w:ascii="Cambria" w:hAnsi="Cambria" w:cstheme="minorBidi"/>
              <w:noProof/>
              <w:kern w:val="2"/>
              <w:sz w:val="24"/>
              <w:szCs w:val="24"/>
              <w14:ligatures w14:val="standardContextual"/>
            </w:rPr>
          </w:pPr>
          <w:r w:rsidRPr="006223DE">
            <w:rPr>
              <w:rFonts w:ascii="Cambria" w:hAnsi="Cambria"/>
              <w:sz w:val="24"/>
              <w:szCs w:val="24"/>
            </w:rPr>
            <w:fldChar w:fldCharType="begin"/>
          </w:r>
          <w:r w:rsidRPr="006223DE">
            <w:rPr>
              <w:rFonts w:ascii="Cambria" w:hAnsi="Cambria"/>
              <w:sz w:val="24"/>
              <w:szCs w:val="24"/>
            </w:rPr>
            <w:instrText xml:space="preserve"> TOC \o "1-3" \h \z \u </w:instrText>
          </w:r>
          <w:r w:rsidRPr="006223DE">
            <w:rPr>
              <w:rFonts w:ascii="Cambria" w:hAnsi="Cambria"/>
              <w:sz w:val="24"/>
              <w:szCs w:val="24"/>
            </w:rPr>
            <w:fldChar w:fldCharType="separate"/>
          </w:r>
          <w:hyperlink w:anchor="_Toc144938444" w:history="1">
            <w:r w:rsidRPr="006223DE">
              <w:rPr>
                <w:rStyle w:val="Hyperlink"/>
                <w:rFonts w:ascii="Cambria" w:hAnsi="Cambria"/>
                <w:b/>
                <w:bCs/>
                <w:noProof/>
                <w:sz w:val="24"/>
                <w:szCs w:val="24"/>
              </w:rPr>
              <w:t>RESUMEN EJECUTIVO</w:t>
            </w:r>
            <w:r w:rsidRPr="006223DE">
              <w:rPr>
                <w:rFonts w:ascii="Cambria" w:hAnsi="Cambria"/>
                <w:noProof/>
                <w:webHidden/>
                <w:sz w:val="24"/>
                <w:szCs w:val="24"/>
              </w:rPr>
              <w:tab/>
            </w:r>
            <w:r w:rsidRPr="006223DE">
              <w:rPr>
                <w:rFonts w:ascii="Cambria" w:hAnsi="Cambria"/>
                <w:noProof/>
                <w:webHidden/>
                <w:sz w:val="24"/>
                <w:szCs w:val="24"/>
              </w:rPr>
              <w:fldChar w:fldCharType="begin"/>
            </w:r>
            <w:r w:rsidRPr="006223DE">
              <w:rPr>
                <w:rFonts w:ascii="Cambria" w:hAnsi="Cambria"/>
                <w:noProof/>
                <w:webHidden/>
                <w:sz w:val="24"/>
                <w:szCs w:val="24"/>
              </w:rPr>
              <w:instrText xml:space="preserve"> PAGEREF _Toc144938444 \h </w:instrText>
            </w:r>
            <w:r w:rsidRPr="006223DE">
              <w:rPr>
                <w:rFonts w:ascii="Cambria" w:hAnsi="Cambria"/>
                <w:noProof/>
                <w:webHidden/>
                <w:sz w:val="24"/>
                <w:szCs w:val="24"/>
              </w:rPr>
            </w:r>
            <w:r w:rsidRPr="006223DE">
              <w:rPr>
                <w:rFonts w:ascii="Cambria" w:hAnsi="Cambria"/>
                <w:noProof/>
                <w:webHidden/>
                <w:sz w:val="24"/>
                <w:szCs w:val="24"/>
              </w:rPr>
              <w:fldChar w:fldCharType="separate"/>
            </w:r>
            <w:r w:rsidRPr="006223DE">
              <w:rPr>
                <w:rFonts w:ascii="Cambria" w:hAnsi="Cambria"/>
                <w:noProof/>
                <w:webHidden/>
                <w:sz w:val="24"/>
                <w:szCs w:val="24"/>
              </w:rPr>
              <w:t>3</w:t>
            </w:r>
            <w:r w:rsidRPr="006223DE">
              <w:rPr>
                <w:rFonts w:ascii="Cambria" w:hAnsi="Cambria"/>
                <w:noProof/>
                <w:webHidden/>
                <w:sz w:val="24"/>
                <w:szCs w:val="24"/>
              </w:rPr>
              <w:fldChar w:fldCharType="end"/>
            </w:r>
          </w:hyperlink>
        </w:p>
        <w:p w14:paraId="27505B9C" w14:textId="3673F6A8" w:rsidR="005D2128" w:rsidRPr="006223DE" w:rsidRDefault="00000000">
          <w:pPr>
            <w:pStyle w:val="TOC1"/>
            <w:tabs>
              <w:tab w:val="right" w:leader="dot" w:pos="8830"/>
            </w:tabs>
            <w:rPr>
              <w:rFonts w:ascii="Cambria" w:hAnsi="Cambria" w:cstheme="minorBidi"/>
              <w:noProof/>
              <w:kern w:val="2"/>
              <w:sz w:val="24"/>
              <w:szCs w:val="24"/>
              <w14:ligatures w14:val="standardContextual"/>
            </w:rPr>
          </w:pPr>
          <w:hyperlink w:anchor="_Toc144938445" w:history="1">
            <w:r w:rsidR="005D2128" w:rsidRPr="006223DE">
              <w:rPr>
                <w:rStyle w:val="Hyperlink"/>
                <w:rFonts w:ascii="Cambria" w:hAnsi="Cambria"/>
                <w:b/>
                <w:bCs/>
                <w:noProof/>
                <w:sz w:val="24"/>
                <w:szCs w:val="24"/>
              </w:rPr>
              <w:t>RECOMENDACIONES</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_Toc144938445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4</w:t>
            </w:r>
            <w:r w:rsidR="005D2128" w:rsidRPr="006223DE">
              <w:rPr>
                <w:rFonts w:ascii="Cambria" w:hAnsi="Cambria"/>
                <w:noProof/>
                <w:webHidden/>
                <w:sz w:val="24"/>
                <w:szCs w:val="24"/>
              </w:rPr>
              <w:fldChar w:fldCharType="end"/>
            </w:r>
          </w:hyperlink>
        </w:p>
        <w:p w14:paraId="50D727DE" w14:textId="7612333B" w:rsidR="005D2128" w:rsidRPr="006223DE" w:rsidRDefault="00000000">
          <w:pPr>
            <w:pStyle w:val="TOC1"/>
            <w:tabs>
              <w:tab w:val="right" w:leader="dot" w:pos="8830"/>
            </w:tabs>
            <w:rPr>
              <w:rFonts w:ascii="Cambria" w:hAnsi="Cambria" w:cstheme="minorBidi"/>
              <w:noProof/>
              <w:kern w:val="2"/>
              <w:sz w:val="24"/>
              <w:szCs w:val="24"/>
              <w14:ligatures w14:val="standardContextual"/>
            </w:rPr>
          </w:pPr>
          <w:hyperlink w:anchor="_Toc144938446" w:history="1">
            <w:r w:rsidR="005D2128" w:rsidRPr="006223DE">
              <w:rPr>
                <w:rStyle w:val="Hyperlink"/>
                <w:rFonts w:ascii="Cambria" w:hAnsi="Cambria"/>
                <w:b/>
                <w:bCs/>
                <w:noProof/>
                <w:sz w:val="24"/>
                <w:szCs w:val="24"/>
              </w:rPr>
              <w:t>PRESENTACION Y METODOLOGÍA</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_Toc144938446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6</w:t>
            </w:r>
            <w:r w:rsidR="005D2128" w:rsidRPr="006223DE">
              <w:rPr>
                <w:rFonts w:ascii="Cambria" w:hAnsi="Cambria"/>
                <w:noProof/>
                <w:webHidden/>
                <w:sz w:val="24"/>
                <w:szCs w:val="24"/>
              </w:rPr>
              <w:fldChar w:fldCharType="end"/>
            </w:r>
          </w:hyperlink>
        </w:p>
        <w:p w14:paraId="69215254" w14:textId="39F13E00" w:rsidR="005D2128" w:rsidRPr="006223DE" w:rsidRDefault="00000000">
          <w:pPr>
            <w:pStyle w:val="TOC1"/>
            <w:tabs>
              <w:tab w:val="left" w:pos="440"/>
              <w:tab w:val="right" w:leader="dot" w:pos="8830"/>
            </w:tabs>
            <w:rPr>
              <w:rFonts w:ascii="Cambria" w:hAnsi="Cambria" w:cstheme="minorBidi"/>
              <w:noProof/>
              <w:kern w:val="2"/>
              <w:sz w:val="24"/>
              <w:szCs w:val="24"/>
              <w14:ligatures w14:val="standardContextual"/>
            </w:rPr>
          </w:pPr>
          <w:hyperlink w:anchor="_Toc144938447" w:history="1">
            <w:r w:rsidR="005D2128" w:rsidRPr="006223DE">
              <w:rPr>
                <w:rStyle w:val="Hyperlink"/>
                <w:rFonts w:ascii="Cambria" w:eastAsia="Times New Roman" w:hAnsi="Cambria"/>
                <w:b/>
                <w:bCs/>
                <w:noProof/>
                <w:sz w:val="24"/>
                <w:szCs w:val="24"/>
              </w:rPr>
              <w:t>I.</w:t>
            </w:r>
            <w:r w:rsidR="005D2128" w:rsidRPr="006223DE">
              <w:rPr>
                <w:rFonts w:ascii="Cambria" w:hAnsi="Cambria" w:cstheme="minorBidi"/>
                <w:noProof/>
                <w:kern w:val="2"/>
                <w:sz w:val="24"/>
                <w:szCs w:val="24"/>
                <w14:ligatures w14:val="standardContextual"/>
              </w:rPr>
              <w:tab/>
            </w:r>
            <w:r w:rsidR="005D2128" w:rsidRPr="006223DE">
              <w:rPr>
                <w:rStyle w:val="Hyperlink"/>
                <w:rFonts w:ascii="Cambria" w:eastAsia="Times New Roman" w:hAnsi="Cambria"/>
                <w:b/>
                <w:noProof/>
                <w:sz w:val="24"/>
                <w:szCs w:val="24"/>
              </w:rPr>
              <w:t>Derecho a la libertad de pensamiento (Artículo 18)</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_Toc144938447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7</w:t>
            </w:r>
            <w:r w:rsidR="005D2128" w:rsidRPr="006223DE">
              <w:rPr>
                <w:rFonts w:ascii="Cambria" w:hAnsi="Cambria"/>
                <w:noProof/>
                <w:webHidden/>
                <w:sz w:val="24"/>
                <w:szCs w:val="24"/>
              </w:rPr>
              <w:fldChar w:fldCharType="end"/>
            </w:r>
          </w:hyperlink>
        </w:p>
        <w:p w14:paraId="3E6042D2" w14:textId="7CE41831" w:rsidR="005D2128" w:rsidRPr="006223DE" w:rsidRDefault="00000000">
          <w:pPr>
            <w:pStyle w:val="TOC2"/>
            <w:tabs>
              <w:tab w:val="right" w:leader="dot" w:pos="8830"/>
            </w:tabs>
            <w:rPr>
              <w:rFonts w:ascii="Cambria" w:hAnsi="Cambria" w:cstheme="minorBidi"/>
              <w:noProof/>
              <w:kern w:val="2"/>
              <w:sz w:val="24"/>
              <w:szCs w:val="24"/>
              <w14:ligatures w14:val="standardContextual"/>
            </w:rPr>
          </w:pPr>
          <w:hyperlink w:anchor="_Toc144938448" w:history="1">
            <w:r w:rsidR="005D2128" w:rsidRPr="006223DE">
              <w:rPr>
                <w:rStyle w:val="Hyperlink"/>
                <w:rFonts w:ascii="Cambria" w:eastAsia="Times New Roman" w:hAnsi="Cambria"/>
                <w:b/>
                <w:bCs/>
                <w:noProof/>
                <w:sz w:val="24"/>
                <w:szCs w:val="24"/>
              </w:rPr>
              <w:t>Recomendaciones:</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_Toc144938448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9</w:t>
            </w:r>
            <w:r w:rsidR="005D2128" w:rsidRPr="006223DE">
              <w:rPr>
                <w:rFonts w:ascii="Cambria" w:hAnsi="Cambria"/>
                <w:noProof/>
                <w:webHidden/>
                <w:sz w:val="24"/>
                <w:szCs w:val="24"/>
              </w:rPr>
              <w:fldChar w:fldCharType="end"/>
            </w:r>
          </w:hyperlink>
        </w:p>
        <w:p w14:paraId="0DF0581F" w14:textId="30AD96E4" w:rsidR="005D2128" w:rsidRPr="006223DE" w:rsidRDefault="00000000">
          <w:pPr>
            <w:pStyle w:val="TOC1"/>
            <w:tabs>
              <w:tab w:val="left" w:pos="440"/>
              <w:tab w:val="right" w:leader="dot" w:pos="8830"/>
            </w:tabs>
            <w:rPr>
              <w:rFonts w:ascii="Cambria" w:hAnsi="Cambria" w:cstheme="minorBidi"/>
              <w:noProof/>
              <w:kern w:val="2"/>
              <w:sz w:val="24"/>
              <w:szCs w:val="24"/>
              <w14:ligatures w14:val="standardContextual"/>
            </w:rPr>
          </w:pPr>
          <w:hyperlink w:anchor="_Toc144938449" w:history="1">
            <w:r w:rsidR="005D2128" w:rsidRPr="006223DE">
              <w:rPr>
                <w:rStyle w:val="Hyperlink"/>
                <w:rFonts w:ascii="Cambria" w:eastAsia="Times New Roman" w:hAnsi="Cambria"/>
                <w:b/>
                <w:bCs/>
                <w:noProof/>
                <w:sz w:val="24"/>
                <w:szCs w:val="24"/>
              </w:rPr>
              <w:t>II.</w:t>
            </w:r>
            <w:r w:rsidR="005D2128" w:rsidRPr="006223DE">
              <w:rPr>
                <w:rFonts w:ascii="Cambria" w:hAnsi="Cambria" w:cstheme="minorBidi"/>
                <w:noProof/>
                <w:kern w:val="2"/>
                <w:sz w:val="24"/>
                <w:szCs w:val="24"/>
                <w14:ligatures w14:val="standardContextual"/>
              </w:rPr>
              <w:tab/>
            </w:r>
            <w:r w:rsidR="005D2128" w:rsidRPr="006223DE">
              <w:rPr>
                <w:rStyle w:val="Hyperlink"/>
                <w:rFonts w:ascii="Cambria" w:eastAsia="Times New Roman" w:hAnsi="Cambria"/>
                <w:b/>
                <w:noProof/>
                <w:sz w:val="24"/>
                <w:szCs w:val="24"/>
              </w:rPr>
              <w:t>Derecho a la libertad de expresión (Artículo 19)</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_Toc144938449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9</w:t>
            </w:r>
            <w:r w:rsidR="005D2128" w:rsidRPr="006223DE">
              <w:rPr>
                <w:rFonts w:ascii="Cambria" w:hAnsi="Cambria"/>
                <w:noProof/>
                <w:webHidden/>
                <w:sz w:val="24"/>
                <w:szCs w:val="24"/>
              </w:rPr>
              <w:fldChar w:fldCharType="end"/>
            </w:r>
          </w:hyperlink>
        </w:p>
        <w:p w14:paraId="58714AF8" w14:textId="1748ED88" w:rsidR="005D2128" w:rsidRPr="006223DE" w:rsidRDefault="00000000">
          <w:pPr>
            <w:pStyle w:val="TOC2"/>
            <w:tabs>
              <w:tab w:val="right" w:leader="dot" w:pos="8830"/>
            </w:tabs>
            <w:rPr>
              <w:rFonts w:ascii="Cambria" w:hAnsi="Cambria" w:cstheme="minorBidi"/>
              <w:noProof/>
              <w:kern w:val="2"/>
              <w:sz w:val="24"/>
              <w:szCs w:val="24"/>
              <w14:ligatures w14:val="standardContextual"/>
            </w:rPr>
          </w:pPr>
          <w:hyperlink w:anchor="_Toc144938450" w:history="1">
            <w:r w:rsidR="005D2128" w:rsidRPr="006223DE">
              <w:rPr>
                <w:rStyle w:val="Hyperlink"/>
                <w:rFonts w:ascii="Cambria" w:eastAsia="Times New Roman" w:hAnsi="Cambria"/>
                <w:b/>
                <w:bCs/>
                <w:noProof/>
                <w:sz w:val="24"/>
                <w:szCs w:val="24"/>
              </w:rPr>
              <w:t>Recomendaciones:</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_Toc144938450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11</w:t>
            </w:r>
            <w:r w:rsidR="005D2128" w:rsidRPr="006223DE">
              <w:rPr>
                <w:rFonts w:ascii="Cambria" w:hAnsi="Cambria"/>
                <w:noProof/>
                <w:webHidden/>
                <w:sz w:val="24"/>
                <w:szCs w:val="24"/>
              </w:rPr>
              <w:fldChar w:fldCharType="end"/>
            </w:r>
          </w:hyperlink>
        </w:p>
        <w:p w14:paraId="0D55DE4B" w14:textId="26C11F50" w:rsidR="005D2128" w:rsidRPr="006223DE" w:rsidRDefault="00000000">
          <w:pPr>
            <w:pStyle w:val="TOC1"/>
            <w:tabs>
              <w:tab w:val="left" w:pos="660"/>
              <w:tab w:val="right" w:leader="dot" w:pos="8830"/>
            </w:tabs>
            <w:rPr>
              <w:rFonts w:ascii="Cambria" w:hAnsi="Cambria" w:cstheme="minorBidi"/>
              <w:noProof/>
              <w:kern w:val="2"/>
              <w:sz w:val="24"/>
              <w:szCs w:val="24"/>
              <w14:ligatures w14:val="standardContextual"/>
            </w:rPr>
          </w:pPr>
          <w:hyperlink w:anchor="_Toc144938451" w:history="1">
            <w:r w:rsidR="005D2128" w:rsidRPr="006223DE">
              <w:rPr>
                <w:rStyle w:val="Hyperlink"/>
                <w:rFonts w:ascii="Cambria" w:eastAsia="Times New Roman" w:hAnsi="Cambria"/>
                <w:b/>
                <w:bCs/>
                <w:noProof/>
                <w:sz w:val="24"/>
                <w:szCs w:val="24"/>
              </w:rPr>
              <w:t>III.</w:t>
            </w:r>
            <w:r w:rsidR="005D2128" w:rsidRPr="006223DE">
              <w:rPr>
                <w:rFonts w:ascii="Cambria" w:hAnsi="Cambria" w:cstheme="minorBidi"/>
                <w:noProof/>
                <w:kern w:val="2"/>
                <w:sz w:val="24"/>
                <w:szCs w:val="24"/>
                <w14:ligatures w14:val="standardContextual"/>
              </w:rPr>
              <w:tab/>
            </w:r>
            <w:r w:rsidR="005D2128" w:rsidRPr="006223DE">
              <w:rPr>
                <w:rStyle w:val="Hyperlink"/>
                <w:rFonts w:ascii="Cambria" w:eastAsia="Times New Roman" w:hAnsi="Cambria"/>
                <w:b/>
                <w:noProof/>
                <w:sz w:val="24"/>
                <w:szCs w:val="24"/>
              </w:rPr>
              <w:t>Derecho a la reunión pacífica (Artículo 21)</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_Toc144938451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12</w:t>
            </w:r>
            <w:r w:rsidR="005D2128" w:rsidRPr="006223DE">
              <w:rPr>
                <w:rFonts w:ascii="Cambria" w:hAnsi="Cambria"/>
                <w:noProof/>
                <w:webHidden/>
                <w:sz w:val="24"/>
                <w:szCs w:val="24"/>
              </w:rPr>
              <w:fldChar w:fldCharType="end"/>
            </w:r>
          </w:hyperlink>
        </w:p>
        <w:p w14:paraId="323DA0B0" w14:textId="42B73B1C" w:rsidR="005D2128" w:rsidRPr="006223DE" w:rsidRDefault="00000000">
          <w:pPr>
            <w:pStyle w:val="TOC2"/>
            <w:tabs>
              <w:tab w:val="right" w:leader="dot" w:pos="8830"/>
            </w:tabs>
            <w:rPr>
              <w:rFonts w:ascii="Cambria" w:hAnsi="Cambria" w:cstheme="minorBidi"/>
              <w:noProof/>
              <w:kern w:val="2"/>
              <w:sz w:val="24"/>
              <w:szCs w:val="24"/>
              <w14:ligatures w14:val="standardContextual"/>
            </w:rPr>
          </w:pPr>
          <w:hyperlink w:anchor="_Toc144938452" w:history="1">
            <w:r w:rsidR="005D2128" w:rsidRPr="006223DE">
              <w:rPr>
                <w:rStyle w:val="Hyperlink"/>
                <w:rFonts w:ascii="Cambria" w:eastAsia="Times New Roman" w:hAnsi="Cambria"/>
                <w:b/>
                <w:bCs/>
                <w:noProof/>
                <w:sz w:val="24"/>
                <w:szCs w:val="24"/>
              </w:rPr>
              <w:t>Recomendaciones:</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_Toc144938452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16</w:t>
            </w:r>
            <w:r w:rsidR="005D2128" w:rsidRPr="006223DE">
              <w:rPr>
                <w:rFonts w:ascii="Cambria" w:hAnsi="Cambria"/>
                <w:noProof/>
                <w:webHidden/>
                <w:sz w:val="24"/>
                <w:szCs w:val="24"/>
              </w:rPr>
              <w:fldChar w:fldCharType="end"/>
            </w:r>
          </w:hyperlink>
        </w:p>
        <w:p w14:paraId="014A57AF" w14:textId="0CC59490" w:rsidR="005D2128" w:rsidRPr="006223DE" w:rsidRDefault="00000000">
          <w:pPr>
            <w:pStyle w:val="TOC1"/>
            <w:tabs>
              <w:tab w:val="left" w:pos="660"/>
              <w:tab w:val="right" w:leader="dot" w:pos="8830"/>
            </w:tabs>
            <w:rPr>
              <w:rFonts w:ascii="Cambria" w:hAnsi="Cambria" w:cstheme="minorBidi"/>
              <w:noProof/>
              <w:kern w:val="2"/>
              <w:sz w:val="24"/>
              <w:szCs w:val="24"/>
              <w14:ligatures w14:val="standardContextual"/>
            </w:rPr>
          </w:pPr>
          <w:hyperlink w:anchor="_Toc144938453" w:history="1">
            <w:r w:rsidR="005D2128" w:rsidRPr="006223DE">
              <w:rPr>
                <w:rStyle w:val="Hyperlink"/>
                <w:rFonts w:ascii="Cambria" w:eastAsia="Times New Roman" w:hAnsi="Cambria"/>
                <w:b/>
                <w:bCs/>
                <w:noProof/>
                <w:sz w:val="24"/>
                <w:szCs w:val="24"/>
              </w:rPr>
              <w:t>IV.</w:t>
            </w:r>
            <w:r w:rsidR="005D2128" w:rsidRPr="006223DE">
              <w:rPr>
                <w:rFonts w:ascii="Cambria" w:hAnsi="Cambria" w:cstheme="minorBidi"/>
                <w:noProof/>
                <w:kern w:val="2"/>
                <w:sz w:val="24"/>
                <w:szCs w:val="24"/>
                <w14:ligatures w14:val="standardContextual"/>
              </w:rPr>
              <w:tab/>
            </w:r>
            <w:r w:rsidR="005D2128" w:rsidRPr="006223DE">
              <w:rPr>
                <w:rStyle w:val="Hyperlink"/>
                <w:rFonts w:ascii="Cambria" w:eastAsia="Times New Roman" w:hAnsi="Cambria"/>
                <w:b/>
                <w:noProof/>
                <w:sz w:val="24"/>
                <w:szCs w:val="24"/>
              </w:rPr>
              <w:t>Derecho a la libertad de asociación (Artículo 22)</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_Toc144938453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16</w:t>
            </w:r>
            <w:r w:rsidR="005D2128" w:rsidRPr="006223DE">
              <w:rPr>
                <w:rFonts w:ascii="Cambria" w:hAnsi="Cambria"/>
                <w:noProof/>
                <w:webHidden/>
                <w:sz w:val="24"/>
                <w:szCs w:val="24"/>
              </w:rPr>
              <w:fldChar w:fldCharType="end"/>
            </w:r>
          </w:hyperlink>
        </w:p>
        <w:p w14:paraId="1C127C97" w14:textId="2932FC14" w:rsidR="005D2128" w:rsidRPr="006223DE" w:rsidRDefault="00000000">
          <w:pPr>
            <w:pStyle w:val="TOC2"/>
            <w:tabs>
              <w:tab w:val="right" w:leader="dot" w:pos="8830"/>
            </w:tabs>
            <w:rPr>
              <w:rFonts w:ascii="Cambria" w:hAnsi="Cambria" w:cstheme="minorBidi"/>
              <w:noProof/>
              <w:kern w:val="2"/>
              <w:sz w:val="24"/>
              <w:szCs w:val="24"/>
              <w14:ligatures w14:val="standardContextual"/>
            </w:rPr>
          </w:pPr>
          <w:hyperlink w:anchor="_Toc144938454" w:history="1">
            <w:r w:rsidR="005D2128" w:rsidRPr="006223DE">
              <w:rPr>
                <w:rStyle w:val="Hyperlink"/>
                <w:rFonts w:ascii="Cambria" w:eastAsia="Times New Roman" w:hAnsi="Cambria"/>
                <w:b/>
                <w:bCs/>
                <w:noProof/>
                <w:sz w:val="24"/>
                <w:szCs w:val="24"/>
              </w:rPr>
              <w:t>Recomendaciones:</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_Toc144938454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21</w:t>
            </w:r>
            <w:r w:rsidR="005D2128" w:rsidRPr="006223DE">
              <w:rPr>
                <w:rFonts w:ascii="Cambria" w:hAnsi="Cambria"/>
                <w:noProof/>
                <w:webHidden/>
                <w:sz w:val="24"/>
                <w:szCs w:val="24"/>
              </w:rPr>
              <w:fldChar w:fldCharType="end"/>
            </w:r>
          </w:hyperlink>
        </w:p>
        <w:p w14:paraId="0C426030" w14:textId="55936AFA" w:rsidR="005D2128" w:rsidRPr="006223DE" w:rsidRDefault="00000000">
          <w:pPr>
            <w:pStyle w:val="TOC1"/>
            <w:tabs>
              <w:tab w:val="left" w:pos="440"/>
              <w:tab w:val="right" w:leader="dot" w:pos="8830"/>
            </w:tabs>
            <w:rPr>
              <w:rFonts w:ascii="Cambria" w:hAnsi="Cambria" w:cstheme="minorBidi"/>
              <w:noProof/>
              <w:kern w:val="2"/>
              <w:sz w:val="24"/>
              <w:szCs w:val="24"/>
              <w14:ligatures w14:val="standardContextual"/>
            </w:rPr>
          </w:pPr>
          <w:hyperlink w:anchor="_Toc144938455" w:history="1">
            <w:r w:rsidR="005D2128" w:rsidRPr="006223DE">
              <w:rPr>
                <w:rStyle w:val="Hyperlink"/>
                <w:rFonts w:ascii="Cambria" w:eastAsia="Times New Roman" w:hAnsi="Cambria"/>
                <w:b/>
                <w:bCs/>
                <w:noProof/>
                <w:sz w:val="24"/>
                <w:szCs w:val="24"/>
              </w:rPr>
              <w:t>V.</w:t>
            </w:r>
            <w:r w:rsidR="005D2128" w:rsidRPr="006223DE">
              <w:rPr>
                <w:rFonts w:ascii="Cambria" w:hAnsi="Cambria" w:cstheme="minorBidi"/>
                <w:noProof/>
                <w:kern w:val="2"/>
                <w:sz w:val="24"/>
                <w:szCs w:val="24"/>
                <w14:ligatures w14:val="standardContextual"/>
              </w:rPr>
              <w:tab/>
            </w:r>
            <w:r w:rsidR="005D2128" w:rsidRPr="006223DE">
              <w:rPr>
                <w:rStyle w:val="Hyperlink"/>
                <w:rFonts w:ascii="Cambria" w:eastAsia="Times New Roman" w:hAnsi="Cambria"/>
                <w:b/>
                <w:noProof/>
                <w:sz w:val="24"/>
                <w:szCs w:val="24"/>
              </w:rPr>
              <w:t>Derecho a la participación en los asuntos públicos (Artículo 25)</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_Toc144938455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21</w:t>
            </w:r>
            <w:r w:rsidR="005D2128" w:rsidRPr="006223DE">
              <w:rPr>
                <w:rFonts w:ascii="Cambria" w:hAnsi="Cambria"/>
                <w:noProof/>
                <w:webHidden/>
                <w:sz w:val="24"/>
                <w:szCs w:val="24"/>
              </w:rPr>
              <w:fldChar w:fldCharType="end"/>
            </w:r>
          </w:hyperlink>
        </w:p>
        <w:p w14:paraId="6970BA4F" w14:textId="052E4424" w:rsidR="005D2128" w:rsidRPr="006223DE" w:rsidRDefault="00000000">
          <w:pPr>
            <w:pStyle w:val="TOC2"/>
            <w:tabs>
              <w:tab w:val="right" w:leader="dot" w:pos="8830"/>
            </w:tabs>
            <w:rPr>
              <w:rFonts w:ascii="Cambria" w:hAnsi="Cambria" w:cstheme="minorBidi"/>
              <w:noProof/>
              <w:kern w:val="2"/>
              <w:sz w:val="24"/>
              <w:szCs w:val="24"/>
              <w14:ligatures w14:val="standardContextual"/>
            </w:rPr>
          </w:pPr>
          <w:hyperlink w:anchor="_Toc144938456" w:history="1">
            <w:r w:rsidR="005D2128" w:rsidRPr="006223DE">
              <w:rPr>
                <w:rStyle w:val="Hyperlink"/>
                <w:rFonts w:ascii="Cambria" w:eastAsia="Times New Roman" w:hAnsi="Cambria"/>
                <w:b/>
                <w:bCs/>
                <w:noProof/>
                <w:sz w:val="24"/>
                <w:szCs w:val="24"/>
              </w:rPr>
              <w:t>Recomendaciones:</w:t>
            </w:r>
            <w:r w:rsidR="005D2128" w:rsidRPr="006223DE">
              <w:rPr>
                <w:rFonts w:ascii="Cambria" w:hAnsi="Cambria"/>
                <w:noProof/>
                <w:webHidden/>
                <w:sz w:val="24"/>
                <w:szCs w:val="24"/>
              </w:rPr>
              <w:tab/>
            </w:r>
            <w:r w:rsidR="005D2128" w:rsidRPr="006223DE">
              <w:rPr>
                <w:rFonts w:ascii="Cambria" w:hAnsi="Cambria"/>
                <w:noProof/>
                <w:webHidden/>
                <w:sz w:val="24"/>
                <w:szCs w:val="24"/>
              </w:rPr>
              <w:fldChar w:fldCharType="begin"/>
            </w:r>
            <w:r w:rsidR="005D2128" w:rsidRPr="006223DE">
              <w:rPr>
                <w:rFonts w:ascii="Cambria" w:hAnsi="Cambria"/>
                <w:noProof/>
                <w:webHidden/>
                <w:sz w:val="24"/>
                <w:szCs w:val="24"/>
              </w:rPr>
              <w:instrText xml:space="preserve"> PAGEREF _Toc144938456 \h </w:instrText>
            </w:r>
            <w:r w:rsidR="005D2128" w:rsidRPr="006223DE">
              <w:rPr>
                <w:rFonts w:ascii="Cambria" w:hAnsi="Cambria"/>
                <w:noProof/>
                <w:webHidden/>
                <w:sz w:val="24"/>
                <w:szCs w:val="24"/>
              </w:rPr>
            </w:r>
            <w:r w:rsidR="005D2128" w:rsidRPr="006223DE">
              <w:rPr>
                <w:rFonts w:ascii="Cambria" w:hAnsi="Cambria"/>
                <w:noProof/>
                <w:webHidden/>
                <w:sz w:val="24"/>
                <w:szCs w:val="24"/>
              </w:rPr>
              <w:fldChar w:fldCharType="separate"/>
            </w:r>
            <w:r w:rsidR="005D2128" w:rsidRPr="006223DE">
              <w:rPr>
                <w:rFonts w:ascii="Cambria" w:hAnsi="Cambria"/>
                <w:noProof/>
                <w:webHidden/>
                <w:sz w:val="24"/>
                <w:szCs w:val="24"/>
              </w:rPr>
              <w:t>22</w:t>
            </w:r>
            <w:r w:rsidR="005D2128" w:rsidRPr="006223DE">
              <w:rPr>
                <w:rFonts w:ascii="Cambria" w:hAnsi="Cambria"/>
                <w:noProof/>
                <w:webHidden/>
                <w:sz w:val="24"/>
                <w:szCs w:val="24"/>
              </w:rPr>
              <w:fldChar w:fldCharType="end"/>
            </w:r>
          </w:hyperlink>
        </w:p>
        <w:p w14:paraId="1A038D02" w14:textId="24A858FB" w:rsidR="005D2128" w:rsidRDefault="005D2128">
          <w:r w:rsidRPr="006223DE">
            <w:rPr>
              <w:rFonts w:ascii="Cambria" w:hAnsi="Cambria"/>
              <w:b/>
              <w:bCs/>
              <w:sz w:val="24"/>
              <w:szCs w:val="24"/>
              <w:lang w:val="es-ES"/>
            </w:rPr>
            <w:fldChar w:fldCharType="end"/>
          </w:r>
        </w:p>
      </w:sdtContent>
    </w:sdt>
    <w:p w14:paraId="61F13EAA" w14:textId="77777777" w:rsidR="000E151A" w:rsidRDefault="000E151A" w:rsidP="000E151A">
      <w:pPr>
        <w:rPr>
          <w:rFonts w:ascii="Cambria" w:hAnsi="Cambria"/>
          <w:sz w:val="24"/>
          <w:szCs w:val="24"/>
        </w:rPr>
      </w:pPr>
    </w:p>
    <w:p w14:paraId="6EC4CF65" w14:textId="77777777" w:rsidR="000E151A" w:rsidRDefault="000E151A">
      <w:pPr>
        <w:rPr>
          <w:rFonts w:ascii="Cambria" w:hAnsi="Cambria"/>
          <w:sz w:val="24"/>
          <w:szCs w:val="24"/>
        </w:rPr>
      </w:pPr>
      <w:r>
        <w:rPr>
          <w:rFonts w:ascii="Cambria" w:hAnsi="Cambria"/>
          <w:sz w:val="24"/>
          <w:szCs w:val="24"/>
        </w:rPr>
        <w:br w:type="page"/>
      </w:r>
    </w:p>
    <w:p w14:paraId="6D889253" w14:textId="47E3DB51" w:rsidR="009B71D1" w:rsidRPr="005D2128" w:rsidRDefault="000E151A" w:rsidP="005D2128">
      <w:pPr>
        <w:pStyle w:val="Heading1"/>
        <w:jc w:val="center"/>
        <w:rPr>
          <w:rFonts w:ascii="Cambria" w:hAnsi="Cambria"/>
          <w:b/>
          <w:bCs/>
          <w:color w:val="auto"/>
          <w:sz w:val="24"/>
          <w:szCs w:val="24"/>
        </w:rPr>
      </w:pPr>
      <w:bookmarkStart w:id="0" w:name="_Toc144938444"/>
      <w:r w:rsidRPr="005D2128">
        <w:rPr>
          <w:rFonts w:ascii="Cambria" w:hAnsi="Cambria"/>
          <w:b/>
          <w:bCs/>
          <w:color w:val="auto"/>
          <w:sz w:val="24"/>
          <w:szCs w:val="24"/>
        </w:rPr>
        <w:lastRenderedPageBreak/>
        <w:t>RESUMEN EJECUTIVO</w:t>
      </w:r>
      <w:bookmarkEnd w:id="0"/>
    </w:p>
    <w:p w14:paraId="6C445D11" w14:textId="77467530" w:rsidR="00015D4D" w:rsidRDefault="000E151A" w:rsidP="00015D4D">
      <w:pPr>
        <w:jc w:val="both"/>
        <w:rPr>
          <w:rFonts w:ascii="Cambria" w:hAnsi="Cambria"/>
          <w:sz w:val="24"/>
          <w:szCs w:val="24"/>
        </w:rPr>
      </w:pPr>
      <w:r>
        <w:rPr>
          <w:rFonts w:ascii="Cambria" w:hAnsi="Cambria"/>
          <w:sz w:val="24"/>
          <w:szCs w:val="24"/>
        </w:rPr>
        <w:t xml:space="preserve">El Estado venezolano ha incumplido con su obligación de garantizar la libertad de pensamiento consagrada en instrumentos internacionales de derechos humanos y en la misma legislación venezolana a través de </w:t>
      </w:r>
      <w:r w:rsidRPr="000E151A">
        <w:rPr>
          <w:rFonts w:ascii="Cambria" w:hAnsi="Cambria"/>
          <w:sz w:val="24"/>
          <w:szCs w:val="24"/>
        </w:rPr>
        <w:t xml:space="preserve">la implementación de una serie de prácticas y políticas públicas de adoctrinamiento político por parte del Estado venezolano, </w:t>
      </w:r>
      <w:r>
        <w:rPr>
          <w:rFonts w:ascii="Cambria" w:hAnsi="Cambria"/>
          <w:sz w:val="24"/>
          <w:szCs w:val="24"/>
        </w:rPr>
        <w:t xml:space="preserve">como  los </w:t>
      </w:r>
      <w:r w:rsidRPr="000E151A">
        <w:rPr>
          <w:rFonts w:ascii="Cambria" w:hAnsi="Cambria"/>
          <w:sz w:val="24"/>
          <w:szCs w:val="24"/>
        </w:rPr>
        <w:t>Planes de la Patria imponen el desarrollo de la ideología socialista, limitando las ofertas académicas y condicionando la investigación científica a objetivos de carácter “revolucionarios” contrarios a los principios democráticos de pluralismo</w:t>
      </w:r>
      <w:r>
        <w:rPr>
          <w:rFonts w:ascii="Cambria" w:hAnsi="Cambria"/>
          <w:sz w:val="24"/>
          <w:szCs w:val="24"/>
        </w:rPr>
        <w:t xml:space="preserve"> y </w:t>
      </w:r>
      <w:r w:rsidRPr="000E151A">
        <w:rPr>
          <w:rFonts w:ascii="Cambria" w:hAnsi="Cambria"/>
          <w:sz w:val="24"/>
          <w:szCs w:val="24"/>
        </w:rPr>
        <w:t xml:space="preserve">la creación del Carnet de la Patria y el Sistema Patria, </w:t>
      </w:r>
      <w:r>
        <w:rPr>
          <w:rFonts w:ascii="Cambria" w:hAnsi="Cambria"/>
          <w:sz w:val="24"/>
          <w:szCs w:val="24"/>
        </w:rPr>
        <w:t>con</w:t>
      </w:r>
      <w:r w:rsidRPr="000E151A">
        <w:rPr>
          <w:rFonts w:ascii="Cambria" w:hAnsi="Cambria"/>
          <w:sz w:val="24"/>
          <w:szCs w:val="24"/>
        </w:rPr>
        <w:t xml:space="preserve"> fines de afiliación políticas y contener claros sesgos ideológicos</w:t>
      </w:r>
      <w:r>
        <w:rPr>
          <w:rFonts w:ascii="Cambria" w:hAnsi="Cambria"/>
          <w:sz w:val="24"/>
          <w:szCs w:val="24"/>
        </w:rPr>
        <w:t xml:space="preserve">. </w:t>
      </w:r>
    </w:p>
    <w:p w14:paraId="56C5EDE8" w14:textId="06EEAAD9" w:rsidR="00EF5A67" w:rsidRDefault="002661FD" w:rsidP="00EF5A67">
      <w:pPr>
        <w:jc w:val="both"/>
        <w:rPr>
          <w:rFonts w:ascii="Cambria" w:hAnsi="Cambria"/>
          <w:sz w:val="24"/>
          <w:szCs w:val="24"/>
        </w:rPr>
      </w:pPr>
      <w:r>
        <w:rPr>
          <w:rFonts w:ascii="Cambria" w:hAnsi="Cambria"/>
          <w:sz w:val="24"/>
          <w:szCs w:val="24"/>
        </w:rPr>
        <w:t>De igual manera,</w:t>
      </w:r>
      <w:r w:rsidRPr="002661FD">
        <w:rPr>
          <w:rFonts w:ascii="Cambria" w:hAnsi="Cambria"/>
          <w:sz w:val="24"/>
          <w:szCs w:val="24"/>
        </w:rPr>
        <w:t xml:space="preserve"> en los últimos años</w:t>
      </w:r>
      <w:r>
        <w:rPr>
          <w:rFonts w:ascii="Cambria" w:hAnsi="Cambria"/>
          <w:sz w:val="24"/>
          <w:szCs w:val="24"/>
        </w:rPr>
        <w:t xml:space="preserve">, el Estado venezolano, </w:t>
      </w:r>
      <w:r w:rsidRPr="002661FD">
        <w:rPr>
          <w:rFonts w:ascii="Cambria" w:hAnsi="Cambria"/>
          <w:sz w:val="24"/>
          <w:szCs w:val="24"/>
        </w:rPr>
        <w:t xml:space="preserve">no ha garantizado el derecho a la libre expresión y el acceso a internet de los jóvenes universitarios, por el contrario, ha acentuado la censura con procedimientos y mecanismos intimidatorios, generado un temor fundado en los jóvenes universitarios que ha mermado su participación en la discusión de los asuntos públicos. </w:t>
      </w:r>
      <w:r w:rsidR="00EF5A67">
        <w:rPr>
          <w:rFonts w:ascii="Cambria" w:hAnsi="Cambria"/>
          <w:sz w:val="24"/>
          <w:szCs w:val="24"/>
        </w:rPr>
        <w:t xml:space="preserve">Asi como se ha documentado que en </w:t>
      </w:r>
      <w:r w:rsidR="00EF5A67" w:rsidRPr="00EF5A67">
        <w:rPr>
          <w:rFonts w:ascii="Cambria" w:hAnsi="Cambria"/>
          <w:sz w:val="24"/>
          <w:szCs w:val="24"/>
        </w:rPr>
        <w:t>Venezuela existe una política de Estado contra los</w:t>
      </w:r>
      <w:r w:rsidR="00EF5A67">
        <w:rPr>
          <w:rFonts w:ascii="Cambria" w:hAnsi="Cambria"/>
          <w:sz w:val="24"/>
          <w:szCs w:val="24"/>
        </w:rPr>
        <w:t xml:space="preserve"> </w:t>
      </w:r>
      <w:r w:rsidR="00EF5A67" w:rsidRPr="00EF5A67">
        <w:rPr>
          <w:rFonts w:ascii="Cambria" w:hAnsi="Cambria"/>
          <w:sz w:val="24"/>
          <w:szCs w:val="24"/>
        </w:rPr>
        <w:t>universitarios que los colocan en una posición de desigualdad con respecto a los demás</w:t>
      </w:r>
      <w:r w:rsidR="00EF5A67">
        <w:rPr>
          <w:rFonts w:ascii="Cambria" w:hAnsi="Cambria"/>
          <w:sz w:val="24"/>
          <w:szCs w:val="24"/>
        </w:rPr>
        <w:t xml:space="preserve"> </w:t>
      </w:r>
      <w:r w:rsidR="00EF5A67" w:rsidRPr="00EF5A67">
        <w:rPr>
          <w:rFonts w:ascii="Cambria" w:hAnsi="Cambria"/>
          <w:sz w:val="24"/>
          <w:szCs w:val="24"/>
        </w:rPr>
        <w:t>individuos, en el acceso a los recursos públicos que permiten el ejercicio de sus</w:t>
      </w:r>
      <w:r w:rsidR="00EF5A67">
        <w:rPr>
          <w:rFonts w:ascii="Cambria" w:hAnsi="Cambria"/>
          <w:sz w:val="24"/>
          <w:szCs w:val="24"/>
        </w:rPr>
        <w:t xml:space="preserve"> </w:t>
      </w:r>
      <w:r w:rsidR="00EF5A67" w:rsidRPr="00EF5A67">
        <w:rPr>
          <w:rFonts w:ascii="Cambria" w:hAnsi="Cambria"/>
          <w:sz w:val="24"/>
          <w:szCs w:val="24"/>
        </w:rPr>
        <w:t>derechos fundamentales, específicamente su derecho a la reunión pacífica</w:t>
      </w:r>
      <w:r w:rsidR="00EF5A67">
        <w:rPr>
          <w:rFonts w:ascii="Cambria" w:hAnsi="Cambria"/>
          <w:sz w:val="24"/>
          <w:szCs w:val="24"/>
        </w:rPr>
        <w:t xml:space="preserve">. </w:t>
      </w:r>
    </w:p>
    <w:p w14:paraId="2C95F08B" w14:textId="23360E73" w:rsidR="00EF5A67" w:rsidRDefault="00EF5A67" w:rsidP="00EF5A67">
      <w:pPr>
        <w:jc w:val="both"/>
        <w:rPr>
          <w:rFonts w:ascii="Cambria" w:hAnsi="Cambria"/>
          <w:sz w:val="24"/>
          <w:szCs w:val="24"/>
        </w:rPr>
      </w:pPr>
      <w:r>
        <w:rPr>
          <w:rFonts w:ascii="Cambria" w:hAnsi="Cambria"/>
          <w:sz w:val="24"/>
          <w:szCs w:val="24"/>
        </w:rPr>
        <w:t xml:space="preserve">Se documentaron situaciones que constatan que en </w:t>
      </w:r>
      <w:r w:rsidRPr="00EF5A67">
        <w:rPr>
          <w:rFonts w:ascii="Cambria" w:hAnsi="Cambria"/>
          <w:sz w:val="24"/>
          <w:szCs w:val="24"/>
        </w:rPr>
        <w:t>Venezuela existe una política de Estado dirigida a vulnerar la libertad de asociación de los profesores universitarios en Venezuela, y se manifiesta en prácticas de discriminación política con ocasión a las opiniones críticas de las asociaciones de profesores y sus representantes sobre las políticas del Estado que afectan la educación superior y los derechos humanos en Venezuela</w:t>
      </w:r>
      <w:r w:rsidR="00C30550">
        <w:rPr>
          <w:rFonts w:ascii="Cambria" w:hAnsi="Cambria"/>
          <w:sz w:val="24"/>
          <w:szCs w:val="24"/>
        </w:rPr>
        <w:t>, asi como violaciones al derecho a la participación en asuntos públicos, en el ámbito universitario.</w:t>
      </w:r>
    </w:p>
    <w:p w14:paraId="375741BE" w14:textId="77777777" w:rsidR="000E151A" w:rsidRPr="00945926" w:rsidRDefault="000E151A" w:rsidP="00015D4D">
      <w:pPr>
        <w:jc w:val="both"/>
        <w:rPr>
          <w:rFonts w:ascii="Cambria" w:hAnsi="Cambria"/>
          <w:sz w:val="24"/>
          <w:szCs w:val="24"/>
        </w:rPr>
      </w:pPr>
    </w:p>
    <w:p w14:paraId="270A8C1A" w14:textId="77777777" w:rsidR="00315F6A" w:rsidRDefault="00315F6A" w:rsidP="00015D4D">
      <w:pPr>
        <w:jc w:val="both"/>
        <w:rPr>
          <w:rFonts w:ascii="Cambria" w:hAnsi="Cambria"/>
          <w:sz w:val="24"/>
          <w:szCs w:val="24"/>
        </w:rPr>
      </w:pPr>
      <w:r>
        <w:rPr>
          <w:rFonts w:ascii="Cambria" w:hAnsi="Cambria"/>
          <w:sz w:val="24"/>
          <w:szCs w:val="24"/>
        </w:rPr>
        <w:br w:type="page"/>
      </w:r>
    </w:p>
    <w:p w14:paraId="53FC4411" w14:textId="6B293607" w:rsidR="009B71D1" w:rsidRPr="00315F6A" w:rsidRDefault="00315F6A" w:rsidP="005D2128">
      <w:pPr>
        <w:pStyle w:val="Heading1"/>
        <w:jc w:val="center"/>
        <w:rPr>
          <w:rFonts w:ascii="Cambria" w:hAnsi="Cambria"/>
          <w:b/>
          <w:bCs/>
          <w:sz w:val="24"/>
          <w:szCs w:val="24"/>
        </w:rPr>
      </w:pPr>
      <w:bookmarkStart w:id="1" w:name="_Toc144938445"/>
      <w:r w:rsidRPr="005D2128">
        <w:rPr>
          <w:rFonts w:ascii="Cambria" w:hAnsi="Cambria"/>
          <w:b/>
          <w:bCs/>
          <w:color w:val="auto"/>
          <w:sz w:val="24"/>
          <w:szCs w:val="24"/>
        </w:rPr>
        <w:lastRenderedPageBreak/>
        <w:t>RECOMENDACIONES</w:t>
      </w:r>
      <w:bookmarkEnd w:id="1"/>
    </w:p>
    <w:p w14:paraId="6F3DCE63" w14:textId="00A02C43" w:rsidR="00315F6A" w:rsidRPr="00315F6A" w:rsidRDefault="00315F6A" w:rsidP="00315F6A">
      <w:pPr>
        <w:pStyle w:val="ListParagraph"/>
        <w:numPr>
          <w:ilvl w:val="0"/>
          <w:numId w:val="10"/>
        </w:numPr>
        <w:pBdr>
          <w:bottom w:val="single" w:sz="4" w:space="1" w:color="auto"/>
        </w:pBdr>
        <w:jc w:val="both"/>
        <w:rPr>
          <w:rFonts w:ascii="Cambria" w:hAnsi="Cambria"/>
          <w:b/>
          <w:bCs/>
          <w:sz w:val="24"/>
          <w:szCs w:val="24"/>
        </w:rPr>
      </w:pPr>
      <w:bookmarkStart w:id="2" w:name="_Hlk144935361"/>
      <w:r w:rsidRPr="00315F6A">
        <w:rPr>
          <w:rFonts w:ascii="Cambria" w:hAnsi="Cambria"/>
          <w:b/>
          <w:bCs/>
          <w:sz w:val="24"/>
          <w:szCs w:val="24"/>
        </w:rPr>
        <w:t>Derecho a la libertad de pensamiento (Artículo 18)</w:t>
      </w:r>
    </w:p>
    <w:p w14:paraId="539FC733" w14:textId="72887AE5" w:rsidR="00315F6A" w:rsidRPr="00315F6A" w:rsidRDefault="00315F6A" w:rsidP="00315F6A">
      <w:pPr>
        <w:pStyle w:val="ListParagraph"/>
        <w:numPr>
          <w:ilvl w:val="0"/>
          <w:numId w:val="11"/>
        </w:numPr>
        <w:jc w:val="both"/>
        <w:rPr>
          <w:rFonts w:ascii="Cambria" w:hAnsi="Cambria"/>
          <w:sz w:val="24"/>
          <w:szCs w:val="24"/>
        </w:rPr>
      </w:pPr>
      <w:r w:rsidRPr="00315F6A">
        <w:rPr>
          <w:rFonts w:ascii="Cambria" w:hAnsi="Cambria"/>
          <w:sz w:val="24"/>
          <w:szCs w:val="24"/>
        </w:rPr>
        <w:t>Cesar las prácticas discriminatorias dirigidas a imponer un modelo ideológico único en el sistema de educación superior venezolano, en particular prácticas como la limitación de las ofertas académicas, ayudas sociales y financiamiento de investigación a los objetivos previstos en el Plan de la Patria.</w:t>
      </w:r>
    </w:p>
    <w:p w14:paraId="48FF3E87" w14:textId="193F3729" w:rsidR="00315F6A" w:rsidRPr="00315F6A" w:rsidRDefault="00315F6A" w:rsidP="00315F6A">
      <w:pPr>
        <w:pStyle w:val="ListParagraph"/>
        <w:numPr>
          <w:ilvl w:val="0"/>
          <w:numId w:val="11"/>
        </w:numPr>
        <w:jc w:val="both"/>
        <w:rPr>
          <w:rFonts w:ascii="Cambria" w:hAnsi="Cambria"/>
          <w:sz w:val="24"/>
          <w:szCs w:val="24"/>
        </w:rPr>
      </w:pPr>
      <w:r w:rsidRPr="00315F6A">
        <w:rPr>
          <w:rFonts w:ascii="Cambria" w:hAnsi="Cambria"/>
          <w:sz w:val="24"/>
          <w:szCs w:val="24"/>
        </w:rPr>
        <w:t>Se exhorta al Estado venezolano, promover espacios para el debate de temas de interés público donde los jóvenes puedan expresar sus ideas críticas y plurales, sin sentir temor a sufrir algún tipo de represalias por parte del mismo.</w:t>
      </w:r>
    </w:p>
    <w:p w14:paraId="5BF0F268" w14:textId="2BE71750" w:rsidR="00315F6A" w:rsidRPr="00315F6A" w:rsidRDefault="00315F6A" w:rsidP="00315F6A">
      <w:pPr>
        <w:pStyle w:val="ListParagraph"/>
        <w:numPr>
          <w:ilvl w:val="0"/>
          <w:numId w:val="10"/>
        </w:numPr>
        <w:pBdr>
          <w:bottom w:val="single" w:sz="4" w:space="1" w:color="auto"/>
        </w:pBdr>
        <w:jc w:val="both"/>
        <w:rPr>
          <w:rFonts w:ascii="Cambria" w:hAnsi="Cambria"/>
          <w:b/>
          <w:bCs/>
          <w:sz w:val="24"/>
          <w:szCs w:val="24"/>
        </w:rPr>
      </w:pPr>
      <w:r w:rsidRPr="00315F6A">
        <w:rPr>
          <w:rFonts w:ascii="Cambria" w:hAnsi="Cambria"/>
          <w:b/>
          <w:bCs/>
          <w:sz w:val="24"/>
          <w:szCs w:val="24"/>
        </w:rPr>
        <w:t>Derecho a la libertad de expresión (Artículo 19)</w:t>
      </w:r>
    </w:p>
    <w:p w14:paraId="0AF8846B" w14:textId="551DC953" w:rsidR="00315F6A" w:rsidRPr="00315F6A" w:rsidRDefault="00315F6A" w:rsidP="00315F6A">
      <w:pPr>
        <w:pStyle w:val="ListParagraph"/>
        <w:numPr>
          <w:ilvl w:val="0"/>
          <w:numId w:val="12"/>
        </w:numPr>
        <w:jc w:val="both"/>
        <w:rPr>
          <w:rFonts w:ascii="Cambria" w:hAnsi="Cambria"/>
          <w:sz w:val="24"/>
          <w:szCs w:val="24"/>
        </w:rPr>
      </w:pPr>
      <w:r w:rsidRPr="00315F6A">
        <w:rPr>
          <w:rFonts w:ascii="Cambria" w:hAnsi="Cambria"/>
          <w:sz w:val="24"/>
          <w:szCs w:val="24"/>
        </w:rPr>
        <w:t>Se exhorta al Estado venezolano respetar y garantizar el derecho a la libertad de expresión y el acceso a internet de los jóvenes universitarios, así como cesar los procedimientos y mecanismos intimidatorios para garantizar su participación en los asuntos públicos, tal como lo establece la Constitución de la República Bolivariana de Venezuela (1999) en su artículo 62 referido a la participación en los asuntos públicos, empalmado con el artículo 57 que defiende la libre expresión y pensamiento.</w:t>
      </w:r>
    </w:p>
    <w:p w14:paraId="7AFCB3B7" w14:textId="5861DA49" w:rsidR="00315F6A" w:rsidRPr="00315F6A" w:rsidRDefault="00315F6A" w:rsidP="00315F6A">
      <w:pPr>
        <w:pStyle w:val="ListParagraph"/>
        <w:numPr>
          <w:ilvl w:val="0"/>
          <w:numId w:val="12"/>
        </w:numPr>
        <w:jc w:val="both"/>
        <w:rPr>
          <w:rFonts w:ascii="Cambria" w:hAnsi="Cambria"/>
          <w:sz w:val="24"/>
          <w:szCs w:val="24"/>
        </w:rPr>
      </w:pPr>
      <w:r w:rsidRPr="00315F6A">
        <w:rPr>
          <w:rFonts w:ascii="Cambria" w:hAnsi="Cambria"/>
          <w:sz w:val="24"/>
          <w:szCs w:val="24"/>
        </w:rPr>
        <w:t>Se exige al Estado venezolano garantizar a la comunidad estudiantil, al igual que a la población en general, un servicio de internet que cumpla con las condiciones de disponibilidad, accesibilidad y calidad conforme a estándares internacionales en la materia.</w:t>
      </w:r>
    </w:p>
    <w:p w14:paraId="4B87722F" w14:textId="65E70A3A" w:rsidR="00315F6A" w:rsidRPr="00315F6A" w:rsidRDefault="00315F6A" w:rsidP="00315F6A">
      <w:pPr>
        <w:pStyle w:val="ListParagraph"/>
        <w:numPr>
          <w:ilvl w:val="0"/>
          <w:numId w:val="12"/>
        </w:numPr>
        <w:jc w:val="both"/>
        <w:rPr>
          <w:rFonts w:ascii="Cambria" w:hAnsi="Cambria"/>
          <w:sz w:val="24"/>
          <w:szCs w:val="24"/>
        </w:rPr>
      </w:pPr>
      <w:r w:rsidRPr="00315F6A">
        <w:rPr>
          <w:rFonts w:ascii="Cambria" w:hAnsi="Cambria"/>
          <w:sz w:val="24"/>
          <w:szCs w:val="24"/>
        </w:rPr>
        <w:t>Se exige al Estado venezolano el cese de la política de cierre y censura a los medios de comunicación tradicionales de manera de garantizar el derecho a la información que tienen todos los venezolanos por igual y sin distinción de pensamiento político.</w:t>
      </w:r>
    </w:p>
    <w:p w14:paraId="263454E9" w14:textId="19E83572" w:rsidR="00315F6A" w:rsidRPr="00315F6A" w:rsidRDefault="00315F6A" w:rsidP="00315F6A">
      <w:pPr>
        <w:pStyle w:val="ListParagraph"/>
        <w:numPr>
          <w:ilvl w:val="0"/>
          <w:numId w:val="12"/>
        </w:numPr>
        <w:jc w:val="both"/>
        <w:rPr>
          <w:rFonts w:ascii="Cambria" w:hAnsi="Cambria"/>
          <w:sz w:val="24"/>
          <w:szCs w:val="24"/>
        </w:rPr>
      </w:pPr>
      <w:r w:rsidRPr="00315F6A">
        <w:rPr>
          <w:rFonts w:ascii="Cambria" w:hAnsi="Cambria"/>
          <w:sz w:val="24"/>
          <w:szCs w:val="24"/>
        </w:rPr>
        <w:t>De igual manera se exige propiciar el funcionamiento de medios universitarios sin mecanismos de censura e intimidación. Esta exigencia tiene que ver con el regreso al espacio comunicativo de los distintos medios de comunicación universitarios que han sido cerrados o cuyos permisos de funcionamiento han sido revocados, de los cuales hemos expuesto sus casos en este informe.</w:t>
      </w:r>
    </w:p>
    <w:p w14:paraId="40AA2E55" w14:textId="54A980A1" w:rsidR="00315F6A" w:rsidRPr="00315F6A" w:rsidRDefault="00315F6A" w:rsidP="00315F6A">
      <w:pPr>
        <w:pStyle w:val="ListParagraph"/>
        <w:numPr>
          <w:ilvl w:val="0"/>
          <w:numId w:val="12"/>
        </w:numPr>
        <w:jc w:val="both"/>
        <w:rPr>
          <w:rFonts w:ascii="Cambria" w:hAnsi="Cambria"/>
          <w:sz w:val="24"/>
          <w:szCs w:val="24"/>
        </w:rPr>
      </w:pPr>
      <w:r w:rsidRPr="00315F6A">
        <w:rPr>
          <w:rFonts w:ascii="Cambria" w:hAnsi="Cambria"/>
          <w:sz w:val="24"/>
          <w:szCs w:val="24"/>
        </w:rPr>
        <w:t>Se exige al Estado el cese de las prácticas de censura e intimidación hacia jóvenes universitarios y la población en general con fundamento en legislaciones como la Ley contra el Odio.</w:t>
      </w:r>
    </w:p>
    <w:p w14:paraId="293E7B32" w14:textId="58415789" w:rsidR="00315F6A" w:rsidRPr="00315F6A" w:rsidRDefault="00315F6A" w:rsidP="00315F6A">
      <w:pPr>
        <w:pStyle w:val="ListParagraph"/>
        <w:numPr>
          <w:ilvl w:val="0"/>
          <w:numId w:val="12"/>
        </w:numPr>
        <w:jc w:val="both"/>
        <w:rPr>
          <w:rFonts w:ascii="Cambria" w:hAnsi="Cambria"/>
          <w:sz w:val="24"/>
          <w:szCs w:val="24"/>
        </w:rPr>
      </w:pPr>
      <w:r w:rsidRPr="00315F6A">
        <w:rPr>
          <w:rFonts w:ascii="Cambria" w:hAnsi="Cambria"/>
          <w:sz w:val="24"/>
          <w:szCs w:val="24"/>
        </w:rPr>
        <w:t>En este sentido, se exige al Estado la derogación de la Ley contra el Odio y cesar el enjuiciamiento penal en virtud de esta ley, incluso contra los disidentes políticos y universitarios</w:t>
      </w:r>
    </w:p>
    <w:p w14:paraId="7338E911" w14:textId="2D2283F9" w:rsidR="00315F6A" w:rsidRPr="00315F6A" w:rsidRDefault="00315F6A" w:rsidP="00315F6A">
      <w:pPr>
        <w:pStyle w:val="ListParagraph"/>
        <w:numPr>
          <w:ilvl w:val="0"/>
          <w:numId w:val="10"/>
        </w:numPr>
        <w:pBdr>
          <w:bottom w:val="single" w:sz="4" w:space="1" w:color="auto"/>
        </w:pBdr>
        <w:jc w:val="both"/>
        <w:rPr>
          <w:rFonts w:ascii="Cambria" w:hAnsi="Cambria"/>
          <w:b/>
          <w:bCs/>
          <w:sz w:val="24"/>
          <w:szCs w:val="24"/>
        </w:rPr>
      </w:pPr>
      <w:r w:rsidRPr="00315F6A">
        <w:rPr>
          <w:rFonts w:ascii="Cambria" w:hAnsi="Cambria"/>
          <w:b/>
          <w:bCs/>
          <w:sz w:val="24"/>
          <w:szCs w:val="24"/>
        </w:rPr>
        <w:t>Derecho a la reunión pacífica (Artículo 21)</w:t>
      </w:r>
    </w:p>
    <w:p w14:paraId="3D93E8B4" w14:textId="4CC41584" w:rsidR="00315F6A" w:rsidRPr="00315F6A" w:rsidRDefault="00315F6A" w:rsidP="00315F6A">
      <w:pPr>
        <w:pStyle w:val="ListParagraph"/>
        <w:numPr>
          <w:ilvl w:val="0"/>
          <w:numId w:val="13"/>
        </w:numPr>
        <w:jc w:val="both"/>
        <w:rPr>
          <w:rFonts w:ascii="Cambria" w:hAnsi="Cambria"/>
          <w:sz w:val="24"/>
          <w:szCs w:val="24"/>
        </w:rPr>
      </w:pPr>
      <w:r w:rsidRPr="00315F6A">
        <w:rPr>
          <w:rFonts w:ascii="Cambria" w:hAnsi="Cambria"/>
          <w:sz w:val="24"/>
          <w:szCs w:val="24"/>
        </w:rPr>
        <w:t>Se exige al Estado venezolano, respetar y garantizar el ejercicio del derecho a la protesta pacífica por parte de universitarios, el cual se encuentra intrínsecamente relacionado con el derecho a la libertad académica. El desarrollo de protestas por parte de los universitarios representa una faceta de la expresión de las discusiones académicas que tienen los estudiantes y profesores en la universidad y, además, representa una contribución como miembros de la universidad, institución que tiene la misión de contribuir al desarrollo de la Nación y fungir como contralor de la sociedad.</w:t>
      </w:r>
    </w:p>
    <w:p w14:paraId="33AB847F" w14:textId="455D06DB" w:rsidR="00315F6A" w:rsidRPr="00315F6A" w:rsidRDefault="00315F6A" w:rsidP="00315F6A">
      <w:pPr>
        <w:pStyle w:val="ListParagraph"/>
        <w:numPr>
          <w:ilvl w:val="0"/>
          <w:numId w:val="13"/>
        </w:numPr>
        <w:jc w:val="both"/>
        <w:rPr>
          <w:rFonts w:ascii="Cambria" w:hAnsi="Cambria"/>
          <w:sz w:val="24"/>
          <w:szCs w:val="24"/>
        </w:rPr>
      </w:pPr>
      <w:r w:rsidRPr="00315F6A">
        <w:rPr>
          <w:rFonts w:ascii="Cambria" w:hAnsi="Cambria"/>
          <w:sz w:val="24"/>
          <w:szCs w:val="24"/>
        </w:rPr>
        <w:t>Se exige al Estado venezolano, cesar la práctica de declaraciones estigmatizadoras en contra de universitarios que los exponen a sufrir un mayor grado de discriminación en la sociedad en la que se desenvuelven, al ser catalogados públicamente como traidores de los valores de la Nación y desestabilizadores del orden público.</w:t>
      </w:r>
    </w:p>
    <w:p w14:paraId="327A580D" w14:textId="202DB11D" w:rsidR="00315F6A" w:rsidRPr="00315F6A" w:rsidRDefault="00315F6A" w:rsidP="00315F6A">
      <w:pPr>
        <w:pStyle w:val="ListParagraph"/>
        <w:numPr>
          <w:ilvl w:val="0"/>
          <w:numId w:val="10"/>
        </w:numPr>
        <w:pBdr>
          <w:bottom w:val="single" w:sz="4" w:space="1" w:color="auto"/>
        </w:pBdr>
        <w:jc w:val="both"/>
        <w:rPr>
          <w:rFonts w:ascii="Cambria" w:hAnsi="Cambria"/>
          <w:b/>
          <w:bCs/>
          <w:sz w:val="24"/>
          <w:szCs w:val="24"/>
        </w:rPr>
      </w:pPr>
      <w:r w:rsidRPr="00315F6A">
        <w:rPr>
          <w:rFonts w:ascii="Cambria" w:hAnsi="Cambria"/>
          <w:b/>
          <w:bCs/>
          <w:sz w:val="24"/>
          <w:szCs w:val="24"/>
        </w:rPr>
        <w:t>Derecho a la libertad de asociación (Artículo 22)</w:t>
      </w:r>
    </w:p>
    <w:p w14:paraId="75FE5A39" w14:textId="57CC3809" w:rsidR="00315F6A" w:rsidRPr="00315F6A" w:rsidRDefault="00315F6A" w:rsidP="00315F6A">
      <w:pPr>
        <w:pStyle w:val="ListParagraph"/>
        <w:numPr>
          <w:ilvl w:val="0"/>
          <w:numId w:val="14"/>
        </w:numPr>
        <w:jc w:val="both"/>
        <w:rPr>
          <w:rFonts w:ascii="Cambria" w:hAnsi="Cambria"/>
          <w:sz w:val="24"/>
          <w:szCs w:val="24"/>
        </w:rPr>
      </w:pPr>
      <w:r w:rsidRPr="00315F6A">
        <w:rPr>
          <w:rFonts w:ascii="Cambria" w:hAnsi="Cambria"/>
          <w:sz w:val="24"/>
          <w:szCs w:val="24"/>
        </w:rPr>
        <w:t xml:space="preserve">Cesar las prácticas de violaciones a la autonomía universitaria a través de las suspensiones de procesos electorales vía judicial e injerencias del CNE, así como el cese de la persecución y hostigamiento a los actores promotores y participantes de los procesos de elecciones libres </w:t>
      </w:r>
    </w:p>
    <w:p w14:paraId="34E19FD8" w14:textId="7A55E69C" w:rsidR="00315F6A" w:rsidRPr="00315F6A" w:rsidRDefault="00315F6A" w:rsidP="00315F6A">
      <w:pPr>
        <w:pStyle w:val="ListParagraph"/>
        <w:numPr>
          <w:ilvl w:val="0"/>
          <w:numId w:val="14"/>
        </w:numPr>
        <w:jc w:val="both"/>
        <w:rPr>
          <w:rFonts w:ascii="Cambria" w:hAnsi="Cambria"/>
          <w:sz w:val="24"/>
          <w:szCs w:val="24"/>
        </w:rPr>
      </w:pPr>
      <w:r w:rsidRPr="00315F6A">
        <w:rPr>
          <w:rFonts w:ascii="Cambria" w:hAnsi="Cambria"/>
          <w:sz w:val="24"/>
          <w:szCs w:val="24"/>
        </w:rPr>
        <w:lastRenderedPageBreak/>
        <w:t>Garantizar el pleno ejercicio de los derechos laborales de los profesores universitarios y la progresividad de estos, cesando la práctica de imposición unilateral de tablas y beneficios salariales del sector y tomando en cuenta a las asociaciones gremiales legitimadas para representar a los sectores universitarios en los procesos de negociación colectiva.</w:t>
      </w:r>
    </w:p>
    <w:p w14:paraId="0A153FDE" w14:textId="13F06E38" w:rsidR="00315F6A" w:rsidRPr="00315F6A" w:rsidRDefault="00315F6A" w:rsidP="00315F6A">
      <w:pPr>
        <w:pStyle w:val="ListParagraph"/>
        <w:numPr>
          <w:ilvl w:val="0"/>
          <w:numId w:val="10"/>
        </w:numPr>
        <w:pBdr>
          <w:bottom w:val="single" w:sz="4" w:space="1" w:color="auto"/>
        </w:pBdr>
        <w:jc w:val="both"/>
        <w:rPr>
          <w:rFonts w:ascii="Cambria" w:hAnsi="Cambria"/>
          <w:b/>
          <w:bCs/>
          <w:sz w:val="24"/>
          <w:szCs w:val="24"/>
        </w:rPr>
      </w:pPr>
      <w:r w:rsidRPr="00315F6A">
        <w:rPr>
          <w:rFonts w:ascii="Cambria" w:hAnsi="Cambria"/>
          <w:b/>
          <w:bCs/>
          <w:sz w:val="24"/>
          <w:szCs w:val="24"/>
        </w:rPr>
        <w:t>Derecho a la participación en los asuntos públicos (Artículo 25)</w:t>
      </w:r>
    </w:p>
    <w:p w14:paraId="1B8BE51B" w14:textId="6073C94A" w:rsidR="00315F6A" w:rsidRPr="00C30550" w:rsidRDefault="00315F6A" w:rsidP="00C30550">
      <w:pPr>
        <w:pStyle w:val="ListParagraph"/>
        <w:numPr>
          <w:ilvl w:val="0"/>
          <w:numId w:val="15"/>
        </w:numPr>
        <w:jc w:val="both"/>
        <w:rPr>
          <w:rFonts w:ascii="Cambria" w:hAnsi="Cambria"/>
          <w:sz w:val="24"/>
          <w:szCs w:val="24"/>
        </w:rPr>
      </w:pPr>
      <w:r w:rsidRPr="00C30550">
        <w:rPr>
          <w:rFonts w:ascii="Cambria" w:eastAsia="Times New Roman" w:hAnsi="Cambria" w:cs="Times New Roman"/>
          <w:color w:val="000000"/>
          <w:sz w:val="24"/>
          <w:szCs w:val="24"/>
        </w:rPr>
        <w:t>Cesar la discriminación y exclusión por motivos políticos de profesores y estudiantes universitarios de los lugares de discusión de asuntos públicos para los que se encuentran legitimados para participar, en especial aquellos relacionados con sus intereses y derechos, respetando las opiniones pluralistas.</w:t>
      </w:r>
    </w:p>
    <w:bookmarkEnd w:id="2"/>
    <w:p w14:paraId="5BA52FD7" w14:textId="77777777" w:rsidR="00315F6A" w:rsidRDefault="00315F6A">
      <w:pPr>
        <w:rPr>
          <w:rFonts w:ascii="Cambria" w:hAnsi="Cambria"/>
          <w:sz w:val="24"/>
          <w:szCs w:val="24"/>
        </w:rPr>
      </w:pPr>
      <w:r>
        <w:rPr>
          <w:rFonts w:ascii="Cambria" w:hAnsi="Cambria"/>
          <w:sz w:val="24"/>
          <w:szCs w:val="24"/>
        </w:rPr>
        <w:br w:type="page"/>
      </w:r>
    </w:p>
    <w:p w14:paraId="53D9613E" w14:textId="11BD9A03" w:rsidR="00315F6A" w:rsidRPr="005D2128" w:rsidRDefault="000E151A" w:rsidP="005D2128">
      <w:pPr>
        <w:pStyle w:val="Heading1"/>
        <w:jc w:val="center"/>
        <w:rPr>
          <w:rFonts w:ascii="Cambria" w:hAnsi="Cambria"/>
          <w:b/>
          <w:bCs/>
          <w:color w:val="auto"/>
          <w:sz w:val="24"/>
          <w:szCs w:val="24"/>
        </w:rPr>
      </w:pPr>
      <w:bookmarkStart w:id="3" w:name="_Toc144938446"/>
      <w:r w:rsidRPr="005D2128">
        <w:rPr>
          <w:rFonts w:ascii="Cambria" w:hAnsi="Cambria"/>
          <w:b/>
          <w:bCs/>
          <w:color w:val="auto"/>
          <w:sz w:val="24"/>
          <w:szCs w:val="24"/>
        </w:rPr>
        <w:lastRenderedPageBreak/>
        <w:t>PRESENTACION Y METODOLOGÍA</w:t>
      </w:r>
      <w:bookmarkEnd w:id="3"/>
    </w:p>
    <w:p w14:paraId="4F026811" w14:textId="582644CF" w:rsidR="00015D4D" w:rsidRDefault="00015D4D" w:rsidP="00015D4D">
      <w:pPr>
        <w:jc w:val="both"/>
        <w:rPr>
          <w:rFonts w:ascii="Cambria" w:hAnsi="Cambria"/>
          <w:sz w:val="24"/>
          <w:szCs w:val="24"/>
        </w:rPr>
      </w:pPr>
      <w:r w:rsidRPr="00015D4D">
        <w:rPr>
          <w:rFonts w:ascii="Cambria" w:hAnsi="Cambria"/>
          <w:sz w:val="24"/>
          <w:szCs w:val="24"/>
        </w:rPr>
        <w:t>El informe para presentar ante el Comité de Derechos Humanos (en adelante, el Comité),</w:t>
      </w:r>
      <w:r>
        <w:rPr>
          <w:rFonts w:ascii="Cambria" w:hAnsi="Cambria"/>
          <w:sz w:val="24"/>
          <w:szCs w:val="24"/>
        </w:rPr>
        <w:t xml:space="preserve"> </w:t>
      </w:r>
      <w:r w:rsidRPr="00015D4D">
        <w:rPr>
          <w:rFonts w:ascii="Cambria" w:hAnsi="Cambria"/>
          <w:sz w:val="24"/>
          <w:szCs w:val="24"/>
        </w:rPr>
        <w:t xml:space="preserve">está dirigido a proveer información sobre violaciones del derecho a la libertad de </w:t>
      </w:r>
      <w:r>
        <w:rPr>
          <w:rFonts w:ascii="Cambria" w:hAnsi="Cambria"/>
          <w:sz w:val="24"/>
          <w:szCs w:val="24"/>
        </w:rPr>
        <w:t xml:space="preserve">pensamiento, </w:t>
      </w:r>
      <w:r w:rsidRPr="00015D4D">
        <w:rPr>
          <w:rFonts w:ascii="Cambria" w:hAnsi="Cambria"/>
          <w:sz w:val="24"/>
          <w:szCs w:val="24"/>
        </w:rPr>
        <w:t>expresió</w:t>
      </w:r>
      <w:r>
        <w:rPr>
          <w:rFonts w:ascii="Cambria" w:hAnsi="Cambria"/>
          <w:sz w:val="24"/>
          <w:szCs w:val="24"/>
        </w:rPr>
        <w:t xml:space="preserve">n, </w:t>
      </w:r>
      <w:r w:rsidRPr="00015D4D">
        <w:rPr>
          <w:rFonts w:ascii="Cambria" w:hAnsi="Cambria"/>
          <w:sz w:val="24"/>
          <w:szCs w:val="24"/>
        </w:rPr>
        <w:t>asociación,</w:t>
      </w:r>
      <w:r>
        <w:rPr>
          <w:rFonts w:ascii="Cambria" w:hAnsi="Cambria"/>
          <w:sz w:val="24"/>
          <w:szCs w:val="24"/>
        </w:rPr>
        <w:t xml:space="preserve"> reunión pacifica, participación en asuntos públicos,</w:t>
      </w:r>
      <w:r w:rsidRPr="00015D4D">
        <w:rPr>
          <w:rFonts w:ascii="Cambria" w:hAnsi="Cambria"/>
          <w:sz w:val="24"/>
          <w:szCs w:val="24"/>
        </w:rPr>
        <w:t xml:space="preserve"> así como violaciones conexas a los derechos laborales de profesores, estudiantes y autoridades en Venezuela, de acuerdo con las obligaciones del Estado venezolano derivadas del Pacto Internacional sobre Derechos Civiles y Políticos (PIDCP) Lo anterior, con la finalidad de contribuir con la identificación de los retos y restricciones relacionadas con el incumplimiento </w:t>
      </w:r>
      <w:r>
        <w:rPr>
          <w:rFonts w:ascii="Cambria" w:hAnsi="Cambria"/>
          <w:sz w:val="24"/>
          <w:szCs w:val="24"/>
        </w:rPr>
        <w:t>de garantizar los derechos reconocidos en el referido ordenamiento jurídico internacional.</w:t>
      </w:r>
    </w:p>
    <w:p w14:paraId="399E273E" w14:textId="771BCCA1" w:rsidR="00015D4D" w:rsidRPr="00015D4D" w:rsidRDefault="00015D4D" w:rsidP="00015D4D">
      <w:pPr>
        <w:spacing w:after="120" w:line="240" w:lineRule="auto"/>
        <w:jc w:val="both"/>
        <w:rPr>
          <w:rFonts w:ascii="Cambria" w:eastAsia="Times New Roman" w:hAnsi="Cambria" w:cs="Times New Roman"/>
          <w:sz w:val="24"/>
          <w:szCs w:val="24"/>
        </w:rPr>
      </w:pPr>
      <w:r w:rsidRPr="00015D4D">
        <w:rPr>
          <w:rFonts w:ascii="Cambria" w:eastAsia="Times New Roman" w:hAnsi="Cambria" w:cs="Times New Roman"/>
          <w:b/>
          <w:sz w:val="24"/>
          <w:szCs w:val="24"/>
        </w:rPr>
        <w:t>Aula Abierta es una organización no gubernamental fundada en el año 2016</w:t>
      </w:r>
      <w:r w:rsidRPr="00015D4D">
        <w:rPr>
          <w:rFonts w:ascii="Cambria" w:eastAsia="Times New Roman" w:hAnsi="Cambria" w:cs="Times New Roman"/>
          <w:sz w:val="24"/>
          <w:szCs w:val="24"/>
        </w:rPr>
        <w:t xml:space="preserve">, que trabaja por la defensa de los derechos humanos de los universitarios en Latinoamérica, especialmente la libertad académica, el derecho a la educación de calidad y la libertad de asociación y reunión pacífica. Ha participado en varias audiencias ante la CIDH. </w:t>
      </w:r>
      <w:r w:rsidR="005875F3">
        <w:rPr>
          <w:rFonts w:ascii="Cambria" w:eastAsia="Times New Roman" w:hAnsi="Cambria" w:cs="Times New Roman"/>
          <w:sz w:val="24"/>
          <w:szCs w:val="24"/>
        </w:rPr>
        <w:t xml:space="preserve">Detenta estatus consultivo ECOSOC </w:t>
      </w:r>
      <w:r w:rsidRPr="00015D4D">
        <w:rPr>
          <w:rFonts w:ascii="Cambria" w:eastAsia="Times New Roman" w:hAnsi="Cambria" w:cs="Times New Roman"/>
          <w:sz w:val="24"/>
          <w:szCs w:val="24"/>
        </w:rPr>
        <w:t xml:space="preserve">y es miembro de la Red Académica Especializada de Cooperación Técnica de la CIDH. Correo de contacto: </w:t>
      </w:r>
      <w:hyperlink r:id="rId9" w:history="1">
        <w:r w:rsidRPr="00015D4D">
          <w:rPr>
            <w:rStyle w:val="Hyperlink"/>
            <w:rFonts w:ascii="Cambria" w:eastAsia="Times New Roman" w:hAnsi="Cambria" w:cs="Times New Roman"/>
            <w:color w:val="0000FF"/>
            <w:sz w:val="24"/>
            <w:szCs w:val="24"/>
          </w:rPr>
          <w:t>aulaabiertave@gmail.com</w:t>
        </w:r>
      </w:hyperlink>
      <w:r w:rsidRPr="00015D4D">
        <w:rPr>
          <w:rFonts w:ascii="Cambria" w:eastAsia="Times New Roman" w:hAnsi="Cambria" w:cs="Times New Roman"/>
          <w:sz w:val="24"/>
          <w:szCs w:val="24"/>
        </w:rPr>
        <w:t xml:space="preserve">. Página web: </w:t>
      </w:r>
      <w:hyperlink r:id="rId10" w:history="1">
        <w:r w:rsidRPr="00015D4D">
          <w:rPr>
            <w:rStyle w:val="Hyperlink"/>
            <w:rFonts w:ascii="Cambria" w:eastAsia="Times New Roman" w:hAnsi="Cambria" w:cs="Times New Roman"/>
            <w:color w:val="0000FF"/>
            <w:sz w:val="24"/>
            <w:szCs w:val="24"/>
          </w:rPr>
          <w:t>http://aulaabiertavenezuela.org/</w:t>
        </w:r>
      </w:hyperlink>
      <w:r w:rsidRPr="00015D4D">
        <w:rPr>
          <w:rFonts w:ascii="Cambria" w:eastAsia="Times New Roman" w:hAnsi="Cambria" w:cs="Times New Roman"/>
          <w:sz w:val="24"/>
          <w:szCs w:val="24"/>
        </w:rPr>
        <w:t>/</w:t>
      </w:r>
      <w:hyperlink r:id="rId11" w:history="1">
        <w:r w:rsidRPr="00015D4D">
          <w:rPr>
            <w:rStyle w:val="Hyperlink"/>
            <w:rFonts w:ascii="Cambria" w:eastAsia="Times New Roman" w:hAnsi="Cambria" w:cs="Times New Roman"/>
            <w:color w:val="0000FF"/>
            <w:sz w:val="24"/>
            <w:szCs w:val="24"/>
          </w:rPr>
          <w:t>http://derechosuniversitarios.org/</w:t>
        </w:r>
      </w:hyperlink>
      <w:hyperlink r:id="rId12" w:history="1">
        <w:r w:rsidRPr="00015D4D">
          <w:rPr>
            <w:rStyle w:val="Hyperlink"/>
            <w:rFonts w:ascii="Cambria" w:eastAsia="Times New Roman" w:hAnsi="Cambria" w:cs="Times New Roman"/>
            <w:color w:val="0000FF"/>
            <w:sz w:val="24"/>
            <w:szCs w:val="24"/>
          </w:rPr>
          <w:t>https://libertadacademica.org/</w:t>
        </w:r>
      </w:hyperlink>
      <w:r w:rsidRPr="00015D4D">
        <w:rPr>
          <w:rFonts w:ascii="Cambria" w:eastAsia="Times New Roman" w:hAnsi="Cambria" w:cs="Times New Roman"/>
          <w:color w:val="0000FF"/>
          <w:sz w:val="24"/>
          <w:szCs w:val="24"/>
          <w:u w:val="single"/>
        </w:rPr>
        <w:t>.</w:t>
      </w:r>
    </w:p>
    <w:p w14:paraId="23A900DE" w14:textId="77777777" w:rsidR="000E151A" w:rsidRDefault="00015D4D" w:rsidP="00015D4D">
      <w:pPr>
        <w:spacing w:after="120" w:line="240" w:lineRule="auto"/>
        <w:jc w:val="both"/>
        <w:rPr>
          <w:rFonts w:ascii="Cambria" w:eastAsia="Times New Roman" w:hAnsi="Cambria" w:cs="Times New Roman"/>
          <w:sz w:val="24"/>
          <w:szCs w:val="24"/>
        </w:rPr>
      </w:pPr>
      <w:r>
        <w:rPr>
          <w:rFonts w:ascii="Cambria" w:eastAsia="Times New Roman" w:hAnsi="Cambria" w:cs="Times New Roman"/>
          <w:sz w:val="24"/>
          <w:szCs w:val="24"/>
        </w:rPr>
        <w:t xml:space="preserve">El informe esta dividido en 5 capítulos relativos a  </w:t>
      </w:r>
      <w:r w:rsidRPr="00015D4D">
        <w:rPr>
          <w:rFonts w:ascii="Cambria" w:eastAsia="Times New Roman" w:hAnsi="Cambria" w:cs="Times New Roman"/>
          <w:sz w:val="24"/>
          <w:szCs w:val="24"/>
        </w:rPr>
        <w:t>Derecho a la libertad de pensamiento (Artículo 18), Derecho a la libertad de expresión (Artículo 19), Derecho a la reunión pacífica (Artículo 21), Derecho a la libertad de asociación (Artículo 22), Derecho a la participación en los asuntos públicos (Artículo 25)</w:t>
      </w:r>
      <w:r>
        <w:rPr>
          <w:rFonts w:ascii="Cambria" w:eastAsia="Times New Roman" w:hAnsi="Cambria" w:cs="Times New Roman"/>
          <w:sz w:val="24"/>
          <w:szCs w:val="24"/>
        </w:rPr>
        <w:t xml:space="preserve">, respectivamente,  </w:t>
      </w:r>
      <w:r w:rsidRPr="00015D4D">
        <w:rPr>
          <w:rFonts w:ascii="Cambria" w:eastAsia="Times New Roman" w:hAnsi="Cambria" w:cs="Times New Roman"/>
          <w:sz w:val="24"/>
          <w:szCs w:val="24"/>
        </w:rPr>
        <w:t>en este se describen prácticas del Estado venezolano que involucran violaciones a los derechos</w:t>
      </w:r>
      <w:r>
        <w:rPr>
          <w:rFonts w:ascii="Cambria" w:eastAsia="Times New Roman" w:hAnsi="Cambria" w:cs="Times New Roman"/>
          <w:sz w:val="24"/>
          <w:szCs w:val="24"/>
        </w:rPr>
        <w:t xml:space="preserve"> mencionados y l</w:t>
      </w:r>
      <w:r w:rsidRPr="00015D4D">
        <w:rPr>
          <w:rFonts w:ascii="Cambria" w:eastAsia="Times New Roman" w:hAnsi="Cambria" w:cs="Times New Roman"/>
          <w:sz w:val="24"/>
          <w:szCs w:val="24"/>
        </w:rPr>
        <w:t>as situaciones</w:t>
      </w:r>
      <w:r>
        <w:rPr>
          <w:rFonts w:ascii="Cambria" w:eastAsia="Times New Roman" w:hAnsi="Cambria" w:cs="Times New Roman"/>
          <w:sz w:val="24"/>
          <w:szCs w:val="24"/>
        </w:rPr>
        <w:t xml:space="preserve"> narradas</w:t>
      </w:r>
      <w:r w:rsidRPr="00015D4D">
        <w:rPr>
          <w:rFonts w:ascii="Cambria" w:eastAsia="Times New Roman" w:hAnsi="Cambria" w:cs="Times New Roman"/>
          <w:sz w:val="24"/>
          <w:szCs w:val="24"/>
        </w:rPr>
        <w:t xml:space="preserve"> refieren al periodo </w:t>
      </w:r>
      <w:r>
        <w:rPr>
          <w:rFonts w:ascii="Cambria" w:eastAsia="Times New Roman" w:hAnsi="Cambria" w:cs="Times New Roman"/>
          <w:sz w:val="24"/>
          <w:szCs w:val="24"/>
        </w:rPr>
        <w:t>analizado</w:t>
      </w:r>
      <w:r w:rsidRPr="00015D4D">
        <w:rPr>
          <w:rFonts w:ascii="Cambria" w:eastAsia="Times New Roman" w:hAnsi="Cambria" w:cs="Times New Roman"/>
          <w:sz w:val="24"/>
          <w:szCs w:val="24"/>
        </w:rPr>
        <w:t>, con algunas referencias históricas de contexto</w:t>
      </w:r>
      <w:r w:rsidR="000E151A">
        <w:rPr>
          <w:rFonts w:ascii="Cambria" w:eastAsia="Times New Roman" w:hAnsi="Cambria" w:cs="Times New Roman"/>
          <w:sz w:val="24"/>
          <w:szCs w:val="24"/>
        </w:rPr>
        <w:t>,</w:t>
      </w:r>
    </w:p>
    <w:p w14:paraId="31DFAF9F" w14:textId="300A334F" w:rsidR="000E151A" w:rsidRPr="000E151A" w:rsidRDefault="000E151A" w:rsidP="00015D4D">
      <w:pPr>
        <w:spacing w:after="120" w:line="240" w:lineRule="auto"/>
        <w:jc w:val="both"/>
        <w:rPr>
          <w:rFonts w:ascii="Cambria" w:eastAsia="Times New Roman" w:hAnsi="Cambria" w:cs="Times New Roman"/>
          <w:sz w:val="24"/>
          <w:szCs w:val="24"/>
        </w:rPr>
        <w:sectPr w:rsidR="000E151A" w:rsidRPr="000E151A" w:rsidSect="00E736CE">
          <w:footerReference w:type="default" r:id="rId13"/>
          <w:pgSz w:w="12242" w:h="20163"/>
          <w:pgMar w:top="1418" w:right="1701" w:bottom="1418" w:left="1701" w:header="709" w:footer="709" w:gutter="0"/>
          <w:pgNumType w:start="1"/>
          <w:cols w:space="720"/>
          <w:titlePg/>
          <w:docGrid w:linePitch="299"/>
        </w:sectPr>
      </w:pPr>
      <w:r w:rsidRPr="000E151A">
        <w:rPr>
          <w:rFonts w:ascii="Cambria" w:eastAsia="Times New Roman" w:hAnsi="Cambria" w:cs="Times New Roman"/>
          <w:sz w:val="24"/>
          <w:szCs w:val="24"/>
        </w:rPr>
        <w:t xml:space="preserve">El informe se elaboró con base en la revisión y seguimiento </w:t>
      </w:r>
      <w:r>
        <w:rPr>
          <w:rFonts w:ascii="Cambria" w:eastAsia="Times New Roman" w:hAnsi="Cambria" w:cs="Times New Roman"/>
          <w:sz w:val="24"/>
          <w:szCs w:val="24"/>
        </w:rPr>
        <w:t xml:space="preserve">histórico </w:t>
      </w:r>
      <w:r w:rsidRPr="000E151A">
        <w:rPr>
          <w:rFonts w:ascii="Cambria" w:eastAsia="Times New Roman" w:hAnsi="Cambria" w:cs="Times New Roman"/>
          <w:sz w:val="24"/>
          <w:szCs w:val="24"/>
        </w:rPr>
        <w:t>de la legislación, decisiones del poder judicial</w:t>
      </w:r>
      <w:r>
        <w:rPr>
          <w:rFonts w:ascii="Cambria" w:eastAsia="Times New Roman" w:hAnsi="Cambria" w:cs="Times New Roman"/>
          <w:sz w:val="24"/>
          <w:szCs w:val="24"/>
        </w:rPr>
        <w:t xml:space="preserve">, </w:t>
      </w:r>
      <w:r w:rsidRPr="000E151A">
        <w:rPr>
          <w:rFonts w:ascii="Cambria" w:eastAsia="Times New Roman" w:hAnsi="Cambria" w:cs="Times New Roman"/>
          <w:sz w:val="24"/>
          <w:szCs w:val="24"/>
        </w:rPr>
        <w:t>las políticas implementadas por el Estado en las áreas de educación superior, así como en investigación de campo y la realización de entrevistas a autoridades universitarias, profesores, estudiantes, víctimas y demás actores relevantes.</w:t>
      </w:r>
    </w:p>
    <w:p w14:paraId="4474A8E2" w14:textId="4B003FF0" w:rsidR="009B71D1" w:rsidRPr="00945926" w:rsidRDefault="009B71D1" w:rsidP="009B71D1">
      <w:pPr>
        <w:rPr>
          <w:rFonts w:ascii="Cambria" w:hAnsi="Cambria"/>
          <w:sz w:val="24"/>
          <w:szCs w:val="24"/>
        </w:rPr>
      </w:pPr>
    </w:p>
    <w:p w14:paraId="57B44A90" w14:textId="22408E61" w:rsidR="005732F7" w:rsidRPr="00945926" w:rsidRDefault="005732F7" w:rsidP="005D2128">
      <w:pPr>
        <w:pStyle w:val="ListParagraph"/>
        <w:numPr>
          <w:ilvl w:val="0"/>
          <w:numId w:val="7"/>
        </w:numPr>
        <w:pBdr>
          <w:bottom w:val="single" w:sz="4" w:space="1" w:color="auto"/>
        </w:pBdr>
        <w:jc w:val="both"/>
        <w:outlineLvl w:val="0"/>
        <w:rPr>
          <w:rFonts w:ascii="Cambria" w:eastAsia="Times New Roman" w:hAnsi="Cambria" w:cs="Times New Roman"/>
          <w:b/>
          <w:sz w:val="24"/>
          <w:szCs w:val="24"/>
        </w:rPr>
      </w:pPr>
      <w:bookmarkStart w:id="4" w:name="_Toc144938447"/>
      <w:r w:rsidRPr="00945926">
        <w:rPr>
          <w:rFonts w:ascii="Cambria" w:eastAsia="Times New Roman" w:hAnsi="Cambria" w:cs="Times New Roman"/>
          <w:b/>
          <w:sz w:val="24"/>
          <w:szCs w:val="24"/>
        </w:rPr>
        <w:t>Derecho a la libertad de pensamiento (Artículo 18)</w:t>
      </w:r>
      <w:bookmarkEnd w:id="4"/>
    </w:p>
    <w:p w14:paraId="43BC0FF0" w14:textId="7A4EB9D6"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El Pacto reconoce el derecho de toda persona a la libertad de pensamiento, de conciencia y de religión. Sin embargo</w:t>
      </w:r>
      <w:r w:rsidR="00646899" w:rsidRPr="00945926">
        <w:rPr>
          <w:rFonts w:ascii="Cambria" w:eastAsia="Times New Roman" w:hAnsi="Cambria" w:cs="Times New Roman"/>
          <w:color w:val="000000"/>
          <w:sz w:val="24"/>
          <w:szCs w:val="24"/>
        </w:rPr>
        <w:t>,</w:t>
      </w:r>
      <w:r w:rsidRPr="00945926">
        <w:rPr>
          <w:rFonts w:ascii="Cambria" w:eastAsia="Times New Roman" w:hAnsi="Cambria" w:cs="Times New Roman"/>
          <w:color w:val="000000"/>
          <w:sz w:val="24"/>
          <w:szCs w:val="24"/>
        </w:rPr>
        <w:t xml:space="preserve"> en el 2021, </w:t>
      </w:r>
      <w:r w:rsidR="00646899" w:rsidRPr="00945926">
        <w:rPr>
          <w:rFonts w:ascii="Cambria" w:eastAsia="Times New Roman" w:hAnsi="Cambria" w:cs="Times New Roman"/>
          <w:color w:val="000000"/>
          <w:sz w:val="24"/>
          <w:szCs w:val="24"/>
        </w:rPr>
        <w:t xml:space="preserve">desde </w:t>
      </w:r>
      <w:r w:rsidRPr="00945926">
        <w:rPr>
          <w:rFonts w:ascii="Cambria" w:eastAsia="Times New Roman" w:hAnsi="Cambria" w:cs="Times New Roman"/>
          <w:color w:val="000000"/>
          <w:sz w:val="24"/>
          <w:szCs w:val="24"/>
        </w:rPr>
        <w:t>Aula Abierta constató la existencia de un patrón estatal de imposición de un modelo ideológico único en el sistema de educación superior venezolano, a través de prácticas tales como la limitación de las ofertas académicas, financiamiento de investigación a los objetivos previstos en el Plan de la Patria</w:t>
      </w:r>
      <w:r w:rsidRPr="00945926">
        <w:rPr>
          <w:rFonts w:ascii="Cambria" w:eastAsia="Arial" w:hAnsi="Cambria" w:cs="Arial"/>
          <w:color w:val="000000"/>
          <w:sz w:val="24"/>
          <w:szCs w:val="24"/>
          <w:vertAlign w:val="superscript"/>
        </w:rPr>
        <w:footnoteReference w:id="1"/>
      </w:r>
      <w:r w:rsidRPr="00945926">
        <w:rPr>
          <w:rFonts w:ascii="Cambria" w:eastAsia="Times New Roman" w:hAnsi="Cambria" w:cs="Times New Roman"/>
          <w:color w:val="000000"/>
          <w:sz w:val="24"/>
          <w:szCs w:val="24"/>
        </w:rPr>
        <w:t xml:space="preserve"> y la implementación de represalias contra universitarios, por expresar sus ideas críticas en torno a temas que resultan incómodos para el gobierno</w:t>
      </w:r>
      <w:r w:rsidR="00315F6A">
        <w:rPr>
          <w:rFonts w:ascii="Cambria" w:eastAsia="Times New Roman" w:hAnsi="Cambria" w:cs="Times New Roman"/>
          <w:color w:val="000000"/>
          <w:sz w:val="24"/>
          <w:szCs w:val="24"/>
        </w:rPr>
        <w:t>.</w:t>
      </w:r>
      <w:r w:rsidRPr="00945926">
        <w:rPr>
          <w:rFonts w:ascii="Cambria" w:eastAsia="Arial" w:hAnsi="Cambria" w:cs="Arial"/>
          <w:color w:val="000000"/>
          <w:sz w:val="24"/>
          <w:szCs w:val="24"/>
          <w:vertAlign w:val="superscript"/>
        </w:rPr>
        <w:footnoteReference w:id="2"/>
      </w:r>
    </w:p>
    <w:p w14:paraId="20BC4B12"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El Plan de la Patria 2013-2019</w:t>
      </w:r>
      <w:r w:rsidRPr="00945926">
        <w:rPr>
          <w:rFonts w:ascii="Cambria" w:eastAsia="Arial" w:hAnsi="Cambria" w:cs="Arial"/>
          <w:color w:val="000000"/>
          <w:sz w:val="24"/>
          <w:szCs w:val="24"/>
          <w:vertAlign w:val="superscript"/>
        </w:rPr>
        <w:footnoteReference w:id="3"/>
      </w:r>
      <w:r w:rsidRPr="00945926">
        <w:rPr>
          <w:rFonts w:ascii="Cambria" w:eastAsia="Times New Roman" w:hAnsi="Cambria" w:cs="Times New Roman"/>
          <w:color w:val="000000"/>
          <w:sz w:val="24"/>
          <w:szCs w:val="24"/>
        </w:rPr>
        <w:t>, presentado por el Gobierno nacional y publicado en Gaceta Oficial el 04 de diciembre de 2013, contempla la transformación universitaria, a fin de vincularla con los objetivos del proyecto nacional, que radica en profundizar y radicalizar la revolución en el marco del socialismo bolivariano</w:t>
      </w:r>
      <w:r w:rsidRPr="00945926">
        <w:rPr>
          <w:rFonts w:ascii="Cambria" w:eastAsia="Arial" w:hAnsi="Cambria" w:cs="Arial"/>
          <w:color w:val="000000"/>
          <w:sz w:val="24"/>
          <w:szCs w:val="24"/>
          <w:vertAlign w:val="superscript"/>
        </w:rPr>
        <w:footnoteReference w:id="4"/>
      </w:r>
      <w:r w:rsidRPr="00945926">
        <w:rPr>
          <w:rFonts w:ascii="Cambria" w:eastAsia="Times New Roman" w:hAnsi="Cambria" w:cs="Times New Roman"/>
          <w:color w:val="000000"/>
          <w:sz w:val="24"/>
          <w:szCs w:val="24"/>
        </w:rPr>
        <w:t>, estableciendo que la investigación científica deberá estar al servicio de la construcción del Modelo Productivo Socialista y de la Ética Socialista</w:t>
      </w:r>
      <w:r w:rsidRPr="00945926">
        <w:rPr>
          <w:rFonts w:ascii="Cambria" w:eastAsia="Arial" w:hAnsi="Cambria" w:cs="Arial"/>
          <w:color w:val="000000"/>
          <w:sz w:val="24"/>
          <w:szCs w:val="24"/>
          <w:vertAlign w:val="superscript"/>
        </w:rPr>
        <w:footnoteReference w:id="5"/>
      </w:r>
      <w:r w:rsidRPr="00945926">
        <w:rPr>
          <w:rFonts w:ascii="Cambria" w:eastAsia="Times New Roman" w:hAnsi="Cambria" w:cs="Times New Roman"/>
          <w:color w:val="000000"/>
          <w:sz w:val="24"/>
          <w:szCs w:val="24"/>
        </w:rPr>
        <w:t>.</w:t>
      </w:r>
    </w:p>
    <w:p w14:paraId="7298C60E" w14:textId="77777777" w:rsidR="005732F7"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Por su parte, el Plan de la Patria 2019-2025</w:t>
      </w:r>
      <w:r w:rsidRPr="00945926">
        <w:rPr>
          <w:rFonts w:ascii="Cambria" w:eastAsia="Arial" w:hAnsi="Cambria" w:cs="Arial"/>
          <w:color w:val="000000"/>
          <w:sz w:val="24"/>
          <w:szCs w:val="24"/>
          <w:vertAlign w:val="superscript"/>
        </w:rPr>
        <w:footnoteReference w:id="6"/>
      </w:r>
      <w:r w:rsidRPr="00945926">
        <w:rPr>
          <w:rFonts w:ascii="Cambria" w:eastAsia="Times New Roman" w:hAnsi="Cambria" w:cs="Times New Roman"/>
          <w:color w:val="000000"/>
          <w:sz w:val="24"/>
          <w:szCs w:val="24"/>
        </w:rPr>
        <w:t xml:space="preserve"> profundiza el Plan de la Patria 2013-2019 y se sustenta en ejes ideológicos que atentan contra la libertad de pensamiento y la libertad académica, mediante la previsión de una docencia e investigación para la construcción del “modelo productivo socialista”, la “ética socialista” y la planificación-acción y gestión para la construcción del socialismo; </w:t>
      </w:r>
      <w:r w:rsidRPr="00945926">
        <w:rPr>
          <w:rFonts w:ascii="Cambria" w:eastAsia="Times New Roman" w:hAnsi="Cambria" w:cs="Times New Roman"/>
          <w:color w:val="000000"/>
          <w:sz w:val="24"/>
          <w:szCs w:val="24"/>
        </w:rPr>
        <w:lastRenderedPageBreak/>
        <w:t>e impone la Misión Sucre y las Universidades Politécnicas Territoriales, como ejes de la docencia y la actualización académica de los contenidos en universidades tradicionales</w:t>
      </w:r>
      <w:r w:rsidRPr="00945926">
        <w:rPr>
          <w:rFonts w:ascii="Cambria" w:eastAsia="Arial" w:hAnsi="Cambria" w:cs="Arial"/>
          <w:color w:val="000000"/>
          <w:sz w:val="24"/>
          <w:szCs w:val="24"/>
          <w:vertAlign w:val="superscript"/>
        </w:rPr>
        <w:footnoteReference w:id="7"/>
      </w:r>
      <w:r w:rsidRPr="00945926">
        <w:rPr>
          <w:rFonts w:ascii="Cambria" w:eastAsia="Times New Roman" w:hAnsi="Cambria" w:cs="Times New Roman"/>
          <w:color w:val="000000"/>
          <w:sz w:val="24"/>
          <w:szCs w:val="24"/>
        </w:rPr>
        <w:t>.</w:t>
      </w:r>
    </w:p>
    <w:p w14:paraId="2D2586AB" w14:textId="42A4644A" w:rsidR="001B6E1C" w:rsidRDefault="001B6E1C"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1B6E1C">
        <w:rPr>
          <w:rFonts w:ascii="Cambria" w:eastAsia="Times New Roman" w:hAnsi="Cambria" w:cs="Times New Roman"/>
          <w:color w:val="000000"/>
          <w:sz w:val="24"/>
          <w:szCs w:val="24"/>
        </w:rPr>
        <w:t>En enero de 2017, Nicolás Maduro anunció la creación del Carnet de la Patria, como un documento de identificación contentivo de un código QR dirigido a conocer el estatus socioeconómico de la población y agilizar los programas de ayudas económicas y sociales del gobierno, ante la crisis hiperinflacionaria a la que se enfrenta Venezuela. Paralelamente, el gobierno nacional creó el Sistema Patria, como la plataforma digital del Carnet de la Patria</w:t>
      </w:r>
      <w:r>
        <w:rPr>
          <w:rFonts w:ascii="Cambria" w:eastAsia="Times New Roman" w:hAnsi="Cambria" w:cs="Times New Roman"/>
          <w:color w:val="000000"/>
          <w:sz w:val="24"/>
          <w:szCs w:val="24"/>
        </w:rPr>
        <w:t>.</w:t>
      </w:r>
      <w:r>
        <w:rPr>
          <w:rStyle w:val="FootnoteReference"/>
          <w:rFonts w:ascii="Cambria" w:eastAsia="Times New Roman" w:hAnsi="Cambria" w:cs="Times New Roman"/>
          <w:color w:val="000000"/>
          <w:sz w:val="24"/>
          <w:szCs w:val="24"/>
        </w:rPr>
        <w:footnoteReference w:id="8"/>
      </w:r>
    </w:p>
    <w:p w14:paraId="226EA5DA" w14:textId="1CED542A" w:rsidR="001B6E1C" w:rsidRPr="00945926" w:rsidRDefault="001B6E1C"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1B6E1C">
        <w:rPr>
          <w:rFonts w:ascii="Cambria" w:eastAsia="Times New Roman" w:hAnsi="Cambria" w:cs="Times New Roman"/>
          <w:color w:val="000000"/>
          <w:sz w:val="24"/>
          <w:szCs w:val="24"/>
        </w:rPr>
        <w:t>Tanto el Carnet de la Patria como el Sistema Patria atienden fines de afiliación políticas y contienen claros sesgos ideológicos, lo que ha dado lugar a casos de discriminación de aquellos jóvenes que no deseen obtener este documento de identificación o decidan no afiliarse a dicho sistema por no ser comulgar con las visiones e ideologías políticas promovidas por los mismos, al ser excluidos del acceso a las ayudas económicas y sociales otorgadas por el gobierno.</w:t>
      </w:r>
      <w:r>
        <w:rPr>
          <w:rFonts w:ascii="Cambria" w:eastAsia="Times New Roman" w:hAnsi="Cambria" w:cs="Times New Roman"/>
          <w:color w:val="000000"/>
          <w:sz w:val="24"/>
          <w:szCs w:val="24"/>
        </w:rPr>
        <w:t xml:space="preserve"> </w:t>
      </w:r>
      <w:r w:rsidRPr="001B6E1C">
        <w:rPr>
          <w:rFonts w:ascii="Cambria" w:eastAsia="Times New Roman" w:hAnsi="Cambria" w:cs="Times New Roman"/>
          <w:color w:val="000000"/>
          <w:sz w:val="24"/>
          <w:szCs w:val="24"/>
        </w:rPr>
        <w:t>Aunado a esto, es importante mencionar que</w:t>
      </w:r>
      <w:r>
        <w:rPr>
          <w:rFonts w:ascii="Cambria" w:eastAsia="Times New Roman" w:hAnsi="Cambria" w:cs="Times New Roman"/>
          <w:color w:val="000000"/>
          <w:sz w:val="24"/>
          <w:szCs w:val="24"/>
        </w:rPr>
        <w:t xml:space="preserve"> en una encuesta realizada por Aula Abierta </w:t>
      </w:r>
      <w:r w:rsidRPr="001B6E1C">
        <w:rPr>
          <w:rFonts w:ascii="Cambria" w:eastAsia="Times New Roman" w:hAnsi="Cambria" w:cs="Times New Roman"/>
          <w:color w:val="000000"/>
          <w:sz w:val="24"/>
          <w:szCs w:val="24"/>
        </w:rPr>
        <w:t xml:space="preserve"> </w:t>
      </w:r>
      <w:r>
        <w:rPr>
          <w:rFonts w:ascii="Cambria" w:eastAsia="Times New Roman" w:hAnsi="Cambria" w:cs="Times New Roman"/>
          <w:color w:val="000000"/>
          <w:sz w:val="24"/>
          <w:szCs w:val="24"/>
        </w:rPr>
        <w:t xml:space="preserve">arrojó que </w:t>
      </w:r>
      <w:r w:rsidRPr="001B6E1C">
        <w:rPr>
          <w:rFonts w:ascii="Cambria" w:eastAsia="Times New Roman" w:hAnsi="Cambria" w:cs="Times New Roman"/>
          <w:color w:val="000000"/>
          <w:sz w:val="24"/>
          <w:szCs w:val="24"/>
        </w:rPr>
        <w:t>el 34% de los jóvenes venezolanos encuestados informó no estar inscrito en el Sistema Patria.</w:t>
      </w:r>
      <w:r>
        <w:rPr>
          <w:rStyle w:val="FootnoteReference"/>
          <w:rFonts w:ascii="Cambria" w:eastAsia="Times New Roman" w:hAnsi="Cambria" w:cs="Times New Roman"/>
          <w:color w:val="000000"/>
          <w:sz w:val="24"/>
          <w:szCs w:val="24"/>
        </w:rPr>
        <w:footnoteReference w:id="9"/>
      </w:r>
    </w:p>
    <w:p w14:paraId="2ACA7AE0"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El 25 de enero de 2019, en un contexto de persecución e imposición de autoridades en las universidades experimentales del país (universidades cuyas autoridades son impuestas por el Ejecutivo Nacional), Franklin Camargo, estudiante de medicina en la Universidad Nacional Experimental de los Llanos Centrales Rómulo Gallegos (UNERG), fue expulsado arbitrariamente, luego de manifestar su postura contraria al gobierno mientras su profesor Dr. Meza trataba de adoctrinar al grupo de estudiantes al que pertenecía Franklin, alegando que los estudiantes de medicina no debían rendir el juramento hipocrático, sino un juramento socialista y que todo estudiante debe agradecer el estudiar Medicina a Hugo Chávez y al proceso Revolucionario</w:t>
      </w:r>
      <w:r w:rsidRPr="00945926">
        <w:rPr>
          <w:rFonts w:ascii="Cambria" w:eastAsia="Arial" w:hAnsi="Cambria" w:cs="Arial"/>
          <w:color w:val="000000"/>
          <w:sz w:val="24"/>
          <w:szCs w:val="24"/>
          <w:vertAlign w:val="superscript"/>
        </w:rPr>
        <w:footnoteReference w:id="10"/>
      </w:r>
      <w:r w:rsidRPr="00945926">
        <w:rPr>
          <w:rFonts w:ascii="Cambria" w:eastAsia="Times New Roman" w:hAnsi="Cambria" w:cs="Times New Roman"/>
          <w:color w:val="000000"/>
          <w:sz w:val="24"/>
          <w:szCs w:val="24"/>
        </w:rPr>
        <w:t>.</w:t>
      </w:r>
    </w:p>
    <w:p w14:paraId="519AF31B" w14:textId="77777777" w:rsidR="004C0967" w:rsidRPr="00945926" w:rsidRDefault="004C0967" w:rsidP="005D2128">
      <w:pPr>
        <w:pStyle w:val="Heading2"/>
        <w:rPr>
          <w:rFonts w:ascii="Cambria" w:eastAsia="Times New Roman" w:hAnsi="Cambria" w:cs="Times New Roman"/>
          <w:b/>
          <w:bCs/>
          <w:color w:val="000000"/>
          <w:sz w:val="24"/>
          <w:szCs w:val="24"/>
        </w:rPr>
      </w:pPr>
      <w:bookmarkStart w:id="5" w:name="_Toc144938448"/>
      <w:r w:rsidRPr="00945926">
        <w:rPr>
          <w:rFonts w:ascii="Cambria" w:eastAsia="Times New Roman" w:hAnsi="Cambria" w:cs="Times New Roman"/>
          <w:b/>
          <w:bCs/>
          <w:color w:val="000000"/>
          <w:sz w:val="24"/>
          <w:szCs w:val="24"/>
        </w:rPr>
        <w:lastRenderedPageBreak/>
        <w:t>Recomendaciones:</w:t>
      </w:r>
      <w:bookmarkEnd w:id="5"/>
    </w:p>
    <w:p w14:paraId="57F45A5E" w14:textId="763A9054" w:rsidR="004C0967" w:rsidRPr="001B6E1C" w:rsidRDefault="004C096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bCs/>
          <w:color w:val="000000"/>
          <w:sz w:val="24"/>
          <w:szCs w:val="24"/>
        </w:rPr>
      </w:pPr>
      <w:bookmarkStart w:id="6" w:name="_Hlk144934455"/>
      <w:r w:rsidRPr="00945926">
        <w:rPr>
          <w:rFonts w:ascii="Cambria" w:hAnsi="Cambria" w:cs="Times New Roman"/>
          <w:sz w:val="24"/>
          <w:szCs w:val="24"/>
          <w:lang w:val="es-ES"/>
        </w:rPr>
        <w:t>Cesar las prácticas discriminatorias dirigidas a imponer un modelo ideológico único en el sistema de educación superior venezolano, en particular prácticas como la limitación de las ofertas académicas</w:t>
      </w:r>
      <w:r w:rsidR="001B6E1C">
        <w:rPr>
          <w:rFonts w:ascii="Cambria" w:hAnsi="Cambria" w:cs="Times New Roman"/>
          <w:sz w:val="24"/>
          <w:szCs w:val="24"/>
          <w:lang w:val="es-ES"/>
        </w:rPr>
        <w:t>, ayudas sociales</w:t>
      </w:r>
      <w:r w:rsidRPr="00945926">
        <w:rPr>
          <w:rFonts w:ascii="Cambria" w:hAnsi="Cambria" w:cs="Times New Roman"/>
          <w:sz w:val="24"/>
          <w:szCs w:val="24"/>
          <w:lang w:val="es-ES"/>
        </w:rPr>
        <w:t xml:space="preserve"> y financiamiento de investigación a los objetivos previstos en el Plan de la Patria.</w:t>
      </w:r>
    </w:p>
    <w:p w14:paraId="3BEF8176" w14:textId="16D5F339" w:rsidR="001B6E1C" w:rsidRPr="001B6E1C" w:rsidRDefault="001B6E1C"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1B6E1C">
        <w:rPr>
          <w:rFonts w:ascii="Cambria" w:eastAsia="Times New Roman" w:hAnsi="Cambria" w:cs="Times New Roman"/>
          <w:color w:val="000000"/>
          <w:sz w:val="24"/>
          <w:szCs w:val="24"/>
        </w:rPr>
        <w:t>Se exhorta al Estado venezolano, promover espacios para el debate de temas de interés público donde los jóvenes puedan expresar sus ideas críticas y plurales, sin sentir temor a sufrir algún tipo de represalias por parte del mismo.</w:t>
      </w:r>
    </w:p>
    <w:p w14:paraId="5B42411F" w14:textId="79239C8B" w:rsidR="005732F7" w:rsidRPr="00945926" w:rsidRDefault="005732F7" w:rsidP="005D2128">
      <w:pPr>
        <w:pStyle w:val="ListParagraph"/>
        <w:numPr>
          <w:ilvl w:val="0"/>
          <w:numId w:val="7"/>
        </w:numPr>
        <w:pBdr>
          <w:bottom w:val="single" w:sz="4" w:space="1" w:color="auto"/>
        </w:pBdr>
        <w:spacing w:before="240"/>
        <w:jc w:val="both"/>
        <w:outlineLvl w:val="0"/>
        <w:rPr>
          <w:rFonts w:ascii="Cambria" w:eastAsia="Times New Roman" w:hAnsi="Cambria" w:cs="Times New Roman"/>
          <w:b/>
          <w:sz w:val="24"/>
          <w:szCs w:val="24"/>
        </w:rPr>
      </w:pPr>
      <w:bookmarkStart w:id="7" w:name="_Toc144938449"/>
      <w:bookmarkEnd w:id="6"/>
      <w:r w:rsidRPr="00945926">
        <w:rPr>
          <w:rFonts w:ascii="Cambria" w:eastAsia="Times New Roman" w:hAnsi="Cambria" w:cs="Times New Roman"/>
          <w:b/>
          <w:sz w:val="24"/>
          <w:szCs w:val="24"/>
        </w:rPr>
        <w:t>Derecho a la libertad de expresión</w:t>
      </w:r>
      <w:r w:rsidR="00646899" w:rsidRPr="00945926">
        <w:rPr>
          <w:rFonts w:ascii="Cambria" w:eastAsia="Times New Roman" w:hAnsi="Cambria" w:cs="Times New Roman"/>
          <w:b/>
          <w:sz w:val="24"/>
          <w:szCs w:val="24"/>
        </w:rPr>
        <w:t xml:space="preserve"> (Artículo 19)</w:t>
      </w:r>
      <w:bookmarkEnd w:id="7"/>
    </w:p>
    <w:p w14:paraId="01C69C1A" w14:textId="6C79A081" w:rsidR="005732F7" w:rsidRPr="00945926" w:rsidRDefault="00646899"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 xml:space="preserve">Sobre la situación de este derecho Aula Abierta constató </w:t>
      </w:r>
      <w:r w:rsidR="005732F7" w:rsidRPr="00945926">
        <w:rPr>
          <w:rFonts w:ascii="Cambria" w:eastAsia="Times New Roman" w:hAnsi="Cambria" w:cs="Times New Roman"/>
          <w:color w:val="000000"/>
          <w:sz w:val="24"/>
          <w:szCs w:val="24"/>
        </w:rPr>
        <w:t>en el 2021, que durante los últimos años, el Estado venezolano no ha garantizado el derecho a la libre expresión de los jóvenes universitarios, por el contrario, ha acentuado la censura con procedimientos y mecanismos intimidatorios, generando un temor fundado en los jóvenes universitarios que ha mermado su participación en la discusión de los asuntos públicos</w:t>
      </w:r>
      <w:r w:rsidR="005732F7" w:rsidRPr="00945926">
        <w:rPr>
          <w:rFonts w:ascii="Cambria" w:eastAsia="Arial" w:hAnsi="Cambria" w:cs="Arial"/>
          <w:color w:val="000000"/>
          <w:sz w:val="24"/>
          <w:szCs w:val="24"/>
          <w:vertAlign w:val="superscript"/>
        </w:rPr>
        <w:footnoteReference w:id="11"/>
      </w:r>
      <w:r w:rsidR="005732F7" w:rsidRPr="00945926">
        <w:rPr>
          <w:rFonts w:ascii="Cambria" w:eastAsia="Times New Roman" w:hAnsi="Cambria" w:cs="Times New Roman"/>
          <w:color w:val="000000"/>
          <w:sz w:val="24"/>
          <w:szCs w:val="24"/>
        </w:rPr>
        <w:t>.</w:t>
      </w:r>
    </w:p>
    <w:p w14:paraId="3B5F4F30"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En este sentido, el 08 de noviembre de 2017, fue publicada la “Ley Constitucional contra el Odio, por la Convivencia Pacífica y la Tolerancia”, aprobada por la ilegítima Asamblea Nacional Constituyente, la cual ha sido utilizada por el Estado venezolano como base para fundamentar actos de censura, persecución, amenazas e incluso, detenciones arbitrarias en contra de venezolanos que manifiestan posturas disidentes al gobierno. Estos actos han generado un efecto inhibitorio en el ejercicio de la libertad de expresión de los jóvenes universitarios, quienes se han limitado a realizar publicaciones en redes sociales o medios de comunicación por el temor fundado a sufrir represalias por parte del Estado</w:t>
      </w:r>
      <w:r w:rsidRPr="00945926">
        <w:rPr>
          <w:rFonts w:ascii="Cambria" w:eastAsia="Arial" w:hAnsi="Cambria" w:cs="Arial"/>
          <w:color w:val="000000"/>
          <w:sz w:val="24"/>
          <w:szCs w:val="24"/>
          <w:vertAlign w:val="superscript"/>
        </w:rPr>
        <w:footnoteReference w:id="12"/>
      </w:r>
      <w:r w:rsidRPr="00945926">
        <w:rPr>
          <w:rFonts w:ascii="Cambria" w:eastAsia="Times New Roman" w:hAnsi="Cambria" w:cs="Times New Roman"/>
          <w:color w:val="000000"/>
          <w:sz w:val="24"/>
          <w:szCs w:val="24"/>
        </w:rPr>
        <w:t>.</w:t>
      </w:r>
    </w:p>
    <w:p w14:paraId="526DB1B1"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lastRenderedPageBreak/>
        <w:t xml:space="preserve">A continuación, se mencionan algunos casos de estudiantes universitarios imputados por el delito de “instigación al odio”, el cual se encuentra consagrado en la “Ley Contra del Odio”, por realizar publicaciones en sus redes sociales con referencia al gobierno nacional: </w:t>
      </w:r>
    </w:p>
    <w:p w14:paraId="5546A832"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El 31 de enero de 2016, Villca Fernández, dirigente estudiantil de la ULA, fue detenido arbitrariamente por realizar una publicación en su cuenta de Twitter sobre Diosdado Cabello, vocero del Gobierno nacional; recluido en El Helicoide, donde fue sometido a tratos crueles, inhumanos y degradantes y finalmente desterrado a Perú</w:t>
      </w:r>
      <w:r w:rsidRPr="00945926">
        <w:rPr>
          <w:rFonts w:ascii="Cambria" w:eastAsia="Arial" w:hAnsi="Cambria" w:cs="Arial"/>
          <w:color w:val="000000"/>
          <w:sz w:val="24"/>
          <w:szCs w:val="24"/>
          <w:vertAlign w:val="superscript"/>
        </w:rPr>
        <w:footnoteReference w:id="13"/>
      </w:r>
      <w:r w:rsidRPr="00945926">
        <w:rPr>
          <w:rFonts w:ascii="Cambria" w:eastAsia="Times New Roman" w:hAnsi="Cambria" w:cs="Times New Roman"/>
          <w:color w:val="000000"/>
          <w:sz w:val="24"/>
          <w:szCs w:val="24"/>
        </w:rPr>
        <w:t>. El 28 de febrero de 2021, José Pérez, estudiante de Comunicación Social de la Universidad Santa María, fue detenido arbitrariamente luego de haber publicado un video</w:t>
      </w:r>
      <w:r w:rsidRPr="00945926">
        <w:rPr>
          <w:rFonts w:ascii="Cambria" w:eastAsia="Arial" w:hAnsi="Cambria" w:cs="Arial"/>
          <w:color w:val="000000"/>
          <w:sz w:val="24"/>
          <w:szCs w:val="24"/>
          <w:vertAlign w:val="superscript"/>
        </w:rPr>
        <w:footnoteReference w:id="14"/>
      </w:r>
      <w:r w:rsidRPr="00945926">
        <w:rPr>
          <w:rFonts w:ascii="Cambria" w:eastAsia="Times New Roman" w:hAnsi="Cambria" w:cs="Times New Roman"/>
          <w:color w:val="000000"/>
          <w:sz w:val="24"/>
          <w:szCs w:val="24"/>
        </w:rPr>
        <w:t xml:space="preserve"> en la red social “TikTok” en el que cuestionaba la proyección en las redes sociales de María Paula Gotera, hija del cantante Omar Enrique, a quien calificó de “</w:t>
      </w:r>
      <w:r w:rsidRPr="00945926">
        <w:rPr>
          <w:rFonts w:ascii="Cambria" w:eastAsia="Times New Roman" w:hAnsi="Cambria" w:cs="Times New Roman"/>
          <w:i/>
          <w:color w:val="000000"/>
          <w:sz w:val="24"/>
          <w:szCs w:val="24"/>
        </w:rPr>
        <w:t>enchufado</w:t>
      </w:r>
      <w:r w:rsidRPr="00945926">
        <w:rPr>
          <w:rFonts w:ascii="Cambria" w:eastAsia="Times New Roman" w:hAnsi="Cambria" w:cs="Times New Roman"/>
          <w:color w:val="000000"/>
          <w:sz w:val="24"/>
          <w:szCs w:val="24"/>
        </w:rPr>
        <w:t>”</w:t>
      </w:r>
      <w:r w:rsidRPr="00945926">
        <w:rPr>
          <w:rFonts w:ascii="Cambria" w:eastAsia="Arial" w:hAnsi="Cambria" w:cs="Arial"/>
          <w:color w:val="000000"/>
          <w:sz w:val="24"/>
          <w:szCs w:val="24"/>
          <w:vertAlign w:val="superscript"/>
        </w:rPr>
        <w:footnoteReference w:id="15"/>
      </w:r>
      <w:r w:rsidRPr="00945926">
        <w:rPr>
          <w:rFonts w:ascii="Cambria" w:eastAsia="Times New Roman" w:hAnsi="Cambria" w:cs="Times New Roman"/>
          <w:color w:val="000000"/>
          <w:sz w:val="24"/>
          <w:szCs w:val="24"/>
        </w:rPr>
        <w:t xml:space="preserve"> por estar vinculado con el expresidente Hugo Chávez y el actual Gobierno de Nicolás Maduro</w:t>
      </w:r>
      <w:r w:rsidRPr="00945926">
        <w:rPr>
          <w:rFonts w:ascii="Cambria" w:eastAsia="Arial" w:hAnsi="Cambria" w:cs="Arial"/>
          <w:color w:val="000000"/>
          <w:sz w:val="24"/>
          <w:szCs w:val="24"/>
          <w:vertAlign w:val="superscript"/>
        </w:rPr>
        <w:footnoteReference w:id="16"/>
      </w:r>
      <w:r w:rsidRPr="00945926">
        <w:rPr>
          <w:rFonts w:ascii="Cambria" w:eastAsia="Times New Roman" w:hAnsi="Cambria" w:cs="Times New Roman"/>
          <w:color w:val="000000"/>
          <w:sz w:val="24"/>
          <w:szCs w:val="24"/>
        </w:rPr>
        <w:t>.</w:t>
      </w:r>
    </w:p>
    <w:p w14:paraId="6BDAC55A" w14:textId="48605112" w:rsidR="005732F7" w:rsidRPr="00945926" w:rsidRDefault="004C096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Se documentaron</w:t>
      </w:r>
      <w:r w:rsidR="005732F7" w:rsidRPr="00945926">
        <w:rPr>
          <w:rFonts w:ascii="Cambria" w:eastAsia="Times New Roman" w:hAnsi="Cambria" w:cs="Times New Roman"/>
          <w:color w:val="000000"/>
          <w:sz w:val="24"/>
          <w:szCs w:val="24"/>
        </w:rPr>
        <w:t>, han existido represalias en contra de los medios de comunicación críticos al Estado. Luego de una serie de inspecciones llevadas a cabo por el organismo estatal CONATEL durante el día 14 de junio de 2017, el ente decidió emitir una providencia administrativa en la cual ordenó la incautación de los equipos de transmisión de ULA TV ubicados en la estación del teleférico de Mérida “La Aguada”, lo que impide que se emita en señal abierta, en otras palabras: cerraron el canal televisivo. Cabe destacar que al procedimiento sancionatorio iniciado por CONATEL le antecede una solicitud formal hecha de manera oportuna por la ULA en el año 2013 y de la cual no obtuvo respuesta hasta el momento del cierre del canal.</w:t>
      </w:r>
      <w:r w:rsidR="005732F7" w:rsidRPr="00945926">
        <w:rPr>
          <w:rFonts w:ascii="Cambria" w:eastAsia="Arial" w:hAnsi="Cambria" w:cs="Arial"/>
          <w:color w:val="000000"/>
          <w:sz w:val="24"/>
          <w:szCs w:val="24"/>
          <w:vertAlign w:val="superscript"/>
        </w:rPr>
        <w:footnoteReference w:id="17"/>
      </w:r>
      <w:r w:rsidR="005732F7" w:rsidRPr="00945926">
        <w:rPr>
          <w:rFonts w:ascii="Cambria" w:eastAsia="Times New Roman" w:hAnsi="Cambria" w:cs="Times New Roman"/>
          <w:color w:val="000000"/>
          <w:sz w:val="24"/>
          <w:szCs w:val="24"/>
        </w:rPr>
        <w:t xml:space="preserve"> </w:t>
      </w:r>
    </w:p>
    <w:p w14:paraId="42D20FEC"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lastRenderedPageBreak/>
        <w:t>Así mismo, en el 2021, Aula Abierta aplicó un instrumento a 182 estudiantes y 30 líderes estudiantiles de la comunidad universitaria de la región central, andina y occidental del país, en el que el 89,6% de los estudiantes consideraron que los medios de comunicación tradicionales tienen limitaciones para informar sobre los asuntos de interés público a la población venezolana, mientras que el 96,7% de los líderes estudiantiles consideraron que efectivamente el Estado se ha convertido en una limitante para que los medios de comunicación social ejerzan la libertad de expresión</w:t>
      </w:r>
      <w:r w:rsidRPr="00945926">
        <w:rPr>
          <w:rFonts w:ascii="Cambria" w:eastAsia="Arial" w:hAnsi="Cambria" w:cs="Arial"/>
          <w:color w:val="000000"/>
          <w:sz w:val="24"/>
          <w:szCs w:val="24"/>
          <w:vertAlign w:val="superscript"/>
        </w:rPr>
        <w:footnoteReference w:id="18"/>
      </w:r>
      <w:r w:rsidRPr="00945926">
        <w:rPr>
          <w:rFonts w:ascii="Cambria" w:eastAsia="Times New Roman" w:hAnsi="Cambria" w:cs="Times New Roman"/>
          <w:color w:val="000000"/>
          <w:sz w:val="24"/>
          <w:szCs w:val="24"/>
        </w:rPr>
        <w:t>.</w:t>
      </w:r>
    </w:p>
    <w:p w14:paraId="0FB99EE3"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Por otro lado, aún y cuando el internet facilita el ejercicio del derecho a la libertad de expresión o el derecho de buscar, recibir y difundir informaciones e ideas de toda índole, la calidad de este servicio en Venezuela es actualmente una barrera para el ejercicio de estos derechos. En el 2021, Aula Abierta aplicó un instrumento a 182 estudiantes y 30 líderes estudiantiles de la comunidad universitaria de la región central, andina y occidental del país, y recopiló testimonios de trabajadores de la compañía “Compañía Anónima Nacional Teléfonos de Venezuela” (CANTV), ente adscrito al Ministerio del Poder Popular para Ciencia y Tecnología (MPPCT), permitiendo determinar que el servicio de internet en Venezuela no cumple con las garantías de disponibilidad, accesibilidad y calidad, situación que ha propiciado la aparición de operadoras privadas, cuyo acceso requiere de una inversión económica que supera muchos presupuestos, sobre todo los de la comunidad estudiantil</w:t>
      </w:r>
      <w:r w:rsidRPr="00945926">
        <w:rPr>
          <w:rFonts w:ascii="Cambria" w:eastAsia="Arial" w:hAnsi="Cambria" w:cs="Arial"/>
          <w:color w:val="000000"/>
          <w:sz w:val="24"/>
          <w:szCs w:val="24"/>
          <w:vertAlign w:val="superscript"/>
        </w:rPr>
        <w:footnoteReference w:id="19"/>
      </w:r>
      <w:r w:rsidRPr="00945926">
        <w:rPr>
          <w:rFonts w:ascii="Cambria" w:eastAsia="Times New Roman" w:hAnsi="Cambria" w:cs="Times New Roman"/>
          <w:color w:val="000000"/>
          <w:sz w:val="24"/>
          <w:szCs w:val="24"/>
        </w:rPr>
        <w:t>.</w:t>
      </w:r>
    </w:p>
    <w:p w14:paraId="38C207AA" w14:textId="77777777" w:rsidR="004C0967" w:rsidRPr="00945926" w:rsidRDefault="004C0967" w:rsidP="005D2128">
      <w:pPr>
        <w:pStyle w:val="Heading2"/>
        <w:rPr>
          <w:rFonts w:ascii="Cambria" w:eastAsia="Times New Roman" w:hAnsi="Cambria" w:cs="Times New Roman"/>
          <w:b/>
          <w:bCs/>
          <w:color w:val="000000"/>
          <w:sz w:val="24"/>
          <w:szCs w:val="24"/>
        </w:rPr>
      </w:pPr>
      <w:bookmarkStart w:id="8" w:name="_Toc144938450"/>
      <w:r w:rsidRPr="00945926">
        <w:rPr>
          <w:rFonts w:ascii="Cambria" w:eastAsia="Times New Roman" w:hAnsi="Cambria" w:cs="Times New Roman"/>
          <w:b/>
          <w:bCs/>
          <w:color w:val="000000"/>
          <w:sz w:val="24"/>
          <w:szCs w:val="24"/>
        </w:rPr>
        <w:t>Recomendaciones:</w:t>
      </w:r>
      <w:bookmarkEnd w:id="8"/>
      <w:r w:rsidRPr="00945926">
        <w:rPr>
          <w:rFonts w:ascii="Cambria" w:eastAsia="Times New Roman" w:hAnsi="Cambria" w:cs="Times New Roman"/>
          <w:b/>
          <w:bCs/>
          <w:color w:val="000000"/>
          <w:sz w:val="24"/>
          <w:szCs w:val="24"/>
        </w:rPr>
        <w:t xml:space="preserve"> </w:t>
      </w:r>
    </w:p>
    <w:p w14:paraId="5111AD9F" w14:textId="77777777" w:rsidR="004C0967" w:rsidRPr="00945926" w:rsidRDefault="004C0967" w:rsidP="004C0967">
      <w:pPr>
        <w:numPr>
          <w:ilvl w:val="0"/>
          <w:numId w:val="5"/>
        </w:numPr>
        <w:pBdr>
          <w:top w:val="nil"/>
          <w:left w:val="nil"/>
          <w:bottom w:val="nil"/>
          <w:right w:val="nil"/>
          <w:between w:val="nil"/>
        </w:pBdr>
        <w:spacing w:line="276" w:lineRule="auto"/>
        <w:jc w:val="both"/>
        <w:rPr>
          <w:rFonts w:ascii="Cambria" w:eastAsia="Times New Roman" w:hAnsi="Cambria" w:cs="Times New Roman"/>
          <w:b/>
          <w:bCs/>
          <w:color w:val="000000"/>
          <w:sz w:val="24"/>
          <w:szCs w:val="24"/>
        </w:rPr>
      </w:pPr>
      <w:r w:rsidRPr="00945926">
        <w:rPr>
          <w:rFonts w:ascii="Cambria" w:eastAsia="Times New Roman" w:hAnsi="Cambria" w:cs="Times New Roman"/>
          <w:color w:val="000000"/>
          <w:sz w:val="24"/>
          <w:szCs w:val="24"/>
        </w:rPr>
        <w:t>Se exhorta al Estado venezolano respetar y garantizar el derecho a la libertad de expresión y el acceso a internet de los jóvenes universitarios, así como cesar los procedimientos y mecanismos intimidatorios para garantizar su participación en los asuntos públicos, tal como lo establece la Constitución de la República Bolivariana de Venezuela (1999) en su artículo 62 referido a la participación en los asuntos públicos, empalmado con el artículo 57 que defiende la libre expresión y pensamiento.</w:t>
      </w:r>
    </w:p>
    <w:p w14:paraId="5BFDEB82" w14:textId="77777777" w:rsidR="004C0967" w:rsidRPr="00945926" w:rsidRDefault="004C0967" w:rsidP="004C0967">
      <w:pPr>
        <w:numPr>
          <w:ilvl w:val="0"/>
          <w:numId w:val="5"/>
        </w:numPr>
        <w:pBdr>
          <w:top w:val="nil"/>
          <w:left w:val="nil"/>
          <w:bottom w:val="nil"/>
          <w:right w:val="nil"/>
          <w:between w:val="nil"/>
        </w:pBdr>
        <w:spacing w:line="276" w:lineRule="auto"/>
        <w:jc w:val="both"/>
        <w:rPr>
          <w:rFonts w:ascii="Cambria" w:eastAsia="Times New Roman" w:hAnsi="Cambria" w:cs="Times New Roman"/>
          <w:b/>
          <w:bCs/>
          <w:color w:val="000000"/>
          <w:sz w:val="24"/>
          <w:szCs w:val="24"/>
        </w:rPr>
      </w:pPr>
      <w:r w:rsidRPr="00945926">
        <w:rPr>
          <w:rFonts w:ascii="Cambria" w:eastAsia="Times New Roman" w:hAnsi="Cambria" w:cs="Times New Roman"/>
          <w:color w:val="000000"/>
          <w:sz w:val="24"/>
          <w:szCs w:val="24"/>
        </w:rPr>
        <w:lastRenderedPageBreak/>
        <w:t>Se exige al Estado venezolano garantizar a la comunidad estudiantil, al igual que a la población en general, un servicio de internet que cumpla con las condiciones de disponibilidad, accesibilidad y calidad conforme a estándares internacionales en la materia.</w:t>
      </w:r>
    </w:p>
    <w:p w14:paraId="05553675" w14:textId="77777777" w:rsidR="004C0967" w:rsidRPr="00945926" w:rsidRDefault="004C0967" w:rsidP="004C0967">
      <w:pPr>
        <w:numPr>
          <w:ilvl w:val="0"/>
          <w:numId w:val="5"/>
        </w:numPr>
        <w:pBdr>
          <w:top w:val="nil"/>
          <w:left w:val="nil"/>
          <w:bottom w:val="nil"/>
          <w:right w:val="nil"/>
          <w:between w:val="nil"/>
        </w:pBdr>
        <w:spacing w:line="276" w:lineRule="auto"/>
        <w:jc w:val="both"/>
        <w:rPr>
          <w:rFonts w:ascii="Cambria" w:eastAsia="Times New Roman" w:hAnsi="Cambria" w:cs="Times New Roman"/>
          <w:b/>
          <w:bCs/>
          <w:color w:val="000000"/>
          <w:sz w:val="24"/>
          <w:szCs w:val="24"/>
        </w:rPr>
      </w:pPr>
      <w:r w:rsidRPr="00945926">
        <w:rPr>
          <w:rFonts w:ascii="Cambria" w:eastAsia="Times New Roman" w:hAnsi="Cambria" w:cs="Times New Roman"/>
          <w:color w:val="000000"/>
          <w:sz w:val="24"/>
          <w:szCs w:val="24"/>
        </w:rPr>
        <w:t>Se exige al Estado venezolano el cese de la política de cierre y censura a los medios de comunicación tradicionales de manera de garantizar el derecho a la información que tienen todos los venezolanos por igual y sin distinción de pensamiento político.</w:t>
      </w:r>
    </w:p>
    <w:p w14:paraId="04021C73" w14:textId="77777777" w:rsidR="004C0967" w:rsidRPr="00945926" w:rsidRDefault="004C0967" w:rsidP="004C0967">
      <w:pPr>
        <w:numPr>
          <w:ilvl w:val="0"/>
          <w:numId w:val="5"/>
        </w:numPr>
        <w:pBdr>
          <w:top w:val="nil"/>
          <w:left w:val="nil"/>
          <w:bottom w:val="nil"/>
          <w:right w:val="nil"/>
          <w:between w:val="nil"/>
        </w:pBdr>
        <w:spacing w:line="276" w:lineRule="auto"/>
        <w:jc w:val="both"/>
        <w:rPr>
          <w:rFonts w:ascii="Cambria" w:eastAsia="Times New Roman" w:hAnsi="Cambria" w:cs="Times New Roman"/>
          <w:b/>
          <w:bCs/>
          <w:color w:val="000000"/>
          <w:sz w:val="24"/>
          <w:szCs w:val="24"/>
        </w:rPr>
      </w:pPr>
      <w:r w:rsidRPr="00945926">
        <w:rPr>
          <w:rFonts w:ascii="Cambria" w:eastAsia="Times New Roman" w:hAnsi="Cambria" w:cs="Times New Roman"/>
          <w:color w:val="000000"/>
          <w:sz w:val="24"/>
          <w:szCs w:val="24"/>
        </w:rPr>
        <w:t>De igual manera se exige propiciar el funcionamiento de medios universitarios sin mecanismos de censura e intimidación. Esta exigencia tiene que ver con el regreso al espacio comunicativo de los distintos medios de comunicación universitarios que han sido cerrados o cuyos permisos de funcionamiento han sido revocados, de los cuales hemos expuesto sus casos en este informe.</w:t>
      </w:r>
    </w:p>
    <w:p w14:paraId="6E460D0E" w14:textId="77777777" w:rsidR="004C0967" w:rsidRPr="00945926" w:rsidRDefault="004C0967" w:rsidP="004C0967">
      <w:pPr>
        <w:numPr>
          <w:ilvl w:val="0"/>
          <w:numId w:val="5"/>
        </w:numPr>
        <w:pBdr>
          <w:top w:val="nil"/>
          <w:left w:val="nil"/>
          <w:bottom w:val="nil"/>
          <w:right w:val="nil"/>
          <w:between w:val="nil"/>
        </w:pBdr>
        <w:spacing w:line="276" w:lineRule="auto"/>
        <w:jc w:val="both"/>
        <w:rPr>
          <w:rFonts w:ascii="Cambria" w:eastAsia="Times New Roman" w:hAnsi="Cambria" w:cs="Times New Roman"/>
          <w:b/>
          <w:bCs/>
          <w:color w:val="000000"/>
          <w:sz w:val="24"/>
          <w:szCs w:val="24"/>
        </w:rPr>
      </w:pPr>
      <w:r w:rsidRPr="00945926">
        <w:rPr>
          <w:rFonts w:ascii="Cambria" w:eastAsia="Times New Roman" w:hAnsi="Cambria" w:cs="Times New Roman"/>
          <w:color w:val="000000"/>
          <w:sz w:val="24"/>
          <w:szCs w:val="24"/>
        </w:rPr>
        <w:t>Se exige al Estado el cese de las prácticas de censura e intimidación hacia jóvenes universitarios y la población en general con fundamento en legislaciones como la Ley contra el Odio.</w:t>
      </w:r>
    </w:p>
    <w:p w14:paraId="489DDBA8" w14:textId="00D45ED0" w:rsidR="004C0967" w:rsidRPr="00945926" w:rsidRDefault="004C0967" w:rsidP="004C0967">
      <w:pPr>
        <w:numPr>
          <w:ilvl w:val="0"/>
          <w:numId w:val="5"/>
        </w:numPr>
        <w:pBdr>
          <w:top w:val="nil"/>
          <w:left w:val="nil"/>
          <w:bottom w:val="nil"/>
          <w:right w:val="nil"/>
          <w:between w:val="nil"/>
        </w:pBdr>
        <w:spacing w:line="276" w:lineRule="auto"/>
        <w:jc w:val="both"/>
        <w:rPr>
          <w:rFonts w:ascii="Cambria" w:eastAsia="Times New Roman" w:hAnsi="Cambria" w:cs="Times New Roman"/>
          <w:b/>
          <w:bCs/>
          <w:color w:val="000000"/>
          <w:sz w:val="24"/>
          <w:szCs w:val="24"/>
        </w:rPr>
      </w:pPr>
      <w:r w:rsidRPr="00945926">
        <w:rPr>
          <w:rFonts w:ascii="Cambria" w:eastAsia="Times New Roman" w:hAnsi="Cambria" w:cs="Times New Roman"/>
          <w:color w:val="000000"/>
          <w:sz w:val="24"/>
          <w:szCs w:val="24"/>
        </w:rPr>
        <w:t>En este sentido, se exige al Estado la derogación de la Ley contra el Odio y cesar el enjuiciamiento penal en virtud de esta ley, incluso contra los disidentes políticos y universitarios</w:t>
      </w:r>
    </w:p>
    <w:p w14:paraId="6A1C0DB0" w14:textId="113070C0" w:rsidR="005732F7" w:rsidRPr="00945926" w:rsidRDefault="005732F7" w:rsidP="005D2128">
      <w:pPr>
        <w:pStyle w:val="ListParagraph"/>
        <w:numPr>
          <w:ilvl w:val="0"/>
          <w:numId w:val="7"/>
        </w:numPr>
        <w:pBdr>
          <w:bottom w:val="single" w:sz="4" w:space="1" w:color="auto"/>
        </w:pBdr>
        <w:jc w:val="both"/>
        <w:outlineLvl w:val="0"/>
        <w:rPr>
          <w:rFonts w:ascii="Cambria" w:eastAsia="Times New Roman" w:hAnsi="Cambria" w:cs="Times New Roman"/>
          <w:b/>
          <w:sz w:val="24"/>
          <w:szCs w:val="24"/>
        </w:rPr>
      </w:pPr>
      <w:bookmarkStart w:id="9" w:name="_Toc144938451"/>
      <w:r w:rsidRPr="00945926">
        <w:rPr>
          <w:rFonts w:ascii="Cambria" w:eastAsia="Times New Roman" w:hAnsi="Cambria" w:cs="Times New Roman"/>
          <w:b/>
          <w:sz w:val="24"/>
          <w:szCs w:val="24"/>
        </w:rPr>
        <w:t>Derecho a la reunión pacífica</w:t>
      </w:r>
      <w:r w:rsidR="00646899" w:rsidRPr="00945926">
        <w:rPr>
          <w:rFonts w:ascii="Cambria" w:eastAsia="Times New Roman" w:hAnsi="Cambria" w:cs="Times New Roman"/>
          <w:b/>
          <w:sz w:val="24"/>
          <w:szCs w:val="24"/>
        </w:rPr>
        <w:t xml:space="preserve"> (Artículo 21)</w:t>
      </w:r>
      <w:bookmarkEnd w:id="9"/>
    </w:p>
    <w:p w14:paraId="06C12877" w14:textId="6EF737FC" w:rsidR="005732F7" w:rsidRPr="00945926" w:rsidRDefault="00646899"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sz w:val="24"/>
          <w:szCs w:val="24"/>
        </w:rPr>
        <w:t>Al respecto</w:t>
      </w:r>
      <w:r w:rsidR="005732F7" w:rsidRPr="00945926">
        <w:rPr>
          <w:rFonts w:ascii="Cambria" w:eastAsia="Times New Roman" w:hAnsi="Cambria" w:cs="Times New Roman"/>
          <w:color w:val="000000"/>
          <w:sz w:val="24"/>
          <w:szCs w:val="24"/>
        </w:rPr>
        <w:t>, en el 2022, Aula Abierta constató que, desde hace más de una década, en Venezuela existe una política de Estado contra los universitarios que los colocan en una posición de desigualdad con respecto a los demás individuos, en el acceso a los recursos públicos que permiten el ejercicio de sus derechos fundamentales, específicamente su derecho a la reunión pacífica y otros derechos conexos</w:t>
      </w:r>
      <w:r w:rsidR="005732F7" w:rsidRPr="00945926">
        <w:rPr>
          <w:rFonts w:ascii="Cambria" w:eastAsia="Arial" w:hAnsi="Cambria" w:cs="Arial"/>
          <w:color w:val="000000"/>
          <w:sz w:val="24"/>
          <w:szCs w:val="24"/>
          <w:vertAlign w:val="superscript"/>
        </w:rPr>
        <w:footnoteReference w:id="20"/>
      </w:r>
      <w:r w:rsidR="005732F7" w:rsidRPr="00945926">
        <w:rPr>
          <w:rFonts w:ascii="Cambria" w:eastAsia="Times New Roman" w:hAnsi="Cambria" w:cs="Times New Roman"/>
          <w:color w:val="000000"/>
          <w:sz w:val="24"/>
          <w:szCs w:val="24"/>
        </w:rPr>
        <w:t>.</w:t>
      </w:r>
    </w:p>
    <w:p w14:paraId="3B3A0A6A"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 xml:space="preserve">Los organismos del Estado venezolano perciben como enemigos internos y catalogan públicamente a los universitarios con calificativos que los colocan en una situación de mayor vulnerabilidad, acentuando situaciones de hostilidad y/o intolerancia social, tal como ocurre con los activistas o líderes de partidos </w:t>
      </w:r>
      <w:r w:rsidRPr="00945926">
        <w:rPr>
          <w:rFonts w:ascii="Cambria" w:eastAsia="Times New Roman" w:hAnsi="Cambria" w:cs="Times New Roman"/>
          <w:color w:val="000000"/>
          <w:sz w:val="24"/>
          <w:szCs w:val="24"/>
        </w:rPr>
        <w:lastRenderedPageBreak/>
        <w:t>políticos, todo esto por sus opiniones críticas y producción de conocimiento que permite cuestionar el ejercicio de la labor pública</w:t>
      </w:r>
      <w:r w:rsidRPr="00945926">
        <w:rPr>
          <w:rFonts w:ascii="Cambria" w:eastAsia="Arial" w:hAnsi="Cambria" w:cs="Arial"/>
          <w:color w:val="000000"/>
          <w:sz w:val="24"/>
          <w:szCs w:val="24"/>
          <w:vertAlign w:val="superscript"/>
        </w:rPr>
        <w:footnoteReference w:id="21"/>
      </w:r>
      <w:r w:rsidRPr="00945926">
        <w:rPr>
          <w:rFonts w:ascii="Cambria" w:eastAsia="Times New Roman" w:hAnsi="Cambria" w:cs="Times New Roman"/>
          <w:color w:val="000000"/>
          <w:sz w:val="24"/>
          <w:szCs w:val="24"/>
        </w:rPr>
        <w:t>.</w:t>
      </w:r>
    </w:p>
    <w:p w14:paraId="3CAE4C4A"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Durante las protestas antigubernamentales ocurridas en Venezuela durante el año 2017, Aula Abierta documentó diversos casos de criminalización de la protesta y otras situaciones vinculadas a violaciones de derechos humanos contra universitarios, los cuales demuestran la situación de riesgo en la que se encuentran los universitarios al momento de ejercer sus libertades fundamentales, entre ellas el derecho a la reunión pacífica en Venezuela</w:t>
      </w:r>
      <w:r w:rsidRPr="00945926">
        <w:rPr>
          <w:rFonts w:ascii="Cambria" w:eastAsia="Arial" w:hAnsi="Cambria" w:cs="Arial"/>
          <w:color w:val="000000"/>
          <w:sz w:val="24"/>
          <w:szCs w:val="24"/>
          <w:vertAlign w:val="superscript"/>
        </w:rPr>
        <w:footnoteReference w:id="22"/>
      </w:r>
      <w:r w:rsidRPr="00945926">
        <w:rPr>
          <w:rFonts w:ascii="Cambria" w:eastAsia="Times New Roman" w:hAnsi="Cambria" w:cs="Times New Roman"/>
          <w:color w:val="000000"/>
          <w:sz w:val="24"/>
          <w:szCs w:val="24"/>
        </w:rPr>
        <w:t>.</w:t>
      </w:r>
    </w:p>
    <w:p w14:paraId="05B18D2D" w14:textId="3C99359D" w:rsidR="005732F7"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A nivel nacional, se registraron al menos 92 manifestaciones reprimidas desde el 01 de abril hasta el 31 de julio de 2017, las cuales fueron convocadas por la comunidad académica o contaron con una amplia participación de esta</w:t>
      </w:r>
      <w:r w:rsidRPr="00945926">
        <w:rPr>
          <w:rFonts w:ascii="Cambria" w:eastAsia="Arial" w:hAnsi="Cambria" w:cs="Arial"/>
          <w:color w:val="000000"/>
          <w:sz w:val="24"/>
          <w:szCs w:val="24"/>
          <w:vertAlign w:val="superscript"/>
        </w:rPr>
        <w:footnoteReference w:id="23"/>
      </w:r>
      <w:r w:rsidRPr="00945926">
        <w:rPr>
          <w:rFonts w:ascii="Cambria" w:eastAsia="Times New Roman" w:hAnsi="Cambria" w:cs="Times New Roman"/>
          <w:color w:val="000000"/>
          <w:sz w:val="24"/>
          <w:szCs w:val="24"/>
        </w:rPr>
        <w:t>.</w:t>
      </w:r>
    </w:p>
    <w:p w14:paraId="5CAA8A6C" w14:textId="4D6282D3" w:rsidR="00354823" w:rsidRPr="00354823" w:rsidRDefault="00354823" w:rsidP="00354823">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Durante el período de abril a julio de 2017, al menos 339 estudiantes universitarios fueron detenidos arbitrariamente en el marco de las manifestaciones, siendo muchos de ellos presentados ante la justicia militar y quedando afectados por medidas privativas de libertad. Asimismo, desde febrero a octubre de 2017, al menos 17 profesores universitarios fueron detenidos arbitrariamente, de los cuales 8 fueron presentados ante la justicia militar</w:t>
      </w:r>
      <w:r w:rsidRPr="00945926">
        <w:rPr>
          <w:rFonts w:ascii="Cambria" w:eastAsia="Arial" w:hAnsi="Cambria" w:cs="Arial"/>
          <w:color w:val="000000"/>
          <w:sz w:val="24"/>
          <w:szCs w:val="24"/>
          <w:vertAlign w:val="superscript"/>
        </w:rPr>
        <w:footnoteReference w:id="24"/>
      </w:r>
      <w:r w:rsidRPr="00945926">
        <w:rPr>
          <w:rFonts w:ascii="Cambria" w:eastAsia="Times New Roman" w:hAnsi="Cambria" w:cs="Times New Roman"/>
          <w:color w:val="000000"/>
          <w:sz w:val="24"/>
          <w:szCs w:val="24"/>
        </w:rPr>
        <w:t>.</w:t>
      </w:r>
    </w:p>
    <w:p w14:paraId="0781A61B"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Posteriormente, durante las protestas registradas a nivel nacional a partir del 23 de enero de 2019, los universitarios fueron uno de los principales blancos, ratificando su condición de grupo vulnerable, al representar una voz crítica ante las políticas estatales</w:t>
      </w:r>
      <w:r w:rsidRPr="00945926">
        <w:rPr>
          <w:rFonts w:ascii="Cambria" w:eastAsia="Arial" w:hAnsi="Cambria" w:cs="Arial"/>
          <w:color w:val="000000"/>
          <w:sz w:val="24"/>
          <w:szCs w:val="24"/>
          <w:vertAlign w:val="superscript"/>
        </w:rPr>
        <w:footnoteReference w:id="25"/>
      </w:r>
      <w:r w:rsidRPr="00945926">
        <w:rPr>
          <w:rFonts w:ascii="Cambria" w:eastAsia="Times New Roman" w:hAnsi="Cambria" w:cs="Times New Roman"/>
          <w:color w:val="000000"/>
          <w:sz w:val="24"/>
          <w:szCs w:val="24"/>
        </w:rPr>
        <w:t>.</w:t>
      </w:r>
    </w:p>
    <w:p w14:paraId="13CE1A7A"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lastRenderedPageBreak/>
        <w:t>Ahora bien, de una revisión</w:t>
      </w:r>
      <w:r w:rsidRPr="00945926">
        <w:rPr>
          <w:rFonts w:ascii="Cambria" w:eastAsia="Arial" w:hAnsi="Cambria" w:cs="Arial"/>
          <w:color w:val="000000"/>
          <w:sz w:val="24"/>
          <w:szCs w:val="24"/>
          <w:vertAlign w:val="superscript"/>
        </w:rPr>
        <w:footnoteReference w:id="26"/>
      </w:r>
      <w:r w:rsidRPr="00945926">
        <w:rPr>
          <w:rFonts w:ascii="Cambria" w:eastAsia="Times New Roman" w:hAnsi="Cambria" w:cs="Times New Roman"/>
          <w:color w:val="000000"/>
          <w:sz w:val="24"/>
          <w:szCs w:val="24"/>
        </w:rPr>
        <w:t xml:space="preserve"> de los dos informes publicados por la Misión Internacional Independiente de determinación de los hechos sobre la República Bolivariana de Venezuela de Naciones Unidas, Aula Abierta determinó que los universitarios han sido uno de los principales grupos afectados por crímenes de lesa humanidad en Venezuela, en el marco de las protestas antigubernamentales ocurridas desde el año 2014</w:t>
      </w:r>
      <w:r w:rsidRPr="00945926">
        <w:rPr>
          <w:rFonts w:ascii="Cambria" w:eastAsia="Arial" w:hAnsi="Cambria" w:cs="Arial"/>
          <w:color w:val="000000"/>
          <w:sz w:val="24"/>
          <w:szCs w:val="24"/>
          <w:vertAlign w:val="superscript"/>
        </w:rPr>
        <w:footnoteReference w:id="27"/>
      </w:r>
      <w:r w:rsidRPr="00945926">
        <w:rPr>
          <w:rFonts w:ascii="Cambria" w:eastAsia="Times New Roman" w:hAnsi="Cambria" w:cs="Times New Roman"/>
          <w:color w:val="000000"/>
          <w:sz w:val="24"/>
          <w:szCs w:val="24"/>
        </w:rPr>
        <w:t>.</w:t>
      </w:r>
    </w:p>
    <w:p w14:paraId="64DA646E"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En el informe del año 2020, la Misión individualizó un total de al menos 23 casos de arrestos y detenciones arbitrarias, de los cuales al menos en 11 casos intervinieron universitarios (46 estudiantes y 2 profesores), representando un 47.8% de los casos individualizados. Entre estos casos destacan los de Juan Requesens, líder estudiantil de la UCV; Ariana Granadillo, estudiante de la Universidad Nacional Experimental Rómulo Gallegos (UNERG); Demian Martin, estudiante de la Universidad Alejandro Humboldt; entre otros</w:t>
      </w:r>
      <w:r w:rsidRPr="00945926">
        <w:rPr>
          <w:rFonts w:ascii="Cambria" w:eastAsia="Arial" w:hAnsi="Cambria" w:cs="Arial"/>
          <w:color w:val="000000"/>
          <w:sz w:val="24"/>
          <w:szCs w:val="24"/>
          <w:vertAlign w:val="superscript"/>
        </w:rPr>
        <w:footnoteReference w:id="28"/>
      </w:r>
      <w:r w:rsidRPr="00945926">
        <w:rPr>
          <w:rFonts w:ascii="Cambria" w:eastAsia="Times New Roman" w:hAnsi="Cambria" w:cs="Times New Roman"/>
          <w:color w:val="000000"/>
          <w:sz w:val="24"/>
          <w:szCs w:val="24"/>
        </w:rPr>
        <w:t>.</w:t>
      </w:r>
    </w:p>
    <w:p w14:paraId="294BACF3"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Así mismo, la Misión individualizó un total de al menos 20 casos de ejecuciones extrajudiciales, de las cuales en al menos 9 intervinieron universitarios (10 estudiantes), representando un 45% de los casos individualizados. Entre ellos, Carlos Moreno, estudiante de la UCV; Juan Pablo Pernalete, estudiante de la Universidad Metropolitana (UNIMET); y Armando Cañizales, estudiante de la UCV</w:t>
      </w:r>
      <w:r w:rsidRPr="00945926">
        <w:rPr>
          <w:rFonts w:ascii="Cambria" w:eastAsia="Arial" w:hAnsi="Cambria" w:cs="Arial"/>
          <w:color w:val="000000"/>
          <w:sz w:val="24"/>
          <w:szCs w:val="24"/>
          <w:vertAlign w:val="superscript"/>
        </w:rPr>
        <w:footnoteReference w:id="29"/>
      </w:r>
      <w:r w:rsidRPr="00945926">
        <w:rPr>
          <w:rFonts w:ascii="Cambria" w:eastAsia="Times New Roman" w:hAnsi="Cambria" w:cs="Times New Roman"/>
          <w:color w:val="000000"/>
          <w:sz w:val="24"/>
          <w:szCs w:val="24"/>
        </w:rPr>
        <w:t>.</w:t>
      </w:r>
    </w:p>
    <w:p w14:paraId="5736A9B6"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Además, la Misión individualizó un total de al menos 8 casos de desaparición forzada, de las cuales en al menos 2 situaciones universitarios fueron afectados (3 estudiantes), representando un 25% de los casos individualizados</w:t>
      </w:r>
      <w:r w:rsidRPr="00945926">
        <w:rPr>
          <w:rFonts w:ascii="Cambria" w:eastAsia="Arial" w:hAnsi="Cambria" w:cs="Arial"/>
          <w:color w:val="000000"/>
          <w:sz w:val="24"/>
          <w:szCs w:val="24"/>
          <w:vertAlign w:val="superscript"/>
        </w:rPr>
        <w:footnoteReference w:id="30"/>
      </w:r>
      <w:r w:rsidRPr="00945926">
        <w:rPr>
          <w:rFonts w:ascii="Cambria" w:eastAsia="Times New Roman" w:hAnsi="Cambria" w:cs="Times New Roman"/>
          <w:color w:val="000000"/>
          <w:sz w:val="24"/>
          <w:szCs w:val="24"/>
        </w:rPr>
        <w:t>.</w:t>
      </w:r>
    </w:p>
    <w:p w14:paraId="6719973D"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lastRenderedPageBreak/>
        <w:t>De igual forma, la Misión individualizó un total de al menos 15 casos de tratos crueles, inhumanos y degradantes, de las cuales en al menos 8 situaciones universitarios fueron afectados (9 estudiantes y 1 académico), representando un 53% de los casos individualizados</w:t>
      </w:r>
      <w:r w:rsidRPr="00945926">
        <w:rPr>
          <w:rFonts w:ascii="Cambria" w:eastAsia="Arial" w:hAnsi="Cambria" w:cs="Arial"/>
          <w:color w:val="000000"/>
          <w:sz w:val="24"/>
          <w:szCs w:val="24"/>
          <w:vertAlign w:val="superscript"/>
        </w:rPr>
        <w:footnoteReference w:id="31"/>
      </w:r>
      <w:r w:rsidRPr="00945926">
        <w:rPr>
          <w:rFonts w:ascii="Cambria" w:eastAsia="Times New Roman" w:hAnsi="Cambria" w:cs="Times New Roman"/>
          <w:color w:val="000000"/>
          <w:sz w:val="24"/>
          <w:szCs w:val="24"/>
        </w:rPr>
        <w:t>.</w:t>
      </w:r>
    </w:p>
    <w:p w14:paraId="5BCBDD1E"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Posteriormente, en el informe del año 2021, la Misión de Investigación individualizó un total de al menos 37 casos de arrestos y detenciones arbitrarias (50 personas) de los cuales al menos en 5 situaciones universitarios fueron afectados (4 estudiantes y 1 profesor), representando un 13.5% de los casos individualizados. Entre estos casos resaltan el de Javier Tarazona, profesor de la UPEL; Geraldine Chacón, estudiante de la UNIMET y Erickvaldo Márquez, estudiante de la ULA</w:t>
      </w:r>
      <w:r w:rsidRPr="00945926">
        <w:rPr>
          <w:rFonts w:ascii="Cambria" w:eastAsia="Arial" w:hAnsi="Cambria" w:cs="Arial"/>
          <w:color w:val="000000"/>
          <w:sz w:val="24"/>
          <w:szCs w:val="24"/>
          <w:vertAlign w:val="superscript"/>
        </w:rPr>
        <w:footnoteReference w:id="32"/>
      </w:r>
      <w:r w:rsidRPr="00945926">
        <w:rPr>
          <w:rFonts w:ascii="Cambria" w:eastAsia="Times New Roman" w:hAnsi="Cambria" w:cs="Times New Roman"/>
          <w:color w:val="000000"/>
          <w:sz w:val="24"/>
          <w:szCs w:val="24"/>
        </w:rPr>
        <w:t>.</w:t>
      </w:r>
    </w:p>
    <w:p w14:paraId="36EEBF8F" w14:textId="77777777" w:rsidR="005732F7" w:rsidRPr="00945926"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b/>
          <w:color w:val="000000"/>
          <w:sz w:val="24"/>
          <w:szCs w:val="24"/>
        </w:rPr>
      </w:pPr>
      <w:r w:rsidRPr="00945926">
        <w:rPr>
          <w:rFonts w:ascii="Cambria" w:eastAsia="Times New Roman" w:hAnsi="Cambria" w:cs="Times New Roman"/>
          <w:color w:val="000000"/>
          <w:sz w:val="24"/>
          <w:szCs w:val="24"/>
        </w:rPr>
        <w:t>Además, en dicho informe, individualizó un total de al menos 14 personas ejecutadas extrajudicialmente, de las cuales al menos 7 eran universitarios (6 estudiantes y 1 profesora), representando un 50% de los casos individualizados. Entre ellos, Génesis Carmona, estudiante de la Universidad Tecnológica del Centro; Bassil Da Costa, estudiante de la Universidad Alejandro Humboldt y Geraldín Moreno, estudiante de la Universidad Arturo Michelena</w:t>
      </w:r>
      <w:r w:rsidRPr="00945926">
        <w:rPr>
          <w:rFonts w:ascii="Cambria" w:eastAsia="Arial" w:hAnsi="Cambria" w:cs="Arial"/>
          <w:color w:val="000000"/>
          <w:sz w:val="24"/>
          <w:szCs w:val="24"/>
          <w:vertAlign w:val="superscript"/>
        </w:rPr>
        <w:footnoteReference w:id="33"/>
      </w:r>
      <w:r w:rsidRPr="00945926">
        <w:rPr>
          <w:rFonts w:ascii="Cambria" w:eastAsia="Times New Roman" w:hAnsi="Cambria" w:cs="Times New Roman"/>
          <w:color w:val="000000"/>
          <w:sz w:val="24"/>
          <w:szCs w:val="24"/>
        </w:rPr>
        <w:t>.</w:t>
      </w:r>
    </w:p>
    <w:p w14:paraId="7315B3C0" w14:textId="42622D0A" w:rsidR="005732F7" w:rsidRPr="00945926" w:rsidRDefault="00403E1C"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También</w:t>
      </w:r>
      <w:r w:rsidR="005732F7" w:rsidRPr="00945926">
        <w:rPr>
          <w:rFonts w:ascii="Cambria" w:eastAsia="Times New Roman" w:hAnsi="Cambria" w:cs="Times New Roman"/>
          <w:color w:val="000000"/>
          <w:sz w:val="24"/>
          <w:szCs w:val="24"/>
        </w:rPr>
        <w:t>, durante las protestas antigubernamentales ocurridas en Venezuela durante el año 2017, Aula Abierta constató que en el uso desproporcionado de gases lacrimógenos, proyectiles de tipo perdigón e, incluso, armas de fuego en contra de los académicos, como método recurrente implementado los cuerpos de seguridad del Estado, la Guardia Nacional Bolivariana (GNB) fue la principal protagonista, al ser la responsable de al menos un 82% de los ataques realizados, de manera individual o en coautoría con otros cuerpos del Estado</w:t>
      </w:r>
      <w:r w:rsidR="005732F7" w:rsidRPr="00945926">
        <w:rPr>
          <w:rFonts w:ascii="Cambria" w:eastAsia="Arial" w:hAnsi="Cambria" w:cs="Arial"/>
          <w:color w:val="000000"/>
          <w:sz w:val="24"/>
          <w:szCs w:val="24"/>
          <w:vertAlign w:val="superscript"/>
        </w:rPr>
        <w:footnoteReference w:id="34"/>
      </w:r>
      <w:r w:rsidR="005732F7" w:rsidRPr="00945926">
        <w:rPr>
          <w:rFonts w:ascii="Cambria" w:eastAsia="Times New Roman" w:hAnsi="Cambria" w:cs="Times New Roman"/>
          <w:color w:val="000000"/>
          <w:sz w:val="24"/>
          <w:szCs w:val="24"/>
        </w:rPr>
        <w:t>.</w:t>
      </w:r>
    </w:p>
    <w:p w14:paraId="1868483F" w14:textId="77777777" w:rsidR="005732F7" w:rsidRDefault="005732F7" w:rsidP="004C0967">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lastRenderedPageBreak/>
        <w:t>En la misma línea, Aula Abierta documentó que, el 23 de enero de 2019, durante la manifestación realizada en la Plaza Juan Pablo II de la ciudad de Maturín, estado Monagas, más de 900 personas fueron reprimidas por la GNB, en conjunto con un grupo de civiles armados, llegando a manifestar públicamente este cuerpo de seguridad del Estado su preferencia por detener estudiantes universitarios</w:t>
      </w:r>
      <w:r w:rsidRPr="00945926">
        <w:rPr>
          <w:rFonts w:ascii="Cambria" w:eastAsia="Arial" w:hAnsi="Cambria" w:cs="Arial"/>
          <w:color w:val="000000"/>
          <w:sz w:val="24"/>
          <w:szCs w:val="24"/>
          <w:vertAlign w:val="superscript"/>
        </w:rPr>
        <w:footnoteReference w:id="35"/>
      </w:r>
      <w:r w:rsidRPr="00945926">
        <w:rPr>
          <w:rFonts w:ascii="Cambria" w:eastAsia="Times New Roman" w:hAnsi="Cambria" w:cs="Times New Roman"/>
          <w:color w:val="000000"/>
          <w:sz w:val="24"/>
          <w:szCs w:val="24"/>
        </w:rPr>
        <w:t>.</w:t>
      </w:r>
    </w:p>
    <w:p w14:paraId="1BD8732B" w14:textId="77777777" w:rsidR="00605230" w:rsidRPr="00605230" w:rsidRDefault="00605230" w:rsidP="005D2128">
      <w:pPr>
        <w:pStyle w:val="Heading2"/>
        <w:rPr>
          <w:rFonts w:ascii="Cambria" w:eastAsia="Times New Roman" w:hAnsi="Cambria" w:cs="Times New Roman"/>
          <w:b/>
          <w:bCs/>
          <w:color w:val="000000"/>
          <w:sz w:val="24"/>
          <w:szCs w:val="24"/>
        </w:rPr>
      </w:pPr>
      <w:bookmarkStart w:id="10" w:name="_Toc144938452"/>
      <w:r w:rsidRPr="00605230">
        <w:rPr>
          <w:rFonts w:ascii="Cambria" w:eastAsia="Times New Roman" w:hAnsi="Cambria" w:cs="Times New Roman"/>
          <w:b/>
          <w:bCs/>
          <w:color w:val="000000"/>
          <w:sz w:val="24"/>
          <w:szCs w:val="24"/>
        </w:rPr>
        <w:t>Recomendaciones:</w:t>
      </w:r>
      <w:bookmarkEnd w:id="10"/>
      <w:r w:rsidRPr="00605230">
        <w:rPr>
          <w:rFonts w:ascii="Cambria" w:eastAsia="Times New Roman" w:hAnsi="Cambria" w:cs="Times New Roman"/>
          <w:b/>
          <w:bCs/>
          <w:color w:val="000000"/>
          <w:sz w:val="24"/>
          <w:szCs w:val="24"/>
        </w:rPr>
        <w:t xml:space="preserve"> </w:t>
      </w:r>
    </w:p>
    <w:p w14:paraId="1E3543DC" w14:textId="77777777" w:rsidR="00605230" w:rsidRDefault="00605230" w:rsidP="00605230">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605230">
        <w:rPr>
          <w:rFonts w:ascii="Cambria" w:eastAsia="Times New Roman" w:hAnsi="Cambria" w:cs="Times New Roman"/>
          <w:color w:val="000000"/>
          <w:sz w:val="24"/>
          <w:szCs w:val="24"/>
        </w:rPr>
        <w:t>Se exige al Estado venezolano, respetar y garantizar el ejercicio del derecho a la protesta pacífica por parte de universitarios, el cual se encuentra intrínsecamente relacionado con el derecho a la libertad académica. El desarrollo de protestas por parte de los universitarios representa una faceta de la expresión de las discusiones académicas que tienen los estudiantes y profesores en la universidad y, además, representa una contribución como miembros de la universidad, institución que tiene la misión de contribuir al desarrollo de la Nación y fungir como contralor de la sociedad</w:t>
      </w:r>
      <w:r>
        <w:rPr>
          <w:rFonts w:ascii="Cambria" w:eastAsia="Times New Roman" w:hAnsi="Cambria" w:cs="Times New Roman"/>
          <w:color w:val="000000"/>
          <w:sz w:val="24"/>
          <w:szCs w:val="24"/>
        </w:rPr>
        <w:t>.</w:t>
      </w:r>
    </w:p>
    <w:p w14:paraId="3E07FECB" w14:textId="21B7AB59" w:rsidR="00605230" w:rsidRPr="00605230" w:rsidRDefault="00605230" w:rsidP="00605230">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605230">
        <w:rPr>
          <w:rFonts w:ascii="Cambria" w:eastAsia="Times New Roman" w:hAnsi="Cambria" w:cs="Times New Roman"/>
          <w:color w:val="000000"/>
          <w:sz w:val="24"/>
          <w:szCs w:val="24"/>
        </w:rPr>
        <w:t>Se exige al Estado venezolano, cesar la práctica de declaraciones estigmatizadoras en contra de universitarios que los exponen a sufrir un mayor grado de discriminación en la sociedad en la que se desenvuelven, al ser catalogados públicamente como traidores de los valores de la Nación y desestabilizadores del orden público.</w:t>
      </w:r>
    </w:p>
    <w:p w14:paraId="013B031B" w14:textId="608571B2" w:rsidR="005732F7" w:rsidRPr="00945926" w:rsidRDefault="005732F7" w:rsidP="005D2128">
      <w:pPr>
        <w:pStyle w:val="ListParagraph"/>
        <w:numPr>
          <w:ilvl w:val="0"/>
          <w:numId w:val="7"/>
        </w:numPr>
        <w:pBdr>
          <w:bottom w:val="single" w:sz="4" w:space="1" w:color="auto"/>
        </w:pBdr>
        <w:jc w:val="both"/>
        <w:outlineLvl w:val="0"/>
        <w:rPr>
          <w:rFonts w:ascii="Cambria" w:eastAsia="Times New Roman" w:hAnsi="Cambria" w:cs="Times New Roman"/>
          <w:b/>
          <w:sz w:val="24"/>
          <w:szCs w:val="24"/>
        </w:rPr>
      </w:pPr>
      <w:bookmarkStart w:id="11" w:name="_Toc144938453"/>
      <w:r w:rsidRPr="00945926">
        <w:rPr>
          <w:rFonts w:ascii="Cambria" w:eastAsia="Times New Roman" w:hAnsi="Cambria" w:cs="Times New Roman"/>
          <w:b/>
          <w:sz w:val="24"/>
          <w:szCs w:val="24"/>
        </w:rPr>
        <w:t>Derecho a la libertad de asociación</w:t>
      </w:r>
      <w:r w:rsidR="00646899" w:rsidRPr="00945926">
        <w:rPr>
          <w:rFonts w:ascii="Cambria" w:eastAsia="Times New Roman" w:hAnsi="Cambria" w:cs="Times New Roman"/>
          <w:b/>
          <w:sz w:val="24"/>
          <w:szCs w:val="24"/>
        </w:rPr>
        <w:t xml:space="preserve"> (Artículo 22)</w:t>
      </w:r>
      <w:bookmarkEnd w:id="11"/>
    </w:p>
    <w:p w14:paraId="3221DF8C" w14:textId="245531E4" w:rsidR="005732F7" w:rsidRPr="00945926" w:rsidRDefault="00646899"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D</w:t>
      </w:r>
      <w:r w:rsidR="005732F7" w:rsidRPr="00945926">
        <w:rPr>
          <w:rFonts w:ascii="Cambria" w:eastAsia="Times New Roman" w:hAnsi="Cambria" w:cs="Times New Roman"/>
          <w:sz w:val="24"/>
          <w:szCs w:val="24"/>
        </w:rPr>
        <w:t>esde el 201</w:t>
      </w:r>
      <w:r w:rsidRPr="00945926">
        <w:rPr>
          <w:rFonts w:ascii="Cambria" w:eastAsia="Times New Roman" w:hAnsi="Cambria" w:cs="Times New Roman"/>
          <w:sz w:val="24"/>
          <w:szCs w:val="24"/>
        </w:rPr>
        <w:t>7</w:t>
      </w:r>
      <w:r w:rsidR="005732F7" w:rsidRPr="00945926">
        <w:rPr>
          <w:rFonts w:ascii="Cambria" w:eastAsia="Times New Roman" w:hAnsi="Cambria" w:cs="Times New Roman"/>
          <w:sz w:val="24"/>
          <w:szCs w:val="24"/>
        </w:rPr>
        <w:t xml:space="preserve"> hasta el presente año 2022, Aula Abierta ha identificado diversas transgresiones a la libertad de asociación del sector universitario en Venezuela y. A continuación, algunas de las situaciones identificadas:</w:t>
      </w:r>
    </w:p>
    <w:p w14:paraId="5889CE1B"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 xml:space="preserve">Se han documentado obstaculizaciones a las renovaciones de las juntas directivas de los grupos asociativos del gremio profesoral universitario, a través del Consejo Nacional Electoral (CNE). Ante esta situación, durante el periodo comprendido entre agosto y septiembre de 2020, Aula Abierta aplicó un instrumento consultivo a los directivos de 11 asociaciones de profesores universitarios del sector público, a los efectos de documentar en detalle la complejidad de esta problemática, arrojando resultados donde se evidencia que el Estado venezolano por medio del CNE ha causado que al menos 73% de asociaciones encuestadas por Aula Abierta, tengan los periodos de sus directivas vencidos, quienes denuncian que la razón son obstáculos por parte del referido </w:t>
      </w:r>
      <w:r w:rsidRPr="00945926">
        <w:rPr>
          <w:rFonts w:ascii="Cambria" w:eastAsia="Times New Roman" w:hAnsi="Cambria" w:cs="Times New Roman"/>
          <w:sz w:val="24"/>
          <w:szCs w:val="24"/>
        </w:rPr>
        <w:lastRenderedPageBreak/>
        <w:t>ente gubernamental, afectando el gobierno de las asociaciones de profesores universitarios y su pleno ejercicio a la libertad de asociación incumpliendo con el artículo 22 del Pacto y la recomendación del Comité</w:t>
      </w:r>
      <w:r w:rsidRPr="00945926">
        <w:rPr>
          <w:rFonts w:ascii="Cambria" w:eastAsia="Times New Roman" w:hAnsi="Cambria" w:cs="Times New Roman"/>
          <w:sz w:val="24"/>
          <w:szCs w:val="24"/>
          <w:vertAlign w:val="superscript"/>
        </w:rPr>
        <w:footnoteReference w:id="36"/>
      </w:r>
      <w:r w:rsidRPr="00945926">
        <w:rPr>
          <w:rFonts w:ascii="Cambria" w:eastAsia="Times New Roman" w:hAnsi="Cambria" w:cs="Times New Roman"/>
          <w:sz w:val="24"/>
          <w:szCs w:val="24"/>
        </w:rPr>
        <w:t>.</w:t>
      </w:r>
    </w:p>
    <w:p w14:paraId="39B4D041"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También se ha documentado la obstaculización al pleno ejercicio de la libertad de asociación de grupos asociativos del sector universitario, a través de la exclusión por motivos políticos de tales grupos en espacios de discusión pública y en especial de negociaciones colectivas, aun siendo alguno de los excluidos los representantes legitimados para representar a un sector gremial en tales espacios.</w:t>
      </w:r>
    </w:p>
    <w:p w14:paraId="68A61D69"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Muestra de ello, en el año 2015, se adoptó la II Convención Colectiva Única del Sector Universitario (IICCU) y en su proceso de discusión y adopción se excluyó la participación de la Federación de Asociaciones de Profesores Universitarios de Venezuela (FAPUV), reduciendo su estatus a “invitados”, siendo éste el grupo legitimado para representar a los profesores universitarios en asuntos de negociación colectiva, pues agrupa a 40.000 agremiados. Al mismo tiempo, se le dió de forma arbitraria esa potestad a la Federación de Trabajadores Universitarios de Venezuela (FTUV), de marcada posición pro gobierno, que representaría a 10.000 asociados entre docentes, obreros y administrativos</w:t>
      </w:r>
      <w:r w:rsidRPr="00945926">
        <w:rPr>
          <w:rFonts w:ascii="Cambria" w:eastAsia="Times New Roman" w:hAnsi="Cambria" w:cs="Times New Roman"/>
          <w:sz w:val="24"/>
          <w:szCs w:val="24"/>
          <w:vertAlign w:val="superscript"/>
        </w:rPr>
        <w:footnoteReference w:id="37"/>
      </w:r>
      <w:r w:rsidRPr="00945926">
        <w:rPr>
          <w:rFonts w:ascii="Cambria" w:eastAsia="Times New Roman" w:hAnsi="Cambria" w:cs="Times New Roman"/>
          <w:sz w:val="24"/>
          <w:szCs w:val="24"/>
        </w:rPr>
        <w:t>. Para el año 2017, cuando se discutió la III Convención Colectiva Única del Sector Universitario (IIICCU), esta situación se recrudeció, por cuanto se excluyó totalmente a la FAPUV de la discusión, resultando ambas ocasiones en obstaculización de las actividades intrínsecas a la FAPUV, transgrediendo el pleno ejercicio de la libertad de asociación e imponiendo unilateralmente acuerdos colectivos al sector</w:t>
      </w:r>
      <w:r w:rsidRPr="00945926">
        <w:rPr>
          <w:rFonts w:ascii="Cambria" w:eastAsia="Times New Roman" w:hAnsi="Cambria" w:cs="Times New Roman"/>
          <w:sz w:val="24"/>
          <w:szCs w:val="24"/>
          <w:vertAlign w:val="superscript"/>
        </w:rPr>
        <w:footnoteReference w:id="38"/>
      </w:r>
      <w:r w:rsidRPr="00945926">
        <w:rPr>
          <w:rFonts w:ascii="Cambria" w:eastAsia="Times New Roman" w:hAnsi="Cambria" w:cs="Times New Roman"/>
          <w:sz w:val="24"/>
          <w:szCs w:val="24"/>
        </w:rPr>
        <w:t xml:space="preserve">. Esto se repitió en el 2021 en el marco de la adopción de la IV Convención Colectiva Única del Sector Universitario. </w:t>
      </w:r>
    </w:p>
    <w:p w14:paraId="47C33024"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 xml:space="preserve">En el presente año, se documentó una nueva imposición por parte del Estado venezolano al sector universitario, cuando en marzo del 2022 realizó un aumento del salario mínimo y, con ocasión de ello, a través de la Oficina Nacional de Presupuesto (ONAPRE) envió a las universidades un instructivo menos </w:t>
      </w:r>
      <w:r w:rsidRPr="00945926">
        <w:rPr>
          <w:rFonts w:ascii="Cambria" w:eastAsia="Times New Roman" w:hAnsi="Cambria" w:cs="Times New Roman"/>
          <w:sz w:val="24"/>
          <w:szCs w:val="24"/>
        </w:rPr>
        <w:lastRenderedPageBreak/>
        <w:t>favorable para el sector que la también impuesta IVCCU, mediante el cual indica las bases de cálculo para los salarios y pago de beneficios del sector universitario</w:t>
      </w:r>
      <w:r w:rsidRPr="00945926">
        <w:rPr>
          <w:rFonts w:ascii="Cambria" w:eastAsia="Times New Roman" w:hAnsi="Cambria" w:cs="Times New Roman"/>
          <w:sz w:val="24"/>
          <w:szCs w:val="24"/>
          <w:vertAlign w:val="superscript"/>
        </w:rPr>
        <w:footnoteReference w:id="39"/>
      </w:r>
      <w:r w:rsidRPr="00945926">
        <w:rPr>
          <w:rFonts w:ascii="Cambria" w:eastAsia="Times New Roman" w:hAnsi="Cambria" w:cs="Times New Roman"/>
          <w:sz w:val="24"/>
          <w:szCs w:val="24"/>
        </w:rPr>
        <w:t>. En esta decisión nuevamente se excluyó a la FAPUV para que ésta defendiera las necesidades salariales del gremio al que representa. Cabe destacar que la práctica de imposición salarial al sector universitario se ha documentado al menos desde el año 2004</w:t>
      </w:r>
      <w:r w:rsidRPr="00945926">
        <w:rPr>
          <w:rFonts w:ascii="Cambria" w:eastAsia="Times New Roman" w:hAnsi="Cambria" w:cs="Times New Roman"/>
          <w:sz w:val="24"/>
          <w:szCs w:val="24"/>
          <w:vertAlign w:val="superscript"/>
        </w:rPr>
        <w:footnoteReference w:id="40"/>
      </w:r>
      <w:r w:rsidRPr="00945926">
        <w:rPr>
          <w:rFonts w:ascii="Cambria" w:eastAsia="Times New Roman" w:hAnsi="Cambria" w:cs="Times New Roman"/>
          <w:sz w:val="24"/>
          <w:szCs w:val="24"/>
        </w:rPr>
        <w:t xml:space="preserve">. </w:t>
      </w:r>
    </w:p>
    <w:p w14:paraId="261ABD9B"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Las anteriores prácticas de transgresiones a la libertad de asociación por parte del estado venezolano han derivado en afectaciones a otros derechos como derechos humanos de índole laboral, pues debido a la falta de consulta de grupos como la FAPUV de discusiones salariales los universitarios se han encontrado con salarios insuficientes y hasta de pobreza extrema en varios periodos</w:t>
      </w:r>
      <w:r w:rsidRPr="00945926">
        <w:rPr>
          <w:rFonts w:ascii="Cambria" w:eastAsia="Times New Roman" w:hAnsi="Cambria" w:cs="Times New Roman"/>
          <w:sz w:val="24"/>
          <w:szCs w:val="24"/>
          <w:vertAlign w:val="superscript"/>
        </w:rPr>
        <w:footnoteReference w:id="41"/>
      </w:r>
      <w:r w:rsidRPr="00945926">
        <w:rPr>
          <w:rFonts w:ascii="Cambria" w:eastAsia="Times New Roman" w:hAnsi="Cambria" w:cs="Times New Roman"/>
          <w:sz w:val="24"/>
          <w:szCs w:val="24"/>
        </w:rPr>
        <w:t>.</w:t>
      </w:r>
    </w:p>
    <w:p w14:paraId="6AE8A5B1" w14:textId="5F0C2BE8"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De igual forma, las situaciones descritas generan también un impacto en  la autonomía financiera de las asociaciones de profesores universitarios. Aula Abierta, aplicó una encuesta a las asociaciones de profesores sobre la situación actual de sus recursos financieros como asociación, donde los resultados arrojaron que sus fuentes son de índole variada, tales como: aporte de sus miembros, erogaciones monetarias por parte del Ministerio del Poder Popular para la de Educación Universitaria (MPPEU), inversiones propias de la asociación y aportes federativos</w:t>
      </w:r>
      <w:r w:rsidRPr="00945926">
        <w:rPr>
          <w:rFonts w:ascii="Cambria" w:eastAsia="Times New Roman" w:hAnsi="Cambria" w:cs="Times New Roman"/>
          <w:sz w:val="24"/>
          <w:szCs w:val="24"/>
          <w:vertAlign w:val="superscript"/>
        </w:rPr>
        <w:footnoteReference w:id="42"/>
      </w:r>
      <w:r w:rsidRPr="00945926">
        <w:rPr>
          <w:rFonts w:ascii="Cambria" w:eastAsia="Times New Roman" w:hAnsi="Cambria" w:cs="Times New Roman"/>
          <w:sz w:val="24"/>
          <w:szCs w:val="24"/>
        </w:rPr>
        <w:t xml:space="preserve">. Las exclusiones de los profesores en las </w:t>
      </w:r>
      <w:r w:rsidRPr="00945926">
        <w:rPr>
          <w:rFonts w:ascii="Cambria" w:eastAsia="Times New Roman" w:hAnsi="Cambria" w:cs="Times New Roman"/>
          <w:sz w:val="24"/>
          <w:szCs w:val="24"/>
        </w:rPr>
        <w:lastRenderedPageBreak/>
        <w:t xml:space="preserve">discusiones colectivas que han generado violaciones a sus derechos laborales tienen un impacto negativo en los recursos que las asociaciones pueden obtener de sus asociados, afectando la capacidad de los profesores de cumplir los fines para los cuales han decidido asociarse, especialmente su capacidad de participar en la discusión de los asuntos públicos. </w:t>
      </w:r>
    </w:p>
    <w:p w14:paraId="7A2974F4"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En este sentido, también se documentaron prácticas de represalias en contra de las autoridades de universidades autónomas agrupadas en la Asociación Venezolana de Rectores Universitarios (AVERU) cuando intentaban participar en la discusión de los asuntos públicos.  Ejemplo de ello, el 02 de agosto de 2019, se recibieron denuncias de la existencia de la Gaceta Oficial de la República Bolivariana de Venezuela N° 41.684, del 31 de julio de 2019, donde se hace público un acuerdo producto de una supuesta sesión virtual del 30 de mayo de 2019, que las autoridades de la AVERU denuncian nunca se celebró, donde el CNU, adscrito al MPPEU, solicitó al Ministerio Público una investigación penal hacia ellos “</w:t>
      </w:r>
      <w:r w:rsidRPr="00945926">
        <w:rPr>
          <w:rFonts w:ascii="Cambria" w:eastAsia="Times New Roman" w:hAnsi="Cambria" w:cs="Times New Roman"/>
          <w:i/>
          <w:sz w:val="24"/>
          <w:szCs w:val="24"/>
        </w:rPr>
        <w:t>con motivo de pronunciamientos públicos en los cuales desconocen el gobierno legítimo y Constitucional del Presidente de la República Bolivariana de Venezuela, Nicolás Maduro Moros, así como por el hecho de profesar y realizar acciones abiertamente hostiles y de conspiración destinadas a desestabilizar el orden constitucional y los Poderes legalmente Constituidos.</w:t>
      </w:r>
      <w:r w:rsidRPr="00945926">
        <w:rPr>
          <w:rFonts w:ascii="Cambria" w:eastAsia="Times New Roman" w:hAnsi="Cambria" w:cs="Times New Roman"/>
          <w:sz w:val="24"/>
          <w:szCs w:val="24"/>
        </w:rPr>
        <w:t>”</w:t>
      </w:r>
      <w:r w:rsidRPr="00945926">
        <w:rPr>
          <w:rFonts w:ascii="Cambria" w:eastAsia="Times New Roman" w:hAnsi="Cambria" w:cs="Times New Roman"/>
          <w:sz w:val="24"/>
          <w:szCs w:val="24"/>
          <w:vertAlign w:val="superscript"/>
        </w:rPr>
        <w:footnoteReference w:id="43"/>
      </w:r>
      <w:r w:rsidRPr="00945926">
        <w:rPr>
          <w:rFonts w:ascii="Cambria" w:eastAsia="Times New Roman" w:hAnsi="Cambria" w:cs="Times New Roman"/>
          <w:sz w:val="24"/>
          <w:szCs w:val="24"/>
        </w:rPr>
        <w:t xml:space="preserve"> Las acciones “desestabilizadoras” refieren a comunicados de la AVERU condenando las violaciones a los derechos humanos durante las protestas de 2017 y 2019, persiguiendo a la AVERU por sus opiniones críticas, emitidas en el ejercicio de su función como asociación defensora de la autonomía universitaria y los derechos humanos de los universitarios.</w:t>
      </w:r>
    </w:p>
    <w:p w14:paraId="2378A602"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Otra práctica que limita el pleno ejercicio del derecho a la libertad de asociación en el sector universitario en Venezuela es la obstaculización e injerencias a procesos electorales estudiantiles durante al menos 15 años, a través de las siguientes prácticas</w:t>
      </w:r>
      <w:r w:rsidRPr="00945926">
        <w:rPr>
          <w:rFonts w:ascii="Cambria" w:eastAsia="Times New Roman" w:hAnsi="Cambria" w:cs="Times New Roman"/>
          <w:sz w:val="24"/>
          <w:szCs w:val="24"/>
          <w:vertAlign w:val="superscript"/>
        </w:rPr>
        <w:footnoteReference w:id="44"/>
      </w:r>
      <w:r w:rsidRPr="00945926">
        <w:rPr>
          <w:rFonts w:ascii="Cambria" w:eastAsia="Times New Roman" w:hAnsi="Cambria" w:cs="Times New Roman"/>
          <w:sz w:val="24"/>
          <w:szCs w:val="24"/>
        </w:rPr>
        <w:t>:</w:t>
      </w:r>
    </w:p>
    <w:p w14:paraId="66856DD2"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El Poder Judicial que ha emitido al menos 8 sentencias que intervienen en procesos electorales estudiantiles</w:t>
      </w:r>
      <w:r w:rsidRPr="00945926">
        <w:rPr>
          <w:rFonts w:ascii="Cambria" w:eastAsia="Times New Roman" w:hAnsi="Cambria" w:cs="Times New Roman"/>
          <w:sz w:val="24"/>
          <w:szCs w:val="24"/>
          <w:vertAlign w:val="superscript"/>
        </w:rPr>
        <w:footnoteReference w:id="45"/>
      </w:r>
      <w:r w:rsidRPr="00945926">
        <w:rPr>
          <w:rFonts w:ascii="Cambria" w:eastAsia="Times New Roman" w:hAnsi="Cambria" w:cs="Times New Roman"/>
          <w:sz w:val="24"/>
          <w:szCs w:val="24"/>
        </w:rPr>
        <w:t xml:space="preserve">, una de ellas fue en 2018 cuando se </w:t>
      </w:r>
      <w:r w:rsidRPr="00945926">
        <w:rPr>
          <w:rFonts w:ascii="Cambria" w:eastAsia="Times New Roman" w:hAnsi="Cambria" w:cs="Times New Roman"/>
          <w:sz w:val="24"/>
          <w:szCs w:val="24"/>
        </w:rPr>
        <w:lastRenderedPageBreak/>
        <w:t>celebraba un proceso electoral en la Universidad de Carabobo (UC), cuando la Sala Electoral del Tribunal Supremo de Justicia (TSJ), mediante sentencia No. 102, de fecha 27 de noviembre de 2018, anuló los resultados de las elecciones estudiantiles en la UC, resultados que fueron confirmados por el Consejo Universitario de la UC ante el intento del Estado de interferir en las elecciones de esa casa de estudios</w:t>
      </w:r>
      <w:r w:rsidRPr="00945926">
        <w:rPr>
          <w:rFonts w:ascii="Cambria" w:eastAsia="Times New Roman" w:hAnsi="Cambria" w:cs="Times New Roman"/>
          <w:sz w:val="24"/>
          <w:szCs w:val="24"/>
          <w:vertAlign w:val="superscript"/>
        </w:rPr>
        <w:footnoteReference w:id="46"/>
      </w:r>
      <w:r w:rsidRPr="00945926">
        <w:rPr>
          <w:rFonts w:ascii="Cambria" w:eastAsia="Times New Roman" w:hAnsi="Cambria" w:cs="Times New Roman"/>
          <w:sz w:val="24"/>
          <w:szCs w:val="24"/>
        </w:rPr>
        <w:t>.</w:t>
      </w:r>
    </w:p>
    <w:p w14:paraId="27D2FBFD"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Además, en diversas ocasiones se han documentado ataques e intromisiones en el desarrollo de elecciones estudiantiles universitarias, como en el año 2019 cuando la Universidad Central de Venezuela (UCV), llevó a cabo elecciones de gobierno y cogobierno estudiantil, donde colectivos armados irrumpieron en algunos núcleos para robar urnas electorales y grupos motorizados en las instalaciones de la UCV como amenaza al proceso electoral, ambos grupos identificados por los estudiantes como grupos pro gobierno; en el proceso resultó electo el estudiante David Sosa como presidente de la FCU</w:t>
      </w:r>
      <w:r w:rsidRPr="00945926">
        <w:rPr>
          <w:rFonts w:ascii="Cambria" w:eastAsia="Times New Roman" w:hAnsi="Cambria" w:cs="Times New Roman"/>
          <w:sz w:val="24"/>
          <w:szCs w:val="24"/>
          <w:vertAlign w:val="superscript"/>
        </w:rPr>
        <w:footnoteReference w:id="47"/>
      </w:r>
      <w:r w:rsidRPr="00945926">
        <w:rPr>
          <w:rFonts w:ascii="Cambria" w:eastAsia="Times New Roman" w:hAnsi="Cambria" w:cs="Times New Roman"/>
          <w:sz w:val="24"/>
          <w:szCs w:val="24"/>
        </w:rPr>
        <w:t>.</w:t>
      </w:r>
    </w:p>
    <w:p w14:paraId="6419E58F"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 xml:space="preserve">Aula Abierta también ha documentado que las autoridades universitarias pro gobierno también han obstaculizado las elecciones estudiantiles en algunas universidades, ejemplo de ello el último proceso electoral de la UNEFM, fue en el año 2006 y según estudiantes que no se hayan celebrado elecciones en más de una década se debe en parte a la intervención del Estado en la designación de las autoridades universitarias, puesto que al no garantizarse una victoria para una plancha estudiantil de ideología pro gobierno, no existe la disposición de las </w:t>
      </w:r>
      <w:r w:rsidRPr="00945926">
        <w:rPr>
          <w:rFonts w:ascii="Cambria" w:eastAsia="Times New Roman" w:hAnsi="Cambria" w:cs="Times New Roman"/>
          <w:sz w:val="24"/>
          <w:szCs w:val="24"/>
        </w:rPr>
        <w:lastRenderedPageBreak/>
        <w:t>autoridades de constituir una Comisión Electoral según el reglamento de la universidad</w:t>
      </w:r>
      <w:r w:rsidRPr="00945926">
        <w:rPr>
          <w:rFonts w:ascii="Cambria" w:eastAsia="Times New Roman" w:hAnsi="Cambria" w:cs="Times New Roman"/>
          <w:sz w:val="24"/>
          <w:szCs w:val="24"/>
          <w:vertAlign w:val="superscript"/>
        </w:rPr>
        <w:footnoteReference w:id="48"/>
      </w:r>
      <w:r w:rsidRPr="00945926">
        <w:rPr>
          <w:rFonts w:ascii="Cambria" w:eastAsia="Times New Roman" w:hAnsi="Cambria" w:cs="Times New Roman"/>
          <w:sz w:val="24"/>
          <w:szCs w:val="24"/>
        </w:rPr>
        <w:t xml:space="preserve">. </w:t>
      </w:r>
    </w:p>
    <w:p w14:paraId="5088982F"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b/>
          <w:i/>
          <w:color w:val="000000"/>
          <w:sz w:val="24"/>
          <w:szCs w:val="24"/>
        </w:rPr>
      </w:pPr>
      <w:r w:rsidRPr="00945926">
        <w:rPr>
          <w:rFonts w:ascii="Cambria" w:eastAsia="Times New Roman" w:hAnsi="Cambria" w:cs="Times New Roman"/>
          <w:sz w:val="24"/>
          <w:szCs w:val="24"/>
        </w:rPr>
        <w:t>Finalmente, la asfixia presupuestaria también ha obstaculizado la realización de elecciones estudiantiles, pues los universitarios han manifestado que la asfixia presupuestaria a la que se encuentran sometidas las Universidades en Venezuela, al menos desde el año 2010, ha afectado la articulación de los procesos electorales estudiantiles, puesto que los estudiantes no cuentan con los recursos materiales y financieros para realizar los procesos y con el poco presupuesto se atienden otras “prioridades” de las universidades, como la recuperación de espacios de clases, mantenimiento de las áreas y pago de personal, situación que ha sido denunciada y documentada por la sociedad civil</w:t>
      </w:r>
      <w:r w:rsidRPr="00945926">
        <w:rPr>
          <w:rFonts w:ascii="Cambria" w:eastAsia="Times New Roman" w:hAnsi="Cambria" w:cs="Times New Roman"/>
          <w:sz w:val="24"/>
          <w:szCs w:val="24"/>
          <w:vertAlign w:val="superscript"/>
        </w:rPr>
        <w:footnoteReference w:id="49"/>
      </w:r>
      <w:r w:rsidRPr="00945926">
        <w:rPr>
          <w:rFonts w:ascii="Cambria" w:eastAsia="Times New Roman" w:hAnsi="Cambria" w:cs="Times New Roman"/>
          <w:sz w:val="24"/>
          <w:szCs w:val="24"/>
        </w:rPr>
        <w:t>.</w:t>
      </w:r>
    </w:p>
    <w:p w14:paraId="6755A9FC" w14:textId="440AB7C1" w:rsidR="00403E1C" w:rsidRPr="005D2128" w:rsidRDefault="00403E1C" w:rsidP="005D2128">
      <w:pPr>
        <w:pStyle w:val="Heading2"/>
        <w:rPr>
          <w:rFonts w:ascii="Cambria" w:eastAsia="Times New Roman" w:hAnsi="Cambria" w:cs="Times New Roman"/>
          <w:b/>
          <w:bCs/>
          <w:i/>
          <w:color w:val="auto"/>
          <w:sz w:val="24"/>
          <w:szCs w:val="24"/>
        </w:rPr>
      </w:pPr>
      <w:bookmarkStart w:id="12" w:name="_Toc144938454"/>
      <w:r w:rsidRPr="005D2128">
        <w:rPr>
          <w:rFonts w:ascii="Cambria" w:eastAsia="Times New Roman" w:hAnsi="Cambria" w:cs="Times New Roman"/>
          <w:b/>
          <w:bCs/>
          <w:color w:val="auto"/>
          <w:sz w:val="24"/>
          <w:szCs w:val="24"/>
        </w:rPr>
        <w:t>Recomendaciones:</w:t>
      </w:r>
      <w:bookmarkEnd w:id="12"/>
    </w:p>
    <w:p w14:paraId="05DB05CA" w14:textId="77777777" w:rsidR="00403E1C" w:rsidRPr="00945926" w:rsidRDefault="00403E1C" w:rsidP="007A1069">
      <w:pPr>
        <w:numPr>
          <w:ilvl w:val="0"/>
          <w:numId w:val="5"/>
        </w:numPr>
        <w:spacing w:line="276" w:lineRule="auto"/>
        <w:jc w:val="both"/>
        <w:rPr>
          <w:rFonts w:ascii="Cambria" w:eastAsia="Times New Roman" w:hAnsi="Cambria" w:cs="Times New Roman"/>
          <w:color w:val="000000"/>
          <w:sz w:val="24"/>
          <w:szCs w:val="24"/>
        </w:rPr>
      </w:pPr>
      <w:bookmarkStart w:id="13" w:name="_Hlk144934580"/>
      <w:r w:rsidRPr="00945926">
        <w:rPr>
          <w:rFonts w:ascii="Cambria" w:eastAsia="Times New Roman" w:hAnsi="Cambria" w:cs="Times New Roman"/>
          <w:color w:val="000000"/>
          <w:sz w:val="24"/>
          <w:szCs w:val="24"/>
        </w:rPr>
        <w:t xml:space="preserve">Cesar las prácticas de violaciones a la autonomía universitaria a través de las suspensiones de procesos electorales vía judicial e injerencias del CNE, así como el cese de la persecución y hostigamiento a los actores promotores y participantes de los procesos de elecciones libres </w:t>
      </w:r>
    </w:p>
    <w:p w14:paraId="0C5FB3F6" w14:textId="273CBD70" w:rsidR="00403E1C" w:rsidRPr="00945926" w:rsidRDefault="00403E1C" w:rsidP="007A1069">
      <w:pPr>
        <w:numPr>
          <w:ilvl w:val="0"/>
          <w:numId w:val="5"/>
        </w:numP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 xml:space="preserve">Garantizar el pleno ejercicio de los derechos laborales de los profesores universitarios y la progresividad de estos, cesando la práctica de imposición unilateral de tablas y beneficios salariales del sector y tomando en cuenta a las asociaciones gremiales legitimadas para representar a los sectores universitarios en los procesos de negociación colectiva. </w:t>
      </w:r>
    </w:p>
    <w:p w14:paraId="0FD8B139" w14:textId="6D875F84" w:rsidR="005732F7" w:rsidRPr="00945926" w:rsidRDefault="005732F7" w:rsidP="005D2128">
      <w:pPr>
        <w:pStyle w:val="ListParagraph"/>
        <w:numPr>
          <w:ilvl w:val="0"/>
          <w:numId w:val="7"/>
        </w:numPr>
        <w:pBdr>
          <w:bottom w:val="single" w:sz="4" w:space="1" w:color="auto"/>
        </w:pBdr>
        <w:jc w:val="both"/>
        <w:outlineLvl w:val="0"/>
        <w:rPr>
          <w:rFonts w:ascii="Cambria" w:eastAsia="Times New Roman" w:hAnsi="Cambria" w:cs="Times New Roman"/>
          <w:color w:val="000000"/>
          <w:sz w:val="24"/>
          <w:szCs w:val="24"/>
        </w:rPr>
      </w:pPr>
      <w:bookmarkStart w:id="14" w:name="_Toc144938455"/>
      <w:bookmarkEnd w:id="13"/>
      <w:r w:rsidRPr="00945926">
        <w:rPr>
          <w:rFonts w:ascii="Cambria" w:eastAsia="Times New Roman" w:hAnsi="Cambria" w:cs="Times New Roman"/>
          <w:b/>
          <w:sz w:val="24"/>
          <w:szCs w:val="24"/>
        </w:rPr>
        <w:t xml:space="preserve">Derecho a la participación en los asuntos públicos </w:t>
      </w:r>
      <w:r w:rsidR="00646899" w:rsidRPr="00945926">
        <w:rPr>
          <w:rFonts w:ascii="Cambria" w:eastAsia="Times New Roman" w:hAnsi="Cambria" w:cs="Times New Roman"/>
          <w:b/>
          <w:sz w:val="24"/>
          <w:szCs w:val="24"/>
        </w:rPr>
        <w:t>(Artículo 25)</w:t>
      </w:r>
      <w:bookmarkEnd w:id="14"/>
    </w:p>
    <w:p w14:paraId="0713A1F7"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 xml:space="preserve">Las afectaciones a las finanzas de las asociaciones de profesores incidieron en que se vea disminuida su participación en la discusión de asuntos públicos. Muestra de ello, 5 de 6 asociaciones de profesores consultadas por Aula Abierta en el 2021 consideró que la falta de recursos suficientes afecta su capacidad de elaborar informes, boletines y otros instrumentos de difusión de temas de carácter público nacional e interés universitario, denotando una afectación directa a su capacidad de participar en la discusión de asuntos públicos. De igual forma, 5 de 6 asociaciones de profesores consultadas consideró que la falta de </w:t>
      </w:r>
      <w:r w:rsidRPr="00945926">
        <w:rPr>
          <w:rFonts w:ascii="Cambria" w:eastAsia="Times New Roman" w:hAnsi="Cambria" w:cs="Times New Roman"/>
          <w:color w:val="000000"/>
          <w:sz w:val="24"/>
          <w:szCs w:val="24"/>
        </w:rPr>
        <w:lastRenderedPageBreak/>
        <w:t>recursos financieros afecta su capacidad para la realización de actividades dirigidas a fortalecer el tejido interno de su organización, causando un debilitamiento organizacional grave</w:t>
      </w:r>
      <w:r w:rsidRPr="00945926">
        <w:rPr>
          <w:rFonts w:ascii="Cambria" w:eastAsia="Arial" w:hAnsi="Cambria" w:cs="Arial"/>
          <w:color w:val="000000"/>
          <w:sz w:val="24"/>
          <w:szCs w:val="24"/>
          <w:vertAlign w:val="superscript"/>
        </w:rPr>
        <w:footnoteReference w:id="50"/>
      </w:r>
      <w:r w:rsidRPr="00945926">
        <w:rPr>
          <w:rFonts w:ascii="Cambria" w:eastAsia="Times New Roman" w:hAnsi="Cambria" w:cs="Times New Roman"/>
          <w:color w:val="000000"/>
          <w:sz w:val="24"/>
          <w:szCs w:val="24"/>
        </w:rPr>
        <w:t>.</w:t>
      </w:r>
    </w:p>
    <w:p w14:paraId="1739346F"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Por otro lado, en el 2021, Aula Abierta constató que el Estado venezolano ha acentuado la censura con procedimientos y mecanismos intimidatorios, generado un temor fundado en los jóvenes universitarios que ha mermado su participación en la discusión de los asuntos públicos</w:t>
      </w:r>
      <w:r w:rsidRPr="00945926">
        <w:rPr>
          <w:rFonts w:ascii="Cambria" w:eastAsia="Arial" w:hAnsi="Cambria" w:cs="Arial"/>
          <w:color w:val="000000"/>
          <w:sz w:val="24"/>
          <w:szCs w:val="24"/>
          <w:vertAlign w:val="superscript"/>
        </w:rPr>
        <w:footnoteReference w:id="51"/>
      </w:r>
      <w:r w:rsidRPr="00945926">
        <w:rPr>
          <w:rFonts w:ascii="Cambria" w:eastAsia="Times New Roman" w:hAnsi="Cambria" w:cs="Times New Roman"/>
          <w:color w:val="000000"/>
          <w:sz w:val="24"/>
          <w:szCs w:val="24"/>
        </w:rPr>
        <w:t>. Aunado a esto, las limitaciones que tienen los medios de comunicación tradicionales para ofrecer información y las deficiencias en el servicio de internet en el país también han fungido como obstáculos para el desarrollo de actividades relacionadas con los asuntos públicos</w:t>
      </w:r>
      <w:r w:rsidRPr="00945926">
        <w:rPr>
          <w:rFonts w:ascii="Cambria" w:eastAsia="Arial" w:hAnsi="Cambria" w:cs="Arial"/>
          <w:color w:val="000000"/>
          <w:sz w:val="24"/>
          <w:szCs w:val="24"/>
          <w:vertAlign w:val="superscript"/>
        </w:rPr>
        <w:footnoteReference w:id="52"/>
      </w:r>
      <w:r w:rsidRPr="00945926">
        <w:rPr>
          <w:rFonts w:ascii="Cambria" w:eastAsia="Times New Roman" w:hAnsi="Cambria" w:cs="Times New Roman"/>
          <w:color w:val="000000"/>
          <w:sz w:val="24"/>
          <w:szCs w:val="24"/>
        </w:rPr>
        <w:t>.</w:t>
      </w:r>
    </w:p>
    <w:p w14:paraId="089D468B" w14:textId="77777777" w:rsidR="005732F7" w:rsidRPr="00945926" w:rsidRDefault="005732F7" w:rsidP="007A1069">
      <w:pPr>
        <w:numPr>
          <w:ilvl w:val="0"/>
          <w:numId w:val="5"/>
        </w:numPr>
        <w:pBdr>
          <w:top w:val="nil"/>
          <w:left w:val="nil"/>
          <w:bottom w:val="nil"/>
          <w:right w:val="nil"/>
          <w:between w:val="nil"/>
        </w:pBdr>
        <w:spacing w:line="276" w:lineRule="auto"/>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Al respecto, en el 2021, Aula Abierta aplicó un instrumento a 182 estudiantes y 30 líderes estudiantiles de la comunidad universitaria de la región central, andina y occidental del país, en la cual el 90% de los líderes estudiantiles consideró que el Estado venezolano no proporciona las garantías para que ellos puedan libremente participar en la discusión de los asuntos públicos, mientras que sólo el 6,7% consideró que si hay protección y el 3,3% prefirió no responder</w:t>
      </w:r>
      <w:r w:rsidRPr="00945926">
        <w:rPr>
          <w:rFonts w:ascii="Cambria" w:eastAsia="Arial" w:hAnsi="Cambria" w:cs="Arial"/>
          <w:color w:val="000000"/>
          <w:sz w:val="24"/>
          <w:szCs w:val="24"/>
          <w:vertAlign w:val="superscript"/>
        </w:rPr>
        <w:footnoteReference w:id="53"/>
      </w:r>
      <w:r w:rsidRPr="00945926">
        <w:rPr>
          <w:rFonts w:ascii="Cambria" w:eastAsia="Times New Roman" w:hAnsi="Cambria" w:cs="Times New Roman"/>
          <w:color w:val="000000"/>
          <w:sz w:val="24"/>
          <w:szCs w:val="24"/>
        </w:rPr>
        <w:t>.</w:t>
      </w:r>
    </w:p>
    <w:p w14:paraId="3AA0B625" w14:textId="7BFB0ECA" w:rsidR="00403E1C" w:rsidRPr="00945926" w:rsidRDefault="00403E1C" w:rsidP="005D2128">
      <w:pPr>
        <w:pStyle w:val="Heading2"/>
        <w:rPr>
          <w:rFonts w:ascii="Cambria" w:eastAsia="Times New Roman" w:hAnsi="Cambria" w:cs="Times New Roman"/>
          <w:b/>
          <w:bCs/>
          <w:color w:val="000000"/>
          <w:sz w:val="24"/>
          <w:szCs w:val="24"/>
        </w:rPr>
      </w:pPr>
      <w:bookmarkStart w:id="15" w:name="_Toc144938456"/>
      <w:r w:rsidRPr="00945926">
        <w:rPr>
          <w:rFonts w:ascii="Cambria" w:eastAsia="Times New Roman" w:hAnsi="Cambria" w:cs="Times New Roman"/>
          <w:b/>
          <w:bCs/>
          <w:color w:val="000000"/>
          <w:sz w:val="24"/>
          <w:szCs w:val="24"/>
        </w:rPr>
        <w:t>Recomendaciones:</w:t>
      </w:r>
      <w:bookmarkEnd w:id="15"/>
    </w:p>
    <w:p w14:paraId="0787F285" w14:textId="11299AD2" w:rsidR="00403E1C" w:rsidRPr="00C30550" w:rsidRDefault="00403E1C" w:rsidP="00C30550">
      <w:pPr>
        <w:pStyle w:val="ListParagraph"/>
        <w:numPr>
          <w:ilvl w:val="0"/>
          <w:numId w:val="5"/>
        </w:numPr>
        <w:jc w:val="both"/>
        <w:rPr>
          <w:rFonts w:ascii="Cambria" w:eastAsia="Times New Roman" w:hAnsi="Cambria" w:cs="Times New Roman"/>
          <w:color w:val="000000"/>
          <w:sz w:val="24"/>
          <w:szCs w:val="24"/>
        </w:rPr>
      </w:pPr>
      <w:r w:rsidRPr="00945926">
        <w:rPr>
          <w:rFonts w:ascii="Cambria" w:eastAsia="Times New Roman" w:hAnsi="Cambria" w:cs="Times New Roman"/>
          <w:color w:val="000000"/>
          <w:sz w:val="24"/>
          <w:szCs w:val="24"/>
        </w:rPr>
        <w:t xml:space="preserve">Cesar la discriminación y exclusión por motivos políticos de profesores y estudiantes universitarios de los lugares de discusión de asuntos públicos para </w:t>
      </w:r>
      <w:r w:rsidRPr="00945926">
        <w:rPr>
          <w:rFonts w:ascii="Cambria" w:eastAsia="Times New Roman" w:hAnsi="Cambria" w:cs="Times New Roman"/>
          <w:color w:val="000000"/>
          <w:sz w:val="24"/>
          <w:szCs w:val="24"/>
        </w:rPr>
        <w:lastRenderedPageBreak/>
        <w:t>los que se encuentran legitimados para participar, en especial aquellos relacionados con sus intereses y derechos, respetando las opiniones pluralistas.</w:t>
      </w:r>
    </w:p>
    <w:p w14:paraId="7003E8E7" w14:textId="77777777" w:rsidR="009B71D1" w:rsidRPr="00945926" w:rsidRDefault="009B71D1" w:rsidP="00403E1C">
      <w:pPr>
        <w:jc w:val="both"/>
        <w:rPr>
          <w:rFonts w:ascii="Cambria" w:hAnsi="Cambria"/>
          <w:sz w:val="24"/>
          <w:szCs w:val="24"/>
        </w:rPr>
      </w:pPr>
    </w:p>
    <w:sectPr w:rsidR="009B71D1" w:rsidRPr="0094592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9CF10" w14:textId="77777777" w:rsidR="00877C01" w:rsidRDefault="00877C01" w:rsidP="005732F7">
      <w:pPr>
        <w:spacing w:after="0" w:line="240" w:lineRule="auto"/>
      </w:pPr>
      <w:r>
        <w:separator/>
      </w:r>
    </w:p>
  </w:endnote>
  <w:endnote w:type="continuationSeparator" w:id="0">
    <w:p w14:paraId="71BBA0CA" w14:textId="77777777" w:rsidR="00877C01" w:rsidRDefault="00877C01" w:rsidP="00573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644876"/>
      <w:docPartObj>
        <w:docPartGallery w:val="Page Numbers (Bottom of Page)"/>
        <w:docPartUnique/>
      </w:docPartObj>
    </w:sdtPr>
    <w:sdtContent>
      <w:p w14:paraId="73E76941" w14:textId="7DE43ACF" w:rsidR="00E736CE" w:rsidRDefault="00E736CE">
        <w:pPr>
          <w:pStyle w:val="Footer"/>
          <w:jc w:val="right"/>
        </w:pPr>
        <w:r>
          <w:fldChar w:fldCharType="begin"/>
        </w:r>
        <w:r>
          <w:instrText>PAGE   \* MERGEFORMAT</w:instrText>
        </w:r>
        <w:r>
          <w:fldChar w:fldCharType="separate"/>
        </w:r>
        <w:r>
          <w:rPr>
            <w:lang w:val="es-ES"/>
          </w:rPr>
          <w:t>2</w:t>
        </w:r>
        <w:r>
          <w:fldChar w:fldCharType="end"/>
        </w:r>
      </w:p>
    </w:sdtContent>
  </w:sdt>
  <w:p w14:paraId="350571D3" w14:textId="77777777" w:rsidR="00E736CE" w:rsidRDefault="00E73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360DF" w14:textId="77777777" w:rsidR="00877C01" w:rsidRDefault="00877C01" w:rsidP="005732F7">
      <w:pPr>
        <w:spacing w:after="0" w:line="240" w:lineRule="auto"/>
      </w:pPr>
      <w:r>
        <w:separator/>
      </w:r>
    </w:p>
  </w:footnote>
  <w:footnote w:type="continuationSeparator" w:id="0">
    <w:p w14:paraId="5FB2DB5B" w14:textId="77777777" w:rsidR="00877C01" w:rsidRDefault="00877C01" w:rsidP="005732F7">
      <w:pPr>
        <w:spacing w:after="0" w:line="240" w:lineRule="auto"/>
      </w:pPr>
      <w:r>
        <w:continuationSeparator/>
      </w:r>
    </w:p>
  </w:footnote>
  <w:footnote w:id="1">
    <w:p w14:paraId="470BC713"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Violaciones a la libertad académica, la autonomía universitaria y el derecho a la educación superior en Venezuela (2016 - 2021). Contribución para el Tercer Ciclo del Examen Periódico Universal del Periodo de Sesiones Nº 40 del Consejo de Derechos Humanos de las Naciones Unidas sobre Venezuela. Disponible en: </w:t>
      </w:r>
      <w:hyperlink r:id="rId1">
        <w:r w:rsidRPr="00945926">
          <w:rPr>
            <w:rFonts w:ascii="Cambria" w:hAnsi="Cambria"/>
            <w:color w:val="1155CC"/>
            <w:sz w:val="20"/>
            <w:szCs w:val="20"/>
            <w:u w:val="single"/>
          </w:rPr>
          <w:t>http://aulaabiertavenezuela.org/wp-content/uploads/2021/12/Violaciones-a-la-libertad-acad%C3%A9mica-la-autonom%C3%ADa-universitaria-y-el-derecho-a-la-educaci%C3%B3n-superior-en-Venezuela-2016-%E2%80%93-2021.pdf</w:t>
        </w:r>
      </w:hyperlink>
    </w:p>
  </w:footnote>
  <w:footnote w:id="2">
    <w:p w14:paraId="29E0FECB"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Violaciones a la libertad académica, la autonomía universitaria y el derecho a la educación superior en Venezuela (2016 - 2021). Contribución para el Tercer Ciclo del Examen Periódico Universal del Periodo de Sesiones Nº 40 del Consejo de Derechos Humanos de las Naciones Unidas sobre Venezuela. Pág. 5. Párr. 1. Disponible en: </w:t>
      </w:r>
      <w:hyperlink r:id="rId2">
        <w:r w:rsidRPr="00945926">
          <w:rPr>
            <w:rFonts w:ascii="Cambria" w:hAnsi="Cambria"/>
            <w:color w:val="1155CC"/>
            <w:sz w:val="20"/>
            <w:szCs w:val="20"/>
            <w:u w:val="single"/>
          </w:rPr>
          <w:t>http://aulaabiertavenezuela.org/wp-content/uploads/2021/12/Violaciones-a-la-libertad-acad%C3%A9mica-la-autonom%C3%ADa-universitaria-y-el-derecho-a-la-educaci%C3%B3n-superior-en-Venezuela-2016-%E2%80%93-2021.pdf</w:t>
        </w:r>
      </w:hyperlink>
    </w:p>
  </w:footnote>
  <w:footnote w:id="3">
    <w:p w14:paraId="379B71E3" w14:textId="77777777" w:rsidR="005732F7" w:rsidRPr="00945926" w:rsidRDefault="005732F7" w:rsidP="00945926">
      <w:pPr>
        <w:spacing w:after="0" w:line="240" w:lineRule="auto"/>
        <w:jc w:val="both"/>
        <w:rPr>
          <w:rFonts w:ascii="Cambria" w:eastAsia="Times New Roman" w:hAnsi="Cambria" w:cs="Times New Roman"/>
          <w:sz w:val="20"/>
          <w:szCs w:val="20"/>
        </w:rPr>
      </w:pPr>
      <w:r w:rsidRPr="00945926">
        <w:rPr>
          <w:rFonts w:ascii="Cambria" w:hAnsi="Cambria"/>
          <w:sz w:val="20"/>
          <w:szCs w:val="20"/>
          <w:vertAlign w:val="superscript"/>
        </w:rPr>
        <w:footnoteRef/>
      </w:r>
      <w:r w:rsidRPr="00945926">
        <w:rPr>
          <w:rFonts w:ascii="Cambria" w:eastAsia="Times New Roman" w:hAnsi="Cambria" w:cs="Times New Roman"/>
          <w:sz w:val="20"/>
          <w:szCs w:val="20"/>
        </w:rPr>
        <w:t xml:space="preserve"> Disponible en: </w:t>
      </w:r>
      <w:hyperlink r:id="rId3" w:anchor="page=1">
        <w:r w:rsidRPr="00945926">
          <w:rPr>
            <w:rFonts w:ascii="Cambria" w:eastAsia="Times New Roman" w:hAnsi="Cambria" w:cs="Times New Roman"/>
            <w:color w:val="0563C1"/>
            <w:sz w:val="20"/>
            <w:szCs w:val="20"/>
            <w:u w:val="single"/>
          </w:rPr>
          <w:t>http://historico.tsj.gob.ve/gaceta_ext/diciembre/4122013/E-4122013-3859.pdf#page=1</w:t>
        </w:r>
      </w:hyperlink>
    </w:p>
  </w:footnote>
  <w:footnote w:id="4">
    <w:p w14:paraId="616CD785" w14:textId="77777777" w:rsidR="005732F7" w:rsidRPr="00945926" w:rsidRDefault="005732F7" w:rsidP="00945926">
      <w:pPr>
        <w:spacing w:after="0" w:line="240" w:lineRule="auto"/>
        <w:jc w:val="both"/>
        <w:rPr>
          <w:rFonts w:ascii="Cambria" w:eastAsia="Times New Roman" w:hAnsi="Cambria" w:cs="Times New Roman"/>
          <w:sz w:val="20"/>
          <w:szCs w:val="20"/>
        </w:rPr>
      </w:pPr>
      <w:r w:rsidRPr="00945926">
        <w:rPr>
          <w:rFonts w:ascii="Cambria" w:hAnsi="Cambria"/>
          <w:sz w:val="20"/>
          <w:szCs w:val="20"/>
          <w:vertAlign w:val="superscript"/>
        </w:rPr>
        <w:footnoteRef/>
      </w:r>
      <w:r w:rsidRPr="00945926">
        <w:rPr>
          <w:rFonts w:ascii="Cambria" w:eastAsia="Times New Roman" w:hAnsi="Cambria" w:cs="Times New Roman"/>
          <w:sz w:val="20"/>
          <w:szCs w:val="20"/>
        </w:rPr>
        <w:t xml:space="preserve"> Artículo 2.2.12.10.</w:t>
      </w:r>
    </w:p>
  </w:footnote>
  <w:footnote w:id="5">
    <w:p w14:paraId="27950327" w14:textId="77777777" w:rsidR="005732F7" w:rsidRPr="00945926" w:rsidRDefault="005732F7" w:rsidP="00945926">
      <w:pPr>
        <w:spacing w:after="0" w:line="240" w:lineRule="auto"/>
        <w:jc w:val="both"/>
        <w:rPr>
          <w:rFonts w:ascii="Cambria" w:eastAsia="Times New Roman" w:hAnsi="Cambria" w:cs="Times New Roman"/>
          <w:sz w:val="20"/>
          <w:szCs w:val="20"/>
        </w:rPr>
      </w:pPr>
      <w:r w:rsidRPr="00945926">
        <w:rPr>
          <w:rFonts w:ascii="Cambria" w:hAnsi="Cambria"/>
          <w:sz w:val="20"/>
          <w:szCs w:val="20"/>
          <w:vertAlign w:val="superscript"/>
        </w:rPr>
        <w:footnoteRef/>
      </w:r>
      <w:r w:rsidRPr="00945926">
        <w:rPr>
          <w:rFonts w:ascii="Cambria" w:eastAsia="Times New Roman" w:hAnsi="Cambria" w:cs="Times New Roman"/>
          <w:sz w:val="20"/>
          <w:szCs w:val="20"/>
        </w:rPr>
        <w:t xml:space="preserve"> Artículo 1.5.1.</w:t>
      </w:r>
    </w:p>
  </w:footnote>
  <w:footnote w:id="6">
    <w:p w14:paraId="1AA6AFFC" w14:textId="77777777" w:rsidR="005732F7" w:rsidRPr="00945926" w:rsidRDefault="005732F7" w:rsidP="00945926">
      <w:pPr>
        <w:spacing w:after="0" w:line="240" w:lineRule="auto"/>
        <w:jc w:val="both"/>
        <w:rPr>
          <w:rFonts w:ascii="Cambria" w:eastAsia="Times New Roman" w:hAnsi="Cambria" w:cs="Times New Roman"/>
          <w:sz w:val="20"/>
          <w:szCs w:val="20"/>
        </w:rPr>
      </w:pPr>
      <w:r w:rsidRPr="00945926">
        <w:rPr>
          <w:rFonts w:ascii="Cambria" w:hAnsi="Cambria"/>
          <w:sz w:val="20"/>
          <w:szCs w:val="20"/>
          <w:vertAlign w:val="superscript"/>
        </w:rPr>
        <w:footnoteRef/>
      </w:r>
      <w:r w:rsidRPr="00945926">
        <w:rPr>
          <w:rFonts w:ascii="Cambria" w:eastAsia="Times New Roman" w:hAnsi="Cambria" w:cs="Times New Roman"/>
          <w:sz w:val="20"/>
          <w:szCs w:val="20"/>
        </w:rPr>
        <w:t xml:space="preserve"> Disponible en: </w:t>
      </w:r>
      <w:r w:rsidRPr="00945926">
        <w:rPr>
          <w:rFonts w:ascii="Cambria" w:eastAsia="Times New Roman" w:hAnsi="Cambria" w:cs="Times New Roman"/>
          <w:color w:val="0563C1"/>
          <w:sz w:val="20"/>
          <w:szCs w:val="20"/>
          <w:u w:val="single"/>
        </w:rPr>
        <w:t>http://www.mppp.gob.ve/wp-content/uploads/2019/04/GOE-6.442.pdf</w:t>
      </w:r>
    </w:p>
    <w:p w14:paraId="07BA0E99" w14:textId="77777777" w:rsidR="005732F7" w:rsidRPr="00945926" w:rsidRDefault="005732F7" w:rsidP="00945926">
      <w:pPr>
        <w:spacing w:after="0" w:line="240" w:lineRule="auto"/>
        <w:jc w:val="both"/>
        <w:rPr>
          <w:rFonts w:ascii="Cambria" w:eastAsia="Times New Roman" w:hAnsi="Cambria" w:cs="Times New Roman"/>
          <w:color w:val="0563C1"/>
          <w:sz w:val="20"/>
          <w:szCs w:val="20"/>
          <w:u w:val="single"/>
        </w:rPr>
      </w:pPr>
      <w:r w:rsidRPr="00945926">
        <w:rPr>
          <w:rFonts w:ascii="Cambria" w:eastAsia="Times New Roman" w:hAnsi="Cambria" w:cs="Times New Roman"/>
          <w:sz w:val="20"/>
          <w:szCs w:val="20"/>
        </w:rPr>
        <w:t xml:space="preserve">Recuperado de: </w:t>
      </w:r>
      <w:hyperlink r:id="rId4">
        <w:r w:rsidRPr="00945926">
          <w:rPr>
            <w:rFonts w:ascii="Cambria" w:eastAsia="Times New Roman" w:hAnsi="Cambria" w:cs="Times New Roman"/>
            <w:color w:val="0563C1"/>
            <w:sz w:val="20"/>
            <w:szCs w:val="20"/>
            <w:u w:val="single"/>
          </w:rPr>
          <w:t>http://www.psuv.org.ve/wp-content/uploads/2019/01/Plan-de-la-Patria-2019-2025.pdf</w:t>
        </w:r>
      </w:hyperlink>
    </w:p>
  </w:footnote>
  <w:footnote w:id="7">
    <w:p w14:paraId="07CEB1F7"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Violaciones a la libertad académica, la autonomía universitaria y el derecho a la educación superior en Venezuela (2016 - 2021). Contribución para el Tercer Ciclo del Examen Periódico Universal del Periodo de Sesiones Nº 40 del Consejo de Derechos Humanos de las Naciones Unidas sobre Venezuela. Pág. 10. Párr. 17. Disponible en: </w:t>
      </w:r>
      <w:hyperlink r:id="rId5">
        <w:r w:rsidRPr="00945926">
          <w:rPr>
            <w:rFonts w:ascii="Cambria" w:hAnsi="Cambria"/>
            <w:color w:val="1155CC"/>
            <w:sz w:val="20"/>
            <w:szCs w:val="20"/>
            <w:u w:val="single"/>
          </w:rPr>
          <w:t>http://aulaabiertavenezuela.org/wp-content/uploads/2021/12/Violaciones-a-la-libertad-acad%C3%A9mica-la-autonom%C3%ADa-universitaria-y-el-derecho-a-la-educaci%C3%B3n-superior-en-Venezuela-2016-%E2%80%93-2021.pdf</w:t>
        </w:r>
      </w:hyperlink>
    </w:p>
  </w:footnote>
  <w:footnote w:id="8">
    <w:p w14:paraId="37A84971" w14:textId="4B4F7936" w:rsidR="001B6E1C" w:rsidRPr="001B6E1C" w:rsidRDefault="001B6E1C">
      <w:pPr>
        <w:pStyle w:val="FootnoteText"/>
        <w:rPr>
          <w:rFonts w:ascii="Cambria" w:hAnsi="Cambria"/>
        </w:rPr>
      </w:pPr>
      <w:r>
        <w:rPr>
          <w:rStyle w:val="FootnoteReference"/>
        </w:rPr>
        <w:footnoteRef/>
      </w:r>
      <w:r>
        <w:t xml:space="preserve"> </w:t>
      </w:r>
      <w:r>
        <w:rPr>
          <w:rFonts w:ascii="Cambria" w:hAnsi="Cambria"/>
        </w:rPr>
        <w:t xml:space="preserve">Aula Abierta. 2022. Informe. Disponible en: </w:t>
      </w:r>
      <w:hyperlink r:id="rId6" w:history="1">
        <w:r w:rsidRPr="00C23225">
          <w:rPr>
            <w:rStyle w:val="Hyperlink"/>
            <w:rFonts w:ascii="Cambria" w:hAnsi="Cambria"/>
          </w:rPr>
          <w:t>https://aulaabiertavenezuela.org/wp-content/uploads/2022/10/Adoctrinamiento-de-la-juventud-venezolana.pdf</w:t>
        </w:r>
      </w:hyperlink>
      <w:r>
        <w:rPr>
          <w:rFonts w:ascii="Cambria" w:hAnsi="Cambria"/>
        </w:rPr>
        <w:t xml:space="preserve"> </w:t>
      </w:r>
    </w:p>
  </w:footnote>
  <w:footnote w:id="9">
    <w:p w14:paraId="57C28C9F" w14:textId="32C577A9" w:rsidR="001B6E1C" w:rsidRDefault="001B6E1C">
      <w:pPr>
        <w:pStyle w:val="FootnoteText"/>
      </w:pPr>
      <w:r>
        <w:rPr>
          <w:rStyle w:val="FootnoteReference"/>
        </w:rPr>
        <w:footnoteRef/>
      </w:r>
      <w:r>
        <w:t xml:space="preserve"> Ibidem. </w:t>
      </w:r>
    </w:p>
  </w:footnote>
  <w:footnote w:id="10">
    <w:p w14:paraId="28C53A16"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2020. INFORME PRELIMINAR: VIOLACIONES A LA LIBERTAD ACADÉMICA, AUTONOMÍA UNIVERSITARIA Y OTROS DERECHOS DE LOS UNIVERSITARIOS EN VENEZUELA. Párr. 23. Disponible en: </w:t>
      </w:r>
      <w:hyperlink r:id="rId7">
        <w:r w:rsidRPr="00945926">
          <w:rPr>
            <w:rFonts w:ascii="Cambria" w:eastAsia="Cambria" w:hAnsi="Cambria" w:cs="Cambria"/>
            <w:color w:val="0000FF"/>
            <w:sz w:val="20"/>
            <w:szCs w:val="20"/>
            <w:u w:val="single"/>
          </w:rPr>
          <w:t>http://aulaabiertavenezuela.org/wp-content/uploads/2020/01/INFORME-PRELIMINAR-VIOLACIONES-A-LA-LIBERTAD-ACAD%C3%89MICA-AUTONOM%C3%8DA-UNIVERSITARIA-Y-OTROS-DERECHOS-DE-LOS-UNIVERSITARIOS-EN-VENEZUELA-1.pdf</w:t>
        </w:r>
      </w:hyperlink>
    </w:p>
  </w:footnote>
  <w:footnote w:id="11">
    <w:p w14:paraId="3152391B"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79. Párr. 2. Disponible en: </w:t>
      </w:r>
      <w:hyperlink r:id="rId8">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 w:id="12">
    <w:p w14:paraId="3A6595DA"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81. Párr. 11. Disponible en: </w:t>
      </w:r>
      <w:hyperlink r:id="rId9">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 w:id="13">
    <w:p w14:paraId="6632AC40"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52 - 61. Párr. 120 - 141. Disponible en: </w:t>
      </w:r>
      <w:hyperlink r:id="rId10">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 w:id="14">
    <w:p w14:paraId="41070E35" w14:textId="77777777" w:rsidR="005732F7" w:rsidRPr="00945926" w:rsidRDefault="005732F7" w:rsidP="00945926">
      <w:pPr>
        <w:spacing w:after="0" w:line="240" w:lineRule="auto"/>
        <w:jc w:val="both"/>
        <w:rPr>
          <w:rFonts w:ascii="Cambria" w:eastAsia="Times New Roman" w:hAnsi="Cambria" w:cs="Times New Roman"/>
          <w:sz w:val="20"/>
          <w:szCs w:val="20"/>
        </w:rPr>
      </w:pPr>
      <w:r w:rsidRPr="00945926">
        <w:rPr>
          <w:rFonts w:ascii="Cambria" w:hAnsi="Cambria"/>
          <w:sz w:val="20"/>
          <w:szCs w:val="20"/>
          <w:vertAlign w:val="superscript"/>
        </w:rPr>
        <w:footnoteRef/>
      </w:r>
      <w:r w:rsidRPr="00945926">
        <w:rPr>
          <w:rFonts w:ascii="Cambria" w:eastAsia="Times New Roman" w:hAnsi="Cambria" w:cs="Times New Roman"/>
          <w:sz w:val="20"/>
          <w:szCs w:val="20"/>
        </w:rPr>
        <w:t xml:space="preserve"> Ver: </w:t>
      </w:r>
      <w:hyperlink r:id="rId11">
        <w:r w:rsidRPr="00945926">
          <w:rPr>
            <w:rFonts w:ascii="Cambria" w:eastAsia="Times New Roman" w:hAnsi="Cambria" w:cs="Times New Roman"/>
            <w:color w:val="0563C1"/>
            <w:sz w:val="20"/>
            <w:szCs w:val="20"/>
            <w:u w:val="single"/>
          </w:rPr>
          <w:t>https://www.youtube.com/watch?v=VViBRYvhvaQ</w:t>
        </w:r>
      </w:hyperlink>
    </w:p>
  </w:footnote>
  <w:footnote w:id="15">
    <w:p w14:paraId="46B8E3DD" w14:textId="77777777" w:rsidR="005732F7" w:rsidRPr="00945926" w:rsidRDefault="005732F7" w:rsidP="00945926">
      <w:pPr>
        <w:spacing w:after="0" w:line="240" w:lineRule="auto"/>
        <w:jc w:val="both"/>
        <w:rPr>
          <w:rFonts w:ascii="Cambria" w:eastAsia="Times New Roman" w:hAnsi="Cambria" w:cs="Times New Roman"/>
          <w:sz w:val="20"/>
          <w:szCs w:val="20"/>
        </w:rPr>
      </w:pPr>
      <w:r w:rsidRPr="00945926">
        <w:rPr>
          <w:rFonts w:ascii="Cambria" w:hAnsi="Cambria"/>
          <w:sz w:val="20"/>
          <w:szCs w:val="20"/>
          <w:vertAlign w:val="superscript"/>
        </w:rPr>
        <w:footnoteRef/>
      </w:r>
      <w:r w:rsidRPr="00945926">
        <w:rPr>
          <w:rFonts w:ascii="Cambria" w:eastAsia="Times New Roman" w:hAnsi="Cambria" w:cs="Times New Roman"/>
          <w:sz w:val="20"/>
          <w:szCs w:val="20"/>
        </w:rPr>
        <w:t xml:space="preserve"> </w:t>
      </w:r>
      <w:r w:rsidRPr="00945926">
        <w:rPr>
          <w:rFonts w:ascii="Cambria" w:eastAsia="Times New Roman" w:hAnsi="Cambria" w:cs="Times New Roman"/>
          <w:color w:val="2A2A2C"/>
          <w:sz w:val="20"/>
          <w:szCs w:val="20"/>
          <w:highlight w:val="white"/>
        </w:rPr>
        <w:t>Término usado para referirse a personalidades que han alcanzado fortunas y llevan vidas lujosas debido a sus negocios con el Gobierno venezolano.</w:t>
      </w:r>
    </w:p>
  </w:footnote>
  <w:footnote w:id="16">
    <w:p w14:paraId="3E0A829B"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71 - 75. Párr. 170 - 186. Disponible en: </w:t>
      </w:r>
      <w:hyperlink r:id="rId12">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 w:id="17">
    <w:p w14:paraId="34414EAC"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2017. Violaciones y abusos de los derechos humanos a la comunidad universitaria en Venezuela durante las protestas de marzo-agosto 2017. </w:t>
      </w:r>
    </w:p>
  </w:footnote>
  <w:footnote w:id="18">
    <w:p w14:paraId="4873F892"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37. Párr. 83. Disponible en: </w:t>
      </w:r>
      <w:hyperlink r:id="rId13">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 w:id="19">
    <w:p w14:paraId="2413DBF2"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80 - 81. Párr. 7, 9, 10. Disponible en: </w:t>
      </w:r>
      <w:hyperlink r:id="rId14">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 w:id="20">
    <w:p w14:paraId="28E9A3C3"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Pág. 34. Párr. 1. Disponible en: </w:t>
      </w:r>
      <w:hyperlink r:id="rId15">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21">
    <w:p w14:paraId="263C494E"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Pág. 34. Párr. 2. Disponible en: </w:t>
      </w:r>
      <w:hyperlink r:id="rId16">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22">
    <w:p w14:paraId="71D50A87"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17. Disponible en: </w:t>
      </w:r>
      <w:hyperlink r:id="rId17">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23">
    <w:p w14:paraId="1501CB0A"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18. Disponible en: </w:t>
      </w:r>
      <w:hyperlink r:id="rId18">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24">
    <w:p w14:paraId="63588DF8" w14:textId="77777777" w:rsidR="00354823" w:rsidRPr="00945926" w:rsidRDefault="00354823" w:rsidP="00354823">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22 - 23. Disponible en: </w:t>
      </w:r>
      <w:hyperlink r:id="rId19">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25">
    <w:p w14:paraId="00D70AFD"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49. Disponible en: </w:t>
      </w:r>
      <w:hyperlink r:id="rId20">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26">
    <w:p w14:paraId="54CD42E8"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Cabe destacar que </w:t>
      </w:r>
      <w:r w:rsidRPr="00945926">
        <w:rPr>
          <w:rFonts w:ascii="Cambria" w:eastAsia="Cambria" w:hAnsi="Cambria" w:cs="Cambria"/>
          <w:sz w:val="20"/>
          <w:szCs w:val="20"/>
        </w:rPr>
        <w:t>la Misión realizó su investigación con una muestra mayor de casos, sin embargo, las cifras obtenidas por Aula Abierta se obtuvieron de los casos emblemáticos individualizados dentro de los informes.</w:t>
      </w:r>
    </w:p>
  </w:footnote>
  <w:footnote w:id="27">
    <w:p w14:paraId="618CA48F"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81. Disponible en: </w:t>
      </w:r>
      <w:hyperlink r:id="rId21">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28">
    <w:p w14:paraId="6B91E4ED"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75. Disponible en: </w:t>
      </w:r>
      <w:hyperlink r:id="rId22">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29">
    <w:p w14:paraId="57085647"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76. Disponible en: </w:t>
      </w:r>
      <w:hyperlink r:id="rId23">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30">
    <w:p w14:paraId="75E2B722"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77. Disponible en: </w:t>
      </w:r>
      <w:hyperlink r:id="rId24">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31">
    <w:p w14:paraId="15988F49"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78. Disponible en: </w:t>
      </w:r>
      <w:hyperlink r:id="rId25">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32">
    <w:p w14:paraId="18BDA7C8"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79. Disponible en: </w:t>
      </w:r>
      <w:hyperlink r:id="rId26">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33">
    <w:p w14:paraId="3EDA6957"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80. Disponible en: </w:t>
      </w:r>
      <w:hyperlink r:id="rId27">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34">
    <w:p w14:paraId="5C080599"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18. Disponible en: </w:t>
      </w:r>
      <w:hyperlink r:id="rId28">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35">
    <w:p w14:paraId="2EF9A08A"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2022. INFORME PRELIMINAR: LOS UNIVERSITARIOS COMO GRUPO EN SITUACIÓN DE VULNERABILIDAD EN CONTEXTOS DE RESTRICCIÓN DEL ESPACIO CÍVICO. Párr. 60. Disponible en: </w:t>
      </w:r>
      <w:hyperlink r:id="rId29">
        <w:r w:rsidRPr="00945926">
          <w:rPr>
            <w:rFonts w:ascii="Cambria" w:hAnsi="Cambria"/>
            <w:color w:val="1155CC"/>
            <w:sz w:val="20"/>
            <w:szCs w:val="20"/>
            <w:u w:val="single"/>
          </w:rPr>
          <w:t>https://aulaabiertavenezuela.org/wp-content/uploads/2022/06/Universitarios-en-vulnerabilidad-en-contextos-de-restriccion-del-espacio-civico.pdf</w:t>
        </w:r>
      </w:hyperlink>
    </w:p>
  </w:footnote>
  <w:footnote w:id="36">
    <w:p w14:paraId="39908E1F"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SITUACIÓN DEL DERECHO A LA LIBERTAD DE ASOCIACIÓN Y DE EXPRESIÓN DE LOS PROFESORES UNIVERSITARIOS EN VENEZUELA. Párrafos 32 al 60. Disponible en: </w:t>
      </w:r>
      <w:hyperlink r:id="rId30">
        <w:r w:rsidRPr="00945926">
          <w:rPr>
            <w:rFonts w:ascii="Cambria" w:eastAsia="Cambria" w:hAnsi="Cambria" w:cs="Cambria"/>
            <w:color w:val="0563C1"/>
            <w:sz w:val="20"/>
            <w:szCs w:val="20"/>
            <w:u w:val="single"/>
          </w:rPr>
          <w:t>http://aulaabiertavenezuela.org/wp-content/uploads/2021/02/INFORME-UNIVERSITARIOS-Situaci%C3%B3n-del-derecho-a-la-libertad-de-asociaci%C3%B3n-y-de-expresi%C3%B3n-de-los-profesores-universitarios-en-Venezuela-2020-.-2021.pdf</w:t>
        </w:r>
      </w:hyperlink>
    </w:p>
  </w:footnote>
  <w:footnote w:id="37">
    <w:p w14:paraId="79A919BE"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SITUACIÓN DEL DERECHO A LA LIBERTAD DE ASOCIACIÓN Y DE EXPRESIÓN DE LOS PROFESORES UNIVERSITARIOS EN VENEZUELA. Párrafos 10 al 13. Disponible en: </w:t>
      </w:r>
      <w:hyperlink r:id="rId31">
        <w:r w:rsidRPr="00945926">
          <w:rPr>
            <w:rFonts w:ascii="Cambria" w:eastAsia="Cambria" w:hAnsi="Cambria" w:cs="Cambria"/>
            <w:color w:val="0563C1"/>
            <w:sz w:val="20"/>
            <w:szCs w:val="20"/>
            <w:u w:val="single"/>
          </w:rPr>
          <w:t>http://aulaabiertavenezuela.org/wp-content/uploads/2021/02/INFORME-UNIVERSITARIOS-Situaci%C3%B3n-del-derecho-a-la-libertad-de-asociaci%C3%B3n-y-de-expresi%C3%B3n-de-los-profesores-universitarios-en-Venezuela-2020-.-2021.pdf</w:t>
        </w:r>
      </w:hyperlink>
    </w:p>
  </w:footnote>
  <w:footnote w:id="38">
    <w:p w14:paraId="674D9019"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Ibidem. </w:t>
      </w:r>
    </w:p>
  </w:footnote>
  <w:footnote w:id="39">
    <w:p w14:paraId="259DF583"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2022. Nota de prensa: Universitarios rechazan instructivo del Gobierno que reduce los sueldos y elimina beneficios. Disponible en: </w:t>
      </w:r>
      <w:hyperlink r:id="rId32">
        <w:r w:rsidRPr="00945926">
          <w:rPr>
            <w:rFonts w:ascii="Cambria" w:eastAsia="Cambria" w:hAnsi="Cambria" w:cs="Cambria"/>
            <w:color w:val="0563C1"/>
            <w:sz w:val="20"/>
            <w:szCs w:val="20"/>
            <w:u w:val="single"/>
          </w:rPr>
          <w:t>https://aulaabiertavenezuela.org/index.php/2022/07/28/universitarios-rechazan-instructivo-gobierno-reduce-sueldos-garcia-arocha/</w:t>
        </w:r>
      </w:hyperlink>
      <w:r w:rsidRPr="00945926">
        <w:rPr>
          <w:rFonts w:ascii="Cambria" w:eastAsia="Cambria" w:hAnsi="Cambria" w:cs="Cambria"/>
          <w:sz w:val="20"/>
          <w:szCs w:val="20"/>
        </w:rPr>
        <w:t xml:space="preserve"> </w:t>
      </w:r>
    </w:p>
    <w:p w14:paraId="37E061AE"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eastAsia="Cambria" w:hAnsi="Cambria" w:cs="Cambria"/>
          <w:sz w:val="20"/>
          <w:szCs w:val="20"/>
        </w:rPr>
        <w:t xml:space="preserve">Aula Abierta. 2022. Nota de prensa: APUCV: el Gobierno intenta desarticular las universidades en perjuicio de los trabajadores. Disponible en: </w:t>
      </w:r>
      <w:hyperlink r:id="rId33">
        <w:r w:rsidRPr="00945926">
          <w:rPr>
            <w:rFonts w:ascii="Cambria" w:eastAsia="Cambria" w:hAnsi="Cambria" w:cs="Cambria"/>
            <w:color w:val="0563C1"/>
            <w:sz w:val="20"/>
            <w:szCs w:val="20"/>
            <w:u w:val="single"/>
          </w:rPr>
          <w:t>https://aulaabiertavenezuela.org/index.php/2022/05/27/apucv-el-gobierno-intenta-desarticular-las-universidades-en-perjuicio-de-los-trabajadores/</w:t>
        </w:r>
      </w:hyperlink>
      <w:r w:rsidRPr="00945926">
        <w:rPr>
          <w:rFonts w:ascii="Cambria" w:eastAsia="Cambria" w:hAnsi="Cambria" w:cs="Cambria"/>
          <w:sz w:val="20"/>
          <w:szCs w:val="20"/>
        </w:rPr>
        <w:t xml:space="preserve"> </w:t>
      </w:r>
    </w:p>
  </w:footnote>
  <w:footnote w:id="40">
    <w:p w14:paraId="361027CE"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SITUACIÓN DEL DERECHO A LA LIBERTAD DE ASOCIACIÓN Y DE EXPRESIÓN DE LOS PROFESORES UNIVERSITARIOS EN VENEZUELA. Párrafo 2; 6 y 7. Disponible en: </w:t>
      </w:r>
      <w:hyperlink r:id="rId34">
        <w:r w:rsidRPr="00945926">
          <w:rPr>
            <w:rFonts w:ascii="Cambria" w:eastAsia="Cambria" w:hAnsi="Cambria" w:cs="Cambria"/>
            <w:color w:val="0563C1"/>
            <w:sz w:val="20"/>
            <w:szCs w:val="20"/>
            <w:u w:val="single"/>
          </w:rPr>
          <w:t>http://aulaabiertavenezuela.org/wp-content/uploads/2021/02/INFORME-UNIVERSITARIOS-Situaci%C3%B3n-del-derecho-a-la-libertad-de-asociaci%C3%B3n-y-de-expresi%C3%B3n-de-los-profesores-universitarios-en-Venezuela-2020-.-2021.pdf</w:t>
        </w:r>
      </w:hyperlink>
    </w:p>
  </w:footnote>
  <w:footnote w:id="41">
    <w:p w14:paraId="24D3CA47"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SITUACIÓN DEL DERECHO A LA LIBERTAD DE ASOCIACIÓN Y DE EXPRESIÓN DE LOS PROFESORES UNIVERSITARIOS EN VENEZUELA. Párrafos 14 al 17. Disponible en: </w:t>
      </w:r>
      <w:hyperlink r:id="rId35">
        <w:r w:rsidRPr="00945926">
          <w:rPr>
            <w:rFonts w:ascii="Cambria" w:eastAsia="Cambria" w:hAnsi="Cambria" w:cs="Cambria"/>
            <w:color w:val="0563C1"/>
            <w:sz w:val="20"/>
            <w:szCs w:val="20"/>
            <w:u w:val="single"/>
          </w:rPr>
          <w:t>http://aulaabiertavenezuela.org/wp-content/uploads/2021/02/INFORME-UNIVERSITARIOS-Situaci%C3%B3n-del-derecho-a-la-libertad-de-asociaci%C3%B3n-y-de-expresi%C3%B3n-de-los-profesores-universitarios-en-Venezuela-2020-.-2021.pdf</w:t>
        </w:r>
      </w:hyperlink>
    </w:p>
    <w:p w14:paraId="6C03C15C" w14:textId="77777777" w:rsidR="005732F7" w:rsidRPr="00945926" w:rsidRDefault="005732F7" w:rsidP="00945926">
      <w:pPr>
        <w:spacing w:after="0" w:line="240" w:lineRule="auto"/>
        <w:jc w:val="both"/>
        <w:rPr>
          <w:rFonts w:ascii="Cambria" w:eastAsia="Cambria" w:hAnsi="Cambria" w:cs="Cambria"/>
          <w:color w:val="0563C1"/>
          <w:sz w:val="20"/>
          <w:szCs w:val="20"/>
          <w:u w:val="single"/>
        </w:rPr>
      </w:pPr>
      <w:r w:rsidRPr="00945926">
        <w:rPr>
          <w:rFonts w:ascii="Cambria" w:eastAsia="Cambria" w:hAnsi="Cambria" w:cs="Cambria"/>
          <w:sz w:val="20"/>
          <w:szCs w:val="20"/>
        </w:rPr>
        <w:t xml:space="preserve">Aula Abierta. 2021. </w:t>
      </w:r>
      <w:r w:rsidRPr="00945926">
        <w:rPr>
          <w:rFonts w:ascii="Tahoma" w:eastAsia="Tahoma" w:hAnsi="Tahoma" w:cs="Tahoma"/>
          <w:sz w:val="20"/>
          <w:szCs w:val="20"/>
        </w:rPr>
        <w:t>﻿</w:t>
      </w:r>
      <w:r w:rsidRPr="00945926">
        <w:rPr>
          <w:rFonts w:ascii="Cambria" w:eastAsia="Cambria" w:hAnsi="Cambria" w:cs="Cambria"/>
          <w:sz w:val="20"/>
          <w:szCs w:val="20"/>
        </w:rPr>
        <w:t xml:space="preserve">Nota de prensa: FAPUV: las tablas de la IV CCU no se pueden llamar salariales. Disponible en: </w:t>
      </w:r>
      <w:hyperlink r:id="rId36">
        <w:r w:rsidRPr="00945926">
          <w:rPr>
            <w:rFonts w:ascii="Cambria" w:eastAsia="Cambria" w:hAnsi="Cambria" w:cs="Cambria"/>
            <w:color w:val="0563C1"/>
            <w:sz w:val="20"/>
            <w:szCs w:val="20"/>
            <w:u w:val="single"/>
          </w:rPr>
          <w:t>https://aulaabiertavenezuela.org/index.php/2021/08/17/fapuv-las-tablas-de-la-iv-ccu-no-se-pueden-llamar-salariales/</w:t>
        </w:r>
      </w:hyperlink>
      <w:r w:rsidRPr="00945926">
        <w:rPr>
          <w:rFonts w:ascii="Cambria" w:eastAsia="Cambria" w:hAnsi="Cambria" w:cs="Cambria"/>
          <w:sz w:val="20"/>
          <w:szCs w:val="20"/>
        </w:rPr>
        <w:t xml:space="preserve"> </w:t>
      </w:r>
    </w:p>
  </w:footnote>
  <w:footnote w:id="42">
    <w:p w14:paraId="671DCFC5"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SITUACIÓN DEL DERECHO A LA LIBERTAD DE ASOCIACIÓN Y DE EXPRESIÓN DE LOS PROFESORES UNIVERSITARIOS EN VENEZUELA. Párrafos 61 al 71. Disponible en: </w:t>
      </w:r>
      <w:hyperlink r:id="rId37">
        <w:r w:rsidRPr="00945926">
          <w:rPr>
            <w:rFonts w:ascii="Cambria" w:eastAsia="Cambria" w:hAnsi="Cambria" w:cs="Cambria"/>
            <w:color w:val="0563C1"/>
            <w:sz w:val="20"/>
            <w:szCs w:val="20"/>
            <w:u w:val="single"/>
          </w:rPr>
          <w:t>http://aulaabiertavenezuela.org/wp-content/uploads/2021/02/INFORME-UNIVERSITARIOS-Situaci%C3%B3n-del-derecho-a-la-libertad-de-asociaci%C3%B3n-y-de-expresi%C3%B3n-de-los-profesores-universitarios-en-Venezuela-2020-.-2021.pdf</w:t>
        </w:r>
      </w:hyperlink>
    </w:p>
  </w:footnote>
  <w:footnote w:id="43">
    <w:p w14:paraId="7DB8A163" w14:textId="77777777" w:rsidR="005732F7" w:rsidRPr="00945926" w:rsidRDefault="005732F7" w:rsidP="00945926">
      <w:pPr>
        <w:spacing w:after="0" w:line="240" w:lineRule="auto"/>
        <w:jc w:val="both"/>
        <w:rPr>
          <w:rFonts w:ascii="Cambria" w:eastAsia="Calibri" w:hAnsi="Cambria" w:cs="Calibri"/>
          <w:sz w:val="20"/>
          <w:szCs w:val="20"/>
        </w:rPr>
      </w:pPr>
      <w:r w:rsidRPr="00945926">
        <w:rPr>
          <w:rFonts w:ascii="Cambria" w:hAnsi="Cambria"/>
          <w:sz w:val="20"/>
          <w:szCs w:val="20"/>
          <w:vertAlign w:val="superscript"/>
        </w:rPr>
        <w:footnoteRef/>
      </w:r>
      <w:r w:rsidRPr="00945926">
        <w:rPr>
          <w:rFonts w:ascii="Cambria" w:eastAsia="Calibri" w:hAnsi="Cambria" w:cs="Calibri"/>
          <w:sz w:val="20"/>
          <w:szCs w:val="20"/>
        </w:rPr>
        <w:t xml:space="preserve"> Véase: Nota de prensa de Aula Abierta “RECTORES DE AVERU BAJO AMENAZA POR CUESTIONAR GOBIERNO DE FACTO”. Disponible en:</w:t>
      </w:r>
      <w:hyperlink r:id="rId38">
        <w:r w:rsidRPr="00945926">
          <w:rPr>
            <w:rFonts w:ascii="Cambria" w:eastAsia="Calibri" w:hAnsi="Cambria" w:cs="Calibri"/>
            <w:sz w:val="20"/>
            <w:szCs w:val="20"/>
          </w:rPr>
          <w:t xml:space="preserve"> </w:t>
        </w:r>
      </w:hyperlink>
      <w:hyperlink r:id="rId39">
        <w:r w:rsidRPr="00945926">
          <w:rPr>
            <w:rFonts w:ascii="Cambria" w:eastAsia="Calibri" w:hAnsi="Cambria" w:cs="Calibri"/>
            <w:color w:val="0563C1"/>
            <w:sz w:val="20"/>
            <w:szCs w:val="20"/>
            <w:u w:val="single"/>
          </w:rPr>
          <w:t>http://aulaabiertavenezuela.org/index.php/2019/08/02/rectores-de-averu-bajo-amenaza-por-cuestionar-gobierno-de-facto/</w:t>
        </w:r>
      </w:hyperlink>
    </w:p>
  </w:footnote>
  <w:footnote w:id="44">
    <w:p w14:paraId="2F145797"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VENEZUELA: ELECCIONES ESTUDIANTILES UNIVERSITARIAS BAJO AMENAZA. Párrafos 1 al 6. Disponible en: </w:t>
      </w:r>
      <w:hyperlink r:id="rId40">
        <w:r w:rsidRPr="00945926">
          <w:rPr>
            <w:rFonts w:ascii="Cambria" w:eastAsia="Cambria" w:hAnsi="Cambria" w:cs="Cambria"/>
            <w:color w:val="0563C1"/>
            <w:sz w:val="20"/>
            <w:szCs w:val="20"/>
            <w:u w:val="single"/>
          </w:rPr>
          <w:t>http://aulaabiertavenezuela.org/wp-content/uploads/2021/04/INFORME-PRELIMINAR-VENEZUELA-ELECCIONES-ESTUDIANTILES-UNIVERSITARIAS-BAJO-AMENAZA.pdf</w:t>
        </w:r>
      </w:hyperlink>
      <w:r w:rsidRPr="00945926">
        <w:rPr>
          <w:rFonts w:ascii="Cambria" w:eastAsia="Cambria" w:hAnsi="Cambria" w:cs="Cambria"/>
          <w:sz w:val="20"/>
          <w:szCs w:val="20"/>
        </w:rPr>
        <w:t xml:space="preserve"> </w:t>
      </w:r>
    </w:p>
  </w:footnote>
  <w:footnote w:id="45">
    <w:p w14:paraId="3A7102D0"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VENEZUELA: ELECCIONES ESTUDIANTILES UNIVERSITARIAS BAJO AMENAZA. Párrafo 50. Disponible en: </w:t>
      </w:r>
      <w:hyperlink r:id="rId41">
        <w:r w:rsidRPr="00945926">
          <w:rPr>
            <w:rFonts w:ascii="Cambria" w:eastAsia="Cambria" w:hAnsi="Cambria" w:cs="Cambria"/>
            <w:color w:val="0563C1"/>
            <w:sz w:val="20"/>
            <w:szCs w:val="20"/>
            <w:u w:val="single"/>
          </w:rPr>
          <w:t>http://aulaabiertavenezuela.org/wp-content/uploads/2021/04/INFORME-PRELIMINAR-VENEZUELA-ELECCIONES-ESTUDIANTILES-UNIVERSITARIAS-BAJO-AMENAZA.pdf</w:t>
        </w:r>
      </w:hyperlink>
    </w:p>
  </w:footnote>
  <w:footnote w:id="46">
    <w:p w14:paraId="1C85BFEE"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2019  “INFORME: DECISIONES DEL PODER JUDICIAL QUE ATENTAN CONTRA EL PRINCIPIO DE AUTONOMÍA UNIVERSITARIA Y LA LIBERTAD ACADÉMICA EN VENEZUELA.” Disponible en: </w:t>
      </w:r>
      <w:hyperlink r:id="rId42">
        <w:r w:rsidRPr="00945926">
          <w:rPr>
            <w:rFonts w:ascii="Cambria" w:eastAsia="Cambria" w:hAnsi="Cambria" w:cs="Cambria"/>
            <w:color w:val="0563C1"/>
            <w:sz w:val="20"/>
            <w:szCs w:val="20"/>
            <w:u w:val="single"/>
          </w:rPr>
          <w:t>http://aulaabiertavenezuela.org/wp-content/uploads/2017/08/informe-preliminar-sobre-decisiones-del-poder-judicial-1.pdf</w:t>
        </w:r>
      </w:hyperlink>
      <w:r w:rsidRPr="00945926">
        <w:rPr>
          <w:rFonts w:ascii="Cambria" w:eastAsia="Cambria" w:hAnsi="Cambria" w:cs="Cambria"/>
          <w:sz w:val="20"/>
          <w:szCs w:val="20"/>
        </w:rPr>
        <w:t xml:space="preserve"> </w:t>
      </w:r>
    </w:p>
    <w:p w14:paraId="5220C32F"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eastAsia="Cambria" w:hAnsi="Cambria" w:cs="Cambria"/>
          <w:sz w:val="20"/>
          <w:szCs w:val="20"/>
        </w:rPr>
        <w:t xml:space="preserve">Aula Abierta. 2021. INFORME PRELIMINAR: VENEZUELA: ELECCIONES ESTUDIANTILES UNIVERSITARIAS BAJO AMENAZA. Párrafo 2. Disponible en: </w:t>
      </w:r>
      <w:hyperlink r:id="rId43">
        <w:r w:rsidRPr="00945926">
          <w:rPr>
            <w:rFonts w:ascii="Cambria" w:eastAsia="Cambria" w:hAnsi="Cambria" w:cs="Cambria"/>
            <w:color w:val="0563C1"/>
            <w:sz w:val="20"/>
            <w:szCs w:val="20"/>
            <w:u w:val="single"/>
          </w:rPr>
          <w:t>http://aulaabiertavenezuela.org/wp-content/uploads/2021/04/INFORME-PRELIMINAR-VENEZUELA-ELECCIONES-ESTUDIANTILES-UNIVERSITARIAS-BAJO-AMENAZA.pdf</w:t>
        </w:r>
      </w:hyperlink>
    </w:p>
  </w:footnote>
  <w:footnote w:id="47">
    <w:p w14:paraId="4DECC4FB"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VENEZUELA: ELECCIONES ESTUDIANTILES UNIVERSITARIAS BAJO AMENAZA. Párrafo 2. Disponible en: </w:t>
      </w:r>
      <w:hyperlink r:id="rId44">
        <w:r w:rsidRPr="00945926">
          <w:rPr>
            <w:rFonts w:ascii="Cambria" w:eastAsia="Cambria" w:hAnsi="Cambria" w:cs="Cambria"/>
            <w:color w:val="0563C1"/>
            <w:sz w:val="20"/>
            <w:szCs w:val="20"/>
            <w:u w:val="single"/>
          </w:rPr>
          <w:t>http://aulaabiertavenezuela.org/wp-content/uploads/2021/04/INFORME-PRELIMINAR-VENEZUELA-ELECCIONES-ESTUDIANTILES-UNIVERSITARIAS-BAJO-AMENAZA.pdf</w:t>
        </w:r>
      </w:hyperlink>
    </w:p>
    <w:p w14:paraId="0F4DA209"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eastAsia="Cambria" w:hAnsi="Cambria" w:cs="Cambria"/>
          <w:sz w:val="20"/>
          <w:szCs w:val="20"/>
        </w:rPr>
        <w:t xml:space="preserve">Aula Abierta. 2019. INFORME PRELIMINAR: REPRESALIAS CONTRA UNIVERSITARIOS EN SU LABOR COMO DEFENSORES DE DERECHOS HUMANOS (2018- JUNIO 2019). Párrafo 1 al 18. Disponible en: </w:t>
      </w:r>
      <w:hyperlink r:id="rId45">
        <w:r w:rsidRPr="00945926">
          <w:rPr>
            <w:rFonts w:ascii="Cambria" w:eastAsia="Cambria" w:hAnsi="Cambria" w:cs="Cambria"/>
            <w:color w:val="0563C1"/>
            <w:sz w:val="20"/>
            <w:szCs w:val="20"/>
            <w:u w:val="single"/>
          </w:rPr>
          <w:t>http://aulaabiertavenezuela.org/wp-content/uploads/2019/06/Aula-Abierta.-Informe-preliminar.-Represalias-contra-universitarios-en-su-labor-como-defensores-de-derechos-humanos-2018-junio-2019.docx.pdf</w:t>
        </w:r>
      </w:hyperlink>
      <w:r w:rsidRPr="00945926">
        <w:rPr>
          <w:rFonts w:ascii="Cambria" w:eastAsia="Cambria" w:hAnsi="Cambria" w:cs="Cambria"/>
          <w:sz w:val="20"/>
          <w:szCs w:val="20"/>
        </w:rPr>
        <w:t xml:space="preserve"> </w:t>
      </w:r>
    </w:p>
  </w:footnote>
  <w:footnote w:id="48">
    <w:p w14:paraId="304DE65F"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VENEZUELA: ELECCIONES ESTUDIANTILES UNIVERSITARIAS BAJO AMENAZA. Párrafos 69 al 72. Disponible en: </w:t>
      </w:r>
      <w:hyperlink r:id="rId46">
        <w:r w:rsidRPr="00945926">
          <w:rPr>
            <w:rFonts w:ascii="Cambria" w:eastAsia="Cambria" w:hAnsi="Cambria" w:cs="Cambria"/>
            <w:color w:val="0563C1"/>
            <w:sz w:val="20"/>
            <w:szCs w:val="20"/>
            <w:u w:val="single"/>
          </w:rPr>
          <w:t>http://aulaabiertavenezuela.org/wp-content/uploads/2021/04/INFORME-PRELIMINAR-VENEZUELA-ELECCIONES-ESTUDIANTILES-UNIVERSITARIAS-BAJO-AMENAZA.pdf</w:t>
        </w:r>
      </w:hyperlink>
    </w:p>
  </w:footnote>
  <w:footnote w:id="49">
    <w:p w14:paraId="378B9FB5"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VENEZUELA: ELECCIONES ESTUDIANTILES UNIVERSITARIAS BAJO AMENAZA. Disponible en: </w:t>
      </w:r>
      <w:hyperlink r:id="rId47">
        <w:r w:rsidRPr="00945926">
          <w:rPr>
            <w:rFonts w:ascii="Cambria" w:eastAsia="Cambria" w:hAnsi="Cambria" w:cs="Cambria"/>
            <w:color w:val="0563C1"/>
            <w:sz w:val="20"/>
            <w:szCs w:val="20"/>
            <w:u w:val="single"/>
          </w:rPr>
          <w:t>http://aulaabiertavenezuela.org/wp-content/uploads/2021/04/INFORME-PRELIMINAR-VENEZUELA-ELECCIONES-ESTUDIANTILES-UNIVERSITARIAS-BAJO-AMENAZA.pdf</w:t>
        </w:r>
      </w:hyperlink>
    </w:p>
  </w:footnote>
  <w:footnote w:id="50">
    <w:p w14:paraId="027AAA64" w14:textId="77777777" w:rsidR="005732F7" w:rsidRPr="00945926" w:rsidRDefault="005732F7" w:rsidP="00945926">
      <w:pPr>
        <w:spacing w:after="0" w:line="240" w:lineRule="auto"/>
        <w:jc w:val="both"/>
        <w:rPr>
          <w:rFonts w:ascii="Cambria" w:eastAsia="Cambria" w:hAnsi="Cambria" w:cs="Cambria"/>
          <w:sz w:val="20"/>
          <w:szCs w:val="20"/>
        </w:rPr>
      </w:pPr>
      <w:r w:rsidRPr="00945926">
        <w:rPr>
          <w:rFonts w:ascii="Cambria" w:hAnsi="Cambria"/>
          <w:sz w:val="20"/>
          <w:szCs w:val="20"/>
          <w:vertAlign w:val="superscript"/>
        </w:rPr>
        <w:footnoteRef/>
      </w:r>
      <w:r w:rsidRPr="00945926">
        <w:rPr>
          <w:rFonts w:ascii="Cambria" w:eastAsia="Cambria" w:hAnsi="Cambria" w:cs="Cambria"/>
          <w:sz w:val="20"/>
          <w:szCs w:val="20"/>
        </w:rPr>
        <w:t xml:space="preserve"> Aula Abierta. 2021. INFORME PRELIMINAR: SITUACIÓN DEL DERECHO A LA LIBERTAD DE ASOCIACIÓN Y DE EXPRESIÓN DE LOS PROFESORES UNIVERSITARIOS EN VENEZUELA. Párrafo 71. Disponible en: </w:t>
      </w:r>
      <w:hyperlink r:id="rId48">
        <w:r w:rsidRPr="00945926">
          <w:rPr>
            <w:rFonts w:ascii="Cambria" w:eastAsia="Cambria" w:hAnsi="Cambria" w:cs="Cambria"/>
            <w:color w:val="0563C1"/>
            <w:sz w:val="20"/>
            <w:szCs w:val="20"/>
            <w:u w:val="single"/>
          </w:rPr>
          <w:t>http://aulaabiertavenezuela.org/wp-content/uploads/2021/02/INFORME-UNIVERSITARIOS-Situaci%C3%B3n-del-derecho-a-la-libertad-de-asociaci%C3%B3n-y-de-expresi%C3%B3n-de-los-profesores-universitarios-en-Venezuela-2020-.-2021.pdf</w:t>
        </w:r>
      </w:hyperlink>
    </w:p>
  </w:footnote>
  <w:footnote w:id="51">
    <w:p w14:paraId="36E76451"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79. Párr. 1. Disponible en: </w:t>
      </w:r>
      <w:hyperlink r:id="rId49">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 w:id="52">
    <w:p w14:paraId="660054C9"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37. Párr. 82. Disponible en: </w:t>
      </w:r>
      <w:hyperlink r:id="rId50">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 w:id="53">
    <w:p w14:paraId="35C1A04D" w14:textId="77777777" w:rsidR="005732F7" w:rsidRPr="00945926" w:rsidRDefault="005732F7" w:rsidP="00945926">
      <w:pPr>
        <w:spacing w:after="0" w:line="240" w:lineRule="auto"/>
        <w:jc w:val="both"/>
        <w:rPr>
          <w:rFonts w:ascii="Cambria" w:hAnsi="Cambria"/>
          <w:sz w:val="20"/>
          <w:szCs w:val="20"/>
        </w:rPr>
      </w:pPr>
      <w:r w:rsidRPr="00945926">
        <w:rPr>
          <w:rFonts w:ascii="Cambria" w:hAnsi="Cambria"/>
          <w:sz w:val="20"/>
          <w:szCs w:val="20"/>
          <w:vertAlign w:val="superscript"/>
        </w:rPr>
        <w:footnoteRef/>
      </w:r>
      <w:r w:rsidRPr="00945926">
        <w:rPr>
          <w:rFonts w:ascii="Cambria" w:hAnsi="Cambria"/>
          <w:sz w:val="20"/>
          <w:szCs w:val="20"/>
        </w:rPr>
        <w:t xml:space="preserve"> Aula Abierta. 2021. INFORME PRELIMINAR: SITUACIÓN DE LA LIBERTAD DE EXPRESIÓN Y ACCESO A INTERNET DE LA JUVENTUD UNIVERSITARIA EN VENEZUELA COMO LIMITACIONES PARA SU PARTICIPACIÓN EN LOS ASUNTOS PÚBLICOS. Pág. 41. Párr. 91. Disponible en: </w:t>
      </w:r>
      <w:hyperlink r:id="rId51">
        <w:r w:rsidRPr="00945926">
          <w:rPr>
            <w:rFonts w:ascii="Cambria" w:hAnsi="Cambria"/>
            <w:color w:val="1155CC"/>
            <w:sz w:val="20"/>
            <w:szCs w:val="20"/>
            <w:u w:val="single"/>
          </w:rPr>
          <w:t>http://aulaabiertavenezuela.org/wp-content/uploads/2021/07/INFORME-PRELIMINAR-SITUACI%C3%93N-DE-LA-LIBERTAD-DE-EXPRESI%C3%93N-Y-ACCESO-A-INTERNET-DE-LA-JUVENTUD-UNIVERSITARIA-EN-VENEZUELA.pdf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4D6B"/>
    <w:multiLevelType w:val="multilevel"/>
    <w:tmpl w:val="39722214"/>
    <w:lvl w:ilvl="0">
      <w:start w:val="1"/>
      <w:numFmt w:val="decimal"/>
      <w:lvlText w:val="%1."/>
      <w:lvlJc w:val="left"/>
      <w:pPr>
        <w:ind w:left="720" w:hanging="360"/>
      </w:pPr>
      <w:rPr>
        <w:b w:val="0"/>
        <w:bCs/>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2C2A8A"/>
    <w:multiLevelType w:val="multilevel"/>
    <w:tmpl w:val="33B2998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51E39EE"/>
    <w:multiLevelType w:val="hybridMultilevel"/>
    <w:tmpl w:val="5838B5C8"/>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 w15:restartNumberingAfterBreak="0">
    <w:nsid w:val="365F21A0"/>
    <w:multiLevelType w:val="multilevel"/>
    <w:tmpl w:val="655AAA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DD538C"/>
    <w:multiLevelType w:val="hybridMultilevel"/>
    <w:tmpl w:val="34168F24"/>
    <w:lvl w:ilvl="0" w:tplc="200A0013">
      <w:start w:val="1"/>
      <w:numFmt w:val="upperRoman"/>
      <w:lvlText w:val="%1."/>
      <w:lvlJc w:val="right"/>
      <w:pPr>
        <w:ind w:left="360" w:hanging="360"/>
      </w:pPr>
    </w:lvl>
    <w:lvl w:ilvl="1" w:tplc="200A0019" w:tentative="1">
      <w:start w:val="1"/>
      <w:numFmt w:val="lowerLetter"/>
      <w:lvlText w:val="%2."/>
      <w:lvlJc w:val="left"/>
      <w:pPr>
        <w:ind w:left="1080" w:hanging="360"/>
      </w:pPr>
    </w:lvl>
    <w:lvl w:ilvl="2" w:tplc="200A001B" w:tentative="1">
      <w:start w:val="1"/>
      <w:numFmt w:val="lowerRoman"/>
      <w:lvlText w:val="%3."/>
      <w:lvlJc w:val="right"/>
      <w:pPr>
        <w:ind w:left="1800" w:hanging="180"/>
      </w:pPr>
    </w:lvl>
    <w:lvl w:ilvl="3" w:tplc="200A000F" w:tentative="1">
      <w:start w:val="1"/>
      <w:numFmt w:val="decimal"/>
      <w:lvlText w:val="%4."/>
      <w:lvlJc w:val="left"/>
      <w:pPr>
        <w:ind w:left="2520" w:hanging="360"/>
      </w:pPr>
    </w:lvl>
    <w:lvl w:ilvl="4" w:tplc="200A0019" w:tentative="1">
      <w:start w:val="1"/>
      <w:numFmt w:val="lowerLetter"/>
      <w:lvlText w:val="%5."/>
      <w:lvlJc w:val="left"/>
      <w:pPr>
        <w:ind w:left="3240" w:hanging="360"/>
      </w:pPr>
    </w:lvl>
    <w:lvl w:ilvl="5" w:tplc="200A001B" w:tentative="1">
      <w:start w:val="1"/>
      <w:numFmt w:val="lowerRoman"/>
      <w:lvlText w:val="%6."/>
      <w:lvlJc w:val="right"/>
      <w:pPr>
        <w:ind w:left="3960" w:hanging="180"/>
      </w:pPr>
    </w:lvl>
    <w:lvl w:ilvl="6" w:tplc="200A000F" w:tentative="1">
      <w:start w:val="1"/>
      <w:numFmt w:val="decimal"/>
      <w:lvlText w:val="%7."/>
      <w:lvlJc w:val="left"/>
      <w:pPr>
        <w:ind w:left="4680" w:hanging="360"/>
      </w:pPr>
    </w:lvl>
    <w:lvl w:ilvl="7" w:tplc="200A0019" w:tentative="1">
      <w:start w:val="1"/>
      <w:numFmt w:val="lowerLetter"/>
      <w:lvlText w:val="%8."/>
      <w:lvlJc w:val="left"/>
      <w:pPr>
        <w:ind w:left="5400" w:hanging="360"/>
      </w:pPr>
    </w:lvl>
    <w:lvl w:ilvl="8" w:tplc="200A001B" w:tentative="1">
      <w:start w:val="1"/>
      <w:numFmt w:val="lowerRoman"/>
      <w:lvlText w:val="%9."/>
      <w:lvlJc w:val="right"/>
      <w:pPr>
        <w:ind w:left="6120" w:hanging="180"/>
      </w:pPr>
    </w:lvl>
  </w:abstractNum>
  <w:abstractNum w:abstractNumId="5" w15:restartNumberingAfterBreak="0">
    <w:nsid w:val="41EF217A"/>
    <w:multiLevelType w:val="multilevel"/>
    <w:tmpl w:val="EACEA4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482462F4"/>
    <w:multiLevelType w:val="hybridMultilevel"/>
    <w:tmpl w:val="0436DDEA"/>
    <w:lvl w:ilvl="0" w:tplc="DDAA6C0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F15B8"/>
    <w:multiLevelType w:val="hybridMultilevel"/>
    <w:tmpl w:val="E51026C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8" w15:restartNumberingAfterBreak="0">
    <w:nsid w:val="557C338C"/>
    <w:multiLevelType w:val="hybridMultilevel"/>
    <w:tmpl w:val="6A522518"/>
    <w:lvl w:ilvl="0" w:tplc="4C221A7A">
      <w:start w:val="1"/>
      <w:numFmt w:val="upperRoman"/>
      <w:lvlText w:val="%1."/>
      <w:lvlJc w:val="right"/>
      <w:pPr>
        <w:ind w:left="360" w:hanging="360"/>
      </w:pPr>
      <w:rPr>
        <w:b/>
        <w:bCs/>
      </w:rPr>
    </w:lvl>
    <w:lvl w:ilvl="1" w:tplc="200A0019" w:tentative="1">
      <w:start w:val="1"/>
      <w:numFmt w:val="lowerLetter"/>
      <w:lvlText w:val="%2."/>
      <w:lvlJc w:val="left"/>
      <w:pPr>
        <w:ind w:left="1080" w:hanging="360"/>
      </w:pPr>
    </w:lvl>
    <w:lvl w:ilvl="2" w:tplc="200A001B" w:tentative="1">
      <w:start w:val="1"/>
      <w:numFmt w:val="lowerRoman"/>
      <w:lvlText w:val="%3."/>
      <w:lvlJc w:val="right"/>
      <w:pPr>
        <w:ind w:left="1800" w:hanging="180"/>
      </w:pPr>
    </w:lvl>
    <w:lvl w:ilvl="3" w:tplc="200A000F" w:tentative="1">
      <w:start w:val="1"/>
      <w:numFmt w:val="decimal"/>
      <w:lvlText w:val="%4."/>
      <w:lvlJc w:val="left"/>
      <w:pPr>
        <w:ind w:left="2520" w:hanging="360"/>
      </w:pPr>
    </w:lvl>
    <w:lvl w:ilvl="4" w:tplc="200A0019" w:tentative="1">
      <w:start w:val="1"/>
      <w:numFmt w:val="lowerLetter"/>
      <w:lvlText w:val="%5."/>
      <w:lvlJc w:val="left"/>
      <w:pPr>
        <w:ind w:left="3240" w:hanging="360"/>
      </w:pPr>
    </w:lvl>
    <w:lvl w:ilvl="5" w:tplc="200A001B" w:tentative="1">
      <w:start w:val="1"/>
      <w:numFmt w:val="lowerRoman"/>
      <w:lvlText w:val="%6."/>
      <w:lvlJc w:val="right"/>
      <w:pPr>
        <w:ind w:left="3960" w:hanging="180"/>
      </w:pPr>
    </w:lvl>
    <w:lvl w:ilvl="6" w:tplc="200A000F" w:tentative="1">
      <w:start w:val="1"/>
      <w:numFmt w:val="decimal"/>
      <w:lvlText w:val="%7."/>
      <w:lvlJc w:val="left"/>
      <w:pPr>
        <w:ind w:left="4680" w:hanging="360"/>
      </w:pPr>
    </w:lvl>
    <w:lvl w:ilvl="7" w:tplc="200A0019" w:tentative="1">
      <w:start w:val="1"/>
      <w:numFmt w:val="lowerLetter"/>
      <w:lvlText w:val="%8."/>
      <w:lvlJc w:val="left"/>
      <w:pPr>
        <w:ind w:left="5400" w:hanging="360"/>
      </w:pPr>
    </w:lvl>
    <w:lvl w:ilvl="8" w:tplc="200A001B" w:tentative="1">
      <w:start w:val="1"/>
      <w:numFmt w:val="lowerRoman"/>
      <w:lvlText w:val="%9."/>
      <w:lvlJc w:val="right"/>
      <w:pPr>
        <w:ind w:left="6120" w:hanging="180"/>
      </w:pPr>
    </w:lvl>
  </w:abstractNum>
  <w:abstractNum w:abstractNumId="9" w15:restartNumberingAfterBreak="0">
    <w:nsid w:val="5BB740F7"/>
    <w:multiLevelType w:val="multilevel"/>
    <w:tmpl w:val="2BB64C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62151263"/>
    <w:multiLevelType w:val="hybridMultilevel"/>
    <w:tmpl w:val="19F0731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1" w15:restartNumberingAfterBreak="0">
    <w:nsid w:val="69176AA3"/>
    <w:multiLevelType w:val="hybridMultilevel"/>
    <w:tmpl w:val="6BB20104"/>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2" w15:restartNumberingAfterBreak="0">
    <w:nsid w:val="6951068C"/>
    <w:multiLevelType w:val="hybridMultilevel"/>
    <w:tmpl w:val="8C029AD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3" w15:restartNumberingAfterBreak="0">
    <w:nsid w:val="6C902DAB"/>
    <w:multiLevelType w:val="multilevel"/>
    <w:tmpl w:val="61A8D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F7D25F4"/>
    <w:multiLevelType w:val="multilevel"/>
    <w:tmpl w:val="83DC06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13633579">
    <w:abstractNumId w:val="14"/>
  </w:num>
  <w:num w:numId="2" w16cid:durableId="1574192437">
    <w:abstractNumId w:val="1"/>
  </w:num>
  <w:num w:numId="3" w16cid:durableId="933705933">
    <w:abstractNumId w:val="5"/>
  </w:num>
  <w:num w:numId="4" w16cid:durableId="1380781620">
    <w:abstractNumId w:val="9"/>
  </w:num>
  <w:num w:numId="5" w16cid:durableId="256599810">
    <w:abstractNumId w:val="0"/>
  </w:num>
  <w:num w:numId="6" w16cid:durableId="390158325">
    <w:abstractNumId w:val="13"/>
  </w:num>
  <w:num w:numId="7" w16cid:durableId="1605335603">
    <w:abstractNumId w:val="8"/>
  </w:num>
  <w:num w:numId="8" w16cid:durableId="11091639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77678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8765266">
    <w:abstractNumId w:val="4"/>
  </w:num>
  <w:num w:numId="11" w16cid:durableId="364596740">
    <w:abstractNumId w:val="2"/>
  </w:num>
  <w:num w:numId="12" w16cid:durableId="1281717397">
    <w:abstractNumId w:val="7"/>
  </w:num>
  <w:num w:numId="13" w16cid:durableId="1770933202">
    <w:abstractNumId w:val="11"/>
  </w:num>
  <w:num w:numId="14" w16cid:durableId="1282615137">
    <w:abstractNumId w:val="10"/>
  </w:num>
  <w:num w:numId="15" w16cid:durableId="6472494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1D1"/>
    <w:rsid w:val="00015D4D"/>
    <w:rsid w:val="000E151A"/>
    <w:rsid w:val="001B6E1C"/>
    <w:rsid w:val="002633D4"/>
    <w:rsid w:val="002661FD"/>
    <w:rsid w:val="00315F6A"/>
    <w:rsid w:val="00354823"/>
    <w:rsid w:val="00403E1C"/>
    <w:rsid w:val="004C0967"/>
    <w:rsid w:val="005732F7"/>
    <w:rsid w:val="005875F3"/>
    <w:rsid w:val="005D2128"/>
    <w:rsid w:val="00602018"/>
    <w:rsid w:val="00605230"/>
    <w:rsid w:val="006223DE"/>
    <w:rsid w:val="00646899"/>
    <w:rsid w:val="006679EB"/>
    <w:rsid w:val="007A1069"/>
    <w:rsid w:val="00877C01"/>
    <w:rsid w:val="009039E4"/>
    <w:rsid w:val="00945926"/>
    <w:rsid w:val="009B71D1"/>
    <w:rsid w:val="00BA1574"/>
    <w:rsid w:val="00C30550"/>
    <w:rsid w:val="00E736CE"/>
    <w:rsid w:val="00EF5A67"/>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9CF"/>
  <w15:chartTrackingRefBased/>
  <w15:docId w15:val="{2A5DE6B8-7C7F-4820-A971-BCBCA36A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V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D4D"/>
    <w:rPr>
      <w:kern w:val="0"/>
      <w14:ligatures w14:val="none"/>
    </w:rPr>
  </w:style>
  <w:style w:type="paragraph" w:styleId="Heading1">
    <w:name w:val="heading 1"/>
    <w:basedOn w:val="Normal"/>
    <w:next w:val="Normal"/>
    <w:link w:val="Heading1Char"/>
    <w:uiPriority w:val="9"/>
    <w:qFormat/>
    <w:rsid w:val="00E736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D21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2F7"/>
    <w:pPr>
      <w:ind w:left="720"/>
      <w:contextualSpacing/>
    </w:pPr>
  </w:style>
  <w:style w:type="paragraph" w:styleId="FootnoteText">
    <w:name w:val="footnote text"/>
    <w:basedOn w:val="Normal"/>
    <w:link w:val="FootnoteTextChar"/>
    <w:uiPriority w:val="99"/>
    <w:semiHidden/>
    <w:unhideWhenUsed/>
    <w:rsid w:val="001B6E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6E1C"/>
    <w:rPr>
      <w:kern w:val="0"/>
      <w:sz w:val="20"/>
      <w:szCs w:val="20"/>
      <w14:ligatures w14:val="none"/>
    </w:rPr>
  </w:style>
  <w:style w:type="character" w:styleId="FootnoteReference">
    <w:name w:val="footnote reference"/>
    <w:basedOn w:val="DefaultParagraphFont"/>
    <w:uiPriority w:val="99"/>
    <w:semiHidden/>
    <w:unhideWhenUsed/>
    <w:rsid w:val="001B6E1C"/>
    <w:rPr>
      <w:vertAlign w:val="superscript"/>
    </w:rPr>
  </w:style>
  <w:style w:type="character" w:styleId="Hyperlink">
    <w:name w:val="Hyperlink"/>
    <w:basedOn w:val="DefaultParagraphFont"/>
    <w:uiPriority w:val="99"/>
    <w:unhideWhenUsed/>
    <w:rsid w:val="001B6E1C"/>
    <w:rPr>
      <w:color w:val="0563C1" w:themeColor="hyperlink"/>
      <w:u w:val="single"/>
    </w:rPr>
  </w:style>
  <w:style w:type="character" w:styleId="UnresolvedMention">
    <w:name w:val="Unresolved Mention"/>
    <w:basedOn w:val="DefaultParagraphFont"/>
    <w:uiPriority w:val="99"/>
    <w:semiHidden/>
    <w:unhideWhenUsed/>
    <w:rsid w:val="001B6E1C"/>
    <w:rPr>
      <w:color w:val="605E5C"/>
      <w:shd w:val="clear" w:color="auto" w:fill="E1DFDD"/>
    </w:rPr>
  </w:style>
  <w:style w:type="paragraph" w:styleId="Header">
    <w:name w:val="header"/>
    <w:basedOn w:val="Normal"/>
    <w:link w:val="HeaderChar"/>
    <w:uiPriority w:val="99"/>
    <w:unhideWhenUsed/>
    <w:rsid w:val="00E736CE"/>
    <w:pPr>
      <w:tabs>
        <w:tab w:val="center" w:pos="4419"/>
        <w:tab w:val="right" w:pos="8838"/>
      </w:tabs>
      <w:spacing w:after="0" w:line="240" w:lineRule="auto"/>
    </w:pPr>
  </w:style>
  <w:style w:type="character" w:customStyle="1" w:styleId="HeaderChar">
    <w:name w:val="Header Char"/>
    <w:basedOn w:val="DefaultParagraphFont"/>
    <w:link w:val="Header"/>
    <w:uiPriority w:val="99"/>
    <w:rsid w:val="00E736CE"/>
    <w:rPr>
      <w:kern w:val="0"/>
      <w14:ligatures w14:val="none"/>
    </w:rPr>
  </w:style>
  <w:style w:type="paragraph" w:styleId="Footer">
    <w:name w:val="footer"/>
    <w:basedOn w:val="Normal"/>
    <w:link w:val="FooterChar"/>
    <w:uiPriority w:val="99"/>
    <w:unhideWhenUsed/>
    <w:rsid w:val="00E736CE"/>
    <w:pPr>
      <w:tabs>
        <w:tab w:val="center" w:pos="4419"/>
        <w:tab w:val="right" w:pos="8838"/>
      </w:tabs>
      <w:spacing w:after="0" w:line="240" w:lineRule="auto"/>
    </w:pPr>
  </w:style>
  <w:style w:type="character" w:customStyle="1" w:styleId="FooterChar">
    <w:name w:val="Footer Char"/>
    <w:basedOn w:val="DefaultParagraphFont"/>
    <w:link w:val="Footer"/>
    <w:uiPriority w:val="99"/>
    <w:rsid w:val="00E736CE"/>
    <w:rPr>
      <w:kern w:val="0"/>
      <w14:ligatures w14:val="none"/>
    </w:rPr>
  </w:style>
  <w:style w:type="character" w:customStyle="1" w:styleId="Heading1Char">
    <w:name w:val="Heading 1 Char"/>
    <w:basedOn w:val="DefaultParagraphFont"/>
    <w:link w:val="Heading1"/>
    <w:uiPriority w:val="9"/>
    <w:rsid w:val="00E736CE"/>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E736CE"/>
    <w:pPr>
      <w:outlineLvl w:val="9"/>
    </w:pPr>
    <w:rPr>
      <w:lang w:eastAsia="es-VE"/>
    </w:rPr>
  </w:style>
  <w:style w:type="paragraph" w:styleId="TOC2">
    <w:name w:val="toc 2"/>
    <w:basedOn w:val="Normal"/>
    <w:next w:val="Normal"/>
    <w:autoRedefine/>
    <w:uiPriority w:val="39"/>
    <w:unhideWhenUsed/>
    <w:rsid w:val="00E736CE"/>
    <w:pPr>
      <w:spacing w:after="100"/>
      <w:ind w:left="220"/>
    </w:pPr>
    <w:rPr>
      <w:rFonts w:eastAsiaTheme="minorEastAsia" w:cs="Times New Roman"/>
      <w:lang w:eastAsia="es-VE"/>
    </w:rPr>
  </w:style>
  <w:style w:type="paragraph" w:styleId="TOC1">
    <w:name w:val="toc 1"/>
    <w:basedOn w:val="Normal"/>
    <w:next w:val="Normal"/>
    <w:autoRedefine/>
    <w:uiPriority w:val="39"/>
    <w:unhideWhenUsed/>
    <w:rsid w:val="00E736CE"/>
    <w:pPr>
      <w:spacing w:after="100"/>
    </w:pPr>
    <w:rPr>
      <w:rFonts w:eastAsiaTheme="minorEastAsia" w:cs="Times New Roman"/>
      <w:lang w:eastAsia="es-VE"/>
    </w:rPr>
  </w:style>
  <w:style w:type="paragraph" w:styleId="TOC3">
    <w:name w:val="toc 3"/>
    <w:basedOn w:val="Normal"/>
    <w:next w:val="Normal"/>
    <w:autoRedefine/>
    <w:uiPriority w:val="39"/>
    <w:unhideWhenUsed/>
    <w:rsid w:val="00E736CE"/>
    <w:pPr>
      <w:spacing w:after="100"/>
      <w:ind w:left="440"/>
    </w:pPr>
    <w:rPr>
      <w:rFonts w:eastAsiaTheme="minorEastAsia" w:cs="Times New Roman"/>
      <w:lang w:eastAsia="es-VE"/>
    </w:rPr>
  </w:style>
  <w:style w:type="character" w:customStyle="1" w:styleId="Heading2Char">
    <w:name w:val="Heading 2 Char"/>
    <w:basedOn w:val="DefaultParagraphFont"/>
    <w:link w:val="Heading2"/>
    <w:uiPriority w:val="9"/>
    <w:semiHidden/>
    <w:rsid w:val="005D2128"/>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81732">
      <w:bodyDiv w:val="1"/>
      <w:marLeft w:val="0"/>
      <w:marRight w:val="0"/>
      <w:marTop w:val="0"/>
      <w:marBottom w:val="0"/>
      <w:divBdr>
        <w:top w:val="none" w:sz="0" w:space="0" w:color="auto"/>
        <w:left w:val="none" w:sz="0" w:space="0" w:color="auto"/>
        <w:bottom w:val="none" w:sz="0" w:space="0" w:color="auto"/>
        <w:right w:val="none" w:sz="0" w:space="0" w:color="auto"/>
      </w:divBdr>
    </w:div>
    <w:div w:id="553391946">
      <w:bodyDiv w:val="1"/>
      <w:marLeft w:val="0"/>
      <w:marRight w:val="0"/>
      <w:marTop w:val="0"/>
      <w:marBottom w:val="0"/>
      <w:divBdr>
        <w:top w:val="none" w:sz="0" w:space="0" w:color="auto"/>
        <w:left w:val="none" w:sz="0" w:space="0" w:color="auto"/>
        <w:bottom w:val="none" w:sz="0" w:space="0" w:color="auto"/>
        <w:right w:val="none" w:sz="0" w:space="0" w:color="auto"/>
      </w:divBdr>
    </w:div>
    <w:div w:id="1431467918">
      <w:bodyDiv w:val="1"/>
      <w:marLeft w:val="0"/>
      <w:marRight w:val="0"/>
      <w:marTop w:val="0"/>
      <w:marBottom w:val="0"/>
      <w:divBdr>
        <w:top w:val="none" w:sz="0" w:space="0" w:color="auto"/>
        <w:left w:val="none" w:sz="0" w:space="0" w:color="auto"/>
        <w:bottom w:val="none" w:sz="0" w:space="0" w:color="auto"/>
        <w:right w:val="none" w:sz="0" w:space="0" w:color="auto"/>
      </w:divBdr>
    </w:div>
    <w:div w:id="1865243657">
      <w:bodyDiv w:val="1"/>
      <w:marLeft w:val="0"/>
      <w:marRight w:val="0"/>
      <w:marTop w:val="0"/>
      <w:marBottom w:val="0"/>
      <w:divBdr>
        <w:top w:val="none" w:sz="0" w:space="0" w:color="auto"/>
        <w:left w:val="none" w:sz="0" w:space="0" w:color="auto"/>
        <w:bottom w:val="none" w:sz="0" w:space="0" w:color="auto"/>
        <w:right w:val="none" w:sz="0" w:space="0" w:color="auto"/>
      </w:divBdr>
    </w:div>
    <w:div w:id="200959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ertadacademica.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erechosuniversitarios.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ulaabiertavenezuela.org/" TargetMode="External"/><Relationship Id="rId4" Type="http://schemas.openxmlformats.org/officeDocument/2006/relationships/settings" Target="settings.xml"/><Relationship Id="rId9" Type="http://schemas.openxmlformats.org/officeDocument/2006/relationships/hyperlink" Target="mailto:aulaabiertave@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aulaabiertavenezuela.org/wp-content/uploads/2021/07/INFORME-PRELIMINAR-SITUACI%C3%93N-DE-LA-LIBERTAD-DE-EXPRESI%C3%93N-Y-ACCESO-A-INTERNET-DE-LA-JUVENTUD-UNIVERSITARIA-EN-VENEZUELA.pdf" TargetMode="External"/><Relationship Id="rId18" Type="http://schemas.openxmlformats.org/officeDocument/2006/relationships/hyperlink" Target="https://aulaabiertavenezuela.org/wp-content/uploads/2022/06/Universitarios-en-vulnerabilidad-en-contextos-de-restriccion-del-espacio-civico.pdf" TargetMode="External"/><Relationship Id="rId26" Type="http://schemas.openxmlformats.org/officeDocument/2006/relationships/hyperlink" Target="https://aulaabiertavenezuela.org/wp-content/uploads/2022/06/Universitarios-en-vulnerabilidad-en-contextos-de-restriccion-del-espacio-civico.pdf" TargetMode="External"/><Relationship Id="rId39" Type="http://schemas.openxmlformats.org/officeDocument/2006/relationships/hyperlink" Target="http://aulaabiertavenezuela.org/index.php/2019/08/02/rectores-de-averu-bajo-amenaza-por-cuestionar-gobierno-de-facto/" TargetMode="External"/><Relationship Id="rId21" Type="http://schemas.openxmlformats.org/officeDocument/2006/relationships/hyperlink" Target="https://aulaabiertavenezuela.org/wp-content/uploads/2022/06/Universitarios-en-vulnerabilidad-en-contextos-de-restriccion-del-espacio-civico.pdf" TargetMode="External"/><Relationship Id="rId34"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42" Type="http://schemas.openxmlformats.org/officeDocument/2006/relationships/hyperlink" Target="http://aulaabiertavenezuela.org/wp-content/uploads/2017/08/informe-preliminar-sobre-decisiones-del-poder-judicial-1.pdf" TargetMode="External"/><Relationship Id="rId47" Type="http://schemas.openxmlformats.org/officeDocument/2006/relationships/hyperlink" Target="http://aulaabiertavenezuela.org/wp-content/uploads/2021/04/INFORME-PRELIMINAR-VENEZUELA-ELECCIONES-ESTUDIANTILES-UNIVERSITARIAS-BAJO-AMENAZA.pdf" TargetMode="External"/><Relationship Id="rId50" Type="http://schemas.openxmlformats.org/officeDocument/2006/relationships/hyperlink" Target="http://aulaabiertavenezuela.org/wp-content/uploads/2021/07/INFORME-PRELIMINAR-SITUACI%C3%93N-DE-LA-LIBERTAD-DE-EXPRESI%C3%93N-Y-ACCESO-A-INTERNET-DE-LA-JUVENTUD-UNIVERSITARIA-EN-VENEZUELA.pdf" TargetMode="External"/><Relationship Id="rId7" Type="http://schemas.openxmlformats.org/officeDocument/2006/relationships/hyperlink" Target="http://aulaabiertavenezuela.org/wp-content/uploads/2020/01/INFORME-PRELIMINAR-VIOLACIONES-A-LA-LIBERTAD-ACAD%C3%89MICA-AUTONOM%C3%8DA-UNIVERSITARIA-Y-OTROS-DERECHOS-DE-LOS-UNIVERSITARIOS-EN-VENEZUELA-1.pdf" TargetMode="External"/><Relationship Id="rId2" Type="http://schemas.openxmlformats.org/officeDocument/2006/relationships/hyperlink" Target="http://aulaabiertavenezuela.org/wp-content/uploads/2021/12/Violaciones-a-la-libertad-acad%C3%A9mica-la-autonom%C3%ADa-universitaria-y-el-derecho-a-la-educaci%C3%B3n-superior-en-Venezuela-2016-%E2%80%93-2021.pdf" TargetMode="External"/><Relationship Id="rId16" Type="http://schemas.openxmlformats.org/officeDocument/2006/relationships/hyperlink" Target="https://aulaabiertavenezuela.org/wp-content/uploads/2022/06/Universitarios-en-vulnerabilidad-en-contextos-de-restriccion-del-espacio-civico.pdf" TargetMode="External"/><Relationship Id="rId29" Type="http://schemas.openxmlformats.org/officeDocument/2006/relationships/hyperlink" Target="https://aulaabiertavenezuela.org/wp-content/uploads/2022/06/Universitarios-en-vulnerabilidad-en-contextos-de-restriccion-del-espacio-civico.pdf" TargetMode="External"/><Relationship Id="rId11" Type="http://schemas.openxmlformats.org/officeDocument/2006/relationships/hyperlink" Target="https://www.youtube.com/watch?v=VViBRYvhvaQ" TargetMode="External"/><Relationship Id="rId24" Type="http://schemas.openxmlformats.org/officeDocument/2006/relationships/hyperlink" Target="https://aulaabiertavenezuela.org/wp-content/uploads/2022/06/Universitarios-en-vulnerabilidad-en-contextos-de-restriccion-del-espacio-civico.pdf" TargetMode="External"/><Relationship Id="rId32" Type="http://schemas.openxmlformats.org/officeDocument/2006/relationships/hyperlink" Target="https://aulaabiertavenezuela.org/index.php/2022/07/28/universitarios-rechazan-instructivo-gobierno-reduce-sueldos-garcia-arocha/" TargetMode="External"/><Relationship Id="rId37"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40" Type="http://schemas.openxmlformats.org/officeDocument/2006/relationships/hyperlink" Target="http://aulaabiertavenezuela.org/wp-content/uploads/2021/04/INFORME-PRELIMINAR-VENEZUELA-ELECCIONES-ESTUDIANTILES-UNIVERSITARIAS-BAJO-AMENAZA.pdf" TargetMode="External"/><Relationship Id="rId45" Type="http://schemas.openxmlformats.org/officeDocument/2006/relationships/hyperlink" Target="http://aulaabiertavenezuela.org/wp-content/uploads/2019/06/Aula-Abierta.-Informe-preliminar.-Represalias-contra-universitarios-en-su-labor-como-defensores-de-derechos-humanos-2018-junio-2019.docx.pdf" TargetMode="External"/><Relationship Id="rId5" Type="http://schemas.openxmlformats.org/officeDocument/2006/relationships/hyperlink" Target="http://aulaabiertavenezuela.org/wp-content/uploads/2021/12/Violaciones-a-la-libertad-acad%C3%A9mica-la-autonom%C3%ADa-universitaria-y-el-derecho-a-la-educaci%C3%B3n-superior-en-Venezuela-2016-%E2%80%93-2021.pdf" TargetMode="External"/><Relationship Id="rId15" Type="http://schemas.openxmlformats.org/officeDocument/2006/relationships/hyperlink" Target="https://aulaabiertavenezuela.org/wp-content/uploads/2022/06/Universitarios-en-vulnerabilidad-en-contextos-de-restriccion-del-espacio-civico.pdf" TargetMode="External"/><Relationship Id="rId23" Type="http://schemas.openxmlformats.org/officeDocument/2006/relationships/hyperlink" Target="https://aulaabiertavenezuela.org/wp-content/uploads/2022/06/Universitarios-en-vulnerabilidad-en-contextos-de-restriccion-del-espacio-civico.pdf" TargetMode="External"/><Relationship Id="rId28" Type="http://schemas.openxmlformats.org/officeDocument/2006/relationships/hyperlink" Target="https://aulaabiertavenezuela.org/wp-content/uploads/2022/06/Universitarios-en-vulnerabilidad-en-contextos-de-restriccion-del-espacio-civico.pdf" TargetMode="External"/><Relationship Id="rId36" Type="http://schemas.openxmlformats.org/officeDocument/2006/relationships/hyperlink" Target="https://aulaabiertavenezuela.org/index.php/2021/08/17/fapuv-las-tablas-de-la-iv-ccu-no-se-pueden-llamar-salariales/" TargetMode="External"/><Relationship Id="rId49" Type="http://schemas.openxmlformats.org/officeDocument/2006/relationships/hyperlink" Target="http://aulaabiertavenezuela.org/wp-content/uploads/2021/07/INFORME-PRELIMINAR-SITUACI%C3%93N-DE-LA-LIBERTAD-DE-EXPRESI%C3%93N-Y-ACCESO-A-INTERNET-DE-LA-JUVENTUD-UNIVERSITARIA-EN-VENEZUELA.pdf" TargetMode="External"/><Relationship Id="rId10" Type="http://schemas.openxmlformats.org/officeDocument/2006/relationships/hyperlink" Target="http://aulaabiertavenezuela.org/wp-content/uploads/2021/07/INFORME-PRELIMINAR-SITUACI%C3%93N-DE-LA-LIBERTAD-DE-EXPRESI%C3%93N-Y-ACCESO-A-INTERNET-DE-LA-JUVENTUD-UNIVERSITARIA-EN-VENEZUELA.pdf" TargetMode="External"/><Relationship Id="rId19" Type="http://schemas.openxmlformats.org/officeDocument/2006/relationships/hyperlink" Target="https://aulaabiertavenezuela.org/wp-content/uploads/2022/06/Universitarios-en-vulnerabilidad-en-contextos-de-restriccion-del-espacio-civico.pdf" TargetMode="External"/><Relationship Id="rId31"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44" Type="http://schemas.openxmlformats.org/officeDocument/2006/relationships/hyperlink" Target="http://aulaabiertavenezuela.org/wp-content/uploads/2021/04/INFORME-PRELIMINAR-VENEZUELA-ELECCIONES-ESTUDIANTILES-UNIVERSITARIAS-BAJO-AMENAZA.pdf" TargetMode="External"/><Relationship Id="rId4" Type="http://schemas.openxmlformats.org/officeDocument/2006/relationships/hyperlink" Target="http://www.psuv.org.ve/wp-content/uploads/2019/01/Plan-de-la-Patria-2019-2025.pdf" TargetMode="External"/><Relationship Id="rId9" Type="http://schemas.openxmlformats.org/officeDocument/2006/relationships/hyperlink" Target="http://aulaabiertavenezuela.org/wp-content/uploads/2021/07/INFORME-PRELIMINAR-SITUACI%C3%93N-DE-LA-LIBERTAD-DE-EXPRESI%C3%93N-Y-ACCESO-A-INTERNET-DE-LA-JUVENTUD-UNIVERSITARIA-EN-VENEZUELA.pdf" TargetMode="External"/><Relationship Id="rId14" Type="http://schemas.openxmlformats.org/officeDocument/2006/relationships/hyperlink" Target="http://aulaabiertavenezuela.org/wp-content/uploads/2021/07/INFORME-PRELIMINAR-SITUACI%C3%93N-DE-LA-LIBERTAD-DE-EXPRESI%C3%93N-Y-ACCESO-A-INTERNET-DE-LA-JUVENTUD-UNIVERSITARIA-EN-VENEZUELA.pdf" TargetMode="External"/><Relationship Id="rId22" Type="http://schemas.openxmlformats.org/officeDocument/2006/relationships/hyperlink" Target="https://aulaabiertavenezuela.org/wp-content/uploads/2022/06/Universitarios-en-vulnerabilidad-en-contextos-de-restriccion-del-espacio-civico.pdf" TargetMode="External"/><Relationship Id="rId27" Type="http://schemas.openxmlformats.org/officeDocument/2006/relationships/hyperlink" Target="https://aulaabiertavenezuela.org/wp-content/uploads/2022/06/Universitarios-en-vulnerabilidad-en-contextos-de-restriccion-del-espacio-civico.pdf" TargetMode="External"/><Relationship Id="rId30"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35"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43" Type="http://schemas.openxmlformats.org/officeDocument/2006/relationships/hyperlink" Target="http://aulaabiertavenezuela.org/wp-content/uploads/2021/04/INFORME-PRELIMINAR-VENEZUELA-ELECCIONES-ESTUDIANTILES-UNIVERSITARIAS-BAJO-AMENAZA.pdf" TargetMode="External"/><Relationship Id="rId48"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8" Type="http://schemas.openxmlformats.org/officeDocument/2006/relationships/hyperlink" Target="http://aulaabiertavenezuela.org/wp-content/uploads/2021/07/INFORME-PRELIMINAR-SITUACI%C3%93N-DE-LA-LIBERTAD-DE-EXPRESI%C3%93N-Y-ACCESO-A-INTERNET-DE-LA-JUVENTUD-UNIVERSITARIA-EN-VENEZUELA.pdf" TargetMode="External"/><Relationship Id="rId51" Type="http://schemas.openxmlformats.org/officeDocument/2006/relationships/hyperlink" Target="http://aulaabiertavenezuela.org/wp-content/uploads/2021/07/INFORME-PRELIMINAR-SITUACI%C3%93N-DE-LA-LIBERTAD-DE-EXPRESI%C3%93N-Y-ACCESO-A-INTERNET-DE-LA-JUVENTUD-UNIVERSITARIA-EN-VENEZUELA.pdf" TargetMode="External"/><Relationship Id="rId3" Type="http://schemas.openxmlformats.org/officeDocument/2006/relationships/hyperlink" Target="http://historico.tsj.gob.ve/gaceta_ext/diciembre/4122013/E-4122013-3859.pdf" TargetMode="External"/><Relationship Id="rId12" Type="http://schemas.openxmlformats.org/officeDocument/2006/relationships/hyperlink" Target="http://aulaabiertavenezuela.org/wp-content/uploads/2021/07/INFORME-PRELIMINAR-SITUACI%C3%93N-DE-LA-LIBERTAD-DE-EXPRESI%C3%93N-Y-ACCESO-A-INTERNET-DE-LA-JUVENTUD-UNIVERSITARIA-EN-VENEZUELA.pdf" TargetMode="External"/><Relationship Id="rId17" Type="http://schemas.openxmlformats.org/officeDocument/2006/relationships/hyperlink" Target="https://aulaabiertavenezuela.org/wp-content/uploads/2022/06/Universitarios-en-vulnerabilidad-en-contextos-de-restriccion-del-espacio-civico.pdf" TargetMode="External"/><Relationship Id="rId25" Type="http://schemas.openxmlformats.org/officeDocument/2006/relationships/hyperlink" Target="https://aulaabiertavenezuela.org/wp-content/uploads/2022/06/Universitarios-en-vulnerabilidad-en-contextos-de-restriccion-del-espacio-civico.pdf" TargetMode="External"/><Relationship Id="rId33" Type="http://schemas.openxmlformats.org/officeDocument/2006/relationships/hyperlink" Target="https://aulaabiertavenezuela.org/index.php/2022/05/27/apucv-el-gobierno-intenta-desarticular-las-universidades-en-perjuicio-de-los-trabajadores/" TargetMode="External"/><Relationship Id="rId38" Type="http://schemas.openxmlformats.org/officeDocument/2006/relationships/hyperlink" Target="http://aulaabiertavenezuela.org/index.php/2019/08/02/rectores-de-averu-bajo-amenaza-por-cuestionar-gobierno-de-facto/" TargetMode="External"/><Relationship Id="rId46" Type="http://schemas.openxmlformats.org/officeDocument/2006/relationships/hyperlink" Target="http://aulaabiertavenezuela.org/wp-content/uploads/2021/04/INFORME-PRELIMINAR-VENEZUELA-ELECCIONES-ESTUDIANTILES-UNIVERSITARIAS-BAJO-AMENAZA.pdf" TargetMode="External"/><Relationship Id="rId20" Type="http://schemas.openxmlformats.org/officeDocument/2006/relationships/hyperlink" Target="https://aulaabiertavenezuela.org/wp-content/uploads/2022/06/Universitarios-en-vulnerabilidad-en-contextos-de-restriccion-del-espacio-civico.pdf" TargetMode="External"/><Relationship Id="rId41" Type="http://schemas.openxmlformats.org/officeDocument/2006/relationships/hyperlink" Target="http://aulaabiertavenezuela.org/wp-content/uploads/2021/04/INFORME-PRELIMINAR-VENEZUELA-ELECCIONES-ESTUDIANTILES-UNIVERSITARIAS-BAJO-AMENAZA.pdf" TargetMode="External"/><Relationship Id="rId1" Type="http://schemas.openxmlformats.org/officeDocument/2006/relationships/hyperlink" Target="http://aulaabiertavenezuela.org/wp-content/uploads/2021/12/Violaciones-a-la-libertad-acad%C3%A9mica-la-autonom%C3%ADa-universitaria-y-el-derecho-a-la-educaci%C3%B3n-superior-en-Venezuela-2016-%E2%80%93-2021.pdf" TargetMode="External"/><Relationship Id="rId6" Type="http://schemas.openxmlformats.org/officeDocument/2006/relationships/hyperlink" Target="https://aulaabiertavenezuela.org/wp-content/uploads/2022/10/Adoctrinamiento-de-la-juventud-venezolana.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E7253D13-2B6E-4D2C-BFC0-09D2C1414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23</Pages>
  <Words>6077</Words>
  <Characters>33667</Characters>
  <Application>Microsoft Office Word</Application>
  <DocSecurity>0</DocSecurity>
  <Lines>590</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Pirela Hernandez</dc:creator>
  <cp:keywords/>
  <dc:description/>
  <cp:lastModifiedBy>rcdo VILLALOBOS FONTALVO</cp:lastModifiedBy>
  <cp:revision>12</cp:revision>
  <dcterms:created xsi:type="dcterms:W3CDTF">2023-09-07T01:53:00Z</dcterms:created>
  <dcterms:modified xsi:type="dcterms:W3CDTF">2023-09-11T21:47:00Z</dcterms:modified>
</cp:coreProperties>
</file>