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97E" w:rsidRDefault="00F0297E" w:rsidP="00F0297E">
      <w:pPr>
        <w:rPr>
          <w:rFonts w:ascii="Times New Roman" w:hAnsi="Times New Roman"/>
        </w:rPr>
      </w:pPr>
      <w:bookmarkStart w:id="0" w:name="_Toc454388694"/>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pBdr>
          <w:bottom w:val="single" w:sz="4" w:space="1" w:color="auto"/>
        </w:pBdr>
        <w:shd w:val="clear" w:color="auto" w:fill="92D050"/>
        <w:jc w:val="center"/>
        <w:rPr>
          <w:rFonts w:ascii="Times New Roman" w:hAnsi="Times New Roman"/>
          <w:b/>
          <w:bCs/>
          <w:sz w:val="32"/>
          <w:szCs w:val="32"/>
        </w:rPr>
      </w:pPr>
      <w:r>
        <w:rPr>
          <w:rFonts w:ascii="Times New Roman" w:hAnsi="Times New Roman"/>
          <w:b/>
          <w:bCs/>
          <w:sz w:val="32"/>
          <w:szCs w:val="32"/>
        </w:rPr>
        <w:t>RAPPORT ALTERNATIF RELATIF A LA MISE EN ŒUVRE DES DISPOSITIONS DE LA CONVENTION DES NATIONS UNIES SUR LES DROITS DES ENFENTS EN MAURITANIE</w:t>
      </w:r>
    </w:p>
    <w:p w:rsidR="00F0297E" w:rsidRDefault="00D10004" w:rsidP="00F0297E">
      <w:pPr>
        <w:rPr>
          <w:rFonts w:ascii="Times New Roman" w:hAnsi="Times New Roman"/>
        </w:rPr>
      </w:pPr>
      <w:r>
        <w:rPr>
          <w:rFonts w:ascii="Times New Roman" w:hAnsi="Times New Roman"/>
        </w:rPr>
        <w:t>Adressé au secrétariat</w:t>
      </w:r>
      <w:r w:rsidR="007C202E">
        <w:rPr>
          <w:rFonts w:ascii="Times New Roman" w:hAnsi="Times New Roman"/>
        </w:rPr>
        <w:t xml:space="preserve"> du comité CRC : 79ème</w:t>
      </w:r>
      <w:r>
        <w:rPr>
          <w:rFonts w:ascii="Times New Roman" w:hAnsi="Times New Roman"/>
        </w:rPr>
        <w:t xml:space="preserve"> session du comité des droits de l’enfant</w:t>
      </w: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Pr="007C202E" w:rsidRDefault="00F0297E" w:rsidP="00F0297E">
      <w:pPr>
        <w:pBdr>
          <w:top w:val="single" w:sz="4" w:space="1" w:color="auto"/>
          <w:left w:val="single" w:sz="4" w:space="4" w:color="auto"/>
          <w:bottom w:val="single" w:sz="4" w:space="1" w:color="auto"/>
          <w:right w:val="single" w:sz="4" w:space="4" w:color="auto"/>
        </w:pBdr>
        <w:jc w:val="center"/>
        <w:rPr>
          <w:rFonts w:ascii="Times New Roman" w:hAnsi="Times New Roman"/>
        </w:rPr>
      </w:pPr>
      <w:r w:rsidRPr="007C202E">
        <w:rPr>
          <w:rFonts w:ascii="Times New Roman" w:hAnsi="Times New Roman"/>
        </w:rPr>
        <w:t>Ce document peut bien être publié sur le site du comité</w:t>
      </w: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pBdr>
          <w:top w:val="single" w:sz="4" w:space="1" w:color="auto"/>
          <w:bottom w:val="single" w:sz="4" w:space="1" w:color="auto"/>
        </w:pBdr>
        <w:rPr>
          <w:rFonts w:ascii="Times New Roman" w:hAnsi="Times New Roman"/>
          <w:color w:val="FF0000"/>
          <w:sz w:val="20"/>
          <w:szCs w:val="20"/>
        </w:rPr>
      </w:pPr>
      <w:r>
        <w:rPr>
          <w:rFonts w:ascii="Times New Roman" w:hAnsi="Times New Roman"/>
          <w:color w:val="FF0000"/>
          <w:sz w:val="20"/>
          <w:szCs w:val="20"/>
        </w:rPr>
        <w:t xml:space="preserve">FAIT PAR </w:t>
      </w:r>
      <w:bookmarkStart w:id="1" w:name="_GoBack"/>
      <w:r>
        <w:rPr>
          <w:rFonts w:ascii="Times New Roman" w:hAnsi="Times New Roman"/>
          <w:color w:val="FF0000"/>
          <w:sz w:val="20"/>
          <w:szCs w:val="20"/>
        </w:rPr>
        <w:t>L’OBSERVATOIRE MAURITANIEN DES DROITS DE L’HOMME ET DE LA DEMOCRATIE</w:t>
      </w:r>
      <w:bookmarkEnd w:id="1"/>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7C202E" w:rsidP="00F0297E">
      <w:pPr>
        <w:rPr>
          <w:rFonts w:ascii="Times New Roman" w:hAnsi="Times New Roman"/>
        </w:rPr>
      </w:pPr>
      <w:r>
        <w:rPr>
          <w:rFonts w:ascii="Times New Roman" w:hAnsi="Times New Roman"/>
        </w:rPr>
        <w:t>Fait en Mauritanie 2018</w:t>
      </w: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rPr>
          <w:rFonts w:ascii="Times New Roman" w:hAnsi="Times New Roman"/>
        </w:rPr>
      </w:pPr>
    </w:p>
    <w:p w:rsidR="00F0297E" w:rsidRDefault="00F0297E" w:rsidP="00F0297E">
      <w:pPr>
        <w:pStyle w:val="Heading1"/>
        <w:numPr>
          <w:ilvl w:val="0"/>
          <w:numId w:val="1"/>
        </w:numPr>
        <w:rPr>
          <w:rFonts w:ascii="Times New Roman" w:hAnsi="Times New Roman"/>
        </w:rPr>
      </w:pPr>
      <w:r>
        <w:rPr>
          <w:rFonts w:ascii="Times New Roman" w:hAnsi="Times New Roman"/>
        </w:rPr>
        <w:lastRenderedPageBreak/>
        <w:t>Introduction</w:t>
      </w:r>
      <w:bookmarkEnd w:id="0"/>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 xml:space="preserve">Ce rapport alternatif est un examen de la politique de la Mauritanie visant la concrétisation des dispositions de la convention internationale relative aux droits de l’enfant, </w:t>
      </w: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 xml:space="preserve"> Le dit rapport  alternatif est le résultat d’un monitoring et d’une surveillance constante de l’application des  observations et recommandations faites par le Comité des Droits de l’Enfant (CIDE) (CRC/C/MRT/2) à l’issue de l’examen du deuxième rapport périodique de la Mauritanie à sa séance, tenue le 12 juin 2009 (CRC/C/SR.1405 et CRC/C/SR.1406).</w:t>
      </w:r>
    </w:p>
    <w:p w:rsidR="00F0297E" w:rsidRDefault="00F0297E" w:rsidP="00F0297E">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p>
    <w:p w:rsidR="00F0297E" w:rsidRDefault="00F0297E" w:rsidP="00F0297E">
      <w:pPr>
        <w:pStyle w:val="NoSpacing"/>
        <w:numPr>
          <w:ilvl w:val="0"/>
          <w:numId w:val="1"/>
        </w:numPr>
        <w:jc w:val="both"/>
        <w:rPr>
          <w:rFonts w:ascii="Times New Roman" w:hAnsi="Times New Roman" w:cs="Times New Roman"/>
          <w:b/>
          <w:bCs/>
          <w:sz w:val="26"/>
          <w:szCs w:val="26"/>
        </w:rPr>
      </w:pPr>
      <w:bookmarkStart w:id="2" w:name="_Toc453672872"/>
      <w:r>
        <w:rPr>
          <w:rFonts w:ascii="Times New Roman" w:hAnsi="Times New Roman" w:cs="Times New Roman"/>
          <w:b/>
          <w:bCs/>
          <w:sz w:val="26"/>
          <w:szCs w:val="26"/>
        </w:rPr>
        <w:t>Autorités compétentes en matière des droits de l’homme</w:t>
      </w:r>
      <w:bookmarkEnd w:id="2"/>
      <w:r>
        <w:rPr>
          <w:rFonts w:ascii="Times New Roman" w:hAnsi="Times New Roman" w:cs="Times New Roman"/>
          <w:b/>
          <w:bCs/>
          <w:sz w:val="26"/>
          <w:szCs w:val="26"/>
        </w:rPr>
        <w:t> :</w:t>
      </w: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Il s’agit principalement :</w:t>
      </w:r>
    </w:p>
    <w:p w:rsidR="00F0297E" w:rsidRDefault="00F0297E" w:rsidP="00F0297E">
      <w:pPr>
        <w:pStyle w:val="NoSpacing"/>
        <w:numPr>
          <w:ilvl w:val="0"/>
          <w:numId w:val="2"/>
        </w:numPr>
        <w:jc w:val="both"/>
        <w:rPr>
          <w:rFonts w:ascii="Times New Roman" w:hAnsi="Times New Roman" w:cs="Times New Roman"/>
          <w:b/>
          <w:bCs/>
          <w:sz w:val="24"/>
          <w:szCs w:val="24"/>
        </w:rPr>
      </w:pPr>
      <w:r>
        <w:rPr>
          <w:rFonts w:ascii="Times New Roman" w:hAnsi="Times New Roman" w:cs="Times New Roman"/>
          <w:sz w:val="24"/>
          <w:szCs w:val="24"/>
        </w:rPr>
        <w:t xml:space="preserve">Conseil Constitutionnel </w:t>
      </w:r>
    </w:p>
    <w:p w:rsidR="00F0297E" w:rsidRDefault="00F0297E" w:rsidP="00F0297E">
      <w:pPr>
        <w:pStyle w:val="NoSpacing"/>
        <w:numPr>
          <w:ilvl w:val="0"/>
          <w:numId w:val="2"/>
        </w:numPr>
        <w:jc w:val="both"/>
        <w:rPr>
          <w:rFonts w:ascii="Times New Roman" w:hAnsi="Times New Roman" w:cs="Times New Roman"/>
          <w:b/>
          <w:bCs/>
          <w:sz w:val="24"/>
          <w:szCs w:val="24"/>
        </w:rPr>
      </w:pPr>
      <w:r>
        <w:rPr>
          <w:rFonts w:ascii="Times New Roman" w:hAnsi="Times New Roman" w:cs="Times New Roman"/>
          <w:sz w:val="24"/>
          <w:szCs w:val="24"/>
        </w:rPr>
        <w:t>Les Tribunaux</w:t>
      </w:r>
    </w:p>
    <w:p w:rsidR="00F0297E" w:rsidRDefault="00F0297E" w:rsidP="00F0297E">
      <w:pPr>
        <w:pStyle w:val="NoSpacing"/>
        <w:numPr>
          <w:ilvl w:val="0"/>
          <w:numId w:val="2"/>
        </w:numPr>
        <w:jc w:val="both"/>
        <w:rPr>
          <w:rFonts w:ascii="Times New Roman" w:hAnsi="Times New Roman" w:cs="Times New Roman"/>
          <w:b/>
          <w:bCs/>
          <w:sz w:val="24"/>
          <w:szCs w:val="24"/>
        </w:rPr>
      </w:pPr>
      <w:r>
        <w:rPr>
          <w:rFonts w:ascii="Times New Roman" w:hAnsi="Times New Roman" w:cs="Times New Roman"/>
          <w:sz w:val="24"/>
          <w:szCs w:val="24"/>
        </w:rPr>
        <w:t>La Commission Nationale des Droits de l’Homme</w:t>
      </w:r>
    </w:p>
    <w:p w:rsidR="00F0297E" w:rsidRDefault="00F0297E" w:rsidP="00F0297E">
      <w:pPr>
        <w:pStyle w:val="NoSpacing"/>
        <w:numPr>
          <w:ilvl w:val="0"/>
          <w:numId w:val="2"/>
        </w:numPr>
        <w:jc w:val="both"/>
        <w:rPr>
          <w:rFonts w:ascii="Times New Roman" w:hAnsi="Times New Roman" w:cs="Times New Roman"/>
          <w:b/>
          <w:bCs/>
          <w:sz w:val="24"/>
          <w:szCs w:val="24"/>
        </w:rPr>
      </w:pPr>
      <w:r>
        <w:rPr>
          <w:rFonts w:ascii="Times New Roman" w:hAnsi="Times New Roman" w:cs="Times New Roman"/>
          <w:sz w:val="24"/>
          <w:szCs w:val="24"/>
        </w:rPr>
        <w:t>Les départements ministériels concernés</w:t>
      </w:r>
    </w:p>
    <w:p w:rsidR="00F0297E" w:rsidRDefault="00F0297E" w:rsidP="00F0297E">
      <w:pPr>
        <w:pStyle w:val="NoSpacing"/>
        <w:numPr>
          <w:ilvl w:val="0"/>
          <w:numId w:val="2"/>
        </w:numPr>
        <w:jc w:val="both"/>
        <w:rPr>
          <w:rFonts w:ascii="Times New Roman" w:hAnsi="Times New Roman" w:cs="Times New Roman"/>
          <w:b/>
          <w:bCs/>
          <w:sz w:val="24"/>
          <w:szCs w:val="24"/>
        </w:rPr>
      </w:pPr>
      <w:r>
        <w:rPr>
          <w:rFonts w:ascii="Times New Roman" w:hAnsi="Times New Roman" w:cs="Times New Roman"/>
          <w:sz w:val="24"/>
          <w:szCs w:val="24"/>
        </w:rPr>
        <w:t>Le Haut Conseil de la Fatwa et des recours gracieux</w:t>
      </w:r>
    </w:p>
    <w:p w:rsidR="00F0297E" w:rsidRDefault="00F0297E" w:rsidP="00F0297E">
      <w:pPr>
        <w:pStyle w:val="NoSpacing"/>
        <w:numPr>
          <w:ilvl w:val="0"/>
          <w:numId w:val="2"/>
        </w:numPr>
        <w:jc w:val="both"/>
        <w:rPr>
          <w:rFonts w:ascii="Times New Roman" w:hAnsi="Times New Roman" w:cs="Times New Roman"/>
          <w:b/>
          <w:bCs/>
          <w:sz w:val="24"/>
          <w:szCs w:val="24"/>
        </w:rPr>
      </w:pPr>
      <w:r>
        <w:rPr>
          <w:rFonts w:ascii="Times New Roman" w:hAnsi="Times New Roman" w:cs="Times New Roman"/>
          <w:sz w:val="24"/>
          <w:szCs w:val="24"/>
        </w:rPr>
        <w:t>Le  Mécanisme National de Prévention de la Torture</w:t>
      </w:r>
    </w:p>
    <w:p w:rsidR="00F0297E" w:rsidRDefault="00F0297E" w:rsidP="00F0297E">
      <w:pPr>
        <w:pStyle w:val="NoSpacing"/>
        <w:jc w:val="both"/>
        <w:rPr>
          <w:rFonts w:ascii="Times New Roman" w:hAnsi="Times New Roman" w:cs="Times New Roman"/>
          <w:sz w:val="24"/>
          <w:szCs w:val="24"/>
        </w:rPr>
      </w:pP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Ces institutions ont compétence nationale sur les questions relatives à leurs attributions respectives.</w:t>
      </w:r>
    </w:p>
    <w:p w:rsidR="00F0297E" w:rsidRDefault="00F0297E" w:rsidP="00F0297E">
      <w:pPr>
        <w:pStyle w:val="NoSpacing"/>
        <w:jc w:val="both"/>
        <w:rPr>
          <w:rFonts w:ascii="Times New Roman" w:hAnsi="Times New Roman" w:cs="Times New Roman"/>
          <w:b/>
          <w:bCs/>
          <w:sz w:val="24"/>
          <w:szCs w:val="24"/>
        </w:rPr>
      </w:pPr>
    </w:p>
    <w:p w:rsidR="00F0297E" w:rsidRDefault="00F0297E" w:rsidP="00F0297E">
      <w:pPr>
        <w:pStyle w:val="NoSpacing"/>
        <w:numPr>
          <w:ilvl w:val="0"/>
          <w:numId w:val="3"/>
        </w:numPr>
        <w:jc w:val="both"/>
        <w:rPr>
          <w:rFonts w:ascii="Times New Roman" w:hAnsi="Times New Roman"/>
          <w:sz w:val="24"/>
          <w:szCs w:val="24"/>
        </w:rPr>
      </w:pPr>
      <w:r>
        <w:rPr>
          <w:rFonts w:ascii="Times New Roman" w:hAnsi="Times New Roman" w:cs="Times New Roman"/>
          <w:sz w:val="24"/>
          <w:szCs w:val="24"/>
        </w:rPr>
        <w:t>Le commissariat aux droits de l’Homme et à l’action humanitaire est chargé de l’élaboration et de la mise en œuvre de la politique nationale de promotion, de défense, de protection des droits de l’homme. Ce département est débranché de la politique du Gouvernement et de la réalité sur le terrain, il n’a pas de personnelle pour l’écoute, la recherche et l’investigation, donc il ne suit pas convenablement l’application des dispositions des conventions ratifié par le pays, alors n’a jamais formuler des conseils ou recommandations aux gouvernement pour remédier à une situation.  Donc, pas plus qu’un bureau de papeterie qui fait des rapports copier coller, le Commissaire dirige un comité des départements concernée par l’élaboration des rapports de l »Etat relatifs aux instruments juridiques internationaux dans le domaine des droits de l’homme, ce comité se réunie seulement pour discuter d’un projet de rapport fait à l’abri sans pour autant se concerté avec la société civile ou faire une évaluation de l’impact sur le terrain.</w:t>
      </w:r>
      <w:bookmarkStart w:id="3" w:name="_Toc454388723"/>
      <w:bookmarkStart w:id="4" w:name="_Toc454386659"/>
      <w:bookmarkStart w:id="5" w:name="_Toc454386590"/>
      <w:bookmarkStart w:id="6" w:name="_Toc453672884"/>
      <w:r>
        <w:rPr>
          <w:rFonts w:ascii="Times New Roman" w:hAnsi="Times New Roman" w:cs="Times New Roman"/>
          <w:sz w:val="24"/>
          <w:szCs w:val="24"/>
        </w:rPr>
        <w:t xml:space="preserve"> Le HCNUDH y siège en qualité d’observateur. La méthode de travaille </w:t>
      </w:r>
      <w:r>
        <w:rPr>
          <w:rFonts w:ascii="Times New Roman" w:hAnsi="Times New Roman"/>
          <w:sz w:val="24"/>
          <w:szCs w:val="24"/>
        </w:rPr>
        <w:t>engagé par le dit comité d’établissement des rapports</w:t>
      </w:r>
      <w:bookmarkEnd w:id="3"/>
      <w:bookmarkEnd w:id="4"/>
      <w:bookmarkEnd w:id="5"/>
      <w:bookmarkEnd w:id="6"/>
      <w:r>
        <w:rPr>
          <w:rFonts w:ascii="Times New Roman" w:hAnsi="Times New Roman"/>
          <w:sz w:val="24"/>
          <w:szCs w:val="24"/>
        </w:rPr>
        <w:t xml:space="preserve">, ne permet pas le bon suivi de la mise en œuvre des organes de traités et de l’EPU. </w:t>
      </w:r>
    </w:p>
    <w:p w:rsidR="00F0297E" w:rsidRDefault="00F0297E" w:rsidP="00F0297E">
      <w:pPr>
        <w:pStyle w:val="NoSpacing"/>
        <w:ind w:left="720"/>
        <w:jc w:val="both"/>
        <w:rPr>
          <w:rFonts w:ascii="Times New Roman" w:hAnsi="Times New Roman"/>
          <w:sz w:val="24"/>
          <w:szCs w:val="24"/>
        </w:rPr>
      </w:pP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Ce rapport relatif à la convention sur les droits de l’enfant n’a pas fait l’objet d’une concertation large  avec la société civile donc  validés sans prendre  en compte les recommandations de la société civile.</w:t>
      </w:r>
    </w:p>
    <w:p w:rsidR="00F0297E" w:rsidRDefault="00F0297E" w:rsidP="00F0297E">
      <w:pPr>
        <w:pStyle w:val="NoSpacing"/>
        <w:jc w:val="both"/>
        <w:rPr>
          <w:rFonts w:ascii="Times New Roman" w:hAnsi="Times New Roman" w:cs="Times New Roman"/>
          <w:sz w:val="24"/>
          <w:szCs w:val="24"/>
        </w:rPr>
      </w:pPr>
    </w:p>
    <w:p w:rsidR="00F0297E" w:rsidRDefault="00F0297E" w:rsidP="00F0297E">
      <w:pPr>
        <w:pStyle w:val="NoSpacing"/>
        <w:numPr>
          <w:ilvl w:val="0"/>
          <w:numId w:val="3"/>
        </w:numPr>
        <w:jc w:val="both"/>
        <w:rPr>
          <w:rFonts w:ascii="Times New Roman" w:hAnsi="Times New Roman" w:cs="Times New Roman"/>
          <w:b/>
          <w:bCs/>
          <w:sz w:val="28"/>
          <w:szCs w:val="28"/>
        </w:rPr>
      </w:pPr>
      <w:r>
        <w:rPr>
          <w:rFonts w:asciiTheme="majorBidi" w:hAnsiTheme="majorBidi" w:cstheme="majorBidi"/>
          <w:b/>
          <w:bCs/>
          <w:sz w:val="28"/>
          <w:szCs w:val="28"/>
        </w:rPr>
        <w:t>Le ministère des affaires sociales, de l’enfance et de la famille :</w:t>
      </w:r>
    </w:p>
    <w:p w:rsidR="00F0297E" w:rsidRDefault="00F0297E" w:rsidP="00F0297E">
      <w:pPr>
        <w:pStyle w:val="NoSpacing"/>
        <w:jc w:val="both"/>
        <w:rPr>
          <w:rFonts w:ascii="Times New Roman" w:hAnsi="Times New Roman" w:cs="Times New Roman"/>
          <w:sz w:val="28"/>
          <w:szCs w:val="28"/>
        </w:rPr>
      </w:pPr>
    </w:p>
    <w:p w:rsidR="00F0297E" w:rsidRDefault="00F0297E" w:rsidP="00F0297E">
      <w:pPr>
        <w:pStyle w:val="NoSpacing"/>
        <w:jc w:val="both"/>
        <w:rPr>
          <w:rFonts w:asciiTheme="majorBidi" w:hAnsiTheme="majorBidi" w:cstheme="majorBidi"/>
          <w:sz w:val="24"/>
          <w:szCs w:val="24"/>
        </w:rPr>
      </w:pPr>
      <w:r>
        <w:rPr>
          <w:rFonts w:asciiTheme="majorBidi" w:hAnsiTheme="majorBidi" w:cstheme="majorBidi"/>
          <w:sz w:val="24"/>
          <w:szCs w:val="24"/>
        </w:rPr>
        <w:t>Le MASEF à pour missions,  la promotion de la femme, son intégration dans le processus de développement, la promotion et la protection des droits de l’enfant, des personnes handicapées et des personnes âgées. Ce département manque de moyens et manque de stratégie claire, par conséquent les effets de sa politique  sont limités  dans le temps et dans l’espace. Les personnes âgées ne bénéficient  d’aucun  soutient en Mauritanie,  en dehors de celui de leurs parents</w:t>
      </w:r>
    </w:p>
    <w:p w:rsidR="00F0297E" w:rsidRDefault="00F0297E" w:rsidP="00F0297E">
      <w:pPr>
        <w:pStyle w:val="NoSpacing"/>
        <w:jc w:val="both"/>
        <w:rPr>
          <w:rFonts w:ascii="Times New Roman" w:hAnsi="Times New Roman" w:cs="Times New Roman"/>
          <w:sz w:val="28"/>
          <w:szCs w:val="28"/>
        </w:rPr>
      </w:pPr>
      <w:r>
        <w:rPr>
          <w:rFonts w:asciiTheme="majorBidi" w:hAnsiTheme="majorBidi" w:cstheme="majorBidi"/>
          <w:sz w:val="24"/>
          <w:szCs w:val="24"/>
        </w:rPr>
        <w:t xml:space="preserve">…………. </w:t>
      </w:r>
    </w:p>
    <w:p w:rsidR="00F0297E" w:rsidRDefault="00F0297E" w:rsidP="00F0297E">
      <w:pPr>
        <w:pStyle w:val="NoSpacing"/>
        <w:numPr>
          <w:ilvl w:val="0"/>
          <w:numId w:val="3"/>
        </w:numPr>
        <w:jc w:val="both"/>
        <w:rPr>
          <w:rFonts w:ascii="Times New Roman" w:hAnsi="Times New Roman" w:cs="Times New Roman"/>
          <w:sz w:val="26"/>
          <w:szCs w:val="26"/>
        </w:rPr>
      </w:pPr>
      <w:r>
        <w:rPr>
          <w:rFonts w:ascii="Times New Roman" w:hAnsi="Times New Roman" w:cs="Times New Roman"/>
          <w:b/>
          <w:bCs/>
          <w:sz w:val="26"/>
          <w:szCs w:val="26"/>
        </w:rPr>
        <w:lastRenderedPageBreak/>
        <w:t>Le Mécanisme National de Prévention de la Torture et la commission nationale des droits de l’homme :</w:t>
      </w:r>
    </w:p>
    <w:p w:rsidR="00F0297E" w:rsidRDefault="00F0297E" w:rsidP="00F0297E">
      <w:pPr>
        <w:pStyle w:val="NoSpacing"/>
        <w:jc w:val="both"/>
        <w:rPr>
          <w:rFonts w:ascii="Times New Roman" w:hAnsi="Times New Roman" w:cs="Times New Roman"/>
          <w:sz w:val="26"/>
          <w:szCs w:val="26"/>
        </w:rPr>
      </w:pPr>
      <w:r>
        <w:rPr>
          <w:rFonts w:ascii="Times New Roman" w:hAnsi="Times New Roman" w:cs="Times New Roman"/>
          <w:sz w:val="26"/>
          <w:szCs w:val="26"/>
        </w:rPr>
        <w:t xml:space="preserve"> Veillent au respect de la législation en vigueur dans ce domaine.</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Cependant nous somme fortement inquiet suite à la défaillance de la CNDH et le MNP ; autorités nationales compétente en matière des droits de l’homme, qui incarne l’injustice.</w:t>
      </w:r>
    </w:p>
    <w:p w:rsidR="00F0297E" w:rsidRDefault="00F0297E" w:rsidP="00F0297E">
      <w:pPr>
        <w:pStyle w:val="NoSpacing"/>
        <w:jc w:val="both"/>
        <w:rPr>
          <w:rFonts w:ascii="Times New Roman" w:hAnsi="Times New Roman" w:cs="Times New Roman"/>
          <w:sz w:val="26"/>
          <w:szCs w:val="26"/>
        </w:rPr>
      </w:pPr>
    </w:p>
    <w:p w:rsidR="00F0297E" w:rsidRDefault="00F0297E" w:rsidP="00F0297E">
      <w:pPr>
        <w:pStyle w:val="NoSpacing"/>
        <w:numPr>
          <w:ilvl w:val="0"/>
          <w:numId w:val="3"/>
        </w:numPr>
        <w:rPr>
          <w:rFonts w:ascii="Times New Roman" w:hAnsi="Times New Roman" w:cs="Times New Roman"/>
          <w:sz w:val="26"/>
          <w:szCs w:val="26"/>
        </w:rPr>
      </w:pPr>
      <w:r>
        <w:rPr>
          <w:rFonts w:ascii="Times New Roman" w:hAnsi="Times New Roman" w:cs="Times New Roman"/>
          <w:b/>
          <w:bCs/>
          <w:sz w:val="28"/>
          <w:szCs w:val="28"/>
        </w:rPr>
        <w:t>Le parlement</w:t>
      </w:r>
      <w:r>
        <w:rPr>
          <w:rFonts w:ascii="Times New Roman" w:hAnsi="Times New Roman" w:cs="Times New Roman"/>
          <w:sz w:val="26"/>
          <w:szCs w:val="26"/>
        </w:rPr>
        <w:t xml:space="preserve"> </w:t>
      </w:r>
    </w:p>
    <w:p w:rsidR="00F0297E" w:rsidRDefault="00F0297E" w:rsidP="00F0297E">
      <w:pPr>
        <w:pStyle w:val="NoSpacing"/>
        <w:rPr>
          <w:rFonts w:ascii="Times New Roman" w:hAnsi="Times New Roman" w:cs="Times New Roman"/>
          <w:sz w:val="26"/>
          <w:szCs w:val="26"/>
        </w:rPr>
      </w:pPr>
      <w:r>
        <w:rPr>
          <w:rFonts w:ascii="Times New Roman" w:hAnsi="Times New Roman" w:cs="Times New Roman"/>
          <w:sz w:val="26"/>
          <w:szCs w:val="26"/>
        </w:rPr>
        <w:t xml:space="preserve"> Le parlement légifère  et veille à la conformité de la législation nationale avec les dispositions des normes internationales ratifiées. Le groupe parlementaire chargé des Droits de l’Homme veille à la promotion et la vulgarisation des principes des droits humains ainsi qu’à leur protection.</w:t>
      </w:r>
    </w:p>
    <w:p w:rsidR="00F0297E" w:rsidRDefault="00F0297E" w:rsidP="00F0297E">
      <w:pPr>
        <w:pStyle w:val="NoSpacing"/>
        <w:numPr>
          <w:ilvl w:val="0"/>
          <w:numId w:val="4"/>
        </w:numPr>
        <w:rPr>
          <w:rFonts w:ascii="Times New Roman" w:hAnsi="Times New Roman" w:cs="Times New Roman"/>
          <w:sz w:val="26"/>
          <w:szCs w:val="26"/>
        </w:rPr>
      </w:pPr>
      <w:r>
        <w:rPr>
          <w:rFonts w:ascii="Times New Roman" w:hAnsi="Times New Roman" w:cs="Times New Roman"/>
          <w:b/>
          <w:bCs/>
          <w:sz w:val="26"/>
          <w:szCs w:val="26"/>
        </w:rPr>
        <w:t>Le Haut Conseil de la fatwa et des recours gracieux :</w:t>
      </w:r>
    </w:p>
    <w:p w:rsidR="00F0297E" w:rsidRDefault="00F0297E" w:rsidP="00F0297E">
      <w:pPr>
        <w:pStyle w:val="NoSpacing"/>
        <w:rPr>
          <w:rFonts w:ascii="Times New Roman" w:hAnsi="Times New Roman" w:cs="Times New Roman"/>
          <w:sz w:val="24"/>
          <w:szCs w:val="24"/>
        </w:rPr>
      </w:pPr>
      <w:r>
        <w:rPr>
          <w:rFonts w:ascii="Times New Roman" w:hAnsi="Times New Roman" w:cs="Times New Roman"/>
          <w:sz w:val="24"/>
          <w:szCs w:val="24"/>
        </w:rPr>
        <w:t>Peut reconnu et a un champ d’action très limité, il fait quand  même  mieux dans son domaine de compétence.</w:t>
      </w:r>
    </w:p>
    <w:p w:rsidR="00F0297E" w:rsidRDefault="00F0297E" w:rsidP="00F0297E">
      <w:pPr>
        <w:pStyle w:val="NoSpacing"/>
        <w:jc w:val="both"/>
        <w:rPr>
          <w:rFonts w:ascii="Times New Roman" w:hAnsi="Times New Roman" w:cs="Times New Roman"/>
          <w:sz w:val="26"/>
          <w:szCs w:val="26"/>
        </w:rPr>
      </w:pPr>
    </w:p>
    <w:p w:rsidR="00F0297E" w:rsidRDefault="00F0297E" w:rsidP="00F0297E">
      <w:pPr>
        <w:pStyle w:val="NoSpacing"/>
        <w:numPr>
          <w:ilvl w:val="0"/>
          <w:numId w:val="4"/>
        </w:numPr>
        <w:jc w:val="both"/>
        <w:rPr>
          <w:rFonts w:ascii="Times New Roman" w:hAnsi="Times New Roman" w:cs="Times New Roman"/>
          <w:sz w:val="26"/>
          <w:szCs w:val="26"/>
        </w:rPr>
      </w:pPr>
      <w:r>
        <w:rPr>
          <w:rFonts w:ascii="Times New Roman" w:hAnsi="Times New Roman" w:cs="Times New Roman"/>
          <w:b/>
          <w:bCs/>
          <w:sz w:val="26"/>
          <w:szCs w:val="26"/>
        </w:rPr>
        <w:t>Les organisations de défense des droits de l’homme </w:t>
      </w:r>
      <w:r>
        <w:rPr>
          <w:rFonts w:ascii="Times New Roman" w:hAnsi="Times New Roman" w:cs="Times New Roman"/>
          <w:sz w:val="26"/>
          <w:szCs w:val="26"/>
        </w:rPr>
        <w:t xml:space="preserve">: </w:t>
      </w: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 xml:space="preserve">Les ONG, non pas des moyens, aucune subvention accordé par l’Etat aux organisations de défense des droits de l’homme, alors  leurs actions reste très limité et financé en majorité par les adhérents.  La relation avec la société civile est passagère et sans effet, car   </w:t>
      </w: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La société civile ne  bénéficie pas de financement leurs permettant de réaliser, en collaboration avec les autorités, des programmes de sensibilisation du grand public sur les droits de l'homme</w:t>
      </w:r>
      <w:bookmarkStart w:id="7" w:name="_Toc454388722"/>
      <w:r>
        <w:rPr>
          <w:rFonts w:ascii="Times New Roman" w:hAnsi="Times New Roman" w:cs="Times New Roman"/>
          <w:sz w:val="24"/>
          <w:szCs w:val="24"/>
        </w:rPr>
        <w:t>.</w:t>
      </w:r>
    </w:p>
    <w:p w:rsidR="00F0297E" w:rsidRDefault="00F0297E" w:rsidP="00F0297E">
      <w:pPr>
        <w:pStyle w:val="NoSpacing"/>
        <w:jc w:val="both"/>
        <w:rPr>
          <w:rFonts w:ascii="Times New Roman" w:hAnsi="Times New Roman" w:cs="Times New Roman"/>
          <w:color w:val="FF0000"/>
          <w:sz w:val="26"/>
          <w:szCs w:val="26"/>
        </w:rPr>
      </w:pPr>
      <w:r>
        <w:rPr>
          <w:rFonts w:ascii="Times New Roman" w:hAnsi="Times New Roman"/>
          <w:sz w:val="24"/>
          <w:szCs w:val="24"/>
        </w:rPr>
        <w:t>Parmi les facteurs entravant la mise en œuvre des obligations internationales relatives aux droits de l’homme</w:t>
      </w:r>
      <w:bookmarkEnd w:id="7"/>
      <w:r>
        <w:rPr>
          <w:rFonts w:ascii="Times New Roman" w:hAnsi="Times New Roman"/>
          <w:sz w:val="24"/>
          <w:szCs w:val="24"/>
        </w:rPr>
        <w:t xml:space="preserve"> on note au premier lieu :</w:t>
      </w:r>
    </w:p>
    <w:p w:rsidR="00F0297E" w:rsidRDefault="00F0297E" w:rsidP="00F0297E">
      <w:pPr>
        <w:pStyle w:val="Listecouleur-Accent11"/>
        <w:widowControl w:val="0"/>
        <w:numPr>
          <w:ilvl w:val="0"/>
          <w:numId w:val="5"/>
        </w:numPr>
        <w:autoSpaceDE w:val="0"/>
        <w:autoSpaceDN w:val="0"/>
        <w:adjustRightInd w:val="0"/>
        <w:spacing w:after="240"/>
        <w:jc w:val="both"/>
        <w:rPr>
          <w:rFonts w:ascii="Times New Roman" w:hAnsi="Times New Roman" w:cs="Times New Roman"/>
        </w:rPr>
      </w:pPr>
      <w:r>
        <w:rPr>
          <w:rFonts w:ascii="Times New Roman" w:hAnsi="Times New Roman" w:cs="Times New Roman"/>
        </w:rPr>
        <w:t xml:space="preserve">L’insuffisance des ressources humaines et financières des institutions et organisations de défense des droits de l’homme ; </w:t>
      </w:r>
    </w:p>
    <w:p w:rsidR="00F0297E" w:rsidRDefault="00F0297E" w:rsidP="00F0297E">
      <w:pPr>
        <w:pStyle w:val="Listecouleur-Accent11"/>
        <w:widowControl w:val="0"/>
        <w:numPr>
          <w:ilvl w:val="0"/>
          <w:numId w:val="5"/>
        </w:numPr>
        <w:autoSpaceDE w:val="0"/>
        <w:autoSpaceDN w:val="0"/>
        <w:adjustRightInd w:val="0"/>
        <w:spacing w:after="240"/>
        <w:jc w:val="both"/>
        <w:rPr>
          <w:rFonts w:ascii="Times New Roman" w:hAnsi="Times New Roman" w:cs="Times New Roman"/>
        </w:rPr>
      </w:pPr>
      <w:r>
        <w:rPr>
          <w:rFonts w:ascii="Times New Roman" w:hAnsi="Times New Roman" w:cs="Times New Roman"/>
        </w:rPr>
        <w:t>La faible spécialisation des acteurs  des droits de l’homme</w:t>
      </w:r>
    </w:p>
    <w:p w:rsidR="00F0297E" w:rsidRDefault="00F0297E" w:rsidP="00F0297E">
      <w:pPr>
        <w:pStyle w:val="Listecouleur-Accent11"/>
        <w:widowControl w:val="0"/>
        <w:numPr>
          <w:ilvl w:val="0"/>
          <w:numId w:val="5"/>
        </w:numPr>
        <w:autoSpaceDE w:val="0"/>
        <w:autoSpaceDN w:val="0"/>
        <w:adjustRightInd w:val="0"/>
        <w:spacing w:after="240"/>
        <w:jc w:val="both"/>
        <w:rPr>
          <w:rFonts w:ascii="Times New Roman" w:hAnsi="Times New Roman" w:cs="Times New Roman"/>
        </w:rPr>
      </w:pPr>
      <w:r>
        <w:rPr>
          <w:rFonts w:ascii="Times New Roman" w:hAnsi="Times New Roman" w:cs="Times New Roman"/>
        </w:rPr>
        <w:t>La faible collaboration entre Etat et société civile</w:t>
      </w:r>
    </w:p>
    <w:p w:rsidR="00F0297E" w:rsidRDefault="00F0297E" w:rsidP="00F0297E">
      <w:pPr>
        <w:pStyle w:val="Listecouleur-Accent11"/>
        <w:widowControl w:val="0"/>
        <w:numPr>
          <w:ilvl w:val="0"/>
          <w:numId w:val="5"/>
        </w:numPr>
        <w:autoSpaceDE w:val="0"/>
        <w:autoSpaceDN w:val="0"/>
        <w:adjustRightInd w:val="0"/>
        <w:spacing w:after="240"/>
        <w:jc w:val="both"/>
        <w:rPr>
          <w:rFonts w:ascii="Times New Roman" w:hAnsi="Times New Roman" w:cs="Times New Roman"/>
        </w:rPr>
      </w:pPr>
      <w:r>
        <w:rPr>
          <w:rFonts w:ascii="Times New Roman" w:hAnsi="Times New Roman" w:cs="Times New Roman"/>
        </w:rPr>
        <w:t>La récupération et la partisannerie</w:t>
      </w:r>
    </w:p>
    <w:p w:rsidR="00F0297E" w:rsidRDefault="00F0297E" w:rsidP="00F0297E">
      <w:pPr>
        <w:pStyle w:val="Listecouleur-Accent11"/>
        <w:widowControl w:val="0"/>
        <w:numPr>
          <w:ilvl w:val="0"/>
          <w:numId w:val="5"/>
        </w:numPr>
        <w:autoSpaceDE w:val="0"/>
        <w:autoSpaceDN w:val="0"/>
        <w:adjustRightInd w:val="0"/>
        <w:spacing w:after="240"/>
        <w:jc w:val="both"/>
        <w:rPr>
          <w:rFonts w:ascii="Times New Roman" w:hAnsi="Times New Roman" w:cs="Times New Roman"/>
        </w:rPr>
      </w:pPr>
      <w:r>
        <w:rPr>
          <w:rFonts w:ascii="Times New Roman" w:hAnsi="Times New Roman" w:cs="Times New Roman"/>
        </w:rPr>
        <w:t>Les représailles et intimidations contre toute organisation qui veut être indépendante et objective.</w:t>
      </w:r>
    </w:p>
    <w:p w:rsidR="00F0297E" w:rsidRDefault="00F0297E" w:rsidP="00F0297E">
      <w:pPr>
        <w:pStyle w:val="Listecouleur-Accent11"/>
        <w:widowControl w:val="0"/>
        <w:autoSpaceDE w:val="0"/>
        <w:autoSpaceDN w:val="0"/>
        <w:adjustRightInd w:val="0"/>
        <w:spacing w:after="24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sz w:val="26"/>
          <w:szCs w:val="26"/>
        </w:rPr>
        <w:t xml:space="preserve"> </w:t>
      </w:r>
    </w:p>
    <w:p w:rsidR="00F0297E" w:rsidRDefault="00F0297E" w:rsidP="00F0297E">
      <w:pPr>
        <w:pStyle w:val="Heading1"/>
        <w:numPr>
          <w:ilvl w:val="0"/>
          <w:numId w:val="1"/>
        </w:numPr>
        <w:rPr>
          <w:rFonts w:ascii="Times New Roman" w:hAnsi="Times New Roman"/>
          <w:sz w:val="28"/>
          <w:szCs w:val="28"/>
        </w:rPr>
      </w:pPr>
      <w:r>
        <w:rPr>
          <w:rFonts w:ascii="Times New Roman" w:hAnsi="Times New Roman"/>
          <w:sz w:val="28"/>
          <w:szCs w:val="28"/>
        </w:rPr>
        <w:t>Mise en œuvre des dispositions de la convention</w:t>
      </w:r>
    </w:p>
    <w:p w:rsidR="00F0297E" w:rsidRDefault="00F0297E" w:rsidP="00F0297E">
      <w:pPr>
        <w:pStyle w:val="Heading4"/>
        <w:numPr>
          <w:ilvl w:val="0"/>
          <w:numId w:val="6"/>
        </w:numPr>
        <w:rPr>
          <w:rFonts w:ascii="Times New Roman" w:hAnsi="Times New Roman"/>
        </w:rPr>
      </w:pPr>
      <w:bookmarkStart w:id="8" w:name="_Toc454388742"/>
      <w:bookmarkStart w:id="9" w:name="_Toc453672901"/>
      <w:r>
        <w:rPr>
          <w:rFonts w:ascii="Times New Roman" w:hAnsi="Times New Roman"/>
        </w:rPr>
        <w:t xml:space="preserve"> Textes adopté dans le cadre de la promotion des droits de l’enfant :</w:t>
      </w:r>
      <w:bookmarkEnd w:id="8"/>
      <w:bookmarkEnd w:id="9"/>
    </w:p>
    <w:p w:rsidR="00F0297E" w:rsidRDefault="00F0297E" w:rsidP="00F0297E">
      <w:pPr>
        <w:pStyle w:val="NoSpacing"/>
        <w:rPr>
          <w:rFonts w:ascii="Times New Roman" w:hAnsi="Times New Roman" w:cs="Times New Roman"/>
          <w:sz w:val="24"/>
          <w:szCs w:val="24"/>
        </w:rPr>
      </w:pPr>
      <w:r>
        <w:rPr>
          <w:rFonts w:ascii="Times New Roman" w:hAnsi="Times New Roman" w:cs="Times New Roman"/>
          <w:sz w:val="24"/>
          <w:szCs w:val="24"/>
        </w:rPr>
        <w:t>Les textes suivants ont été adoptés afin de promouvoir les droits de l'enfant:</w:t>
      </w:r>
    </w:p>
    <w:p w:rsidR="00F0297E" w:rsidRDefault="00F0297E" w:rsidP="00F029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la loi abrogeant et remplaçant certaines dispositions de la loi 61-016 du 30 janvier 1961 fixant le régime  des pensions civiles de la caisse de retraite. Cette loi met fin à une discrimination contre les femmes et les enfants afin d’assurer le droit de réversion de la pension aux conjoints et aux enfants survivants.</w:t>
      </w:r>
    </w:p>
    <w:p w:rsidR="00F0297E" w:rsidRDefault="00F0297E" w:rsidP="00F029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La loi n° 2007-042 du 03 septembre 2007 relative à la prévention, la prise en charge et le contrôle du VIH SIDA; </w:t>
      </w:r>
    </w:p>
    <w:p w:rsidR="00F0297E" w:rsidRDefault="00F0297E" w:rsidP="00F029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l’arrêté n° 797 du 18 août 2011 réglementant l’emploi des domestiques de maison; </w:t>
      </w:r>
    </w:p>
    <w:p w:rsidR="00F0297E" w:rsidRDefault="00F0297E" w:rsidP="00F029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la fatwa interdisant les mutilations génitales Féminines (MGF); </w:t>
      </w:r>
    </w:p>
    <w:p w:rsidR="00F0297E" w:rsidRDefault="00F0297E" w:rsidP="00F0297E">
      <w:pPr>
        <w:pStyle w:val="NoSpacing"/>
        <w:rPr>
          <w:rFonts w:ascii="Times New Roman" w:hAnsi="Times New Roman" w:cs="Times New Roman"/>
          <w:b/>
          <w:bCs/>
          <w:sz w:val="24"/>
          <w:szCs w:val="24"/>
        </w:rPr>
      </w:pPr>
      <w:bookmarkStart w:id="10" w:name="_Toc453672902"/>
    </w:p>
    <w:p w:rsidR="00F0297E" w:rsidRDefault="00F0297E" w:rsidP="00F0297E">
      <w:pPr>
        <w:pStyle w:val="Heading4"/>
        <w:rPr>
          <w:rFonts w:ascii="Times New Roman" w:hAnsi="Times New Roman"/>
        </w:rPr>
      </w:pPr>
      <w:bookmarkStart w:id="11" w:name="_Toc454388743"/>
      <w:r>
        <w:rPr>
          <w:rFonts w:ascii="Times New Roman" w:hAnsi="Times New Roman"/>
        </w:rPr>
        <w:lastRenderedPageBreak/>
        <w:t xml:space="preserve">2- les </w:t>
      </w:r>
      <w:r w:rsidR="00AE6ECA">
        <w:rPr>
          <w:rFonts w:ascii="Times New Roman" w:hAnsi="Times New Roman"/>
        </w:rPr>
        <w:t xml:space="preserve">insuffisances des </w:t>
      </w:r>
      <w:r>
        <w:rPr>
          <w:rFonts w:ascii="Times New Roman" w:hAnsi="Times New Roman"/>
        </w:rPr>
        <w:t>mesures pratiques prises pour améliorer la situation de l’enfant</w:t>
      </w:r>
      <w:bookmarkEnd w:id="10"/>
      <w:bookmarkEnd w:id="11"/>
    </w:p>
    <w:p w:rsidR="00F0297E" w:rsidRDefault="00F0297E" w:rsidP="00F0297E">
      <w:pPr>
        <w:pStyle w:val="NoSpacing"/>
        <w:rPr>
          <w:rFonts w:ascii="Times New Roman" w:hAnsi="Times New Roman" w:cs="Times New Roman"/>
          <w:sz w:val="24"/>
          <w:szCs w:val="24"/>
        </w:rPr>
      </w:pPr>
      <w:r>
        <w:rPr>
          <w:rFonts w:ascii="Times New Roman" w:hAnsi="Times New Roman" w:cs="Times New Roman"/>
          <w:sz w:val="24"/>
          <w:szCs w:val="24"/>
        </w:rPr>
        <w:t xml:space="preserve"> Il s'agit essentiellement de:</w:t>
      </w:r>
    </w:p>
    <w:p w:rsidR="00F0297E" w:rsidRDefault="00F0297E" w:rsidP="00F0297E">
      <w:pPr>
        <w:pStyle w:val="NoSpacing"/>
        <w:numPr>
          <w:ilvl w:val="0"/>
          <w:numId w:val="8"/>
        </w:numPr>
        <w:jc w:val="both"/>
        <w:rPr>
          <w:rFonts w:ascii="Times New Roman" w:hAnsi="Times New Roman" w:cs="Times New Roman"/>
          <w:sz w:val="24"/>
          <w:szCs w:val="24"/>
        </w:rPr>
      </w:pPr>
      <w:r>
        <w:rPr>
          <w:rFonts w:ascii="Times New Roman" w:hAnsi="Times New Roman" w:cs="Times New Roman"/>
          <w:sz w:val="24"/>
          <w:szCs w:val="24"/>
        </w:rPr>
        <w:t>Les états généraux de l’éducation, qui  n’ont pas arrivé à décrire la réalité du terrain et par conséquent non pas apporté des solutions adéquates à la problématique</w:t>
      </w:r>
      <w:r>
        <w:rPr>
          <w:rFonts w:ascii="Times New Roman" w:hAnsi="Times New Roman" w:cs="Times New Roman"/>
          <w:sz w:val="26"/>
          <w:szCs w:val="26"/>
        </w:rPr>
        <w:t xml:space="preserve"> </w:t>
      </w:r>
      <w:r>
        <w:rPr>
          <w:rFonts w:ascii="Times New Roman" w:hAnsi="Times New Roman" w:cs="Times New Roman"/>
          <w:sz w:val="24"/>
          <w:szCs w:val="24"/>
        </w:rPr>
        <w:t xml:space="preserve">de l’éducation qui représente encore  le défi majeur ; </w:t>
      </w:r>
    </w:p>
    <w:p w:rsidR="00F0297E" w:rsidRDefault="00F0297E" w:rsidP="00F0297E">
      <w:pPr>
        <w:pStyle w:val="NoSpacing"/>
        <w:numPr>
          <w:ilvl w:val="0"/>
          <w:numId w:val="8"/>
        </w:numPr>
        <w:jc w:val="both"/>
        <w:rPr>
          <w:rFonts w:ascii="Times New Roman" w:hAnsi="Times New Roman" w:cs="Times New Roman"/>
          <w:sz w:val="24"/>
          <w:szCs w:val="24"/>
        </w:rPr>
      </w:pPr>
      <w:r>
        <w:rPr>
          <w:rFonts w:ascii="Times New Roman" w:hAnsi="Times New Roman" w:cs="Times New Roman"/>
          <w:sz w:val="24"/>
          <w:szCs w:val="24"/>
        </w:rPr>
        <w:t>le parlement des enfants,  n’est pas connu par les enfants;</w:t>
      </w:r>
    </w:p>
    <w:p w:rsidR="00F0297E" w:rsidRDefault="00F0297E" w:rsidP="00F0297E">
      <w:pPr>
        <w:pStyle w:val="NoSpacing"/>
        <w:numPr>
          <w:ilvl w:val="0"/>
          <w:numId w:val="8"/>
        </w:numPr>
        <w:jc w:val="both"/>
        <w:rPr>
          <w:rFonts w:ascii="Times New Roman" w:hAnsi="Times New Roman" w:cs="Times New Roman"/>
          <w:sz w:val="24"/>
          <w:szCs w:val="24"/>
        </w:rPr>
      </w:pPr>
      <w:r>
        <w:rPr>
          <w:rFonts w:ascii="Times New Roman" w:hAnsi="Times New Roman" w:cs="Times New Roman"/>
          <w:sz w:val="24"/>
          <w:szCs w:val="24"/>
        </w:rPr>
        <w:t>la Stratégie Nationale d’Institutionnalisation du Genre est en bonne voix</w:t>
      </w:r>
      <w:r w:rsidR="00AE6ECA">
        <w:rPr>
          <w:rFonts w:ascii="Times New Roman" w:hAnsi="Times New Roman" w:cs="Times New Roman"/>
          <w:sz w:val="24"/>
          <w:szCs w:val="24"/>
        </w:rPr>
        <w:t xml:space="preserve">, </w:t>
      </w:r>
    </w:p>
    <w:p w:rsidR="00F0297E" w:rsidRDefault="00F0297E" w:rsidP="00F0297E">
      <w:pPr>
        <w:pStyle w:val="NoSpacing"/>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La stratégie de protection sociale a un faible apport pour les fils des fonctionnaires et ne prend pas en considération les droits des enfants dont les parents chôment ou ne travaillent pas dans la fonction public. </w:t>
      </w:r>
    </w:p>
    <w:p w:rsidR="00F0297E" w:rsidRDefault="00F0297E" w:rsidP="00F0297E">
      <w:pPr>
        <w:pStyle w:val="NoSpacing"/>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La stratégie nationale de gestion de la migration, l’enregistrement à la naissance pose des problèmes majeurs </w:t>
      </w:r>
    </w:p>
    <w:p w:rsidR="00F0297E" w:rsidRDefault="00F0297E" w:rsidP="00F0297E">
      <w:pPr>
        <w:pStyle w:val="Heading4"/>
        <w:rPr>
          <w:rFonts w:ascii="Times New Roman" w:hAnsi="Times New Roman"/>
        </w:rPr>
      </w:pPr>
      <w:bookmarkStart w:id="12" w:name="_Toc454388744"/>
      <w:bookmarkStart w:id="13" w:name="_Toc453672903"/>
      <w:r>
        <w:rPr>
          <w:rFonts w:ascii="Times New Roman" w:hAnsi="Times New Roman"/>
        </w:rPr>
        <w:t>3- Les institutions pour l’amélioration des conditions de vie  des enfants</w:t>
      </w:r>
      <w:bookmarkEnd w:id="12"/>
      <w:bookmarkEnd w:id="13"/>
    </w:p>
    <w:p w:rsidR="00F0297E" w:rsidRDefault="00F0297E" w:rsidP="00F0297E">
      <w:pPr>
        <w:pStyle w:val="Heading4"/>
        <w:numPr>
          <w:ilvl w:val="0"/>
          <w:numId w:val="9"/>
        </w:numPr>
        <w:rPr>
          <w:rFonts w:ascii="Times New Roman" w:hAnsi="Times New Roman"/>
          <w:b w:val="0"/>
          <w:bCs w:val="0"/>
          <w:sz w:val="24"/>
          <w:szCs w:val="24"/>
        </w:rPr>
      </w:pPr>
      <w:r>
        <w:rPr>
          <w:rFonts w:ascii="Times New Roman" w:hAnsi="Times New Roman"/>
          <w:b w:val="0"/>
          <w:bCs w:val="0"/>
          <w:sz w:val="24"/>
          <w:szCs w:val="24"/>
        </w:rPr>
        <w:t>La mise en place  de comités régionaux  et de cellules pour le traitement, la résolution des litiges familiaux ; Ces comités et cellule ne sont pas efficace,  n’arrivent  pas à résoudre les problèmes familiaux, et n’apporte pas d’assistance juridique ; plusieurs femmes victimes de violence conjugale et d’autre dont les maries leurs obliges a accepté la polygamie ont démontré l’inefficacité de ces comités.</w:t>
      </w:r>
    </w:p>
    <w:p w:rsidR="00F0297E" w:rsidRDefault="00F0297E" w:rsidP="00F0297E">
      <w:pPr>
        <w:rPr>
          <w:rFonts w:asciiTheme="majorBidi" w:hAnsiTheme="majorBidi" w:cstheme="majorBidi"/>
          <w:sz w:val="24"/>
          <w:szCs w:val="24"/>
        </w:rPr>
      </w:pPr>
      <w:r>
        <w:rPr>
          <w:rFonts w:asciiTheme="majorBidi" w:hAnsiTheme="majorBidi" w:cstheme="majorBidi"/>
          <w:sz w:val="24"/>
          <w:szCs w:val="24"/>
        </w:rPr>
        <w:t xml:space="preserve">On prend à titre d’Illustration : </w:t>
      </w:r>
      <w:proofErr w:type="spellStart"/>
      <w:r>
        <w:rPr>
          <w:rFonts w:asciiTheme="majorBidi" w:hAnsiTheme="majorBidi" w:cstheme="majorBidi"/>
          <w:sz w:val="24"/>
          <w:szCs w:val="24"/>
        </w:rPr>
        <w:t>Oumoukelthoum</w:t>
      </w:r>
      <w:proofErr w:type="spellEnd"/>
      <w:r>
        <w:rPr>
          <w:rFonts w:asciiTheme="majorBidi" w:hAnsiTheme="majorBidi" w:cstheme="majorBidi"/>
          <w:sz w:val="24"/>
          <w:szCs w:val="24"/>
        </w:rPr>
        <w:t xml:space="preserve"> à la ville de </w:t>
      </w:r>
      <w:proofErr w:type="spellStart"/>
      <w:r>
        <w:rPr>
          <w:rFonts w:asciiTheme="majorBidi" w:hAnsiTheme="majorBidi" w:cstheme="majorBidi"/>
          <w:sz w:val="24"/>
          <w:szCs w:val="24"/>
        </w:rPr>
        <w:t>Sélibaby</w:t>
      </w:r>
      <w:proofErr w:type="spellEnd"/>
      <w:r>
        <w:rPr>
          <w:rFonts w:asciiTheme="majorBidi" w:hAnsiTheme="majorBidi" w:cstheme="majorBidi"/>
          <w:sz w:val="24"/>
          <w:szCs w:val="24"/>
        </w:rPr>
        <w:t>, qui n’accepte pas la polygamie, sont mari,  s’est marié deux fois avec d’autre femmes, et n’accepté pas de la divorcé, alors l’homme continu de se marier à sa guise et la femme reste avec lui malgré son refus catégorique de vivre avec lui en polygamie</w:t>
      </w:r>
      <w:r w:rsidR="00AE6ECA">
        <w:rPr>
          <w:rFonts w:asciiTheme="majorBidi" w:hAnsiTheme="majorBidi" w:cstheme="majorBidi"/>
          <w:sz w:val="24"/>
          <w:szCs w:val="24"/>
        </w:rPr>
        <w:t xml:space="preserve">, </w:t>
      </w:r>
      <w:r>
        <w:rPr>
          <w:rFonts w:asciiTheme="majorBidi" w:hAnsiTheme="majorBidi" w:cstheme="majorBidi"/>
          <w:sz w:val="24"/>
          <w:szCs w:val="24"/>
        </w:rPr>
        <w:t xml:space="preserve"> et malgré le dépôt de sa plainte auprès du Kadi qui est la seul juridiction compétente, donc elle est victime d’abord de la négligence des Kadis.</w:t>
      </w:r>
    </w:p>
    <w:p w:rsidR="00F0297E" w:rsidRDefault="00F0297E" w:rsidP="00F0297E">
      <w:pPr>
        <w:pStyle w:val="Heading4"/>
        <w:numPr>
          <w:ilvl w:val="0"/>
          <w:numId w:val="9"/>
        </w:numPr>
        <w:rPr>
          <w:rFonts w:ascii="Times New Roman" w:hAnsi="Times New Roman"/>
          <w:b w:val="0"/>
          <w:bCs w:val="0"/>
          <w:sz w:val="24"/>
          <w:szCs w:val="24"/>
        </w:rPr>
      </w:pPr>
      <w:r>
        <w:rPr>
          <w:rFonts w:ascii="Times New Roman" w:hAnsi="Times New Roman"/>
          <w:b w:val="0"/>
          <w:bCs w:val="0"/>
          <w:sz w:val="24"/>
          <w:szCs w:val="24"/>
        </w:rPr>
        <w:t>La création du centre de protection et d’insertion sociale des enfants (CPISE) :</w:t>
      </w:r>
    </w:p>
    <w:p w:rsidR="00F0297E" w:rsidRDefault="00F0297E" w:rsidP="00F0297E">
      <w:pPr>
        <w:rPr>
          <w:rFonts w:asciiTheme="majorBidi" w:hAnsiTheme="majorBidi" w:cstheme="majorBidi"/>
          <w:sz w:val="24"/>
          <w:szCs w:val="24"/>
        </w:rPr>
      </w:pPr>
      <w:r>
        <w:rPr>
          <w:rFonts w:asciiTheme="majorBidi" w:hAnsiTheme="majorBidi" w:cstheme="majorBidi"/>
          <w:sz w:val="24"/>
          <w:szCs w:val="24"/>
        </w:rPr>
        <w:t>L’action de ces centres d’insertion est négligeable par rapport aux nombre important et croissant des enfants ayant besoins de l’insertion sociale.</w:t>
      </w:r>
    </w:p>
    <w:p w:rsidR="00F0297E" w:rsidRDefault="00F0297E" w:rsidP="00F0297E">
      <w:pPr>
        <w:pStyle w:val="Heading3"/>
        <w:numPr>
          <w:ilvl w:val="0"/>
          <w:numId w:val="9"/>
        </w:numPr>
        <w:rPr>
          <w:b w:val="0"/>
          <w:bCs w:val="0"/>
          <w:sz w:val="24"/>
          <w:szCs w:val="24"/>
        </w:rPr>
      </w:pPr>
      <w:bookmarkStart w:id="14" w:name="_Toc454388747"/>
      <w:bookmarkStart w:id="15" w:name="_Toc453672906"/>
      <w:r>
        <w:rPr>
          <w:b w:val="0"/>
          <w:bCs w:val="0"/>
          <w:sz w:val="24"/>
          <w:szCs w:val="24"/>
        </w:rPr>
        <w:t>Coordination et recueil des données</w:t>
      </w:r>
      <w:bookmarkEnd w:id="14"/>
      <w:bookmarkEnd w:id="15"/>
      <w:r>
        <w:rPr>
          <w:b w:val="0"/>
          <w:bCs w:val="0"/>
          <w:sz w:val="24"/>
          <w:szCs w:val="24"/>
        </w:rPr>
        <w:t> ; La Direction de l’Enfance du MASEF est le service chargé de la collecte et  de la saisie des données relatives aux enfants : Il manque de moyens pour mener une vérit</w:t>
      </w:r>
      <w:r w:rsidR="00E35538">
        <w:rPr>
          <w:b w:val="0"/>
          <w:bCs w:val="0"/>
          <w:sz w:val="24"/>
          <w:szCs w:val="24"/>
        </w:rPr>
        <w:t>able recherche et investigation, et a une base de donnée insuffisante.</w:t>
      </w:r>
    </w:p>
    <w:p w:rsidR="00F0297E" w:rsidRDefault="00F0297E" w:rsidP="00F0297E">
      <w:pPr>
        <w:pStyle w:val="Heading4"/>
        <w:rPr>
          <w:rFonts w:ascii="Times New Roman" w:hAnsi="Times New Roman"/>
        </w:rPr>
      </w:pPr>
      <w:bookmarkStart w:id="16" w:name="_Toc454388750"/>
      <w:bookmarkStart w:id="17" w:name="_Toc454386667"/>
      <w:bookmarkStart w:id="18" w:name="_Toc454386598"/>
      <w:bookmarkStart w:id="19" w:name="_Toc453672909"/>
      <w:r>
        <w:rPr>
          <w:rFonts w:ascii="Times New Roman" w:hAnsi="Times New Roman"/>
        </w:rPr>
        <w:t>4-  Stratégie nationale et plan d’action de protection des enfants</w:t>
      </w:r>
      <w:bookmarkEnd w:id="16"/>
      <w:bookmarkEnd w:id="17"/>
      <w:bookmarkEnd w:id="18"/>
      <w:bookmarkEnd w:id="19"/>
    </w:p>
    <w:p w:rsidR="00F0297E" w:rsidRDefault="00F0297E" w:rsidP="00F0297E">
      <w:pPr>
        <w:pStyle w:val="Heading3"/>
        <w:jc w:val="both"/>
        <w:rPr>
          <w:b w:val="0"/>
          <w:bCs w:val="0"/>
          <w:sz w:val="24"/>
          <w:szCs w:val="24"/>
        </w:rPr>
      </w:pPr>
      <w:r>
        <w:rPr>
          <w:b w:val="0"/>
          <w:bCs w:val="0"/>
          <w:sz w:val="24"/>
          <w:szCs w:val="24"/>
          <w:lang w:eastAsia="fr-FR"/>
        </w:rPr>
        <w:t>Nous somme insatisfait de la mise en œuvre de cette stratégie, qui ne prend pas en</w:t>
      </w:r>
      <w:r>
        <w:rPr>
          <w:b w:val="0"/>
          <w:bCs w:val="0"/>
          <w:color w:val="FF0000"/>
          <w:sz w:val="24"/>
          <w:szCs w:val="24"/>
          <w:lang w:eastAsia="fr-FR"/>
        </w:rPr>
        <w:t xml:space="preserve"> </w:t>
      </w:r>
      <w:r>
        <w:rPr>
          <w:b w:val="0"/>
          <w:bCs w:val="0"/>
          <w:sz w:val="24"/>
          <w:szCs w:val="24"/>
          <w:lang w:eastAsia="fr-FR"/>
        </w:rPr>
        <w:t xml:space="preserve">considération des mesures pratique fort pour  l’exigence de la </w:t>
      </w:r>
      <w:r>
        <w:rPr>
          <w:b w:val="0"/>
          <w:bCs w:val="0"/>
          <w:sz w:val="24"/>
          <w:szCs w:val="24"/>
        </w:rPr>
        <w:t xml:space="preserve">responsabilité parentales, et fortement inquiet  du niveau de recouvrement de la pension alimentaire de l’enfant. </w:t>
      </w:r>
      <w:r>
        <w:rPr>
          <w:b w:val="0"/>
          <w:bCs w:val="0"/>
          <w:sz w:val="24"/>
          <w:szCs w:val="24"/>
          <w:lang w:eastAsia="fr-FR"/>
        </w:rPr>
        <w:t xml:space="preserve">Car les enfants nécessitent une véritable protection contre les abus, et le gouvernement doit prendre des mesures fermes pour le  recouvrement de la pension alimentaire de l’enfant si les parents sont divorcé ;  Il est habituel en Mauritanie que les enfants vivent en majorité sur le dos de la femme après le divorce,  sans aucun soutient du père des enfants ni de l’Etat.  Aussi les </w:t>
      </w:r>
      <w:r>
        <w:rPr>
          <w:b w:val="0"/>
          <w:bCs w:val="0"/>
          <w:sz w:val="24"/>
          <w:szCs w:val="24"/>
          <w:lang w:eastAsia="fr-FR"/>
        </w:rPr>
        <w:lastRenderedPageBreak/>
        <w:t>enfants victime de la négligence des parents ne sont jamais retiré et leurs parents ne connaitrons jamais qu’ils ont commit un acte puni par la loi. Le châtiment corporel, le travail domestique dure, la malnutrition et la sous alimentation, demeure le sort de notre jeune enfance. Les  familles  pauvres  sont celle qui ont plus d’enfant, car l’homme pauvre c’est lui qui pratique de plus la polygamie, sans contrainte et le gouvernement n’interdit pas  la polygamie. De ce fait  l’homme qui ne considère pas  qu’il soit  le premier responsable de la prise en charge de  toute sa famille,  il multiplie les femmes et les divorces.</w:t>
      </w:r>
    </w:p>
    <w:p w:rsidR="00F0297E" w:rsidRDefault="00F0297E" w:rsidP="00F0297E">
      <w:pPr>
        <w:pStyle w:val="Heading5"/>
        <w:rPr>
          <w:rFonts w:ascii="Times New Roman" w:hAnsi="Times New Roman"/>
          <w:i w:val="0"/>
          <w:iCs w:val="0"/>
          <w:sz w:val="28"/>
          <w:szCs w:val="28"/>
        </w:rPr>
      </w:pPr>
      <w:bookmarkStart w:id="20" w:name="_Toc453672911"/>
      <w:bookmarkStart w:id="21" w:name="_Toc454388752"/>
      <w:r>
        <w:rPr>
          <w:rFonts w:ascii="Times New Roman" w:hAnsi="Times New Roman"/>
          <w:i w:val="0"/>
          <w:iCs w:val="0"/>
          <w:sz w:val="28"/>
          <w:szCs w:val="28"/>
        </w:rPr>
        <w:t>5- Protection sanitaire</w:t>
      </w:r>
      <w:bookmarkEnd w:id="20"/>
      <w:bookmarkEnd w:id="21"/>
      <w:r>
        <w:rPr>
          <w:rFonts w:ascii="Times New Roman" w:hAnsi="Times New Roman"/>
          <w:i w:val="0"/>
          <w:iCs w:val="0"/>
          <w:sz w:val="28"/>
          <w:szCs w:val="28"/>
        </w:rPr>
        <w:t xml:space="preserve"> </w:t>
      </w:r>
    </w:p>
    <w:p w:rsidR="00F0297E" w:rsidRDefault="00F0297E" w:rsidP="00F0297E">
      <w:pPr>
        <w:pStyle w:val="Heading5"/>
        <w:rPr>
          <w:rFonts w:ascii="Times New Roman" w:hAnsi="Times New Roman"/>
          <w:b w:val="0"/>
          <w:bCs w:val="0"/>
          <w:i w:val="0"/>
          <w:iCs w:val="0"/>
          <w:sz w:val="24"/>
          <w:szCs w:val="24"/>
        </w:rPr>
      </w:pPr>
      <w:r>
        <w:rPr>
          <w:rFonts w:ascii="Times New Roman" w:hAnsi="Times New Roman"/>
          <w:b w:val="0"/>
          <w:bCs w:val="0"/>
          <w:i w:val="0"/>
          <w:iCs w:val="0"/>
          <w:sz w:val="24"/>
          <w:szCs w:val="24"/>
        </w:rPr>
        <w:t>Il est certes qu’un</w:t>
      </w:r>
      <w:r>
        <w:rPr>
          <w:rFonts w:ascii="Times New Roman" w:hAnsi="Times New Roman"/>
          <w:b w:val="0"/>
          <w:bCs w:val="0"/>
          <w:i w:val="0"/>
          <w:iCs w:val="0"/>
          <w:sz w:val="24"/>
          <w:szCs w:val="24"/>
          <w:lang w:eastAsia="fr-FR"/>
        </w:rPr>
        <w:t xml:space="preserve">  volet important de l’action sanitaire est orienté vers la santé maternelle et infantile à travers la prévention et la prise en charge intégrée des maladies du couple mère/ enfant et la formation initiale et continue des différentes catégories  du personnel de la santé. Un programme de vaccination des enfants contre les maladies épidémiologiques</w:t>
      </w:r>
      <w:r>
        <w:rPr>
          <w:rFonts w:ascii="Times New Roman" w:hAnsi="Times New Roman"/>
          <w:b w:val="0"/>
          <w:bCs w:val="0"/>
          <w:i w:val="0"/>
          <w:iCs w:val="0"/>
          <w:color w:val="FF0000"/>
          <w:sz w:val="24"/>
          <w:szCs w:val="24"/>
          <w:lang w:eastAsia="fr-FR"/>
        </w:rPr>
        <w:t xml:space="preserve">, </w:t>
      </w:r>
      <w:r>
        <w:rPr>
          <w:rFonts w:ascii="Times New Roman" w:hAnsi="Times New Roman"/>
          <w:b w:val="0"/>
          <w:bCs w:val="0"/>
          <w:i w:val="0"/>
          <w:iCs w:val="0"/>
          <w:sz w:val="24"/>
          <w:szCs w:val="24"/>
          <w:lang w:eastAsia="fr-FR"/>
        </w:rPr>
        <w:t>financé sur le budget de l’Etat a été mis en place. La création de l’hôpital mère et enfant  a contribué à l’amélioration de la qualité des soins prodigués à la mère et à l’enfant à Nouakchott.</w:t>
      </w:r>
    </w:p>
    <w:p w:rsidR="00F0297E" w:rsidRDefault="00F0297E" w:rsidP="00F0297E">
      <w:pPr>
        <w:shd w:val="clear" w:color="auto" w:fill="FFFFFF"/>
        <w:spacing w:after="0" w:line="252" w:lineRule="atLeast"/>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Cependant, les enfants  pauvres qui naissent avec une déformation dans les os, pouvant être soigner et guérie à taux de cent pour cent si l’enfant est opéré dans le premier trimestre de sa naissance, or  leurs espoir  en guérison est très faible a cause du manque de moyens et l’absence d’assurance médicale pour les  indigents ; le cas de </w:t>
      </w:r>
      <w:proofErr w:type="spellStart"/>
      <w:r>
        <w:rPr>
          <w:rFonts w:ascii="Times New Roman" w:eastAsia="Times New Roman" w:hAnsi="Times New Roman" w:cs="Times New Roman"/>
          <w:sz w:val="24"/>
          <w:szCs w:val="24"/>
          <w:lang w:eastAsia="fr-FR"/>
        </w:rPr>
        <w:t>Zeinebou</w:t>
      </w:r>
      <w:proofErr w:type="spellEnd"/>
      <w:r>
        <w:rPr>
          <w:rFonts w:ascii="Times New Roman" w:eastAsia="Times New Roman" w:hAnsi="Times New Roman" w:cs="Times New Roman"/>
          <w:sz w:val="24"/>
          <w:szCs w:val="24"/>
          <w:lang w:eastAsia="fr-FR"/>
        </w:rPr>
        <w:t>  à Kiffa; la fille est né avec une déformation  sur les deux pieds qui nécessite une opération chirurgicale  qui coute environs de 500000 ouguiya environs de 1500 Euros, les parent sont pauvre,  et non pas trouver le soutient qu’il faut pour la soigner, donc la très mignonne fille est maintenant handicapé.</w:t>
      </w:r>
    </w:p>
    <w:p w:rsidR="00F0297E" w:rsidRDefault="00F0297E" w:rsidP="00F0297E">
      <w:pPr>
        <w:shd w:val="clear" w:color="auto" w:fill="FFFFFF"/>
        <w:spacing w:after="0" w:line="252" w:lineRule="atLeast"/>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Le cas de </w:t>
      </w:r>
      <w:proofErr w:type="spellStart"/>
      <w:r>
        <w:rPr>
          <w:rFonts w:ascii="Times New Roman" w:eastAsia="Times New Roman" w:hAnsi="Times New Roman" w:cs="Times New Roman"/>
          <w:sz w:val="24"/>
          <w:szCs w:val="24"/>
          <w:lang w:eastAsia="fr-FR"/>
        </w:rPr>
        <w:t>Minetou</w:t>
      </w:r>
      <w:proofErr w:type="spellEnd"/>
      <w:r>
        <w:rPr>
          <w:rFonts w:ascii="Times New Roman" w:eastAsia="Times New Roman" w:hAnsi="Times New Roman" w:cs="Times New Roman"/>
          <w:sz w:val="24"/>
          <w:szCs w:val="24"/>
          <w:lang w:eastAsia="fr-FR"/>
        </w:rPr>
        <w:t xml:space="preserve"> de </w:t>
      </w:r>
      <w:proofErr w:type="spellStart"/>
      <w:r>
        <w:rPr>
          <w:rFonts w:ascii="Times New Roman" w:eastAsia="Times New Roman" w:hAnsi="Times New Roman" w:cs="Times New Roman"/>
          <w:sz w:val="24"/>
          <w:szCs w:val="24"/>
          <w:lang w:eastAsia="fr-FR"/>
        </w:rPr>
        <w:t>selibaby</w:t>
      </w:r>
      <w:proofErr w:type="spellEnd"/>
      <w:r>
        <w:rPr>
          <w:rFonts w:ascii="Times New Roman" w:eastAsia="Times New Roman" w:hAnsi="Times New Roman" w:cs="Times New Roman"/>
          <w:sz w:val="24"/>
          <w:szCs w:val="24"/>
          <w:lang w:eastAsia="fr-FR"/>
        </w:rPr>
        <w:t> ; une fille né avec un problème cervicale qui nécessite une intervention chirurgicale couteuse, les parent sont pauvre, donc pas de chance pour cette Fille de vivre normale comme toutes les autres.</w:t>
      </w:r>
    </w:p>
    <w:p w:rsidR="00F0297E" w:rsidRDefault="00F0297E" w:rsidP="00F0297E">
      <w:pPr>
        <w:shd w:val="clear" w:color="auto" w:fill="FFFFFF"/>
        <w:spacing w:after="0" w:line="252" w:lineRule="atLeast"/>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Les exemples sont énormes.</w:t>
      </w:r>
      <w:bookmarkStart w:id="22" w:name="_Toc453672912"/>
    </w:p>
    <w:p w:rsidR="00F0297E" w:rsidRDefault="00F0297E" w:rsidP="00F0297E">
      <w:pPr>
        <w:pStyle w:val="Heading5"/>
        <w:rPr>
          <w:rFonts w:ascii="Times New Roman" w:hAnsi="Times New Roman"/>
          <w:i w:val="0"/>
          <w:iCs w:val="0"/>
          <w:sz w:val="28"/>
          <w:szCs w:val="28"/>
        </w:rPr>
      </w:pPr>
      <w:bookmarkStart w:id="23" w:name="_Toc454388753"/>
      <w:r>
        <w:rPr>
          <w:rFonts w:ascii="Times New Roman" w:hAnsi="Times New Roman"/>
          <w:i w:val="0"/>
          <w:iCs w:val="0"/>
          <w:sz w:val="28"/>
          <w:szCs w:val="28"/>
        </w:rPr>
        <w:t>6-  L’éducation</w:t>
      </w:r>
      <w:bookmarkEnd w:id="22"/>
      <w:bookmarkEnd w:id="23"/>
      <w:r>
        <w:rPr>
          <w:rFonts w:ascii="Times New Roman" w:hAnsi="Times New Roman"/>
          <w:i w:val="0"/>
          <w:iCs w:val="0"/>
          <w:sz w:val="28"/>
          <w:szCs w:val="28"/>
        </w:rPr>
        <w:t xml:space="preserve"> </w:t>
      </w: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 xml:space="preserve"> L’enseignement fondamental est obligatoire et gratuit. Mais en pratique 40% des enfants ne font pas l’école et 60% des écoles sont incomplète et les élèves n’y trouvent pas  un enseignement  de qualité et adéquat.</w:t>
      </w:r>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La  problématique des enfants de la  rue reste très inquiétante, les enfants mendiants  constituent le foyer de la délinquance les services du Centre de protection et d'intégration sociale des enfants (CPISE) ne sont pas visible. Le programme de lutte contre la mendicité s’est arreté au point de départ sans connaitre les causes.</w:t>
      </w:r>
    </w:p>
    <w:p w:rsidR="00F0297E" w:rsidRDefault="00F0297E" w:rsidP="00F0297E">
      <w:pPr>
        <w:pStyle w:val="Heading4"/>
        <w:rPr>
          <w:rFonts w:ascii="Times New Roman" w:hAnsi="Times New Roman"/>
        </w:rPr>
      </w:pPr>
      <w:bookmarkStart w:id="24" w:name="_Toc454388770"/>
      <w:bookmarkStart w:id="25" w:name="_Toc453672928"/>
      <w:r>
        <w:rPr>
          <w:rFonts w:ascii="Times New Roman" w:hAnsi="Times New Roman"/>
        </w:rPr>
        <w:t>7- Non discrimination à l’égard des filles</w:t>
      </w:r>
      <w:bookmarkEnd w:id="24"/>
      <w:bookmarkEnd w:id="25"/>
    </w:p>
    <w:p w:rsidR="00F0297E" w:rsidRDefault="00F0297E" w:rsidP="00F0297E">
      <w:pPr>
        <w:pStyle w:val="NoSpacing"/>
        <w:jc w:val="both"/>
        <w:rPr>
          <w:rFonts w:ascii="Times New Roman" w:hAnsi="Times New Roman" w:cs="Times New Roman"/>
          <w:sz w:val="24"/>
          <w:szCs w:val="24"/>
        </w:rPr>
      </w:pPr>
      <w:r>
        <w:rPr>
          <w:rFonts w:ascii="Times New Roman" w:hAnsi="Times New Roman" w:cs="Times New Roman"/>
          <w:sz w:val="24"/>
          <w:szCs w:val="24"/>
        </w:rPr>
        <w:t xml:space="preserve">  La constitution du 20 juillet 1991 est fondée sur le principe de l’égalité des citoyens sans aucune référence au sexe.</w:t>
      </w:r>
      <w:r>
        <w:rPr>
          <w:rFonts w:ascii="Times New Roman" w:hAnsi="Times New Roman" w:cs="Times New Roman"/>
          <w:b/>
          <w:sz w:val="24"/>
          <w:szCs w:val="24"/>
        </w:rPr>
        <w:t xml:space="preserve"> </w:t>
      </w:r>
      <w:r>
        <w:rPr>
          <w:rFonts w:ascii="Times New Roman" w:hAnsi="Times New Roman" w:cs="Times New Roman"/>
          <w:sz w:val="24"/>
          <w:szCs w:val="24"/>
        </w:rPr>
        <w:t xml:space="preserve">Ce principe s’accompagne de celui de l’égalité devant la loi et devant la justice qui permet à la femme et à la fille d’ester en justice et de bénéficier,  le cas échéant,  de l’aide juridique et juridictionnelle. </w:t>
      </w:r>
    </w:p>
    <w:p w:rsidR="00F0297E" w:rsidRDefault="00F0297E" w:rsidP="00F0297E">
      <w:pPr>
        <w:shd w:val="clear" w:color="auto" w:fill="FFFFFF"/>
        <w:spacing w:after="0" w:line="252" w:lineRule="atLeast"/>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On constate ici malgré la constitution ;  la pratique des  inégalités devant la loi,  pratiqué largement en Mauritanie, à titre d’exemple ; la demande de divorce ; si le divorce est sollicité par la femme, le jugement peut durer plusieurs années, alors que si l’homme  veut divorcer, la femme n’a que plier ses bagages et sortir le plus vite possible de la maison accompagner de ses enfants et cela ne nécessite même pas de verdict. </w:t>
      </w:r>
    </w:p>
    <w:p w:rsidR="00F0297E" w:rsidRDefault="00F0297E" w:rsidP="00F0297E">
      <w:pPr>
        <w:shd w:val="clear" w:color="auto" w:fill="FFFFFF"/>
        <w:spacing w:after="0" w:line="252" w:lineRule="atLeast"/>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lastRenderedPageBreak/>
        <w:t xml:space="preserve">Exemple à titre d’illustration : Mme </w:t>
      </w:r>
      <w:proofErr w:type="spellStart"/>
      <w:r>
        <w:rPr>
          <w:rFonts w:ascii="Times New Roman" w:eastAsia="Times New Roman" w:hAnsi="Times New Roman" w:cs="Times New Roman"/>
          <w:sz w:val="24"/>
          <w:szCs w:val="24"/>
          <w:lang w:eastAsia="fr-FR"/>
        </w:rPr>
        <w:t>Minetou</w:t>
      </w:r>
      <w:proofErr w:type="spellEnd"/>
      <w:r>
        <w:rPr>
          <w:rFonts w:ascii="Times New Roman" w:eastAsia="Times New Roman" w:hAnsi="Times New Roman" w:cs="Times New Roman"/>
          <w:sz w:val="24"/>
          <w:szCs w:val="24"/>
          <w:lang w:eastAsia="fr-FR"/>
        </w:rPr>
        <w:t xml:space="preserve"> qui à demander le divorce depuis 2011 jusqu’à aujourd’hui, elle n’arrive pas à trouvé son procès finale, elle ne peut se marier avant de posséder son divorce définitive, donc elle part en retraite toutes seul à cause de la négligence et la lenteur de la procédure judiciaire et ses enfants n’ont jamais  bénéficié depuis leurs naissance d’aucun don de la part de leur père et loin de là,  de leurs droits en pension.</w:t>
      </w:r>
    </w:p>
    <w:p w:rsidR="00F0297E" w:rsidRDefault="00F0297E" w:rsidP="00F0297E">
      <w:pPr>
        <w:shd w:val="clear" w:color="auto" w:fill="FFFFFF"/>
        <w:spacing w:after="0" w:line="252" w:lineRule="atLeast"/>
        <w:jc w:val="both"/>
        <w:rPr>
          <w:rFonts w:ascii="Times New Roman" w:eastAsia="Times New Roman" w:hAnsi="Times New Roman" w:cs="Times New Roman"/>
          <w:sz w:val="24"/>
          <w:szCs w:val="24"/>
          <w:lang w:eastAsia="fr-FR"/>
        </w:rPr>
      </w:pPr>
    </w:p>
    <w:p w:rsidR="00F0297E" w:rsidRDefault="00F0297E" w:rsidP="00F0297E">
      <w:pPr>
        <w:spacing w:after="0" w:line="240" w:lineRule="auto"/>
        <w:rPr>
          <w:rFonts w:ascii="Times New Roman" w:eastAsia="Times New Roman" w:hAnsi="Times New Roman" w:cs="Times New Roman"/>
          <w:b/>
          <w:bCs/>
          <w:sz w:val="28"/>
          <w:szCs w:val="28"/>
        </w:rPr>
      </w:pPr>
      <w:bookmarkStart w:id="26" w:name="_Toc454388778"/>
      <w:bookmarkStart w:id="27" w:name="_Toc453672934"/>
      <w:r>
        <w:rPr>
          <w:rFonts w:ascii="Times New Roman" w:hAnsi="Times New Roman"/>
          <w:b/>
          <w:bCs/>
          <w:sz w:val="28"/>
          <w:szCs w:val="28"/>
        </w:rPr>
        <w:t>8-  cadre légal relatif aux déclarations de naissance</w:t>
      </w:r>
      <w:bookmarkEnd w:id="26"/>
      <w:bookmarkEnd w:id="27"/>
    </w:p>
    <w:p w:rsidR="00F0297E" w:rsidRDefault="00F0297E" w:rsidP="00F0297E">
      <w:pPr>
        <w:pStyle w:val="NoSpacing"/>
        <w:jc w:val="both"/>
        <w:rPr>
          <w:rFonts w:ascii="Times New Roman" w:hAnsi="Times New Roman" w:cs="Times New Roman"/>
          <w:b/>
          <w:bCs/>
          <w:sz w:val="20"/>
          <w:szCs w:val="20"/>
        </w:rPr>
      </w:pPr>
    </w:p>
    <w:p w:rsidR="00F0297E" w:rsidRDefault="00F0297E" w:rsidP="00F0297E">
      <w:pPr>
        <w:pStyle w:val="NoSpacing"/>
        <w:ind w:firstLine="708"/>
        <w:jc w:val="both"/>
        <w:rPr>
          <w:rFonts w:ascii="Times New Roman" w:hAnsi="Times New Roman" w:cs="Times New Roman"/>
          <w:sz w:val="24"/>
          <w:szCs w:val="24"/>
        </w:rPr>
      </w:pPr>
      <w:r>
        <w:rPr>
          <w:rFonts w:ascii="Times New Roman" w:hAnsi="Times New Roman" w:cs="Times New Roman"/>
          <w:sz w:val="24"/>
          <w:szCs w:val="24"/>
        </w:rPr>
        <w:t>L’enregistrement à la naissance pose problème, et les enfants non enregistré à la naissance rencontrent souvent des sérieuses difficultés pour leur enregistrement.</w:t>
      </w:r>
    </w:p>
    <w:p w:rsidR="00F0297E" w:rsidRDefault="00F0297E" w:rsidP="00F0297E">
      <w:pPr>
        <w:pStyle w:val="NoSpacing"/>
        <w:jc w:val="both"/>
        <w:rPr>
          <w:rFonts w:ascii="Times New Roman" w:hAnsi="Times New Roman" w:cs="Times New Roman"/>
          <w:sz w:val="26"/>
          <w:szCs w:val="26"/>
        </w:rPr>
      </w:pPr>
    </w:p>
    <w:p w:rsidR="00F0297E" w:rsidRDefault="00F0297E" w:rsidP="00F0297E">
      <w:pPr>
        <w:pStyle w:val="NoSpacing"/>
        <w:jc w:val="both"/>
        <w:rPr>
          <w:rFonts w:ascii="Times New Roman" w:hAnsi="Times New Roman" w:cs="Times New Roman"/>
          <w:sz w:val="26"/>
          <w:szCs w:val="26"/>
        </w:rPr>
      </w:pPr>
      <w:r>
        <w:rPr>
          <w:rFonts w:ascii="Times New Roman" w:hAnsi="Times New Roman" w:cs="Times New Roman"/>
          <w:sz w:val="26"/>
          <w:szCs w:val="26"/>
        </w:rPr>
        <w:t>Merci pour votre attention</w:t>
      </w:r>
    </w:p>
    <w:p w:rsidR="00F0297E" w:rsidRDefault="00F0297E" w:rsidP="00F0297E">
      <w:pPr>
        <w:pStyle w:val="NoSpacing"/>
        <w:jc w:val="both"/>
        <w:rPr>
          <w:rFonts w:ascii="Times New Roman" w:hAnsi="Times New Roman" w:cs="Times New Roman"/>
          <w:sz w:val="26"/>
          <w:szCs w:val="26"/>
        </w:rPr>
      </w:pPr>
    </w:p>
    <w:p w:rsidR="00F0297E" w:rsidRDefault="00F0297E" w:rsidP="00F0297E">
      <w:pPr>
        <w:pStyle w:val="NoSpacing"/>
        <w:jc w:val="both"/>
        <w:rPr>
          <w:rFonts w:ascii="Times New Roman" w:hAnsi="Times New Roman" w:cs="Times New Roman"/>
          <w:b/>
          <w:bCs/>
          <w:sz w:val="28"/>
          <w:szCs w:val="28"/>
        </w:rPr>
      </w:pPr>
      <w:bookmarkStart w:id="28" w:name="_Toc453672947"/>
    </w:p>
    <w:p w:rsidR="00F0297E" w:rsidRDefault="00F0297E" w:rsidP="00F0297E">
      <w:pPr>
        <w:pStyle w:val="NoSpacing"/>
        <w:jc w:val="both"/>
        <w:rPr>
          <w:rFonts w:ascii="Times New Roman" w:hAnsi="Times New Roman" w:cs="Times New Roman"/>
          <w:b/>
          <w:bCs/>
          <w:sz w:val="28"/>
          <w:szCs w:val="28"/>
        </w:rPr>
      </w:pPr>
      <w:bookmarkStart w:id="29" w:name="_Toc453672950"/>
      <w:bookmarkEnd w:id="28"/>
    </w:p>
    <w:p w:rsidR="00F0297E" w:rsidRDefault="00F0297E" w:rsidP="00F0297E">
      <w:pPr>
        <w:pStyle w:val="NoSpacing"/>
        <w:jc w:val="both"/>
        <w:rPr>
          <w:rFonts w:ascii="Times New Roman" w:hAnsi="Times New Roman" w:cs="Times New Roman"/>
          <w:b/>
          <w:bCs/>
          <w:sz w:val="28"/>
          <w:szCs w:val="28"/>
        </w:rPr>
      </w:pPr>
      <w:bookmarkStart w:id="30" w:name="_Toc453672953"/>
      <w:bookmarkEnd w:id="29"/>
    </w:p>
    <w:bookmarkEnd w:id="30"/>
    <w:p w:rsidR="00F0297E" w:rsidRDefault="00F0297E" w:rsidP="00F0297E">
      <w:pPr>
        <w:pStyle w:val="NoSpacing"/>
        <w:ind w:firstLine="708"/>
        <w:jc w:val="both"/>
        <w:rPr>
          <w:rFonts w:ascii="Times New Roman" w:hAnsi="Times New Roman" w:cs="Times New Roman"/>
          <w:sz w:val="26"/>
          <w:szCs w:val="26"/>
        </w:rPr>
      </w:pPr>
    </w:p>
    <w:p w:rsidR="00F0297E" w:rsidRDefault="00F0297E" w:rsidP="00F0297E">
      <w:pPr>
        <w:pStyle w:val="NoSpacing"/>
        <w:ind w:firstLine="708"/>
        <w:jc w:val="both"/>
        <w:rPr>
          <w:rFonts w:ascii="Times New Roman" w:hAnsi="Times New Roman" w:cs="Times New Roman"/>
          <w:sz w:val="26"/>
          <w:szCs w:val="26"/>
        </w:rPr>
      </w:pPr>
    </w:p>
    <w:p w:rsidR="00F0297E" w:rsidRDefault="00F0297E" w:rsidP="00F0297E">
      <w:pPr>
        <w:pStyle w:val="NoSpacing"/>
        <w:jc w:val="both"/>
        <w:rPr>
          <w:rFonts w:ascii="Times New Roman" w:hAnsi="Times New Roman" w:cs="Times New Roman"/>
          <w:sz w:val="26"/>
          <w:szCs w:val="26"/>
        </w:rPr>
      </w:pPr>
      <w:bookmarkStart w:id="31" w:name="_Toc453672955"/>
    </w:p>
    <w:p w:rsidR="00F0297E" w:rsidRDefault="00F0297E" w:rsidP="00F0297E">
      <w:pPr>
        <w:pStyle w:val="NoSpacing"/>
        <w:jc w:val="both"/>
        <w:rPr>
          <w:rFonts w:ascii="Times New Roman" w:hAnsi="Times New Roman" w:cs="Times New Roman"/>
          <w:sz w:val="26"/>
          <w:szCs w:val="26"/>
        </w:rPr>
      </w:pPr>
      <w:bookmarkStart w:id="32" w:name="_Toc453672964"/>
      <w:bookmarkEnd w:id="31"/>
    </w:p>
    <w:bookmarkEnd w:id="32"/>
    <w:p w:rsidR="00F0297E" w:rsidRDefault="00F0297E" w:rsidP="00F0297E">
      <w:pPr>
        <w:pStyle w:val="NoSpacing"/>
        <w:jc w:val="both"/>
        <w:rPr>
          <w:rFonts w:ascii="Times New Roman" w:hAnsi="Times New Roman" w:cs="Times New Roman"/>
          <w:color w:val="FF0000"/>
          <w:sz w:val="26"/>
          <w:szCs w:val="26"/>
        </w:rPr>
      </w:pPr>
      <w:r>
        <w:rPr>
          <w:rFonts w:ascii="Times New Roman" w:hAnsi="Times New Roman" w:cs="Times New Roman"/>
          <w:b/>
          <w:bCs/>
          <w:sz w:val="20"/>
          <w:szCs w:val="20"/>
        </w:rPr>
        <w:t xml:space="preserve">    </w:t>
      </w:r>
      <w:r>
        <w:rPr>
          <w:rFonts w:ascii="Times New Roman" w:hAnsi="Times New Roman" w:cs="Times New Roman"/>
          <w:b/>
          <w:bCs/>
          <w:sz w:val="20"/>
          <w:szCs w:val="20"/>
        </w:rPr>
        <w:tab/>
      </w:r>
    </w:p>
    <w:p w:rsidR="00F0297E" w:rsidRDefault="00F0297E" w:rsidP="00F0297E">
      <w:pPr>
        <w:pStyle w:val="NoSpacing"/>
        <w:jc w:val="both"/>
        <w:rPr>
          <w:rFonts w:ascii="Times New Roman" w:hAnsi="Times New Roman" w:cs="Times New Roman"/>
          <w:b/>
          <w:bCs/>
          <w:sz w:val="26"/>
          <w:szCs w:val="26"/>
        </w:rPr>
      </w:pPr>
    </w:p>
    <w:p w:rsidR="00F0297E" w:rsidRDefault="00F0297E" w:rsidP="00F0297E">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bookmarkStart w:id="33" w:name="_Toc453672969"/>
    </w:p>
    <w:bookmarkEnd w:id="33"/>
    <w:p w:rsidR="00F0297E" w:rsidRDefault="00F0297E" w:rsidP="00F0297E">
      <w:pPr>
        <w:pStyle w:val="NoSpacing"/>
        <w:jc w:val="both"/>
        <w:rPr>
          <w:rFonts w:ascii="Times New Roman" w:hAnsi="Times New Roman" w:cs="Times New Roman"/>
          <w:sz w:val="26"/>
          <w:szCs w:val="26"/>
        </w:rPr>
      </w:pPr>
    </w:p>
    <w:p w:rsidR="00F0297E" w:rsidRDefault="00F0297E" w:rsidP="00F0297E">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F0297E" w:rsidRDefault="00F0297E" w:rsidP="00F0297E"/>
    <w:p w:rsidR="00D7054D" w:rsidRDefault="00D7054D"/>
    <w:sectPr w:rsidR="00D7054D" w:rsidSect="00D70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6E4D78"/>
    <w:multiLevelType w:val="hybridMultilevel"/>
    <w:tmpl w:val="94981D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F677129"/>
    <w:multiLevelType w:val="hybridMultilevel"/>
    <w:tmpl w:val="2640BA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B5B0D39"/>
    <w:multiLevelType w:val="hybridMultilevel"/>
    <w:tmpl w:val="C972C40E"/>
    <w:lvl w:ilvl="0" w:tplc="040C000B">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nsid w:val="2E9C60D0"/>
    <w:multiLevelType w:val="hybridMultilevel"/>
    <w:tmpl w:val="140447BA"/>
    <w:lvl w:ilvl="0" w:tplc="040C000B">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3F6B20B3"/>
    <w:multiLevelType w:val="hybridMultilevel"/>
    <w:tmpl w:val="5FB8ABD4"/>
    <w:lvl w:ilvl="0" w:tplc="040C000F">
      <w:start w:val="1"/>
      <w:numFmt w:val="decimal"/>
      <w:lvlText w:val="%1."/>
      <w:lvlJc w:val="left"/>
      <w:pPr>
        <w:ind w:left="644" w:hanging="360"/>
      </w:pPr>
    </w:lvl>
    <w:lvl w:ilvl="1" w:tplc="040C0019">
      <w:start w:val="1"/>
      <w:numFmt w:val="decimal"/>
      <w:lvlText w:val="%2."/>
      <w:lvlJc w:val="left"/>
      <w:pPr>
        <w:tabs>
          <w:tab w:val="num" w:pos="1364"/>
        </w:tabs>
        <w:ind w:left="1364" w:hanging="360"/>
      </w:pPr>
    </w:lvl>
    <w:lvl w:ilvl="2" w:tplc="040C001B">
      <w:start w:val="1"/>
      <w:numFmt w:val="decimal"/>
      <w:lvlText w:val="%3."/>
      <w:lvlJc w:val="left"/>
      <w:pPr>
        <w:tabs>
          <w:tab w:val="num" w:pos="2084"/>
        </w:tabs>
        <w:ind w:left="2084" w:hanging="360"/>
      </w:pPr>
    </w:lvl>
    <w:lvl w:ilvl="3" w:tplc="040C000F">
      <w:start w:val="1"/>
      <w:numFmt w:val="decimal"/>
      <w:lvlText w:val="%4."/>
      <w:lvlJc w:val="left"/>
      <w:pPr>
        <w:tabs>
          <w:tab w:val="num" w:pos="2804"/>
        </w:tabs>
        <w:ind w:left="2804" w:hanging="360"/>
      </w:pPr>
    </w:lvl>
    <w:lvl w:ilvl="4" w:tplc="040C0019">
      <w:start w:val="1"/>
      <w:numFmt w:val="decimal"/>
      <w:lvlText w:val="%5."/>
      <w:lvlJc w:val="left"/>
      <w:pPr>
        <w:tabs>
          <w:tab w:val="num" w:pos="3524"/>
        </w:tabs>
        <w:ind w:left="3524" w:hanging="360"/>
      </w:pPr>
    </w:lvl>
    <w:lvl w:ilvl="5" w:tplc="040C001B">
      <w:start w:val="1"/>
      <w:numFmt w:val="decimal"/>
      <w:lvlText w:val="%6."/>
      <w:lvlJc w:val="left"/>
      <w:pPr>
        <w:tabs>
          <w:tab w:val="num" w:pos="4244"/>
        </w:tabs>
        <w:ind w:left="4244" w:hanging="360"/>
      </w:pPr>
    </w:lvl>
    <w:lvl w:ilvl="6" w:tplc="040C000F">
      <w:start w:val="1"/>
      <w:numFmt w:val="decimal"/>
      <w:lvlText w:val="%7."/>
      <w:lvlJc w:val="left"/>
      <w:pPr>
        <w:tabs>
          <w:tab w:val="num" w:pos="4964"/>
        </w:tabs>
        <w:ind w:left="4964" w:hanging="360"/>
      </w:pPr>
    </w:lvl>
    <w:lvl w:ilvl="7" w:tplc="040C0019">
      <w:start w:val="1"/>
      <w:numFmt w:val="decimal"/>
      <w:lvlText w:val="%8."/>
      <w:lvlJc w:val="left"/>
      <w:pPr>
        <w:tabs>
          <w:tab w:val="num" w:pos="5684"/>
        </w:tabs>
        <w:ind w:left="5684" w:hanging="360"/>
      </w:pPr>
    </w:lvl>
    <w:lvl w:ilvl="8" w:tplc="040C001B">
      <w:start w:val="1"/>
      <w:numFmt w:val="decimal"/>
      <w:lvlText w:val="%9."/>
      <w:lvlJc w:val="left"/>
      <w:pPr>
        <w:tabs>
          <w:tab w:val="num" w:pos="6404"/>
        </w:tabs>
        <w:ind w:left="6404" w:hanging="360"/>
      </w:pPr>
    </w:lvl>
  </w:abstractNum>
  <w:abstractNum w:abstractNumId="5">
    <w:nsid w:val="54365421"/>
    <w:multiLevelType w:val="hybridMultilevel"/>
    <w:tmpl w:val="E1DEB440"/>
    <w:lvl w:ilvl="0" w:tplc="9588061C">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nsid w:val="56AE15FA"/>
    <w:multiLevelType w:val="hybridMultilevel"/>
    <w:tmpl w:val="8886DC44"/>
    <w:lvl w:ilvl="0" w:tplc="91BE89D0">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
    <w:nsid w:val="62E65203"/>
    <w:multiLevelType w:val="hybridMultilevel"/>
    <w:tmpl w:val="B48E31A8"/>
    <w:lvl w:ilvl="0" w:tplc="040C000B">
      <w:start w:val="1"/>
      <w:numFmt w:val="bullet"/>
      <w:lvlText w:val=""/>
      <w:lvlJc w:val="left"/>
      <w:pPr>
        <w:ind w:left="764"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
    <w:nsid w:val="7C575BA8"/>
    <w:multiLevelType w:val="hybridMultilevel"/>
    <w:tmpl w:val="2A94D798"/>
    <w:lvl w:ilvl="0" w:tplc="80302F48">
      <w:start w:val="1"/>
      <w:numFmt w:val="upperRoman"/>
      <w:lvlText w:val="%1-"/>
      <w:lvlJc w:val="left"/>
      <w:pPr>
        <w:ind w:left="1080"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F0297E"/>
    <w:rsid w:val="00286729"/>
    <w:rsid w:val="007C202E"/>
    <w:rsid w:val="00AE6ECA"/>
    <w:rsid w:val="00D10004"/>
    <w:rsid w:val="00D7054D"/>
    <w:rsid w:val="00E35538"/>
    <w:rsid w:val="00EB1AB7"/>
    <w:rsid w:val="00F0297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86C48E-7755-4D13-9AED-F00BD8F4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97E"/>
    <w:rPr>
      <w:rFonts w:ascii="Calibri" w:eastAsia="Calibri" w:hAnsi="Calibri" w:cs="Arial"/>
    </w:rPr>
  </w:style>
  <w:style w:type="paragraph" w:styleId="Heading1">
    <w:name w:val="heading 1"/>
    <w:basedOn w:val="Normal"/>
    <w:next w:val="Normal"/>
    <w:link w:val="Heading1Char"/>
    <w:uiPriority w:val="9"/>
    <w:qFormat/>
    <w:rsid w:val="00F0297E"/>
    <w:pPr>
      <w:keepNext/>
      <w:spacing w:before="240" w:after="60"/>
      <w:outlineLvl w:val="0"/>
    </w:pPr>
    <w:rPr>
      <w:rFonts w:ascii="Cambria" w:eastAsia="Times New Roman" w:hAnsi="Cambria" w:cs="Times New Roman"/>
      <w:b/>
      <w:bCs/>
      <w:kern w:val="32"/>
      <w:sz w:val="32"/>
      <w:szCs w:val="32"/>
    </w:rPr>
  </w:style>
  <w:style w:type="paragraph" w:styleId="Heading3">
    <w:name w:val="heading 3"/>
    <w:basedOn w:val="Normal"/>
    <w:link w:val="Heading3Char"/>
    <w:uiPriority w:val="9"/>
    <w:semiHidden/>
    <w:unhideWhenUsed/>
    <w:qFormat/>
    <w:rsid w:val="00F0297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0297E"/>
    <w:pPr>
      <w:keepNext/>
      <w:spacing w:before="240" w:after="60"/>
      <w:outlineLvl w:val="3"/>
    </w:pPr>
    <w:rPr>
      <w:rFonts w:eastAsia="Times New Roman" w:cs="Times New Roman"/>
      <w:b/>
      <w:bCs/>
      <w:sz w:val="28"/>
      <w:szCs w:val="28"/>
    </w:rPr>
  </w:style>
  <w:style w:type="paragraph" w:styleId="Heading5">
    <w:name w:val="heading 5"/>
    <w:basedOn w:val="Normal"/>
    <w:next w:val="Normal"/>
    <w:link w:val="Heading5Char"/>
    <w:uiPriority w:val="9"/>
    <w:semiHidden/>
    <w:unhideWhenUsed/>
    <w:qFormat/>
    <w:rsid w:val="00F0297E"/>
    <w:pPr>
      <w:spacing w:before="240" w:after="60"/>
      <w:outlineLvl w:val="4"/>
    </w:pPr>
    <w:rPr>
      <w:rFonts w:eastAsia="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97E"/>
    <w:rPr>
      <w:rFonts w:ascii="Cambria" w:eastAsia="Times New Roman" w:hAnsi="Cambria" w:cs="Times New Roman"/>
      <w:b/>
      <w:bCs/>
      <w:kern w:val="32"/>
      <w:sz w:val="32"/>
      <w:szCs w:val="32"/>
    </w:rPr>
  </w:style>
  <w:style w:type="character" w:customStyle="1" w:styleId="Heading3Char">
    <w:name w:val="Heading 3 Char"/>
    <w:basedOn w:val="DefaultParagraphFont"/>
    <w:link w:val="Heading3"/>
    <w:uiPriority w:val="9"/>
    <w:semiHidden/>
    <w:rsid w:val="00F0297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F0297E"/>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F0297E"/>
    <w:rPr>
      <w:rFonts w:ascii="Calibri" w:eastAsia="Times New Roman" w:hAnsi="Calibri" w:cs="Times New Roman"/>
      <w:b/>
      <w:bCs/>
      <w:i/>
      <w:iCs/>
      <w:sz w:val="26"/>
      <w:szCs w:val="26"/>
    </w:rPr>
  </w:style>
  <w:style w:type="paragraph" w:styleId="NoSpacing">
    <w:name w:val="No Spacing"/>
    <w:uiPriority w:val="1"/>
    <w:qFormat/>
    <w:rsid w:val="00F0297E"/>
    <w:pPr>
      <w:spacing w:after="0" w:line="240" w:lineRule="auto"/>
    </w:pPr>
    <w:rPr>
      <w:rFonts w:ascii="Calibri" w:eastAsia="Calibri" w:hAnsi="Calibri" w:cs="Arial"/>
    </w:rPr>
  </w:style>
  <w:style w:type="paragraph" w:customStyle="1" w:styleId="Listecouleur-Accent11">
    <w:name w:val="Liste couleur - Accent 11"/>
    <w:basedOn w:val="Normal"/>
    <w:uiPriority w:val="34"/>
    <w:qFormat/>
    <w:rsid w:val="00F0297E"/>
    <w:pPr>
      <w:spacing w:after="0" w:line="240" w:lineRule="auto"/>
      <w:ind w:left="720"/>
      <w:contextualSpacing/>
    </w:pPr>
    <w:rPr>
      <w:rFonts w:ascii="Cambria" w:eastAsia="MS Mincho" w:hAnsi="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90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26083E-7440-4601-853B-06798A48F359}"/>
</file>

<file path=customXml/itemProps2.xml><?xml version="1.0" encoding="utf-8"?>
<ds:datastoreItem xmlns:ds="http://schemas.openxmlformats.org/officeDocument/2006/customXml" ds:itemID="{AF342E79-2D5C-4DD0-8C3B-A0CF36C6C474}"/>
</file>

<file path=customXml/itemProps3.xml><?xml version="1.0" encoding="utf-8"?>
<ds:datastoreItem xmlns:ds="http://schemas.openxmlformats.org/officeDocument/2006/customXml" ds:itemID="{E02E017E-B82E-4A8E-894A-36EA8D320879}"/>
</file>

<file path=docProps/app.xml><?xml version="1.0" encoding="utf-8"?>
<Properties xmlns="http://schemas.openxmlformats.org/officeDocument/2006/extended-properties" xmlns:vt="http://schemas.openxmlformats.org/officeDocument/2006/docPropsVTypes">
  <Template>Normal.dotm</Template>
  <TotalTime>2</TotalTime>
  <Pages>6</Pages>
  <Words>1971</Words>
  <Characters>11236</Characters>
  <Application>Microsoft Office Word</Application>
  <DocSecurity>4</DocSecurity>
  <Lines>93</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dcterms:created xsi:type="dcterms:W3CDTF">2018-08-14T09:20:00Z</dcterms:created>
  <dcterms:modified xsi:type="dcterms:W3CDTF">2018-08-14T09:20:00Z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