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B91" w:rsidRDefault="00DC1B91" w:rsidP="0011025F">
      <w:pPr>
        <w:spacing w:after="0" w:line="240" w:lineRule="auto"/>
        <w:rPr>
          <w:b/>
          <w:lang w:val="es-ES_tradnl"/>
        </w:rPr>
      </w:pPr>
      <w:bookmarkStart w:id="0" w:name="_GoBack"/>
      <w:bookmarkEnd w:id="0"/>
    </w:p>
    <w:p w:rsidR="00352E7E" w:rsidRPr="00352E7E" w:rsidRDefault="00662C1E" w:rsidP="00352E7E">
      <w:pPr>
        <w:spacing w:after="0" w:line="240" w:lineRule="auto"/>
        <w:jc w:val="both"/>
        <w:rPr>
          <w:b/>
          <w:lang w:val="es-ES_tradnl"/>
        </w:rPr>
      </w:pPr>
      <w:r w:rsidRPr="00352E7E">
        <w:rPr>
          <w:b/>
          <w:lang w:val="es-ES_tradnl"/>
        </w:rPr>
        <w:t>CUESTIONES PRELIMINARES:</w:t>
      </w:r>
    </w:p>
    <w:p w:rsidR="00D71815" w:rsidRDefault="00D71815" w:rsidP="00352E7E">
      <w:pPr>
        <w:pStyle w:val="ListParagraph"/>
        <w:numPr>
          <w:ilvl w:val="0"/>
          <w:numId w:val="4"/>
        </w:numPr>
        <w:spacing w:after="0" w:line="240" w:lineRule="auto"/>
        <w:jc w:val="both"/>
        <w:rPr>
          <w:b/>
          <w:lang w:val="es-ES_tradnl"/>
        </w:rPr>
      </w:pPr>
      <w:r w:rsidRPr="00352E7E">
        <w:rPr>
          <w:lang w:val="es-ES_tradnl"/>
        </w:rPr>
        <w:t xml:space="preserve">Como cuestión preliminar es de destacar que el Estado de Guatemala ha omitido dar cumplimiento a las recomendaciones que ha venido realizando el Comité </w:t>
      </w:r>
      <w:r w:rsidR="00352E7E" w:rsidRPr="00352E7E">
        <w:rPr>
          <w:lang w:val="es-ES_tradnl"/>
        </w:rPr>
        <w:t>tal y como se desprende del mismo informe remitido por el Estado de Guatemala en donde no hace referencia a la reforma agraria, reforma fiscal progresiva, eliminación de privilegios fiscales, entre otras cuestiones prioritarias planteadas desde hace muchos años por el Comité.</w:t>
      </w:r>
      <w:r w:rsidR="00352E7E" w:rsidRPr="00352E7E">
        <w:rPr>
          <w:b/>
          <w:lang w:val="es-ES_tradnl"/>
        </w:rPr>
        <w:t xml:space="preserve"> </w:t>
      </w:r>
    </w:p>
    <w:p w:rsidR="00352E7E" w:rsidRPr="00352E7E" w:rsidRDefault="00352E7E" w:rsidP="00352E7E">
      <w:pPr>
        <w:pStyle w:val="ListParagraph"/>
        <w:numPr>
          <w:ilvl w:val="0"/>
          <w:numId w:val="4"/>
        </w:numPr>
        <w:spacing w:after="0" w:line="240" w:lineRule="auto"/>
        <w:jc w:val="both"/>
        <w:rPr>
          <w:lang w:val="es-ES_tradnl"/>
        </w:rPr>
      </w:pPr>
      <w:r>
        <w:rPr>
          <w:lang w:val="es-ES_tradnl"/>
        </w:rPr>
        <w:t>Los niveles de p</w:t>
      </w:r>
      <w:r w:rsidRPr="00352E7E">
        <w:rPr>
          <w:lang w:val="es-ES_tradnl"/>
        </w:rPr>
        <w:t>obreza y exclusión social se han incrementado sin que el Estado haya tomado medidas para disminuir las brechas de desigualdad social</w:t>
      </w:r>
      <w:r>
        <w:rPr>
          <w:lang w:val="es-ES_tradnl"/>
        </w:rPr>
        <w:t xml:space="preserve"> sino por el contrario aprovecho la pandemia del Covid-19 para profundizarlas mediante la autorización a los empresarios de suspender contratos de trabajo sin responsabilidad de su parte, ejecutar despidos, dejar de pagar impuestos, entre otras no menos graves</w:t>
      </w:r>
      <w:r w:rsidRPr="00352E7E">
        <w:rPr>
          <w:lang w:val="es-ES_tradnl"/>
        </w:rPr>
        <w:t>.</w:t>
      </w:r>
    </w:p>
    <w:p w:rsidR="00352E7E" w:rsidRPr="00352E7E" w:rsidRDefault="00352E7E" w:rsidP="00352E7E">
      <w:pPr>
        <w:pStyle w:val="ListParagraph"/>
        <w:spacing w:after="0" w:line="240" w:lineRule="auto"/>
        <w:jc w:val="both"/>
        <w:rPr>
          <w:lang w:val="es-ES_tradnl"/>
        </w:rPr>
      </w:pPr>
    </w:p>
    <w:p w:rsidR="00BF7568" w:rsidRPr="004829B0" w:rsidRDefault="00373FE7" w:rsidP="0011025F">
      <w:pPr>
        <w:spacing w:after="0" w:line="240" w:lineRule="auto"/>
        <w:rPr>
          <w:b/>
          <w:lang w:val="es-ES_tradnl"/>
        </w:rPr>
      </w:pPr>
      <w:r w:rsidRPr="004829B0">
        <w:rPr>
          <w:b/>
          <w:lang w:val="es-ES_tradnl"/>
        </w:rPr>
        <w:t>ARTÍCULO 6 DEL PACTO.</w:t>
      </w:r>
    </w:p>
    <w:p w:rsidR="00352E7E" w:rsidRDefault="004265C3" w:rsidP="0011025F">
      <w:pPr>
        <w:pStyle w:val="ListParagraph"/>
        <w:numPr>
          <w:ilvl w:val="0"/>
          <w:numId w:val="4"/>
        </w:numPr>
        <w:spacing w:after="0" w:line="240" w:lineRule="auto"/>
        <w:jc w:val="both"/>
        <w:rPr>
          <w:lang w:val="es-ES_tradnl"/>
        </w:rPr>
      </w:pPr>
      <w:r w:rsidRPr="00352E7E">
        <w:rPr>
          <w:lang w:val="es-ES_tradnl"/>
        </w:rPr>
        <w:t>El Derecho al Trabajo, como lo reconoce el artículo 6 del Pact</w:t>
      </w:r>
      <w:r w:rsidR="007D2969" w:rsidRPr="00352E7E">
        <w:rPr>
          <w:lang w:val="es-ES_tradnl"/>
        </w:rPr>
        <w:t>o y lo ratifican la Observac</w:t>
      </w:r>
      <w:r w:rsidR="00AF30C3" w:rsidRPr="00352E7E">
        <w:rPr>
          <w:lang w:val="es-ES_tradnl"/>
        </w:rPr>
        <w:t xml:space="preserve">ión General número 18, incluye </w:t>
      </w:r>
      <w:r w:rsidR="007D2969" w:rsidRPr="00352E7E">
        <w:rPr>
          <w:lang w:val="es-ES_tradnl"/>
        </w:rPr>
        <w:t>la estabilidad laboral como un elemento integral ya que esta presupone en el sentido positivo la reafirmación</w:t>
      </w:r>
      <w:r w:rsidR="00AF10A9" w:rsidRPr="00352E7E">
        <w:rPr>
          <w:lang w:val="es-ES_tradnl"/>
        </w:rPr>
        <w:t xml:space="preserve"> del derecho a la libre elección del </w:t>
      </w:r>
      <w:r w:rsidR="009B2D70" w:rsidRPr="00352E7E">
        <w:rPr>
          <w:lang w:val="es-ES_tradnl"/>
        </w:rPr>
        <w:t>trabajo</w:t>
      </w:r>
      <w:r w:rsidR="00AF10A9" w:rsidRPr="00352E7E">
        <w:rPr>
          <w:lang w:val="es-ES_tradnl"/>
        </w:rPr>
        <w:t xml:space="preserve"> </w:t>
      </w:r>
      <w:r w:rsidR="0011025F" w:rsidRPr="00352E7E">
        <w:rPr>
          <w:lang w:val="es-ES_tradnl"/>
        </w:rPr>
        <w:t xml:space="preserve">al proteger este derecho de una privación </w:t>
      </w:r>
      <w:r w:rsidR="00E20A66" w:rsidRPr="00352E7E">
        <w:rPr>
          <w:lang w:val="es-ES_tradnl"/>
        </w:rPr>
        <w:t>arbitraria</w:t>
      </w:r>
      <w:r w:rsidR="0011025F" w:rsidRPr="00352E7E">
        <w:rPr>
          <w:lang w:val="es-ES_tradnl"/>
        </w:rPr>
        <w:t>.</w:t>
      </w:r>
    </w:p>
    <w:p w:rsidR="00352E7E" w:rsidRDefault="00F10C8F" w:rsidP="0011025F">
      <w:pPr>
        <w:pStyle w:val="ListParagraph"/>
        <w:numPr>
          <w:ilvl w:val="0"/>
          <w:numId w:val="4"/>
        </w:numPr>
        <w:spacing w:after="0" w:line="240" w:lineRule="auto"/>
        <w:jc w:val="both"/>
        <w:rPr>
          <w:lang w:val="es-ES_tradnl"/>
        </w:rPr>
      </w:pPr>
      <w:r w:rsidRPr="00352E7E">
        <w:rPr>
          <w:lang w:val="es-ES_tradnl"/>
        </w:rPr>
        <w:t>El derecho al trabajo, a su vez reviste una connotación social y una de índole individual; en su connotación social, la estabilidad laboral y la prohibición del trabajo forzoso garant</w:t>
      </w:r>
      <w:r w:rsidR="00AF30C3" w:rsidRPr="00352E7E">
        <w:rPr>
          <w:lang w:val="es-ES_tradnl"/>
        </w:rPr>
        <w:t xml:space="preserve">izan su libre elección </w:t>
      </w:r>
      <w:r w:rsidR="00FC4BE9" w:rsidRPr="00352E7E">
        <w:rPr>
          <w:lang w:val="es-ES_tradnl"/>
        </w:rPr>
        <w:t xml:space="preserve">como una garantía general que luego se particulariza protegiendo al individuo de la privación arbitraria de este derecho o bien de que se le imponga de manera forzada.      </w:t>
      </w:r>
    </w:p>
    <w:p w:rsidR="00352E7E" w:rsidRPr="00352E7E" w:rsidRDefault="00FC4BE9" w:rsidP="0011025F">
      <w:pPr>
        <w:pStyle w:val="ListParagraph"/>
        <w:numPr>
          <w:ilvl w:val="0"/>
          <w:numId w:val="4"/>
        </w:numPr>
        <w:spacing w:after="0" w:line="240" w:lineRule="auto"/>
        <w:jc w:val="both"/>
        <w:rPr>
          <w:rStyle w:val="Strong"/>
          <w:b w:val="0"/>
          <w:bCs w:val="0"/>
          <w:lang w:val="es-ES_tradnl"/>
        </w:rPr>
      </w:pPr>
      <w:r w:rsidRPr="00352E7E">
        <w:rPr>
          <w:lang w:val="es-ES_tradnl"/>
        </w:rPr>
        <w:t xml:space="preserve">Este derecho, es también desarrollado en el sistema regional de protección de los derechos humanos particularmente en los artículos 26 de la Convención Americana Sobre Derechos Humanos </w:t>
      </w:r>
      <w:r w:rsidRPr="00352E7E">
        <w:rPr>
          <w:b/>
          <w:lang w:val="es-ES_tradnl"/>
        </w:rPr>
        <w:t>[Ver</w:t>
      </w:r>
      <w:r w:rsidRPr="00352E7E">
        <w:rPr>
          <w:lang w:val="es-ES_tradnl"/>
        </w:rPr>
        <w:t xml:space="preserve"> </w:t>
      </w:r>
      <w:r w:rsidRPr="00B15FC9">
        <w:rPr>
          <w:rStyle w:val="Strong"/>
        </w:rPr>
        <w:t>Serie C No. 340, Sentencia de fecha 31 de agosto de 2017, Caso Lagos del Campo Vrs Perú, Corte Interamericana de Derechos Humanos]</w:t>
      </w:r>
      <w:r w:rsidR="00B15FC9" w:rsidRPr="00B15FC9">
        <w:rPr>
          <w:rStyle w:val="Strong"/>
        </w:rPr>
        <w:t xml:space="preserve"> </w:t>
      </w:r>
      <w:r w:rsidR="00B15FC9" w:rsidRPr="00352E7E">
        <w:rPr>
          <w:rStyle w:val="Strong"/>
          <w:b w:val="0"/>
        </w:rPr>
        <w:t>y el artículo 7.d del Protocolo Adicional a la Convención Americana Sobre Derechos Humanos en Materia de Derechos Económicos, Sociales y</w:t>
      </w:r>
      <w:r w:rsidR="00AF30C3" w:rsidRPr="00352E7E">
        <w:rPr>
          <w:rStyle w:val="Strong"/>
          <w:b w:val="0"/>
        </w:rPr>
        <w:t xml:space="preserve"> Culturales -</w:t>
      </w:r>
      <w:r w:rsidR="00B15FC9" w:rsidRPr="00352E7E">
        <w:rPr>
          <w:rStyle w:val="Strong"/>
          <w:b w:val="0"/>
        </w:rPr>
        <w:t xml:space="preserve">Protocolo de San Salvador- </w:t>
      </w:r>
    </w:p>
    <w:p w:rsidR="00352E7E" w:rsidRPr="00352E7E" w:rsidRDefault="00AF30C3" w:rsidP="0011025F">
      <w:pPr>
        <w:pStyle w:val="ListParagraph"/>
        <w:numPr>
          <w:ilvl w:val="0"/>
          <w:numId w:val="4"/>
        </w:numPr>
        <w:spacing w:after="0" w:line="240" w:lineRule="auto"/>
        <w:jc w:val="both"/>
        <w:rPr>
          <w:rStyle w:val="Strong"/>
          <w:b w:val="0"/>
          <w:bCs w:val="0"/>
          <w:lang w:val="es-ES_tradnl"/>
        </w:rPr>
      </w:pPr>
      <w:r w:rsidRPr="00352E7E">
        <w:rPr>
          <w:rStyle w:val="Strong"/>
          <w:b w:val="0"/>
        </w:rPr>
        <w:t>D</w:t>
      </w:r>
      <w:r w:rsidR="00F66461" w:rsidRPr="00352E7E">
        <w:rPr>
          <w:rStyle w:val="Strong"/>
          <w:b w:val="0"/>
        </w:rPr>
        <w:t>e conformidad con los artículos 44, 46, 171 literales a) y l) y 183 literal k)</w:t>
      </w:r>
      <w:r w:rsidRPr="00352E7E">
        <w:rPr>
          <w:rStyle w:val="Strong"/>
          <w:b w:val="0"/>
        </w:rPr>
        <w:t xml:space="preserve"> de la Constitución Política de la República de Guatemala</w:t>
      </w:r>
      <w:r w:rsidR="00F66461" w:rsidRPr="00352E7E">
        <w:rPr>
          <w:rStyle w:val="Strong"/>
          <w:b w:val="0"/>
        </w:rPr>
        <w:t xml:space="preserve">, los tratados o convenios internacionales ratificados por el Estado tienen el carácter de leyes nacionales y en consecuencia </w:t>
      </w:r>
      <w:r w:rsidR="00D14814" w:rsidRPr="00352E7E">
        <w:rPr>
          <w:rStyle w:val="Strong"/>
          <w:b w:val="0"/>
        </w:rPr>
        <w:t>son de obligatorio cumplimiento</w:t>
      </w:r>
      <w:r w:rsidRPr="00352E7E">
        <w:rPr>
          <w:rStyle w:val="Strong"/>
          <w:b w:val="0"/>
        </w:rPr>
        <w:t xml:space="preserve">, no obstante esto, </w:t>
      </w:r>
      <w:r w:rsidR="00F66461" w:rsidRPr="00352E7E">
        <w:rPr>
          <w:rStyle w:val="Strong"/>
          <w:b w:val="0"/>
        </w:rPr>
        <w:t>el Estado de Guatemala ha instaurado una política de violación del derecho al trabajo, particularmente del derecho a la estabilidad en el mismo</w:t>
      </w:r>
      <w:r w:rsidRPr="00352E7E">
        <w:rPr>
          <w:rStyle w:val="Strong"/>
          <w:b w:val="0"/>
        </w:rPr>
        <w:t>.</w:t>
      </w:r>
      <w:r w:rsidR="00B15FC9" w:rsidRPr="00352E7E">
        <w:rPr>
          <w:rStyle w:val="Strong"/>
          <w:b w:val="0"/>
        </w:rPr>
        <w:t xml:space="preserve"> </w:t>
      </w:r>
    </w:p>
    <w:p w:rsidR="0081475A" w:rsidRPr="00352E7E" w:rsidRDefault="0056589B" w:rsidP="0011025F">
      <w:pPr>
        <w:pStyle w:val="ListParagraph"/>
        <w:numPr>
          <w:ilvl w:val="0"/>
          <w:numId w:val="4"/>
        </w:numPr>
        <w:spacing w:after="0" w:line="240" w:lineRule="auto"/>
        <w:jc w:val="both"/>
        <w:rPr>
          <w:lang w:val="es-ES_tradnl"/>
        </w:rPr>
      </w:pPr>
      <w:r w:rsidRPr="00352E7E">
        <w:rPr>
          <w:lang w:val="es-ES_tradnl"/>
        </w:rPr>
        <w:t xml:space="preserve">Nos referimos a una política porque no constituye un accionar aislado de una institución o persona sino de una serie de actos derivados de distintas instituciones y poderes del Estado cuyo efecto es eliminar en la práctica la estabilidad laboral e impedir que la misma pueda ser garantizada </w:t>
      </w:r>
      <w:r w:rsidR="00FF3C47" w:rsidRPr="00352E7E">
        <w:rPr>
          <w:lang w:val="es-ES_tradnl"/>
        </w:rPr>
        <w:t>a través de la tutela judicial efectiva causando una excepción a las obligaciones a que se refiere</w:t>
      </w:r>
      <w:r w:rsidR="0081475A" w:rsidRPr="00352E7E">
        <w:rPr>
          <w:lang w:val="es-ES_tradnl"/>
        </w:rPr>
        <w:t>n</w:t>
      </w:r>
      <w:r w:rsidR="00FF3C47" w:rsidRPr="00352E7E">
        <w:rPr>
          <w:lang w:val="es-ES_tradnl"/>
        </w:rPr>
        <w:t xml:space="preserve"> la observaci</w:t>
      </w:r>
      <w:r w:rsidR="0081475A" w:rsidRPr="00352E7E">
        <w:rPr>
          <w:lang w:val="es-ES_tradnl"/>
        </w:rPr>
        <w:t>ones generales números 3 y 9 del Comité.</w:t>
      </w:r>
    </w:p>
    <w:p w:rsidR="0081475A" w:rsidRDefault="0081475A" w:rsidP="0011025F">
      <w:pPr>
        <w:spacing w:after="0" w:line="240" w:lineRule="auto"/>
        <w:jc w:val="both"/>
        <w:rPr>
          <w:lang w:val="es-ES_tradnl"/>
        </w:rPr>
      </w:pPr>
    </w:p>
    <w:p w:rsidR="00A10525" w:rsidRDefault="00AC5F94" w:rsidP="0011025F">
      <w:pPr>
        <w:spacing w:after="0" w:line="240" w:lineRule="auto"/>
        <w:jc w:val="both"/>
        <w:rPr>
          <w:b/>
          <w:lang w:val="es-ES_tradnl"/>
        </w:rPr>
      </w:pPr>
      <w:r>
        <w:rPr>
          <w:b/>
          <w:lang w:val="es-ES_tradnl"/>
        </w:rPr>
        <w:t>La violació</w:t>
      </w:r>
      <w:r w:rsidRPr="009941DD">
        <w:rPr>
          <w:b/>
          <w:lang w:val="es-ES_tradnl"/>
        </w:rPr>
        <w:t xml:space="preserve">n incurrida por el </w:t>
      </w:r>
      <w:r>
        <w:rPr>
          <w:b/>
          <w:lang w:val="es-ES_tradnl"/>
        </w:rPr>
        <w:t>E</w:t>
      </w:r>
      <w:r w:rsidRPr="009941DD">
        <w:rPr>
          <w:b/>
          <w:lang w:val="es-ES_tradnl"/>
        </w:rPr>
        <w:t>stado como garante:</w:t>
      </w:r>
    </w:p>
    <w:p w:rsidR="00A10525" w:rsidRPr="00352E7E" w:rsidRDefault="00A10525" w:rsidP="00352E7E">
      <w:pPr>
        <w:pStyle w:val="ListParagraph"/>
        <w:numPr>
          <w:ilvl w:val="0"/>
          <w:numId w:val="4"/>
        </w:numPr>
        <w:spacing w:after="0" w:line="240" w:lineRule="auto"/>
        <w:jc w:val="both"/>
        <w:rPr>
          <w:lang w:val="es-ES_tradnl"/>
        </w:rPr>
      </w:pPr>
      <w:r w:rsidRPr="00352E7E">
        <w:rPr>
          <w:lang w:val="es-ES_tradnl"/>
        </w:rPr>
        <w:t>Las observaciones generales números 3 y 9 del Comité reconocen en los Estados el deber de garantizar el efectivo cumplimiento d</w:t>
      </w:r>
      <w:r w:rsidR="007340F3" w:rsidRPr="00352E7E">
        <w:rPr>
          <w:lang w:val="es-ES_tradnl"/>
        </w:rPr>
        <w:t xml:space="preserve">e las disposiciones del pacto. </w:t>
      </w:r>
      <w:r w:rsidRPr="00352E7E">
        <w:rPr>
          <w:lang w:val="es-ES_tradnl"/>
        </w:rPr>
        <w:t>En el caso del derecho a la estabilidad laboral</w:t>
      </w:r>
      <w:r w:rsidR="00DC0863" w:rsidRPr="00352E7E">
        <w:rPr>
          <w:lang w:val="es-ES_tradnl"/>
        </w:rPr>
        <w:t xml:space="preserve">, el Estado de Guatemala a través de la Corte de Constitucionalidad en su calidad de máximo tribunal del país ha sentado jurisprudencia de observancia obligatoria </w:t>
      </w:r>
      <w:r w:rsidR="00D14814" w:rsidRPr="00352E7E">
        <w:rPr>
          <w:lang w:val="es-ES_tradnl"/>
        </w:rPr>
        <w:t xml:space="preserve">para todos los tribunales de la República </w:t>
      </w:r>
      <w:r w:rsidR="00DC0863" w:rsidRPr="00352E7E">
        <w:rPr>
          <w:lang w:val="es-ES_tradnl"/>
        </w:rPr>
        <w:t xml:space="preserve">en la cual niega la </w:t>
      </w:r>
      <w:r w:rsidR="00DC0863" w:rsidRPr="00352E7E">
        <w:rPr>
          <w:lang w:val="es-ES_tradnl"/>
        </w:rPr>
        <w:lastRenderedPageBreak/>
        <w:t>aplicación de la estabilidad laboral sustentada en instrumentos internacionales</w:t>
      </w:r>
      <w:r w:rsidR="007340F3" w:rsidRPr="00352E7E">
        <w:rPr>
          <w:lang w:val="es-ES_tradnl"/>
        </w:rPr>
        <w:t xml:space="preserve"> de derechos humanos</w:t>
      </w:r>
      <w:r w:rsidR="00DC0863" w:rsidRPr="00352E7E">
        <w:rPr>
          <w:lang w:val="es-ES_tradnl"/>
        </w:rPr>
        <w:t xml:space="preserve"> anteponiendo a estos las limitaciones de la legislación nacional como se evidencia en la sentencia de fecha 30 de abril de 2015 dictada dentro del Expediente 6127-2014 de la Corte de Constitucionalidad</w:t>
      </w:r>
      <w:r w:rsidR="009941DD" w:rsidRPr="00352E7E">
        <w:rPr>
          <w:lang w:val="es-ES_tradnl"/>
        </w:rPr>
        <w:t xml:space="preserve"> [Esta sentencia puede ser consultada en el siguiente link </w:t>
      </w:r>
      <w:hyperlink r:id="rId8" w:history="1">
        <w:r w:rsidR="009941DD">
          <w:rPr>
            <w:rStyle w:val="Hyperlink"/>
          </w:rPr>
          <w:t>http://138.94.255.164/Sentencias/827614.6127-2014.pdf</w:t>
        </w:r>
      </w:hyperlink>
      <w:r w:rsidRPr="00352E7E">
        <w:rPr>
          <w:lang w:val="es-ES_tradnl"/>
        </w:rPr>
        <w:t xml:space="preserve"> </w:t>
      </w:r>
    </w:p>
    <w:p w:rsidR="00A10525" w:rsidRDefault="00A10525" w:rsidP="0011025F">
      <w:pPr>
        <w:spacing w:after="0" w:line="240" w:lineRule="auto"/>
        <w:jc w:val="both"/>
        <w:rPr>
          <w:lang w:val="es-ES_tradnl"/>
        </w:rPr>
      </w:pPr>
    </w:p>
    <w:p w:rsidR="0011025F" w:rsidRPr="009941DD" w:rsidRDefault="00AC5F94" w:rsidP="0011025F">
      <w:pPr>
        <w:spacing w:after="0" w:line="240" w:lineRule="auto"/>
        <w:jc w:val="both"/>
        <w:rPr>
          <w:b/>
          <w:lang w:val="es-ES_tradnl"/>
        </w:rPr>
      </w:pPr>
      <w:r>
        <w:rPr>
          <w:b/>
          <w:lang w:val="es-ES_tradnl"/>
        </w:rPr>
        <w:t>La práctica del E</w:t>
      </w:r>
      <w:r w:rsidRPr="009941DD">
        <w:rPr>
          <w:b/>
          <w:lang w:val="es-ES_tradnl"/>
        </w:rPr>
        <w:t xml:space="preserve">stado y sus instituciones como empleador:     </w:t>
      </w:r>
    </w:p>
    <w:p w:rsidR="00352E7E" w:rsidRDefault="00F46FAB" w:rsidP="0011025F">
      <w:pPr>
        <w:pStyle w:val="ListParagraph"/>
        <w:numPr>
          <w:ilvl w:val="0"/>
          <w:numId w:val="4"/>
        </w:numPr>
        <w:spacing w:after="0" w:line="240" w:lineRule="auto"/>
        <w:jc w:val="both"/>
        <w:rPr>
          <w:lang w:val="es-ES_tradnl"/>
        </w:rPr>
      </w:pPr>
      <w:r w:rsidRPr="00352E7E">
        <w:rPr>
          <w:lang w:val="es-ES_tradnl"/>
        </w:rPr>
        <w:t>El Estado de Guatemala desde 1996 ha implementado una política que tiene como finalidad negar o eludir los derechos vinculados al trabajo, esto mediante la instauración de modalidades de contratación simulada cuya finalidad es ya sea negar la naturaleza laboral del contrato y por consiguiente el acceso a los trabajadores a la totalidad de derechos laborales o bien simular la temporalidad del contrato reconociendo los derechos del trabajo solo de manera parci</w:t>
      </w:r>
      <w:r w:rsidR="007340F3" w:rsidRPr="00352E7E">
        <w:rPr>
          <w:lang w:val="es-ES_tradnl"/>
        </w:rPr>
        <w:t xml:space="preserve">al; en ambos casos, el efecto </w:t>
      </w:r>
      <w:r w:rsidRPr="00352E7E">
        <w:rPr>
          <w:lang w:val="es-ES_tradnl"/>
        </w:rPr>
        <w:t>común es privar a las trabajadoras y trabajadores del acceso a la estabilidad en el trabajo.</w:t>
      </w:r>
    </w:p>
    <w:p w:rsidR="00352E7E" w:rsidRDefault="00F46FAB" w:rsidP="0011025F">
      <w:pPr>
        <w:pStyle w:val="ListParagraph"/>
        <w:numPr>
          <w:ilvl w:val="0"/>
          <w:numId w:val="4"/>
        </w:numPr>
        <w:spacing w:after="0" w:line="240" w:lineRule="auto"/>
        <w:jc w:val="both"/>
        <w:rPr>
          <w:lang w:val="es-ES_tradnl"/>
        </w:rPr>
      </w:pPr>
      <w:r w:rsidRPr="00352E7E">
        <w:rPr>
          <w:lang w:val="es-ES_tradnl"/>
        </w:rPr>
        <w:t>Es necesario indicar que la eliminación de la estabilidad en el trabajo es un obstáculo para el acceso a una existencia en condiciones de dignidad toda vez que esta privación presupone; en primer lugar, el sometimiento del trabajador y su familia a una incertidumbre constante respecto a su acceso al trabajo y a los medios de subsistencia y; en segundo lugar, limita las expectativas a futuro del trabajador y su  familia ya que la inestabilidad le impide planificar el acceso a satisfactores como la vivienda o la educación y formación profesional tanto para sí como para sus hijas e hijos.</w:t>
      </w:r>
    </w:p>
    <w:p w:rsidR="00352E7E" w:rsidRPr="00352E7E" w:rsidRDefault="00B935C8" w:rsidP="003E6881">
      <w:pPr>
        <w:pStyle w:val="ListParagraph"/>
        <w:numPr>
          <w:ilvl w:val="0"/>
          <w:numId w:val="4"/>
        </w:numPr>
        <w:spacing w:after="0" w:line="240" w:lineRule="auto"/>
        <w:jc w:val="both"/>
        <w:rPr>
          <w:rStyle w:val="fontstyle01"/>
          <w:rFonts w:asciiTheme="minorHAnsi" w:hAnsiTheme="minorHAnsi" w:cstheme="minorBidi"/>
          <w:color w:val="auto"/>
          <w:sz w:val="22"/>
          <w:szCs w:val="22"/>
          <w:lang w:val="es-ES_tradnl"/>
        </w:rPr>
      </w:pPr>
      <w:r w:rsidRPr="00352E7E">
        <w:rPr>
          <w:lang w:val="es-ES_tradnl"/>
        </w:rPr>
        <w:t xml:space="preserve">Esto, en la práctica se opera, en la primera modalidad; es decir la que niega, la naturaleza laboral de la relación, mediante contrataciones por servicios profesionales, por servicios técnicos o  supuestos voluntariados (como el caso de las madres cuidadoras de la Secretaría de Obras Sociales de la Esposa del Presidente </w:t>
      </w:r>
      <w:r w:rsidR="007340F3" w:rsidRPr="00352E7E">
        <w:rPr>
          <w:lang w:val="es-ES_tradnl"/>
        </w:rPr>
        <w:t>-</w:t>
      </w:r>
      <w:r w:rsidRPr="00352E7E">
        <w:rPr>
          <w:lang w:val="es-ES_tradnl"/>
        </w:rPr>
        <w:t>SOSEP-)</w:t>
      </w:r>
      <w:r w:rsidR="003E6881" w:rsidRPr="00352E7E">
        <w:rPr>
          <w:lang w:val="es-ES_tradnl"/>
        </w:rPr>
        <w:t xml:space="preserve">. Esto se manifiesta en términos presupuestarios cargando </w:t>
      </w:r>
      <w:r w:rsidR="007340F3" w:rsidRPr="00352E7E">
        <w:rPr>
          <w:lang w:val="es-ES_tradnl"/>
        </w:rPr>
        <w:t xml:space="preserve">los gastos de los ingresos que se pagan a los trabajadores </w:t>
      </w:r>
      <w:r w:rsidR="003E6881" w:rsidRPr="00352E7E">
        <w:rPr>
          <w:lang w:val="es-ES_tradnl"/>
        </w:rPr>
        <w:t>a los renglones 029 (Otras remuneraciones de personal temporal</w:t>
      </w:r>
      <w:r w:rsidR="007340F3" w:rsidRPr="00352E7E">
        <w:rPr>
          <w:lang w:val="es-ES_tradnl"/>
        </w:rPr>
        <w:t>) 189 (</w:t>
      </w:r>
      <w:r w:rsidR="003E6881" w:rsidRPr="00352E7E">
        <w:rPr>
          <w:lang w:val="es-ES_tradnl"/>
        </w:rPr>
        <w:t>otros estudios y/o servicios)</w:t>
      </w:r>
      <w:r w:rsidR="003E6881">
        <w:rPr>
          <w:rStyle w:val="fontstyle01"/>
        </w:rPr>
        <w:t>.</w:t>
      </w:r>
    </w:p>
    <w:p w:rsidR="00352E7E" w:rsidRDefault="00B935C8" w:rsidP="003E6881">
      <w:pPr>
        <w:pStyle w:val="ListParagraph"/>
        <w:numPr>
          <w:ilvl w:val="0"/>
          <w:numId w:val="4"/>
        </w:numPr>
        <w:spacing w:after="0" w:line="240" w:lineRule="auto"/>
        <w:jc w:val="both"/>
        <w:rPr>
          <w:lang w:val="es-ES_tradnl"/>
        </w:rPr>
      </w:pPr>
      <w:r w:rsidRPr="00352E7E">
        <w:rPr>
          <w:lang w:val="es-ES_tradnl"/>
        </w:rPr>
        <w:t>En la segunda modali</w:t>
      </w:r>
      <w:r w:rsidR="003E6881" w:rsidRPr="00352E7E">
        <w:rPr>
          <w:lang w:val="es-ES_tradnl"/>
        </w:rPr>
        <w:t xml:space="preserve">dad, se recurre a la suscripción de contratos temporales, los cuales son renovados una y otra vez </w:t>
      </w:r>
      <w:r w:rsidR="007340F3" w:rsidRPr="00352E7E">
        <w:rPr>
          <w:lang w:val="es-ES_tradnl"/>
        </w:rPr>
        <w:t xml:space="preserve">cada 6 meses, 3 meses o cada aña </w:t>
      </w:r>
      <w:r w:rsidR="003E6881" w:rsidRPr="00352E7E">
        <w:rPr>
          <w:lang w:val="es-ES_tradnl"/>
        </w:rPr>
        <w:t>para eludir las limitaciones legales a ese tipo de contratación [El artículo 26 del Código de Trabajo regula: “Todo contrato individual de trabajo debe tenerse por celebrado por tiempo indefinido, salvo prueba o estipulación lícita y expresa en contrario. Deben tenerse siempre como contratos a plazo indefinido, aunque se hayan ajustado a plazo fijo o para obra determinada, los que se celebren en una empresa cuyas actividades sean de naturaleza permanente o continuada, si al vencimiento de dichos contratos subsiste la causa que les dio origen.  En consecuencia, los contratos a plazo fijo y para obra determinada tienen carácter de excepción y sólo pueden celebrarse en los</w:t>
      </w:r>
      <w:r w:rsidR="00FF2C37" w:rsidRPr="00352E7E">
        <w:rPr>
          <w:lang w:val="es-ES_tradnl"/>
        </w:rPr>
        <w:t xml:space="preserve"> casos que así lo exija la naturaleza accidental o temporal del servicio que se va a prestar o de la obra que se va a ejecutar…”]</w:t>
      </w:r>
      <w:r w:rsidR="007340F3" w:rsidRPr="00352E7E">
        <w:rPr>
          <w:lang w:val="es-ES_tradnl"/>
        </w:rPr>
        <w:t>.</w:t>
      </w:r>
    </w:p>
    <w:p w:rsidR="00352E7E" w:rsidRPr="00352E7E" w:rsidRDefault="00FF2C37" w:rsidP="003E6881">
      <w:pPr>
        <w:pStyle w:val="ListParagraph"/>
        <w:numPr>
          <w:ilvl w:val="0"/>
          <w:numId w:val="4"/>
        </w:numPr>
        <w:spacing w:after="0" w:line="240" w:lineRule="auto"/>
        <w:jc w:val="both"/>
        <w:rPr>
          <w:rStyle w:val="fontstyle01"/>
          <w:rFonts w:asciiTheme="minorHAnsi" w:hAnsiTheme="minorHAnsi" w:cstheme="minorBidi"/>
          <w:color w:val="auto"/>
          <w:sz w:val="22"/>
          <w:szCs w:val="22"/>
          <w:lang w:val="es-ES_tradnl"/>
        </w:rPr>
      </w:pPr>
      <w:r w:rsidRPr="00352E7E">
        <w:rPr>
          <w:lang w:val="es-ES_tradnl"/>
        </w:rPr>
        <w:t>En términos presupuestarios, esas modalidades</w:t>
      </w:r>
      <w:r w:rsidR="00F65FC2" w:rsidRPr="00352E7E">
        <w:rPr>
          <w:lang w:val="es-ES_tradnl"/>
        </w:rPr>
        <w:t xml:space="preserve"> de contratación se expresan cargando los gastos del salario y prestaciones dependiendo del tipo de contratación a los renglones del presupuesto</w:t>
      </w:r>
      <w:r w:rsidRPr="00352E7E">
        <w:rPr>
          <w:lang w:val="es-ES_tradnl"/>
        </w:rPr>
        <w:t xml:space="preserve">  021 (Perso</w:t>
      </w:r>
      <w:r w:rsidR="00F65FC2" w:rsidRPr="00352E7E">
        <w:rPr>
          <w:lang w:val="es-ES_tradnl"/>
        </w:rPr>
        <w:t>nal supernumerario)</w:t>
      </w:r>
      <w:r w:rsidRPr="00352E7E">
        <w:rPr>
          <w:lang w:val="es-ES_tradnl"/>
        </w:rPr>
        <w:t>; 022 (Personal por contrato); 029 (O</w:t>
      </w:r>
      <w:r w:rsidRPr="00352E7E">
        <w:rPr>
          <w:rStyle w:val="fontstyle01"/>
          <w:rFonts w:asciiTheme="minorHAnsi" w:hAnsiTheme="minorHAnsi"/>
          <w:sz w:val="22"/>
          <w:szCs w:val="22"/>
        </w:rPr>
        <w:t>tras remuneraciones de personal temporal)</w:t>
      </w:r>
      <w:r w:rsidR="00F65FC2" w:rsidRPr="00352E7E">
        <w:rPr>
          <w:rStyle w:val="fontstyle01"/>
          <w:rFonts w:asciiTheme="minorHAnsi" w:hAnsiTheme="minorHAnsi"/>
          <w:sz w:val="22"/>
          <w:szCs w:val="22"/>
        </w:rPr>
        <w:t>; 031 (Jornales); 035 (Retribuciones a destajo).</w:t>
      </w:r>
    </w:p>
    <w:p w:rsidR="007340F3" w:rsidRPr="00352E7E" w:rsidRDefault="007340F3" w:rsidP="003E6881">
      <w:pPr>
        <w:pStyle w:val="ListParagraph"/>
        <w:numPr>
          <w:ilvl w:val="0"/>
          <w:numId w:val="4"/>
        </w:numPr>
        <w:spacing w:after="0" w:line="240" w:lineRule="auto"/>
        <w:jc w:val="both"/>
        <w:rPr>
          <w:rStyle w:val="fontstyle01"/>
          <w:rFonts w:asciiTheme="minorHAnsi" w:hAnsiTheme="minorHAnsi" w:cstheme="minorBidi"/>
          <w:color w:val="auto"/>
          <w:sz w:val="22"/>
          <w:szCs w:val="22"/>
          <w:lang w:val="es-ES_tradnl"/>
        </w:rPr>
      </w:pPr>
      <w:r w:rsidRPr="00352E7E">
        <w:rPr>
          <w:rStyle w:val="fontstyle01"/>
          <w:rFonts w:asciiTheme="minorHAnsi" w:hAnsiTheme="minorHAnsi"/>
          <w:sz w:val="22"/>
          <w:szCs w:val="22"/>
        </w:rPr>
        <w:t>En el caso de la simulación de la naturaleza del vínculo esta práctica se extiende a las maquilas en donde a las trabajadoras ya se les contrata por servicios profesionales y se les obliga a presentar facturas como si fue</w:t>
      </w:r>
      <w:r w:rsidR="00872BE6" w:rsidRPr="00352E7E">
        <w:rPr>
          <w:rStyle w:val="fontstyle01"/>
          <w:rFonts w:asciiTheme="minorHAnsi" w:hAnsiTheme="minorHAnsi"/>
          <w:sz w:val="22"/>
          <w:szCs w:val="22"/>
        </w:rPr>
        <w:t>sen proveedoras de un servicio y no trabajadoras.</w:t>
      </w:r>
    </w:p>
    <w:p w:rsidR="009941DD" w:rsidRDefault="009941DD" w:rsidP="003E6881">
      <w:pPr>
        <w:spacing w:after="0" w:line="240" w:lineRule="auto"/>
        <w:jc w:val="both"/>
        <w:rPr>
          <w:rStyle w:val="fontstyle01"/>
          <w:rFonts w:asciiTheme="minorHAnsi" w:hAnsiTheme="minorHAnsi"/>
          <w:sz w:val="22"/>
          <w:szCs w:val="22"/>
        </w:rPr>
      </w:pPr>
    </w:p>
    <w:p w:rsidR="00B740D4" w:rsidRDefault="00B740D4" w:rsidP="003E6881">
      <w:pPr>
        <w:spacing w:after="0" w:line="240" w:lineRule="auto"/>
        <w:jc w:val="both"/>
        <w:rPr>
          <w:rStyle w:val="fontstyle01"/>
          <w:rFonts w:asciiTheme="minorHAnsi" w:hAnsiTheme="minorHAnsi"/>
          <w:b/>
          <w:sz w:val="22"/>
          <w:szCs w:val="22"/>
        </w:rPr>
      </w:pPr>
    </w:p>
    <w:p w:rsidR="009941DD" w:rsidRPr="004B76B0" w:rsidRDefault="00AC5F94" w:rsidP="003E6881">
      <w:pPr>
        <w:spacing w:after="0" w:line="240" w:lineRule="auto"/>
        <w:jc w:val="both"/>
        <w:rPr>
          <w:rStyle w:val="fontstyle01"/>
          <w:rFonts w:asciiTheme="minorHAnsi" w:hAnsiTheme="minorHAnsi"/>
          <w:b/>
          <w:sz w:val="22"/>
          <w:szCs w:val="22"/>
        </w:rPr>
      </w:pPr>
      <w:r>
        <w:rPr>
          <w:rStyle w:val="fontstyle01"/>
          <w:rFonts w:asciiTheme="minorHAnsi" w:hAnsiTheme="minorHAnsi"/>
          <w:b/>
          <w:sz w:val="22"/>
          <w:szCs w:val="22"/>
        </w:rPr>
        <w:lastRenderedPageBreak/>
        <w:t>L</w:t>
      </w:r>
      <w:r w:rsidRPr="004B76B0">
        <w:rPr>
          <w:rStyle w:val="fontstyle01"/>
          <w:rFonts w:asciiTheme="minorHAnsi" w:hAnsiTheme="minorHAnsi"/>
          <w:b/>
          <w:sz w:val="22"/>
          <w:szCs w:val="22"/>
        </w:rPr>
        <w:t>a negación de tutela judicial efectiva a</w:t>
      </w:r>
      <w:r>
        <w:rPr>
          <w:rStyle w:val="fontstyle01"/>
          <w:rFonts w:asciiTheme="minorHAnsi" w:hAnsiTheme="minorHAnsi"/>
          <w:b/>
          <w:sz w:val="22"/>
          <w:szCs w:val="22"/>
        </w:rPr>
        <w:t>l derecho a la estabilidad laboral</w:t>
      </w:r>
    </w:p>
    <w:p w:rsidR="00D73AAF" w:rsidRDefault="00D73AAF" w:rsidP="003E6881">
      <w:pPr>
        <w:spacing w:after="0" w:line="240" w:lineRule="auto"/>
        <w:jc w:val="both"/>
        <w:rPr>
          <w:rStyle w:val="fontstyle01"/>
          <w:rFonts w:asciiTheme="minorHAnsi" w:hAnsiTheme="minorHAnsi"/>
          <w:sz w:val="22"/>
          <w:szCs w:val="22"/>
        </w:rPr>
      </w:pPr>
    </w:p>
    <w:p w:rsidR="00352E7E" w:rsidRPr="00352E7E" w:rsidRDefault="00D73AAF" w:rsidP="00352E7E">
      <w:pPr>
        <w:pStyle w:val="ListParagraph"/>
        <w:numPr>
          <w:ilvl w:val="0"/>
          <w:numId w:val="4"/>
        </w:numPr>
        <w:spacing w:after="0" w:line="240" w:lineRule="auto"/>
        <w:jc w:val="both"/>
        <w:rPr>
          <w:rStyle w:val="fontstyle01"/>
          <w:rFonts w:asciiTheme="minorHAnsi" w:hAnsiTheme="minorHAnsi"/>
          <w:sz w:val="22"/>
          <w:szCs w:val="22"/>
        </w:rPr>
      </w:pPr>
      <w:r w:rsidRPr="00352E7E">
        <w:rPr>
          <w:rStyle w:val="fontstyle01"/>
          <w:rFonts w:asciiTheme="minorHAnsi" w:hAnsiTheme="minorHAnsi"/>
          <w:sz w:val="22"/>
          <w:szCs w:val="22"/>
        </w:rPr>
        <w:t>La tutela judicial efectiva constituye por mucho una de las obligaciones más sensibles de un Estado para garantizar el acceso de las personas a sus derecho</w:t>
      </w:r>
      <w:r w:rsidR="004408AC" w:rsidRPr="00352E7E">
        <w:rPr>
          <w:rStyle w:val="fontstyle01"/>
          <w:rFonts w:asciiTheme="minorHAnsi" w:hAnsiTheme="minorHAnsi"/>
          <w:sz w:val="22"/>
          <w:szCs w:val="22"/>
        </w:rPr>
        <w:t>s</w:t>
      </w:r>
      <w:r w:rsidRPr="00352E7E">
        <w:rPr>
          <w:rStyle w:val="fontstyle01"/>
          <w:rFonts w:asciiTheme="minorHAnsi" w:hAnsiTheme="minorHAnsi"/>
          <w:sz w:val="22"/>
          <w:szCs w:val="22"/>
        </w:rPr>
        <w:t xml:space="preserve"> ya que es</w:t>
      </w:r>
      <w:r w:rsidR="004408AC" w:rsidRPr="00352E7E">
        <w:rPr>
          <w:rStyle w:val="fontstyle01"/>
          <w:rFonts w:asciiTheme="minorHAnsi" w:hAnsiTheme="minorHAnsi"/>
          <w:sz w:val="22"/>
          <w:szCs w:val="22"/>
        </w:rPr>
        <w:t xml:space="preserve"> a través de esta que se hace efectiva la garantía de coercibilidad de la norma, lo que crea seguridad jurídica en cuanto a los derechos y lo que hace trascender la norma de la letra muerta de la ley a la realidad económica, social y jurídica de las trabajadoras y trabajadores.</w:t>
      </w:r>
    </w:p>
    <w:p w:rsidR="00352E7E" w:rsidRPr="00352E7E" w:rsidRDefault="004408AC" w:rsidP="003E6881">
      <w:pPr>
        <w:pStyle w:val="ListParagraph"/>
        <w:numPr>
          <w:ilvl w:val="0"/>
          <w:numId w:val="4"/>
        </w:numPr>
        <w:spacing w:after="0" w:line="240" w:lineRule="auto"/>
        <w:jc w:val="both"/>
        <w:rPr>
          <w:rStyle w:val="Hyperlink"/>
          <w:rFonts w:cs="Helvetica"/>
          <w:color w:val="000000"/>
          <w:u w:val="none"/>
        </w:rPr>
      </w:pPr>
      <w:r w:rsidRPr="00352E7E">
        <w:rPr>
          <w:rStyle w:val="fontstyle01"/>
          <w:rFonts w:asciiTheme="minorHAnsi" w:hAnsiTheme="minorHAnsi"/>
          <w:sz w:val="22"/>
          <w:szCs w:val="22"/>
        </w:rPr>
        <w:t xml:space="preserve">En el caso de los trabajadores </w:t>
      </w:r>
      <w:r w:rsidR="00872BE6" w:rsidRPr="00352E7E">
        <w:rPr>
          <w:rStyle w:val="fontstyle01"/>
          <w:rFonts w:asciiTheme="minorHAnsi" w:hAnsiTheme="minorHAnsi"/>
          <w:sz w:val="22"/>
          <w:szCs w:val="22"/>
        </w:rPr>
        <w:t xml:space="preserve">del Estado </w:t>
      </w:r>
      <w:r w:rsidRPr="00352E7E">
        <w:rPr>
          <w:rStyle w:val="fontstyle01"/>
          <w:rFonts w:asciiTheme="minorHAnsi" w:hAnsiTheme="minorHAnsi"/>
          <w:sz w:val="22"/>
          <w:szCs w:val="22"/>
        </w:rPr>
        <w:t>que han acudido ante los jueces de trabajo y previsión social con la finalidad de que se reconozca su derecho a la estabilidad laboral, estando con una relación laboral vigente desde hace varios años</w:t>
      </w:r>
      <w:r w:rsidR="00872BE6" w:rsidRPr="00352E7E">
        <w:rPr>
          <w:rStyle w:val="fontstyle01"/>
          <w:rFonts w:asciiTheme="minorHAnsi" w:hAnsiTheme="minorHAnsi"/>
          <w:sz w:val="22"/>
          <w:szCs w:val="22"/>
        </w:rPr>
        <w:t xml:space="preserve"> incluso décadas</w:t>
      </w:r>
      <w:r w:rsidRPr="00352E7E">
        <w:rPr>
          <w:rStyle w:val="fontstyle01"/>
          <w:rFonts w:asciiTheme="minorHAnsi" w:hAnsiTheme="minorHAnsi"/>
          <w:sz w:val="22"/>
          <w:szCs w:val="22"/>
        </w:rPr>
        <w:t xml:space="preserve"> pero simulada mediante contratos temporales consecutivos no han recibido la tutela judicial efectiva bajo el argumento de que la simulación</w:t>
      </w:r>
      <w:r w:rsidR="00872BE6" w:rsidRPr="00352E7E">
        <w:rPr>
          <w:rStyle w:val="fontstyle01"/>
          <w:rFonts w:asciiTheme="minorHAnsi" w:hAnsiTheme="minorHAnsi"/>
          <w:sz w:val="22"/>
          <w:szCs w:val="22"/>
        </w:rPr>
        <w:t xml:space="preserve"> de la temporalidad de su relación laboral</w:t>
      </w:r>
      <w:r w:rsidRPr="00352E7E">
        <w:rPr>
          <w:rStyle w:val="fontstyle01"/>
          <w:rFonts w:asciiTheme="minorHAnsi" w:hAnsiTheme="minorHAnsi"/>
          <w:sz w:val="22"/>
          <w:szCs w:val="22"/>
        </w:rPr>
        <w:t xml:space="preserve"> que produce que los salarios de los trabajadores se carguen a renglones presupuestarios que s</w:t>
      </w:r>
      <w:r w:rsidR="00B17AAC" w:rsidRPr="00352E7E">
        <w:rPr>
          <w:rStyle w:val="fontstyle01"/>
          <w:rFonts w:asciiTheme="minorHAnsi" w:hAnsiTheme="minorHAnsi"/>
          <w:sz w:val="22"/>
          <w:szCs w:val="22"/>
        </w:rPr>
        <w:t>o</w:t>
      </w:r>
      <w:r w:rsidRPr="00352E7E">
        <w:rPr>
          <w:rStyle w:val="fontstyle01"/>
          <w:rFonts w:asciiTheme="minorHAnsi" w:hAnsiTheme="minorHAnsi"/>
          <w:sz w:val="22"/>
          <w:szCs w:val="22"/>
        </w:rPr>
        <w:t xml:space="preserve">portan gastos de naturaleza temporal </w:t>
      </w:r>
      <w:r w:rsidR="00B17AAC" w:rsidRPr="00352E7E">
        <w:rPr>
          <w:rStyle w:val="fontstyle01"/>
          <w:rFonts w:asciiTheme="minorHAnsi" w:hAnsiTheme="minorHAnsi"/>
          <w:sz w:val="22"/>
          <w:szCs w:val="22"/>
        </w:rPr>
        <w:t>es una decisión administrativa que no puede ser alterada por los jueces de trabajo y previsión social</w:t>
      </w:r>
      <w:r w:rsidR="00872BE6" w:rsidRPr="00352E7E">
        <w:rPr>
          <w:rStyle w:val="fontstyle01"/>
          <w:rFonts w:asciiTheme="minorHAnsi" w:hAnsiTheme="minorHAnsi"/>
          <w:sz w:val="22"/>
          <w:szCs w:val="22"/>
        </w:rPr>
        <w:t xml:space="preserve"> ya que los tribunales de trabajo y previsión social </w:t>
      </w:r>
      <w:r w:rsidR="00B17AAC" w:rsidRPr="00352E7E">
        <w:rPr>
          <w:rStyle w:val="fontstyle01"/>
          <w:rFonts w:asciiTheme="minorHAnsi" w:hAnsiTheme="minorHAnsi"/>
          <w:sz w:val="22"/>
          <w:szCs w:val="22"/>
        </w:rPr>
        <w:t>están limitados a declarar</w:t>
      </w:r>
      <w:r w:rsidR="00616D6D" w:rsidRPr="00352E7E">
        <w:rPr>
          <w:rStyle w:val="fontstyle01"/>
          <w:rFonts w:asciiTheme="minorHAnsi" w:hAnsiTheme="minorHAnsi"/>
          <w:sz w:val="22"/>
          <w:szCs w:val="22"/>
        </w:rPr>
        <w:t xml:space="preserve"> únicamente</w:t>
      </w:r>
      <w:r w:rsidR="00B17AAC" w:rsidRPr="00352E7E">
        <w:rPr>
          <w:rStyle w:val="fontstyle01"/>
          <w:rFonts w:asciiTheme="minorHAnsi" w:hAnsiTheme="minorHAnsi"/>
          <w:sz w:val="22"/>
          <w:szCs w:val="22"/>
        </w:rPr>
        <w:t xml:space="preserve"> la existencia de violaciones a las leyes laborales relativas a la estabilidad laboral pero no a </w:t>
      </w:r>
      <w:r w:rsidR="00616D6D" w:rsidRPr="00352E7E">
        <w:rPr>
          <w:rStyle w:val="fontstyle01"/>
          <w:rFonts w:asciiTheme="minorHAnsi" w:hAnsiTheme="minorHAnsi"/>
          <w:sz w:val="22"/>
          <w:szCs w:val="22"/>
        </w:rPr>
        <w:t>ordenar al patrono que</w:t>
      </w:r>
      <w:r w:rsidR="00B17AAC" w:rsidRPr="00352E7E">
        <w:rPr>
          <w:rStyle w:val="fontstyle01"/>
          <w:rFonts w:asciiTheme="minorHAnsi" w:hAnsiTheme="minorHAnsi"/>
          <w:sz w:val="22"/>
          <w:szCs w:val="22"/>
        </w:rPr>
        <w:t xml:space="preserve"> cumpla</w:t>
      </w:r>
      <w:r w:rsidR="00616D6D" w:rsidRPr="00352E7E">
        <w:rPr>
          <w:rStyle w:val="fontstyle01"/>
          <w:rFonts w:asciiTheme="minorHAnsi" w:hAnsiTheme="minorHAnsi"/>
          <w:sz w:val="22"/>
          <w:szCs w:val="22"/>
        </w:rPr>
        <w:t xml:space="preserve"> la ley sobre todo cuando se trata del Estado de Guatemala puesto que en ese caso el </w:t>
      </w:r>
      <w:r w:rsidR="00B17AAC" w:rsidRPr="00352E7E">
        <w:rPr>
          <w:rStyle w:val="fontstyle01"/>
          <w:rFonts w:asciiTheme="minorHAnsi" w:hAnsiTheme="minorHAnsi"/>
          <w:sz w:val="22"/>
          <w:szCs w:val="22"/>
        </w:rPr>
        <w:t xml:space="preserve">cumplimiento depende de una decisión administrativa en la que no puede interferir el juez, </w:t>
      </w:r>
      <w:r w:rsidR="00616D6D" w:rsidRPr="00352E7E">
        <w:rPr>
          <w:rStyle w:val="fontstyle01"/>
          <w:rFonts w:asciiTheme="minorHAnsi" w:hAnsiTheme="minorHAnsi"/>
          <w:sz w:val="22"/>
          <w:szCs w:val="22"/>
        </w:rPr>
        <w:t xml:space="preserve">este </w:t>
      </w:r>
      <w:r w:rsidR="00B17AAC" w:rsidRPr="00352E7E">
        <w:rPr>
          <w:rStyle w:val="fontstyle01"/>
          <w:rFonts w:asciiTheme="minorHAnsi" w:hAnsiTheme="minorHAnsi"/>
          <w:sz w:val="22"/>
          <w:szCs w:val="22"/>
        </w:rPr>
        <w:t>criterio ha sido sentado como jurisprudencia de observancia obligatoria</w:t>
      </w:r>
      <w:r w:rsidR="00616D6D" w:rsidRPr="00352E7E">
        <w:rPr>
          <w:rStyle w:val="fontstyle01"/>
          <w:rFonts w:asciiTheme="minorHAnsi" w:hAnsiTheme="minorHAnsi"/>
          <w:sz w:val="22"/>
          <w:szCs w:val="22"/>
        </w:rPr>
        <w:t xml:space="preserve"> para todos los tribunales del país</w:t>
      </w:r>
      <w:r w:rsidR="00B17AAC" w:rsidRPr="00352E7E">
        <w:rPr>
          <w:rStyle w:val="fontstyle01"/>
          <w:rFonts w:asciiTheme="minorHAnsi" w:hAnsiTheme="minorHAnsi"/>
          <w:sz w:val="22"/>
          <w:szCs w:val="22"/>
        </w:rPr>
        <w:t xml:space="preserve"> por la Corte de Constitucionalidad tal y como puede apreciarse en la sentencia de fecha 23 de septiembre de 2019 dictada dentro del Expediente 1147-2019 de la Corte de Constitucionalidad que puede ser consultada en el siguiente enlace </w:t>
      </w:r>
      <w:hyperlink r:id="rId9" w:history="1">
        <w:r w:rsidR="00B17AAC">
          <w:rPr>
            <w:rStyle w:val="Hyperlink"/>
          </w:rPr>
          <w:t>http://138.94.255.164/Sentencias/842791.1147-2019.pdf</w:t>
        </w:r>
      </w:hyperlink>
    </w:p>
    <w:p w:rsidR="00352E7E" w:rsidRDefault="004B76B0" w:rsidP="003E6881">
      <w:pPr>
        <w:pStyle w:val="ListParagraph"/>
        <w:numPr>
          <w:ilvl w:val="0"/>
          <w:numId w:val="4"/>
        </w:numPr>
        <w:spacing w:after="0" w:line="240" w:lineRule="auto"/>
        <w:jc w:val="both"/>
        <w:rPr>
          <w:rStyle w:val="fontstyle01"/>
          <w:rFonts w:asciiTheme="minorHAnsi" w:hAnsiTheme="minorHAnsi"/>
          <w:sz w:val="22"/>
          <w:szCs w:val="22"/>
        </w:rPr>
      </w:pPr>
      <w:r w:rsidRPr="00352E7E">
        <w:rPr>
          <w:rStyle w:val="fontstyle01"/>
          <w:rFonts w:asciiTheme="minorHAnsi" w:hAnsiTheme="minorHAnsi"/>
          <w:sz w:val="22"/>
          <w:szCs w:val="22"/>
        </w:rPr>
        <w:t>La estabilidad laboral también ha sido negada mediante la inserción de criterios</w:t>
      </w:r>
      <w:r w:rsidR="00616D6D" w:rsidRPr="00352E7E">
        <w:rPr>
          <w:rStyle w:val="fontstyle01"/>
          <w:rFonts w:asciiTheme="minorHAnsi" w:hAnsiTheme="minorHAnsi"/>
          <w:sz w:val="22"/>
          <w:szCs w:val="22"/>
        </w:rPr>
        <w:t xml:space="preserve"> judiciales</w:t>
      </w:r>
      <w:r w:rsidRPr="00352E7E">
        <w:rPr>
          <w:rStyle w:val="fontstyle01"/>
          <w:rFonts w:asciiTheme="minorHAnsi" w:hAnsiTheme="minorHAnsi"/>
          <w:sz w:val="22"/>
          <w:szCs w:val="22"/>
        </w:rPr>
        <w:t xml:space="preserve"> que relativizan el derecho humano al trabajo y la estabilidad en el mismo </w:t>
      </w:r>
      <w:r w:rsidR="00616D6D" w:rsidRPr="00352E7E">
        <w:rPr>
          <w:rStyle w:val="fontstyle01"/>
          <w:rFonts w:asciiTheme="minorHAnsi" w:hAnsiTheme="minorHAnsi"/>
          <w:sz w:val="22"/>
          <w:szCs w:val="22"/>
        </w:rPr>
        <w:t>argumentándose tanto por parte de los tribunales de trabajo y previsión social como por parte de la Corte de Constitucionalidad</w:t>
      </w:r>
      <w:r w:rsidRPr="00352E7E">
        <w:rPr>
          <w:rStyle w:val="fontstyle01"/>
          <w:rFonts w:asciiTheme="minorHAnsi" w:hAnsiTheme="minorHAnsi"/>
          <w:sz w:val="22"/>
          <w:szCs w:val="22"/>
        </w:rPr>
        <w:t xml:space="preserve"> la existencia de una </w:t>
      </w:r>
      <w:r w:rsidRPr="00B740D4">
        <w:rPr>
          <w:rStyle w:val="fontstyle01"/>
          <w:rFonts w:asciiTheme="minorHAnsi" w:hAnsiTheme="minorHAnsi"/>
          <w:color w:val="auto"/>
          <w:sz w:val="22"/>
          <w:szCs w:val="22"/>
        </w:rPr>
        <w:t>estabilidad absoluta y una estabilidad relativa, aduciendo que el derecho a ser reinstalado</w:t>
      </w:r>
      <w:r w:rsidR="00616D6D" w:rsidRPr="00B740D4">
        <w:rPr>
          <w:rStyle w:val="fontstyle01"/>
          <w:rFonts w:asciiTheme="minorHAnsi" w:hAnsiTheme="minorHAnsi"/>
          <w:color w:val="auto"/>
          <w:sz w:val="22"/>
          <w:szCs w:val="22"/>
        </w:rPr>
        <w:t xml:space="preserve"> ante un despido injusto</w:t>
      </w:r>
      <w:r w:rsidRPr="00B740D4">
        <w:rPr>
          <w:rStyle w:val="fontstyle01"/>
          <w:rFonts w:asciiTheme="minorHAnsi" w:hAnsiTheme="minorHAnsi"/>
          <w:color w:val="auto"/>
          <w:sz w:val="22"/>
          <w:szCs w:val="22"/>
        </w:rPr>
        <w:t xml:space="preserve">, </w:t>
      </w:r>
      <w:r w:rsidR="00616D6D" w:rsidRPr="00B740D4">
        <w:rPr>
          <w:rStyle w:val="fontstyle01"/>
          <w:rFonts w:asciiTheme="minorHAnsi" w:hAnsiTheme="minorHAnsi"/>
          <w:color w:val="auto"/>
          <w:sz w:val="22"/>
          <w:szCs w:val="22"/>
        </w:rPr>
        <w:t>solamente procede en el caso que este establecido expresamente en la ley</w:t>
      </w:r>
      <w:r w:rsidR="00763E1D" w:rsidRPr="00B740D4">
        <w:rPr>
          <w:rStyle w:val="fontstyle01"/>
          <w:rFonts w:asciiTheme="minorHAnsi" w:hAnsiTheme="minorHAnsi"/>
          <w:color w:val="auto"/>
          <w:sz w:val="22"/>
          <w:szCs w:val="22"/>
        </w:rPr>
        <w:t>,</w:t>
      </w:r>
      <w:r w:rsidR="00616D6D" w:rsidRPr="00B740D4">
        <w:rPr>
          <w:rStyle w:val="fontstyle01"/>
          <w:rFonts w:asciiTheme="minorHAnsi" w:hAnsiTheme="minorHAnsi"/>
          <w:color w:val="auto"/>
          <w:sz w:val="22"/>
          <w:szCs w:val="22"/>
        </w:rPr>
        <w:t xml:space="preserve"> obviando </w:t>
      </w:r>
      <w:r w:rsidR="00763E1D" w:rsidRPr="00B740D4">
        <w:rPr>
          <w:rStyle w:val="fontstyle01"/>
          <w:rFonts w:asciiTheme="minorHAnsi" w:hAnsiTheme="minorHAnsi"/>
          <w:color w:val="auto"/>
          <w:sz w:val="22"/>
          <w:szCs w:val="22"/>
        </w:rPr>
        <w:t xml:space="preserve"> por ejemplo que por mandat</w:t>
      </w:r>
      <w:r w:rsidRPr="00B740D4">
        <w:rPr>
          <w:rStyle w:val="fontstyle01"/>
          <w:rFonts w:asciiTheme="minorHAnsi" w:hAnsiTheme="minorHAnsi"/>
          <w:color w:val="auto"/>
          <w:sz w:val="22"/>
          <w:szCs w:val="22"/>
        </w:rPr>
        <w:t>o del artículo 106 de la Constitución Política de la República, toda resolución, acto o disposición de cualquier naturaleza que niegue, restrinja, limite o tergiverse u</w:t>
      </w:r>
      <w:r w:rsidRPr="00352E7E">
        <w:rPr>
          <w:rStyle w:val="fontstyle01"/>
          <w:rFonts w:asciiTheme="minorHAnsi" w:hAnsiTheme="minorHAnsi"/>
          <w:sz w:val="22"/>
          <w:szCs w:val="22"/>
        </w:rPr>
        <w:t xml:space="preserve">n  derecho de los trabajadores (como lo es propio derecho al trabajo) </w:t>
      </w:r>
      <w:r w:rsidR="00763E1D" w:rsidRPr="00352E7E">
        <w:rPr>
          <w:rStyle w:val="fontstyle01"/>
          <w:rFonts w:asciiTheme="minorHAnsi" w:hAnsiTheme="minorHAnsi"/>
          <w:sz w:val="22"/>
          <w:szCs w:val="22"/>
        </w:rPr>
        <w:t xml:space="preserve">es nulo </w:t>
      </w:r>
      <w:r w:rsidR="00763E1D" w:rsidRPr="00352E7E">
        <w:rPr>
          <w:rStyle w:val="fontstyle01"/>
          <w:rFonts w:asciiTheme="minorHAnsi" w:hAnsiTheme="minorHAnsi"/>
          <w:i/>
          <w:sz w:val="22"/>
          <w:szCs w:val="22"/>
        </w:rPr>
        <w:t>ipso jure</w:t>
      </w:r>
      <w:r w:rsidR="00763E1D" w:rsidRPr="00352E7E">
        <w:rPr>
          <w:rStyle w:val="fontstyle01"/>
          <w:rFonts w:asciiTheme="minorHAnsi" w:hAnsiTheme="minorHAnsi"/>
          <w:sz w:val="22"/>
          <w:szCs w:val="22"/>
        </w:rPr>
        <w:t xml:space="preserve">, </w:t>
      </w:r>
      <w:r w:rsidR="00D55180" w:rsidRPr="00352E7E">
        <w:rPr>
          <w:rStyle w:val="fontstyle01"/>
          <w:rFonts w:asciiTheme="minorHAnsi" w:hAnsiTheme="minorHAnsi"/>
          <w:sz w:val="22"/>
          <w:szCs w:val="22"/>
        </w:rPr>
        <w:t>esta categoría de nulidad presupones</w:t>
      </w:r>
      <w:r w:rsidR="00763E1D" w:rsidRPr="00352E7E">
        <w:rPr>
          <w:rStyle w:val="fontstyle01"/>
          <w:rFonts w:asciiTheme="minorHAnsi" w:hAnsiTheme="minorHAnsi"/>
          <w:sz w:val="22"/>
          <w:szCs w:val="22"/>
        </w:rPr>
        <w:t xml:space="preserve"> que en tal caso se trata de actos que carecen de efectos </w:t>
      </w:r>
      <w:r w:rsidR="00763E1D" w:rsidRPr="00352E7E">
        <w:rPr>
          <w:rStyle w:val="fontstyle01"/>
          <w:rFonts w:asciiTheme="minorHAnsi" w:hAnsiTheme="minorHAnsi"/>
          <w:i/>
          <w:sz w:val="22"/>
          <w:szCs w:val="22"/>
        </w:rPr>
        <w:t>ex tunc</w:t>
      </w:r>
      <w:r w:rsidR="00763E1D" w:rsidRPr="00352E7E">
        <w:rPr>
          <w:rStyle w:val="fontstyle01"/>
          <w:rFonts w:asciiTheme="minorHAnsi" w:hAnsiTheme="minorHAnsi"/>
          <w:sz w:val="22"/>
          <w:szCs w:val="22"/>
        </w:rPr>
        <w:t xml:space="preserve"> y </w:t>
      </w:r>
      <w:r w:rsidR="00763E1D" w:rsidRPr="00352E7E">
        <w:rPr>
          <w:rStyle w:val="fontstyle01"/>
          <w:rFonts w:asciiTheme="minorHAnsi" w:hAnsiTheme="minorHAnsi"/>
          <w:i/>
          <w:sz w:val="22"/>
          <w:szCs w:val="22"/>
        </w:rPr>
        <w:t>ex nunc</w:t>
      </w:r>
      <w:r w:rsidR="00763E1D" w:rsidRPr="00352E7E">
        <w:rPr>
          <w:rStyle w:val="fontstyle01"/>
          <w:rFonts w:asciiTheme="minorHAnsi" w:hAnsiTheme="minorHAnsi"/>
          <w:sz w:val="22"/>
          <w:szCs w:val="22"/>
        </w:rPr>
        <w:t xml:space="preserve"> por lo que al declararse obligan a restaurar la situación jurídica y fáctica afectada  y a reparar el perjuicio causado</w:t>
      </w:r>
      <w:r w:rsidR="00D55180" w:rsidRPr="00352E7E">
        <w:rPr>
          <w:rStyle w:val="fontstyle01"/>
          <w:rFonts w:asciiTheme="minorHAnsi" w:hAnsiTheme="minorHAnsi"/>
          <w:sz w:val="22"/>
          <w:szCs w:val="22"/>
        </w:rPr>
        <w:t xml:space="preserve"> y al no hacerlo, se produce la convalidación.</w:t>
      </w:r>
    </w:p>
    <w:p w:rsidR="00352E7E" w:rsidRPr="00352E7E" w:rsidRDefault="00D55180" w:rsidP="003E6881">
      <w:pPr>
        <w:pStyle w:val="ListParagraph"/>
        <w:numPr>
          <w:ilvl w:val="0"/>
          <w:numId w:val="4"/>
        </w:numPr>
        <w:spacing w:after="0" w:line="240" w:lineRule="auto"/>
        <w:jc w:val="both"/>
        <w:rPr>
          <w:rStyle w:val="Hyperlink"/>
          <w:rFonts w:cs="Helvetica"/>
          <w:color w:val="000000"/>
          <w:u w:val="none"/>
        </w:rPr>
      </w:pPr>
      <w:r w:rsidRPr="00352E7E">
        <w:rPr>
          <w:rStyle w:val="fontstyle01"/>
          <w:rFonts w:asciiTheme="minorHAnsi" w:hAnsiTheme="minorHAnsi"/>
          <w:sz w:val="22"/>
          <w:szCs w:val="22"/>
        </w:rPr>
        <w:t xml:space="preserve">A pesar de esto, la Corte de Constitucionalidad ha decantado jurisprudencia </w:t>
      </w:r>
      <w:r w:rsidR="006B39D3" w:rsidRPr="00352E7E">
        <w:rPr>
          <w:rStyle w:val="fontstyle01"/>
          <w:rFonts w:asciiTheme="minorHAnsi" w:hAnsiTheme="minorHAnsi"/>
          <w:sz w:val="22"/>
          <w:szCs w:val="22"/>
        </w:rPr>
        <w:t>de cumplimiento obligatorio para todos los tribunales del país, mediante la cual h</w:t>
      </w:r>
      <w:r w:rsidRPr="00352E7E">
        <w:rPr>
          <w:rStyle w:val="fontstyle01"/>
          <w:rFonts w:asciiTheme="minorHAnsi" w:hAnsiTheme="minorHAnsi"/>
          <w:sz w:val="22"/>
          <w:szCs w:val="22"/>
        </w:rPr>
        <w:t xml:space="preserve">a sustituido en las practica la protección del artículo 106 de la Constitución guatemalteca </w:t>
      </w:r>
      <w:r w:rsidR="006B39D3" w:rsidRPr="00352E7E">
        <w:rPr>
          <w:rStyle w:val="fontstyle01"/>
          <w:rFonts w:asciiTheme="minorHAnsi" w:hAnsiTheme="minorHAnsi"/>
          <w:sz w:val="22"/>
          <w:szCs w:val="22"/>
        </w:rPr>
        <w:t xml:space="preserve">y del Pacto respecto a la estabilidad laboral </w:t>
      </w:r>
      <w:r w:rsidRPr="00352E7E">
        <w:rPr>
          <w:rStyle w:val="fontstyle01"/>
          <w:rFonts w:asciiTheme="minorHAnsi" w:hAnsiTheme="minorHAnsi"/>
          <w:sz w:val="22"/>
          <w:szCs w:val="22"/>
        </w:rPr>
        <w:t xml:space="preserve">para privar a los trabajadores y trabajadoras del derecho a la estabilidad en el trabajo argumentando </w:t>
      </w:r>
      <w:r w:rsidR="006B39D3" w:rsidRPr="00352E7E">
        <w:rPr>
          <w:rStyle w:val="fontstyle01"/>
          <w:rFonts w:asciiTheme="minorHAnsi" w:hAnsiTheme="minorHAnsi"/>
          <w:sz w:val="22"/>
          <w:szCs w:val="22"/>
        </w:rPr>
        <w:t xml:space="preserve">la existencia de </w:t>
      </w:r>
      <w:r w:rsidRPr="00352E7E">
        <w:rPr>
          <w:rStyle w:val="fontstyle01"/>
          <w:rFonts w:asciiTheme="minorHAnsi" w:hAnsiTheme="minorHAnsi"/>
          <w:sz w:val="22"/>
          <w:szCs w:val="22"/>
        </w:rPr>
        <w:t xml:space="preserve">una estabilidad absoluta o propia (estabilidad real y reparable)  y una estabilidad relativa o impropia (ausencia de estabilidad) esta creación jurisprudencial puede apreciarse en la sentencia de fecha 24 de marzo de 2015 dictada dentro del Expediente 2867-2014 de la Corte de Constitucionalidad, misma que puede ser consultada en el siguiente enlace:  </w:t>
      </w:r>
      <w:hyperlink r:id="rId10" w:history="1">
        <w:r>
          <w:rPr>
            <w:rStyle w:val="Hyperlink"/>
          </w:rPr>
          <w:t>http://138.94.255.164/Sentencias/827415.2867-2014.pdf</w:t>
        </w:r>
      </w:hyperlink>
    </w:p>
    <w:p w:rsidR="00D55180" w:rsidRPr="00352E7E" w:rsidRDefault="00D55180" w:rsidP="003E6881">
      <w:pPr>
        <w:pStyle w:val="ListParagraph"/>
        <w:numPr>
          <w:ilvl w:val="0"/>
          <w:numId w:val="4"/>
        </w:numPr>
        <w:spacing w:after="0" w:line="240" w:lineRule="auto"/>
        <w:jc w:val="both"/>
        <w:rPr>
          <w:rStyle w:val="fontstyle01"/>
          <w:rFonts w:asciiTheme="minorHAnsi" w:hAnsiTheme="minorHAnsi"/>
          <w:sz w:val="22"/>
          <w:szCs w:val="22"/>
        </w:rPr>
      </w:pPr>
      <w:r>
        <w:t xml:space="preserve">Ahora bien, los derechos humanos, incluyendo el derecho al trabajo y la estabilidad en el mismo, son derechos que derivan de la dignidad humana o el derecho que se tiene de que </w:t>
      </w:r>
      <w:r>
        <w:lastRenderedPageBreak/>
        <w:t xml:space="preserve">esta se reconozca por el hecho de ser humano, así pues, los derechos humanos no pueden concebirse como absolutos y relativos, propios o impropios porque esto admite </w:t>
      </w:r>
      <w:r w:rsidR="00AB6F3F">
        <w:t xml:space="preserve">condiciones relativas entre los seres humanos que determinan  el alcance y protección de los derechos que se le reconocen.  </w:t>
      </w:r>
      <w:r w:rsidRPr="00352E7E">
        <w:rPr>
          <w:rStyle w:val="fontstyle01"/>
          <w:rFonts w:asciiTheme="minorHAnsi" w:hAnsiTheme="minorHAnsi"/>
          <w:sz w:val="22"/>
          <w:szCs w:val="22"/>
        </w:rPr>
        <w:t xml:space="preserve"> </w:t>
      </w:r>
      <w:r w:rsidR="00CF019A" w:rsidRPr="00352E7E">
        <w:rPr>
          <w:rStyle w:val="fontstyle01"/>
          <w:rFonts w:asciiTheme="minorHAnsi" w:hAnsiTheme="minorHAnsi"/>
          <w:sz w:val="22"/>
          <w:szCs w:val="22"/>
        </w:rPr>
        <w:t>En otras palabras, la relativización del derecho a la estabilidad laboral mediante la calificación de absoluta o relativa atendiendo a cuestiones ajenas al propio derecho al trabajo, son incompatibles con el derecho a la estabilidad laboral reconocido en el artículo 6 del Pacto y el Estado de Guatemala debe garantizar que en la práctica este derecho sea efectivamente respetado sin distinciones de algún tipo, salvo las causas justas de separación del trabajo debidamente comprobadas.</w:t>
      </w:r>
    </w:p>
    <w:p w:rsidR="00FF2C37" w:rsidRDefault="00F65FC2" w:rsidP="003E6881">
      <w:pPr>
        <w:spacing w:after="0" w:line="240" w:lineRule="auto"/>
        <w:jc w:val="both"/>
        <w:rPr>
          <w:lang w:val="es-ES_tradnl"/>
        </w:rPr>
      </w:pPr>
      <w:r>
        <w:rPr>
          <w:rStyle w:val="fontstyle01"/>
          <w:rFonts w:asciiTheme="minorHAnsi" w:hAnsiTheme="minorHAnsi"/>
          <w:sz w:val="22"/>
          <w:szCs w:val="22"/>
        </w:rPr>
        <w:t xml:space="preserve"> </w:t>
      </w:r>
    </w:p>
    <w:p w:rsidR="008226F9" w:rsidRDefault="00AC5F94" w:rsidP="0011025F">
      <w:pPr>
        <w:spacing w:after="0" w:line="240" w:lineRule="auto"/>
        <w:jc w:val="both"/>
        <w:rPr>
          <w:b/>
          <w:lang w:val="es-ES_tradnl"/>
        </w:rPr>
      </w:pPr>
      <w:r>
        <w:rPr>
          <w:b/>
          <w:lang w:val="es-ES_tradnl"/>
        </w:rPr>
        <w:t>ARTÍCULO 7 DERECHO A CONDICIONES DE TRABAJO EQUITATIVAS Y SATISFACTORIAS</w:t>
      </w:r>
    </w:p>
    <w:p w:rsidR="00352E7E" w:rsidRDefault="00BF7568" w:rsidP="00F41391">
      <w:pPr>
        <w:pStyle w:val="Default"/>
        <w:numPr>
          <w:ilvl w:val="0"/>
          <w:numId w:val="4"/>
        </w:numPr>
        <w:jc w:val="both"/>
        <w:rPr>
          <w:rFonts w:asciiTheme="minorHAnsi" w:hAnsiTheme="minorHAnsi" w:cstheme="minorHAnsi"/>
          <w:sz w:val="22"/>
          <w:szCs w:val="22"/>
        </w:rPr>
      </w:pPr>
      <w:r w:rsidRPr="00A57C3D">
        <w:rPr>
          <w:rFonts w:asciiTheme="minorHAnsi" w:hAnsiTheme="minorHAnsi" w:cstheme="minorHAnsi"/>
          <w:sz w:val="22"/>
          <w:szCs w:val="22"/>
        </w:rPr>
        <w:t xml:space="preserve">El Estado de Guatemala ha sostenido como política </w:t>
      </w:r>
      <w:r w:rsidR="00F41391" w:rsidRPr="00A57C3D">
        <w:rPr>
          <w:rFonts w:asciiTheme="minorHAnsi" w:hAnsiTheme="minorHAnsi" w:cstheme="minorHAnsi"/>
          <w:sz w:val="22"/>
          <w:szCs w:val="22"/>
        </w:rPr>
        <w:t xml:space="preserve">de Estado </w:t>
      </w:r>
      <w:r w:rsidRPr="00A57C3D">
        <w:rPr>
          <w:rFonts w:asciiTheme="minorHAnsi" w:hAnsiTheme="minorHAnsi" w:cstheme="minorHAnsi"/>
          <w:sz w:val="22"/>
          <w:szCs w:val="22"/>
        </w:rPr>
        <w:t>la fijación de salarios mínimos que no permite</w:t>
      </w:r>
      <w:r w:rsidR="00C3415C" w:rsidRPr="00A57C3D">
        <w:rPr>
          <w:rFonts w:asciiTheme="minorHAnsi" w:hAnsiTheme="minorHAnsi" w:cstheme="minorHAnsi"/>
          <w:sz w:val="22"/>
          <w:szCs w:val="22"/>
        </w:rPr>
        <w:t>n</w:t>
      </w:r>
      <w:r w:rsidRPr="00A57C3D">
        <w:rPr>
          <w:rFonts w:asciiTheme="minorHAnsi" w:hAnsiTheme="minorHAnsi" w:cstheme="minorHAnsi"/>
          <w:sz w:val="22"/>
          <w:szCs w:val="22"/>
        </w:rPr>
        <w:t xml:space="preserve"> a los trabajadores y sus familias cubrir las necesidad básicas de subsistencia</w:t>
      </w:r>
      <w:r w:rsidR="00C3415C" w:rsidRPr="00A57C3D">
        <w:rPr>
          <w:rFonts w:asciiTheme="minorHAnsi" w:hAnsiTheme="minorHAnsi" w:cstheme="minorHAnsi"/>
          <w:sz w:val="22"/>
          <w:szCs w:val="22"/>
        </w:rPr>
        <w:t xml:space="preserve">, situación que se </w:t>
      </w:r>
      <w:r w:rsidRPr="00A57C3D">
        <w:rPr>
          <w:rFonts w:asciiTheme="minorHAnsi" w:hAnsiTheme="minorHAnsi" w:cstheme="minorHAnsi"/>
          <w:sz w:val="22"/>
          <w:szCs w:val="22"/>
        </w:rPr>
        <w:t>ha profundizado en los últimos años y se refleja en el incremento de los niveles de pobreza</w:t>
      </w:r>
      <w:r w:rsidR="009E5010" w:rsidRPr="00A57C3D">
        <w:rPr>
          <w:rFonts w:asciiTheme="minorHAnsi" w:hAnsiTheme="minorHAnsi" w:cstheme="minorHAnsi"/>
          <w:sz w:val="22"/>
          <w:szCs w:val="22"/>
        </w:rPr>
        <w:t xml:space="preserve"> que actualmente alcanzan al </w:t>
      </w:r>
      <w:r w:rsidR="00F41391" w:rsidRPr="00A57C3D">
        <w:rPr>
          <w:rFonts w:asciiTheme="minorHAnsi" w:hAnsiTheme="minorHAnsi" w:cstheme="minorHAnsi"/>
          <w:sz w:val="22"/>
          <w:szCs w:val="22"/>
        </w:rPr>
        <w:t>60.41%</w:t>
      </w:r>
      <w:r w:rsidRPr="00A57C3D">
        <w:rPr>
          <w:rFonts w:asciiTheme="minorHAnsi" w:hAnsiTheme="minorHAnsi" w:cstheme="minorHAnsi"/>
          <w:sz w:val="22"/>
          <w:szCs w:val="22"/>
        </w:rPr>
        <w:t>,</w:t>
      </w:r>
      <w:r w:rsidR="00F41391" w:rsidRPr="00A57C3D">
        <w:rPr>
          <w:rFonts w:asciiTheme="minorHAnsi" w:hAnsiTheme="minorHAnsi" w:cstheme="minorHAnsi"/>
          <w:sz w:val="22"/>
          <w:szCs w:val="22"/>
        </w:rPr>
        <w:t xml:space="preserve"> de la población y la p</w:t>
      </w:r>
      <w:r w:rsidRPr="00A57C3D">
        <w:rPr>
          <w:rFonts w:asciiTheme="minorHAnsi" w:hAnsiTheme="minorHAnsi" w:cstheme="minorHAnsi"/>
          <w:sz w:val="22"/>
          <w:szCs w:val="22"/>
        </w:rPr>
        <w:t>obreza extrema</w:t>
      </w:r>
      <w:r w:rsidR="00F41391" w:rsidRPr="00A57C3D">
        <w:rPr>
          <w:rFonts w:asciiTheme="minorHAnsi" w:hAnsiTheme="minorHAnsi" w:cstheme="minorHAnsi"/>
          <w:sz w:val="22"/>
          <w:szCs w:val="22"/>
        </w:rPr>
        <w:t xml:space="preserve"> al 24.1%, según la última Encuesta Nacional de Condiciones de Vida 2015</w:t>
      </w:r>
      <w:r w:rsidR="00A3029F" w:rsidRPr="00A57C3D">
        <w:rPr>
          <w:rFonts w:asciiTheme="minorHAnsi" w:hAnsiTheme="minorHAnsi" w:cstheme="minorHAnsi"/>
          <w:sz w:val="22"/>
          <w:szCs w:val="22"/>
        </w:rPr>
        <w:t>.</w:t>
      </w:r>
    </w:p>
    <w:p w:rsidR="00352E7E" w:rsidRDefault="00F41391" w:rsidP="00F41391">
      <w:pPr>
        <w:pStyle w:val="Default"/>
        <w:numPr>
          <w:ilvl w:val="0"/>
          <w:numId w:val="4"/>
        </w:numPr>
        <w:jc w:val="both"/>
        <w:rPr>
          <w:rFonts w:asciiTheme="minorHAnsi" w:hAnsiTheme="minorHAnsi" w:cstheme="minorHAnsi"/>
          <w:sz w:val="22"/>
          <w:szCs w:val="22"/>
        </w:rPr>
      </w:pPr>
      <w:r w:rsidRPr="00352E7E">
        <w:rPr>
          <w:rFonts w:asciiTheme="minorHAnsi" w:hAnsiTheme="minorHAnsi" w:cstheme="minorHAnsi"/>
          <w:sz w:val="22"/>
          <w:szCs w:val="22"/>
        </w:rPr>
        <w:t>Co</w:t>
      </w:r>
      <w:r w:rsidR="00C3415C" w:rsidRPr="00352E7E">
        <w:rPr>
          <w:rFonts w:asciiTheme="minorHAnsi" w:hAnsiTheme="minorHAnsi" w:cstheme="minorHAnsi"/>
          <w:sz w:val="22"/>
          <w:szCs w:val="22"/>
        </w:rPr>
        <w:t xml:space="preserve">mo puede apreciarse en el cuadro </w:t>
      </w:r>
      <w:r w:rsidRPr="00352E7E">
        <w:rPr>
          <w:rFonts w:asciiTheme="minorHAnsi" w:hAnsiTheme="minorHAnsi" w:cstheme="minorHAnsi"/>
          <w:sz w:val="22"/>
          <w:szCs w:val="22"/>
        </w:rPr>
        <w:t>siguiente los salarios tienen un déficit respecto al Costo de la Canasta Básica Vital de incluso más del 200%</w:t>
      </w:r>
      <w:r w:rsidR="00662C1E">
        <w:rPr>
          <w:rFonts w:asciiTheme="minorHAnsi" w:hAnsiTheme="minorHAnsi" w:cstheme="minorHAnsi"/>
          <w:sz w:val="22"/>
          <w:szCs w:val="22"/>
        </w:rPr>
        <w:t xml:space="preserve"> y este en vez de achicarse con los años se ha profundizado</w:t>
      </w:r>
      <w:r w:rsidR="00C3415C" w:rsidRPr="00352E7E">
        <w:rPr>
          <w:rFonts w:asciiTheme="minorHAnsi" w:hAnsiTheme="minorHAnsi" w:cstheme="minorHAnsi"/>
          <w:sz w:val="22"/>
          <w:szCs w:val="22"/>
        </w:rPr>
        <w:t>.</w:t>
      </w:r>
    </w:p>
    <w:p w:rsidR="00BF7568" w:rsidRPr="00352E7E" w:rsidRDefault="00BF7568" w:rsidP="00F41391">
      <w:pPr>
        <w:pStyle w:val="Default"/>
        <w:numPr>
          <w:ilvl w:val="0"/>
          <w:numId w:val="4"/>
        </w:numPr>
        <w:jc w:val="both"/>
        <w:rPr>
          <w:rFonts w:asciiTheme="minorHAnsi" w:hAnsiTheme="minorHAnsi" w:cstheme="minorHAnsi"/>
          <w:sz w:val="22"/>
          <w:szCs w:val="22"/>
        </w:rPr>
      </w:pPr>
      <w:r w:rsidRPr="00352E7E">
        <w:rPr>
          <w:rFonts w:asciiTheme="minorHAnsi" w:hAnsiTheme="minorHAnsi" w:cstheme="minorHAnsi"/>
          <w:sz w:val="22"/>
          <w:szCs w:val="22"/>
        </w:rPr>
        <w:t>Paralelo a ello</w:t>
      </w:r>
      <w:r w:rsidR="00F41391" w:rsidRPr="00352E7E">
        <w:rPr>
          <w:rFonts w:asciiTheme="minorHAnsi" w:hAnsiTheme="minorHAnsi" w:cstheme="minorHAnsi"/>
          <w:sz w:val="22"/>
          <w:szCs w:val="22"/>
        </w:rPr>
        <w:t xml:space="preserve">, el Estado de Guatemala </w:t>
      </w:r>
      <w:r w:rsidRPr="00352E7E">
        <w:rPr>
          <w:rFonts w:asciiTheme="minorHAnsi" w:hAnsiTheme="minorHAnsi" w:cstheme="minorHAnsi"/>
          <w:sz w:val="22"/>
          <w:szCs w:val="22"/>
        </w:rPr>
        <w:t xml:space="preserve"> ha implementado un sistema de</w:t>
      </w:r>
      <w:r w:rsidR="00F41391" w:rsidRPr="00352E7E">
        <w:rPr>
          <w:rFonts w:asciiTheme="minorHAnsi" w:hAnsiTheme="minorHAnsi" w:cstheme="minorHAnsi"/>
          <w:sz w:val="22"/>
          <w:szCs w:val="22"/>
        </w:rPr>
        <w:t xml:space="preserve"> fijación de</w:t>
      </w:r>
      <w:r w:rsidRPr="00352E7E">
        <w:rPr>
          <w:rFonts w:asciiTheme="minorHAnsi" w:hAnsiTheme="minorHAnsi" w:cstheme="minorHAnsi"/>
          <w:sz w:val="22"/>
          <w:szCs w:val="22"/>
        </w:rPr>
        <w:t xml:space="preserve"> salarios diferenciados e inferiores </w:t>
      </w:r>
      <w:r w:rsidR="00F41391" w:rsidRPr="00352E7E">
        <w:rPr>
          <w:rFonts w:asciiTheme="minorHAnsi" w:hAnsiTheme="minorHAnsi" w:cstheme="minorHAnsi"/>
          <w:sz w:val="22"/>
          <w:szCs w:val="22"/>
        </w:rPr>
        <w:t>para el sector agrí</w:t>
      </w:r>
      <w:r w:rsidR="00A3029F" w:rsidRPr="00352E7E">
        <w:rPr>
          <w:rFonts w:asciiTheme="minorHAnsi" w:hAnsiTheme="minorHAnsi" w:cstheme="minorHAnsi"/>
          <w:sz w:val="22"/>
          <w:szCs w:val="22"/>
        </w:rPr>
        <w:t>cola, no agrícola y de</w:t>
      </w:r>
      <w:r w:rsidR="00F41391" w:rsidRPr="00352E7E">
        <w:rPr>
          <w:rFonts w:asciiTheme="minorHAnsi" w:hAnsiTheme="minorHAnsi" w:cstheme="minorHAnsi"/>
          <w:sz w:val="22"/>
          <w:szCs w:val="22"/>
        </w:rPr>
        <w:t xml:space="preserve"> exportación</w:t>
      </w:r>
      <w:r w:rsidR="00A3029F" w:rsidRPr="00352E7E">
        <w:rPr>
          <w:rFonts w:asciiTheme="minorHAnsi" w:hAnsiTheme="minorHAnsi" w:cstheme="minorHAnsi"/>
          <w:sz w:val="22"/>
          <w:szCs w:val="22"/>
        </w:rPr>
        <w:t xml:space="preserve"> y maquila</w:t>
      </w:r>
      <w:r w:rsidR="00F41391" w:rsidRPr="00352E7E">
        <w:rPr>
          <w:rFonts w:asciiTheme="minorHAnsi" w:hAnsiTheme="minorHAnsi" w:cstheme="minorHAnsi"/>
          <w:sz w:val="22"/>
          <w:szCs w:val="22"/>
        </w:rPr>
        <w:t xml:space="preserve"> sin que exista ninguna razonabilidad para ello. </w:t>
      </w:r>
    </w:p>
    <w:p w:rsidR="00BF7568" w:rsidRPr="00A57C3D" w:rsidRDefault="00BF7568" w:rsidP="00BF7568">
      <w:pPr>
        <w:pStyle w:val="Default"/>
        <w:jc w:val="both"/>
        <w:rPr>
          <w:rFonts w:asciiTheme="minorHAnsi" w:hAnsiTheme="minorHAnsi" w:cstheme="minorHAnsi"/>
          <w:b/>
          <w:sz w:val="22"/>
          <w:szCs w:val="22"/>
        </w:rPr>
      </w:pPr>
    </w:p>
    <w:tbl>
      <w:tblPr>
        <w:tblW w:w="8520" w:type="dxa"/>
        <w:jc w:val="center"/>
        <w:tblCellMar>
          <w:left w:w="70" w:type="dxa"/>
          <w:right w:w="70" w:type="dxa"/>
        </w:tblCellMar>
        <w:tblLook w:val="04A0" w:firstRow="1" w:lastRow="0" w:firstColumn="1" w:lastColumn="0" w:noHBand="0" w:noVBand="1"/>
      </w:tblPr>
      <w:tblGrid>
        <w:gridCol w:w="587"/>
        <w:gridCol w:w="1012"/>
        <w:gridCol w:w="1074"/>
        <w:gridCol w:w="1074"/>
        <w:gridCol w:w="925"/>
        <w:gridCol w:w="1120"/>
        <w:gridCol w:w="1368"/>
        <w:gridCol w:w="1360"/>
      </w:tblGrid>
      <w:tr w:rsidR="00DB25D8" w:rsidRPr="00DB25D8" w:rsidTr="00662C1E">
        <w:trPr>
          <w:trHeight w:val="525"/>
          <w:jc w:val="center"/>
        </w:trPr>
        <w:tc>
          <w:tcPr>
            <w:tcW w:w="587"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b/>
                <w:bCs/>
                <w:sz w:val="20"/>
                <w:szCs w:val="20"/>
                <w:lang w:eastAsia="es-GT"/>
              </w:rPr>
            </w:pPr>
            <w:r w:rsidRPr="00DB25D8">
              <w:rPr>
                <w:rFonts w:ascii="Calibri" w:eastAsia="Times New Roman" w:hAnsi="Calibri" w:cs="Times New Roman"/>
                <w:b/>
                <w:bCs/>
                <w:sz w:val="20"/>
                <w:szCs w:val="20"/>
                <w:lang w:eastAsia="es-GT"/>
              </w:rPr>
              <w:t>Año</w:t>
            </w:r>
          </w:p>
        </w:tc>
        <w:tc>
          <w:tcPr>
            <w:tcW w:w="1012" w:type="dxa"/>
            <w:tcBorders>
              <w:top w:val="single" w:sz="8" w:space="0" w:color="auto"/>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rPr>
                <w:rFonts w:ascii="Calibri" w:eastAsia="Times New Roman" w:hAnsi="Calibri" w:cs="Times New Roman"/>
                <w:b/>
                <w:bCs/>
                <w:sz w:val="20"/>
                <w:szCs w:val="20"/>
                <w:lang w:eastAsia="es-GT"/>
              </w:rPr>
            </w:pPr>
            <w:r w:rsidRPr="00DB25D8">
              <w:rPr>
                <w:rFonts w:ascii="Calibri" w:eastAsia="Times New Roman" w:hAnsi="Calibri" w:cs="Times New Roman"/>
                <w:b/>
                <w:bCs/>
                <w:sz w:val="20"/>
                <w:szCs w:val="20"/>
                <w:lang w:eastAsia="es-GT"/>
              </w:rPr>
              <w:t>Agrícola</w:t>
            </w:r>
          </w:p>
        </w:tc>
        <w:tc>
          <w:tcPr>
            <w:tcW w:w="1074" w:type="dxa"/>
            <w:tcBorders>
              <w:top w:val="single" w:sz="8" w:space="0" w:color="auto"/>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rPr>
                <w:rFonts w:ascii="Calibri" w:eastAsia="Times New Roman" w:hAnsi="Calibri" w:cs="Times New Roman"/>
                <w:b/>
                <w:bCs/>
                <w:sz w:val="20"/>
                <w:szCs w:val="20"/>
                <w:lang w:eastAsia="es-GT"/>
              </w:rPr>
            </w:pPr>
            <w:r w:rsidRPr="00DB25D8">
              <w:rPr>
                <w:rFonts w:ascii="Calibri" w:eastAsia="Times New Roman" w:hAnsi="Calibri" w:cs="Times New Roman"/>
                <w:b/>
                <w:bCs/>
                <w:sz w:val="20"/>
                <w:szCs w:val="20"/>
                <w:lang w:eastAsia="es-GT"/>
              </w:rPr>
              <w:t>No agrícola</w:t>
            </w:r>
          </w:p>
        </w:tc>
        <w:tc>
          <w:tcPr>
            <w:tcW w:w="1074" w:type="dxa"/>
            <w:tcBorders>
              <w:top w:val="single" w:sz="8" w:space="0" w:color="auto"/>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rPr>
                <w:rFonts w:ascii="Calibri" w:eastAsia="Times New Roman" w:hAnsi="Calibri" w:cs="Times New Roman"/>
                <w:b/>
                <w:bCs/>
                <w:sz w:val="20"/>
                <w:szCs w:val="20"/>
                <w:lang w:eastAsia="es-GT"/>
              </w:rPr>
            </w:pPr>
            <w:r w:rsidRPr="00DB25D8">
              <w:rPr>
                <w:rFonts w:ascii="Calibri" w:eastAsia="Times New Roman" w:hAnsi="Calibri" w:cs="Times New Roman"/>
                <w:b/>
                <w:bCs/>
                <w:sz w:val="20"/>
                <w:szCs w:val="20"/>
                <w:lang w:eastAsia="es-GT"/>
              </w:rPr>
              <w:t xml:space="preserve"> Exp. Maq</w:t>
            </w:r>
          </w:p>
        </w:tc>
        <w:tc>
          <w:tcPr>
            <w:tcW w:w="925" w:type="dxa"/>
            <w:tcBorders>
              <w:top w:val="single" w:sz="8" w:space="0" w:color="auto"/>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rPr>
                <w:rFonts w:ascii="Calibri" w:eastAsia="Times New Roman" w:hAnsi="Calibri" w:cs="Times New Roman"/>
                <w:b/>
                <w:bCs/>
                <w:sz w:val="20"/>
                <w:szCs w:val="20"/>
                <w:lang w:eastAsia="es-GT"/>
              </w:rPr>
            </w:pPr>
            <w:r w:rsidRPr="00DB25D8">
              <w:rPr>
                <w:rFonts w:ascii="Calibri" w:eastAsia="Times New Roman" w:hAnsi="Calibri" w:cs="Times New Roman"/>
                <w:b/>
                <w:bCs/>
                <w:sz w:val="20"/>
                <w:szCs w:val="20"/>
                <w:lang w:eastAsia="es-GT"/>
              </w:rPr>
              <w:t>CCBV</w:t>
            </w:r>
          </w:p>
        </w:tc>
        <w:tc>
          <w:tcPr>
            <w:tcW w:w="1120" w:type="dxa"/>
            <w:tcBorders>
              <w:top w:val="single" w:sz="8" w:space="0" w:color="auto"/>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rPr>
                <w:rFonts w:ascii="Calibri" w:eastAsia="Times New Roman" w:hAnsi="Calibri" w:cs="Times New Roman"/>
                <w:b/>
                <w:bCs/>
                <w:sz w:val="20"/>
                <w:szCs w:val="20"/>
                <w:lang w:eastAsia="es-GT"/>
              </w:rPr>
            </w:pPr>
            <w:r w:rsidRPr="00DB25D8">
              <w:rPr>
                <w:rFonts w:ascii="Calibri" w:eastAsia="Times New Roman" w:hAnsi="Calibri" w:cs="Times New Roman"/>
                <w:b/>
                <w:bCs/>
                <w:sz w:val="20"/>
                <w:szCs w:val="20"/>
                <w:lang w:eastAsia="es-GT"/>
              </w:rPr>
              <w:t>Déficit. Agr.</w:t>
            </w:r>
            <w:r w:rsidR="00662C1E">
              <w:rPr>
                <w:rFonts w:ascii="Calibri" w:eastAsia="Times New Roman" w:hAnsi="Calibri" w:cs="Times New Roman"/>
                <w:b/>
                <w:bCs/>
                <w:sz w:val="20"/>
                <w:szCs w:val="20"/>
                <w:lang w:eastAsia="es-GT"/>
              </w:rPr>
              <w:t xml:space="preserve"> % </w:t>
            </w:r>
            <w:r w:rsidR="00662C1E">
              <w:rPr>
                <w:rStyle w:val="FootnoteReference"/>
                <w:rFonts w:ascii="Calibri" w:eastAsia="Times New Roman" w:hAnsi="Calibri" w:cs="Times New Roman"/>
                <w:b/>
                <w:bCs/>
                <w:sz w:val="20"/>
                <w:szCs w:val="20"/>
                <w:lang w:eastAsia="es-GT"/>
              </w:rPr>
              <w:footnoteReference w:id="1"/>
            </w:r>
          </w:p>
        </w:tc>
        <w:tc>
          <w:tcPr>
            <w:tcW w:w="1368" w:type="dxa"/>
            <w:tcBorders>
              <w:top w:val="single" w:sz="8" w:space="0" w:color="auto"/>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rPr>
                <w:rFonts w:ascii="Calibri" w:eastAsia="Times New Roman" w:hAnsi="Calibri" w:cs="Times New Roman"/>
                <w:b/>
                <w:bCs/>
                <w:sz w:val="20"/>
                <w:szCs w:val="20"/>
                <w:lang w:eastAsia="es-GT"/>
              </w:rPr>
            </w:pPr>
            <w:r w:rsidRPr="00DB25D8">
              <w:rPr>
                <w:rFonts w:ascii="Calibri" w:eastAsia="Times New Roman" w:hAnsi="Calibri" w:cs="Times New Roman"/>
                <w:b/>
                <w:bCs/>
                <w:sz w:val="20"/>
                <w:szCs w:val="20"/>
                <w:lang w:eastAsia="es-GT"/>
              </w:rPr>
              <w:t>Déficit.No.Agr.</w:t>
            </w:r>
            <w:r w:rsidR="00662C1E">
              <w:rPr>
                <w:rFonts w:ascii="Calibri" w:eastAsia="Times New Roman" w:hAnsi="Calibri" w:cs="Times New Roman"/>
                <w:b/>
                <w:bCs/>
                <w:sz w:val="20"/>
                <w:szCs w:val="20"/>
                <w:lang w:eastAsia="es-GT"/>
              </w:rPr>
              <w:t xml:space="preserve"> %</w:t>
            </w:r>
            <w:r w:rsidR="00662C1E">
              <w:rPr>
                <w:rStyle w:val="FootnoteReference"/>
                <w:rFonts w:ascii="Calibri" w:eastAsia="Times New Roman" w:hAnsi="Calibri" w:cs="Times New Roman"/>
                <w:b/>
                <w:bCs/>
                <w:sz w:val="20"/>
                <w:szCs w:val="20"/>
                <w:lang w:eastAsia="es-GT"/>
              </w:rPr>
              <w:footnoteReference w:id="2"/>
            </w:r>
          </w:p>
        </w:tc>
        <w:tc>
          <w:tcPr>
            <w:tcW w:w="1360" w:type="dxa"/>
            <w:tcBorders>
              <w:top w:val="single" w:sz="8" w:space="0" w:color="auto"/>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rPr>
                <w:rFonts w:ascii="Calibri" w:eastAsia="Times New Roman" w:hAnsi="Calibri" w:cs="Times New Roman"/>
                <w:b/>
                <w:bCs/>
                <w:sz w:val="20"/>
                <w:szCs w:val="20"/>
                <w:lang w:eastAsia="es-GT"/>
              </w:rPr>
            </w:pPr>
            <w:r w:rsidRPr="00DB25D8">
              <w:rPr>
                <w:rFonts w:ascii="Calibri" w:eastAsia="Times New Roman" w:hAnsi="Calibri" w:cs="Times New Roman"/>
                <w:b/>
                <w:bCs/>
                <w:sz w:val="20"/>
                <w:szCs w:val="20"/>
                <w:lang w:eastAsia="es-GT"/>
              </w:rPr>
              <w:t>Déficit. Exp. Maq</w:t>
            </w:r>
            <w:r w:rsidR="00662C1E">
              <w:rPr>
                <w:rFonts w:ascii="Calibri" w:eastAsia="Times New Roman" w:hAnsi="Calibri" w:cs="Times New Roman"/>
                <w:b/>
                <w:bCs/>
                <w:sz w:val="20"/>
                <w:szCs w:val="20"/>
                <w:lang w:eastAsia="es-GT"/>
              </w:rPr>
              <w:t xml:space="preserve"> %</w:t>
            </w:r>
            <w:r w:rsidR="00662C1E">
              <w:rPr>
                <w:rStyle w:val="FootnoteReference"/>
                <w:rFonts w:ascii="Calibri" w:eastAsia="Times New Roman" w:hAnsi="Calibri" w:cs="Times New Roman"/>
                <w:b/>
                <w:bCs/>
                <w:sz w:val="20"/>
                <w:szCs w:val="20"/>
                <w:lang w:eastAsia="es-GT"/>
              </w:rPr>
              <w:footnoteReference w:id="3"/>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2001</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762.85</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841.62</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rPr>
                <w:rFonts w:ascii="Calibri" w:eastAsia="Times New Roman" w:hAnsi="Calibri" w:cs="Times New Roman"/>
                <w:lang w:eastAsia="es-GT"/>
              </w:rPr>
            </w:pPr>
            <w:r w:rsidRPr="00DB25D8">
              <w:rPr>
                <w:rFonts w:ascii="Calibri" w:eastAsia="Times New Roman" w:hAnsi="Calibri" w:cs="Times New Roman"/>
                <w:lang w:eastAsia="es-GT"/>
              </w:rPr>
              <w:t> </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2,164.38</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183.72</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157.17</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rPr>
                <w:rFonts w:ascii="Calibri" w:eastAsia="Times New Roman" w:hAnsi="Calibri" w:cs="Times New Roman"/>
                <w:lang w:eastAsia="es-GT"/>
              </w:rPr>
            </w:pPr>
            <w:r w:rsidRPr="00DB25D8">
              <w:rPr>
                <w:rFonts w:ascii="Calibri" w:eastAsia="Times New Roman" w:hAnsi="Calibri" w:cs="Times New Roman"/>
                <w:lang w:eastAsia="es-GT"/>
              </w:rPr>
              <w:t> </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2002</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836.45</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912.5</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rPr>
                <w:rFonts w:ascii="Calibri" w:eastAsia="Times New Roman" w:hAnsi="Calibri" w:cs="Times New Roman"/>
                <w:lang w:eastAsia="es-GT"/>
              </w:rPr>
            </w:pPr>
            <w:r w:rsidRPr="00DB25D8">
              <w:rPr>
                <w:rFonts w:ascii="Calibri" w:eastAsia="Times New Roman" w:hAnsi="Calibri" w:cs="Times New Roman"/>
                <w:lang w:eastAsia="es-GT"/>
              </w:rPr>
              <w:t> </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2,199.66</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162.98</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141.06</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rPr>
                <w:rFonts w:ascii="Calibri" w:eastAsia="Times New Roman" w:hAnsi="Calibri" w:cs="Times New Roman"/>
                <w:lang w:eastAsia="es-GT"/>
              </w:rPr>
            </w:pPr>
            <w:r w:rsidRPr="00DB25D8">
              <w:rPr>
                <w:rFonts w:ascii="Calibri" w:eastAsia="Times New Roman" w:hAnsi="Calibri" w:cs="Times New Roman"/>
                <w:lang w:eastAsia="es-GT"/>
              </w:rPr>
              <w:t> </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2003</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970.29</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1,040.25</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rPr>
                <w:rFonts w:ascii="Calibri" w:eastAsia="Times New Roman" w:hAnsi="Calibri" w:cs="Times New Roman"/>
                <w:lang w:eastAsia="es-GT"/>
              </w:rPr>
            </w:pPr>
            <w:r w:rsidRPr="00DB25D8">
              <w:rPr>
                <w:rFonts w:ascii="Calibri" w:eastAsia="Times New Roman" w:hAnsi="Calibri" w:cs="Times New Roman"/>
                <w:lang w:eastAsia="es-GT"/>
              </w:rPr>
              <w:t> </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2,265.80</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133.52</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117.81</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rPr>
                <w:rFonts w:ascii="Calibri" w:eastAsia="Times New Roman" w:hAnsi="Calibri" w:cs="Times New Roman"/>
                <w:lang w:eastAsia="es-GT"/>
              </w:rPr>
            </w:pPr>
            <w:r w:rsidRPr="00DB25D8">
              <w:rPr>
                <w:rFonts w:ascii="Calibri" w:eastAsia="Times New Roman" w:hAnsi="Calibri" w:cs="Times New Roman"/>
                <w:lang w:eastAsia="es-GT"/>
              </w:rPr>
              <w:t> </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2004</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1,174.08</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1,206.62</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rPr>
                <w:rFonts w:ascii="Calibri" w:eastAsia="Times New Roman" w:hAnsi="Calibri" w:cs="Times New Roman"/>
                <w:lang w:eastAsia="es-GT"/>
              </w:rPr>
            </w:pPr>
            <w:r w:rsidRPr="00DB25D8">
              <w:rPr>
                <w:rFonts w:ascii="Calibri" w:eastAsia="Times New Roman" w:hAnsi="Calibri" w:cs="Times New Roman"/>
                <w:lang w:eastAsia="es-GT"/>
              </w:rPr>
              <w:t> </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2,347.96</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99.98</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94.59</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rPr>
                <w:rFonts w:ascii="Calibri" w:eastAsia="Times New Roman" w:hAnsi="Calibri" w:cs="Times New Roman"/>
                <w:lang w:eastAsia="es-GT"/>
              </w:rPr>
            </w:pPr>
            <w:r w:rsidRPr="00DB25D8">
              <w:rPr>
                <w:rFonts w:ascii="Calibri" w:eastAsia="Times New Roman" w:hAnsi="Calibri" w:cs="Times New Roman"/>
                <w:lang w:eastAsia="es-GT"/>
              </w:rPr>
              <w:t> </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2005</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1,174.08</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1,206.62</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rPr>
                <w:rFonts w:ascii="Calibri" w:eastAsia="Times New Roman" w:hAnsi="Calibri" w:cs="Times New Roman"/>
                <w:lang w:eastAsia="es-GT"/>
              </w:rPr>
            </w:pPr>
            <w:r w:rsidRPr="00DB25D8">
              <w:rPr>
                <w:rFonts w:ascii="Calibri" w:eastAsia="Times New Roman" w:hAnsi="Calibri" w:cs="Times New Roman"/>
                <w:lang w:eastAsia="es-GT"/>
              </w:rPr>
              <w:t> </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2,490.09</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112.09</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106.37</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rPr>
                <w:rFonts w:ascii="Calibri" w:eastAsia="Times New Roman" w:hAnsi="Calibri" w:cs="Times New Roman"/>
                <w:lang w:eastAsia="es-GT"/>
              </w:rPr>
            </w:pPr>
            <w:r w:rsidRPr="00DB25D8">
              <w:rPr>
                <w:rFonts w:ascii="Calibri" w:eastAsia="Times New Roman" w:hAnsi="Calibri" w:cs="Times New Roman"/>
                <w:lang w:eastAsia="es-GT"/>
              </w:rPr>
              <w:t> </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2006</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1,291.49</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1,327.38</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rPr>
                <w:rFonts w:ascii="Calibri" w:eastAsia="Times New Roman" w:hAnsi="Calibri" w:cs="Times New Roman"/>
                <w:lang w:eastAsia="es-GT"/>
              </w:rPr>
            </w:pPr>
            <w:r w:rsidRPr="00DB25D8">
              <w:rPr>
                <w:rFonts w:ascii="Calibri" w:eastAsia="Times New Roman" w:hAnsi="Calibri" w:cs="Times New Roman"/>
                <w:lang w:eastAsia="es-GT"/>
              </w:rPr>
              <w:t> </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2,602.14</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101.48</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96.04</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rPr>
                <w:rFonts w:ascii="Calibri" w:eastAsia="Times New Roman" w:hAnsi="Calibri" w:cs="Times New Roman"/>
                <w:lang w:eastAsia="es-GT"/>
              </w:rPr>
            </w:pPr>
            <w:r w:rsidRPr="00DB25D8">
              <w:rPr>
                <w:rFonts w:ascii="Calibri" w:eastAsia="Times New Roman" w:hAnsi="Calibri" w:cs="Times New Roman"/>
                <w:lang w:eastAsia="es-GT"/>
              </w:rPr>
              <w:t> </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2007</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1,355.97</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1,393.69</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rPr>
                <w:rFonts w:ascii="Calibri" w:eastAsia="Times New Roman" w:hAnsi="Calibri" w:cs="Times New Roman"/>
                <w:lang w:eastAsia="es-GT"/>
              </w:rPr>
            </w:pPr>
            <w:r w:rsidRPr="00DB25D8">
              <w:rPr>
                <w:rFonts w:ascii="Calibri" w:eastAsia="Times New Roman" w:hAnsi="Calibri" w:cs="Times New Roman"/>
                <w:lang w:eastAsia="es-GT"/>
              </w:rPr>
              <w:t> </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2,879.34</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112.35</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106.60</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rPr>
                <w:rFonts w:ascii="Calibri" w:eastAsia="Times New Roman" w:hAnsi="Calibri" w:cs="Times New Roman"/>
                <w:lang w:eastAsia="es-GT"/>
              </w:rPr>
            </w:pPr>
            <w:r w:rsidRPr="00DB25D8">
              <w:rPr>
                <w:rFonts w:ascii="Calibri" w:eastAsia="Times New Roman" w:hAnsi="Calibri" w:cs="Times New Roman"/>
                <w:lang w:eastAsia="es-GT"/>
              </w:rPr>
              <w:t> </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2008</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1,429.58</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1,475.20</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1,452.39</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3,393.41</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137.37</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130.03</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133.64</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2009</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1,703.33</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1,703.33</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1,574.06</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3,564.00</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109.24</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109.24</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126.42</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2010</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1,703.33</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1,703.33</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1,574.06</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3,705.80</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117.56</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117.56</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135.43</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2011</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1,937.54</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1,937.54</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1,808.27</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4,230.98</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118.37</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118.37</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133.98</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2012</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2,068.33</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2,068.33</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1,901.04</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4,645.30</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124.59</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124.59</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144.36</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2013</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2,171.75</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2,171.75</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1,996.24</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5,906.40</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171.97</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171.97</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195.88</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2014</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2,280.33</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2,280.33</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2,096.01</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5,573.77</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144.43</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144.43</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165.92</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lastRenderedPageBreak/>
              <w:t>2015</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2,394.40</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2,394.40</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2,200.95</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6,205.70</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159.18</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159.18</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181.96</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2016</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2,490.21</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2,490.21</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2,277.90</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6,922.16</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177.97</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177.97</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203.88</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2017</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2,643.20</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2,643.90</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1,417.51</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7,822.26</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195.94</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195.86</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451.83</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2018</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2,742.36</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2,742.36</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2,508.16</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8,196.13</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198.87</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198.87</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226.78</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2019</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2,742.36</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2,742.36</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2,508.16</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8,253.94</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200.98</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200.98</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229.08</w:t>
            </w:r>
          </w:p>
        </w:tc>
      </w:tr>
      <w:tr w:rsidR="00662C1E" w:rsidRPr="00DB25D8" w:rsidTr="00662C1E">
        <w:trPr>
          <w:trHeight w:val="315"/>
          <w:jc w:val="center"/>
        </w:trPr>
        <w:tc>
          <w:tcPr>
            <w:tcW w:w="587" w:type="dxa"/>
            <w:tcBorders>
              <w:top w:val="nil"/>
              <w:left w:val="single" w:sz="8" w:space="0" w:color="auto"/>
              <w:bottom w:val="single" w:sz="8" w:space="0" w:color="auto"/>
              <w:right w:val="single" w:sz="8" w:space="0" w:color="auto"/>
            </w:tcBorders>
            <w:shd w:val="clear" w:color="000000" w:fill="FFFFFF"/>
            <w:vAlign w:val="center"/>
            <w:hideMark/>
          </w:tcPr>
          <w:p w:rsidR="00DB25D8" w:rsidRPr="00DB25D8" w:rsidRDefault="00DB25D8" w:rsidP="00662C1E">
            <w:pPr>
              <w:spacing w:after="0" w:line="240" w:lineRule="auto"/>
              <w:jc w:val="center"/>
              <w:rPr>
                <w:rFonts w:ascii="Calibri" w:eastAsia="Times New Roman" w:hAnsi="Calibri" w:cs="Times New Roman"/>
                <w:lang w:eastAsia="es-GT"/>
              </w:rPr>
            </w:pPr>
            <w:r w:rsidRPr="00DB25D8">
              <w:rPr>
                <w:rFonts w:ascii="Calibri" w:eastAsia="Times New Roman" w:hAnsi="Calibri" w:cs="Times New Roman"/>
                <w:lang w:eastAsia="es-GT"/>
              </w:rPr>
              <w:t>2020</w:t>
            </w:r>
          </w:p>
        </w:tc>
        <w:tc>
          <w:tcPr>
            <w:tcW w:w="1012"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2,742.36</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2,825.10</w:t>
            </w:r>
          </w:p>
        </w:tc>
        <w:tc>
          <w:tcPr>
            <w:tcW w:w="1074" w:type="dxa"/>
            <w:tcBorders>
              <w:top w:val="nil"/>
              <w:left w:val="nil"/>
              <w:bottom w:val="single" w:sz="8" w:space="0" w:color="auto"/>
              <w:right w:val="single" w:sz="8" w:space="0" w:color="auto"/>
            </w:tcBorders>
            <w:shd w:val="clear" w:color="000000" w:fill="FFFFFF"/>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2581.76</w:t>
            </w:r>
          </w:p>
        </w:tc>
        <w:tc>
          <w:tcPr>
            <w:tcW w:w="925"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b/>
                <w:bCs/>
                <w:lang w:eastAsia="es-GT"/>
              </w:rPr>
            </w:pPr>
            <w:r w:rsidRPr="00DB25D8">
              <w:rPr>
                <w:rFonts w:ascii="Calibri" w:eastAsia="Times New Roman" w:hAnsi="Calibri" w:cs="Times New Roman"/>
                <w:b/>
                <w:bCs/>
                <w:lang w:eastAsia="es-GT"/>
              </w:rPr>
              <w:t>8,305.80</w:t>
            </w:r>
          </w:p>
        </w:tc>
        <w:tc>
          <w:tcPr>
            <w:tcW w:w="112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202.87</w:t>
            </w:r>
          </w:p>
        </w:tc>
        <w:tc>
          <w:tcPr>
            <w:tcW w:w="1368"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194.00</w:t>
            </w:r>
          </w:p>
        </w:tc>
        <w:tc>
          <w:tcPr>
            <w:tcW w:w="1360" w:type="dxa"/>
            <w:tcBorders>
              <w:top w:val="nil"/>
              <w:left w:val="nil"/>
              <w:bottom w:val="single" w:sz="8" w:space="0" w:color="auto"/>
              <w:right w:val="single" w:sz="8" w:space="0" w:color="auto"/>
            </w:tcBorders>
            <w:shd w:val="clear" w:color="000000" w:fill="FFFFFF"/>
            <w:noWrap/>
            <w:vAlign w:val="center"/>
            <w:hideMark/>
          </w:tcPr>
          <w:p w:rsidR="00DB25D8" w:rsidRPr="00DB25D8" w:rsidRDefault="00DB25D8" w:rsidP="00DB25D8">
            <w:pPr>
              <w:spacing w:after="0" w:line="240" w:lineRule="auto"/>
              <w:jc w:val="right"/>
              <w:rPr>
                <w:rFonts w:ascii="Calibri" w:eastAsia="Times New Roman" w:hAnsi="Calibri" w:cs="Times New Roman"/>
                <w:lang w:eastAsia="es-GT"/>
              </w:rPr>
            </w:pPr>
            <w:r w:rsidRPr="00DB25D8">
              <w:rPr>
                <w:rFonts w:ascii="Calibri" w:eastAsia="Times New Roman" w:hAnsi="Calibri" w:cs="Times New Roman"/>
                <w:lang w:eastAsia="es-GT"/>
              </w:rPr>
              <w:t>221.71</w:t>
            </w:r>
          </w:p>
        </w:tc>
      </w:tr>
    </w:tbl>
    <w:p w:rsidR="00BF7568" w:rsidRPr="00A57C3D" w:rsidRDefault="00A3029F" w:rsidP="00BF7568">
      <w:pPr>
        <w:pStyle w:val="Default"/>
        <w:jc w:val="both"/>
        <w:rPr>
          <w:rFonts w:asciiTheme="minorHAnsi" w:hAnsiTheme="minorHAnsi" w:cstheme="minorHAnsi"/>
          <w:sz w:val="22"/>
          <w:szCs w:val="22"/>
        </w:rPr>
      </w:pPr>
      <w:r w:rsidRPr="00A57C3D">
        <w:rPr>
          <w:rFonts w:asciiTheme="minorHAnsi" w:hAnsiTheme="minorHAnsi" w:cstheme="minorHAnsi"/>
          <w:sz w:val="22"/>
          <w:szCs w:val="22"/>
        </w:rPr>
        <w:t>Elaboración propia en base a Acuerdos Gubernativos de fijación del salario mínimo y del Costo de la Canasta Básica Vital años 2000-2020.</w:t>
      </w:r>
    </w:p>
    <w:p w:rsidR="00BF7568" w:rsidRPr="00A57C3D" w:rsidRDefault="00BF7568" w:rsidP="00BF7568">
      <w:pPr>
        <w:pStyle w:val="Default"/>
        <w:jc w:val="both"/>
        <w:rPr>
          <w:rFonts w:asciiTheme="minorHAnsi" w:hAnsiTheme="minorHAnsi" w:cstheme="minorHAnsi"/>
          <w:sz w:val="22"/>
          <w:szCs w:val="22"/>
        </w:rPr>
      </w:pPr>
    </w:p>
    <w:p w:rsidR="00662C1E" w:rsidRPr="00662C1E" w:rsidRDefault="00662C1E" w:rsidP="00662C1E">
      <w:pPr>
        <w:pStyle w:val="Default"/>
        <w:numPr>
          <w:ilvl w:val="0"/>
          <w:numId w:val="4"/>
        </w:numPr>
        <w:jc w:val="both"/>
        <w:rPr>
          <w:rFonts w:asciiTheme="minorHAnsi" w:hAnsiTheme="minorHAnsi" w:cstheme="minorHAnsi"/>
          <w:sz w:val="22"/>
          <w:szCs w:val="22"/>
        </w:rPr>
      </w:pPr>
      <w:r w:rsidRPr="00662C1E">
        <w:rPr>
          <w:rFonts w:asciiTheme="minorHAnsi" w:hAnsiTheme="minorHAnsi" w:cstheme="minorHAnsi"/>
          <w:sz w:val="22"/>
          <w:szCs w:val="22"/>
        </w:rPr>
        <w:t>Actualmente los diputados del Congreso de la República discuten la Iniciativa de Ley 5477 mediante la cual se permite fraccionar el salario y pagar a los trabajadores del salario mínimo diario</w:t>
      </w:r>
      <w:r>
        <w:rPr>
          <w:rFonts w:asciiTheme="minorHAnsi" w:hAnsiTheme="minorHAnsi" w:cstheme="minorHAnsi"/>
          <w:sz w:val="22"/>
          <w:szCs w:val="22"/>
        </w:rPr>
        <w:t xml:space="preserve"> aspecto que no está permitido por el artículo 102 literal g) de la Constitución Política de la República de Guatemala</w:t>
      </w:r>
      <w:r w:rsidRPr="00662C1E">
        <w:rPr>
          <w:rFonts w:asciiTheme="minorHAnsi" w:hAnsiTheme="minorHAnsi" w:cstheme="minorHAnsi"/>
          <w:sz w:val="22"/>
          <w:szCs w:val="22"/>
        </w:rPr>
        <w:t>.</w:t>
      </w:r>
    </w:p>
    <w:p w:rsidR="00352E7E" w:rsidRDefault="00C3415C" w:rsidP="00BF7568">
      <w:pPr>
        <w:pStyle w:val="Default"/>
        <w:numPr>
          <w:ilvl w:val="0"/>
          <w:numId w:val="4"/>
        </w:numPr>
        <w:jc w:val="both"/>
        <w:rPr>
          <w:rFonts w:asciiTheme="minorHAnsi" w:hAnsiTheme="minorHAnsi" w:cstheme="minorHAnsi"/>
          <w:sz w:val="22"/>
          <w:szCs w:val="22"/>
        </w:rPr>
      </w:pPr>
      <w:r w:rsidRPr="00A57C3D">
        <w:rPr>
          <w:rFonts w:asciiTheme="minorHAnsi" w:hAnsiTheme="minorHAnsi" w:cstheme="minorHAnsi"/>
          <w:sz w:val="22"/>
          <w:szCs w:val="22"/>
        </w:rPr>
        <w:t xml:space="preserve">Asimismo el Estado de Guatemala </w:t>
      </w:r>
      <w:r w:rsidR="00A3029F" w:rsidRPr="00A57C3D">
        <w:rPr>
          <w:rFonts w:asciiTheme="minorHAnsi" w:hAnsiTheme="minorHAnsi" w:cstheme="minorHAnsi"/>
          <w:sz w:val="22"/>
          <w:szCs w:val="22"/>
        </w:rPr>
        <w:t xml:space="preserve"> tolera que los empleadores no paguen a los trabajadores el salario mínimo fijado legalmente. </w:t>
      </w:r>
    </w:p>
    <w:p w:rsidR="00352E7E" w:rsidRDefault="00A3029F" w:rsidP="00BF7568">
      <w:pPr>
        <w:pStyle w:val="Default"/>
        <w:numPr>
          <w:ilvl w:val="0"/>
          <w:numId w:val="4"/>
        </w:numPr>
        <w:jc w:val="both"/>
        <w:rPr>
          <w:rFonts w:asciiTheme="minorHAnsi" w:hAnsiTheme="minorHAnsi" w:cstheme="minorHAnsi"/>
          <w:sz w:val="22"/>
          <w:szCs w:val="22"/>
        </w:rPr>
      </w:pPr>
      <w:r w:rsidRPr="00352E7E">
        <w:rPr>
          <w:rFonts w:asciiTheme="minorHAnsi" w:hAnsiTheme="minorHAnsi" w:cstheme="minorHAnsi"/>
          <w:sz w:val="22"/>
          <w:szCs w:val="22"/>
        </w:rPr>
        <w:t>La última Encuesta Nacional de</w:t>
      </w:r>
      <w:r w:rsidR="009860E2" w:rsidRPr="00352E7E">
        <w:rPr>
          <w:rFonts w:asciiTheme="minorHAnsi" w:hAnsiTheme="minorHAnsi" w:cstheme="minorHAnsi"/>
          <w:sz w:val="22"/>
          <w:szCs w:val="22"/>
        </w:rPr>
        <w:t xml:space="preserve"> Empleo e Ingresos 1-2019 reflejó que todavía el 31.9% de la Población Ocupada labora en la </w:t>
      </w:r>
      <w:r w:rsidR="00C3415C" w:rsidRPr="00352E7E">
        <w:rPr>
          <w:rFonts w:asciiTheme="minorHAnsi" w:hAnsiTheme="minorHAnsi" w:cstheme="minorHAnsi"/>
          <w:sz w:val="22"/>
          <w:szCs w:val="22"/>
        </w:rPr>
        <w:t>a</w:t>
      </w:r>
      <w:r w:rsidR="009860E2" w:rsidRPr="00352E7E">
        <w:rPr>
          <w:rFonts w:asciiTheme="minorHAnsi" w:hAnsiTheme="minorHAnsi" w:cstheme="minorHAnsi"/>
          <w:sz w:val="22"/>
          <w:szCs w:val="22"/>
        </w:rPr>
        <w:t>gricultura siendo el salario promedio percibido por los trabajadores de este sector de Q1,158.00 quetzale mensuales lo que está muy por debajo incluso del salario mínimo fijado legalmente que ya tiene déficit alarmantes respecto al Costo de la Canasta Básica Vital.</w:t>
      </w:r>
    </w:p>
    <w:p w:rsidR="00352E7E" w:rsidRDefault="00C3415C" w:rsidP="00BF7568">
      <w:pPr>
        <w:pStyle w:val="Default"/>
        <w:numPr>
          <w:ilvl w:val="0"/>
          <w:numId w:val="4"/>
        </w:numPr>
        <w:jc w:val="both"/>
        <w:rPr>
          <w:rFonts w:asciiTheme="minorHAnsi" w:hAnsiTheme="minorHAnsi" w:cstheme="minorHAnsi"/>
          <w:sz w:val="22"/>
          <w:szCs w:val="22"/>
        </w:rPr>
      </w:pPr>
      <w:r w:rsidRPr="00352E7E">
        <w:rPr>
          <w:rFonts w:asciiTheme="minorHAnsi" w:hAnsiTheme="minorHAnsi" w:cstheme="minorHAnsi"/>
          <w:sz w:val="22"/>
          <w:szCs w:val="22"/>
        </w:rPr>
        <w:t xml:space="preserve">Esta complacencia del Estado hacia los empleadores del sector agrícola principalmente los productores de azúcar, café, hule, cardamomo, y palma africana y la pobreza a la que se somete a los trabajadores de este sector hace que también el Estado permita y tolere el trabajo infantil como mecanismo para que las familias logren derivado de los precarios salarios que se pagan adquirir al menos un mínimo de alimentos de </w:t>
      </w:r>
      <w:r w:rsidR="005422D3" w:rsidRPr="00352E7E">
        <w:rPr>
          <w:rFonts w:asciiTheme="minorHAnsi" w:hAnsiTheme="minorHAnsi" w:cstheme="minorHAnsi"/>
          <w:sz w:val="22"/>
          <w:szCs w:val="22"/>
        </w:rPr>
        <w:t xml:space="preserve">infra </w:t>
      </w:r>
      <w:r w:rsidRPr="00352E7E">
        <w:rPr>
          <w:rFonts w:asciiTheme="minorHAnsi" w:hAnsiTheme="minorHAnsi" w:cstheme="minorHAnsi"/>
          <w:sz w:val="22"/>
          <w:szCs w:val="22"/>
        </w:rPr>
        <w:t>subsistencia.</w:t>
      </w:r>
    </w:p>
    <w:p w:rsidR="00BF7568" w:rsidRPr="00352E7E" w:rsidRDefault="00C3415C" w:rsidP="00BF7568">
      <w:pPr>
        <w:pStyle w:val="Default"/>
        <w:numPr>
          <w:ilvl w:val="0"/>
          <w:numId w:val="4"/>
        </w:numPr>
        <w:jc w:val="both"/>
        <w:rPr>
          <w:rFonts w:asciiTheme="minorHAnsi" w:hAnsiTheme="minorHAnsi" w:cstheme="minorHAnsi"/>
          <w:sz w:val="22"/>
          <w:szCs w:val="22"/>
        </w:rPr>
      </w:pPr>
      <w:r w:rsidRPr="00352E7E">
        <w:rPr>
          <w:rFonts w:asciiTheme="minorHAnsi" w:hAnsiTheme="minorHAnsi" w:cstheme="minorHAnsi"/>
          <w:sz w:val="22"/>
          <w:szCs w:val="22"/>
        </w:rPr>
        <w:t>Prueba de ello es e</w:t>
      </w:r>
      <w:r w:rsidR="005422D3" w:rsidRPr="00352E7E">
        <w:rPr>
          <w:rFonts w:asciiTheme="minorHAnsi" w:hAnsiTheme="minorHAnsi" w:cstheme="minorHAnsi"/>
          <w:sz w:val="22"/>
          <w:szCs w:val="22"/>
        </w:rPr>
        <w:t xml:space="preserve">l documental recientemente rodado en Guatemala por el </w:t>
      </w:r>
      <w:r w:rsidR="005422D3" w:rsidRPr="00352E7E">
        <w:rPr>
          <w:rFonts w:asciiTheme="minorHAnsi" w:hAnsiTheme="minorHAnsi" w:cs="Arial"/>
          <w:color w:val="030303"/>
          <w:sz w:val="22"/>
          <w:szCs w:val="22"/>
          <w:shd w:val="clear" w:color="auto" w:fill="F9F9F9"/>
        </w:rPr>
        <w:t xml:space="preserve"> Programa Canal 4 UK "Dispatches Starbucks and Nespresso the truth about your coffee"</w:t>
      </w:r>
      <w:r w:rsidR="005422D3" w:rsidRPr="00352E7E">
        <w:rPr>
          <w:rFonts w:asciiTheme="minorHAnsi" w:hAnsiTheme="minorHAnsi" w:cstheme="minorHAnsi"/>
          <w:sz w:val="22"/>
          <w:szCs w:val="22"/>
        </w:rPr>
        <w:t xml:space="preserve">  </w:t>
      </w:r>
      <w:r w:rsidR="005422D3" w:rsidRPr="00352E7E">
        <w:rPr>
          <w:rFonts w:asciiTheme="minorHAnsi" w:hAnsiTheme="minorHAnsi" w:cstheme="minorBidi"/>
          <w:color w:val="auto"/>
          <w:sz w:val="22"/>
          <w:szCs w:val="22"/>
        </w:rPr>
        <w:t>donde se documentó como los niños son utilizados por los empresarios cafetaleros guatemaltecos que venden café a las grandes compañías como  Nespresso y Starbucks</w:t>
      </w:r>
      <w:r w:rsidR="00662C1E">
        <w:rPr>
          <w:rFonts w:asciiTheme="minorHAnsi" w:hAnsiTheme="minorHAnsi" w:cstheme="minorBidi"/>
          <w:color w:val="auto"/>
          <w:sz w:val="22"/>
          <w:szCs w:val="22"/>
        </w:rPr>
        <w:t xml:space="preserve"> para el corte de café y trabajo en las fincas</w:t>
      </w:r>
      <w:r w:rsidR="005422D3" w:rsidRPr="00352E7E">
        <w:rPr>
          <w:rFonts w:asciiTheme="minorHAnsi" w:hAnsiTheme="minorHAnsi" w:cstheme="minorBidi"/>
          <w:color w:val="auto"/>
          <w:sz w:val="22"/>
          <w:szCs w:val="22"/>
        </w:rPr>
        <w:t xml:space="preserve">. El documental se ecuentra en este enlace:  </w:t>
      </w:r>
      <w:hyperlink r:id="rId11" w:history="1">
        <w:r w:rsidR="005422D3" w:rsidRPr="00352E7E">
          <w:rPr>
            <w:rFonts w:asciiTheme="minorHAnsi" w:hAnsiTheme="minorHAnsi" w:cstheme="minorBidi"/>
            <w:color w:val="0000FF"/>
            <w:sz w:val="22"/>
            <w:szCs w:val="22"/>
            <w:u w:val="single"/>
          </w:rPr>
          <w:t>https://www.youtube.com/watch?v=h7R0IJl2aZo</w:t>
        </w:r>
      </w:hyperlink>
    </w:p>
    <w:p w:rsidR="00BF7568" w:rsidRPr="00A57C3D" w:rsidRDefault="00BF7568" w:rsidP="00BF7568">
      <w:pPr>
        <w:pStyle w:val="Default"/>
        <w:jc w:val="both"/>
        <w:rPr>
          <w:rFonts w:asciiTheme="minorHAnsi" w:hAnsiTheme="minorHAnsi" w:cstheme="minorHAnsi"/>
          <w:sz w:val="22"/>
          <w:szCs w:val="22"/>
        </w:rPr>
      </w:pPr>
    </w:p>
    <w:p w:rsidR="006271B8" w:rsidRPr="00AF30C3" w:rsidRDefault="002F5600" w:rsidP="0011025F">
      <w:pPr>
        <w:spacing w:after="0" w:line="240" w:lineRule="auto"/>
        <w:jc w:val="both"/>
        <w:rPr>
          <w:b/>
          <w:lang w:val="es-ES_tradnl"/>
        </w:rPr>
      </w:pPr>
      <w:r w:rsidRPr="00AF30C3">
        <w:rPr>
          <w:b/>
          <w:lang w:val="es-ES_tradnl"/>
        </w:rPr>
        <w:t>ARTICULO 8</w:t>
      </w:r>
      <w:r w:rsidR="006271B8" w:rsidRPr="00AF30C3">
        <w:rPr>
          <w:b/>
          <w:lang w:val="es-ES_tradnl"/>
        </w:rPr>
        <w:t xml:space="preserve"> (Libre Sindicalización)</w:t>
      </w:r>
    </w:p>
    <w:p w:rsidR="00B740D4" w:rsidRDefault="00B740D4" w:rsidP="0011025F">
      <w:pPr>
        <w:spacing w:after="0" w:line="240" w:lineRule="auto"/>
        <w:jc w:val="both"/>
        <w:rPr>
          <w:b/>
          <w:i/>
          <w:lang w:val="es-ES_tradnl"/>
        </w:rPr>
      </w:pPr>
    </w:p>
    <w:p w:rsidR="003C2A20" w:rsidRPr="00A57C3D" w:rsidRDefault="003C2A20" w:rsidP="0011025F">
      <w:pPr>
        <w:spacing w:after="0" w:line="240" w:lineRule="auto"/>
        <w:jc w:val="both"/>
        <w:rPr>
          <w:b/>
          <w:i/>
          <w:lang w:val="es-ES_tradnl"/>
        </w:rPr>
      </w:pPr>
      <w:r w:rsidRPr="00A57C3D">
        <w:rPr>
          <w:b/>
          <w:i/>
          <w:lang w:val="es-ES_tradnl"/>
        </w:rPr>
        <w:t>Libertad sindical:</w:t>
      </w:r>
    </w:p>
    <w:p w:rsidR="00352E7E" w:rsidRDefault="002F5600" w:rsidP="0011025F">
      <w:pPr>
        <w:pStyle w:val="ListParagraph"/>
        <w:numPr>
          <w:ilvl w:val="0"/>
          <w:numId w:val="4"/>
        </w:numPr>
        <w:spacing w:after="0" w:line="240" w:lineRule="auto"/>
        <w:jc w:val="both"/>
        <w:rPr>
          <w:lang w:val="es-ES_tradnl"/>
        </w:rPr>
      </w:pPr>
      <w:r w:rsidRPr="00352E7E">
        <w:rPr>
          <w:lang w:val="es-ES_tradnl"/>
        </w:rPr>
        <w:t>En Guatemala existe una violación sistemática de la libertad sindical que parte de la negación del derecho de los trabajadores y trabajadoras a sindicalizarse libremente en los términos que garantiza el artículo 2 del Convenio 87 de la Organización Internacional del Trabajo.</w:t>
      </w:r>
    </w:p>
    <w:p w:rsidR="00662C1E" w:rsidRDefault="006B39D3" w:rsidP="0011025F">
      <w:pPr>
        <w:pStyle w:val="ListParagraph"/>
        <w:numPr>
          <w:ilvl w:val="0"/>
          <w:numId w:val="4"/>
        </w:numPr>
        <w:spacing w:after="0" w:line="240" w:lineRule="auto"/>
        <w:jc w:val="both"/>
        <w:rPr>
          <w:lang w:val="es-ES_tradnl"/>
        </w:rPr>
      </w:pPr>
      <w:r w:rsidRPr="00352E7E">
        <w:rPr>
          <w:lang w:val="es-ES_tradnl"/>
        </w:rPr>
        <w:t xml:space="preserve">De </w:t>
      </w:r>
      <w:r w:rsidR="00247255" w:rsidRPr="00352E7E">
        <w:rPr>
          <w:lang w:val="es-ES_tradnl"/>
        </w:rPr>
        <w:t xml:space="preserve">conformidad con </w:t>
      </w:r>
      <w:r w:rsidRPr="00352E7E">
        <w:rPr>
          <w:lang w:val="es-ES_tradnl"/>
        </w:rPr>
        <w:t>el</w:t>
      </w:r>
      <w:r w:rsidR="00247255" w:rsidRPr="00352E7E">
        <w:rPr>
          <w:lang w:val="es-ES_tradnl"/>
        </w:rPr>
        <w:t xml:space="preserve"> artículo 19.8</w:t>
      </w:r>
      <w:r w:rsidRPr="00352E7E">
        <w:rPr>
          <w:lang w:val="es-ES_tradnl"/>
        </w:rPr>
        <w:t xml:space="preserve"> de la Constitución de la Organización Internacional del Trabajo</w:t>
      </w:r>
      <w:r w:rsidR="00247255" w:rsidRPr="00352E7E">
        <w:rPr>
          <w:lang w:val="es-ES_tradnl"/>
        </w:rPr>
        <w:t>, la ratificación de un Convenio no puede presuponer la reducción de las condiciones más favorables para los trabajadores que estuvieran ga</w:t>
      </w:r>
      <w:r w:rsidRPr="00352E7E">
        <w:rPr>
          <w:lang w:val="es-ES_tradnl"/>
        </w:rPr>
        <w:t>rantizadas en el país antes de su</w:t>
      </w:r>
      <w:r w:rsidR="00247255" w:rsidRPr="00352E7E">
        <w:rPr>
          <w:lang w:val="es-ES_tradnl"/>
        </w:rPr>
        <w:t xml:space="preserve"> ratificación</w:t>
      </w:r>
      <w:r w:rsidR="00FD6324" w:rsidRPr="00352E7E">
        <w:rPr>
          <w:lang w:val="es-ES_tradnl"/>
        </w:rPr>
        <w:t>, este extremo es ratificado por el artículo 8.2 del C</w:t>
      </w:r>
      <w:r w:rsidRPr="00352E7E">
        <w:rPr>
          <w:lang w:val="es-ES_tradnl"/>
        </w:rPr>
        <w:t xml:space="preserve">onvenio </w:t>
      </w:r>
      <w:r w:rsidR="00FD6324" w:rsidRPr="00352E7E">
        <w:rPr>
          <w:lang w:val="es-ES_tradnl"/>
        </w:rPr>
        <w:t>087 de OIT</w:t>
      </w:r>
      <w:r w:rsidR="00247255" w:rsidRPr="00352E7E">
        <w:rPr>
          <w:lang w:val="es-ES_tradnl"/>
        </w:rPr>
        <w:t xml:space="preserve">. </w:t>
      </w:r>
    </w:p>
    <w:p w:rsidR="00662C1E" w:rsidRDefault="006B39D3" w:rsidP="0011025F">
      <w:pPr>
        <w:pStyle w:val="ListParagraph"/>
        <w:numPr>
          <w:ilvl w:val="0"/>
          <w:numId w:val="4"/>
        </w:numPr>
        <w:spacing w:after="0" w:line="240" w:lineRule="auto"/>
        <w:jc w:val="both"/>
        <w:rPr>
          <w:lang w:val="es-ES_tradnl"/>
        </w:rPr>
      </w:pPr>
      <w:r w:rsidRPr="00662C1E">
        <w:rPr>
          <w:lang w:val="es-ES_tradnl"/>
        </w:rPr>
        <w:t xml:space="preserve">El Estado de </w:t>
      </w:r>
      <w:r w:rsidR="00247255" w:rsidRPr="00662C1E">
        <w:rPr>
          <w:lang w:val="es-ES_tradnl"/>
        </w:rPr>
        <w:t xml:space="preserve">Guatemala ratificó el Convenio 87 de la OIT el  </w:t>
      </w:r>
      <w:r w:rsidR="00FD6324" w:rsidRPr="00662C1E">
        <w:rPr>
          <w:lang w:val="es-ES_tradnl"/>
        </w:rPr>
        <w:t xml:space="preserve">13 de febrero de 1952, en consecuencia,  a esa fecha, se encontraban vigentes la Constitución Política de la </w:t>
      </w:r>
      <w:r w:rsidR="00FD6324" w:rsidRPr="00662C1E">
        <w:rPr>
          <w:lang w:val="es-ES_tradnl"/>
        </w:rPr>
        <w:lastRenderedPageBreak/>
        <w:t xml:space="preserve">República de 1945 y el Decreto 330 del Congreso de la República, Código de Trabajo, ninguna de dichas normas establecía prohibición alguna para el ejercicio de la libre sindicalización para la policía, y </w:t>
      </w:r>
      <w:r w:rsidRPr="00662C1E">
        <w:rPr>
          <w:lang w:val="es-ES_tradnl"/>
        </w:rPr>
        <w:t xml:space="preserve">el Estado de </w:t>
      </w:r>
      <w:r w:rsidR="00FD6324" w:rsidRPr="00662C1E">
        <w:rPr>
          <w:lang w:val="es-ES_tradnl"/>
        </w:rPr>
        <w:t>Guatemala tampoco hizo reserva alguna respecto a la aplicabilidad del Convenio a la Policía.  En consecuencia el convenio 87 no impone ni admite que se niegue este derecho a la policía; de hecho ni la Constitución Política de la República de Guatemala de 1954, ni la de 1965 ni la de 1985</w:t>
      </w:r>
      <w:r w:rsidRPr="00662C1E">
        <w:rPr>
          <w:lang w:val="es-ES_tradnl"/>
        </w:rPr>
        <w:t xml:space="preserve"> que es la actualmente vigente</w:t>
      </w:r>
      <w:r w:rsidR="00FD6324" w:rsidRPr="00662C1E">
        <w:rPr>
          <w:lang w:val="es-ES_tradnl"/>
        </w:rPr>
        <w:t xml:space="preserve"> prohíben la sindicalización de la Policía, siendo una prohibición</w:t>
      </w:r>
      <w:r w:rsidRPr="00662C1E">
        <w:rPr>
          <w:lang w:val="es-ES_tradnl"/>
        </w:rPr>
        <w:t xml:space="preserve"> que</w:t>
      </w:r>
      <w:r w:rsidR="00FD6324" w:rsidRPr="00662C1E">
        <w:rPr>
          <w:lang w:val="es-ES_tradnl"/>
        </w:rPr>
        <w:t xml:space="preserve"> no se impone sino hasta la puesta en vigencia del Decreto 71-86 en el año 1986 y de esa cuenta, las limitaciones impuestas por tal norma son violatorias del Convenio 87</w:t>
      </w:r>
      <w:r w:rsidR="00477DF6" w:rsidRPr="00662C1E">
        <w:rPr>
          <w:lang w:val="es-ES_tradnl"/>
        </w:rPr>
        <w:t xml:space="preserve"> </w:t>
      </w:r>
      <w:r w:rsidRPr="00662C1E">
        <w:rPr>
          <w:lang w:val="es-ES_tradnl"/>
        </w:rPr>
        <w:t xml:space="preserve">de la OIT </w:t>
      </w:r>
      <w:r w:rsidR="00477DF6" w:rsidRPr="00662C1E">
        <w:rPr>
          <w:lang w:val="es-ES_tradnl"/>
        </w:rPr>
        <w:t>ya que se privó de la libertad de sindicalizarse a trabajadores que hasta la entrada en vigencia de dicha norma no contaban con la limitación en el acceso a tal derecho.</w:t>
      </w:r>
    </w:p>
    <w:p w:rsidR="00662C1E" w:rsidRDefault="00477DF6" w:rsidP="0011025F">
      <w:pPr>
        <w:pStyle w:val="ListParagraph"/>
        <w:numPr>
          <w:ilvl w:val="0"/>
          <w:numId w:val="4"/>
        </w:numPr>
        <w:spacing w:after="0" w:line="240" w:lineRule="auto"/>
        <w:jc w:val="both"/>
        <w:rPr>
          <w:lang w:val="es-ES_tradnl"/>
        </w:rPr>
      </w:pPr>
      <w:r w:rsidRPr="00662C1E">
        <w:rPr>
          <w:lang w:val="es-ES_tradnl"/>
        </w:rPr>
        <w:t xml:space="preserve">Más allá de esto, esta limitación se ha extendido </w:t>
      </w:r>
      <w:r w:rsidR="006B39D3" w:rsidRPr="00662C1E">
        <w:rPr>
          <w:lang w:val="es-ES_tradnl"/>
        </w:rPr>
        <w:t xml:space="preserve">por el Estado de Guatemala </w:t>
      </w:r>
      <w:r w:rsidRPr="00662C1E">
        <w:rPr>
          <w:lang w:val="es-ES_tradnl"/>
        </w:rPr>
        <w:t>a trabajadores de empresas privadas de seguridad</w:t>
      </w:r>
      <w:r w:rsidR="006B39D3" w:rsidRPr="00662C1E">
        <w:rPr>
          <w:lang w:val="es-ES_tradnl"/>
        </w:rPr>
        <w:t>,</w:t>
      </w:r>
      <w:r w:rsidRPr="00662C1E">
        <w:rPr>
          <w:lang w:val="es-ES_tradnl"/>
        </w:rPr>
        <w:t xml:space="preserve"> a  las policías municipales y</w:t>
      </w:r>
      <w:r w:rsidR="006B39D3" w:rsidRPr="00662C1E">
        <w:rPr>
          <w:lang w:val="es-ES_tradnl"/>
        </w:rPr>
        <w:t xml:space="preserve">a las policías municipales </w:t>
      </w:r>
      <w:r w:rsidRPr="00662C1E">
        <w:rPr>
          <w:lang w:val="es-ES_tradnl"/>
        </w:rPr>
        <w:t xml:space="preserve"> de tránsito aún y cuando estas son policías de naturaleza administrativa y no constituyen cuerpos arm</w:t>
      </w:r>
      <w:r w:rsidR="006B39D3" w:rsidRPr="00662C1E">
        <w:rPr>
          <w:lang w:val="es-ES_tradnl"/>
        </w:rPr>
        <w:t xml:space="preserve">ados, bajo este argumento se ha dejado a los trabajadores </w:t>
      </w:r>
      <w:r w:rsidRPr="00662C1E">
        <w:rPr>
          <w:lang w:val="es-ES_tradnl"/>
        </w:rPr>
        <w:t>indefensos laboralmente</w:t>
      </w:r>
      <w:r w:rsidR="006B39D3" w:rsidRPr="00662C1E">
        <w:rPr>
          <w:lang w:val="es-ES_tradnl"/>
        </w:rPr>
        <w:t xml:space="preserve"> al prohibírseles el derecho de sindicalización, negociación colectiva e incluso a la representación laboral para poder abordar la problemática que enfrentan en sus centros de trabajo</w:t>
      </w:r>
      <w:r w:rsidRPr="00662C1E">
        <w:rPr>
          <w:lang w:val="es-ES_tradnl"/>
        </w:rPr>
        <w:t>,</w:t>
      </w:r>
      <w:r w:rsidR="006B39D3" w:rsidRPr="00662C1E">
        <w:rPr>
          <w:lang w:val="es-ES_tradnl"/>
        </w:rPr>
        <w:t xml:space="preserve"> </w:t>
      </w:r>
      <w:r w:rsidRPr="00662C1E">
        <w:rPr>
          <w:lang w:val="es-ES_tradnl"/>
        </w:rPr>
        <w:t xml:space="preserve"> se admite que se les impongan jornadas extenuantes de trabajo y que se les reduzcan las garantías laborales, incluso las de seguridad social, al someter estas a la negociación realizada por sindicatos que no  les representan.</w:t>
      </w:r>
    </w:p>
    <w:p w:rsidR="00662C1E" w:rsidRPr="00662C1E" w:rsidRDefault="00477DF6" w:rsidP="0011025F">
      <w:pPr>
        <w:pStyle w:val="ListParagraph"/>
        <w:numPr>
          <w:ilvl w:val="0"/>
          <w:numId w:val="4"/>
        </w:numPr>
        <w:spacing w:after="0" w:line="240" w:lineRule="auto"/>
        <w:jc w:val="both"/>
        <w:rPr>
          <w:lang w:val="es-ES_tradnl"/>
        </w:rPr>
      </w:pPr>
      <w:r w:rsidRPr="00662C1E">
        <w:rPr>
          <w:lang w:val="es-ES_tradnl"/>
        </w:rPr>
        <w:t xml:space="preserve">En el caso del </w:t>
      </w:r>
      <w:r>
        <w:t xml:space="preserve">SINDICATO DE TRABAJADORES CIVILES Y NO ARMADOS DE LA ENTIDAD METROPOLITANA REGULADORA DE TRANSPORTE Y TRÁNSITO DEL MUNICIPIO DE GUATEMALA Y SUS ÁREAS DE INFLUCENCIA URBANA </w:t>
      </w:r>
      <w:r w:rsidR="006B39D3">
        <w:t>-</w:t>
      </w:r>
      <w:r>
        <w:t>EMETRA- “SITRACINAREMETRA”, bajo ese argumento</w:t>
      </w:r>
      <w:r w:rsidR="00DC4592">
        <w:t xml:space="preserve"> el Estado de Guatemala les negó el derecho de sindicalización </w:t>
      </w:r>
      <w:r>
        <w:t>mediante</w:t>
      </w:r>
      <w:r w:rsidR="00DC4592">
        <w:t xml:space="preserve"> la R</w:t>
      </w:r>
      <w:r w:rsidRPr="00662C1E">
        <w:rPr>
          <w:lang w:val="es-ES"/>
        </w:rPr>
        <w:t xml:space="preserve">esolución número DGT-PJ-040-2019 VHRG/Agtl,  de fecha 25 de julio de 2019, dictada por la Dirección General de Trabajo dentro del Expediente número 040-2019, misma que a pesar de haber sido impugnada desde hace casi un año aún no ha sido resuelta </w:t>
      </w:r>
      <w:r w:rsidR="00DC4592" w:rsidRPr="00662C1E">
        <w:rPr>
          <w:lang w:val="es-ES"/>
        </w:rPr>
        <w:t xml:space="preserve">por el Ministro de Trabajo y Previsión Social </w:t>
      </w:r>
      <w:r w:rsidRPr="00662C1E">
        <w:rPr>
          <w:lang w:val="es-ES"/>
        </w:rPr>
        <w:t>y tampoco se  ha inscrito la organización sindical</w:t>
      </w:r>
      <w:r w:rsidR="00DC4592" w:rsidRPr="00662C1E">
        <w:rPr>
          <w:lang w:val="es-ES"/>
        </w:rPr>
        <w:t xml:space="preserve"> en el registro público de sindicatos</w:t>
      </w:r>
      <w:r w:rsidRPr="00662C1E">
        <w:rPr>
          <w:lang w:val="es-ES"/>
        </w:rPr>
        <w:t>.</w:t>
      </w:r>
    </w:p>
    <w:p w:rsidR="00662C1E" w:rsidRPr="00662C1E" w:rsidRDefault="00477DF6" w:rsidP="0011025F">
      <w:pPr>
        <w:pStyle w:val="ListParagraph"/>
        <w:numPr>
          <w:ilvl w:val="0"/>
          <w:numId w:val="4"/>
        </w:numPr>
        <w:spacing w:after="0" w:line="240" w:lineRule="auto"/>
        <w:jc w:val="both"/>
        <w:rPr>
          <w:lang w:val="es-ES_tradnl"/>
        </w:rPr>
      </w:pPr>
      <w:r w:rsidRPr="00662C1E">
        <w:rPr>
          <w:lang w:val="es-ES"/>
        </w:rPr>
        <w:t>De la misma forma, se le ha negado el derecho a la libre sindicalización a los jueces, argumentando como motivo de ello que si bien tienen el derecho de sindicalizarse, no tienen el derecho de ele</w:t>
      </w:r>
      <w:r w:rsidR="00DC4592" w:rsidRPr="00662C1E">
        <w:rPr>
          <w:lang w:val="es-ES"/>
        </w:rPr>
        <w:t>gir a sus propios dirigentes sindicales o representantes</w:t>
      </w:r>
      <w:r w:rsidRPr="00662C1E">
        <w:rPr>
          <w:lang w:val="es-ES"/>
        </w:rPr>
        <w:t xml:space="preserve"> y que en función de esto se les niega el derecho a inscribir su sindicato esto fue resuelto </w:t>
      </w:r>
      <w:r w:rsidR="00B870D0" w:rsidRPr="00662C1E">
        <w:rPr>
          <w:lang w:val="es-ES"/>
        </w:rPr>
        <w:t xml:space="preserve">mediante la </w:t>
      </w:r>
      <w:r w:rsidR="00DC4592" w:rsidRPr="00662C1E">
        <w:rPr>
          <w:lang w:val="es-ES"/>
        </w:rPr>
        <w:t>R</w:t>
      </w:r>
      <w:r w:rsidR="00B870D0" w:rsidRPr="00662C1E">
        <w:rPr>
          <w:lang w:val="es-ES"/>
        </w:rPr>
        <w:t xml:space="preserve">esolución </w:t>
      </w:r>
      <w:r w:rsidR="00DC4592" w:rsidRPr="00662C1E">
        <w:rPr>
          <w:lang w:val="es-ES"/>
        </w:rPr>
        <w:t>N</w:t>
      </w:r>
      <w:r w:rsidR="00B870D0" w:rsidRPr="00662C1E">
        <w:rPr>
          <w:lang w:val="es-ES"/>
        </w:rPr>
        <w:t xml:space="preserve">úmero DGT-PJ-002-2019 CLAP/Agtl,  de fecha 10 de enero de 2019, dictada por la Dirección General de Trabajo dentro del Expediente número 045-2018, la cual fue impugnada </w:t>
      </w:r>
      <w:r w:rsidR="00DC4592" w:rsidRPr="00662C1E">
        <w:rPr>
          <w:lang w:val="es-ES"/>
        </w:rPr>
        <w:t>declarándose</w:t>
      </w:r>
      <w:r w:rsidR="00B870D0" w:rsidRPr="00662C1E">
        <w:rPr>
          <w:lang w:val="es-ES"/>
        </w:rPr>
        <w:t xml:space="preserve"> sin lugar</w:t>
      </w:r>
      <w:r w:rsidR="00DC4592" w:rsidRPr="00662C1E">
        <w:rPr>
          <w:lang w:val="es-ES"/>
        </w:rPr>
        <w:t xml:space="preserve"> por para del Ministro de Trabajo y Previsión Social</w:t>
      </w:r>
      <w:r w:rsidR="00B870D0" w:rsidRPr="00662C1E">
        <w:rPr>
          <w:lang w:val="es-ES"/>
        </w:rPr>
        <w:t xml:space="preserve"> la impugnación, sin que a la fecha haya podido iniciarse el proceso para demandar judicialmente el acceso a este derecho derivado del cierre de los tribunales con motivo de </w:t>
      </w:r>
      <w:r w:rsidR="00DC4592" w:rsidRPr="00662C1E">
        <w:rPr>
          <w:lang w:val="es-ES"/>
        </w:rPr>
        <w:t>la pandemia del Sars-2 Covid-19 desde el mes de marzo del año 2020.</w:t>
      </w:r>
    </w:p>
    <w:p w:rsidR="00662C1E" w:rsidRPr="00662C1E" w:rsidRDefault="00B870D0" w:rsidP="0011025F">
      <w:pPr>
        <w:pStyle w:val="ListParagraph"/>
        <w:numPr>
          <w:ilvl w:val="0"/>
          <w:numId w:val="4"/>
        </w:numPr>
        <w:spacing w:after="0" w:line="240" w:lineRule="auto"/>
        <w:jc w:val="both"/>
        <w:rPr>
          <w:lang w:val="es-ES_tradnl"/>
        </w:rPr>
      </w:pPr>
      <w:r w:rsidRPr="00662C1E">
        <w:rPr>
          <w:lang w:val="es-ES"/>
        </w:rPr>
        <w:t>Es preciso apuntar que considerar que el ejercicio de la libre sindicalización por parte de los jueces es un impedimento o una condición que afecte su probidad constituye en sí una grave estigmatización de la libertad sindical que es contraria a los principios del Convenio 87 que además reconoce como únicas categorías de trabajadores susceptibles de no gozar de libertad sindical a las fuerzas armadas y la policía</w:t>
      </w:r>
      <w:r w:rsidR="008E2977" w:rsidRPr="00662C1E">
        <w:rPr>
          <w:lang w:val="es-ES"/>
        </w:rPr>
        <w:t xml:space="preserve"> salvo que dicho derecho no estuviere reconocido por el Estado como es el caso del Estado de Guatemala que a la fecha de adopción del Convenio 87 de OIT reconocía ese derecho y no hizo reserva alguna al ratificarlo</w:t>
      </w:r>
      <w:r w:rsidRPr="00662C1E">
        <w:rPr>
          <w:lang w:val="es-ES"/>
        </w:rPr>
        <w:t>.</w:t>
      </w:r>
    </w:p>
    <w:p w:rsidR="00662C1E" w:rsidRPr="00662C1E" w:rsidRDefault="00B870D0" w:rsidP="0011025F">
      <w:pPr>
        <w:pStyle w:val="ListParagraph"/>
        <w:numPr>
          <w:ilvl w:val="0"/>
          <w:numId w:val="4"/>
        </w:numPr>
        <w:spacing w:after="0" w:line="240" w:lineRule="auto"/>
        <w:jc w:val="both"/>
        <w:rPr>
          <w:lang w:val="es-ES_tradnl"/>
        </w:rPr>
      </w:pPr>
      <w:r w:rsidRPr="00662C1E">
        <w:rPr>
          <w:lang w:val="es-ES"/>
        </w:rPr>
        <w:t>Estos casos producen una violación del Pacto toda vez que, de conformidad con el artículo 8.3 del Pacto, este último no puede vulnerar las condiciones protegidas en virtud del C</w:t>
      </w:r>
      <w:r w:rsidR="008E2977" w:rsidRPr="00662C1E">
        <w:rPr>
          <w:lang w:val="es-ES"/>
        </w:rPr>
        <w:t xml:space="preserve">onvenio </w:t>
      </w:r>
      <w:r w:rsidRPr="00662C1E">
        <w:rPr>
          <w:lang w:val="es-ES"/>
        </w:rPr>
        <w:t>087 de la OIT.</w:t>
      </w:r>
    </w:p>
    <w:p w:rsidR="00662C1E" w:rsidRPr="00662C1E" w:rsidRDefault="008E2977" w:rsidP="00D15741">
      <w:pPr>
        <w:pStyle w:val="ListParagraph"/>
        <w:numPr>
          <w:ilvl w:val="0"/>
          <w:numId w:val="4"/>
        </w:numPr>
        <w:spacing w:after="0" w:line="240" w:lineRule="auto"/>
        <w:jc w:val="both"/>
        <w:rPr>
          <w:lang w:val="es-ES_tradnl"/>
        </w:rPr>
      </w:pPr>
      <w:r w:rsidRPr="00662C1E">
        <w:rPr>
          <w:lang w:val="es-ES"/>
        </w:rPr>
        <w:t xml:space="preserve">Por otro lado, el derecho de libertad sindical </w:t>
      </w:r>
      <w:r w:rsidR="00606CBA" w:rsidRPr="00662C1E">
        <w:rPr>
          <w:lang w:val="es-ES"/>
        </w:rPr>
        <w:t>es objeto de obstáculos fácticos</w:t>
      </w:r>
      <w:r w:rsidRPr="00662C1E">
        <w:rPr>
          <w:lang w:val="es-ES"/>
        </w:rPr>
        <w:t xml:space="preserve"> impuestos por el Estado de Guatemala</w:t>
      </w:r>
      <w:r w:rsidR="00606CBA" w:rsidRPr="00662C1E">
        <w:rPr>
          <w:lang w:val="es-ES"/>
        </w:rPr>
        <w:t>, como</w:t>
      </w:r>
      <w:r w:rsidRPr="00662C1E">
        <w:rPr>
          <w:lang w:val="es-ES"/>
        </w:rPr>
        <w:t xml:space="preserve"> lo es la sujeción del acceso a la libertad sindical </w:t>
      </w:r>
      <w:r w:rsidR="00606CBA" w:rsidRPr="00662C1E">
        <w:rPr>
          <w:lang w:val="es-ES"/>
        </w:rPr>
        <w:t>a la necesidad de cu</w:t>
      </w:r>
      <w:r w:rsidRPr="00662C1E">
        <w:rPr>
          <w:lang w:val="es-ES"/>
        </w:rPr>
        <w:t>mplir requerimientos arbitrarios</w:t>
      </w:r>
      <w:r w:rsidR="00606CBA" w:rsidRPr="00662C1E">
        <w:rPr>
          <w:lang w:val="es-ES"/>
        </w:rPr>
        <w:t xml:space="preserve"> y no</w:t>
      </w:r>
      <w:r w:rsidR="0052372F" w:rsidRPr="00662C1E">
        <w:rPr>
          <w:lang w:val="es-ES"/>
        </w:rPr>
        <w:t xml:space="preserve"> exigidos por la ley para constituir sindicatos,</w:t>
      </w:r>
      <w:r w:rsidRPr="00662C1E">
        <w:rPr>
          <w:lang w:val="es-ES"/>
        </w:rPr>
        <w:t xml:space="preserve"> impuestos por el Ministerio de Trabajo y Previsión Social a través de la </w:t>
      </w:r>
      <w:r w:rsidR="0052372F" w:rsidRPr="00662C1E">
        <w:rPr>
          <w:lang w:val="es-ES"/>
        </w:rPr>
        <w:t xml:space="preserve">discrecionalidad administrativa de los funcionarios de </w:t>
      </w:r>
      <w:r w:rsidRPr="00662C1E">
        <w:rPr>
          <w:lang w:val="es-ES"/>
        </w:rPr>
        <w:t>la Dirección General de Trabajo lo que hacen nugatorio el derecho humano invocado</w:t>
      </w:r>
      <w:r w:rsidR="0052372F" w:rsidRPr="00662C1E">
        <w:rPr>
          <w:lang w:val="es-ES"/>
        </w:rPr>
        <w:t>.</w:t>
      </w:r>
    </w:p>
    <w:p w:rsidR="00662C1E" w:rsidRPr="00B740D4" w:rsidRDefault="00D15741" w:rsidP="0011025F">
      <w:pPr>
        <w:pStyle w:val="ListParagraph"/>
        <w:numPr>
          <w:ilvl w:val="0"/>
          <w:numId w:val="4"/>
        </w:numPr>
        <w:spacing w:after="0" w:line="240" w:lineRule="auto"/>
        <w:jc w:val="both"/>
        <w:rPr>
          <w:lang w:val="es-ES_tradnl"/>
        </w:rPr>
      </w:pPr>
      <w:r w:rsidRPr="00B740D4">
        <w:rPr>
          <w:lang w:val="es-ES"/>
        </w:rPr>
        <w:t>Cuando los trabajadores solicitan ante la Dirección General de Trabajo del Ministerio de Trabajo y Previsión Social la inscripción de sus organizaciones sindicales, dicha dirección les impone requisitos discrecionales mediante resoluciones llamadas “previos” para poder acceder a la inscripción de su organización sindical que van desde eliminar del derechos de sindicalización cierta categoría de trabajadores, establecer en sus estatutos la imposibilidad para negociar colectivamente, obstruir el derecho de definir el plan de acción sindical imponiendo la eliminación de este de la defensa de los derechos económicos y sociales de la población, entre otros.</w:t>
      </w:r>
    </w:p>
    <w:p w:rsidR="00662C1E" w:rsidRPr="00662C1E" w:rsidRDefault="00D15741" w:rsidP="0011025F">
      <w:pPr>
        <w:pStyle w:val="ListParagraph"/>
        <w:numPr>
          <w:ilvl w:val="0"/>
          <w:numId w:val="4"/>
        </w:numPr>
        <w:spacing w:after="0" w:line="240" w:lineRule="auto"/>
        <w:jc w:val="both"/>
        <w:rPr>
          <w:lang w:val="es-ES_tradnl"/>
        </w:rPr>
      </w:pPr>
      <w:r w:rsidRPr="00B740D4">
        <w:rPr>
          <w:lang w:val="es-ES"/>
        </w:rPr>
        <w:t xml:space="preserve">Dichos requisitos arbitrarios llamados “previos” son de </w:t>
      </w:r>
      <w:r w:rsidRPr="00662C1E">
        <w:rPr>
          <w:lang w:val="es-ES"/>
        </w:rPr>
        <w:t>cumplimiento obligatorio para acceder al derecho de sindicalización y no pueden ser impugnados por la vía administrativa ni por la vía judicial tal y como lo ha resuelto e</w:t>
      </w:r>
      <w:r w:rsidR="0052372F" w:rsidRPr="00662C1E">
        <w:rPr>
          <w:lang w:val="es-ES"/>
        </w:rPr>
        <w:t xml:space="preserve">l Ministerio de Trabajo y Previsión Social y la Corte de Constitucionalidad </w:t>
      </w:r>
      <w:r w:rsidRPr="00662C1E">
        <w:rPr>
          <w:lang w:val="es-ES"/>
        </w:rPr>
        <w:t xml:space="preserve">al resolver </w:t>
      </w:r>
      <w:r w:rsidR="0052372F" w:rsidRPr="00662C1E">
        <w:rPr>
          <w:lang w:val="es-ES"/>
        </w:rPr>
        <w:t>que las resoluciones por medio de las cuales se exigen</w:t>
      </w:r>
      <w:r w:rsidRPr="00662C1E">
        <w:rPr>
          <w:lang w:val="es-ES"/>
        </w:rPr>
        <w:t xml:space="preserve"> estos “previos”</w:t>
      </w:r>
      <w:r w:rsidR="0052372F" w:rsidRPr="00662C1E">
        <w:rPr>
          <w:lang w:val="es-ES"/>
        </w:rPr>
        <w:t xml:space="preserve">, no son impugnables </w:t>
      </w:r>
      <w:r w:rsidRPr="00662C1E">
        <w:rPr>
          <w:lang w:val="es-ES"/>
        </w:rPr>
        <w:t xml:space="preserve">ni por la vía administrativa ni por la vía judicial </w:t>
      </w:r>
      <w:r w:rsidR="0052372F" w:rsidRPr="00662C1E">
        <w:rPr>
          <w:lang w:val="es-ES"/>
        </w:rPr>
        <w:t xml:space="preserve">por tratarse de providencia lo cual presupone no solo la violación de los principios de legalidad y seguridad jurídica sino que además del derecho de defensa al no admitir mecanismo legal para defenderse de tales arbitrariedades, esto puede apreciarse en la sentencia de fecha 13 de enero de 2015 dictada dentro del Expediente 2374-2014 de la Corte de Constitucionalidad, sentencia que puede consultarse en el siguiente enlace: </w:t>
      </w:r>
      <w:hyperlink r:id="rId12" w:history="1">
        <w:r w:rsidR="0052372F" w:rsidRPr="00662C1E">
          <w:rPr>
            <w:rStyle w:val="Hyperlink"/>
            <w:lang w:val="es-ES"/>
          </w:rPr>
          <w:t>http://138.94.255.164/Sentencias/826720.2374-2014.pdf</w:t>
        </w:r>
      </w:hyperlink>
      <w:r w:rsidR="0052372F" w:rsidRPr="00662C1E">
        <w:rPr>
          <w:lang w:val="es-ES"/>
        </w:rPr>
        <w:t xml:space="preserve">. </w:t>
      </w:r>
    </w:p>
    <w:p w:rsidR="006271B8" w:rsidRPr="00662C1E" w:rsidRDefault="003C2A20" w:rsidP="0011025F">
      <w:pPr>
        <w:pStyle w:val="ListParagraph"/>
        <w:numPr>
          <w:ilvl w:val="0"/>
          <w:numId w:val="4"/>
        </w:numPr>
        <w:spacing w:after="0" w:line="240" w:lineRule="auto"/>
        <w:jc w:val="both"/>
        <w:rPr>
          <w:lang w:val="es-ES_tradnl"/>
        </w:rPr>
      </w:pPr>
      <w:r w:rsidRPr="00662C1E">
        <w:rPr>
          <w:lang w:val="es-ES"/>
        </w:rPr>
        <w:t xml:space="preserve">De la misma manera el Ministerio de Trabajo y Previsión Social ha establecido criterios administrativos que niegan el derecho a la sindicalización a los trabajadores cuyas relaciones laborales han sido precarizadas para negarles la estabilidad laboral, sea simulando contratos de naturaleza no laboral o simulando contratos temporales, para esto ha implementado procesos arbitrarios y sumarios que vulneran el debido proceso legal y cuya finalidad es demostrar de oficio que los trabajadores se encuentran dentro de los criterios por los que se niega la libertad sindical, esto ha contado con la aquiescencia del Estado a través de la Corte de Constitucionalidad que ha justificado tales prácticas como puede apreciarse en la sentencia de fecha 23 de julio de 2015 dictada dentro del Expediente  4067-2014, sentencia que puede ser consultada y descargada en el enlace siguiente:  </w:t>
      </w:r>
      <w:hyperlink r:id="rId13" w:history="1">
        <w:r w:rsidRPr="00662C1E">
          <w:rPr>
            <w:rStyle w:val="Hyperlink"/>
            <w:lang w:val="es-ES"/>
          </w:rPr>
          <w:t>http://138.94.255.164/Sentencias/828887.4067-2014.pdf</w:t>
        </w:r>
      </w:hyperlink>
      <w:r w:rsidRPr="00662C1E">
        <w:rPr>
          <w:lang w:val="es-ES"/>
        </w:rPr>
        <w:t>.</w:t>
      </w:r>
    </w:p>
    <w:p w:rsidR="00D15741" w:rsidRDefault="00D15741" w:rsidP="0011025F">
      <w:pPr>
        <w:spacing w:after="0" w:line="240" w:lineRule="auto"/>
        <w:jc w:val="both"/>
        <w:rPr>
          <w:lang w:val="es-ES"/>
        </w:rPr>
      </w:pPr>
    </w:p>
    <w:p w:rsidR="005F307D" w:rsidRDefault="005F307D" w:rsidP="0011025F">
      <w:pPr>
        <w:spacing w:after="0" w:line="240" w:lineRule="auto"/>
        <w:jc w:val="both"/>
        <w:rPr>
          <w:lang w:val="es-ES"/>
        </w:rPr>
      </w:pPr>
    </w:p>
    <w:p w:rsidR="00083333" w:rsidRPr="00D15741" w:rsidRDefault="00083333" w:rsidP="0011025F">
      <w:pPr>
        <w:spacing w:after="0" w:line="240" w:lineRule="auto"/>
        <w:jc w:val="both"/>
        <w:rPr>
          <w:b/>
          <w:i/>
          <w:lang w:val="es-ES"/>
        </w:rPr>
      </w:pPr>
      <w:r w:rsidRPr="00D15741">
        <w:rPr>
          <w:b/>
          <w:i/>
          <w:lang w:val="es-ES"/>
        </w:rPr>
        <w:t>Sindicatos de Industria</w:t>
      </w:r>
    </w:p>
    <w:p w:rsidR="00662C1E" w:rsidRDefault="00DB527F" w:rsidP="00662C1E">
      <w:pPr>
        <w:pStyle w:val="ListParagraph"/>
        <w:numPr>
          <w:ilvl w:val="0"/>
          <w:numId w:val="4"/>
        </w:numPr>
        <w:spacing w:after="0" w:line="240" w:lineRule="auto"/>
        <w:jc w:val="both"/>
        <w:rPr>
          <w:lang w:val="es-ES"/>
        </w:rPr>
      </w:pPr>
      <w:r w:rsidRPr="00662C1E">
        <w:rPr>
          <w:lang w:val="es-ES"/>
        </w:rPr>
        <w:t xml:space="preserve">El Estado de </w:t>
      </w:r>
      <w:r w:rsidR="000647B3" w:rsidRPr="00662C1E">
        <w:rPr>
          <w:lang w:val="es-ES"/>
        </w:rPr>
        <w:t>Guatemala ha sido objeto de constantes señalamientos por parte de los órganos de control de la OIT por la negativa a los trabajadores del derecho de constituir sindicatos de industria; si bien es cierto de manera formal se reconoce la posibilidad de constituirlos en la práctica esta posibilidad se somete a la necesidad de cumplir requisitos irrazonables que derivan en que sea imposible su constitución.</w:t>
      </w:r>
    </w:p>
    <w:p w:rsidR="00662C1E" w:rsidRPr="00662C1E" w:rsidRDefault="000647B3" w:rsidP="0011025F">
      <w:pPr>
        <w:pStyle w:val="ListParagraph"/>
        <w:numPr>
          <w:ilvl w:val="0"/>
          <w:numId w:val="4"/>
        </w:numPr>
        <w:spacing w:after="0" w:line="240" w:lineRule="auto"/>
        <w:jc w:val="both"/>
        <w:rPr>
          <w:lang w:val="es-ES"/>
        </w:rPr>
      </w:pPr>
      <w:r w:rsidRPr="00662C1E">
        <w:rPr>
          <w:lang w:val="es-ES"/>
        </w:rPr>
        <w:t xml:space="preserve">De conformidad con el artículo </w:t>
      </w:r>
      <w:r w:rsidR="00DB527F" w:rsidRPr="00662C1E">
        <w:rPr>
          <w:lang w:val="es-ES"/>
        </w:rPr>
        <w:t>215 literal c) del C</w:t>
      </w:r>
      <w:r w:rsidR="005F307D" w:rsidRPr="00662C1E">
        <w:rPr>
          <w:lang w:val="es-ES"/>
        </w:rPr>
        <w:t xml:space="preserve">ódigo de </w:t>
      </w:r>
      <w:r w:rsidR="00DB527F" w:rsidRPr="00662C1E">
        <w:rPr>
          <w:lang w:val="es-ES"/>
        </w:rPr>
        <w:t>Trabajo la c</w:t>
      </w:r>
      <w:r w:rsidR="005F307D" w:rsidRPr="00662C1E">
        <w:rPr>
          <w:lang w:val="es-ES"/>
        </w:rPr>
        <w:t>onstitución de un sindicato de industria se requiere de la concurrencia en el acto constitutivo de l</w:t>
      </w:r>
      <w:r w:rsidR="005F307D" w:rsidRPr="00662C1E">
        <w:rPr>
          <w:rFonts w:cs="Arial"/>
        </w:rPr>
        <w:t xml:space="preserve">a mitad más uno de los trabajadores de </w:t>
      </w:r>
      <w:r w:rsidR="00DB527F" w:rsidRPr="00662C1E">
        <w:rPr>
          <w:rFonts w:cs="Arial"/>
        </w:rPr>
        <w:t xml:space="preserve"> la industria de que se trate</w:t>
      </w:r>
      <w:r w:rsidR="005F307D" w:rsidRPr="00662C1E">
        <w:rPr>
          <w:rFonts w:cs="Arial"/>
        </w:rPr>
        <w:t>.  Para ejemplificar esto basta decir que si en la rama industrial</w:t>
      </w:r>
      <w:r w:rsidR="00DB527F" w:rsidRPr="00662C1E">
        <w:rPr>
          <w:rFonts w:cs="Arial"/>
        </w:rPr>
        <w:t xml:space="preserve"> de que se trate</w:t>
      </w:r>
      <w:r w:rsidR="005F307D" w:rsidRPr="00662C1E">
        <w:rPr>
          <w:rFonts w:cs="Arial"/>
        </w:rPr>
        <w:t xml:space="preserve"> laboran 200,000 trabajadoras y trabajadores para constituir un sindicato en la misma se requiere que en el acto constitutivo participen, se reúnan,  se identifiquen y firmen el acta constitutiva  </w:t>
      </w:r>
      <w:r w:rsidR="00DB527F" w:rsidRPr="00662C1E">
        <w:rPr>
          <w:rFonts w:cs="Arial"/>
        </w:rPr>
        <w:t xml:space="preserve">de la organización sindical </w:t>
      </w:r>
      <w:r w:rsidR="005F307D" w:rsidRPr="00662C1E">
        <w:rPr>
          <w:rFonts w:cs="Arial"/>
        </w:rPr>
        <w:t>100.001</w:t>
      </w:r>
      <w:r w:rsidR="00DB527F" w:rsidRPr="00662C1E">
        <w:rPr>
          <w:rFonts w:cs="Arial"/>
        </w:rPr>
        <w:t xml:space="preserve"> (cien mil un)</w:t>
      </w:r>
      <w:r w:rsidR="005F307D" w:rsidRPr="00662C1E">
        <w:rPr>
          <w:rFonts w:cs="Arial"/>
        </w:rPr>
        <w:t xml:space="preserve"> trabajadoras o trabajadores.</w:t>
      </w:r>
    </w:p>
    <w:p w:rsidR="005F307D" w:rsidRPr="00662C1E" w:rsidRDefault="00DB527F" w:rsidP="0011025F">
      <w:pPr>
        <w:pStyle w:val="ListParagraph"/>
        <w:numPr>
          <w:ilvl w:val="0"/>
          <w:numId w:val="4"/>
        </w:numPr>
        <w:spacing w:after="0" w:line="240" w:lineRule="auto"/>
        <w:jc w:val="both"/>
        <w:rPr>
          <w:lang w:val="es-ES"/>
        </w:rPr>
      </w:pPr>
      <w:r w:rsidRPr="00662C1E">
        <w:rPr>
          <w:lang w:val="es-ES"/>
        </w:rPr>
        <w:t xml:space="preserve">No obstante los múltiples requerimiento de la OIT, </w:t>
      </w:r>
      <w:r w:rsidR="000647B3" w:rsidRPr="00662C1E">
        <w:rPr>
          <w:lang w:val="es-ES"/>
        </w:rPr>
        <w:t xml:space="preserve">El Estado de Guatemala se ha negado a eliminar los obstáculos fácticos para la constitución de sindicatos de industria </w:t>
      </w:r>
      <w:r w:rsidRPr="00662C1E">
        <w:rPr>
          <w:lang w:val="es-ES"/>
        </w:rPr>
        <w:t xml:space="preserve">por un lado, </w:t>
      </w:r>
      <w:r w:rsidR="000647B3" w:rsidRPr="00662C1E">
        <w:rPr>
          <w:lang w:val="es-ES"/>
        </w:rPr>
        <w:t>al omitir derogar la disposición en virtud de la cual se requiere para formar un sindicato de</w:t>
      </w:r>
      <w:r w:rsidRPr="00662C1E">
        <w:rPr>
          <w:lang w:val="es-ES"/>
        </w:rPr>
        <w:t xml:space="preserve"> industria de </w:t>
      </w:r>
      <w:r w:rsidR="000647B3" w:rsidRPr="00662C1E">
        <w:rPr>
          <w:lang w:val="es-ES"/>
        </w:rPr>
        <w:t xml:space="preserve"> la comparecencia en el acto constitutivo de la mitad </w:t>
      </w:r>
      <w:r w:rsidR="005F307D" w:rsidRPr="00662C1E">
        <w:rPr>
          <w:lang w:val="es-ES"/>
        </w:rPr>
        <w:t>más</w:t>
      </w:r>
      <w:r w:rsidR="000647B3" w:rsidRPr="00662C1E">
        <w:rPr>
          <w:lang w:val="es-ES"/>
        </w:rPr>
        <w:t xml:space="preserve"> uno de la totalidad de trabajador</w:t>
      </w:r>
      <w:r w:rsidRPr="00662C1E">
        <w:rPr>
          <w:lang w:val="es-ES"/>
        </w:rPr>
        <w:t xml:space="preserve">es y trabajadoras de </w:t>
      </w:r>
      <w:r w:rsidR="000647B3" w:rsidRPr="00662C1E">
        <w:rPr>
          <w:lang w:val="es-ES"/>
        </w:rPr>
        <w:t>la industria en la que q</w:t>
      </w:r>
      <w:r w:rsidR="005F307D" w:rsidRPr="00662C1E">
        <w:rPr>
          <w:lang w:val="es-ES"/>
        </w:rPr>
        <w:t>uiera conformarse el sindicato</w:t>
      </w:r>
      <w:r w:rsidRPr="00662C1E">
        <w:rPr>
          <w:lang w:val="es-ES"/>
        </w:rPr>
        <w:t>; y por el otro</w:t>
      </w:r>
      <w:r w:rsidR="005F307D" w:rsidRPr="00662C1E">
        <w:rPr>
          <w:lang w:val="es-ES"/>
        </w:rPr>
        <w:t>,</w:t>
      </w:r>
      <w:r w:rsidRPr="00662C1E">
        <w:rPr>
          <w:lang w:val="es-ES"/>
        </w:rPr>
        <w:t xml:space="preserve"> a través de la negativa de la </w:t>
      </w:r>
      <w:r w:rsidR="005F307D" w:rsidRPr="00662C1E">
        <w:rPr>
          <w:lang w:val="es-ES"/>
        </w:rPr>
        <w:t xml:space="preserve"> Corte de C</w:t>
      </w:r>
      <w:r w:rsidRPr="00662C1E">
        <w:rPr>
          <w:lang w:val="es-ES"/>
        </w:rPr>
        <w:t>onstitucionalidad de</w:t>
      </w:r>
      <w:r w:rsidR="005F307D" w:rsidRPr="00662C1E">
        <w:rPr>
          <w:lang w:val="es-ES"/>
        </w:rPr>
        <w:t xml:space="preserve"> conocer la</w:t>
      </w:r>
      <w:r w:rsidRPr="00662C1E">
        <w:rPr>
          <w:lang w:val="es-ES"/>
        </w:rPr>
        <w:t xml:space="preserve">s inconstitucionalidades de dicha norma aplicables al caso concreto </w:t>
      </w:r>
      <w:r w:rsidR="005F307D" w:rsidRPr="00662C1E">
        <w:rPr>
          <w:lang w:val="es-ES"/>
        </w:rPr>
        <w:t xml:space="preserve">aduciendo que el sometimiento del derecho a condiciones de acceso inalcanzables no vulnera la Constitución puesto que esta situación no entraña una negación de la libertad sindical.  Lo anterior es evidente en la sentencia de fecha 30 de octubre de 2014 dictada dentro del Expediente 3536-2013 por la Corte de Constitucionalidad y que puede ser consultada  en el siguiente enlace:   </w:t>
      </w:r>
      <w:hyperlink r:id="rId14" w:history="1">
        <w:r w:rsidR="005F307D" w:rsidRPr="00662C1E">
          <w:rPr>
            <w:rStyle w:val="Hyperlink"/>
            <w:lang w:val="es-ES"/>
          </w:rPr>
          <w:t>http://138.94.255.164/Sentencias/826315.3536-2013.pdf</w:t>
        </w:r>
      </w:hyperlink>
      <w:r w:rsidR="005F307D" w:rsidRPr="00662C1E">
        <w:rPr>
          <w:lang w:val="es-ES"/>
        </w:rPr>
        <w:t>.</w:t>
      </w:r>
    </w:p>
    <w:p w:rsidR="00B740D4" w:rsidRDefault="00B740D4" w:rsidP="0011025F">
      <w:pPr>
        <w:spacing w:after="0" w:line="240" w:lineRule="auto"/>
        <w:jc w:val="both"/>
        <w:rPr>
          <w:b/>
          <w:lang w:val="es-ES"/>
        </w:rPr>
      </w:pPr>
    </w:p>
    <w:p w:rsidR="00B870D0" w:rsidRPr="002C0468" w:rsidRDefault="00083333" w:rsidP="0011025F">
      <w:pPr>
        <w:spacing w:after="0" w:line="240" w:lineRule="auto"/>
        <w:jc w:val="both"/>
        <w:rPr>
          <w:b/>
          <w:lang w:val="es-ES"/>
        </w:rPr>
      </w:pPr>
      <w:r w:rsidRPr="002C0468">
        <w:rPr>
          <w:b/>
          <w:lang w:val="es-ES"/>
        </w:rPr>
        <w:t>Derecho de huelga</w:t>
      </w:r>
    </w:p>
    <w:p w:rsidR="00662C1E" w:rsidRDefault="00024164" w:rsidP="0011025F">
      <w:pPr>
        <w:pStyle w:val="ListParagraph"/>
        <w:numPr>
          <w:ilvl w:val="0"/>
          <w:numId w:val="4"/>
        </w:numPr>
        <w:spacing w:after="0" w:line="240" w:lineRule="auto"/>
        <w:jc w:val="both"/>
        <w:rPr>
          <w:lang w:val="es-ES"/>
        </w:rPr>
      </w:pPr>
      <w:r w:rsidRPr="00662C1E">
        <w:rPr>
          <w:lang w:val="es-ES"/>
        </w:rPr>
        <w:t xml:space="preserve">El derecho de huelga en Guatemala es un derecho que no existe y no ha existido toda vez que su reconocimiento en la Constitución de 1945 y el Código de Trabajo de 1949, fue solo un mecanismo para impedir mediante el reconocimiento formal y la regulación </w:t>
      </w:r>
      <w:r w:rsidR="00DB527F" w:rsidRPr="00662C1E">
        <w:rPr>
          <w:lang w:val="es-ES"/>
        </w:rPr>
        <w:t>d</w:t>
      </w:r>
      <w:r w:rsidRPr="00662C1E">
        <w:rPr>
          <w:lang w:val="es-ES"/>
        </w:rPr>
        <w:t>el ejercicio de este derecho por los trabajadores</w:t>
      </w:r>
      <w:r w:rsidR="002C0468" w:rsidRPr="00662C1E">
        <w:rPr>
          <w:lang w:val="es-ES"/>
        </w:rPr>
        <w:t xml:space="preserve"> que lo ejercieron con más libertades cuando estaba prohibido que a partir de su regulación</w:t>
      </w:r>
      <w:r w:rsidRPr="00662C1E">
        <w:rPr>
          <w:lang w:val="es-ES"/>
        </w:rPr>
        <w:t>.</w:t>
      </w:r>
    </w:p>
    <w:p w:rsidR="00662C1E" w:rsidRPr="00662C1E" w:rsidRDefault="002C0468" w:rsidP="0011025F">
      <w:pPr>
        <w:pStyle w:val="ListParagraph"/>
        <w:numPr>
          <w:ilvl w:val="0"/>
          <w:numId w:val="4"/>
        </w:numPr>
        <w:spacing w:after="0" w:line="240" w:lineRule="auto"/>
        <w:jc w:val="both"/>
        <w:rPr>
          <w:lang w:val="es-ES"/>
        </w:rPr>
      </w:pPr>
      <w:r w:rsidRPr="00662C1E">
        <w:rPr>
          <w:lang w:val="es-ES"/>
        </w:rPr>
        <w:t>La inexistencia del derecho de huelga</w:t>
      </w:r>
      <w:r w:rsidR="00024164" w:rsidRPr="00662C1E">
        <w:rPr>
          <w:lang w:val="es-ES"/>
        </w:rPr>
        <w:t xml:space="preserve"> se produce a partir de </w:t>
      </w:r>
      <w:r w:rsidRPr="00662C1E">
        <w:rPr>
          <w:lang w:val="es-ES"/>
        </w:rPr>
        <w:t xml:space="preserve">que se le </w:t>
      </w:r>
      <w:r w:rsidR="00024164" w:rsidRPr="00662C1E">
        <w:rPr>
          <w:lang w:val="es-ES"/>
        </w:rPr>
        <w:t xml:space="preserve"> condiciona al agotamiento obligatorio de un procedimiento </w:t>
      </w:r>
      <w:r w:rsidR="00912E08" w:rsidRPr="00662C1E">
        <w:rPr>
          <w:lang w:val="es-ES"/>
        </w:rPr>
        <w:t>administrativo</w:t>
      </w:r>
      <w:r w:rsidR="00024164" w:rsidRPr="00662C1E">
        <w:rPr>
          <w:lang w:val="es-ES"/>
        </w:rPr>
        <w:t xml:space="preserve"> y un procedimiento judicial de conci</w:t>
      </w:r>
      <w:r w:rsidR="00912E08" w:rsidRPr="00662C1E">
        <w:rPr>
          <w:lang w:val="es-ES"/>
        </w:rPr>
        <w:t>liación que en la práctica son objeto de procesos interminables derivado de las excepciones al texto expreso del artículo 383 del Código Trabajo que prohíbe que durante la etapa de conciliación puedan hacerse uso de recursos, excepciones o incidentes</w:t>
      </w:r>
      <w:r w:rsidR="00F70002" w:rsidRPr="00662C1E">
        <w:rPr>
          <w:lang w:val="es-ES"/>
        </w:rPr>
        <w:t xml:space="preserve"> a legislado la Corte de Constitucionalidad al permitir que durante esa etapa se planteen “excepciones de punto de derecho”, </w:t>
      </w:r>
      <w:r w:rsidR="00163476" w:rsidRPr="00662C1E">
        <w:rPr>
          <w:lang w:val="es-ES"/>
        </w:rPr>
        <w:t>lo que no solo contraviene el tenor literal de la ley sino que además, al tratarse de una figura inexistente</w:t>
      </w:r>
      <w:r w:rsidR="00F70002" w:rsidRPr="00662C1E">
        <w:rPr>
          <w:lang w:val="es-ES"/>
        </w:rPr>
        <w:t xml:space="preserve"> en esta</w:t>
      </w:r>
      <w:r w:rsidR="00163476" w:rsidRPr="00662C1E">
        <w:rPr>
          <w:lang w:val="es-ES"/>
        </w:rPr>
        <w:t xml:space="preserve">, conlleva la perdida de la seguridad jurídica del debido proceso ya que no </w:t>
      </w:r>
      <w:r w:rsidR="00F70002" w:rsidRPr="00662C1E">
        <w:rPr>
          <w:lang w:val="es-ES"/>
        </w:rPr>
        <w:t xml:space="preserve">se </w:t>
      </w:r>
      <w:r w:rsidR="00163476" w:rsidRPr="00662C1E">
        <w:rPr>
          <w:lang w:val="es-ES"/>
        </w:rPr>
        <w:t xml:space="preserve">cuenta con un plazo para su interposición y por ello permite que pueda plantearse y retrotraer el proceso una y otra vez a etapas fenecidas o </w:t>
      </w:r>
      <w:r w:rsidR="009D4442" w:rsidRPr="00662C1E">
        <w:rPr>
          <w:lang w:val="es-ES"/>
        </w:rPr>
        <w:t xml:space="preserve">que se plantee </w:t>
      </w:r>
      <w:r w:rsidRPr="00662C1E">
        <w:rPr>
          <w:lang w:val="es-ES"/>
        </w:rPr>
        <w:t>más</w:t>
      </w:r>
      <w:r w:rsidR="009D4442" w:rsidRPr="00662C1E">
        <w:rPr>
          <w:lang w:val="es-ES"/>
        </w:rPr>
        <w:t xml:space="preserve"> de una vez por la misma razón.  Esta excepción de facto a la ley ha sido regulada jurisprudencialmente por la Corte de Constitucionalidad como puede apreciarse en la sentencia de fecha 9 de octubre de 2012 dictada dentro del Expediente número 1340-2012, sentencia que puede consultarse en el siguiente enlace:  </w:t>
      </w:r>
      <w:hyperlink r:id="rId15" w:history="1">
        <w:r w:rsidR="009D4442">
          <w:rPr>
            <w:rStyle w:val="Hyperlink"/>
          </w:rPr>
          <w:t>http://138.94.255.164/Sentencias/821245.1340-2012.pdf</w:t>
        </w:r>
      </w:hyperlink>
      <w:r w:rsidR="009D4442">
        <w:t>.</w:t>
      </w:r>
    </w:p>
    <w:p w:rsidR="00662C1E" w:rsidRDefault="008073D3" w:rsidP="0011025F">
      <w:pPr>
        <w:pStyle w:val="ListParagraph"/>
        <w:numPr>
          <w:ilvl w:val="0"/>
          <w:numId w:val="4"/>
        </w:numPr>
        <w:spacing w:after="0" w:line="240" w:lineRule="auto"/>
        <w:jc w:val="both"/>
        <w:rPr>
          <w:lang w:val="es-ES"/>
        </w:rPr>
      </w:pPr>
      <w:r w:rsidRPr="00662C1E">
        <w:rPr>
          <w:lang w:val="es-ES"/>
        </w:rPr>
        <w:t xml:space="preserve">De la misma manera, al condicionar </w:t>
      </w:r>
      <w:r w:rsidR="00F70002" w:rsidRPr="00662C1E">
        <w:rPr>
          <w:lang w:val="es-ES"/>
        </w:rPr>
        <w:t>el acceso al derecho de huelga al</w:t>
      </w:r>
      <w:r w:rsidRPr="00662C1E">
        <w:rPr>
          <w:lang w:val="es-ES"/>
        </w:rPr>
        <w:t xml:space="preserve"> agotamiento de un proceso</w:t>
      </w:r>
      <w:r w:rsidR="00F70002" w:rsidRPr="00662C1E">
        <w:rPr>
          <w:lang w:val="es-ES"/>
        </w:rPr>
        <w:t xml:space="preserve"> administrativo y judicial interminables se</w:t>
      </w:r>
      <w:r w:rsidRPr="00662C1E">
        <w:rPr>
          <w:lang w:val="es-ES"/>
        </w:rPr>
        <w:t xml:space="preserve"> limita la huelga para ser ejercida únicamente por motivos económico sociales, impidiendo su ejercicio por cualquier otra causa</w:t>
      </w:r>
      <w:r w:rsidR="00F70002" w:rsidRPr="00662C1E">
        <w:rPr>
          <w:lang w:val="es-ES"/>
        </w:rPr>
        <w:t xml:space="preserve"> relacionada con la política económica y social del país</w:t>
      </w:r>
      <w:r w:rsidRPr="00662C1E">
        <w:rPr>
          <w:lang w:val="es-ES"/>
        </w:rPr>
        <w:t>, incluyendo, a pesar de que la ley lo admite,</w:t>
      </w:r>
      <w:r w:rsidR="00F70002" w:rsidRPr="00662C1E">
        <w:rPr>
          <w:lang w:val="es-ES"/>
        </w:rPr>
        <w:t xml:space="preserve"> la huelga</w:t>
      </w:r>
      <w:r w:rsidRPr="00662C1E">
        <w:rPr>
          <w:lang w:val="es-ES"/>
        </w:rPr>
        <w:t xml:space="preserve"> en el caso de las violaciones generales a la ley o a las convenciones colectivas existentes,</w:t>
      </w:r>
      <w:r w:rsidR="00F70002" w:rsidRPr="00662C1E">
        <w:rPr>
          <w:lang w:val="es-ES"/>
        </w:rPr>
        <w:t xml:space="preserve"> y</w:t>
      </w:r>
      <w:r w:rsidRPr="00662C1E">
        <w:rPr>
          <w:lang w:val="es-ES"/>
        </w:rPr>
        <w:t xml:space="preserve"> sometiendo estos casos a largos </w:t>
      </w:r>
      <w:r w:rsidR="00F70002" w:rsidRPr="00662C1E">
        <w:rPr>
          <w:lang w:val="es-ES"/>
        </w:rPr>
        <w:t xml:space="preserve">e </w:t>
      </w:r>
      <w:r w:rsidRPr="00662C1E">
        <w:rPr>
          <w:lang w:val="es-ES"/>
        </w:rPr>
        <w:t>interminables juicios ordinarios laborales al aducir que las violaciones colectivas de derechos provenientes de las leyes o las convenciones colectivas son conflictos de índole jurídico y no económico social</w:t>
      </w:r>
      <w:r w:rsidR="003B6BF5" w:rsidRPr="00662C1E">
        <w:rPr>
          <w:lang w:val="es-ES"/>
        </w:rPr>
        <w:t xml:space="preserve"> y por lo tanto no son motivos legales para ir la huelga.</w:t>
      </w:r>
    </w:p>
    <w:p w:rsidR="00662C1E" w:rsidRDefault="003B6BF5" w:rsidP="0011025F">
      <w:pPr>
        <w:pStyle w:val="ListParagraph"/>
        <w:numPr>
          <w:ilvl w:val="0"/>
          <w:numId w:val="4"/>
        </w:numPr>
        <w:spacing w:after="0" w:line="240" w:lineRule="auto"/>
        <w:jc w:val="both"/>
        <w:rPr>
          <w:lang w:val="es-ES"/>
        </w:rPr>
      </w:pPr>
      <w:r w:rsidRPr="00662C1E">
        <w:rPr>
          <w:lang w:val="es-ES"/>
        </w:rPr>
        <w:t>Las limitaciones anteriores</w:t>
      </w:r>
      <w:r w:rsidR="00F70002" w:rsidRPr="00662C1E">
        <w:rPr>
          <w:lang w:val="es-ES"/>
        </w:rPr>
        <w:t xml:space="preserve"> citadas</w:t>
      </w:r>
      <w:r w:rsidRPr="00662C1E">
        <w:rPr>
          <w:lang w:val="es-ES"/>
        </w:rPr>
        <w:t xml:space="preserve"> son agravadas con el sometimiento de la decisión de ir o no la huelga </w:t>
      </w:r>
      <w:r w:rsidR="00F70002" w:rsidRPr="00662C1E">
        <w:rPr>
          <w:lang w:val="es-ES"/>
        </w:rPr>
        <w:t xml:space="preserve"> a </w:t>
      </w:r>
      <w:r w:rsidRPr="00662C1E">
        <w:rPr>
          <w:lang w:val="es-ES"/>
        </w:rPr>
        <w:t xml:space="preserve">la decisión de trabajadores que no forman parte de la organización </w:t>
      </w:r>
      <w:r w:rsidR="00F70002" w:rsidRPr="00662C1E">
        <w:rPr>
          <w:lang w:val="es-ES"/>
        </w:rPr>
        <w:t xml:space="preserve">sindical </w:t>
      </w:r>
      <w:r w:rsidRPr="00662C1E">
        <w:rPr>
          <w:lang w:val="es-ES"/>
        </w:rPr>
        <w:t>que promueve el conflicto, lo que viola el Convenio 87 de la OIT al someter el plan de acción del sindicato a la decisión de personas ajenas al mismo como sucede al requerir el Código de Trabajo que para que el Juez autorice una huelga legal se requiere de que el ir o no la huelga sea autorizado por la mitad más uno de los trabajadores del centro de trabajo</w:t>
      </w:r>
      <w:r w:rsidR="00F70002" w:rsidRPr="00662C1E">
        <w:rPr>
          <w:lang w:val="es-ES"/>
        </w:rPr>
        <w:t xml:space="preserve"> de que se trate</w:t>
      </w:r>
      <w:r w:rsidRPr="00662C1E">
        <w:rPr>
          <w:lang w:val="es-ES"/>
        </w:rPr>
        <w:t>, sean o no miembros del sindicato.</w:t>
      </w:r>
    </w:p>
    <w:p w:rsidR="00662C1E" w:rsidRDefault="003B6BF5" w:rsidP="0011025F">
      <w:pPr>
        <w:pStyle w:val="ListParagraph"/>
        <w:numPr>
          <w:ilvl w:val="0"/>
          <w:numId w:val="4"/>
        </w:numPr>
        <w:spacing w:after="0" w:line="240" w:lineRule="auto"/>
        <w:jc w:val="both"/>
        <w:rPr>
          <w:lang w:val="es-ES"/>
        </w:rPr>
      </w:pPr>
      <w:r w:rsidRPr="00662C1E">
        <w:rPr>
          <w:lang w:val="es-ES"/>
        </w:rPr>
        <w:t xml:space="preserve">En la práctica, para llegar a esta etapa se requiere del transcurso de años, como sucede por ejemplo con el caso del Sindicato de Trabajadores Organizados de la Procuraduría General de la Nación en donde han transcurrido ya más de 6 años y aún no se llega siquiera a integrar el tribunal de conciliación </w:t>
      </w:r>
      <w:r w:rsidR="00F70002" w:rsidRPr="00662C1E">
        <w:rPr>
          <w:lang w:val="es-ES"/>
        </w:rPr>
        <w:t xml:space="preserve">que según </w:t>
      </w:r>
      <w:r w:rsidRPr="00662C1E">
        <w:rPr>
          <w:lang w:val="es-ES"/>
        </w:rPr>
        <w:t xml:space="preserve"> el texto</w:t>
      </w:r>
      <w:r w:rsidR="00F70002" w:rsidRPr="00662C1E">
        <w:rPr>
          <w:lang w:val="es-ES"/>
        </w:rPr>
        <w:t xml:space="preserve"> expreso</w:t>
      </w:r>
      <w:r w:rsidRPr="00662C1E">
        <w:rPr>
          <w:lang w:val="es-ES"/>
        </w:rPr>
        <w:t xml:space="preserve"> de la ley, debía integrarse dentro de las 72 horas siguientes al planteamiento del conflicto </w:t>
      </w:r>
      <w:r w:rsidR="00F70002" w:rsidRPr="00662C1E">
        <w:rPr>
          <w:lang w:val="es-ES"/>
        </w:rPr>
        <w:t xml:space="preserve">colectivo </w:t>
      </w:r>
      <w:r w:rsidRPr="00662C1E">
        <w:rPr>
          <w:lang w:val="es-ES"/>
        </w:rPr>
        <w:t>y de que la etapa de conciliación debía finalizarse dentro de los 15 días naturales siguientes al inicio del proceso.</w:t>
      </w:r>
    </w:p>
    <w:p w:rsidR="00662C1E" w:rsidRDefault="002C0468" w:rsidP="0011025F">
      <w:pPr>
        <w:pStyle w:val="ListParagraph"/>
        <w:numPr>
          <w:ilvl w:val="0"/>
          <w:numId w:val="4"/>
        </w:numPr>
        <w:spacing w:after="0" w:line="240" w:lineRule="auto"/>
        <w:jc w:val="both"/>
        <w:rPr>
          <w:lang w:val="es-ES"/>
        </w:rPr>
      </w:pPr>
      <w:r w:rsidRPr="00662C1E">
        <w:rPr>
          <w:lang w:val="es-ES"/>
        </w:rPr>
        <w:t xml:space="preserve">Y en los casos en los que se llega a obtener la autorización de la huelga legal,  los trabajadores son privados de su salario de manera </w:t>
      </w:r>
      <w:r w:rsidR="00F70002" w:rsidRPr="00662C1E">
        <w:rPr>
          <w:lang w:val="es-ES"/>
        </w:rPr>
        <w:t xml:space="preserve">inmediata en tanto se desarrolla la huelga y por períodos </w:t>
      </w:r>
      <w:r w:rsidRPr="00662C1E">
        <w:rPr>
          <w:lang w:val="es-ES"/>
        </w:rPr>
        <w:t>irrazonable como sucede en el caso de la Dirección Superior del Ministerio de Comunicaciones, Infraestructura y Vivienda que</w:t>
      </w:r>
      <w:r w:rsidR="00F70002" w:rsidRPr="00662C1E">
        <w:rPr>
          <w:lang w:val="es-ES"/>
        </w:rPr>
        <w:t xml:space="preserve"> después de 4 años de litigio en tribunales consiguieron que el juez de trabajo declarará la legalidad de la huelga, por lo que pudieron finalmente </w:t>
      </w:r>
      <w:r w:rsidRPr="00662C1E">
        <w:rPr>
          <w:lang w:val="es-ES"/>
        </w:rPr>
        <w:t>estallar</w:t>
      </w:r>
      <w:r w:rsidR="00F70002" w:rsidRPr="00662C1E">
        <w:rPr>
          <w:lang w:val="es-ES"/>
        </w:rPr>
        <w:t xml:space="preserve"> l</w:t>
      </w:r>
      <w:r w:rsidRPr="00662C1E">
        <w:rPr>
          <w:lang w:val="es-ES"/>
        </w:rPr>
        <w:t>a</w:t>
      </w:r>
      <w:r w:rsidR="00F70002" w:rsidRPr="00662C1E">
        <w:rPr>
          <w:lang w:val="es-ES"/>
        </w:rPr>
        <w:t xml:space="preserve"> misma</w:t>
      </w:r>
      <w:r w:rsidRPr="00662C1E">
        <w:rPr>
          <w:lang w:val="es-ES"/>
        </w:rPr>
        <w:t>,</w:t>
      </w:r>
      <w:r w:rsidR="00F70002" w:rsidRPr="00662C1E">
        <w:rPr>
          <w:lang w:val="es-ES"/>
        </w:rPr>
        <w:t xml:space="preserve"> posteriormente</w:t>
      </w:r>
      <w:r w:rsidRPr="00662C1E">
        <w:rPr>
          <w:lang w:val="es-ES"/>
        </w:rPr>
        <w:t xml:space="preserve"> pidieron el pronunciamiento sobre la justicia de esta para ponerle fin y derivado de errores judiciales, obstáculos opuestos por el Estado de Guatemala y la demora injustificada en resolver por parte de la Corte Suprema de Justicia que retuvo el expediente  y la Corte de Constitucionalidad que le permitió tal retardo de justicia sin sanción alguna y que aún no resuelve, los trabajadores llevan ya casi un año privados del salario y en un impase provocado por la admi</w:t>
      </w:r>
      <w:r w:rsidR="00A62C8F" w:rsidRPr="00662C1E">
        <w:rPr>
          <w:lang w:val="es-ES"/>
        </w:rPr>
        <w:t>nistración de justicia y la ause</w:t>
      </w:r>
      <w:r w:rsidRPr="00662C1E">
        <w:rPr>
          <w:lang w:val="es-ES"/>
        </w:rPr>
        <w:t>ncia de tutela judicial efectiva</w:t>
      </w:r>
      <w:r w:rsidR="00A62C8F" w:rsidRPr="00662C1E">
        <w:rPr>
          <w:lang w:val="es-ES"/>
        </w:rPr>
        <w:t xml:space="preserve"> (desde el mes de octubre de 2019 los trabajadores dejaron de percibir su salario por ejercer su derechos de huelga hasta el día de la fecha de presentación de este escrito el conflicto no se resuelve y los mismos se encuentran sin salario)</w:t>
      </w:r>
      <w:r w:rsidRPr="00662C1E">
        <w:rPr>
          <w:lang w:val="es-ES"/>
        </w:rPr>
        <w:t>.</w:t>
      </w:r>
    </w:p>
    <w:p w:rsidR="002C0468" w:rsidRPr="00662C1E" w:rsidRDefault="002C0468" w:rsidP="0011025F">
      <w:pPr>
        <w:pStyle w:val="ListParagraph"/>
        <w:numPr>
          <w:ilvl w:val="0"/>
          <w:numId w:val="4"/>
        </w:numPr>
        <w:spacing w:after="0" w:line="240" w:lineRule="auto"/>
        <w:jc w:val="both"/>
        <w:rPr>
          <w:lang w:val="es-ES"/>
        </w:rPr>
      </w:pPr>
      <w:r w:rsidRPr="00662C1E">
        <w:rPr>
          <w:lang w:val="es-ES"/>
        </w:rPr>
        <w:t>El derecho de huelga en Guatemala es un derecho que aún no es reconocido de manera efectiva y cuyo ejercicio es profundamente limitado por la ley y la propia administración de justicia</w:t>
      </w:r>
      <w:r w:rsidR="0036586C" w:rsidRPr="00662C1E">
        <w:rPr>
          <w:lang w:val="es-ES"/>
        </w:rPr>
        <w:t>.</w:t>
      </w:r>
    </w:p>
    <w:p w:rsidR="00662C1E" w:rsidRDefault="00662C1E" w:rsidP="0011025F">
      <w:pPr>
        <w:spacing w:after="0" w:line="240" w:lineRule="auto"/>
        <w:jc w:val="both"/>
        <w:rPr>
          <w:b/>
          <w:lang w:val="es-ES_tradnl"/>
        </w:rPr>
      </w:pPr>
    </w:p>
    <w:p w:rsidR="00F66461" w:rsidRPr="004829B0" w:rsidRDefault="00373FE7" w:rsidP="0011025F">
      <w:pPr>
        <w:spacing w:after="0" w:line="240" w:lineRule="auto"/>
        <w:jc w:val="both"/>
        <w:rPr>
          <w:b/>
          <w:lang w:val="es-ES_tradnl"/>
        </w:rPr>
      </w:pPr>
      <w:r w:rsidRPr="004829B0">
        <w:rPr>
          <w:b/>
          <w:lang w:val="es-ES_tradnl"/>
        </w:rPr>
        <w:t>ARTICULO 9 (Seguridad Social)</w:t>
      </w:r>
    </w:p>
    <w:p w:rsidR="00662C1E" w:rsidRDefault="00373FE7" w:rsidP="0011025F">
      <w:pPr>
        <w:pStyle w:val="ListParagraph"/>
        <w:numPr>
          <w:ilvl w:val="0"/>
          <w:numId w:val="4"/>
        </w:numPr>
        <w:spacing w:after="0" w:line="240" w:lineRule="auto"/>
        <w:jc w:val="both"/>
        <w:rPr>
          <w:lang w:val="es-ES_tradnl"/>
        </w:rPr>
      </w:pPr>
      <w:r w:rsidRPr="00662C1E">
        <w:rPr>
          <w:lang w:val="es-ES_tradnl"/>
        </w:rPr>
        <w:t xml:space="preserve">En Guatemala el sistema de seguridad social se instauró en el </w:t>
      </w:r>
      <w:r w:rsidR="00687EA5" w:rsidRPr="00662C1E">
        <w:rPr>
          <w:lang w:val="es-ES_tradnl"/>
        </w:rPr>
        <w:t>1946 a través de la creación del Instituto Gu</w:t>
      </w:r>
      <w:r w:rsidR="00A62C8F" w:rsidRPr="00662C1E">
        <w:rPr>
          <w:lang w:val="es-ES_tradnl"/>
        </w:rPr>
        <w:t>atemalteco de Seguridad Social -</w:t>
      </w:r>
      <w:r w:rsidR="00687EA5" w:rsidRPr="00662C1E">
        <w:rPr>
          <w:lang w:val="es-ES_tradnl"/>
        </w:rPr>
        <w:t>IGSS- con la finalidad de alcanzar un desarrollo progresivo hasta su universalidad.</w:t>
      </w:r>
    </w:p>
    <w:p w:rsidR="00662C1E" w:rsidRDefault="00687EA5" w:rsidP="0011025F">
      <w:pPr>
        <w:pStyle w:val="ListParagraph"/>
        <w:numPr>
          <w:ilvl w:val="0"/>
          <w:numId w:val="4"/>
        </w:numPr>
        <w:spacing w:after="0" w:line="240" w:lineRule="auto"/>
        <w:jc w:val="both"/>
        <w:rPr>
          <w:lang w:val="es-ES_tradnl"/>
        </w:rPr>
      </w:pPr>
      <w:r w:rsidRPr="00662C1E">
        <w:rPr>
          <w:lang w:val="es-ES_tradnl"/>
        </w:rPr>
        <w:t>Este sistema  se creó para ser financiado de forma tripartita, con cuotas pagadas por la parte laboral, la parte patronal y por el Estado</w:t>
      </w:r>
      <w:r w:rsidR="00D52ED0" w:rsidRPr="00662C1E">
        <w:rPr>
          <w:lang w:val="es-ES_tradnl"/>
        </w:rPr>
        <w:t xml:space="preserve"> como Estado</w:t>
      </w:r>
      <w:r w:rsidRPr="00662C1E">
        <w:rPr>
          <w:lang w:val="es-ES_tradnl"/>
        </w:rPr>
        <w:t xml:space="preserve">, a pesar de ello, a menudo los programas que ofrece el sistema de seguridad social se ven debilitados a causa de la falta de pago de las contribuciones al IGSS </w:t>
      </w:r>
      <w:r w:rsidR="00D52ED0" w:rsidRPr="00662C1E">
        <w:rPr>
          <w:lang w:val="es-ES_tradnl"/>
        </w:rPr>
        <w:t xml:space="preserve">tanto de los patronos de la iniciativa privada como del Estado </w:t>
      </w:r>
      <w:r w:rsidRPr="00662C1E">
        <w:rPr>
          <w:lang w:val="es-ES_tradnl"/>
        </w:rPr>
        <w:t>que han  sido toleradas e incluso incurridas por el propio Estado de Guatemala y sus entidades centralizadas y autónomas.</w:t>
      </w:r>
    </w:p>
    <w:p w:rsidR="00662C1E" w:rsidRDefault="00687EA5" w:rsidP="0011025F">
      <w:pPr>
        <w:pStyle w:val="ListParagraph"/>
        <w:numPr>
          <w:ilvl w:val="0"/>
          <w:numId w:val="4"/>
        </w:numPr>
        <w:spacing w:after="0" w:line="240" w:lineRule="auto"/>
        <w:jc w:val="both"/>
        <w:rPr>
          <w:lang w:val="es-ES_tradnl"/>
        </w:rPr>
      </w:pPr>
      <w:r w:rsidRPr="00662C1E">
        <w:rPr>
          <w:lang w:val="es-ES_tradnl"/>
        </w:rPr>
        <w:t xml:space="preserve">Para el mes de febrero de 2020 las municipalidades del país adeudaban al IGSS </w:t>
      </w:r>
      <w:r w:rsidR="00D52ED0" w:rsidRPr="00662C1E">
        <w:rPr>
          <w:lang w:val="es-ES_tradnl"/>
        </w:rPr>
        <w:t xml:space="preserve">en concepto de cuota patronal </w:t>
      </w:r>
      <w:r w:rsidRPr="00662C1E">
        <w:rPr>
          <w:lang w:val="es-ES_tradnl"/>
        </w:rPr>
        <w:t>la suma de  GTQ. 820,399,837.60 (equivalente más o menos a USD$ 105,858,043.56 , en tanto el Estado de Guatemala como autoridad central, adeuda</w:t>
      </w:r>
      <w:r w:rsidR="00D52ED0" w:rsidRPr="00662C1E">
        <w:rPr>
          <w:lang w:val="es-ES_tradnl"/>
        </w:rPr>
        <w:t xml:space="preserve">ba al Seguro social la suma de </w:t>
      </w:r>
      <w:r w:rsidRPr="00662C1E">
        <w:rPr>
          <w:lang w:val="es-ES_tradnl"/>
        </w:rPr>
        <w:t>GTQ. 48,979,585,235.00 (equivalentes a USD$ 6,319,946,481.94</w:t>
      </w:r>
      <w:r w:rsidR="00005568" w:rsidRPr="00662C1E">
        <w:rPr>
          <w:lang w:val="es-ES_tradnl"/>
        </w:rPr>
        <w:t xml:space="preserve">), las entidades descentralizadas </w:t>
      </w:r>
      <w:r w:rsidR="00D52ED0" w:rsidRPr="00662C1E">
        <w:rPr>
          <w:lang w:val="es-ES_tradnl"/>
        </w:rPr>
        <w:t xml:space="preserve">en su calidad de patrono </w:t>
      </w:r>
      <w:r w:rsidR="00005568" w:rsidRPr="00662C1E">
        <w:rPr>
          <w:lang w:val="es-ES_tradnl"/>
        </w:rPr>
        <w:t>la suma de GTQ  302,708,742.17 (equivalentes a USD$ 39,059,192.53) y el sector privado la suma de GTQ  1,232,129,510.93 (equivalente a USD$ 158,984,453.02)</w:t>
      </w:r>
    </w:p>
    <w:p w:rsidR="00662C1E" w:rsidRDefault="00966B30" w:rsidP="0011025F">
      <w:pPr>
        <w:pStyle w:val="ListParagraph"/>
        <w:numPr>
          <w:ilvl w:val="0"/>
          <w:numId w:val="4"/>
        </w:numPr>
        <w:spacing w:after="0" w:line="240" w:lineRule="auto"/>
        <w:jc w:val="both"/>
        <w:rPr>
          <w:lang w:val="es-ES_tradnl"/>
        </w:rPr>
      </w:pPr>
      <w:r w:rsidRPr="00662C1E">
        <w:rPr>
          <w:lang w:val="es-ES_tradnl"/>
        </w:rPr>
        <w:t>La ausencia de medida</w:t>
      </w:r>
      <w:r w:rsidR="00A57C3D" w:rsidRPr="00662C1E">
        <w:rPr>
          <w:lang w:val="es-ES_tradnl"/>
        </w:rPr>
        <w:t>s</w:t>
      </w:r>
      <w:r w:rsidRPr="00662C1E">
        <w:rPr>
          <w:lang w:val="es-ES_tradnl"/>
        </w:rPr>
        <w:t xml:space="preserve"> por parte el Estado para garantizar el pago del seguro social, incluso para el pago de su propia deuda afecta y debilita el sistema</w:t>
      </w:r>
      <w:r w:rsidR="00BB0800" w:rsidRPr="00662C1E">
        <w:rPr>
          <w:lang w:val="es-ES_tradnl"/>
        </w:rPr>
        <w:t xml:space="preserve"> de seguridad social y a</w:t>
      </w:r>
      <w:r w:rsidRPr="00662C1E">
        <w:rPr>
          <w:lang w:val="es-ES_tradnl"/>
        </w:rPr>
        <w:t xml:space="preserve"> pesar de que constitucionalmente existe el deber de incluir dentro de los presupuestos del Estado y sus instituciones el pago de las cuotas al IGSS, esto no se ha cumplido y hasta a la fecha no se ha procesado penalmente a funcionario alguno por el incumplimiento de garantizar el financiamiento de la seguridad social.</w:t>
      </w:r>
    </w:p>
    <w:p w:rsidR="00662C1E" w:rsidRPr="00662C1E" w:rsidRDefault="00966B30" w:rsidP="0011025F">
      <w:pPr>
        <w:pStyle w:val="ListParagraph"/>
        <w:numPr>
          <w:ilvl w:val="0"/>
          <w:numId w:val="4"/>
        </w:numPr>
        <w:spacing w:after="0" w:line="240" w:lineRule="auto"/>
        <w:jc w:val="both"/>
        <w:rPr>
          <w:lang w:val="es-ES_tradnl"/>
        </w:rPr>
      </w:pPr>
      <w:r w:rsidRPr="00662C1E">
        <w:rPr>
          <w:lang w:val="es-ES_tradnl"/>
        </w:rPr>
        <w:t>Ahora bien, este derecho también es violado por una cobertura deficiente toda vez</w:t>
      </w:r>
      <w:r w:rsidR="00BB0800" w:rsidRPr="00662C1E">
        <w:rPr>
          <w:lang w:val="es-ES_tradnl"/>
        </w:rPr>
        <w:t xml:space="preserve"> que a pesar de según</w:t>
      </w:r>
      <w:r w:rsidR="002510B4" w:rsidRPr="00662C1E">
        <w:rPr>
          <w:lang w:val="es-ES_tradnl"/>
        </w:rPr>
        <w:t xml:space="preserve"> la Encuesta Nacional de Empleo e Ingresos ENEI 1-2019, </w:t>
      </w:r>
      <w:r w:rsidR="00BB0800" w:rsidRPr="00662C1E">
        <w:rPr>
          <w:lang w:val="es-ES_tradnl"/>
        </w:rPr>
        <w:t>para el año 2019 a</w:t>
      </w:r>
      <w:r w:rsidR="002510B4" w:rsidRPr="00662C1E">
        <w:rPr>
          <w:lang w:val="es-ES_tradnl"/>
        </w:rPr>
        <w:t xml:space="preserve"> P</w:t>
      </w:r>
      <w:r w:rsidR="00BB0800" w:rsidRPr="00662C1E">
        <w:rPr>
          <w:lang w:val="es-ES_tradnl"/>
        </w:rPr>
        <w:t xml:space="preserve">oblación </w:t>
      </w:r>
      <w:r w:rsidR="002510B4" w:rsidRPr="00662C1E">
        <w:rPr>
          <w:lang w:val="es-ES_tradnl"/>
        </w:rPr>
        <w:t>E</w:t>
      </w:r>
      <w:r w:rsidR="00BB0800" w:rsidRPr="00662C1E">
        <w:rPr>
          <w:lang w:val="es-ES_tradnl"/>
        </w:rPr>
        <w:t xml:space="preserve">conómicamente </w:t>
      </w:r>
      <w:r w:rsidR="002510B4" w:rsidRPr="00662C1E">
        <w:rPr>
          <w:lang w:val="es-ES_tradnl"/>
        </w:rPr>
        <w:t>A</w:t>
      </w:r>
      <w:r w:rsidR="00BB0800" w:rsidRPr="00662C1E">
        <w:rPr>
          <w:lang w:val="es-ES_tradnl"/>
        </w:rPr>
        <w:t>ctiva era de</w:t>
      </w:r>
      <w:r w:rsidR="002510B4" w:rsidRPr="00662C1E">
        <w:rPr>
          <w:lang w:val="es-ES_tradnl"/>
        </w:rPr>
        <w:t xml:space="preserve"> 7,114,935</w:t>
      </w:r>
      <w:r w:rsidRPr="00662C1E">
        <w:rPr>
          <w:lang w:val="es-ES_tradnl"/>
        </w:rPr>
        <w:t xml:space="preserve"> de las cuales </w:t>
      </w:r>
      <w:r w:rsidR="002510B4" w:rsidRPr="00662C1E">
        <w:rPr>
          <w:rFonts w:cs="Arial"/>
          <w:color w:val="222222"/>
          <w:shd w:val="clear" w:color="auto" w:fill="FFFFFF"/>
        </w:rPr>
        <w:t>6,935,863</w:t>
      </w:r>
      <w:r w:rsidRPr="00662C1E">
        <w:rPr>
          <w:rFonts w:cs="Arial"/>
          <w:color w:val="222222"/>
          <w:shd w:val="clear" w:color="auto" w:fill="FFFFFF"/>
        </w:rPr>
        <w:t xml:space="preserve"> se encontraba ocupada</w:t>
      </w:r>
      <w:r w:rsidR="00BB0800" w:rsidRPr="00662C1E">
        <w:rPr>
          <w:rFonts w:cs="Arial"/>
          <w:color w:val="222222"/>
          <w:shd w:val="clear" w:color="auto" w:fill="FFFFFF"/>
        </w:rPr>
        <w:t>,</w:t>
      </w:r>
      <w:r w:rsidRPr="00662C1E">
        <w:rPr>
          <w:rFonts w:cs="Arial"/>
          <w:color w:val="222222"/>
          <w:shd w:val="clear" w:color="auto" w:fill="FFFFFF"/>
        </w:rPr>
        <w:t xml:space="preserve"> según datos proporcionados por el Instituto Guatem</w:t>
      </w:r>
      <w:r w:rsidR="00BB0800" w:rsidRPr="00662C1E">
        <w:rPr>
          <w:rFonts w:cs="Arial"/>
          <w:color w:val="222222"/>
          <w:shd w:val="clear" w:color="auto" w:fill="FFFFFF"/>
        </w:rPr>
        <w:t>alteco de Seguridad Social -</w:t>
      </w:r>
      <w:r w:rsidRPr="00662C1E">
        <w:rPr>
          <w:rFonts w:cs="Arial"/>
          <w:color w:val="222222"/>
          <w:shd w:val="clear" w:color="auto" w:fill="FFFFFF"/>
        </w:rPr>
        <w:t>IGSS-, solo  1,362,168</w:t>
      </w:r>
      <w:r w:rsidR="00BB0800" w:rsidRPr="00662C1E">
        <w:rPr>
          <w:rFonts w:cs="Arial"/>
          <w:color w:val="222222"/>
          <w:shd w:val="clear" w:color="auto" w:fill="FFFFFF"/>
        </w:rPr>
        <w:t xml:space="preserve"> personas</w:t>
      </w:r>
      <w:r w:rsidRPr="00662C1E">
        <w:rPr>
          <w:rFonts w:cs="Arial"/>
          <w:color w:val="222222"/>
          <w:shd w:val="clear" w:color="auto" w:fill="FFFFFF"/>
        </w:rPr>
        <w:t xml:space="preserve">  se encontraba</w:t>
      </w:r>
      <w:r w:rsidR="00BB0800" w:rsidRPr="00662C1E">
        <w:rPr>
          <w:rFonts w:cs="Arial"/>
          <w:color w:val="222222"/>
          <w:shd w:val="clear" w:color="auto" w:fill="FFFFFF"/>
        </w:rPr>
        <w:t>n</w:t>
      </w:r>
      <w:r w:rsidRPr="00662C1E">
        <w:rPr>
          <w:rFonts w:cs="Arial"/>
          <w:color w:val="222222"/>
          <w:shd w:val="clear" w:color="auto" w:fill="FFFFFF"/>
        </w:rPr>
        <w:t xml:space="preserve"> cubierta</w:t>
      </w:r>
      <w:r w:rsidR="00BB0800" w:rsidRPr="00662C1E">
        <w:rPr>
          <w:rFonts w:cs="Arial"/>
          <w:color w:val="222222"/>
          <w:shd w:val="clear" w:color="auto" w:fill="FFFFFF"/>
        </w:rPr>
        <w:t>s</w:t>
      </w:r>
      <w:r w:rsidRPr="00662C1E">
        <w:rPr>
          <w:rFonts w:cs="Arial"/>
          <w:color w:val="222222"/>
          <w:shd w:val="clear" w:color="auto" w:fill="FFFFFF"/>
        </w:rPr>
        <w:t xml:space="preserve"> por el seguro social.  Es decir, la cobertura, abarcaba a solo</w:t>
      </w:r>
      <w:r w:rsidR="002510B4" w:rsidRPr="00662C1E">
        <w:rPr>
          <w:rFonts w:cs="Arial"/>
          <w:color w:val="222222"/>
          <w:shd w:val="clear" w:color="auto" w:fill="FFFFFF"/>
        </w:rPr>
        <w:t xml:space="preserve"> el 19.64% la PEA y el </w:t>
      </w:r>
      <w:r w:rsidR="00EF14A8" w:rsidRPr="00662C1E">
        <w:rPr>
          <w:rFonts w:cs="Arial"/>
          <w:color w:val="222222"/>
          <w:shd w:val="clear" w:color="auto" w:fill="FFFFFF"/>
        </w:rPr>
        <w:t xml:space="preserve">7.70% de la población total estimada para el 2019 por el Instituto Nacional de Estadística </w:t>
      </w:r>
      <w:r w:rsidR="001D30BD" w:rsidRPr="00662C1E">
        <w:rPr>
          <w:rFonts w:cs="Arial"/>
          <w:color w:val="222222"/>
          <w:shd w:val="clear" w:color="auto" w:fill="FFFFFF"/>
        </w:rPr>
        <w:t>-</w:t>
      </w:r>
      <w:r w:rsidR="00EF14A8" w:rsidRPr="00662C1E">
        <w:rPr>
          <w:rFonts w:cs="Arial"/>
          <w:color w:val="222222"/>
          <w:shd w:val="clear" w:color="auto" w:fill="FFFFFF"/>
        </w:rPr>
        <w:t>INE- en 17,689,642 personas.</w:t>
      </w:r>
      <w:r w:rsidRPr="00662C1E">
        <w:rPr>
          <w:rFonts w:cs="Arial"/>
          <w:color w:val="222222"/>
          <w:shd w:val="clear" w:color="auto" w:fill="FFFFFF"/>
        </w:rPr>
        <w:t xml:space="preserve"> </w:t>
      </w:r>
    </w:p>
    <w:p w:rsidR="00662C1E" w:rsidRDefault="00EF14A8" w:rsidP="0011025F">
      <w:pPr>
        <w:pStyle w:val="ListParagraph"/>
        <w:numPr>
          <w:ilvl w:val="0"/>
          <w:numId w:val="4"/>
        </w:numPr>
        <w:spacing w:after="0" w:line="240" w:lineRule="auto"/>
        <w:jc w:val="both"/>
        <w:rPr>
          <w:lang w:val="es-ES_tradnl"/>
        </w:rPr>
      </w:pPr>
      <w:r w:rsidRPr="00662C1E">
        <w:rPr>
          <w:lang w:val="es-ES_tradnl"/>
        </w:rPr>
        <w:t>Durante el primer semestre de 2020, la administración de Alejandro Giammattei bajo el argumento de la necesidad de contener la pandemia del Sars 2 Covid 19, pidió y obtuvo ampliaciones al presupuesto del Estado por  aproximadamente GTQ 30,000,000,000.00 (aproximadamente USD$ 3,870,967,741.95) en las cuales no se consideró aporte alguno al IGSS y tampoco pago o amortización de la deuda</w:t>
      </w:r>
      <w:r w:rsidR="001D30BD" w:rsidRPr="00662C1E">
        <w:rPr>
          <w:lang w:val="es-ES_tradnl"/>
        </w:rPr>
        <w:t xml:space="preserve"> que el Estado tiene con este tanto en concepto de cuota patronal y como Estado</w:t>
      </w:r>
      <w:r w:rsidRPr="00662C1E">
        <w:rPr>
          <w:lang w:val="es-ES_tradnl"/>
        </w:rPr>
        <w:t>, no obstante el IGSS debió atender la totalidad de trabajadores y trabajadoras afectados por el virus, incluyendo a los propios trabajadores del Estado</w:t>
      </w:r>
      <w:r w:rsidR="00F5514E" w:rsidRPr="00662C1E">
        <w:rPr>
          <w:lang w:val="es-ES_tradnl"/>
        </w:rPr>
        <w:t>.</w:t>
      </w:r>
    </w:p>
    <w:p w:rsidR="00662C1E" w:rsidRDefault="00F5514E" w:rsidP="004829B0">
      <w:pPr>
        <w:pStyle w:val="ListParagraph"/>
        <w:numPr>
          <w:ilvl w:val="0"/>
          <w:numId w:val="4"/>
        </w:numPr>
        <w:spacing w:after="0" w:line="240" w:lineRule="auto"/>
        <w:jc w:val="both"/>
        <w:rPr>
          <w:lang w:val="es-ES_tradnl"/>
        </w:rPr>
      </w:pPr>
      <w:r w:rsidRPr="00662C1E">
        <w:rPr>
          <w:lang w:val="es-ES_tradnl"/>
        </w:rPr>
        <w:t>A pesar de esto, la administración de Alejandro Giammattei pretendi</w:t>
      </w:r>
      <w:r w:rsidR="001D30BD" w:rsidRPr="00662C1E">
        <w:rPr>
          <w:lang w:val="es-ES_tradnl"/>
        </w:rPr>
        <w:t>ó</w:t>
      </w:r>
      <w:r w:rsidRPr="00662C1E">
        <w:rPr>
          <w:lang w:val="es-ES_tradnl"/>
        </w:rPr>
        <w:t xml:space="preserve"> que el Seguro Social aprobara el uso de los recursos del seguro social para el apoyo financiero a los empresarios y ante la negativa de las autoridades del IGSS porque ello ponía en riesgo la estabilidad del seguro social ha iniciado actualmente procesos violando la autonomía del Instituto y pretendiendo remover a sus autoridades, esto con la finalidad de que la administración de Alejandro Giammattei pueda disponer de las reservas financieras del IGSS.</w:t>
      </w:r>
    </w:p>
    <w:p w:rsidR="00662C1E" w:rsidRPr="00662C1E" w:rsidRDefault="00F5514E" w:rsidP="004829B0">
      <w:pPr>
        <w:pStyle w:val="ListParagraph"/>
        <w:numPr>
          <w:ilvl w:val="0"/>
          <w:numId w:val="4"/>
        </w:numPr>
        <w:spacing w:after="0" w:line="240" w:lineRule="auto"/>
        <w:jc w:val="both"/>
        <w:rPr>
          <w:lang w:val="es-ES_tradnl"/>
        </w:rPr>
      </w:pPr>
      <w:r w:rsidRPr="00662C1E">
        <w:rPr>
          <w:lang w:val="es-ES_tradnl"/>
        </w:rPr>
        <w:t>Ahora bien, Guatemala no ha ratificado la mayoría de Convenios aprobados</w:t>
      </w:r>
      <w:r w:rsidR="001D30BD" w:rsidRPr="00662C1E">
        <w:rPr>
          <w:lang w:val="es-ES_tradnl"/>
        </w:rPr>
        <w:t xml:space="preserve"> por la OIT </w:t>
      </w:r>
      <w:r w:rsidRPr="00662C1E">
        <w:rPr>
          <w:lang w:val="es-ES_tradnl"/>
        </w:rPr>
        <w:t>en materia de seguridad social  y en lo que respecta al Convenio 118, Convenio sobre la igualdad de trato (seguridad social), 1962 solamente ha aceptado como aplicable la rama c) del artículo 2 del citado instrumento internacional</w:t>
      </w:r>
      <w:r w:rsidR="004829B0" w:rsidRPr="00662C1E">
        <w:rPr>
          <w:lang w:val="es-ES_tradnl"/>
        </w:rPr>
        <w:t>; es decir, ha aceptado la exigibilidad internacional solo de las prestaciones de maternidad, no así las de las ramas  (</w:t>
      </w:r>
      <w:r w:rsidR="004829B0" w:rsidRPr="00662C1E">
        <w:rPr>
          <w:rFonts w:eastAsia="Times New Roman" w:cs="Times New Roman"/>
          <w:lang w:eastAsia="es-GT"/>
        </w:rPr>
        <w:t>a) asistencia médica, (b) prestaciones de enfermedad… (d) prestaciones de invalidez; (e) prestaciones de vejez;  (f) prestaciones de sobrevivencia;  (g) prestaciones en caso de accidentes del trabajo y de enfermedades profesionales; (h) prestaciones de desempleo; e (i) prestaciones familiares.</w:t>
      </w:r>
    </w:p>
    <w:p w:rsidR="004829B0" w:rsidRPr="00662C1E" w:rsidRDefault="004829B0" w:rsidP="004829B0">
      <w:pPr>
        <w:pStyle w:val="ListParagraph"/>
        <w:numPr>
          <w:ilvl w:val="0"/>
          <w:numId w:val="4"/>
        </w:numPr>
        <w:spacing w:after="0" w:line="240" w:lineRule="auto"/>
        <w:jc w:val="both"/>
        <w:rPr>
          <w:lang w:val="es-ES_tradnl"/>
        </w:rPr>
      </w:pPr>
      <w:r w:rsidRPr="00662C1E">
        <w:rPr>
          <w:rFonts w:eastAsia="Times New Roman" w:cs="Times New Roman"/>
          <w:lang w:eastAsia="es-GT"/>
        </w:rPr>
        <w:t>Si bien es cierto, en la práctica el sistema de seguridad social otorga todas las prestaciones exceptuando las de desempleo, derivado de las limitaciones financieras que impone la deuda y la falta de cobertura a la mayoría de la población de la seguridad social, las  prestaciones que otorga son mayoritariamente insuficientes para garantizar a los beneficiarios una vida digna o al menos la mera subsistencia</w:t>
      </w:r>
    </w:p>
    <w:p w:rsidR="00F5514E" w:rsidRPr="004829B0" w:rsidRDefault="00F5514E" w:rsidP="0011025F">
      <w:pPr>
        <w:spacing w:after="0" w:line="240" w:lineRule="auto"/>
        <w:jc w:val="both"/>
        <w:rPr>
          <w:sz w:val="24"/>
          <w:szCs w:val="24"/>
        </w:rPr>
      </w:pPr>
      <w:r w:rsidRPr="004829B0">
        <w:rPr>
          <w:sz w:val="24"/>
          <w:szCs w:val="24"/>
          <w:lang w:val="es-ES_tradnl"/>
        </w:rPr>
        <w:t xml:space="preserve"> </w:t>
      </w:r>
    </w:p>
    <w:sectPr w:rsidR="00F5514E" w:rsidRPr="004829B0">
      <w:head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26C8" w:rsidRDefault="00C126C8" w:rsidP="00662C1E">
      <w:pPr>
        <w:spacing w:after="0" w:line="240" w:lineRule="auto"/>
      </w:pPr>
      <w:r>
        <w:separator/>
      </w:r>
    </w:p>
  </w:endnote>
  <w:endnote w:type="continuationSeparator" w:id="0">
    <w:p w:rsidR="00C126C8" w:rsidRDefault="00C126C8" w:rsidP="00662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26C8" w:rsidRDefault="00C126C8" w:rsidP="00662C1E">
      <w:pPr>
        <w:spacing w:after="0" w:line="240" w:lineRule="auto"/>
      </w:pPr>
      <w:r>
        <w:separator/>
      </w:r>
    </w:p>
  </w:footnote>
  <w:footnote w:type="continuationSeparator" w:id="0">
    <w:p w:rsidR="00C126C8" w:rsidRDefault="00C126C8" w:rsidP="00662C1E">
      <w:pPr>
        <w:spacing w:after="0" w:line="240" w:lineRule="auto"/>
      </w:pPr>
      <w:r>
        <w:continuationSeparator/>
      </w:r>
    </w:p>
  </w:footnote>
  <w:footnote w:id="1">
    <w:p w:rsidR="00662C1E" w:rsidRDefault="00662C1E">
      <w:pPr>
        <w:pStyle w:val="FootnoteText"/>
      </w:pPr>
      <w:r>
        <w:rPr>
          <w:rStyle w:val="FootnoteReference"/>
        </w:rPr>
        <w:footnoteRef/>
      </w:r>
      <w:r>
        <w:t xml:space="preserve"> El porcentaje del déficit es respecto al valor del salario mínimo.</w:t>
      </w:r>
    </w:p>
  </w:footnote>
  <w:footnote w:id="2">
    <w:p w:rsidR="00662C1E" w:rsidRDefault="00662C1E">
      <w:pPr>
        <w:pStyle w:val="FootnoteText"/>
      </w:pPr>
      <w:r>
        <w:rPr>
          <w:rStyle w:val="FootnoteReference"/>
        </w:rPr>
        <w:footnoteRef/>
      </w:r>
      <w:r>
        <w:t xml:space="preserve"> Idem</w:t>
      </w:r>
    </w:p>
  </w:footnote>
  <w:footnote w:id="3">
    <w:p w:rsidR="00662C1E" w:rsidRDefault="00662C1E">
      <w:pPr>
        <w:pStyle w:val="FootnoteText"/>
      </w:pPr>
      <w:r>
        <w:rPr>
          <w:rStyle w:val="FootnoteReference"/>
        </w:rPr>
        <w:footnoteRef/>
      </w:r>
      <w:r>
        <w:t xml:space="preserve"> Idem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7918332"/>
      <w:docPartObj>
        <w:docPartGallery w:val="Page Numbers (Top of Page)"/>
        <w:docPartUnique/>
      </w:docPartObj>
    </w:sdtPr>
    <w:sdtEndPr/>
    <w:sdtContent>
      <w:p w:rsidR="00B740D4" w:rsidRDefault="00B740D4">
        <w:pPr>
          <w:pStyle w:val="Header"/>
          <w:jc w:val="cente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7934E1">
          <w:rPr>
            <w:b/>
            <w:bCs/>
            <w:noProof/>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7934E1">
          <w:rPr>
            <w:b/>
            <w:bCs/>
            <w:noProof/>
          </w:rPr>
          <w:t>10</w:t>
        </w:r>
        <w:r>
          <w:rPr>
            <w:b/>
            <w:bCs/>
            <w:sz w:val="24"/>
            <w:szCs w:val="24"/>
          </w:rPr>
          <w:fldChar w:fldCharType="end"/>
        </w:r>
      </w:p>
    </w:sdtContent>
  </w:sdt>
  <w:p w:rsidR="00B740D4" w:rsidRDefault="00B740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594A5E"/>
    <w:multiLevelType w:val="hybridMultilevel"/>
    <w:tmpl w:val="409022AE"/>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28324AAD"/>
    <w:multiLevelType w:val="hybridMultilevel"/>
    <w:tmpl w:val="8BB06C48"/>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34736770"/>
    <w:multiLevelType w:val="hybridMultilevel"/>
    <w:tmpl w:val="A81846D0"/>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47B10773"/>
    <w:multiLevelType w:val="hybridMultilevel"/>
    <w:tmpl w:val="4AEA6B1E"/>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48BD41B6"/>
    <w:multiLevelType w:val="hybridMultilevel"/>
    <w:tmpl w:val="18B89DC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61264055"/>
    <w:multiLevelType w:val="multilevel"/>
    <w:tmpl w:val="651A1D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A63"/>
    <w:rsid w:val="00005568"/>
    <w:rsid w:val="00024164"/>
    <w:rsid w:val="000647B3"/>
    <w:rsid w:val="00083333"/>
    <w:rsid w:val="000B7A34"/>
    <w:rsid w:val="0011025F"/>
    <w:rsid w:val="00163476"/>
    <w:rsid w:val="00183196"/>
    <w:rsid w:val="001D30BD"/>
    <w:rsid w:val="00247255"/>
    <w:rsid w:val="002510B4"/>
    <w:rsid w:val="002C0468"/>
    <w:rsid w:val="002C1BF8"/>
    <w:rsid w:val="002E2DA9"/>
    <w:rsid w:val="002F5600"/>
    <w:rsid w:val="00352E7E"/>
    <w:rsid w:val="0036586C"/>
    <w:rsid w:val="00373FE7"/>
    <w:rsid w:val="00386BCE"/>
    <w:rsid w:val="0039271E"/>
    <w:rsid w:val="003B6BF5"/>
    <w:rsid w:val="003C2A20"/>
    <w:rsid w:val="003E6881"/>
    <w:rsid w:val="004265C3"/>
    <w:rsid w:val="004408AC"/>
    <w:rsid w:val="00477DF6"/>
    <w:rsid w:val="004829B0"/>
    <w:rsid w:val="004B76B0"/>
    <w:rsid w:val="00520C5C"/>
    <w:rsid w:val="0052372F"/>
    <w:rsid w:val="005422D3"/>
    <w:rsid w:val="00546DAF"/>
    <w:rsid w:val="0056589B"/>
    <w:rsid w:val="005E5C82"/>
    <w:rsid w:val="005F307D"/>
    <w:rsid w:val="00606CBA"/>
    <w:rsid w:val="00616D6D"/>
    <w:rsid w:val="006271B8"/>
    <w:rsid w:val="006316D5"/>
    <w:rsid w:val="00662C1E"/>
    <w:rsid w:val="00687A63"/>
    <w:rsid w:val="00687EA5"/>
    <w:rsid w:val="006B39D3"/>
    <w:rsid w:val="007340F3"/>
    <w:rsid w:val="00763E1D"/>
    <w:rsid w:val="007934E1"/>
    <w:rsid w:val="007A440F"/>
    <w:rsid w:val="007D2969"/>
    <w:rsid w:val="008073D3"/>
    <w:rsid w:val="0081475A"/>
    <w:rsid w:val="008226F9"/>
    <w:rsid w:val="00872BE6"/>
    <w:rsid w:val="008E2977"/>
    <w:rsid w:val="00912E08"/>
    <w:rsid w:val="00966B30"/>
    <w:rsid w:val="009860E2"/>
    <w:rsid w:val="009941DD"/>
    <w:rsid w:val="009B2D70"/>
    <w:rsid w:val="009D4442"/>
    <w:rsid w:val="009E5010"/>
    <w:rsid w:val="00A02BB6"/>
    <w:rsid w:val="00A10525"/>
    <w:rsid w:val="00A3029F"/>
    <w:rsid w:val="00A57C3D"/>
    <w:rsid w:val="00A62C8F"/>
    <w:rsid w:val="00A751FA"/>
    <w:rsid w:val="00AB6F3F"/>
    <w:rsid w:val="00AC5F94"/>
    <w:rsid w:val="00AF10A9"/>
    <w:rsid w:val="00AF30C3"/>
    <w:rsid w:val="00B15FC9"/>
    <w:rsid w:val="00B17AAC"/>
    <w:rsid w:val="00B740D4"/>
    <w:rsid w:val="00B870D0"/>
    <w:rsid w:val="00B935C8"/>
    <w:rsid w:val="00BB0800"/>
    <w:rsid w:val="00BF7568"/>
    <w:rsid w:val="00C126C8"/>
    <w:rsid w:val="00C3415C"/>
    <w:rsid w:val="00C56E71"/>
    <w:rsid w:val="00CF019A"/>
    <w:rsid w:val="00D14814"/>
    <w:rsid w:val="00D15741"/>
    <w:rsid w:val="00D50FE1"/>
    <w:rsid w:val="00D52ED0"/>
    <w:rsid w:val="00D55180"/>
    <w:rsid w:val="00D71815"/>
    <w:rsid w:val="00D73AAF"/>
    <w:rsid w:val="00DB25D8"/>
    <w:rsid w:val="00DB527F"/>
    <w:rsid w:val="00DC0863"/>
    <w:rsid w:val="00DC1B91"/>
    <w:rsid w:val="00DC4592"/>
    <w:rsid w:val="00E20A66"/>
    <w:rsid w:val="00EF14A8"/>
    <w:rsid w:val="00F10C8F"/>
    <w:rsid w:val="00F41391"/>
    <w:rsid w:val="00F46E5B"/>
    <w:rsid w:val="00F46FAB"/>
    <w:rsid w:val="00F5514E"/>
    <w:rsid w:val="00F65FC2"/>
    <w:rsid w:val="00F66461"/>
    <w:rsid w:val="00F70002"/>
    <w:rsid w:val="00FC4BE9"/>
    <w:rsid w:val="00FD6324"/>
    <w:rsid w:val="00FE68E9"/>
    <w:rsid w:val="00FF2C37"/>
    <w:rsid w:val="00FF3C47"/>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7DA6AC-FF48-4592-8675-0E8CDEFD3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G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C4BE9"/>
    <w:rPr>
      <w:b/>
      <w:bCs/>
    </w:rPr>
  </w:style>
  <w:style w:type="character" w:customStyle="1" w:styleId="fontstyle01">
    <w:name w:val="fontstyle01"/>
    <w:basedOn w:val="DefaultParagraphFont"/>
    <w:rsid w:val="003E6881"/>
    <w:rPr>
      <w:rFonts w:ascii="Helvetica" w:hAnsi="Helvetica" w:cs="Helvetica" w:hint="default"/>
      <w:b w:val="0"/>
      <w:bCs w:val="0"/>
      <w:i w:val="0"/>
      <w:iCs w:val="0"/>
      <w:color w:val="000000"/>
      <w:sz w:val="24"/>
      <w:szCs w:val="24"/>
    </w:rPr>
  </w:style>
  <w:style w:type="character" w:styleId="Hyperlink">
    <w:name w:val="Hyperlink"/>
    <w:basedOn w:val="DefaultParagraphFont"/>
    <w:uiPriority w:val="99"/>
    <w:unhideWhenUsed/>
    <w:rsid w:val="009941DD"/>
    <w:rPr>
      <w:color w:val="0000FF"/>
      <w:u w:val="single"/>
    </w:rPr>
  </w:style>
  <w:style w:type="paragraph" w:customStyle="1" w:styleId="Default">
    <w:name w:val="Default"/>
    <w:rsid w:val="00BF7568"/>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C1B91"/>
    <w:pPr>
      <w:ind w:left="720"/>
      <w:contextualSpacing/>
    </w:pPr>
  </w:style>
  <w:style w:type="paragraph" w:styleId="FootnoteText">
    <w:name w:val="footnote text"/>
    <w:basedOn w:val="Normal"/>
    <w:link w:val="FootnoteTextChar"/>
    <w:uiPriority w:val="99"/>
    <w:semiHidden/>
    <w:unhideWhenUsed/>
    <w:rsid w:val="00662C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2C1E"/>
    <w:rPr>
      <w:sz w:val="20"/>
      <w:szCs w:val="20"/>
    </w:rPr>
  </w:style>
  <w:style w:type="character" w:styleId="FootnoteReference">
    <w:name w:val="footnote reference"/>
    <w:basedOn w:val="DefaultParagraphFont"/>
    <w:uiPriority w:val="99"/>
    <w:semiHidden/>
    <w:unhideWhenUsed/>
    <w:rsid w:val="00662C1E"/>
    <w:rPr>
      <w:vertAlign w:val="superscript"/>
    </w:rPr>
  </w:style>
  <w:style w:type="paragraph" w:styleId="Header">
    <w:name w:val="header"/>
    <w:basedOn w:val="Normal"/>
    <w:link w:val="HeaderChar"/>
    <w:uiPriority w:val="99"/>
    <w:unhideWhenUsed/>
    <w:rsid w:val="00B740D4"/>
    <w:pPr>
      <w:tabs>
        <w:tab w:val="center" w:pos="4419"/>
        <w:tab w:val="right" w:pos="8838"/>
      </w:tabs>
      <w:spacing w:after="0" w:line="240" w:lineRule="auto"/>
    </w:pPr>
  </w:style>
  <w:style w:type="character" w:customStyle="1" w:styleId="HeaderChar">
    <w:name w:val="Header Char"/>
    <w:basedOn w:val="DefaultParagraphFont"/>
    <w:link w:val="Header"/>
    <w:uiPriority w:val="99"/>
    <w:rsid w:val="00B740D4"/>
  </w:style>
  <w:style w:type="paragraph" w:styleId="Footer">
    <w:name w:val="footer"/>
    <w:basedOn w:val="Normal"/>
    <w:link w:val="FooterChar"/>
    <w:uiPriority w:val="99"/>
    <w:unhideWhenUsed/>
    <w:rsid w:val="00B740D4"/>
    <w:pPr>
      <w:tabs>
        <w:tab w:val="center" w:pos="4419"/>
        <w:tab w:val="right" w:pos="8838"/>
      </w:tabs>
      <w:spacing w:after="0" w:line="240" w:lineRule="auto"/>
    </w:pPr>
  </w:style>
  <w:style w:type="character" w:customStyle="1" w:styleId="FooterChar">
    <w:name w:val="Footer Char"/>
    <w:basedOn w:val="DefaultParagraphFont"/>
    <w:link w:val="Footer"/>
    <w:uiPriority w:val="99"/>
    <w:rsid w:val="00B740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28319">
      <w:bodyDiv w:val="1"/>
      <w:marLeft w:val="0"/>
      <w:marRight w:val="0"/>
      <w:marTop w:val="0"/>
      <w:marBottom w:val="0"/>
      <w:divBdr>
        <w:top w:val="none" w:sz="0" w:space="0" w:color="auto"/>
        <w:left w:val="none" w:sz="0" w:space="0" w:color="auto"/>
        <w:bottom w:val="none" w:sz="0" w:space="0" w:color="auto"/>
        <w:right w:val="none" w:sz="0" w:space="0" w:color="auto"/>
      </w:divBdr>
    </w:div>
    <w:div w:id="182398569">
      <w:bodyDiv w:val="1"/>
      <w:marLeft w:val="0"/>
      <w:marRight w:val="0"/>
      <w:marTop w:val="0"/>
      <w:marBottom w:val="0"/>
      <w:divBdr>
        <w:top w:val="none" w:sz="0" w:space="0" w:color="auto"/>
        <w:left w:val="none" w:sz="0" w:space="0" w:color="auto"/>
        <w:bottom w:val="none" w:sz="0" w:space="0" w:color="auto"/>
        <w:right w:val="none" w:sz="0" w:space="0" w:color="auto"/>
      </w:divBdr>
    </w:div>
    <w:div w:id="379478364">
      <w:bodyDiv w:val="1"/>
      <w:marLeft w:val="0"/>
      <w:marRight w:val="0"/>
      <w:marTop w:val="0"/>
      <w:marBottom w:val="0"/>
      <w:divBdr>
        <w:top w:val="none" w:sz="0" w:space="0" w:color="auto"/>
        <w:left w:val="none" w:sz="0" w:space="0" w:color="auto"/>
        <w:bottom w:val="none" w:sz="0" w:space="0" w:color="auto"/>
        <w:right w:val="none" w:sz="0" w:space="0" w:color="auto"/>
      </w:divBdr>
    </w:div>
    <w:div w:id="774793132">
      <w:bodyDiv w:val="1"/>
      <w:marLeft w:val="0"/>
      <w:marRight w:val="0"/>
      <w:marTop w:val="0"/>
      <w:marBottom w:val="0"/>
      <w:divBdr>
        <w:top w:val="none" w:sz="0" w:space="0" w:color="auto"/>
        <w:left w:val="none" w:sz="0" w:space="0" w:color="auto"/>
        <w:bottom w:val="none" w:sz="0" w:space="0" w:color="auto"/>
        <w:right w:val="none" w:sz="0" w:space="0" w:color="auto"/>
      </w:divBdr>
    </w:div>
    <w:div w:id="867763843">
      <w:bodyDiv w:val="1"/>
      <w:marLeft w:val="0"/>
      <w:marRight w:val="0"/>
      <w:marTop w:val="0"/>
      <w:marBottom w:val="0"/>
      <w:divBdr>
        <w:top w:val="none" w:sz="0" w:space="0" w:color="auto"/>
        <w:left w:val="none" w:sz="0" w:space="0" w:color="auto"/>
        <w:bottom w:val="none" w:sz="0" w:space="0" w:color="auto"/>
        <w:right w:val="none" w:sz="0" w:space="0" w:color="auto"/>
      </w:divBdr>
    </w:div>
    <w:div w:id="999696516">
      <w:bodyDiv w:val="1"/>
      <w:marLeft w:val="0"/>
      <w:marRight w:val="0"/>
      <w:marTop w:val="0"/>
      <w:marBottom w:val="0"/>
      <w:divBdr>
        <w:top w:val="none" w:sz="0" w:space="0" w:color="auto"/>
        <w:left w:val="none" w:sz="0" w:space="0" w:color="auto"/>
        <w:bottom w:val="none" w:sz="0" w:space="0" w:color="auto"/>
        <w:right w:val="none" w:sz="0" w:space="0" w:color="auto"/>
      </w:divBdr>
    </w:div>
    <w:div w:id="1108767965">
      <w:bodyDiv w:val="1"/>
      <w:marLeft w:val="0"/>
      <w:marRight w:val="0"/>
      <w:marTop w:val="0"/>
      <w:marBottom w:val="0"/>
      <w:divBdr>
        <w:top w:val="none" w:sz="0" w:space="0" w:color="auto"/>
        <w:left w:val="none" w:sz="0" w:space="0" w:color="auto"/>
        <w:bottom w:val="none" w:sz="0" w:space="0" w:color="auto"/>
        <w:right w:val="none" w:sz="0" w:space="0" w:color="auto"/>
      </w:divBdr>
    </w:div>
    <w:div w:id="1820923229">
      <w:bodyDiv w:val="1"/>
      <w:marLeft w:val="0"/>
      <w:marRight w:val="0"/>
      <w:marTop w:val="0"/>
      <w:marBottom w:val="0"/>
      <w:divBdr>
        <w:top w:val="none" w:sz="0" w:space="0" w:color="auto"/>
        <w:left w:val="none" w:sz="0" w:space="0" w:color="auto"/>
        <w:bottom w:val="none" w:sz="0" w:space="0" w:color="auto"/>
        <w:right w:val="none" w:sz="0" w:space="0" w:color="auto"/>
      </w:divBdr>
    </w:div>
    <w:div w:id="1943490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38.94.255.164/Sentencias/827614.6127-2014.pdf" TargetMode="External"/><Relationship Id="rId13" Type="http://schemas.openxmlformats.org/officeDocument/2006/relationships/hyperlink" Target="http://138.94.255.164/Sentencias/828887.4067-2014.pdf"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138.94.255.164/Sentencias/826720.2374-2014.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h7R0IJl2aZo" TargetMode="External"/><Relationship Id="rId5" Type="http://schemas.openxmlformats.org/officeDocument/2006/relationships/webSettings" Target="webSettings.xml"/><Relationship Id="rId15" Type="http://schemas.openxmlformats.org/officeDocument/2006/relationships/hyperlink" Target="http://138.94.255.164/Sentencias/821245.1340-2012.pdf" TargetMode="External"/><Relationship Id="rId10" Type="http://schemas.openxmlformats.org/officeDocument/2006/relationships/hyperlink" Target="http://138.94.255.164/Sentencias/827415.2867-2014.pdf"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138.94.255.164/Sentencias/842791.1147-2019.pdf" TargetMode="External"/><Relationship Id="rId14" Type="http://schemas.openxmlformats.org/officeDocument/2006/relationships/hyperlink" Target="http://138.94.255.164/Sentencias/826315.3536-2013.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6404DB-738A-436B-955F-9DDEDA2AAB97}">
  <ds:schemaRefs>
    <ds:schemaRef ds:uri="http://schemas.openxmlformats.org/officeDocument/2006/bibliography"/>
  </ds:schemaRefs>
</ds:datastoreItem>
</file>

<file path=customXml/itemProps2.xml><?xml version="1.0" encoding="utf-8"?>
<ds:datastoreItem xmlns:ds="http://schemas.openxmlformats.org/officeDocument/2006/customXml" ds:itemID="{B6E98BFB-AF99-47E0-B088-DBC0EA716CA0}"/>
</file>

<file path=customXml/itemProps3.xml><?xml version="1.0" encoding="utf-8"?>
<ds:datastoreItem xmlns:ds="http://schemas.openxmlformats.org/officeDocument/2006/customXml" ds:itemID="{BCD56DAD-EDBD-4FFC-A639-8EE40A7E9FB5}"/>
</file>

<file path=customXml/itemProps4.xml><?xml version="1.0" encoding="utf-8"?>
<ds:datastoreItem xmlns:ds="http://schemas.openxmlformats.org/officeDocument/2006/customXml" ds:itemID="{CBB4256F-CD3F-43EC-ABDC-FC35B811B0F9}"/>
</file>

<file path=docProps/app.xml><?xml version="1.0" encoding="utf-8"?>
<Properties xmlns="http://schemas.openxmlformats.org/officeDocument/2006/extended-properties" xmlns:vt="http://schemas.openxmlformats.org/officeDocument/2006/docPropsVTypes">
  <Template>Normal.dotm</Template>
  <TotalTime>0</TotalTime>
  <Pages>10</Pages>
  <Words>5464</Words>
  <Characters>31149</Characters>
  <Application>Microsoft Office Word</Application>
  <DocSecurity>0</DocSecurity>
  <Lines>259</Lines>
  <Paragraphs>73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6000</dc:creator>
  <cp:lastModifiedBy>Tolaïni Sabine</cp:lastModifiedBy>
  <cp:revision>2</cp:revision>
  <dcterms:created xsi:type="dcterms:W3CDTF">2020-08-21T10:10:00Z</dcterms:created>
  <dcterms:modified xsi:type="dcterms:W3CDTF">2020-08-21T10:10:00Z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