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64BA"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56CD0E75"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13B08502"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75EB63C8"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625FE97D"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148D47BD"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center"/>
        <w:rPr>
          <w:rFonts w:ascii="Verdana" w:hAnsi="Verdana"/>
          <w:bCs/>
          <w:sz w:val="32"/>
          <w:szCs w:val="24"/>
          <w:lang w:val="en-GB"/>
        </w:rPr>
      </w:pPr>
      <w:r w:rsidRPr="001D656A">
        <w:rPr>
          <w:rFonts w:ascii="Verdana" w:hAnsi="Verdana"/>
          <w:bCs/>
          <w:sz w:val="32"/>
          <w:szCs w:val="24"/>
          <w:lang w:val="en-GB"/>
        </w:rPr>
        <w:t>IMPLEMENTATION OF THE UNITED NATIONS CONVENTION ON THE RIGHTS OF PERSONS WITH DISABILITIES IN SLOVAKIA</w:t>
      </w:r>
    </w:p>
    <w:p w14:paraId="0B05E3A6"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7BFAFD71"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7B3C8CC4" w14:textId="77777777" w:rsidR="00DF536C" w:rsidRPr="001D656A" w:rsidRDefault="00DF536C"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center"/>
        <w:rPr>
          <w:rFonts w:ascii="Verdana" w:hAnsi="Verdana"/>
          <w:bCs/>
          <w:sz w:val="28"/>
          <w:szCs w:val="24"/>
          <w:lang w:val="en-GB"/>
        </w:rPr>
      </w:pPr>
    </w:p>
    <w:p w14:paraId="66D9C359" w14:textId="6B0B7E4F" w:rsidR="00DD6346" w:rsidRPr="001D656A" w:rsidRDefault="00F74FE4"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center"/>
        <w:rPr>
          <w:rFonts w:ascii="Verdana" w:hAnsi="Verdana"/>
          <w:bCs/>
          <w:sz w:val="28"/>
          <w:szCs w:val="24"/>
          <w:lang w:val="en-GB"/>
        </w:rPr>
      </w:pPr>
      <w:r w:rsidRPr="008B6A71">
        <w:rPr>
          <w:rFonts w:ascii="Verdana" w:hAnsi="Verdana"/>
          <w:bCs/>
          <w:sz w:val="28"/>
          <w:szCs w:val="24"/>
          <w:lang w:val="en-GB"/>
        </w:rPr>
        <w:t>ALTE</w:t>
      </w:r>
      <w:r w:rsidR="00F80E98" w:rsidRPr="008B6A71">
        <w:rPr>
          <w:rFonts w:ascii="Verdana" w:hAnsi="Verdana"/>
          <w:bCs/>
          <w:sz w:val="28"/>
          <w:szCs w:val="24"/>
          <w:lang w:val="en-GB"/>
        </w:rPr>
        <w:t>R</w:t>
      </w:r>
      <w:r w:rsidRPr="008B6A71">
        <w:rPr>
          <w:rFonts w:ascii="Verdana" w:hAnsi="Verdana"/>
          <w:bCs/>
          <w:sz w:val="28"/>
          <w:szCs w:val="24"/>
          <w:lang w:val="en-GB"/>
        </w:rPr>
        <w:t>NATIVE REPORT FO</w:t>
      </w:r>
      <w:r w:rsidR="00344703">
        <w:rPr>
          <w:rFonts w:ascii="Verdana" w:hAnsi="Verdana"/>
          <w:bCs/>
          <w:sz w:val="28"/>
          <w:szCs w:val="24"/>
          <w:lang w:val="en-GB"/>
        </w:rPr>
        <w:t>R</w:t>
      </w:r>
      <w:r w:rsidRPr="008B6A71">
        <w:rPr>
          <w:rFonts w:ascii="Verdana" w:hAnsi="Verdana"/>
          <w:bCs/>
          <w:sz w:val="28"/>
          <w:szCs w:val="24"/>
          <w:lang w:val="en-GB"/>
        </w:rPr>
        <w:t xml:space="preserve"> THE UNCRPD COMMITTEE</w:t>
      </w:r>
      <w:r w:rsidR="00784B0A" w:rsidRPr="008B6A71">
        <w:rPr>
          <w:rFonts w:ascii="Verdana" w:hAnsi="Verdana"/>
          <w:bCs/>
          <w:sz w:val="28"/>
          <w:szCs w:val="24"/>
          <w:lang w:val="en-GB"/>
        </w:rPr>
        <w:t xml:space="preserve"> PROPOS</w:t>
      </w:r>
      <w:r w:rsidR="00F94DC1" w:rsidRPr="008B6A71">
        <w:rPr>
          <w:rFonts w:ascii="Verdana" w:hAnsi="Verdana"/>
          <w:bCs/>
          <w:sz w:val="28"/>
          <w:szCs w:val="24"/>
          <w:lang w:val="en-GB"/>
        </w:rPr>
        <w:t>E</w:t>
      </w:r>
      <w:r w:rsidR="00784B0A" w:rsidRPr="008B6A71">
        <w:rPr>
          <w:rFonts w:ascii="Verdana" w:hAnsi="Verdana"/>
          <w:bCs/>
          <w:sz w:val="28"/>
          <w:szCs w:val="24"/>
          <w:lang w:val="en-GB"/>
        </w:rPr>
        <w:t xml:space="preserve">D BY THE </w:t>
      </w:r>
      <w:r w:rsidR="00100681" w:rsidRPr="008B6A71">
        <w:rPr>
          <w:rFonts w:ascii="Verdana" w:hAnsi="Verdana"/>
          <w:bCs/>
          <w:sz w:val="28"/>
          <w:szCs w:val="24"/>
          <w:lang w:val="en-GB"/>
        </w:rPr>
        <w:t xml:space="preserve">DPOs </w:t>
      </w:r>
      <w:r w:rsidR="00784B0A" w:rsidRPr="008B6A71">
        <w:rPr>
          <w:rFonts w:ascii="Verdana" w:hAnsi="Verdana"/>
          <w:bCs/>
          <w:sz w:val="28"/>
          <w:szCs w:val="24"/>
          <w:lang w:val="en-GB"/>
        </w:rPr>
        <w:t>IN THE SLO</w:t>
      </w:r>
      <w:r w:rsidR="006D5A94" w:rsidRPr="008B6A71">
        <w:rPr>
          <w:rFonts w:ascii="Verdana" w:hAnsi="Verdana"/>
          <w:bCs/>
          <w:sz w:val="28"/>
          <w:szCs w:val="24"/>
          <w:lang w:val="en-GB"/>
        </w:rPr>
        <w:t>VAK</w:t>
      </w:r>
      <w:r w:rsidR="00784B0A" w:rsidRPr="008B6A71">
        <w:rPr>
          <w:rFonts w:ascii="Verdana" w:hAnsi="Verdana"/>
          <w:bCs/>
          <w:sz w:val="28"/>
          <w:szCs w:val="24"/>
          <w:lang w:val="en-GB"/>
        </w:rPr>
        <w:t xml:space="preserve"> REPUBLIC</w:t>
      </w:r>
    </w:p>
    <w:p w14:paraId="4B280B5E"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5A48ED6A"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3AC8D44C"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45854AD0"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2593FA49"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49688554" w14:textId="77777777"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p>
    <w:p w14:paraId="4347C593" w14:textId="77777777"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p>
    <w:p w14:paraId="6E518D6F" w14:textId="77777777"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p>
    <w:p w14:paraId="61175B88" w14:textId="77777777"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p>
    <w:p w14:paraId="432E0788" w14:textId="77777777"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p>
    <w:p w14:paraId="5ADCB22A" w14:textId="77777777"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p>
    <w:p w14:paraId="4CC6C8AF" w14:textId="77777777"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p>
    <w:p w14:paraId="37A0F2C9" w14:textId="476019B3" w:rsidR="00307D5D" w:rsidRPr="001D656A" w:rsidRDefault="00307D5D" w:rsidP="00307D5D">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Cs/>
          <w:sz w:val="24"/>
          <w:szCs w:val="24"/>
          <w:lang w:val="en-GB"/>
        </w:rPr>
      </w:pPr>
      <w:r w:rsidRPr="001D656A">
        <w:rPr>
          <w:rFonts w:ascii="Verdana" w:hAnsi="Verdana"/>
          <w:bCs/>
          <w:sz w:val="24"/>
          <w:szCs w:val="24"/>
          <w:lang w:val="en-GB"/>
        </w:rPr>
        <w:t>JULY, 2019</w:t>
      </w:r>
    </w:p>
    <w:p w14:paraId="38F58B80" w14:textId="77777777" w:rsidR="00DD6346" w:rsidRPr="001D656A" w:rsidRDefault="00DD6346" w:rsidP="00DD6346">
      <w:pPr>
        <w:pStyle w:val="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Verdana" w:hAnsi="Verdana"/>
          <w:b/>
          <w:bCs/>
          <w:sz w:val="24"/>
          <w:szCs w:val="24"/>
          <w:lang w:val="en-GB"/>
        </w:rPr>
      </w:pPr>
    </w:p>
    <w:p w14:paraId="705D196B" w14:textId="77777777" w:rsidR="00307D5D" w:rsidRPr="001D656A" w:rsidRDefault="00307D5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cs="Calibri"/>
          <w:b/>
          <w:bCs/>
          <w:color w:val="000000"/>
          <w:u w:color="000000"/>
          <w:lang w:eastAsia="sk-SK"/>
        </w:rPr>
      </w:pPr>
      <w:r w:rsidRPr="001D656A">
        <w:rPr>
          <w:b/>
          <w:bCs/>
        </w:rPr>
        <w:br w:type="page"/>
      </w:r>
    </w:p>
    <w:p w14:paraId="6BDD2BB5" w14:textId="6AAE4878" w:rsidR="00DD6346" w:rsidRPr="001D656A" w:rsidRDefault="00307D5D" w:rsidP="00231C13">
      <w:pPr>
        <w:pStyle w:val="Nadpis2"/>
        <w:jc w:val="left"/>
      </w:pPr>
      <w:bookmarkStart w:id="0" w:name="_Toc15062569"/>
      <w:r w:rsidRPr="001D656A">
        <w:lastRenderedPageBreak/>
        <w:t xml:space="preserve">Submitting </w:t>
      </w:r>
      <w:r w:rsidR="003F3D56" w:rsidRPr="001D656A">
        <w:t>organisations</w:t>
      </w:r>
      <w:r w:rsidRPr="001D656A">
        <w:t xml:space="preserve"> and a</w:t>
      </w:r>
      <w:r w:rsidR="00DF536C" w:rsidRPr="001D656A">
        <w:t>uthors</w:t>
      </w:r>
      <w:bookmarkEnd w:id="0"/>
    </w:p>
    <w:p w14:paraId="09406B80" w14:textId="77777777" w:rsidR="0015127E" w:rsidRPr="001D656A" w:rsidRDefault="0015127E" w:rsidP="0015127E"/>
    <w:p w14:paraId="449401F1" w14:textId="2A2340D0" w:rsidR="003F3D56" w:rsidRPr="001D656A" w:rsidRDefault="003F3D56" w:rsidP="003F3D56">
      <w:r w:rsidRPr="001D656A">
        <w:rPr>
          <w:b/>
        </w:rPr>
        <w:t>The Slovak Disability Council (Branislav Mamojka</w:t>
      </w:r>
      <w:r w:rsidR="003A55EB">
        <w:rPr>
          <w:b/>
        </w:rPr>
        <w:t>, Michaela Hajduková</w:t>
      </w:r>
      <w:r w:rsidRPr="001D656A">
        <w:rPr>
          <w:b/>
        </w:rPr>
        <w:t>)</w:t>
      </w:r>
      <w:r w:rsidRPr="001D656A">
        <w:t xml:space="preserve"> was established in 2003. It has 1</w:t>
      </w:r>
      <w:r w:rsidR="003A55EB">
        <w:t>8</w:t>
      </w:r>
      <w:r w:rsidRPr="001D656A">
        <w:t xml:space="preserve"> member organisations and DPOs representing all types of disabilities. The mission of </w:t>
      </w:r>
      <w:r w:rsidR="003A55EB">
        <w:t xml:space="preserve">the </w:t>
      </w:r>
      <w:r w:rsidRPr="001D656A">
        <w:t xml:space="preserve">Slovak Disability Council </w:t>
      </w:r>
      <w:r w:rsidRPr="001D656A">
        <w:rPr>
          <w:u w:color="000000"/>
        </w:rPr>
        <w:t xml:space="preserve">is to ensure that persons with disabilities have full access to all human rights through their active involvement in policy development and implementation in the Slovak Republic and in Europe. </w:t>
      </w:r>
      <w:r w:rsidRPr="001D656A">
        <w:t>It participates in development and implementation of legislation, it is active in the Government Council for Human Rights, National Minorities and Gender Equality and especially in its Committee for Persons with Disabilities, and other advisory bodies and working groups. Its activities are based on principles of the UNCRPD. The Slovak Disability Council is a member of the European Disability Forum.</w:t>
      </w:r>
      <w:r w:rsidR="003A55EB">
        <w:t xml:space="preserve"> Persons with disabilities </w:t>
      </w:r>
      <w:r w:rsidR="00BB3A86">
        <w:t>constitute majority in all decision making bodies of the Slovak Disability Council an</w:t>
      </w:r>
      <w:r w:rsidR="001C2A6F">
        <w:t xml:space="preserve">d all its member organisations. The report has been drafted </w:t>
      </w:r>
      <w:r w:rsidR="000251C3">
        <w:t>by the representatives of all types of disabilities or their parents.</w:t>
      </w:r>
      <w:bookmarkStart w:id="1" w:name="_GoBack"/>
      <w:bookmarkEnd w:id="1"/>
    </w:p>
    <w:p w14:paraId="3B9F2764" w14:textId="77777777" w:rsidR="009B26BD" w:rsidRPr="001D656A" w:rsidRDefault="009B26BD" w:rsidP="00DF536C"/>
    <w:p w14:paraId="6E8777F7" w14:textId="66DF1C32" w:rsidR="00DF536C" w:rsidRPr="001D656A" w:rsidRDefault="00DF536C" w:rsidP="00DF536C">
      <w:pPr>
        <w:rPr>
          <w:b/>
        </w:rPr>
      </w:pPr>
      <w:r w:rsidRPr="001D656A">
        <w:rPr>
          <w:b/>
        </w:rPr>
        <w:t>Association for Help to People with Intellectual Disabilities in the Slovak Republic</w:t>
      </w:r>
      <w:r w:rsidR="002B5867" w:rsidRPr="001D656A">
        <w:rPr>
          <w:b/>
        </w:rPr>
        <w:t xml:space="preserve"> (Marián</w:t>
      </w:r>
      <w:r w:rsidR="00474884" w:rsidRPr="001D656A">
        <w:rPr>
          <w:b/>
        </w:rPr>
        <w:t xml:space="preserve"> Horanič</w:t>
      </w:r>
      <w:r w:rsidR="005938AC">
        <w:rPr>
          <w:b/>
        </w:rPr>
        <w:t>, Maroš Matiaško</w:t>
      </w:r>
      <w:r w:rsidR="00474884" w:rsidRPr="001D656A">
        <w:rPr>
          <w:b/>
        </w:rPr>
        <w:t>)</w:t>
      </w:r>
      <w:r w:rsidR="005938AC">
        <w:rPr>
          <w:b/>
        </w:rPr>
        <w:t xml:space="preserve"> </w:t>
      </w:r>
      <w:hyperlink r:id="rId8" w:history="1">
        <w:r w:rsidR="005938AC" w:rsidRPr="00FE63AF">
          <w:rPr>
            <w:rStyle w:val="Hypertextovprepojenie"/>
            <w:b/>
          </w:rPr>
          <w:t>www.zpmpvsr.sk</w:t>
        </w:r>
      </w:hyperlink>
      <w:r w:rsidR="005938AC">
        <w:rPr>
          <w:b/>
        </w:rPr>
        <w:t xml:space="preserve"> </w:t>
      </w:r>
    </w:p>
    <w:p w14:paraId="7332CC82" w14:textId="77777777" w:rsidR="005938AC" w:rsidRDefault="005938AC" w:rsidP="007D28A5">
      <w:pPr>
        <w:rPr>
          <w:b/>
        </w:rPr>
      </w:pPr>
    </w:p>
    <w:p w14:paraId="7B76B735" w14:textId="2C1315A9" w:rsidR="007D28A5" w:rsidRPr="001D656A" w:rsidRDefault="008B4DEB" w:rsidP="007D28A5">
      <w:pPr>
        <w:rPr>
          <w:rStyle w:val="dnA"/>
          <w:rFonts w:ascii="Calibri" w:eastAsia="Calibri" w:hAnsi="Calibri"/>
          <w:szCs w:val="22"/>
        </w:rPr>
      </w:pPr>
      <w:r w:rsidRPr="001D656A">
        <w:rPr>
          <w:b/>
        </w:rPr>
        <w:t>Council for Counselling in Social Work</w:t>
      </w:r>
      <w:r w:rsidR="00474884" w:rsidRPr="001D656A">
        <w:rPr>
          <w:b/>
        </w:rPr>
        <w:t xml:space="preserve"> </w:t>
      </w:r>
      <w:r w:rsidR="003F3D56" w:rsidRPr="001D656A">
        <w:rPr>
          <w:b/>
        </w:rPr>
        <w:t>(Miroslav Cangár)</w:t>
      </w:r>
      <w:r w:rsidR="007D28A5" w:rsidRPr="001D656A">
        <w:rPr>
          <w:b/>
        </w:rPr>
        <w:t xml:space="preserve"> </w:t>
      </w:r>
      <w:r w:rsidR="007D28A5" w:rsidRPr="001D656A">
        <w:rPr>
          <w:rStyle w:val="dnA"/>
        </w:rPr>
        <w:t xml:space="preserve">was created in 1990 and its main goal is to provide help for people in need, so they can be included to community and live an Independent life. RPSP fulfils its goals by providing advisory, supervision and education to people with special needs, especially people with severe degrees of disability and elderly people, providers of social services, state and non-governmental organisations, municipalities and other educators. The main strategic vision of RPSP is to support the process of changing quality of social services in society, realisation of transformation, deinstitutionalisation and decentralisation of social services, and community services development. RPSP realised first deinstitutionalisation projects in social services in Slovakia since 1999. For more information, please visit </w:t>
      </w:r>
      <w:r w:rsidR="007D28A5" w:rsidRPr="001D656A">
        <w:rPr>
          <w:rStyle w:val="Hyperlink0"/>
          <w:lang w:val="en-GB"/>
        </w:rPr>
        <w:t>www.rpsp.eu</w:t>
      </w:r>
      <w:r w:rsidR="007D28A5" w:rsidRPr="001D656A">
        <w:rPr>
          <w:rStyle w:val="dnA"/>
        </w:rPr>
        <w:t>.</w:t>
      </w:r>
    </w:p>
    <w:p w14:paraId="76A9D43B" w14:textId="7782CA91" w:rsidR="008B4DEB" w:rsidRPr="001D656A" w:rsidRDefault="008B4DEB" w:rsidP="008B4DEB">
      <w:pPr>
        <w:rPr>
          <w:b/>
        </w:rPr>
      </w:pPr>
    </w:p>
    <w:p w14:paraId="69CE237A" w14:textId="69726BB6" w:rsidR="009C1196" w:rsidRPr="001D656A" w:rsidRDefault="00DF536C" w:rsidP="009C1196">
      <w:pPr>
        <w:rPr>
          <w:rFonts w:ascii="Times New Roman" w:hAnsi="Times New Roman"/>
          <w:bdr w:val="none" w:sz="0" w:space="0" w:color="auto"/>
          <w:lang w:eastAsia="sk-SK"/>
        </w:rPr>
      </w:pPr>
      <w:r w:rsidRPr="001D656A">
        <w:rPr>
          <w:b/>
        </w:rPr>
        <w:t>Organisation of Muscular Dystrophy in the Slovak Republic</w:t>
      </w:r>
      <w:r w:rsidR="00474884" w:rsidRPr="001D656A">
        <w:rPr>
          <w:b/>
        </w:rPr>
        <w:t xml:space="preserve"> (Tibor Köböl)</w:t>
      </w:r>
      <w:r w:rsidR="009C1196" w:rsidRPr="001D656A">
        <w:t xml:space="preserve"> </w:t>
      </w:r>
      <w:r w:rsidR="009C1196" w:rsidRPr="001D656A">
        <w:rPr>
          <w:bdr w:val="none" w:sz="0" w:space="0" w:color="auto"/>
          <w:lang w:eastAsia="sk-SK"/>
        </w:rPr>
        <w:t>is the only one specific non-governmental organization associating adult and children with neuromuscular disorders in Slovakia from 1993. Our activities: advocacy of rights of people with NMD, social services, social and peer counselling, magazine Echo, summer camps and a lot of others.</w:t>
      </w:r>
    </w:p>
    <w:p w14:paraId="2DBDEFE8" w14:textId="67B1C7FB" w:rsidR="00DF536C" w:rsidRPr="001D656A" w:rsidRDefault="00DF536C" w:rsidP="00DF536C">
      <w:pPr>
        <w:rPr>
          <w:b/>
        </w:rPr>
      </w:pPr>
    </w:p>
    <w:p w14:paraId="38547741" w14:textId="47A14214" w:rsidR="007D28A5" w:rsidRPr="001D656A" w:rsidRDefault="007D28A5" w:rsidP="007D28A5">
      <w:pPr>
        <w:rPr>
          <w:bdr w:val="none" w:sz="0" w:space="0" w:color="auto"/>
          <w:lang w:eastAsia="sk-SK"/>
        </w:rPr>
      </w:pPr>
      <w:r w:rsidRPr="001D656A">
        <w:rPr>
          <w:b/>
          <w:bCs/>
          <w:bdr w:val="none" w:sz="0" w:space="0" w:color="auto"/>
          <w:lang w:eastAsia="sk-SK"/>
        </w:rPr>
        <w:t xml:space="preserve">Platform of Parents of Children with Disabilities </w:t>
      </w:r>
      <w:r w:rsidR="009833F9" w:rsidRPr="001D656A">
        <w:rPr>
          <w:b/>
          <w:bCs/>
          <w:bdr w:val="none" w:sz="0" w:space="0" w:color="auto"/>
          <w:lang w:eastAsia="sk-SK"/>
        </w:rPr>
        <w:t xml:space="preserve">(Jana Lowinski) </w:t>
      </w:r>
      <w:r w:rsidRPr="001D656A">
        <w:rPr>
          <w:bCs/>
          <w:bdr w:val="none" w:sz="0" w:space="0" w:color="auto"/>
          <w:lang w:eastAsia="sk-SK"/>
        </w:rPr>
        <w:t>is</w:t>
      </w:r>
      <w:r w:rsidRPr="001D656A">
        <w:rPr>
          <w:b/>
          <w:bCs/>
          <w:bdr w:val="none" w:sz="0" w:space="0" w:color="auto"/>
          <w:lang w:eastAsia="sk-SK"/>
        </w:rPr>
        <w:t xml:space="preserve"> </w:t>
      </w:r>
      <w:r w:rsidRPr="001D656A">
        <w:rPr>
          <w:bdr w:val="none" w:sz="0" w:space="0" w:color="auto"/>
          <w:lang w:eastAsia="sk-SK"/>
        </w:rPr>
        <w:t>parental NGO, which joins families of children with all the disabilities, collects their needs for change in social, health and education system. Platform provides peer counselling and advocates rights of children with disabilities e.g. for social services, education and independent life – building a bridge among them and the state institutions. </w:t>
      </w:r>
    </w:p>
    <w:p w14:paraId="76235894" w14:textId="77777777" w:rsidR="007D28A5" w:rsidRPr="001D656A" w:rsidRDefault="007D28A5" w:rsidP="007D28A5"/>
    <w:p w14:paraId="6AA9565E" w14:textId="4222B240" w:rsidR="00DF536C" w:rsidRPr="001D656A" w:rsidRDefault="00DF536C" w:rsidP="00DF536C">
      <w:pPr>
        <w:rPr>
          <w:b/>
        </w:rPr>
      </w:pPr>
      <w:r w:rsidRPr="001D656A">
        <w:rPr>
          <w:b/>
        </w:rPr>
        <w:t>Slovak Blind and Partially Sighted Union</w:t>
      </w:r>
      <w:r w:rsidR="009657B1" w:rsidRPr="001D656A">
        <w:rPr>
          <w:b/>
        </w:rPr>
        <w:t xml:space="preserve"> </w:t>
      </w:r>
      <w:r w:rsidR="00474884" w:rsidRPr="001D656A">
        <w:rPr>
          <w:b/>
        </w:rPr>
        <w:t>(Milan Měchura)</w:t>
      </w:r>
      <w:r w:rsidR="009657B1" w:rsidRPr="001D656A">
        <w:rPr>
          <w:b/>
        </w:rPr>
        <w:t xml:space="preserve"> </w:t>
      </w:r>
      <w:r w:rsidR="009657B1" w:rsidRPr="001D656A">
        <w:t xml:space="preserve">is a civic association that organizes blind and partially sighted people, their supporters, friends and family members. It focuses on advocacy of rights and interests of people with visual impairment. The organisation provides services (social counselling, social rehabilitation and other activities) aimed at independence improvement of blind and partially sighted people. At present, the organisation has more than 4000 members. It provides its services in all Slovakia regions. </w:t>
      </w:r>
      <w:hyperlink r:id="rId9" w:history="1">
        <w:r w:rsidR="009657B1" w:rsidRPr="001D656A">
          <w:rPr>
            <w:rStyle w:val="Hypertextovprepojenie"/>
          </w:rPr>
          <w:t>www.unss.sk</w:t>
        </w:r>
      </w:hyperlink>
      <w:r w:rsidR="009657B1" w:rsidRPr="001D656A">
        <w:t xml:space="preserve"> </w:t>
      </w:r>
    </w:p>
    <w:p w14:paraId="6651963F" w14:textId="04C735ED" w:rsidR="00DF536C" w:rsidRPr="001D656A" w:rsidRDefault="005938AC" w:rsidP="0086180D">
      <w:pPr>
        <w:spacing w:before="100" w:beforeAutospacing="1" w:after="100" w:afterAutospacing="1"/>
        <w:rPr>
          <w:rStyle w:val="m3158903075096665560dna"/>
          <w:rFonts w:ascii="Times New Roman" w:eastAsia="Times New Roman" w:hAnsi="Times New Roman"/>
          <w:bdr w:val="none" w:sz="0" w:space="0" w:color="auto"/>
        </w:rPr>
      </w:pPr>
      <w:r>
        <w:rPr>
          <w:b/>
        </w:rPr>
        <w:t>S</w:t>
      </w:r>
      <w:r w:rsidR="0086180D" w:rsidRPr="001D656A">
        <w:rPr>
          <w:b/>
        </w:rPr>
        <w:t>OCIA</w:t>
      </w:r>
      <w:r w:rsidR="00DF536C" w:rsidRPr="001D656A">
        <w:rPr>
          <w:b/>
        </w:rPr>
        <w:t xml:space="preserve"> Foundation</w:t>
      </w:r>
      <w:r w:rsidR="00474884" w:rsidRPr="001D656A">
        <w:rPr>
          <w:b/>
        </w:rPr>
        <w:t xml:space="preserve"> (Maria Machajdíková)</w:t>
      </w:r>
      <w:r w:rsidR="0086180D" w:rsidRPr="001D656A">
        <w:rPr>
          <w:b/>
        </w:rPr>
        <w:t xml:space="preserve"> – </w:t>
      </w:r>
      <w:r w:rsidR="0086180D" w:rsidRPr="001D656A">
        <w:rPr>
          <w:rStyle w:val="m3158903075096665560dna"/>
          <w:bCs/>
        </w:rPr>
        <w:t>Social Reform Foundation wishes to bring about changes in the social system through financial support and its own activities for the benefit of social groups that are most at risk. The vision of SOCIA Foundation is a tolerant civic society with disadvantaged and endangered people as their integral part. The collaboration of “weaker and stronger” should result in building quality and accessible social services - services that meet the individual needs of their beneficiaries in their natural environment. SOCIA provides grants for non-profit organisations and individuals to improve the quality of life of socially, physically and mentally disadvantaged groups. SOCIA has also own projects supporting community-</w:t>
      </w:r>
      <w:r w:rsidR="0086180D" w:rsidRPr="001D656A">
        <w:rPr>
          <w:rStyle w:val="m3158903075096665560dna"/>
          <w:bCs/>
        </w:rPr>
        <w:lastRenderedPageBreak/>
        <w:t>based services. SOCIA collaborates with NGOs and the public administration forming policies and legislative proposals to reform the social system, please visit www.socia.sk.</w:t>
      </w:r>
    </w:p>
    <w:p w14:paraId="1EE2ABC7" w14:textId="662A7813" w:rsidR="00307D5D" w:rsidRPr="001D656A" w:rsidRDefault="00307D5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cs="Calibri"/>
          <w:b/>
          <w:bCs/>
          <w:color w:val="000000"/>
          <w:u w:color="000000"/>
          <w:lang w:eastAsia="sk-SK"/>
        </w:rPr>
      </w:pPr>
      <w:r w:rsidRPr="001D656A">
        <w:rPr>
          <w:b/>
          <w:bCs/>
        </w:rPr>
        <w:br w:type="page"/>
      </w:r>
    </w:p>
    <w:sdt>
      <w:sdtPr>
        <w:rPr>
          <w:rFonts w:eastAsia="Arial Unicode MS" w:cs="Times New Roman"/>
          <w:b w:val="0"/>
          <w:bCs w:val="0"/>
          <w:sz w:val="24"/>
          <w:szCs w:val="24"/>
          <w:bdr w:val="nil"/>
          <w:lang w:eastAsia="en-US"/>
        </w:rPr>
        <w:id w:val="-158696579"/>
        <w:docPartObj>
          <w:docPartGallery w:val="Table of Contents"/>
          <w:docPartUnique/>
        </w:docPartObj>
      </w:sdtPr>
      <w:sdtEndPr/>
      <w:sdtContent>
        <w:p w14:paraId="166A36CF" w14:textId="1D18E546" w:rsidR="00B50C10" w:rsidRPr="001D656A" w:rsidRDefault="00B50C10">
          <w:pPr>
            <w:pStyle w:val="Hlavikaobsahu"/>
          </w:pPr>
          <w:r w:rsidRPr="001D656A">
            <w:t>Table of Contents</w:t>
          </w:r>
        </w:p>
        <w:p w14:paraId="4F249D08" w14:textId="64714F34" w:rsidR="005938AC" w:rsidRDefault="00B50C10">
          <w:pPr>
            <w:pStyle w:val="Obsah2"/>
            <w:tabs>
              <w:tab w:val="right" w:leader="dot" w:pos="9622"/>
            </w:tabs>
            <w:rPr>
              <w:rFonts w:asciiTheme="minorHAnsi" w:eastAsiaTheme="minorEastAsia" w:hAnsiTheme="minorHAnsi" w:cstheme="minorBidi"/>
              <w:noProof/>
              <w:sz w:val="22"/>
              <w:szCs w:val="22"/>
              <w:bdr w:val="none" w:sz="0" w:space="0" w:color="auto"/>
              <w:lang w:val="sk-SK" w:eastAsia="sk-SK"/>
            </w:rPr>
          </w:pPr>
          <w:r w:rsidRPr="001D656A">
            <w:fldChar w:fldCharType="begin"/>
          </w:r>
          <w:r w:rsidRPr="001D656A">
            <w:instrText xml:space="preserve"> TOC \o "1-3" \h \z \u </w:instrText>
          </w:r>
          <w:r w:rsidRPr="001D656A">
            <w:fldChar w:fldCharType="separate"/>
          </w:r>
          <w:hyperlink w:anchor="_Toc15062569" w:history="1">
            <w:r w:rsidR="005938AC" w:rsidRPr="00F14F39">
              <w:rPr>
                <w:rStyle w:val="Hypertextovprepojenie"/>
                <w:noProof/>
              </w:rPr>
              <w:t>Submitting organisations and authors</w:t>
            </w:r>
            <w:r w:rsidR="005938AC">
              <w:rPr>
                <w:noProof/>
                <w:webHidden/>
              </w:rPr>
              <w:tab/>
            </w:r>
            <w:r w:rsidR="005938AC">
              <w:rPr>
                <w:noProof/>
                <w:webHidden/>
              </w:rPr>
              <w:fldChar w:fldCharType="begin"/>
            </w:r>
            <w:r w:rsidR="005938AC">
              <w:rPr>
                <w:noProof/>
                <w:webHidden/>
              </w:rPr>
              <w:instrText xml:space="preserve"> PAGEREF _Toc15062569 \h </w:instrText>
            </w:r>
            <w:r w:rsidR="005938AC">
              <w:rPr>
                <w:noProof/>
                <w:webHidden/>
              </w:rPr>
            </w:r>
            <w:r w:rsidR="005938AC">
              <w:rPr>
                <w:noProof/>
                <w:webHidden/>
              </w:rPr>
              <w:fldChar w:fldCharType="separate"/>
            </w:r>
            <w:r w:rsidR="005938AC">
              <w:rPr>
                <w:noProof/>
                <w:webHidden/>
              </w:rPr>
              <w:t>2</w:t>
            </w:r>
            <w:r w:rsidR="005938AC">
              <w:rPr>
                <w:noProof/>
                <w:webHidden/>
              </w:rPr>
              <w:fldChar w:fldCharType="end"/>
            </w:r>
          </w:hyperlink>
        </w:p>
        <w:p w14:paraId="4AA90F9A" w14:textId="3BCD23AA" w:rsidR="005938AC" w:rsidRDefault="00591A69">
          <w:pPr>
            <w:pStyle w:val="Obsah2"/>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0" w:history="1">
            <w:r w:rsidR="005938AC" w:rsidRPr="00F14F39">
              <w:rPr>
                <w:rStyle w:val="Hypertextovprepojenie"/>
                <w:noProof/>
                <w:shd w:val="clear" w:color="auto" w:fill="FEFEFE"/>
              </w:rPr>
              <w:t>Executive summary</w:t>
            </w:r>
            <w:r w:rsidR="005938AC">
              <w:rPr>
                <w:noProof/>
                <w:webHidden/>
              </w:rPr>
              <w:tab/>
            </w:r>
            <w:r w:rsidR="005938AC">
              <w:rPr>
                <w:noProof/>
                <w:webHidden/>
              </w:rPr>
              <w:fldChar w:fldCharType="begin"/>
            </w:r>
            <w:r w:rsidR="005938AC">
              <w:rPr>
                <w:noProof/>
                <w:webHidden/>
              </w:rPr>
              <w:instrText xml:space="preserve"> PAGEREF _Toc15062570 \h </w:instrText>
            </w:r>
            <w:r w:rsidR="005938AC">
              <w:rPr>
                <w:noProof/>
                <w:webHidden/>
              </w:rPr>
            </w:r>
            <w:r w:rsidR="005938AC">
              <w:rPr>
                <w:noProof/>
                <w:webHidden/>
              </w:rPr>
              <w:fldChar w:fldCharType="separate"/>
            </w:r>
            <w:r w:rsidR="005938AC">
              <w:rPr>
                <w:noProof/>
                <w:webHidden/>
              </w:rPr>
              <w:t>5</w:t>
            </w:r>
            <w:r w:rsidR="005938AC">
              <w:rPr>
                <w:noProof/>
                <w:webHidden/>
              </w:rPr>
              <w:fldChar w:fldCharType="end"/>
            </w:r>
          </w:hyperlink>
        </w:p>
        <w:p w14:paraId="52C85CAA" w14:textId="3E2388D8" w:rsidR="005938AC" w:rsidRDefault="00591A69">
          <w:pPr>
            <w:pStyle w:val="Obsah2"/>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1" w:history="1">
            <w:r w:rsidR="005938AC" w:rsidRPr="00F14F39">
              <w:rPr>
                <w:rStyle w:val="Hypertextovprepojenie"/>
                <w:noProof/>
              </w:rPr>
              <w:t>INTRODUCTION</w:t>
            </w:r>
            <w:r w:rsidR="005938AC">
              <w:rPr>
                <w:noProof/>
                <w:webHidden/>
              </w:rPr>
              <w:tab/>
            </w:r>
            <w:r w:rsidR="005938AC">
              <w:rPr>
                <w:noProof/>
                <w:webHidden/>
              </w:rPr>
              <w:fldChar w:fldCharType="begin"/>
            </w:r>
            <w:r w:rsidR="005938AC">
              <w:rPr>
                <w:noProof/>
                <w:webHidden/>
              </w:rPr>
              <w:instrText xml:space="preserve"> PAGEREF _Toc15062571 \h </w:instrText>
            </w:r>
            <w:r w:rsidR="005938AC">
              <w:rPr>
                <w:noProof/>
                <w:webHidden/>
              </w:rPr>
            </w:r>
            <w:r w:rsidR="005938AC">
              <w:rPr>
                <w:noProof/>
                <w:webHidden/>
              </w:rPr>
              <w:fldChar w:fldCharType="separate"/>
            </w:r>
            <w:r w:rsidR="005938AC">
              <w:rPr>
                <w:noProof/>
                <w:webHidden/>
              </w:rPr>
              <w:t>7</w:t>
            </w:r>
            <w:r w:rsidR="005938AC">
              <w:rPr>
                <w:noProof/>
                <w:webHidden/>
              </w:rPr>
              <w:fldChar w:fldCharType="end"/>
            </w:r>
          </w:hyperlink>
        </w:p>
        <w:p w14:paraId="6B97B7CD" w14:textId="2C34E831" w:rsidR="005938AC" w:rsidRDefault="00591A69">
          <w:pPr>
            <w:pStyle w:val="Obsah2"/>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2" w:history="1">
            <w:r w:rsidR="005938AC" w:rsidRPr="00F14F39">
              <w:rPr>
                <w:rStyle w:val="Hypertextovprepojenie"/>
                <w:noProof/>
              </w:rPr>
              <w:t>SELECTED ARTICLES OF THE CRPD</w:t>
            </w:r>
            <w:r w:rsidR="005938AC">
              <w:rPr>
                <w:noProof/>
                <w:webHidden/>
              </w:rPr>
              <w:tab/>
            </w:r>
            <w:r w:rsidR="005938AC">
              <w:rPr>
                <w:noProof/>
                <w:webHidden/>
              </w:rPr>
              <w:fldChar w:fldCharType="begin"/>
            </w:r>
            <w:r w:rsidR="005938AC">
              <w:rPr>
                <w:noProof/>
                <w:webHidden/>
              </w:rPr>
              <w:instrText xml:space="preserve"> PAGEREF _Toc15062572 \h </w:instrText>
            </w:r>
            <w:r w:rsidR="005938AC">
              <w:rPr>
                <w:noProof/>
                <w:webHidden/>
              </w:rPr>
            </w:r>
            <w:r w:rsidR="005938AC">
              <w:rPr>
                <w:noProof/>
                <w:webHidden/>
              </w:rPr>
              <w:fldChar w:fldCharType="separate"/>
            </w:r>
            <w:r w:rsidR="005938AC">
              <w:rPr>
                <w:noProof/>
                <w:webHidden/>
              </w:rPr>
              <w:t>8</w:t>
            </w:r>
            <w:r w:rsidR="005938AC">
              <w:rPr>
                <w:noProof/>
                <w:webHidden/>
              </w:rPr>
              <w:fldChar w:fldCharType="end"/>
            </w:r>
          </w:hyperlink>
        </w:p>
        <w:p w14:paraId="36732FB4" w14:textId="3794959A"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3" w:history="1">
            <w:r w:rsidR="005938AC" w:rsidRPr="00F14F39">
              <w:rPr>
                <w:rStyle w:val="Hypertextovprepojenie"/>
                <w:rFonts w:eastAsia="Verdana"/>
                <w:noProof/>
              </w:rPr>
              <w:t>Article 5 – Equality and Non-discrimination</w:t>
            </w:r>
            <w:r w:rsidR="005938AC">
              <w:rPr>
                <w:noProof/>
                <w:webHidden/>
              </w:rPr>
              <w:tab/>
            </w:r>
            <w:r w:rsidR="005938AC">
              <w:rPr>
                <w:noProof/>
                <w:webHidden/>
              </w:rPr>
              <w:fldChar w:fldCharType="begin"/>
            </w:r>
            <w:r w:rsidR="005938AC">
              <w:rPr>
                <w:noProof/>
                <w:webHidden/>
              </w:rPr>
              <w:instrText xml:space="preserve"> PAGEREF _Toc15062573 \h </w:instrText>
            </w:r>
            <w:r w:rsidR="005938AC">
              <w:rPr>
                <w:noProof/>
                <w:webHidden/>
              </w:rPr>
            </w:r>
            <w:r w:rsidR="005938AC">
              <w:rPr>
                <w:noProof/>
                <w:webHidden/>
              </w:rPr>
              <w:fldChar w:fldCharType="separate"/>
            </w:r>
            <w:r w:rsidR="005938AC">
              <w:rPr>
                <w:noProof/>
                <w:webHidden/>
              </w:rPr>
              <w:t>8</w:t>
            </w:r>
            <w:r w:rsidR="005938AC">
              <w:rPr>
                <w:noProof/>
                <w:webHidden/>
              </w:rPr>
              <w:fldChar w:fldCharType="end"/>
            </w:r>
          </w:hyperlink>
        </w:p>
        <w:p w14:paraId="7BF9EC85" w14:textId="08BB46CA"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4" w:history="1">
            <w:r w:rsidR="005938AC" w:rsidRPr="00F14F39">
              <w:rPr>
                <w:rStyle w:val="Hypertextovprepojenie"/>
                <w:noProof/>
              </w:rPr>
              <w:t>Article 7 – Children with disabilities´</w:t>
            </w:r>
            <w:r w:rsidR="005938AC">
              <w:rPr>
                <w:noProof/>
                <w:webHidden/>
              </w:rPr>
              <w:tab/>
            </w:r>
            <w:r w:rsidR="005938AC">
              <w:rPr>
                <w:noProof/>
                <w:webHidden/>
              </w:rPr>
              <w:fldChar w:fldCharType="begin"/>
            </w:r>
            <w:r w:rsidR="005938AC">
              <w:rPr>
                <w:noProof/>
                <w:webHidden/>
              </w:rPr>
              <w:instrText xml:space="preserve"> PAGEREF _Toc15062574 \h </w:instrText>
            </w:r>
            <w:r w:rsidR="005938AC">
              <w:rPr>
                <w:noProof/>
                <w:webHidden/>
              </w:rPr>
            </w:r>
            <w:r w:rsidR="005938AC">
              <w:rPr>
                <w:noProof/>
                <w:webHidden/>
              </w:rPr>
              <w:fldChar w:fldCharType="separate"/>
            </w:r>
            <w:r w:rsidR="005938AC">
              <w:rPr>
                <w:noProof/>
                <w:webHidden/>
              </w:rPr>
              <w:t>9</w:t>
            </w:r>
            <w:r w:rsidR="005938AC">
              <w:rPr>
                <w:noProof/>
                <w:webHidden/>
              </w:rPr>
              <w:fldChar w:fldCharType="end"/>
            </w:r>
          </w:hyperlink>
        </w:p>
        <w:p w14:paraId="3DF3AC3E" w14:textId="419E42F4"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5" w:history="1">
            <w:r w:rsidR="005938AC" w:rsidRPr="00F14F39">
              <w:rPr>
                <w:rStyle w:val="Hypertextovprepojenie"/>
                <w:noProof/>
              </w:rPr>
              <w:t>Article 9 – Accessibility</w:t>
            </w:r>
            <w:r w:rsidR="005938AC">
              <w:rPr>
                <w:noProof/>
                <w:webHidden/>
              </w:rPr>
              <w:tab/>
            </w:r>
            <w:r w:rsidR="005938AC">
              <w:rPr>
                <w:noProof/>
                <w:webHidden/>
              </w:rPr>
              <w:fldChar w:fldCharType="begin"/>
            </w:r>
            <w:r w:rsidR="005938AC">
              <w:rPr>
                <w:noProof/>
                <w:webHidden/>
              </w:rPr>
              <w:instrText xml:space="preserve"> PAGEREF _Toc15062575 \h </w:instrText>
            </w:r>
            <w:r w:rsidR="005938AC">
              <w:rPr>
                <w:noProof/>
                <w:webHidden/>
              </w:rPr>
            </w:r>
            <w:r w:rsidR="005938AC">
              <w:rPr>
                <w:noProof/>
                <w:webHidden/>
              </w:rPr>
              <w:fldChar w:fldCharType="separate"/>
            </w:r>
            <w:r w:rsidR="005938AC">
              <w:rPr>
                <w:noProof/>
                <w:webHidden/>
              </w:rPr>
              <w:t>10</w:t>
            </w:r>
            <w:r w:rsidR="005938AC">
              <w:rPr>
                <w:noProof/>
                <w:webHidden/>
              </w:rPr>
              <w:fldChar w:fldCharType="end"/>
            </w:r>
          </w:hyperlink>
        </w:p>
        <w:p w14:paraId="48239F2A" w14:textId="4421BF7D"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6" w:history="1">
            <w:r w:rsidR="005938AC" w:rsidRPr="00F14F39">
              <w:rPr>
                <w:rStyle w:val="Hypertextovprepojenie"/>
                <w:rFonts w:eastAsia="Times New Roman"/>
                <w:noProof/>
                <w:lang w:eastAsia="sk-SK"/>
              </w:rPr>
              <w:t>Article 12 – Deprivation and restriction of legal capacity</w:t>
            </w:r>
            <w:r w:rsidR="005938AC">
              <w:rPr>
                <w:noProof/>
                <w:webHidden/>
              </w:rPr>
              <w:tab/>
            </w:r>
            <w:r w:rsidR="005938AC">
              <w:rPr>
                <w:noProof/>
                <w:webHidden/>
              </w:rPr>
              <w:fldChar w:fldCharType="begin"/>
            </w:r>
            <w:r w:rsidR="005938AC">
              <w:rPr>
                <w:noProof/>
                <w:webHidden/>
              </w:rPr>
              <w:instrText xml:space="preserve"> PAGEREF _Toc15062576 \h </w:instrText>
            </w:r>
            <w:r w:rsidR="005938AC">
              <w:rPr>
                <w:noProof/>
                <w:webHidden/>
              </w:rPr>
            </w:r>
            <w:r w:rsidR="005938AC">
              <w:rPr>
                <w:noProof/>
                <w:webHidden/>
              </w:rPr>
              <w:fldChar w:fldCharType="separate"/>
            </w:r>
            <w:r w:rsidR="005938AC">
              <w:rPr>
                <w:noProof/>
                <w:webHidden/>
              </w:rPr>
              <w:t>13</w:t>
            </w:r>
            <w:r w:rsidR="005938AC">
              <w:rPr>
                <w:noProof/>
                <w:webHidden/>
              </w:rPr>
              <w:fldChar w:fldCharType="end"/>
            </w:r>
          </w:hyperlink>
        </w:p>
        <w:p w14:paraId="199DE387" w14:textId="7A6C9A4B"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7" w:history="1">
            <w:r w:rsidR="005938AC" w:rsidRPr="00F14F39">
              <w:rPr>
                <w:rStyle w:val="Hypertextovprepojenie"/>
                <w:rFonts w:eastAsia="Times New Roman"/>
                <w:noProof/>
                <w:lang w:eastAsia="sk-SK"/>
              </w:rPr>
              <w:t>Article 13 – Access to Justice</w:t>
            </w:r>
            <w:r w:rsidR="005938AC">
              <w:rPr>
                <w:noProof/>
                <w:webHidden/>
              </w:rPr>
              <w:tab/>
            </w:r>
            <w:r w:rsidR="005938AC">
              <w:rPr>
                <w:noProof/>
                <w:webHidden/>
              </w:rPr>
              <w:fldChar w:fldCharType="begin"/>
            </w:r>
            <w:r w:rsidR="005938AC">
              <w:rPr>
                <w:noProof/>
                <w:webHidden/>
              </w:rPr>
              <w:instrText xml:space="preserve"> PAGEREF _Toc15062577 \h </w:instrText>
            </w:r>
            <w:r w:rsidR="005938AC">
              <w:rPr>
                <w:noProof/>
                <w:webHidden/>
              </w:rPr>
            </w:r>
            <w:r w:rsidR="005938AC">
              <w:rPr>
                <w:noProof/>
                <w:webHidden/>
              </w:rPr>
              <w:fldChar w:fldCharType="separate"/>
            </w:r>
            <w:r w:rsidR="005938AC">
              <w:rPr>
                <w:noProof/>
                <w:webHidden/>
              </w:rPr>
              <w:t>14</w:t>
            </w:r>
            <w:r w:rsidR="005938AC">
              <w:rPr>
                <w:noProof/>
                <w:webHidden/>
              </w:rPr>
              <w:fldChar w:fldCharType="end"/>
            </w:r>
          </w:hyperlink>
        </w:p>
        <w:p w14:paraId="592E80A4" w14:textId="7D944E89"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8" w:history="1">
            <w:r w:rsidR="005938AC" w:rsidRPr="00F14F39">
              <w:rPr>
                <w:rStyle w:val="Hypertextovprepojenie"/>
                <w:noProof/>
              </w:rPr>
              <w:t>Article</w:t>
            </w:r>
            <w:r w:rsidR="005938AC" w:rsidRPr="00F14F39">
              <w:rPr>
                <w:rStyle w:val="Hypertextovprepojenie"/>
                <w:rFonts w:eastAsia="Times New Roman"/>
                <w:noProof/>
                <w:lang w:eastAsia="sk-SK"/>
              </w:rPr>
              <w:t xml:space="preserve"> 14 – Right to Liberty</w:t>
            </w:r>
            <w:r w:rsidR="005938AC">
              <w:rPr>
                <w:noProof/>
                <w:webHidden/>
              </w:rPr>
              <w:tab/>
            </w:r>
            <w:r w:rsidR="005938AC">
              <w:rPr>
                <w:noProof/>
                <w:webHidden/>
              </w:rPr>
              <w:fldChar w:fldCharType="begin"/>
            </w:r>
            <w:r w:rsidR="005938AC">
              <w:rPr>
                <w:noProof/>
                <w:webHidden/>
              </w:rPr>
              <w:instrText xml:space="preserve"> PAGEREF _Toc15062578 \h </w:instrText>
            </w:r>
            <w:r w:rsidR="005938AC">
              <w:rPr>
                <w:noProof/>
                <w:webHidden/>
              </w:rPr>
            </w:r>
            <w:r w:rsidR="005938AC">
              <w:rPr>
                <w:noProof/>
                <w:webHidden/>
              </w:rPr>
              <w:fldChar w:fldCharType="separate"/>
            </w:r>
            <w:r w:rsidR="005938AC">
              <w:rPr>
                <w:noProof/>
                <w:webHidden/>
              </w:rPr>
              <w:t>15</w:t>
            </w:r>
            <w:r w:rsidR="005938AC">
              <w:rPr>
                <w:noProof/>
                <w:webHidden/>
              </w:rPr>
              <w:fldChar w:fldCharType="end"/>
            </w:r>
          </w:hyperlink>
        </w:p>
        <w:p w14:paraId="680A022C" w14:textId="039FFDB8"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79" w:history="1">
            <w:r w:rsidR="005938AC" w:rsidRPr="00F14F39">
              <w:rPr>
                <w:rStyle w:val="Hypertextovprepojenie"/>
                <w:noProof/>
              </w:rPr>
              <w:t>Articles</w:t>
            </w:r>
            <w:r w:rsidR="005938AC" w:rsidRPr="00F14F39">
              <w:rPr>
                <w:rStyle w:val="Hypertextovprepojenie"/>
                <w:rFonts w:eastAsia="Times New Roman"/>
                <w:noProof/>
                <w:lang w:eastAsia="sk-SK"/>
              </w:rPr>
              <w:t xml:space="preserve"> 15 and 16 – Ill-</w:t>
            </w:r>
            <w:r w:rsidR="005938AC" w:rsidRPr="00F14F39">
              <w:rPr>
                <w:rStyle w:val="Hypertextovprepojenie"/>
                <w:noProof/>
              </w:rPr>
              <w:t>treatment</w:t>
            </w:r>
            <w:r w:rsidR="005938AC" w:rsidRPr="00F14F39">
              <w:rPr>
                <w:rStyle w:val="Hypertextovprepojenie"/>
                <w:rFonts w:eastAsia="Times New Roman"/>
                <w:noProof/>
                <w:lang w:eastAsia="sk-SK"/>
              </w:rPr>
              <w:t xml:space="preserve"> of persons with disabilities</w:t>
            </w:r>
            <w:r w:rsidR="005938AC">
              <w:rPr>
                <w:noProof/>
                <w:webHidden/>
              </w:rPr>
              <w:tab/>
            </w:r>
            <w:r w:rsidR="005938AC">
              <w:rPr>
                <w:noProof/>
                <w:webHidden/>
              </w:rPr>
              <w:fldChar w:fldCharType="begin"/>
            </w:r>
            <w:r w:rsidR="005938AC">
              <w:rPr>
                <w:noProof/>
                <w:webHidden/>
              </w:rPr>
              <w:instrText xml:space="preserve"> PAGEREF _Toc15062579 \h </w:instrText>
            </w:r>
            <w:r w:rsidR="005938AC">
              <w:rPr>
                <w:noProof/>
                <w:webHidden/>
              </w:rPr>
            </w:r>
            <w:r w:rsidR="005938AC">
              <w:rPr>
                <w:noProof/>
                <w:webHidden/>
              </w:rPr>
              <w:fldChar w:fldCharType="separate"/>
            </w:r>
            <w:r w:rsidR="005938AC">
              <w:rPr>
                <w:noProof/>
                <w:webHidden/>
              </w:rPr>
              <w:t>16</w:t>
            </w:r>
            <w:r w:rsidR="005938AC">
              <w:rPr>
                <w:noProof/>
                <w:webHidden/>
              </w:rPr>
              <w:fldChar w:fldCharType="end"/>
            </w:r>
          </w:hyperlink>
        </w:p>
        <w:p w14:paraId="63022FB8" w14:textId="76592B37"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0" w:history="1">
            <w:r w:rsidR="005938AC" w:rsidRPr="00F14F39">
              <w:rPr>
                <w:rStyle w:val="Hypertextovprepojenie"/>
                <w:rFonts w:eastAsia="Times New Roman"/>
                <w:noProof/>
                <w:lang w:val="en-US" w:eastAsia="sk-SK"/>
              </w:rPr>
              <w:t>Article 19 – Living Independently and Being Included into Community</w:t>
            </w:r>
            <w:r w:rsidR="005938AC">
              <w:rPr>
                <w:noProof/>
                <w:webHidden/>
              </w:rPr>
              <w:tab/>
            </w:r>
            <w:r w:rsidR="005938AC">
              <w:rPr>
                <w:noProof/>
                <w:webHidden/>
              </w:rPr>
              <w:fldChar w:fldCharType="begin"/>
            </w:r>
            <w:r w:rsidR="005938AC">
              <w:rPr>
                <w:noProof/>
                <w:webHidden/>
              </w:rPr>
              <w:instrText xml:space="preserve"> PAGEREF _Toc15062580 \h </w:instrText>
            </w:r>
            <w:r w:rsidR="005938AC">
              <w:rPr>
                <w:noProof/>
                <w:webHidden/>
              </w:rPr>
            </w:r>
            <w:r w:rsidR="005938AC">
              <w:rPr>
                <w:noProof/>
                <w:webHidden/>
              </w:rPr>
              <w:fldChar w:fldCharType="separate"/>
            </w:r>
            <w:r w:rsidR="005938AC">
              <w:rPr>
                <w:noProof/>
                <w:webHidden/>
              </w:rPr>
              <w:t>17</w:t>
            </w:r>
            <w:r w:rsidR="005938AC">
              <w:rPr>
                <w:noProof/>
                <w:webHidden/>
              </w:rPr>
              <w:fldChar w:fldCharType="end"/>
            </w:r>
          </w:hyperlink>
        </w:p>
        <w:p w14:paraId="65ED8899" w14:textId="0586D23A"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1" w:history="1">
            <w:r w:rsidR="005938AC" w:rsidRPr="00F14F39">
              <w:rPr>
                <w:rStyle w:val="Hypertextovprepojenie"/>
                <w:rFonts w:eastAsia="Verdana"/>
                <w:noProof/>
              </w:rPr>
              <w:t>Article 20 – Personal Mobility</w:t>
            </w:r>
            <w:r w:rsidR="005938AC">
              <w:rPr>
                <w:noProof/>
                <w:webHidden/>
              </w:rPr>
              <w:tab/>
            </w:r>
            <w:r w:rsidR="005938AC">
              <w:rPr>
                <w:noProof/>
                <w:webHidden/>
              </w:rPr>
              <w:fldChar w:fldCharType="begin"/>
            </w:r>
            <w:r w:rsidR="005938AC">
              <w:rPr>
                <w:noProof/>
                <w:webHidden/>
              </w:rPr>
              <w:instrText xml:space="preserve"> PAGEREF _Toc15062581 \h </w:instrText>
            </w:r>
            <w:r w:rsidR="005938AC">
              <w:rPr>
                <w:noProof/>
                <w:webHidden/>
              </w:rPr>
            </w:r>
            <w:r w:rsidR="005938AC">
              <w:rPr>
                <w:noProof/>
                <w:webHidden/>
              </w:rPr>
              <w:fldChar w:fldCharType="separate"/>
            </w:r>
            <w:r w:rsidR="005938AC">
              <w:rPr>
                <w:noProof/>
                <w:webHidden/>
              </w:rPr>
              <w:t>20</w:t>
            </w:r>
            <w:r w:rsidR="005938AC">
              <w:rPr>
                <w:noProof/>
                <w:webHidden/>
              </w:rPr>
              <w:fldChar w:fldCharType="end"/>
            </w:r>
          </w:hyperlink>
        </w:p>
        <w:p w14:paraId="649E3EDB" w14:textId="22A67C3D"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2" w:history="1">
            <w:r w:rsidR="005938AC" w:rsidRPr="00F14F39">
              <w:rPr>
                <w:rStyle w:val="Hypertextovprepojenie"/>
                <w:noProof/>
              </w:rPr>
              <w:t>Article 21 – Freedom of Expression and Opinion and Access to Information</w:t>
            </w:r>
            <w:r w:rsidR="005938AC">
              <w:rPr>
                <w:noProof/>
                <w:webHidden/>
              </w:rPr>
              <w:tab/>
            </w:r>
            <w:r w:rsidR="005938AC">
              <w:rPr>
                <w:noProof/>
                <w:webHidden/>
              </w:rPr>
              <w:fldChar w:fldCharType="begin"/>
            </w:r>
            <w:r w:rsidR="005938AC">
              <w:rPr>
                <w:noProof/>
                <w:webHidden/>
              </w:rPr>
              <w:instrText xml:space="preserve"> PAGEREF _Toc15062582 \h </w:instrText>
            </w:r>
            <w:r w:rsidR="005938AC">
              <w:rPr>
                <w:noProof/>
                <w:webHidden/>
              </w:rPr>
            </w:r>
            <w:r w:rsidR="005938AC">
              <w:rPr>
                <w:noProof/>
                <w:webHidden/>
              </w:rPr>
              <w:fldChar w:fldCharType="separate"/>
            </w:r>
            <w:r w:rsidR="005938AC">
              <w:rPr>
                <w:noProof/>
                <w:webHidden/>
              </w:rPr>
              <w:t>21</w:t>
            </w:r>
            <w:r w:rsidR="005938AC">
              <w:rPr>
                <w:noProof/>
                <w:webHidden/>
              </w:rPr>
              <w:fldChar w:fldCharType="end"/>
            </w:r>
          </w:hyperlink>
        </w:p>
        <w:p w14:paraId="25DE3944" w14:textId="46F70817"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3" w:history="1">
            <w:r w:rsidR="005938AC" w:rsidRPr="00F14F39">
              <w:rPr>
                <w:rStyle w:val="Hypertextovprepojenie"/>
                <w:noProof/>
              </w:rPr>
              <w:t>Article 23 – Respect for Home and Family</w:t>
            </w:r>
            <w:r w:rsidR="005938AC">
              <w:rPr>
                <w:noProof/>
                <w:webHidden/>
              </w:rPr>
              <w:tab/>
            </w:r>
            <w:r w:rsidR="005938AC">
              <w:rPr>
                <w:noProof/>
                <w:webHidden/>
              </w:rPr>
              <w:fldChar w:fldCharType="begin"/>
            </w:r>
            <w:r w:rsidR="005938AC">
              <w:rPr>
                <w:noProof/>
                <w:webHidden/>
              </w:rPr>
              <w:instrText xml:space="preserve"> PAGEREF _Toc15062583 \h </w:instrText>
            </w:r>
            <w:r w:rsidR="005938AC">
              <w:rPr>
                <w:noProof/>
                <w:webHidden/>
              </w:rPr>
            </w:r>
            <w:r w:rsidR="005938AC">
              <w:rPr>
                <w:noProof/>
                <w:webHidden/>
              </w:rPr>
              <w:fldChar w:fldCharType="separate"/>
            </w:r>
            <w:r w:rsidR="005938AC">
              <w:rPr>
                <w:noProof/>
                <w:webHidden/>
              </w:rPr>
              <w:t>21</w:t>
            </w:r>
            <w:r w:rsidR="005938AC">
              <w:rPr>
                <w:noProof/>
                <w:webHidden/>
              </w:rPr>
              <w:fldChar w:fldCharType="end"/>
            </w:r>
          </w:hyperlink>
        </w:p>
        <w:p w14:paraId="5947BA25" w14:textId="4FE663E5"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4" w:history="1">
            <w:r w:rsidR="005938AC" w:rsidRPr="00F14F39">
              <w:rPr>
                <w:rStyle w:val="Hypertextovprepojenie"/>
                <w:noProof/>
              </w:rPr>
              <w:t>Article</w:t>
            </w:r>
            <w:r w:rsidR="005938AC" w:rsidRPr="00F14F39">
              <w:rPr>
                <w:rStyle w:val="Hypertextovprepojenie"/>
                <w:bCs/>
                <w:noProof/>
              </w:rPr>
              <w:t xml:space="preserve"> </w:t>
            </w:r>
            <w:r w:rsidR="005938AC" w:rsidRPr="00F14F39">
              <w:rPr>
                <w:rStyle w:val="Hypertextovprepojenie"/>
                <w:noProof/>
              </w:rPr>
              <w:t>24</w:t>
            </w:r>
            <w:r w:rsidR="005938AC" w:rsidRPr="00F14F39">
              <w:rPr>
                <w:rStyle w:val="Hypertextovprepojenie"/>
                <w:bCs/>
                <w:noProof/>
              </w:rPr>
              <w:t xml:space="preserve"> – </w:t>
            </w:r>
            <w:r w:rsidR="005938AC" w:rsidRPr="00F14F39">
              <w:rPr>
                <w:rStyle w:val="Hypertextovprepojenie"/>
                <w:noProof/>
              </w:rPr>
              <w:t>Education</w:t>
            </w:r>
            <w:r w:rsidR="005938AC">
              <w:rPr>
                <w:noProof/>
                <w:webHidden/>
              </w:rPr>
              <w:tab/>
            </w:r>
            <w:r w:rsidR="005938AC">
              <w:rPr>
                <w:noProof/>
                <w:webHidden/>
              </w:rPr>
              <w:fldChar w:fldCharType="begin"/>
            </w:r>
            <w:r w:rsidR="005938AC">
              <w:rPr>
                <w:noProof/>
                <w:webHidden/>
              </w:rPr>
              <w:instrText xml:space="preserve"> PAGEREF _Toc15062584 \h </w:instrText>
            </w:r>
            <w:r w:rsidR="005938AC">
              <w:rPr>
                <w:noProof/>
                <w:webHidden/>
              </w:rPr>
            </w:r>
            <w:r w:rsidR="005938AC">
              <w:rPr>
                <w:noProof/>
                <w:webHidden/>
              </w:rPr>
              <w:fldChar w:fldCharType="separate"/>
            </w:r>
            <w:r w:rsidR="005938AC">
              <w:rPr>
                <w:noProof/>
                <w:webHidden/>
              </w:rPr>
              <w:t>22</w:t>
            </w:r>
            <w:r w:rsidR="005938AC">
              <w:rPr>
                <w:noProof/>
                <w:webHidden/>
              </w:rPr>
              <w:fldChar w:fldCharType="end"/>
            </w:r>
          </w:hyperlink>
        </w:p>
        <w:p w14:paraId="2FBD127B" w14:textId="3BEE779D"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5" w:history="1">
            <w:r w:rsidR="005938AC" w:rsidRPr="00F14F39">
              <w:rPr>
                <w:rStyle w:val="Hypertextovprepojenie"/>
                <w:rFonts w:eastAsia="Times New Roman"/>
                <w:noProof/>
                <w:lang w:eastAsia="sk-SK"/>
              </w:rPr>
              <w:t>Article 25 – Health</w:t>
            </w:r>
            <w:r w:rsidR="005938AC">
              <w:rPr>
                <w:noProof/>
                <w:webHidden/>
              </w:rPr>
              <w:tab/>
            </w:r>
            <w:r w:rsidR="005938AC">
              <w:rPr>
                <w:noProof/>
                <w:webHidden/>
              </w:rPr>
              <w:fldChar w:fldCharType="begin"/>
            </w:r>
            <w:r w:rsidR="005938AC">
              <w:rPr>
                <w:noProof/>
                <w:webHidden/>
              </w:rPr>
              <w:instrText xml:space="preserve"> PAGEREF _Toc15062585 \h </w:instrText>
            </w:r>
            <w:r w:rsidR="005938AC">
              <w:rPr>
                <w:noProof/>
                <w:webHidden/>
              </w:rPr>
            </w:r>
            <w:r w:rsidR="005938AC">
              <w:rPr>
                <w:noProof/>
                <w:webHidden/>
              </w:rPr>
              <w:fldChar w:fldCharType="separate"/>
            </w:r>
            <w:r w:rsidR="005938AC">
              <w:rPr>
                <w:noProof/>
                <w:webHidden/>
              </w:rPr>
              <w:t>25</w:t>
            </w:r>
            <w:r w:rsidR="005938AC">
              <w:rPr>
                <w:noProof/>
                <w:webHidden/>
              </w:rPr>
              <w:fldChar w:fldCharType="end"/>
            </w:r>
          </w:hyperlink>
        </w:p>
        <w:p w14:paraId="037AC7E3" w14:textId="238F9428"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6" w:history="1">
            <w:r w:rsidR="005938AC" w:rsidRPr="00F14F39">
              <w:rPr>
                <w:rStyle w:val="Hypertextovprepojenie"/>
                <w:rFonts w:eastAsia="Times New Roman"/>
                <w:noProof/>
                <w:lang w:val="en-US"/>
              </w:rPr>
              <w:t>Article 27 – Work and Employment</w:t>
            </w:r>
            <w:r w:rsidR="005938AC">
              <w:rPr>
                <w:noProof/>
                <w:webHidden/>
              </w:rPr>
              <w:tab/>
            </w:r>
            <w:r w:rsidR="005938AC">
              <w:rPr>
                <w:noProof/>
                <w:webHidden/>
              </w:rPr>
              <w:fldChar w:fldCharType="begin"/>
            </w:r>
            <w:r w:rsidR="005938AC">
              <w:rPr>
                <w:noProof/>
                <w:webHidden/>
              </w:rPr>
              <w:instrText xml:space="preserve"> PAGEREF _Toc15062586 \h </w:instrText>
            </w:r>
            <w:r w:rsidR="005938AC">
              <w:rPr>
                <w:noProof/>
                <w:webHidden/>
              </w:rPr>
            </w:r>
            <w:r w:rsidR="005938AC">
              <w:rPr>
                <w:noProof/>
                <w:webHidden/>
              </w:rPr>
              <w:fldChar w:fldCharType="separate"/>
            </w:r>
            <w:r w:rsidR="005938AC">
              <w:rPr>
                <w:noProof/>
                <w:webHidden/>
              </w:rPr>
              <w:t>26</w:t>
            </w:r>
            <w:r w:rsidR="005938AC">
              <w:rPr>
                <w:noProof/>
                <w:webHidden/>
              </w:rPr>
              <w:fldChar w:fldCharType="end"/>
            </w:r>
          </w:hyperlink>
        </w:p>
        <w:p w14:paraId="185302B8" w14:textId="5A0EB71E"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7" w:history="1">
            <w:r w:rsidR="005938AC" w:rsidRPr="00F14F39">
              <w:rPr>
                <w:rStyle w:val="Hypertextovprepojenie"/>
                <w:noProof/>
              </w:rPr>
              <w:t>Article</w:t>
            </w:r>
            <w:r w:rsidR="005938AC" w:rsidRPr="00F14F39">
              <w:rPr>
                <w:rStyle w:val="Hypertextovprepojenie"/>
                <w:rFonts w:eastAsia="Times New Roman"/>
                <w:noProof/>
                <w:lang w:val="sk-SK"/>
              </w:rPr>
              <w:t xml:space="preserve"> 28 – </w:t>
            </w:r>
            <w:r w:rsidR="005938AC" w:rsidRPr="00F14F39">
              <w:rPr>
                <w:rStyle w:val="Hypertextovprepojenie"/>
                <w:rFonts w:eastAsia="Times New Roman"/>
                <w:noProof/>
                <w:u w:color="000000"/>
                <w:lang w:val="en-US" w:eastAsia="sk-SK"/>
              </w:rPr>
              <w:t>Adequate standard of living and social protection</w:t>
            </w:r>
            <w:r w:rsidR="005938AC">
              <w:rPr>
                <w:noProof/>
                <w:webHidden/>
              </w:rPr>
              <w:tab/>
            </w:r>
            <w:r w:rsidR="005938AC">
              <w:rPr>
                <w:noProof/>
                <w:webHidden/>
              </w:rPr>
              <w:fldChar w:fldCharType="begin"/>
            </w:r>
            <w:r w:rsidR="005938AC">
              <w:rPr>
                <w:noProof/>
                <w:webHidden/>
              </w:rPr>
              <w:instrText xml:space="preserve"> PAGEREF _Toc15062587 \h </w:instrText>
            </w:r>
            <w:r w:rsidR="005938AC">
              <w:rPr>
                <w:noProof/>
                <w:webHidden/>
              </w:rPr>
            </w:r>
            <w:r w:rsidR="005938AC">
              <w:rPr>
                <w:noProof/>
                <w:webHidden/>
              </w:rPr>
              <w:fldChar w:fldCharType="separate"/>
            </w:r>
            <w:r w:rsidR="005938AC">
              <w:rPr>
                <w:noProof/>
                <w:webHidden/>
              </w:rPr>
              <w:t>27</w:t>
            </w:r>
            <w:r w:rsidR="005938AC">
              <w:rPr>
                <w:noProof/>
                <w:webHidden/>
              </w:rPr>
              <w:fldChar w:fldCharType="end"/>
            </w:r>
          </w:hyperlink>
        </w:p>
        <w:p w14:paraId="439C099C" w14:textId="2AB466B0"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8" w:history="1">
            <w:r w:rsidR="005938AC" w:rsidRPr="00F14F39">
              <w:rPr>
                <w:rStyle w:val="Hypertextovprepojenie"/>
                <w:noProof/>
              </w:rPr>
              <w:t>Article 29 – Participation in Political and Public Life</w:t>
            </w:r>
            <w:r w:rsidR="005938AC">
              <w:rPr>
                <w:noProof/>
                <w:webHidden/>
              </w:rPr>
              <w:tab/>
            </w:r>
            <w:r w:rsidR="005938AC">
              <w:rPr>
                <w:noProof/>
                <w:webHidden/>
              </w:rPr>
              <w:fldChar w:fldCharType="begin"/>
            </w:r>
            <w:r w:rsidR="005938AC">
              <w:rPr>
                <w:noProof/>
                <w:webHidden/>
              </w:rPr>
              <w:instrText xml:space="preserve"> PAGEREF _Toc15062588 \h </w:instrText>
            </w:r>
            <w:r w:rsidR="005938AC">
              <w:rPr>
                <w:noProof/>
                <w:webHidden/>
              </w:rPr>
            </w:r>
            <w:r w:rsidR="005938AC">
              <w:rPr>
                <w:noProof/>
                <w:webHidden/>
              </w:rPr>
              <w:fldChar w:fldCharType="separate"/>
            </w:r>
            <w:r w:rsidR="005938AC">
              <w:rPr>
                <w:noProof/>
                <w:webHidden/>
              </w:rPr>
              <w:t>27</w:t>
            </w:r>
            <w:r w:rsidR="005938AC">
              <w:rPr>
                <w:noProof/>
                <w:webHidden/>
              </w:rPr>
              <w:fldChar w:fldCharType="end"/>
            </w:r>
          </w:hyperlink>
        </w:p>
        <w:p w14:paraId="54298B6C" w14:textId="54469F2E" w:rsidR="005938AC" w:rsidRDefault="00591A69">
          <w:pPr>
            <w:pStyle w:val="Obsah3"/>
            <w:tabs>
              <w:tab w:val="right" w:leader="dot" w:pos="9622"/>
            </w:tabs>
            <w:rPr>
              <w:rFonts w:asciiTheme="minorHAnsi" w:eastAsiaTheme="minorEastAsia" w:hAnsiTheme="minorHAnsi" w:cstheme="minorBidi"/>
              <w:noProof/>
              <w:sz w:val="22"/>
              <w:szCs w:val="22"/>
              <w:bdr w:val="none" w:sz="0" w:space="0" w:color="auto"/>
              <w:lang w:val="sk-SK" w:eastAsia="sk-SK"/>
            </w:rPr>
          </w:pPr>
          <w:hyperlink w:anchor="_Toc15062589" w:history="1">
            <w:r w:rsidR="005938AC" w:rsidRPr="00F14F39">
              <w:rPr>
                <w:rStyle w:val="Hypertextovprepojenie"/>
                <w:noProof/>
              </w:rPr>
              <w:t>Article 33 – National Implementation and Monitoring</w:t>
            </w:r>
            <w:r w:rsidR="005938AC">
              <w:rPr>
                <w:noProof/>
                <w:webHidden/>
              </w:rPr>
              <w:tab/>
            </w:r>
            <w:r w:rsidR="005938AC">
              <w:rPr>
                <w:noProof/>
                <w:webHidden/>
              </w:rPr>
              <w:fldChar w:fldCharType="begin"/>
            </w:r>
            <w:r w:rsidR="005938AC">
              <w:rPr>
                <w:noProof/>
                <w:webHidden/>
              </w:rPr>
              <w:instrText xml:space="preserve"> PAGEREF _Toc15062589 \h </w:instrText>
            </w:r>
            <w:r w:rsidR="005938AC">
              <w:rPr>
                <w:noProof/>
                <w:webHidden/>
              </w:rPr>
            </w:r>
            <w:r w:rsidR="005938AC">
              <w:rPr>
                <w:noProof/>
                <w:webHidden/>
              </w:rPr>
              <w:fldChar w:fldCharType="separate"/>
            </w:r>
            <w:r w:rsidR="005938AC">
              <w:rPr>
                <w:noProof/>
                <w:webHidden/>
              </w:rPr>
              <w:t>28</w:t>
            </w:r>
            <w:r w:rsidR="005938AC">
              <w:rPr>
                <w:noProof/>
                <w:webHidden/>
              </w:rPr>
              <w:fldChar w:fldCharType="end"/>
            </w:r>
          </w:hyperlink>
        </w:p>
        <w:p w14:paraId="03C5503C" w14:textId="04BC841A" w:rsidR="00B50C10" w:rsidRPr="001D656A" w:rsidRDefault="00B50C10">
          <w:r w:rsidRPr="001D656A">
            <w:rPr>
              <w:b/>
              <w:bCs/>
            </w:rPr>
            <w:fldChar w:fldCharType="end"/>
          </w:r>
        </w:p>
      </w:sdtContent>
    </w:sdt>
    <w:p w14:paraId="0E01B770" w14:textId="77777777" w:rsidR="00BD160C" w:rsidRPr="001D656A" w:rsidRDefault="00BD160C" w:rsidP="00DD6346">
      <w:pPr>
        <w:pStyle w:val="Bezriadkovania"/>
        <w:jc w:val="center"/>
        <w:rPr>
          <w:rFonts w:ascii="Verdana" w:hAnsi="Verdana"/>
          <w:b/>
          <w:bCs/>
          <w:sz w:val="28"/>
          <w:szCs w:val="28"/>
          <w:lang w:val="en-GB"/>
        </w:rPr>
      </w:pPr>
      <w:r w:rsidRPr="001D656A">
        <w:rPr>
          <w:rFonts w:ascii="Verdana" w:hAnsi="Verdana"/>
          <w:b/>
          <w:bCs/>
          <w:sz w:val="28"/>
          <w:szCs w:val="28"/>
          <w:lang w:val="en-GB"/>
        </w:rPr>
        <w:br/>
      </w:r>
    </w:p>
    <w:p w14:paraId="72E6FC8E" w14:textId="77777777" w:rsidR="00BD160C" w:rsidRPr="001D656A" w:rsidRDefault="00BD160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cs="Arial Unicode MS"/>
          <w:b/>
          <w:bCs/>
          <w:color w:val="000000"/>
          <w:sz w:val="28"/>
          <w:szCs w:val="28"/>
          <w:u w:color="000000"/>
          <w:lang w:eastAsia="sk-SK"/>
        </w:rPr>
      </w:pPr>
      <w:r w:rsidRPr="001D656A">
        <w:rPr>
          <w:b/>
          <w:bCs/>
          <w:sz w:val="28"/>
          <w:szCs w:val="28"/>
        </w:rPr>
        <w:br w:type="page"/>
      </w:r>
    </w:p>
    <w:p w14:paraId="0B15C282" w14:textId="77777777" w:rsidR="00307D5D" w:rsidRPr="001D656A" w:rsidRDefault="00307D5D" w:rsidP="00307D5D">
      <w:pPr>
        <w:pStyle w:val="Nadpis2"/>
        <w:rPr>
          <w:rFonts w:eastAsia="Verdana" w:cs="Verdana"/>
          <w:shd w:val="clear" w:color="auto" w:fill="FEFEFE"/>
        </w:rPr>
      </w:pPr>
      <w:bookmarkStart w:id="2" w:name="_Toc15062570"/>
      <w:bookmarkStart w:id="3" w:name="_Toc426186704"/>
      <w:r w:rsidRPr="001D656A">
        <w:rPr>
          <w:shd w:val="clear" w:color="auto" w:fill="FEFEFE"/>
        </w:rPr>
        <w:lastRenderedPageBreak/>
        <w:t>Executive summary</w:t>
      </w:r>
      <w:bookmarkEnd w:id="2"/>
    </w:p>
    <w:p w14:paraId="5CD3AB06" w14:textId="77777777" w:rsidR="00307D5D" w:rsidRPr="001D656A" w:rsidRDefault="00307D5D" w:rsidP="00307D5D">
      <w:pPr>
        <w:pStyle w:val="Bezriadkovania"/>
        <w:jc w:val="center"/>
        <w:rPr>
          <w:rFonts w:ascii="Verdana" w:eastAsia="Century Gothic" w:hAnsi="Verdana" w:cs="Century Gothic"/>
          <w:b/>
          <w:bCs/>
          <w:sz w:val="24"/>
          <w:szCs w:val="24"/>
          <w:shd w:val="clear" w:color="auto" w:fill="FEFEFE"/>
          <w:lang w:val="en-GB"/>
        </w:rPr>
      </w:pPr>
    </w:p>
    <w:p w14:paraId="3F54EF0E" w14:textId="77777777" w:rsidR="00307D5D" w:rsidRPr="001D656A" w:rsidRDefault="00307D5D" w:rsidP="005F1B10">
      <w:pPr>
        <w:spacing w:line="240" w:lineRule="auto"/>
        <w:ind w:firstLine="708"/>
        <w:rPr>
          <w:rFonts w:eastAsia="Century Gothic" w:cs="Century Gothic"/>
          <w:shd w:val="clear" w:color="auto" w:fill="FEFEFE"/>
        </w:rPr>
      </w:pPr>
      <w:r w:rsidRPr="001D656A">
        <w:rPr>
          <w:shd w:val="clear" w:color="auto" w:fill="FEFEFE"/>
        </w:rPr>
        <w:t>This report contains the views of Slovak organisations representing persons with disabilities and other co-operating organizations. It presents level of implementation of the Concluding Observations issued by the UN Committee for Rights of Persons with Disabilities in April 2016. It also describes areas in which the law and practice still violate respective Articles of the CRPD. Our report also formulates topics for questions to be answered by the Slovak Government, including:</w:t>
      </w:r>
    </w:p>
    <w:p w14:paraId="64B5DD66"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 xml:space="preserve">Amending the Anti-discrimination Act to include definition of reasonable accommodation in all areas of life of persons with disabilities </w:t>
      </w:r>
      <w:r w:rsidRPr="001D656A">
        <w:t>and to recognizing the fact that the rejection of the reasonable accommodation is considered discrimination based on disability</w:t>
      </w:r>
      <w:r w:rsidRPr="005F1B10">
        <w:rPr>
          <w:shd w:val="clear" w:color="auto" w:fill="FEFEFE"/>
        </w:rPr>
        <w:t>.</w:t>
      </w:r>
    </w:p>
    <w:p w14:paraId="5FED6DBE"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Ensuring availability and accessibility of early intervention services.</w:t>
      </w:r>
    </w:p>
    <w:p w14:paraId="0D4280CB"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Amending the “building” legislation to support and improving accessibility and ensuring that principle of universal design is fully respected.</w:t>
      </w:r>
      <w:r w:rsidRPr="001D656A">
        <w:t xml:space="preserve"> Introduction of</w:t>
      </w:r>
      <w:r w:rsidRPr="005F1B10">
        <w:rPr>
          <w:shd w:val="clear" w:color="auto" w:fill="FEFEFE"/>
        </w:rPr>
        <w:t xml:space="preserve"> appropriate control mechanisms and addressing the absence of authorised experts to assess accessibility.</w:t>
      </w:r>
    </w:p>
    <w:p w14:paraId="5FFC574D"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Finalizing a new Civil Code including a conception of legal capacity and the possibilities of its restrictions, as well as replacing the institutes of guardianship by supported-decision making. Abolishing all automatic consequences of deprivation and restriction of legal capacity.</w:t>
      </w:r>
    </w:p>
    <w:p w14:paraId="2908EA34"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 xml:space="preserve">Ensuring the extension of deinstitutionalisation and enhancement of community based services. </w:t>
      </w:r>
    </w:p>
    <w:p w14:paraId="628EBEF4"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Amending the legislation aiming to increase the quantity of aids and services, and simplifying the conditions for granting allowances and discounts.</w:t>
      </w:r>
    </w:p>
    <w:p w14:paraId="58672D82"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Ensuring inclusive education for all children at all levels of education and transformation of the segregated special educational system.</w:t>
      </w:r>
    </w:p>
    <w:p w14:paraId="6E3F6A76" w14:textId="77777777" w:rsidR="00307D5D" w:rsidRPr="005F1B10" w:rsidRDefault="00307D5D" w:rsidP="005F1B10">
      <w:pPr>
        <w:pStyle w:val="Odsekzoznamu"/>
        <w:numPr>
          <w:ilvl w:val="0"/>
          <w:numId w:val="53"/>
        </w:numPr>
        <w:spacing w:line="240" w:lineRule="auto"/>
        <w:rPr>
          <w:shd w:val="clear" w:color="auto" w:fill="FEFEFE"/>
        </w:rPr>
      </w:pPr>
      <w:r w:rsidRPr="005F1B10">
        <w:rPr>
          <w:shd w:val="clear" w:color="auto" w:fill="FEFEFE"/>
        </w:rPr>
        <w:t>Taking measures to enable and support employment of persons with disabilities in the open labour market, promotion of the formation of job opportunities and financial contribution to the creation and sustainability of jobs.</w:t>
      </w:r>
    </w:p>
    <w:p w14:paraId="78022AE4" w14:textId="77777777" w:rsidR="00307D5D" w:rsidRPr="005F1B10" w:rsidRDefault="00307D5D" w:rsidP="005F1B10">
      <w:pPr>
        <w:pStyle w:val="Odsekzoznamu"/>
        <w:numPr>
          <w:ilvl w:val="0"/>
          <w:numId w:val="53"/>
        </w:numPr>
        <w:rPr>
          <w:shd w:val="clear" w:color="auto" w:fill="FEFEFE"/>
        </w:rPr>
      </w:pPr>
      <w:r w:rsidRPr="005F1B10">
        <w:rPr>
          <w:shd w:val="clear" w:color="auto" w:fill="FEFEFE"/>
        </w:rPr>
        <w:t>Ensuring appropriate standards of living and social protection.</w:t>
      </w:r>
    </w:p>
    <w:p w14:paraId="210EA2B2" w14:textId="77777777" w:rsidR="00307D5D" w:rsidRPr="005F1B10" w:rsidRDefault="00307D5D" w:rsidP="005F1B10">
      <w:pPr>
        <w:pStyle w:val="Odsekzoznamu"/>
        <w:numPr>
          <w:ilvl w:val="0"/>
          <w:numId w:val="53"/>
        </w:numPr>
        <w:rPr>
          <w:rFonts w:eastAsia="Verdana" w:cs="Verdana"/>
        </w:rPr>
      </w:pPr>
      <w:r w:rsidRPr="005F1B10">
        <w:rPr>
          <w:shd w:val="clear" w:color="auto" w:fill="FEFEFE"/>
        </w:rPr>
        <w:t>Creation and facilitating of the development of processes to enable organisations representing persons with disabilities to actively engage in the in the CRPD monitoring. Mainstreaming disability issues should be enhanced to ensure that people with disabilities are included in all programmes and policies throughout all the relevant sectors.</w:t>
      </w:r>
    </w:p>
    <w:p w14:paraId="49845989" w14:textId="77777777" w:rsidR="00307D5D" w:rsidRPr="001D656A" w:rsidRDefault="00307D5D" w:rsidP="00307D5D">
      <w:pPr>
        <w:pStyle w:val="Text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Verdana" w:eastAsia="Verdana" w:hAnsi="Verdana" w:cs="Verdana"/>
          <w:lang w:val="en-GB"/>
        </w:rPr>
      </w:pPr>
    </w:p>
    <w:p w14:paraId="423B84CB" w14:textId="77777777" w:rsidR="00307D5D" w:rsidRPr="001D656A" w:rsidRDefault="00307D5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cs="Arial Unicode MS"/>
          <w:b/>
          <w:bCs/>
          <w:color w:val="000000"/>
          <w:sz w:val="28"/>
          <w:szCs w:val="28"/>
          <w:u w:color="000000"/>
          <w:lang w:eastAsia="sk-SK"/>
        </w:rPr>
      </w:pPr>
      <w:r w:rsidRPr="001D656A">
        <w:rPr>
          <w:b/>
          <w:bCs/>
          <w:sz w:val="28"/>
          <w:szCs w:val="28"/>
        </w:rPr>
        <w:br w:type="page"/>
      </w:r>
    </w:p>
    <w:p w14:paraId="2273CE9F" w14:textId="30E7A897" w:rsidR="00DD6346" w:rsidRPr="001D656A" w:rsidRDefault="00DD6346" w:rsidP="009B26BD">
      <w:pPr>
        <w:pStyle w:val="Nadpis2"/>
        <w:rPr>
          <w:rFonts w:eastAsia="Verdana" w:cs="Verdana"/>
        </w:rPr>
      </w:pPr>
      <w:bookmarkStart w:id="4" w:name="_Toc15062571"/>
      <w:r w:rsidRPr="001D656A">
        <w:lastRenderedPageBreak/>
        <w:t>INTRODUCTION</w:t>
      </w:r>
      <w:bookmarkEnd w:id="3"/>
      <w:bookmarkEnd w:id="4"/>
    </w:p>
    <w:p w14:paraId="4FCA6721" w14:textId="77777777" w:rsidR="00DD6346" w:rsidRPr="001D656A" w:rsidRDefault="00DD6346" w:rsidP="00DD6346">
      <w:pPr>
        <w:pStyle w:val="Bezriadkovania"/>
        <w:jc w:val="both"/>
        <w:rPr>
          <w:rFonts w:ascii="Verdana" w:eastAsia="Century Gothic" w:hAnsi="Verdana" w:cs="Century Gothic"/>
          <w:sz w:val="24"/>
          <w:szCs w:val="24"/>
          <w:lang w:val="en-GB"/>
        </w:rPr>
      </w:pPr>
    </w:p>
    <w:p w14:paraId="22E32DC3" w14:textId="767C165B" w:rsidR="008137A6" w:rsidRPr="001D656A" w:rsidRDefault="008137A6" w:rsidP="008137A6">
      <w:r w:rsidRPr="001D656A">
        <w:t>This Report for the UN CRPD Committee is submitted by organizations representing the interests of persons with disabilities in the Slovak Republic</w:t>
      </w:r>
      <w:r w:rsidR="008B4DEB" w:rsidRPr="001D656A">
        <w:t>.</w:t>
      </w:r>
    </w:p>
    <w:p w14:paraId="45A00910" w14:textId="2A51D2E2" w:rsidR="008137A6" w:rsidRPr="001D656A" w:rsidRDefault="008137A6" w:rsidP="008137A6">
      <w:r w:rsidRPr="001D656A">
        <w:t xml:space="preserve">Being convinced that the Government of the Slovak Republic does not sufficiently meet the recommendations of the UNCRPD Committee, the above mentioned organizations decided to prepare a joint report responding above all to the Concluding Observations on the Initial Report of the Slovak Republic, issued by the Committee in 2016. </w:t>
      </w:r>
    </w:p>
    <w:p w14:paraId="278882B5" w14:textId="65076D57" w:rsidR="008137A6" w:rsidRPr="001D656A" w:rsidRDefault="008B4DEB" w:rsidP="008137A6">
      <w:r w:rsidRPr="001D656A">
        <w:t>Several new issues related to the implementation of the UN CRPD have been described</w:t>
      </w:r>
      <w:r w:rsidR="004B6D9B" w:rsidRPr="001D656A">
        <w:t>.</w:t>
      </w:r>
    </w:p>
    <w:p w14:paraId="26620933" w14:textId="77777777" w:rsidR="009B26BD" w:rsidRPr="001D656A" w:rsidRDefault="009B26BD" w:rsidP="009B26BD">
      <w:pPr>
        <w:rPr>
          <w:rFonts w:asciiTheme="minorHAnsi" w:eastAsiaTheme="minorHAnsi" w:hAnsiTheme="minorHAnsi"/>
          <w:sz w:val="22"/>
          <w:szCs w:val="22"/>
          <w:bdr w:val="none" w:sz="0" w:space="0" w:color="auto"/>
        </w:rPr>
      </w:pPr>
      <w:r w:rsidRPr="001D656A">
        <w:t>The most of 2016 Concluding Observations of the CRPD Committee have been incorporated into the updates 2016 and 2018 of the National Programme for Development of Living Conditions of Persons with Disabilities for Period 2014 – 2020.</w:t>
      </w:r>
    </w:p>
    <w:p w14:paraId="25D843A0" w14:textId="77777777" w:rsidR="00DD6346" w:rsidRPr="001D656A" w:rsidRDefault="00DD6346" w:rsidP="00DD6346">
      <w:pPr>
        <w:pStyle w:val="Bezriadkovania"/>
        <w:jc w:val="both"/>
        <w:rPr>
          <w:rFonts w:ascii="Verdana" w:eastAsia="Century Gothic" w:hAnsi="Verdana" w:cs="Century Gothic"/>
          <w:sz w:val="24"/>
          <w:szCs w:val="24"/>
          <w:lang w:val="en-GB"/>
        </w:rPr>
      </w:pPr>
    </w:p>
    <w:p w14:paraId="74A71A67" w14:textId="0D78EAE1" w:rsidR="00DD6346" w:rsidRPr="001D656A" w:rsidRDefault="00DD6346" w:rsidP="00DD6346">
      <w:pPr>
        <w:pStyle w:val="Bezriadkovania"/>
        <w:jc w:val="both"/>
        <w:rPr>
          <w:rFonts w:ascii="Verdana" w:eastAsia="Century Gothic" w:hAnsi="Verdana" w:cs="Century Gothic"/>
          <w:lang w:val="en-GB"/>
        </w:rPr>
      </w:pPr>
      <w:r w:rsidRPr="001D656A">
        <w:rPr>
          <w:rFonts w:ascii="Verdana" w:hAnsi="Verdana"/>
          <w:lang w:val="en-GB"/>
        </w:rPr>
        <w:t xml:space="preserve">Branislav Mamojka, </w:t>
      </w:r>
      <w:r w:rsidR="00170B11" w:rsidRPr="001D656A">
        <w:rPr>
          <w:rFonts w:ascii="Verdana" w:hAnsi="Verdana"/>
          <w:lang w:val="en-GB"/>
        </w:rPr>
        <w:t>C</w:t>
      </w:r>
      <w:r w:rsidRPr="001D656A">
        <w:rPr>
          <w:rFonts w:ascii="Verdana" w:hAnsi="Verdana"/>
          <w:lang w:val="en-GB"/>
        </w:rPr>
        <w:t>hairman of the Slovak Disability Council</w:t>
      </w:r>
    </w:p>
    <w:p w14:paraId="0846E792" w14:textId="77777777" w:rsidR="008137A6" w:rsidRPr="001D656A" w:rsidRDefault="008137A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Verdana" w:cs="Verdana"/>
          <w:color w:val="000000"/>
          <w:sz w:val="22"/>
          <w:szCs w:val="22"/>
          <w:u w:color="000000"/>
          <w:lang w:eastAsia="sk-SK"/>
        </w:rPr>
      </w:pPr>
      <w:r w:rsidRPr="001D656A">
        <w:rPr>
          <w:rFonts w:eastAsia="Verdana" w:cs="Verdana"/>
        </w:rPr>
        <w:br w:type="page"/>
      </w:r>
    </w:p>
    <w:p w14:paraId="21DF6B86" w14:textId="77777777" w:rsidR="00500BCD" w:rsidRPr="009A3F7B" w:rsidRDefault="00500BCD" w:rsidP="00500BCD">
      <w:pPr>
        <w:pStyle w:val="Nadpis2"/>
        <w:rPr>
          <w:rFonts w:eastAsia="Verdana" w:cs="Verdana"/>
        </w:rPr>
      </w:pPr>
      <w:bookmarkStart w:id="5" w:name="_Toc426186706"/>
      <w:bookmarkStart w:id="6" w:name="_Toc15062572"/>
      <w:r w:rsidRPr="00D7256A">
        <w:lastRenderedPageBreak/>
        <w:t>SELECTED</w:t>
      </w:r>
      <w:r w:rsidRPr="009A3F7B">
        <w:t xml:space="preserve"> ARTICLES OF THE CRPD</w:t>
      </w:r>
      <w:bookmarkEnd w:id="5"/>
      <w:bookmarkEnd w:id="6"/>
      <w:r>
        <w:t xml:space="preserve"> </w:t>
      </w:r>
    </w:p>
    <w:p w14:paraId="132CA8CF" w14:textId="79A68361" w:rsidR="00500BCD" w:rsidRDefault="00500BCD" w:rsidP="00500BCD">
      <w:pPr>
        <w:pStyle w:val="Nadpis3"/>
        <w:rPr>
          <w:rFonts w:eastAsia="Verdana"/>
        </w:rPr>
      </w:pPr>
      <w:bookmarkStart w:id="7" w:name="_Toc15062573"/>
      <w:r>
        <w:rPr>
          <w:rFonts w:eastAsia="Verdana"/>
        </w:rPr>
        <w:t xml:space="preserve">Article </w:t>
      </w:r>
      <w:r w:rsidRPr="00B70E17">
        <w:rPr>
          <w:rFonts w:eastAsia="Verdana"/>
        </w:rPr>
        <w:t>5</w:t>
      </w:r>
      <w:r>
        <w:rPr>
          <w:rFonts w:eastAsia="Verdana"/>
        </w:rPr>
        <w:t xml:space="preserve"> </w:t>
      </w:r>
      <w:r w:rsidRPr="00B70E17">
        <w:rPr>
          <w:rFonts w:eastAsia="Verdana"/>
        </w:rPr>
        <w:t xml:space="preserve">– </w:t>
      </w:r>
      <w:r>
        <w:rPr>
          <w:rFonts w:eastAsia="Verdana"/>
        </w:rPr>
        <w:t>Equality and Non-discrimination</w:t>
      </w:r>
      <w:bookmarkEnd w:id="7"/>
    </w:p>
    <w:p w14:paraId="040B1667" w14:textId="06AFAC89" w:rsidR="00DD6F92" w:rsidRPr="00DD6F92" w:rsidRDefault="00DD6F92" w:rsidP="00DD6F92">
      <w:pPr>
        <w:pStyle w:val="Nadpis4"/>
      </w:pPr>
      <w:r>
        <w:t xml:space="preserve">Concluding Observations (CO) 13 – 20 </w:t>
      </w:r>
    </w:p>
    <w:p w14:paraId="3354B85C" w14:textId="77777777" w:rsidR="00500BCD" w:rsidRDefault="00500BCD" w:rsidP="00500BCD">
      <w:r>
        <w:t>The situation described in the paragraph 1 of the 2015 alternative report persists.</w:t>
      </w:r>
    </w:p>
    <w:p w14:paraId="54316CE0" w14:textId="77777777" w:rsidR="00500BCD" w:rsidRDefault="00500BCD" w:rsidP="00500BCD">
      <w:pPr>
        <w:rPr>
          <w:rFonts w:eastAsia="Verdana" w:cs="Verdana"/>
        </w:rPr>
      </w:pPr>
      <w:r w:rsidRPr="009A3F7B">
        <w:t>Act No. 365/2004 Coll. on Equal Treatment (the “Anti-discrimination Act”)</w:t>
      </w:r>
      <w:r>
        <w:t xml:space="preserve"> has not been amended as the CRPD Committee recommended in its Concluding Observations No. 13 – 18</w:t>
      </w:r>
      <w:r>
        <w:rPr>
          <w:rStyle w:val="Odkaznapoznmkupodiarou"/>
        </w:rPr>
        <w:footnoteReference w:id="1"/>
      </w:r>
      <w:r>
        <w:t xml:space="preserve">. The legislation continues to lack the explicit definition of the reasonable accommodation in all areas of life of people with disabilities. </w:t>
      </w:r>
      <w:bookmarkStart w:id="8" w:name="_Hlk14879273"/>
      <w:r>
        <w:t xml:space="preserve">It does neither recognize the refusal to provide reasonable accommodation as a form of discrimination based on disability, and nor multiple and intersectional discrimination. </w:t>
      </w:r>
      <w:bookmarkEnd w:id="8"/>
      <w:r>
        <w:t xml:space="preserve">In case of the refusal to provide reasonable accommodation in areas other than employment (e. g. education, healthcare, cultural life), it is only possible to seek remedies based on the UNCRPD where it defines the rejection of reasonable accommodation as discrimination in its Article 2. </w:t>
      </w:r>
    </w:p>
    <w:p w14:paraId="072AA3D9" w14:textId="77777777" w:rsidR="00500BCD" w:rsidRDefault="00500BCD" w:rsidP="00500BCD">
      <w:r>
        <w:t>In the national legislation, it should be clarified what exactly reasonable accommodation means in different situations and thus, it will not be necessary to address the difficult issue of the enforceability of the Convention in a discrimination dispute.</w:t>
      </w:r>
    </w:p>
    <w:p w14:paraId="09DC607A" w14:textId="77777777" w:rsidR="00500BCD" w:rsidRPr="00B70E17" w:rsidRDefault="00500BCD" w:rsidP="00500BCD">
      <w:pPr>
        <w:pStyle w:val="Nadpis4"/>
        <w:rPr>
          <w:rFonts w:eastAsia="Verdana" w:cs="Verdana"/>
        </w:rPr>
      </w:pPr>
      <w:r w:rsidRPr="00C625E4">
        <w:rPr>
          <w:rFonts w:eastAsia="Times New Roman" w:cstheme="minorHAnsi"/>
          <w:bCs/>
          <w:lang w:eastAsia="sk-SK"/>
        </w:rPr>
        <w:t>Proposed question</w:t>
      </w:r>
      <w:r>
        <w:rPr>
          <w:rFonts w:eastAsia="Times New Roman" w:cstheme="minorHAnsi"/>
          <w:bCs/>
          <w:lang w:eastAsia="sk-SK"/>
        </w:rPr>
        <w:t>s:</w:t>
      </w:r>
    </w:p>
    <w:p w14:paraId="666DD4FA" w14:textId="77777777" w:rsidR="00500BCD" w:rsidRDefault="00500BCD" w:rsidP="00500BCD">
      <w:r w:rsidRPr="00B70E17">
        <w:t>•</w:t>
      </w:r>
      <w:r w:rsidRPr="00B70E17">
        <w:tab/>
      </w:r>
      <w:r>
        <w:t>How and when does the Government plan to amend the antidiscrimination legislation to ensure that the obligation to provide reasonable accommodation relates to all areas of life of people with disabilities and recognise the fact that its refusal is considered discrimination based on disability, and to include multiple and intersectional discrimination.</w:t>
      </w:r>
    </w:p>
    <w:p w14:paraId="1E905E8D" w14:textId="77777777" w:rsidR="00500BCD" w:rsidRDefault="00500BCD" w:rsidP="00500BCD">
      <w:pPr>
        <w:pStyle w:val="Nadpis3"/>
      </w:pPr>
    </w:p>
    <w:p w14:paraId="238817FF" w14:textId="390BEFF1" w:rsidR="00500BCD" w:rsidRDefault="00500BCD" w:rsidP="00500BCD">
      <w:pPr>
        <w:pStyle w:val="Nadpis3"/>
      </w:pPr>
      <w:bookmarkStart w:id="9" w:name="_Toc15062574"/>
      <w:r>
        <w:t xml:space="preserve">Article </w:t>
      </w:r>
      <w:r w:rsidRPr="009C51D6">
        <w:t xml:space="preserve">7 </w:t>
      </w:r>
      <w:r>
        <w:t>–</w:t>
      </w:r>
      <w:r w:rsidRPr="009C51D6">
        <w:t xml:space="preserve"> </w:t>
      </w:r>
      <w:r>
        <w:t>Children with disabilities</w:t>
      </w:r>
      <w:r w:rsidR="00DD6F92">
        <w:t>´</w:t>
      </w:r>
      <w:bookmarkEnd w:id="9"/>
    </w:p>
    <w:p w14:paraId="1A00B4BD" w14:textId="70D8A1A7" w:rsidR="00DD6F92" w:rsidRPr="00DD6F92" w:rsidRDefault="00DD6F92" w:rsidP="00DD6F92">
      <w:pPr>
        <w:pStyle w:val="Nadpis4"/>
      </w:pPr>
      <w:r>
        <w:t>CO 23 – 26</w:t>
      </w:r>
    </w:p>
    <w:p w14:paraId="370D6422" w14:textId="77777777" w:rsidR="00500BCD" w:rsidRDefault="00500BCD" w:rsidP="00500BCD">
      <w:r>
        <w:t>There is no official register of the number of children with disabilities in Slovakia who are entitled to early intervention services. However, the experts estimate that the rate of children with disabilities and children whose development is at risk is 3.5 %. Thus, we believe that there live approximately 14 000 children with disabilities under 7 years of age in Slovakia</w:t>
      </w:r>
      <w:r>
        <w:rPr>
          <w:rStyle w:val="Odkaznapoznmkupodiarou"/>
          <w:rFonts w:cstheme="minorHAnsi"/>
        </w:rPr>
        <w:footnoteReference w:id="2"/>
      </w:r>
      <w:r>
        <w:t>.</w:t>
      </w:r>
    </w:p>
    <w:p w14:paraId="17C745AB" w14:textId="77777777" w:rsidR="00500BCD" w:rsidRDefault="00500BCD" w:rsidP="00500BCD">
      <w:r>
        <w:t>In the recent years, provision of the early intervention service has increased (30 providers in December 2018). In spite of that, it was only available for 1 219 families at that time</w:t>
      </w:r>
      <w:r>
        <w:rPr>
          <w:rStyle w:val="Odkaznapoznmkupodiarou"/>
          <w:rFonts w:cstheme="minorHAnsi"/>
        </w:rPr>
        <w:footnoteReference w:id="3"/>
      </w:r>
      <w:r>
        <w:t>.</w:t>
      </w:r>
    </w:p>
    <w:p w14:paraId="52C87861" w14:textId="77777777" w:rsidR="00500BCD" w:rsidRPr="009C51D6" w:rsidRDefault="00500BCD" w:rsidP="00500BCD">
      <w:r>
        <w:t>The inter-ministerial cooperation and creation of the complex network of services – health, social and educational is still lacking. The ministry of Labour, Social Affairs and Family created a working group in 2018 to deal with these problems. Unfortunately, there are no results of their work present. Neither has it been clarified if children whose development is at risk due to their social disadvantages are entitled to the early intervention services as well. The consequences become evident when they start their compulsory primary education and they are diagnosed as children with intellectual disability (such as marginalized Roma communities)</w:t>
      </w:r>
      <w:r>
        <w:rPr>
          <w:rStyle w:val="Odkaznapoznmkupodiarou"/>
          <w:rFonts w:cstheme="minorHAnsi"/>
        </w:rPr>
        <w:footnoteReference w:id="4"/>
      </w:r>
      <w:r>
        <w:t>.</w:t>
      </w:r>
    </w:p>
    <w:p w14:paraId="6FBEF11C" w14:textId="77777777" w:rsidR="00500BCD" w:rsidRPr="000926E2" w:rsidRDefault="00500BCD" w:rsidP="00500BCD">
      <w:pPr>
        <w:pStyle w:val="Nadpis4"/>
        <w:rPr>
          <w:rFonts w:cstheme="minorHAnsi"/>
        </w:rPr>
      </w:pPr>
      <w:r w:rsidRPr="00C625E4">
        <w:rPr>
          <w:rFonts w:eastAsia="Times New Roman" w:cstheme="minorHAnsi"/>
          <w:bCs/>
          <w:lang w:eastAsia="sk-SK"/>
        </w:rPr>
        <w:t>Proposed question</w:t>
      </w:r>
      <w:r>
        <w:rPr>
          <w:rFonts w:eastAsia="Times New Roman" w:cstheme="minorHAnsi"/>
          <w:bCs/>
          <w:lang w:eastAsia="sk-SK"/>
        </w:rPr>
        <w:t>s</w:t>
      </w:r>
    </w:p>
    <w:p w14:paraId="0B34B124" w14:textId="77777777" w:rsidR="00500BCD" w:rsidRPr="00D81841" w:rsidRDefault="00500BCD" w:rsidP="00500BCD">
      <w:pPr>
        <w:pStyle w:val="Odsekzoznamu"/>
        <w:numPr>
          <w:ilvl w:val="0"/>
          <w:numId w:val="41"/>
        </w:numPr>
        <w:rPr>
          <w:lang w:val="en-GB"/>
        </w:rPr>
      </w:pPr>
      <w:r>
        <w:rPr>
          <w:lang w:val="en-GB"/>
        </w:rPr>
        <w:t>P</w:t>
      </w:r>
      <w:r w:rsidRPr="00D81841">
        <w:rPr>
          <w:lang w:val="en-GB"/>
        </w:rPr>
        <w:t>ursuant to the concluding observation No 26</w:t>
      </w:r>
      <w:r>
        <w:rPr>
          <w:lang w:val="en-GB"/>
        </w:rPr>
        <w:t xml:space="preserve">, please explain what measures the State will take to ensure a </w:t>
      </w:r>
      <w:r w:rsidRPr="00D81841">
        <w:rPr>
          <w:lang w:val="en-GB"/>
        </w:rPr>
        <w:t xml:space="preserve">holistic and comprehensive network of health and social care services. </w:t>
      </w:r>
    </w:p>
    <w:p w14:paraId="7F7C7031" w14:textId="77777777" w:rsidR="00500BCD" w:rsidRPr="00D81841" w:rsidRDefault="00500BCD" w:rsidP="00500BCD">
      <w:pPr>
        <w:pStyle w:val="Odsekzoznamu"/>
        <w:numPr>
          <w:ilvl w:val="0"/>
          <w:numId w:val="41"/>
        </w:numPr>
        <w:rPr>
          <w:lang w:val="en-GB"/>
        </w:rPr>
      </w:pPr>
      <w:r w:rsidRPr="00D81841">
        <w:rPr>
          <w:lang w:val="en-GB"/>
        </w:rPr>
        <w:t>Inform on the availability of the early intervention service</w:t>
      </w:r>
      <w:r>
        <w:rPr>
          <w:lang w:val="en-GB"/>
        </w:rPr>
        <w:t>, its</w:t>
      </w:r>
      <w:r w:rsidRPr="00D81841">
        <w:rPr>
          <w:lang w:val="en-GB"/>
        </w:rPr>
        <w:t xml:space="preserve"> time</w:t>
      </w:r>
      <w:r>
        <w:rPr>
          <w:lang w:val="en-GB"/>
        </w:rPr>
        <w:t>frame</w:t>
      </w:r>
      <w:r w:rsidRPr="00D81841">
        <w:rPr>
          <w:lang w:val="en-GB"/>
        </w:rPr>
        <w:t xml:space="preserve"> and financial framework </w:t>
      </w:r>
      <w:r>
        <w:rPr>
          <w:lang w:val="en-GB"/>
        </w:rPr>
        <w:t>to</w:t>
      </w:r>
      <w:r w:rsidRPr="00D81841">
        <w:rPr>
          <w:lang w:val="en-GB"/>
        </w:rPr>
        <w:t xml:space="preserve"> ensur</w:t>
      </w:r>
      <w:r>
        <w:rPr>
          <w:lang w:val="en-GB"/>
        </w:rPr>
        <w:t>e</w:t>
      </w:r>
      <w:r w:rsidRPr="00D81841">
        <w:rPr>
          <w:lang w:val="en-GB"/>
        </w:rPr>
        <w:t xml:space="preserve"> its availability.</w:t>
      </w:r>
    </w:p>
    <w:p w14:paraId="63E8F7E4" w14:textId="77777777" w:rsidR="00500BCD" w:rsidRPr="00D81841" w:rsidRDefault="00500BCD" w:rsidP="00500BCD">
      <w:pPr>
        <w:pStyle w:val="Odsekzoznamu"/>
        <w:numPr>
          <w:ilvl w:val="0"/>
          <w:numId w:val="41"/>
        </w:numPr>
        <w:rPr>
          <w:lang w:val="en-GB"/>
        </w:rPr>
      </w:pPr>
      <w:r>
        <w:rPr>
          <w:lang w:val="en-GB"/>
        </w:rPr>
        <w:lastRenderedPageBreak/>
        <w:t>What steps will the State take</w:t>
      </w:r>
      <w:r w:rsidRPr="00D81841">
        <w:rPr>
          <w:lang w:val="en-GB"/>
        </w:rPr>
        <w:t xml:space="preserve"> to ensure </w:t>
      </w:r>
      <w:r>
        <w:rPr>
          <w:lang w:val="en-GB"/>
        </w:rPr>
        <w:t xml:space="preserve">that </w:t>
      </w:r>
      <w:r w:rsidRPr="00D81841">
        <w:rPr>
          <w:lang w:val="en-GB"/>
        </w:rPr>
        <w:t>the early intervention services for children from marginalized environment</w:t>
      </w:r>
      <w:r>
        <w:rPr>
          <w:lang w:val="en-GB"/>
        </w:rPr>
        <w:t>s</w:t>
      </w:r>
      <w:r w:rsidRPr="00D81841">
        <w:rPr>
          <w:lang w:val="en-GB"/>
        </w:rPr>
        <w:t xml:space="preserve"> prevent</w:t>
      </w:r>
      <w:r>
        <w:rPr>
          <w:lang w:val="en-GB"/>
        </w:rPr>
        <w:t>s</w:t>
      </w:r>
      <w:r w:rsidRPr="00D81841">
        <w:rPr>
          <w:lang w:val="en-GB"/>
        </w:rPr>
        <w:t xml:space="preserve"> </w:t>
      </w:r>
      <w:r>
        <w:rPr>
          <w:lang w:val="en-GB"/>
        </w:rPr>
        <w:t xml:space="preserve">them from acquiring </w:t>
      </w:r>
      <w:r w:rsidRPr="00D81841">
        <w:rPr>
          <w:lang w:val="en-GB"/>
        </w:rPr>
        <w:t>disability?</w:t>
      </w:r>
    </w:p>
    <w:p w14:paraId="7B7ADBD6" w14:textId="77777777" w:rsidR="00500BCD" w:rsidRDefault="00500BCD" w:rsidP="00500BCD">
      <w:pPr>
        <w:pStyle w:val="Nadpis3"/>
      </w:pPr>
    </w:p>
    <w:p w14:paraId="3350A42B" w14:textId="3E3E31DB" w:rsidR="00500BCD" w:rsidRDefault="00500BCD" w:rsidP="00500BCD">
      <w:pPr>
        <w:pStyle w:val="Nadpis3"/>
      </w:pPr>
      <w:bookmarkStart w:id="10" w:name="_Toc15062575"/>
      <w:r>
        <w:t>Article 9 – Accessibility</w:t>
      </w:r>
      <w:bookmarkEnd w:id="10"/>
    </w:p>
    <w:p w14:paraId="730B6690" w14:textId="41BD454E" w:rsidR="00DD6F92" w:rsidRPr="00DD6F92" w:rsidRDefault="00DD6F92" w:rsidP="00DD6F92">
      <w:pPr>
        <w:pStyle w:val="Nadpis4"/>
      </w:pPr>
      <w:r>
        <w:t>CO 29 – 33</w:t>
      </w:r>
    </w:p>
    <w:p w14:paraId="37B6D02D" w14:textId="77777777" w:rsidR="00500BCD" w:rsidRPr="007143B9" w:rsidRDefault="00500BCD" w:rsidP="00500BCD">
      <w:r w:rsidRPr="007143B9">
        <w:t xml:space="preserve">There is no positive development in the area of </w:t>
      </w:r>
      <w:r>
        <w:t xml:space="preserve">accessibility </w:t>
      </w:r>
      <w:r w:rsidRPr="007143B9">
        <w:t>described in the 2015 alternative report (</w:t>
      </w:r>
      <w:r>
        <w:t>paragraph</w:t>
      </w:r>
      <w:r w:rsidRPr="007143B9">
        <w:t xml:space="preserve">s 3 – 7). </w:t>
      </w:r>
    </w:p>
    <w:p w14:paraId="7B5D1DEB" w14:textId="77777777" w:rsidR="00500BCD" w:rsidRPr="007143B9" w:rsidRDefault="00500BCD" w:rsidP="00500BCD">
      <w:pPr>
        <w:rPr>
          <w:rFonts w:asciiTheme="minorHAnsi" w:hAnsiTheme="minorHAnsi" w:cstheme="minorHAnsi"/>
        </w:rPr>
      </w:pPr>
      <w:r w:rsidRPr="007143B9">
        <w:t>The act No. 50/1976 Coll. on Land-Use Planning and Building Order (the Building Act) and in the Decree No. 532/2002 Coll. detailing the general technical requirements for the construction of and usage of buildings by persons with reduced mobility and orientation have not been amended.</w:t>
      </w:r>
    </w:p>
    <w:p w14:paraId="3E51BCD4" w14:textId="77777777" w:rsidR="00500BCD" w:rsidRDefault="00500BCD" w:rsidP="00500BCD">
      <w:r w:rsidRPr="007143B9">
        <w:t>The new Building Act prepared in 2015 was withdrawn from the legislative process because of high number of comments. At present the draft Act on Land-Use Planning and Building Order is currently pending. There is a positive development that accessibility is required not only for buildings constructed</w:t>
      </w:r>
      <w:r>
        <w:rPr>
          <w:lang w:val="sk-SK"/>
        </w:rPr>
        <w:t xml:space="preserve"> </w:t>
      </w:r>
      <w:r w:rsidRPr="009A3F7B">
        <w:t>to be used by persons with reduced mobility and orientation</w:t>
      </w:r>
      <w:r>
        <w:t>, but also for all buildings to be used by public in general. However, there still have been other shortcomings:</w:t>
      </w:r>
    </w:p>
    <w:p w14:paraId="60C5DF9D" w14:textId="77777777" w:rsidR="00500BCD" w:rsidRDefault="00500BCD" w:rsidP="00500BCD">
      <w:pPr>
        <w:pStyle w:val="Odsekzoznamu"/>
        <w:numPr>
          <w:ilvl w:val="0"/>
          <w:numId w:val="42"/>
        </w:numPr>
        <w:rPr>
          <w:lang w:val="en-GB"/>
        </w:rPr>
      </w:pPr>
      <w:r>
        <w:rPr>
          <w:lang w:val="en-GB"/>
        </w:rPr>
        <w:t>It does not introduce assessment of the project accessibility by experts</w:t>
      </w:r>
      <w:r w:rsidRPr="00BF0D93">
        <w:rPr>
          <w:lang w:val="en-GB"/>
        </w:rPr>
        <w:t xml:space="preserve"> </w:t>
      </w:r>
      <w:r>
        <w:rPr>
          <w:lang w:val="en-GB"/>
        </w:rPr>
        <w:t>licensed in the field of assessment barrier-free buildings.</w:t>
      </w:r>
    </w:p>
    <w:p w14:paraId="222078A2" w14:textId="77777777" w:rsidR="00500BCD" w:rsidRDefault="00500BCD" w:rsidP="00500BCD">
      <w:pPr>
        <w:pStyle w:val="Odsekzoznamu"/>
        <w:numPr>
          <w:ilvl w:val="0"/>
          <w:numId w:val="42"/>
        </w:numPr>
        <w:rPr>
          <w:lang w:val="en-GB"/>
        </w:rPr>
      </w:pPr>
      <w:r>
        <w:rPr>
          <w:lang w:val="en-GB"/>
        </w:rPr>
        <w:t xml:space="preserve">It does not </w:t>
      </w:r>
      <w:r w:rsidRPr="009A3F7B">
        <w:rPr>
          <w:lang w:val="en-GB"/>
        </w:rPr>
        <w:t>contain any sanction</w:t>
      </w:r>
      <w:r>
        <w:rPr>
          <w:lang w:val="en-GB"/>
        </w:rPr>
        <w:t xml:space="preserve"> mechanisms</w:t>
      </w:r>
      <w:r w:rsidRPr="009A3F7B">
        <w:rPr>
          <w:lang w:val="en-GB"/>
        </w:rPr>
        <w:t xml:space="preserve"> for non-compliance with the principles of accessibility</w:t>
      </w:r>
      <w:r>
        <w:rPr>
          <w:lang w:val="en-GB"/>
        </w:rPr>
        <w:t xml:space="preserve"> in case it is proved that the building authority granted approval for the construction that does not meet the requirements for the barrier-free use.</w:t>
      </w:r>
    </w:p>
    <w:p w14:paraId="52C09639" w14:textId="77777777" w:rsidR="00500BCD" w:rsidRDefault="00500BCD" w:rsidP="00500BCD">
      <w:pPr>
        <w:pStyle w:val="Odsekzoznamu"/>
        <w:numPr>
          <w:ilvl w:val="0"/>
          <w:numId w:val="42"/>
        </w:numPr>
        <w:rPr>
          <w:lang w:val="en-GB"/>
        </w:rPr>
      </w:pPr>
      <w:r>
        <w:rPr>
          <w:lang w:val="en-GB"/>
        </w:rPr>
        <w:t>It does not contain uniform criteria that entitle the operator of the construction mark the construction with the accessibility symbol.</w:t>
      </w:r>
    </w:p>
    <w:p w14:paraId="414FEB76" w14:textId="77777777" w:rsidR="00500BCD" w:rsidRPr="00EE7FFB" w:rsidRDefault="00500BCD" w:rsidP="00500BCD">
      <w:bookmarkStart w:id="11" w:name="_Hlk14879500"/>
      <w:r w:rsidRPr="00EE7FFB">
        <w:t xml:space="preserve">There is a critical lack of affordable rental flats accessible for people with disabilities. However, there are rental flats intended for people with a low income and some of them are accessible. </w:t>
      </w:r>
      <w:r>
        <w:t>P</w:t>
      </w:r>
      <w:r w:rsidRPr="00EE7FFB">
        <w:t>eople with disabilities</w:t>
      </w:r>
      <w:r>
        <w:t xml:space="preserve"> however cannot rent these flats</w:t>
      </w:r>
      <w:r w:rsidRPr="00EE7FFB">
        <w:t xml:space="preserve"> in case their income has grown over the fixed threshold </w:t>
      </w:r>
      <w:r w:rsidRPr="00EE7FFB">
        <w:lastRenderedPageBreak/>
        <w:t>which</w:t>
      </w:r>
      <w:r>
        <w:t>. O</w:t>
      </w:r>
      <w:r w:rsidRPr="00EE7FFB">
        <w:t xml:space="preserve">n the other hand, </w:t>
      </w:r>
      <w:r>
        <w:t xml:space="preserve">their income </w:t>
      </w:r>
      <w:r w:rsidRPr="00EE7FFB">
        <w:t>is not high enough to rent of standard barrier-free flat or take a mortgage.</w:t>
      </w:r>
    </w:p>
    <w:p w14:paraId="3208F725" w14:textId="77777777" w:rsidR="00500BCD" w:rsidRPr="00EE7FFB" w:rsidRDefault="00500BCD" w:rsidP="00500BCD">
      <w:r w:rsidRPr="00EE7FFB">
        <w:t xml:space="preserve">The Ministry of Transport and Construction has created the working group for drafting of the concept paper for the area of housing. The </w:t>
      </w:r>
      <w:r>
        <w:t>DPOs</w:t>
      </w:r>
      <w:r w:rsidRPr="00EE7FFB">
        <w:t xml:space="preserve"> are convinced the concept paper should also deal with solving the problem described. The request of DPOs to have their representatives in the working group has been rejected.</w:t>
      </w:r>
    </w:p>
    <w:bookmarkEnd w:id="11"/>
    <w:p w14:paraId="1CFE01C9" w14:textId="77777777" w:rsidR="00500BCD" w:rsidRDefault="00500BCD" w:rsidP="00500BCD">
      <w:pPr>
        <w:spacing w:line="276" w:lineRule="auto"/>
        <w:jc w:val="both"/>
        <w:rPr>
          <w:rFonts w:cstheme="minorHAnsi"/>
          <w:lang w:val="sk-SK"/>
        </w:rPr>
      </w:pPr>
    </w:p>
    <w:p w14:paraId="57975076" w14:textId="77777777" w:rsidR="00500BCD" w:rsidRDefault="00500BCD" w:rsidP="00500BCD">
      <w:pPr>
        <w:rPr>
          <w:rFonts w:cstheme="minorHAnsi"/>
        </w:rPr>
      </w:pPr>
      <w:r>
        <w:t>T</w:t>
      </w:r>
      <w:r w:rsidRPr="00473392">
        <w:t xml:space="preserve">ransport accessibility has </w:t>
      </w:r>
      <w:r>
        <w:t>improved</w:t>
      </w:r>
      <w:r w:rsidRPr="00473392">
        <w:t xml:space="preserve"> especial</w:t>
      </w:r>
      <w:r>
        <w:t>ly in the ar</w:t>
      </w:r>
      <w:r w:rsidRPr="00473392">
        <w:t>eas regulated by the EU regulations on the rights of pa</w:t>
      </w:r>
      <w:r>
        <w:t>s</w:t>
      </w:r>
      <w:r w:rsidRPr="00473392">
        <w:t xml:space="preserve">sengers </w:t>
      </w:r>
      <w:r>
        <w:t xml:space="preserve">in the air, rail, and bus transport. The domestic rail and bus transport for shorter distances and public transport inside and outside the city areas which are not regulated by the European legislation are still problematic. Making related transport buildings accessible is slow and uneven. Introduction of vehicles meeting the accessibility requirements (including low-floor vehicles, </w:t>
      </w:r>
      <w:r w:rsidRPr="009A3F7B">
        <w:t>internal and external voice signalling for people with visual impairments, visual signalling for p</w:t>
      </w:r>
      <w:r>
        <w:t>eople with hearing disabilities</w:t>
      </w:r>
      <w:r w:rsidRPr="009A3F7B">
        <w:t>), is largely dependent on the financial prospects of the country, the will of governing bodies and the support of the European structural and investment funds.</w:t>
      </w:r>
      <w:r>
        <w:t xml:space="preserve"> </w:t>
      </w:r>
      <w:bookmarkStart w:id="12" w:name="_Hlk14879882"/>
      <w:bookmarkStart w:id="13" w:name="_Hlk14871208"/>
      <w:r>
        <w:t>The l</w:t>
      </w:r>
      <w:r w:rsidRPr="007B17F7">
        <w:t xml:space="preserve">egislation </w:t>
      </w:r>
      <w:r>
        <w:t>defining</w:t>
      </w:r>
      <w:r w:rsidRPr="007B17F7">
        <w:t xml:space="preserve"> the deadline until when it is possible to operate vehicles not meeting the accessibility requirements and the deadline after which it will not be possible to launch new vehicles not meeting the accessibility criteria</w:t>
      </w:r>
      <w:r>
        <w:t>,</w:t>
      </w:r>
      <w:r w:rsidRPr="007B17F7">
        <w:t xml:space="preserve"> has not been set.</w:t>
      </w:r>
      <w:bookmarkEnd w:id="12"/>
    </w:p>
    <w:bookmarkEnd w:id="13"/>
    <w:p w14:paraId="62F6B3E7" w14:textId="77777777" w:rsidR="00500BCD" w:rsidRDefault="00500BCD" w:rsidP="00500BCD"/>
    <w:p w14:paraId="2D609A7B" w14:textId="77777777" w:rsidR="00500BCD" w:rsidRPr="00150DB9" w:rsidRDefault="00500BCD" w:rsidP="00500BCD">
      <w:r w:rsidRPr="00150DB9">
        <w:t>Making the Internet, mobile applicat</w:t>
      </w:r>
      <w:r>
        <w:t>i</w:t>
      </w:r>
      <w:r w:rsidRPr="00150DB9">
        <w:t xml:space="preserve">ons and </w:t>
      </w:r>
      <w:r>
        <w:t>infor</w:t>
      </w:r>
      <w:r w:rsidRPr="00150DB9">
        <w:t>m</w:t>
      </w:r>
      <w:r>
        <w:t>a</w:t>
      </w:r>
      <w:r w:rsidRPr="00150DB9">
        <w:t xml:space="preserve">tion system accessible to people with disabilities is regulated by </w:t>
      </w:r>
      <w:r>
        <w:t xml:space="preserve">the new Act no. 95/2019 Coll. on </w:t>
      </w:r>
      <w:r w:rsidRPr="009A3F7B">
        <w:t>Public Administration Information Systems and the Decree 55/2014 Coll. on Standards for Public Administration Information Systems</w:t>
      </w:r>
      <w:r>
        <w:t>. The WCGA 2.1 recommendations and the EU Directive no 2016/2102 on the accessibility of the websites and mobile applications of public sector bodies are incorporated into the legislation.</w:t>
      </w:r>
    </w:p>
    <w:p w14:paraId="6E133A4C" w14:textId="77777777" w:rsidR="00500BCD" w:rsidRDefault="00500BCD" w:rsidP="00500BCD"/>
    <w:p w14:paraId="72B058BD" w14:textId="77777777" w:rsidR="00500BCD" w:rsidRDefault="00500BCD" w:rsidP="00500BCD">
      <w:r>
        <w:t xml:space="preserve">We have succeeded in enforcing the provision in the Act No. 131/2002 Coll. on Higher Education in accordance with which “the public school of higher </w:t>
      </w:r>
      <w:r>
        <w:lastRenderedPageBreak/>
        <w:t>education is obliged to comply with the accessibility and operability standards for its websites and mobile applications, as well as with minimum requirements for the content of websites” in compliance with the above mentioned legislation.</w:t>
      </w:r>
    </w:p>
    <w:p w14:paraId="7249307C" w14:textId="77777777" w:rsidR="00500BCD" w:rsidRDefault="00500BCD" w:rsidP="00500BCD">
      <w:r>
        <w:t>There is a shortcoming, however, that inaccessible information systems are still used by natural and legal persons to communicate with the public administration in spite of the fact that this is prohibited by the National Program for Development of Living Conditions of People with Disabilities approved by the Government.</w:t>
      </w:r>
    </w:p>
    <w:p w14:paraId="7CD5FF8D" w14:textId="77777777" w:rsidR="00500BCD" w:rsidRDefault="00500BCD" w:rsidP="00500BCD">
      <w:r>
        <w:t>The standardized on-line income tax declaration (tax return form) or electronic billing machine are examples. There is another shortcoming that the accessibility provisions mentioned have a form of recommendations in case of the private sector including e. g. electronic banking, which is often not accessible in spite of the fact it d has been required by the public administration.</w:t>
      </w:r>
    </w:p>
    <w:p w14:paraId="38B9C3D4" w14:textId="77777777" w:rsidR="00500BCD" w:rsidRDefault="00500BCD" w:rsidP="00500BCD">
      <w:pPr>
        <w:pStyle w:val="Nadpis4"/>
        <w:rPr>
          <w:rFonts w:cstheme="minorHAnsi"/>
          <w:lang w:val="pt-PT"/>
        </w:rPr>
      </w:pPr>
      <w:r w:rsidRPr="00C625E4">
        <w:rPr>
          <w:rFonts w:eastAsia="Times New Roman" w:cstheme="minorHAnsi"/>
          <w:bCs/>
          <w:lang w:eastAsia="sk-SK"/>
        </w:rPr>
        <w:t>Proposed question</w:t>
      </w:r>
      <w:r>
        <w:rPr>
          <w:rFonts w:eastAsia="Times New Roman" w:cstheme="minorHAnsi"/>
          <w:bCs/>
          <w:lang w:eastAsia="sk-SK"/>
        </w:rPr>
        <w:t>s</w:t>
      </w:r>
    </w:p>
    <w:p w14:paraId="499A5C61" w14:textId="77777777" w:rsidR="00500BCD" w:rsidRPr="00884129" w:rsidRDefault="00500BCD" w:rsidP="00500BCD">
      <w:pPr>
        <w:pStyle w:val="Odsekzoznamu"/>
        <w:numPr>
          <w:ilvl w:val="0"/>
          <w:numId w:val="43"/>
        </w:numPr>
        <w:rPr>
          <w:rFonts w:cstheme="minorHAnsi"/>
        </w:rPr>
      </w:pPr>
      <w:r w:rsidRPr="00901DAD">
        <w:rPr>
          <w:rFonts w:cstheme="minorHAnsi"/>
        </w:rPr>
        <w:t xml:space="preserve">How and when </w:t>
      </w:r>
      <w:r>
        <w:rPr>
          <w:rFonts w:cstheme="minorHAnsi"/>
        </w:rPr>
        <w:t>does the State</w:t>
      </w:r>
      <w:r w:rsidRPr="00901DAD">
        <w:rPr>
          <w:rFonts w:cstheme="minorHAnsi"/>
        </w:rPr>
        <w:t xml:space="preserve"> plan to introduce the institute of the </w:t>
      </w:r>
      <w:r>
        <w:rPr>
          <w:lang w:val="en-GB"/>
        </w:rPr>
        <w:t>expert</w:t>
      </w:r>
      <w:r w:rsidRPr="00BF0D93">
        <w:rPr>
          <w:lang w:val="en-GB"/>
        </w:rPr>
        <w:t xml:space="preserve"> </w:t>
      </w:r>
      <w:r>
        <w:rPr>
          <w:lang w:val="en-GB"/>
        </w:rPr>
        <w:t>licensed in the field of assessment barrier-free buildings and define categories of constructions for which the expert</w:t>
      </w:r>
      <w:r>
        <w:t>’s assessment will be an obligatory part of the project documentation?</w:t>
      </w:r>
    </w:p>
    <w:p w14:paraId="41D6D034" w14:textId="77777777" w:rsidR="00500BCD" w:rsidRPr="00246F5C" w:rsidRDefault="00500BCD" w:rsidP="00500BCD">
      <w:pPr>
        <w:pStyle w:val="Odsekzoznamu"/>
        <w:numPr>
          <w:ilvl w:val="0"/>
          <w:numId w:val="43"/>
        </w:numPr>
        <w:rPr>
          <w:rFonts w:cstheme="minorHAnsi"/>
        </w:rPr>
      </w:pPr>
      <w:r>
        <w:t>What measures will</w:t>
      </w:r>
      <w:r w:rsidRPr="00246F5C">
        <w:t xml:space="preserve"> </w:t>
      </w:r>
      <w:r>
        <w:t>the State</w:t>
      </w:r>
      <w:r w:rsidRPr="00246F5C">
        <w:t xml:space="preserve"> </w:t>
      </w:r>
      <w:r>
        <w:t>take</w:t>
      </w:r>
      <w:r w:rsidRPr="00246F5C">
        <w:t xml:space="preserve"> to deal with the availability and sustainability of rental flats accessible for people with disabilities?</w:t>
      </w:r>
    </w:p>
    <w:p w14:paraId="68FE21FF" w14:textId="77777777" w:rsidR="00500BCD" w:rsidRPr="0071539F" w:rsidRDefault="00500BCD" w:rsidP="00500BCD">
      <w:pPr>
        <w:pStyle w:val="Odsekzoznamu"/>
        <w:numPr>
          <w:ilvl w:val="0"/>
          <w:numId w:val="43"/>
        </w:numPr>
        <w:rPr>
          <w:rFonts w:cstheme="minorHAnsi"/>
        </w:rPr>
      </w:pPr>
      <w:r>
        <w:t xml:space="preserve">When and how will the State set the deadline </w:t>
      </w:r>
      <w:r>
        <w:rPr>
          <w:lang w:val="en-GB"/>
        </w:rPr>
        <w:t>until when it is possible to operate vehicles not meeting the accessibility requirements and until when it will not be possible to operate new vehicles not meeting the accessibility criteria?</w:t>
      </w:r>
    </w:p>
    <w:p w14:paraId="786B1BEF" w14:textId="77777777" w:rsidR="00500BCD" w:rsidRPr="00EE08BC" w:rsidRDefault="00500BCD" w:rsidP="00500BCD">
      <w:pPr>
        <w:pStyle w:val="Odsekzoznamu"/>
        <w:numPr>
          <w:ilvl w:val="0"/>
          <w:numId w:val="43"/>
        </w:numPr>
        <w:rPr>
          <w:rFonts w:cstheme="minorHAnsi"/>
        </w:rPr>
      </w:pPr>
      <w:r>
        <w:rPr>
          <w:lang w:val="en-GB"/>
        </w:rPr>
        <w:t>What measures will the State take to ensure that information systems for obligatory communication of citizens with the public administration are set only after their accessibility for people with disabilities is ensured?</w:t>
      </w:r>
    </w:p>
    <w:p w14:paraId="401B9A08" w14:textId="77777777" w:rsidR="00500BCD" w:rsidRPr="00B946F8" w:rsidRDefault="00500BCD" w:rsidP="00500BCD">
      <w:pPr>
        <w:pStyle w:val="Odsekzoznamu"/>
        <w:numPr>
          <w:ilvl w:val="0"/>
          <w:numId w:val="43"/>
        </w:numPr>
        <w:rPr>
          <w:rFonts w:cstheme="minorHAnsi"/>
        </w:rPr>
      </w:pPr>
      <w:r>
        <w:rPr>
          <w:lang w:val="en-GB"/>
        </w:rPr>
        <w:t>How does the Slovak Republic monitor the compliance of the accessibility of public services provided by public and private operators?</w:t>
      </w:r>
    </w:p>
    <w:p w14:paraId="7DF108A2" w14:textId="77777777" w:rsidR="00500BCD" w:rsidRPr="00BE13F3" w:rsidRDefault="00500BCD" w:rsidP="00500BCD">
      <w:pPr>
        <w:pStyle w:val="Odsekzoznamu"/>
        <w:numPr>
          <w:ilvl w:val="0"/>
          <w:numId w:val="43"/>
        </w:numPr>
      </w:pPr>
      <w:r w:rsidRPr="00BE13F3">
        <w:t xml:space="preserve">How does the Slovak Republic ensure </w:t>
      </w:r>
      <w:r>
        <w:t>that</w:t>
      </w:r>
      <w:r w:rsidRPr="00BE13F3">
        <w:t xml:space="preserve"> new buildings, reconstructed buildings of public infrastructure (including the objects of social services </w:t>
      </w:r>
      <w:r w:rsidRPr="00BE13F3">
        <w:lastRenderedPageBreak/>
        <w:t>providers, health care, education and other public services) meet the requirements of the legislation and universal design?</w:t>
      </w:r>
    </w:p>
    <w:p w14:paraId="22E525FD" w14:textId="77777777" w:rsidR="00500BCD" w:rsidRPr="00BE13F3" w:rsidRDefault="00500BCD" w:rsidP="00500BCD">
      <w:pPr>
        <w:pStyle w:val="Odsekzoznamu"/>
        <w:numPr>
          <w:ilvl w:val="0"/>
          <w:numId w:val="43"/>
        </w:numPr>
      </w:pPr>
      <w:r w:rsidRPr="00BE13F3">
        <w:t xml:space="preserve">What kind of incentives will municipalities </w:t>
      </w:r>
      <w:r>
        <w:t>receive</w:t>
      </w:r>
      <w:r w:rsidRPr="00BE13F3">
        <w:t xml:space="preserve"> in case they build barrier-free rental flats for people with disabilities?</w:t>
      </w:r>
    </w:p>
    <w:p w14:paraId="4BEF2D8E" w14:textId="77777777" w:rsidR="00500BCD" w:rsidRDefault="00500BCD" w:rsidP="00500BCD">
      <w:pPr>
        <w:pStyle w:val="Nadpis3"/>
        <w:rPr>
          <w:rFonts w:eastAsia="Times New Roman"/>
          <w:lang w:eastAsia="sk-SK"/>
        </w:rPr>
      </w:pPr>
    </w:p>
    <w:p w14:paraId="31B387D7" w14:textId="4E4B3A29" w:rsidR="00500BCD" w:rsidRDefault="00500BCD" w:rsidP="00500BCD">
      <w:pPr>
        <w:pStyle w:val="Nadpis3"/>
        <w:rPr>
          <w:rFonts w:eastAsia="Times New Roman"/>
          <w:lang w:eastAsia="sk-SK"/>
        </w:rPr>
      </w:pPr>
      <w:bookmarkStart w:id="14" w:name="_Toc15062576"/>
      <w:r w:rsidRPr="00723D5F">
        <w:rPr>
          <w:rFonts w:eastAsia="Times New Roman"/>
          <w:lang w:eastAsia="sk-SK"/>
        </w:rPr>
        <w:t xml:space="preserve">Article 12 </w:t>
      </w:r>
      <w:r>
        <w:rPr>
          <w:rFonts w:eastAsia="Times New Roman"/>
          <w:lang w:eastAsia="sk-SK"/>
        </w:rPr>
        <w:t xml:space="preserve">– </w:t>
      </w:r>
      <w:r w:rsidRPr="00723D5F">
        <w:rPr>
          <w:rFonts w:eastAsia="Times New Roman"/>
          <w:lang w:eastAsia="sk-SK"/>
        </w:rPr>
        <w:t xml:space="preserve">Deprivation and </w:t>
      </w:r>
      <w:r>
        <w:rPr>
          <w:rFonts w:eastAsia="Times New Roman"/>
          <w:lang w:eastAsia="sk-SK"/>
        </w:rPr>
        <w:t>restriction of legal capacity</w:t>
      </w:r>
      <w:bookmarkEnd w:id="14"/>
    </w:p>
    <w:p w14:paraId="37030C9D" w14:textId="2356C69F" w:rsidR="00DD6F92" w:rsidRPr="00DD6F92" w:rsidRDefault="00DD6F92" w:rsidP="00DD6F92">
      <w:pPr>
        <w:pStyle w:val="Nadpis4"/>
        <w:rPr>
          <w:lang w:eastAsia="sk-SK"/>
        </w:rPr>
      </w:pPr>
      <w:r>
        <w:rPr>
          <w:lang w:eastAsia="sk-SK"/>
        </w:rPr>
        <w:t>CO 38 – 39</w:t>
      </w:r>
    </w:p>
    <w:p w14:paraId="4F6F021F" w14:textId="77777777" w:rsidR="00500BCD" w:rsidRPr="00723D5F" w:rsidRDefault="00500BCD" w:rsidP="00500BCD">
      <w:pPr>
        <w:rPr>
          <w:lang w:eastAsia="sk-SK"/>
        </w:rPr>
      </w:pPr>
      <w:r w:rsidRPr="00723D5F">
        <w:rPr>
          <w:lang w:eastAsia="sk-SK"/>
        </w:rPr>
        <w:t xml:space="preserve">Legal capacity of persons with </w:t>
      </w:r>
      <w:r>
        <w:rPr>
          <w:lang w:eastAsia="sk-SK"/>
        </w:rPr>
        <w:t xml:space="preserve">intellectual and psycho-social </w:t>
      </w:r>
      <w:r w:rsidRPr="00723D5F">
        <w:rPr>
          <w:lang w:eastAsia="sk-SK"/>
        </w:rPr>
        <w:t xml:space="preserve">disabilities is regulated by the Civil Code, and the Civil Procedure Code. Section 10 of the Civil Code enables the court to deprive or restrict an individual’s legal capacity on the basis of his or her </w:t>
      </w:r>
      <w:r>
        <w:rPr>
          <w:lang w:eastAsia="sk-SK"/>
        </w:rPr>
        <w:t>intellectual</w:t>
      </w:r>
      <w:r w:rsidRPr="00723D5F">
        <w:rPr>
          <w:lang w:eastAsia="sk-SK"/>
        </w:rPr>
        <w:t xml:space="preserve"> disability. Slovak law still operates solely within the framework of substitute decision-making, and there are no provisions based on the idea of supportive decision-making. </w:t>
      </w:r>
    </w:p>
    <w:p w14:paraId="70B12FE2" w14:textId="77777777" w:rsidR="00500BCD" w:rsidRPr="00723D5F" w:rsidRDefault="00500BCD" w:rsidP="00500BCD">
      <w:pPr>
        <w:rPr>
          <w:lang w:eastAsia="sk-SK"/>
        </w:rPr>
      </w:pPr>
      <w:r w:rsidRPr="00723D5F">
        <w:rPr>
          <w:lang w:eastAsia="sk-SK"/>
        </w:rPr>
        <w:t>A person deprived of legal capacity cannot validly exercise any legal act and is automatically stripped of various fundamental rights and freedoms, such as the right to enter into marriage. Alternatively, if a person’s legal capacity has been restricted, the court delineates those legal actions that he or she cannot validly perform. In both cases, legal actions of a person deprived or restricted of legal capacity are performed by his or her guardian who is understood as a legal representative and substitute decision-maker.</w:t>
      </w:r>
    </w:p>
    <w:p w14:paraId="5886DC06" w14:textId="77777777" w:rsidR="00500BCD" w:rsidRPr="00723D5F" w:rsidRDefault="00500BCD" w:rsidP="00500BCD">
      <w:pPr>
        <w:rPr>
          <w:lang w:eastAsia="sk-SK"/>
        </w:rPr>
      </w:pPr>
      <w:r w:rsidRPr="00723D5F">
        <w:rPr>
          <w:lang w:eastAsia="sk-SK"/>
        </w:rPr>
        <w:t>In June 2015, the Parliament adopted a new law on non-contentious civil proceedings that entered into force in July 2016. The law introduced, inter alia, new procedural rules regulating legal capacity proceedings. Notably, the court is no longer able to deprive individuals of legal capacity and is limited instead to the restriction of legal capacity. Though this is a positive development, it is regrettable that these changes in procedural law were not accompanied by corresponding changes in the Civil Code. Even though the new Civil Code has been in the drafting stages for years, the regime of deprivation of legal capacity remains intact, and no alternatives to current modes of substitute decision making have been enacted.</w:t>
      </w:r>
    </w:p>
    <w:p w14:paraId="48B3B3D0" w14:textId="77777777" w:rsidR="00500BCD" w:rsidRPr="00723D5F" w:rsidRDefault="00500BCD" w:rsidP="00500BCD">
      <w:pPr>
        <w:spacing w:line="276" w:lineRule="auto"/>
        <w:jc w:val="both"/>
        <w:rPr>
          <w:rFonts w:eastAsia="Times New Roman" w:cstheme="minorHAnsi"/>
          <w:bCs/>
          <w:lang w:eastAsia="sk-SK"/>
        </w:rPr>
      </w:pPr>
    </w:p>
    <w:p w14:paraId="3106000A" w14:textId="77777777" w:rsidR="00500BCD" w:rsidRPr="00C625E4" w:rsidRDefault="00500BCD" w:rsidP="00500BCD">
      <w:pPr>
        <w:pStyle w:val="Nadpis4"/>
        <w:rPr>
          <w:rFonts w:eastAsia="Times New Roman"/>
          <w:lang w:eastAsia="sk-SK"/>
        </w:rPr>
      </w:pPr>
      <w:r w:rsidRPr="00C625E4">
        <w:rPr>
          <w:rFonts w:eastAsia="Times New Roman"/>
          <w:lang w:eastAsia="sk-SK"/>
        </w:rPr>
        <w:lastRenderedPageBreak/>
        <w:t>Proposed question</w:t>
      </w:r>
      <w:r>
        <w:rPr>
          <w:rFonts w:eastAsia="Times New Roman"/>
          <w:lang w:eastAsia="sk-SK"/>
        </w:rPr>
        <w:t>s</w:t>
      </w:r>
    </w:p>
    <w:p w14:paraId="4E3C526E" w14:textId="77777777" w:rsidR="00500BCD" w:rsidRPr="00C625E4" w:rsidRDefault="00500BCD" w:rsidP="00500BCD">
      <w:pPr>
        <w:pStyle w:val="Odsekzoznamu"/>
        <w:numPr>
          <w:ilvl w:val="0"/>
          <w:numId w:val="44"/>
        </w:numPr>
      </w:pPr>
      <w:r>
        <w:t>When and how will</w:t>
      </w:r>
      <w:r w:rsidRPr="00C625E4">
        <w:t xml:space="preserve"> the Government abolish plenary and partial guardianship and replace these with supported-decision making</w:t>
      </w:r>
      <w:r>
        <w:t>?</w:t>
      </w:r>
    </w:p>
    <w:p w14:paraId="7B3314C8" w14:textId="77777777" w:rsidR="00500BCD" w:rsidRDefault="00500BCD" w:rsidP="00500BCD">
      <w:pPr>
        <w:pStyle w:val="Odsekzoznamu"/>
        <w:numPr>
          <w:ilvl w:val="0"/>
          <w:numId w:val="44"/>
        </w:numPr>
      </w:pPr>
      <w:r w:rsidRPr="00D9486A">
        <w:t>When do you intend to finalize a new Civil Code including a conception of legal capacity and th</w:t>
      </w:r>
      <w:r>
        <w:t>e</w:t>
      </w:r>
      <w:r w:rsidRPr="00D9486A">
        <w:t xml:space="preserve"> possibilities of its re</w:t>
      </w:r>
      <w:r>
        <w:t>strictions, a</w:t>
      </w:r>
      <w:r w:rsidRPr="00D9486A">
        <w:t>s well as the institutes of guardianship?</w:t>
      </w:r>
    </w:p>
    <w:p w14:paraId="71B14027" w14:textId="77777777" w:rsidR="00500BCD" w:rsidRPr="00D9486A" w:rsidRDefault="00500BCD" w:rsidP="00500BCD">
      <w:pPr>
        <w:pStyle w:val="Odsekzoznamu"/>
        <w:ind w:left="720"/>
      </w:pPr>
    </w:p>
    <w:p w14:paraId="37F70FFB" w14:textId="47CB3CAA" w:rsidR="00500BCD" w:rsidRDefault="00500BCD" w:rsidP="00500BCD">
      <w:pPr>
        <w:pStyle w:val="Nadpis3"/>
        <w:rPr>
          <w:rFonts w:eastAsia="Times New Roman"/>
          <w:lang w:eastAsia="sk-SK"/>
        </w:rPr>
      </w:pPr>
      <w:bookmarkStart w:id="15" w:name="_Toc15062577"/>
      <w:r w:rsidRPr="007E5381">
        <w:rPr>
          <w:rFonts w:eastAsia="Times New Roman"/>
          <w:lang w:eastAsia="sk-SK"/>
        </w:rPr>
        <w:t>Article 13 – Access to Justice</w:t>
      </w:r>
      <w:bookmarkEnd w:id="15"/>
    </w:p>
    <w:p w14:paraId="5AE32E6E" w14:textId="35A47BA2" w:rsidR="00DD6F92" w:rsidRPr="00DD6F92" w:rsidRDefault="00DD6F92" w:rsidP="00DD6F92">
      <w:pPr>
        <w:pStyle w:val="Nadpis4"/>
        <w:rPr>
          <w:lang w:eastAsia="sk-SK"/>
        </w:rPr>
      </w:pPr>
      <w:r>
        <w:rPr>
          <w:lang w:eastAsia="sk-SK"/>
        </w:rPr>
        <w:t>CO 40 – 42</w:t>
      </w:r>
    </w:p>
    <w:p w14:paraId="1C2CD4BF" w14:textId="77777777" w:rsidR="00500BCD" w:rsidRPr="007E5381" w:rsidRDefault="00500BCD" w:rsidP="00500BCD">
      <w:pPr>
        <w:spacing w:line="276" w:lineRule="auto"/>
        <w:jc w:val="both"/>
        <w:rPr>
          <w:rFonts w:eastAsia="Times New Roman" w:cstheme="minorHAnsi"/>
          <w:bCs/>
          <w:lang w:eastAsia="sk-SK"/>
        </w:rPr>
      </w:pPr>
      <w:r w:rsidRPr="007E5381">
        <w:rPr>
          <w:rFonts w:eastAsia="Times New Roman" w:cstheme="minorHAnsi"/>
          <w:bCs/>
          <w:lang w:eastAsia="sk-SK"/>
        </w:rPr>
        <w:t xml:space="preserve">In comparison with the 2015 Alternative report the state of the art has not changed at all. </w:t>
      </w:r>
      <w:r>
        <w:rPr>
          <w:rFonts w:eastAsia="Times New Roman" w:cstheme="minorHAnsi"/>
          <w:bCs/>
          <w:lang w:eastAsia="sk-SK"/>
        </w:rPr>
        <w:t>The following problems are most significant:</w:t>
      </w:r>
    </w:p>
    <w:p w14:paraId="7EEA5E94" w14:textId="77777777" w:rsidR="00500BCD" w:rsidRDefault="00500BCD" w:rsidP="00500BCD">
      <w:pPr>
        <w:spacing w:line="276" w:lineRule="auto"/>
        <w:jc w:val="both"/>
        <w:rPr>
          <w:rFonts w:eastAsia="Times New Roman" w:cstheme="minorHAnsi"/>
          <w:bCs/>
          <w:lang w:val="sk-SK" w:eastAsia="sk-SK"/>
        </w:rPr>
      </w:pPr>
    </w:p>
    <w:p w14:paraId="003B40A4" w14:textId="77777777" w:rsidR="00500BCD" w:rsidRPr="009A3F7B" w:rsidRDefault="00500BCD" w:rsidP="00500BCD">
      <w:pPr>
        <w:rPr>
          <w:rFonts w:eastAsia="Century Gothic" w:cs="Century Gothic"/>
        </w:rPr>
      </w:pPr>
      <w:r w:rsidRPr="009A3F7B">
        <w:t xml:space="preserve">Access to justice overlaps and intersects with a number of other </w:t>
      </w:r>
      <w:r>
        <w:t xml:space="preserve">areas and </w:t>
      </w:r>
      <w:r w:rsidRPr="009A3F7B">
        <w:t xml:space="preserve">issues. First, according to procedural rules, especially Article 19 of the Act </w:t>
      </w:r>
      <w:r>
        <w:t>N</w:t>
      </w:r>
      <w:r w:rsidRPr="009A3F7B">
        <w:t>o. 99/1963 Coll.</w:t>
      </w:r>
      <w:r>
        <w:t>,</w:t>
      </w:r>
      <w:r w:rsidRPr="009A3F7B">
        <w:t xml:space="preserve"> the Civil Procedure Code and Article 15 of the Act </w:t>
      </w:r>
      <w:r>
        <w:t>N</w:t>
      </w:r>
      <w:r w:rsidRPr="009A3F7B">
        <w:t>o. 71/1967 Coll. the Administrative Procedure Act, deprivation of legal capacity automatically leads to a loss of procedural capacity and thus also a loss of independent standing before courts and administrative authorities. The same logic applies to the restriction of legal capacity. This situation is not in conformity with Article 13 in conjunction with Article 12 of the CRPD.</w:t>
      </w:r>
    </w:p>
    <w:p w14:paraId="7C2B8434" w14:textId="77777777" w:rsidR="00500BCD" w:rsidRPr="007E5381" w:rsidRDefault="00500BCD" w:rsidP="00500BCD">
      <w:pPr>
        <w:spacing w:line="276" w:lineRule="auto"/>
        <w:jc w:val="both"/>
        <w:rPr>
          <w:rFonts w:eastAsia="Times New Roman" w:cstheme="minorHAnsi"/>
          <w:bCs/>
          <w:lang w:eastAsia="sk-SK"/>
        </w:rPr>
      </w:pPr>
    </w:p>
    <w:p w14:paraId="2C7BBAAD" w14:textId="77777777" w:rsidR="00500BCD" w:rsidRPr="009A3F7B" w:rsidRDefault="00500BCD" w:rsidP="00500BCD">
      <w:pPr>
        <w:rPr>
          <w:rFonts w:eastAsia="Century Gothic" w:cs="Century Gothic"/>
        </w:rPr>
      </w:pPr>
      <w:r w:rsidRPr="009A3F7B">
        <w:t>Secondly, we are particularly concerned about specific practice of the state’s Social Insurance Company, which is the administrative body that considers requests for disability pensions. When dealing with persons with</w:t>
      </w:r>
      <w:r>
        <w:t xml:space="preserve"> intellectual</w:t>
      </w:r>
      <w:r w:rsidRPr="009A3F7B">
        <w:t xml:space="preserve"> disabilities, this authority requires that a decision on incapacitation be submitted in order to initiate the application process. Another problem is accessibility of legal aid for persons with disabilities. Even though free legal aid is available through Legal Aid Centres, access depends on a person’s income. The income limit is</w:t>
      </w:r>
      <w:r>
        <w:t>,</w:t>
      </w:r>
      <w:r w:rsidRPr="009A3F7B">
        <w:t xml:space="preserve"> however</w:t>
      </w:r>
      <w:r>
        <w:t>,</w:t>
      </w:r>
      <w:r w:rsidRPr="009A3F7B">
        <w:t xml:space="preserve"> very low (316.94 EUR) and number of persons with disabilities even with low income do not</w:t>
      </w:r>
      <w:r>
        <w:t xml:space="preserve"> meet this criteria. Moreover, l</w:t>
      </w:r>
      <w:r w:rsidRPr="009A3F7B">
        <w:t xml:space="preserve">egal </w:t>
      </w:r>
      <w:r>
        <w:t>a</w:t>
      </w:r>
      <w:r w:rsidRPr="009A3F7B">
        <w:t xml:space="preserve">id </w:t>
      </w:r>
      <w:r>
        <w:t>c</w:t>
      </w:r>
      <w:r w:rsidRPr="009A3F7B">
        <w:t>entres fall short in terms of physical accessibility and lack of personnel. Finally, there is a lack of education and training for judicial and other personnel in the justice system on the rights enshrined in the Convention.</w:t>
      </w:r>
    </w:p>
    <w:p w14:paraId="21B54369" w14:textId="77777777" w:rsidR="00500BCD" w:rsidRPr="007E5381" w:rsidRDefault="00500BCD" w:rsidP="00500BCD">
      <w:pPr>
        <w:pStyle w:val="Nadpis4"/>
        <w:rPr>
          <w:rFonts w:eastAsia="Times New Roman"/>
          <w:lang w:eastAsia="sk-SK"/>
        </w:rPr>
      </w:pPr>
      <w:r w:rsidRPr="007E5381">
        <w:rPr>
          <w:rFonts w:eastAsia="Times New Roman"/>
          <w:lang w:eastAsia="sk-SK"/>
        </w:rPr>
        <w:lastRenderedPageBreak/>
        <w:t xml:space="preserve">Proposed </w:t>
      </w:r>
      <w:r>
        <w:rPr>
          <w:rFonts w:eastAsia="Times New Roman"/>
          <w:lang w:eastAsia="sk-SK"/>
        </w:rPr>
        <w:t>questions:</w:t>
      </w:r>
    </w:p>
    <w:p w14:paraId="41E7CE57" w14:textId="77777777" w:rsidR="00500BCD" w:rsidRPr="007E5381" w:rsidRDefault="00500BCD" w:rsidP="00500BCD">
      <w:pPr>
        <w:pStyle w:val="Odsekzoznamu"/>
        <w:numPr>
          <w:ilvl w:val="0"/>
          <w:numId w:val="47"/>
        </w:numPr>
        <w:spacing w:line="276" w:lineRule="auto"/>
        <w:rPr>
          <w:rFonts w:eastAsia="Times New Roman" w:cstheme="minorHAnsi"/>
          <w:bCs/>
        </w:rPr>
      </w:pPr>
      <w:r>
        <w:rPr>
          <w:rFonts w:eastAsia="Times New Roman" w:cstheme="minorHAnsi"/>
          <w:bCs/>
        </w:rPr>
        <w:t>What steps will the State take to</w:t>
      </w:r>
      <w:r w:rsidRPr="007E5381">
        <w:rPr>
          <w:rFonts w:eastAsia="Times New Roman" w:cstheme="minorHAnsi"/>
          <w:bCs/>
        </w:rPr>
        <w:t xml:space="preserve"> amend procedural rules to ensure that de</w:t>
      </w:r>
      <w:r>
        <w:rPr>
          <w:rFonts w:eastAsia="Times New Roman" w:cstheme="minorHAnsi"/>
          <w:bCs/>
        </w:rPr>
        <w:t>privation and restriction of le</w:t>
      </w:r>
      <w:r w:rsidRPr="007E5381">
        <w:rPr>
          <w:rFonts w:eastAsia="Times New Roman" w:cstheme="minorHAnsi"/>
          <w:bCs/>
        </w:rPr>
        <w:t xml:space="preserve">gal capacity do not constitute an </w:t>
      </w:r>
      <w:r>
        <w:rPr>
          <w:rFonts w:eastAsia="Times New Roman" w:cstheme="minorHAnsi"/>
          <w:bCs/>
        </w:rPr>
        <w:t>impediment to access to justice?</w:t>
      </w:r>
    </w:p>
    <w:p w14:paraId="74E3A61C" w14:textId="77777777" w:rsidR="00500BCD" w:rsidRPr="007E5381" w:rsidRDefault="00500BCD" w:rsidP="00500BCD">
      <w:pPr>
        <w:pStyle w:val="Odsekzoznamu"/>
        <w:numPr>
          <w:ilvl w:val="0"/>
          <w:numId w:val="47"/>
        </w:numPr>
        <w:spacing w:line="276" w:lineRule="auto"/>
        <w:rPr>
          <w:rFonts w:eastAsia="Times New Roman" w:cstheme="minorHAnsi"/>
          <w:bCs/>
        </w:rPr>
      </w:pPr>
      <w:r>
        <w:rPr>
          <w:rFonts w:eastAsia="Times New Roman" w:cstheme="minorHAnsi"/>
          <w:bCs/>
        </w:rPr>
        <w:t xml:space="preserve">What Steps will the State take to </w:t>
      </w:r>
      <w:r w:rsidRPr="007E5381">
        <w:rPr>
          <w:rFonts w:eastAsia="Times New Roman" w:cstheme="minorHAnsi"/>
          <w:bCs/>
        </w:rPr>
        <w:t>ensure that state authorities do not make the initiation of any proceedings conditional on the deprivation or restriction of legal capacity?</w:t>
      </w:r>
    </w:p>
    <w:p w14:paraId="5C687D73" w14:textId="77777777" w:rsidR="00500BCD" w:rsidRPr="007E5381" w:rsidRDefault="00500BCD" w:rsidP="00500BCD">
      <w:pPr>
        <w:pStyle w:val="Odsekzoznamu"/>
        <w:numPr>
          <w:ilvl w:val="0"/>
          <w:numId w:val="47"/>
        </w:numPr>
        <w:spacing w:line="276" w:lineRule="auto"/>
        <w:rPr>
          <w:rFonts w:eastAsia="Times New Roman" w:cstheme="minorHAnsi"/>
          <w:bCs/>
        </w:rPr>
      </w:pPr>
      <w:r>
        <w:rPr>
          <w:rFonts w:eastAsia="Times New Roman" w:cstheme="minorHAnsi"/>
          <w:bCs/>
        </w:rPr>
        <w:t xml:space="preserve">What Steps will the State take to </w:t>
      </w:r>
      <w:r w:rsidRPr="007E5381">
        <w:rPr>
          <w:rFonts w:eastAsia="Times New Roman" w:cstheme="minorHAnsi"/>
          <w:bCs/>
        </w:rPr>
        <w:t>ensure accessibility of free legal aid to all persons with disabilities?</w:t>
      </w:r>
    </w:p>
    <w:p w14:paraId="2FA19998" w14:textId="77777777" w:rsidR="00500BCD" w:rsidRPr="007E5381" w:rsidRDefault="00500BCD" w:rsidP="00500BCD">
      <w:pPr>
        <w:pStyle w:val="Odsekzoznamu"/>
        <w:numPr>
          <w:ilvl w:val="0"/>
          <w:numId w:val="47"/>
        </w:numPr>
        <w:spacing w:line="276" w:lineRule="auto"/>
        <w:rPr>
          <w:rFonts w:eastAsia="Times New Roman" w:cstheme="minorHAnsi"/>
          <w:bCs/>
          <w:lang w:val="en-GB"/>
        </w:rPr>
      </w:pPr>
      <w:r>
        <w:rPr>
          <w:rFonts w:eastAsia="Times New Roman" w:cstheme="minorHAnsi"/>
          <w:bCs/>
        </w:rPr>
        <w:t xml:space="preserve">What Steps will the State take to </w:t>
      </w:r>
      <w:r w:rsidRPr="007E5381">
        <w:rPr>
          <w:rFonts w:eastAsia="Times New Roman" w:cstheme="minorHAnsi"/>
          <w:bCs/>
        </w:rPr>
        <w:t>ensure continuing education and training of judicial and other personnel in the justice system as well as employees of administrative authorities on the rights enshrined in the Convention?</w:t>
      </w:r>
    </w:p>
    <w:p w14:paraId="658E1683" w14:textId="77777777" w:rsidR="00500BCD" w:rsidRDefault="00500BCD" w:rsidP="00500BCD">
      <w:pPr>
        <w:pStyle w:val="Nadpis3"/>
      </w:pPr>
    </w:p>
    <w:p w14:paraId="17028592" w14:textId="436E59CD" w:rsidR="00500BCD" w:rsidRDefault="00500BCD" w:rsidP="00500BCD">
      <w:pPr>
        <w:pStyle w:val="Nadpis3"/>
        <w:rPr>
          <w:rFonts w:eastAsia="Times New Roman"/>
          <w:lang w:eastAsia="sk-SK"/>
        </w:rPr>
      </w:pPr>
      <w:bookmarkStart w:id="16" w:name="_Toc15062578"/>
      <w:r w:rsidRPr="000E1F84">
        <w:t>Article</w:t>
      </w:r>
      <w:r w:rsidRPr="00723D5F">
        <w:rPr>
          <w:rFonts w:eastAsia="Times New Roman"/>
          <w:lang w:eastAsia="sk-SK"/>
        </w:rPr>
        <w:t xml:space="preserve"> 14</w:t>
      </w:r>
      <w:r w:rsidR="008E3542">
        <w:rPr>
          <w:rFonts w:eastAsia="Times New Roman"/>
          <w:lang w:eastAsia="sk-SK"/>
        </w:rPr>
        <w:t xml:space="preserve"> – Right to L</w:t>
      </w:r>
      <w:r>
        <w:rPr>
          <w:rFonts w:eastAsia="Times New Roman"/>
          <w:lang w:eastAsia="sk-SK"/>
        </w:rPr>
        <w:t>iberty</w:t>
      </w:r>
      <w:bookmarkEnd w:id="16"/>
    </w:p>
    <w:p w14:paraId="7B77EFB3" w14:textId="183D6224" w:rsidR="008E3542" w:rsidRPr="008E3542" w:rsidRDefault="008E3542" w:rsidP="008E3542">
      <w:pPr>
        <w:pStyle w:val="Nadpis4"/>
        <w:rPr>
          <w:lang w:eastAsia="sk-SK"/>
        </w:rPr>
      </w:pPr>
      <w:r>
        <w:rPr>
          <w:lang w:eastAsia="sk-SK"/>
        </w:rPr>
        <w:t>CO 43 – 44</w:t>
      </w:r>
    </w:p>
    <w:p w14:paraId="56CAEDAE" w14:textId="77777777" w:rsidR="00500BCD" w:rsidRPr="00723D5F" w:rsidRDefault="00500BCD" w:rsidP="00500BCD">
      <w:pPr>
        <w:rPr>
          <w:lang w:eastAsia="sk-SK"/>
        </w:rPr>
      </w:pPr>
      <w:r w:rsidRPr="00723D5F">
        <w:rPr>
          <w:lang w:eastAsia="sk-SK"/>
        </w:rPr>
        <w:t xml:space="preserve">In Slovakia, disability is recognized as a precondition for deprivation of liberty in various settings, criminal, psychiatric and social. The Criminal Code allows for institutional treatment based on the actual </w:t>
      </w:r>
      <w:r>
        <w:rPr>
          <w:lang w:eastAsia="sk-SK"/>
        </w:rPr>
        <w:t>intellectual</w:t>
      </w:r>
      <w:r w:rsidRPr="00723D5F">
        <w:rPr>
          <w:lang w:eastAsia="sk-SK"/>
        </w:rPr>
        <w:t xml:space="preserve"> disability of the offender, accompanied with the notion of dangerousness. Further, the Health Care Act provides for a possibility to deprive a person with </w:t>
      </w:r>
      <w:r>
        <w:rPr>
          <w:lang w:eastAsia="sk-SK"/>
        </w:rPr>
        <w:t>intellectual</w:t>
      </w:r>
      <w:r w:rsidRPr="00723D5F">
        <w:rPr>
          <w:lang w:eastAsia="sk-SK"/>
        </w:rPr>
        <w:t xml:space="preserve"> disability of his or her liberty in a psychiatric setting if he or she possesses actual or perceived danger to herself or himself or to the others. These provisions are not in compliance with Article 14 CRPD, but, at least, they are accompanied with procedural guarantees. However, strikingly, there are numerous persons with disabilities who are place</w:t>
      </w:r>
      <w:r>
        <w:rPr>
          <w:lang w:eastAsia="sk-SK"/>
        </w:rPr>
        <w:t>d</w:t>
      </w:r>
      <w:r w:rsidRPr="00723D5F">
        <w:rPr>
          <w:lang w:eastAsia="sk-SK"/>
        </w:rPr>
        <w:t xml:space="preserve"> in social care institutions on the basis of a contract concluded between the guardian and the institution, regardless of their will and their situation is not recognized under the law as a deprivation of liberty. Thus, they cannot benefit from any procedural guarantees.</w:t>
      </w:r>
    </w:p>
    <w:p w14:paraId="420D1C87" w14:textId="77777777" w:rsidR="00500BCD" w:rsidRPr="000E1F84" w:rsidRDefault="00500BCD" w:rsidP="00500BCD">
      <w:pPr>
        <w:pStyle w:val="Nadpis4"/>
        <w:rPr>
          <w:rFonts w:eastAsia="Times New Roman"/>
          <w:lang w:eastAsia="sk-SK"/>
        </w:rPr>
      </w:pPr>
      <w:r w:rsidRPr="000E1F84">
        <w:rPr>
          <w:rFonts w:eastAsia="Times New Roman"/>
          <w:lang w:eastAsia="sk-SK"/>
        </w:rPr>
        <w:t>Proposed question</w:t>
      </w:r>
      <w:r>
        <w:rPr>
          <w:rFonts w:eastAsia="Times New Roman"/>
          <w:lang w:eastAsia="sk-SK"/>
        </w:rPr>
        <w:t>s</w:t>
      </w:r>
    </w:p>
    <w:p w14:paraId="0C0C4B9A" w14:textId="77777777" w:rsidR="00500BCD" w:rsidRDefault="00500BCD" w:rsidP="00500BCD">
      <w:pPr>
        <w:pStyle w:val="Odsekzoznamu"/>
        <w:numPr>
          <w:ilvl w:val="0"/>
          <w:numId w:val="45"/>
        </w:numPr>
      </w:pPr>
      <w:r>
        <w:t xml:space="preserve">What steps will </w:t>
      </w:r>
      <w:r w:rsidRPr="004B6933">
        <w:t>the Government</w:t>
      </w:r>
      <w:r>
        <w:t xml:space="preserve"> take and by when</w:t>
      </w:r>
      <w:r w:rsidRPr="004B6933">
        <w:t xml:space="preserve"> to abolish any form of deprivation of liberty based on perceived or actual disability. Especially, inform the Committee about guarantees against deprivation of liberty in social care institutions.</w:t>
      </w:r>
    </w:p>
    <w:p w14:paraId="4EBCFD47" w14:textId="77777777" w:rsidR="00500BCD" w:rsidRDefault="00500BCD" w:rsidP="00500BCD">
      <w:pPr>
        <w:pStyle w:val="Nadpis3"/>
        <w:rPr>
          <w:rStyle w:val="Nadpis3Char"/>
          <w:b/>
        </w:rPr>
      </w:pPr>
    </w:p>
    <w:p w14:paraId="434D7EAF" w14:textId="72AD0AF7" w:rsidR="00500BCD" w:rsidRDefault="00500BCD" w:rsidP="008E3542">
      <w:pPr>
        <w:pStyle w:val="Nadpis3"/>
        <w:rPr>
          <w:rFonts w:eastAsia="Times New Roman"/>
          <w:lang w:eastAsia="sk-SK"/>
        </w:rPr>
      </w:pPr>
      <w:bookmarkStart w:id="17" w:name="_Toc15062579"/>
      <w:r w:rsidRPr="008E3542">
        <w:rPr>
          <w:rStyle w:val="Nadpis3Char"/>
          <w:b/>
          <w:lang w:val="en-GB"/>
        </w:rPr>
        <w:t>Articles</w:t>
      </w:r>
      <w:r w:rsidRPr="00723D5F">
        <w:rPr>
          <w:rFonts w:eastAsia="Times New Roman"/>
          <w:lang w:eastAsia="sk-SK"/>
        </w:rPr>
        <w:t xml:space="preserve"> 15 and 16 </w:t>
      </w:r>
      <w:r>
        <w:rPr>
          <w:rFonts w:eastAsia="Times New Roman"/>
          <w:lang w:eastAsia="sk-SK"/>
        </w:rPr>
        <w:t>– I</w:t>
      </w:r>
      <w:r w:rsidRPr="00723D5F">
        <w:rPr>
          <w:rFonts w:eastAsia="Times New Roman"/>
          <w:lang w:eastAsia="sk-SK"/>
        </w:rPr>
        <w:t>ll-</w:t>
      </w:r>
      <w:r w:rsidRPr="00427481">
        <w:t>treatment</w:t>
      </w:r>
      <w:r>
        <w:rPr>
          <w:rFonts w:eastAsia="Times New Roman"/>
          <w:lang w:eastAsia="sk-SK"/>
        </w:rPr>
        <w:t xml:space="preserve"> of persons with disabilities</w:t>
      </w:r>
      <w:bookmarkEnd w:id="17"/>
    </w:p>
    <w:p w14:paraId="738A8E67" w14:textId="181C6905" w:rsidR="008E3542" w:rsidRPr="008E3542" w:rsidRDefault="008E3542" w:rsidP="008E3542">
      <w:pPr>
        <w:pStyle w:val="Nadpis4"/>
        <w:rPr>
          <w:lang w:eastAsia="sk-SK"/>
        </w:rPr>
      </w:pPr>
      <w:r>
        <w:rPr>
          <w:lang w:eastAsia="sk-SK"/>
        </w:rPr>
        <w:t>CO 45 – 48</w:t>
      </w:r>
    </w:p>
    <w:p w14:paraId="0F01DD03" w14:textId="77777777" w:rsidR="00500BCD" w:rsidRPr="00723D5F" w:rsidRDefault="00500BCD" w:rsidP="00500BCD">
      <w:pPr>
        <w:pStyle w:val="Nadpis4"/>
        <w:rPr>
          <w:rFonts w:eastAsia="Times New Roman"/>
          <w:lang w:eastAsia="sk-SK"/>
        </w:rPr>
      </w:pPr>
      <w:r w:rsidRPr="00723D5F">
        <w:rPr>
          <w:rFonts w:eastAsia="Times New Roman"/>
          <w:lang w:eastAsia="sk-SK"/>
        </w:rPr>
        <w:t xml:space="preserve">Lack of proper criminalization of ill-treatment in domestic law. </w:t>
      </w:r>
    </w:p>
    <w:p w14:paraId="558882F9" w14:textId="77777777" w:rsidR="00500BCD" w:rsidRPr="00723D5F" w:rsidRDefault="00500BCD" w:rsidP="00500BCD">
      <w:pPr>
        <w:rPr>
          <w:lang w:eastAsia="sk-SK"/>
        </w:rPr>
      </w:pPr>
      <w:r w:rsidRPr="00723D5F">
        <w:rPr>
          <w:lang w:eastAsia="sk-SK"/>
        </w:rPr>
        <w:t xml:space="preserve">Slovakia has failed to properly implement obligation to criminalise torture, as required especially by Article 4 CAT. The State Party still doesn’t </w:t>
      </w:r>
      <w:r>
        <w:rPr>
          <w:lang w:eastAsia="sk-SK"/>
        </w:rPr>
        <w:t xml:space="preserve">include </w:t>
      </w:r>
      <w:r w:rsidRPr="00723D5F">
        <w:rPr>
          <w:lang w:eastAsia="sk-SK"/>
        </w:rPr>
        <w:t xml:space="preserve">in its domestic criminal law adequate provisions that criminalise torture and cruel, inhuman and degrading treatment and punishment (hereinafter “CIDT”) which would ensure the effective investigation, prosecution and punishment, where appropriate, of perpetrators of torture and CIDT. </w:t>
      </w:r>
    </w:p>
    <w:p w14:paraId="71155DD9" w14:textId="77777777" w:rsidR="00500BCD" w:rsidRPr="00723D5F" w:rsidRDefault="00500BCD" w:rsidP="00500BCD">
      <w:pPr>
        <w:rPr>
          <w:lang w:eastAsia="sk-SK"/>
        </w:rPr>
      </w:pPr>
      <w:r w:rsidRPr="00723D5F">
        <w:rPr>
          <w:lang w:eastAsia="sk-SK"/>
        </w:rPr>
        <w:t>The wording in the existing definition of the crime provided for under Article 420 of the Criminal Code mixes up torture and CIDT and fails to provide for elements of torture, as required under CAT. Especially, the law does not define specific purposes, including discrimination. In addition, it fails to distinguish acts of torture from CIDT on grounds of mens rea. Thus, intent is required even for cases of degrading treatment, which substantively limits the provision’s applicability in the practice. This situation has resulted in de facto impunity for acts of torture, cruel, inhuman and degrading treatment.</w:t>
      </w:r>
    </w:p>
    <w:p w14:paraId="5BBE5467" w14:textId="77777777" w:rsidR="00500BCD" w:rsidRDefault="00500BCD" w:rsidP="00500BCD">
      <w:pPr>
        <w:pStyle w:val="Nadpis4"/>
      </w:pPr>
      <w:r>
        <w:t>Proposed questions</w:t>
      </w:r>
    </w:p>
    <w:p w14:paraId="2FB8D5F3" w14:textId="77777777" w:rsidR="00500BCD" w:rsidRDefault="00500BCD" w:rsidP="00500BCD">
      <w:pPr>
        <w:pStyle w:val="Odsekzoznamu"/>
        <w:numPr>
          <w:ilvl w:val="0"/>
          <w:numId w:val="45"/>
        </w:numPr>
      </w:pPr>
      <w:r>
        <w:t xml:space="preserve">What steps will the State take to ensure legal prohibition of torture and criminalization of acts of torture and other forms of ill-treatment, including number of charges and indictments brought against alleged perpetrators under Article 420 of the Criminal Code. </w:t>
      </w:r>
    </w:p>
    <w:p w14:paraId="60F49FA5" w14:textId="77777777" w:rsidR="00500BCD" w:rsidRDefault="00500BCD" w:rsidP="00500BCD">
      <w:pPr>
        <w:pStyle w:val="Odsekzoznamu"/>
        <w:numPr>
          <w:ilvl w:val="0"/>
          <w:numId w:val="45"/>
        </w:numPr>
      </w:pPr>
      <w:r>
        <w:t>Please explain how the definition of torture and other forms of ill-treatment is interpreted in the relevant legislation and judicial practice? Can an act committed for any purpose, including discrimination of any kind be seen as ill-treatment? What steps will the state take to ensure that the law distinguishes between torture and CDIT in terms of mens rea?</w:t>
      </w:r>
    </w:p>
    <w:p w14:paraId="239D6B03" w14:textId="77777777" w:rsidR="00500BCD" w:rsidRPr="00723D5F" w:rsidRDefault="00500BCD" w:rsidP="00500BCD">
      <w:pPr>
        <w:spacing w:after="100" w:afterAutospacing="1" w:line="276" w:lineRule="auto"/>
        <w:jc w:val="both"/>
        <w:rPr>
          <w:rFonts w:eastAsia="Times New Roman" w:cstheme="minorHAnsi"/>
          <w:bCs/>
          <w:lang w:eastAsia="sk-SK"/>
        </w:rPr>
      </w:pPr>
    </w:p>
    <w:p w14:paraId="691F2568" w14:textId="77777777" w:rsidR="00500BCD" w:rsidRPr="00723D5F" w:rsidRDefault="00500BCD" w:rsidP="00500BCD">
      <w:pPr>
        <w:pStyle w:val="Nadpis4"/>
        <w:rPr>
          <w:rFonts w:eastAsia="Times New Roman"/>
          <w:lang w:eastAsia="sk-SK"/>
        </w:rPr>
      </w:pPr>
      <w:r w:rsidRPr="00723D5F">
        <w:rPr>
          <w:rFonts w:eastAsia="Times New Roman"/>
          <w:lang w:eastAsia="sk-SK"/>
        </w:rPr>
        <w:lastRenderedPageBreak/>
        <w:t>The use of netted cage-beds and other forms of restraints against persons with disabilities</w:t>
      </w:r>
    </w:p>
    <w:p w14:paraId="6AEB0662" w14:textId="77777777" w:rsidR="00500BCD" w:rsidRPr="00723D5F" w:rsidRDefault="00500BCD" w:rsidP="00500BCD">
      <w:pPr>
        <w:rPr>
          <w:lang w:eastAsia="sk-SK"/>
        </w:rPr>
      </w:pPr>
      <w:r w:rsidRPr="00723D5F">
        <w:rPr>
          <w:lang w:eastAsia="sk-SK"/>
        </w:rPr>
        <w:t>In Slovakia, the use of mechanical restraints in psychiatry is governed by a methodological ordinance of the Ministry of Health no. 13787/2009 – OZS, adopted on 27/5/2009. Net-beds</w:t>
      </w:r>
      <w:r>
        <w:rPr>
          <w:rStyle w:val="Odkaznapoznmkupodiarou"/>
          <w:rFonts w:eastAsia="Times New Roman" w:cstheme="minorHAnsi"/>
          <w:bCs/>
          <w:lang w:eastAsia="sk-SK"/>
        </w:rPr>
        <w:footnoteReference w:id="5"/>
      </w:r>
      <w:r>
        <w:rPr>
          <w:lang w:eastAsia="sk-SK"/>
        </w:rPr>
        <w:t xml:space="preserve"> </w:t>
      </w:r>
      <w:r w:rsidRPr="00723D5F">
        <w:rPr>
          <w:lang w:eastAsia="sk-SK"/>
        </w:rPr>
        <w:t>are listed under Article III as one of the allowed restraints and their use is widespread across psychiatric hospitals</w:t>
      </w:r>
      <w:r>
        <w:rPr>
          <w:rStyle w:val="Odkaznapoznmkupodiarou"/>
          <w:rFonts w:eastAsia="Times New Roman" w:cstheme="minorHAnsi"/>
          <w:bCs/>
          <w:lang w:eastAsia="sk-SK"/>
        </w:rPr>
        <w:footnoteReference w:id="6"/>
      </w:r>
      <w:r w:rsidRPr="00723D5F">
        <w:rPr>
          <w:lang w:eastAsia="sk-SK"/>
        </w:rPr>
        <w:t xml:space="preserve">.  </w:t>
      </w:r>
    </w:p>
    <w:p w14:paraId="5560C441" w14:textId="77777777" w:rsidR="00500BCD" w:rsidRDefault="00500BCD" w:rsidP="00500BCD">
      <w:pPr>
        <w:pStyle w:val="Nadpis4"/>
      </w:pPr>
      <w:r>
        <w:t>Proposed questions</w:t>
      </w:r>
    </w:p>
    <w:p w14:paraId="7C55C5C1" w14:textId="77777777" w:rsidR="00500BCD" w:rsidRDefault="00500BCD" w:rsidP="00500BCD">
      <w:pPr>
        <w:pStyle w:val="Odsekzoznamu"/>
        <w:numPr>
          <w:ilvl w:val="0"/>
          <w:numId w:val="46"/>
        </w:numPr>
      </w:pPr>
      <w:r>
        <w:t>What measures have the Government been planning to abolish the use of net-beds and other forms of restraint in psychiatric and related institutions?</w:t>
      </w:r>
    </w:p>
    <w:p w14:paraId="01907CA5" w14:textId="77777777" w:rsidR="00500BCD" w:rsidRDefault="00500BCD" w:rsidP="00500BCD">
      <w:pPr>
        <w:pStyle w:val="Text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Verdana" w:eastAsia="Verdana" w:hAnsi="Verdana" w:cs="Verdana"/>
          <w:lang w:val="sk-SK"/>
        </w:rPr>
      </w:pPr>
    </w:p>
    <w:p w14:paraId="1F0A7F6A" w14:textId="68EDD159" w:rsidR="00500BCD" w:rsidRDefault="00500BCD" w:rsidP="00500BCD">
      <w:pPr>
        <w:pStyle w:val="Nadpis3"/>
        <w:rPr>
          <w:rFonts w:eastAsia="Times New Roman"/>
          <w:lang w:val="en-US" w:eastAsia="sk-SK"/>
        </w:rPr>
      </w:pPr>
      <w:bookmarkStart w:id="18" w:name="_Toc15062580"/>
      <w:r w:rsidRPr="00CF3A21">
        <w:rPr>
          <w:rFonts w:eastAsia="Times New Roman"/>
          <w:lang w:val="en-US" w:eastAsia="sk-SK"/>
        </w:rPr>
        <w:t>Article 19 – Living Independently and B</w:t>
      </w:r>
      <w:r>
        <w:rPr>
          <w:rFonts w:eastAsia="Times New Roman"/>
          <w:lang w:val="en-US" w:eastAsia="sk-SK"/>
        </w:rPr>
        <w:t>eing Included into Community</w:t>
      </w:r>
      <w:bookmarkEnd w:id="18"/>
    </w:p>
    <w:p w14:paraId="06853587" w14:textId="1C004481" w:rsidR="008E3542" w:rsidRPr="008E3542" w:rsidRDefault="008E3542" w:rsidP="008E3542">
      <w:pPr>
        <w:pStyle w:val="Nadpis4"/>
        <w:rPr>
          <w:lang w:val="en-US" w:eastAsia="sk-SK"/>
        </w:rPr>
      </w:pPr>
      <w:r>
        <w:rPr>
          <w:lang w:val="en-US" w:eastAsia="sk-SK"/>
        </w:rPr>
        <w:t>CO 55 – 58</w:t>
      </w:r>
    </w:p>
    <w:p w14:paraId="70C6C532" w14:textId="77777777" w:rsidR="00500BCD" w:rsidRPr="00543E2B" w:rsidRDefault="00500BCD" w:rsidP="00500BCD">
      <w:pPr>
        <w:rPr>
          <w:lang w:val="en-US"/>
        </w:rPr>
      </w:pPr>
      <w:r w:rsidRPr="00CF3A21">
        <w:rPr>
          <w:lang w:val="en-US"/>
        </w:rPr>
        <w:t xml:space="preserve">People with disabilities </w:t>
      </w:r>
      <w:r>
        <w:rPr>
          <w:lang w:val="en-US"/>
        </w:rPr>
        <w:t>continue to be</w:t>
      </w:r>
      <w:r w:rsidRPr="00CF3A21">
        <w:rPr>
          <w:lang w:val="en-US"/>
        </w:rPr>
        <w:t xml:space="preserve"> int</w:t>
      </w:r>
      <w:r>
        <w:rPr>
          <w:lang w:val="en-US"/>
        </w:rPr>
        <w:t>erested in the independent living and the consider life in institutions to be a last resort solution. According to the statistical data of the Central Office of Labour, Social Affairs and Family, in June 2019 10 765 people were beneficiaries of the financial contributions for the personal assistance. 56 877 persons benefited from the home care services in the same period.</w:t>
      </w:r>
      <w:r w:rsidRPr="006537B2">
        <w:rPr>
          <w:rStyle w:val="Odkaznapoznmkupodiarou"/>
          <w:rFonts w:cstheme="minorHAnsi"/>
        </w:rPr>
        <w:footnoteReference w:id="7"/>
      </w:r>
      <w:r>
        <w:rPr>
          <w:lang w:val="en-US"/>
        </w:rPr>
        <w:t xml:space="preserve"> These numbers have been growing slowly in the recent years).</w:t>
      </w:r>
      <w:r w:rsidRPr="006537B2">
        <w:rPr>
          <w:rStyle w:val="Odkaznapoznmkupodiarou"/>
          <w:rFonts w:cstheme="minorHAnsi"/>
        </w:rPr>
        <w:footnoteReference w:id="8"/>
      </w:r>
    </w:p>
    <w:p w14:paraId="148803A5" w14:textId="77777777" w:rsidR="00500BCD" w:rsidRPr="008065F8" w:rsidRDefault="00500BCD" w:rsidP="00500BCD">
      <w:pPr>
        <w:rPr>
          <w:lang w:val="en-US"/>
        </w:rPr>
      </w:pPr>
      <w:r w:rsidRPr="00543E2B">
        <w:rPr>
          <w:lang w:val="en-US"/>
        </w:rPr>
        <w:t xml:space="preserve">Reduction or withdrawal of the contribution </w:t>
      </w:r>
      <w:r>
        <w:rPr>
          <w:lang w:val="en-US"/>
        </w:rPr>
        <w:t>for the personal assistance in case the person’s income exceeds the given threshold was eliminated by the abolition of the income testing in July 2019. However, i</w:t>
      </w:r>
      <w:r w:rsidRPr="009A3F7B">
        <w:t xml:space="preserve">f a person with disability happens to </w:t>
      </w:r>
      <w:r>
        <w:t>have a disability</w:t>
      </w:r>
      <w:r w:rsidRPr="009A3F7B">
        <w:t xml:space="preserve"> after he or she turns 65, there is no </w:t>
      </w:r>
      <w:r w:rsidRPr="009A3F7B">
        <w:lastRenderedPageBreak/>
        <w:t>entitlement to receive financial contribution.</w:t>
      </w:r>
      <w:r>
        <w:t xml:space="preserve"> People with disabilities consider this situation discrimination based on age.</w:t>
      </w:r>
    </w:p>
    <w:p w14:paraId="41007F2C" w14:textId="77777777" w:rsidR="00500BCD" w:rsidRPr="00821C5F" w:rsidRDefault="00500BCD" w:rsidP="00500BCD">
      <w:r w:rsidRPr="00821C5F">
        <w:t>In 2018 and 2019 the amount of the financial contribution for personal assistance was raised, but discriminatory approach to home carers who are pensioners at the same time still persists (22 303 people). They only receive the benefit of 50 % in comparison to home carers who are not entitled to pension.</w:t>
      </w:r>
    </w:p>
    <w:p w14:paraId="4B1B9798" w14:textId="77777777" w:rsidR="00500BCD" w:rsidRPr="00821C5F" w:rsidRDefault="00500BCD" w:rsidP="00500BCD">
      <w:pPr>
        <w:rPr>
          <w:rStyle w:val="dnA"/>
          <w:rFonts w:cstheme="minorHAnsi"/>
        </w:rPr>
      </w:pPr>
      <w:r w:rsidRPr="00821C5F">
        <w:rPr>
          <w:rStyle w:val="dnA"/>
          <w:rFonts w:cstheme="minorHAnsi"/>
        </w:rPr>
        <w:t xml:space="preserve">In 2017 (December, 31), there were </w:t>
      </w:r>
      <w:r w:rsidRPr="00821C5F">
        <w:rPr>
          <w:rStyle w:val="dnA"/>
          <w:rFonts w:cstheme="minorHAnsi"/>
          <w:bCs/>
        </w:rPr>
        <w:t>1262 social services facilities</w:t>
      </w:r>
      <w:r w:rsidRPr="00821C5F">
        <w:rPr>
          <w:rStyle w:val="dnA"/>
          <w:rFonts w:cstheme="minorHAnsi"/>
        </w:rPr>
        <w:t xml:space="preserve">. Social services with long-term care were provided to </w:t>
      </w:r>
      <w:r w:rsidRPr="00821C5F">
        <w:rPr>
          <w:rStyle w:val="dnA"/>
          <w:rFonts w:cstheme="minorHAnsi"/>
          <w:bCs/>
        </w:rPr>
        <w:t xml:space="preserve">46 617 </w:t>
      </w:r>
      <w:r w:rsidRPr="00821C5F">
        <w:rPr>
          <w:rStyle w:val="dnA"/>
          <w:rFonts w:cstheme="minorHAnsi"/>
        </w:rPr>
        <w:t>users in different types of social services – mostly institutional care. In total, 42 857 users (83.3%) lived in institutions providing unlimited care, 645 persons (1.3%) were provided institutional care on weekly basis, 7 974 (15</w:t>
      </w:r>
      <w:r>
        <w:rPr>
          <w:rStyle w:val="dnA"/>
          <w:rFonts w:cstheme="minorHAnsi"/>
        </w:rPr>
        <w:t>.</w:t>
      </w:r>
      <w:r w:rsidRPr="00821C5F">
        <w:rPr>
          <w:rStyle w:val="dnA"/>
          <w:rFonts w:cstheme="minorHAnsi"/>
        </w:rPr>
        <w:t>5%) users accessed daily care. 62,6% of all users in social care facilities were elderly people. 8,624 (15,6 %) were under guardianship.</w:t>
      </w:r>
      <w:r w:rsidRPr="00821C5F">
        <w:rPr>
          <w:rStyle w:val="dnA"/>
          <w:rFonts w:cstheme="minorHAnsi"/>
          <w:vertAlign w:val="superscript"/>
        </w:rPr>
        <w:footnoteReference w:id="9"/>
      </w:r>
    </w:p>
    <w:p w14:paraId="7C938F89" w14:textId="77777777" w:rsidR="00500BCD" w:rsidRPr="00056C1A" w:rsidRDefault="00500BCD" w:rsidP="00500BCD">
      <w:pPr>
        <w:pStyle w:val="TextA"/>
        <w:suppressAutoHyphens/>
        <w:jc w:val="both"/>
        <w:rPr>
          <w:rFonts w:asciiTheme="minorHAnsi" w:eastAsia="Century Gothic" w:hAnsiTheme="minorHAnsi" w:cstheme="minorHAnsi"/>
          <w:lang w:val="en-GB"/>
        </w:rPr>
      </w:pPr>
    </w:p>
    <w:p w14:paraId="43F67B7F" w14:textId="77777777" w:rsidR="00500BCD" w:rsidRPr="00821C5F" w:rsidRDefault="00500BCD" w:rsidP="00500BCD">
      <w:pPr>
        <w:rPr>
          <w:rStyle w:val="dnA"/>
          <w:rFonts w:cstheme="minorHAnsi"/>
        </w:rPr>
      </w:pPr>
      <w:r w:rsidRPr="00821C5F">
        <w:rPr>
          <w:rStyle w:val="dnA"/>
          <w:rFonts w:cstheme="minorHAnsi"/>
        </w:rPr>
        <w:t>Social care services for persons with disabilities are predominantly provided in institutional settings and community services are rare. In December 2017, there were 387 institutions for elderly people; 291 social care homes housing 13 273 adults with disabilities; and 153 specialized institutions with 6 860 adult residents</w:t>
      </w:r>
      <w:r w:rsidRPr="00821C5F">
        <w:rPr>
          <w:rStyle w:val="Odkaznapoznmkupodiarou"/>
          <w:rFonts w:cstheme="minorHAnsi"/>
        </w:rPr>
        <w:footnoteReference w:id="10"/>
      </w:r>
      <w:r w:rsidRPr="00821C5F">
        <w:rPr>
          <w:rStyle w:val="dnA"/>
          <w:rFonts w:cstheme="minorHAnsi"/>
        </w:rPr>
        <w:t>. With regard to children, there were over 500 children in specialized groups as part of the foster care group homes</w:t>
      </w:r>
      <w:r w:rsidRPr="00821C5F">
        <w:rPr>
          <w:rStyle w:val="Odkaznapoznmkupodiarou"/>
          <w:rFonts w:cstheme="minorHAnsi"/>
        </w:rPr>
        <w:t xml:space="preserve"> </w:t>
      </w:r>
      <w:r w:rsidRPr="00821C5F">
        <w:rPr>
          <w:rStyle w:val="Odkaznapoznmkupodiarou"/>
          <w:rFonts w:cstheme="minorHAnsi"/>
        </w:rPr>
        <w:footnoteReference w:id="11"/>
      </w:r>
      <w:r w:rsidRPr="00821C5F">
        <w:rPr>
          <w:rStyle w:val="dnA"/>
          <w:rFonts w:cstheme="minorHAnsi"/>
        </w:rPr>
        <w:t>. As a result, many persons with disabilities face lifelong segregation.</w:t>
      </w:r>
    </w:p>
    <w:p w14:paraId="61EC935F" w14:textId="77777777" w:rsidR="00500BCD" w:rsidRPr="00821C5F" w:rsidRDefault="00500BCD" w:rsidP="00500BCD">
      <w:pPr>
        <w:rPr>
          <w:rStyle w:val="dnA"/>
          <w:rFonts w:cstheme="minorHAnsi"/>
        </w:rPr>
      </w:pPr>
      <w:r w:rsidRPr="00821C5F">
        <w:rPr>
          <w:rStyle w:val="dnA"/>
          <w:rFonts w:cstheme="minorHAnsi"/>
        </w:rPr>
        <w:t xml:space="preserve">Slovakia committed itself to deinstitutionalisation (hereinafter “DI”) and transformation of residential services for persons with disabilities in its </w:t>
      </w:r>
      <w:r w:rsidRPr="00821C5F">
        <w:rPr>
          <w:rStyle w:val="dnA"/>
          <w:rFonts w:cstheme="minorHAnsi"/>
          <w:i/>
          <w:iCs/>
        </w:rPr>
        <w:t>Strategy on Deinstitutionalisation</w:t>
      </w:r>
      <w:r w:rsidRPr="00821C5F">
        <w:rPr>
          <w:rStyle w:val="dnA"/>
          <w:rFonts w:cstheme="minorHAnsi"/>
          <w:vertAlign w:val="superscript"/>
        </w:rPr>
        <w:footnoteReference w:id="12"/>
      </w:r>
      <w:r w:rsidRPr="00821C5F">
        <w:rPr>
          <w:rStyle w:val="dnA"/>
          <w:rFonts w:cstheme="minorHAnsi"/>
        </w:rPr>
        <w:t xml:space="preserve"> and </w:t>
      </w:r>
      <w:r w:rsidRPr="00821C5F">
        <w:rPr>
          <w:rStyle w:val="dnA"/>
          <w:rFonts w:cstheme="minorHAnsi"/>
          <w:i/>
          <w:iCs/>
        </w:rPr>
        <w:t>National Action Plan on Transformation of Residential Social Services.</w:t>
      </w:r>
      <w:r w:rsidRPr="00821C5F">
        <w:rPr>
          <w:rStyle w:val="dnA"/>
          <w:rFonts w:cstheme="minorHAnsi"/>
          <w:vertAlign w:val="superscript"/>
        </w:rPr>
        <w:footnoteReference w:id="13"/>
      </w:r>
      <w:r w:rsidRPr="00821C5F">
        <w:rPr>
          <w:rStyle w:val="dnA"/>
          <w:rFonts w:cstheme="minorHAnsi"/>
          <w:i/>
          <w:iCs/>
        </w:rPr>
        <w:t xml:space="preserve"> </w:t>
      </w:r>
      <w:r w:rsidRPr="00821C5F">
        <w:rPr>
          <w:rStyle w:val="dnA"/>
          <w:rFonts w:cstheme="minorHAnsi"/>
        </w:rPr>
        <w:t xml:space="preserve">This was followed in December 2014 with </w:t>
      </w:r>
      <w:r w:rsidRPr="00821C5F">
        <w:rPr>
          <w:rStyle w:val="dnA"/>
          <w:rFonts w:cstheme="minorHAnsi"/>
        </w:rPr>
        <w:lastRenderedPageBreak/>
        <w:t xml:space="preserve">further proclamations in </w:t>
      </w:r>
      <w:r w:rsidRPr="00821C5F">
        <w:rPr>
          <w:rStyle w:val="dnA"/>
          <w:rFonts w:cstheme="minorHAnsi"/>
          <w:i/>
          <w:iCs/>
        </w:rPr>
        <w:t>National priorities of development of social services in 2015 - 2020</w:t>
      </w:r>
      <w:r w:rsidRPr="00821C5F">
        <w:rPr>
          <w:rStyle w:val="dnA"/>
          <w:rFonts w:cstheme="minorHAnsi"/>
        </w:rPr>
        <w:t>. Enormous delays and lack of effective implementation of DI have recently been criticized by the CRPD Committee in 2016.</w:t>
      </w:r>
      <w:r w:rsidRPr="00821C5F">
        <w:rPr>
          <w:rStyle w:val="dnA"/>
          <w:rFonts w:cstheme="minorHAnsi"/>
          <w:vertAlign w:val="superscript"/>
        </w:rPr>
        <w:footnoteReference w:id="14"/>
      </w:r>
      <w:r w:rsidRPr="00821C5F">
        <w:rPr>
          <w:rStyle w:val="dnA"/>
          <w:rFonts w:cstheme="minorHAnsi"/>
        </w:rPr>
        <w:t xml:space="preserve"> </w:t>
      </w:r>
    </w:p>
    <w:p w14:paraId="4BDE945A" w14:textId="77777777" w:rsidR="00500BCD" w:rsidRDefault="00500BCD" w:rsidP="00500BCD">
      <w:pPr>
        <w:pStyle w:val="Nadpis4"/>
        <w:rPr>
          <w:rFonts w:eastAsia="Verdana"/>
        </w:rPr>
      </w:pPr>
      <w:r>
        <w:rPr>
          <w:rFonts w:eastAsia="Verdana"/>
        </w:rPr>
        <w:t>Proposed questions:</w:t>
      </w:r>
    </w:p>
    <w:p w14:paraId="34EE2FAA" w14:textId="77777777" w:rsidR="00500BCD" w:rsidRPr="00CC1ACB" w:rsidRDefault="00500BCD" w:rsidP="00500BCD">
      <w:pPr>
        <w:pStyle w:val="Odsekzoznamu"/>
        <w:ind w:left="284" w:hanging="284"/>
      </w:pPr>
      <w:r w:rsidRPr="00CC1ACB">
        <w:t>•</w:t>
      </w:r>
      <w:r w:rsidRPr="00CC1ACB">
        <w:tab/>
      </w:r>
      <w:r>
        <w:t>What steps will the State take to amend the Act No.</w:t>
      </w:r>
      <w:r w:rsidRPr="00CC1ACB">
        <w:t xml:space="preserve"> 447/2008 </w:t>
      </w:r>
      <w:r>
        <w:t>Coll</w:t>
      </w:r>
      <w:r w:rsidRPr="00CC1ACB">
        <w:t xml:space="preserve">. </w:t>
      </w:r>
      <w:r>
        <w:t xml:space="preserve">on Financial contributions </w:t>
      </w:r>
      <w:r w:rsidRPr="009A3F7B">
        <w:rPr>
          <w:lang w:val="en-GB"/>
        </w:rPr>
        <w:t xml:space="preserve">to Compensate Severe Disability and change the rules governing financial contributions to personal assistance with </w:t>
      </w:r>
      <w:r>
        <w:rPr>
          <w:lang w:val="en-GB"/>
        </w:rPr>
        <w:t>the</w:t>
      </w:r>
      <w:r w:rsidRPr="009A3F7B">
        <w:rPr>
          <w:lang w:val="en-GB"/>
        </w:rPr>
        <w:t xml:space="preserve"> aim to ensure </w:t>
      </w:r>
      <w:r>
        <w:rPr>
          <w:lang w:val="en-GB"/>
        </w:rPr>
        <w:t>their availability</w:t>
      </w:r>
      <w:r w:rsidRPr="009A3F7B">
        <w:rPr>
          <w:lang w:val="en-GB"/>
        </w:rPr>
        <w:t xml:space="preserve"> for all persons with disabilities, including elderly people on equal basis</w:t>
      </w:r>
      <w:r w:rsidRPr="00CC1ACB">
        <w:t>?</w:t>
      </w:r>
    </w:p>
    <w:p w14:paraId="30A766F9" w14:textId="77777777" w:rsidR="00500BCD" w:rsidRDefault="00500BCD" w:rsidP="00500BCD">
      <w:pPr>
        <w:pStyle w:val="Odsekzoznamu"/>
        <w:ind w:left="284" w:hanging="284"/>
      </w:pPr>
      <w:r w:rsidRPr="00CC1ACB">
        <w:t>•</w:t>
      </w:r>
      <w:r w:rsidRPr="00CC1ACB">
        <w:tab/>
      </w:r>
      <w:r>
        <w:t xml:space="preserve">What measures will the State take to </w:t>
      </w:r>
      <w:r w:rsidRPr="009A3F7B">
        <w:rPr>
          <w:lang w:val="en-GB"/>
        </w:rPr>
        <w:t>ensure availability of home care services under the Social Services Act no. 448/2008 Coll. in all local municipalities</w:t>
      </w:r>
      <w:r>
        <w:rPr>
          <w:lang w:val="en-GB"/>
        </w:rPr>
        <w:t>?</w:t>
      </w:r>
    </w:p>
    <w:p w14:paraId="21262C9C" w14:textId="77777777" w:rsidR="00500BCD" w:rsidRPr="004A3DFD" w:rsidRDefault="00500BCD" w:rsidP="00500BCD">
      <w:pPr>
        <w:pStyle w:val="Odsekzoznamu"/>
        <w:ind w:left="284" w:hanging="284"/>
        <w:rPr>
          <w:lang w:val="en-GB"/>
        </w:rPr>
      </w:pPr>
      <w:r w:rsidRPr="00CC1ACB">
        <w:t>•</w:t>
      </w:r>
      <w:r w:rsidRPr="00CC1ACB">
        <w:tab/>
        <w:t>How many new social and healthcare community based services have been established in recent years? Please specify types of services, capacity, and number of users in last 3 years.</w:t>
      </w:r>
    </w:p>
    <w:p w14:paraId="508A2175" w14:textId="77777777" w:rsidR="00500BCD" w:rsidRPr="00CC1ACB" w:rsidRDefault="00500BCD" w:rsidP="00500BCD">
      <w:pPr>
        <w:pStyle w:val="Odsekzoznamu"/>
        <w:numPr>
          <w:ilvl w:val="0"/>
          <w:numId w:val="46"/>
        </w:numPr>
        <w:tabs>
          <w:tab w:val="clear" w:pos="638"/>
          <w:tab w:val="clear" w:pos="663"/>
          <w:tab w:val="clear" w:pos="690"/>
          <w:tab w:val="clear" w:pos="708"/>
        </w:tabs>
        <w:ind w:left="284" w:hanging="284"/>
        <w:rPr>
          <w:rStyle w:val="dnA"/>
          <w:rFonts w:cstheme="minorHAnsi"/>
          <w:color w:val="auto"/>
        </w:rPr>
      </w:pPr>
      <w:r>
        <w:rPr>
          <w:rStyle w:val="dnA"/>
          <w:rFonts w:cstheme="minorHAnsi"/>
          <w:bCs/>
          <w:color w:val="auto"/>
        </w:rPr>
        <w:t>W</w:t>
      </w:r>
      <w:r w:rsidRPr="00CC1ACB">
        <w:rPr>
          <w:rStyle w:val="dnA"/>
          <w:rFonts w:cstheme="minorHAnsi"/>
          <w:bCs/>
          <w:color w:val="auto"/>
        </w:rPr>
        <w:t xml:space="preserve">hat measures </w:t>
      </w:r>
      <w:r>
        <w:rPr>
          <w:rStyle w:val="dnA"/>
          <w:rFonts w:cstheme="minorHAnsi"/>
          <w:bCs/>
          <w:color w:val="auto"/>
        </w:rPr>
        <w:t xml:space="preserve">does </w:t>
      </w:r>
      <w:r w:rsidRPr="00CC1ACB">
        <w:rPr>
          <w:rStyle w:val="dnA"/>
          <w:rFonts w:cstheme="minorHAnsi"/>
          <w:bCs/>
          <w:color w:val="auto"/>
        </w:rPr>
        <w:t>the Government plan to take to achieve deinstitutionalization of persons with disabilities. Please inform the Committee about the planned timelines of the deinstitutionalization process, the number of people to be transferred to community settings in the next 3 years and the timeframe for all relevant institutions be transformed into community-based services.</w:t>
      </w:r>
    </w:p>
    <w:p w14:paraId="5E32559A" w14:textId="77777777" w:rsidR="00500BCD" w:rsidRPr="00CC1ACB" w:rsidRDefault="00500BCD" w:rsidP="00500BCD">
      <w:pPr>
        <w:pStyle w:val="Odsekzoznamu"/>
        <w:numPr>
          <w:ilvl w:val="0"/>
          <w:numId w:val="46"/>
        </w:numPr>
        <w:tabs>
          <w:tab w:val="clear" w:pos="638"/>
          <w:tab w:val="clear" w:pos="663"/>
          <w:tab w:val="clear" w:pos="690"/>
          <w:tab w:val="clear" w:pos="708"/>
        </w:tabs>
        <w:ind w:left="284" w:hanging="284"/>
        <w:rPr>
          <w:rStyle w:val="dnA"/>
          <w:rFonts w:cstheme="minorHAnsi"/>
          <w:bCs/>
          <w:color w:val="auto"/>
        </w:rPr>
      </w:pPr>
      <w:r w:rsidRPr="00CC1ACB">
        <w:rPr>
          <w:rStyle w:val="dnA"/>
          <w:rFonts w:cstheme="minorHAnsi"/>
          <w:bCs/>
          <w:color w:val="auto"/>
        </w:rPr>
        <w:t xml:space="preserve">Please provide information on the availability and accessibility of community-based services for persons with disabilities, including housing, social services and community mental health care, explaining whether the number of such services is sufficient and what measures will be taken to ensure they will continue/start being adequate and sufficient. </w:t>
      </w:r>
    </w:p>
    <w:p w14:paraId="4C0AD574" w14:textId="77777777" w:rsidR="00500BCD" w:rsidRDefault="00500BCD" w:rsidP="00500BCD">
      <w:pPr>
        <w:pStyle w:val="Odsekzoznamu"/>
        <w:numPr>
          <w:ilvl w:val="0"/>
          <w:numId w:val="46"/>
        </w:numPr>
        <w:tabs>
          <w:tab w:val="clear" w:pos="638"/>
          <w:tab w:val="clear" w:pos="663"/>
          <w:tab w:val="clear" w:pos="690"/>
          <w:tab w:val="clear" w:pos="708"/>
        </w:tabs>
        <w:ind w:left="284" w:hanging="284"/>
        <w:rPr>
          <w:rStyle w:val="dnA"/>
          <w:rFonts w:cstheme="minorHAnsi"/>
          <w:bCs/>
          <w:color w:val="auto"/>
        </w:rPr>
      </w:pPr>
      <w:r>
        <w:rPr>
          <w:rStyle w:val="dnA"/>
          <w:rFonts w:cstheme="minorHAnsi"/>
          <w:bCs/>
          <w:color w:val="auto"/>
        </w:rPr>
        <w:t>P</w:t>
      </w:r>
      <w:r w:rsidRPr="00CC1ACB">
        <w:rPr>
          <w:rStyle w:val="dnA"/>
          <w:rFonts w:cstheme="minorHAnsi"/>
          <w:bCs/>
          <w:color w:val="auto"/>
        </w:rPr>
        <w:t>lease provide information on financial allocations for the provision of social services to persons with disabilities. Please explain how resources will be reallocated from financing institutions to the development of community-based services.</w:t>
      </w:r>
    </w:p>
    <w:p w14:paraId="56AB9B2E" w14:textId="77777777" w:rsidR="00500BCD" w:rsidRPr="00A25828" w:rsidRDefault="00500BCD" w:rsidP="00500BCD">
      <w:pPr>
        <w:rPr>
          <w:rStyle w:val="dnA"/>
          <w:rFonts w:cstheme="minorHAnsi"/>
          <w:bCs/>
        </w:rPr>
      </w:pPr>
    </w:p>
    <w:p w14:paraId="106D1DF6" w14:textId="794B40F8" w:rsidR="00500BCD" w:rsidRDefault="00500BCD" w:rsidP="00500BCD">
      <w:pPr>
        <w:pStyle w:val="Nadpis3"/>
        <w:rPr>
          <w:rFonts w:eastAsia="Verdana"/>
        </w:rPr>
      </w:pPr>
      <w:bookmarkStart w:id="19" w:name="_Toc15062581"/>
      <w:r w:rsidRPr="00203D2C">
        <w:rPr>
          <w:rFonts w:eastAsia="Verdana"/>
        </w:rPr>
        <w:lastRenderedPageBreak/>
        <w:t>Article 20 – Personal Mobility</w:t>
      </w:r>
      <w:bookmarkEnd w:id="19"/>
    </w:p>
    <w:p w14:paraId="5708649A" w14:textId="31B6BD0D" w:rsidR="008E3542" w:rsidRPr="008E3542" w:rsidRDefault="008E3542" w:rsidP="008E3542">
      <w:pPr>
        <w:pStyle w:val="Nadpis4"/>
      </w:pPr>
      <w:r>
        <w:t>CO 59 – 60</w:t>
      </w:r>
    </w:p>
    <w:p w14:paraId="45232F92" w14:textId="77777777" w:rsidR="00500BCD" w:rsidRPr="00203D2C" w:rsidRDefault="00500BCD" w:rsidP="00500BCD">
      <w:pPr>
        <w:rPr>
          <w:rFonts w:eastAsia="Verdana" w:cs="Verdana"/>
        </w:rPr>
      </w:pPr>
      <w:r w:rsidRPr="00203D2C">
        <w:t>Act No. 447/2008 Coll. on Financial Contributions to Compensate Severe Disability includes measures to promote personal mobility, such as the allowance to purchase a passenger motor vehicle. The age limit of 65 years is one of the requirements for being entitled to the contribution. People with disabilities consider this restriction discrimination based on age.</w:t>
      </w:r>
    </w:p>
    <w:p w14:paraId="71E4DFA2" w14:textId="77777777" w:rsidR="00500BCD" w:rsidRPr="00203D2C" w:rsidRDefault="00500BCD" w:rsidP="00500BCD">
      <w:pPr>
        <w:rPr>
          <w:rFonts w:eastAsia="Verdana" w:cs="Verdana"/>
        </w:rPr>
      </w:pPr>
      <w:r w:rsidRPr="00203D2C">
        <w:rPr>
          <w:rFonts w:eastAsia="Verdana" w:cs="Verdana"/>
        </w:rPr>
        <w:t>All the paragraphs related to Article 20 that are a part of the 2015 Alternative report are still topical, specifically:</w:t>
      </w:r>
    </w:p>
    <w:p w14:paraId="746443C2" w14:textId="77777777" w:rsidR="00500BCD" w:rsidRPr="00203D2C" w:rsidRDefault="00500BCD" w:rsidP="00500BCD">
      <w:pPr>
        <w:rPr>
          <w:rFonts w:eastAsia="Verdana" w:cs="Verdana"/>
        </w:rPr>
      </w:pPr>
    </w:p>
    <w:p w14:paraId="458857B2" w14:textId="77777777" w:rsidR="00500BCD" w:rsidRPr="00203D2C" w:rsidRDefault="00500BCD" w:rsidP="00500BCD">
      <w:pPr>
        <w:ind w:left="284" w:hanging="284"/>
        <w:rPr>
          <w:rFonts w:eastAsia="Verdana" w:cs="Verdana"/>
        </w:rPr>
      </w:pPr>
      <w:r w:rsidRPr="00203D2C">
        <w:rPr>
          <w:rFonts w:eastAsia="Verdana" w:cs="Verdana"/>
        </w:rPr>
        <w:t>•</w:t>
      </w:r>
      <w:r w:rsidRPr="00203D2C">
        <w:rPr>
          <w:rFonts w:eastAsia="Verdana" w:cs="Verdana"/>
        </w:rPr>
        <w:tab/>
        <w:t>there has not been any improvement in paragraph 28 and no remedial measures have been adopted to solve the situation of people dependent on individual transport</w:t>
      </w:r>
      <w:r>
        <w:rPr>
          <w:rFonts w:eastAsia="Verdana" w:cs="Verdana"/>
        </w:rPr>
        <w:t>, but excluded from this service by too restrictive conditions</w:t>
      </w:r>
      <w:r w:rsidRPr="00203D2C">
        <w:rPr>
          <w:rFonts w:eastAsia="Verdana" w:cs="Verdana"/>
        </w:rPr>
        <w:t>;</w:t>
      </w:r>
    </w:p>
    <w:p w14:paraId="1A992900" w14:textId="77777777" w:rsidR="00500BCD" w:rsidRPr="00203D2C" w:rsidRDefault="00500BCD" w:rsidP="00500BCD">
      <w:pPr>
        <w:ind w:left="284" w:hanging="284"/>
        <w:rPr>
          <w:rFonts w:eastAsia="Verdana" w:cs="Verdana"/>
        </w:rPr>
      </w:pPr>
      <w:r w:rsidRPr="00203D2C">
        <w:rPr>
          <w:rFonts w:eastAsia="Verdana" w:cs="Verdana"/>
        </w:rPr>
        <w:t>•</w:t>
      </w:r>
      <w:r w:rsidRPr="00203D2C">
        <w:rPr>
          <w:rFonts w:eastAsia="Verdana" w:cs="Verdana"/>
        </w:rPr>
        <w:tab/>
        <w:t xml:space="preserve">in paragraph 29, the problems described concerning financial availability of the quality aids have increased and the conditions of eligibility for high quality and satisfactory mobility aids have become even more difficult than in 2015; </w:t>
      </w:r>
    </w:p>
    <w:p w14:paraId="00C6969B" w14:textId="77777777" w:rsidR="00500BCD" w:rsidRDefault="00500BCD" w:rsidP="00500BCD">
      <w:pPr>
        <w:ind w:left="284" w:hanging="284"/>
      </w:pPr>
      <w:r w:rsidRPr="00203D2C">
        <w:rPr>
          <w:rFonts w:eastAsia="Verdana" w:cs="Verdana"/>
        </w:rPr>
        <w:t>•</w:t>
      </w:r>
      <w:r w:rsidRPr="00203D2C">
        <w:rPr>
          <w:rFonts w:eastAsia="Verdana" w:cs="Verdana"/>
        </w:rPr>
        <w:tab/>
        <w:t xml:space="preserve">The conditions described in the in paragraph 30 of the 2015 report concerning </w:t>
      </w:r>
      <w:r>
        <w:rPr>
          <w:rFonts w:eastAsia="Verdana" w:cs="Verdana"/>
        </w:rPr>
        <w:t xml:space="preserve">the lack of </w:t>
      </w:r>
      <w:r w:rsidRPr="00203D2C">
        <w:t xml:space="preserve">provision of transport services to small villages persist and there has not been </w:t>
      </w:r>
      <w:r>
        <w:t xml:space="preserve">any </w:t>
      </w:r>
      <w:r w:rsidRPr="00203D2C">
        <w:t>measurable improvement.</w:t>
      </w:r>
    </w:p>
    <w:p w14:paraId="5D8C7539" w14:textId="77777777" w:rsidR="00500BCD" w:rsidRPr="00203D2C" w:rsidRDefault="00500BCD" w:rsidP="00500BCD">
      <w:pPr>
        <w:pStyle w:val="Nadpis4"/>
        <w:rPr>
          <w:rFonts w:eastAsia="Verdana"/>
        </w:rPr>
      </w:pPr>
      <w:r>
        <w:t>Proposed questions</w:t>
      </w:r>
      <w:r w:rsidRPr="00203D2C">
        <w:rPr>
          <w:rFonts w:eastAsia="Verdana"/>
        </w:rPr>
        <w:t>:</w:t>
      </w:r>
    </w:p>
    <w:p w14:paraId="7079FF65" w14:textId="77777777" w:rsidR="00500BCD" w:rsidRDefault="00500BCD" w:rsidP="00500BCD">
      <w:pPr>
        <w:ind w:left="284" w:hanging="284"/>
        <w:rPr>
          <w:rFonts w:eastAsia="Verdana" w:cs="Verdana"/>
        </w:rPr>
      </w:pPr>
      <w:r w:rsidRPr="00203D2C">
        <w:rPr>
          <w:rFonts w:eastAsia="Verdana" w:cs="Verdana"/>
        </w:rPr>
        <w:t>•</w:t>
      </w:r>
      <w:r w:rsidRPr="00203D2C">
        <w:rPr>
          <w:rFonts w:eastAsia="Verdana" w:cs="Verdana"/>
        </w:rPr>
        <w:tab/>
      </w:r>
      <w:r>
        <w:rPr>
          <w:rFonts w:eastAsia="Verdana" w:cs="Verdana"/>
        </w:rPr>
        <w:t xml:space="preserve">What measures will the State take to increase the affordability of aids and services and simplifying the conditions for granting contributions and discounts, e. g. by means of amending </w:t>
      </w:r>
      <w:r w:rsidRPr="009A3F7B">
        <w:t>the Act No. 447/2008 Coll. and the Act No. 448/2008 and regulations on health and social insuranc</w:t>
      </w:r>
      <w:r>
        <w:t>e?</w:t>
      </w:r>
    </w:p>
    <w:p w14:paraId="1347BC62" w14:textId="77777777" w:rsidR="00500BCD" w:rsidRPr="00AF155D" w:rsidRDefault="00500BCD" w:rsidP="00500BCD">
      <w:pPr>
        <w:ind w:left="284" w:hanging="284"/>
        <w:rPr>
          <w:rFonts w:eastAsia="Verdana" w:cs="Verdana"/>
          <w:lang w:val="fr-FR"/>
        </w:rPr>
      </w:pPr>
      <w:r w:rsidRPr="00AF155D">
        <w:rPr>
          <w:rFonts w:eastAsia="Verdana" w:cs="Verdana"/>
        </w:rPr>
        <w:t>•</w:t>
      </w:r>
      <w:r w:rsidRPr="00AF155D">
        <w:rPr>
          <w:rFonts w:eastAsia="Verdana" w:cs="Verdana"/>
        </w:rPr>
        <w:tab/>
        <w:t xml:space="preserve">What kind of measures </w:t>
      </w:r>
      <w:r>
        <w:rPr>
          <w:rFonts w:eastAsia="Verdana" w:cs="Verdana"/>
        </w:rPr>
        <w:t>will the State</w:t>
      </w:r>
      <w:r w:rsidRPr="00AF155D">
        <w:rPr>
          <w:rFonts w:eastAsia="Verdana" w:cs="Verdana"/>
          <w:lang w:val="fr-FR"/>
        </w:rPr>
        <w:t xml:space="preserve"> adopt to simplify the access of people with disabilities to quality and affordable mobility aids?</w:t>
      </w:r>
    </w:p>
    <w:p w14:paraId="4212A44A" w14:textId="77777777" w:rsidR="00500BCD" w:rsidRPr="00AF155D" w:rsidRDefault="00500BCD" w:rsidP="00500BCD">
      <w:pPr>
        <w:pStyle w:val="Odsekzoznamu"/>
        <w:numPr>
          <w:ilvl w:val="0"/>
          <w:numId w:val="48"/>
        </w:numPr>
        <w:tabs>
          <w:tab w:val="clear" w:pos="638"/>
          <w:tab w:val="clear" w:pos="663"/>
          <w:tab w:val="clear" w:pos="690"/>
          <w:tab w:val="clear" w:pos="708"/>
          <w:tab w:val="left" w:pos="360"/>
        </w:tabs>
        <w:ind w:left="284" w:hanging="284"/>
        <w:rPr>
          <w:rFonts w:eastAsia="Verdana" w:cs="Verdana"/>
          <w:lang w:val="en-GB"/>
        </w:rPr>
      </w:pPr>
      <w:r w:rsidRPr="00AF155D">
        <w:rPr>
          <w:rFonts w:eastAsia="Verdana" w:cs="Verdana"/>
          <w:lang w:val="en-GB"/>
        </w:rPr>
        <w:t>Wh</w:t>
      </w:r>
      <w:r>
        <w:rPr>
          <w:rFonts w:eastAsia="Verdana" w:cs="Verdana"/>
          <w:lang w:val="en-GB"/>
        </w:rPr>
        <w:t>at steps will the State take to</w:t>
      </w:r>
      <w:r w:rsidRPr="00AF155D">
        <w:rPr>
          <w:rFonts w:eastAsia="Verdana" w:cs="Verdana"/>
          <w:lang w:val="en-GB"/>
        </w:rPr>
        <w:t xml:space="preserve"> </w:t>
      </w:r>
      <w:r w:rsidRPr="00865F6E">
        <w:t>extend the provision of transport services to small villages</w:t>
      </w:r>
      <w:r w:rsidRPr="00AF155D">
        <w:rPr>
          <w:rFonts w:eastAsia="Verdana" w:cs="Verdana"/>
          <w:lang w:val="en-GB"/>
        </w:rPr>
        <w:t>?</w:t>
      </w:r>
    </w:p>
    <w:p w14:paraId="6035768F" w14:textId="31341344" w:rsidR="00500BCD" w:rsidRDefault="00500BCD" w:rsidP="00500BCD">
      <w:pPr>
        <w:ind w:left="284" w:hanging="284"/>
        <w:rPr>
          <w:rFonts w:eastAsia="Verdana" w:cs="Verdana"/>
        </w:rPr>
      </w:pPr>
      <w:r w:rsidRPr="00AF155D">
        <w:rPr>
          <w:rFonts w:eastAsia="Verdana" w:cs="Verdana"/>
        </w:rPr>
        <w:t>•</w:t>
      </w:r>
      <w:r w:rsidRPr="00AF155D">
        <w:rPr>
          <w:rFonts w:eastAsia="Verdana" w:cs="Verdana"/>
        </w:rPr>
        <w:tab/>
        <w:t xml:space="preserve">What kind of measures </w:t>
      </w:r>
      <w:r>
        <w:rPr>
          <w:rFonts w:eastAsia="Verdana" w:cs="Verdana"/>
        </w:rPr>
        <w:t>will the State</w:t>
      </w:r>
      <w:r w:rsidRPr="00AF155D">
        <w:rPr>
          <w:rFonts w:eastAsia="Verdana" w:cs="Verdana"/>
        </w:rPr>
        <w:t xml:space="preserve"> take </w:t>
      </w:r>
      <w:r w:rsidRPr="00A25828">
        <w:rPr>
          <w:rFonts w:eastAsia="Verdana" w:cs="Verdana"/>
        </w:rPr>
        <w:t xml:space="preserve">to maintain special fare in domestic rail transport for persons with disabilities and adopt a uniform </w:t>
      </w:r>
      <w:r w:rsidRPr="00A25828">
        <w:rPr>
          <w:rFonts w:eastAsia="Verdana" w:cs="Verdana"/>
        </w:rPr>
        <w:lastRenderedPageBreak/>
        <w:t>discount policy for all means of public transport and maintain a free travel for those assisting people with disabilities?</w:t>
      </w:r>
    </w:p>
    <w:p w14:paraId="35D3F7B0" w14:textId="77777777" w:rsidR="008E3542" w:rsidRPr="00A25828" w:rsidRDefault="008E3542" w:rsidP="00500BCD">
      <w:pPr>
        <w:ind w:left="284" w:hanging="284"/>
        <w:rPr>
          <w:rFonts w:eastAsia="Verdana" w:cs="Verdana"/>
        </w:rPr>
      </w:pPr>
    </w:p>
    <w:p w14:paraId="7E123751" w14:textId="693B28C7" w:rsidR="00500BCD" w:rsidRDefault="00500BCD" w:rsidP="00500BCD">
      <w:pPr>
        <w:pStyle w:val="Nadpis3"/>
      </w:pPr>
      <w:bookmarkStart w:id="20" w:name="_Toc15062582"/>
      <w:r>
        <w:t>Article 21 – Freedom of Expression and Opinion and Access to Information</w:t>
      </w:r>
      <w:bookmarkEnd w:id="20"/>
    </w:p>
    <w:p w14:paraId="1D984F7C" w14:textId="48B448EE" w:rsidR="00E5190E" w:rsidRPr="00E5190E" w:rsidRDefault="00E5190E" w:rsidP="00E5190E">
      <w:pPr>
        <w:pStyle w:val="Nadpis4"/>
      </w:pPr>
      <w:r>
        <w:t>CO 61 – 64</w:t>
      </w:r>
    </w:p>
    <w:p w14:paraId="1BE129CC" w14:textId="77777777" w:rsidR="00500BCD" w:rsidRDefault="00500BCD" w:rsidP="00500BCD">
      <w:r>
        <w:t>In spite of the pending legislation and concluding observation No. 62 there continues to be a lack of sign language interpreters and the opportunities for their training are not sufficient. At the same time, the service of simultaneous transcription of speech to text and on-line interpreting service have not been available.</w:t>
      </w:r>
    </w:p>
    <w:p w14:paraId="280D24E4" w14:textId="77777777" w:rsidR="00500BCD" w:rsidRDefault="00500BCD" w:rsidP="00500BCD">
      <w:pPr>
        <w:pStyle w:val="Nadpis4"/>
      </w:pPr>
      <w:r>
        <w:t>Proposed questions:</w:t>
      </w:r>
    </w:p>
    <w:p w14:paraId="1B4D17FF" w14:textId="77777777" w:rsidR="00500BCD" w:rsidRDefault="00500BCD" w:rsidP="00500BCD">
      <w:pPr>
        <w:pStyle w:val="Odsekzoznamu"/>
        <w:numPr>
          <w:ilvl w:val="0"/>
          <w:numId w:val="48"/>
        </w:numPr>
      </w:pPr>
      <w:r>
        <w:t>What kind of measures will the State adopt to guarantee sufficient number of sign language interpreters and their training and when do you expect offering appropriate interpreting service?</w:t>
      </w:r>
    </w:p>
    <w:p w14:paraId="779E4AF4" w14:textId="77777777" w:rsidR="00500BCD" w:rsidRDefault="00500BCD" w:rsidP="00500BCD">
      <w:pPr>
        <w:pStyle w:val="Odsekzoznamu"/>
        <w:numPr>
          <w:ilvl w:val="0"/>
          <w:numId w:val="48"/>
        </w:numPr>
      </w:pPr>
      <w:r>
        <w:t>What kind of measures will the State take to introduce the service simultaneous transcription of speech to text and on-line interpreting service?</w:t>
      </w:r>
    </w:p>
    <w:p w14:paraId="0EAE711F" w14:textId="77777777" w:rsidR="00500BCD" w:rsidRPr="009A7132" w:rsidRDefault="00500BCD" w:rsidP="00500BCD">
      <w:pPr>
        <w:ind w:left="284" w:hanging="284"/>
        <w:rPr>
          <w:rFonts w:eastAsia="Verdana" w:cs="Verdana"/>
          <w:lang w:val="en-US"/>
        </w:rPr>
      </w:pPr>
    </w:p>
    <w:p w14:paraId="55367D1D" w14:textId="6C82AEC4" w:rsidR="00500BCD" w:rsidRDefault="00500BCD" w:rsidP="00500BCD">
      <w:pPr>
        <w:pStyle w:val="Nadpis3"/>
      </w:pPr>
      <w:bookmarkStart w:id="21" w:name="_Toc15062583"/>
      <w:r>
        <w:t>Article 23 – Respect for Home and Family</w:t>
      </w:r>
      <w:bookmarkEnd w:id="21"/>
    </w:p>
    <w:p w14:paraId="6C778A2A" w14:textId="05400C89" w:rsidR="00E5190E" w:rsidRPr="00E5190E" w:rsidRDefault="00E5190E" w:rsidP="00E5190E">
      <w:pPr>
        <w:pStyle w:val="Nadpis4"/>
      </w:pPr>
      <w:r>
        <w:t>CO 65 – 66</w:t>
      </w:r>
    </w:p>
    <w:p w14:paraId="266AACFC" w14:textId="77777777" w:rsidR="00500BCD" w:rsidRPr="00E73F96" w:rsidRDefault="00500BCD" w:rsidP="00500BCD">
      <w:r>
        <w:t xml:space="preserve">The situation described in the paragraph 36 of the 2015 Alternative report persists. </w:t>
      </w:r>
    </w:p>
    <w:p w14:paraId="657B0527" w14:textId="77777777" w:rsidR="00500BCD" w:rsidRDefault="00500BCD" w:rsidP="00500BCD">
      <w:r w:rsidRPr="009A3F7B">
        <w:t xml:space="preserve">Under Section 12 of the Family Act No. 36/2005 Coll. persons deprived of legal capacity automatically lose their right to enter into marriage. </w:t>
      </w:r>
      <w:r>
        <w:t>P</w:t>
      </w:r>
      <w:r w:rsidRPr="009A3F7B">
        <w:t>ersons with restricted legal capacity can enter into marriage only with the consent of the guardianship court. Furthermore</w:t>
      </w:r>
      <w:r>
        <w:t xml:space="preserve">, </w:t>
      </w:r>
      <w:r w:rsidRPr="009A3F7B">
        <w:t xml:space="preserve">a marriage is forbidden to those persons with </w:t>
      </w:r>
      <w:r>
        <w:t>intellectual</w:t>
      </w:r>
      <w:r w:rsidRPr="009A3F7B">
        <w:t xml:space="preserve"> disability whose disability can potentially lead to restriction of their legal capacity. </w:t>
      </w:r>
      <w:r>
        <w:t>T</w:t>
      </w:r>
      <w:r w:rsidRPr="009A3F7B">
        <w:t>his particular provision of the Family Act violates Article 23 of the CRPD in conjunction with Article 12 of the CRPD and should be repealed.</w:t>
      </w:r>
    </w:p>
    <w:p w14:paraId="3B819F8E" w14:textId="77777777" w:rsidR="00500BCD" w:rsidRDefault="00500BCD" w:rsidP="00500BCD">
      <w:pPr>
        <w:pStyle w:val="Nadpis4"/>
      </w:pPr>
      <w:r>
        <w:lastRenderedPageBreak/>
        <w:t>Proposed questions:</w:t>
      </w:r>
    </w:p>
    <w:p w14:paraId="76D2E41F" w14:textId="77777777" w:rsidR="00500BCD" w:rsidRDefault="00500BCD" w:rsidP="00500BCD">
      <w:pPr>
        <w:pStyle w:val="Odsekzoznamu"/>
        <w:numPr>
          <w:ilvl w:val="0"/>
          <w:numId w:val="48"/>
        </w:numPr>
      </w:pPr>
      <w:r>
        <w:t xml:space="preserve">What steps will the State take </w:t>
      </w:r>
      <w:r w:rsidRPr="00A25828">
        <w:t xml:space="preserve">to </w:t>
      </w:r>
      <w:r w:rsidRPr="009A3F7B">
        <w:t>repeal Section 12 of the Family Act No. 36/2005 Coll.</w:t>
      </w:r>
      <w:r>
        <w:t>?</w:t>
      </w:r>
    </w:p>
    <w:p w14:paraId="13867BCA" w14:textId="77777777" w:rsidR="00500BCD" w:rsidRPr="00B63AA4" w:rsidRDefault="00500BCD" w:rsidP="00500BCD">
      <w:pPr>
        <w:rPr>
          <w:lang w:val="en-US"/>
        </w:rPr>
      </w:pPr>
    </w:p>
    <w:p w14:paraId="2947B80B" w14:textId="0EFD8AD4" w:rsidR="00500BCD" w:rsidRDefault="00500BCD" w:rsidP="00500BCD">
      <w:pPr>
        <w:pStyle w:val="Nadpis3"/>
        <w:rPr>
          <w:rStyle w:val="dnA"/>
          <w:bCs/>
          <w:sz w:val="24"/>
        </w:rPr>
      </w:pPr>
      <w:bookmarkStart w:id="22" w:name="_Toc15062584"/>
      <w:r w:rsidRPr="00A25828">
        <w:rPr>
          <w:rStyle w:val="dnA"/>
        </w:rPr>
        <w:t>Article</w:t>
      </w:r>
      <w:r w:rsidRPr="00B03C2A">
        <w:rPr>
          <w:rStyle w:val="dnA"/>
          <w:bCs/>
          <w:sz w:val="24"/>
        </w:rPr>
        <w:t xml:space="preserve"> </w:t>
      </w:r>
      <w:r w:rsidRPr="00235867">
        <w:rPr>
          <w:rStyle w:val="dnA"/>
        </w:rPr>
        <w:t>24</w:t>
      </w:r>
      <w:r w:rsidRPr="00B03C2A">
        <w:rPr>
          <w:rStyle w:val="dnA"/>
          <w:bCs/>
          <w:sz w:val="24"/>
        </w:rPr>
        <w:t xml:space="preserve"> – </w:t>
      </w:r>
      <w:r w:rsidRPr="00A25828">
        <w:rPr>
          <w:rStyle w:val="dnA"/>
        </w:rPr>
        <w:t>Education</w:t>
      </w:r>
      <w:bookmarkEnd w:id="22"/>
    </w:p>
    <w:p w14:paraId="2FC3B325" w14:textId="4EA3182D" w:rsidR="00E5190E" w:rsidRPr="00E5190E" w:rsidRDefault="00E5190E" w:rsidP="00E5190E">
      <w:pPr>
        <w:pStyle w:val="Nadpis4"/>
      </w:pPr>
      <w:r>
        <w:t>CO 67 – 68</w:t>
      </w:r>
    </w:p>
    <w:p w14:paraId="3F6C58A9" w14:textId="77777777" w:rsidR="00500BCD" w:rsidRDefault="00500BCD" w:rsidP="00500BCD">
      <w:r>
        <w:t xml:space="preserve">We have to point out that the situation remains the same as described in the 2015 Alternative report; Slovakia is the country with the highest share of children being educated in special schools in the EU. The share of pupils with special educational needs is the fourth highest in Europe and they comprise almost a fifth of the children educated at elementary schools. In comparison to other European countries, however, a large group of these children are not educated in classes at mainstream schools with the most children. </w:t>
      </w:r>
    </w:p>
    <w:p w14:paraId="3A921CFE" w14:textId="77777777" w:rsidR="00500BCD" w:rsidRDefault="00500BCD" w:rsidP="00500BCD">
      <w:pPr>
        <w:spacing w:line="276" w:lineRule="auto"/>
        <w:jc w:val="both"/>
        <w:rPr>
          <w:rFonts w:cstheme="minorHAnsi"/>
        </w:rPr>
      </w:pPr>
    </w:p>
    <w:p w14:paraId="126F0EB3" w14:textId="77777777" w:rsidR="00500BCD" w:rsidRDefault="00500BCD" w:rsidP="00500BCD">
      <w:r>
        <w:t>While in Slovakia the share of children enrolled in special schools or classes is 5.88 % (34 299 pupils in 2018/2019), the European average is almost four times lower</w:t>
      </w:r>
      <w:r>
        <w:rPr>
          <w:rStyle w:val="Odkaznapoznmkupodiarou"/>
          <w:rFonts w:cstheme="minorHAnsi"/>
        </w:rPr>
        <w:footnoteReference w:id="15"/>
      </w:r>
      <w:r w:rsidRPr="00407BE5">
        <w:t>.</w:t>
      </w:r>
    </w:p>
    <w:p w14:paraId="49939503" w14:textId="77777777" w:rsidR="00500BCD" w:rsidRDefault="00500BCD" w:rsidP="00500BCD">
      <w:pPr>
        <w:rPr>
          <w:rFonts w:asciiTheme="minorHAnsi" w:hAnsiTheme="minorHAnsi" w:cstheme="minorHAnsi"/>
          <w:lang w:val="sk-SK"/>
        </w:rPr>
      </w:pPr>
      <w:r w:rsidRPr="001445AB">
        <w:t xml:space="preserve">This situation was underlined </w:t>
      </w:r>
      <w:r>
        <w:t>in paragraph 68 of the 2016 Concluding Observations where it was recommended to a</w:t>
      </w:r>
      <w:r w:rsidRPr="000E5763">
        <w:t>dopt a legally binding plan for the transition from segregated schools into inclusive education</w:t>
      </w:r>
      <w:r>
        <w:t>. The importance of the issue is emphasized in the Observations by the Committee on Social, Economic and Cultural Rights or the Committee on the Rights of the Child.</w:t>
      </w:r>
      <w:r w:rsidRPr="0075564A">
        <w:rPr>
          <w:rStyle w:val="Odkaznapoznmkupodiarou"/>
          <w:rFonts w:asciiTheme="minorHAnsi" w:hAnsiTheme="minorHAnsi" w:cstheme="minorHAnsi"/>
          <w:lang w:val="sk-SK"/>
        </w:rPr>
        <w:footnoteReference w:id="16"/>
      </w:r>
      <w:r w:rsidRPr="0075564A">
        <w:rPr>
          <w:rFonts w:asciiTheme="minorHAnsi" w:hAnsiTheme="minorHAnsi" w:cstheme="minorHAnsi"/>
          <w:lang w:val="sk-SK"/>
        </w:rPr>
        <w:t xml:space="preserve"> </w:t>
      </w:r>
    </w:p>
    <w:p w14:paraId="3DC85F78" w14:textId="77777777" w:rsidR="00500BCD" w:rsidRDefault="00500BCD" w:rsidP="00500BCD">
      <w:r w:rsidRPr="00396713">
        <w:t xml:space="preserve">Unfortunately, the Slovak Republic has not </w:t>
      </w:r>
      <w:r>
        <w:t xml:space="preserve">adopted yet </w:t>
      </w:r>
      <w:r w:rsidRPr="00396713">
        <w:t xml:space="preserve">a </w:t>
      </w:r>
      <w:r>
        <w:t>strategy to</w:t>
      </w:r>
      <w:r w:rsidRPr="00396713">
        <w:t xml:space="preserve"> reform the educational system, </w:t>
      </w:r>
      <w:r>
        <w:t>and to organise</w:t>
      </w:r>
      <w:r w:rsidRPr="00396713">
        <w:t xml:space="preserve"> the transition from segregated schools into inclusive education.</w:t>
      </w:r>
      <w:r>
        <w:t xml:space="preserve"> Neither teachers, nor students in the process of their vocational training are prepared systematically for the transformation.</w:t>
      </w:r>
    </w:p>
    <w:p w14:paraId="4B034E18" w14:textId="77777777" w:rsidR="00500BCD" w:rsidRPr="00963151" w:rsidRDefault="00500BCD" w:rsidP="00500BCD">
      <w:r>
        <w:lastRenderedPageBreak/>
        <w:t>The situation concerning unavailability and unenforceability of education for children with disabilities at the mainstream school have not changed since 2015. We would like to stress some of the most striking issues in this report.</w:t>
      </w:r>
    </w:p>
    <w:p w14:paraId="58D7BDD8" w14:textId="77777777" w:rsidR="00500BCD" w:rsidRPr="00EF05A3" w:rsidRDefault="00500BCD" w:rsidP="00500BCD">
      <w:r w:rsidRPr="00BE13A2">
        <w:t xml:space="preserve">Significant lack of available pre-school education for children with disabilities </w:t>
      </w:r>
      <w:r>
        <w:t>is c</w:t>
      </w:r>
      <w:r w:rsidRPr="00BE13A2">
        <w:t>urrent emerging issue.</w:t>
      </w:r>
      <w:r>
        <w:t xml:space="preserve"> </w:t>
      </w:r>
      <w:r w:rsidRPr="00735672">
        <w:t>The kindergarten, even a special kindergarten is entitled to reject the child in case it cannot provide for material and technical requirements. The requirements mentioned are not provided for – the schools have many barriers, they do not have school aids needed, there are not enough teacher</w:t>
      </w:r>
      <w:r>
        <w:t>s’ assistants and other experts</w:t>
      </w:r>
      <w:r>
        <w:rPr>
          <w:rStyle w:val="Odkaznapoznmkupodiarou"/>
          <w:rFonts w:asciiTheme="minorHAnsi" w:hAnsiTheme="minorHAnsi" w:cstheme="minorHAnsi"/>
          <w:bCs/>
          <w:lang w:val="sk-SK"/>
        </w:rPr>
        <w:footnoteReference w:id="17"/>
      </w:r>
      <w:r w:rsidRPr="0075564A">
        <w:rPr>
          <w:lang w:val="sk-SK"/>
        </w:rPr>
        <w:t xml:space="preserve">. </w:t>
      </w:r>
    </w:p>
    <w:p w14:paraId="679ADA1D" w14:textId="77777777" w:rsidR="00500BCD" w:rsidRDefault="00500BCD" w:rsidP="00500BCD">
      <w:r w:rsidRPr="00684612">
        <w:t>The new legislation introduced obligatory preschool education for children from 5 years of age contains the exception concerning children with disabilities as well. That means the right to education in the kindergarten is unenforceable as well</w:t>
      </w:r>
      <w:r>
        <w:t xml:space="preserve"> (no possibility to appeal after rejecting the child)</w:t>
      </w:r>
      <w:r w:rsidRPr="00684612">
        <w:t>.</w:t>
      </w:r>
    </w:p>
    <w:p w14:paraId="3AAE71C9" w14:textId="77777777" w:rsidR="00500BCD" w:rsidRDefault="00500BCD" w:rsidP="00500BCD">
      <w:pPr>
        <w:rPr>
          <w:rStyle w:val="dnA"/>
          <w:rFonts w:asciiTheme="minorHAnsi" w:hAnsiTheme="minorHAnsi" w:cstheme="minorHAnsi"/>
          <w:iCs/>
          <w:lang w:val="sk-SK"/>
        </w:rPr>
      </w:pPr>
      <w:r>
        <w:t>The situation continues to repeat where the centre for special pedagogical counselling (CSPC) decides that the child needs an individual form of education and a shorter frame. In most cases it is 2 hours a week and, thus, children with multiple disabilities do not have an adequate scope of education even in special schools where it is not possible for school to create appropriate conditions for education. The involuntary home schooling is the consequence of this situation</w:t>
      </w:r>
      <w:r>
        <w:rPr>
          <w:rStyle w:val="Odkaznapoznmkupodiarou"/>
          <w:rFonts w:asciiTheme="minorHAnsi" w:hAnsiTheme="minorHAnsi" w:cstheme="minorHAnsi"/>
          <w:iCs/>
          <w:lang w:val="sk-SK"/>
        </w:rPr>
        <w:footnoteReference w:id="18"/>
      </w:r>
      <w:r w:rsidRPr="003557AF">
        <w:rPr>
          <w:rStyle w:val="dnA"/>
          <w:rFonts w:asciiTheme="minorHAnsi" w:hAnsiTheme="minorHAnsi" w:cstheme="minorHAnsi"/>
          <w:iCs/>
          <w:lang w:val="sk-SK"/>
        </w:rPr>
        <w:t xml:space="preserve">. </w:t>
      </w:r>
    </w:p>
    <w:p w14:paraId="51501166" w14:textId="77777777" w:rsidR="00500BCD" w:rsidRPr="008B72E7" w:rsidRDefault="00500BCD" w:rsidP="00500BCD">
      <w:r>
        <w:t xml:space="preserve">Slovakia fails to allocate sufficient financial resource to support teaching assistants and teams of experts in schools – </w:t>
      </w:r>
      <w:r w:rsidRPr="009A3F7B">
        <w:t>school psychologists and special pedagogues</w:t>
      </w:r>
      <w:r>
        <w:t xml:space="preserve"> and pedagogical assistants. The child is not provided for with the support as recommended by the </w:t>
      </w:r>
      <w:r w:rsidRPr="008B72E7">
        <w:t>counselling centres. In the school year of 2018/2019 5 845 teaching assistants were required and only 2 374 were allocated, which is only 40 % (kindergartens are excluded from this scheme where assistants are exclusively financed by the founder</w:t>
      </w:r>
      <w:r>
        <w:t>)</w:t>
      </w:r>
      <w:r w:rsidRPr="008B72E7">
        <w:t>.</w:t>
      </w:r>
    </w:p>
    <w:p w14:paraId="07B846AE" w14:textId="77777777" w:rsidR="00500BCD" w:rsidRDefault="00500BCD" w:rsidP="00500BCD">
      <w:r>
        <w:t>The mechanism of assigning pedagogical assistants is not flexible enough; it does not take changes during the school year into consideration.</w:t>
      </w:r>
    </w:p>
    <w:p w14:paraId="437C45C5" w14:textId="77777777" w:rsidR="00500BCD" w:rsidRDefault="00500BCD" w:rsidP="00500BCD">
      <w:r>
        <w:lastRenderedPageBreak/>
        <w:t>The absence of the supporting services worsens the inclusion as well. The pedagogical assistant provides the services of medical and personal assistance as well. According to the School Act nurses are not allowed to be present in a school facility.</w:t>
      </w:r>
    </w:p>
    <w:p w14:paraId="118D7820" w14:textId="77777777" w:rsidR="00500BCD" w:rsidRDefault="00500BCD" w:rsidP="00500BCD">
      <w:r>
        <w:t>The situation is even more critical at secondary schools. The schools where the child with special educational needs is interested to enrol have many barriers. The staff is not trained to meet the individual requirements of integrated students.</w:t>
      </w:r>
    </w:p>
    <w:p w14:paraId="7B462A21" w14:textId="77777777" w:rsidR="00500BCD" w:rsidRPr="006029DA" w:rsidRDefault="00500BCD" w:rsidP="00500BCD">
      <w:pPr>
        <w:rPr>
          <w:rStyle w:val="dnA"/>
        </w:rPr>
      </w:pPr>
      <w:r>
        <w:t>Within the pending educational system children with intellectual disabilities cannot continue their studies at secondary schools because they only have ISCED 1 level of education. Thus, they are disqualified from being enrolled for the secondary school and from future professional opportunities.</w:t>
      </w:r>
    </w:p>
    <w:p w14:paraId="4DCB3145" w14:textId="77777777" w:rsidR="00500BCD" w:rsidRDefault="00500BCD" w:rsidP="00500BCD">
      <w:pPr>
        <w:pStyle w:val="Odsekzoznamu"/>
        <w:suppressAutoHyphens/>
        <w:spacing w:line="276" w:lineRule="auto"/>
        <w:rPr>
          <w:rStyle w:val="dnA"/>
          <w:rFonts w:asciiTheme="minorHAnsi" w:hAnsiTheme="minorHAnsi" w:cstheme="minorHAnsi"/>
          <w:iCs/>
          <w:lang w:val="sk-SK"/>
        </w:rPr>
      </w:pPr>
    </w:p>
    <w:p w14:paraId="072DF285" w14:textId="77777777" w:rsidR="00500BCD" w:rsidRPr="00EE62F5" w:rsidRDefault="00500BCD" w:rsidP="00500BCD">
      <w:pPr>
        <w:suppressAutoHyphens/>
        <w:spacing w:line="276" w:lineRule="auto"/>
        <w:jc w:val="both"/>
        <w:rPr>
          <w:rStyle w:val="dnA"/>
          <w:rFonts w:cstheme="minorHAnsi"/>
          <w:b/>
          <w:iCs/>
        </w:rPr>
      </w:pPr>
      <w:r w:rsidRPr="00EE62F5">
        <w:rPr>
          <w:rStyle w:val="dnA"/>
          <w:rFonts w:cstheme="minorHAnsi"/>
          <w:b/>
          <w:iCs/>
        </w:rPr>
        <w:t>Proposed questions</w:t>
      </w:r>
    </w:p>
    <w:p w14:paraId="08BD929D" w14:textId="77777777" w:rsidR="00500BCD" w:rsidRPr="00F83ECE" w:rsidRDefault="00500BCD" w:rsidP="00500BCD">
      <w:pPr>
        <w:pStyle w:val="Odsekzoznamu"/>
        <w:numPr>
          <w:ilvl w:val="0"/>
          <w:numId w:val="48"/>
        </w:numPr>
        <w:rPr>
          <w:rStyle w:val="dnA"/>
        </w:rPr>
      </w:pPr>
      <w:r w:rsidRPr="00F83ECE">
        <w:rPr>
          <w:rStyle w:val="dnA"/>
        </w:rPr>
        <w:t>Could you inform the Committee about availability and accessibility of pre-school education for children with disabilities? How many applications from children with special educational need have been rejected in the last three years?</w:t>
      </w:r>
    </w:p>
    <w:p w14:paraId="6BAE50A6" w14:textId="77777777" w:rsidR="00500BCD" w:rsidRDefault="00500BCD" w:rsidP="00500BCD">
      <w:pPr>
        <w:pStyle w:val="Odsekzoznamu"/>
        <w:numPr>
          <w:ilvl w:val="0"/>
          <w:numId w:val="48"/>
        </w:numPr>
        <w:rPr>
          <w:rStyle w:val="dnA"/>
        </w:rPr>
      </w:pPr>
      <w:r w:rsidRPr="00F83ECE">
        <w:rPr>
          <w:rStyle w:val="dnA"/>
        </w:rPr>
        <w:t xml:space="preserve">What kind of measures </w:t>
      </w:r>
      <w:r>
        <w:rPr>
          <w:rStyle w:val="dnA"/>
        </w:rPr>
        <w:t>will the State take to</w:t>
      </w:r>
      <w:r w:rsidRPr="00F83ECE">
        <w:rPr>
          <w:rStyle w:val="dnA"/>
        </w:rPr>
        <w:t xml:space="preserve"> financ</w:t>
      </w:r>
      <w:r>
        <w:rPr>
          <w:rStyle w:val="dnA"/>
        </w:rPr>
        <w:t>e</w:t>
      </w:r>
      <w:r w:rsidRPr="00F83ECE">
        <w:rPr>
          <w:rStyle w:val="dnA"/>
        </w:rPr>
        <w:t xml:space="preserve"> the expert teams and support services in kindergartens and at schools in the SR and when </w:t>
      </w:r>
      <w:r>
        <w:rPr>
          <w:rStyle w:val="dnA"/>
        </w:rPr>
        <w:t xml:space="preserve">will the State </w:t>
      </w:r>
      <w:r w:rsidRPr="00F83ECE">
        <w:rPr>
          <w:rStyle w:val="dnA"/>
        </w:rPr>
        <w:t>enable children with disabilities to enjoy their right to education?</w:t>
      </w:r>
      <w:r>
        <w:rPr>
          <w:rStyle w:val="dnA"/>
        </w:rPr>
        <w:t xml:space="preserve"> What kinds of resources are used for this purpose and what is their amount? Are they sufficient to cover all need requested? What are the pending rules/criteria for allocation of non-prescriptive resources to finance pedagogical assistants?</w:t>
      </w:r>
    </w:p>
    <w:p w14:paraId="1958D250" w14:textId="77777777" w:rsidR="00500BCD" w:rsidRPr="005B6ED3" w:rsidRDefault="00500BCD" w:rsidP="00500BCD">
      <w:pPr>
        <w:pStyle w:val="Odsekzoznamu"/>
        <w:numPr>
          <w:ilvl w:val="0"/>
          <w:numId w:val="48"/>
        </w:numPr>
        <w:rPr>
          <w:rStyle w:val="dnA"/>
          <w:rFonts w:asciiTheme="minorHAnsi" w:hAnsiTheme="minorHAnsi" w:cstheme="minorHAnsi"/>
          <w:bCs/>
        </w:rPr>
      </w:pPr>
      <w:r>
        <w:rPr>
          <w:rStyle w:val="dnA"/>
        </w:rPr>
        <w:t xml:space="preserve">How many experts, pedagogical assistants within the school </w:t>
      </w:r>
      <w:r w:rsidRPr="00F83ED8">
        <w:rPr>
          <w:rStyle w:val="dnA"/>
        </w:rPr>
        <w:t>system</w:t>
      </w:r>
      <w:r>
        <w:rPr>
          <w:rStyle w:val="dnA"/>
        </w:rPr>
        <w:t xml:space="preserve"> are employed in the favour of children with special educational needs and to what extent does this number correlate with the need of these children?</w:t>
      </w:r>
    </w:p>
    <w:p w14:paraId="7F891103" w14:textId="77777777" w:rsidR="00500BCD" w:rsidRDefault="00500BCD" w:rsidP="00500BCD">
      <w:pPr>
        <w:pStyle w:val="Odsekzoznamu"/>
        <w:numPr>
          <w:ilvl w:val="0"/>
          <w:numId w:val="49"/>
        </w:numPr>
        <w:rPr>
          <w:rStyle w:val="dnA"/>
        </w:rPr>
      </w:pPr>
      <w:r w:rsidRPr="005B6ED3">
        <w:rPr>
          <w:rStyle w:val="dnA"/>
        </w:rPr>
        <w:t>Please provide information on steps taken on the transformation and desegregation of special education system towards inclusion of all children with disabilities into mainstream education, including concrete tasks, resp</w:t>
      </w:r>
      <w:r>
        <w:rPr>
          <w:rStyle w:val="dnA"/>
        </w:rPr>
        <w:t>onsible subjects and timeline.</w:t>
      </w:r>
    </w:p>
    <w:p w14:paraId="485EAB02" w14:textId="77777777" w:rsidR="00500BCD" w:rsidRPr="00242547" w:rsidRDefault="00500BCD" w:rsidP="00500BCD">
      <w:pPr>
        <w:pStyle w:val="Odsekzoznamu"/>
        <w:numPr>
          <w:ilvl w:val="0"/>
          <w:numId w:val="49"/>
        </w:numPr>
        <w:rPr>
          <w:rStyle w:val="dnA"/>
          <w:rFonts w:asciiTheme="minorHAnsi" w:hAnsiTheme="minorHAnsi" w:cstheme="minorHAnsi"/>
          <w:bCs/>
        </w:rPr>
      </w:pPr>
      <w:r>
        <w:rPr>
          <w:rStyle w:val="dnA"/>
        </w:rPr>
        <w:lastRenderedPageBreak/>
        <w:t xml:space="preserve">Could you present the analysis on the length of professional training experience within the specific educational programs at universities and introduce the </w:t>
      </w:r>
      <w:r w:rsidRPr="007550CD">
        <w:rPr>
          <w:rStyle w:val="dnA"/>
        </w:rPr>
        <w:t>measures</w:t>
      </w:r>
      <w:r>
        <w:rPr>
          <w:rStyle w:val="dnA"/>
        </w:rPr>
        <w:t xml:space="preserve"> taken and the time frame of their implementation to put content of the educational program into line with the real needs and enable students of pedagogical specializations to take the professional training with children with special educational needs</w:t>
      </w:r>
      <w:bookmarkStart w:id="23" w:name="_Hlk14755973"/>
      <w:r>
        <w:rPr>
          <w:rStyle w:val="dnA"/>
        </w:rPr>
        <w:t>?</w:t>
      </w:r>
    </w:p>
    <w:p w14:paraId="72D33C92" w14:textId="77777777" w:rsidR="00500BCD" w:rsidRPr="004827AC" w:rsidRDefault="00500BCD" w:rsidP="00500BCD">
      <w:pPr>
        <w:pStyle w:val="Odsekzoznamu"/>
        <w:numPr>
          <w:ilvl w:val="0"/>
          <w:numId w:val="49"/>
        </w:numPr>
        <w:rPr>
          <w:rStyle w:val="dnA"/>
          <w:rFonts w:asciiTheme="minorHAnsi" w:hAnsiTheme="minorHAnsi" w:cstheme="minorHAnsi"/>
          <w:bCs/>
        </w:rPr>
      </w:pPr>
      <w:r>
        <w:rPr>
          <w:rStyle w:val="dnA"/>
        </w:rPr>
        <w:t xml:space="preserve">Could you present the analysis of how many secondary school students is integrated </w:t>
      </w:r>
      <w:r w:rsidRPr="007550CD">
        <w:rPr>
          <w:rStyle w:val="dnA"/>
        </w:rPr>
        <w:t>into</w:t>
      </w:r>
      <w:r>
        <w:rPr>
          <w:rStyle w:val="dnA"/>
        </w:rPr>
        <w:t xml:space="preserve"> mainstream secondary schools? Which specializations are the most accessible for students with special educational needs? How many graduates with special educational needs have succeeded in entering into the labour market or enrolling in universities?</w:t>
      </w:r>
    </w:p>
    <w:bookmarkEnd w:id="23"/>
    <w:p w14:paraId="2CC7ACDE" w14:textId="77777777" w:rsidR="00500BCD" w:rsidRPr="009A7132" w:rsidRDefault="00500BCD" w:rsidP="00500BCD">
      <w:pPr>
        <w:ind w:left="284" w:hanging="284"/>
        <w:rPr>
          <w:rFonts w:eastAsia="Verdana" w:cs="Verdana"/>
          <w:lang w:val="en-US"/>
        </w:rPr>
      </w:pPr>
    </w:p>
    <w:p w14:paraId="033F95FF" w14:textId="5CBD7269" w:rsidR="00500BCD" w:rsidRDefault="00E5190E" w:rsidP="00500BCD">
      <w:pPr>
        <w:pStyle w:val="Nadpis3"/>
        <w:rPr>
          <w:rFonts w:eastAsia="Times New Roman"/>
          <w:lang w:eastAsia="sk-SK"/>
        </w:rPr>
      </w:pPr>
      <w:bookmarkStart w:id="24" w:name="_Toc15062585"/>
      <w:r>
        <w:rPr>
          <w:rFonts w:eastAsia="Times New Roman"/>
          <w:lang w:eastAsia="sk-SK"/>
        </w:rPr>
        <w:t>Article 25 – Health</w:t>
      </w:r>
      <w:bookmarkEnd w:id="24"/>
    </w:p>
    <w:p w14:paraId="6ADB09DF" w14:textId="709B45F6" w:rsidR="00E5190E" w:rsidRPr="00E5190E" w:rsidRDefault="00E5190E" w:rsidP="00E5190E">
      <w:pPr>
        <w:pStyle w:val="Nadpis4"/>
        <w:rPr>
          <w:lang w:eastAsia="sk-SK"/>
        </w:rPr>
      </w:pPr>
      <w:r>
        <w:rPr>
          <w:lang w:eastAsia="sk-SK"/>
        </w:rPr>
        <w:t>CO 69 – 70</w:t>
      </w:r>
    </w:p>
    <w:p w14:paraId="396A06D8" w14:textId="77777777" w:rsidR="00500BCD" w:rsidRDefault="00500BCD" w:rsidP="00500BCD">
      <w:r>
        <w:t>As described in 2015 Alternative Report, t</w:t>
      </w:r>
      <w:r w:rsidRPr="009A3F7B">
        <w:t xml:space="preserve">here is a permanent shortage of adequately accommodating healthcare facilities for the hospitalisation of persons with severe physical disability as well as persistent problems with outpatient treatment and medical </w:t>
      </w:r>
      <w:r w:rsidRPr="009A3F7B">
        <w:rPr>
          <w:shd w:val="clear" w:color="auto" w:fill="FEFEFE"/>
        </w:rPr>
        <w:t>examinations</w:t>
      </w:r>
      <w:r w:rsidRPr="009A3F7B">
        <w:t xml:space="preserve">. </w:t>
      </w:r>
      <w:r>
        <w:t>Routine examinations continue to be unavailable or the conditions are indecent. This is the reason the people with disabilities are often enforced to neglect the routine examinations and prevention.</w:t>
      </w:r>
    </w:p>
    <w:p w14:paraId="33955095" w14:textId="77777777" w:rsidR="00500BCD" w:rsidRDefault="00500BCD" w:rsidP="00500BCD">
      <w:pPr>
        <w:pStyle w:val="Nadpis4"/>
      </w:pPr>
      <w:r>
        <w:t>Proposed questions:</w:t>
      </w:r>
    </w:p>
    <w:p w14:paraId="024132E2" w14:textId="77777777" w:rsidR="00500BCD" w:rsidRDefault="00500BCD" w:rsidP="00500BCD">
      <w:pPr>
        <w:pStyle w:val="Odsekzoznamu"/>
        <w:numPr>
          <w:ilvl w:val="0"/>
          <w:numId w:val="52"/>
        </w:numPr>
      </w:pPr>
      <w:r w:rsidRPr="0071635F">
        <w:t>Do you intend to adopt</w:t>
      </w:r>
      <w:r w:rsidRPr="009A3F7B">
        <w:t xml:space="preserve"> measures enabling the smooth hospitalization of patients with even most serious physical disabilities, also in departments not specialized in the underling diagnosis, and set a specific timeframe for equipping healthcare facilities with necessary tools</w:t>
      </w:r>
      <w:r>
        <w:t xml:space="preserve">, </w:t>
      </w:r>
      <w:r w:rsidRPr="009A3F7B">
        <w:t>adopt measures enabling the smooth hospitalization of patients with even most serious physical disabilities, also in departments not specialized in the underling diagnosis, and set a specific timeframe for equipping healthcare facilities with necessary tools</w:t>
      </w:r>
      <w:r>
        <w:t>?</w:t>
      </w:r>
    </w:p>
    <w:p w14:paraId="1A49B7E9" w14:textId="77777777" w:rsidR="00500BCD" w:rsidRDefault="00500BCD" w:rsidP="00500BCD">
      <w:pPr>
        <w:pStyle w:val="Odsekzoznamu"/>
        <w:numPr>
          <w:ilvl w:val="0"/>
          <w:numId w:val="52"/>
        </w:numPr>
      </w:pPr>
      <w:r>
        <w:t>Do you plan to adopt measure to guarantee available and accessible healthcare for people with disabilities?</w:t>
      </w:r>
    </w:p>
    <w:p w14:paraId="192114C8" w14:textId="77777777" w:rsidR="00500BCD" w:rsidRDefault="00500BCD" w:rsidP="00500BCD">
      <w:pPr>
        <w:pStyle w:val="Odsekzoznamu"/>
        <w:rPr>
          <w:rFonts w:ascii="Arial" w:eastAsia="Times New Roman" w:hAnsi="Arial" w:cs="Arial"/>
          <w:sz w:val="20"/>
          <w:szCs w:val="20"/>
        </w:rPr>
      </w:pPr>
    </w:p>
    <w:p w14:paraId="2526EA70" w14:textId="0737AE13" w:rsidR="00500BCD" w:rsidRDefault="00500BCD" w:rsidP="00E5190E">
      <w:pPr>
        <w:pStyle w:val="Nadpis3"/>
        <w:rPr>
          <w:rFonts w:eastAsia="Times New Roman"/>
          <w:lang w:val="en-US"/>
        </w:rPr>
      </w:pPr>
      <w:bookmarkStart w:id="25" w:name="_Toc15062586"/>
      <w:r w:rsidRPr="00232E88">
        <w:rPr>
          <w:rFonts w:eastAsia="Times New Roman"/>
          <w:lang w:val="en-US"/>
        </w:rPr>
        <w:lastRenderedPageBreak/>
        <w:t xml:space="preserve">Article 27 </w:t>
      </w:r>
      <w:r w:rsidR="005938AC">
        <w:rPr>
          <w:rFonts w:eastAsia="Times New Roman"/>
          <w:lang w:val="en-US"/>
        </w:rPr>
        <w:t xml:space="preserve">– </w:t>
      </w:r>
      <w:r w:rsidRPr="00232E88">
        <w:rPr>
          <w:rFonts w:eastAsia="Times New Roman"/>
          <w:lang w:val="en-US"/>
        </w:rPr>
        <w:t>Work and Employment</w:t>
      </w:r>
      <w:bookmarkEnd w:id="25"/>
    </w:p>
    <w:p w14:paraId="64722BD4" w14:textId="6258F2F0" w:rsidR="00E5190E" w:rsidRPr="00232E88" w:rsidRDefault="00E5190E" w:rsidP="00E5190E">
      <w:pPr>
        <w:pStyle w:val="Nadpis4"/>
        <w:rPr>
          <w:rFonts w:eastAsia="Times New Roman"/>
          <w:lang w:val="en-US"/>
        </w:rPr>
      </w:pPr>
      <w:r>
        <w:rPr>
          <w:rFonts w:eastAsia="Times New Roman"/>
          <w:lang w:val="en-US"/>
        </w:rPr>
        <w:t>CO 73 – 74</w:t>
      </w:r>
    </w:p>
    <w:p w14:paraId="60FCA3DA" w14:textId="77777777" w:rsidR="00500BCD" w:rsidRPr="00232E88" w:rsidRDefault="00500BCD" w:rsidP="00500BCD">
      <w:pPr>
        <w:rPr>
          <w:lang w:val="en-US"/>
        </w:rPr>
      </w:pPr>
      <w:r w:rsidRPr="00232E88">
        <w:rPr>
          <w:lang w:val="en-US"/>
        </w:rPr>
        <w:t xml:space="preserve">The situation described in the point 52 of the 2015 Alternative report has been persisting. The fact that </w:t>
      </w:r>
      <w:r w:rsidRPr="00232E88">
        <w:rPr>
          <w:shd w:val="clear" w:color="auto" w:fill="FEFEFE"/>
        </w:rPr>
        <w:t>with the exception of the allowance on a job assistant, the provision of the remaining contributions and allowances is subject to the establishment of a sheltered workshop or a sheltered workplace is the basic shortcoming of this piece of legislation.</w:t>
      </w:r>
    </w:p>
    <w:p w14:paraId="5726C1E1" w14:textId="77777777" w:rsidR="00500BCD" w:rsidRPr="00232E88" w:rsidRDefault="00500BCD" w:rsidP="00500BCD">
      <w:pPr>
        <w:tabs>
          <w:tab w:val="num" w:pos="663"/>
        </w:tabs>
        <w:spacing w:after="360" w:line="276" w:lineRule="auto"/>
        <w:ind w:left="664"/>
        <w:jc w:val="both"/>
        <w:rPr>
          <w:rFonts w:eastAsia="Calibri" w:cs="Calibri"/>
          <w:color w:val="000000"/>
          <w:u w:color="000000"/>
          <w:lang w:val="sk-SK" w:eastAsia="sk-SK"/>
        </w:rPr>
      </w:pPr>
    </w:p>
    <w:p w14:paraId="04E8ACDC" w14:textId="77777777" w:rsidR="00500BCD" w:rsidRPr="00232E88" w:rsidRDefault="00500BCD" w:rsidP="00500BCD">
      <w:pPr>
        <w:rPr>
          <w:shd w:val="clear" w:color="auto" w:fill="FEFEFE"/>
        </w:rPr>
      </w:pPr>
      <w:r w:rsidRPr="00232E88">
        <w:rPr>
          <w:shd w:val="clear" w:color="auto" w:fill="FEFEFE"/>
        </w:rPr>
        <w:t>The Act No. 5/2004 on Employment Services conditions the support for individual employment of a person with disabilities in the open labour market by establishing a sheltered workplace. Such employment is then not declared as the employment in the open labour market in spite of the fact it meets all the principles of the employment in the open labour market. Consequently, the statistical data on the employees with disabilities in the open labour market are quite low.</w:t>
      </w:r>
    </w:p>
    <w:p w14:paraId="6D3C1869" w14:textId="77777777" w:rsidR="00500BCD" w:rsidRPr="00232E88" w:rsidRDefault="00500BCD" w:rsidP="00500BCD">
      <w:pPr>
        <w:rPr>
          <w:lang w:val="en-US"/>
        </w:rPr>
      </w:pPr>
      <w:r w:rsidRPr="00232E88">
        <w:t xml:space="preserve">We consider the recommendation No. 74 to </w:t>
      </w:r>
      <w:r w:rsidRPr="00232E88">
        <w:rPr>
          <w:lang w:val="en-US"/>
        </w:rPr>
        <w:t>step up efforts on the transition from sheltered workshops to an open labour market for all to be only implemented partially. The action Plan on the Transition from Sheltered Workshops to an Open Labour Market was worked out in 2017, its conclusions, however were not transposed into legislation and it hasn’t been put into practice. In 2018 the act No. 112/2018 on Social Economy and Social Enterprises was approved. The assistance during the transition of people with disabilities from integration social enterprises into open labour market is one of the roles of social enterprises. Financial mechanisms have been created to motivate the founders of integration social enterprises to support this process.</w:t>
      </w:r>
    </w:p>
    <w:p w14:paraId="35815F98" w14:textId="77777777" w:rsidR="00500BCD" w:rsidRPr="00232E88" w:rsidRDefault="00500BCD" w:rsidP="00500BCD">
      <w:pPr>
        <w:rPr>
          <w:lang w:val="en-US"/>
        </w:rPr>
      </w:pPr>
    </w:p>
    <w:p w14:paraId="3F3D0FFA" w14:textId="77777777" w:rsidR="00500BCD" w:rsidRPr="00232E88" w:rsidRDefault="00500BCD" w:rsidP="00500BCD">
      <w:pPr>
        <w:keepNext/>
        <w:keepLines/>
        <w:spacing w:before="40"/>
        <w:outlineLvl w:val="3"/>
        <w:rPr>
          <w:rFonts w:eastAsia="Times New Roman"/>
          <w:b/>
          <w:iCs/>
          <w:lang w:val="en-US"/>
        </w:rPr>
      </w:pPr>
      <w:r>
        <w:rPr>
          <w:rFonts w:eastAsia="Times New Roman"/>
          <w:b/>
          <w:iCs/>
          <w:lang w:val="en-US"/>
        </w:rPr>
        <w:t>Proposed</w:t>
      </w:r>
      <w:r w:rsidRPr="00232E88">
        <w:rPr>
          <w:rFonts w:eastAsia="Times New Roman"/>
          <w:b/>
          <w:iCs/>
          <w:lang w:val="en-US"/>
        </w:rPr>
        <w:t xml:space="preserve"> questions:</w:t>
      </w:r>
    </w:p>
    <w:p w14:paraId="249AC7C8" w14:textId="77777777" w:rsidR="00500BCD" w:rsidRPr="00232E88" w:rsidRDefault="00500BCD" w:rsidP="00500BCD">
      <w:pPr>
        <w:rPr>
          <w:lang w:val="en-US"/>
        </w:rPr>
      </w:pPr>
      <w:r w:rsidRPr="00232E88">
        <w:rPr>
          <w:lang w:val="en-US"/>
        </w:rPr>
        <w:t>What is the intention of the Slovak Republic in the field of supporting of the employment of people with disabilities in the open labour market?</w:t>
      </w:r>
    </w:p>
    <w:p w14:paraId="60EF14F4" w14:textId="77777777" w:rsidR="00500BCD" w:rsidRPr="00232E88" w:rsidRDefault="00500BCD" w:rsidP="00500BCD">
      <w:pPr>
        <w:rPr>
          <w:lang w:val="sk-SK"/>
        </w:rPr>
      </w:pPr>
    </w:p>
    <w:p w14:paraId="4F03B18D" w14:textId="0BF43AE5" w:rsidR="00500BCD" w:rsidRDefault="00E5190E" w:rsidP="00E5190E">
      <w:pPr>
        <w:pStyle w:val="Nadpis3"/>
        <w:rPr>
          <w:rFonts w:eastAsia="Times New Roman"/>
          <w:u w:color="000000"/>
          <w:lang w:val="en-US" w:eastAsia="sk-SK"/>
        </w:rPr>
      </w:pPr>
      <w:bookmarkStart w:id="26" w:name="_Toc15062587"/>
      <w:r w:rsidRPr="00E5190E">
        <w:lastRenderedPageBreak/>
        <w:t>Artic</w:t>
      </w:r>
      <w:r w:rsidR="00500BCD" w:rsidRPr="00E5190E">
        <w:t>le</w:t>
      </w:r>
      <w:r w:rsidR="00500BCD" w:rsidRPr="00232E88">
        <w:rPr>
          <w:rFonts w:eastAsia="Times New Roman"/>
          <w:lang w:val="sk-SK"/>
        </w:rPr>
        <w:t xml:space="preserve"> 28 </w:t>
      </w:r>
      <w:r w:rsidR="00500BCD">
        <w:rPr>
          <w:rFonts w:eastAsia="Times New Roman"/>
          <w:lang w:val="sk-SK"/>
        </w:rPr>
        <w:t xml:space="preserve">– </w:t>
      </w:r>
      <w:r w:rsidR="00500BCD" w:rsidRPr="00232E88">
        <w:rPr>
          <w:rFonts w:eastAsia="Times New Roman"/>
          <w:u w:color="000000"/>
          <w:lang w:val="en-US" w:eastAsia="sk-SK"/>
        </w:rPr>
        <w:t>Adequate standard of living and social protection</w:t>
      </w:r>
      <w:bookmarkEnd w:id="26"/>
    </w:p>
    <w:p w14:paraId="33842474" w14:textId="3E8986DB" w:rsidR="00E5190E" w:rsidRPr="00E5190E" w:rsidRDefault="00E5190E" w:rsidP="00E5190E">
      <w:pPr>
        <w:pStyle w:val="Nadpis4"/>
        <w:rPr>
          <w:lang w:val="en-US" w:eastAsia="sk-SK"/>
        </w:rPr>
      </w:pPr>
      <w:r>
        <w:rPr>
          <w:lang w:val="en-US" w:eastAsia="sk-SK"/>
        </w:rPr>
        <w:t>CO 75 – 76</w:t>
      </w:r>
    </w:p>
    <w:p w14:paraId="5BBF510D" w14:textId="77777777" w:rsidR="00500BCD" w:rsidRPr="00232E88" w:rsidRDefault="00500BCD" w:rsidP="00500BCD">
      <w:pPr>
        <w:rPr>
          <w:shd w:val="clear" w:color="auto" w:fill="FEFEFE"/>
        </w:rPr>
      </w:pPr>
      <w:r w:rsidRPr="00232E88">
        <w:rPr>
          <w:shd w:val="clear" w:color="auto" w:fill="FEFEFE"/>
        </w:rPr>
        <w:t>The situation persists where in many cases the amount of granted disability pension of disability pensioners with the rate of the decline of the ability to pursue economic activity exceeding 70% does not</w:t>
      </w:r>
      <w:r w:rsidRPr="00232E88">
        <w:rPr>
          <w:shd w:val="clear" w:color="auto" w:fill="FEFEFE"/>
          <w:lang w:val="en-US"/>
        </w:rPr>
        <w:t xml:space="preserve"> reach the level of the </w:t>
      </w:r>
      <w:r w:rsidRPr="00232E88">
        <w:rPr>
          <w:shd w:val="clear" w:color="auto" w:fill="FEFEFE"/>
        </w:rPr>
        <w:t>at-risk-of-poverty threshold</w:t>
      </w:r>
      <w:r w:rsidRPr="00232E88">
        <w:rPr>
          <w:shd w:val="clear" w:color="auto" w:fill="FEFEFE"/>
          <w:lang w:val="en-US"/>
        </w:rPr>
        <w:t>. Thus, these people do not have an</w:t>
      </w:r>
      <w:r w:rsidRPr="00232E88">
        <w:rPr>
          <w:shd w:val="clear" w:color="auto" w:fill="FEFEFE"/>
        </w:rPr>
        <w:t xml:space="preserve"> appropriate standard of living. Lately, the state has not adopted any measures to ensure the amounts of the disability pensions exceed the at-risk-of-poverty threshold.</w:t>
      </w:r>
    </w:p>
    <w:p w14:paraId="55954FF7" w14:textId="77777777" w:rsidR="00500BCD" w:rsidRPr="00232E88" w:rsidRDefault="00500BCD" w:rsidP="00500BCD">
      <w:pPr>
        <w:rPr>
          <w:shd w:val="clear" w:color="auto" w:fill="FEFEFE"/>
        </w:rPr>
      </w:pPr>
      <w:r w:rsidRPr="00232E88">
        <w:rPr>
          <w:shd w:val="clear" w:color="auto" w:fill="FEFEFE"/>
        </w:rPr>
        <w:t>We consider the fact that in the period of 2018 – 2021 the minimum annual indexation of disability pensions is granted at the level of 2 % of the amount of the average disability pension the person is entitled to.</w:t>
      </w:r>
    </w:p>
    <w:p w14:paraId="5C299451" w14:textId="77777777" w:rsidR="00500BCD" w:rsidRPr="00232E88" w:rsidRDefault="00500BCD" w:rsidP="00500BCD">
      <w:pPr>
        <w:keepNext/>
        <w:keepLines/>
        <w:spacing w:before="40"/>
        <w:outlineLvl w:val="3"/>
        <w:rPr>
          <w:rFonts w:eastAsia="Times New Roman"/>
          <w:b/>
          <w:iCs/>
          <w:lang w:val="en-US"/>
        </w:rPr>
      </w:pPr>
      <w:r>
        <w:rPr>
          <w:rFonts w:eastAsia="Times New Roman"/>
          <w:b/>
          <w:iCs/>
          <w:lang w:val="en-US"/>
        </w:rPr>
        <w:t>Proposed</w:t>
      </w:r>
      <w:r w:rsidRPr="00232E88">
        <w:rPr>
          <w:rFonts w:eastAsia="Times New Roman"/>
          <w:b/>
          <w:iCs/>
          <w:lang w:val="en-US"/>
        </w:rPr>
        <w:t xml:space="preserve"> questions:</w:t>
      </w:r>
    </w:p>
    <w:p w14:paraId="422BBC3F" w14:textId="77777777" w:rsidR="00500BCD" w:rsidRPr="00232E88" w:rsidRDefault="00500BCD" w:rsidP="00500BCD">
      <w:pPr>
        <w:rPr>
          <w:shd w:val="clear" w:color="auto" w:fill="FEFEFE"/>
        </w:rPr>
      </w:pPr>
      <w:r w:rsidRPr="00232E88">
        <w:rPr>
          <w:lang w:val="en-US"/>
        </w:rPr>
        <w:t xml:space="preserve">What kind of measures does the Slovak Republic aim to adopt in future to guarantee the amount of disability pensions of the people with disability with </w:t>
      </w:r>
      <w:r w:rsidRPr="00232E88">
        <w:rPr>
          <w:shd w:val="clear" w:color="auto" w:fill="FEFEFE"/>
        </w:rPr>
        <w:t>the rate of the decline of the ability to pursue economic activity exceeding 70% reach at least the amount of the officially stated at-risk-of-poverty threshold?</w:t>
      </w:r>
    </w:p>
    <w:p w14:paraId="22E1880B" w14:textId="77777777" w:rsidR="00500BCD" w:rsidRDefault="00500BCD" w:rsidP="00500BCD"/>
    <w:p w14:paraId="412CC897" w14:textId="01F1A1FE" w:rsidR="00500BCD" w:rsidRDefault="00500BCD" w:rsidP="00500BCD">
      <w:pPr>
        <w:pStyle w:val="Nadpis3"/>
      </w:pPr>
      <w:bookmarkStart w:id="27" w:name="_Toc15062588"/>
      <w:r>
        <w:t>Article 29 – Participation in Political and Public Life</w:t>
      </w:r>
      <w:bookmarkEnd w:id="27"/>
    </w:p>
    <w:p w14:paraId="2DE04219" w14:textId="5C415217" w:rsidR="00E5190E" w:rsidRPr="00E5190E" w:rsidRDefault="004A5592" w:rsidP="004A5592">
      <w:pPr>
        <w:pStyle w:val="Nadpis4"/>
      </w:pPr>
      <w:r>
        <w:t>CO 77 – 78</w:t>
      </w:r>
    </w:p>
    <w:p w14:paraId="6E182457" w14:textId="77777777" w:rsidR="00500BCD" w:rsidRDefault="00500BCD" w:rsidP="00500BCD">
      <w:r w:rsidRPr="009A3F7B">
        <w:t xml:space="preserve">The exercise of the right to vote and to stand for elections is governed by </w:t>
      </w:r>
      <w:r>
        <w:t xml:space="preserve">the </w:t>
      </w:r>
      <w:r w:rsidRPr="009A3F7B">
        <w:t>Act no. 180/2014 Coll. on the Conditions of the Right to Vote</w:t>
      </w:r>
      <w:r>
        <w:t>. Pursuant to this act the deprivation of legal capacity has no longer been an impediment to the exercise of the right to vote. The deprivation of legal capacity, however has still been the impediment to the right to stand for elections in accordance with Section 6 letter c) of this Act.</w:t>
      </w:r>
    </w:p>
    <w:p w14:paraId="2F37157E" w14:textId="77777777" w:rsidR="00500BCD" w:rsidRDefault="00500BCD" w:rsidP="00500BCD">
      <w:r>
        <w:t>Electronic voting enabling secret casting a ballot for blind and partially sighted people has not been enabled yet.</w:t>
      </w:r>
    </w:p>
    <w:p w14:paraId="6F404E39" w14:textId="77777777" w:rsidR="00500BCD" w:rsidRDefault="00500BCD" w:rsidP="00500BCD">
      <w:pPr>
        <w:pStyle w:val="Nadpis4"/>
      </w:pPr>
      <w:r>
        <w:t>Proposed questions:</w:t>
      </w:r>
    </w:p>
    <w:p w14:paraId="1105DD8A" w14:textId="77777777" w:rsidR="00500BCD" w:rsidRDefault="00500BCD" w:rsidP="00500BCD">
      <w:pPr>
        <w:pStyle w:val="Odsekzoznamu"/>
        <w:numPr>
          <w:ilvl w:val="0"/>
          <w:numId w:val="50"/>
        </w:numPr>
      </w:pPr>
      <w:r>
        <w:t>What kind of measures do you plan to adopt to extend the right to vote for people deprived of legal capacity and people with restricted legal capacity?</w:t>
      </w:r>
    </w:p>
    <w:p w14:paraId="2910C24A" w14:textId="77777777" w:rsidR="00500BCD" w:rsidRDefault="00500BCD" w:rsidP="00500BCD">
      <w:pPr>
        <w:pStyle w:val="Odsekzoznamu"/>
        <w:numPr>
          <w:ilvl w:val="0"/>
          <w:numId w:val="50"/>
        </w:numPr>
      </w:pPr>
      <w:r>
        <w:lastRenderedPageBreak/>
        <w:t>Do you plan to introduce electronic voting? If yes, when?</w:t>
      </w:r>
    </w:p>
    <w:p w14:paraId="02FA4B7B" w14:textId="77777777" w:rsidR="00500BCD" w:rsidRPr="000C718E" w:rsidRDefault="00500BCD" w:rsidP="00500BCD"/>
    <w:p w14:paraId="572E62CF" w14:textId="63223D72" w:rsidR="00500BCD" w:rsidRDefault="00500BCD" w:rsidP="00500BCD">
      <w:pPr>
        <w:pStyle w:val="Nadpis3"/>
      </w:pPr>
      <w:bookmarkStart w:id="28" w:name="_Toc15062589"/>
      <w:r>
        <w:t>Article 33 – National Implementation and Monitoring</w:t>
      </w:r>
      <w:bookmarkEnd w:id="28"/>
    </w:p>
    <w:p w14:paraId="339C37B9" w14:textId="74974DAD" w:rsidR="004A5592" w:rsidRPr="004A5592" w:rsidRDefault="004A5592" w:rsidP="004A5592">
      <w:pPr>
        <w:pStyle w:val="Nadpis4"/>
      </w:pPr>
      <w:r>
        <w:t>CO 87 – 88</w:t>
      </w:r>
    </w:p>
    <w:p w14:paraId="299170BA" w14:textId="77777777" w:rsidR="00500BCD" w:rsidRPr="00C4234E" w:rsidRDefault="00500BCD" w:rsidP="004A5592">
      <w:r>
        <w:t xml:space="preserve">In </w:t>
      </w:r>
      <w:r w:rsidRPr="00C4234E">
        <w:t xml:space="preserve">accordance </w:t>
      </w:r>
      <w:r>
        <w:t>w</w:t>
      </w:r>
      <w:r w:rsidRPr="00C4234E">
        <w:t xml:space="preserve">ith the </w:t>
      </w:r>
      <w:r>
        <w:t>concluding observation No 88 the focal point has been enforced from the point of view of its staff. At present it has 6 employees and has become the independent Department for the implementation of the UNCRPD at the Ministry of Labour, Social Affairs and family o the SR: Since 2016 the Commissioner for Persons with Disabilities operates and has created the basis for the independent monitoring mechanism in line with the Article 33 (2) of the Convention.</w:t>
      </w:r>
    </w:p>
    <w:p w14:paraId="4B9E4BAA" w14:textId="77777777" w:rsidR="00500BCD" w:rsidRDefault="00500BCD" w:rsidP="004A5592">
      <w:r w:rsidRPr="009A3F7B">
        <w:rPr>
          <w:shd w:val="clear" w:color="auto" w:fill="FEFEFE"/>
        </w:rPr>
        <w:t>There is</w:t>
      </w:r>
      <w:r>
        <w:rPr>
          <w:shd w:val="clear" w:color="auto" w:fill="FEFEFE"/>
        </w:rPr>
        <w:t>,</w:t>
      </w:r>
      <w:r w:rsidRPr="009A3F7B">
        <w:rPr>
          <w:shd w:val="clear" w:color="auto" w:fill="FEFEFE"/>
        </w:rPr>
        <w:t xml:space="preserve"> however</w:t>
      </w:r>
      <w:r>
        <w:rPr>
          <w:shd w:val="clear" w:color="auto" w:fill="FEFEFE"/>
        </w:rPr>
        <w:t>,</w:t>
      </w:r>
      <w:r w:rsidRPr="009A3F7B">
        <w:rPr>
          <w:shd w:val="clear" w:color="auto" w:fill="FEFEFE"/>
        </w:rPr>
        <w:t xml:space="preserve"> one unsolved persistent issue of concern, which is the absence of conditions for the participation and inclusion of persons with disabilities and their representative organisations into the monitoring process, as required by Article 33(3) of the CRDP. The main reason for this is the lack of systemic financial support of </w:t>
      </w:r>
      <w:r>
        <w:rPr>
          <w:shd w:val="clear" w:color="auto" w:fill="FEFEFE"/>
        </w:rPr>
        <w:t xml:space="preserve">the </w:t>
      </w:r>
      <w:r w:rsidRPr="009A3F7B">
        <w:rPr>
          <w:shd w:val="clear" w:color="auto" w:fill="FEFEFE"/>
        </w:rPr>
        <w:t>representative organisations of persons with disabilities in their monitoring role and maintaining their minimum expert capacity. Therefore, disability organisations are capable of performing these activities only occasionally and in a significantly reduced extent dependent of course on the project funding and sponsorship available</w:t>
      </w:r>
      <w:r>
        <w:rPr>
          <w:shd w:val="clear" w:color="auto" w:fill="FEFEFE"/>
        </w:rPr>
        <w:t>.</w:t>
      </w:r>
    </w:p>
    <w:p w14:paraId="12C98629" w14:textId="77777777" w:rsidR="00500BCD" w:rsidRDefault="00500BCD" w:rsidP="00500BCD">
      <w:pPr>
        <w:pStyle w:val="Nadpis4"/>
      </w:pPr>
      <w:r>
        <w:t>Proposed questions:</w:t>
      </w:r>
    </w:p>
    <w:p w14:paraId="582C9EB9" w14:textId="77777777" w:rsidR="00500BCD" w:rsidRPr="00FC5CE1" w:rsidRDefault="00500BCD" w:rsidP="00500BCD">
      <w:r>
        <w:t xml:space="preserve">What measures do you plan to adopt to </w:t>
      </w:r>
      <w:r w:rsidRPr="009A3F7B">
        <w:t>develop conditions for involvement of representative organisations of persons with disabilities in the monitoring of the CRPD and for the development of expert capacity for this activity</w:t>
      </w:r>
      <w:r>
        <w:t>?</w:t>
      </w:r>
    </w:p>
    <w:p w14:paraId="42D1F227" w14:textId="77777777" w:rsidR="00500BCD" w:rsidRDefault="00500BCD" w:rsidP="00500BCD"/>
    <w:p w14:paraId="232E909A" w14:textId="77777777" w:rsidR="00DD6346" w:rsidRPr="001D656A" w:rsidRDefault="00DD6346" w:rsidP="00DD6346">
      <w:pPr>
        <w:pStyle w:val="Text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Verdana" w:eastAsia="Verdana" w:hAnsi="Verdana" w:cs="Verdana"/>
          <w:lang w:val="en-GB"/>
        </w:rPr>
      </w:pPr>
    </w:p>
    <w:sectPr w:rsidR="00DD6346" w:rsidRPr="001D656A" w:rsidSect="00DD6346">
      <w:footerReference w:type="default" r:id="rId10"/>
      <w:pgSz w:w="11900" w:h="16840"/>
      <w:pgMar w:top="1134" w:right="1134" w:bottom="1134" w:left="1134" w:header="709" w:footer="850" w:gutter="0"/>
      <w:pgBorders w:offsetFrom="page">
        <w:top w:val="single" w:sz="8" w:space="24" w:color="002060"/>
        <w:left w:val="single" w:sz="8" w:space="24" w:color="002060"/>
        <w:bottom w:val="single" w:sz="8" w:space="24" w:color="002060"/>
        <w:right w:val="single" w:sz="8" w:space="24" w:color="002060"/>
      </w:pgBorders>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4583C" w14:textId="77777777" w:rsidR="00591A69" w:rsidRDefault="00591A69" w:rsidP="00DD6346">
      <w:r>
        <w:separator/>
      </w:r>
    </w:p>
  </w:endnote>
  <w:endnote w:type="continuationSeparator" w:id="0">
    <w:p w14:paraId="32DA34AD" w14:textId="77777777" w:rsidR="00591A69" w:rsidRDefault="00591A69" w:rsidP="00DD6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172724439"/>
      <w:docPartObj>
        <w:docPartGallery w:val="Page Numbers (Bottom of Page)"/>
        <w:docPartUnique/>
      </w:docPartObj>
    </w:sdtPr>
    <w:sdtEndPr>
      <w:rPr>
        <w:noProof/>
      </w:rPr>
    </w:sdtEndPr>
    <w:sdtContent>
      <w:p w14:paraId="588A11E8" w14:textId="0668A8DA" w:rsidR="005938AC" w:rsidRPr="00DD0DE6" w:rsidRDefault="005938AC" w:rsidP="00DD6346">
        <w:pPr>
          <w:pStyle w:val="Pta"/>
          <w:jc w:val="right"/>
          <w:rPr>
            <w:sz w:val="20"/>
          </w:rPr>
        </w:pPr>
        <w:r w:rsidRPr="00DD0DE6">
          <w:rPr>
            <w:sz w:val="20"/>
          </w:rPr>
          <w:fldChar w:fldCharType="begin"/>
        </w:r>
        <w:r w:rsidRPr="00DD0DE6">
          <w:rPr>
            <w:sz w:val="20"/>
          </w:rPr>
          <w:instrText xml:space="preserve"> PAGE   \* MERGEFORMAT </w:instrText>
        </w:r>
        <w:r w:rsidRPr="00DD0DE6">
          <w:rPr>
            <w:sz w:val="20"/>
          </w:rPr>
          <w:fldChar w:fldCharType="separate"/>
        </w:r>
        <w:r w:rsidR="003404CF">
          <w:rPr>
            <w:noProof/>
            <w:sz w:val="20"/>
          </w:rPr>
          <w:t>2</w:t>
        </w:r>
        <w:r w:rsidRPr="00DD0DE6">
          <w:rPr>
            <w:noProof/>
            <w:sz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CAFF7" w14:textId="77777777" w:rsidR="00591A69" w:rsidRDefault="00591A69" w:rsidP="00DD6346">
      <w:r>
        <w:separator/>
      </w:r>
    </w:p>
  </w:footnote>
  <w:footnote w:type="continuationSeparator" w:id="0">
    <w:p w14:paraId="7C92EFD4" w14:textId="77777777" w:rsidR="00591A69" w:rsidRDefault="00591A69" w:rsidP="00DD6346">
      <w:r>
        <w:continuationSeparator/>
      </w:r>
    </w:p>
  </w:footnote>
  <w:footnote w:id="1">
    <w:p w14:paraId="0B439EEF" w14:textId="77777777" w:rsidR="005938AC" w:rsidRDefault="005938AC" w:rsidP="00500BCD">
      <w:pPr>
        <w:pStyle w:val="Textpoznmkypodiarou"/>
      </w:pPr>
      <w:r>
        <w:rPr>
          <w:rStyle w:val="Odkaznapoznmkupodiarou"/>
        </w:rPr>
        <w:footnoteRef/>
      </w:r>
      <w:r>
        <w:t xml:space="preserve"> </w:t>
      </w:r>
      <w:hyperlink r:id="rId1" w:history="1">
        <w:r w:rsidRPr="00C31318">
          <w:rPr>
            <w:rStyle w:val="Hypertextovprepojenie"/>
          </w:rPr>
          <w:t>https://tbinternet.ohchr.org/_layouts/15/treatybodyexternal/Download.aspx?symbolno=CRPD%2fC%2fSVK%2fCO%2f1&amp;Lang=en</w:t>
        </w:r>
      </w:hyperlink>
      <w:r>
        <w:t xml:space="preserve"> </w:t>
      </w:r>
    </w:p>
    <w:p w14:paraId="3C34E55B" w14:textId="77777777" w:rsidR="005938AC" w:rsidRPr="00E617DC" w:rsidRDefault="005938AC" w:rsidP="00500BCD">
      <w:pPr>
        <w:pStyle w:val="Textpoznmkypodiarou"/>
        <w:rPr>
          <w:lang w:val="sk-SK"/>
        </w:rPr>
      </w:pPr>
    </w:p>
  </w:footnote>
  <w:footnote w:id="2">
    <w:p w14:paraId="544FA62E" w14:textId="77777777" w:rsidR="005938AC" w:rsidRPr="0018718A" w:rsidRDefault="005938AC" w:rsidP="00500BCD">
      <w:pPr>
        <w:pStyle w:val="Textpoznmkypodiarou"/>
        <w:rPr>
          <w:lang w:val="sk-SK"/>
        </w:rPr>
      </w:pPr>
      <w:r>
        <w:rPr>
          <w:rStyle w:val="Odkaznapoznmkupodiarou"/>
        </w:rPr>
        <w:footnoteRef/>
      </w:r>
      <w:r w:rsidRPr="006D5A94">
        <w:rPr>
          <w:lang w:val="sk-SK"/>
        </w:rPr>
        <w:t xml:space="preserve"> </w:t>
      </w:r>
      <w:hyperlink r:id="rId2" w:history="1">
        <w:r w:rsidRPr="006D5A94">
          <w:rPr>
            <w:rStyle w:val="Hypertextovprepojenie"/>
            <w:lang w:val="sk-SK"/>
          </w:rPr>
          <w:t>https://asociaciavi.sk/wp-content/uploads/2019/02/Spr%C3%A1va_o_stave_v%C4%8Dasnej_intervencie_na_Slovensku_2018.pdf</w:t>
        </w:r>
      </w:hyperlink>
    </w:p>
  </w:footnote>
  <w:footnote w:id="3">
    <w:p w14:paraId="0EA70F8D" w14:textId="77777777" w:rsidR="005938AC" w:rsidRPr="006D5A94" w:rsidRDefault="005938AC" w:rsidP="00500BCD">
      <w:pPr>
        <w:pStyle w:val="Textpoznmkypodiarou"/>
        <w:rPr>
          <w:lang w:val="sk-SK"/>
        </w:rPr>
      </w:pPr>
      <w:r>
        <w:rPr>
          <w:rStyle w:val="Odkaznapoznmkupodiarou"/>
        </w:rPr>
        <w:footnoteRef/>
      </w:r>
      <w:r w:rsidRPr="006D5A94">
        <w:rPr>
          <w:lang w:val="sk-SK"/>
        </w:rPr>
        <w:t xml:space="preserve"> </w:t>
      </w:r>
      <w:hyperlink r:id="rId3" w:history="1">
        <w:r w:rsidRPr="006D5A94">
          <w:rPr>
            <w:rStyle w:val="Hypertextovprepojenie"/>
            <w:lang w:val="sk-SK"/>
          </w:rPr>
          <w:t>https://www.employment.gov.sk/files/slovensky/ministerstvo/analyticke-centrum/2019/material_sprava_o_soc_situacii_obyvatelstva_sr_2018_vlada.pdf</w:t>
        </w:r>
      </w:hyperlink>
      <w:r w:rsidRPr="006D5A94">
        <w:rPr>
          <w:lang w:val="sk-SK"/>
        </w:rPr>
        <w:t xml:space="preserve"> </w:t>
      </w:r>
    </w:p>
    <w:p w14:paraId="3A0C49B9" w14:textId="77777777" w:rsidR="005938AC" w:rsidRPr="007E780C" w:rsidRDefault="005938AC" w:rsidP="00500BCD">
      <w:pPr>
        <w:pStyle w:val="Textpoznmkypodiarou"/>
        <w:rPr>
          <w:lang w:val="sk-SK"/>
        </w:rPr>
      </w:pPr>
    </w:p>
  </w:footnote>
  <w:footnote w:id="4">
    <w:p w14:paraId="04750C36" w14:textId="77777777" w:rsidR="005938AC" w:rsidRPr="006D5A94" w:rsidRDefault="005938AC" w:rsidP="00500BCD">
      <w:pPr>
        <w:pStyle w:val="Textpoznmkypodiarou"/>
        <w:rPr>
          <w:lang w:val="sk-SK"/>
        </w:rPr>
      </w:pPr>
      <w:r>
        <w:rPr>
          <w:rStyle w:val="Odkaznapoznmkupodiarou"/>
        </w:rPr>
        <w:footnoteRef/>
      </w:r>
      <w:r w:rsidRPr="006D5A94">
        <w:rPr>
          <w:lang w:val="sk-SK"/>
        </w:rPr>
        <w:t xml:space="preserve"> </w:t>
      </w:r>
      <w:hyperlink r:id="rId4" w:history="1">
        <w:r w:rsidRPr="006D5A94">
          <w:rPr>
            <w:rStyle w:val="Hypertextovprepojenie"/>
            <w:lang w:val="sk-SK"/>
          </w:rPr>
          <w:t>https://dennikn.sk/blog/1402821/diagnoza-mentalneho-postihnutia-ako-nastroj-vylucenia/</w:t>
        </w:r>
      </w:hyperlink>
      <w:r w:rsidRPr="006D5A94">
        <w:rPr>
          <w:lang w:val="sk-SK"/>
        </w:rPr>
        <w:t xml:space="preserve"> </w:t>
      </w:r>
    </w:p>
  </w:footnote>
  <w:footnote w:id="5">
    <w:p w14:paraId="19622A78" w14:textId="77777777" w:rsidR="005938AC" w:rsidRDefault="005938AC" w:rsidP="00500BCD">
      <w:pPr>
        <w:pStyle w:val="Textpoznmkypodiarou"/>
      </w:pPr>
      <w:r>
        <w:rPr>
          <w:rStyle w:val="Odkaznapoznmkupodiarou"/>
        </w:rPr>
        <w:footnoteRef/>
      </w:r>
      <w:r>
        <w:t xml:space="preserve"> </w:t>
      </w:r>
      <w:r>
        <w:rPr>
          <w:rStyle w:val="dnA"/>
          <w:sz w:val="18"/>
          <w:szCs w:val="18"/>
        </w:rPr>
        <w:t xml:space="preserve">Information about the net-bed, its construction and how it looks like can is available here: </w:t>
      </w:r>
      <w:hyperlink r:id="rId5" w:history="1">
        <w:r w:rsidRPr="00723D5F">
          <w:rPr>
            <w:rStyle w:val="Hyperlink4"/>
            <w:rFonts w:asciiTheme="majorHAnsi" w:hAnsiTheme="majorHAnsi" w:cstheme="majorHAnsi"/>
          </w:rPr>
          <w:t>http://www.zdravzar.sk/index.php?option=com_k2&amp;view=item&amp;id=6:postel-pre-mentalne-postihnutych&amp;Itemid=200&amp;lang=en</w:t>
        </w:r>
      </w:hyperlink>
    </w:p>
  </w:footnote>
  <w:footnote w:id="6">
    <w:p w14:paraId="6603EF92" w14:textId="77777777" w:rsidR="005938AC" w:rsidRDefault="005938AC" w:rsidP="00500BCD">
      <w:pPr>
        <w:pStyle w:val="Textpoznmkypodiarou"/>
      </w:pPr>
      <w:r>
        <w:rPr>
          <w:rStyle w:val="Odkaznapoznmkupodiarou"/>
        </w:rPr>
        <w:footnoteRef/>
      </w:r>
      <w:r>
        <w:t xml:space="preserve"> According to data collected by Forum for Human Rights, in 2018, there were at least 156 netted cage beds in use across Slovakia. </w:t>
      </w:r>
    </w:p>
  </w:footnote>
  <w:footnote w:id="7">
    <w:p w14:paraId="400A93CC" w14:textId="77777777" w:rsidR="005938AC" w:rsidRDefault="005938AC" w:rsidP="00500BCD">
      <w:pPr>
        <w:pStyle w:val="Textpoznmkypodiarou"/>
      </w:pPr>
      <w:r>
        <w:rPr>
          <w:rStyle w:val="Odkaznapoznmkupodiarou"/>
        </w:rPr>
        <w:footnoteRef/>
      </w:r>
      <w:r>
        <w:t xml:space="preserve"> </w:t>
      </w:r>
      <w:hyperlink r:id="rId6" w:history="1">
        <w:r w:rsidRPr="00C31318">
          <w:rPr>
            <w:rStyle w:val="Hypertextovprepojenie"/>
          </w:rPr>
          <w:t>https://www.upsvr.gov.sk/statistiky/socialne-veci-statistiky/2019/2018-socialne-davky.html?page_id=855095</w:t>
        </w:r>
      </w:hyperlink>
      <w:r>
        <w:t xml:space="preserve"> </w:t>
      </w:r>
    </w:p>
  </w:footnote>
  <w:footnote w:id="8">
    <w:p w14:paraId="70D4D831" w14:textId="77777777" w:rsidR="005938AC" w:rsidRPr="00CF3A21" w:rsidRDefault="005938AC" w:rsidP="00500BCD">
      <w:pPr>
        <w:pStyle w:val="Textpoznmkypodiarou"/>
        <w:rPr>
          <w:lang w:val="pt-PT"/>
        </w:rPr>
      </w:pPr>
      <w:r>
        <w:rPr>
          <w:rStyle w:val="Odkaznapoznmkupodiarou"/>
        </w:rPr>
        <w:footnoteRef/>
      </w:r>
      <w:r w:rsidRPr="00CF3A21">
        <w:rPr>
          <w:lang w:val="pt-PT"/>
        </w:rPr>
        <w:t xml:space="preserve"> </w:t>
      </w:r>
      <w:hyperlink r:id="rId7" w:history="1">
        <w:r w:rsidRPr="00CF3A21">
          <w:rPr>
            <w:rStyle w:val="Hypertextovprepojenie"/>
            <w:lang w:val="pt-PT"/>
          </w:rPr>
          <w:t>https://www.upsvr.gov.sk/statistiky/socialne-veci-statistiky/2018/2018-socialne-davky.html?page_id=771091</w:t>
        </w:r>
      </w:hyperlink>
      <w:r w:rsidRPr="00CF3A21">
        <w:rPr>
          <w:lang w:val="pt-PT"/>
        </w:rPr>
        <w:t xml:space="preserve"> zvýšila sa aj suma, ktorá je v priemere vyplácaná – pri osobnej asistencii z 360 € (01/2018 )na 535 € (06/2019), a pri príspevku na opatrovanie v tom istom období z 171 € na 300 €.</w:t>
      </w:r>
    </w:p>
  </w:footnote>
  <w:footnote w:id="9">
    <w:p w14:paraId="3076BCE6" w14:textId="77777777" w:rsidR="005938AC" w:rsidRDefault="005938AC" w:rsidP="00500BCD">
      <w:pPr>
        <w:pStyle w:val="Textpoznmkypodiarou"/>
      </w:pPr>
      <w:r w:rsidRPr="00BB5D83">
        <w:rPr>
          <w:rStyle w:val="dnA"/>
          <w:rFonts w:cstheme="minorHAnsi"/>
          <w:sz w:val="24"/>
          <w:szCs w:val="24"/>
          <w:vertAlign w:val="superscript"/>
        </w:rPr>
        <w:footnoteRef/>
      </w:r>
      <w:r w:rsidRPr="00BB5D83">
        <w:rPr>
          <w:rStyle w:val="dnA"/>
          <w:rFonts w:cstheme="minorHAnsi"/>
        </w:rPr>
        <w:t xml:space="preserve"> Report on the Social Situation of the Population of the Slovak Republic for 2018. </w:t>
      </w:r>
      <w:hyperlink r:id="rId8" w:history="1">
        <w:r w:rsidRPr="00BB5D83">
          <w:rPr>
            <w:rStyle w:val="Hypertextovprepojenie"/>
            <w:rFonts w:cstheme="minorHAnsi"/>
          </w:rPr>
          <w:t>https://www.employment.gov.sk/files/slovensky/ministerstvo/analyticke-centrum/2019/material_sprava_o_soc_situacii_obyvatelstva_sr_2018_vlada.pdf</w:t>
        </w:r>
      </w:hyperlink>
      <w:r>
        <w:rPr>
          <w:rStyle w:val="dnA"/>
        </w:rPr>
        <w:t xml:space="preserve"> </w:t>
      </w:r>
    </w:p>
  </w:footnote>
  <w:footnote w:id="10">
    <w:p w14:paraId="56398903" w14:textId="77777777" w:rsidR="005938AC" w:rsidRPr="00BB5D83" w:rsidRDefault="005938AC" w:rsidP="00500BCD">
      <w:pPr>
        <w:pStyle w:val="Textpoznmkypodiarou"/>
        <w:rPr>
          <w:rFonts w:cstheme="minorHAnsi"/>
        </w:rPr>
      </w:pPr>
      <w:r w:rsidRPr="00BB5D83">
        <w:rPr>
          <w:rStyle w:val="Odkaznapoznmkupodiarou"/>
          <w:rFonts w:cstheme="minorHAnsi"/>
        </w:rPr>
        <w:footnoteRef/>
      </w:r>
      <w:r w:rsidRPr="00BB5D83">
        <w:rPr>
          <w:rFonts w:cstheme="minorHAnsi"/>
        </w:rPr>
        <w:t xml:space="preserve"> </w:t>
      </w:r>
      <w:r w:rsidRPr="00BB5D83">
        <w:rPr>
          <w:rStyle w:val="dnA"/>
          <w:rFonts w:cstheme="minorHAnsi"/>
        </w:rPr>
        <w:t xml:space="preserve">Report on the Social Situation of the Population of the Slovak Republic for 2018. </w:t>
      </w:r>
      <w:hyperlink r:id="rId9" w:history="1">
        <w:r w:rsidRPr="00BB5D83">
          <w:rPr>
            <w:rStyle w:val="Hypertextovprepojenie"/>
            <w:rFonts w:cstheme="minorHAnsi"/>
          </w:rPr>
          <w:t>https://www.employment.gov.sk/files/slovensky/ministerstvo/analyticke-centrum/2019/material_sprava_o_soc_situacii_obyvatelstva_sr_2018_vlada.pdf</w:t>
        </w:r>
      </w:hyperlink>
    </w:p>
  </w:footnote>
  <w:footnote w:id="11">
    <w:p w14:paraId="784A2089" w14:textId="77777777" w:rsidR="005938AC" w:rsidRPr="00BB5D83" w:rsidRDefault="005938AC" w:rsidP="00500BCD">
      <w:pPr>
        <w:pStyle w:val="Textpoznmkypodiarou"/>
        <w:rPr>
          <w:rFonts w:cstheme="minorHAnsi"/>
        </w:rPr>
      </w:pPr>
      <w:r w:rsidRPr="00BB5D83">
        <w:rPr>
          <w:rStyle w:val="Odkaznapoznmkupodiarou"/>
          <w:rFonts w:cstheme="minorHAnsi"/>
        </w:rPr>
        <w:footnoteRef/>
      </w:r>
      <w:r w:rsidRPr="00BB5D83">
        <w:rPr>
          <w:rFonts w:cstheme="minorHAnsi"/>
        </w:rPr>
        <w:t xml:space="preserve"> </w:t>
      </w:r>
      <w:hyperlink r:id="rId10" w:history="1">
        <w:r w:rsidRPr="00BB5D83">
          <w:rPr>
            <w:rStyle w:val="Hypertextovprepojenie"/>
            <w:rFonts w:cstheme="minorHAnsi"/>
          </w:rPr>
          <w:t>https://www.upsvr.gov.sk/buxus/docs/statistic/vykazy/2018/Vykaz_V05_SR_2018.xlsx</w:t>
        </w:r>
      </w:hyperlink>
      <w:r w:rsidRPr="00BB5D83">
        <w:rPr>
          <w:rFonts w:cstheme="minorHAnsi"/>
        </w:rPr>
        <w:t xml:space="preserve"> </w:t>
      </w:r>
    </w:p>
  </w:footnote>
  <w:footnote w:id="12">
    <w:p w14:paraId="4ECF2FEA" w14:textId="77777777" w:rsidR="005938AC" w:rsidRPr="00BB5D83" w:rsidRDefault="005938AC" w:rsidP="00500BCD">
      <w:pPr>
        <w:pStyle w:val="Bezriadkovania"/>
        <w:rPr>
          <w:rFonts w:asciiTheme="minorHAnsi" w:hAnsiTheme="minorHAnsi" w:cstheme="minorHAnsi"/>
        </w:rPr>
      </w:pPr>
      <w:r w:rsidRPr="00BB5D83">
        <w:rPr>
          <w:rStyle w:val="dnA"/>
          <w:rFonts w:asciiTheme="minorHAnsi" w:hAnsiTheme="minorHAnsi" w:cstheme="minorHAnsi"/>
          <w:vertAlign w:val="superscript"/>
        </w:rPr>
        <w:footnoteRef/>
      </w:r>
      <w:r w:rsidRPr="00BB5D83">
        <w:rPr>
          <w:rStyle w:val="dnA"/>
          <w:rFonts w:asciiTheme="minorHAnsi" w:hAnsiTheme="minorHAnsi" w:cstheme="minorHAnsi"/>
          <w:sz w:val="20"/>
          <w:szCs w:val="20"/>
        </w:rPr>
        <w:t xml:space="preserve"> Available in Slovak online at: </w:t>
      </w:r>
      <w:hyperlink r:id="rId11" w:history="1">
        <w:r w:rsidRPr="00BB5D83">
          <w:rPr>
            <w:rStyle w:val="Hyperlink3"/>
            <w:rFonts w:asciiTheme="minorHAnsi" w:hAnsiTheme="minorHAnsi" w:cstheme="minorHAnsi"/>
          </w:rPr>
          <w:t>https://www.employment.gov.sk/sk/rodina-socialna-pomoc/socialne-sluzby/deinstitucionalizacia-socialnych-sluzieb.html</w:t>
        </w:r>
      </w:hyperlink>
    </w:p>
  </w:footnote>
  <w:footnote w:id="13">
    <w:p w14:paraId="7D6DFF7E" w14:textId="77777777" w:rsidR="005938AC" w:rsidRPr="00BB5D83" w:rsidRDefault="005938AC" w:rsidP="00500BCD">
      <w:pPr>
        <w:pStyle w:val="Bezriadkovania"/>
        <w:rPr>
          <w:rFonts w:asciiTheme="minorHAnsi" w:hAnsiTheme="minorHAnsi" w:cstheme="minorHAnsi"/>
        </w:rPr>
      </w:pPr>
      <w:r w:rsidRPr="00BB5D83">
        <w:rPr>
          <w:rStyle w:val="dnA"/>
          <w:rFonts w:asciiTheme="minorHAnsi" w:hAnsiTheme="minorHAnsi" w:cstheme="minorHAnsi"/>
          <w:vertAlign w:val="superscript"/>
        </w:rPr>
        <w:footnoteRef/>
      </w:r>
      <w:r w:rsidRPr="00BB5D83">
        <w:rPr>
          <w:rStyle w:val="dnA"/>
          <w:rFonts w:asciiTheme="minorHAnsi" w:hAnsiTheme="minorHAnsi" w:cstheme="minorHAnsi"/>
          <w:sz w:val="20"/>
          <w:szCs w:val="20"/>
        </w:rPr>
        <w:t xml:space="preserve"> Available in English online at: </w:t>
      </w:r>
      <w:hyperlink r:id="rId12" w:history="1">
        <w:r w:rsidRPr="00BB5D83">
          <w:rPr>
            <w:rStyle w:val="Hyperlink4"/>
            <w:rFonts w:asciiTheme="minorHAnsi" w:hAnsiTheme="minorHAnsi" w:cstheme="minorHAnsi"/>
          </w:rPr>
          <w:t>https://www.employment.gov.sk/sk/rodina-socialna-pomoc/socialne-sluzby/deinstitucionalizacia-socialnych-sluzieb.html</w:t>
        </w:r>
      </w:hyperlink>
      <w:r w:rsidRPr="00BB5D83">
        <w:rPr>
          <w:rStyle w:val="dnA"/>
          <w:rFonts w:asciiTheme="minorHAnsi" w:hAnsiTheme="minorHAnsi" w:cstheme="minorHAnsi"/>
          <w:sz w:val="20"/>
          <w:szCs w:val="20"/>
        </w:rPr>
        <w:t>.</w:t>
      </w:r>
    </w:p>
  </w:footnote>
  <w:footnote w:id="14">
    <w:p w14:paraId="7FEF7CA8" w14:textId="77777777" w:rsidR="005938AC" w:rsidRPr="00BB5D83" w:rsidRDefault="005938AC" w:rsidP="00500BCD">
      <w:pPr>
        <w:pStyle w:val="Textpoznmkypodiarou"/>
        <w:rPr>
          <w:rFonts w:cstheme="minorHAnsi"/>
        </w:rPr>
      </w:pPr>
      <w:r w:rsidRPr="00BB5D83">
        <w:rPr>
          <w:rStyle w:val="dnA"/>
          <w:rFonts w:cstheme="minorHAnsi"/>
          <w:sz w:val="24"/>
          <w:szCs w:val="24"/>
          <w:vertAlign w:val="superscript"/>
        </w:rPr>
        <w:footnoteRef/>
      </w:r>
      <w:r w:rsidRPr="00BB5D83">
        <w:rPr>
          <w:rStyle w:val="dnA"/>
          <w:rFonts w:cstheme="minorHAnsi"/>
        </w:rPr>
        <w:t xml:space="preserve"> Committee on the Rights of Persons with Disabilities, </w:t>
      </w:r>
      <w:hyperlink r:id="rId13" w:history="1">
        <w:r w:rsidRPr="00BB5D83">
          <w:rPr>
            <w:rStyle w:val="Hyperlink2"/>
            <w:rFonts w:asciiTheme="minorHAnsi" w:hAnsiTheme="minorHAnsi" w:cstheme="minorHAnsi"/>
          </w:rPr>
          <w:t>Concluding Observations to the Initial Report of Slovakia</w:t>
        </w:r>
      </w:hyperlink>
      <w:r w:rsidRPr="00BB5D83">
        <w:rPr>
          <w:rStyle w:val="dnA"/>
          <w:rFonts w:cstheme="minorHAnsi"/>
        </w:rPr>
        <w:t>, 17 May 201</w:t>
      </w:r>
      <w:r>
        <w:rPr>
          <w:rStyle w:val="dnA"/>
          <w:rFonts w:cstheme="minorHAnsi"/>
        </w:rPr>
        <w:t>6, para. 56, CRPD/C/SVK/CO/1.</w:t>
      </w:r>
    </w:p>
  </w:footnote>
  <w:footnote w:id="15">
    <w:p w14:paraId="218E2AD9" w14:textId="77777777" w:rsidR="005938AC" w:rsidRDefault="005938AC" w:rsidP="00500BCD">
      <w:pPr>
        <w:pStyle w:val="Textpoznmkypodiarou"/>
      </w:pPr>
      <w:r>
        <w:rPr>
          <w:rStyle w:val="Odkaznapoznmkupodiarou"/>
        </w:rPr>
        <w:footnoteRef/>
      </w:r>
      <w:r>
        <w:t xml:space="preserve"> </w:t>
      </w:r>
      <w:hyperlink r:id="rId14" w:history="1">
        <w:r>
          <w:rPr>
            <w:rStyle w:val="Hypertextovprepojenie"/>
          </w:rPr>
          <w:t>https://www.european-agency.org/resources/publications/european-agency-statistics-inclusive-education-2016-dataset-cross-country</w:t>
        </w:r>
      </w:hyperlink>
      <w:r>
        <w:t xml:space="preserve"> </w:t>
      </w:r>
    </w:p>
  </w:footnote>
  <w:footnote w:id="16">
    <w:p w14:paraId="660E9D5F" w14:textId="77777777" w:rsidR="005938AC" w:rsidRDefault="005938AC" w:rsidP="00500BCD">
      <w:pPr>
        <w:pStyle w:val="Textpoznmkypodiarou"/>
      </w:pPr>
      <w:r>
        <w:rPr>
          <w:rStyle w:val="Odkaznapoznmkupodiarou"/>
        </w:rPr>
        <w:footnoteRef/>
      </w:r>
      <w:r>
        <w:t xml:space="preserve"> </w:t>
      </w:r>
      <w:r w:rsidRPr="0075564A">
        <w:rPr>
          <w:rStyle w:val="dnA"/>
          <w:rFonts w:cstheme="minorHAnsi"/>
        </w:rPr>
        <w:t xml:space="preserve">Committee on Economic, Social and Cultural Rights, </w:t>
      </w:r>
      <w:hyperlink r:id="rId15" w:history="1">
        <w:r w:rsidRPr="0075564A">
          <w:rPr>
            <w:rStyle w:val="Hyperlink2"/>
            <w:rFonts w:asciiTheme="minorHAnsi" w:hAnsiTheme="minorHAnsi" w:cstheme="minorHAnsi"/>
          </w:rPr>
          <w:t>Concluding Observations - Slovakia</w:t>
        </w:r>
      </w:hyperlink>
      <w:r w:rsidRPr="0075564A">
        <w:rPr>
          <w:rStyle w:val="dnA"/>
          <w:rFonts w:cstheme="minorHAnsi"/>
        </w:rPr>
        <w:t xml:space="preserve">, 8 June 2012, para. 26, E/C.12/SVK/CO/2, Committee on Economic, Social and Cultural Rights, </w:t>
      </w:r>
      <w:r w:rsidRPr="0075564A">
        <w:rPr>
          <w:rStyle w:val="dnA"/>
          <w:rFonts w:cstheme="minorHAnsi"/>
          <w:i/>
          <w:iCs/>
        </w:rPr>
        <w:t>Third period report of the State party</w:t>
      </w:r>
      <w:r w:rsidRPr="0075564A">
        <w:rPr>
          <w:rStyle w:val="dnA"/>
          <w:rFonts w:cstheme="minorHAnsi"/>
        </w:rPr>
        <w:t xml:space="preserve">, August 2017, paras. 133-150, Committee on the Rights of the Child, </w:t>
      </w:r>
      <w:hyperlink r:id="rId16" w:history="1">
        <w:r w:rsidRPr="0075564A">
          <w:rPr>
            <w:rStyle w:val="Hyperlink2"/>
            <w:rFonts w:asciiTheme="minorHAnsi" w:hAnsiTheme="minorHAnsi" w:cstheme="minorHAnsi"/>
          </w:rPr>
          <w:t>Concluding observations on the combined third to fifth periodic reports of Slovakia</w:t>
        </w:r>
      </w:hyperlink>
      <w:r w:rsidRPr="0075564A">
        <w:rPr>
          <w:rStyle w:val="dnA"/>
          <w:rFonts w:cstheme="minorHAnsi"/>
        </w:rPr>
        <w:t>, 20 July 2016, para. 37, CRC/C/SVK/CO/3-5.</w:t>
      </w:r>
    </w:p>
  </w:footnote>
  <w:footnote w:id="17">
    <w:p w14:paraId="59B83DD8" w14:textId="77777777" w:rsidR="005938AC" w:rsidRDefault="005938AC" w:rsidP="00500BCD">
      <w:pPr>
        <w:pStyle w:val="Textpoznmkypodiarou"/>
      </w:pPr>
      <w:r>
        <w:rPr>
          <w:rStyle w:val="Odkaznapoznmkupodiarou"/>
        </w:rPr>
        <w:footnoteRef/>
      </w:r>
      <w:r>
        <w:t xml:space="preserve"> </w:t>
      </w:r>
      <w:hyperlink r:id="rId17" w:history="1">
        <w:r w:rsidRPr="00C31318">
          <w:rPr>
            <w:rStyle w:val="Hypertextovprepojenie"/>
          </w:rPr>
          <w:t>https://dennikn.sk/blog/1439595/cakaju-nas-zapisy-do-skolok-vacsina-deti-so-zdravotnym-znevyhodnenim-sa-opat-nedocka/</w:t>
        </w:r>
      </w:hyperlink>
      <w:r>
        <w:t xml:space="preserve"> </w:t>
      </w:r>
    </w:p>
  </w:footnote>
  <w:footnote w:id="18">
    <w:p w14:paraId="0C297CBC" w14:textId="77777777" w:rsidR="005938AC" w:rsidRDefault="005938AC" w:rsidP="00500BCD">
      <w:pPr>
        <w:pStyle w:val="Textpoznmkypodiarou"/>
      </w:pPr>
      <w:r>
        <w:rPr>
          <w:rStyle w:val="Odkaznapoznmkupodiarou"/>
        </w:rPr>
        <w:footnoteRef/>
      </w:r>
      <w:r>
        <w:t xml:space="preserve"> </w:t>
      </w:r>
      <w:hyperlink r:id="rId18" w:history="1">
        <w:r w:rsidRPr="00C31318">
          <w:rPr>
            <w:rStyle w:val="Hypertextovprepojenie"/>
          </w:rPr>
          <w:t>https://dennikn.sk/blog/1287696/nemas-asistenta-do-skoly-nepojdes/</w:t>
        </w:r>
      </w:hyperlink>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1C60"/>
    <w:multiLevelType w:val="hybridMultilevel"/>
    <w:tmpl w:val="DADE25E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8A25836"/>
    <w:multiLevelType w:val="multilevel"/>
    <w:tmpl w:val="D422A41E"/>
    <w:styleLink w:val="List6"/>
    <w:lvl w:ilvl="0">
      <w:numFmt w:val="bullet"/>
      <w:lvlText w:val="•"/>
      <w:lvlJc w:val="left"/>
      <w:pPr>
        <w:tabs>
          <w:tab w:val="num" w:pos="784"/>
        </w:tabs>
        <w:ind w:left="784"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069"/>
        </w:tabs>
        <w:ind w:left="1069"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309"/>
        </w:tabs>
        <w:ind w:left="1309"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549"/>
        </w:tabs>
        <w:ind w:left="1549"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789"/>
        </w:tabs>
        <w:ind w:left="1789"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029"/>
        </w:tabs>
        <w:ind w:left="2029"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269"/>
        </w:tabs>
        <w:ind w:left="2269"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509"/>
        </w:tabs>
        <w:ind w:left="2509"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749"/>
        </w:tabs>
        <w:ind w:left="2749" w:hanging="262"/>
      </w:pPr>
      <w:rPr>
        <w:rFonts w:ascii="Century Gothic" w:eastAsia="Century Gothic" w:hAnsi="Century Gothic" w:cs="Century Gothic"/>
        <w:position w:val="0"/>
        <w:sz w:val="24"/>
        <w:szCs w:val="24"/>
        <w:lang w:val="en-US"/>
      </w:rPr>
    </w:lvl>
  </w:abstractNum>
  <w:abstractNum w:abstractNumId="2" w15:restartNumberingAfterBreak="0">
    <w:nsid w:val="096233AE"/>
    <w:multiLevelType w:val="hybridMultilevel"/>
    <w:tmpl w:val="C8A29DE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C472958"/>
    <w:multiLevelType w:val="multilevel"/>
    <w:tmpl w:val="89948B58"/>
    <w:styleLink w:val="List26"/>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2007"/>
        </w:tabs>
        <w:ind w:left="2007" w:hanging="360"/>
      </w:pPr>
      <w:rPr>
        <w:rFonts w:ascii="Century Gothic" w:eastAsia="Century Gothic" w:hAnsi="Century Gothic" w:cs="Century Gothic"/>
        <w:position w:val="0"/>
        <w:sz w:val="24"/>
        <w:szCs w:val="24"/>
      </w:rPr>
    </w:lvl>
    <w:lvl w:ilvl="2">
      <w:start w:val="1"/>
      <w:numFmt w:val="bullet"/>
      <w:lvlText w:val="▪"/>
      <w:lvlJc w:val="left"/>
      <w:pPr>
        <w:tabs>
          <w:tab w:val="num" w:pos="2727"/>
        </w:tabs>
        <w:ind w:left="2727" w:hanging="360"/>
      </w:pPr>
      <w:rPr>
        <w:rFonts w:ascii="Century Gothic" w:eastAsia="Century Gothic" w:hAnsi="Century Gothic" w:cs="Century Gothic"/>
        <w:position w:val="0"/>
        <w:sz w:val="24"/>
        <w:szCs w:val="24"/>
      </w:rPr>
    </w:lvl>
    <w:lvl w:ilvl="3">
      <w:start w:val="1"/>
      <w:numFmt w:val="bullet"/>
      <w:lvlText w:val="•"/>
      <w:lvlJc w:val="left"/>
      <w:pPr>
        <w:tabs>
          <w:tab w:val="num" w:pos="3447"/>
        </w:tabs>
        <w:ind w:left="3447" w:hanging="360"/>
      </w:pPr>
      <w:rPr>
        <w:rFonts w:ascii="Century Gothic" w:eastAsia="Century Gothic" w:hAnsi="Century Gothic" w:cs="Century Gothic"/>
        <w:position w:val="0"/>
        <w:sz w:val="24"/>
        <w:szCs w:val="24"/>
      </w:rPr>
    </w:lvl>
    <w:lvl w:ilvl="4">
      <w:start w:val="1"/>
      <w:numFmt w:val="bullet"/>
      <w:lvlText w:val="o"/>
      <w:lvlJc w:val="left"/>
      <w:pPr>
        <w:tabs>
          <w:tab w:val="num" w:pos="4167"/>
        </w:tabs>
        <w:ind w:left="4167" w:hanging="360"/>
      </w:pPr>
      <w:rPr>
        <w:rFonts w:ascii="Century Gothic" w:eastAsia="Century Gothic" w:hAnsi="Century Gothic" w:cs="Century Gothic"/>
        <w:position w:val="0"/>
        <w:sz w:val="24"/>
        <w:szCs w:val="24"/>
      </w:rPr>
    </w:lvl>
    <w:lvl w:ilvl="5">
      <w:start w:val="1"/>
      <w:numFmt w:val="bullet"/>
      <w:lvlText w:val="▪"/>
      <w:lvlJc w:val="left"/>
      <w:pPr>
        <w:tabs>
          <w:tab w:val="num" w:pos="4887"/>
        </w:tabs>
        <w:ind w:left="4887" w:hanging="360"/>
      </w:pPr>
      <w:rPr>
        <w:rFonts w:ascii="Century Gothic" w:eastAsia="Century Gothic" w:hAnsi="Century Gothic" w:cs="Century Gothic"/>
        <w:position w:val="0"/>
        <w:sz w:val="24"/>
        <w:szCs w:val="24"/>
      </w:rPr>
    </w:lvl>
    <w:lvl w:ilvl="6">
      <w:start w:val="1"/>
      <w:numFmt w:val="bullet"/>
      <w:lvlText w:val="•"/>
      <w:lvlJc w:val="left"/>
      <w:pPr>
        <w:tabs>
          <w:tab w:val="num" w:pos="5607"/>
        </w:tabs>
        <w:ind w:left="5607" w:hanging="360"/>
      </w:pPr>
      <w:rPr>
        <w:rFonts w:ascii="Century Gothic" w:eastAsia="Century Gothic" w:hAnsi="Century Gothic" w:cs="Century Gothic"/>
        <w:position w:val="0"/>
        <w:sz w:val="24"/>
        <w:szCs w:val="24"/>
      </w:rPr>
    </w:lvl>
    <w:lvl w:ilvl="7">
      <w:start w:val="1"/>
      <w:numFmt w:val="bullet"/>
      <w:lvlText w:val="o"/>
      <w:lvlJc w:val="left"/>
      <w:pPr>
        <w:tabs>
          <w:tab w:val="num" w:pos="6327"/>
        </w:tabs>
        <w:ind w:left="6327" w:hanging="360"/>
      </w:pPr>
      <w:rPr>
        <w:rFonts w:ascii="Century Gothic" w:eastAsia="Century Gothic" w:hAnsi="Century Gothic" w:cs="Century Gothic"/>
        <w:position w:val="0"/>
        <w:sz w:val="24"/>
        <w:szCs w:val="24"/>
      </w:rPr>
    </w:lvl>
    <w:lvl w:ilvl="8">
      <w:start w:val="1"/>
      <w:numFmt w:val="bullet"/>
      <w:lvlText w:val="▪"/>
      <w:lvlJc w:val="left"/>
      <w:pPr>
        <w:tabs>
          <w:tab w:val="num" w:pos="7047"/>
        </w:tabs>
        <w:ind w:left="7047" w:hanging="360"/>
      </w:pPr>
      <w:rPr>
        <w:rFonts w:ascii="Century Gothic" w:eastAsia="Century Gothic" w:hAnsi="Century Gothic" w:cs="Century Gothic"/>
        <w:position w:val="0"/>
        <w:sz w:val="24"/>
        <w:szCs w:val="24"/>
      </w:rPr>
    </w:lvl>
  </w:abstractNum>
  <w:abstractNum w:abstractNumId="4" w15:restartNumberingAfterBreak="0">
    <w:nsid w:val="0E2675D9"/>
    <w:multiLevelType w:val="multilevel"/>
    <w:tmpl w:val="A3BCD286"/>
    <w:styleLink w:val="List1"/>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16"/>
        </w:tabs>
      </w:pPr>
      <w:rPr>
        <w:rFonts w:ascii="Century Gothic" w:eastAsia="Century Gothic" w:hAnsi="Century Gothic" w:cs="Century Gothic"/>
        <w:position w:val="0"/>
        <w:sz w:val="24"/>
        <w:szCs w:val="24"/>
        <w:lang w:val="en-US"/>
      </w:rPr>
    </w:lvl>
    <w:lvl w:ilvl="2">
      <w:start w:val="1"/>
      <w:numFmt w:val="bullet"/>
      <w:lvlText w:val="•"/>
      <w:lvlJc w:val="left"/>
      <w:pPr>
        <w:tabs>
          <w:tab w:val="num" w:pos="116"/>
        </w:tabs>
      </w:pPr>
      <w:rPr>
        <w:rFonts w:ascii="Century Gothic" w:eastAsia="Century Gothic" w:hAnsi="Century Gothic" w:cs="Century Gothic"/>
        <w:position w:val="0"/>
        <w:sz w:val="24"/>
        <w:szCs w:val="24"/>
        <w:lang w:val="en-US"/>
      </w:rPr>
    </w:lvl>
    <w:lvl w:ilvl="3">
      <w:start w:val="1"/>
      <w:numFmt w:val="bullet"/>
      <w:lvlText w:val="•"/>
      <w:lvlJc w:val="left"/>
      <w:pPr>
        <w:tabs>
          <w:tab w:val="num" w:pos="116"/>
        </w:tabs>
      </w:pPr>
      <w:rPr>
        <w:rFonts w:ascii="Century Gothic" w:eastAsia="Century Gothic" w:hAnsi="Century Gothic" w:cs="Century Gothic"/>
        <w:position w:val="0"/>
        <w:sz w:val="24"/>
        <w:szCs w:val="24"/>
        <w:lang w:val="en-US"/>
      </w:rPr>
    </w:lvl>
    <w:lvl w:ilvl="4">
      <w:start w:val="1"/>
      <w:numFmt w:val="bullet"/>
      <w:lvlText w:val="•"/>
      <w:lvlJc w:val="left"/>
      <w:pPr>
        <w:tabs>
          <w:tab w:val="num" w:pos="116"/>
        </w:tabs>
      </w:pPr>
      <w:rPr>
        <w:rFonts w:ascii="Century Gothic" w:eastAsia="Century Gothic" w:hAnsi="Century Gothic" w:cs="Century Gothic"/>
        <w:position w:val="0"/>
        <w:sz w:val="24"/>
        <w:szCs w:val="24"/>
        <w:lang w:val="en-US"/>
      </w:rPr>
    </w:lvl>
    <w:lvl w:ilvl="5">
      <w:start w:val="1"/>
      <w:numFmt w:val="bullet"/>
      <w:lvlText w:val="•"/>
      <w:lvlJc w:val="left"/>
      <w:pPr>
        <w:tabs>
          <w:tab w:val="num" w:pos="116"/>
        </w:tabs>
      </w:pPr>
      <w:rPr>
        <w:rFonts w:ascii="Century Gothic" w:eastAsia="Century Gothic" w:hAnsi="Century Gothic" w:cs="Century Gothic"/>
        <w:position w:val="0"/>
        <w:sz w:val="24"/>
        <w:szCs w:val="24"/>
        <w:lang w:val="en-US"/>
      </w:rPr>
    </w:lvl>
    <w:lvl w:ilvl="6">
      <w:start w:val="1"/>
      <w:numFmt w:val="bullet"/>
      <w:lvlText w:val="•"/>
      <w:lvlJc w:val="left"/>
      <w:pPr>
        <w:tabs>
          <w:tab w:val="num" w:pos="116"/>
        </w:tabs>
      </w:pPr>
      <w:rPr>
        <w:rFonts w:ascii="Century Gothic" w:eastAsia="Century Gothic" w:hAnsi="Century Gothic" w:cs="Century Gothic"/>
        <w:position w:val="0"/>
        <w:sz w:val="24"/>
        <w:szCs w:val="24"/>
        <w:lang w:val="en-US"/>
      </w:rPr>
    </w:lvl>
    <w:lvl w:ilvl="7">
      <w:start w:val="1"/>
      <w:numFmt w:val="bullet"/>
      <w:lvlText w:val="•"/>
      <w:lvlJc w:val="left"/>
      <w:pPr>
        <w:tabs>
          <w:tab w:val="num" w:pos="116"/>
        </w:tabs>
      </w:pPr>
      <w:rPr>
        <w:rFonts w:ascii="Century Gothic" w:eastAsia="Century Gothic" w:hAnsi="Century Gothic" w:cs="Century Gothic"/>
        <w:position w:val="0"/>
        <w:sz w:val="24"/>
        <w:szCs w:val="24"/>
        <w:lang w:val="en-US"/>
      </w:rPr>
    </w:lvl>
    <w:lvl w:ilvl="8">
      <w:start w:val="1"/>
      <w:numFmt w:val="bullet"/>
      <w:lvlText w:val="•"/>
      <w:lvlJc w:val="left"/>
      <w:pPr>
        <w:tabs>
          <w:tab w:val="num" w:pos="116"/>
        </w:tabs>
      </w:pPr>
      <w:rPr>
        <w:rFonts w:ascii="Century Gothic" w:eastAsia="Century Gothic" w:hAnsi="Century Gothic" w:cs="Century Gothic"/>
        <w:position w:val="0"/>
        <w:sz w:val="24"/>
        <w:szCs w:val="24"/>
        <w:lang w:val="en-US"/>
      </w:rPr>
    </w:lvl>
  </w:abstractNum>
  <w:abstractNum w:abstractNumId="5" w15:restartNumberingAfterBreak="0">
    <w:nsid w:val="117E44FB"/>
    <w:multiLevelType w:val="hybridMultilevel"/>
    <w:tmpl w:val="01E635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4C9206B"/>
    <w:multiLevelType w:val="multilevel"/>
    <w:tmpl w:val="CC14A014"/>
    <w:styleLink w:val="List20"/>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7" w15:restartNumberingAfterBreak="0">
    <w:nsid w:val="15E3527A"/>
    <w:multiLevelType w:val="hybridMultilevel"/>
    <w:tmpl w:val="A5B45A1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6020252"/>
    <w:multiLevelType w:val="multilevel"/>
    <w:tmpl w:val="523E8830"/>
    <w:styleLink w:val="List19"/>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9" w15:restartNumberingAfterBreak="0">
    <w:nsid w:val="19417990"/>
    <w:multiLevelType w:val="multilevel"/>
    <w:tmpl w:val="92C88A78"/>
    <w:styleLink w:val="List22"/>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16"/>
        </w:tabs>
      </w:pPr>
      <w:rPr>
        <w:rFonts w:ascii="Century Gothic" w:eastAsia="Century Gothic" w:hAnsi="Century Gothic" w:cs="Century Gothic"/>
        <w:position w:val="0"/>
        <w:sz w:val="24"/>
        <w:szCs w:val="24"/>
        <w:lang w:val="en-US"/>
      </w:rPr>
    </w:lvl>
    <w:lvl w:ilvl="2">
      <w:start w:val="1"/>
      <w:numFmt w:val="bullet"/>
      <w:lvlText w:val="•"/>
      <w:lvlJc w:val="left"/>
      <w:pPr>
        <w:tabs>
          <w:tab w:val="num" w:pos="116"/>
        </w:tabs>
      </w:pPr>
      <w:rPr>
        <w:rFonts w:ascii="Century Gothic" w:eastAsia="Century Gothic" w:hAnsi="Century Gothic" w:cs="Century Gothic"/>
        <w:position w:val="0"/>
        <w:sz w:val="24"/>
        <w:szCs w:val="24"/>
        <w:lang w:val="en-US"/>
      </w:rPr>
    </w:lvl>
    <w:lvl w:ilvl="3">
      <w:start w:val="1"/>
      <w:numFmt w:val="bullet"/>
      <w:lvlText w:val="•"/>
      <w:lvlJc w:val="left"/>
      <w:pPr>
        <w:tabs>
          <w:tab w:val="num" w:pos="116"/>
        </w:tabs>
      </w:pPr>
      <w:rPr>
        <w:rFonts w:ascii="Century Gothic" w:eastAsia="Century Gothic" w:hAnsi="Century Gothic" w:cs="Century Gothic"/>
        <w:position w:val="0"/>
        <w:sz w:val="24"/>
        <w:szCs w:val="24"/>
        <w:lang w:val="en-US"/>
      </w:rPr>
    </w:lvl>
    <w:lvl w:ilvl="4">
      <w:start w:val="1"/>
      <w:numFmt w:val="bullet"/>
      <w:lvlText w:val="•"/>
      <w:lvlJc w:val="left"/>
      <w:pPr>
        <w:tabs>
          <w:tab w:val="num" w:pos="116"/>
        </w:tabs>
      </w:pPr>
      <w:rPr>
        <w:rFonts w:ascii="Century Gothic" w:eastAsia="Century Gothic" w:hAnsi="Century Gothic" w:cs="Century Gothic"/>
        <w:position w:val="0"/>
        <w:sz w:val="24"/>
        <w:szCs w:val="24"/>
        <w:lang w:val="en-US"/>
      </w:rPr>
    </w:lvl>
    <w:lvl w:ilvl="5">
      <w:start w:val="1"/>
      <w:numFmt w:val="bullet"/>
      <w:lvlText w:val="•"/>
      <w:lvlJc w:val="left"/>
      <w:pPr>
        <w:tabs>
          <w:tab w:val="num" w:pos="116"/>
        </w:tabs>
      </w:pPr>
      <w:rPr>
        <w:rFonts w:ascii="Century Gothic" w:eastAsia="Century Gothic" w:hAnsi="Century Gothic" w:cs="Century Gothic"/>
        <w:position w:val="0"/>
        <w:sz w:val="24"/>
        <w:szCs w:val="24"/>
        <w:lang w:val="en-US"/>
      </w:rPr>
    </w:lvl>
    <w:lvl w:ilvl="6">
      <w:start w:val="1"/>
      <w:numFmt w:val="bullet"/>
      <w:lvlText w:val="•"/>
      <w:lvlJc w:val="left"/>
      <w:pPr>
        <w:tabs>
          <w:tab w:val="num" w:pos="116"/>
        </w:tabs>
      </w:pPr>
      <w:rPr>
        <w:rFonts w:ascii="Century Gothic" w:eastAsia="Century Gothic" w:hAnsi="Century Gothic" w:cs="Century Gothic"/>
        <w:position w:val="0"/>
        <w:sz w:val="24"/>
        <w:szCs w:val="24"/>
        <w:lang w:val="en-US"/>
      </w:rPr>
    </w:lvl>
    <w:lvl w:ilvl="7">
      <w:start w:val="1"/>
      <w:numFmt w:val="bullet"/>
      <w:lvlText w:val="•"/>
      <w:lvlJc w:val="left"/>
      <w:pPr>
        <w:tabs>
          <w:tab w:val="num" w:pos="116"/>
        </w:tabs>
      </w:pPr>
      <w:rPr>
        <w:rFonts w:ascii="Century Gothic" w:eastAsia="Century Gothic" w:hAnsi="Century Gothic" w:cs="Century Gothic"/>
        <w:position w:val="0"/>
        <w:sz w:val="24"/>
        <w:szCs w:val="24"/>
        <w:lang w:val="en-US"/>
      </w:rPr>
    </w:lvl>
    <w:lvl w:ilvl="8">
      <w:start w:val="1"/>
      <w:numFmt w:val="bullet"/>
      <w:lvlText w:val="•"/>
      <w:lvlJc w:val="left"/>
      <w:pPr>
        <w:tabs>
          <w:tab w:val="num" w:pos="116"/>
        </w:tabs>
      </w:pPr>
      <w:rPr>
        <w:rFonts w:ascii="Century Gothic" w:eastAsia="Century Gothic" w:hAnsi="Century Gothic" w:cs="Century Gothic"/>
        <w:position w:val="0"/>
        <w:sz w:val="24"/>
        <w:szCs w:val="24"/>
        <w:lang w:val="en-US"/>
      </w:rPr>
    </w:lvl>
  </w:abstractNum>
  <w:abstractNum w:abstractNumId="10" w15:restartNumberingAfterBreak="0">
    <w:nsid w:val="1A695DB3"/>
    <w:multiLevelType w:val="multilevel"/>
    <w:tmpl w:val="D4102204"/>
    <w:styleLink w:val="List41"/>
    <w:lvl w:ilvl="0">
      <w:numFmt w:val="bullet"/>
      <w:lvlText w:val="•"/>
      <w:lvlJc w:val="left"/>
      <w:pPr>
        <w:tabs>
          <w:tab w:val="num" w:pos="784"/>
        </w:tabs>
        <w:ind w:left="784"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069"/>
        </w:tabs>
        <w:ind w:left="1069"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309"/>
        </w:tabs>
        <w:ind w:left="1309"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549"/>
        </w:tabs>
        <w:ind w:left="1549"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789"/>
        </w:tabs>
        <w:ind w:left="1789"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029"/>
        </w:tabs>
        <w:ind w:left="2029"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269"/>
        </w:tabs>
        <w:ind w:left="2269"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509"/>
        </w:tabs>
        <w:ind w:left="2509"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749"/>
        </w:tabs>
        <w:ind w:left="2749" w:hanging="262"/>
      </w:pPr>
      <w:rPr>
        <w:rFonts w:ascii="Century Gothic" w:eastAsia="Century Gothic" w:hAnsi="Century Gothic" w:cs="Century Gothic"/>
        <w:position w:val="0"/>
        <w:sz w:val="24"/>
        <w:szCs w:val="24"/>
        <w:lang w:val="en-US"/>
      </w:rPr>
    </w:lvl>
  </w:abstractNum>
  <w:abstractNum w:abstractNumId="11" w15:restartNumberingAfterBreak="0">
    <w:nsid w:val="1D3E0314"/>
    <w:multiLevelType w:val="hybridMultilevel"/>
    <w:tmpl w:val="2EFA7BD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1DD95336"/>
    <w:multiLevelType w:val="hybridMultilevel"/>
    <w:tmpl w:val="2A346D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1E316916"/>
    <w:multiLevelType w:val="multilevel"/>
    <w:tmpl w:val="7C2AB3B6"/>
    <w:styleLink w:val="List27"/>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1440"/>
        </w:tabs>
        <w:ind w:left="1440" w:hanging="360"/>
      </w:pPr>
      <w:rPr>
        <w:rFonts w:ascii="Century Gothic" w:eastAsia="Century Gothic" w:hAnsi="Century Gothic" w:cs="Century Gothic"/>
        <w:position w:val="0"/>
        <w:sz w:val="24"/>
        <w:szCs w:val="24"/>
      </w:rPr>
    </w:lvl>
    <w:lvl w:ilvl="2">
      <w:start w:val="1"/>
      <w:numFmt w:val="bullet"/>
      <w:lvlText w:val="▪"/>
      <w:lvlJc w:val="left"/>
      <w:pPr>
        <w:tabs>
          <w:tab w:val="num" w:pos="2160"/>
        </w:tabs>
        <w:ind w:left="2160" w:hanging="360"/>
      </w:pPr>
      <w:rPr>
        <w:rFonts w:ascii="Century Gothic" w:eastAsia="Century Gothic" w:hAnsi="Century Gothic" w:cs="Century Gothic"/>
        <w:position w:val="0"/>
        <w:sz w:val="24"/>
        <w:szCs w:val="24"/>
      </w:rPr>
    </w:lvl>
    <w:lvl w:ilvl="3">
      <w:start w:val="1"/>
      <w:numFmt w:val="bullet"/>
      <w:lvlText w:val="•"/>
      <w:lvlJc w:val="left"/>
      <w:pPr>
        <w:tabs>
          <w:tab w:val="num" w:pos="2880"/>
        </w:tabs>
        <w:ind w:left="2880" w:hanging="360"/>
      </w:pPr>
      <w:rPr>
        <w:rFonts w:ascii="Century Gothic" w:eastAsia="Century Gothic" w:hAnsi="Century Gothic" w:cs="Century Gothic"/>
        <w:position w:val="0"/>
        <w:sz w:val="24"/>
        <w:szCs w:val="24"/>
      </w:rPr>
    </w:lvl>
    <w:lvl w:ilvl="4">
      <w:start w:val="1"/>
      <w:numFmt w:val="bullet"/>
      <w:lvlText w:val="o"/>
      <w:lvlJc w:val="left"/>
      <w:pPr>
        <w:tabs>
          <w:tab w:val="num" w:pos="3600"/>
        </w:tabs>
        <w:ind w:left="3600" w:hanging="360"/>
      </w:pPr>
      <w:rPr>
        <w:rFonts w:ascii="Century Gothic" w:eastAsia="Century Gothic" w:hAnsi="Century Gothic" w:cs="Century Gothic"/>
        <w:position w:val="0"/>
        <w:sz w:val="24"/>
        <w:szCs w:val="24"/>
      </w:rPr>
    </w:lvl>
    <w:lvl w:ilvl="5">
      <w:start w:val="1"/>
      <w:numFmt w:val="bullet"/>
      <w:lvlText w:val="▪"/>
      <w:lvlJc w:val="left"/>
      <w:pPr>
        <w:tabs>
          <w:tab w:val="num" w:pos="4320"/>
        </w:tabs>
        <w:ind w:left="4320" w:hanging="360"/>
      </w:pPr>
      <w:rPr>
        <w:rFonts w:ascii="Century Gothic" w:eastAsia="Century Gothic" w:hAnsi="Century Gothic" w:cs="Century Gothic"/>
        <w:position w:val="0"/>
        <w:sz w:val="24"/>
        <w:szCs w:val="24"/>
      </w:rPr>
    </w:lvl>
    <w:lvl w:ilvl="6">
      <w:start w:val="1"/>
      <w:numFmt w:val="bullet"/>
      <w:lvlText w:val="•"/>
      <w:lvlJc w:val="left"/>
      <w:pPr>
        <w:tabs>
          <w:tab w:val="num" w:pos="5040"/>
        </w:tabs>
        <w:ind w:left="5040" w:hanging="360"/>
      </w:pPr>
      <w:rPr>
        <w:rFonts w:ascii="Century Gothic" w:eastAsia="Century Gothic" w:hAnsi="Century Gothic" w:cs="Century Gothic"/>
        <w:position w:val="0"/>
        <w:sz w:val="24"/>
        <w:szCs w:val="24"/>
      </w:rPr>
    </w:lvl>
    <w:lvl w:ilvl="7">
      <w:start w:val="1"/>
      <w:numFmt w:val="bullet"/>
      <w:lvlText w:val="o"/>
      <w:lvlJc w:val="left"/>
      <w:pPr>
        <w:tabs>
          <w:tab w:val="num" w:pos="5760"/>
        </w:tabs>
        <w:ind w:left="5760" w:hanging="360"/>
      </w:pPr>
      <w:rPr>
        <w:rFonts w:ascii="Century Gothic" w:eastAsia="Century Gothic" w:hAnsi="Century Gothic" w:cs="Century Gothic"/>
        <w:position w:val="0"/>
        <w:sz w:val="24"/>
        <w:szCs w:val="24"/>
      </w:rPr>
    </w:lvl>
    <w:lvl w:ilvl="8">
      <w:start w:val="1"/>
      <w:numFmt w:val="bullet"/>
      <w:lvlText w:val="▪"/>
      <w:lvlJc w:val="left"/>
      <w:pPr>
        <w:tabs>
          <w:tab w:val="num" w:pos="6480"/>
        </w:tabs>
        <w:ind w:left="6480" w:hanging="360"/>
      </w:pPr>
      <w:rPr>
        <w:rFonts w:ascii="Century Gothic" w:eastAsia="Century Gothic" w:hAnsi="Century Gothic" w:cs="Century Gothic"/>
        <w:position w:val="0"/>
        <w:sz w:val="24"/>
        <w:szCs w:val="24"/>
      </w:rPr>
    </w:lvl>
  </w:abstractNum>
  <w:abstractNum w:abstractNumId="14" w15:restartNumberingAfterBreak="0">
    <w:nsid w:val="25B00E29"/>
    <w:multiLevelType w:val="multilevel"/>
    <w:tmpl w:val="B9100F04"/>
    <w:styleLink w:val="List37"/>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1440"/>
        </w:tabs>
        <w:ind w:left="1440" w:hanging="360"/>
      </w:pPr>
      <w:rPr>
        <w:rFonts w:ascii="Century Gothic" w:eastAsia="Century Gothic" w:hAnsi="Century Gothic" w:cs="Century Gothic"/>
        <w:position w:val="0"/>
        <w:sz w:val="24"/>
        <w:szCs w:val="24"/>
      </w:rPr>
    </w:lvl>
    <w:lvl w:ilvl="2">
      <w:start w:val="1"/>
      <w:numFmt w:val="bullet"/>
      <w:lvlText w:val="▪"/>
      <w:lvlJc w:val="left"/>
      <w:pPr>
        <w:tabs>
          <w:tab w:val="num" w:pos="2160"/>
        </w:tabs>
        <w:ind w:left="2160" w:hanging="360"/>
      </w:pPr>
      <w:rPr>
        <w:rFonts w:ascii="Century Gothic" w:eastAsia="Century Gothic" w:hAnsi="Century Gothic" w:cs="Century Gothic"/>
        <w:position w:val="0"/>
        <w:sz w:val="24"/>
        <w:szCs w:val="24"/>
      </w:rPr>
    </w:lvl>
    <w:lvl w:ilvl="3">
      <w:start w:val="1"/>
      <w:numFmt w:val="bullet"/>
      <w:lvlText w:val="•"/>
      <w:lvlJc w:val="left"/>
      <w:pPr>
        <w:tabs>
          <w:tab w:val="num" w:pos="2880"/>
        </w:tabs>
        <w:ind w:left="2880" w:hanging="360"/>
      </w:pPr>
      <w:rPr>
        <w:rFonts w:ascii="Century Gothic" w:eastAsia="Century Gothic" w:hAnsi="Century Gothic" w:cs="Century Gothic"/>
        <w:position w:val="0"/>
        <w:sz w:val="24"/>
        <w:szCs w:val="24"/>
      </w:rPr>
    </w:lvl>
    <w:lvl w:ilvl="4">
      <w:start w:val="1"/>
      <w:numFmt w:val="bullet"/>
      <w:lvlText w:val="o"/>
      <w:lvlJc w:val="left"/>
      <w:pPr>
        <w:tabs>
          <w:tab w:val="num" w:pos="3600"/>
        </w:tabs>
        <w:ind w:left="3600" w:hanging="360"/>
      </w:pPr>
      <w:rPr>
        <w:rFonts w:ascii="Century Gothic" w:eastAsia="Century Gothic" w:hAnsi="Century Gothic" w:cs="Century Gothic"/>
        <w:position w:val="0"/>
        <w:sz w:val="24"/>
        <w:szCs w:val="24"/>
      </w:rPr>
    </w:lvl>
    <w:lvl w:ilvl="5">
      <w:start w:val="1"/>
      <w:numFmt w:val="bullet"/>
      <w:lvlText w:val="▪"/>
      <w:lvlJc w:val="left"/>
      <w:pPr>
        <w:tabs>
          <w:tab w:val="num" w:pos="4320"/>
        </w:tabs>
        <w:ind w:left="4320" w:hanging="360"/>
      </w:pPr>
      <w:rPr>
        <w:rFonts w:ascii="Century Gothic" w:eastAsia="Century Gothic" w:hAnsi="Century Gothic" w:cs="Century Gothic"/>
        <w:position w:val="0"/>
        <w:sz w:val="24"/>
        <w:szCs w:val="24"/>
      </w:rPr>
    </w:lvl>
    <w:lvl w:ilvl="6">
      <w:start w:val="1"/>
      <w:numFmt w:val="bullet"/>
      <w:lvlText w:val="•"/>
      <w:lvlJc w:val="left"/>
      <w:pPr>
        <w:tabs>
          <w:tab w:val="num" w:pos="5040"/>
        </w:tabs>
        <w:ind w:left="5040" w:hanging="360"/>
      </w:pPr>
      <w:rPr>
        <w:rFonts w:ascii="Century Gothic" w:eastAsia="Century Gothic" w:hAnsi="Century Gothic" w:cs="Century Gothic"/>
        <w:position w:val="0"/>
        <w:sz w:val="24"/>
        <w:szCs w:val="24"/>
      </w:rPr>
    </w:lvl>
    <w:lvl w:ilvl="7">
      <w:start w:val="1"/>
      <w:numFmt w:val="bullet"/>
      <w:lvlText w:val="o"/>
      <w:lvlJc w:val="left"/>
      <w:pPr>
        <w:tabs>
          <w:tab w:val="num" w:pos="5760"/>
        </w:tabs>
        <w:ind w:left="5760" w:hanging="360"/>
      </w:pPr>
      <w:rPr>
        <w:rFonts w:ascii="Century Gothic" w:eastAsia="Century Gothic" w:hAnsi="Century Gothic" w:cs="Century Gothic"/>
        <w:position w:val="0"/>
        <w:sz w:val="24"/>
        <w:szCs w:val="24"/>
      </w:rPr>
    </w:lvl>
    <w:lvl w:ilvl="8">
      <w:start w:val="1"/>
      <w:numFmt w:val="bullet"/>
      <w:lvlText w:val="▪"/>
      <w:lvlJc w:val="left"/>
      <w:pPr>
        <w:tabs>
          <w:tab w:val="num" w:pos="6480"/>
        </w:tabs>
        <w:ind w:left="6480" w:hanging="360"/>
      </w:pPr>
      <w:rPr>
        <w:rFonts w:ascii="Century Gothic" w:eastAsia="Century Gothic" w:hAnsi="Century Gothic" w:cs="Century Gothic"/>
        <w:position w:val="0"/>
        <w:sz w:val="24"/>
        <w:szCs w:val="24"/>
      </w:rPr>
    </w:lvl>
  </w:abstractNum>
  <w:abstractNum w:abstractNumId="15" w15:restartNumberingAfterBreak="0">
    <w:nsid w:val="25E5051A"/>
    <w:multiLevelType w:val="hybridMultilevel"/>
    <w:tmpl w:val="E042FAD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6F7030A"/>
    <w:multiLevelType w:val="multilevel"/>
    <w:tmpl w:val="88E89F86"/>
    <w:styleLink w:val="List0"/>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16"/>
        </w:tabs>
      </w:pPr>
      <w:rPr>
        <w:rFonts w:ascii="Century Gothic" w:eastAsia="Century Gothic" w:hAnsi="Century Gothic" w:cs="Century Gothic"/>
        <w:position w:val="0"/>
        <w:sz w:val="24"/>
        <w:szCs w:val="24"/>
        <w:lang w:val="en-US"/>
      </w:rPr>
    </w:lvl>
    <w:lvl w:ilvl="2">
      <w:start w:val="1"/>
      <w:numFmt w:val="bullet"/>
      <w:lvlText w:val="•"/>
      <w:lvlJc w:val="left"/>
      <w:pPr>
        <w:tabs>
          <w:tab w:val="num" w:pos="116"/>
        </w:tabs>
      </w:pPr>
      <w:rPr>
        <w:rFonts w:ascii="Century Gothic" w:eastAsia="Century Gothic" w:hAnsi="Century Gothic" w:cs="Century Gothic"/>
        <w:position w:val="0"/>
        <w:sz w:val="24"/>
        <w:szCs w:val="24"/>
        <w:lang w:val="en-US"/>
      </w:rPr>
    </w:lvl>
    <w:lvl w:ilvl="3">
      <w:start w:val="1"/>
      <w:numFmt w:val="bullet"/>
      <w:lvlText w:val="•"/>
      <w:lvlJc w:val="left"/>
      <w:pPr>
        <w:tabs>
          <w:tab w:val="num" w:pos="116"/>
        </w:tabs>
      </w:pPr>
      <w:rPr>
        <w:rFonts w:ascii="Century Gothic" w:eastAsia="Century Gothic" w:hAnsi="Century Gothic" w:cs="Century Gothic"/>
        <w:position w:val="0"/>
        <w:sz w:val="24"/>
        <w:szCs w:val="24"/>
        <w:lang w:val="en-US"/>
      </w:rPr>
    </w:lvl>
    <w:lvl w:ilvl="4">
      <w:start w:val="1"/>
      <w:numFmt w:val="bullet"/>
      <w:lvlText w:val="•"/>
      <w:lvlJc w:val="left"/>
      <w:pPr>
        <w:tabs>
          <w:tab w:val="num" w:pos="116"/>
        </w:tabs>
      </w:pPr>
      <w:rPr>
        <w:rFonts w:ascii="Century Gothic" w:eastAsia="Century Gothic" w:hAnsi="Century Gothic" w:cs="Century Gothic"/>
        <w:position w:val="0"/>
        <w:sz w:val="24"/>
        <w:szCs w:val="24"/>
        <w:lang w:val="en-US"/>
      </w:rPr>
    </w:lvl>
    <w:lvl w:ilvl="5">
      <w:start w:val="1"/>
      <w:numFmt w:val="bullet"/>
      <w:lvlText w:val="•"/>
      <w:lvlJc w:val="left"/>
      <w:pPr>
        <w:tabs>
          <w:tab w:val="num" w:pos="116"/>
        </w:tabs>
      </w:pPr>
      <w:rPr>
        <w:rFonts w:ascii="Century Gothic" w:eastAsia="Century Gothic" w:hAnsi="Century Gothic" w:cs="Century Gothic"/>
        <w:position w:val="0"/>
        <w:sz w:val="24"/>
        <w:szCs w:val="24"/>
        <w:lang w:val="en-US"/>
      </w:rPr>
    </w:lvl>
    <w:lvl w:ilvl="6">
      <w:start w:val="1"/>
      <w:numFmt w:val="bullet"/>
      <w:lvlText w:val="•"/>
      <w:lvlJc w:val="left"/>
      <w:pPr>
        <w:tabs>
          <w:tab w:val="num" w:pos="116"/>
        </w:tabs>
      </w:pPr>
      <w:rPr>
        <w:rFonts w:ascii="Century Gothic" w:eastAsia="Century Gothic" w:hAnsi="Century Gothic" w:cs="Century Gothic"/>
        <w:position w:val="0"/>
        <w:sz w:val="24"/>
        <w:szCs w:val="24"/>
        <w:lang w:val="en-US"/>
      </w:rPr>
    </w:lvl>
    <w:lvl w:ilvl="7">
      <w:start w:val="1"/>
      <w:numFmt w:val="bullet"/>
      <w:lvlText w:val="•"/>
      <w:lvlJc w:val="left"/>
      <w:pPr>
        <w:tabs>
          <w:tab w:val="num" w:pos="116"/>
        </w:tabs>
      </w:pPr>
      <w:rPr>
        <w:rFonts w:ascii="Century Gothic" w:eastAsia="Century Gothic" w:hAnsi="Century Gothic" w:cs="Century Gothic"/>
        <w:position w:val="0"/>
        <w:sz w:val="24"/>
        <w:szCs w:val="24"/>
        <w:lang w:val="en-US"/>
      </w:rPr>
    </w:lvl>
    <w:lvl w:ilvl="8">
      <w:start w:val="1"/>
      <w:numFmt w:val="bullet"/>
      <w:lvlText w:val="•"/>
      <w:lvlJc w:val="left"/>
      <w:pPr>
        <w:tabs>
          <w:tab w:val="num" w:pos="116"/>
        </w:tabs>
      </w:pPr>
      <w:rPr>
        <w:rFonts w:ascii="Century Gothic" w:eastAsia="Century Gothic" w:hAnsi="Century Gothic" w:cs="Century Gothic"/>
        <w:position w:val="0"/>
        <w:sz w:val="24"/>
        <w:szCs w:val="24"/>
        <w:lang w:val="en-US"/>
      </w:rPr>
    </w:lvl>
  </w:abstractNum>
  <w:abstractNum w:abstractNumId="17" w15:restartNumberingAfterBreak="0">
    <w:nsid w:val="2BD24BE3"/>
    <w:multiLevelType w:val="multilevel"/>
    <w:tmpl w:val="34C02F46"/>
    <w:styleLink w:val="List11"/>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18" w15:restartNumberingAfterBreak="0">
    <w:nsid w:val="2E2B5EA3"/>
    <w:multiLevelType w:val="hybridMultilevel"/>
    <w:tmpl w:val="A3F0DE0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2ECA3622"/>
    <w:multiLevelType w:val="multilevel"/>
    <w:tmpl w:val="FB84ACCC"/>
    <w:styleLink w:val="List12"/>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20" w15:restartNumberingAfterBreak="0">
    <w:nsid w:val="31217346"/>
    <w:multiLevelType w:val="multilevel"/>
    <w:tmpl w:val="0BEEE570"/>
    <w:styleLink w:val="List7"/>
    <w:lvl w:ilvl="0">
      <w:numFmt w:val="bullet"/>
      <w:lvlText w:val="•"/>
      <w:lvlJc w:val="left"/>
      <w:pPr>
        <w:tabs>
          <w:tab w:val="num" w:pos="784"/>
        </w:tabs>
        <w:ind w:left="784"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069"/>
        </w:tabs>
        <w:ind w:left="1069"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309"/>
        </w:tabs>
        <w:ind w:left="1309"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549"/>
        </w:tabs>
        <w:ind w:left="1549"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789"/>
        </w:tabs>
        <w:ind w:left="1789"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029"/>
        </w:tabs>
        <w:ind w:left="2029"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269"/>
        </w:tabs>
        <w:ind w:left="2269"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509"/>
        </w:tabs>
        <w:ind w:left="2509"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749"/>
        </w:tabs>
        <w:ind w:left="2749" w:hanging="262"/>
      </w:pPr>
      <w:rPr>
        <w:rFonts w:ascii="Century Gothic" w:eastAsia="Century Gothic" w:hAnsi="Century Gothic" w:cs="Century Gothic"/>
        <w:position w:val="0"/>
        <w:sz w:val="24"/>
        <w:szCs w:val="24"/>
        <w:lang w:val="en-US"/>
      </w:rPr>
    </w:lvl>
  </w:abstractNum>
  <w:abstractNum w:abstractNumId="21" w15:restartNumberingAfterBreak="0">
    <w:nsid w:val="314E2D89"/>
    <w:multiLevelType w:val="multilevel"/>
    <w:tmpl w:val="5ADC0D74"/>
    <w:styleLink w:val="List39"/>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1440"/>
        </w:tabs>
        <w:ind w:left="1440" w:hanging="360"/>
      </w:pPr>
      <w:rPr>
        <w:rFonts w:ascii="Century Gothic" w:eastAsia="Century Gothic" w:hAnsi="Century Gothic" w:cs="Century Gothic"/>
        <w:position w:val="0"/>
        <w:sz w:val="24"/>
        <w:szCs w:val="24"/>
      </w:rPr>
    </w:lvl>
    <w:lvl w:ilvl="2">
      <w:start w:val="1"/>
      <w:numFmt w:val="bullet"/>
      <w:lvlText w:val="▪"/>
      <w:lvlJc w:val="left"/>
      <w:pPr>
        <w:tabs>
          <w:tab w:val="num" w:pos="2160"/>
        </w:tabs>
        <w:ind w:left="2160" w:hanging="360"/>
      </w:pPr>
      <w:rPr>
        <w:rFonts w:ascii="Century Gothic" w:eastAsia="Century Gothic" w:hAnsi="Century Gothic" w:cs="Century Gothic"/>
        <w:position w:val="0"/>
        <w:sz w:val="24"/>
        <w:szCs w:val="24"/>
      </w:rPr>
    </w:lvl>
    <w:lvl w:ilvl="3">
      <w:start w:val="1"/>
      <w:numFmt w:val="bullet"/>
      <w:lvlText w:val="•"/>
      <w:lvlJc w:val="left"/>
      <w:pPr>
        <w:tabs>
          <w:tab w:val="num" w:pos="2880"/>
        </w:tabs>
        <w:ind w:left="2880" w:hanging="360"/>
      </w:pPr>
      <w:rPr>
        <w:rFonts w:ascii="Century Gothic" w:eastAsia="Century Gothic" w:hAnsi="Century Gothic" w:cs="Century Gothic"/>
        <w:position w:val="0"/>
        <w:sz w:val="24"/>
        <w:szCs w:val="24"/>
      </w:rPr>
    </w:lvl>
    <w:lvl w:ilvl="4">
      <w:start w:val="1"/>
      <w:numFmt w:val="bullet"/>
      <w:lvlText w:val="o"/>
      <w:lvlJc w:val="left"/>
      <w:pPr>
        <w:tabs>
          <w:tab w:val="num" w:pos="3600"/>
        </w:tabs>
        <w:ind w:left="3600" w:hanging="360"/>
      </w:pPr>
      <w:rPr>
        <w:rFonts w:ascii="Century Gothic" w:eastAsia="Century Gothic" w:hAnsi="Century Gothic" w:cs="Century Gothic"/>
        <w:position w:val="0"/>
        <w:sz w:val="24"/>
        <w:szCs w:val="24"/>
      </w:rPr>
    </w:lvl>
    <w:lvl w:ilvl="5">
      <w:start w:val="1"/>
      <w:numFmt w:val="bullet"/>
      <w:lvlText w:val="▪"/>
      <w:lvlJc w:val="left"/>
      <w:pPr>
        <w:tabs>
          <w:tab w:val="num" w:pos="4320"/>
        </w:tabs>
        <w:ind w:left="4320" w:hanging="360"/>
      </w:pPr>
      <w:rPr>
        <w:rFonts w:ascii="Century Gothic" w:eastAsia="Century Gothic" w:hAnsi="Century Gothic" w:cs="Century Gothic"/>
        <w:position w:val="0"/>
        <w:sz w:val="24"/>
        <w:szCs w:val="24"/>
      </w:rPr>
    </w:lvl>
    <w:lvl w:ilvl="6">
      <w:start w:val="1"/>
      <w:numFmt w:val="bullet"/>
      <w:lvlText w:val="•"/>
      <w:lvlJc w:val="left"/>
      <w:pPr>
        <w:tabs>
          <w:tab w:val="num" w:pos="5040"/>
        </w:tabs>
        <w:ind w:left="5040" w:hanging="360"/>
      </w:pPr>
      <w:rPr>
        <w:rFonts w:ascii="Century Gothic" w:eastAsia="Century Gothic" w:hAnsi="Century Gothic" w:cs="Century Gothic"/>
        <w:position w:val="0"/>
        <w:sz w:val="24"/>
        <w:szCs w:val="24"/>
      </w:rPr>
    </w:lvl>
    <w:lvl w:ilvl="7">
      <w:start w:val="1"/>
      <w:numFmt w:val="bullet"/>
      <w:lvlText w:val="o"/>
      <w:lvlJc w:val="left"/>
      <w:pPr>
        <w:tabs>
          <w:tab w:val="num" w:pos="5760"/>
        </w:tabs>
        <w:ind w:left="5760" w:hanging="360"/>
      </w:pPr>
      <w:rPr>
        <w:rFonts w:ascii="Century Gothic" w:eastAsia="Century Gothic" w:hAnsi="Century Gothic" w:cs="Century Gothic"/>
        <w:position w:val="0"/>
        <w:sz w:val="24"/>
        <w:szCs w:val="24"/>
      </w:rPr>
    </w:lvl>
    <w:lvl w:ilvl="8">
      <w:start w:val="1"/>
      <w:numFmt w:val="bullet"/>
      <w:lvlText w:val="▪"/>
      <w:lvlJc w:val="left"/>
      <w:pPr>
        <w:tabs>
          <w:tab w:val="num" w:pos="6480"/>
        </w:tabs>
        <w:ind w:left="6480" w:hanging="360"/>
      </w:pPr>
      <w:rPr>
        <w:rFonts w:ascii="Century Gothic" w:eastAsia="Century Gothic" w:hAnsi="Century Gothic" w:cs="Century Gothic"/>
        <w:position w:val="0"/>
        <w:sz w:val="24"/>
        <w:szCs w:val="24"/>
      </w:rPr>
    </w:lvl>
  </w:abstractNum>
  <w:abstractNum w:abstractNumId="22" w15:restartNumberingAfterBreak="0">
    <w:nsid w:val="34432F8C"/>
    <w:multiLevelType w:val="multilevel"/>
    <w:tmpl w:val="82D25A90"/>
    <w:styleLink w:val="List34"/>
    <w:lvl w:ilvl="0">
      <w:numFmt w:val="bullet"/>
      <w:lvlText w:val="•"/>
      <w:lvlJc w:val="left"/>
      <w:pPr>
        <w:tabs>
          <w:tab w:val="num" w:pos="554"/>
        </w:tabs>
        <w:ind w:left="554" w:hanging="140"/>
      </w:pPr>
      <w:rPr>
        <w:rFonts w:ascii="Century Gothic" w:eastAsia="Century Gothic" w:hAnsi="Century Gothic" w:cs="Century Gothic"/>
        <w:position w:val="0"/>
        <w:sz w:val="22"/>
        <w:szCs w:val="22"/>
        <w:rtl w:val="0"/>
      </w:rPr>
    </w:lvl>
    <w:lvl w:ilvl="1">
      <w:start w:val="1"/>
      <w:numFmt w:val="bullet"/>
      <w:lvlText w:val="o"/>
      <w:lvlJc w:val="left"/>
      <w:pPr>
        <w:tabs>
          <w:tab w:val="num" w:pos="1977"/>
        </w:tabs>
        <w:ind w:left="1977" w:hanging="330"/>
      </w:pPr>
      <w:rPr>
        <w:rFonts w:ascii="Century Gothic" w:eastAsia="Century Gothic" w:hAnsi="Century Gothic" w:cs="Century Gothic"/>
        <w:position w:val="0"/>
        <w:sz w:val="22"/>
        <w:szCs w:val="22"/>
        <w:rtl w:val="0"/>
      </w:rPr>
    </w:lvl>
    <w:lvl w:ilvl="2">
      <w:start w:val="1"/>
      <w:numFmt w:val="bullet"/>
      <w:lvlText w:val="▪"/>
      <w:lvlJc w:val="left"/>
      <w:pPr>
        <w:tabs>
          <w:tab w:val="num" w:pos="2697"/>
        </w:tabs>
        <w:ind w:left="2697" w:hanging="330"/>
      </w:pPr>
      <w:rPr>
        <w:rFonts w:ascii="Century Gothic" w:eastAsia="Century Gothic" w:hAnsi="Century Gothic" w:cs="Century Gothic"/>
        <w:position w:val="0"/>
        <w:sz w:val="22"/>
        <w:szCs w:val="22"/>
        <w:rtl w:val="0"/>
      </w:rPr>
    </w:lvl>
    <w:lvl w:ilvl="3">
      <w:start w:val="1"/>
      <w:numFmt w:val="bullet"/>
      <w:lvlText w:val="•"/>
      <w:lvlJc w:val="left"/>
      <w:pPr>
        <w:tabs>
          <w:tab w:val="num" w:pos="3417"/>
        </w:tabs>
        <w:ind w:left="3417" w:hanging="330"/>
      </w:pPr>
      <w:rPr>
        <w:rFonts w:ascii="Century Gothic" w:eastAsia="Century Gothic" w:hAnsi="Century Gothic" w:cs="Century Gothic"/>
        <w:position w:val="0"/>
        <w:sz w:val="22"/>
        <w:szCs w:val="22"/>
        <w:rtl w:val="0"/>
      </w:rPr>
    </w:lvl>
    <w:lvl w:ilvl="4">
      <w:start w:val="1"/>
      <w:numFmt w:val="bullet"/>
      <w:lvlText w:val="o"/>
      <w:lvlJc w:val="left"/>
      <w:pPr>
        <w:tabs>
          <w:tab w:val="num" w:pos="4137"/>
        </w:tabs>
        <w:ind w:left="4137" w:hanging="330"/>
      </w:pPr>
      <w:rPr>
        <w:rFonts w:ascii="Century Gothic" w:eastAsia="Century Gothic" w:hAnsi="Century Gothic" w:cs="Century Gothic"/>
        <w:position w:val="0"/>
        <w:sz w:val="22"/>
        <w:szCs w:val="22"/>
        <w:rtl w:val="0"/>
      </w:rPr>
    </w:lvl>
    <w:lvl w:ilvl="5">
      <w:start w:val="1"/>
      <w:numFmt w:val="bullet"/>
      <w:lvlText w:val="▪"/>
      <w:lvlJc w:val="left"/>
      <w:pPr>
        <w:tabs>
          <w:tab w:val="num" w:pos="4857"/>
        </w:tabs>
        <w:ind w:left="4857" w:hanging="330"/>
      </w:pPr>
      <w:rPr>
        <w:rFonts w:ascii="Century Gothic" w:eastAsia="Century Gothic" w:hAnsi="Century Gothic" w:cs="Century Gothic"/>
        <w:position w:val="0"/>
        <w:sz w:val="22"/>
        <w:szCs w:val="22"/>
        <w:rtl w:val="0"/>
      </w:rPr>
    </w:lvl>
    <w:lvl w:ilvl="6">
      <w:start w:val="1"/>
      <w:numFmt w:val="bullet"/>
      <w:lvlText w:val="•"/>
      <w:lvlJc w:val="left"/>
      <w:pPr>
        <w:tabs>
          <w:tab w:val="num" w:pos="5577"/>
        </w:tabs>
        <w:ind w:left="5577" w:hanging="330"/>
      </w:pPr>
      <w:rPr>
        <w:rFonts w:ascii="Century Gothic" w:eastAsia="Century Gothic" w:hAnsi="Century Gothic" w:cs="Century Gothic"/>
        <w:position w:val="0"/>
        <w:sz w:val="22"/>
        <w:szCs w:val="22"/>
        <w:rtl w:val="0"/>
      </w:rPr>
    </w:lvl>
    <w:lvl w:ilvl="7">
      <w:start w:val="1"/>
      <w:numFmt w:val="bullet"/>
      <w:lvlText w:val="o"/>
      <w:lvlJc w:val="left"/>
      <w:pPr>
        <w:tabs>
          <w:tab w:val="num" w:pos="6297"/>
        </w:tabs>
        <w:ind w:left="6297" w:hanging="330"/>
      </w:pPr>
      <w:rPr>
        <w:rFonts w:ascii="Century Gothic" w:eastAsia="Century Gothic" w:hAnsi="Century Gothic" w:cs="Century Gothic"/>
        <w:position w:val="0"/>
        <w:sz w:val="22"/>
        <w:szCs w:val="22"/>
        <w:rtl w:val="0"/>
      </w:rPr>
    </w:lvl>
    <w:lvl w:ilvl="8">
      <w:start w:val="1"/>
      <w:numFmt w:val="bullet"/>
      <w:lvlText w:val="▪"/>
      <w:lvlJc w:val="left"/>
      <w:pPr>
        <w:tabs>
          <w:tab w:val="num" w:pos="7017"/>
        </w:tabs>
        <w:ind w:left="7017" w:hanging="330"/>
      </w:pPr>
      <w:rPr>
        <w:rFonts w:ascii="Century Gothic" w:eastAsia="Century Gothic" w:hAnsi="Century Gothic" w:cs="Century Gothic"/>
        <w:position w:val="0"/>
        <w:sz w:val="22"/>
        <w:szCs w:val="22"/>
        <w:rtl w:val="0"/>
      </w:rPr>
    </w:lvl>
  </w:abstractNum>
  <w:abstractNum w:abstractNumId="23" w15:restartNumberingAfterBreak="0">
    <w:nsid w:val="36C600F0"/>
    <w:multiLevelType w:val="multilevel"/>
    <w:tmpl w:val="67D2419E"/>
    <w:styleLink w:val="List32"/>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2007"/>
        </w:tabs>
        <w:ind w:left="2007" w:hanging="360"/>
      </w:pPr>
      <w:rPr>
        <w:rFonts w:ascii="Century Gothic" w:eastAsia="Century Gothic" w:hAnsi="Century Gothic" w:cs="Century Gothic"/>
        <w:position w:val="0"/>
        <w:sz w:val="24"/>
        <w:szCs w:val="24"/>
      </w:rPr>
    </w:lvl>
    <w:lvl w:ilvl="2">
      <w:start w:val="1"/>
      <w:numFmt w:val="bullet"/>
      <w:lvlText w:val="▪"/>
      <w:lvlJc w:val="left"/>
      <w:pPr>
        <w:tabs>
          <w:tab w:val="num" w:pos="2727"/>
        </w:tabs>
        <w:ind w:left="2727" w:hanging="360"/>
      </w:pPr>
      <w:rPr>
        <w:rFonts w:ascii="Century Gothic" w:eastAsia="Century Gothic" w:hAnsi="Century Gothic" w:cs="Century Gothic"/>
        <w:position w:val="0"/>
        <w:sz w:val="24"/>
        <w:szCs w:val="24"/>
      </w:rPr>
    </w:lvl>
    <w:lvl w:ilvl="3">
      <w:start w:val="1"/>
      <w:numFmt w:val="bullet"/>
      <w:lvlText w:val="•"/>
      <w:lvlJc w:val="left"/>
      <w:pPr>
        <w:tabs>
          <w:tab w:val="num" w:pos="3447"/>
        </w:tabs>
        <w:ind w:left="3447" w:hanging="360"/>
      </w:pPr>
      <w:rPr>
        <w:rFonts w:ascii="Century Gothic" w:eastAsia="Century Gothic" w:hAnsi="Century Gothic" w:cs="Century Gothic"/>
        <w:position w:val="0"/>
        <w:sz w:val="24"/>
        <w:szCs w:val="24"/>
      </w:rPr>
    </w:lvl>
    <w:lvl w:ilvl="4">
      <w:start w:val="1"/>
      <w:numFmt w:val="bullet"/>
      <w:lvlText w:val="o"/>
      <w:lvlJc w:val="left"/>
      <w:pPr>
        <w:tabs>
          <w:tab w:val="num" w:pos="4167"/>
        </w:tabs>
        <w:ind w:left="4167" w:hanging="360"/>
      </w:pPr>
      <w:rPr>
        <w:rFonts w:ascii="Century Gothic" w:eastAsia="Century Gothic" w:hAnsi="Century Gothic" w:cs="Century Gothic"/>
        <w:position w:val="0"/>
        <w:sz w:val="24"/>
        <w:szCs w:val="24"/>
      </w:rPr>
    </w:lvl>
    <w:lvl w:ilvl="5">
      <w:start w:val="1"/>
      <w:numFmt w:val="bullet"/>
      <w:lvlText w:val="▪"/>
      <w:lvlJc w:val="left"/>
      <w:pPr>
        <w:tabs>
          <w:tab w:val="num" w:pos="4887"/>
        </w:tabs>
        <w:ind w:left="4887" w:hanging="360"/>
      </w:pPr>
      <w:rPr>
        <w:rFonts w:ascii="Century Gothic" w:eastAsia="Century Gothic" w:hAnsi="Century Gothic" w:cs="Century Gothic"/>
        <w:position w:val="0"/>
        <w:sz w:val="24"/>
        <w:szCs w:val="24"/>
      </w:rPr>
    </w:lvl>
    <w:lvl w:ilvl="6">
      <w:start w:val="1"/>
      <w:numFmt w:val="bullet"/>
      <w:lvlText w:val="•"/>
      <w:lvlJc w:val="left"/>
      <w:pPr>
        <w:tabs>
          <w:tab w:val="num" w:pos="5607"/>
        </w:tabs>
        <w:ind w:left="5607" w:hanging="360"/>
      </w:pPr>
      <w:rPr>
        <w:rFonts w:ascii="Century Gothic" w:eastAsia="Century Gothic" w:hAnsi="Century Gothic" w:cs="Century Gothic"/>
        <w:position w:val="0"/>
        <w:sz w:val="24"/>
        <w:szCs w:val="24"/>
      </w:rPr>
    </w:lvl>
    <w:lvl w:ilvl="7">
      <w:start w:val="1"/>
      <w:numFmt w:val="bullet"/>
      <w:lvlText w:val="o"/>
      <w:lvlJc w:val="left"/>
      <w:pPr>
        <w:tabs>
          <w:tab w:val="num" w:pos="6327"/>
        </w:tabs>
        <w:ind w:left="6327" w:hanging="360"/>
      </w:pPr>
      <w:rPr>
        <w:rFonts w:ascii="Century Gothic" w:eastAsia="Century Gothic" w:hAnsi="Century Gothic" w:cs="Century Gothic"/>
        <w:position w:val="0"/>
        <w:sz w:val="24"/>
        <w:szCs w:val="24"/>
      </w:rPr>
    </w:lvl>
    <w:lvl w:ilvl="8">
      <w:start w:val="1"/>
      <w:numFmt w:val="bullet"/>
      <w:lvlText w:val="▪"/>
      <w:lvlJc w:val="left"/>
      <w:pPr>
        <w:tabs>
          <w:tab w:val="num" w:pos="7047"/>
        </w:tabs>
        <w:ind w:left="7047" w:hanging="360"/>
      </w:pPr>
      <w:rPr>
        <w:rFonts w:ascii="Century Gothic" w:eastAsia="Century Gothic" w:hAnsi="Century Gothic" w:cs="Century Gothic"/>
        <w:position w:val="0"/>
        <w:sz w:val="24"/>
        <w:szCs w:val="24"/>
      </w:rPr>
    </w:lvl>
  </w:abstractNum>
  <w:abstractNum w:abstractNumId="24" w15:restartNumberingAfterBreak="0">
    <w:nsid w:val="393035BB"/>
    <w:multiLevelType w:val="multilevel"/>
    <w:tmpl w:val="260C05CA"/>
    <w:styleLink w:val="List14"/>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25" w15:restartNumberingAfterBreak="0">
    <w:nsid w:val="3C8A40A5"/>
    <w:multiLevelType w:val="multilevel"/>
    <w:tmpl w:val="8EE2DD88"/>
    <w:styleLink w:val="List23"/>
    <w:lvl w:ilvl="0">
      <w:numFmt w:val="bullet"/>
      <w:lvlText w:val="•"/>
      <w:lvlJc w:val="left"/>
      <w:rPr>
        <w:rFonts w:ascii="Century Gothic" w:eastAsia="Century Gothic" w:hAnsi="Century Gothic" w:cs="Century Gothic"/>
        <w:position w:val="0"/>
        <w:lang w:val="en-US"/>
      </w:rPr>
    </w:lvl>
    <w:lvl w:ilvl="1">
      <w:start w:val="1"/>
      <w:numFmt w:val="bullet"/>
      <w:lvlText w:val="•"/>
      <w:lvlJc w:val="left"/>
      <w:rPr>
        <w:rFonts w:ascii="Century Gothic" w:eastAsia="Century Gothic" w:hAnsi="Century Gothic" w:cs="Century Gothic"/>
        <w:position w:val="0"/>
        <w:lang w:val="en-US"/>
      </w:rPr>
    </w:lvl>
    <w:lvl w:ilvl="2">
      <w:start w:val="1"/>
      <w:numFmt w:val="bullet"/>
      <w:lvlText w:val="•"/>
      <w:lvlJc w:val="left"/>
      <w:rPr>
        <w:rFonts w:ascii="Century Gothic" w:eastAsia="Century Gothic" w:hAnsi="Century Gothic" w:cs="Century Gothic"/>
        <w:position w:val="0"/>
        <w:lang w:val="en-US"/>
      </w:rPr>
    </w:lvl>
    <w:lvl w:ilvl="3">
      <w:start w:val="1"/>
      <w:numFmt w:val="bullet"/>
      <w:lvlText w:val="•"/>
      <w:lvlJc w:val="left"/>
      <w:rPr>
        <w:rFonts w:ascii="Century Gothic" w:eastAsia="Century Gothic" w:hAnsi="Century Gothic" w:cs="Century Gothic"/>
        <w:position w:val="0"/>
        <w:lang w:val="en-US"/>
      </w:rPr>
    </w:lvl>
    <w:lvl w:ilvl="4">
      <w:start w:val="1"/>
      <w:numFmt w:val="bullet"/>
      <w:lvlText w:val="•"/>
      <w:lvlJc w:val="left"/>
      <w:rPr>
        <w:rFonts w:ascii="Century Gothic" w:eastAsia="Century Gothic" w:hAnsi="Century Gothic" w:cs="Century Gothic"/>
        <w:position w:val="0"/>
        <w:lang w:val="en-US"/>
      </w:rPr>
    </w:lvl>
    <w:lvl w:ilvl="5">
      <w:start w:val="1"/>
      <w:numFmt w:val="bullet"/>
      <w:lvlText w:val="•"/>
      <w:lvlJc w:val="left"/>
      <w:rPr>
        <w:rFonts w:ascii="Century Gothic" w:eastAsia="Century Gothic" w:hAnsi="Century Gothic" w:cs="Century Gothic"/>
        <w:position w:val="0"/>
        <w:lang w:val="en-US"/>
      </w:rPr>
    </w:lvl>
    <w:lvl w:ilvl="6">
      <w:start w:val="1"/>
      <w:numFmt w:val="bullet"/>
      <w:lvlText w:val="•"/>
      <w:lvlJc w:val="left"/>
      <w:rPr>
        <w:rFonts w:ascii="Century Gothic" w:eastAsia="Century Gothic" w:hAnsi="Century Gothic" w:cs="Century Gothic"/>
        <w:position w:val="0"/>
        <w:lang w:val="en-US"/>
      </w:rPr>
    </w:lvl>
    <w:lvl w:ilvl="7">
      <w:start w:val="1"/>
      <w:numFmt w:val="bullet"/>
      <w:lvlText w:val="•"/>
      <w:lvlJc w:val="left"/>
      <w:rPr>
        <w:rFonts w:ascii="Century Gothic" w:eastAsia="Century Gothic" w:hAnsi="Century Gothic" w:cs="Century Gothic"/>
        <w:position w:val="0"/>
        <w:lang w:val="en-US"/>
      </w:rPr>
    </w:lvl>
    <w:lvl w:ilvl="8">
      <w:start w:val="1"/>
      <w:numFmt w:val="bullet"/>
      <w:lvlText w:val="•"/>
      <w:lvlJc w:val="left"/>
      <w:rPr>
        <w:rFonts w:ascii="Century Gothic" w:eastAsia="Century Gothic" w:hAnsi="Century Gothic" w:cs="Century Gothic"/>
        <w:position w:val="0"/>
        <w:lang w:val="en-US"/>
      </w:rPr>
    </w:lvl>
  </w:abstractNum>
  <w:abstractNum w:abstractNumId="26" w15:restartNumberingAfterBreak="0">
    <w:nsid w:val="3F432E2F"/>
    <w:multiLevelType w:val="multilevel"/>
    <w:tmpl w:val="1B88B332"/>
    <w:styleLink w:val="List33"/>
    <w:lvl w:ilvl="0">
      <w:numFmt w:val="bullet"/>
      <w:lvlText w:val="•"/>
      <w:lvlJc w:val="left"/>
      <w:pPr>
        <w:tabs>
          <w:tab w:val="num" w:pos="554"/>
        </w:tabs>
        <w:ind w:left="554" w:hanging="140"/>
      </w:pPr>
      <w:rPr>
        <w:rFonts w:ascii="Century Gothic" w:eastAsia="Century Gothic" w:hAnsi="Century Gothic" w:cs="Century Gothic"/>
        <w:position w:val="0"/>
        <w:sz w:val="22"/>
        <w:szCs w:val="22"/>
        <w:rtl w:val="0"/>
      </w:rPr>
    </w:lvl>
    <w:lvl w:ilvl="1">
      <w:start w:val="1"/>
      <w:numFmt w:val="bullet"/>
      <w:lvlText w:val="o"/>
      <w:lvlJc w:val="left"/>
      <w:pPr>
        <w:tabs>
          <w:tab w:val="num" w:pos="1977"/>
        </w:tabs>
        <w:ind w:left="1977" w:hanging="330"/>
      </w:pPr>
      <w:rPr>
        <w:rFonts w:ascii="Century Gothic" w:eastAsia="Century Gothic" w:hAnsi="Century Gothic" w:cs="Century Gothic"/>
        <w:position w:val="0"/>
        <w:sz w:val="22"/>
        <w:szCs w:val="22"/>
        <w:rtl w:val="0"/>
      </w:rPr>
    </w:lvl>
    <w:lvl w:ilvl="2">
      <w:start w:val="1"/>
      <w:numFmt w:val="bullet"/>
      <w:lvlText w:val="▪"/>
      <w:lvlJc w:val="left"/>
      <w:pPr>
        <w:tabs>
          <w:tab w:val="num" w:pos="2697"/>
        </w:tabs>
        <w:ind w:left="2697" w:hanging="330"/>
      </w:pPr>
      <w:rPr>
        <w:rFonts w:ascii="Century Gothic" w:eastAsia="Century Gothic" w:hAnsi="Century Gothic" w:cs="Century Gothic"/>
        <w:position w:val="0"/>
        <w:sz w:val="22"/>
        <w:szCs w:val="22"/>
        <w:rtl w:val="0"/>
      </w:rPr>
    </w:lvl>
    <w:lvl w:ilvl="3">
      <w:start w:val="1"/>
      <w:numFmt w:val="bullet"/>
      <w:lvlText w:val="•"/>
      <w:lvlJc w:val="left"/>
      <w:pPr>
        <w:tabs>
          <w:tab w:val="num" w:pos="3417"/>
        </w:tabs>
        <w:ind w:left="3417" w:hanging="330"/>
      </w:pPr>
      <w:rPr>
        <w:rFonts w:ascii="Century Gothic" w:eastAsia="Century Gothic" w:hAnsi="Century Gothic" w:cs="Century Gothic"/>
        <w:position w:val="0"/>
        <w:sz w:val="22"/>
        <w:szCs w:val="22"/>
        <w:rtl w:val="0"/>
      </w:rPr>
    </w:lvl>
    <w:lvl w:ilvl="4">
      <w:start w:val="1"/>
      <w:numFmt w:val="bullet"/>
      <w:lvlText w:val="o"/>
      <w:lvlJc w:val="left"/>
      <w:pPr>
        <w:tabs>
          <w:tab w:val="num" w:pos="4137"/>
        </w:tabs>
        <w:ind w:left="4137" w:hanging="330"/>
      </w:pPr>
      <w:rPr>
        <w:rFonts w:ascii="Century Gothic" w:eastAsia="Century Gothic" w:hAnsi="Century Gothic" w:cs="Century Gothic"/>
        <w:position w:val="0"/>
        <w:sz w:val="22"/>
        <w:szCs w:val="22"/>
        <w:rtl w:val="0"/>
      </w:rPr>
    </w:lvl>
    <w:lvl w:ilvl="5">
      <w:start w:val="1"/>
      <w:numFmt w:val="bullet"/>
      <w:lvlText w:val="▪"/>
      <w:lvlJc w:val="left"/>
      <w:pPr>
        <w:tabs>
          <w:tab w:val="num" w:pos="4857"/>
        </w:tabs>
        <w:ind w:left="4857" w:hanging="330"/>
      </w:pPr>
      <w:rPr>
        <w:rFonts w:ascii="Century Gothic" w:eastAsia="Century Gothic" w:hAnsi="Century Gothic" w:cs="Century Gothic"/>
        <w:position w:val="0"/>
        <w:sz w:val="22"/>
        <w:szCs w:val="22"/>
        <w:rtl w:val="0"/>
      </w:rPr>
    </w:lvl>
    <w:lvl w:ilvl="6">
      <w:start w:val="1"/>
      <w:numFmt w:val="bullet"/>
      <w:lvlText w:val="•"/>
      <w:lvlJc w:val="left"/>
      <w:pPr>
        <w:tabs>
          <w:tab w:val="num" w:pos="5577"/>
        </w:tabs>
        <w:ind w:left="5577" w:hanging="330"/>
      </w:pPr>
      <w:rPr>
        <w:rFonts w:ascii="Century Gothic" w:eastAsia="Century Gothic" w:hAnsi="Century Gothic" w:cs="Century Gothic"/>
        <w:position w:val="0"/>
        <w:sz w:val="22"/>
        <w:szCs w:val="22"/>
        <w:rtl w:val="0"/>
      </w:rPr>
    </w:lvl>
    <w:lvl w:ilvl="7">
      <w:start w:val="1"/>
      <w:numFmt w:val="bullet"/>
      <w:lvlText w:val="o"/>
      <w:lvlJc w:val="left"/>
      <w:pPr>
        <w:tabs>
          <w:tab w:val="num" w:pos="6297"/>
        </w:tabs>
        <w:ind w:left="6297" w:hanging="330"/>
      </w:pPr>
      <w:rPr>
        <w:rFonts w:ascii="Century Gothic" w:eastAsia="Century Gothic" w:hAnsi="Century Gothic" w:cs="Century Gothic"/>
        <w:position w:val="0"/>
        <w:sz w:val="22"/>
        <w:szCs w:val="22"/>
        <w:rtl w:val="0"/>
      </w:rPr>
    </w:lvl>
    <w:lvl w:ilvl="8">
      <w:start w:val="1"/>
      <w:numFmt w:val="bullet"/>
      <w:lvlText w:val="▪"/>
      <w:lvlJc w:val="left"/>
      <w:pPr>
        <w:tabs>
          <w:tab w:val="num" w:pos="7017"/>
        </w:tabs>
        <w:ind w:left="7017" w:hanging="330"/>
      </w:pPr>
      <w:rPr>
        <w:rFonts w:ascii="Century Gothic" w:eastAsia="Century Gothic" w:hAnsi="Century Gothic" w:cs="Century Gothic"/>
        <w:position w:val="0"/>
        <w:sz w:val="22"/>
        <w:szCs w:val="22"/>
        <w:rtl w:val="0"/>
      </w:rPr>
    </w:lvl>
  </w:abstractNum>
  <w:abstractNum w:abstractNumId="27" w15:restartNumberingAfterBreak="0">
    <w:nsid w:val="420C0E2E"/>
    <w:multiLevelType w:val="multilevel"/>
    <w:tmpl w:val="97AC4A32"/>
    <w:styleLink w:val="sla"/>
    <w:lvl w:ilvl="0">
      <w:start w:val="1"/>
      <w:numFmt w:val="decimal"/>
      <w:lvlText w:val="%1."/>
      <w:lvlJc w:val="left"/>
      <w:pPr>
        <w:tabs>
          <w:tab w:val="num" w:pos="393"/>
        </w:tabs>
        <w:ind w:left="393" w:hanging="393"/>
      </w:pPr>
      <w:rPr>
        <w:rFonts w:ascii="Century Gothic" w:eastAsia="Century Gothic" w:hAnsi="Century Gothic" w:cs="Century Gothic"/>
        <w:position w:val="0"/>
        <w:sz w:val="24"/>
        <w:szCs w:val="24"/>
        <w:rtl w:val="0"/>
        <w:lang w:val="en-US"/>
      </w:rPr>
    </w:lvl>
    <w:lvl w:ilvl="1">
      <w:start w:val="1"/>
      <w:numFmt w:val="decimal"/>
      <w:lvlText w:val="%2."/>
      <w:lvlJc w:val="left"/>
      <w:pPr>
        <w:tabs>
          <w:tab w:val="num" w:pos="753"/>
        </w:tabs>
        <w:ind w:left="753" w:hanging="393"/>
      </w:pPr>
      <w:rPr>
        <w:rFonts w:ascii="Century Gothic" w:eastAsia="Century Gothic" w:hAnsi="Century Gothic" w:cs="Century Gothic"/>
        <w:position w:val="0"/>
        <w:sz w:val="24"/>
        <w:szCs w:val="24"/>
        <w:rtl w:val="0"/>
        <w:lang w:val="en-US"/>
      </w:rPr>
    </w:lvl>
    <w:lvl w:ilvl="2">
      <w:start w:val="1"/>
      <w:numFmt w:val="decimal"/>
      <w:lvlText w:val="%3."/>
      <w:lvlJc w:val="left"/>
      <w:pPr>
        <w:tabs>
          <w:tab w:val="num" w:pos="1113"/>
        </w:tabs>
        <w:ind w:left="1113" w:hanging="393"/>
      </w:pPr>
      <w:rPr>
        <w:rFonts w:ascii="Century Gothic" w:eastAsia="Century Gothic" w:hAnsi="Century Gothic" w:cs="Century Gothic"/>
        <w:position w:val="0"/>
        <w:sz w:val="24"/>
        <w:szCs w:val="24"/>
        <w:rtl w:val="0"/>
        <w:lang w:val="en-US"/>
      </w:rPr>
    </w:lvl>
    <w:lvl w:ilvl="3">
      <w:start w:val="1"/>
      <w:numFmt w:val="decimal"/>
      <w:lvlText w:val="%4."/>
      <w:lvlJc w:val="left"/>
      <w:pPr>
        <w:tabs>
          <w:tab w:val="num" w:pos="1473"/>
        </w:tabs>
        <w:ind w:left="1473" w:hanging="393"/>
      </w:pPr>
      <w:rPr>
        <w:rFonts w:ascii="Century Gothic" w:eastAsia="Century Gothic" w:hAnsi="Century Gothic" w:cs="Century Gothic"/>
        <w:position w:val="0"/>
        <w:sz w:val="24"/>
        <w:szCs w:val="24"/>
        <w:rtl w:val="0"/>
        <w:lang w:val="en-US"/>
      </w:rPr>
    </w:lvl>
    <w:lvl w:ilvl="4">
      <w:start w:val="1"/>
      <w:numFmt w:val="decimal"/>
      <w:lvlText w:val="%5."/>
      <w:lvlJc w:val="left"/>
      <w:pPr>
        <w:tabs>
          <w:tab w:val="num" w:pos="1833"/>
        </w:tabs>
        <w:ind w:left="1833" w:hanging="393"/>
      </w:pPr>
      <w:rPr>
        <w:rFonts w:ascii="Century Gothic" w:eastAsia="Century Gothic" w:hAnsi="Century Gothic" w:cs="Century Gothic"/>
        <w:position w:val="0"/>
        <w:sz w:val="24"/>
        <w:szCs w:val="24"/>
        <w:rtl w:val="0"/>
        <w:lang w:val="en-US"/>
      </w:rPr>
    </w:lvl>
    <w:lvl w:ilvl="5">
      <w:start w:val="1"/>
      <w:numFmt w:val="decimal"/>
      <w:lvlText w:val="%6."/>
      <w:lvlJc w:val="left"/>
      <w:pPr>
        <w:tabs>
          <w:tab w:val="num" w:pos="2193"/>
        </w:tabs>
        <w:ind w:left="2193" w:hanging="393"/>
      </w:pPr>
      <w:rPr>
        <w:rFonts w:ascii="Century Gothic" w:eastAsia="Century Gothic" w:hAnsi="Century Gothic" w:cs="Century Gothic"/>
        <w:position w:val="0"/>
        <w:sz w:val="24"/>
        <w:szCs w:val="24"/>
        <w:rtl w:val="0"/>
        <w:lang w:val="en-US"/>
      </w:rPr>
    </w:lvl>
    <w:lvl w:ilvl="6">
      <w:start w:val="1"/>
      <w:numFmt w:val="decimal"/>
      <w:lvlText w:val="%7."/>
      <w:lvlJc w:val="left"/>
      <w:pPr>
        <w:tabs>
          <w:tab w:val="num" w:pos="2553"/>
        </w:tabs>
        <w:ind w:left="2553" w:hanging="393"/>
      </w:pPr>
      <w:rPr>
        <w:rFonts w:ascii="Century Gothic" w:eastAsia="Century Gothic" w:hAnsi="Century Gothic" w:cs="Century Gothic"/>
        <w:position w:val="0"/>
        <w:sz w:val="24"/>
        <w:szCs w:val="24"/>
        <w:rtl w:val="0"/>
        <w:lang w:val="en-US"/>
      </w:rPr>
    </w:lvl>
    <w:lvl w:ilvl="7">
      <w:start w:val="1"/>
      <w:numFmt w:val="decimal"/>
      <w:lvlText w:val="%8."/>
      <w:lvlJc w:val="left"/>
      <w:pPr>
        <w:tabs>
          <w:tab w:val="num" w:pos="2913"/>
        </w:tabs>
        <w:ind w:left="2913" w:hanging="393"/>
      </w:pPr>
      <w:rPr>
        <w:rFonts w:ascii="Century Gothic" w:eastAsia="Century Gothic" w:hAnsi="Century Gothic" w:cs="Century Gothic"/>
        <w:position w:val="0"/>
        <w:sz w:val="24"/>
        <w:szCs w:val="24"/>
        <w:rtl w:val="0"/>
        <w:lang w:val="en-US"/>
      </w:rPr>
    </w:lvl>
    <w:lvl w:ilvl="8">
      <w:start w:val="1"/>
      <w:numFmt w:val="decimal"/>
      <w:lvlText w:val="%9."/>
      <w:lvlJc w:val="left"/>
      <w:pPr>
        <w:tabs>
          <w:tab w:val="num" w:pos="3273"/>
        </w:tabs>
        <w:ind w:left="3273" w:hanging="393"/>
      </w:pPr>
      <w:rPr>
        <w:rFonts w:ascii="Century Gothic" w:eastAsia="Century Gothic" w:hAnsi="Century Gothic" w:cs="Century Gothic"/>
        <w:position w:val="0"/>
        <w:sz w:val="24"/>
        <w:szCs w:val="24"/>
        <w:rtl w:val="0"/>
        <w:lang w:val="en-US"/>
      </w:rPr>
    </w:lvl>
  </w:abstractNum>
  <w:abstractNum w:abstractNumId="28" w15:restartNumberingAfterBreak="0">
    <w:nsid w:val="497D1214"/>
    <w:multiLevelType w:val="multilevel"/>
    <w:tmpl w:val="8174D2AE"/>
    <w:styleLink w:val="List8"/>
    <w:lvl w:ilvl="0">
      <w:numFmt w:val="bullet"/>
      <w:lvlText w:val="•"/>
      <w:lvlJc w:val="left"/>
      <w:pPr>
        <w:tabs>
          <w:tab w:val="num" w:pos="784"/>
        </w:tabs>
        <w:ind w:left="784"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069"/>
        </w:tabs>
        <w:ind w:left="1069"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309"/>
        </w:tabs>
        <w:ind w:left="1309"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549"/>
        </w:tabs>
        <w:ind w:left="1549"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789"/>
        </w:tabs>
        <w:ind w:left="1789"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029"/>
        </w:tabs>
        <w:ind w:left="2029"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269"/>
        </w:tabs>
        <w:ind w:left="2269"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509"/>
        </w:tabs>
        <w:ind w:left="2509"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749"/>
        </w:tabs>
        <w:ind w:left="2749" w:hanging="262"/>
      </w:pPr>
      <w:rPr>
        <w:rFonts w:ascii="Century Gothic" w:eastAsia="Century Gothic" w:hAnsi="Century Gothic" w:cs="Century Gothic"/>
        <w:position w:val="0"/>
        <w:sz w:val="24"/>
        <w:szCs w:val="24"/>
        <w:lang w:val="en-US"/>
      </w:rPr>
    </w:lvl>
  </w:abstractNum>
  <w:abstractNum w:abstractNumId="29" w15:restartNumberingAfterBreak="0">
    <w:nsid w:val="4D6143FA"/>
    <w:multiLevelType w:val="multilevel"/>
    <w:tmpl w:val="3668AA60"/>
    <w:styleLink w:val="List21"/>
    <w:lvl w:ilvl="0">
      <w:numFmt w:val="bullet"/>
      <w:lvlText w:val="•"/>
      <w:lvlJc w:val="left"/>
      <w:pPr>
        <w:tabs>
          <w:tab w:val="num" w:pos="567"/>
        </w:tabs>
        <w:ind w:left="567" w:hanging="153"/>
      </w:pPr>
      <w:rPr>
        <w:rFonts w:ascii="Century Gothic" w:eastAsia="Century Gothic" w:hAnsi="Century Gothic" w:cs="Century Gothic"/>
        <w:position w:val="0"/>
        <w:sz w:val="22"/>
        <w:szCs w:val="22"/>
        <w:lang w:val="en-US"/>
      </w:rPr>
    </w:lvl>
    <w:lvl w:ilvl="1">
      <w:start w:val="1"/>
      <w:numFmt w:val="bullet"/>
      <w:lvlText w:val="o"/>
      <w:lvlJc w:val="left"/>
      <w:pPr>
        <w:tabs>
          <w:tab w:val="num" w:pos="1440"/>
        </w:tabs>
        <w:ind w:left="1440" w:hanging="360"/>
      </w:pPr>
      <w:rPr>
        <w:rFonts w:ascii="Century Gothic" w:eastAsia="Century Gothic" w:hAnsi="Century Gothic" w:cs="Century Gothic"/>
        <w:position w:val="0"/>
        <w:sz w:val="24"/>
        <w:szCs w:val="24"/>
        <w:lang w:val="en-US"/>
      </w:rPr>
    </w:lvl>
    <w:lvl w:ilvl="2">
      <w:start w:val="1"/>
      <w:numFmt w:val="bullet"/>
      <w:lvlText w:val="▪"/>
      <w:lvlJc w:val="left"/>
      <w:pPr>
        <w:tabs>
          <w:tab w:val="num" w:pos="2160"/>
        </w:tabs>
        <w:ind w:left="2160" w:hanging="360"/>
      </w:pPr>
      <w:rPr>
        <w:rFonts w:ascii="Century Gothic" w:eastAsia="Century Gothic" w:hAnsi="Century Gothic" w:cs="Century Gothic"/>
        <w:position w:val="0"/>
        <w:sz w:val="24"/>
        <w:szCs w:val="24"/>
        <w:lang w:val="en-US"/>
      </w:rPr>
    </w:lvl>
    <w:lvl w:ilvl="3">
      <w:start w:val="1"/>
      <w:numFmt w:val="bullet"/>
      <w:lvlText w:val="•"/>
      <w:lvlJc w:val="left"/>
      <w:pPr>
        <w:tabs>
          <w:tab w:val="num" w:pos="2880"/>
        </w:tabs>
        <w:ind w:left="2880" w:hanging="360"/>
      </w:pPr>
      <w:rPr>
        <w:rFonts w:ascii="Century Gothic" w:eastAsia="Century Gothic" w:hAnsi="Century Gothic" w:cs="Century Gothic"/>
        <w:position w:val="0"/>
        <w:sz w:val="24"/>
        <w:szCs w:val="24"/>
        <w:lang w:val="en-US"/>
      </w:rPr>
    </w:lvl>
    <w:lvl w:ilvl="4">
      <w:start w:val="1"/>
      <w:numFmt w:val="bullet"/>
      <w:lvlText w:val="o"/>
      <w:lvlJc w:val="left"/>
      <w:pPr>
        <w:tabs>
          <w:tab w:val="num" w:pos="3600"/>
        </w:tabs>
        <w:ind w:left="3600" w:hanging="360"/>
      </w:pPr>
      <w:rPr>
        <w:rFonts w:ascii="Century Gothic" w:eastAsia="Century Gothic" w:hAnsi="Century Gothic" w:cs="Century Gothic"/>
        <w:position w:val="0"/>
        <w:sz w:val="24"/>
        <w:szCs w:val="24"/>
        <w:lang w:val="en-US"/>
      </w:rPr>
    </w:lvl>
    <w:lvl w:ilvl="5">
      <w:start w:val="1"/>
      <w:numFmt w:val="bullet"/>
      <w:lvlText w:val="▪"/>
      <w:lvlJc w:val="left"/>
      <w:pPr>
        <w:tabs>
          <w:tab w:val="num" w:pos="4320"/>
        </w:tabs>
        <w:ind w:left="4320" w:hanging="360"/>
      </w:pPr>
      <w:rPr>
        <w:rFonts w:ascii="Century Gothic" w:eastAsia="Century Gothic" w:hAnsi="Century Gothic" w:cs="Century Gothic"/>
        <w:position w:val="0"/>
        <w:sz w:val="24"/>
        <w:szCs w:val="24"/>
        <w:lang w:val="en-US"/>
      </w:rPr>
    </w:lvl>
    <w:lvl w:ilvl="6">
      <w:start w:val="1"/>
      <w:numFmt w:val="bullet"/>
      <w:lvlText w:val="•"/>
      <w:lvlJc w:val="left"/>
      <w:pPr>
        <w:tabs>
          <w:tab w:val="num" w:pos="5040"/>
        </w:tabs>
        <w:ind w:left="5040" w:hanging="360"/>
      </w:pPr>
      <w:rPr>
        <w:rFonts w:ascii="Century Gothic" w:eastAsia="Century Gothic" w:hAnsi="Century Gothic" w:cs="Century Gothic"/>
        <w:position w:val="0"/>
        <w:sz w:val="24"/>
        <w:szCs w:val="24"/>
        <w:lang w:val="en-US"/>
      </w:rPr>
    </w:lvl>
    <w:lvl w:ilvl="7">
      <w:start w:val="1"/>
      <w:numFmt w:val="bullet"/>
      <w:lvlText w:val="o"/>
      <w:lvlJc w:val="left"/>
      <w:pPr>
        <w:tabs>
          <w:tab w:val="num" w:pos="5760"/>
        </w:tabs>
        <w:ind w:left="5760" w:hanging="360"/>
      </w:pPr>
      <w:rPr>
        <w:rFonts w:ascii="Century Gothic" w:eastAsia="Century Gothic" w:hAnsi="Century Gothic" w:cs="Century Gothic"/>
        <w:position w:val="0"/>
        <w:sz w:val="24"/>
        <w:szCs w:val="24"/>
        <w:lang w:val="en-US"/>
      </w:rPr>
    </w:lvl>
    <w:lvl w:ilvl="8">
      <w:start w:val="1"/>
      <w:numFmt w:val="bullet"/>
      <w:lvlText w:val="▪"/>
      <w:lvlJc w:val="left"/>
      <w:pPr>
        <w:tabs>
          <w:tab w:val="num" w:pos="6480"/>
        </w:tabs>
        <w:ind w:left="6480" w:hanging="360"/>
      </w:pPr>
      <w:rPr>
        <w:rFonts w:ascii="Century Gothic" w:eastAsia="Century Gothic" w:hAnsi="Century Gothic" w:cs="Century Gothic"/>
        <w:position w:val="0"/>
        <w:sz w:val="24"/>
        <w:szCs w:val="24"/>
        <w:lang w:val="en-US"/>
      </w:rPr>
    </w:lvl>
  </w:abstractNum>
  <w:abstractNum w:abstractNumId="30" w15:restartNumberingAfterBreak="0">
    <w:nsid w:val="4EAD07ED"/>
    <w:multiLevelType w:val="multilevel"/>
    <w:tmpl w:val="9516102A"/>
    <w:styleLink w:val="List9"/>
    <w:lvl w:ilvl="0">
      <w:numFmt w:val="bullet"/>
      <w:lvlText w:val="•"/>
      <w:lvlJc w:val="left"/>
      <w:pPr>
        <w:tabs>
          <w:tab w:val="num" w:pos="784"/>
        </w:tabs>
        <w:ind w:left="784"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069"/>
        </w:tabs>
        <w:ind w:left="1069"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309"/>
        </w:tabs>
        <w:ind w:left="1309"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549"/>
        </w:tabs>
        <w:ind w:left="1549"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789"/>
        </w:tabs>
        <w:ind w:left="1789"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029"/>
        </w:tabs>
        <w:ind w:left="2029"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269"/>
        </w:tabs>
        <w:ind w:left="2269"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509"/>
        </w:tabs>
        <w:ind w:left="2509"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749"/>
        </w:tabs>
        <w:ind w:left="2749" w:hanging="262"/>
      </w:pPr>
      <w:rPr>
        <w:rFonts w:ascii="Century Gothic" w:eastAsia="Century Gothic" w:hAnsi="Century Gothic" w:cs="Century Gothic"/>
        <w:position w:val="0"/>
        <w:sz w:val="24"/>
        <w:szCs w:val="24"/>
        <w:lang w:val="en-US"/>
      </w:rPr>
    </w:lvl>
  </w:abstractNum>
  <w:abstractNum w:abstractNumId="31" w15:restartNumberingAfterBreak="0">
    <w:nsid w:val="4F3017E6"/>
    <w:multiLevelType w:val="multilevel"/>
    <w:tmpl w:val="23F2692A"/>
    <w:styleLink w:val="List51"/>
    <w:lvl w:ilvl="0">
      <w:numFmt w:val="bullet"/>
      <w:lvlText w:val="•"/>
      <w:lvlJc w:val="left"/>
      <w:pPr>
        <w:tabs>
          <w:tab w:val="num" w:pos="784"/>
        </w:tabs>
        <w:ind w:left="784"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069"/>
        </w:tabs>
        <w:ind w:left="1069"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309"/>
        </w:tabs>
        <w:ind w:left="1309"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549"/>
        </w:tabs>
        <w:ind w:left="1549"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789"/>
        </w:tabs>
        <w:ind w:left="1789"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029"/>
        </w:tabs>
        <w:ind w:left="2029"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269"/>
        </w:tabs>
        <w:ind w:left="2269"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509"/>
        </w:tabs>
        <w:ind w:left="2509"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749"/>
        </w:tabs>
        <w:ind w:left="2749" w:hanging="262"/>
      </w:pPr>
      <w:rPr>
        <w:rFonts w:ascii="Century Gothic" w:eastAsia="Century Gothic" w:hAnsi="Century Gothic" w:cs="Century Gothic"/>
        <w:position w:val="0"/>
        <w:sz w:val="24"/>
        <w:szCs w:val="24"/>
        <w:lang w:val="en-US"/>
      </w:rPr>
    </w:lvl>
  </w:abstractNum>
  <w:abstractNum w:abstractNumId="32" w15:restartNumberingAfterBreak="0">
    <w:nsid w:val="51921EF8"/>
    <w:multiLevelType w:val="multilevel"/>
    <w:tmpl w:val="9586A826"/>
    <w:styleLink w:val="List31"/>
    <w:lvl w:ilvl="0">
      <w:numFmt w:val="bullet"/>
      <w:lvlText w:val="•"/>
      <w:lvlJc w:val="left"/>
      <w:pPr>
        <w:tabs>
          <w:tab w:val="num" w:pos="784"/>
        </w:tabs>
        <w:ind w:left="784"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069"/>
        </w:tabs>
        <w:ind w:left="1069"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309"/>
        </w:tabs>
        <w:ind w:left="1309"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549"/>
        </w:tabs>
        <w:ind w:left="1549"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789"/>
        </w:tabs>
        <w:ind w:left="1789"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029"/>
        </w:tabs>
        <w:ind w:left="2029"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269"/>
        </w:tabs>
        <w:ind w:left="2269"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509"/>
        </w:tabs>
        <w:ind w:left="2509"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749"/>
        </w:tabs>
        <w:ind w:left="2749" w:hanging="262"/>
      </w:pPr>
      <w:rPr>
        <w:rFonts w:ascii="Century Gothic" w:eastAsia="Century Gothic" w:hAnsi="Century Gothic" w:cs="Century Gothic"/>
        <w:position w:val="0"/>
        <w:sz w:val="24"/>
        <w:szCs w:val="24"/>
        <w:lang w:val="en-US"/>
      </w:rPr>
    </w:lvl>
  </w:abstractNum>
  <w:abstractNum w:abstractNumId="33" w15:restartNumberingAfterBreak="0">
    <w:nsid w:val="521B2C85"/>
    <w:multiLevelType w:val="multilevel"/>
    <w:tmpl w:val="5E8CB502"/>
    <w:styleLink w:val="List36"/>
    <w:lvl w:ilvl="0">
      <w:numFmt w:val="bullet"/>
      <w:lvlText w:val="•"/>
      <w:lvlJc w:val="left"/>
      <w:pPr>
        <w:tabs>
          <w:tab w:val="num" w:pos="554"/>
        </w:tabs>
        <w:ind w:left="554" w:hanging="140"/>
      </w:pPr>
      <w:rPr>
        <w:rFonts w:ascii="Century Gothic" w:eastAsia="Century Gothic" w:hAnsi="Century Gothic" w:cs="Century Gothic"/>
        <w:position w:val="0"/>
        <w:sz w:val="22"/>
        <w:szCs w:val="22"/>
        <w:rtl w:val="0"/>
      </w:rPr>
    </w:lvl>
    <w:lvl w:ilvl="1">
      <w:start w:val="1"/>
      <w:numFmt w:val="bullet"/>
      <w:lvlText w:val="o"/>
      <w:lvlJc w:val="left"/>
      <w:pPr>
        <w:tabs>
          <w:tab w:val="num" w:pos="1977"/>
        </w:tabs>
        <w:ind w:left="1977" w:hanging="330"/>
      </w:pPr>
      <w:rPr>
        <w:rFonts w:ascii="Century Gothic" w:eastAsia="Century Gothic" w:hAnsi="Century Gothic" w:cs="Century Gothic"/>
        <w:position w:val="0"/>
        <w:sz w:val="22"/>
        <w:szCs w:val="22"/>
        <w:rtl w:val="0"/>
      </w:rPr>
    </w:lvl>
    <w:lvl w:ilvl="2">
      <w:start w:val="1"/>
      <w:numFmt w:val="bullet"/>
      <w:lvlText w:val="▪"/>
      <w:lvlJc w:val="left"/>
      <w:pPr>
        <w:tabs>
          <w:tab w:val="num" w:pos="2697"/>
        </w:tabs>
        <w:ind w:left="2697" w:hanging="330"/>
      </w:pPr>
      <w:rPr>
        <w:rFonts w:ascii="Century Gothic" w:eastAsia="Century Gothic" w:hAnsi="Century Gothic" w:cs="Century Gothic"/>
        <w:position w:val="0"/>
        <w:sz w:val="22"/>
        <w:szCs w:val="22"/>
        <w:rtl w:val="0"/>
      </w:rPr>
    </w:lvl>
    <w:lvl w:ilvl="3">
      <w:start w:val="1"/>
      <w:numFmt w:val="bullet"/>
      <w:lvlText w:val="•"/>
      <w:lvlJc w:val="left"/>
      <w:pPr>
        <w:tabs>
          <w:tab w:val="num" w:pos="3417"/>
        </w:tabs>
        <w:ind w:left="3417" w:hanging="330"/>
      </w:pPr>
      <w:rPr>
        <w:rFonts w:ascii="Century Gothic" w:eastAsia="Century Gothic" w:hAnsi="Century Gothic" w:cs="Century Gothic"/>
        <w:position w:val="0"/>
        <w:sz w:val="22"/>
        <w:szCs w:val="22"/>
        <w:rtl w:val="0"/>
      </w:rPr>
    </w:lvl>
    <w:lvl w:ilvl="4">
      <w:start w:val="1"/>
      <w:numFmt w:val="bullet"/>
      <w:lvlText w:val="o"/>
      <w:lvlJc w:val="left"/>
      <w:pPr>
        <w:tabs>
          <w:tab w:val="num" w:pos="4137"/>
        </w:tabs>
        <w:ind w:left="4137" w:hanging="330"/>
      </w:pPr>
      <w:rPr>
        <w:rFonts w:ascii="Century Gothic" w:eastAsia="Century Gothic" w:hAnsi="Century Gothic" w:cs="Century Gothic"/>
        <w:position w:val="0"/>
        <w:sz w:val="22"/>
        <w:szCs w:val="22"/>
        <w:rtl w:val="0"/>
      </w:rPr>
    </w:lvl>
    <w:lvl w:ilvl="5">
      <w:start w:val="1"/>
      <w:numFmt w:val="bullet"/>
      <w:lvlText w:val="▪"/>
      <w:lvlJc w:val="left"/>
      <w:pPr>
        <w:tabs>
          <w:tab w:val="num" w:pos="4857"/>
        </w:tabs>
        <w:ind w:left="4857" w:hanging="330"/>
      </w:pPr>
      <w:rPr>
        <w:rFonts w:ascii="Century Gothic" w:eastAsia="Century Gothic" w:hAnsi="Century Gothic" w:cs="Century Gothic"/>
        <w:position w:val="0"/>
        <w:sz w:val="22"/>
        <w:szCs w:val="22"/>
        <w:rtl w:val="0"/>
      </w:rPr>
    </w:lvl>
    <w:lvl w:ilvl="6">
      <w:start w:val="1"/>
      <w:numFmt w:val="bullet"/>
      <w:lvlText w:val="•"/>
      <w:lvlJc w:val="left"/>
      <w:pPr>
        <w:tabs>
          <w:tab w:val="num" w:pos="5577"/>
        </w:tabs>
        <w:ind w:left="5577" w:hanging="330"/>
      </w:pPr>
      <w:rPr>
        <w:rFonts w:ascii="Century Gothic" w:eastAsia="Century Gothic" w:hAnsi="Century Gothic" w:cs="Century Gothic"/>
        <w:position w:val="0"/>
        <w:sz w:val="22"/>
        <w:szCs w:val="22"/>
        <w:rtl w:val="0"/>
      </w:rPr>
    </w:lvl>
    <w:lvl w:ilvl="7">
      <w:start w:val="1"/>
      <w:numFmt w:val="bullet"/>
      <w:lvlText w:val="o"/>
      <w:lvlJc w:val="left"/>
      <w:pPr>
        <w:tabs>
          <w:tab w:val="num" w:pos="6297"/>
        </w:tabs>
        <w:ind w:left="6297" w:hanging="330"/>
      </w:pPr>
      <w:rPr>
        <w:rFonts w:ascii="Century Gothic" w:eastAsia="Century Gothic" w:hAnsi="Century Gothic" w:cs="Century Gothic"/>
        <w:position w:val="0"/>
        <w:sz w:val="22"/>
        <w:szCs w:val="22"/>
        <w:rtl w:val="0"/>
      </w:rPr>
    </w:lvl>
    <w:lvl w:ilvl="8">
      <w:start w:val="1"/>
      <w:numFmt w:val="bullet"/>
      <w:lvlText w:val="▪"/>
      <w:lvlJc w:val="left"/>
      <w:pPr>
        <w:tabs>
          <w:tab w:val="num" w:pos="7017"/>
        </w:tabs>
        <w:ind w:left="7017" w:hanging="330"/>
      </w:pPr>
      <w:rPr>
        <w:rFonts w:ascii="Century Gothic" w:eastAsia="Century Gothic" w:hAnsi="Century Gothic" w:cs="Century Gothic"/>
        <w:position w:val="0"/>
        <w:sz w:val="22"/>
        <w:szCs w:val="22"/>
        <w:rtl w:val="0"/>
      </w:rPr>
    </w:lvl>
  </w:abstractNum>
  <w:abstractNum w:abstractNumId="34" w15:restartNumberingAfterBreak="0">
    <w:nsid w:val="54202510"/>
    <w:multiLevelType w:val="multilevel"/>
    <w:tmpl w:val="0D96AA5A"/>
    <w:styleLink w:val="List30"/>
    <w:lvl w:ilvl="0">
      <w:numFmt w:val="bullet"/>
      <w:lvlText w:val="•"/>
      <w:lvlJc w:val="left"/>
      <w:pPr>
        <w:tabs>
          <w:tab w:val="num" w:pos="554"/>
        </w:tabs>
        <w:ind w:left="554" w:hanging="140"/>
      </w:pPr>
      <w:rPr>
        <w:rFonts w:ascii="Century Gothic" w:eastAsia="Century Gothic" w:hAnsi="Century Gothic" w:cs="Century Gothic"/>
        <w:position w:val="0"/>
        <w:sz w:val="22"/>
        <w:szCs w:val="22"/>
        <w:rtl w:val="0"/>
        <w:lang w:val="en-US"/>
      </w:rPr>
    </w:lvl>
    <w:lvl w:ilvl="1">
      <w:start w:val="1"/>
      <w:numFmt w:val="bullet"/>
      <w:lvlText w:val="o"/>
      <w:lvlJc w:val="left"/>
      <w:pPr>
        <w:tabs>
          <w:tab w:val="num" w:pos="1410"/>
        </w:tabs>
        <w:ind w:left="1410" w:hanging="330"/>
      </w:pPr>
      <w:rPr>
        <w:rFonts w:ascii="Century Gothic" w:eastAsia="Century Gothic" w:hAnsi="Century Gothic" w:cs="Century Gothic"/>
        <w:position w:val="0"/>
        <w:sz w:val="22"/>
        <w:szCs w:val="22"/>
        <w:rtl w:val="0"/>
        <w:lang w:val="en-US"/>
      </w:rPr>
    </w:lvl>
    <w:lvl w:ilvl="2">
      <w:start w:val="1"/>
      <w:numFmt w:val="bullet"/>
      <w:lvlText w:val="▪"/>
      <w:lvlJc w:val="left"/>
      <w:pPr>
        <w:tabs>
          <w:tab w:val="num" w:pos="2130"/>
        </w:tabs>
        <w:ind w:left="2130" w:hanging="330"/>
      </w:pPr>
      <w:rPr>
        <w:rFonts w:ascii="Century Gothic" w:eastAsia="Century Gothic" w:hAnsi="Century Gothic" w:cs="Century Gothic"/>
        <w:position w:val="0"/>
        <w:sz w:val="22"/>
        <w:szCs w:val="22"/>
        <w:rtl w:val="0"/>
        <w:lang w:val="en-US"/>
      </w:rPr>
    </w:lvl>
    <w:lvl w:ilvl="3">
      <w:start w:val="1"/>
      <w:numFmt w:val="bullet"/>
      <w:lvlText w:val="•"/>
      <w:lvlJc w:val="left"/>
      <w:pPr>
        <w:tabs>
          <w:tab w:val="num" w:pos="2850"/>
        </w:tabs>
        <w:ind w:left="2850" w:hanging="330"/>
      </w:pPr>
      <w:rPr>
        <w:rFonts w:ascii="Century Gothic" w:eastAsia="Century Gothic" w:hAnsi="Century Gothic" w:cs="Century Gothic"/>
        <w:position w:val="0"/>
        <w:sz w:val="22"/>
        <w:szCs w:val="22"/>
        <w:rtl w:val="0"/>
        <w:lang w:val="en-US"/>
      </w:rPr>
    </w:lvl>
    <w:lvl w:ilvl="4">
      <w:start w:val="1"/>
      <w:numFmt w:val="bullet"/>
      <w:lvlText w:val="o"/>
      <w:lvlJc w:val="left"/>
      <w:pPr>
        <w:tabs>
          <w:tab w:val="num" w:pos="3570"/>
        </w:tabs>
        <w:ind w:left="3570" w:hanging="330"/>
      </w:pPr>
      <w:rPr>
        <w:rFonts w:ascii="Century Gothic" w:eastAsia="Century Gothic" w:hAnsi="Century Gothic" w:cs="Century Gothic"/>
        <w:position w:val="0"/>
        <w:sz w:val="22"/>
        <w:szCs w:val="22"/>
        <w:rtl w:val="0"/>
        <w:lang w:val="en-US"/>
      </w:rPr>
    </w:lvl>
    <w:lvl w:ilvl="5">
      <w:start w:val="1"/>
      <w:numFmt w:val="bullet"/>
      <w:lvlText w:val="▪"/>
      <w:lvlJc w:val="left"/>
      <w:pPr>
        <w:tabs>
          <w:tab w:val="num" w:pos="4290"/>
        </w:tabs>
        <w:ind w:left="4290" w:hanging="330"/>
      </w:pPr>
      <w:rPr>
        <w:rFonts w:ascii="Century Gothic" w:eastAsia="Century Gothic" w:hAnsi="Century Gothic" w:cs="Century Gothic"/>
        <w:position w:val="0"/>
        <w:sz w:val="22"/>
        <w:szCs w:val="22"/>
        <w:rtl w:val="0"/>
        <w:lang w:val="en-US"/>
      </w:rPr>
    </w:lvl>
    <w:lvl w:ilvl="6">
      <w:start w:val="1"/>
      <w:numFmt w:val="bullet"/>
      <w:lvlText w:val="•"/>
      <w:lvlJc w:val="left"/>
      <w:pPr>
        <w:tabs>
          <w:tab w:val="num" w:pos="5010"/>
        </w:tabs>
        <w:ind w:left="5010" w:hanging="330"/>
      </w:pPr>
      <w:rPr>
        <w:rFonts w:ascii="Century Gothic" w:eastAsia="Century Gothic" w:hAnsi="Century Gothic" w:cs="Century Gothic"/>
        <w:position w:val="0"/>
        <w:sz w:val="22"/>
        <w:szCs w:val="22"/>
        <w:rtl w:val="0"/>
        <w:lang w:val="en-US"/>
      </w:rPr>
    </w:lvl>
    <w:lvl w:ilvl="7">
      <w:start w:val="1"/>
      <w:numFmt w:val="bullet"/>
      <w:lvlText w:val="o"/>
      <w:lvlJc w:val="left"/>
      <w:pPr>
        <w:tabs>
          <w:tab w:val="num" w:pos="5730"/>
        </w:tabs>
        <w:ind w:left="5730" w:hanging="330"/>
      </w:pPr>
      <w:rPr>
        <w:rFonts w:ascii="Century Gothic" w:eastAsia="Century Gothic" w:hAnsi="Century Gothic" w:cs="Century Gothic"/>
        <w:position w:val="0"/>
        <w:sz w:val="22"/>
        <w:szCs w:val="22"/>
        <w:rtl w:val="0"/>
        <w:lang w:val="en-US"/>
      </w:rPr>
    </w:lvl>
    <w:lvl w:ilvl="8">
      <w:start w:val="1"/>
      <w:numFmt w:val="bullet"/>
      <w:lvlText w:val="▪"/>
      <w:lvlJc w:val="left"/>
      <w:pPr>
        <w:tabs>
          <w:tab w:val="num" w:pos="6450"/>
        </w:tabs>
        <w:ind w:left="6450" w:hanging="330"/>
      </w:pPr>
      <w:rPr>
        <w:rFonts w:ascii="Century Gothic" w:eastAsia="Century Gothic" w:hAnsi="Century Gothic" w:cs="Century Gothic"/>
        <w:position w:val="0"/>
        <w:sz w:val="22"/>
        <w:szCs w:val="22"/>
        <w:rtl w:val="0"/>
        <w:lang w:val="en-US"/>
      </w:rPr>
    </w:lvl>
  </w:abstractNum>
  <w:abstractNum w:abstractNumId="35" w15:restartNumberingAfterBreak="0">
    <w:nsid w:val="54754317"/>
    <w:multiLevelType w:val="hybridMultilevel"/>
    <w:tmpl w:val="1436DE7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5B5C352E"/>
    <w:multiLevelType w:val="multilevel"/>
    <w:tmpl w:val="AE58F350"/>
    <w:styleLink w:val="List35"/>
    <w:lvl w:ilvl="0">
      <w:numFmt w:val="bullet"/>
      <w:lvlText w:val="•"/>
      <w:lvlJc w:val="left"/>
      <w:pPr>
        <w:tabs>
          <w:tab w:val="num" w:pos="554"/>
        </w:tabs>
        <w:ind w:left="554" w:hanging="140"/>
      </w:pPr>
      <w:rPr>
        <w:rFonts w:ascii="Century Gothic" w:eastAsia="Century Gothic" w:hAnsi="Century Gothic" w:cs="Century Gothic"/>
        <w:position w:val="0"/>
        <w:sz w:val="22"/>
        <w:szCs w:val="22"/>
        <w:rtl w:val="0"/>
      </w:rPr>
    </w:lvl>
    <w:lvl w:ilvl="1">
      <w:start w:val="1"/>
      <w:numFmt w:val="bullet"/>
      <w:lvlText w:val="o"/>
      <w:lvlJc w:val="left"/>
      <w:pPr>
        <w:tabs>
          <w:tab w:val="num" w:pos="1977"/>
        </w:tabs>
        <w:ind w:left="1977" w:hanging="330"/>
      </w:pPr>
      <w:rPr>
        <w:rFonts w:ascii="Century Gothic" w:eastAsia="Century Gothic" w:hAnsi="Century Gothic" w:cs="Century Gothic"/>
        <w:position w:val="0"/>
        <w:sz w:val="22"/>
        <w:szCs w:val="22"/>
        <w:rtl w:val="0"/>
      </w:rPr>
    </w:lvl>
    <w:lvl w:ilvl="2">
      <w:start w:val="1"/>
      <w:numFmt w:val="bullet"/>
      <w:lvlText w:val="▪"/>
      <w:lvlJc w:val="left"/>
      <w:pPr>
        <w:tabs>
          <w:tab w:val="num" w:pos="2697"/>
        </w:tabs>
        <w:ind w:left="2697" w:hanging="330"/>
      </w:pPr>
      <w:rPr>
        <w:rFonts w:ascii="Century Gothic" w:eastAsia="Century Gothic" w:hAnsi="Century Gothic" w:cs="Century Gothic"/>
        <w:position w:val="0"/>
        <w:sz w:val="22"/>
        <w:szCs w:val="22"/>
        <w:rtl w:val="0"/>
      </w:rPr>
    </w:lvl>
    <w:lvl w:ilvl="3">
      <w:start w:val="1"/>
      <w:numFmt w:val="bullet"/>
      <w:lvlText w:val="•"/>
      <w:lvlJc w:val="left"/>
      <w:pPr>
        <w:tabs>
          <w:tab w:val="num" w:pos="3417"/>
        </w:tabs>
        <w:ind w:left="3417" w:hanging="330"/>
      </w:pPr>
      <w:rPr>
        <w:rFonts w:ascii="Century Gothic" w:eastAsia="Century Gothic" w:hAnsi="Century Gothic" w:cs="Century Gothic"/>
        <w:position w:val="0"/>
        <w:sz w:val="22"/>
        <w:szCs w:val="22"/>
        <w:rtl w:val="0"/>
      </w:rPr>
    </w:lvl>
    <w:lvl w:ilvl="4">
      <w:start w:val="1"/>
      <w:numFmt w:val="bullet"/>
      <w:lvlText w:val="o"/>
      <w:lvlJc w:val="left"/>
      <w:pPr>
        <w:tabs>
          <w:tab w:val="num" w:pos="4137"/>
        </w:tabs>
        <w:ind w:left="4137" w:hanging="330"/>
      </w:pPr>
      <w:rPr>
        <w:rFonts w:ascii="Century Gothic" w:eastAsia="Century Gothic" w:hAnsi="Century Gothic" w:cs="Century Gothic"/>
        <w:position w:val="0"/>
        <w:sz w:val="22"/>
        <w:szCs w:val="22"/>
        <w:rtl w:val="0"/>
      </w:rPr>
    </w:lvl>
    <w:lvl w:ilvl="5">
      <w:start w:val="1"/>
      <w:numFmt w:val="bullet"/>
      <w:lvlText w:val="▪"/>
      <w:lvlJc w:val="left"/>
      <w:pPr>
        <w:tabs>
          <w:tab w:val="num" w:pos="4857"/>
        </w:tabs>
        <w:ind w:left="4857" w:hanging="330"/>
      </w:pPr>
      <w:rPr>
        <w:rFonts w:ascii="Century Gothic" w:eastAsia="Century Gothic" w:hAnsi="Century Gothic" w:cs="Century Gothic"/>
        <w:position w:val="0"/>
        <w:sz w:val="22"/>
        <w:szCs w:val="22"/>
        <w:rtl w:val="0"/>
      </w:rPr>
    </w:lvl>
    <w:lvl w:ilvl="6">
      <w:start w:val="1"/>
      <w:numFmt w:val="bullet"/>
      <w:lvlText w:val="•"/>
      <w:lvlJc w:val="left"/>
      <w:pPr>
        <w:tabs>
          <w:tab w:val="num" w:pos="5577"/>
        </w:tabs>
        <w:ind w:left="5577" w:hanging="330"/>
      </w:pPr>
      <w:rPr>
        <w:rFonts w:ascii="Century Gothic" w:eastAsia="Century Gothic" w:hAnsi="Century Gothic" w:cs="Century Gothic"/>
        <w:position w:val="0"/>
        <w:sz w:val="22"/>
        <w:szCs w:val="22"/>
        <w:rtl w:val="0"/>
      </w:rPr>
    </w:lvl>
    <w:lvl w:ilvl="7">
      <w:start w:val="1"/>
      <w:numFmt w:val="bullet"/>
      <w:lvlText w:val="o"/>
      <w:lvlJc w:val="left"/>
      <w:pPr>
        <w:tabs>
          <w:tab w:val="num" w:pos="6297"/>
        </w:tabs>
        <w:ind w:left="6297" w:hanging="330"/>
      </w:pPr>
      <w:rPr>
        <w:rFonts w:ascii="Century Gothic" w:eastAsia="Century Gothic" w:hAnsi="Century Gothic" w:cs="Century Gothic"/>
        <w:position w:val="0"/>
        <w:sz w:val="22"/>
        <w:szCs w:val="22"/>
        <w:rtl w:val="0"/>
      </w:rPr>
    </w:lvl>
    <w:lvl w:ilvl="8">
      <w:start w:val="1"/>
      <w:numFmt w:val="bullet"/>
      <w:lvlText w:val="▪"/>
      <w:lvlJc w:val="left"/>
      <w:pPr>
        <w:tabs>
          <w:tab w:val="num" w:pos="7017"/>
        </w:tabs>
        <w:ind w:left="7017" w:hanging="330"/>
      </w:pPr>
      <w:rPr>
        <w:rFonts w:ascii="Century Gothic" w:eastAsia="Century Gothic" w:hAnsi="Century Gothic" w:cs="Century Gothic"/>
        <w:position w:val="0"/>
        <w:sz w:val="22"/>
        <w:szCs w:val="22"/>
        <w:rtl w:val="0"/>
      </w:rPr>
    </w:lvl>
  </w:abstractNum>
  <w:abstractNum w:abstractNumId="37" w15:restartNumberingAfterBreak="0">
    <w:nsid w:val="5D4562F9"/>
    <w:multiLevelType w:val="multilevel"/>
    <w:tmpl w:val="5A947534"/>
    <w:styleLink w:val="List40"/>
    <w:lvl w:ilvl="0">
      <w:numFmt w:val="bullet"/>
      <w:lvlText w:val="•"/>
      <w:lvlJc w:val="left"/>
      <w:pPr>
        <w:tabs>
          <w:tab w:val="num" w:pos="554"/>
        </w:tabs>
        <w:ind w:left="554" w:hanging="140"/>
      </w:pPr>
      <w:rPr>
        <w:rFonts w:ascii="Century Gothic" w:eastAsia="Century Gothic" w:hAnsi="Century Gothic" w:cs="Century Gothic"/>
        <w:position w:val="0"/>
        <w:sz w:val="22"/>
        <w:szCs w:val="22"/>
        <w:rtl w:val="0"/>
      </w:rPr>
    </w:lvl>
    <w:lvl w:ilvl="1">
      <w:start w:val="1"/>
      <w:numFmt w:val="bullet"/>
      <w:lvlText w:val="o"/>
      <w:lvlJc w:val="left"/>
      <w:pPr>
        <w:tabs>
          <w:tab w:val="num" w:pos="1410"/>
        </w:tabs>
        <w:ind w:left="1410" w:hanging="330"/>
      </w:pPr>
      <w:rPr>
        <w:rFonts w:ascii="Century Gothic" w:eastAsia="Century Gothic" w:hAnsi="Century Gothic" w:cs="Century Gothic"/>
        <w:position w:val="0"/>
        <w:sz w:val="22"/>
        <w:szCs w:val="22"/>
        <w:rtl w:val="0"/>
      </w:rPr>
    </w:lvl>
    <w:lvl w:ilvl="2">
      <w:start w:val="1"/>
      <w:numFmt w:val="bullet"/>
      <w:lvlText w:val="▪"/>
      <w:lvlJc w:val="left"/>
      <w:pPr>
        <w:tabs>
          <w:tab w:val="num" w:pos="2130"/>
        </w:tabs>
        <w:ind w:left="2130" w:hanging="330"/>
      </w:pPr>
      <w:rPr>
        <w:rFonts w:ascii="Century Gothic" w:eastAsia="Century Gothic" w:hAnsi="Century Gothic" w:cs="Century Gothic"/>
        <w:position w:val="0"/>
        <w:sz w:val="22"/>
        <w:szCs w:val="22"/>
        <w:rtl w:val="0"/>
      </w:rPr>
    </w:lvl>
    <w:lvl w:ilvl="3">
      <w:start w:val="1"/>
      <w:numFmt w:val="bullet"/>
      <w:lvlText w:val="•"/>
      <w:lvlJc w:val="left"/>
      <w:pPr>
        <w:tabs>
          <w:tab w:val="num" w:pos="2850"/>
        </w:tabs>
        <w:ind w:left="2850" w:hanging="330"/>
      </w:pPr>
      <w:rPr>
        <w:rFonts w:ascii="Century Gothic" w:eastAsia="Century Gothic" w:hAnsi="Century Gothic" w:cs="Century Gothic"/>
        <w:position w:val="0"/>
        <w:sz w:val="22"/>
        <w:szCs w:val="22"/>
        <w:rtl w:val="0"/>
      </w:rPr>
    </w:lvl>
    <w:lvl w:ilvl="4">
      <w:start w:val="1"/>
      <w:numFmt w:val="bullet"/>
      <w:lvlText w:val="o"/>
      <w:lvlJc w:val="left"/>
      <w:pPr>
        <w:tabs>
          <w:tab w:val="num" w:pos="3570"/>
        </w:tabs>
        <w:ind w:left="3570" w:hanging="330"/>
      </w:pPr>
      <w:rPr>
        <w:rFonts w:ascii="Century Gothic" w:eastAsia="Century Gothic" w:hAnsi="Century Gothic" w:cs="Century Gothic"/>
        <w:position w:val="0"/>
        <w:sz w:val="22"/>
        <w:szCs w:val="22"/>
        <w:rtl w:val="0"/>
      </w:rPr>
    </w:lvl>
    <w:lvl w:ilvl="5">
      <w:start w:val="1"/>
      <w:numFmt w:val="bullet"/>
      <w:lvlText w:val="▪"/>
      <w:lvlJc w:val="left"/>
      <w:pPr>
        <w:tabs>
          <w:tab w:val="num" w:pos="4290"/>
        </w:tabs>
        <w:ind w:left="4290" w:hanging="330"/>
      </w:pPr>
      <w:rPr>
        <w:rFonts w:ascii="Century Gothic" w:eastAsia="Century Gothic" w:hAnsi="Century Gothic" w:cs="Century Gothic"/>
        <w:position w:val="0"/>
        <w:sz w:val="22"/>
        <w:szCs w:val="22"/>
        <w:rtl w:val="0"/>
      </w:rPr>
    </w:lvl>
    <w:lvl w:ilvl="6">
      <w:start w:val="1"/>
      <w:numFmt w:val="bullet"/>
      <w:lvlText w:val="•"/>
      <w:lvlJc w:val="left"/>
      <w:pPr>
        <w:tabs>
          <w:tab w:val="num" w:pos="5010"/>
        </w:tabs>
        <w:ind w:left="5010" w:hanging="330"/>
      </w:pPr>
      <w:rPr>
        <w:rFonts w:ascii="Century Gothic" w:eastAsia="Century Gothic" w:hAnsi="Century Gothic" w:cs="Century Gothic"/>
        <w:position w:val="0"/>
        <w:sz w:val="22"/>
        <w:szCs w:val="22"/>
        <w:rtl w:val="0"/>
      </w:rPr>
    </w:lvl>
    <w:lvl w:ilvl="7">
      <w:start w:val="1"/>
      <w:numFmt w:val="bullet"/>
      <w:lvlText w:val="o"/>
      <w:lvlJc w:val="left"/>
      <w:pPr>
        <w:tabs>
          <w:tab w:val="num" w:pos="5730"/>
        </w:tabs>
        <w:ind w:left="5730" w:hanging="330"/>
      </w:pPr>
      <w:rPr>
        <w:rFonts w:ascii="Century Gothic" w:eastAsia="Century Gothic" w:hAnsi="Century Gothic" w:cs="Century Gothic"/>
        <w:position w:val="0"/>
        <w:sz w:val="22"/>
        <w:szCs w:val="22"/>
        <w:rtl w:val="0"/>
      </w:rPr>
    </w:lvl>
    <w:lvl w:ilvl="8">
      <w:start w:val="1"/>
      <w:numFmt w:val="bullet"/>
      <w:lvlText w:val="▪"/>
      <w:lvlJc w:val="left"/>
      <w:pPr>
        <w:tabs>
          <w:tab w:val="num" w:pos="6450"/>
        </w:tabs>
        <w:ind w:left="6450" w:hanging="330"/>
      </w:pPr>
      <w:rPr>
        <w:rFonts w:ascii="Century Gothic" w:eastAsia="Century Gothic" w:hAnsi="Century Gothic" w:cs="Century Gothic"/>
        <w:position w:val="0"/>
        <w:sz w:val="22"/>
        <w:szCs w:val="22"/>
        <w:rtl w:val="0"/>
      </w:rPr>
    </w:lvl>
  </w:abstractNum>
  <w:abstractNum w:abstractNumId="38" w15:restartNumberingAfterBreak="0">
    <w:nsid w:val="5E384E49"/>
    <w:multiLevelType w:val="hybridMultilevel"/>
    <w:tmpl w:val="F634BE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5F9825AA"/>
    <w:multiLevelType w:val="multilevel"/>
    <w:tmpl w:val="382A18E0"/>
    <w:styleLink w:val="List15"/>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1440"/>
        </w:tabs>
        <w:ind w:left="1440" w:hanging="360"/>
      </w:pPr>
      <w:rPr>
        <w:rFonts w:ascii="Century Gothic" w:eastAsia="Century Gothic" w:hAnsi="Century Gothic" w:cs="Century Gothic"/>
        <w:position w:val="0"/>
        <w:sz w:val="24"/>
        <w:szCs w:val="24"/>
      </w:rPr>
    </w:lvl>
    <w:lvl w:ilvl="2">
      <w:start w:val="1"/>
      <w:numFmt w:val="bullet"/>
      <w:lvlText w:val="▪"/>
      <w:lvlJc w:val="left"/>
      <w:pPr>
        <w:tabs>
          <w:tab w:val="num" w:pos="2160"/>
        </w:tabs>
        <w:ind w:left="2160" w:hanging="360"/>
      </w:pPr>
      <w:rPr>
        <w:rFonts w:ascii="Century Gothic" w:eastAsia="Century Gothic" w:hAnsi="Century Gothic" w:cs="Century Gothic"/>
        <w:position w:val="0"/>
        <w:sz w:val="24"/>
        <w:szCs w:val="24"/>
      </w:rPr>
    </w:lvl>
    <w:lvl w:ilvl="3">
      <w:start w:val="1"/>
      <w:numFmt w:val="bullet"/>
      <w:lvlText w:val="•"/>
      <w:lvlJc w:val="left"/>
      <w:pPr>
        <w:tabs>
          <w:tab w:val="num" w:pos="2880"/>
        </w:tabs>
        <w:ind w:left="2880" w:hanging="360"/>
      </w:pPr>
      <w:rPr>
        <w:rFonts w:ascii="Century Gothic" w:eastAsia="Century Gothic" w:hAnsi="Century Gothic" w:cs="Century Gothic"/>
        <w:position w:val="0"/>
        <w:sz w:val="24"/>
        <w:szCs w:val="24"/>
      </w:rPr>
    </w:lvl>
    <w:lvl w:ilvl="4">
      <w:start w:val="1"/>
      <w:numFmt w:val="bullet"/>
      <w:lvlText w:val="o"/>
      <w:lvlJc w:val="left"/>
      <w:pPr>
        <w:tabs>
          <w:tab w:val="num" w:pos="3600"/>
        </w:tabs>
        <w:ind w:left="3600" w:hanging="360"/>
      </w:pPr>
      <w:rPr>
        <w:rFonts w:ascii="Century Gothic" w:eastAsia="Century Gothic" w:hAnsi="Century Gothic" w:cs="Century Gothic"/>
        <w:position w:val="0"/>
        <w:sz w:val="24"/>
        <w:szCs w:val="24"/>
      </w:rPr>
    </w:lvl>
    <w:lvl w:ilvl="5">
      <w:start w:val="1"/>
      <w:numFmt w:val="bullet"/>
      <w:lvlText w:val="▪"/>
      <w:lvlJc w:val="left"/>
      <w:pPr>
        <w:tabs>
          <w:tab w:val="num" w:pos="4320"/>
        </w:tabs>
        <w:ind w:left="4320" w:hanging="360"/>
      </w:pPr>
      <w:rPr>
        <w:rFonts w:ascii="Century Gothic" w:eastAsia="Century Gothic" w:hAnsi="Century Gothic" w:cs="Century Gothic"/>
        <w:position w:val="0"/>
        <w:sz w:val="24"/>
        <w:szCs w:val="24"/>
      </w:rPr>
    </w:lvl>
    <w:lvl w:ilvl="6">
      <w:start w:val="1"/>
      <w:numFmt w:val="bullet"/>
      <w:lvlText w:val="•"/>
      <w:lvlJc w:val="left"/>
      <w:pPr>
        <w:tabs>
          <w:tab w:val="num" w:pos="5040"/>
        </w:tabs>
        <w:ind w:left="5040" w:hanging="360"/>
      </w:pPr>
      <w:rPr>
        <w:rFonts w:ascii="Century Gothic" w:eastAsia="Century Gothic" w:hAnsi="Century Gothic" w:cs="Century Gothic"/>
        <w:position w:val="0"/>
        <w:sz w:val="24"/>
        <w:szCs w:val="24"/>
      </w:rPr>
    </w:lvl>
    <w:lvl w:ilvl="7">
      <w:start w:val="1"/>
      <w:numFmt w:val="bullet"/>
      <w:lvlText w:val="o"/>
      <w:lvlJc w:val="left"/>
      <w:pPr>
        <w:tabs>
          <w:tab w:val="num" w:pos="5760"/>
        </w:tabs>
        <w:ind w:left="5760" w:hanging="360"/>
      </w:pPr>
      <w:rPr>
        <w:rFonts w:ascii="Century Gothic" w:eastAsia="Century Gothic" w:hAnsi="Century Gothic" w:cs="Century Gothic"/>
        <w:position w:val="0"/>
        <w:sz w:val="24"/>
        <w:szCs w:val="24"/>
      </w:rPr>
    </w:lvl>
    <w:lvl w:ilvl="8">
      <w:start w:val="1"/>
      <w:numFmt w:val="bullet"/>
      <w:lvlText w:val="▪"/>
      <w:lvlJc w:val="left"/>
      <w:pPr>
        <w:tabs>
          <w:tab w:val="num" w:pos="6480"/>
        </w:tabs>
        <w:ind w:left="6480" w:hanging="360"/>
      </w:pPr>
      <w:rPr>
        <w:rFonts w:ascii="Century Gothic" w:eastAsia="Century Gothic" w:hAnsi="Century Gothic" w:cs="Century Gothic"/>
        <w:position w:val="0"/>
        <w:sz w:val="24"/>
        <w:szCs w:val="24"/>
      </w:rPr>
    </w:lvl>
  </w:abstractNum>
  <w:abstractNum w:abstractNumId="40" w15:restartNumberingAfterBreak="0">
    <w:nsid w:val="619E283D"/>
    <w:multiLevelType w:val="multilevel"/>
    <w:tmpl w:val="C4603176"/>
    <w:styleLink w:val="List29"/>
    <w:lvl w:ilvl="0">
      <w:numFmt w:val="bullet"/>
      <w:lvlText w:val="•"/>
      <w:lvlJc w:val="left"/>
      <w:pPr>
        <w:tabs>
          <w:tab w:val="num" w:pos="567"/>
        </w:tabs>
        <w:ind w:left="567" w:hanging="153"/>
      </w:pPr>
      <w:rPr>
        <w:rFonts w:ascii="Century Gothic" w:eastAsia="Century Gothic" w:hAnsi="Century Gothic" w:cs="Century Gothic"/>
        <w:position w:val="0"/>
        <w:sz w:val="22"/>
        <w:szCs w:val="22"/>
        <w:lang w:val="en-US"/>
      </w:rPr>
    </w:lvl>
    <w:lvl w:ilvl="1">
      <w:start w:val="1"/>
      <w:numFmt w:val="bullet"/>
      <w:lvlText w:val="o"/>
      <w:lvlJc w:val="left"/>
      <w:pPr>
        <w:tabs>
          <w:tab w:val="num" w:pos="1440"/>
        </w:tabs>
        <w:ind w:left="1440" w:hanging="360"/>
      </w:pPr>
      <w:rPr>
        <w:rFonts w:ascii="Century Gothic" w:eastAsia="Century Gothic" w:hAnsi="Century Gothic" w:cs="Century Gothic"/>
        <w:position w:val="0"/>
        <w:sz w:val="24"/>
        <w:szCs w:val="24"/>
        <w:lang w:val="en-US"/>
      </w:rPr>
    </w:lvl>
    <w:lvl w:ilvl="2">
      <w:start w:val="1"/>
      <w:numFmt w:val="bullet"/>
      <w:lvlText w:val="▪"/>
      <w:lvlJc w:val="left"/>
      <w:pPr>
        <w:tabs>
          <w:tab w:val="num" w:pos="2160"/>
        </w:tabs>
        <w:ind w:left="2160" w:hanging="360"/>
      </w:pPr>
      <w:rPr>
        <w:rFonts w:ascii="Century Gothic" w:eastAsia="Century Gothic" w:hAnsi="Century Gothic" w:cs="Century Gothic"/>
        <w:position w:val="0"/>
        <w:sz w:val="24"/>
        <w:szCs w:val="24"/>
        <w:lang w:val="en-US"/>
      </w:rPr>
    </w:lvl>
    <w:lvl w:ilvl="3">
      <w:start w:val="1"/>
      <w:numFmt w:val="bullet"/>
      <w:lvlText w:val="•"/>
      <w:lvlJc w:val="left"/>
      <w:pPr>
        <w:tabs>
          <w:tab w:val="num" w:pos="2880"/>
        </w:tabs>
        <w:ind w:left="2880" w:hanging="360"/>
      </w:pPr>
      <w:rPr>
        <w:rFonts w:ascii="Century Gothic" w:eastAsia="Century Gothic" w:hAnsi="Century Gothic" w:cs="Century Gothic"/>
        <w:position w:val="0"/>
        <w:sz w:val="24"/>
        <w:szCs w:val="24"/>
        <w:lang w:val="en-US"/>
      </w:rPr>
    </w:lvl>
    <w:lvl w:ilvl="4">
      <w:start w:val="1"/>
      <w:numFmt w:val="bullet"/>
      <w:lvlText w:val="o"/>
      <w:lvlJc w:val="left"/>
      <w:pPr>
        <w:tabs>
          <w:tab w:val="num" w:pos="3600"/>
        </w:tabs>
        <w:ind w:left="3600" w:hanging="360"/>
      </w:pPr>
      <w:rPr>
        <w:rFonts w:ascii="Century Gothic" w:eastAsia="Century Gothic" w:hAnsi="Century Gothic" w:cs="Century Gothic"/>
        <w:position w:val="0"/>
        <w:sz w:val="24"/>
        <w:szCs w:val="24"/>
        <w:lang w:val="en-US"/>
      </w:rPr>
    </w:lvl>
    <w:lvl w:ilvl="5">
      <w:start w:val="1"/>
      <w:numFmt w:val="bullet"/>
      <w:lvlText w:val="▪"/>
      <w:lvlJc w:val="left"/>
      <w:pPr>
        <w:tabs>
          <w:tab w:val="num" w:pos="4320"/>
        </w:tabs>
        <w:ind w:left="4320" w:hanging="360"/>
      </w:pPr>
      <w:rPr>
        <w:rFonts w:ascii="Century Gothic" w:eastAsia="Century Gothic" w:hAnsi="Century Gothic" w:cs="Century Gothic"/>
        <w:position w:val="0"/>
        <w:sz w:val="24"/>
        <w:szCs w:val="24"/>
        <w:lang w:val="en-US"/>
      </w:rPr>
    </w:lvl>
    <w:lvl w:ilvl="6">
      <w:start w:val="1"/>
      <w:numFmt w:val="bullet"/>
      <w:lvlText w:val="•"/>
      <w:lvlJc w:val="left"/>
      <w:pPr>
        <w:tabs>
          <w:tab w:val="num" w:pos="5040"/>
        </w:tabs>
        <w:ind w:left="5040" w:hanging="360"/>
      </w:pPr>
      <w:rPr>
        <w:rFonts w:ascii="Century Gothic" w:eastAsia="Century Gothic" w:hAnsi="Century Gothic" w:cs="Century Gothic"/>
        <w:position w:val="0"/>
        <w:sz w:val="24"/>
        <w:szCs w:val="24"/>
        <w:lang w:val="en-US"/>
      </w:rPr>
    </w:lvl>
    <w:lvl w:ilvl="7">
      <w:start w:val="1"/>
      <w:numFmt w:val="bullet"/>
      <w:lvlText w:val="o"/>
      <w:lvlJc w:val="left"/>
      <w:pPr>
        <w:tabs>
          <w:tab w:val="num" w:pos="5760"/>
        </w:tabs>
        <w:ind w:left="5760" w:hanging="360"/>
      </w:pPr>
      <w:rPr>
        <w:rFonts w:ascii="Century Gothic" w:eastAsia="Century Gothic" w:hAnsi="Century Gothic" w:cs="Century Gothic"/>
        <w:position w:val="0"/>
        <w:sz w:val="24"/>
        <w:szCs w:val="24"/>
        <w:lang w:val="en-US"/>
      </w:rPr>
    </w:lvl>
    <w:lvl w:ilvl="8">
      <w:start w:val="1"/>
      <w:numFmt w:val="bullet"/>
      <w:lvlText w:val="▪"/>
      <w:lvlJc w:val="left"/>
      <w:pPr>
        <w:tabs>
          <w:tab w:val="num" w:pos="6480"/>
        </w:tabs>
        <w:ind w:left="6480" w:hanging="360"/>
      </w:pPr>
      <w:rPr>
        <w:rFonts w:ascii="Century Gothic" w:eastAsia="Century Gothic" w:hAnsi="Century Gothic" w:cs="Century Gothic"/>
        <w:position w:val="0"/>
        <w:sz w:val="24"/>
        <w:szCs w:val="24"/>
        <w:lang w:val="en-US"/>
      </w:rPr>
    </w:lvl>
  </w:abstractNum>
  <w:abstractNum w:abstractNumId="41" w15:restartNumberingAfterBreak="0">
    <w:nsid w:val="64C2423D"/>
    <w:multiLevelType w:val="multilevel"/>
    <w:tmpl w:val="C0EEF780"/>
    <w:styleLink w:val="List17"/>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42" w15:restartNumberingAfterBreak="0">
    <w:nsid w:val="650F39F0"/>
    <w:multiLevelType w:val="hybridMultilevel"/>
    <w:tmpl w:val="A3D6CDF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735B2EB3"/>
    <w:multiLevelType w:val="hybridMultilevel"/>
    <w:tmpl w:val="89840D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73710042"/>
    <w:multiLevelType w:val="hybridMultilevel"/>
    <w:tmpl w:val="45E00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B3467E"/>
    <w:multiLevelType w:val="multilevel"/>
    <w:tmpl w:val="1A86EF4C"/>
    <w:styleLink w:val="List10"/>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46" w15:restartNumberingAfterBreak="0">
    <w:nsid w:val="753A7ED2"/>
    <w:multiLevelType w:val="multilevel"/>
    <w:tmpl w:val="16FAE5DE"/>
    <w:styleLink w:val="List24"/>
    <w:lvl w:ilvl="0">
      <w:numFmt w:val="bullet"/>
      <w:lvlText w:val="•"/>
      <w:lvlJc w:val="left"/>
      <w:rPr>
        <w:rFonts w:ascii="Century Gothic" w:eastAsia="Century Gothic" w:hAnsi="Century Gothic" w:cs="Century Gothic"/>
        <w:position w:val="0"/>
        <w:lang w:val="en-US"/>
      </w:rPr>
    </w:lvl>
    <w:lvl w:ilvl="1">
      <w:start w:val="1"/>
      <w:numFmt w:val="bullet"/>
      <w:lvlText w:val="•"/>
      <w:lvlJc w:val="left"/>
      <w:rPr>
        <w:rFonts w:ascii="Century Gothic" w:eastAsia="Century Gothic" w:hAnsi="Century Gothic" w:cs="Century Gothic"/>
        <w:position w:val="0"/>
        <w:lang w:val="en-US"/>
      </w:rPr>
    </w:lvl>
    <w:lvl w:ilvl="2">
      <w:start w:val="1"/>
      <w:numFmt w:val="bullet"/>
      <w:lvlText w:val="•"/>
      <w:lvlJc w:val="left"/>
      <w:rPr>
        <w:rFonts w:ascii="Century Gothic" w:eastAsia="Century Gothic" w:hAnsi="Century Gothic" w:cs="Century Gothic"/>
        <w:position w:val="0"/>
        <w:lang w:val="en-US"/>
      </w:rPr>
    </w:lvl>
    <w:lvl w:ilvl="3">
      <w:start w:val="1"/>
      <w:numFmt w:val="bullet"/>
      <w:lvlText w:val="•"/>
      <w:lvlJc w:val="left"/>
      <w:rPr>
        <w:rFonts w:ascii="Century Gothic" w:eastAsia="Century Gothic" w:hAnsi="Century Gothic" w:cs="Century Gothic"/>
        <w:position w:val="0"/>
        <w:lang w:val="en-US"/>
      </w:rPr>
    </w:lvl>
    <w:lvl w:ilvl="4">
      <w:start w:val="1"/>
      <w:numFmt w:val="bullet"/>
      <w:lvlText w:val="•"/>
      <w:lvlJc w:val="left"/>
      <w:rPr>
        <w:rFonts w:ascii="Century Gothic" w:eastAsia="Century Gothic" w:hAnsi="Century Gothic" w:cs="Century Gothic"/>
        <w:position w:val="0"/>
        <w:lang w:val="en-US"/>
      </w:rPr>
    </w:lvl>
    <w:lvl w:ilvl="5">
      <w:start w:val="1"/>
      <w:numFmt w:val="bullet"/>
      <w:lvlText w:val="•"/>
      <w:lvlJc w:val="left"/>
      <w:rPr>
        <w:rFonts w:ascii="Century Gothic" w:eastAsia="Century Gothic" w:hAnsi="Century Gothic" w:cs="Century Gothic"/>
        <w:position w:val="0"/>
        <w:lang w:val="en-US"/>
      </w:rPr>
    </w:lvl>
    <w:lvl w:ilvl="6">
      <w:start w:val="1"/>
      <w:numFmt w:val="bullet"/>
      <w:lvlText w:val="•"/>
      <w:lvlJc w:val="left"/>
      <w:rPr>
        <w:rFonts w:ascii="Century Gothic" w:eastAsia="Century Gothic" w:hAnsi="Century Gothic" w:cs="Century Gothic"/>
        <w:position w:val="0"/>
        <w:lang w:val="en-US"/>
      </w:rPr>
    </w:lvl>
    <w:lvl w:ilvl="7">
      <w:start w:val="1"/>
      <w:numFmt w:val="bullet"/>
      <w:lvlText w:val="•"/>
      <w:lvlJc w:val="left"/>
      <w:rPr>
        <w:rFonts w:ascii="Century Gothic" w:eastAsia="Century Gothic" w:hAnsi="Century Gothic" w:cs="Century Gothic"/>
        <w:position w:val="0"/>
        <w:lang w:val="en-US"/>
      </w:rPr>
    </w:lvl>
    <w:lvl w:ilvl="8">
      <w:start w:val="1"/>
      <w:numFmt w:val="bullet"/>
      <w:lvlText w:val="•"/>
      <w:lvlJc w:val="left"/>
      <w:rPr>
        <w:rFonts w:ascii="Century Gothic" w:eastAsia="Century Gothic" w:hAnsi="Century Gothic" w:cs="Century Gothic"/>
        <w:position w:val="0"/>
        <w:lang w:val="en-US"/>
      </w:rPr>
    </w:lvl>
  </w:abstractNum>
  <w:abstractNum w:abstractNumId="47" w15:restartNumberingAfterBreak="0">
    <w:nsid w:val="77775C4F"/>
    <w:multiLevelType w:val="multilevel"/>
    <w:tmpl w:val="FCA259EA"/>
    <w:styleLink w:val="List18"/>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48" w15:restartNumberingAfterBreak="0">
    <w:nsid w:val="789E2545"/>
    <w:multiLevelType w:val="multilevel"/>
    <w:tmpl w:val="E59C5388"/>
    <w:styleLink w:val="List38"/>
    <w:lvl w:ilvl="0">
      <w:numFmt w:val="bullet"/>
      <w:lvlText w:val="•"/>
      <w:lvlJc w:val="left"/>
      <w:pPr>
        <w:tabs>
          <w:tab w:val="num" w:pos="554"/>
        </w:tabs>
        <w:ind w:left="554" w:hanging="140"/>
      </w:pPr>
      <w:rPr>
        <w:rFonts w:ascii="Century Gothic" w:eastAsia="Century Gothic" w:hAnsi="Century Gothic" w:cs="Century Gothic"/>
        <w:position w:val="0"/>
        <w:sz w:val="22"/>
        <w:szCs w:val="22"/>
        <w:rtl w:val="0"/>
      </w:rPr>
    </w:lvl>
    <w:lvl w:ilvl="1">
      <w:start w:val="1"/>
      <w:numFmt w:val="bullet"/>
      <w:lvlText w:val="o"/>
      <w:lvlJc w:val="left"/>
      <w:pPr>
        <w:tabs>
          <w:tab w:val="num" w:pos="1410"/>
        </w:tabs>
        <w:ind w:left="1410" w:hanging="330"/>
      </w:pPr>
      <w:rPr>
        <w:rFonts w:ascii="Century Gothic" w:eastAsia="Century Gothic" w:hAnsi="Century Gothic" w:cs="Century Gothic"/>
        <w:position w:val="0"/>
        <w:sz w:val="22"/>
        <w:szCs w:val="22"/>
        <w:rtl w:val="0"/>
      </w:rPr>
    </w:lvl>
    <w:lvl w:ilvl="2">
      <w:start w:val="1"/>
      <w:numFmt w:val="bullet"/>
      <w:lvlText w:val="▪"/>
      <w:lvlJc w:val="left"/>
      <w:pPr>
        <w:tabs>
          <w:tab w:val="num" w:pos="2130"/>
        </w:tabs>
        <w:ind w:left="2130" w:hanging="330"/>
      </w:pPr>
      <w:rPr>
        <w:rFonts w:ascii="Century Gothic" w:eastAsia="Century Gothic" w:hAnsi="Century Gothic" w:cs="Century Gothic"/>
        <w:position w:val="0"/>
        <w:sz w:val="22"/>
        <w:szCs w:val="22"/>
        <w:rtl w:val="0"/>
      </w:rPr>
    </w:lvl>
    <w:lvl w:ilvl="3">
      <w:start w:val="1"/>
      <w:numFmt w:val="bullet"/>
      <w:lvlText w:val="•"/>
      <w:lvlJc w:val="left"/>
      <w:pPr>
        <w:tabs>
          <w:tab w:val="num" w:pos="2850"/>
        </w:tabs>
        <w:ind w:left="2850" w:hanging="330"/>
      </w:pPr>
      <w:rPr>
        <w:rFonts w:ascii="Century Gothic" w:eastAsia="Century Gothic" w:hAnsi="Century Gothic" w:cs="Century Gothic"/>
        <w:position w:val="0"/>
        <w:sz w:val="22"/>
        <w:szCs w:val="22"/>
        <w:rtl w:val="0"/>
      </w:rPr>
    </w:lvl>
    <w:lvl w:ilvl="4">
      <w:start w:val="1"/>
      <w:numFmt w:val="bullet"/>
      <w:lvlText w:val="o"/>
      <w:lvlJc w:val="left"/>
      <w:pPr>
        <w:tabs>
          <w:tab w:val="num" w:pos="3570"/>
        </w:tabs>
        <w:ind w:left="3570" w:hanging="330"/>
      </w:pPr>
      <w:rPr>
        <w:rFonts w:ascii="Century Gothic" w:eastAsia="Century Gothic" w:hAnsi="Century Gothic" w:cs="Century Gothic"/>
        <w:position w:val="0"/>
        <w:sz w:val="22"/>
        <w:szCs w:val="22"/>
        <w:rtl w:val="0"/>
      </w:rPr>
    </w:lvl>
    <w:lvl w:ilvl="5">
      <w:start w:val="1"/>
      <w:numFmt w:val="bullet"/>
      <w:lvlText w:val="▪"/>
      <w:lvlJc w:val="left"/>
      <w:pPr>
        <w:tabs>
          <w:tab w:val="num" w:pos="4290"/>
        </w:tabs>
        <w:ind w:left="4290" w:hanging="330"/>
      </w:pPr>
      <w:rPr>
        <w:rFonts w:ascii="Century Gothic" w:eastAsia="Century Gothic" w:hAnsi="Century Gothic" w:cs="Century Gothic"/>
        <w:position w:val="0"/>
        <w:sz w:val="22"/>
        <w:szCs w:val="22"/>
        <w:rtl w:val="0"/>
      </w:rPr>
    </w:lvl>
    <w:lvl w:ilvl="6">
      <w:start w:val="1"/>
      <w:numFmt w:val="bullet"/>
      <w:lvlText w:val="•"/>
      <w:lvlJc w:val="left"/>
      <w:pPr>
        <w:tabs>
          <w:tab w:val="num" w:pos="5010"/>
        </w:tabs>
        <w:ind w:left="5010" w:hanging="330"/>
      </w:pPr>
      <w:rPr>
        <w:rFonts w:ascii="Century Gothic" w:eastAsia="Century Gothic" w:hAnsi="Century Gothic" w:cs="Century Gothic"/>
        <w:position w:val="0"/>
        <w:sz w:val="22"/>
        <w:szCs w:val="22"/>
        <w:rtl w:val="0"/>
      </w:rPr>
    </w:lvl>
    <w:lvl w:ilvl="7">
      <w:start w:val="1"/>
      <w:numFmt w:val="bullet"/>
      <w:lvlText w:val="o"/>
      <w:lvlJc w:val="left"/>
      <w:pPr>
        <w:tabs>
          <w:tab w:val="num" w:pos="5730"/>
        </w:tabs>
        <w:ind w:left="5730" w:hanging="330"/>
      </w:pPr>
      <w:rPr>
        <w:rFonts w:ascii="Century Gothic" w:eastAsia="Century Gothic" w:hAnsi="Century Gothic" w:cs="Century Gothic"/>
        <w:position w:val="0"/>
        <w:sz w:val="22"/>
        <w:szCs w:val="22"/>
        <w:rtl w:val="0"/>
      </w:rPr>
    </w:lvl>
    <w:lvl w:ilvl="8">
      <w:start w:val="1"/>
      <w:numFmt w:val="bullet"/>
      <w:lvlText w:val="▪"/>
      <w:lvlJc w:val="left"/>
      <w:pPr>
        <w:tabs>
          <w:tab w:val="num" w:pos="6450"/>
        </w:tabs>
        <w:ind w:left="6450" w:hanging="330"/>
      </w:pPr>
      <w:rPr>
        <w:rFonts w:ascii="Century Gothic" w:eastAsia="Century Gothic" w:hAnsi="Century Gothic" w:cs="Century Gothic"/>
        <w:position w:val="0"/>
        <w:sz w:val="22"/>
        <w:szCs w:val="22"/>
        <w:rtl w:val="0"/>
      </w:rPr>
    </w:lvl>
  </w:abstractNum>
  <w:abstractNum w:abstractNumId="49" w15:restartNumberingAfterBreak="0">
    <w:nsid w:val="79BD1045"/>
    <w:multiLevelType w:val="multilevel"/>
    <w:tmpl w:val="91BEA136"/>
    <w:styleLink w:val="List16"/>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1440"/>
        </w:tabs>
        <w:ind w:left="1440" w:hanging="360"/>
      </w:pPr>
      <w:rPr>
        <w:rFonts w:ascii="Century Gothic" w:eastAsia="Century Gothic" w:hAnsi="Century Gothic" w:cs="Century Gothic"/>
        <w:position w:val="0"/>
        <w:sz w:val="24"/>
        <w:szCs w:val="24"/>
      </w:rPr>
    </w:lvl>
    <w:lvl w:ilvl="2">
      <w:start w:val="1"/>
      <w:numFmt w:val="bullet"/>
      <w:lvlText w:val="▪"/>
      <w:lvlJc w:val="left"/>
      <w:pPr>
        <w:tabs>
          <w:tab w:val="num" w:pos="2160"/>
        </w:tabs>
        <w:ind w:left="2160" w:hanging="360"/>
      </w:pPr>
      <w:rPr>
        <w:rFonts w:ascii="Century Gothic" w:eastAsia="Century Gothic" w:hAnsi="Century Gothic" w:cs="Century Gothic"/>
        <w:position w:val="0"/>
        <w:sz w:val="24"/>
        <w:szCs w:val="24"/>
      </w:rPr>
    </w:lvl>
    <w:lvl w:ilvl="3">
      <w:start w:val="1"/>
      <w:numFmt w:val="bullet"/>
      <w:lvlText w:val="•"/>
      <w:lvlJc w:val="left"/>
      <w:pPr>
        <w:tabs>
          <w:tab w:val="num" w:pos="2880"/>
        </w:tabs>
        <w:ind w:left="2880" w:hanging="360"/>
      </w:pPr>
      <w:rPr>
        <w:rFonts w:ascii="Century Gothic" w:eastAsia="Century Gothic" w:hAnsi="Century Gothic" w:cs="Century Gothic"/>
        <w:position w:val="0"/>
        <w:sz w:val="24"/>
        <w:szCs w:val="24"/>
      </w:rPr>
    </w:lvl>
    <w:lvl w:ilvl="4">
      <w:start w:val="1"/>
      <w:numFmt w:val="bullet"/>
      <w:lvlText w:val="o"/>
      <w:lvlJc w:val="left"/>
      <w:pPr>
        <w:tabs>
          <w:tab w:val="num" w:pos="3600"/>
        </w:tabs>
        <w:ind w:left="3600" w:hanging="360"/>
      </w:pPr>
      <w:rPr>
        <w:rFonts w:ascii="Century Gothic" w:eastAsia="Century Gothic" w:hAnsi="Century Gothic" w:cs="Century Gothic"/>
        <w:position w:val="0"/>
        <w:sz w:val="24"/>
        <w:szCs w:val="24"/>
      </w:rPr>
    </w:lvl>
    <w:lvl w:ilvl="5">
      <w:start w:val="1"/>
      <w:numFmt w:val="bullet"/>
      <w:lvlText w:val="▪"/>
      <w:lvlJc w:val="left"/>
      <w:pPr>
        <w:tabs>
          <w:tab w:val="num" w:pos="4320"/>
        </w:tabs>
        <w:ind w:left="4320" w:hanging="360"/>
      </w:pPr>
      <w:rPr>
        <w:rFonts w:ascii="Century Gothic" w:eastAsia="Century Gothic" w:hAnsi="Century Gothic" w:cs="Century Gothic"/>
        <w:position w:val="0"/>
        <w:sz w:val="24"/>
        <w:szCs w:val="24"/>
      </w:rPr>
    </w:lvl>
    <w:lvl w:ilvl="6">
      <w:start w:val="1"/>
      <w:numFmt w:val="bullet"/>
      <w:lvlText w:val="•"/>
      <w:lvlJc w:val="left"/>
      <w:pPr>
        <w:tabs>
          <w:tab w:val="num" w:pos="5040"/>
        </w:tabs>
        <w:ind w:left="5040" w:hanging="360"/>
      </w:pPr>
      <w:rPr>
        <w:rFonts w:ascii="Century Gothic" w:eastAsia="Century Gothic" w:hAnsi="Century Gothic" w:cs="Century Gothic"/>
        <w:position w:val="0"/>
        <w:sz w:val="24"/>
        <w:szCs w:val="24"/>
      </w:rPr>
    </w:lvl>
    <w:lvl w:ilvl="7">
      <w:start w:val="1"/>
      <w:numFmt w:val="bullet"/>
      <w:lvlText w:val="o"/>
      <w:lvlJc w:val="left"/>
      <w:pPr>
        <w:tabs>
          <w:tab w:val="num" w:pos="5760"/>
        </w:tabs>
        <w:ind w:left="5760" w:hanging="360"/>
      </w:pPr>
      <w:rPr>
        <w:rFonts w:ascii="Century Gothic" w:eastAsia="Century Gothic" w:hAnsi="Century Gothic" w:cs="Century Gothic"/>
        <w:position w:val="0"/>
        <w:sz w:val="24"/>
        <w:szCs w:val="24"/>
      </w:rPr>
    </w:lvl>
    <w:lvl w:ilvl="8">
      <w:start w:val="1"/>
      <w:numFmt w:val="bullet"/>
      <w:lvlText w:val="▪"/>
      <w:lvlJc w:val="left"/>
      <w:pPr>
        <w:tabs>
          <w:tab w:val="num" w:pos="6480"/>
        </w:tabs>
        <w:ind w:left="6480" w:hanging="360"/>
      </w:pPr>
      <w:rPr>
        <w:rFonts w:ascii="Century Gothic" w:eastAsia="Century Gothic" w:hAnsi="Century Gothic" w:cs="Century Gothic"/>
        <w:position w:val="0"/>
        <w:sz w:val="24"/>
        <w:szCs w:val="24"/>
      </w:rPr>
    </w:lvl>
  </w:abstractNum>
  <w:abstractNum w:abstractNumId="50" w15:restartNumberingAfterBreak="0">
    <w:nsid w:val="7D642CD3"/>
    <w:multiLevelType w:val="multilevel"/>
    <w:tmpl w:val="A0429DC4"/>
    <w:styleLink w:val="List13"/>
    <w:lvl w:ilvl="0">
      <w:numFmt w:val="bullet"/>
      <w:lvlText w:val="•"/>
      <w:lvlJc w:val="left"/>
      <w:pPr>
        <w:tabs>
          <w:tab w:val="num" w:pos="926"/>
        </w:tabs>
        <w:ind w:left="926" w:hanging="217"/>
      </w:pPr>
      <w:rPr>
        <w:rFonts w:ascii="Century Gothic" w:eastAsia="Century Gothic" w:hAnsi="Century Gothic" w:cs="Century Gothic"/>
        <w:position w:val="0"/>
        <w:sz w:val="22"/>
        <w:szCs w:val="22"/>
        <w:lang w:val="en-US"/>
      </w:rPr>
    </w:lvl>
    <w:lvl w:ilvl="1">
      <w:start w:val="1"/>
      <w:numFmt w:val="bullet"/>
      <w:lvlText w:val="•"/>
      <w:lvlJc w:val="left"/>
      <w:pPr>
        <w:tabs>
          <w:tab w:val="num" w:pos="1211"/>
        </w:tabs>
        <w:ind w:left="1211" w:hanging="262"/>
      </w:pPr>
      <w:rPr>
        <w:rFonts w:ascii="Century Gothic" w:eastAsia="Century Gothic" w:hAnsi="Century Gothic" w:cs="Century Gothic"/>
        <w:position w:val="0"/>
        <w:sz w:val="24"/>
        <w:szCs w:val="24"/>
        <w:lang w:val="en-US"/>
      </w:rPr>
    </w:lvl>
    <w:lvl w:ilvl="2">
      <w:start w:val="1"/>
      <w:numFmt w:val="bullet"/>
      <w:lvlText w:val="•"/>
      <w:lvlJc w:val="left"/>
      <w:pPr>
        <w:tabs>
          <w:tab w:val="num" w:pos="1451"/>
        </w:tabs>
        <w:ind w:left="1451" w:hanging="262"/>
      </w:pPr>
      <w:rPr>
        <w:rFonts w:ascii="Century Gothic" w:eastAsia="Century Gothic" w:hAnsi="Century Gothic" w:cs="Century Gothic"/>
        <w:position w:val="0"/>
        <w:sz w:val="24"/>
        <w:szCs w:val="24"/>
        <w:lang w:val="en-US"/>
      </w:rPr>
    </w:lvl>
    <w:lvl w:ilvl="3">
      <w:start w:val="1"/>
      <w:numFmt w:val="bullet"/>
      <w:lvlText w:val="•"/>
      <w:lvlJc w:val="left"/>
      <w:pPr>
        <w:tabs>
          <w:tab w:val="num" w:pos="1691"/>
        </w:tabs>
        <w:ind w:left="1691" w:hanging="262"/>
      </w:pPr>
      <w:rPr>
        <w:rFonts w:ascii="Century Gothic" w:eastAsia="Century Gothic" w:hAnsi="Century Gothic" w:cs="Century Gothic"/>
        <w:position w:val="0"/>
        <w:sz w:val="24"/>
        <w:szCs w:val="24"/>
        <w:lang w:val="en-US"/>
      </w:rPr>
    </w:lvl>
    <w:lvl w:ilvl="4">
      <w:start w:val="1"/>
      <w:numFmt w:val="bullet"/>
      <w:lvlText w:val="•"/>
      <w:lvlJc w:val="left"/>
      <w:pPr>
        <w:tabs>
          <w:tab w:val="num" w:pos="1931"/>
        </w:tabs>
        <w:ind w:left="1931" w:hanging="262"/>
      </w:pPr>
      <w:rPr>
        <w:rFonts w:ascii="Century Gothic" w:eastAsia="Century Gothic" w:hAnsi="Century Gothic" w:cs="Century Gothic"/>
        <w:position w:val="0"/>
        <w:sz w:val="24"/>
        <w:szCs w:val="24"/>
        <w:lang w:val="en-US"/>
      </w:rPr>
    </w:lvl>
    <w:lvl w:ilvl="5">
      <w:start w:val="1"/>
      <w:numFmt w:val="bullet"/>
      <w:lvlText w:val="•"/>
      <w:lvlJc w:val="left"/>
      <w:pPr>
        <w:tabs>
          <w:tab w:val="num" w:pos="2171"/>
        </w:tabs>
        <w:ind w:left="2171" w:hanging="262"/>
      </w:pPr>
      <w:rPr>
        <w:rFonts w:ascii="Century Gothic" w:eastAsia="Century Gothic" w:hAnsi="Century Gothic" w:cs="Century Gothic"/>
        <w:position w:val="0"/>
        <w:sz w:val="24"/>
        <w:szCs w:val="24"/>
        <w:lang w:val="en-US"/>
      </w:rPr>
    </w:lvl>
    <w:lvl w:ilvl="6">
      <w:start w:val="1"/>
      <w:numFmt w:val="bullet"/>
      <w:lvlText w:val="•"/>
      <w:lvlJc w:val="left"/>
      <w:pPr>
        <w:tabs>
          <w:tab w:val="num" w:pos="2411"/>
        </w:tabs>
        <w:ind w:left="2411" w:hanging="262"/>
      </w:pPr>
      <w:rPr>
        <w:rFonts w:ascii="Century Gothic" w:eastAsia="Century Gothic" w:hAnsi="Century Gothic" w:cs="Century Gothic"/>
        <w:position w:val="0"/>
        <w:sz w:val="24"/>
        <w:szCs w:val="24"/>
        <w:lang w:val="en-US"/>
      </w:rPr>
    </w:lvl>
    <w:lvl w:ilvl="7">
      <w:start w:val="1"/>
      <w:numFmt w:val="bullet"/>
      <w:lvlText w:val="•"/>
      <w:lvlJc w:val="left"/>
      <w:pPr>
        <w:tabs>
          <w:tab w:val="num" w:pos="2651"/>
        </w:tabs>
        <w:ind w:left="2651" w:hanging="262"/>
      </w:pPr>
      <w:rPr>
        <w:rFonts w:ascii="Century Gothic" w:eastAsia="Century Gothic" w:hAnsi="Century Gothic" w:cs="Century Gothic"/>
        <w:position w:val="0"/>
        <w:sz w:val="24"/>
        <w:szCs w:val="24"/>
        <w:lang w:val="en-US"/>
      </w:rPr>
    </w:lvl>
    <w:lvl w:ilvl="8">
      <w:start w:val="1"/>
      <w:numFmt w:val="bullet"/>
      <w:lvlText w:val="•"/>
      <w:lvlJc w:val="left"/>
      <w:pPr>
        <w:tabs>
          <w:tab w:val="num" w:pos="2891"/>
        </w:tabs>
        <w:ind w:left="2891" w:hanging="262"/>
      </w:pPr>
      <w:rPr>
        <w:rFonts w:ascii="Century Gothic" w:eastAsia="Century Gothic" w:hAnsi="Century Gothic" w:cs="Century Gothic"/>
        <w:position w:val="0"/>
        <w:sz w:val="24"/>
        <w:szCs w:val="24"/>
        <w:lang w:val="en-US"/>
      </w:rPr>
    </w:lvl>
  </w:abstractNum>
  <w:abstractNum w:abstractNumId="51" w15:restartNumberingAfterBreak="0">
    <w:nsid w:val="7E310135"/>
    <w:multiLevelType w:val="multilevel"/>
    <w:tmpl w:val="E9AC09C0"/>
    <w:styleLink w:val="List28"/>
    <w:lvl w:ilvl="0">
      <w:numFmt w:val="bullet"/>
      <w:lvlText w:val="•"/>
      <w:lvlJc w:val="left"/>
      <w:pPr>
        <w:tabs>
          <w:tab w:val="num" w:pos="567"/>
        </w:tabs>
        <w:ind w:left="567" w:hanging="153"/>
      </w:pPr>
      <w:rPr>
        <w:rFonts w:ascii="Century Gothic" w:eastAsia="Century Gothic" w:hAnsi="Century Gothic" w:cs="Century Gothic"/>
        <w:position w:val="0"/>
        <w:sz w:val="22"/>
        <w:szCs w:val="22"/>
      </w:rPr>
    </w:lvl>
    <w:lvl w:ilvl="1">
      <w:start w:val="1"/>
      <w:numFmt w:val="bullet"/>
      <w:lvlText w:val="o"/>
      <w:lvlJc w:val="left"/>
      <w:pPr>
        <w:tabs>
          <w:tab w:val="num" w:pos="2007"/>
        </w:tabs>
        <w:ind w:left="2007" w:hanging="360"/>
      </w:pPr>
      <w:rPr>
        <w:rFonts w:ascii="Century Gothic" w:eastAsia="Century Gothic" w:hAnsi="Century Gothic" w:cs="Century Gothic"/>
        <w:position w:val="0"/>
        <w:sz w:val="24"/>
        <w:szCs w:val="24"/>
      </w:rPr>
    </w:lvl>
    <w:lvl w:ilvl="2">
      <w:start w:val="1"/>
      <w:numFmt w:val="bullet"/>
      <w:lvlText w:val="▪"/>
      <w:lvlJc w:val="left"/>
      <w:pPr>
        <w:tabs>
          <w:tab w:val="num" w:pos="2727"/>
        </w:tabs>
        <w:ind w:left="2727" w:hanging="360"/>
      </w:pPr>
      <w:rPr>
        <w:rFonts w:ascii="Century Gothic" w:eastAsia="Century Gothic" w:hAnsi="Century Gothic" w:cs="Century Gothic"/>
        <w:position w:val="0"/>
        <w:sz w:val="24"/>
        <w:szCs w:val="24"/>
      </w:rPr>
    </w:lvl>
    <w:lvl w:ilvl="3">
      <w:start w:val="1"/>
      <w:numFmt w:val="bullet"/>
      <w:lvlText w:val="•"/>
      <w:lvlJc w:val="left"/>
      <w:pPr>
        <w:tabs>
          <w:tab w:val="num" w:pos="3447"/>
        </w:tabs>
        <w:ind w:left="3447" w:hanging="360"/>
      </w:pPr>
      <w:rPr>
        <w:rFonts w:ascii="Century Gothic" w:eastAsia="Century Gothic" w:hAnsi="Century Gothic" w:cs="Century Gothic"/>
        <w:position w:val="0"/>
        <w:sz w:val="24"/>
        <w:szCs w:val="24"/>
      </w:rPr>
    </w:lvl>
    <w:lvl w:ilvl="4">
      <w:start w:val="1"/>
      <w:numFmt w:val="bullet"/>
      <w:lvlText w:val="o"/>
      <w:lvlJc w:val="left"/>
      <w:pPr>
        <w:tabs>
          <w:tab w:val="num" w:pos="4167"/>
        </w:tabs>
        <w:ind w:left="4167" w:hanging="360"/>
      </w:pPr>
      <w:rPr>
        <w:rFonts w:ascii="Century Gothic" w:eastAsia="Century Gothic" w:hAnsi="Century Gothic" w:cs="Century Gothic"/>
        <w:position w:val="0"/>
        <w:sz w:val="24"/>
        <w:szCs w:val="24"/>
      </w:rPr>
    </w:lvl>
    <w:lvl w:ilvl="5">
      <w:start w:val="1"/>
      <w:numFmt w:val="bullet"/>
      <w:lvlText w:val="▪"/>
      <w:lvlJc w:val="left"/>
      <w:pPr>
        <w:tabs>
          <w:tab w:val="num" w:pos="4887"/>
        </w:tabs>
        <w:ind w:left="4887" w:hanging="360"/>
      </w:pPr>
      <w:rPr>
        <w:rFonts w:ascii="Century Gothic" w:eastAsia="Century Gothic" w:hAnsi="Century Gothic" w:cs="Century Gothic"/>
        <w:position w:val="0"/>
        <w:sz w:val="24"/>
        <w:szCs w:val="24"/>
      </w:rPr>
    </w:lvl>
    <w:lvl w:ilvl="6">
      <w:start w:val="1"/>
      <w:numFmt w:val="bullet"/>
      <w:lvlText w:val="•"/>
      <w:lvlJc w:val="left"/>
      <w:pPr>
        <w:tabs>
          <w:tab w:val="num" w:pos="5607"/>
        </w:tabs>
        <w:ind w:left="5607" w:hanging="360"/>
      </w:pPr>
      <w:rPr>
        <w:rFonts w:ascii="Century Gothic" w:eastAsia="Century Gothic" w:hAnsi="Century Gothic" w:cs="Century Gothic"/>
        <w:position w:val="0"/>
        <w:sz w:val="24"/>
        <w:szCs w:val="24"/>
      </w:rPr>
    </w:lvl>
    <w:lvl w:ilvl="7">
      <w:start w:val="1"/>
      <w:numFmt w:val="bullet"/>
      <w:lvlText w:val="o"/>
      <w:lvlJc w:val="left"/>
      <w:pPr>
        <w:tabs>
          <w:tab w:val="num" w:pos="6327"/>
        </w:tabs>
        <w:ind w:left="6327" w:hanging="360"/>
      </w:pPr>
      <w:rPr>
        <w:rFonts w:ascii="Century Gothic" w:eastAsia="Century Gothic" w:hAnsi="Century Gothic" w:cs="Century Gothic"/>
        <w:position w:val="0"/>
        <w:sz w:val="24"/>
        <w:szCs w:val="24"/>
      </w:rPr>
    </w:lvl>
    <w:lvl w:ilvl="8">
      <w:start w:val="1"/>
      <w:numFmt w:val="bullet"/>
      <w:lvlText w:val="▪"/>
      <w:lvlJc w:val="left"/>
      <w:pPr>
        <w:tabs>
          <w:tab w:val="num" w:pos="7047"/>
        </w:tabs>
        <w:ind w:left="7047" w:hanging="360"/>
      </w:pPr>
      <w:rPr>
        <w:rFonts w:ascii="Century Gothic" w:eastAsia="Century Gothic" w:hAnsi="Century Gothic" w:cs="Century Gothic"/>
        <w:position w:val="0"/>
        <w:sz w:val="24"/>
        <w:szCs w:val="24"/>
      </w:rPr>
    </w:lvl>
  </w:abstractNum>
  <w:abstractNum w:abstractNumId="52" w15:restartNumberingAfterBreak="0">
    <w:nsid w:val="7F7E5914"/>
    <w:multiLevelType w:val="multilevel"/>
    <w:tmpl w:val="5E986BEE"/>
    <w:styleLink w:val="List25"/>
    <w:lvl w:ilvl="0">
      <w:numFmt w:val="bullet"/>
      <w:lvlText w:val="•"/>
      <w:lvlJc w:val="left"/>
      <w:rPr>
        <w:rFonts w:ascii="Century Gothic" w:eastAsia="Century Gothic" w:hAnsi="Century Gothic" w:cs="Century Gothic"/>
        <w:position w:val="0"/>
        <w:lang w:val="en-US"/>
      </w:rPr>
    </w:lvl>
    <w:lvl w:ilvl="1">
      <w:start w:val="1"/>
      <w:numFmt w:val="bullet"/>
      <w:lvlText w:val="•"/>
      <w:lvlJc w:val="left"/>
      <w:rPr>
        <w:rFonts w:ascii="Century Gothic" w:eastAsia="Century Gothic" w:hAnsi="Century Gothic" w:cs="Century Gothic"/>
        <w:position w:val="0"/>
        <w:lang w:val="en-US"/>
      </w:rPr>
    </w:lvl>
    <w:lvl w:ilvl="2">
      <w:start w:val="1"/>
      <w:numFmt w:val="bullet"/>
      <w:lvlText w:val="•"/>
      <w:lvlJc w:val="left"/>
      <w:rPr>
        <w:rFonts w:ascii="Century Gothic" w:eastAsia="Century Gothic" w:hAnsi="Century Gothic" w:cs="Century Gothic"/>
        <w:position w:val="0"/>
        <w:lang w:val="en-US"/>
      </w:rPr>
    </w:lvl>
    <w:lvl w:ilvl="3">
      <w:start w:val="1"/>
      <w:numFmt w:val="bullet"/>
      <w:lvlText w:val="•"/>
      <w:lvlJc w:val="left"/>
      <w:rPr>
        <w:rFonts w:ascii="Century Gothic" w:eastAsia="Century Gothic" w:hAnsi="Century Gothic" w:cs="Century Gothic"/>
        <w:position w:val="0"/>
        <w:lang w:val="en-US"/>
      </w:rPr>
    </w:lvl>
    <w:lvl w:ilvl="4">
      <w:start w:val="1"/>
      <w:numFmt w:val="bullet"/>
      <w:lvlText w:val="•"/>
      <w:lvlJc w:val="left"/>
      <w:rPr>
        <w:rFonts w:ascii="Century Gothic" w:eastAsia="Century Gothic" w:hAnsi="Century Gothic" w:cs="Century Gothic"/>
        <w:position w:val="0"/>
        <w:lang w:val="en-US"/>
      </w:rPr>
    </w:lvl>
    <w:lvl w:ilvl="5">
      <w:start w:val="1"/>
      <w:numFmt w:val="bullet"/>
      <w:lvlText w:val="•"/>
      <w:lvlJc w:val="left"/>
      <w:rPr>
        <w:rFonts w:ascii="Century Gothic" w:eastAsia="Century Gothic" w:hAnsi="Century Gothic" w:cs="Century Gothic"/>
        <w:position w:val="0"/>
        <w:lang w:val="en-US"/>
      </w:rPr>
    </w:lvl>
    <w:lvl w:ilvl="6">
      <w:start w:val="1"/>
      <w:numFmt w:val="bullet"/>
      <w:lvlText w:val="•"/>
      <w:lvlJc w:val="left"/>
      <w:rPr>
        <w:rFonts w:ascii="Century Gothic" w:eastAsia="Century Gothic" w:hAnsi="Century Gothic" w:cs="Century Gothic"/>
        <w:position w:val="0"/>
        <w:lang w:val="en-US"/>
      </w:rPr>
    </w:lvl>
    <w:lvl w:ilvl="7">
      <w:start w:val="1"/>
      <w:numFmt w:val="bullet"/>
      <w:lvlText w:val="•"/>
      <w:lvlJc w:val="left"/>
      <w:rPr>
        <w:rFonts w:ascii="Century Gothic" w:eastAsia="Century Gothic" w:hAnsi="Century Gothic" w:cs="Century Gothic"/>
        <w:position w:val="0"/>
        <w:lang w:val="en-US"/>
      </w:rPr>
    </w:lvl>
    <w:lvl w:ilvl="8">
      <w:start w:val="1"/>
      <w:numFmt w:val="bullet"/>
      <w:lvlText w:val="•"/>
      <w:lvlJc w:val="left"/>
      <w:rPr>
        <w:rFonts w:ascii="Century Gothic" w:eastAsia="Century Gothic" w:hAnsi="Century Gothic" w:cs="Century Gothic"/>
        <w:position w:val="0"/>
        <w:lang w:val="en-US"/>
      </w:rPr>
    </w:lvl>
  </w:abstractNum>
  <w:num w:numId="1">
    <w:abstractNumId w:val="16"/>
  </w:num>
  <w:num w:numId="2">
    <w:abstractNumId w:val="4"/>
  </w:num>
  <w:num w:numId="3">
    <w:abstractNumId w:val="29"/>
  </w:num>
  <w:num w:numId="4">
    <w:abstractNumId w:val="32"/>
  </w:num>
  <w:num w:numId="5">
    <w:abstractNumId w:val="10"/>
  </w:num>
  <w:num w:numId="6">
    <w:abstractNumId w:val="31"/>
  </w:num>
  <w:num w:numId="7">
    <w:abstractNumId w:val="1"/>
  </w:num>
  <w:num w:numId="8">
    <w:abstractNumId w:val="20"/>
  </w:num>
  <w:num w:numId="9">
    <w:abstractNumId w:val="28"/>
  </w:num>
  <w:num w:numId="10">
    <w:abstractNumId w:val="30"/>
  </w:num>
  <w:num w:numId="11">
    <w:abstractNumId w:val="45"/>
  </w:num>
  <w:num w:numId="12">
    <w:abstractNumId w:val="17"/>
  </w:num>
  <w:num w:numId="13">
    <w:abstractNumId w:val="19"/>
  </w:num>
  <w:num w:numId="14">
    <w:abstractNumId w:val="50"/>
  </w:num>
  <w:num w:numId="15">
    <w:abstractNumId w:val="24"/>
  </w:num>
  <w:num w:numId="16">
    <w:abstractNumId w:val="39"/>
  </w:num>
  <w:num w:numId="17">
    <w:abstractNumId w:val="49"/>
  </w:num>
  <w:num w:numId="18">
    <w:abstractNumId w:val="41"/>
  </w:num>
  <w:num w:numId="19">
    <w:abstractNumId w:val="47"/>
  </w:num>
  <w:num w:numId="20">
    <w:abstractNumId w:val="8"/>
  </w:num>
  <w:num w:numId="21">
    <w:abstractNumId w:val="6"/>
  </w:num>
  <w:num w:numId="22">
    <w:abstractNumId w:val="9"/>
  </w:num>
  <w:num w:numId="23">
    <w:abstractNumId w:val="25"/>
  </w:num>
  <w:num w:numId="24">
    <w:abstractNumId w:val="46"/>
  </w:num>
  <w:num w:numId="25">
    <w:abstractNumId w:val="52"/>
  </w:num>
  <w:num w:numId="26">
    <w:abstractNumId w:val="3"/>
  </w:num>
  <w:num w:numId="27">
    <w:abstractNumId w:val="13"/>
  </w:num>
  <w:num w:numId="28">
    <w:abstractNumId w:val="51"/>
  </w:num>
  <w:num w:numId="29">
    <w:abstractNumId w:val="40"/>
  </w:num>
  <w:num w:numId="30">
    <w:abstractNumId w:val="34"/>
  </w:num>
  <w:num w:numId="31">
    <w:abstractNumId w:val="23"/>
  </w:num>
  <w:num w:numId="32">
    <w:abstractNumId w:val="26"/>
  </w:num>
  <w:num w:numId="33">
    <w:abstractNumId w:val="22"/>
  </w:num>
  <w:num w:numId="34">
    <w:abstractNumId w:val="36"/>
  </w:num>
  <w:num w:numId="35">
    <w:abstractNumId w:val="33"/>
  </w:num>
  <w:num w:numId="36">
    <w:abstractNumId w:val="14"/>
  </w:num>
  <w:num w:numId="37">
    <w:abstractNumId w:val="48"/>
  </w:num>
  <w:num w:numId="38">
    <w:abstractNumId w:val="21"/>
  </w:num>
  <w:num w:numId="39">
    <w:abstractNumId w:val="37"/>
  </w:num>
  <w:num w:numId="40">
    <w:abstractNumId w:val="27"/>
  </w:num>
  <w:num w:numId="41">
    <w:abstractNumId w:val="18"/>
  </w:num>
  <w:num w:numId="42">
    <w:abstractNumId w:val="38"/>
  </w:num>
  <w:num w:numId="43">
    <w:abstractNumId w:val="11"/>
  </w:num>
  <w:num w:numId="44">
    <w:abstractNumId w:val="15"/>
  </w:num>
  <w:num w:numId="45">
    <w:abstractNumId w:val="42"/>
  </w:num>
  <w:num w:numId="46">
    <w:abstractNumId w:val="0"/>
  </w:num>
  <w:num w:numId="47">
    <w:abstractNumId w:val="7"/>
  </w:num>
  <w:num w:numId="48">
    <w:abstractNumId w:val="2"/>
  </w:num>
  <w:num w:numId="49">
    <w:abstractNumId w:val="44"/>
  </w:num>
  <w:num w:numId="50">
    <w:abstractNumId w:val="5"/>
  </w:num>
  <w:num w:numId="51">
    <w:abstractNumId w:val="43"/>
  </w:num>
  <w:num w:numId="52">
    <w:abstractNumId w:val="12"/>
  </w:num>
  <w:num w:numId="53">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346"/>
    <w:rsid w:val="00010F7C"/>
    <w:rsid w:val="00017319"/>
    <w:rsid w:val="00023428"/>
    <w:rsid w:val="000251C3"/>
    <w:rsid w:val="00036F13"/>
    <w:rsid w:val="00040618"/>
    <w:rsid w:val="0004703F"/>
    <w:rsid w:val="00066805"/>
    <w:rsid w:val="00071D9D"/>
    <w:rsid w:val="00080512"/>
    <w:rsid w:val="00081454"/>
    <w:rsid w:val="000926E2"/>
    <w:rsid w:val="00092A0B"/>
    <w:rsid w:val="000A38EF"/>
    <w:rsid w:val="000A68B9"/>
    <w:rsid w:val="000B223E"/>
    <w:rsid w:val="000B628A"/>
    <w:rsid w:val="000C1D63"/>
    <w:rsid w:val="000C1E2B"/>
    <w:rsid w:val="000C5A48"/>
    <w:rsid w:val="000C718E"/>
    <w:rsid w:val="000D043F"/>
    <w:rsid w:val="000D2CE0"/>
    <w:rsid w:val="000E1F84"/>
    <w:rsid w:val="000E5763"/>
    <w:rsid w:val="00100681"/>
    <w:rsid w:val="00100DB7"/>
    <w:rsid w:val="001167C6"/>
    <w:rsid w:val="0012327E"/>
    <w:rsid w:val="001247F7"/>
    <w:rsid w:val="00124C89"/>
    <w:rsid w:val="001267E9"/>
    <w:rsid w:val="00142637"/>
    <w:rsid w:val="001445AB"/>
    <w:rsid w:val="00150DB9"/>
    <w:rsid w:val="0015127E"/>
    <w:rsid w:val="00170B11"/>
    <w:rsid w:val="00181C53"/>
    <w:rsid w:val="0018718A"/>
    <w:rsid w:val="0019670A"/>
    <w:rsid w:val="001B27A7"/>
    <w:rsid w:val="001C2A6F"/>
    <w:rsid w:val="001D656A"/>
    <w:rsid w:val="001F0DD6"/>
    <w:rsid w:val="001F7F89"/>
    <w:rsid w:val="00203D2C"/>
    <w:rsid w:val="00205619"/>
    <w:rsid w:val="00206FE5"/>
    <w:rsid w:val="00215D60"/>
    <w:rsid w:val="00226704"/>
    <w:rsid w:val="00231C13"/>
    <w:rsid w:val="0023539E"/>
    <w:rsid w:val="00235867"/>
    <w:rsid w:val="00242547"/>
    <w:rsid w:val="00244942"/>
    <w:rsid w:val="00246F5C"/>
    <w:rsid w:val="00253C6A"/>
    <w:rsid w:val="00255F92"/>
    <w:rsid w:val="002665A6"/>
    <w:rsid w:val="002716E1"/>
    <w:rsid w:val="0027211A"/>
    <w:rsid w:val="0028330D"/>
    <w:rsid w:val="00284A04"/>
    <w:rsid w:val="002A0E57"/>
    <w:rsid w:val="002B5867"/>
    <w:rsid w:val="00307D5D"/>
    <w:rsid w:val="00320181"/>
    <w:rsid w:val="0033313F"/>
    <w:rsid w:val="00336083"/>
    <w:rsid w:val="0033614F"/>
    <w:rsid w:val="003404CF"/>
    <w:rsid w:val="00344703"/>
    <w:rsid w:val="00371A2B"/>
    <w:rsid w:val="0038209B"/>
    <w:rsid w:val="00396713"/>
    <w:rsid w:val="00397E34"/>
    <w:rsid w:val="003A55EB"/>
    <w:rsid w:val="003D6D70"/>
    <w:rsid w:val="003E3C5F"/>
    <w:rsid w:val="003E6DE7"/>
    <w:rsid w:val="003F3D56"/>
    <w:rsid w:val="004069D5"/>
    <w:rsid w:val="00406CC0"/>
    <w:rsid w:val="00425C18"/>
    <w:rsid w:val="00427481"/>
    <w:rsid w:val="00427B88"/>
    <w:rsid w:val="00437990"/>
    <w:rsid w:val="00440B28"/>
    <w:rsid w:val="0044701F"/>
    <w:rsid w:val="00451809"/>
    <w:rsid w:val="004572FD"/>
    <w:rsid w:val="00457C2C"/>
    <w:rsid w:val="00467AC4"/>
    <w:rsid w:val="004707F6"/>
    <w:rsid w:val="00471920"/>
    <w:rsid w:val="00473392"/>
    <w:rsid w:val="00474884"/>
    <w:rsid w:val="0048245F"/>
    <w:rsid w:val="004827AC"/>
    <w:rsid w:val="00483208"/>
    <w:rsid w:val="0049459C"/>
    <w:rsid w:val="004A0142"/>
    <w:rsid w:val="004A5592"/>
    <w:rsid w:val="004A6F40"/>
    <w:rsid w:val="004B4E4F"/>
    <w:rsid w:val="004B5B33"/>
    <w:rsid w:val="004B6D9B"/>
    <w:rsid w:val="004C2B21"/>
    <w:rsid w:val="004C576A"/>
    <w:rsid w:val="004D1E07"/>
    <w:rsid w:val="00500BCD"/>
    <w:rsid w:val="00514294"/>
    <w:rsid w:val="00537ECA"/>
    <w:rsid w:val="0054058E"/>
    <w:rsid w:val="00543E2B"/>
    <w:rsid w:val="005456E0"/>
    <w:rsid w:val="005466F4"/>
    <w:rsid w:val="005553B8"/>
    <w:rsid w:val="00567A16"/>
    <w:rsid w:val="00567B85"/>
    <w:rsid w:val="005773F5"/>
    <w:rsid w:val="0058076A"/>
    <w:rsid w:val="00586F8E"/>
    <w:rsid w:val="00590075"/>
    <w:rsid w:val="00591A69"/>
    <w:rsid w:val="0059236E"/>
    <w:rsid w:val="005938AC"/>
    <w:rsid w:val="005B04DB"/>
    <w:rsid w:val="005B186C"/>
    <w:rsid w:val="005B6ED3"/>
    <w:rsid w:val="005C05E9"/>
    <w:rsid w:val="005C0BEF"/>
    <w:rsid w:val="005C6C2B"/>
    <w:rsid w:val="005C6E39"/>
    <w:rsid w:val="005D5AED"/>
    <w:rsid w:val="005E673A"/>
    <w:rsid w:val="005F1B10"/>
    <w:rsid w:val="005F6902"/>
    <w:rsid w:val="006011AA"/>
    <w:rsid w:val="006029DA"/>
    <w:rsid w:val="00607926"/>
    <w:rsid w:val="00607E0B"/>
    <w:rsid w:val="00611708"/>
    <w:rsid w:val="0061582E"/>
    <w:rsid w:val="00616065"/>
    <w:rsid w:val="0063471C"/>
    <w:rsid w:val="00636338"/>
    <w:rsid w:val="006522C2"/>
    <w:rsid w:val="00663D9A"/>
    <w:rsid w:val="0067070D"/>
    <w:rsid w:val="00674350"/>
    <w:rsid w:val="0068102C"/>
    <w:rsid w:val="00684612"/>
    <w:rsid w:val="0069077A"/>
    <w:rsid w:val="00691E5E"/>
    <w:rsid w:val="00696D00"/>
    <w:rsid w:val="006C070D"/>
    <w:rsid w:val="006D3819"/>
    <w:rsid w:val="006D5A94"/>
    <w:rsid w:val="006E02BE"/>
    <w:rsid w:val="006E4440"/>
    <w:rsid w:val="006E602D"/>
    <w:rsid w:val="006F0575"/>
    <w:rsid w:val="006F16DC"/>
    <w:rsid w:val="006F1D99"/>
    <w:rsid w:val="00701FA4"/>
    <w:rsid w:val="007143B9"/>
    <w:rsid w:val="0071539F"/>
    <w:rsid w:val="0071635F"/>
    <w:rsid w:val="00722C31"/>
    <w:rsid w:val="00723574"/>
    <w:rsid w:val="0073273F"/>
    <w:rsid w:val="00735672"/>
    <w:rsid w:val="00741402"/>
    <w:rsid w:val="007550CD"/>
    <w:rsid w:val="00756842"/>
    <w:rsid w:val="007603EB"/>
    <w:rsid w:val="0077552D"/>
    <w:rsid w:val="00784B0A"/>
    <w:rsid w:val="00790931"/>
    <w:rsid w:val="007912BE"/>
    <w:rsid w:val="007A6EC4"/>
    <w:rsid w:val="007B17F7"/>
    <w:rsid w:val="007D28A5"/>
    <w:rsid w:val="007D3A73"/>
    <w:rsid w:val="007E3AD4"/>
    <w:rsid w:val="007E5381"/>
    <w:rsid w:val="007E780C"/>
    <w:rsid w:val="007F5AD1"/>
    <w:rsid w:val="0080081E"/>
    <w:rsid w:val="00802B5D"/>
    <w:rsid w:val="008065F8"/>
    <w:rsid w:val="008137A6"/>
    <w:rsid w:val="00817352"/>
    <w:rsid w:val="00821C5F"/>
    <w:rsid w:val="00830A8B"/>
    <w:rsid w:val="00831CEC"/>
    <w:rsid w:val="008362CD"/>
    <w:rsid w:val="00847C7E"/>
    <w:rsid w:val="00856F84"/>
    <w:rsid w:val="0086180D"/>
    <w:rsid w:val="00865F6E"/>
    <w:rsid w:val="00884129"/>
    <w:rsid w:val="008872FB"/>
    <w:rsid w:val="008A026B"/>
    <w:rsid w:val="008B3082"/>
    <w:rsid w:val="008B4DEB"/>
    <w:rsid w:val="008B6A71"/>
    <w:rsid w:val="008C26C5"/>
    <w:rsid w:val="008C2AAE"/>
    <w:rsid w:val="008E3542"/>
    <w:rsid w:val="008F2339"/>
    <w:rsid w:val="00901DAD"/>
    <w:rsid w:val="00907EA7"/>
    <w:rsid w:val="00944EAB"/>
    <w:rsid w:val="00962A8A"/>
    <w:rsid w:val="00963151"/>
    <w:rsid w:val="009657B1"/>
    <w:rsid w:val="00973BAA"/>
    <w:rsid w:val="00975110"/>
    <w:rsid w:val="009833F9"/>
    <w:rsid w:val="009856A7"/>
    <w:rsid w:val="0099013C"/>
    <w:rsid w:val="00993B60"/>
    <w:rsid w:val="0099688C"/>
    <w:rsid w:val="009A4424"/>
    <w:rsid w:val="009A7132"/>
    <w:rsid w:val="009B26BD"/>
    <w:rsid w:val="009B3068"/>
    <w:rsid w:val="009B5654"/>
    <w:rsid w:val="009C1196"/>
    <w:rsid w:val="009C145E"/>
    <w:rsid w:val="009C4D1E"/>
    <w:rsid w:val="009D7037"/>
    <w:rsid w:val="009E1B81"/>
    <w:rsid w:val="009F6481"/>
    <w:rsid w:val="00A02E66"/>
    <w:rsid w:val="00A1073F"/>
    <w:rsid w:val="00A25828"/>
    <w:rsid w:val="00A35BF3"/>
    <w:rsid w:val="00A542C8"/>
    <w:rsid w:val="00A6242A"/>
    <w:rsid w:val="00A62447"/>
    <w:rsid w:val="00A77F56"/>
    <w:rsid w:val="00A83904"/>
    <w:rsid w:val="00A85EF0"/>
    <w:rsid w:val="00AA22E6"/>
    <w:rsid w:val="00AA4E63"/>
    <w:rsid w:val="00AB129C"/>
    <w:rsid w:val="00AC0739"/>
    <w:rsid w:val="00AC55A5"/>
    <w:rsid w:val="00AD53AD"/>
    <w:rsid w:val="00AE0809"/>
    <w:rsid w:val="00AE12CF"/>
    <w:rsid w:val="00AE2236"/>
    <w:rsid w:val="00AE71B4"/>
    <w:rsid w:val="00AF2E6C"/>
    <w:rsid w:val="00AF31A5"/>
    <w:rsid w:val="00B1055C"/>
    <w:rsid w:val="00B13AA5"/>
    <w:rsid w:val="00B30B36"/>
    <w:rsid w:val="00B44861"/>
    <w:rsid w:val="00B50C10"/>
    <w:rsid w:val="00B63AA4"/>
    <w:rsid w:val="00B70E17"/>
    <w:rsid w:val="00B8526D"/>
    <w:rsid w:val="00B946F8"/>
    <w:rsid w:val="00BB0062"/>
    <w:rsid w:val="00BB1F7D"/>
    <w:rsid w:val="00BB38CA"/>
    <w:rsid w:val="00BB3A86"/>
    <w:rsid w:val="00BB4E11"/>
    <w:rsid w:val="00BD160C"/>
    <w:rsid w:val="00BD3057"/>
    <w:rsid w:val="00BE01E6"/>
    <w:rsid w:val="00BE13A2"/>
    <w:rsid w:val="00BE13F3"/>
    <w:rsid w:val="00BF0D93"/>
    <w:rsid w:val="00BF10C3"/>
    <w:rsid w:val="00BF5F91"/>
    <w:rsid w:val="00C149DA"/>
    <w:rsid w:val="00C26301"/>
    <w:rsid w:val="00C3114B"/>
    <w:rsid w:val="00C32E90"/>
    <w:rsid w:val="00C4234E"/>
    <w:rsid w:val="00C42A65"/>
    <w:rsid w:val="00C42DA4"/>
    <w:rsid w:val="00C46624"/>
    <w:rsid w:val="00C56106"/>
    <w:rsid w:val="00C5757E"/>
    <w:rsid w:val="00C625E4"/>
    <w:rsid w:val="00C8703E"/>
    <w:rsid w:val="00CA06CB"/>
    <w:rsid w:val="00CA5870"/>
    <w:rsid w:val="00CA7DC1"/>
    <w:rsid w:val="00CC1ACB"/>
    <w:rsid w:val="00CC4134"/>
    <w:rsid w:val="00CF1623"/>
    <w:rsid w:val="00CF3A21"/>
    <w:rsid w:val="00D004D6"/>
    <w:rsid w:val="00D028A9"/>
    <w:rsid w:val="00D23847"/>
    <w:rsid w:val="00D24C58"/>
    <w:rsid w:val="00D2616A"/>
    <w:rsid w:val="00D365A0"/>
    <w:rsid w:val="00D4023A"/>
    <w:rsid w:val="00D57C37"/>
    <w:rsid w:val="00D63E39"/>
    <w:rsid w:val="00D66DD0"/>
    <w:rsid w:val="00D7256A"/>
    <w:rsid w:val="00D81841"/>
    <w:rsid w:val="00D853AF"/>
    <w:rsid w:val="00D9486A"/>
    <w:rsid w:val="00DD16C0"/>
    <w:rsid w:val="00DD6346"/>
    <w:rsid w:val="00DD6F92"/>
    <w:rsid w:val="00DE672C"/>
    <w:rsid w:val="00DF536C"/>
    <w:rsid w:val="00DF6463"/>
    <w:rsid w:val="00E112F9"/>
    <w:rsid w:val="00E209CF"/>
    <w:rsid w:val="00E22040"/>
    <w:rsid w:val="00E22788"/>
    <w:rsid w:val="00E5190E"/>
    <w:rsid w:val="00E617DC"/>
    <w:rsid w:val="00E7025F"/>
    <w:rsid w:val="00E8114B"/>
    <w:rsid w:val="00E811FB"/>
    <w:rsid w:val="00E92828"/>
    <w:rsid w:val="00E949D4"/>
    <w:rsid w:val="00ED72CE"/>
    <w:rsid w:val="00EE08BC"/>
    <w:rsid w:val="00EE4DCA"/>
    <w:rsid w:val="00EE7FFB"/>
    <w:rsid w:val="00EF05A3"/>
    <w:rsid w:val="00F24C57"/>
    <w:rsid w:val="00F319BC"/>
    <w:rsid w:val="00F33608"/>
    <w:rsid w:val="00F33C47"/>
    <w:rsid w:val="00F35768"/>
    <w:rsid w:val="00F40021"/>
    <w:rsid w:val="00F422D7"/>
    <w:rsid w:val="00F531DE"/>
    <w:rsid w:val="00F656F1"/>
    <w:rsid w:val="00F66D55"/>
    <w:rsid w:val="00F74FE4"/>
    <w:rsid w:val="00F80CE6"/>
    <w:rsid w:val="00F80E98"/>
    <w:rsid w:val="00F83ECE"/>
    <w:rsid w:val="00F83ED8"/>
    <w:rsid w:val="00F912AD"/>
    <w:rsid w:val="00F94DC1"/>
    <w:rsid w:val="00FC5CE1"/>
    <w:rsid w:val="00FD611A"/>
    <w:rsid w:val="00FD6EE5"/>
    <w:rsid w:val="00FF541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E5CE1"/>
  <w15:docId w15:val="{6DF899B7-E8E5-4FFC-85ED-99098904B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9459C"/>
    <w:pPr>
      <w:pBdr>
        <w:top w:val="nil"/>
        <w:left w:val="nil"/>
        <w:bottom w:val="nil"/>
        <w:right w:val="nil"/>
        <w:between w:val="nil"/>
        <w:bar w:val="nil"/>
      </w:pBdr>
      <w:spacing w:after="0" w:line="360" w:lineRule="auto"/>
    </w:pPr>
    <w:rPr>
      <w:rFonts w:ascii="Verdana" w:eastAsia="Arial Unicode MS" w:hAnsi="Verdana" w:cs="Times New Roman"/>
      <w:sz w:val="24"/>
      <w:szCs w:val="24"/>
      <w:bdr w:val="nil"/>
      <w:lang w:val="en-GB"/>
    </w:rPr>
  </w:style>
  <w:style w:type="paragraph" w:styleId="Nadpis1">
    <w:name w:val="heading 1"/>
    <w:basedOn w:val="Normlny"/>
    <w:next w:val="Normlny"/>
    <w:link w:val="Nadpis1Char"/>
    <w:uiPriority w:val="9"/>
    <w:qFormat/>
    <w:rsid w:val="00D7256A"/>
    <w:pPr>
      <w:keepNext/>
      <w:keepLines/>
      <w:spacing w:before="480"/>
      <w:jc w:val="center"/>
      <w:outlineLvl w:val="0"/>
    </w:pPr>
    <w:rPr>
      <w:rFonts w:eastAsiaTheme="majorEastAsia" w:cstheme="majorBidi"/>
      <w:b/>
      <w:bCs/>
      <w:sz w:val="36"/>
      <w:szCs w:val="28"/>
    </w:rPr>
  </w:style>
  <w:style w:type="paragraph" w:styleId="Nadpis2">
    <w:name w:val="heading 2"/>
    <w:basedOn w:val="Normlny"/>
    <w:next w:val="Normlny"/>
    <w:link w:val="Nadpis2Char"/>
    <w:uiPriority w:val="9"/>
    <w:unhideWhenUsed/>
    <w:qFormat/>
    <w:rsid w:val="00307D5D"/>
    <w:pPr>
      <w:keepNext/>
      <w:keepLines/>
      <w:spacing w:before="40"/>
      <w:jc w:val="center"/>
      <w:outlineLvl w:val="1"/>
    </w:pPr>
    <w:rPr>
      <w:rFonts w:eastAsiaTheme="majorEastAsia" w:cstheme="majorBidi"/>
      <w:b/>
      <w:sz w:val="32"/>
      <w:szCs w:val="26"/>
    </w:rPr>
  </w:style>
  <w:style w:type="paragraph" w:styleId="Nadpis3">
    <w:name w:val="heading 3"/>
    <w:basedOn w:val="Normlny"/>
    <w:next w:val="Normlny"/>
    <w:link w:val="Nadpis3Char"/>
    <w:uiPriority w:val="9"/>
    <w:unhideWhenUsed/>
    <w:qFormat/>
    <w:rsid w:val="00C42A65"/>
    <w:pPr>
      <w:keepNext/>
      <w:keepLines/>
      <w:spacing w:before="40"/>
      <w:outlineLvl w:val="2"/>
    </w:pPr>
    <w:rPr>
      <w:rFonts w:eastAsiaTheme="majorEastAsia" w:cstheme="majorBidi"/>
      <w:b/>
      <w:sz w:val="28"/>
    </w:rPr>
  </w:style>
  <w:style w:type="paragraph" w:styleId="Nadpis4">
    <w:name w:val="heading 4"/>
    <w:basedOn w:val="Normlny"/>
    <w:next w:val="Normlny"/>
    <w:link w:val="Nadpis4Char"/>
    <w:uiPriority w:val="9"/>
    <w:unhideWhenUsed/>
    <w:qFormat/>
    <w:rsid w:val="00036F13"/>
    <w:pPr>
      <w:keepNext/>
      <w:keepLines/>
      <w:spacing w:before="40"/>
      <w:outlineLvl w:val="3"/>
    </w:pPr>
    <w:rPr>
      <w:rFonts w:eastAsiaTheme="majorEastAsia" w:cstheme="majorBidi"/>
      <w:b/>
      <w:i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7256A"/>
    <w:rPr>
      <w:rFonts w:ascii="Verdana" w:eastAsiaTheme="majorEastAsia" w:hAnsi="Verdana" w:cstheme="majorBidi"/>
      <w:b/>
      <w:bCs/>
      <w:sz w:val="36"/>
      <w:szCs w:val="28"/>
      <w:bdr w:val="nil"/>
      <w:lang w:val="en-US"/>
    </w:rPr>
  </w:style>
  <w:style w:type="character" w:styleId="Hypertextovprepojenie">
    <w:name w:val="Hyperlink"/>
    <w:uiPriority w:val="99"/>
    <w:rsid w:val="00DD6346"/>
    <w:rPr>
      <w:u w:val="single"/>
    </w:rPr>
  </w:style>
  <w:style w:type="paragraph" w:customStyle="1" w:styleId="Zhlavazpat">
    <w:name w:val="Záhlaví a zápatí"/>
    <w:rsid w:val="00DD6346"/>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sk-SK"/>
    </w:rPr>
  </w:style>
  <w:style w:type="paragraph" w:customStyle="1" w:styleId="Text">
    <w:name w:val="Text"/>
    <w:rsid w:val="00DD6346"/>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sk-SK"/>
    </w:rPr>
  </w:style>
  <w:style w:type="paragraph" w:styleId="Bezriadkovania">
    <w:name w:val="No Spacing"/>
    <w:qFormat/>
    <w:rsid w:val="00DD6346"/>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n-US" w:eastAsia="sk-SK"/>
    </w:rPr>
  </w:style>
  <w:style w:type="paragraph" w:customStyle="1" w:styleId="Poznmkapodarou">
    <w:name w:val="Poznámka pod čarou"/>
    <w:rsid w:val="00DD6346"/>
    <w:pPr>
      <w:pBdr>
        <w:top w:val="nil"/>
        <w:left w:val="nil"/>
        <w:bottom w:val="nil"/>
        <w:right w:val="nil"/>
        <w:between w:val="nil"/>
        <w:bar w:val="nil"/>
      </w:pBdr>
      <w:spacing w:after="0" w:line="240" w:lineRule="auto"/>
    </w:pPr>
    <w:rPr>
      <w:rFonts w:ascii="Helvetica" w:eastAsia="Helvetica" w:hAnsi="Helvetica" w:cs="Helvetica"/>
      <w:color w:val="000000"/>
      <w:bdr w:val="nil"/>
      <w:lang w:eastAsia="sk-SK"/>
    </w:rPr>
  </w:style>
  <w:style w:type="paragraph" w:customStyle="1" w:styleId="TextBA">
    <w:name w:val="Text B A"/>
    <w:rsid w:val="00DD6346"/>
    <w:pPr>
      <w:pBdr>
        <w:top w:val="nil"/>
        <w:left w:val="nil"/>
        <w:bottom w:val="nil"/>
        <w:right w:val="nil"/>
        <w:between w:val="nil"/>
        <w:bar w:val="nil"/>
      </w:pBdr>
      <w:spacing w:after="200" w:line="276" w:lineRule="auto"/>
    </w:pPr>
    <w:rPr>
      <w:rFonts w:ascii="Century Gothic" w:eastAsia="Century Gothic" w:hAnsi="Century Gothic" w:cs="Century Gothic"/>
      <w:color w:val="000000"/>
      <w:u w:color="000000"/>
      <w:bdr w:val="nil"/>
      <w:lang w:val="fr-FR" w:eastAsia="sk-SK"/>
    </w:rPr>
  </w:style>
  <w:style w:type="numbering" w:customStyle="1" w:styleId="sla">
    <w:name w:val="Čísla"/>
    <w:rsid w:val="00DD6346"/>
    <w:pPr>
      <w:numPr>
        <w:numId w:val="40"/>
      </w:numPr>
    </w:pPr>
  </w:style>
  <w:style w:type="numbering" w:customStyle="1" w:styleId="List0">
    <w:name w:val="List 0"/>
    <w:basedOn w:val="Importovanstyl1"/>
    <w:rsid w:val="00DD6346"/>
    <w:pPr>
      <w:numPr>
        <w:numId w:val="1"/>
      </w:numPr>
    </w:pPr>
  </w:style>
  <w:style w:type="numbering" w:customStyle="1" w:styleId="Importovanstyl1">
    <w:name w:val="Importovaný styl 1"/>
    <w:rsid w:val="00DD6346"/>
  </w:style>
  <w:style w:type="numbering" w:customStyle="1" w:styleId="List1">
    <w:name w:val="List 1"/>
    <w:basedOn w:val="Importovanstyl2"/>
    <w:rsid w:val="00DD6346"/>
    <w:pPr>
      <w:numPr>
        <w:numId w:val="2"/>
      </w:numPr>
    </w:pPr>
  </w:style>
  <w:style w:type="numbering" w:customStyle="1" w:styleId="Importovanstyl2">
    <w:name w:val="Importovaný styl 2"/>
    <w:rsid w:val="00DD6346"/>
  </w:style>
  <w:style w:type="numbering" w:customStyle="1" w:styleId="List21">
    <w:name w:val="List 21"/>
    <w:basedOn w:val="Importovanstyl3"/>
    <w:rsid w:val="00DD6346"/>
    <w:pPr>
      <w:numPr>
        <w:numId w:val="3"/>
      </w:numPr>
    </w:pPr>
  </w:style>
  <w:style w:type="numbering" w:customStyle="1" w:styleId="Importovanstyl3">
    <w:name w:val="Importovaný styl 3"/>
    <w:rsid w:val="00DD6346"/>
  </w:style>
  <w:style w:type="numbering" w:customStyle="1" w:styleId="List31">
    <w:name w:val="List 31"/>
    <w:basedOn w:val="Importovanstyl4"/>
    <w:rsid w:val="00DD6346"/>
    <w:pPr>
      <w:numPr>
        <w:numId w:val="4"/>
      </w:numPr>
    </w:pPr>
  </w:style>
  <w:style w:type="numbering" w:customStyle="1" w:styleId="Importovanstyl4">
    <w:name w:val="Importovaný styl 4"/>
    <w:rsid w:val="00DD6346"/>
  </w:style>
  <w:style w:type="numbering" w:customStyle="1" w:styleId="List41">
    <w:name w:val="List 41"/>
    <w:basedOn w:val="Importovanstyl5"/>
    <w:rsid w:val="00DD6346"/>
    <w:pPr>
      <w:numPr>
        <w:numId w:val="5"/>
      </w:numPr>
    </w:pPr>
  </w:style>
  <w:style w:type="numbering" w:customStyle="1" w:styleId="Importovanstyl5">
    <w:name w:val="Importovaný styl 5"/>
    <w:rsid w:val="00DD6346"/>
  </w:style>
  <w:style w:type="numbering" w:customStyle="1" w:styleId="List51">
    <w:name w:val="List 51"/>
    <w:basedOn w:val="Importovanstyl6"/>
    <w:rsid w:val="00DD6346"/>
    <w:pPr>
      <w:numPr>
        <w:numId w:val="6"/>
      </w:numPr>
    </w:pPr>
  </w:style>
  <w:style w:type="numbering" w:customStyle="1" w:styleId="Importovanstyl6">
    <w:name w:val="Importovaný styl 6"/>
    <w:rsid w:val="00DD6346"/>
  </w:style>
  <w:style w:type="numbering" w:customStyle="1" w:styleId="List6">
    <w:name w:val="List 6"/>
    <w:basedOn w:val="Importovanstyl7"/>
    <w:rsid w:val="00DD6346"/>
    <w:pPr>
      <w:numPr>
        <w:numId w:val="7"/>
      </w:numPr>
    </w:pPr>
  </w:style>
  <w:style w:type="numbering" w:customStyle="1" w:styleId="Importovanstyl7">
    <w:name w:val="Importovaný styl 7"/>
    <w:rsid w:val="00DD6346"/>
  </w:style>
  <w:style w:type="numbering" w:customStyle="1" w:styleId="List7">
    <w:name w:val="List 7"/>
    <w:basedOn w:val="Importovanstyl8"/>
    <w:rsid w:val="00DD6346"/>
    <w:pPr>
      <w:numPr>
        <w:numId w:val="8"/>
      </w:numPr>
    </w:pPr>
  </w:style>
  <w:style w:type="numbering" w:customStyle="1" w:styleId="Importovanstyl8">
    <w:name w:val="Importovaný styl 8"/>
    <w:rsid w:val="00DD6346"/>
  </w:style>
  <w:style w:type="numbering" w:customStyle="1" w:styleId="List8">
    <w:name w:val="List 8"/>
    <w:basedOn w:val="Importovanstyl9"/>
    <w:rsid w:val="00DD6346"/>
    <w:pPr>
      <w:numPr>
        <w:numId w:val="9"/>
      </w:numPr>
    </w:pPr>
  </w:style>
  <w:style w:type="numbering" w:customStyle="1" w:styleId="Importovanstyl9">
    <w:name w:val="Importovaný styl 9"/>
    <w:rsid w:val="00DD6346"/>
  </w:style>
  <w:style w:type="numbering" w:customStyle="1" w:styleId="List9">
    <w:name w:val="List 9"/>
    <w:basedOn w:val="Importovanstyl10"/>
    <w:rsid w:val="00DD6346"/>
    <w:pPr>
      <w:numPr>
        <w:numId w:val="10"/>
      </w:numPr>
    </w:pPr>
  </w:style>
  <w:style w:type="numbering" w:customStyle="1" w:styleId="Importovanstyl10">
    <w:name w:val="Importovaný styl 10"/>
    <w:rsid w:val="00DD6346"/>
  </w:style>
  <w:style w:type="numbering" w:customStyle="1" w:styleId="List10">
    <w:name w:val="List 10"/>
    <w:basedOn w:val="Importovanstyl11"/>
    <w:rsid w:val="00DD6346"/>
    <w:pPr>
      <w:numPr>
        <w:numId w:val="11"/>
      </w:numPr>
    </w:pPr>
  </w:style>
  <w:style w:type="numbering" w:customStyle="1" w:styleId="Importovanstyl11">
    <w:name w:val="Importovaný styl 11"/>
    <w:rsid w:val="00DD6346"/>
  </w:style>
  <w:style w:type="paragraph" w:customStyle="1" w:styleId="TextA">
    <w:name w:val="Text A"/>
    <w:rsid w:val="00DD634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fr-FR" w:eastAsia="sk-SK"/>
    </w:rPr>
  </w:style>
  <w:style w:type="character" w:customStyle="1" w:styleId="dn">
    <w:name w:val="Žádný"/>
    <w:rsid w:val="00DD6346"/>
  </w:style>
  <w:style w:type="character" w:customStyle="1" w:styleId="Hyperlink0">
    <w:name w:val="Hyperlink.0"/>
    <w:basedOn w:val="dn"/>
    <w:rsid w:val="00DD6346"/>
    <w:rPr>
      <w:rFonts w:ascii="Century Gothic" w:eastAsia="Century Gothic" w:hAnsi="Century Gothic" w:cs="Century Gothic"/>
      <w:color w:val="0000FF"/>
      <w:sz w:val="20"/>
      <w:szCs w:val="20"/>
      <w:u w:val="single" w:color="0000FF"/>
      <w:lang w:val="en-US"/>
    </w:rPr>
  </w:style>
  <w:style w:type="numbering" w:customStyle="1" w:styleId="List11">
    <w:name w:val="List 11"/>
    <w:basedOn w:val="Importovanstyl12"/>
    <w:rsid w:val="00DD6346"/>
    <w:pPr>
      <w:numPr>
        <w:numId w:val="12"/>
      </w:numPr>
    </w:pPr>
  </w:style>
  <w:style w:type="numbering" w:customStyle="1" w:styleId="Importovanstyl12">
    <w:name w:val="Importovaný styl 12"/>
    <w:rsid w:val="00DD6346"/>
  </w:style>
  <w:style w:type="numbering" w:customStyle="1" w:styleId="List12">
    <w:name w:val="List 12"/>
    <w:basedOn w:val="Importovanstyl13"/>
    <w:rsid w:val="00DD6346"/>
    <w:pPr>
      <w:numPr>
        <w:numId w:val="13"/>
      </w:numPr>
    </w:pPr>
  </w:style>
  <w:style w:type="numbering" w:customStyle="1" w:styleId="Importovanstyl13">
    <w:name w:val="Importovaný styl 13"/>
    <w:rsid w:val="00DD6346"/>
  </w:style>
  <w:style w:type="numbering" w:customStyle="1" w:styleId="List13">
    <w:name w:val="List 13"/>
    <w:basedOn w:val="Importovanstyl14"/>
    <w:rsid w:val="00DD6346"/>
    <w:pPr>
      <w:numPr>
        <w:numId w:val="14"/>
      </w:numPr>
    </w:pPr>
  </w:style>
  <w:style w:type="numbering" w:customStyle="1" w:styleId="Importovanstyl14">
    <w:name w:val="Importovaný styl 14"/>
    <w:rsid w:val="00DD6346"/>
  </w:style>
  <w:style w:type="numbering" w:customStyle="1" w:styleId="List14">
    <w:name w:val="List 14"/>
    <w:basedOn w:val="Importovanstyl15"/>
    <w:rsid w:val="00DD6346"/>
    <w:pPr>
      <w:numPr>
        <w:numId w:val="15"/>
      </w:numPr>
    </w:pPr>
  </w:style>
  <w:style w:type="numbering" w:customStyle="1" w:styleId="Importovanstyl15">
    <w:name w:val="Importovaný styl 15"/>
    <w:rsid w:val="00DD6346"/>
  </w:style>
  <w:style w:type="numbering" w:customStyle="1" w:styleId="List15">
    <w:name w:val="List 15"/>
    <w:basedOn w:val="Importovanstyl16"/>
    <w:rsid w:val="00DD6346"/>
    <w:pPr>
      <w:numPr>
        <w:numId w:val="16"/>
      </w:numPr>
    </w:pPr>
  </w:style>
  <w:style w:type="numbering" w:customStyle="1" w:styleId="Importovanstyl16">
    <w:name w:val="Importovaný styl 16"/>
    <w:rsid w:val="00DD6346"/>
  </w:style>
  <w:style w:type="numbering" w:customStyle="1" w:styleId="List16">
    <w:name w:val="List 16"/>
    <w:basedOn w:val="Importovanstyl17"/>
    <w:rsid w:val="00DD6346"/>
    <w:pPr>
      <w:numPr>
        <w:numId w:val="17"/>
      </w:numPr>
    </w:pPr>
  </w:style>
  <w:style w:type="numbering" w:customStyle="1" w:styleId="Importovanstyl17">
    <w:name w:val="Importovaný styl 17"/>
    <w:rsid w:val="00DD6346"/>
  </w:style>
  <w:style w:type="numbering" w:customStyle="1" w:styleId="List17">
    <w:name w:val="List 17"/>
    <w:basedOn w:val="Importovanstyl18"/>
    <w:rsid w:val="00DD6346"/>
    <w:pPr>
      <w:numPr>
        <w:numId w:val="18"/>
      </w:numPr>
    </w:pPr>
  </w:style>
  <w:style w:type="numbering" w:customStyle="1" w:styleId="Importovanstyl18">
    <w:name w:val="Importovaný styl 18"/>
    <w:rsid w:val="00DD6346"/>
  </w:style>
  <w:style w:type="numbering" w:customStyle="1" w:styleId="List18">
    <w:name w:val="List 18"/>
    <w:basedOn w:val="Importovanstyl19"/>
    <w:rsid w:val="00DD6346"/>
    <w:pPr>
      <w:numPr>
        <w:numId w:val="19"/>
      </w:numPr>
    </w:pPr>
  </w:style>
  <w:style w:type="numbering" w:customStyle="1" w:styleId="Importovanstyl19">
    <w:name w:val="Importovaný styl 19"/>
    <w:rsid w:val="00DD6346"/>
  </w:style>
  <w:style w:type="numbering" w:customStyle="1" w:styleId="List19">
    <w:name w:val="List 19"/>
    <w:basedOn w:val="Importovanstyl20"/>
    <w:rsid w:val="00DD6346"/>
    <w:pPr>
      <w:numPr>
        <w:numId w:val="20"/>
      </w:numPr>
    </w:pPr>
  </w:style>
  <w:style w:type="numbering" w:customStyle="1" w:styleId="Importovanstyl20">
    <w:name w:val="Importovaný styl 20"/>
    <w:rsid w:val="00DD6346"/>
  </w:style>
  <w:style w:type="numbering" w:customStyle="1" w:styleId="List20">
    <w:name w:val="List 20"/>
    <w:basedOn w:val="Importovanstyl21"/>
    <w:rsid w:val="00DD6346"/>
    <w:pPr>
      <w:numPr>
        <w:numId w:val="21"/>
      </w:numPr>
    </w:pPr>
  </w:style>
  <w:style w:type="numbering" w:customStyle="1" w:styleId="Importovanstyl21">
    <w:name w:val="Importovaný styl 21"/>
    <w:rsid w:val="00DD6346"/>
  </w:style>
  <w:style w:type="numbering" w:customStyle="1" w:styleId="Importovanstyl22">
    <w:name w:val="Importovaný styl 22"/>
    <w:rsid w:val="00DD6346"/>
  </w:style>
  <w:style w:type="numbering" w:customStyle="1" w:styleId="List22">
    <w:name w:val="List 22"/>
    <w:basedOn w:val="Importovanstyl23"/>
    <w:rsid w:val="00DD6346"/>
    <w:pPr>
      <w:numPr>
        <w:numId w:val="22"/>
      </w:numPr>
    </w:pPr>
  </w:style>
  <w:style w:type="numbering" w:customStyle="1" w:styleId="Importovanstyl23">
    <w:name w:val="Importovaný styl 23"/>
    <w:rsid w:val="00DD6346"/>
  </w:style>
  <w:style w:type="numbering" w:customStyle="1" w:styleId="List23">
    <w:name w:val="List 23"/>
    <w:basedOn w:val="Importovanstyl24"/>
    <w:rsid w:val="00DD6346"/>
    <w:pPr>
      <w:numPr>
        <w:numId w:val="23"/>
      </w:numPr>
    </w:pPr>
  </w:style>
  <w:style w:type="numbering" w:customStyle="1" w:styleId="Importovanstyl24">
    <w:name w:val="Importovaný styl 24"/>
    <w:rsid w:val="00DD6346"/>
  </w:style>
  <w:style w:type="numbering" w:customStyle="1" w:styleId="List24">
    <w:name w:val="List 24"/>
    <w:basedOn w:val="Importovanstyl25"/>
    <w:rsid w:val="00DD6346"/>
    <w:pPr>
      <w:numPr>
        <w:numId w:val="24"/>
      </w:numPr>
    </w:pPr>
  </w:style>
  <w:style w:type="numbering" w:customStyle="1" w:styleId="Importovanstyl25">
    <w:name w:val="Importovaný styl 25"/>
    <w:rsid w:val="00DD6346"/>
  </w:style>
  <w:style w:type="numbering" w:customStyle="1" w:styleId="List25">
    <w:name w:val="List 25"/>
    <w:basedOn w:val="Importovanstyl26"/>
    <w:rsid w:val="00DD6346"/>
    <w:pPr>
      <w:numPr>
        <w:numId w:val="25"/>
      </w:numPr>
    </w:pPr>
  </w:style>
  <w:style w:type="numbering" w:customStyle="1" w:styleId="Importovanstyl26">
    <w:name w:val="Importovaný styl 26"/>
    <w:rsid w:val="00DD6346"/>
  </w:style>
  <w:style w:type="paragraph" w:customStyle="1" w:styleId="TextB">
    <w:name w:val="Text B"/>
    <w:rsid w:val="00DD6346"/>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sk-SK"/>
    </w:rPr>
  </w:style>
  <w:style w:type="paragraph" w:styleId="Odsekzoznamu">
    <w:name w:val="List Paragraph"/>
    <w:qFormat/>
    <w:rsid w:val="00D81841"/>
    <w:pPr>
      <w:pBdr>
        <w:top w:val="nil"/>
        <w:left w:val="nil"/>
        <w:bottom w:val="nil"/>
        <w:right w:val="nil"/>
        <w:between w:val="nil"/>
        <w:bar w:val="nil"/>
      </w:pBdr>
      <w:tabs>
        <w:tab w:val="left" w:pos="638"/>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360" w:lineRule="auto"/>
      <w:jc w:val="both"/>
    </w:pPr>
    <w:rPr>
      <w:rFonts w:ascii="Verdana" w:eastAsia="Century Gothic" w:hAnsi="Verdana" w:cs="Century Gothic"/>
      <w:color w:val="000000"/>
      <w:sz w:val="24"/>
      <w:szCs w:val="24"/>
      <w:u w:color="000000"/>
      <w:bdr w:val="nil"/>
      <w:lang w:val="en-US" w:eastAsia="sk-SK"/>
    </w:rPr>
  </w:style>
  <w:style w:type="numbering" w:customStyle="1" w:styleId="List26">
    <w:name w:val="List 26"/>
    <w:basedOn w:val="Importovanstyl27"/>
    <w:rsid w:val="00DD6346"/>
    <w:pPr>
      <w:numPr>
        <w:numId w:val="26"/>
      </w:numPr>
    </w:pPr>
  </w:style>
  <w:style w:type="numbering" w:customStyle="1" w:styleId="Importovanstyl27">
    <w:name w:val="Importovaný styl 27"/>
    <w:rsid w:val="00DD6346"/>
  </w:style>
  <w:style w:type="numbering" w:customStyle="1" w:styleId="List27">
    <w:name w:val="List 27"/>
    <w:basedOn w:val="Importovanstyl28"/>
    <w:rsid w:val="00DD6346"/>
    <w:pPr>
      <w:numPr>
        <w:numId w:val="27"/>
      </w:numPr>
    </w:pPr>
  </w:style>
  <w:style w:type="numbering" w:customStyle="1" w:styleId="Importovanstyl28">
    <w:name w:val="Importovaný styl 28"/>
    <w:rsid w:val="00DD6346"/>
  </w:style>
  <w:style w:type="numbering" w:customStyle="1" w:styleId="List28">
    <w:name w:val="List 28"/>
    <w:basedOn w:val="Importovanstyl29"/>
    <w:rsid w:val="00DD6346"/>
    <w:pPr>
      <w:numPr>
        <w:numId w:val="28"/>
      </w:numPr>
    </w:pPr>
  </w:style>
  <w:style w:type="numbering" w:customStyle="1" w:styleId="Importovanstyl29">
    <w:name w:val="Importovaný styl 29"/>
    <w:rsid w:val="00DD6346"/>
  </w:style>
  <w:style w:type="numbering" w:customStyle="1" w:styleId="List29">
    <w:name w:val="List 29"/>
    <w:basedOn w:val="Importovanstyl1"/>
    <w:rsid w:val="00DD6346"/>
    <w:pPr>
      <w:numPr>
        <w:numId w:val="29"/>
      </w:numPr>
    </w:pPr>
  </w:style>
  <w:style w:type="numbering" w:customStyle="1" w:styleId="List30">
    <w:name w:val="List 30"/>
    <w:basedOn w:val="Importovanstyl2"/>
    <w:rsid w:val="00DD6346"/>
    <w:pPr>
      <w:numPr>
        <w:numId w:val="30"/>
      </w:numPr>
    </w:pPr>
  </w:style>
  <w:style w:type="numbering" w:customStyle="1" w:styleId="List32">
    <w:name w:val="List 32"/>
    <w:basedOn w:val="Importovanstyl4"/>
    <w:rsid w:val="00DD6346"/>
    <w:pPr>
      <w:numPr>
        <w:numId w:val="31"/>
      </w:numPr>
    </w:pPr>
  </w:style>
  <w:style w:type="numbering" w:customStyle="1" w:styleId="List33">
    <w:name w:val="List 33"/>
    <w:basedOn w:val="Importovanstyl5"/>
    <w:rsid w:val="00DD6346"/>
    <w:pPr>
      <w:numPr>
        <w:numId w:val="32"/>
      </w:numPr>
    </w:pPr>
  </w:style>
  <w:style w:type="numbering" w:customStyle="1" w:styleId="List34">
    <w:name w:val="List 34"/>
    <w:basedOn w:val="Importovanstyl6"/>
    <w:rsid w:val="00DD6346"/>
    <w:pPr>
      <w:numPr>
        <w:numId w:val="33"/>
      </w:numPr>
    </w:pPr>
  </w:style>
  <w:style w:type="numbering" w:customStyle="1" w:styleId="List35">
    <w:name w:val="List 35"/>
    <w:basedOn w:val="Importovanstyl7"/>
    <w:rsid w:val="00DD6346"/>
    <w:pPr>
      <w:numPr>
        <w:numId w:val="34"/>
      </w:numPr>
    </w:pPr>
  </w:style>
  <w:style w:type="numbering" w:customStyle="1" w:styleId="List36">
    <w:name w:val="List 36"/>
    <w:basedOn w:val="Importovanstyl8"/>
    <w:rsid w:val="00DD6346"/>
    <w:pPr>
      <w:numPr>
        <w:numId w:val="35"/>
      </w:numPr>
    </w:pPr>
  </w:style>
  <w:style w:type="numbering" w:customStyle="1" w:styleId="List37">
    <w:name w:val="List 37"/>
    <w:basedOn w:val="Importovanstyl9"/>
    <w:rsid w:val="00DD6346"/>
    <w:pPr>
      <w:numPr>
        <w:numId w:val="36"/>
      </w:numPr>
    </w:pPr>
  </w:style>
  <w:style w:type="numbering" w:customStyle="1" w:styleId="List38">
    <w:name w:val="List 38"/>
    <w:basedOn w:val="Importovanstyl10"/>
    <w:rsid w:val="00DD6346"/>
    <w:pPr>
      <w:numPr>
        <w:numId w:val="37"/>
      </w:numPr>
    </w:pPr>
  </w:style>
  <w:style w:type="numbering" w:customStyle="1" w:styleId="List39">
    <w:name w:val="List 39"/>
    <w:basedOn w:val="Importovanstyl11"/>
    <w:rsid w:val="00DD6346"/>
    <w:pPr>
      <w:numPr>
        <w:numId w:val="38"/>
      </w:numPr>
    </w:pPr>
  </w:style>
  <w:style w:type="numbering" w:customStyle="1" w:styleId="List40">
    <w:name w:val="List 40"/>
    <w:basedOn w:val="Importovanstyl12"/>
    <w:rsid w:val="00DD6346"/>
    <w:pPr>
      <w:numPr>
        <w:numId w:val="39"/>
      </w:numPr>
    </w:pPr>
  </w:style>
  <w:style w:type="paragraph" w:styleId="Hlavika">
    <w:name w:val="header"/>
    <w:basedOn w:val="Normlny"/>
    <w:link w:val="HlavikaChar"/>
    <w:uiPriority w:val="99"/>
    <w:unhideWhenUsed/>
    <w:rsid w:val="00DD6346"/>
    <w:pPr>
      <w:tabs>
        <w:tab w:val="center" w:pos="4536"/>
        <w:tab w:val="right" w:pos="9072"/>
      </w:tabs>
    </w:pPr>
  </w:style>
  <w:style w:type="character" w:customStyle="1" w:styleId="HlavikaChar">
    <w:name w:val="Hlavička Char"/>
    <w:basedOn w:val="Predvolenpsmoodseku"/>
    <w:link w:val="Hlavika"/>
    <w:uiPriority w:val="99"/>
    <w:rsid w:val="00DD6346"/>
    <w:rPr>
      <w:rFonts w:ascii="Times New Roman" w:eastAsia="Arial Unicode MS" w:hAnsi="Times New Roman" w:cs="Times New Roman"/>
      <w:sz w:val="24"/>
      <w:szCs w:val="24"/>
      <w:bdr w:val="nil"/>
      <w:lang w:val="en-US"/>
    </w:rPr>
  </w:style>
  <w:style w:type="paragraph" w:styleId="Pta">
    <w:name w:val="footer"/>
    <w:basedOn w:val="Normlny"/>
    <w:link w:val="PtaChar"/>
    <w:uiPriority w:val="99"/>
    <w:unhideWhenUsed/>
    <w:rsid w:val="00DD6346"/>
    <w:pPr>
      <w:tabs>
        <w:tab w:val="center" w:pos="4536"/>
        <w:tab w:val="right" w:pos="9072"/>
      </w:tabs>
    </w:pPr>
  </w:style>
  <w:style w:type="character" w:customStyle="1" w:styleId="PtaChar">
    <w:name w:val="Päta Char"/>
    <w:basedOn w:val="Predvolenpsmoodseku"/>
    <w:link w:val="Pta"/>
    <w:uiPriority w:val="99"/>
    <w:rsid w:val="00DD6346"/>
    <w:rPr>
      <w:rFonts w:ascii="Times New Roman" w:eastAsia="Arial Unicode MS" w:hAnsi="Times New Roman" w:cs="Times New Roman"/>
      <w:sz w:val="24"/>
      <w:szCs w:val="24"/>
      <w:bdr w:val="nil"/>
      <w:lang w:val="en-US"/>
    </w:rPr>
  </w:style>
  <w:style w:type="paragraph" w:styleId="Hlavikaobsahu">
    <w:name w:val="TOC Heading"/>
    <w:basedOn w:val="Nadpis1"/>
    <w:next w:val="Normlny"/>
    <w:uiPriority w:val="39"/>
    <w:unhideWhenUsed/>
    <w:qFormat/>
    <w:rsid w:val="00DD6346"/>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bdr w:val="none" w:sz="0" w:space="0" w:color="auto"/>
      <w:lang w:eastAsia="ja-JP"/>
    </w:rPr>
  </w:style>
  <w:style w:type="paragraph" w:styleId="Obsah1">
    <w:name w:val="toc 1"/>
    <w:basedOn w:val="Normlny"/>
    <w:next w:val="Normlny"/>
    <w:autoRedefine/>
    <w:uiPriority w:val="39"/>
    <w:unhideWhenUsed/>
    <w:rsid w:val="00DD6346"/>
    <w:pPr>
      <w:spacing w:after="100"/>
    </w:pPr>
  </w:style>
  <w:style w:type="paragraph" w:styleId="Obsah2">
    <w:name w:val="toc 2"/>
    <w:basedOn w:val="Normlny"/>
    <w:next w:val="Normlny"/>
    <w:autoRedefine/>
    <w:uiPriority w:val="39"/>
    <w:unhideWhenUsed/>
    <w:rsid w:val="00DD6346"/>
    <w:pPr>
      <w:spacing w:after="100"/>
      <w:ind w:left="240"/>
    </w:pPr>
  </w:style>
  <w:style w:type="paragraph" w:styleId="Textbubliny">
    <w:name w:val="Balloon Text"/>
    <w:basedOn w:val="Normlny"/>
    <w:link w:val="TextbublinyChar"/>
    <w:uiPriority w:val="99"/>
    <w:semiHidden/>
    <w:unhideWhenUsed/>
    <w:rsid w:val="00DD6346"/>
    <w:rPr>
      <w:rFonts w:ascii="Tahoma" w:hAnsi="Tahoma" w:cs="Tahoma"/>
      <w:sz w:val="16"/>
      <w:szCs w:val="16"/>
    </w:rPr>
  </w:style>
  <w:style w:type="character" w:customStyle="1" w:styleId="TextbublinyChar">
    <w:name w:val="Text bubliny Char"/>
    <w:basedOn w:val="Predvolenpsmoodseku"/>
    <w:link w:val="Textbubliny"/>
    <w:uiPriority w:val="99"/>
    <w:semiHidden/>
    <w:rsid w:val="00DD6346"/>
    <w:rPr>
      <w:rFonts w:ascii="Tahoma" w:eastAsia="Arial Unicode MS" w:hAnsi="Tahoma" w:cs="Tahoma"/>
      <w:sz w:val="16"/>
      <w:szCs w:val="16"/>
      <w:bdr w:val="nil"/>
      <w:lang w:val="en-US"/>
    </w:rPr>
  </w:style>
  <w:style w:type="character" w:customStyle="1" w:styleId="Nadpis2Char">
    <w:name w:val="Nadpis 2 Char"/>
    <w:basedOn w:val="Predvolenpsmoodseku"/>
    <w:link w:val="Nadpis2"/>
    <w:uiPriority w:val="9"/>
    <w:rsid w:val="00307D5D"/>
    <w:rPr>
      <w:rFonts w:ascii="Verdana" w:eastAsiaTheme="majorEastAsia" w:hAnsi="Verdana" w:cstheme="majorBidi"/>
      <w:b/>
      <w:sz w:val="32"/>
      <w:szCs w:val="26"/>
      <w:bdr w:val="nil"/>
      <w:lang w:val="en-GB"/>
    </w:rPr>
  </w:style>
  <w:style w:type="character" w:customStyle="1" w:styleId="Nadpis3Char">
    <w:name w:val="Nadpis 3 Char"/>
    <w:basedOn w:val="Predvolenpsmoodseku"/>
    <w:link w:val="Nadpis3"/>
    <w:uiPriority w:val="9"/>
    <w:rsid w:val="00C42A65"/>
    <w:rPr>
      <w:rFonts w:ascii="Verdana" w:eastAsiaTheme="majorEastAsia" w:hAnsi="Verdana" w:cstheme="majorBidi"/>
      <w:b/>
      <w:sz w:val="28"/>
      <w:szCs w:val="24"/>
      <w:bdr w:val="nil"/>
      <w:lang w:val="en-US"/>
    </w:rPr>
  </w:style>
  <w:style w:type="character" w:customStyle="1" w:styleId="Nadpis4Char">
    <w:name w:val="Nadpis 4 Char"/>
    <w:basedOn w:val="Predvolenpsmoodseku"/>
    <w:link w:val="Nadpis4"/>
    <w:uiPriority w:val="9"/>
    <w:rsid w:val="00036F13"/>
    <w:rPr>
      <w:rFonts w:ascii="Verdana" w:eastAsiaTheme="majorEastAsia" w:hAnsi="Verdana" w:cstheme="majorBidi"/>
      <w:b/>
      <w:iCs/>
      <w:sz w:val="24"/>
      <w:szCs w:val="24"/>
      <w:bdr w:val="nil"/>
      <w:lang w:val="en-US"/>
    </w:rPr>
  </w:style>
  <w:style w:type="character" w:customStyle="1" w:styleId="H23GChar">
    <w:name w:val="_ H_2/3_G Char"/>
    <w:link w:val="H23G"/>
    <w:locked/>
    <w:rsid w:val="00831CEC"/>
    <w:rPr>
      <w:rFonts w:ascii="Times New Roman" w:eastAsia="Times New Roman" w:hAnsi="Times New Roman" w:cs="Times New Roman"/>
      <w:b/>
      <w:sz w:val="20"/>
      <w:szCs w:val="20"/>
      <w:lang w:eastAsia="sk-SK"/>
    </w:rPr>
  </w:style>
  <w:style w:type="paragraph" w:customStyle="1" w:styleId="H23G">
    <w:name w:val="_ H_2/3_G"/>
    <w:basedOn w:val="Normlny"/>
    <w:next w:val="Normlny"/>
    <w:link w:val="H23GChar"/>
    <w:rsid w:val="00831CE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right" w:pos="851"/>
      </w:tabs>
      <w:suppressAutoHyphens/>
      <w:spacing w:before="240" w:after="120" w:line="240" w:lineRule="exact"/>
      <w:ind w:left="1134" w:right="1134" w:hanging="1134"/>
    </w:pPr>
    <w:rPr>
      <w:rFonts w:ascii="Times New Roman" w:eastAsia="Times New Roman" w:hAnsi="Times New Roman"/>
      <w:b/>
      <w:sz w:val="20"/>
      <w:szCs w:val="20"/>
      <w:bdr w:val="none" w:sz="0" w:space="0" w:color="auto"/>
      <w:lang w:val="sk-SK" w:eastAsia="sk-SK"/>
    </w:rPr>
  </w:style>
  <w:style w:type="paragraph" w:customStyle="1" w:styleId="tl1">
    <w:name w:val="Štýl1"/>
    <w:basedOn w:val="Bezriadkovania"/>
    <w:rsid w:val="00831CEC"/>
    <w:pPr>
      <w:pBdr>
        <w:top w:val="none" w:sz="0" w:space="0" w:color="auto"/>
        <w:left w:val="none" w:sz="0" w:space="0" w:color="auto"/>
        <w:bottom w:val="none" w:sz="0" w:space="0" w:color="auto"/>
        <w:right w:val="none" w:sz="0" w:space="0" w:color="auto"/>
        <w:between w:val="none" w:sz="0" w:space="0" w:color="auto"/>
        <w:bar w:val="none" w:sz="0" w:color="auto"/>
      </w:pBdr>
      <w:tabs>
        <w:tab w:val="num" w:pos="360"/>
        <w:tab w:val="num" w:pos="663"/>
      </w:tabs>
      <w:spacing w:after="360" w:line="276" w:lineRule="auto"/>
      <w:ind w:left="664" w:hanging="380"/>
      <w:jc w:val="both"/>
    </w:pPr>
    <w:rPr>
      <w:rFonts w:ascii="Verdana" w:eastAsia="Calibri" w:hAnsi="Verdana" w:cs="Calibri"/>
      <w:sz w:val="24"/>
      <w:szCs w:val="24"/>
      <w:bdr w:val="none" w:sz="0" w:space="0" w:color="auto"/>
      <w:lang w:val="sk-SK"/>
    </w:rPr>
  </w:style>
  <w:style w:type="character" w:customStyle="1" w:styleId="SingleTxtGChar">
    <w:name w:val="_ Single Txt_G Char"/>
    <w:link w:val="SingleTxtG"/>
    <w:locked/>
    <w:rsid w:val="00124C89"/>
    <w:rPr>
      <w:rFonts w:ascii="Times New Roman" w:eastAsia="Times New Roman" w:hAnsi="Times New Roman" w:cs="Times New Roman"/>
      <w:sz w:val="20"/>
      <w:szCs w:val="20"/>
      <w:lang w:eastAsia="sk-SK"/>
    </w:rPr>
  </w:style>
  <w:style w:type="paragraph" w:customStyle="1" w:styleId="SingleTxtG">
    <w:name w:val="_ Single Txt_G"/>
    <w:basedOn w:val="Normlny"/>
    <w:link w:val="SingleTxtGChar"/>
    <w:rsid w:val="00124C89"/>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sz w:val="20"/>
      <w:szCs w:val="20"/>
      <w:bdr w:val="none" w:sz="0" w:space="0" w:color="auto"/>
      <w:lang w:val="sk-SK" w:eastAsia="sk-SK"/>
    </w:rPr>
  </w:style>
  <w:style w:type="paragraph" w:styleId="Textpoznmkypodiarou">
    <w:name w:val="footnote text"/>
    <w:basedOn w:val="Normlny"/>
    <w:link w:val="TextpoznmkypodiarouChar"/>
    <w:unhideWhenUsed/>
    <w:rsid w:val="00E617DC"/>
    <w:pPr>
      <w:spacing w:line="240" w:lineRule="auto"/>
    </w:pPr>
    <w:rPr>
      <w:sz w:val="20"/>
      <w:szCs w:val="20"/>
    </w:rPr>
  </w:style>
  <w:style w:type="character" w:customStyle="1" w:styleId="TextpoznmkypodiarouChar">
    <w:name w:val="Text poznámky pod čiarou Char"/>
    <w:basedOn w:val="Predvolenpsmoodseku"/>
    <w:link w:val="Textpoznmkypodiarou"/>
    <w:rsid w:val="00E617DC"/>
    <w:rPr>
      <w:rFonts w:ascii="Verdana" w:eastAsia="Arial Unicode MS" w:hAnsi="Verdana" w:cs="Times New Roman"/>
      <w:sz w:val="20"/>
      <w:szCs w:val="20"/>
      <w:bdr w:val="nil"/>
      <w:lang w:val="en-US"/>
    </w:rPr>
  </w:style>
  <w:style w:type="character" w:styleId="Odkaznapoznmkupodiarou">
    <w:name w:val="footnote reference"/>
    <w:basedOn w:val="Predvolenpsmoodseku"/>
    <w:unhideWhenUsed/>
    <w:rsid w:val="00E617DC"/>
    <w:rPr>
      <w:vertAlign w:val="superscript"/>
    </w:rPr>
  </w:style>
  <w:style w:type="character" w:customStyle="1" w:styleId="dnA">
    <w:name w:val="Žádný A"/>
    <w:rsid w:val="00427481"/>
  </w:style>
  <w:style w:type="character" w:customStyle="1" w:styleId="Hyperlink4">
    <w:name w:val="Hyperlink.4"/>
    <w:basedOn w:val="dnA"/>
    <w:rsid w:val="00427481"/>
    <w:rPr>
      <w:rFonts w:ascii="Century Gothic" w:eastAsia="Century Gothic" w:hAnsi="Century Gothic" w:cs="Century Gothic"/>
      <w:color w:val="0000FF"/>
      <w:sz w:val="20"/>
      <w:szCs w:val="20"/>
      <w:u w:val="single" w:color="0000FF"/>
    </w:rPr>
  </w:style>
  <w:style w:type="paragraph" w:styleId="Revzia">
    <w:name w:val="Revision"/>
    <w:hidden/>
    <w:uiPriority w:val="99"/>
    <w:semiHidden/>
    <w:rsid w:val="00901DAD"/>
    <w:pPr>
      <w:spacing w:after="0" w:line="240" w:lineRule="auto"/>
    </w:pPr>
    <w:rPr>
      <w:rFonts w:ascii="Verdana" w:eastAsia="Arial Unicode MS" w:hAnsi="Verdana" w:cs="Times New Roman"/>
      <w:sz w:val="24"/>
      <w:szCs w:val="24"/>
      <w:bdr w:val="nil"/>
      <w:lang w:val="en-GB"/>
    </w:rPr>
  </w:style>
  <w:style w:type="character" w:styleId="Odkaznakomentr">
    <w:name w:val="annotation reference"/>
    <w:basedOn w:val="Predvolenpsmoodseku"/>
    <w:uiPriority w:val="99"/>
    <w:semiHidden/>
    <w:unhideWhenUsed/>
    <w:rsid w:val="00CF3A21"/>
    <w:rPr>
      <w:sz w:val="16"/>
      <w:szCs w:val="16"/>
    </w:rPr>
  </w:style>
  <w:style w:type="paragraph" w:styleId="Textkomentra">
    <w:name w:val="annotation text"/>
    <w:basedOn w:val="Normlny"/>
    <w:link w:val="TextkomentraChar"/>
    <w:uiPriority w:val="99"/>
    <w:semiHidden/>
    <w:unhideWhenUsed/>
    <w:rsid w:val="00CF3A21"/>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pPr>
    <w:rPr>
      <w:rFonts w:asciiTheme="minorHAnsi" w:eastAsiaTheme="minorHAnsi" w:hAnsiTheme="minorHAnsi" w:cstheme="minorBidi"/>
      <w:sz w:val="20"/>
      <w:szCs w:val="20"/>
      <w:bdr w:val="none" w:sz="0" w:space="0" w:color="auto"/>
      <w:lang w:val="sk-SK"/>
    </w:rPr>
  </w:style>
  <w:style w:type="character" w:customStyle="1" w:styleId="TextkomentraChar">
    <w:name w:val="Text komentára Char"/>
    <w:basedOn w:val="Predvolenpsmoodseku"/>
    <w:link w:val="Textkomentra"/>
    <w:uiPriority w:val="99"/>
    <w:semiHidden/>
    <w:rsid w:val="00CF3A21"/>
    <w:rPr>
      <w:sz w:val="20"/>
      <w:szCs w:val="20"/>
    </w:rPr>
  </w:style>
  <w:style w:type="character" w:customStyle="1" w:styleId="Hyperlink2">
    <w:name w:val="Hyperlink.2"/>
    <w:basedOn w:val="dnA"/>
    <w:rsid w:val="00821C5F"/>
    <w:rPr>
      <w:rFonts w:ascii="Century Gothic" w:eastAsia="Century Gothic" w:hAnsi="Century Gothic" w:cs="Century Gothic"/>
      <w:i/>
      <w:iCs/>
      <w:color w:val="0000FF"/>
      <w:u w:val="single" w:color="0000FF"/>
      <w:lang w:val="en-US"/>
    </w:rPr>
  </w:style>
  <w:style w:type="character" w:customStyle="1" w:styleId="Hyperlink3">
    <w:name w:val="Hyperlink.3"/>
    <w:basedOn w:val="dnA"/>
    <w:rsid w:val="00821C5F"/>
    <w:rPr>
      <w:rFonts w:ascii="Century Gothic" w:eastAsia="Century Gothic" w:hAnsi="Century Gothic" w:cs="Century Gothic"/>
      <w:color w:val="0000FF"/>
      <w:sz w:val="20"/>
      <w:szCs w:val="20"/>
      <w:u w:val="single" w:color="0000FF"/>
      <w:lang w:val="en-US"/>
    </w:rPr>
  </w:style>
  <w:style w:type="character" w:styleId="PouitHypertextovPrepojenie">
    <w:name w:val="FollowedHyperlink"/>
    <w:basedOn w:val="Predvolenpsmoodseku"/>
    <w:uiPriority w:val="99"/>
    <w:semiHidden/>
    <w:unhideWhenUsed/>
    <w:rsid w:val="00A35BF3"/>
    <w:rPr>
      <w:color w:val="954F72" w:themeColor="followedHyperlink"/>
      <w:u w:val="single"/>
    </w:rPr>
  </w:style>
  <w:style w:type="paragraph" w:customStyle="1" w:styleId="odporania">
    <w:name w:val="odporúčania"/>
    <w:basedOn w:val="Bezriadkovania"/>
    <w:rsid w:val="0067070D"/>
    <w:pPr>
      <w:shd w:val="clear" w:color="auto" w:fill="EEECE1"/>
      <w:tabs>
        <w:tab w:val="num" w:pos="360"/>
        <w:tab w:val="left" w:pos="709"/>
        <w:tab w:val="num" w:pos="1410"/>
      </w:tabs>
      <w:spacing w:line="276" w:lineRule="auto"/>
      <w:ind w:left="1412" w:hanging="703"/>
      <w:jc w:val="both"/>
    </w:pPr>
    <w:rPr>
      <w:rFonts w:ascii="Verdana" w:eastAsia="Calibri" w:hAnsi="Verdana" w:cs="Calibri"/>
      <w:sz w:val="24"/>
      <w:szCs w:val="24"/>
      <w:lang w:val="sk-SK"/>
    </w:rPr>
  </w:style>
  <w:style w:type="paragraph" w:customStyle="1" w:styleId="lnokdohovoru">
    <w:name w:val="článok dohovoru"/>
    <w:basedOn w:val="Bezriadkovania"/>
    <w:next w:val="tl1"/>
    <w:rsid w:val="000C5A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before="480" w:after="240" w:line="276" w:lineRule="auto"/>
      <w:jc w:val="both"/>
      <w:outlineLvl w:val="1"/>
    </w:pPr>
    <w:rPr>
      <w:rFonts w:ascii="Verdana" w:eastAsia="Calibri" w:hAnsi="Verdana" w:cs="Calibri"/>
      <w:b/>
      <w:bCs/>
      <w:sz w:val="24"/>
      <w:szCs w:val="24"/>
      <w:lang w:val="sk-SK"/>
    </w:rPr>
  </w:style>
  <w:style w:type="paragraph" w:customStyle="1" w:styleId="navrhovanodporania">
    <w:name w:val="navrhované odporúčania"/>
    <w:basedOn w:val="Bezriadkovania"/>
    <w:rsid w:val="000C5A48"/>
    <w:pPr>
      <w:shd w:val="clear" w:color="auto" w:fill="EEECE1"/>
      <w:spacing w:after="240" w:line="276" w:lineRule="auto"/>
      <w:ind w:left="709"/>
      <w:jc w:val="both"/>
    </w:pPr>
    <w:rPr>
      <w:rFonts w:ascii="Verdana" w:eastAsia="Calibri" w:hAnsi="Verdana" w:cs="Calibri"/>
      <w:b/>
      <w:bCs/>
      <w:sz w:val="24"/>
      <w:szCs w:val="24"/>
      <w:lang w:val="sk-SK"/>
    </w:rPr>
  </w:style>
  <w:style w:type="character" w:customStyle="1" w:styleId="m3158903075096665560dna">
    <w:name w:val="m_3158903075096665560dna"/>
    <w:basedOn w:val="Predvolenpsmoodseku"/>
    <w:rsid w:val="0086180D"/>
  </w:style>
  <w:style w:type="character" w:customStyle="1" w:styleId="m3158903075096665560hyperlink0">
    <w:name w:val="m_3158903075096665560hyperlink0"/>
    <w:basedOn w:val="Predvolenpsmoodseku"/>
    <w:rsid w:val="0086180D"/>
  </w:style>
  <w:style w:type="paragraph" w:styleId="Obsah3">
    <w:name w:val="toc 3"/>
    <w:basedOn w:val="Normlny"/>
    <w:next w:val="Normlny"/>
    <w:autoRedefine/>
    <w:uiPriority w:val="39"/>
    <w:unhideWhenUsed/>
    <w:rsid w:val="00B50C1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221">
      <w:bodyDiv w:val="1"/>
      <w:marLeft w:val="0"/>
      <w:marRight w:val="0"/>
      <w:marTop w:val="0"/>
      <w:marBottom w:val="0"/>
      <w:divBdr>
        <w:top w:val="none" w:sz="0" w:space="0" w:color="auto"/>
        <w:left w:val="none" w:sz="0" w:space="0" w:color="auto"/>
        <w:bottom w:val="none" w:sz="0" w:space="0" w:color="auto"/>
        <w:right w:val="none" w:sz="0" w:space="0" w:color="auto"/>
      </w:divBdr>
    </w:div>
    <w:div w:id="143591673">
      <w:bodyDiv w:val="1"/>
      <w:marLeft w:val="0"/>
      <w:marRight w:val="0"/>
      <w:marTop w:val="0"/>
      <w:marBottom w:val="0"/>
      <w:divBdr>
        <w:top w:val="none" w:sz="0" w:space="0" w:color="auto"/>
        <w:left w:val="none" w:sz="0" w:space="0" w:color="auto"/>
        <w:bottom w:val="none" w:sz="0" w:space="0" w:color="auto"/>
        <w:right w:val="none" w:sz="0" w:space="0" w:color="auto"/>
      </w:divBdr>
    </w:div>
    <w:div w:id="353045058">
      <w:bodyDiv w:val="1"/>
      <w:marLeft w:val="0"/>
      <w:marRight w:val="0"/>
      <w:marTop w:val="0"/>
      <w:marBottom w:val="0"/>
      <w:divBdr>
        <w:top w:val="none" w:sz="0" w:space="0" w:color="auto"/>
        <w:left w:val="none" w:sz="0" w:space="0" w:color="auto"/>
        <w:bottom w:val="none" w:sz="0" w:space="0" w:color="auto"/>
        <w:right w:val="none" w:sz="0" w:space="0" w:color="auto"/>
      </w:divBdr>
    </w:div>
    <w:div w:id="368798955">
      <w:bodyDiv w:val="1"/>
      <w:marLeft w:val="0"/>
      <w:marRight w:val="0"/>
      <w:marTop w:val="0"/>
      <w:marBottom w:val="0"/>
      <w:divBdr>
        <w:top w:val="none" w:sz="0" w:space="0" w:color="auto"/>
        <w:left w:val="none" w:sz="0" w:space="0" w:color="auto"/>
        <w:bottom w:val="none" w:sz="0" w:space="0" w:color="auto"/>
        <w:right w:val="none" w:sz="0" w:space="0" w:color="auto"/>
      </w:divBdr>
    </w:div>
    <w:div w:id="700127570">
      <w:bodyDiv w:val="1"/>
      <w:marLeft w:val="0"/>
      <w:marRight w:val="0"/>
      <w:marTop w:val="0"/>
      <w:marBottom w:val="0"/>
      <w:divBdr>
        <w:top w:val="none" w:sz="0" w:space="0" w:color="auto"/>
        <w:left w:val="none" w:sz="0" w:space="0" w:color="auto"/>
        <w:bottom w:val="none" w:sz="0" w:space="0" w:color="auto"/>
        <w:right w:val="none" w:sz="0" w:space="0" w:color="auto"/>
      </w:divBdr>
      <w:divsChild>
        <w:div w:id="1464537771">
          <w:marLeft w:val="0"/>
          <w:marRight w:val="0"/>
          <w:marTop w:val="0"/>
          <w:marBottom w:val="0"/>
          <w:divBdr>
            <w:top w:val="none" w:sz="0" w:space="0" w:color="auto"/>
            <w:left w:val="none" w:sz="0" w:space="0" w:color="auto"/>
            <w:bottom w:val="none" w:sz="0" w:space="0" w:color="auto"/>
            <w:right w:val="none" w:sz="0" w:space="0" w:color="auto"/>
          </w:divBdr>
        </w:div>
      </w:divsChild>
    </w:div>
    <w:div w:id="933704371">
      <w:bodyDiv w:val="1"/>
      <w:marLeft w:val="0"/>
      <w:marRight w:val="0"/>
      <w:marTop w:val="0"/>
      <w:marBottom w:val="0"/>
      <w:divBdr>
        <w:top w:val="none" w:sz="0" w:space="0" w:color="auto"/>
        <w:left w:val="none" w:sz="0" w:space="0" w:color="auto"/>
        <w:bottom w:val="none" w:sz="0" w:space="0" w:color="auto"/>
        <w:right w:val="none" w:sz="0" w:space="0" w:color="auto"/>
      </w:divBdr>
    </w:div>
    <w:div w:id="1346327323">
      <w:bodyDiv w:val="1"/>
      <w:marLeft w:val="0"/>
      <w:marRight w:val="0"/>
      <w:marTop w:val="0"/>
      <w:marBottom w:val="0"/>
      <w:divBdr>
        <w:top w:val="none" w:sz="0" w:space="0" w:color="auto"/>
        <w:left w:val="none" w:sz="0" w:space="0" w:color="auto"/>
        <w:bottom w:val="none" w:sz="0" w:space="0" w:color="auto"/>
        <w:right w:val="none" w:sz="0" w:space="0" w:color="auto"/>
      </w:divBdr>
    </w:div>
    <w:div w:id="1364089767">
      <w:bodyDiv w:val="1"/>
      <w:marLeft w:val="0"/>
      <w:marRight w:val="0"/>
      <w:marTop w:val="0"/>
      <w:marBottom w:val="0"/>
      <w:divBdr>
        <w:top w:val="none" w:sz="0" w:space="0" w:color="auto"/>
        <w:left w:val="none" w:sz="0" w:space="0" w:color="auto"/>
        <w:bottom w:val="none" w:sz="0" w:space="0" w:color="auto"/>
        <w:right w:val="none" w:sz="0" w:space="0" w:color="auto"/>
      </w:divBdr>
      <w:divsChild>
        <w:div w:id="479268744">
          <w:marLeft w:val="0"/>
          <w:marRight w:val="0"/>
          <w:marTop w:val="0"/>
          <w:marBottom w:val="0"/>
          <w:divBdr>
            <w:top w:val="none" w:sz="0" w:space="0" w:color="auto"/>
            <w:left w:val="none" w:sz="0" w:space="0" w:color="auto"/>
            <w:bottom w:val="none" w:sz="0" w:space="0" w:color="auto"/>
            <w:right w:val="none" w:sz="0" w:space="0" w:color="auto"/>
          </w:divBdr>
        </w:div>
        <w:div w:id="1810005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mpvsr.s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nss.sk"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employment.gov.sk/files/slovensky/ministerstvo/analyticke-centrum/2019/material_sprava_o_soc_situacii_obyvatelstva_sr_2018_vlada.pdf" TargetMode="External"/><Relationship Id="rId13" Type="http://schemas.openxmlformats.org/officeDocument/2006/relationships/hyperlink" Target="http://tbinternet.ohchr.org/_layouts/treatybodyexternal/Download.aspx?symbolno=CRPD/C/SVK/CO/1&amp;Lang=En" TargetMode="External"/><Relationship Id="rId18" Type="http://schemas.openxmlformats.org/officeDocument/2006/relationships/hyperlink" Target="https://dennikn.sk/blog/1287696/nemas-asistenta-do-skoly-nepojdes/" TargetMode="External"/><Relationship Id="rId3" Type="http://schemas.openxmlformats.org/officeDocument/2006/relationships/hyperlink" Target="https://www.employment.gov.sk/files/slovensky/ministerstvo/analyticke-centrum/2019/material_sprava_o_soc_situacii_obyvatelstva_sr_2018_vlada.pdf" TargetMode="External"/><Relationship Id="rId7" Type="http://schemas.openxmlformats.org/officeDocument/2006/relationships/hyperlink" Target="https://www.upsvr.gov.sk/statistiky/socialne-veci-statistiky/2018/2018-socialne-davky.html?page_id=771091" TargetMode="External"/><Relationship Id="rId12" Type="http://schemas.openxmlformats.org/officeDocument/2006/relationships/hyperlink" Target="https://www.employment.gov.sk/sk/rodina-socialna-pomoc/socialne-sluzby/deinstitucionalizacia-socialnych-sluzieb.html" TargetMode="External"/><Relationship Id="rId17" Type="http://schemas.openxmlformats.org/officeDocument/2006/relationships/hyperlink" Target="https://dennikn.sk/blog/1439595/cakaju-nas-zapisy-do-skolok-vacsina-deti-so-zdravotnym-znevyhodnenim-sa-opat-nedocka/" TargetMode="External"/><Relationship Id="rId2" Type="http://schemas.openxmlformats.org/officeDocument/2006/relationships/hyperlink" Target="https://asociaciavi.sk/wp-content/uploads/2019/02/Spr%C3%A1va_o_stave_v%C4%8Dasnej_intervencie_na_Slovensku_2018.pdf" TargetMode="External"/><Relationship Id="rId16" Type="http://schemas.openxmlformats.org/officeDocument/2006/relationships/hyperlink" Target="http://tbinternet.ohchr.org/_layouts/treatybodyexternal/Download.aspx?symbolno=CRC%252525252fC%252525252fSVK%252525252fCO%252525252f3-5&amp;Lang=en" TargetMode="External"/><Relationship Id="rId1" Type="http://schemas.openxmlformats.org/officeDocument/2006/relationships/hyperlink" Target="https://tbinternet.ohchr.org/_layouts/15/treatybodyexternal/Download.aspx?symbolno=CRPD%2fC%2fSVK%2fCO%2f1&amp;Lang=en" TargetMode="External"/><Relationship Id="rId6" Type="http://schemas.openxmlformats.org/officeDocument/2006/relationships/hyperlink" Target="https://www.upsvr.gov.sk/statistiky/socialne-veci-statistiky/2019/2018-socialne-davky.html?page_id=855095" TargetMode="External"/><Relationship Id="rId11" Type="http://schemas.openxmlformats.org/officeDocument/2006/relationships/hyperlink" Target="https://www.employment.gov.sk/sk/rodina-socialna-pomoc/socialne-sluzby/deinstitucionalizacia-socialnych-sluzieb.html" TargetMode="External"/><Relationship Id="rId5" Type="http://schemas.openxmlformats.org/officeDocument/2006/relationships/hyperlink" Target="http://www.zdravzar.sk/index.php?option=com_k2&amp;view=item&amp;id=6:postel-pre-mentalne-postihnutych&amp;Itemid=200&amp;lang=en" TargetMode="External"/><Relationship Id="rId15" Type="http://schemas.openxmlformats.org/officeDocument/2006/relationships/hyperlink" Target="http://tbinternet.ohchr.org/_layouts/treatybodyexternal/Download.aspx?symbolno=E%252525252fC.12%252525252fSVK%252525252fCO%252525252f2&amp;Lang=en" TargetMode="External"/><Relationship Id="rId10" Type="http://schemas.openxmlformats.org/officeDocument/2006/relationships/hyperlink" Target="https://www.upsvr.gov.sk/buxus/docs/statistic/vykazy/2018/Vykaz_V05_SR_2018.xlsx" TargetMode="External"/><Relationship Id="rId4" Type="http://schemas.openxmlformats.org/officeDocument/2006/relationships/hyperlink" Target="https://dennikn.sk/blog/1402821/diagnoza-mentalneho-postihnutia-ako-nastroj-vylucenia/" TargetMode="External"/><Relationship Id="rId9" Type="http://schemas.openxmlformats.org/officeDocument/2006/relationships/hyperlink" Target="https://www.employment.gov.sk/files/slovensky/ministerstvo/analyticke-centrum/2019/material_sprava_o_soc_situacii_obyvatelstva_sr_2018_vlada.pdf" TargetMode="External"/><Relationship Id="rId14" Type="http://schemas.openxmlformats.org/officeDocument/2006/relationships/hyperlink" Target="https://www.european-agency.org/resources/publications/european-agency-statistics-inclusive-education-2016-dataset-cross-country"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F8030F-1B02-4A8D-A2C1-58F9C441586E}">
  <ds:schemaRefs>
    <ds:schemaRef ds:uri="http://schemas.openxmlformats.org/officeDocument/2006/bibliography"/>
  </ds:schemaRefs>
</ds:datastoreItem>
</file>

<file path=customXml/itemProps2.xml><?xml version="1.0" encoding="utf-8"?>
<ds:datastoreItem xmlns:ds="http://schemas.openxmlformats.org/officeDocument/2006/customXml" ds:itemID="{11D889B8-3FD7-4BE0-98EF-2C79E5FA38A8}"/>
</file>

<file path=customXml/itemProps3.xml><?xml version="1.0" encoding="utf-8"?>
<ds:datastoreItem xmlns:ds="http://schemas.openxmlformats.org/officeDocument/2006/customXml" ds:itemID="{6E7FDFD3-2CAB-4B27-9866-A125BFCC84C3}"/>
</file>

<file path=customXml/itemProps4.xml><?xml version="1.0" encoding="utf-8"?>
<ds:datastoreItem xmlns:ds="http://schemas.openxmlformats.org/officeDocument/2006/customXml" ds:itemID="{89D12CCC-A159-4734-A239-9FA0079A43FB}"/>
</file>

<file path=docProps/app.xml><?xml version="1.0" encoding="utf-8"?>
<Properties xmlns="http://schemas.openxmlformats.org/officeDocument/2006/extended-properties" xmlns:vt="http://schemas.openxmlformats.org/officeDocument/2006/docPropsVTypes">
  <Template>Normal.dotm</Template>
  <TotalTime>642</TotalTime>
  <Pages>28</Pages>
  <Words>7265</Words>
  <Characters>41417</Characters>
  <Application>Microsoft Office Word</Application>
  <DocSecurity>0</DocSecurity>
  <Lines>345</Lines>
  <Paragraphs>97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Hajduková</dc:creator>
  <cp:keywords/>
  <dc:description/>
  <cp:lastModifiedBy>Michaela Hajduková</cp:lastModifiedBy>
  <cp:revision>33</cp:revision>
  <dcterms:created xsi:type="dcterms:W3CDTF">2019-07-24T15:06:00Z</dcterms:created>
  <dcterms:modified xsi:type="dcterms:W3CDTF">2019-07-26T18:01:00Z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