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DC1605" w:rsidRPr="006F74DB" w:rsidRDefault="00DC1605" w:rsidP="00DC1605">
      <w:pPr>
        <w:pStyle w:val="absatzschattenbericht"/>
        <w:rPr>
          <w:lang w:val="en-GB"/>
        </w:rPr>
      </w:pPr>
    </w:p>
    <w:p w:rsidR="00C02170" w:rsidRPr="006F74DB" w:rsidRDefault="00C02170" w:rsidP="00FE2215">
      <w:pPr>
        <w:pStyle w:val="absatzschattenbericht"/>
        <w:rPr>
          <w:sz w:val="20"/>
          <w:szCs w:val="20"/>
          <w:lang w:val="en-GB"/>
        </w:rPr>
      </w:pPr>
    </w:p>
    <w:p w:rsidR="00801579" w:rsidRPr="006F74DB" w:rsidRDefault="00801579" w:rsidP="00FE2215">
      <w:pPr>
        <w:pStyle w:val="absatzschattenbericht"/>
        <w:rPr>
          <w:sz w:val="12"/>
          <w:szCs w:val="12"/>
          <w:lang w:val="en-GB"/>
        </w:rPr>
      </w:pPr>
    </w:p>
    <w:p w:rsidR="003F2F4F" w:rsidRPr="006F74DB" w:rsidRDefault="003F2F4F" w:rsidP="00FE2215">
      <w:pPr>
        <w:pStyle w:val="absatzschattenbericht"/>
        <w:rPr>
          <w:sz w:val="12"/>
          <w:szCs w:val="12"/>
          <w:lang w:val="en-GB"/>
        </w:rPr>
      </w:pPr>
    </w:p>
    <w:p w:rsidR="00E64BEC" w:rsidRPr="006F74DB" w:rsidRDefault="00E64BEC" w:rsidP="00FE2215">
      <w:pPr>
        <w:pStyle w:val="absatzschattenbericht"/>
        <w:rPr>
          <w:sz w:val="12"/>
          <w:szCs w:val="12"/>
          <w:lang w:val="en-GB"/>
        </w:rPr>
      </w:pPr>
    </w:p>
    <w:p w:rsidR="00234057" w:rsidRPr="006F74DB" w:rsidRDefault="00234057" w:rsidP="00234057">
      <w:pPr>
        <w:pStyle w:val="Title1"/>
        <w:rPr>
          <w:lang w:val="en-GB"/>
        </w:rPr>
      </w:pPr>
      <w:r w:rsidRPr="006F74DB">
        <w:rPr>
          <w:lang w:val="en-GB"/>
        </w:rPr>
        <w:t xml:space="preserve">Intersex Genital Mutilation in </w:t>
      </w:r>
      <w:r w:rsidR="00DB4A71" w:rsidRPr="006F74DB">
        <w:rPr>
          <w:lang w:val="en-GB"/>
        </w:rPr>
        <w:t>Spain</w:t>
      </w:r>
      <w:r w:rsidRPr="006F74DB">
        <w:rPr>
          <w:lang w:val="en-GB"/>
        </w:rPr>
        <w:t>: Update to LOIPR Report</w:t>
      </w:r>
    </w:p>
    <w:p w:rsidR="003F2F4F" w:rsidRPr="006F74DB" w:rsidRDefault="003F2F4F" w:rsidP="003F2F4F">
      <w:pPr>
        <w:pStyle w:val="absatzschattenbericht"/>
        <w:rPr>
          <w:sz w:val="12"/>
          <w:szCs w:val="12"/>
          <w:lang w:val="en-GB"/>
        </w:rPr>
      </w:pPr>
    </w:p>
    <w:p w:rsidR="00E64BEC" w:rsidRPr="006F74DB" w:rsidRDefault="00E64BEC" w:rsidP="003F2F4F">
      <w:pPr>
        <w:pStyle w:val="absatzschattenbericht"/>
        <w:rPr>
          <w:sz w:val="12"/>
          <w:szCs w:val="12"/>
          <w:lang w:val="en-GB"/>
        </w:rPr>
      </w:pPr>
    </w:p>
    <w:p w:rsidR="003F2F4F" w:rsidRPr="006F74DB" w:rsidRDefault="003F2F4F" w:rsidP="003F2F4F">
      <w:pPr>
        <w:pStyle w:val="absatzschattenbericht"/>
        <w:rPr>
          <w:sz w:val="12"/>
          <w:szCs w:val="12"/>
          <w:lang w:val="en-GB"/>
        </w:rPr>
      </w:pPr>
    </w:p>
    <w:p w:rsidR="00FE2215" w:rsidRPr="006F74DB" w:rsidRDefault="00FE2215" w:rsidP="00FB4EAC">
      <w:pPr>
        <w:pStyle w:val="absatzschattenbericht"/>
        <w:spacing w:after="20"/>
        <w:rPr>
          <w:rFonts w:eastAsia="Baskerville-SemiBold" w:cs="Times New Roman"/>
          <w:lang w:val="en-GB"/>
        </w:rPr>
      </w:pPr>
      <w:r w:rsidRPr="006F74DB">
        <w:rPr>
          <w:rFonts w:eastAsia="Baskerville-SemiBold" w:cs="Times New Roman"/>
          <w:lang w:val="en-GB"/>
        </w:rPr>
        <w:t>Dear Committee on the Rights of the Child</w:t>
      </w:r>
    </w:p>
    <w:p w:rsidR="00E72AED" w:rsidRPr="006F74DB" w:rsidRDefault="00E72AED" w:rsidP="00FB4EAC">
      <w:pPr>
        <w:pStyle w:val="absatzschattenbericht"/>
        <w:spacing w:after="20"/>
        <w:rPr>
          <w:rFonts w:eastAsia="Baskerville-SemiBold" w:cs="Times New Roman"/>
          <w:lang w:val="en-GB"/>
        </w:rPr>
      </w:pPr>
      <w:bookmarkStart w:id="0" w:name="_GoBack"/>
    </w:p>
    <w:bookmarkEnd w:id="0"/>
    <w:p w:rsidR="00536342" w:rsidRPr="006F74DB" w:rsidRDefault="00AD4811" w:rsidP="00F12245">
      <w:pPr>
        <w:pStyle w:val="absatzschattenbericht"/>
        <w:rPr>
          <w:bCs/>
          <w:color w:val="auto"/>
          <w:lang w:val="en-GB"/>
        </w:rPr>
      </w:pPr>
      <w:r w:rsidRPr="006F74DB">
        <w:rPr>
          <w:rFonts w:eastAsia="Baskerville-Bold" w:cs="Baskerville-Bold"/>
          <w:color w:val="auto"/>
          <w:lang w:val="en-GB"/>
        </w:rPr>
        <w:t xml:space="preserve">Despite </w:t>
      </w:r>
      <w:r w:rsidR="00123D38" w:rsidRPr="006F74DB">
        <w:rPr>
          <w:rFonts w:eastAsia="Baskerville-Bold" w:cs="Baskerville-Bold"/>
          <w:color w:val="auto"/>
          <w:lang w:val="en-GB"/>
        </w:rPr>
        <w:t>the</w:t>
      </w:r>
      <w:r w:rsidRPr="006F74DB">
        <w:rPr>
          <w:rFonts w:eastAsia="Baskerville-Bold" w:cs="Baskerville-Bold"/>
          <w:color w:val="auto"/>
          <w:lang w:val="en-GB"/>
        </w:rPr>
        <w:t xml:space="preserve"> new </w:t>
      </w:r>
      <w:r w:rsidRPr="006F74DB">
        <w:rPr>
          <w:rFonts w:eastAsia="Baskerville-Bold" w:cs="Baskerville-Bold"/>
          <w:b/>
          <w:bCs/>
          <w:color w:val="auto"/>
          <w:lang w:val="en-GB"/>
        </w:rPr>
        <w:t xml:space="preserve">national </w:t>
      </w:r>
      <w:r w:rsidR="00123D38" w:rsidRPr="006F74DB">
        <w:rPr>
          <w:rFonts w:eastAsia="Baskerville-Bold" w:cs="Baskerville-Bold"/>
          <w:b/>
          <w:bCs/>
          <w:color w:val="auto"/>
          <w:lang w:val="en-GB"/>
        </w:rPr>
        <w:t>Organic Law 4/2023</w:t>
      </w:r>
      <w:r w:rsidRPr="006F74DB">
        <w:rPr>
          <w:rFonts w:eastAsia="Baskerville-Bold" w:cs="Baskerville-Bold"/>
          <w:b/>
          <w:bCs/>
          <w:color w:val="auto"/>
          <w:lang w:val="en-GB"/>
        </w:rPr>
        <w:t xml:space="preserve"> formally “prohibiting” IGM</w:t>
      </w:r>
      <w:r w:rsidRPr="006F74DB">
        <w:rPr>
          <w:rFonts w:eastAsia="Baskerville-Bold" w:cs="Baskerville-Bold"/>
          <w:color w:val="auto"/>
          <w:lang w:val="en-GB"/>
        </w:rPr>
        <w:t xml:space="preserve"> </w:t>
      </w:r>
      <w:r w:rsidR="00123D38" w:rsidRPr="006F74DB">
        <w:rPr>
          <w:rFonts w:eastAsia="Baskerville-Bold" w:cs="Baskerville-Bold"/>
          <w:color w:val="auto"/>
          <w:lang w:val="en-GB"/>
        </w:rPr>
        <w:t>(</w:t>
      </w:r>
      <w:r w:rsidRPr="006F74DB">
        <w:rPr>
          <w:rFonts w:eastAsia="Baskerville-Bold" w:cs="Baskerville-Bold"/>
          <w:color w:val="auto"/>
          <w:lang w:val="en-GB"/>
        </w:rPr>
        <w:t xml:space="preserve">in addition to the </w:t>
      </w:r>
      <w:r w:rsidRPr="006F74DB">
        <w:rPr>
          <w:rFonts w:eastAsia="Baskerville-Bold" w:cs="Baskerville-Bold"/>
          <w:b/>
          <w:bCs/>
          <w:color w:val="auto"/>
          <w:lang w:val="en-GB"/>
        </w:rPr>
        <w:t>regional laws</w:t>
      </w:r>
      <w:r w:rsidRPr="006F74DB">
        <w:rPr>
          <w:rFonts w:eastAsia="Baskerville-Bold" w:cs="Baskerville-Bold"/>
          <w:color w:val="auto"/>
          <w:lang w:val="en-GB"/>
        </w:rPr>
        <w:t xml:space="preserve"> in </w:t>
      </w:r>
      <w:r w:rsidRPr="006F74DB">
        <w:rPr>
          <w:rFonts w:eastAsia="Baskerville-Bold" w:cs="Baskerville-Bold"/>
          <w:b/>
          <w:bCs/>
          <w:color w:val="auto"/>
          <w:lang w:val="en-GB"/>
        </w:rPr>
        <w:t>8 Autonomous Communities</w:t>
      </w:r>
      <w:r w:rsidR="00123D38" w:rsidRPr="006F74DB">
        <w:rPr>
          <w:rFonts w:eastAsia="Baskerville-Bold" w:cs="Baskerville-Bold"/>
          <w:b/>
          <w:bCs/>
          <w:color w:val="auto"/>
          <w:lang w:val="en-GB"/>
        </w:rPr>
        <w:t>)</w:t>
      </w:r>
      <w:r w:rsidRPr="006F74DB">
        <w:rPr>
          <w:lang w:val="en-GB"/>
        </w:rPr>
        <w:t xml:space="preserve">, </w:t>
      </w:r>
      <w:r w:rsidR="00123D38" w:rsidRPr="006F74DB">
        <w:rPr>
          <w:lang w:val="en-GB"/>
        </w:rPr>
        <w:t xml:space="preserve">the </w:t>
      </w:r>
      <w:r w:rsidRPr="006F74DB">
        <w:rPr>
          <w:lang w:val="en-GB"/>
        </w:rPr>
        <w:t xml:space="preserve">previous </w:t>
      </w:r>
      <w:r w:rsidRPr="006F74DB">
        <w:rPr>
          <w:b/>
          <w:bCs/>
          <w:lang w:val="en-GB"/>
        </w:rPr>
        <w:t>Concluding Observations</w:t>
      </w:r>
      <w:r w:rsidRPr="006F74DB">
        <w:rPr>
          <w:lang w:val="en-GB"/>
        </w:rPr>
        <w:t xml:space="preserve"> by this Committee (2018) denouncing IGM in Spain as a harmful practice,</w:t>
      </w:r>
      <w:r w:rsidR="00536342" w:rsidRPr="006F74DB">
        <w:rPr>
          <w:lang w:val="en-GB"/>
        </w:rPr>
        <w:t xml:space="preserve"> and ongoing </w:t>
      </w:r>
      <w:r w:rsidR="00536342" w:rsidRPr="006F74DB">
        <w:rPr>
          <w:b/>
          <w:bCs/>
          <w:lang w:val="en-GB"/>
        </w:rPr>
        <w:t>public criticism</w:t>
      </w:r>
      <w:r w:rsidR="00536342" w:rsidRPr="006F74DB">
        <w:rPr>
          <w:lang w:val="en-GB"/>
        </w:rPr>
        <w:t xml:space="preserve"> by Spanish intersex advocates and scholars,</w:t>
      </w:r>
      <w:r w:rsidRPr="006F74DB">
        <w:rPr>
          <w:lang w:val="en-GB"/>
        </w:rPr>
        <w:t xml:space="preserve"> </w:t>
      </w:r>
      <w:r w:rsidRPr="006F74DB">
        <w:rPr>
          <w:rFonts w:eastAsia="Baskerville-Bold" w:cs="Baskerville-Bold"/>
          <w:b/>
          <w:bCs/>
          <w:color w:val="auto"/>
          <w:lang w:val="en-GB"/>
        </w:rPr>
        <w:t xml:space="preserve">all typical forms of intersex genital </w:t>
      </w:r>
      <w:r w:rsidR="00CF0216" w:rsidRPr="006F74DB">
        <w:rPr>
          <w:rFonts w:eastAsia="Baskerville-Bold" w:cs="Baskerville-Bold"/>
          <w:b/>
          <w:bCs/>
          <w:color w:val="auto"/>
          <w:lang w:val="en-GB"/>
        </w:rPr>
        <w:t>m</w:t>
      </w:r>
      <w:r w:rsidRPr="006F74DB">
        <w:rPr>
          <w:rFonts w:eastAsia="Baskerville-Bold" w:cs="Baskerville-Bold"/>
          <w:b/>
          <w:bCs/>
          <w:color w:val="auto"/>
          <w:lang w:val="en-GB"/>
        </w:rPr>
        <w:t>utilation are still practiced in Spain</w:t>
      </w:r>
      <w:r w:rsidRPr="006F74DB">
        <w:rPr>
          <w:color w:val="auto"/>
          <w:lang w:val="en-GB"/>
        </w:rPr>
        <w:t xml:space="preserve">, facilitated and </w:t>
      </w:r>
      <w:r w:rsidRPr="006F74DB">
        <w:rPr>
          <w:b/>
          <w:color w:val="auto"/>
          <w:lang w:val="en-GB"/>
        </w:rPr>
        <w:t>paid for by the State party</w:t>
      </w:r>
      <w:r w:rsidRPr="006F74DB">
        <w:rPr>
          <w:color w:val="auto"/>
          <w:lang w:val="en-GB"/>
        </w:rPr>
        <w:t xml:space="preserve"> via the </w:t>
      </w:r>
      <w:r w:rsidRPr="006F74DB">
        <w:rPr>
          <w:b/>
          <w:color w:val="auto"/>
          <w:lang w:val="en-GB"/>
        </w:rPr>
        <w:t>public health system</w:t>
      </w:r>
      <w:r w:rsidRPr="006F74DB">
        <w:rPr>
          <w:bCs/>
          <w:color w:val="auto"/>
          <w:lang w:val="en-GB"/>
        </w:rPr>
        <w:t xml:space="preserve">, and perpetrated by </w:t>
      </w:r>
      <w:r w:rsidRPr="006F74DB">
        <w:rPr>
          <w:b/>
          <w:color w:val="auto"/>
          <w:lang w:val="en-GB"/>
        </w:rPr>
        <w:t xml:space="preserve">public University Hospitals </w:t>
      </w:r>
      <w:r w:rsidRPr="006F74DB">
        <w:rPr>
          <w:bCs/>
          <w:color w:val="auto"/>
          <w:lang w:val="en-GB"/>
        </w:rPr>
        <w:t>and</w:t>
      </w:r>
      <w:r w:rsidRPr="006F74DB">
        <w:rPr>
          <w:b/>
          <w:color w:val="auto"/>
          <w:lang w:val="en-GB"/>
        </w:rPr>
        <w:t xml:space="preserve"> private health-care providers </w:t>
      </w:r>
      <w:r w:rsidRPr="006F74DB">
        <w:rPr>
          <w:bCs/>
          <w:color w:val="auto"/>
          <w:lang w:val="en-GB"/>
        </w:rPr>
        <w:t xml:space="preserve">alike. </w:t>
      </w:r>
      <w:r w:rsidR="00F12245" w:rsidRPr="006F74DB">
        <w:rPr>
          <w:bCs/>
          <w:color w:val="auto"/>
          <w:lang w:val="en-GB"/>
        </w:rPr>
        <w:t>The</w:t>
      </w:r>
      <w:r w:rsidR="00536342" w:rsidRPr="006F74DB">
        <w:rPr>
          <w:bCs/>
          <w:color w:val="auto"/>
          <w:lang w:val="en-GB"/>
        </w:rPr>
        <w:t xml:space="preserve"> </w:t>
      </w:r>
      <w:r w:rsidR="00536342" w:rsidRPr="006F74DB">
        <w:rPr>
          <w:b/>
          <w:color w:val="auto"/>
          <w:lang w:val="en-GB"/>
        </w:rPr>
        <w:t>current laws</w:t>
      </w:r>
      <w:r w:rsidR="00F12245" w:rsidRPr="006F74DB">
        <w:rPr>
          <w:b/>
          <w:color w:val="auto"/>
          <w:lang w:val="en-GB"/>
        </w:rPr>
        <w:t xml:space="preserve"> </w:t>
      </w:r>
      <w:r w:rsidR="00F12245" w:rsidRPr="006F74DB">
        <w:rPr>
          <w:bCs/>
          <w:color w:val="auto"/>
          <w:lang w:val="en-GB"/>
        </w:rPr>
        <w:t>clearly</w:t>
      </w:r>
      <w:r w:rsidR="00F12245" w:rsidRPr="006F74DB">
        <w:rPr>
          <w:b/>
          <w:color w:val="auto"/>
          <w:lang w:val="en-GB"/>
        </w:rPr>
        <w:t xml:space="preserve"> fail</w:t>
      </w:r>
      <w:r w:rsidR="00F12245" w:rsidRPr="006F74DB">
        <w:rPr>
          <w:bCs/>
          <w:color w:val="auto"/>
          <w:lang w:val="en-GB"/>
        </w:rPr>
        <w:t xml:space="preserve"> to adequately protect intersex children from harmful practices, </w:t>
      </w:r>
      <w:r w:rsidR="00F12245" w:rsidRPr="006F74DB">
        <w:rPr>
          <w:b/>
          <w:color w:val="auto"/>
          <w:lang w:val="en-GB"/>
        </w:rPr>
        <w:t xml:space="preserve">don’t </w:t>
      </w:r>
      <w:r w:rsidR="00F12245" w:rsidRPr="006F74DB">
        <w:rPr>
          <w:bCs/>
          <w:color w:val="auto"/>
          <w:lang w:val="en-GB"/>
        </w:rPr>
        <w:t xml:space="preserve">include any or </w:t>
      </w:r>
      <w:r w:rsidR="00F12245" w:rsidRPr="006F74DB">
        <w:rPr>
          <w:b/>
          <w:color w:val="auto"/>
          <w:lang w:val="en-GB"/>
        </w:rPr>
        <w:t>adequate sanctions</w:t>
      </w:r>
      <w:r w:rsidR="00F12245" w:rsidRPr="006F74DB">
        <w:rPr>
          <w:bCs/>
          <w:color w:val="auto"/>
          <w:lang w:val="en-GB"/>
        </w:rPr>
        <w:t xml:space="preserve">, </w:t>
      </w:r>
      <w:r w:rsidR="00F12245" w:rsidRPr="006F74DB">
        <w:rPr>
          <w:b/>
          <w:color w:val="auto"/>
          <w:lang w:val="en-GB"/>
        </w:rPr>
        <w:t>extraterritorial protections</w:t>
      </w:r>
      <w:r w:rsidR="00F12245" w:rsidRPr="006F74DB">
        <w:rPr>
          <w:bCs/>
          <w:color w:val="auto"/>
          <w:lang w:val="en-GB"/>
        </w:rPr>
        <w:t xml:space="preserve">, </w:t>
      </w:r>
      <w:r w:rsidR="00F12245" w:rsidRPr="006F74DB">
        <w:rPr>
          <w:lang w:val="en-GB"/>
        </w:rPr>
        <w:t xml:space="preserve">or address </w:t>
      </w:r>
      <w:r w:rsidR="00F12245" w:rsidRPr="006F74DB">
        <w:rPr>
          <w:b/>
          <w:bCs/>
          <w:lang w:val="en-GB"/>
        </w:rPr>
        <w:t>obstacles to access to justice</w:t>
      </w:r>
      <w:r w:rsidR="00F12245" w:rsidRPr="006F74DB">
        <w:rPr>
          <w:lang w:val="en-GB"/>
        </w:rPr>
        <w:t>, namely the statutes of limitations</w:t>
      </w:r>
      <w:r w:rsidR="00536342" w:rsidRPr="006F74DB">
        <w:rPr>
          <w:bCs/>
          <w:color w:val="auto"/>
          <w:lang w:val="en-GB"/>
        </w:rPr>
        <w:t xml:space="preserve">, </w:t>
      </w:r>
      <w:r w:rsidR="00F12245" w:rsidRPr="006F74DB">
        <w:rPr>
          <w:bCs/>
          <w:color w:val="auto"/>
          <w:lang w:val="en-GB"/>
        </w:rPr>
        <w:t xml:space="preserve">and are evidently </w:t>
      </w:r>
      <w:r w:rsidR="00F12245" w:rsidRPr="006F74DB">
        <w:rPr>
          <w:b/>
          <w:color w:val="auto"/>
          <w:lang w:val="en-GB"/>
        </w:rPr>
        <w:t>not enforced</w:t>
      </w:r>
      <w:r w:rsidR="00F12245" w:rsidRPr="006F74DB">
        <w:rPr>
          <w:bCs/>
          <w:color w:val="auto"/>
          <w:lang w:val="en-GB"/>
        </w:rPr>
        <w:t>.</w:t>
      </w:r>
      <w:r w:rsidR="00FA07FB" w:rsidRPr="006F74DB">
        <w:rPr>
          <w:bCs/>
          <w:color w:val="auto"/>
          <w:lang w:val="en-GB"/>
        </w:rPr>
        <w:t xml:space="preserve"> This is clearly not in line with Spain’s obligations under the Convention.</w:t>
      </w:r>
    </w:p>
    <w:p w:rsidR="00383FBD" w:rsidRPr="006F74DB" w:rsidRDefault="00383FBD" w:rsidP="00FE2215">
      <w:pPr>
        <w:pStyle w:val="absatzschattenbericht"/>
        <w:rPr>
          <w:rFonts w:eastAsia="Baskerville-SemiBold" w:cs="Times New Roman"/>
          <w:sz w:val="20"/>
          <w:szCs w:val="20"/>
          <w:lang w:val="en-GB"/>
        </w:rPr>
      </w:pPr>
    </w:p>
    <w:p w:rsidR="007C77E8" w:rsidRPr="006F74DB" w:rsidRDefault="005B0346" w:rsidP="007C77E8">
      <w:pPr>
        <w:pStyle w:val="Verzeichnis1"/>
        <w:spacing w:afterLines="20" w:after="48"/>
        <w:rPr>
          <w:rFonts w:eastAsiaTheme="minorEastAsia"/>
          <w:sz w:val="20"/>
          <w:szCs w:val="20"/>
          <w:lang w:val="en-GB" w:eastAsia="zh-CN" w:bidi="ar-SA"/>
        </w:rPr>
      </w:pPr>
      <w:r w:rsidRPr="006F74DB">
        <w:rPr>
          <w:rStyle w:val="Hyperlink"/>
          <w:noProof w:val="0"/>
          <w:sz w:val="20"/>
          <w:szCs w:val="20"/>
          <w:lang w:val="en-GB"/>
        </w:rPr>
        <w:fldChar w:fldCharType="begin"/>
      </w:r>
      <w:r w:rsidRPr="006F74DB">
        <w:rPr>
          <w:rStyle w:val="Hyperlink"/>
          <w:noProof w:val="0"/>
          <w:sz w:val="20"/>
          <w:szCs w:val="20"/>
          <w:lang w:val="en-GB"/>
        </w:rPr>
        <w:instrText xml:space="preserve"> TOC \h \z \t "Title 2;1;Title 3;2;Untertitel;2" </w:instrText>
      </w:r>
      <w:r w:rsidRPr="006F74DB">
        <w:rPr>
          <w:rStyle w:val="Hyperlink"/>
          <w:noProof w:val="0"/>
          <w:sz w:val="20"/>
          <w:szCs w:val="20"/>
          <w:lang w:val="en-GB"/>
        </w:rPr>
        <w:fldChar w:fldCharType="separate"/>
      </w:r>
      <w:hyperlink w:anchor="_Toc173456307" w:history="1">
        <w:r w:rsidR="007C77E8" w:rsidRPr="006F74DB">
          <w:rPr>
            <w:rStyle w:val="Hyperlink"/>
            <w:sz w:val="20"/>
            <w:szCs w:val="20"/>
            <w:lang w:val="en-GB"/>
          </w:rPr>
          <w:t xml:space="preserve">1.  Spain’s commitment to </w:t>
        </w:r>
        <w:r w:rsidR="007C77E8" w:rsidRPr="006F74DB">
          <w:rPr>
            <w:rStyle w:val="Hyperlink"/>
            <w:i/>
            <w:sz w:val="20"/>
            <w:szCs w:val="20"/>
            <w:lang w:val="en-GB"/>
          </w:rPr>
          <w:t>“protect intersex children from violence and harmful practices”</w:t>
        </w:r>
        <w:r w:rsidR="007C77E8" w:rsidRPr="006F74DB">
          <w:rPr>
            <w:webHidden/>
            <w:sz w:val="20"/>
            <w:szCs w:val="20"/>
            <w:lang w:val="en-GB"/>
          </w:rPr>
          <w:tab/>
        </w:r>
        <w:r w:rsidR="007C77E8" w:rsidRPr="006F74DB">
          <w:rPr>
            <w:webHidden/>
            <w:sz w:val="20"/>
            <w:szCs w:val="20"/>
            <w:lang w:val="en-GB"/>
          </w:rPr>
          <w:fldChar w:fldCharType="begin"/>
        </w:r>
        <w:r w:rsidR="007C77E8" w:rsidRPr="006F74DB">
          <w:rPr>
            <w:webHidden/>
            <w:sz w:val="20"/>
            <w:szCs w:val="20"/>
            <w:lang w:val="en-GB"/>
          </w:rPr>
          <w:instrText xml:space="preserve"> PAGEREF _Toc173456307 \h </w:instrText>
        </w:r>
        <w:r w:rsidR="007C77E8" w:rsidRPr="006F74DB">
          <w:rPr>
            <w:webHidden/>
            <w:sz w:val="20"/>
            <w:szCs w:val="20"/>
            <w:lang w:val="en-GB"/>
          </w:rPr>
        </w:r>
        <w:r w:rsidR="007C77E8" w:rsidRPr="006F74DB">
          <w:rPr>
            <w:webHidden/>
            <w:sz w:val="20"/>
            <w:szCs w:val="20"/>
            <w:lang w:val="en-GB"/>
          </w:rPr>
          <w:fldChar w:fldCharType="separate"/>
        </w:r>
        <w:r w:rsidR="005D041C">
          <w:rPr>
            <w:webHidden/>
            <w:sz w:val="20"/>
            <w:szCs w:val="20"/>
            <w:lang w:val="en-GB"/>
          </w:rPr>
          <w:t>1</w:t>
        </w:r>
        <w:r w:rsidR="007C77E8" w:rsidRPr="006F74DB">
          <w:rPr>
            <w:webHidden/>
            <w:sz w:val="20"/>
            <w:szCs w:val="20"/>
            <w:lang w:val="en-GB"/>
          </w:rPr>
          <w:fldChar w:fldCharType="end"/>
        </w:r>
      </w:hyperlink>
    </w:p>
    <w:p w:rsidR="007C77E8" w:rsidRPr="006F74DB" w:rsidRDefault="007C77E8" w:rsidP="007C77E8">
      <w:pPr>
        <w:pStyle w:val="Verzeichnis2"/>
        <w:tabs>
          <w:tab w:val="right" w:leader="dot" w:pos="9628"/>
        </w:tabs>
        <w:spacing w:afterLines="20" w:after="48" w:line="264" w:lineRule="auto"/>
        <w:rPr>
          <w:rFonts w:ascii="Arial" w:eastAsiaTheme="minorEastAsia" w:hAnsi="Arial" w:cs="Arial"/>
          <w:noProof/>
          <w:sz w:val="20"/>
          <w:szCs w:val="20"/>
          <w:lang w:val="en-GB" w:eastAsia="zh-CN"/>
        </w:rPr>
      </w:pPr>
      <w:r w:rsidRPr="006F74DB">
        <w:rPr>
          <w:rStyle w:val="Hyperlink"/>
          <w:rFonts w:ascii="Arial" w:hAnsi="Arial" w:cs="Arial"/>
          <w:noProof/>
          <w:sz w:val="20"/>
          <w:szCs w:val="20"/>
          <w:u w:val="none"/>
          <w:lang w:val="en-GB"/>
        </w:rPr>
        <w:t xml:space="preserve">      </w:t>
      </w:r>
      <w:hyperlink w:anchor="_Toc173456308" w:history="1">
        <w:r w:rsidRPr="006F74DB">
          <w:rPr>
            <w:rStyle w:val="Hyperlink"/>
            <w:rFonts w:ascii="Arial" w:hAnsi="Arial" w:cs="Arial"/>
            <w:noProof/>
            <w:sz w:val="20"/>
            <w:szCs w:val="20"/>
            <w:lang w:val="en-GB" w:bidi="hi-IN"/>
          </w:rPr>
          <w:t>a) UNHRC45 Statement, 01.10.2020</w:t>
        </w:r>
        <w:r w:rsidRPr="006F74DB">
          <w:rPr>
            <w:rFonts w:ascii="Arial" w:hAnsi="Arial" w:cs="Arial"/>
            <w:noProof/>
            <w:webHidden/>
            <w:sz w:val="20"/>
            <w:szCs w:val="20"/>
            <w:lang w:val="en-GB"/>
          </w:rPr>
          <w:tab/>
        </w:r>
        <w:r w:rsidRPr="006F74DB">
          <w:rPr>
            <w:rFonts w:ascii="Arial" w:hAnsi="Arial" w:cs="Arial"/>
            <w:noProof/>
            <w:webHidden/>
            <w:sz w:val="20"/>
            <w:szCs w:val="20"/>
            <w:lang w:val="en-GB"/>
          </w:rPr>
          <w:fldChar w:fldCharType="begin"/>
        </w:r>
        <w:r w:rsidRPr="006F74DB">
          <w:rPr>
            <w:rFonts w:ascii="Arial" w:hAnsi="Arial" w:cs="Arial"/>
            <w:noProof/>
            <w:webHidden/>
            <w:sz w:val="20"/>
            <w:szCs w:val="20"/>
            <w:lang w:val="en-GB"/>
          </w:rPr>
          <w:instrText xml:space="preserve"> PAGEREF _Toc173456308 \h </w:instrText>
        </w:r>
        <w:r w:rsidRPr="006F74DB">
          <w:rPr>
            <w:rFonts w:ascii="Arial" w:hAnsi="Arial" w:cs="Arial"/>
            <w:noProof/>
            <w:webHidden/>
            <w:sz w:val="20"/>
            <w:szCs w:val="20"/>
            <w:lang w:val="en-GB"/>
          </w:rPr>
        </w:r>
        <w:r w:rsidRPr="006F74DB">
          <w:rPr>
            <w:rFonts w:ascii="Arial" w:hAnsi="Arial" w:cs="Arial"/>
            <w:noProof/>
            <w:webHidden/>
            <w:sz w:val="20"/>
            <w:szCs w:val="20"/>
            <w:lang w:val="en-GB"/>
          </w:rPr>
          <w:fldChar w:fldCharType="separate"/>
        </w:r>
        <w:r w:rsidR="005D041C">
          <w:rPr>
            <w:rFonts w:ascii="Arial" w:hAnsi="Arial" w:cs="Arial"/>
            <w:noProof/>
            <w:webHidden/>
            <w:sz w:val="20"/>
            <w:szCs w:val="20"/>
            <w:lang w:val="en-GB"/>
          </w:rPr>
          <w:t>1</w:t>
        </w:r>
        <w:r w:rsidRPr="006F74DB">
          <w:rPr>
            <w:rFonts w:ascii="Arial" w:hAnsi="Arial" w:cs="Arial"/>
            <w:noProof/>
            <w:webHidden/>
            <w:sz w:val="20"/>
            <w:szCs w:val="20"/>
            <w:lang w:val="en-GB"/>
          </w:rPr>
          <w:fldChar w:fldCharType="end"/>
        </w:r>
      </w:hyperlink>
    </w:p>
    <w:p w:rsidR="007C77E8" w:rsidRPr="006F74DB" w:rsidRDefault="007C77E8" w:rsidP="007C77E8">
      <w:pPr>
        <w:pStyle w:val="Verzeichnis2"/>
        <w:tabs>
          <w:tab w:val="right" w:leader="dot" w:pos="9628"/>
        </w:tabs>
        <w:spacing w:afterLines="20" w:after="48" w:line="264" w:lineRule="auto"/>
        <w:rPr>
          <w:rFonts w:ascii="Arial" w:eastAsiaTheme="minorEastAsia" w:hAnsi="Arial" w:cs="Arial"/>
          <w:noProof/>
          <w:sz w:val="20"/>
          <w:szCs w:val="20"/>
          <w:lang w:val="en-GB" w:eastAsia="zh-CN"/>
        </w:rPr>
      </w:pPr>
      <w:r w:rsidRPr="006F74DB">
        <w:rPr>
          <w:rStyle w:val="Hyperlink"/>
          <w:rFonts w:ascii="Arial" w:hAnsi="Arial" w:cs="Arial"/>
          <w:noProof/>
          <w:sz w:val="20"/>
          <w:szCs w:val="20"/>
          <w:u w:val="none"/>
          <w:lang w:val="en-GB"/>
        </w:rPr>
        <w:t xml:space="preserve">      </w:t>
      </w:r>
      <w:hyperlink w:anchor="_Toc173456309" w:history="1">
        <w:r w:rsidRPr="006F74DB">
          <w:rPr>
            <w:rStyle w:val="Hyperlink"/>
            <w:rFonts w:ascii="Arial" w:hAnsi="Arial" w:cs="Arial"/>
            <w:noProof/>
            <w:sz w:val="20"/>
            <w:szCs w:val="20"/>
            <w:lang w:val="en-GB" w:bidi="hi-IN"/>
          </w:rPr>
          <w:t>b) UNHRC48 Statement, 04.10.2021</w:t>
        </w:r>
        <w:r w:rsidRPr="006F74DB">
          <w:rPr>
            <w:rFonts w:ascii="Arial" w:hAnsi="Arial" w:cs="Arial"/>
            <w:noProof/>
            <w:webHidden/>
            <w:sz w:val="20"/>
            <w:szCs w:val="20"/>
            <w:lang w:val="en-GB"/>
          </w:rPr>
          <w:tab/>
        </w:r>
        <w:r w:rsidRPr="006F74DB">
          <w:rPr>
            <w:rFonts w:ascii="Arial" w:hAnsi="Arial" w:cs="Arial"/>
            <w:noProof/>
            <w:webHidden/>
            <w:sz w:val="20"/>
            <w:szCs w:val="20"/>
            <w:lang w:val="en-GB"/>
          </w:rPr>
          <w:fldChar w:fldCharType="begin"/>
        </w:r>
        <w:r w:rsidRPr="006F74DB">
          <w:rPr>
            <w:rFonts w:ascii="Arial" w:hAnsi="Arial" w:cs="Arial"/>
            <w:noProof/>
            <w:webHidden/>
            <w:sz w:val="20"/>
            <w:szCs w:val="20"/>
            <w:lang w:val="en-GB"/>
          </w:rPr>
          <w:instrText xml:space="preserve"> PAGEREF _Toc173456309 \h </w:instrText>
        </w:r>
        <w:r w:rsidRPr="006F74DB">
          <w:rPr>
            <w:rFonts w:ascii="Arial" w:hAnsi="Arial" w:cs="Arial"/>
            <w:noProof/>
            <w:webHidden/>
            <w:sz w:val="20"/>
            <w:szCs w:val="20"/>
            <w:lang w:val="en-GB"/>
          </w:rPr>
        </w:r>
        <w:r w:rsidRPr="006F74DB">
          <w:rPr>
            <w:rFonts w:ascii="Arial" w:hAnsi="Arial" w:cs="Arial"/>
            <w:noProof/>
            <w:webHidden/>
            <w:sz w:val="20"/>
            <w:szCs w:val="20"/>
            <w:lang w:val="en-GB"/>
          </w:rPr>
          <w:fldChar w:fldCharType="separate"/>
        </w:r>
        <w:r w:rsidR="005D041C">
          <w:rPr>
            <w:rFonts w:ascii="Arial" w:hAnsi="Arial" w:cs="Arial"/>
            <w:noProof/>
            <w:webHidden/>
            <w:sz w:val="20"/>
            <w:szCs w:val="20"/>
            <w:lang w:val="en-GB"/>
          </w:rPr>
          <w:t>2</w:t>
        </w:r>
        <w:r w:rsidRPr="006F74DB">
          <w:rPr>
            <w:rFonts w:ascii="Arial" w:hAnsi="Arial" w:cs="Arial"/>
            <w:noProof/>
            <w:webHidden/>
            <w:sz w:val="20"/>
            <w:szCs w:val="20"/>
            <w:lang w:val="en-GB"/>
          </w:rPr>
          <w:fldChar w:fldCharType="end"/>
        </w:r>
      </w:hyperlink>
    </w:p>
    <w:p w:rsidR="007C77E8" w:rsidRPr="006F74DB" w:rsidRDefault="007C77E8" w:rsidP="007C77E8">
      <w:pPr>
        <w:pStyle w:val="Verzeichnis2"/>
        <w:tabs>
          <w:tab w:val="right" w:leader="dot" w:pos="9628"/>
        </w:tabs>
        <w:spacing w:afterLines="20" w:after="48" w:line="264" w:lineRule="auto"/>
        <w:rPr>
          <w:rFonts w:ascii="Arial" w:eastAsiaTheme="minorEastAsia" w:hAnsi="Arial" w:cs="Arial"/>
          <w:noProof/>
          <w:sz w:val="20"/>
          <w:szCs w:val="20"/>
          <w:lang w:val="en-GB" w:eastAsia="zh-CN"/>
        </w:rPr>
      </w:pPr>
      <w:r w:rsidRPr="006F74DB">
        <w:rPr>
          <w:rStyle w:val="Hyperlink"/>
          <w:rFonts w:ascii="Arial" w:hAnsi="Arial" w:cs="Arial"/>
          <w:noProof/>
          <w:sz w:val="20"/>
          <w:szCs w:val="20"/>
          <w:u w:val="none"/>
          <w:lang w:val="en-GB"/>
        </w:rPr>
        <w:t xml:space="preserve">      </w:t>
      </w:r>
      <w:hyperlink w:anchor="_Toc173456310" w:history="1">
        <w:r w:rsidRPr="006F74DB">
          <w:rPr>
            <w:rStyle w:val="Hyperlink"/>
            <w:rFonts w:ascii="Arial" w:hAnsi="Arial" w:cs="Arial"/>
            <w:noProof/>
            <w:sz w:val="20"/>
            <w:szCs w:val="20"/>
            <w:lang w:val="en-GB" w:bidi="hi-IN"/>
          </w:rPr>
          <w:t>c) UNHRC54 Statement, 04.10.2023</w:t>
        </w:r>
        <w:r w:rsidRPr="006F74DB">
          <w:rPr>
            <w:rFonts w:ascii="Arial" w:hAnsi="Arial" w:cs="Arial"/>
            <w:noProof/>
            <w:webHidden/>
            <w:sz w:val="20"/>
            <w:szCs w:val="20"/>
            <w:lang w:val="en-GB"/>
          </w:rPr>
          <w:tab/>
        </w:r>
        <w:r w:rsidRPr="006F74DB">
          <w:rPr>
            <w:rFonts w:ascii="Arial" w:hAnsi="Arial" w:cs="Arial"/>
            <w:noProof/>
            <w:webHidden/>
            <w:sz w:val="20"/>
            <w:szCs w:val="20"/>
            <w:lang w:val="en-GB"/>
          </w:rPr>
          <w:fldChar w:fldCharType="begin"/>
        </w:r>
        <w:r w:rsidRPr="006F74DB">
          <w:rPr>
            <w:rFonts w:ascii="Arial" w:hAnsi="Arial" w:cs="Arial"/>
            <w:noProof/>
            <w:webHidden/>
            <w:sz w:val="20"/>
            <w:szCs w:val="20"/>
            <w:lang w:val="en-GB"/>
          </w:rPr>
          <w:instrText xml:space="preserve"> PAGEREF _Toc173456310 \h </w:instrText>
        </w:r>
        <w:r w:rsidRPr="006F74DB">
          <w:rPr>
            <w:rFonts w:ascii="Arial" w:hAnsi="Arial" w:cs="Arial"/>
            <w:noProof/>
            <w:webHidden/>
            <w:sz w:val="20"/>
            <w:szCs w:val="20"/>
            <w:lang w:val="en-GB"/>
          </w:rPr>
        </w:r>
        <w:r w:rsidRPr="006F74DB">
          <w:rPr>
            <w:rFonts w:ascii="Arial" w:hAnsi="Arial" w:cs="Arial"/>
            <w:noProof/>
            <w:webHidden/>
            <w:sz w:val="20"/>
            <w:szCs w:val="20"/>
            <w:lang w:val="en-GB"/>
          </w:rPr>
          <w:fldChar w:fldCharType="separate"/>
        </w:r>
        <w:r w:rsidR="005D041C">
          <w:rPr>
            <w:rFonts w:ascii="Arial" w:hAnsi="Arial" w:cs="Arial"/>
            <w:noProof/>
            <w:webHidden/>
            <w:sz w:val="20"/>
            <w:szCs w:val="20"/>
            <w:lang w:val="en-GB"/>
          </w:rPr>
          <w:t>2</w:t>
        </w:r>
        <w:r w:rsidRPr="006F74DB">
          <w:rPr>
            <w:rFonts w:ascii="Arial" w:hAnsi="Arial" w:cs="Arial"/>
            <w:noProof/>
            <w:webHidden/>
            <w:sz w:val="20"/>
            <w:szCs w:val="20"/>
            <w:lang w:val="en-GB"/>
          </w:rPr>
          <w:fldChar w:fldCharType="end"/>
        </w:r>
      </w:hyperlink>
    </w:p>
    <w:p w:rsidR="007C77E8" w:rsidRPr="006F74DB" w:rsidRDefault="004F7CE3" w:rsidP="007C77E8">
      <w:pPr>
        <w:pStyle w:val="Verzeichnis1"/>
        <w:spacing w:afterLines="20" w:after="48"/>
        <w:rPr>
          <w:rFonts w:eastAsiaTheme="minorEastAsia"/>
          <w:sz w:val="20"/>
          <w:szCs w:val="20"/>
          <w:lang w:val="en-GB" w:eastAsia="zh-CN" w:bidi="ar-SA"/>
        </w:rPr>
      </w:pPr>
      <w:hyperlink w:anchor="_Toc173456311" w:history="1">
        <w:r w:rsidR="007C77E8" w:rsidRPr="006F74DB">
          <w:rPr>
            <w:rStyle w:val="Hyperlink"/>
            <w:sz w:val="20"/>
            <w:szCs w:val="20"/>
            <w:lang w:val="en-GB"/>
          </w:rPr>
          <w:t>2.  Most common IGM forms advocated and perpetrated by Spain</w:t>
        </w:r>
        <w:r w:rsidR="007C77E8" w:rsidRPr="006F74DB">
          <w:rPr>
            <w:webHidden/>
            <w:sz w:val="20"/>
            <w:szCs w:val="20"/>
            <w:lang w:val="en-GB"/>
          </w:rPr>
          <w:tab/>
        </w:r>
        <w:r w:rsidR="007C77E8" w:rsidRPr="006F74DB">
          <w:rPr>
            <w:webHidden/>
            <w:sz w:val="20"/>
            <w:szCs w:val="20"/>
            <w:lang w:val="en-GB"/>
          </w:rPr>
          <w:fldChar w:fldCharType="begin"/>
        </w:r>
        <w:r w:rsidR="007C77E8" w:rsidRPr="006F74DB">
          <w:rPr>
            <w:webHidden/>
            <w:sz w:val="20"/>
            <w:szCs w:val="20"/>
            <w:lang w:val="en-GB"/>
          </w:rPr>
          <w:instrText xml:space="preserve"> PAGEREF _Toc173456311 \h </w:instrText>
        </w:r>
        <w:r w:rsidR="007C77E8" w:rsidRPr="006F74DB">
          <w:rPr>
            <w:webHidden/>
            <w:sz w:val="20"/>
            <w:szCs w:val="20"/>
            <w:lang w:val="en-GB"/>
          </w:rPr>
        </w:r>
        <w:r w:rsidR="007C77E8" w:rsidRPr="006F74DB">
          <w:rPr>
            <w:webHidden/>
            <w:sz w:val="20"/>
            <w:szCs w:val="20"/>
            <w:lang w:val="en-GB"/>
          </w:rPr>
          <w:fldChar w:fldCharType="separate"/>
        </w:r>
        <w:r w:rsidR="005D041C">
          <w:rPr>
            <w:webHidden/>
            <w:sz w:val="20"/>
            <w:szCs w:val="20"/>
            <w:lang w:val="en-GB"/>
          </w:rPr>
          <w:t>3</w:t>
        </w:r>
        <w:r w:rsidR="007C77E8" w:rsidRPr="006F74DB">
          <w:rPr>
            <w:webHidden/>
            <w:sz w:val="20"/>
            <w:szCs w:val="20"/>
            <w:lang w:val="en-GB"/>
          </w:rPr>
          <w:fldChar w:fldCharType="end"/>
        </w:r>
      </w:hyperlink>
    </w:p>
    <w:p w:rsidR="007C77E8" w:rsidRPr="006F74DB" w:rsidRDefault="007C77E8" w:rsidP="007C77E8">
      <w:pPr>
        <w:pStyle w:val="Verzeichnis2"/>
        <w:tabs>
          <w:tab w:val="right" w:leader="dot" w:pos="9628"/>
        </w:tabs>
        <w:spacing w:afterLines="20" w:after="48" w:line="264" w:lineRule="auto"/>
        <w:rPr>
          <w:rFonts w:ascii="Arial" w:eastAsiaTheme="minorEastAsia" w:hAnsi="Arial" w:cs="Arial"/>
          <w:noProof/>
          <w:sz w:val="20"/>
          <w:szCs w:val="20"/>
          <w:lang w:val="en-GB" w:eastAsia="zh-CN"/>
        </w:rPr>
      </w:pPr>
      <w:r w:rsidRPr="006F74DB">
        <w:rPr>
          <w:rStyle w:val="Hyperlink"/>
          <w:rFonts w:ascii="Arial" w:hAnsi="Arial" w:cs="Arial"/>
          <w:noProof/>
          <w:sz w:val="20"/>
          <w:szCs w:val="20"/>
          <w:u w:val="none"/>
          <w:lang w:val="en-GB"/>
        </w:rPr>
        <w:t xml:space="preserve">      </w:t>
      </w:r>
      <w:hyperlink w:anchor="_Toc173456312" w:history="1">
        <w:r w:rsidRPr="006F74DB">
          <w:rPr>
            <w:rStyle w:val="Hyperlink"/>
            <w:rFonts w:ascii="Arial" w:hAnsi="Arial" w:cs="Arial"/>
            <w:noProof/>
            <w:sz w:val="20"/>
            <w:szCs w:val="20"/>
            <w:lang w:val="en-GB" w:bidi="hi-IN"/>
          </w:rPr>
          <w:t xml:space="preserve">a) IGM 3 – Sterilising Procedures: Castration / “Gonadectomy” / Hysterectomy </w:t>
        </w:r>
        <w:r w:rsidRPr="006F74DB">
          <w:rPr>
            <w:rFonts w:ascii="Arial" w:hAnsi="Arial" w:cs="Arial"/>
            <w:noProof/>
            <w:webHidden/>
            <w:sz w:val="20"/>
            <w:szCs w:val="20"/>
            <w:lang w:val="en-GB"/>
          </w:rPr>
          <w:tab/>
        </w:r>
        <w:r w:rsidRPr="006F74DB">
          <w:rPr>
            <w:rFonts w:ascii="Arial" w:hAnsi="Arial" w:cs="Arial"/>
            <w:noProof/>
            <w:webHidden/>
            <w:sz w:val="20"/>
            <w:szCs w:val="20"/>
            <w:lang w:val="en-GB"/>
          </w:rPr>
          <w:fldChar w:fldCharType="begin"/>
        </w:r>
        <w:r w:rsidRPr="006F74DB">
          <w:rPr>
            <w:rFonts w:ascii="Arial" w:hAnsi="Arial" w:cs="Arial"/>
            <w:noProof/>
            <w:webHidden/>
            <w:sz w:val="20"/>
            <w:szCs w:val="20"/>
            <w:lang w:val="en-GB"/>
          </w:rPr>
          <w:instrText xml:space="preserve"> PAGEREF _Toc173456312 \h </w:instrText>
        </w:r>
        <w:r w:rsidRPr="006F74DB">
          <w:rPr>
            <w:rFonts w:ascii="Arial" w:hAnsi="Arial" w:cs="Arial"/>
            <w:noProof/>
            <w:webHidden/>
            <w:sz w:val="20"/>
            <w:szCs w:val="20"/>
            <w:lang w:val="en-GB"/>
          </w:rPr>
        </w:r>
        <w:r w:rsidRPr="006F74DB">
          <w:rPr>
            <w:rFonts w:ascii="Arial" w:hAnsi="Arial" w:cs="Arial"/>
            <w:noProof/>
            <w:webHidden/>
            <w:sz w:val="20"/>
            <w:szCs w:val="20"/>
            <w:lang w:val="en-GB"/>
          </w:rPr>
          <w:fldChar w:fldCharType="separate"/>
        </w:r>
        <w:r w:rsidR="005D041C">
          <w:rPr>
            <w:rFonts w:ascii="Arial" w:hAnsi="Arial" w:cs="Arial"/>
            <w:noProof/>
            <w:webHidden/>
            <w:sz w:val="20"/>
            <w:szCs w:val="20"/>
            <w:lang w:val="en-GB"/>
          </w:rPr>
          <w:t>3</w:t>
        </w:r>
        <w:r w:rsidRPr="006F74DB">
          <w:rPr>
            <w:rFonts w:ascii="Arial" w:hAnsi="Arial" w:cs="Arial"/>
            <w:noProof/>
            <w:webHidden/>
            <w:sz w:val="20"/>
            <w:szCs w:val="20"/>
            <w:lang w:val="en-GB"/>
          </w:rPr>
          <w:fldChar w:fldCharType="end"/>
        </w:r>
      </w:hyperlink>
    </w:p>
    <w:p w:rsidR="007C77E8" w:rsidRPr="006F74DB" w:rsidRDefault="007C77E8" w:rsidP="007C77E8">
      <w:pPr>
        <w:pStyle w:val="Verzeichnis2"/>
        <w:tabs>
          <w:tab w:val="right" w:leader="dot" w:pos="9628"/>
        </w:tabs>
        <w:spacing w:afterLines="20" w:after="48" w:line="264" w:lineRule="auto"/>
        <w:rPr>
          <w:rFonts w:ascii="Arial" w:eastAsiaTheme="minorEastAsia" w:hAnsi="Arial" w:cs="Arial"/>
          <w:noProof/>
          <w:sz w:val="20"/>
          <w:szCs w:val="20"/>
          <w:lang w:val="en-GB" w:eastAsia="zh-CN"/>
        </w:rPr>
      </w:pPr>
      <w:r w:rsidRPr="006F74DB">
        <w:rPr>
          <w:rStyle w:val="Hyperlink"/>
          <w:rFonts w:ascii="Arial" w:hAnsi="Arial" w:cs="Arial"/>
          <w:noProof/>
          <w:sz w:val="20"/>
          <w:szCs w:val="20"/>
          <w:u w:val="none"/>
          <w:lang w:val="en-GB"/>
        </w:rPr>
        <w:t xml:space="preserve">      </w:t>
      </w:r>
      <w:hyperlink w:anchor="_Toc173456313" w:history="1">
        <w:r w:rsidRPr="006F74DB">
          <w:rPr>
            <w:rStyle w:val="Hyperlink"/>
            <w:rFonts w:ascii="Arial" w:hAnsi="Arial" w:cs="Arial"/>
            <w:noProof/>
            <w:sz w:val="20"/>
            <w:szCs w:val="20"/>
            <w:lang w:val="en-GB" w:bidi="hi-IN"/>
          </w:rPr>
          <w:t>b) IGM 2 – “Feminising Procedures”: Clitoris Amputation/“Reduction”, “Vaginoplasty”</w:t>
        </w:r>
        <w:r w:rsidRPr="006F74DB">
          <w:rPr>
            <w:rFonts w:ascii="Arial" w:hAnsi="Arial" w:cs="Arial"/>
            <w:noProof/>
            <w:webHidden/>
            <w:sz w:val="20"/>
            <w:szCs w:val="20"/>
            <w:lang w:val="en-GB"/>
          </w:rPr>
          <w:tab/>
        </w:r>
        <w:r w:rsidRPr="006F74DB">
          <w:rPr>
            <w:rFonts w:ascii="Arial" w:hAnsi="Arial" w:cs="Arial"/>
            <w:noProof/>
            <w:webHidden/>
            <w:sz w:val="20"/>
            <w:szCs w:val="20"/>
            <w:lang w:val="en-GB"/>
          </w:rPr>
          <w:fldChar w:fldCharType="begin"/>
        </w:r>
        <w:r w:rsidRPr="006F74DB">
          <w:rPr>
            <w:rFonts w:ascii="Arial" w:hAnsi="Arial" w:cs="Arial"/>
            <w:noProof/>
            <w:webHidden/>
            <w:sz w:val="20"/>
            <w:szCs w:val="20"/>
            <w:lang w:val="en-GB"/>
          </w:rPr>
          <w:instrText xml:space="preserve"> PAGEREF _Toc173456313 \h </w:instrText>
        </w:r>
        <w:r w:rsidRPr="006F74DB">
          <w:rPr>
            <w:rFonts w:ascii="Arial" w:hAnsi="Arial" w:cs="Arial"/>
            <w:noProof/>
            <w:webHidden/>
            <w:sz w:val="20"/>
            <w:szCs w:val="20"/>
            <w:lang w:val="en-GB"/>
          </w:rPr>
        </w:r>
        <w:r w:rsidRPr="006F74DB">
          <w:rPr>
            <w:rFonts w:ascii="Arial" w:hAnsi="Arial" w:cs="Arial"/>
            <w:noProof/>
            <w:webHidden/>
            <w:sz w:val="20"/>
            <w:szCs w:val="20"/>
            <w:lang w:val="en-GB"/>
          </w:rPr>
          <w:fldChar w:fldCharType="separate"/>
        </w:r>
        <w:r w:rsidR="005D041C">
          <w:rPr>
            <w:rFonts w:ascii="Arial" w:hAnsi="Arial" w:cs="Arial"/>
            <w:noProof/>
            <w:webHidden/>
            <w:sz w:val="20"/>
            <w:szCs w:val="20"/>
            <w:lang w:val="en-GB"/>
          </w:rPr>
          <w:t>4</w:t>
        </w:r>
        <w:r w:rsidRPr="006F74DB">
          <w:rPr>
            <w:rFonts w:ascii="Arial" w:hAnsi="Arial" w:cs="Arial"/>
            <w:noProof/>
            <w:webHidden/>
            <w:sz w:val="20"/>
            <w:szCs w:val="20"/>
            <w:lang w:val="en-GB"/>
          </w:rPr>
          <w:fldChar w:fldCharType="end"/>
        </w:r>
      </w:hyperlink>
    </w:p>
    <w:p w:rsidR="007C77E8" w:rsidRPr="006F74DB" w:rsidRDefault="007C77E8" w:rsidP="007C77E8">
      <w:pPr>
        <w:pStyle w:val="Verzeichnis2"/>
        <w:tabs>
          <w:tab w:val="right" w:leader="dot" w:pos="9628"/>
        </w:tabs>
        <w:spacing w:afterLines="20" w:after="48" w:line="264" w:lineRule="auto"/>
        <w:rPr>
          <w:rFonts w:ascii="Arial" w:eastAsiaTheme="minorEastAsia" w:hAnsi="Arial" w:cs="Arial"/>
          <w:noProof/>
          <w:sz w:val="20"/>
          <w:szCs w:val="20"/>
          <w:lang w:val="en-GB" w:eastAsia="zh-CN"/>
        </w:rPr>
      </w:pPr>
      <w:r w:rsidRPr="006F74DB">
        <w:rPr>
          <w:rStyle w:val="Hyperlink"/>
          <w:rFonts w:ascii="Arial" w:hAnsi="Arial" w:cs="Arial"/>
          <w:noProof/>
          <w:sz w:val="20"/>
          <w:szCs w:val="20"/>
          <w:u w:val="none"/>
          <w:lang w:val="en-GB"/>
        </w:rPr>
        <w:t xml:space="preserve">      </w:t>
      </w:r>
      <w:hyperlink w:anchor="_Toc173456314" w:history="1">
        <w:r w:rsidRPr="006F74DB">
          <w:rPr>
            <w:rStyle w:val="Hyperlink"/>
            <w:rFonts w:ascii="Arial" w:hAnsi="Arial" w:cs="Arial"/>
            <w:noProof/>
            <w:sz w:val="20"/>
            <w:szCs w:val="20"/>
            <w:lang w:val="en-GB" w:bidi="hi-IN"/>
          </w:rPr>
          <w:t>c) IGM 1 – “Masculinising Surgery”: Hypospadias “Repair”</w:t>
        </w:r>
        <w:r w:rsidRPr="006F74DB">
          <w:rPr>
            <w:rFonts w:ascii="Arial" w:hAnsi="Arial" w:cs="Arial"/>
            <w:noProof/>
            <w:webHidden/>
            <w:sz w:val="20"/>
            <w:szCs w:val="20"/>
            <w:lang w:val="en-GB"/>
          </w:rPr>
          <w:tab/>
        </w:r>
        <w:r w:rsidRPr="006F74DB">
          <w:rPr>
            <w:rFonts w:ascii="Arial" w:hAnsi="Arial" w:cs="Arial"/>
            <w:noProof/>
            <w:webHidden/>
            <w:sz w:val="20"/>
            <w:szCs w:val="20"/>
            <w:lang w:val="en-GB"/>
          </w:rPr>
          <w:fldChar w:fldCharType="begin"/>
        </w:r>
        <w:r w:rsidRPr="006F74DB">
          <w:rPr>
            <w:rFonts w:ascii="Arial" w:hAnsi="Arial" w:cs="Arial"/>
            <w:noProof/>
            <w:webHidden/>
            <w:sz w:val="20"/>
            <w:szCs w:val="20"/>
            <w:lang w:val="en-GB"/>
          </w:rPr>
          <w:instrText xml:space="preserve"> PAGEREF _Toc173456314 \h </w:instrText>
        </w:r>
        <w:r w:rsidRPr="006F74DB">
          <w:rPr>
            <w:rFonts w:ascii="Arial" w:hAnsi="Arial" w:cs="Arial"/>
            <w:noProof/>
            <w:webHidden/>
            <w:sz w:val="20"/>
            <w:szCs w:val="20"/>
            <w:lang w:val="en-GB"/>
          </w:rPr>
        </w:r>
        <w:r w:rsidRPr="006F74DB">
          <w:rPr>
            <w:rFonts w:ascii="Arial" w:hAnsi="Arial" w:cs="Arial"/>
            <w:noProof/>
            <w:webHidden/>
            <w:sz w:val="20"/>
            <w:szCs w:val="20"/>
            <w:lang w:val="en-GB"/>
          </w:rPr>
          <w:fldChar w:fldCharType="separate"/>
        </w:r>
        <w:r w:rsidR="005D041C">
          <w:rPr>
            <w:rFonts w:ascii="Arial" w:hAnsi="Arial" w:cs="Arial"/>
            <w:noProof/>
            <w:webHidden/>
            <w:sz w:val="20"/>
            <w:szCs w:val="20"/>
            <w:lang w:val="en-GB"/>
          </w:rPr>
          <w:t>5</w:t>
        </w:r>
        <w:r w:rsidRPr="006F74DB">
          <w:rPr>
            <w:rFonts w:ascii="Arial" w:hAnsi="Arial" w:cs="Arial"/>
            <w:noProof/>
            <w:webHidden/>
            <w:sz w:val="20"/>
            <w:szCs w:val="20"/>
            <w:lang w:val="en-GB"/>
          </w:rPr>
          <w:fldChar w:fldCharType="end"/>
        </w:r>
      </w:hyperlink>
    </w:p>
    <w:p w:rsidR="007C77E8" w:rsidRPr="006F74DB" w:rsidRDefault="004F7CE3" w:rsidP="007C77E8">
      <w:pPr>
        <w:pStyle w:val="Verzeichnis1"/>
        <w:spacing w:afterLines="20" w:after="48"/>
        <w:rPr>
          <w:rFonts w:eastAsiaTheme="minorEastAsia"/>
          <w:sz w:val="20"/>
          <w:szCs w:val="20"/>
          <w:lang w:val="en-GB" w:eastAsia="zh-CN" w:bidi="ar-SA"/>
        </w:rPr>
      </w:pPr>
      <w:hyperlink w:anchor="_Toc173456315" w:history="1">
        <w:r w:rsidR="007C77E8" w:rsidRPr="006F74DB">
          <w:rPr>
            <w:rStyle w:val="Hyperlink"/>
            <w:sz w:val="20"/>
            <w:szCs w:val="20"/>
            <w:lang w:val="en-GB"/>
          </w:rPr>
          <w:t>3.  New national Organic Law 4/2023 fails to protect intersex children from IGM</w:t>
        </w:r>
        <w:r w:rsidR="007C77E8" w:rsidRPr="006F74DB">
          <w:rPr>
            <w:webHidden/>
            <w:sz w:val="20"/>
            <w:szCs w:val="20"/>
            <w:lang w:val="en-GB"/>
          </w:rPr>
          <w:tab/>
        </w:r>
        <w:r w:rsidR="007C77E8" w:rsidRPr="006F74DB">
          <w:rPr>
            <w:webHidden/>
            <w:sz w:val="20"/>
            <w:szCs w:val="20"/>
            <w:lang w:val="en-GB"/>
          </w:rPr>
          <w:fldChar w:fldCharType="begin"/>
        </w:r>
        <w:r w:rsidR="007C77E8" w:rsidRPr="006F74DB">
          <w:rPr>
            <w:webHidden/>
            <w:sz w:val="20"/>
            <w:szCs w:val="20"/>
            <w:lang w:val="en-GB"/>
          </w:rPr>
          <w:instrText xml:space="preserve"> PAGEREF _Toc173456315 \h </w:instrText>
        </w:r>
        <w:r w:rsidR="007C77E8" w:rsidRPr="006F74DB">
          <w:rPr>
            <w:webHidden/>
            <w:sz w:val="20"/>
            <w:szCs w:val="20"/>
            <w:lang w:val="en-GB"/>
          </w:rPr>
        </w:r>
        <w:r w:rsidR="007C77E8" w:rsidRPr="006F74DB">
          <w:rPr>
            <w:webHidden/>
            <w:sz w:val="20"/>
            <w:szCs w:val="20"/>
            <w:lang w:val="en-GB"/>
          </w:rPr>
          <w:fldChar w:fldCharType="separate"/>
        </w:r>
        <w:r w:rsidR="005D041C">
          <w:rPr>
            <w:webHidden/>
            <w:sz w:val="20"/>
            <w:szCs w:val="20"/>
            <w:lang w:val="en-GB"/>
          </w:rPr>
          <w:t>6</w:t>
        </w:r>
        <w:r w:rsidR="007C77E8" w:rsidRPr="006F74DB">
          <w:rPr>
            <w:webHidden/>
            <w:sz w:val="20"/>
            <w:szCs w:val="20"/>
            <w:lang w:val="en-GB"/>
          </w:rPr>
          <w:fldChar w:fldCharType="end"/>
        </w:r>
      </w:hyperlink>
    </w:p>
    <w:p w:rsidR="007C77E8" w:rsidRPr="006F74DB" w:rsidRDefault="004F7CE3" w:rsidP="007C77E8">
      <w:pPr>
        <w:pStyle w:val="Verzeichnis1"/>
        <w:spacing w:afterLines="20" w:after="48"/>
        <w:rPr>
          <w:rFonts w:eastAsiaTheme="minorEastAsia"/>
          <w:sz w:val="20"/>
          <w:szCs w:val="20"/>
          <w:lang w:val="en-GB" w:eastAsia="zh-CN" w:bidi="ar-SA"/>
        </w:rPr>
      </w:pPr>
      <w:hyperlink w:anchor="_Toc173456316" w:history="1">
        <w:r w:rsidR="007C77E8" w:rsidRPr="006F74DB">
          <w:rPr>
            <w:rStyle w:val="Hyperlink"/>
            <w:sz w:val="20"/>
            <w:szCs w:val="20"/>
            <w:lang w:val="en-GB"/>
          </w:rPr>
          <w:t>4.  Suggested Recommendations</w:t>
        </w:r>
        <w:r w:rsidR="007C77E8" w:rsidRPr="006F74DB">
          <w:rPr>
            <w:webHidden/>
            <w:sz w:val="20"/>
            <w:szCs w:val="20"/>
            <w:lang w:val="en-GB"/>
          </w:rPr>
          <w:tab/>
        </w:r>
        <w:r w:rsidR="007C77E8" w:rsidRPr="006F74DB">
          <w:rPr>
            <w:webHidden/>
            <w:sz w:val="20"/>
            <w:szCs w:val="20"/>
            <w:lang w:val="en-GB"/>
          </w:rPr>
          <w:fldChar w:fldCharType="begin"/>
        </w:r>
        <w:r w:rsidR="007C77E8" w:rsidRPr="006F74DB">
          <w:rPr>
            <w:webHidden/>
            <w:sz w:val="20"/>
            <w:szCs w:val="20"/>
            <w:lang w:val="en-GB"/>
          </w:rPr>
          <w:instrText xml:space="preserve"> PAGEREF _Toc173456316 \h </w:instrText>
        </w:r>
        <w:r w:rsidR="007C77E8" w:rsidRPr="006F74DB">
          <w:rPr>
            <w:webHidden/>
            <w:sz w:val="20"/>
            <w:szCs w:val="20"/>
            <w:lang w:val="en-GB"/>
          </w:rPr>
        </w:r>
        <w:r w:rsidR="007C77E8" w:rsidRPr="006F74DB">
          <w:rPr>
            <w:webHidden/>
            <w:sz w:val="20"/>
            <w:szCs w:val="20"/>
            <w:lang w:val="en-GB"/>
          </w:rPr>
          <w:fldChar w:fldCharType="separate"/>
        </w:r>
        <w:r w:rsidR="005D041C">
          <w:rPr>
            <w:webHidden/>
            <w:sz w:val="20"/>
            <w:szCs w:val="20"/>
            <w:lang w:val="en-GB"/>
          </w:rPr>
          <w:t>9</w:t>
        </w:r>
        <w:r w:rsidR="007C77E8" w:rsidRPr="006F74DB">
          <w:rPr>
            <w:webHidden/>
            <w:sz w:val="20"/>
            <w:szCs w:val="20"/>
            <w:lang w:val="en-GB"/>
          </w:rPr>
          <w:fldChar w:fldCharType="end"/>
        </w:r>
      </w:hyperlink>
    </w:p>
    <w:p w:rsidR="002B5CAB" w:rsidRPr="006F74DB" w:rsidRDefault="005B0346" w:rsidP="007C77E8">
      <w:pPr>
        <w:pStyle w:val="Verzeichnis1"/>
        <w:spacing w:afterLines="20" w:after="48"/>
        <w:rPr>
          <w:noProof w:val="0"/>
          <w:sz w:val="20"/>
          <w:szCs w:val="20"/>
          <w:lang w:val="en-GB"/>
        </w:rPr>
      </w:pPr>
      <w:r w:rsidRPr="006F74DB">
        <w:rPr>
          <w:rStyle w:val="Hyperlink"/>
          <w:noProof w:val="0"/>
          <w:sz w:val="20"/>
          <w:szCs w:val="20"/>
          <w:lang w:val="en-GB"/>
        </w:rPr>
        <w:fldChar w:fldCharType="end"/>
      </w:r>
    </w:p>
    <w:p w:rsidR="00D422B4" w:rsidRPr="006F74DB" w:rsidRDefault="00D422B4" w:rsidP="00FF418B">
      <w:pPr>
        <w:pStyle w:val="absatzschattenbericht"/>
        <w:spacing w:after="0" w:line="264" w:lineRule="auto"/>
        <w:ind w:left="284"/>
        <w:rPr>
          <w:rFonts w:ascii="Arial" w:hAnsi="Arial" w:cs="Arial"/>
          <w:sz w:val="20"/>
          <w:szCs w:val="20"/>
          <w:lang w:val="en-GB"/>
        </w:rPr>
      </w:pPr>
    </w:p>
    <w:p w:rsidR="00DB4A71" w:rsidRPr="006F74DB" w:rsidRDefault="00BD3142" w:rsidP="00DB4A71">
      <w:pPr>
        <w:pStyle w:val="Title2"/>
      </w:pPr>
      <w:bookmarkStart w:id="1" w:name="_Toc101000890"/>
      <w:bookmarkStart w:id="2" w:name="_Toc111405648"/>
      <w:bookmarkStart w:id="3" w:name="_Toc165835368"/>
      <w:bookmarkStart w:id="4" w:name="_Toc173456307"/>
      <w:bookmarkStart w:id="5" w:name="_Toc516594088"/>
      <w:bookmarkStart w:id="6" w:name="_Toc475924599"/>
      <w:bookmarkStart w:id="7" w:name="_Toc475924776"/>
      <w:r w:rsidRPr="006F74DB">
        <w:t>1</w:t>
      </w:r>
      <w:r w:rsidR="00DB4A71" w:rsidRPr="006F74DB">
        <w:t xml:space="preserve">.  Spain’s commitment to </w:t>
      </w:r>
      <w:r w:rsidR="00DB4A71" w:rsidRPr="006F74DB">
        <w:rPr>
          <w:i/>
        </w:rPr>
        <w:t>“protect intersex children from violence and harmful practices”</w:t>
      </w:r>
      <w:r w:rsidR="00DB4A71" w:rsidRPr="006F74DB">
        <w:t xml:space="preserve">, </w:t>
      </w:r>
      <w:r w:rsidR="00DB4A71" w:rsidRPr="006F74DB">
        <w:rPr>
          <w:i/>
        </w:rPr>
        <w:t>“investigate abuses”</w:t>
      </w:r>
      <w:r w:rsidR="00DB4A71" w:rsidRPr="006F74DB">
        <w:t xml:space="preserve">, </w:t>
      </w:r>
      <w:r w:rsidR="00DB4A71" w:rsidRPr="006F74DB">
        <w:rPr>
          <w:i/>
        </w:rPr>
        <w:t>“ensure accountability”</w:t>
      </w:r>
      <w:r w:rsidR="00DB4A71" w:rsidRPr="006F74DB">
        <w:t xml:space="preserve"> and </w:t>
      </w:r>
      <w:r w:rsidR="00DB4A71" w:rsidRPr="006F74DB">
        <w:rPr>
          <w:i/>
        </w:rPr>
        <w:t xml:space="preserve">“access to </w:t>
      </w:r>
      <w:bookmarkEnd w:id="1"/>
      <w:r w:rsidR="00DB4A71" w:rsidRPr="006F74DB">
        <w:rPr>
          <w:i/>
        </w:rPr>
        <w:t>remedy”</w:t>
      </w:r>
      <w:bookmarkEnd w:id="2"/>
      <w:bookmarkEnd w:id="3"/>
      <w:bookmarkEnd w:id="4"/>
    </w:p>
    <w:p w:rsidR="00DB4A71" w:rsidRPr="006F74DB" w:rsidRDefault="00DB4A71" w:rsidP="00DB4A71">
      <w:pPr>
        <w:pStyle w:val="Title3"/>
      </w:pPr>
      <w:bookmarkStart w:id="8" w:name="_Toc101000891"/>
      <w:bookmarkStart w:id="9" w:name="_Toc111405649"/>
      <w:bookmarkStart w:id="10" w:name="_Toc165835369"/>
      <w:bookmarkStart w:id="11" w:name="_Toc173456308"/>
      <w:r w:rsidRPr="006F74DB">
        <w:t>a) UNHRC45 Statement, 01.10.2020</w:t>
      </w:r>
      <w:bookmarkEnd w:id="8"/>
      <w:bookmarkEnd w:id="9"/>
      <w:bookmarkEnd w:id="10"/>
      <w:bookmarkEnd w:id="11"/>
    </w:p>
    <w:p w:rsidR="00DB4A71" w:rsidRPr="006F74DB" w:rsidRDefault="00DB4A71" w:rsidP="00DB4A71">
      <w:pPr>
        <w:pStyle w:val="absatzschattenbericht"/>
        <w:rPr>
          <w:bCs/>
          <w:lang w:val="en-GB"/>
        </w:rPr>
      </w:pPr>
      <w:r w:rsidRPr="006F74DB">
        <w:rPr>
          <w:bCs/>
          <w:lang w:val="en-GB"/>
        </w:rPr>
        <w:t xml:space="preserve">On occasion of the </w:t>
      </w:r>
      <w:r w:rsidRPr="006F74DB">
        <w:rPr>
          <w:b/>
          <w:lang w:val="en-GB"/>
        </w:rPr>
        <w:t>45</w:t>
      </w:r>
      <w:r w:rsidRPr="006F74DB">
        <w:rPr>
          <w:b/>
          <w:vertAlign w:val="superscript"/>
          <w:lang w:val="en-GB"/>
        </w:rPr>
        <w:t>th</w:t>
      </w:r>
      <w:r w:rsidRPr="006F74DB">
        <w:rPr>
          <w:b/>
          <w:lang w:val="en-GB"/>
        </w:rPr>
        <w:t xml:space="preserve"> Session of the Human Rights Council</w:t>
      </w:r>
      <w:r w:rsidRPr="006F74DB">
        <w:rPr>
          <w:bCs/>
          <w:lang w:val="en-GB"/>
        </w:rPr>
        <w:t xml:space="preserve"> the </w:t>
      </w:r>
      <w:r w:rsidRPr="006F74DB">
        <w:rPr>
          <w:b/>
          <w:lang w:val="en-GB"/>
        </w:rPr>
        <w:t>State party</w:t>
      </w:r>
      <w:r w:rsidRPr="006F74DB">
        <w:rPr>
          <w:bCs/>
          <w:lang w:val="en-GB"/>
        </w:rPr>
        <w:t xml:space="preserve"> supported a public </w:t>
      </w:r>
      <w:r w:rsidRPr="006F74DB">
        <w:rPr>
          <w:bCs/>
          <w:i/>
          <w:iCs/>
          <w:lang w:val="en-GB"/>
        </w:rPr>
        <w:t>“Joint Statement [...] on the Rights of Intersex Persons”</w:t>
      </w:r>
      <w:r w:rsidRPr="006F74DB">
        <w:rPr>
          <w:bCs/>
          <w:lang w:val="en-GB"/>
        </w:rPr>
        <w:t xml:space="preserve"> calling to </w:t>
      </w:r>
      <w:r w:rsidRPr="006F74DB">
        <w:rPr>
          <w:b/>
          <w:i/>
          <w:iCs/>
          <w:lang w:val="en-GB"/>
        </w:rPr>
        <w:t>“protect […] intersex adults and children</w:t>
      </w:r>
      <w:r w:rsidRPr="006F74DB">
        <w:rPr>
          <w:bCs/>
          <w:i/>
          <w:iCs/>
          <w:lang w:val="en-GB"/>
        </w:rPr>
        <w:t xml:space="preserve"> […] so that they live free </w:t>
      </w:r>
      <w:r w:rsidRPr="006F74DB">
        <w:rPr>
          <w:b/>
          <w:i/>
          <w:iCs/>
          <w:lang w:val="en-GB"/>
        </w:rPr>
        <w:t>from violence and harmful practices</w:t>
      </w:r>
      <w:r w:rsidRPr="006F74DB">
        <w:rPr>
          <w:bCs/>
          <w:i/>
          <w:iCs/>
          <w:lang w:val="en-GB"/>
        </w:rPr>
        <w:t xml:space="preserve">. Governments </w:t>
      </w:r>
      <w:r w:rsidRPr="006F74DB">
        <w:rPr>
          <w:bCs/>
          <w:i/>
          <w:iCs/>
          <w:lang w:val="en-GB"/>
        </w:rPr>
        <w:lastRenderedPageBreak/>
        <w:t xml:space="preserve">should </w:t>
      </w:r>
      <w:r w:rsidRPr="006F74DB">
        <w:rPr>
          <w:b/>
          <w:i/>
          <w:iCs/>
          <w:lang w:val="en-GB"/>
        </w:rPr>
        <w:t>investigate human rights violations and abuses</w:t>
      </w:r>
      <w:r w:rsidRPr="006F74DB">
        <w:rPr>
          <w:bCs/>
          <w:i/>
          <w:iCs/>
          <w:lang w:val="en-GB"/>
        </w:rPr>
        <w:t xml:space="preserve"> against intersex people, </w:t>
      </w:r>
      <w:r w:rsidRPr="006F74DB">
        <w:rPr>
          <w:b/>
          <w:i/>
          <w:iCs/>
          <w:lang w:val="en-GB"/>
        </w:rPr>
        <w:t>ensure accountability</w:t>
      </w:r>
      <w:r w:rsidRPr="006F74DB">
        <w:rPr>
          <w:bCs/>
          <w:i/>
          <w:iCs/>
          <w:lang w:val="en-GB"/>
        </w:rPr>
        <w:t xml:space="preserve">, […] and </w:t>
      </w:r>
      <w:r w:rsidRPr="006F74DB">
        <w:rPr>
          <w:b/>
          <w:i/>
          <w:iCs/>
          <w:lang w:val="en-GB"/>
        </w:rPr>
        <w:t>provide victims with access to remedy.”</w:t>
      </w:r>
      <w:r w:rsidRPr="006F74DB">
        <w:rPr>
          <w:bCs/>
          <w:lang w:val="en-GB"/>
        </w:rPr>
        <w:t xml:space="preserve"> </w:t>
      </w:r>
      <w:r w:rsidRPr="006F74DB">
        <w:rPr>
          <w:rStyle w:val="Funotenanker"/>
          <w:lang w:val="en-GB"/>
        </w:rPr>
        <w:footnoteReference w:id="1"/>
      </w:r>
    </w:p>
    <w:p w:rsidR="00DB4A71" w:rsidRPr="006F74DB" w:rsidRDefault="00DB4A71" w:rsidP="00DB4A71">
      <w:pPr>
        <w:pStyle w:val="Title3"/>
      </w:pPr>
      <w:bookmarkStart w:id="12" w:name="_Toc101000892"/>
      <w:bookmarkStart w:id="13" w:name="_Toc111405650"/>
      <w:bookmarkStart w:id="14" w:name="_Toc165835370"/>
      <w:bookmarkStart w:id="15" w:name="_Toc173456309"/>
      <w:r w:rsidRPr="006F74DB">
        <w:t>b) UNHRC48 Statement, 04.10.2021</w:t>
      </w:r>
      <w:bookmarkEnd w:id="12"/>
      <w:bookmarkEnd w:id="13"/>
      <w:bookmarkEnd w:id="14"/>
      <w:bookmarkEnd w:id="15"/>
    </w:p>
    <w:p w:rsidR="00DB4A71" w:rsidRPr="006F74DB" w:rsidRDefault="00DB4A71" w:rsidP="00DB4A71">
      <w:pPr>
        <w:pStyle w:val="absatzschattenbericht"/>
        <w:rPr>
          <w:bCs/>
          <w:lang w:val="en-GB"/>
        </w:rPr>
      </w:pPr>
      <w:r w:rsidRPr="006F74DB">
        <w:rPr>
          <w:bCs/>
          <w:lang w:val="en-GB"/>
        </w:rPr>
        <w:t xml:space="preserve">On occasion of the </w:t>
      </w:r>
      <w:r w:rsidRPr="006F74DB">
        <w:rPr>
          <w:b/>
          <w:lang w:val="en-GB"/>
        </w:rPr>
        <w:t>48</w:t>
      </w:r>
      <w:r w:rsidRPr="006F74DB">
        <w:rPr>
          <w:b/>
          <w:vertAlign w:val="superscript"/>
          <w:lang w:val="en-GB"/>
        </w:rPr>
        <w:t>th</w:t>
      </w:r>
      <w:r w:rsidRPr="006F74DB">
        <w:rPr>
          <w:b/>
          <w:lang w:val="en-GB"/>
        </w:rPr>
        <w:t xml:space="preserve"> Session of the Human Rights Council</w:t>
      </w:r>
      <w:r w:rsidRPr="006F74DB">
        <w:rPr>
          <w:bCs/>
          <w:lang w:val="en-GB"/>
        </w:rPr>
        <w:t xml:space="preserve"> the </w:t>
      </w:r>
      <w:r w:rsidRPr="006F74DB">
        <w:rPr>
          <w:b/>
          <w:lang w:val="en-GB"/>
        </w:rPr>
        <w:t>State party</w:t>
      </w:r>
      <w:r w:rsidRPr="006F74DB">
        <w:rPr>
          <w:bCs/>
          <w:lang w:val="en-GB"/>
        </w:rPr>
        <w:t xml:space="preserve"> supported a public follow-up statement reiterating the call to end harmful practices and ensure access to justice:</w:t>
      </w:r>
    </w:p>
    <w:p w:rsidR="00DB4A71" w:rsidRPr="006F74DB" w:rsidRDefault="00DB4A71" w:rsidP="00DB4A71">
      <w:pPr>
        <w:pStyle w:val="absatzschattenbericht"/>
        <w:ind w:left="284"/>
        <w:rPr>
          <w:rFonts w:eastAsia="Baskerville-SemiBold" w:cs="Baskerville-SemiBold"/>
          <w:bCs/>
          <w:i/>
          <w:iCs/>
          <w:lang w:val="en-GB"/>
        </w:rPr>
      </w:pPr>
      <w:r w:rsidRPr="006F74DB">
        <w:rPr>
          <w:rFonts w:eastAsia="Baskerville-SemiBold" w:cs="Baskerville-SemiBold"/>
          <w:bCs/>
          <w:i/>
          <w:iCs/>
          <w:lang w:val="en-GB"/>
        </w:rPr>
        <w:t xml:space="preserve">“Intersex persons also need to be protected from </w:t>
      </w:r>
      <w:r w:rsidRPr="006F74DB">
        <w:rPr>
          <w:rFonts w:eastAsia="Baskerville-SemiBold" w:cs="Baskerville-SemiBold"/>
          <w:b/>
          <w:bCs/>
          <w:i/>
          <w:iCs/>
          <w:lang w:val="en-GB"/>
        </w:rPr>
        <w:t>violence</w:t>
      </w:r>
      <w:r w:rsidRPr="006F74DB">
        <w:rPr>
          <w:rFonts w:eastAsia="Baskerville-SemiBold" w:cs="Baskerville-SemiBold"/>
          <w:bCs/>
          <w:i/>
          <w:iCs/>
          <w:lang w:val="en-GB"/>
        </w:rPr>
        <w:t xml:space="preserve"> and States must </w:t>
      </w:r>
      <w:r w:rsidRPr="006F74DB">
        <w:rPr>
          <w:rFonts w:eastAsia="Baskerville-SemiBold" w:cs="Baskerville-SemiBold"/>
          <w:b/>
          <w:i/>
          <w:iCs/>
          <w:lang w:val="en-GB"/>
        </w:rPr>
        <w:t>ensure accountability</w:t>
      </w:r>
      <w:r w:rsidRPr="006F74DB">
        <w:rPr>
          <w:rFonts w:eastAsia="Baskerville-SemiBold" w:cs="Baskerville-SemiBold"/>
          <w:bCs/>
          <w:i/>
          <w:iCs/>
          <w:lang w:val="en-GB"/>
        </w:rPr>
        <w:t xml:space="preserve"> for these acts. […]</w:t>
      </w:r>
    </w:p>
    <w:p w:rsidR="00DB4A71" w:rsidRPr="006F74DB" w:rsidRDefault="00DB4A71" w:rsidP="00DB4A71">
      <w:pPr>
        <w:pStyle w:val="absatzschattenbericht"/>
        <w:ind w:left="284"/>
        <w:rPr>
          <w:rFonts w:eastAsia="Baskerville-SemiBold" w:cs="Baskerville-SemiBold"/>
          <w:bCs/>
          <w:i/>
          <w:iCs/>
          <w:lang w:val="en-GB"/>
        </w:rPr>
      </w:pPr>
      <w:r w:rsidRPr="006F74DB">
        <w:rPr>
          <w:rFonts w:eastAsia="Baskerville-SemiBold" w:cs="Baskerville-SemiBold"/>
          <w:bCs/>
          <w:i/>
          <w:iCs/>
          <w:lang w:val="en-GB"/>
        </w:rPr>
        <w:t xml:space="preserve">Furthermore, there is also a need to take measures to protect the </w:t>
      </w:r>
      <w:r w:rsidRPr="006F74DB">
        <w:rPr>
          <w:rFonts w:eastAsia="Baskerville-SemiBold" w:cs="Baskerville-SemiBold"/>
          <w:b/>
          <w:bCs/>
          <w:i/>
          <w:iCs/>
          <w:lang w:val="en-GB"/>
        </w:rPr>
        <w:t>autonomy</w:t>
      </w:r>
      <w:r w:rsidRPr="006F74DB">
        <w:rPr>
          <w:rFonts w:eastAsia="Baskerville-SemiBold" w:cs="Baskerville-SemiBold"/>
          <w:bCs/>
          <w:i/>
          <w:iCs/>
          <w:lang w:val="en-GB"/>
        </w:rPr>
        <w:t xml:space="preserve"> of intersex children and adults and their rights to health and to </w:t>
      </w:r>
      <w:r w:rsidRPr="006F74DB">
        <w:rPr>
          <w:rFonts w:eastAsia="Baskerville-SemiBold" w:cs="Baskerville-SemiBold"/>
          <w:b/>
          <w:i/>
          <w:iCs/>
          <w:lang w:val="en-GB"/>
        </w:rPr>
        <w:t>physical and mental integrity</w:t>
      </w:r>
      <w:r w:rsidRPr="006F74DB">
        <w:rPr>
          <w:rFonts w:eastAsia="Baskerville-SemiBold" w:cs="Baskerville-SemiBold"/>
          <w:bCs/>
          <w:i/>
          <w:iCs/>
          <w:lang w:val="en-GB"/>
        </w:rPr>
        <w:t xml:space="preserve"> so that they live </w:t>
      </w:r>
      <w:r w:rsidRPr="006F74DB">
        <w:rPr>
          <w:rFonts w:eastAsia="Baskerville-SemiBold" w:cs="Baskerville-SemiBold"/>
          <w:b/>
          <w:i/>
          <w:iCs/>
          <w:lang w:val="en-GB"/>
        </w:rPr>
        <w:t>free from violence and harmful practices</w:t>
      </w:r>
      <w:r w:rsidRPr="006F74DB">
        <w:rPr>
          <w:rFonts w:eastAsia="Baskerville-SemiBold" w:cs="Baskerville-SemiBold"/>
          <w:bCs/>
          <w:i/>
          <w:iCs/>
          <w:lang w:val="en-GB"/>
        </w:rPr>
        <w:t xml:space="preserve">. Medically unnecessary surgeries, hormonal treatments and other invasive or irreversible non-vital medical procedures without their free, prior, full and informed consent are </w:t>
      </w:r>
      <w:r w:rsidRPr="006F74DB">
        <w:rPr>
          <w:rFonts w:eastAsia="Baskerville-SemiBold" w:cs="Baskerville-SemiBold"/>
          <w:b/>
          <w:i/>
          <w:iCs/>
          <w:lang w:val="en-GB"/>
        </w:rPr>
        <w:t>harmful to the full enjoyment of the human rights</w:t>
      </w:r>
      <w:r w:rsidRPr="006F74DB">
        <w:rPr>
          <w:rFonts w:eastAsia="Baskerville-SemiBold" w:cs="Baskerville-SemiBold"/>
          <w:bCs/>
          <w:i/>
          <w:iCs/>
          <w:lang w:val="en-GB"/>
        </w:rPr>
        <w:t xml:space="preserve"> of intersex persons. </w:t>
      </w:r>
    </w:p>
    <w:p w:rsidR="00DB4A71" w:rsidRPr="006F74DB" w:rsidRDefault="00DB4A71" w:rsidP="00DB4A71">
      <w:pPr>
        <w:pStyle w:val="absatzschattenbericht"/>
        <w:ind w:left="284"/>
        <w:rPr>
          <w:rFonts w:eastAsia="Baskerville-SemiBold" w:cs="Baskerville-SemiBold"/>
          <w:bCs/>
          <w:i/>
          <w:iCs/>
          <w:lang w:val="en-GB"/>
        </w:rPr>
      </w:pPr>
      <w:r w:rsidRPr="006F74DB">
        <w:rPr>
          <w:rFonts w:eastAsia="Baskerville-SemiBold" w:cs="Baskerville-SemiBold"/>
          <w:bCs/>
          <w:i/>
          <w:iCs/>
          <w:lang w:val="en-GB"/>
        </w:rPr>
        <w:t xml:space="preserve">We call on all member states to take measures to combat violence and discrimination against intersex persons, develop policies in close consultations with those affected, </w:t>
      </w:r>
      <w:r w:rsidRPr="006F74DB">
        <w:rPr>
          <w:rFonts w:eastAsia="Baskerville-SemiBold" w:cs="Baskerville-SemiBold"/>
          <w:b/>
          <w:i/>
          <w:iCs/>
          <w:lang w:val="en-GB"/>
        </w:rPr>
        <w:t>ensure accountability</w:t>
      </w:r>
      <w:r w:rsidRPr="006F74DB">
        <w:rPr>
          <w:rFonts w:eastAsia="Baskerville-SemiBold" w:cs="Baskerville-SemiBold"/>
          <w:bCs/>
          <w:i/>
          <w:iCs/>
          <w:lang w:val="en-GB"/>
        </w:rPr>
        <w:t xml:space="preserve">, reverse discriminatory laws and </w:t>
      </w:r>
      <w:r w:rsidRPr="006F74DB">
        <w:rPr>
          <w:rFonts w:eastAsia="Baskerville-SemiBold" w:cs="Baskerville-SemiBold"/>
          <w:b/>
          <w:i/>
          <w:iCs/>
          <w:lang w:val="en-GB"/>
        </w:rPr>
        <w:t>provide victims with access to remedy</w:t>
      </w:r>
      <w:r w:rsidRPr="006F74DB">
        <w:rPr>
          <w:rFonts w:eastAsia="Baskerville-SemiBold" w:cs="Baskerville-SemiBold"/>
          <w:bCs/>
          <w:i/>
          <w:iCs/>
          <w:lang w:val="en-GB"/>
        </w:rPr>
        <w:t xml:space="preserve">.” </w:t>
      </w:r>
      <w:r w:rsidRPr="006F74DB">
        <w:rPr>
          <w:rStyle w:val="Funotenanker"/>
          <w:lang w:val="en-GB"/>
        </w:rPr>
        <w:footnoteReference w:id="2"/>
      </w:r>
    </w:p>
    <w:p w:rsidR="00DB4A71" w:rsidRPr="006F74DB" w:rsidRDefault="00DB4A71" w:rsidP="00DB4A71">
      <w:pPr>
        <w:pStyle w:val="Title3"/>
      </w:pPr>
      <w:bookmarkStart w:id="16" w:name="_Toc165835371"/>
      <w:bookmarkStart w:id="17" w:name="_Toc173456310"/>
      <w:r w:rsidRPr="006F74DB">
        <w:t>c) UNHRC54 Statement, 04.10.2023</w:t>
      </w:r>
      <w:bookmarkEnd w:id="16"/>
      <w:bookmarkEnd w:id="17"/>
    </w:p>
    <w:p w:rsidR="00DB4A71" w:rsidRPr="006F74DB" w:rsidRDefault="00DB4A71" w:rsidP="00DB4A71">
      <w:pPr>
        <w:pStyle w:val="absatzschattenbericht"/>
        <w:rPr>
          <w:bCs/>
          <w:lang w:val="en-GB"/>
        </w:rPr>
      </w:pPr>
      <w:r w:rsidRPr="006F74DB">
        <w:rPr>
          <w:bCs/>
          <w:lang w:val="en-GB"/>
        </w:rPr>
        <w:t xml:space="preserve">On occasion of the </w:t>
      </w:r>
      <w:r w:rsidRPr="006F74DB">
        <w:rPr>
          <w:b/>
          <w:lang w:val="en-GB"/>
        </w:rPr>
        <w:t>54</w:t>
      </w:r>
      <w:r w:rsidRPr="006F74DB">
        <w:rPr>
          <w:b/>
          <w:vertAlign w:val="superscript"/>
          <w:lang w:val="en-GB"/>
        </w:rPr>
        <w:t>th</w:t>
      </w:r>
      <w:r w:rsidRPr="006F74DB">
        <w:rPr>
          <w:b/>
          <w:lang w:val="en-GB"/>
        </w:rPr>
        <w:t xml:space="preserve"> Session of the Human Rights Council</w:t>
      </w:r>
      <w:r w:rsidRPr="006F74DB">
        <w:rPr>
          <w:bCs/>
          <w:lang w:val="en-GB"/>
        </w:rPr>
        <w:t xml:space="preserve"> the </w:t>
      </w:r>
      <w:r w:rsidRPr="006F74DB">
        <w:rPr>
          <w:b/>
          <w:lang w:val="en-GB"/>
        </w:rPr>
        <w:t>State party</w:t>
      </w:r>
      <w:r w:rsidRPr="006F74DB">
        <w:rPr>
          <w:bCs/>
          <w:lang w:val="en-GB"/>
        </w:rPr>
        <w:t xml:space="preserve"> supported a public follow-up statement reiterating the call to prohibit harmful practices and inhuman treatment and to ensure access to justice:</w:t>
      </w:r>
    </w:p>
    <w:p w:rsidR="00DB4A71" w:rsidRPr="006F74DB" w:rsidRDefault="00DB4A71" w:rsidP="00DB4A71">
      <w:pPr>
        <w:pStyle w:val="absatzschattenbericht"/>
        <w:ind w:left="284"/>
        <w:rPr>
          <w:bCs/>
          <w:i/>
          <w:iCs/>
          <w:lang w:val="en-GB"/>
        </w:rPr>
      </w:pPr>
      <w:r w:rsidRPr="006F74DB">
        <w:rPr>
          <w:bCs/>
          <w:i/>
          <w:iCs/>
          <w:lang w:val="en-GB"/>
        </w:rPr>
        <w:t xml:space="preserve">“4. Because their bodies are perceived as different, intersex persons, including children, face stigma, misconception and </w:t>
      </w:r>
      <w:r w:rsidRPr="006F74DB">
        <w:rPr>
          <w:b/>
          <w:i/>
          <w:iCs/>
          <w:lang w:val="en-GB"/>
        </w:rPr>
        <w:t>violence, such as forced, coercive, irreversible and non-vital medical interventions.</w:t>
      </w:r>
      <w:r w:rsidRPr="006F74DB">
        <w:rPr>
          <w:bCs/>
          <w:i/>
          <w:iCs/>
          <w:lang w:val="en-GB"/>
        </w:rPr>
        <w:t xml:space="preserve"> These include so-called “normalising” surgeries that can have </w:t>
      </w:r>
      <w:r w:rsidRPr="006F74DB">
        <w:rPr>
          <w:b/>
          <w:i/>
          <w:iCs/>
          <w:lang w:val="en-GB"/>
        </w:rPr>
        <w:t>life-long negative impacts on their physical and mental health.</w:t>
      </w:r>
      <w:r w:rsidRPr="006F74DB">
        <w:rPr>
          <w:bCs/>
          <w:i/>
          <w:iCs/>
          <w:lang w:val="en-GB"/>
        </w:rPr>
        <w:t xml:space="preserve"> These harmful practices </w:t>
      </w:r>
      <w:r w:rsidRPr="006F74DB">
        <w:rPr>
          <w:b/>
          <w:i/>
          <w:iCs/>
          <w:lang w:val="en-GB"/>
        </w:rPr>
        <w:t>should be urgently stopped.</w:t>
      </w:r>
      <w:r w:rsidRPr="006F74DB">
        <w:rPr>
          <w:bCs/>
          <w:i/>
          <w:iCs/>
          <w:lang w:val="en-GB"/>
        </w:rPr>
        <w:t xml:space="preserve"> Human rights of intersex persons need to be respected, so that they can </w:t>
      </w:r>
      <w:r w:rsidRPr="006F74DB">
        <w:rPr>
          <w:b/>
          <w:i/>
          <w:iCs/>
          <w:lang w:val="en-GB"/>
        </w:rPr>
        <w:t>live free from violence, cruel, inhuman, or degrading treatment and harmful practices.</w:t>
      </w:r>
      <w:r w:rsidRPr="006F74DB">
        <w:rPr>
          <w:bCs/>
          <w:i/>
          <w:iCs/>
          <w:lang w:val="en-GB"/>
        </w:rPr>
        <w:t xml:space="preserve"> [...]</w:t>
      </w:r>
    </w:p>
    <w:p w:rsidR="00DB4A71" w:rsidRPr="006F74DB" w:rsidRDefault="00DB4A71" w:rsidP="00DB4A71">
      <w:pPr>
        <w:pStyle w:val="absatzschattenbericht"/>
        <w:ind w:left="284"/>
        <w:rPr>
          <w:bCs/>
          <w:i/>
          <w:iCs/>
          <w:lang w:val="en-GB"/>
        </w:rPr>
      </w:pPr>
      <w:r w:rsidRPr="006F74DB">
        <w:rPr>
          <w:bCs/>
          <w:i/>
          <w:iCs/>
          <w:lang w:val="en-GB"/>
        </w:rPr>
        <w:t xml:space="preserve">8. We call on all States to increase efforts to combat violence, harmful practices and discrimination on the basis of sex characteristics, address their root causes, and </w:t>
      </w:r>
      <w:r w:rsidRPr="006F74DB">
        <w:rPr>
          <w:b/>
          <w:i/>
          <w:iCs/>
          <w:lang w:val="en-GB"/>
        </w:rPr>
        <w:t xml:space="preserve">implement protective laws and policies in close consultations with those affected, </w:t>
      </w:r>
      <w:r w:rsidRPr="006F74DB">
        <w:rPr>
          <w:bCs/>
          <w:i/>
          <w:iCs/>
          <w:lang w:val="en-GB"/>
        </w:rPr>
        <w:t>in order to ensure the full realization of human rights of intersex persons.”</w:t>
      </w:r>
      <w:r w:rsidRPr="006F74DB">
        <w:rPr>
          <w:rStyle w:val="Funotenanker"/>
          <w:lang w:val="en-GB"/>
        </w:rPr>
        <w:footnoteReference w:id="3"/>
      </w:r>
    </w:p>
    <w:bookmarkEnd w:id="5"/>
    <w:p w:rsidR="00D776DC" w:rsidRPr="006F74DB" w:rsidRDefault="00D776DC">
      <w:pPr>
        <w:spacing w:after="0" w:line="240" w:lineRule="auto"/>
        <w:rPr>
          <w:rFonts w:ascii="Arial" w:eastAsia="Helvetica-Bold" w:hAnsi="Arial" w:cs="Arial"/>
          <w:b/>
          <w:bCs/>
          <w:iCs/>
          <w:color w:val="5E175E"/>
          <w:spacing w:val="2"/>
          <w:kern w:val="1"/>
          <w:sz w:val="24"/>
          <w:szCs w:val="28"/>
          <w:lang w:val="en-GB" w:eastAsia="zh-CN" w:bidi="hi-IN"/>
        </w:rPr>
      </w:pPr>
      <w:r w:rsidRPr="006F74DB">
        <w:rPr>
          <w:lang w:val="en-GB"/>
        </w:rPr>
        <w:br w:type="page"/>
      </w:r>
    </w:p>
    <w:p w:rsidR="00E568FB" w:rsidRPr="006F74DB" w:rsidRDefault="00BD3142" w:rsidP="00E568FB">
      <w:pPr>
        <w:pStyle w:val="Title2"/>
      </w:pPr>
      <w:bookmarkStart w:id="18" w:name="_Toc171706646"/>
      <w:bookmarkStart w:id="19" w:name="_Toc173456311"/>
      <w:r w:rsidRPr="006F74DB">
        <w:lastRenderedPageBreak/>
        <w:t>2</w:t>
      </w:r>
      <w:r w:rsidR="00E568FB" w:rsidRPr="006F74DB">
        <w:t xml:space="preserve">.  Most common IGM forms advocated and perpetrated by </w:t>
      </w:r>
      <w:bookmarkEnd w:id="18"/>
      <w:r w:rsidR="00FB05BB" w:rsidRPr="006F74DB">
        <w:t>Spain</w:t>
      </w:r>
      <w:bookmarkEnd w:id="19"/>
    </w:p>
    <w:p w:rsidR="00E568FB" w:rsidRPr="006F74DB" w:rsidRDefault="00E568FB" w:rsidP="00E568FB">
      <w:pPr>
        <w:pStyle w:val="absatzschattenbericht"/>
        <w:rPr>
          <w:bCs/>
          <w:lang w:val="en-GB"/>
        </w:rPr>
      </w:pPr>
      <w:r w:rsidRPr="006F74DB">
        <w:rPr>
          <w:bCs/>
          <w:lang w:val="en-GB"/>
        </w:rPr>
        <w:t xml:space="preserve">Despite above mentioned commitments </w:t>
      </w:r>
      <w:r w:rsidR="00FB05BB" w:rsidRPr="006F74DB">
        <w:rPr>
          <w:bCs/>
          <w:lang w:val="en-GB"/>
        </w:rPr>
        <w:t>and this Committee’s previous Concluding Observations</w:t>
      </w:r>
      <w:r w:rsidRPr="006F74DB">
        <w:rPr>
          <w:bCs/>
          <w:lang w:val="en-GB"/>
        </w:rPr>
        <w:t xml:space="preserve">, </w:t>
      </w:r>
      <w:r w:rsidRPr="006F74DB">
        <w:rPr>
          <w:b/>
          <w:bCs/>
          <w:lang w:val="en-GB"/>
        </w:rPr>
        <w:t xml:space="preserve">to this day, in </w:t>
      </w:r>
      <w:r w:rsidR="00FB05BB" w:rsidRPr="006F74DB">
        <w:rPr>
          <w:b/>
          <w:bCs/>
          <w:lang w:val="en-GB"/>
        </w:rPr>
        <w:t>Spain</w:t>
      </w:r>
      <w:r w:rsidRPr="006F74DB">
        <w:rPr>
          <w:b/>
          <w:bCs/>
          <w:lang w:val="en-GB"/>
        </w:rPr>
        <w:t xml:space="preserve"> all forms of IGM practices remain widespread and ongoing</w:t>
      </w:r>
      <w:r w:rsidRPr="006F74DB">
        <w:rPr>
          <w:lang w:val="en-GB"/>
        </w:rPr>
        <w:t xml:space="preserve">, promoted, facilitated and </w:t>
      </w:r>
      <w:r w:rsidRPr="006F74DB">
        <w:rPr>
          <w:b/>
          <w:bCs/>
          <w:lang w:val="en-GB"/>
        </w:rPr>
        <w:t>paid for by the State party</w:t>
      </w:r>
      <w:r w:rsidRPr="006F74DB">
        <w:rPr>
          <w:lang w:val="en-GB"/>
        </w:rPr>
        <w:t xml:space="preserve"> via the </w:t>
      </w:r>
      <w:r w:rsidRPr="006F74DB">
        <w:rPr>
          <w:b/>
          <w:bCs/>
          <w:lang w:val="en-GB"/>
        </w:rPr>
        <w:t>public health system</w:t>
      </w:r>
      <w:r w:rsidRPr="006F74DB">
        <w:rPr>
          <w:lang w:val="en-GB"/>
        </w:rPr>
        <w:t>,</w:t>
      </w:r>
      <w:r w:rsidRPr="006F74DB">
        <w:rPr>
          <w:bCs/>
          <w:lang w:val="en-GB"/>
        </w:rPr>
        <w:t xml:space="preserve"> and perpetrated by </w:t>
      </w:r>
      <w:r w:rsidR="00FB05BB" w:rsidRPr="006F74DB">
        <w:rPr>
          <w:b/>
          <w:lang w:val="en-GB"/>
        </w:rPr>
        <w:t>Spanish</w:t>
      </w:r>
      <w:r w:rsidRPr="006F74DB">
        <w:rPr>
          <w:b/>
          <w:lang w:val="en-GB"/>
        </w:rPr>
        <w:t xml:space="preserve"> Children’s Clinics.</w:t>
      </w:r>
    </w:p>
    <w:p w:rsidR="00DB4A71" w:rsidRPr="006F74DB" w:rsidRDefault="00E568FB" w:rsidP="00FB05BB">
      <w:pPr>
        <w:pStyle w:val="absatzschattenbericht"/>
        <w:rPr>
          <w:rFonts w:cs="Times New Roman"/>
          <w:lang w:val="en-GB"/>
        </w:rPr>
      </w:pPr>
      <w:r w:rsidRPr="006F74DB">
        <w:rPr>
          <w:rFonts w:cs="Times New Roman"/>
          <w:lang w:val="en-GB"/>
        </w:rPr>
        <w:t xml:space="preserve">In addition, also in 2024 </w:t>
      </w:r>
      <w:r w:rsidR="00FB05BB" w:rsidRPr="006F74DB">
        <w:rPr>
          <w:rFonts w:cs="Times New Roman"/>
          <w:b/>
          <w:bCs/>
          <w:lang w:val="en-GB"/>
        </w:rPr>
        <w:t>Spanish</w:t>
      </w:r>
      <w:r w:rsidRPr="006F74DB">
        <w:rPr>
          <w:rFonts w:cs="Times New Roman"/>
          <w:b/>
          <w:bCs/>
          <w:lang w:val="en-GB"/>
        </w:rPr>
        <w:t xml:space="preserve"> medical bodies continue to endorse</w:t>
      </w:r>
      <w:r w:rsidRPr="006F74DB">
        <w:rPr>
          <w:rFonts w:cs="Times New Roman"/>
          <w:lang w:val="en-GB"/>
        </w:rPr>
        <w:t xml:space="preserve"> international medical guidelines prescribing all forms of IGM practices (see below).</w:t>
      </w:r>
    </w:p>
    <w:p w:rsidR="00DB4A71" w:rsidRPr="006F74DB" w:rsidRDefault="00DB4A71" w:rsidP="00DB4A71">
      <w:pPr>
        <w:pStyle w:val="absatzschattenbericht"/>
        <w:rPr>
          <w:rFonts w:cs="Times New Roman"/>
          <w:b/>
          <w:lang w:val="en-GB"/>
        </w:rPr>
      </w:pPr>
      <w:bookmarkStart w:id="20" w:name="_Toc516594093"/>
      <w:r w:rsidRPr="006F74DB">
        <w:rPr>
          <w:rFonts w:cs="Times New Roman"/>
          <w:b/>
          <w:lang w:val="en-GB"/>
        </w:rPr>
        <w:t>Currently practiced forms of IGM in Spain include:</w:t>
      </w:r>
      <w:bookmarkStart w:id="21" w:name="_Toc507786410"/>
    </w:p>
    <w:p w:rsidR="00DB4A71" w:rsidRPr="006F74DB" w:rsidRDefault="00DB4A71" w:rsidP="00DB4A71">
      <w:pPr>
        <w:pStyle w:val="Title3"/>
        <w:rPr>
          <w:rFonts w:eastAsia="Times New Roman"/>
        </w:rPr>
      </w:pPr>
      <w:bookmarkStart w:id="22" w:name="_Toc19465687"/>
      <w:bookmarkStart w:id="23" w:name="_Toc64836450"/>
      <w:bookmarkStart w:id="24" w:name="_Toc65413937"/>
      <w:bookmarkStart w:id="25" w:name="_Toc173456312"/>
      <w:r w:rsidRPr="006F74DB">
        <w:t>a) IGM 3 – Sterilising Procedures:</w:t>
      </w:r>
      <w:r w:rsidRPr="006F74DB">
        <w:br/>
        <w:t xml:space="preserve">    Castration / “Gonadectomy” / Hysterectomy /</w:t>
      </w:r>
      <w:r w:rsidRPr="006F74DB">
        <w:br/>
        <w:t xml:space="preserve">    Removal of “Discordant Reproductive Structures” / (Secondary) Sterilisation</w:t>
      </w:r>
      <w:r w:rsidRPr="006F74DB">
        <w:br/>
        <w:t xml:space="preserve">    Plus arbitrary imposition of hormones </w:t>
      </w:r>
      <w:r w:rsidRPr="006F74DB">
        <w:rPr>
          <w:rStyle w:val="Funotenzeichen3"/>
          <w:b w:val="0"/>
          <w:bCs w:val="0"/>
        </w:rPr>
        <w:footnoteReference w:id="4"/>
      </w:r>
      <w:bookmarkEnd w:id="21"/>
      <w:bookmarkEnd w:id="22"/>
      <w:bookmarkEnd w:id="23"/>
      <w:bookmarkEnd w:id="24"/>
      <w:bookmarkEnd w:id="25"/>
    </w:p>
    <w:p w:rsidR="00DB4A71" w:rsidRPr="006F74DB" w:rsidRDefault="00DB4A71" w:rsidP="00DB4A71">
      <w:pPr>
        <w:pStyle w:val="absatzschattenbericht"/>
        <w:rPr>
          <w:b/>
          <w:bCs/>
          <w:lang w:val="en-GB"/>
        </w:rPr>
      </w:pPr>
      <w:r w:rsidRPr="006F74DB">
        <w:rPr>
          <w:lang w:val="en-GB"/>
        </w:rPr>
        <w:t>The “</w:t>
      </w:r>
      <w:r w:rsidRPr="006F74DB">
        <w:rPr>
          <w:b/>
          <w:bCs/>
          <w:lang w:val="en-GB"/>
        </w:rPr>
        <w:t>Spanish Association of Urology” (</w:t>
      </w:r>
      <w:proofErr w:type="spellStart"/>
      <w:r w:rsidRPr="006F74DB">
        <w:rPr>
          <w:b/>
          <w:bCs/>
          <w:lang w:val="en-GB"/>
        </w:rPr>
        <w:t>Asociación</w:t>
      </w:r>
      <w:proofErr w:type="spellEnd"/>
      <w:r w:rsidRPr="006F74DB">
        <w:rPr>
          <w:b/>
          <w:bCs/>
          <w:lang w:val="en-GB"/>
        </w:rPr>
        <w:t xml:space="preserve"> Española de </w:t>
      </w:r>
      <w:proofErr w:type="spellStart"/>
      <w:r w:rsidRPr="006F74DB">
        <w:rPr>
          <w:b/>
          <w:bCs/>
          <w:lang w:val="en-GB"/>
        </w:rPr>
        <w:t>Urología</w:t>
      </w:r>
      <w:proofErr w:type="spellEnd"/>
      <w:r w:rsidRPr="006F74DB">
        <w:rPr>
          <w:b/>
          <w:bCs/>
          <w:lang w:val="en-GB"/>
        </w:rPr>
        <w:t xml:space="preserve">, AEU) </w:t>
      </w:r>
      <w:r w:rsidRPr="006F74DB">
        <w:rPr>
          <w:lang w:val="en-GB"/>
        </w:rPr>
        <w:t xml:space="preserve">endorses the current </w:t>
      </w:r>
      <w:r w:rsidRPr="006F74DB">
        <w:rPr>
          <w:b/>
          <w:lang w:val="en-GB"/>
        </w:rPr>
        <w:t>2024 Guidelines of the European Association of Urology (EAU)</w:t>
      </w:r>
      <w:r w:rsidRPr="006F74DB">
        <w:rPr>
          <w:bCs/>
          <w:lang w:val="en-GB"/>
        </w:rPr>
        <w:t>,</w:t>
      </w:r>
      <w:r w:rsidRPr="006F74DB">
        <w:rPr>
          <w:rStyle w:val="Funotenzeichen"/>
          <w:lang w:val="en-GB"/>
        </w:rPr>
        <w:footnoteReference w:id="5"/>
      </w:r>
      <w:r w:rsidRPr="006F74DB">
        <w:rPr>
          <w:bCs/>
          <w:lang w:val="en-GB"/>
        </w:rPr>
        <w:t xml:space="preserve"> which include the current </w:t>
      </w:r>
      <w:r w:rsidRPr="006F74DB">
        <w:rPr>
          <w:b/>
          <w:lang w:val="en-GB"/>
        </w:rPr>
        <w:t xml:space="preserve">ESPU/EAU </w:t>
      </w:r>
      <w:r w:rsidRPr="006F74DB">
        <w:rPr>
          <w:b/>
          <w:i/>
          <w:lang w:val="en-GB"/>
        </w:rPr>
        <w:t xml:space="preserve">“Paediatric Urology” </w:t>
      </w:r>
      <w:r w:rsidRPr="006F74DB">
        <w:rPr>
          <w:b/>
          <w:lang w:val="en-GB"/>
        </w:rPr>
        <w:t>Guidelines 2024</w:t>
      </w:r>
      <w:r w:rsidRPr="006F74DB">
        <w:rPr>
          <w:rStyle w:val="Funotenzeichen"/>
          <w:lang w:val="en-GB"/>
        </w:rPr>
        <w:footnoteReference w:id="6"/>
      </w:r>
      <w:r w:rsidRPr="006F74DB">
        <w:rPr>
          <w:lang w:val="en-GB"/>
        </w:rPr>
        <w:t xml:space="preserve"> of the European Society for Paediatric Urology (ESPU) and the European Association of Urology (EAU) which stress:</w:t>
      </w:r>
      <w:r w:rsidRPr="006F74DB">
        <w:rPr>
          <w:rStyle w:val="Funotenzeichen"/>
          <w:lang w:val="en-GB"/>
        </w:rPr>
        <w:footnoteReference w:id="7"/>
      </w:r>
    </w:p>
    <w:p w:rsidR="00DB4A71" w:rsidRPr="006F74DB" w:rsidRDefault="00DB4A71" w:rsidP="00DB4A71">
      <w:pPr>
        <w:pStyle w:val="absatzschattenbericht"/>
        <w:ind w:left="284"/>
        <w:rPr>
          <w:i/>
          <w:iCs/>
          <w:lang w:val="en-GB"/>
        </w:rPr>
      </w:pPr>
      <w:r w:rsidRPr="006F74DB">
        <w:rPr>
          <w:i/>
          <w:iCs/>
          <w:lang w:val="en-GB"/>
        </w:rPr>
        <w:t xml:space="preserve">“The issue of whether gonads should be removed and the </w:t>
      </w:r>
      <w:proofErr w:type="spellStart"/>
      <w:r w:rsidRPr="006F74DB">
        <w:rPr>
          <w:i/>
          <w:iCs/>
          <w:lang w:val="en-GB"/>
        </w:rPr>
        <w:t>timining</w:t>
      </w:r>
      <w:proofErr w:type="spellEnd"/>
      <w:r w:rsidRPr="006F74DB">
        <w:rPr>
          <w:i/>
          <w:iCs/>
          <w:lang w:val="en-GB"/>
        </w:rPr>
        <w:t xml:space="preserve"> of such surgery remains controversial and has been altogether questioned in some forms of DSD. Patients with, for example, CAIS benefit from the presence of testicles and the resultant aromatisation of the naturally </w:t>
      </w:r>
      <w:proofErr w:type="spellStart"/>
      <w:r w:rsidRPr="006F74DB">
        <w:rPr>
          <w:i/>
          <w:iCs/>
          <w:lang w:val="en-GB"/>
        </w:rPr>
        <w:t>occuring</w:t>
      </w:r>
      <w:proofErr w:type="spellEnd"/>
      <w:r w:rsidRPr="006F74DB">
        <w:rPr>
          <w:i/>
          <w:iCs/>
          <w:lang w:val="en-GB"/>
        </w:rPr>
        <w:t xml:space="preserve"> testosterone to oestrogens. The risk of malignant gonadal transformation in this subcategory is low (1.5%) with cases of malignancy first appearing after the second decade of life, thus allowing for the safe </w:t>
      </w:r>
      <w:proofErr w:type="spellStart"/>
      <w:r w:rsidRPr="006F74DB">
        <w:rPr>
          <w:i/>
          <w:iCs/>
          <w:lang w:val="en-GB"/>
        </w:rPr>
        <w:t>deferal</w:t>
      </w:r>
      <w:proofErr w:type="spellEnd"/>
      <w:r w:rsidRPr="006F74DB">
        <w:rPr>
          <w:i/>
          <w:iCs/>
          <w:lang w:val="en-GB"/>
        </w:rPr>
        <w:t xml:space="preserve"> of gonadectomy until after puberty [1279, 1280].”</w:t>
      </w:r>
    </w:p>
    <w:p w:rsidR="00DB4A71" w:rsidRPr="006F74DB" w:rsidRDefault="00DB4A71" w:rsidP="00DB4A71">
      <w:pPr>
        <w:pStyle w:val="absatzschattenbericht"/>
        <w:rPr>
          <w:lang w:val="en-GB"/>
        </w:rPr>
      </w:pPr>
      <w:r w:rsidRPr="006F74DB">
        <w:rPr>
          <w:lang w:val="en-GB"/>
        </w:rPr>
        <w:t xml:space="preserve">Further, regarding </w:t>
      </w:r>
      <w:r w:rsidRPr="006F74DB">
        <w:rPr>
          <w:i/>
          <w:iCs/>
          <w:lang w:val="en-GB"/>
        </w:rPr>
        <w:t>“when and whether to pursue gonadal or genital surgery”</w:t>
      </w:r>
      <w:r w:rsidRPr="006F74DB">
        <w:rPr>
          <w:lang w:val="en-GB"/>
        </w:rPr>
        <w:t>,</w:t>
      </w:r>
      <w:r w:rsidRPr="006F74DB">
        <w:rPr>
          <w:rStyle w:val="Funotenzeichen"/>
          <w:lang w:val="en-GB"/>
        </w:rPr>
        <w:footnoteReference w:id="8"/>
      </w:r>
      <w:r w:rsidRPr="006F74DB">
        <w:rPr>
          <w:lang w:val="en-GB"/>
        </w:rPr>
        <w:t xml:space="preserve"> the Guidelines refer to the </w:t>
      </w:r>
      <w:r w:rsidRPr="006F74DB">
        <w:rPr>
          <w:rFonts w:eastAsia="Baskerville-SemiBoldItalic"/>
          <w:b/>
          <w:bCs/>
          <w:i/>
          <w:iCs/>
          <w:lang w:val="en-GB"/>
        </w:rPr>
        <w:t>“ESPU/SPU standpoint on the surgical management of Disorders of Sex Development (DSD)”</w:t>
      </w:r>
      <w:r w:rsidRPr="006F74DB">
        <w:rPr>
          <w:rFonts w:eastAsia="Baskerville-SemiBoldItalic"/>
          <w:lang w:val="en-GB"/>
        </w:rPr>
        <w:t>,</w:t>
      </w:r>
      <w:r w:rsidRPr="006F74DB">
        <w:rPr>
          <w:rStyle w:val="Funotenzeichen"/>
          <w:rFonts w:cs="Times New Roman"/>
          <w:lang w:val="en-GB"/>
        </w:rPr>
        <w:footnoteReference w:id="9"/>
      </w:r>
      <w:r w:rsidRPr="006F74DB">
        <w:rPr>
          <w:lang w:val="en-GB"/>
        </w:rPr>
        <w:t xml:space="preserve"> which advocates “gonadectomies”:</w:t>
      </w:r>
    </w:p>
    <w:p w:rsidR="00DB4A71" w:rsidRPr="006F74DB" w:rsidRDefault="00DB4A71" w:rsidP="00DB4A71">
      <w:pPr>
        <w:pStyle w:val="absatzschattenbericht"/>
        <w:ind w:left="284" w:right="-1"/>
        <w:rPr>
          <w:lang w:val="en-GB"/>
        </w:rPr>
      </w:pPr>
      <w:r w:rsidRPr="006F74DB">
        <w:rPr>
          <w:rFonts w:eastAsia="Baskerville-SemiBoldItalic"/>
          <w:b/>
          <w:bCs/>
          <w:i/>
          <w:lang w:val="en-GB"/>
        </w:rPr>
        <w:t>“Testes are</w:t>
      </w:r>
      <w:r w:rsidRPr="006F74DB">
        <w:rPr>
          <w:i/>
          <w:lang w:val="en-GB"/>
        </w:rPr>
        <w:t xml:space="preserve"> either brought down in boys or </w:t>
      </w:r>
      <w:r w:rsidRPr="006F74DB">
        <w:rPr>
          <w:rFonts w:eastAsia="Baskerville-SemiBoldItalic"/>
          <w:b/>
          <w:bCs/>
          <w:i/>
          <w:lang w:val="en-GB"/>
        </w:rPr>
        <w:t>removed</w:t>
      </w:r>
      <w:r w:rsidRPr="006F74DB">
        <w:rPr>
          <w:i/>
          <w:lang w:val="en-GB"/>
        </w:rPr>
        <w:t xml:space="preserve"> if </w:t>
      </w:r>
      <w:proofErr w:type="spellStart"/>
      <w:r w:rsidRPr="006F74DB">
        <w:rPr>
          <w:i/>
          <w:lang w:val="en-GB"/>
        </w:rPr>
        <w:t>dysgenetic</w:t>
      </w:r>
      <w:proofErr w:type="spellEnd"/>
      <w:r w:rsidRPr="006F74DB">
        <w:rPr>
          <w:i/>
          <w:lang w:val="en-GB"/>
        </w:rPr>
        <w:t xml:space="preserve"> with tumour risk or </w:t>
      </w:r>
      <w:r w:rsidRPr="006F74DB">
        <w:rPr>
          <w:rFonts w:eastAsia="Baskerville-SemiBoldItalic"/>
          <w:b/>
          <w:bCs/>
          <w:i/>
          <w:lang w:val="en-GB"/>
        </w:rPr>
        <w:t xml:space="preserve">in complete androgen insensitivity syndrome or 5 alpha reductase deficiency. </w:t>
      </w:r>
      <w:r w:rsidRPr="006F74DB">
        <w:rPr>
          <w:i/>
          <w:lang w:val="en-GB"/>
        </w:rPr>
        <w:t>Testicular prostheses can be inserted at puberty at the patient’s request.</w:t>
      </w:r>
      <w:r w:rsidRPr="006F74DB">
        <w:rPr>
          <w:rFonts w:eastAsia="Baskerville-SemiBoldItalic"/>
          <w:b/>
          <w:bCs/>
          <w:i/>
          <w:lang w:val="en-GB"/>
        </w:rPr>
        <w:t>”</w:t>
      </w:r>
      <w:bookmarkStart w:id="26" w:name="_Toc475924597"/>
      <w:bookmarkStart w:id="27" w:name="_Toc475924774"/>
      <w:bookmarkStart w:id="28" w:name="_Toc475924926"/>
      <w:bookmarkStart w:id="29" w:name="_Toc507786411"/>
      <w:bookmarkStart w:id="30" w:name="_Toc19465688"/>
      <w:r w:rsidRPr="006F74DB">
        <w:rPr>
          <w:lang w:val="en-GB"/>
        </w:rPr>
        <w:t xml:space="preserve"> </w:t>
      </w:r>
    </w:p>
    <w:p w:rsidR="007B4ADC" w:rsidRPr="006F74DB" w:rsidRDefault="007B4ADC" w:rsidP="007B4ADC">
      <w:pPr>
        <w:pStyle w:val="absatzschattenbericht"/>
        <w:spacing w:after="80" w:line="264" w:lineRule="auto"/>
        <w:rPr>
          <w:lang w:val="en-GB"/>
        </w:rPr>
      </w:pPr>
      <w:r w:rsidRPr="006F74DB">
        <w:rPr>
          <w:lang w:val="en-GB"/>
        </w:rPr>
        <w:t xml:space="preserve">Accordingly, the still current </w:t>
      </w:r>
      <w:r w:rsidRPr="006F74DB">
        <w:rPr>
          <w:b/>
          <w:bCs/>
          <w:lang w:val="en-GB"/>
        </w:rPr>
        <w:t>DSD Guidelines</w:t>
      </w:r>
      <w:r w:rsidRPr="006F74DB">
        <w:rPr>
          <w:lang w:val="en-GB"/>
        </w:rPr>
        <w:t xml:space="preserve"> by the </w:t>
      </w:r>
      <w:r w:rsidRPr="006F74DB">
        <w:rPr>
          <w:i/>
          <w:iCs/>
          <w:lang w:val="en-GB"/>
        </w:rPr>
        <w:t>“DSD Working Group”</w:t>
      </w:r>
      <w:r w:rsidRPr="006F74DB">
        <w:rPr>
          <w:lang w:val="en-GB"/>
        </w:rPr>
        <w:t xml:space="preserve"> of the </w:t>
      </w:r>
      <w:r w:rsidRPr="006F74DB">
        <w:rPr>
          <w:b/>
          <w:bCs/>
          <w:lang w:val="en-GB"/>
        </w:rPr>
        <w:t>Spanish Society of Paediatric Endocrinology (SEEP)</w:t>
      </w:r>
      <w:r w:rsidRPr="006F74DB">
        <w:rPr>
          <w:rStyle w:val="Funotenzeichen"/>
          <w:lang w:val="en-GB"/>
        </w:rPr>
        <w:footnoteReference w:id="10"/>
      </w:r>
      <w:r w:rsidRPr="006F74DB">
        <w:rPr>
          <w:lang w:val="en-GB"/>
        </w:rPr>
        <w:t xml:space="preserve"> (see also </w:t>
      </w:r>
      <w:r w:rsidR="00F70505" w:rsidRPr="006F74DB">
        <w:rPr>
          <w:lang w:val="en-GB"/>
        </w:rPr>
        <w:t xml:space="preserve">our </w:t>
      </w:r>
      <w:r w:rsidRPr="006F74DB">
        <w:rPr>
          <w:lang w:val="en-GB"/>
        </w:rPr>
        <w:t>NGO Report for LOIPR</w:t>
      </w:r>
      <w:r w:rsidR="00F70505" w:rsidRPr="006F74DB">
        <w:rPr>
          <w:lang w:val="en-GB"/>
        </w:rPr>
        <w:t xml:space="preserve"> together with </w:t>
      </w:r>
      <w:proofErr w:type="spellStart"/>
      <w:r w:rsidR="00F70505" w:rsidRPr="006F74DB">
        <w:rPr>
          <w:lang w:val="en-GB"/>
        </w:rPr>
        <w:t>Caminar</w:t>
      </w:r>
      <w:proofErr w:type="spellEnd"/>
      <w:r w:rsidR="00F70505" w:rsidRPr="006F74DB">
        <w:rPr>
          <w:lang w:val="en-GB"/>
        </w:rPr>
        <w:t xml:space="preserve"> Intersex</w:t>
      </w:r>
      <w:r w:rsidRPr="006F74DB">
        <w:rPr>
          <w:lang w:val="en-GB"/>
        </w:rPr>
        <w:t>,</w:t>
      </w:r>
      <w:r w:rsidR="00F70505" w:rsidRPr="006F74DB">
        <w:rPr>
          <w:rStyle w:val="Funotenzeichen"/>
          <w:lang w:val="en-GB"/>
        </w:rPr>
        <w:footnoteReference w:id="11"/>
      </w:r>
      <w:r w:rsidRPr="006F74DB">
        <w:rPr>
          <w:lang w:val="en-GB"/>
        </w:rPr>
        <w:t xml:space="preserve"> p. 11) </w:t>
      </w:r>
      <w:r w:rsidR="00B16609" w:rsidRPr="006F74DB">
        <w:rPr>
          <w:lang w:val="en-GB"/>
        </w:rPr>
        <w:t>continue to</w:t>
      </w:r>
      <w:r w:rsidRPr="006F74DB">
        <w:rPr>
          <w:lang w:val="en-GB"/>
        </w:rPr>
        <w:t xml:space="preserve"> promote </w:t>
      </w:r>
      <w:r w:rsidRPr="006F74DB">
        <w:rPr>
          <w:i/>
          <w:iCs/>
          <w:lang w:val="en-GB"/>
        </w:rPr>
        <w:t>“prophylactic gonadectomy”</w:t>
      </w:r>
      <w:r w:rsidRPr="006F74DB">
        <w:rPr>
          <w:lang w:val="en-GB"/>
        </w:rPr>
        <w:t xml:space="preserve"> (p. 44–46):</w:t>
      </w:r>
    </w:p>
    <w:p w:rsidR="007B4ADC" w:rsidRPr="006F74DB" w:rsidRDefault="007B4ADC" w:rsidP="007B4ADC">
      <w:pPr>
        <w:pStyle w:val="absatzschattenbericht"/>
        <w:ind w:left="284"/>
        <w:rPr>
          <w:i/>
          <w:iCs/>
          <w:lang w:val="en-GB"/>
        </w:rPr>
      </w:pPr>
      <w:r w:rsidRPr="006F74DB">
        <w:rPr>
          <w:i/>
          <w:iCs/>
          <w:lang w:val="en-GB"/>
        </w:rPr>
        <w:lastRenderedPageBreak/>
        <w:t xml:space="preserve">“In Complete Androgen Insensitivity (CAIS) without residual receptor activity, the rate of malignant </w:t>
      </w:r>
      <w:proofErr w:type="spellStart"/>
      <w:r w:rsidRPr="006F74DB">
        <w:rPr>
          <w:i/>
          <w:iCs/>
          <w:lang w:val="en-GB"/>
        </w:rPr>
        <w:t>tumors</w:t>
      </w:r>
      <w:proofErr w:type="spellEnd"/>
      <w:r w:rsidRPr="006F74DB">
        <w:rPr>
          <w:i/>
          <w:iCs/>
          <w:lang w:val="en-GB"/>
        </w:rPr>
        <w:t xml:space="preserve"> is low. [...] </w:t>
      </w:r>
      <w:r w:rsidRPr="006F74DB">
        <w:rPr>
          <w:b/>
          <w:bCs/>
          <w:i/>
          <w:iCs/>
          <w:lang w:val="en-GB"/>
        </w:rPr>
        <w:t>[T]he general recommendation is prophylactic gonadectomy in late puberty.</w:t>
      </w:r>
      <w:r w:rsidRPr="006F74DB">
        <w:rPr>
          <w:i/>
          <w:iCs/>
          <w:lang w:val="en-GB"/>
        </w:rPr>
        <w:t xml:space="preserve"> [...] Having decided to perform a </w:t>
      </w:r>
      <w:r w:rsidRPr="006F74DB">
        <w:rPr>
          <w:b/>
          <w:bCs/>
          <w:i/>
          <w:iCs/>
          <w:lang w:val="en-GB"/>
        </w:rPr>
        <w:t>gonadectomy</w:t>
      </w:r>
      <w:r w:rsidRPr="006F74DB">
        <w:rPr>
          <w:i/>
          <w:iCs/>
          <w:lang w:val="en-GB"/>
        </w:rPr>
        <w:t xml:space="preserve"> in these patients, the need for </w:t>
      </w:r>
      <w:r w:rsidRPr="006F74DB">
        <w:rPr>
          <w:b/>
          <w:bCs/>
          <w:i/>
          <w:iCs/>
          <w:lang w:val="en-GB"/>
        </w:rPr>
        <w:t>hormone replacement treatment</w:t>
      </w:r>
      <w:r w:rsidRPr="006F74DB">
        <w:rPr>
          <w:i/>
          <w:iCs/>
          <w:lang w:val="en-GB"/>
        </w:rPr>
        <w:t xml:space="preserve"> should be discussed with the family and patient. In general, the doses of </w:t>
      </w:r>
      <w:proofErr w:type="spellStart"/>
      <w:r w:rsidRPr="006F74DB">
        <w:rPr>
          <w:i/>
          <w:iCs/>
          <w:lang w:val="en-GB"/>
        </w:rPr>
        <w:t>estrogen</w:t>
      </w:r>
      <w:proofErr w:type="spellEnd"/>
      <w:r w:rsidRPr="006F74DB">
        <w:rPr>
          <w:i/>
          <w:iCs/>
          <w:lang w:val="en-GB"/>
        </w:rPr>
        <w:t xml:space="preserve"> needed to maintain bone mass and prevent symptoms of </w:t>
      </w:r>
      <w:proofErr w:type="spellStart"/>
      <w:r w:rsidRPr="006F74DB">
        <w:rPr>
          <w:i/>
          <w:iCs/>
          <w:lang w:val="en-GB"/>
        </w:rPr>
        <w:t>estrogen</w:t>
      </w:r>
      <w:proofErr w:type="spellEnd"/>
      <w:r w:rsidRPr="006F74DB">
        <w:rPr>
          <w:i/>
          <w:iCs/>
          <w:lang w:val="en-GB"/>
        </w:rPr>
        <w:t xml:space="preserve"> deficiency are higher than those used in menopause, and should be adapted to each patient.”</w:t>
      </w:r>
    </w:p>
    <w:p w:rsidR="00DB4A71" w:rsidRPr="006F74DB" w:rsidRDefault="00DB4A71" w:rsidP="00DB4A71">
      <w:pPr>
        <w:pStyle w:val="Title3"/>
        <w:rPr>
          <w:rFonts w:eastAsia="Times New Roman"/>
        </w:rPr>
      </w:pPr>
      <w:bookmarkStart w:id="31" w:name="_Toc64836451"/>
      <w:bookmarkStart w:id="32" w:name="_Toc65413938"/>
      <w:bookmarkStart w:id="33" w:name="_Toc173456313"/>
      <w:r w:rsidRPr="006F74DB">
        <w:t>b) IGM 2 – “Feminising Procedures”: Clitoris Amputation</w:t>
      </w:r>
      <w:proofErr w:type="gramStart"/>
      <w:r w:rsidRPr="006F74DB">
        <w:t>/“</w:t>
      </w:r>
      <w:proofErr w:type="gramEnd"/>
      <w:r w:rsidRPr="006F74DB">
        <w:t>Reduction”,</w:t>
      </w:r>
      <w:r w:rsidRPr="006F74DB">
        <w:br/>
        <w:t xml:space="preserve">    “Vaginoplasty”, “Labiaplasty”, Dilation</w:t>
      </w:r>
      <w:r w:rsidRPr="006F74DB">
        <w:rPr>
          <w:rStyle w:val="Funotenzeichen3"/>
        </w:rPr>
        <w:footnoteReference w:id="12"/>
      </w:r>
      <w:bookmarkEnd w:id="26"/>
      <w:bookmarkEnd w:id="27"/>
      <w:bookmarkEnd w:id="28"/>
      <w:bookmarkEnd w:id="29"/>
      <w:bookmarkEnd w:id="30"/>
      <w:bookmarkEnd w:id="31"/>
      <w:bookmarkEnd w:id="32"/>
      <w:bookmarkEnd w:id="33"/>
    </w:p>
    <w:p w:rsidR="00DB4A71" w:rsidRPr="006F74DB" w:rsidRDefault="00DB4A71" w:rsidP="00DB4A71">
      <w:pPr>
        <w:pStyle w:val="absatzschattenbericht"/>
        <w:rPr>
          <w:lang w:val="en-GB"/>
        </w:rPr>
      </w:pPr>
      <w:r w:rsidRPr="006F74DB">
        <w:rPr>
          <w:lang w:val="en-GB"/>
        </w:rPr>
        <w:t>The “</w:t>
      </w:r>
      <w:r w:rsidRPr="006F74DB">
        <w:rPr>
          <w:b/>
          <w:bCs/>
          <w:lang w:val="en-GB"/>
        </w:rPr>
        <w:t>Spanish Association of Urology” (</w:t>
      </w:r>
      <w:proofErr w:type="spellStart"/>
      <w:r w:rsidRPr="006F74DB">
        <w:rPr>
          <w:b/>
          <w:bCs/>
          <w:lang w:val="en-GB"/>
        </w:rPr>
        <w:t>Asociación</w:t>
      </w:r>
      <w:proofErr w:type="spellEnd"/>
      <w:r w:rsidRPr="006F74DB">
        <w:rPr>
          <w:b/>
          <w:bCs/>
          <w:lang w:val="en-GB"/>
        </w:rPr>
        <w:t xml:space="preserve"> Española de </w:t>
      </w:r>
      <w:proofErr w:type="spellStart"/>
      <w:r w:rsidRPr="006F74DB">
        <w:rPr>
          <w:b/>
          <w:bCs/>
          <w:lang w:val="en-GB"/>
        </w:rPr>
        <w:t>Urología</w:t>
      </w:r>
      <w:proofErr w:type="spellEnd"/>
      <w:r w:rsidRPr="006F74DB">
        <w:rPr>
          <w:b/>
          <w:bCs/>
          <w:lang w:val="en-GB"/>
        </w:rPr>
        <w:t xml:space="preserve">, AEU) </w:t>
      </w:r>
      <w:r w:rsidRPr="006F74DB">
        <w:rPr>
          <w:lang w:val="en-GB"/>
        </w:rPr>
        <w:t xml:space="preserve">endorses the current </w:t>
      </w:r>
      <w:r w:rsidRPr="006F74DB">
        <w:rPr>
          <w:b/>
          <w:lang w:val="en-GB"/>
        </w:rPr>
        <w:t>2024 Guidelines of the European Association of Urology (EAU)</w:t>
      </w:r>
      <w:r w:rsidRPr="006F74DB">
        <w:rPr>
          <w:bCs/>
          <w:lang w:val="en-GB"/>
        </w:rPr>
        <w:t>,</w:t>
      </w:r>
      <w:r w:rsidRPr="006F74DB">
        <w:rPr>
          <w:rStyle w:val="Funotenzeichen"/>
          <w:lang w:val="en-GB"/>
        </w:rPr>
        <w:footnoteReference w:id="13"/>
      </w:r>
      <w:r w:rsidRPr="006F74DB">
        <w:rPr>
          <w:bCs/>
          <w:lang w:val="en-GB"/>
        </w:rPr>
        <w:t xml:space="preserve"> which include the current </w:t>
      </w:r>
      <w:r w:rsidRPr="006F74DB">
        <w:rPr>
          <w:b/>
          <w:lang w:val="en-GB"/>
        </w:rPr>
        <w:t xml:space="preserve">ESPU/EAU </w:t>
      </w:r>
      <w:r w:rsidRPr="006F74DB">
        <w:rPr>
          <w:b/>
          <w:i/>
          <w:lang w:val="en-GB"/>
        </w:rPr>
        <w:t xml:space="preserve">“Paediatric Urology” </w:t>
      </w:r>
      <w:r w:rsidRPr="006F74DB">
        <w:rPr>
          <w:b/>
          <w:lang w:val="en-GB"/>
        </w:rPr>
        <w:t>Guidelines 2024</w:t>
      </w:r>
      <w:r w:rsidRPr="006F74DB">
        <w:rPr>
          <w:rStyle w:val="Funotenzeichen"/>
          <w:lang w:val="en-GB"/>
        </w:rPr>
        <w:footnoteReference w:id="14"/>
      </w:r>
      <w:r w:rsidRPr="006F74DB">
        <w:rPr>
          <w:lang w:val="en-GB"/>
        </w:rPr>
        <w:t xml:space="preserve"> of the European Society for Paediatric Urology (ESPU) and the European Association of Urology (EAU). In </w:t>
      </w:r>
      <w:r w:rsidRPr="006F74DB">
        <w:rPr>
          <w:b/>
          <w:bCs/>
          <w:lang w:val="en-GB"/>
        </w:rPr>
        <w:t xml:space="preserve">chapter 3.18 </w:t>
      </w:r>
      <w:r w:rsidRPr="006F74DB">
        <w:rPr>
          <w:b/>
          <w:bCs/>
          <w:i/>
          <w:iCs/>
          <w:lang w:val="en-GB"/>
        </w:rPr>
        <w:t>“Disorders/Differences of sex development”</w:t>
      </w:r>
      <w:r w:rsidRPr="006F74DB">
        <w:rPr>
          <w:lang w:val="en-GB"/>
        </w:rPr>
        <w:t>,</w:t>
      </w:r>
      <w:r w:rsidRPr="006F74DB">
        <w:rPr>
          <w:rStyle w:val="Funotenzeichen"/>
          <w:lang w:val="en-GB"/>
        </w:rPr>
        <w:footnoteReference w:id="15"/>
      </w:r>
      <w:r w:rsidRPr="006F74DB">
        <w:rPr>
          <w:lang w:val="en-GB"/>
        </w:rPr>
        <w:t xml:space="preserve"> </w:t>
      </w:r>
      <w:r w:rsidRPr="006F74DB">
        <w:rPr>
          <w:rFonts w:cs="Times New Roman"/>
          <w:lang w:val="en-GB"/>
        </w:rPr>
        <w:t xml:space="preserve">despite admitting that </w:t>
      </w:r>
      <w:r w:rsidRPr="006F74DB">
        <w:rPr>
          <w:rFonts w:cs="Times New Roman"/>
          <w:i/>
          <w:lang w:val="en-GB"/>
        </w:rPr>
        <w:t>“Surgery that alters appearance is not considered urgent”</w:t>
      </w:r>
      <w:r w:rsidRPr="006F74DB">
        <w:rPr>
          <w:rFonts w:cs="Times New Roman"/>
          <w:lang w:val="en-GB"/>
        </w:rPr>
        <w:t xml:space="preserve"> </w:t>
      </w:r>
      <w:r w:rsidRPr="006F74DB">
        <w:rPr>
          <w:rStyle w:val="Funotenzeichen"/>
          <w:lang w:val="en-GB"/>
        </w:rPr>
        <w:footnoteReference w:id="16"/>
      </w:r>
      <w:r w:rsidRPr="006F74DB">
        <w:rPr>
          <w:rFonts w:cs="Times New Roman"/>
          <w:lang w:val="en-GB"/>
        </w:rPr>
        <w:t xml:space="preserve"> and that </w:t>
      </w:r>
      <w:r w:rsidRPr="006F74DB">
        <w:rPr>
          <w:rFonts w:cs="Times New Roman"/>
          <w:i/>
          <w:lang w:val="en-GB"/>
        </w:rPr>
        <w:t>“adverse outcomes have led to recommendations to delay unnecessary [clitoral] surgery to an age when the patient can give informed consent”</w:t>
      </w:r>
      <w:r w:rsidRPr="006F74DB">
        <w:rPr>
          <w:rFonts w:cs="Times New Roman"/>
          <w:lang w:val="en-GB"/>
        </w:rPr>
        <w:t>,</w:t>
      </w:r>
      <w:r w:rsidRPr="006F74DB">
        <w:rPr>
          <w:rStyle w:val="Funotenzeichen"/>
          <w:rFonts w:cs="Times New Roman"/>
          <w:lang w:val="en-GB"/>
        </w:rPr>
        <w:footnoteReference w:id="17"/>
      </w:r>
      <w:r w:rsidRPr="006F74DB">
        <w:rPr>
          <w:rFonts w:cs="Times New Roman"/>
          <w:lang w:val="en-GB"/>
        </w:rPr>
        <w:t xml:space="preserve"> the ESPU/EAU Guidelines nonetheless explicitly </w:t>
      </w:r>
      <w:r w:rsidRPr="006F74DB">
        <w:rPr>
          <w:rFonts w:cs="Times New Roman"/>
          <w:b/>
          <w:bCs/>
          <w:lang w:val="en-GB"/>
        </w:rPr>
        <w:t>refuse to postpone non-emergency surgery</w:t>
      </w:r>
      <w:r w:rsidRPr="006F74DB">
        <w:rPr>
          <w:rFonts w:cs="Times New Roman"/>
          <w:lang w:val="en-GB"/>
        </w:rPr>
        <w:t xml:space="preserve">, but in contrary </w:t>
      </w:r>
      <w:r w:rsidRPr="006F74DB">
        <w:rPr>
          <w:rFonts w:cs="Times New Roman"/>
          <w:b/>
          <w:bCs/>
          <w:lang w:val="en-GB"/>
        </w:rPr>
        <w:t>insist to continue with non-emergency genital surgery</w:t>
      </w:r>
      <w:r w:rsidRPr="006F74DB">
        <w:rPr>
          <w:rFonts w:cs="Times New Roman"/>
          <w:lang w:val="en-GB"/>
        </w:rPr>
        <w:t xml:space="preserve"> (including partial clitoris amputation) on young children based on </w:t>
      </w:r>
      <w:r w:rsidRPr="006F74DB">
        <w:rPr>
          <w:rFonts w:cs="Times New Roman"/>
          <w:b/>
          <w:bCs/>
          <w:i/>
          <w:iCs/>
          <w:lang w:val="en-GB"/>
        </w:rPr>
        <w:t>“social and emotional conditions”</w:t>
      </w:r>
      <w:r w:rsidRPr="006F74DB">
        <w:rPr>
          <w:rFonts w:cs="Times New Roman"/>
          <w:lang w:val="en-GB"/>
        </w:rPr>
        <w:t xml:space="preserve"> and </w:t>
      </w:r>
      <w:r w:rsidRPr="006F74DB">
        <w:rPr>
          <w:rFonts w:cs="Times New Roman"/>
          <w:b/>
          <w:bCs/>
          <w:lang w:val="en-GB"/>
        </w:rPr>
        <w:t>substituted decision-making</w:t>
      </w:r>
      <w:r w:rsidRPr="006F74DB">
        <w:rPr>
          <w:rFonts w:cs="Times New Roman"/>
          <w:b/>
          <w:bCs/>
          <w:i/>
          <w:iCs/>
          <w:lang w:val="en-GB"/>
        </w:rPr>
        <w:t xml:space="preserve"> </w:t>
      </w:r>
      <w:r w:rsidRPr="006F74DB">
        <w:rPr>
          <w:rFonts w:cs="Times New Roman"/>
          <w:b/>
          <w:bCs/>
          <w:lang w:val="en-GB"/>
        </w:rPr>
        <w:t xml:space="preserve">by </w:t>
      </w:r>
      <w:r w:rsidRPr="006F74DB">
        <w:rPr>
          <w:rFonts w:cs="Times New Roman"/>
          <w:b/>
          <w:bCs/>
          <w:i/>
          <w:iCs/>
          <w:lang w:val="en-GB"/>
        </w:rPr>
        <w:t>“parents and caregivers</w:t>
      </w:r>
      <w:r w:rsidRPr="006F74DB">
        <w:rPr>
          <w:rFonts w:cs="Times New Roman"/>
          <w:i/>
          <w:iCs/>
          <w:lang w:val="en-GB"/>
        </w:rPr>
        <w:t xml:space="preserve"> implicitly act[</w:t>
      </w:r>
      <w:proofErr w:type="spellStart"/>
      <w:r w:rsidRPr="006F74DB">
        <w:rPr>
          <w:rFonts w:cs="Times New Roman"/>
          <w:i/>
          <w:iCs/>
          <w:lang w:val="en-GB"/>
        </w:rPr>
        <w:t>ing</w:t>
      </w:r>
      <w:proofErr w:type="spellEnd"/>
      <w:r w:rsidRPr="006F74DB">
        <w:rPr>
          <w:rFonts w:cs="Times New Roman"/>
          <w:i/>
          <w:iCs/>
          <w:lang w:val="en-GB"/>
        </w:rPr>
        <w:t>] in the best interest of their children”</w:t>
      </w:r>
      <w:r w:rsidRPr="006F74DB">
        <w:rPr>
          <w:rStyle w:val="Funotenzeichen"/>
          <w:rFonts w:cs="Times New Roman"/>
          <w:lang w:val="en-GB"/>
        </w:rPr>
        <w:t xml:space="preserve"> </w:t>
      </w:r>
      <w:r w:rsidRPr="006F74DB">
        <w:rPr>
          <w:rStyle w:val="Funotenzeichen"/>
          <w:rFonts w:cs="Times New Roman"/>
          <w:lang w:val="en-GB"/>
        </w:rPr>
        <w:footnoteReference w:id="18"/>
      </w:r>
      <w:r w:rsidRPr="006F74DB">
        <w:rPr>
          <w:rFonts w:cs="Times New Roman"/>
          <w:i/>
          <w:iCs/>
          <w:lang w:val="en-GB"/>
        </w:rPr>
        <w:t xml:space="preserve"> </w:t>
      </w:r>
      <w:r w:rsidRPr="006F74DB">
        <w:rPr>
          <w:rFonts w:cs="Times New Roman"/>
          <w:lang w:val="en-GB"/>
        </w:rPr>
        <w:t xml:space="preserve">and making </w:t>
      </w:r>
      <w:r w:rsidRPr="006F74DB">
        <w:rPr>
          <w:rFonts w:cs="Times New Roman"/>
          <w:i/>
          <w:iCs/>
          <w:lang w:val="en-GB"/>
        </w:rPr>
        <w:t>“well-informed decisions […] on their behalf”</w:t>
      </w:r>
      <w:r w:rsidRPr="006F74DB">
        <w:rPr>
          <w:rFonts w:cs="Times New Roman"/>
          <w:lang w:val="en-GB"/>
        </w:rPr>
        <w:t xml:space="preserve">, and further </w:t>
      </w:r>
      <w:r w:rsidRPr="006F74DB">
        <w:rPr>
          <w:rFonts w:cs="Times New Roman"/>
          <w:b/>
          <w:bCs/>
          <w:lang w:val="en-GB"/>
        </w:rPr>
        <w:t xml:space="preserve">explicitly refusing </w:t>
      </w:r>
      <w:r w:rsidRPr="006F74DB">
        <w:rPr>
          <w:rFonts w:cs="Times New Roman"/>
          <w:b/>
          <w:bCs/>
          <w:i/>
          <w:iCs/>
          <w:lang w:val="en-GB"/>
        </w:rPr>
        <w:t>“prohibition regulations”</w:t>
      </w:r>
      <w:r w:rsidRPr="006F74DB">
        <w:rPr>
          <w:rFonts w:cs="Times New Roman"/>
          <w:i/>
          <w:iCs/>
          <w:lang w:val="en-GB"/>
        </w:rPr>
        <w:t xml:space="preserve"> </w:t>
      </w:r>
      <w:r w:rsidRPr="006F74DB">
        <w:rPr>
          <w:rFonts w:cs="Times New Roman"/>
          <w:lang w:val="en-GB"/>
        </w:rPr>
        <w:t>of unnecessary early surgery,</w:t>
      </w:r>
      <w:r w:rsidRPr="006F74DB">
        <w:rPr>
          <w:rStyle w:val="Funotenzeichen"/>
          <w:rFonts w:cs="Times New Roman"/>
          <w:lang w:val="en-GB"/>
        </w:rPr>
        <w:footnoteReference w:id="19"/>
      </w:r>
      <w:r w:rsidRPr="006F74DB">
        <w:rPr>
          <w:rFonts w:cs="Times New Roman"/>
          <w:lang w:val="en-GB"/>
        </w:rPr>
        <w:t xml:space="preserve"> referring to the 2018 ESPU Open Letter to the Council of Europe (COE),</w:t>
      </w:r>
      <w:r w:rsidRPr="006F74DB">
        <w:rPr>
          <w:rStyle w:val="Funotenzeichen"/>
          <w:rFonts w:cs="Times New Roman"/>
          <w:lang w:val="en-GB"/>
        </w:rPr>
        <w:footnoteReference w:id="20"/>
      </w:r>
      <w:r w:rsidRPr="006F74DB">
        <w:rPr>
          <w:rFonts w:cs="Times New Roman"/>
          <w:lang w:val="en-GB"/>
        </w:rPr>
        <w:t xml:space="preserve"> which further invokes </w:t>
      </w:r>
      <w:r w:rsidRPr="006F74DB">
        <w:rPr>
          <w:rFonts w:cs="Times New Roman"/>
          <w:b/>
          <w:bCs/>
          <w:lang w:val="en-GB"/>
        </w:rPr>
        <w:t xml:space="preserve">parents’ </w:t>
      </w:r>
      <w:r w:rsidRPr="006F74DB">
        <w:rPr>
          <w:rFonts w:cs="Times New Roman"/>
          <w:b/>
          <w:bCs/>
          <w:i/>
          <w:iCs/>
          <w:lang w:val="en-GB"/>
        </w:rPr>
        <w:t xml:space="preserve">“social, and cultural considerations” </w:t>
      </w:r>
      <w:r w:rsidRPr="006F74DB">
        <w:rPr>
          <w:rFonts w:cs="Times New Roman"/>
          <w:lang w:val="en-GB"/>
        </w:rPr>
        <w:t>as justifications for early surgery (p. 2).</w:t>
      </w:r>
    </w:p>
    <w:p w:rsidR="007B4ADC" w:rsidRPr="006F74DB" w:rsidRDefault="00C6138A" w:rsidP="00DB4A71">
      <w:pPr>
        <w:pStyle w:val="absatzschattenbericht"/>
        <w:rPr>
          <w:lang w:val="en-GB"/>
        </w:rPr>
      </w:pPr>
      <w:bookmarkStart w:id="34" w:name="_Toc507786412"/>
      <w:bookmarkStart w:id="35" w:name="_Toc19465689"/>
      <w:bookmarkStart w:id="36" w:name="_Toc64836452"/>
      <w:r w:rsidRPr="006F74DB">
        <w:rPr>
          <w:lang w:val="en-GB"/>
        </w:rPr>
        <w:t>In addition</w:t>
      </w:r>
      <w:r w:rsidR="00DB4A71" w:rsidRPr="006F74DB">
        <w:rPr>
          <w:lang w:val="en-GB"/>
        </w:rPr>
        <w:t xml:space="preserve">, </w:t>
      </w:r>
      <w:r w:rsidR="007B4ADC" w:rsidRPr="006F74DB">
        <w:rPr>
          <w:lang w:val="en-GB"/>
        </w:rPr>
        <w:t xml:space="preserve">the current </w:t>
      </w:r>
      <w:r w:rsidR="007B4ADC" w:rsidRPr="006F74DB">
        <w:rPr>
          <w:b/>
          <w:bCs/>
          <w:i/>
          <w:iCs/>
          <w:lang w:val="en-GB"/>
        </w:rPr>
        <w:t>“Guidelines for patients and families with congenital adrenal hyperplasia (CAH)”</w:t>
      </w:r>
      <w:r w:rsidR="007B4ADC" w:rsidRPr="006F74DB">
        <w:rPr>
          <w:lang w:val="en-GB"/>
        </w:rPr>
        <w:t xml:space="preserve"> by the </w:t>
      </w:r>
      <w:r w:rsidR="007B4ADC" w:rsidRPr="006F74DB">
        <w:rPr>
          <w:b/>
          <w:bCs/>
          <w:lang w:val="en-GB"/>
        </w:rPr>
        <w:t>CAH Working Group of the Spanish Society of Paediatric Endocrinology (SEEP)</w:t>
      </w:r>
      <w:r w:rsidR="007B4ADC" w:rsidRPr="006F74DB">
        <w:rPr>
          <w:rStyle w:val="Funotenzeichen"/>
          <w:rFonts w:cs="Times New Roman"/>
          <w:lang w:val="en-GB"/>
        </w:rPr>
        <w:footnoteReference w:id="21"/>
      </w:r>
      <w:r w:rsidR="007B4ADC" w:rsidRPr="006F74DB">
        <w:rPr>
          <w:lang w:val="en-GB"/>
        </w:rPr>
        <w:t xml:space="preserve"> </w:t>
      </w:r>
      <w:r w:rsidR="00E8313D" w:rsidRPr="006F74DB">
        <w:rPr>
          <w:lang w:val="en-GB"/>
        </w:rPr>
        <w:t>continue to</w:t>
      </w:r>
      <w:r w:rsidR="007B4ADC" w:rsidRPr="006F74DB">
        <w:rPr>
          <w:lang w:val="en-GB"/>
        </w:rPr>
        <w:t xml:space="preserve"> promote IGM 2 procedures </w:t>
      </w:r>
      <w:r w:rsidR="007B4ADC" w:rsidRPr="006F74DB">
        <w:rPr>
          <w:b/>
          <w:bCs/>
          <w:i/>
          <w:iCs/>
          <w:lang w:val="en-GB"/>
        </w:rPr>
        <w:t>“in the first year of life”</w:t>
      </w:r>
      <w:r w:rsidR="007B4ADC" w:rsidRPr="006F74DB">
        <w:rPr>
          <w:lang w:val="en-GB"/>
        </w:rPr>
        <w:t>:</w:t>
      </w:r>
    </w:p>
    <w:p w:rsidR="007B4ADC" w:rsidRPr="006F74DB" w:rsidRDefault="007B4ADC" w:rsidP="007B4ADC">
      <w:pPr>
        <w:pStyle w:val="absatzschattenbericht"/>
        <w:ind w:left="284"/>
        <w:rPr>
          <w:b/>
          <w:bCs/>
          <w:i/>
          <w:iCs/>
          <w:lang w:val="en-GB"/>
        </w:rPr>
      </w:pPr>
      <w:r w:rsidRPr="006F74DB">
        <w:rPr>
          <w:b/>
          <w:bCs/>
          <w:i/>
          <w:iCs/>
          <w:lang w:val="en-GB"/>
        </w:rPr>
        <w:t>“Surgical treatment of classical forms of CAH</w:t>
      </w:r>
    </w:p>
    <w:p w:rsidR="007B4ADC" w:rsidRPr="006F74DB" w:rsidRDefault="007B4ADC" w:rsidP="00597ED1">
      <w:pPr>
        <w:pStyle w:val="absatzschattenbericht"/>
        <w:ind w:left="284"/>
        <w:rPr>
          <w:i/>
          <w:iCs/>
          <w:lang w:val="en-GB"/>
        </w:rPr>
      </w:pPr>
      <w:r w:rsidRPr="006F74DB">
        <w:rPr>
          <w:i/>
          <w:iCs/>
          <w:lang w:val="en-GB"/>
        </w:rPr>
        <w:t xml:space="preserve">Girls with the severe form of the disease </w:t>
      </w:r>
      <w:r w:rsidR="00FD4F4B" w:rsidRPr="006F74DB">
        <w:rPr>
          <w:i/>
          <w:iCs/>
          <w:lang w:val="en-GB"/>
        </w:rPr>
        <w:t>[...]</w:t>
      </w:r>
      <w:r w:rsidRPr="006F74DB">
        <w:rPr>
          <w:i/>
          <w:iCs/>
          <w:lang w:val="en-GB"/>
        </w:rPr>
        <w:t>, have a masculinisation of their external genitalia to varying degrees</w:t>
      </w:r>
      <w:r w:rsidR="00FD4F4B" w:rsidRPr="006F74DB">
        <w:rPr>
          <w:i/>
          <w:iCs/>
          <w:lang w:val="en-GB"/>
        </w:rPr>
        <w:t xml:space="preserve"> [...]</w:t>
      </w:r>
      <w:r w:rsidR="00EF4399" w:rsidRPr="006F74DB">
        <w:rPr>
          <w:i/>
          <w:iCs/>
          <w:lang w:val="en-GB"/>
        </w:rPr>
        <w:t xml:space="preserve"> </w:t>
      </w:r>
      <w:r w:rsidR="00EF4399" w:rsidRPr="006F74DB">
        <w:rPr>
          <w:b/>
          <w:bCs/>
          <w:i/>
          <w:iCs/>
          <w:lang w:val="en-GB"/>
        </w:rPr>
        <w:t>[T]</w:t>
      </w:r>
      <w:proofErr w:type="spellStart"/>
      <w:r w:rsidRPr="006F74DB">
        <w:rPr>
          <w:b/>
          <w:bCs/>
          <w:i/>
          <w:iCs/>
          <w:lang w:val="en-GB"/>
        </w:rPr>
        <w:t>hese</w:t>
      </w:r>
      <w:proofErr w:type="spellEnd"/>
      <w:r w:rsidRPr="006F74DB">
        <w:rPr>
          <w:b/>
          <w:bCs/>
          <w:i/>
          <w:iCs/>
          <w:lang w:val="en-GB"/>
        </w:rPr>
        <w:t xml:space="preserve"> girls require surgical intervention in early childhood to correct the appearance of their genitalia.</w:t>
      </w:r>
      <w:r w:rsidRPr="006F74DB">
        <w:rPr>
          <w:i/>
          <w:iCs/>
          <w:lang w:val="en-GB"/>
        </w:rPr>
        <w:t xml:space="preserve"> Sometimes the masculinisation is so marked that it is not possible to tell at first glance whether the baby is a boy or a girl, a very distressing situation for the parents. However, the baby is a girl, with chromosomal endowment 46(XX) </w:t>
      </w:r>
      <w:r w:rsidRPr="006F74DB">
        <w:rPr>
          <w:i/>
          <w:iCs/>
          <w:lang w:val="en-GB"/>
        </w:rPr>
        <w:lastRenderedPageBreak/>
        <w:t xml:space="preserve">and internal organs (uterus, vagina, ovaries and tubes) of a woman. This is why we mentioned at the beginning that girls in some cases </w:t>
      </w:r>
      <w:r w:rsidRPr="006F74DB">
        <w:rPr>
          <w:b/>
          <w:bCs/>
          <w:i/>
          <w:iCs/>
          <w:lang w:val="en-GB"/>
        </w:rPr>
        <w:t>will need surgery to correct the appearance of their external genitalia (</w:t>
      </w:r>
      <w:proofErr w:type="spellStart"/>
      <w:r w:rsidRPr="006F74DB">
        <w:rPr>
          <w:b/>
          <w:bCs/>
          <w:i/>
          <w:iCs/>
          <w:lang w:val="en-GB"/>
        </w:rPr>
        <w:t>clitoroplasty</w:t>
      </w:r>
      <w:proofErr w:type="spellEnd"/>
      <w:r w:rsidRPr="006F74DB">
        <w:rPr>
          <w:b/>
          <w:bCs/>
          <w:i/>
          <w:iCs/>
          <w:lang w:val="en-GB"/>
        </w:rPr>
        <w:t xml:space="preserve"> and vaginoplasty).</w:t>
      </w:r>
      <w:r w:rsidRPr="006F74DB">
        <w:rPr>
          <w:i/>
          <w:iCs/>
          <w:lang w:val="en-GB"/>
        </w:rPr>
        <w:t xml:space="preserve"> The surgery consists </w:t>
      </w:r>
      <w:r w:rsidRPr="006F74DB">
        <w:rPr>
          <w:b/>
          <w:bCs/>
          <w:i/>
          <w:iCs/>
          <w:lang w:val="en-GB"/>
        </w:rPr>
        <w:t>of reducing the size of the clitoris, separating the labia if they have fused and widening the entrance to the vagina</w:t>
      </w:r>
      <w:r w:rsidRPr="006F74DB">
        <w:rPr>
          <w:i/>
          <w:iCs/>
          <w:lang w:val="en-GB"/>
        </w:rPr>
        <w:t xml:space="preserve">. This intervention </w:t>
      </w:r>
      <w:r w:rsidRPr="006F74DB">
        <w:rPr>
          <w:b/>
          <w:bCs/>
          <w:i/>
          <w:iCs/>
          <w:lang w:val="en-GB"/>
        </w:rPr>
        <w:t>‘</w:t>
      </w:r>
      <w:proofErr w:type="spellStart"/>
      <w:r w:rsidRPr="006F74DB">
        <w:rPr>
          <w:b/>
          <w:bCs/>
          <w:i/>
          <w:iCs/>
          <w:lang w:val="en-GB"/>
        </w:rPr>
        <w:t>Clitoroplasty</w:t>
      </w:r>
      <w:proofErr w:type="spellEnd"/>
      <w:r w:rsidRPr="006F74DB">
        <w:rPr>
          <w:b/>
          <w:bCs/>
          <w:i/>
          <w:iCs/>
          <w:lang w:val="en-GB"/>
        </w:rPr>
        <w:t xml:space="preserve"> and Feminizing </w:t>
      </w:r>
      <w:proofErr w:type="spellStart"/>
      <w:r w:rsidRPr="006F74DB">
        <w:rPr>
          <w:b/>
          <w:bCs/>
          <w:i/>
          <w:iCs/>
          <w:lang w:val="en-GB"/>
        </w:rPr>
        <w:t>Genitoplasty</w:t>
      </w:r>
      <w:proofErr w:type="spellEnd"/>
      <w:r w:rsidRPr="006F74DB">
        <w:rPr>
          <w:b/>
          <w:bCs/>
          <w:i/>
          <w:iCs/>
          <w:lang w:val="en-GB"/>
        </w:rPr>
        <w:t>’ is performed in the first year of life,</w:t>
      </w:r>
      <w:r w:rsidRPr="006F74DB">
        <w:rPr>
          <w:i/>
          <w:iCs/>
          <w:lang w:val="en-GB"/>
        </w:rPr>
        <w:t xml:space="preserve"> it should be performed in reference hospitals with accredited experience, as it is a very important aspect in the future for girls, which can have repercussions on their quality of life when they reach adulthood. </w:t>
      </w:r>
      <w:r w:rsidRPr="006F74DB">
        <w:rPr>
          <w:b/>
          <w:bCs/>
          <w:i/>
          <w:iCs/>
          <w:lang w:val="en-GB"/>
        </w:rPr>
        <w:t>Vaginoplasty can be performed in conjunction with this surgery in infancy</w:t>
      </w:r>
      <w:r w:rsidRPr="006F74DB">
        <w:rPr>
          <w:i/>
          <w:iCs/>
          <w:lang w:val="en-GB"/>
        </w:rPr>
        <w:t xml:space="preserve"> or postponed to pubertal age.”</w:t>
      </w:r>
    </w:p>
    <w:p w:rsidR="00DB4A71" w:rsidRPr="006F74DB" w:rsidRDefault="00C6138A" w:rsidP="00DB4A71">
      <w:pPr>
        <w:pStyle w:val="absatzschattenbericht"/>
        <w:rPr>
          <w:lang w:val="en-GB"/>
        </w:rPr>
      </w:pPr>
      <w:r w:rsidRPr="006F74DB">
        <w:rPr>
          <w:lang w:val="en-GB"/>
        </w:rPr>
        <w:t xml:space="preserve">Accordingly, </w:t>
      </w:r>
      <w:r w:rsidR="007B4ADC" w:rsidRPr="006F74DB">
        <w:rPr>
          <w:lang w:val="en-GB"/>
        </w:rPr>
        <w:t xml:space="preserve">the </w:t>
      </w:r>
      <w:r w:rsidR="007B4ADC" w:rsidRPr="006F74DB">
        <w:rPr>
          <w:b/>
          <w:bCs/>
          <w:lang w:val="en-GB"/>
        </w:rPr>
        <w:t>evidence of Spanish hospitals promoting IGM 2</w:t>
      </w:r>
      <w:r w:rsidR="007B4ADC" w:rsidRPr="006F74DB">
        <w:rPr>
          <w:lang w:val="en-GB"/>
        </w:rPr>
        <w:t xml:space="preserve"> documented in </w:t>
      </w:r>
      <w:r w:rsidR="00F70505" w:rsidRPr="006F74DB">
        <w:rPr>
          <w:lang w:val="en-GB"/>
        </w:rPr>
        <w:t xml:space="preserve">our NGO Report for LOIPR together with </w:t>
      </w:r>
      <w:proofErr w:type="spellStart"/>
      <w:r w:rsidR="00F70505" w:rsidRPr="006F74DB">
        <w:rPr>
          <w:lang w:val="en-GB"/>
        </w:rPr>
        <w:t>Caminar</w:t>
      </w:r>
      <w:proofErr w:type="spellEnd"/>
      <w:r w:rsidR="00F70505" w:rsidRPr="006F74DB">
        <w:rPr>
          <w:lang w:val="en-GB"/>
        </w:rPr>
        <w:t xml:space="preserve"> Intersex,</w:t>
      </w:r>
      <w:r w:rsidR="00F70505" w:rsidRPr="006F74DB">
        <w:rPr>
          <w:rStyle w:val="Funotenzeichen"/>
          <w:lang w:val="en-GB"/>
        </w:rPr>
        <w:footnoteReference w:id="22"/>
      </w:r>
      <w:r w:rsidR="007B4ADC" w:rsidRPr="006F74DB">
        <w:rPr>
          <w:lang w:val="en-GB"/>
        </w:rPr>
        <w:t xml:space="preserve"> (p. 11-13) still </w:t>
      </w:r>
      <w:r w:rsidR="007B4ADC" w:rsidRPr="006F74DB">
        <w:rPr>
          <w:b/>
          <w:bCs/>
          <w:lang w:val="en-GB"/>
        </w:rPr>
        <w:t xml:space="preserve">remains </w:t>
      </w:r>
      <w:r w:rsidR="00E8313D" w:rsidRPr="006F74DB">
        <w:rPr>
          <w:b/>
          <w:bCs/>
          <w:lang w:val="en-GB"/>
        </w:rPr>
        <w:t>current</w:t>
      </w:r>
      <w:r w:rsidR="007B4ADC" w:rsidRPr="006F74DB">
        <w:rPr>
          <w:lang w:val="en-GB"/>
        </w:rPr>
        <w:t>.</w:t>
      </w:r>
    </w:p>
    <w:p w:rsidR="007B4ADC" w:rsidRPr="006F74DB" w:rsidRDefault="007B4ADC" w:rsidP="00DB4A71">
      <w:pPr>
        <w:pStyle w:val="absatzschattenbericht"/>
        <w:rPr>
          <w:lang w:val="en-GB"/>
        </w:rPr>
      </w:pPr>
      <w:r w:rsidRPr="006F74DB">
        <w:rPr>
          <w:lang w:val="en-GB"/>
        </w:rPr>
        <w:t xml:space="preserve">In addition, </w:t>
      </w:r>
      <w:r w:rsidR="00C6138A" w:rsidRPr="006F74DB">
        <w:rPr>
          <w:lang w:val="en-GB"/>
        </w:rPr>
        <w:t xml:space="preserve">the </w:t>
      </w:r>
      <w:r w:rsidR="00C6138A" w:rsidRPr="006F74DB">
        <w:rPr>
          <w:b/>
          <w:bCs/>
          <w:lang w:val="en-GB"/>
        </w:rPr>
        <w:t xml:space="preserve">Hospital General Universitario Gregorio </w:t>
      </w:r>
      <w:proofErr w:type="spellStart"/>
      <w:r w:rsidR="00C6138A" w:rsidRPr="006F74DB">
        <w:rPr>
          <w:b/>
          <w:bCs/>
          <w:lang w:val="en-GB"/>
        </w:rPr>
        <w:t>Marañón</w:t>
      </w:r>
      <w:proofErr w:type="spellEnd"/>
      <w:r w:rsidR="00C6138A" w:rsidRPr="006F74DB">
        <w:rPr>
          <w:b/>
          <w:bCs/>
          <w:lang w:val="en-GB"/>
        </w:rPr>
        <w:t xml:space="preserve"> (Madrid)</w:t>
      </w:r>
      <w:r w:rsidR="00C6138A" w:rsidRPr="006F74DB">
        <w:rPr>
          <w:lang w:val="en-GB"/>
        </w:rPr>
        <w:t xml:space="preserve"> promotes on its </w:t>
      </w:r>
      <w:r w:rsidR="00C6138A" w:rsidRPr="006F74DB">
        <w:rPr>
          <w:b/>
          <w:bCs/>
          <w:i/>
          <w:iCs/>
          <w:lang w:val="en-GB"/>
        </w:rPr>
        <w:t>“</w:t>
      </w:r>
      <w:r w:rsidR="00812D8B" w:rsidRPr="006F74DB">
        <w:rPr>
          <w:b/>
          <w:bCs/>
          <w:i/>
          <w:iCs/>
          <w:lang w:val="en-GB"/>
        </w:rPr>
        <w:t xml:space="preserve">Paediatric Surgery &gt;&gt;&gt; </w:t>
      </w:r>
      <w:r w:rsidR="00C6138A" w:rsidRPr="006F74DB">
        <w:rPr>
          <w:b/>
          <w:bCs/>
          <w:i/>
          <w:iCs/>
          <w:lang w:val="en-GB"/>
        </w:rPr>
        <w:t>General Paediatric Surgery”</w:t>
      </w:r>
      <w:r w:rsidR="00C6138A" w:rsidRPr="006F74DB">
        <w:rPr>
          <w:i/>
          <w:iCs/>
          <w:lang w:val="en-GB"/>
        </w:rPr>
        <w:t xml:space="preserve"> </w:t>
      </w:r>
      <w:r w:rsidR="00C6138A" w:rsidRPr="006F74DB">
        <w:rPr>
          <w:lang w:val="en-GB"/>
        </w:rPr>
        <w:t>homepage:</w:t>
      </w:r>
      <w:r w:rsidR="00C6138A" w:rsidRPr="006F74DB">
        <w:rPr>
          <w:rStyle w:val="Funotenzeichen"/>
          <w:rFonts w:cs="Times New Roman"/>
          <w:lang w:val="en-GB"/>
        </w:rPr>
        <w:footnoteReference w:id="23"/>
      </w:r>
    </w:p>
    <w:p w:rsidR="00C6138A" w:rsidRPr="006F74DB" w:rsidRDefault="00C6138A" w:rsidP="00E13B7A">
      <w:pPr>
        <w:pStyle w:val="absatzschattenbericht"/>
        <w:ind w:left="284"/>
        <w:rPr>
          <w:i/>
          <w:iCs/>
          <w:lang w:val="en-GB"/>
        </w:rPr>
      </w:pPr>
      <w:r w:rsidRPr="006F74DB">
        <w:rPr>
          <w:b/>
          <w:bCs/>
          <w:i/>
          <w:iCs/>
          <w:lang w:val="en-GB"/>
        </w:rPr>
        <w:t>“Surgical treatment of virilising pathologies:</w:t>
      </w:r>
      <w:r w:rsidRPr="006F74DB">
        <w:rPr>
          <w:i/>
          <w:iCs/>
          <w:lang w:val="en-GB"/>
        </w:rPr>
        <w:t xml:space="preserve"> Reconstruction of external genitalia. Phalloplasty. </w:t>
      </w:r>
      <w:r w:rsidRPr="006F74DB">
        <w:rPr>
          <w:b/>
          <w:bCs/>
          <w:i/>
          <w:iCs/>
          <w:lang w:val="en-GB"/>
        </w:rPr>
        <w:t>Vaginoplasty</w:t>
      </w:r>
      <w:r w:rsidRPr="006F74DB">
        <w:rPr>
          <w:i/>
          <w:iCs/>
          <w:lang w:val="en-GB"/>
        </w:rPr>
        <w:t>. [...]</w:t>
      </w:r>
    </w:p>
    <w:p w:rsidR="00DB4A71" w:rsidRPr="006F74DB" w:rsidRDefault="00C6138A" w:rsidP="004A5916">
      <w:pPr>
        <w:pStyle w:val="absatzschattenbericht"/>
        <w:ind w:left="284"/>
        <w:rPr>
          <w:b/>
          <w:bCs/>
          <w:i/>
          <w:iCs/>
          <w:lang w:val="en-GB"/>
        </w:rPr>
      </w:pPr>
      <w:r w:rsidRPr="006F74DB">
        <w:rPr>
          <w:i/>
          <w:iCs/>
          <w:lang w:val="en-GB"/>
        </w:rPr>
        <w:t xml:space="preserve">Procedures on female external genitalia. Treatment of vulvar synechiae. </w:t>
      </w:r>
      <w:r w:rsidRPr="006F74DB">
        <w:rPr>
          <w:b/>
          <w:bCs/>
          <w:i/>
          <w:iCs/>
          <w:lang w:val="en-GB"/>
        </w:rPr>
        <w:t>Treatment of clitoral hypertrophy.”</w:t>
      </w:r>
    </w:p>
    <w:p w:rsidR="00DB4A71" w:rsidRPr="006F74DB" w:rsidRDefault="00DB4A71" w:rsidP="00DB4A71">
      <w:pPr>
        <w:pStyle w:val="Title3"/>
      </w:pPr>
      <w:bookmarkStart w:id="37" w:name="_Toc65413939"/>
      <w:bookmarkStart w:id="38" w:name="_Toc173456314"/>
      <w:r w:rsidRPr="006F74DB">
        <w:t>c) IGM 1 – “Masculinising Surgery”: Hypospadias “Repair”</w:t>
      </w:r>
      <w:r w:rsidRPr="006F74DB">
        <w:rPr>
          <w:rStyle w:val="Funotenzeichen3"/>
        </w:rPr>
        <w:footnoteReference w:id="24"/>
      </w:r>
      <w:bookmarkEnd w:id="34"/>
      <w:bookmarkEnd w:id="35"/>
      <w:bookmarkEnd w:id="36"/>
      <w:bookmarkEnd w:id="37"/>
      <w:bookmarkEnd w:id="38"/>
    </w:p>
    <w:p w:rsidR="00DB4A71" w:rsidRPr="006F74DB" w:rsidRDefault="00DB4A71" w:rsidP="00DB4A71">
      <w:pPr>
        <w:pStyle w:val="absatzschattenbericht"/>
        <w:spacing w:after="60"/>
        <w:rPr>
          <w:lang w:val="en-GB"/>
        </w:rPr>
      </w:pPr>
      <w:r w:rsidRPr="006F74DB">
        <w:rPr>
          <w:lang w:val="en-GB"/>
        </w:rPr>
        <w:t xml:space="preserve">The </w:t>
      </w:r>
      <w:r w:rsidRPr="006F74DB">
        <w:rPr>
          <w:b/>
          <w:bCs/>
          <w:lang w:val="en-GB"/>
        </w:rPr>
        <w:t>“Spanish Association of Urology” (</w:t>
      </w:r>
      <w:proofErr w:type="spellStart"/>
      <w:r w:rsidRPr="006F74DB">
        <w:rPr>
          <w:b/>
          <w:bCs/>
          <w:lang w:val="en-GB"/>
        </w:rPr>
        <w:t>Asociación</w:t>
      </w:r>
      <w:proofErr w:type="spellEnd"/>
      <w:r w:rsidRPr="006F74DB">
        <w:rPr>
          <w:b/>
          <w:bCs/>
          <w:lang w:val="en-GB"/>
        </w:rPr>
        <w:t xml:space="preserve"> Española de </w:t>
      </w:r>
      <w:proofErr w:type="spellStart"/>
      <w:r w:rsidRPr="006F74DB">
        <w:rPr>
          <w:b/>
          <w:bCs/>
          <w:lang w:val="en-GB"/>
        </w:rPr>
        <w:t>Urología</w:t>
      </w:r>
      <w:proofErr w:type="spellEnd"/>
      <w:r w:rsidRPr="006F74DB">
        <w:rPr>
          <w:b/>
          <w:bCs/>
          <w:lang w:val="en-GB"/>
        </w:rPr>
        <w:t xml:space="preserve">, AEU) </w:t>
      </w:r>
      <w:r w:rsidRPr="006F74DB">
        <w:rPr>
          <w:lang w:val="en-GB"/>
        </w:rPr>
        <w:t xml:space="preserve">endorses the current </w:t>
      </w:r>
      <w:r w:rsidRPr="006F74DB">
        <w:rPr>
          <w:b/>
          <w:lang w:val="en-GB"/>
        </w:rPr>
        <w:t>2024 Guidelines of the European Association of Urology (EAU)</w:t>
      </w:r>
      <w:r w:rsidRPr="006F74DB">
        <w:rPr>
          <w:bCs/>
          <w:lang w:val="en-GB"/>
        </w:rPr>
        <w:t>,</w:t>
      </w:r>
      <w:r w:rsidRPr="006F74DB">
        <w:rPr>
          <w:rStyle w:val="Funotenzeichen"/>
          <w:lang w:val="en-GB"/>
        </w:rPr>
        <w:footnoteReference w:id="25"/>
      </w:r>
      <w:r w:rsidRPr="006F74DB">
        <w:rPr>
          <w:bCs/>
          <w:lang w:val="en-GB"/>
        </w:rPr>
        <w:t xml:space="preserve"> which include the current </w:t>
      </w:r>
      <w:r w:rsidRPr="006F74DB">
        <w:rPr>
          <w:b/>
          <w:lang w:val="en-GB"/>
        </w:rPr>
        <w:t xml:space="preserve">ESPU/EAU </w:t>
      </w:r>
      <w:r w:rsidRPr="006F74DB">
        <w:rPr>
          <w:b/>
          <w:i/>
          <w:lang w:val="en-GB"/>
        </w:rPr>
        <w:t xml:space="preserve">“Paediatric Urology” </w:t>
      </w:r>
      <w:r w:rsidRPr="006F74DB">
        <w:rPr>
          <w:b/>
          <w:lang w:val="en-GB"/>
        </w:rPr>
        <w:t>Guidelines 2024</w:t>
      </w:r>
      <w:r w:rsidRPr="006F74DB">
        <w:rPr>
          <w:rStyle w:val="Funotenzeichen"/>
          <w:lang w:val="en-GB"/>
        </w:rPr>
        <w:footnoteReference w:id="26"/>
      </w:r>
      <w:r w:rsidRPr="006F74DB">
        <w:rPr>
          <w:lang w:val="en-GB"/>
        </w:rPr>
        <w:t xml:space="preserve"> of the European Society for Paediatric Urology (ESPU) and the European Association of Urology (EAU). In </w:t>
      </w:r>
      <w:r w:rsidRPr="006F74DB">
        <w:rPr>
          <w:b/>
          <w:bCs/>
          <w:lang w:val="en-GB"/>
        </w:rPr>
        <w:t xml:space="preserve">chapter 3.7 </w:t>
      </w:r>
      <w:r w:rsidRPr="006F74DB">
        <w:rPr>
          <w:b/>
          <w:bCs/>
          <w:i/>
          <w:iCs/>
          <w:lang w:val="en-GB"/>
        </w:rPr>
        <w:t>“Hypospadias”</w:t>
      </w:r>
      <w:r w:rsidRPr="006F74DB">
        <w:rPr>
          <w:lang w:val="en-GB"/>
        </w:rPr>
        <w:t>,</w:t>
      </w:r>
      <w:r w:rsidRPr="006F74DB">
        <w:rPr>
          <w:rStyle w:val="Funotenzeichen"/>
          <w:lang w:val="en-GB"/>
        </w:rPr>
        <w:footnoteReference w:id="27"/>
      </w:r>
      <w:r w:rsidRPr="006F74DB">
        <w:rPr>
          <w:lang w:val="en-GB"/>
        </w:rPr>
        <w:t xml:space="preserve"> </w:t>
      </w:r>
      <w:r w:rsidRPr="006F74DB">
        <w:rPr>
          <w:rFonts w:cs="Times New Roman"/>
          <w:lang w:val="en-GB"/>
        </w:rPr>
        <w:t xml:space="preserve">the ESPU/EAU Guidelines’ </w:t>
      </w:r>
      <w:r w:rsidRPr="006F74DB">
        <w:rPr>
          <w:rFonts w:cs="Times New Roman"/>
          <w:b/>
          <w:bCs/>
          <w:lang w:val="en-GB"/>
        </w:rPr>
        <w:t xml:space="preserve">section 3.7.5.3 </w:t>
      </w:r>
      <w:r w:rsidRPr="006F74DB">
        <w:rPr>
          <w:rFonts w:cs="Times New Roman"/>
          <w:b/>
          <w:bCs/>
          <w:i/>
          <w:iCs/>
          <w:lang w:val="en-GB"/>
        </w:rPr>
        <w:t>“Age at surgery”</w:t>
      </w:r>
      <w:r w:rsidRPr="006F74DB">
        <w:rPr>
          <w:rFonts w:cs="Times New Roman"/>
          <w:i/>
          <w:iCs/>
          <w:lang w:val="en-GB"/>
        </w:rPr>
        <w:t xml:space="preserve"> </w:t>
      </w:r>
      <w:r w:rsidRPr="006F74DB">
        <w:rPr>
          <w:rFonts w:cs="Times New Roman"/>
          <w:lang w:val="en-GB"/>
        </w:rPr>
        <w:t xml:space="preserve">explicitly promotes, </w:t>
      </w:r>
      <w:r w:rsidRPr="006F74DB">
        <w:rPr>
          <w:rFonts w:cs="Times New Roman"/>
          <w:b/>
          <w:bCs/>
          <w:i/>
          <w:iCs/>
          <w:lang w:val="en-GB"/>
        </w:rPr>
        <w:t>“The age at surgery for primary hypospadias repair is usually 6-18 (24) months.”</w:t>
      </w:r>
      <w:r w:rsidRPr="006F74DB">
        <w:rPr>
          <w:rStyle w:val="Funotenzeichen"/>
          <w:lang w:val="en-GB"/>
        </w:rPr>
        <w:t xml:space="preserve"> </w:t>
      </w:r>
      <w:r w:rsidRPr="006F74DB">
        <w:rPr>
          <w:rStyle w:val="Funotenzeichen"/>
          <w:lang w:val="en-GB"/>
        </w:rPr>
        <w:footnoteReference w:id="28"/>
      </w:r>
      <w:r w:rsidRPr="006F74DB">
        <w:rPr>
          <w:lang w:val="en-GB"/>
        </w:rPr>
        <w:t xml:space="preserve"> – </w:t>
      </w:r>
      <w:r w:rsidRPr="006F74DB">
        <w:rPr>
          <w:rFonts w:cs="Times New Roman"/>
          <w:lang w:val="en-GB"/>
        </w:rPr>
        <w:t xml:space="preserve">despite admitting to the </w:t>
      </w:r>
      <w:r w:rsidRPr="006F74DB">
        <w:rPr>
          <w:rFonts w:cs="Times New Roman"/>
          <w:i/>
          <w:lang w:val="en-GB"/>
        </w:rPr>
        <w:t>“risk of complications”</w:t>
      </w:r>
      <w:r w:rsidRPr="006F74DB">
        <w:rPr>
          <w:rFonts w:cs="Times New Roman"/>
          <w:lang w:val="en-GB"/>
        </w:rPr>
        <w:t xml:space="preserve"> </w:t>
      </w:r>
      <w:r w:rsidRPr="006F74DB">
        <w:rPr>
          <w:rStyle w:val="Funotenzeichen"/>
          <w:lang w:val="en-GB"/>
        </w:rPr>
        <w:footnoteReference w:id="29"/>
      </w:r>
      <w:r w:rsidRPr="006F74DB">
        <w:rPr>
          <w:rFonts w:cs="Times New Roman"/>
          <w:lang w:val="en-GB"/>
        </w:rPr>
        <w:t xml:space="preserve"> and </w:t>
      </w:r>
      <w:r w:rsidRPr="006F74DB">
        <w:rPr>
          <w:rFonts w:cs="Times New Roman"/>
          <w:i/>
          <w:lang w:val="en-GB"/>
        </w:rPr>
        <w:t>“</w:t>
      </w:r>
      <w:proofErr w:type="gramStart"/>
      <w:r w:rsidRPr="006F74DB">
        <w:rPr>
          <w:rFonts w:cs="Times New Roman"/>
          <w:i/>
          <w:lang w:val="en-GB"/>
        </w:rPr>
        <w:t>aesthetic[</w:t>
      </w:r>
      <w:proofErr w:type="gramEnd"/>
      <w:r w:rsidRPr="006F74DB">
        <w:rPr>
          <w:rFonts w:cs="Times New Roman"/>
          <w:i/>
          <w:lang w:val="en-GB"/>
        </w:rPr>
        <w:t xml:space="preserve">…]” </w:t>
      </w:r>
      <w:r w:rsidRPr="006F74DB">
        <w:rPr>
          <w:rFonts w:cs="Times New Roman"/>
          <w:iCs/>
          <w:lang w:val="en-GB"/>
        </w:rPr>
        <w:t xml:space="preserve">and </w:t>
      </w:r>
      <w:r w:rsidRPr="006F74DB">
        <w:rPr>
          <w:rFonts w:cs="Times New Roman"/>
          <w:i/>
          <w:lang w:val="en-GB"/>
        </w:rPr>
        <w:t xml:space="preserve">“cosmetic” </w:t>
      </w:r>
      <w:r w:rsidRPr="006F74DB">
        <w:rPr>
          <w:rFonts w:cs="Times New Roman"/>
          <w:iCs/>
          <w:lang w:val="en-GB"/>
        </w:rPr>
        <w:t>justifications.</w:t>
      </w:r>
      <w:r w:rsidRPr="006F74DB">
        <w:rPr>
          <w:rStyle w:val="Funotenzeichen"/>
          <w:rFonts w:cs="Times New Roman"/>
          <w:lang w:val="en-GB"/>
        </w:rPr>
        <w:footnoteReference w:id="30"/>
      </w:r>
    </w:p>
    <w:p w:rsidR="00E61DD9" w:rsidRPr="006F74DB" w:rsidRDefault="00E61DD9" w:rsidP="00E61DD9">
      <w:pPr>
        <w:pStyle w:val="absatzschattenbericht"/>
        <w:rPr>
          <w:lang w:val="en-GB"/>
        </w:rPr>
      </w:pPr>
      <w:r w:rsidRPr="006F74DB">
        <w:rPr>
          <w:lang w:val="en-GB"/>
        </w:rPr>
        <w:t xml:space="preserve">Accordingly, the </w:t>
      </w:r>
      <w:r w:rsidRPr="006F74DB">
        <w:rPr>
          <w:b/>
          <w:bCs/>
          <w:lang w:val="en-GB"/>
        </w:rPr>
        <w:t>evidence of Spanish hospitals promoting IGM 1</w:t>
      </w:r>
      <w:r w:rsidRPr="006F74DB">
        <w:rPr>
          <w:lang w:val="en-GB"/>
        </w:rPr>
        <w:t xml:space="preserve"> documented in </w:t>
      </w:r>
      <w:r w:rsidR="00F70505" w:rsidRPr="006F74DB">
        <w:rPr>
          <w:lang w:val="en-GB"/>
        </w:rPr>
        <w:t xml:space="preserve">our NGO Report for LOIPR together with </w:t>
      </w:r>
      <w:proofErr w:type="spellStart"/>
      <w:r w:rsidR="00F70505" w:rsidRPr="006F74DB">
        <w:rPr>
          <w:lang w:val="en-GB"/>
        </w:rPr>
        <w:t>Caminar</w:t>
      </w:r>
      <w:proofErr w:type="spellEnd"/>
      <w:r w:rsidR="00F70505" w:rsidRPr="006F74DB">
        <w:rPr>
          <w:lang w:val="en-GB"/>
        </w:rPr>
        <w:t xml:space="preserve"> Intersex,</w:t>
      </w:r>
      <w:r w:rsidR="00F70505" w:rsidRPr="006F74DB">
        <w:rPr>
          <w:rStyle w:val="Funotenzeichen"/>
          <w:lang w:val="en-GB"/>
        </w:rPr>
        <w:footnoteReference w:id="31"/>
      </w:r>
      <w:r w:rsidRPr="006F74DB">
        <w:rPr>
          <w:lang w:val="en-GB"/>
        </w:rPr>
        <w:t xml:space="preserve"> (p. 13-14) still </w:t>
      </w:r>
      <w:r w:rsidRPr="006F74DB">
        <w:rPr>
          <w:b/>
          <w:bCs/>
          <w:lang w:val="en-GB"/>
        </w:rPr>
        <w:t xml:space="preserve">remains </w:t>
      </w:r>
      <w:r w:rsidR="00E8313D" w:rsidRPr="006F74DB">
        <w:rPr>
          <w:b/>
          <w:bCs/>
          <w:lang w:val="en-GB"/>
        </w:rPr>
        <w:t>current</w:t>
      </w:r>
      <w:r w:rsidRPr="006F74DB">
        <w:rPr>
          <w:lang w:val="en-GB"/>
        </w:rPr>
        <w:t>.</w:t>
      </w:r>
    </w:p>
    <w:p w:rsidR="00DB4A71" w:rsidRPr="006F74DB" w:rsidRDefault="00E54CBC" w:rsidP="00DB4A71">
      <w:pPr>
        <w:pStyle w:val="absatzschattenbericht"/>
        <w:rPr>
          <w:lang w:val="en-GB"/>
        </w:rPr>
      </w:pPr>
      <w:r w:rsidRPr="006F74DB">
        <w:rPr>
          <w:lang w:val="en-GB"/>
        </w:rPr>
        <w:t xml:space="preserve">In addition, the </w:t>
      </w:r>
      <w:r w:rsidRPr="006F74DB">
        <w:rPr>
          <w:b/>
          <w:bCs/>
          <w:lang w:val="en-GB"/>
        </w:rPr>
        <w:t xml:space="preserve">Barcelona Children’s University Hospital SJD Sant Joan de </w:t>
      </w:r>
      <w:proofErr w:type="spellStart"/>
      <w:r w:rsidRPr="006F74DB">
        <w:rPr>
          <w:b/>
          <w:bCs/>
          <w:lang w:val="en-GB"/>
        </w:rPr>
        <w:t>Déu</w:t>
      </w:r>
      <w:proofErr w:type="spellEnd"/>
      <w:r w:rsidRPr="006F74DB">
        <w:rPr>
          <w:lang w:val="en-GB"/>
        </w:rPr>
        <w:t xml:space="preserve"> </w:t>
      </w:r>
      <w:r w:rsidR="005D18BF" w:rsidRPr="006F74DB">
        <w:rPr>
          <w:lang w:val="en-GB"/>
        </w:rPr>
        <w:t xml:space="preserve">offers on its English language </w:t>
      </w:r>
      <w:r w:rsidR="005D18BF" w:rsidRPr="006F74DB">
        <w:rPr>
          <w:b/>
          <w:bCs/>
          <w:i/>
          <w:iCs/>
          <w:lang w:val="en-GB"/>
        </w:rPr>
        <w:t>“Urology”</w:t>
      </w:r>
      <w:r w:rsidR="005D18BF" w:rsidRPr="006F74DB">
        <w:rPr>
          <w:i/>
          <w:iCs/>
          <w:lang w:val="en-GB"/>
        </w:rPr>
        <w:t xml:space="preserve"> </w:t>
      </w:r>
      <w:r w:rsidR="005D18BF" w:rsidRPr="006F74DB">
        <w:rPr>
          <w:lang w:val="en-GB"/>
        </w:rPr>
        <w:t>homepage</w:t>
      </w:r>
      <w:r w:rsidRPr="006F74DB">
        <w:rPr>
          <w:lang w:val="en-GB"/>
        </w:rPr>
        <w:t>:</w:t>
      </w:r>
      <w:r w:rsidR="00602EE2" w:rsidRPr="006F74DB">
        <w:rPr>
          <w:rStyle w:val="Funotenzeichen"/>
          <w:lang w:val="en-GB"/>
        </w:rPr>
        <w:footnoteReference w:id="32"/>
      </w:r>
    </w:p>
    <w:p w:rsidR="00E54CBC" w:rsidRPr="006F74DB" w:rsidRDefault="00E54CBC" w:rsidP="00E54CBC">
      <w:pPr>
        <w:pStyle w:val="absatzschattenbericht"/>
        <w:ind w:left="284"/>
        <w:rPr>
          <w:i/>
          <w:iCs/>
          <w:lang w:val="en-GB"/>
        </w:rPr>
      </w:pPr>
      <w:r w:rsidRPr="006F74DB">
        <w:rPr>
          <w:i/>
          <w:iCs/>
          <w:lang w:val="en-GB"/>
        </w:rPr>
        <w:t xml:space="preserve">“Among the fields of special interest, the department treats […] </w:t>
      </w:r>
      <w:r w:rsidRPr="006F74DB">
        <w:rPr>
          <w:b/>
          <w:bCs/>
          <w:i/>
          <w:iCs/>
          <w:lang w:val="en-GB"/>
        </w:rPr>
        <w:t xml:space="preserve">disorders of sex development </w:t>
      </w:r>
      <w:r w:rsidRPr="006F74DB">
        <w:rPr>
          <w:b/>
          <w:bCs/>
          <w:i/>
          <w:iCs/>
          <w:lang w:val="en-GB"/>
        </w:rPr>
        <w:lastRenderedPageBreak/>
        <w:t>(DSD)</w:t>
      </w:r>
      <w:r w:rsidRPr="006F74DB">
        <w:rPr>
          <w:i/>
          <w:iCs/>
          <w:lang w:val="en-GB"/>
        </w:rPr>
        <w:t xml:space="preserve">, and uses minimally invasive surgery in the treatment of obstructive uropathies and </w:t>
      </w:r>
      <w:r w:rsidRPr="006F74DB">
        <w:rPr>
          <w:b/>
          <w:bCs/>
          <w:i/>
          <w:iCs/>
          <w:lang w:val="en-GB"/>
        </w:rPr>
        <w:t>hypospadias surgery</w:t>
      </w:r>
      <w:r w:rsidRPr="006F74DB">
        <w:rPr>
          <w:i/>
          <w:iCs/>
          <w:lang w:val="en-GB"/>
        </w:rPr>
        <w:t>.”</w:t>
      </w:r>
    </w:p>
    <w:p w:rsidR="009D5876" w:rsidRPr="006F74DB" w:rsidRDefault="009D5876" w:rsidP="009D5876">
      <w:pPr>
        <w:pStyle w:val="absatzschattenbericht"/>
        <w:rPr>
          <w:lang w:val="en-GB"/>
        </w:rPr>
      </w:pPr>
      <w:r w:rsidRPr="006F74DB">
        <w:rPr>
          <w:lang w:val="en-GB"/>
        </w:rPr>
        <w:t xml:space="preserve">Further, the </w:t>
      </w:r>
      <w:r w:rsidRPr="006F74DB">
        <w:rPr>
          <w:b/>
          <w:bCs/>
          <w:lang w:val="en-GB"/>
        </w:rPr>
        <w:t xml:space="preserve">Hospital General Universitario Gregorio </w:t>
      </w:r>
      <w:proofErr w:type="spellStart"/>
      <w:r w:rsidRPr="006F74DB">
        <w:rPr>
          <w:b/>
          <w:bCs/>
          <w:lang w:val="en-GB"/>
        </w:rPr>
        <w:t>Marañón</w:t>
      </w:r>
      <w:proofErr w:type="spellEnd"/>
      <w:r w:rsidRPr="006F74DB">
        <w:rPr>
          <w:b/>
          <w:bCs/>
          <w:lang w:val="en-GB"/>
        </w:rPr>
        <w:t xml:space="preserve"> (Madrid)</w:t>
      </w:r>
      <w:r w:rsidRPr="006F74DB">
        <w:rPr>
          <w:lang w:val="en-GB"/>
        </w:rPr>
        <w:t xml:space="preserve"> promotes on its </w:t>
      </w:r>
      <w:r w:rsidRPr="006F74DB">
        <w:rPr>
          <w:b/>
          <w:bCs/>
          <w:i/>
          <w:iCs/>
          <w:lang w:val="en-GB"/>
        </w:rPr>
        <w:t>“</w:t>
      </w:r>
      <w:r w:rsidR="00ED00EB" w:rsidRPr="006F74DB">
        <w:rPr>
          <w:b/>
          <w:bCs/>
          <w:i/>
          <w:iCs/>
          <w:lang w:val="en-GB"/>
        </w:rPr>
        <w:t>Paediatric Surgery &gt;&gt;&gt; Paediatric Urology</w:t>
      </w:r>
      <w:r w:rsidRPr="006F74DB">
        <w:rPr>
          <w:b/>
          <w:bCs/>
          <w:i/>
          <w:iCs/>
          <w:lang w:val="en-GB"/>
        </w:rPr>
        <w:t>”</w:t>
      </w:r>
      <w:r w:rsidRPr="006F74DB">
        <w:rPr>
          <w:i/>
          <w:iCs/>
          <w:lang w:val="en-GB"/>
        </w:rPr>
        <w:t xml:space="preserve"> </w:t>
      </w:r>
      <w:r w:rsidRPr="006F74DB">
        <w:rPr>
          <w:lang w:val="en-GB"/>
        </w:rPr>
        <w:t>homepage:</w:t>
      </w:r>
      <w:r w:rsidRPr="006F74DB">
        <w:rPr>
          <w:rStyle w:val="Funotenzeichen"/>
          <w:rFonts w:cs="Times New Roman"/>
          <w:lang w:val="en-GB"/>
        </w:rPr>
        <w:footnoteReference w:id="33"/>
      </w:r>
    </w:p>
    <w:p w:rsidR="009D5876" w:rsidRPr="006F74DB" w:rsidRDefault="009D5876" w:rsidP="009D5876">
      <w:pPr>
        <w:pStyle w:val="absatzschattenbericht"/>
        <w:ind w:left="284"/>
        <w:rPr>
          <w:i/>
          <w:iCs/>
          <w:lang w:val="en-GB"/>
        </w:rPr>
      </w:pPr>
      <w:r w:rsidRPr="006F74DB">
        <w:rPr>
          <w:i/>
          <w:iCs/>
          <w:lang w:val="en-GB"/>
        </w:rPr>
        <w:t xml:space="preserve">“Treatment of </w:t>
      </w:r>
      <w:r w:rsidRPr="006F74DB">
        <w:rPr>
          <w:b/>
          <w:bCs/>
          <w:i/>
          <w:iCs/>
          <w:lang w:val="en-GB"/>
        </w:rPr>
        <w:t>congenital malposition of the penile urethra</w:t>
      </w:r>
    </w:p>
    <w:p w:rsidR="009D5876" w:rsidRPr="006F74DB" w:rsidRDefault="009D5876" w:rsidP="009D5876">
      <w:pPr>
        <w:pStyle w:val="absatzschattenbericht"/>
        <w:ind w:left="284"/>
        <w:rPr>
          <w:i/>
          <w:iCs/>
          <w:lang w:val="en-GB"/>
        </w:rPr>
      </w:pPr>
      <w:r w:rsidRPr="006F74DB">
        <w:rPr>
          <w:i/>
          <w:iCs/>
          <w:lang w:val="en-GB"/>
        </w:rPr>
        <w:t xml:space="preserve">    Epispadias</w:t>
      </w:r>
    </w:p>
    <w:p w:rsidR="009D5876" w:rsidRPr="006F74DB" w:rsidRDefault="009D5876" w:rsidP="00597ED1">
      <w:pPr>
        <w:pStyle w:val="absatzschattenbericht"/>
        <w:ind w:left="284"/>
        <w:rPr>
          <w:b/>
          <w:bCs/>
          <w:i/>
          <w:iCs/>
          <w:lang w:val="en-GB"/>
        </w:rPr>
      </w:pPr>
      <w:r w:rsidRPr="006F74DB">
        <w:rPr>
          <w:b/>
          <w:bCs/>
          <w:i/>
          <w:iCs/>
          <w:lang w:val="en-GB"/>
        </w:rPr>
        <w:t xml:space="preserve">    Hypospadias</w:t>
      </w:r>
      <w:r w:rsidR="00597ED1" w:rsidRPr="006F74DB">
        <w:rPr>
          <w:b/>
          <w:bCs/>
          <w:i/>
          <w:iCs/>
          <w:lang w:val="en-GB"/>
        </w:rPr>
        <w:t xml:space="preserve"> </w:t>
      </w:r>
      <w:r w:rsidRPr="006F74DB">
        <w:rPr>
          <w:i/>
          <w:iCs/>
          <w:lang w:val="en-GB"/>
        </w:rPr>
        <w:t>[...]</w:t>
      </w:r>
    </w:p>
    <w:p w:rsidR="009D5876" w:rsidRPr="006F74DB" w:rsidRDefault="009D5876" w:rsidP="009D5876">
      <w:pPr>
        <w:pStyle w:val="absatzschattenbericht"/>
        <w:ind w:left="284"/>
        <w:rPr>
          <w:i/>
          <w:iCs/>
          <w:lang w:val="en-GB"/>
        </w:rPr>
      </w:pPr>
      <w:r w:rsidRPr="006F74DB">
        <w:rPr>
          <w:i/>
          <w:iCs/>
          <w:lang w:val="en-GB"/>
        </w:rPr>
        <w:t xml:space="preserve">Treatment of </w:t>
      </w:r>
      <w:r w:rsidRPr="006F74DB">
        <w:rPr>
          <w:b/>
          <w:bCs/>
          <w:i/>
          <w:iCs/>
          <w:lang w:val="en-GB"/>
        </w:rPr>
        <w:t>diseases of the penis.</w:t>
      </w:r>
      <w:r w:rsidRPr="006F74DB">
        <w:rPr>
          <w:i/>
          <w:iCs/>
          <w:lang w:val="en-GB"/>
        </w:rPr>
        <w:t xml:space="preserve"> Treatment of congenital malformations of the penis. </w:t>
      </w:r>
      <w:r w:rsidRPr="006F74DB">
        <w:rPr>
          <w:b/>
          <w:bCs/>
          <w:i/>
          <w:iCs/>
          <w:lang w:val="en-GB"/>
        </w:rPr>
        <w:t>Treatment of curved penis, buried penis</w:t>
      </w:r>
      <w:r w:rsidRPr="006F74DB">
        <w:rPr>
          <w:i/>
          <w:iCs/>
          <w:lang w:val="en-GB"/>
        </w:rPr>
        <w:t xml:space="preserve"> [...]</w:t>
      </w:r>
    </w:p>
    <w:p w:rsidR="009D5876" w:rsidRPr="006F74DB" w:rsidRDefault="009D5876" w:rsidP="009D5876">
      <w:pPr>
        <w:pStyle w:val="absatzschattenbericht"/>
        <w:ind w:left="284"/>
        <w:rPr>
          <w:b/>
          <w:bCs/>
          <w:i/>
          <w:iCs/>
          <w:lang w:val="en-GB"/>
        </w:rPr>
      </w:pPr>
      <w:r w:rsidRPr="006F74DB">
        <w:rPr>
          <w:b/>
          <w:bCs/>
          <w:i/>
          <w:iCs/>
          <w:lang w:val="en-GB"/>
        </w:rPr>
        <w:t xml:space="preserve">Surgery for intersex conditions. </w:t>
      </w:r>
      <w:r w:rsidRPr="006F74DB">
        <w:rPr>
          <w:i/>
          <w:iCs/>
          <w:lang w:val="en-GB"/>
        </w:rPr>
        <w:t xml:space="preserve">Orchiectomy for gonadal dysgenesis. </w:t>
      </w:r>
      <w:r w:rsidRPr="006F74DB">
        <w:rPr>
          <w:b/>
          <w:bCs/>
          <w:i/>
          <w:iCs/>
          <w:lang w:val="en-GB"/>
        </w:rPr>
        <w:t>Correction of ambiguous genitalia.”</w:t>
      </w:r>
    </w:p>
    <w:p w:rsidR="00812D8B" w:rsidRPr="006F74DB" w:rsidRDefault="00812D8B" w:rsidP="004C20B6">
      <w:pPr>
        <w:pStyle w:val="absatzschattenbericht"/>
        <w:rPr>
          <w:lang w:val="en-GB"/>
        </w:rPr>
      </w:pPr>
      <w:r w:rsidRPr="006F74DB">
        <w:rPr>
          <w:lang w:val="en-GB"/>
        </w:rPr>
        <w:t xml:space="preserve">In addition, the private clinic </w:t>
      </w:r>
      <w:proofErr w:type="spellStart"/>
      <w:r w:rsidRPr="006F74DB">
        <w:rPr>
          <w:b/>
          <w:bCs/>
          <w:lang w:val="en-GB"/>
        </w:rPr>
        <w:t>Lyx</w:t>
      </w:r>
      <w:proofErr w:type="spellEnd"/>
      <w:r w:rsidRPr="006F74DB">
        <w:rPr>
          <w:b/>
          <w:bCs/>
          <w:lang w:val="en-GB"/>
        </w:rPr>
        <w:t xml:space="preserve"> </w:t>
      </w:r>
      <w:proofErr w:type="spellStart"/>
      <w:r w:rsidRPr="006F74DB">
        <w:rPr>
          <w:b/>
          <w:bCs/>
          <w:lang w:val="en-GB"/>
        </w:rPr>
        <w:t>Insitute</w:t>
      </w:r>
      <w:proofErr w:type="spellEnd"/>
      <w:r w:rsidRPr="006F74DB">
        <w:rPr>
          <w:b/>
          <w:bCs/>
          <w:lang w:val="en-GB"/>
        </w:rPr>
        <w:t xml:space="preserve"> of Urology</w:t>
      </w:r>
      <w:r w:rsidRPr="006F74DB">
        <w:rPr>
          <w:lang w:val="en-GB"/>
        </w:rPr>
        <w:t xml:space="preserve"> </w:t>
      </w:r>
      <w:r w:rsidR="004C20B6" w:rsidRPr="006F74DB">
        <w:rPr>
          <w:lang w:val="en-GB"/>
        </w:rPr>
        <w:t xml:space="preserve">in </w:t>
      </w:r>
      <w:r w:rsidR="004C20B6" w:rsidRPr="006F74DB">
        <w:rPr>
          <w:b/>
          <w:bCs/>
          <w:lang w:val="en-GB"/>
        </w:rPr>
        <w:t>Madrid</w:t>
      </w:r>
      <w:r w:rsidR="004C20B6" w:rsidRPr="006F74DB">
        <w:rPr>
          <w:lang w:val="en-GB"/>
        </w:rPr>
        <w:t xml:space="preserve"> promotes </w:t>
      </w:r>
      <w:r w:rsidR="004C20B6" w:rsidRPr="006F74DB">
        <w:rPr>
          <w:b/>
          <w:bCs/>
          <w:lang w:val="en-GB"/>
        </w:rPr>
        <w:t>hypospadias “repair”</w:t>
      </w:r>
      <w:r w:rsidR="004C20B6" w:rsidRPr="006F74DB">
        <w:rPr>
          <w:lang w:val="en-GB"/>
        </w:rPr>
        <w:t xml:space="preserve"> </w:t>
      </w:r>
      <w:r w:rsidR="004C20B6" w:rsidRPr="006F74DB">
        <w:rPr>
          <w:b/>
          <w:bCs/>
          <w:i/>
          <w:iCs/>
          <w:lang w:val="en-GB"/>
        </w:rPr>
        <w:t>“between 3 and 18 months”</w:t>
      </w:r>
      <w:r w:rsidR="004C20B6" w:rsidRPr="006F74DB">
        <w:rPr>
          <w:i/>
          <w:iCs/>
          <w:lang w:val="en-GB"/>
        </w:rPr>
        <w:t xml:space="preserve"> </w:t>
      </w:r>
      <w:r w:rsidR="004C20B6" w:rsidRPr="006F74DB">
        <w:rPr>
          <w:lang w:val="en-GB"/>
        </w:rPr>
        <w:t xml:space="preserve">on its English language </w:t>
      </w:r>
      <w:r w:rsidR="004C20B6" w:rsidRPr="006F74DB">
        <w:rPr>
          <w:b/>
          <w:bCs/>
          <w:i/>
          <w:iCs/>
          <w:lang w:val="en-GB"/>
        </w:rPr>
        <w:t xml:space="preserve">“Hypospadias” </w:t>
      </w:r>
      <w:r w:rsidR="004C20B6" w:rsidRPr="006F74DB">
        <w:rPr>
          <w:lang w:val="en-GB"/>
        </w:rPr>
        <w:t>homepage</w:t>
      </w:r>
      <w:r w:rsidRPr="006F74DB">
        <w:rPr>
          <w:lang w:val="en-GB"/>
        </w:rPr>
        <w:t>:</w:t>
      </w:r>
      <w:r w:rsidR="00DE5DDB" w:rsidRPr="006F74DB">
        <w:rPr>
          <w:rStyle w:val="Funotenzeichen"/>
          <w:rFonts w:cs="Times New Roman"/>
          <w:lang w:val="en-GB"/>
        </w:rPr>
        <w:footnoteReference w:id="34"/>
      </w:r>
    </w:p>
    <w:p w:rsidR="00DB4A71" w:rsidRPr="006F74DB" w:rsidRDefault="009444F5" w:rsidP="00CE310F">
      <w:pPr>
        <w:pStyle w:val="absatzschattenbericht"/>
        <w:ind w:left="284"/>
        <w:rPr>
          <w:i/>
          <w:iCs/>
          <w:lang w:val="en-GB"/>
        </w:rPr>
      </w:pPr>
      <w:r w:rsidRPr="006F74DB">
        <w:rPr>
          <w:i/>
          <w:iCs/>
          <w:lang w:val="en-GB"/>
        </w:rPr>
        <w:t xml:space="preserve">“In our Urology Centre in Madrid, we perform treatments to </w:t>
      </w:r>
      <w:r w:rsidRPr="006F74DB">
        <w:rPr>
          <w:b/>
          <w:bCs/>
          <w:i/>
          <w:iCs/>
          <w:lang w:val="en-GB"/>
        </w:rPr>
        <w:t>put an end to the problem of hypospadias.</w:t>
      </w:r>
      <w:r w:rsidRPr="006F74DB">
        <w:rPr>
          <w:i/>
          <w:iCs/>
          <w:lang w:val="en-GB"/>
        </w:rPr>
        <w:t xml:space="preserve"> If you need surgery, </w:t>
      </w:r>
      <w:r w:rsidRPr="006F74DB">
        <w:rPr>
          <w:b/>
          <w:bCs/>
          <w:i/>
          <w:iCs/>
          <w:lang w:val="en-GB"/>
        </w:rPr>
        <w:t>the most common is when the child is between 3 and 18 months</w:t>
      </w:r>
      <w:r w:rsidRPr="006F74DB">
        <w:rPr>
          <w:i/>
          <w:iCs/>
          <w:lang w:val="en-GB"/>
        </w:rPr>
        <w:t xml:space="preserve"> of age. </w:t>
      </w:r>
      <w:r w:rsidRPr="006F74DB">
        <w:rPr>
          <w:b/>
          <w:bCs/>
          <w:i/>
          <w:iCs/>
          <w:lang w:val="en-GB"/>
        </w:rPr>
        <w:t>Several interventions</w:t>
      </w:r>
      <w:r w:rsidRPr="006F74DB">
        <w:rPr>
          <w:i/>
          <w:iCs/>
          <w:lang w:val="en-GB"/>
        </w:rPr>
        <w:t xml:space="preserve"> may be necessary.”</w:t>
      </w:r>
    </w:p>
    <w:p w:rsidR="001435A6" w:rsidRPr="006F74DB" w:rsidRDefault="00BD3142" w:rsidP="006C7D41">
      <w:pPr>
        <w:pStyle w:val="Title2"/>
        <w:tabs>
          <w:tab w:val="left" w:pos="7689"/>
        </w:tabs>
        <w:rPr>
          <w:rFonts w:eastAsia="Baskerville"/>
          <w:szCs w:val="24"/>
        </w:rPr>
      </w:pPr>
      <w:bookmarkStart w:id="39" w:name="_Toc173456315"/>
      <w:r w:rsidRPr="006F74DB">
        <w:t>3</w:t>
      </w:r>
      <w:r w:rsidR="00507E9A" w:rsidRPr="006F74DB">
        <w:t xml:space="preserve">.  </w:t>
      </w:r>
      <w:r w:rsidR="00906108" w:rsidRPr="006F74DB">
        <w:t xml:space="preserve">New </w:t>
      </w:r>
      <w:r w:rsidR="008015DD" w:rsidRPr="006F74DB">
        <w:t>national Organic</w:t>
      </w:r>
      <w:r w:rsidR="00396F0A" w:rsidRPr="006F74DB">
        <w:t xml:space="preserve"> Law</w:t>
      </w:r>
      <w:r w:rsidR="008015DD" w:rsidRPr="006F74DB">
        <w:t xml:space="preserve"> 4/2023</w:t>
      </w:r>
      <w:r w:rsidR="00396F0A" w:rsidRPr="006F74DB">
        <w:t xml:space="preserve"> </w:t>
      </w:r>
      <w:bookmarkEnd w:id="20"/>
      <w:r w:rsidR="00FB05BB" w:rsidRPr="006F74DB">
        <w:t>fails to protect intersex children</w:t>
      </w:r>
      <w:r w:rsidR="008015DD" w:rsidRPr="006F74DB">
        <w:t xml:space="preserve"> from IGM</w:t>
      </w:r>
      <w:bookmarkEnd w:id="39"/>
    </w:p>
    <w:p w:rsidR="00CE310F" w:rsidRPr="006F74DB" w:rsidRDefault="00CE310F" w:rsidP="00CE310F">
      <w:pPr>
        <w:pStyle w:val="absatzschattenbericht"/>
        <w:rPr>
          <w:lang w:val="en-GB"/>
        </w:rPr>
      </w:pPr>
      <w:r w:rsidRPr="006F74DB">
        <w:rPr>
          <w:lang w:val="en-GB"/>
        </w:rPr>
        <w:t xml:space="preserve">Previously, there were only </w:t>
      </w:r>
      <w:r w:rsidRPr="006F74DB">
        <w:rPr>
          <w:b/>
          <w:bCs/>
          <w:lang w:val="en-GB"/>
        </w:rPr>
        <w:t>regional laws</w:t>
      </w:r>
      <w:r w:rsidRPr="006F74DB">
        <w:rPr>
          <w:lang w:val="en-GB"/>
        </w:rPr>
        <w:t xml:space="preserve"> regarding IGM. Out of the </w:t>
      </w:r>
      <w:r w:rsidRPr="006F74DB">
        <w:rPr>
          <w:b/>
          <w:bCs/>
          <w:lang w:val="en-GB"/>
        </w:rPr>
        <w:t>17 Autonomous Communities</w:t>
      </w:r>
      <w:r w:rsidRPr="006F74DB">
        <w:rPr>
          <w:lang w:val="en-GB"/>
        </w:rPr>
        <w:t xml:space="preserve"> in Spain, so far </w:t>
      </w:r>
      <w:r w:rsidRPr="006F74DB">
        <w:rPr>
          <w:b/>
          <w:bCs/>
          <w:lang w:val="en-GB"/>
        </w:rPr>
        <w:t>8 have enacted laws claiming to formally prohibiting or at least restricting IGM practices</w:t>
      </w:r>
      <w:r w:rsidRPr="006F74DB">
        <w:rPr>
          <w:lang w:val="en-GB"/>
        </w:rPr>
        <w:t xml:space="preserve">, however, only 2 of these laws contain (minor) sanctions concerning intersex people at all (Valencia, Canary Islands), and </w:t>
      </w:r>
      <w:r w:rsidRPr="006F74DB">
        <w:rPr>
          <w:b/>
          <w:bCs/>
          <w:lang w:val="en-GB"/>
        </w:rPr>
        <w:t>none of them contain any sanctions for IGM practices</w:t>
      </w:r>
      <w:r w:rsidRPr="006F74DB">
        <w:rPr>
          <w:lang w:val="en-GB"/>
        </w:rPr>
        <w:t xml:space="preserve">, or address </w:t>
      </w:r>
      <w:r w:rsidRPr="006F74DB">
        <w:rPr>
          <w:b/>
          <w:bCs/>
          <w:lang w:val="en-GB"/>
        </w:rPr>
        <w:t>obstacles to access to justice</w:t>
      </w:r>
      <w:r w:rsidRPr="006F74DB">
        <w:rPr>
          <w:lang w:val="en-GB"/>
        </w:rPr>
        <w:t xml:space="preserve">, namely the statutes of limitations, or contain extraterritorial protections. In fact, concerning IGM </w:t>
      </w:r>
      <w:r w:rsidRPr="006F74DB">
        <w:rPr>
          <w:b/>
          <w:bCs/>
          <w:lang w:val="en-GB"/>
        </w:rPr>
        <w:t>none of them are enforced</w:t>
      </w:r>
      <w:r w:rsidRPr="006F74DB">
        <w:rPr>
          <w:lang w:val="en-GB"/>
        </w:rPr>
        <w:t>.</w:t>
      </w:r>
      <w:r w:rsidRPr="006F74DB">
        <w:rPr>
          <w:rStyle w:val="Funotenzeichen"/>
          <w:rFonts w:cs="Times New Roman"/>
          <w:lang w:val="en-GB"/>
        </w:rPr>
        <w:footnoteReference w:id="35"/>
      </w:r>
    </w:p>
    <w:p w:rsidR="00DD36C2" w:rsidRPr="006F74DB" w:rsidRDefault="00CE310F" w:rsidP="00F93A34">
      <w:pPr>
        <w:pStyle w:val="absatzschattenbericht"/>
        <w:rPr>
          <w:lang w:val="en-GB"/>
        </w:rPr>
      </w:pPr>
      <w:r w:rsidRPr="006F74DB">
        <w:rPr>
          <w:lang w:val="en-GB"/>
        </w:rPr>
        <w:t xml:space="preserve">Spain has therefore to be </w:t>
      </w:r>
      <w:r w:rsidRPr="006F74DB">
        <w:rPr>
          <w:b/>
          <w:bCs/>
          <w:lang w:val="en-GB"/>
        </w:rPr>
        <w:t>commended</w:t>
      </w:r>
      <w:r w:rsidRPr="006F74DB">
        <w:rPr>
          <w:lang w:val="en-GB"/>
        </w:rPr>
        <w:t xml:space="preserve"> for having enacted a new national </w:t>
      </w:r>
      <w:r w:rsidRPr="006F74DB">
        <w:rPr>
          <w:b/>
          <w:bCs/>
          <w:lang w:val="en-GB"/>
        </w:rPr>
        <w:t>Organic Law 4/2023</w:t>
      </w:r>
      <w:r w:rsidRPr="006F74DB">
        <w:rPr>
          <w:rStyle w:val="Funotenzeichen"/>
          <w:rFonts w:cs="Times New Roman"/>
          <w:lang w:val="en-GB"/>
        </w:rPr>
        <w:footnoteReference w:id="36"/>
      </w:r>
      <w:r w:rsidRPr="006F74DB">
        <w:rPr>
          <w:lang w:val="en-GB"/>
        </w:rPr>
        <w:t xml:space="preserve"> </w:t>
      </w:r>
      <w:r w:rsidR="001A7A75" w:rsidRPr="006F74DB">
        <w:rPr>
          <w:lang w:val="en-GB"/>
        </w:rPr>
        <w:t xml:space="preserve">(see also State Party Report, paras 149-151) </w:t>
      </w:r>
      <w:r w:rsidR="00454D7B" w:rsidRPr="006F74DB">
        <w:rPr>
          <w:lang w:val="en-GB"/>
        </w:rPr>
        <w:t>which</w:t>
      </w:r>
      <w:r w:rsidR="0060217F" w:rsidRPr="006F74DB">
        <w:rPr>
          <w:lang w:val="en-GB"/>
        </w:rPr>
        <w:t xml:space="preserve"> inter alia explicitly </w:t>
      </w:r>
      <w:r w:rsidR="00DD36C2" w:rsidRPr="006F74DB">
        <w:rPr>
          <w:b/>
          <w:bCs/>
          <w:i/>
          <w:iCs/>
          <w:lang w:val="en-GB"/>
        </w:rPr>
        <w:t>“</w:t>
      </w:r>
      <w:r w:rsidR="0060217F" w:rsidRPr="006F74DB">
        <w:rPr>
          <w:b/>
          <w:bCs/>
          <w:i/>
          <w:iCs/>
          <w:lang w:val="en-GB"/>
        </w:rPr>
        <w:t>prohibits</w:t>
      </w:r>
      <w:r w:rsidR="00DD36C2" w:rsidRPr="006F74DB">
        <w:rPr>
          <w:b/>
          <w:bCs/>
          <w:i/>
          <w:iCs/>
          <w:lang w:val="en-GB"/>
        </w:rPr>
        <w:t>”</w:t>
      </w:r>
      <w:r w:rsidR="0060217F" w:rsidRPr="006F74DB">
        <w:rPr>
          <w:b/>
          <w:bCs/>
          <w:lang w:val="en-GB"/>
        </w:rPr>
        <w:t xml:space="preserve"> IGM</w:t>
      </w:r>
      <w:r w:rsidR="00DD36C2" w:rsidRPr="006F74DB">
        <w:rPr>
          <w:lang w:val="en-GB"/>
        </w:rPr>
        <w:t xml:space="preserve">, and includes </w:t>
      </w:r>
      <w:r w:rsidR="00DD36C2" w:rsidRPr="006F74DB">
        <w:rPr>
          <w:b/>
          <w:bCs/>
          <w:lang w:val="en-GB"/>
        </w:rPr>
        <w:t>some sanctions (fines)</w:t>
      </w:r>
      <w:r w:rsidR="00DD36C2" w:rsidRPr="006F74DB">
        <w:rPr>
          <w:lang w:val="en-GB"/>
        </w:rPr>
        <w:t xml:space="preserve">. In particular, </w:t>
      </w:r>
    </w:p>
    <w:p w:rsidR="00BD6E26" w:rsidRPr="006F74DB" w:rsidRDefault="001A7A75" w:rsidP="007160C2">
      <w:pPr>
        <w:pStyle w:val="absatzschattenbericht"/>
        <w:ind w:left="284"/>
        <w:rPr>
          <w:lang w:val="en-GB"/>
        </w:rPr>
      </w:pPr>
      <w:r w:rsidRPr="006F74DB">
        <w:rPr>
          <w:b/>
          <w:bCs/>
          <w:lang w:val="en-GB"/>
        </w:rPr>
        <w:t xml:space="preserve">article 19 </w:t>
      </w:r>
      <w:r w:rsidRPr="006F74DB">
        <w:rPr>
          <w:b/>
          <w:bCs/>
          <w:i/>
          <w:iCs/>
          <w:lang w:val="en-GB"/>
        </w:rPr>
        <w:t>“Comprehensive health care for intersex people”</w:t>
      </w:r>
      <w:r w:rsidRPr="006F74DB">
        <w:rPr>
          <w:i/>
          <w:iCs/>
          <w:lang w:val="en-GB"/>
        </w:rPr>
        <w:t xml:space="preserve"> </w:t>
      </w:r>
      <w:r w:rsidR="00454D7B" w:rsidRPr="006F74DB">
        <w:rPr>
          <w:lang w:val="en-GB"/>
        </w:rPr>
        <w:t xml:space="preserve">explicitly </w:t>
      </w:r>
    </w:p>
    <w:p w:rsidR="00BD6E26" w:rsidRPr="006F74DB" w:rsidRDefault="00454D7B" w:rsidP="007160C2">
      <w:pPr>
        <w:pStyle w:val="absatzschattenbericht"/>
        <w:numPr>
          <w:ilvl w:val="0"/>
          <w:numId w:val="26"/>
        </w:numPr>
        <w:ind w:left="709"/>
        <w:rPr>
          <w:lang w:val="en-GB"/>
        </w:rPr>
      </w:pPr>
      <w:r w:rsidRPr="006F74DB">
        <w:rPr>
          <w:b/>
          <w:bCs/>
          <w:i/>
          <w:iCs/>
          <w:lang w:val="en-GB"/>
        </w:rPr>
        <w:t>“prohibits”</w:t>
      </w:r>
      <w:r w:rsidRPr="006F74DB">
        <w:rPr>
          <w:b/>
          <w:bCs/>
          <w:lang w:val="en-GB"/>
        </w:rPr>
        <w:t xml:space="preserve"> unnecessary genital surgery on children under </w:t>
      </w:r>
      <w:r w:rsidR="00E2764E" w:rsidRPr="006F74DB">
        <w:rPr>
          <w:b/>
          <w:bCs/>
          <w:lang w:val="en-GB"/>
        </w:rPr>
        <w:t>12</w:t>
      </w:r>
      <w:r w:rsidRPr="006F74DB">
        <w:rPr>
          <w:b/>
          <w:bCs/>
          <w:lang w:val="en-GB"/>
        </w:rPr>
        <w:t xml:space="preserve"> years</w:t>
      </w:r>
      <w:r w:rsidR="00E2764E" w:rsidRPr="006F74DB">
        <w:rPr>
          <w:b/>
          <w:bCs/>
          <w:lang w:val="en-GB"/>
        </w:rPr>
        <w:t>,</w:t>
      </w:r>
      <w:r w:rsidR="00E2764E" w:rsidRPr="006F74DB">
        <w:rPr>
          <w:lang w:val="en-GB"/>
        </w:rPr>
        <w:t xml:space="preserve"> and in the case of minors 12-16 years only</w:t>
      </w:r>
      <w:r w:rsidR="00075A6F" w:rsidRPr="006F74DB">
        <w:rPr>
          <w:lang w:val="en-GB"/>
        </w:rPr>
        <w:t xml:space="preserve"> allows them</w:t>
      </w:r>
      <w:r w:rsidR="00E2764E" w:rsidRPr="006F74DB">
        <w:rPr>
          <w:lang w:val="en-GB"/>
        </w:rPr>
        <w:t xml:space="preserve"> </w:t>
      </w:r>
      <w:r w:rsidR="00564F7F" w:rsidRPr="006F74DB">
        <w:rPr>
          <w:i/>
          <w:iCs/>
          <w:lang w:val="en-GB"/>
        </w:rPr>
        <w:t>“</w:t>
      </w:r>
      <w:r w:rsidR="00E2764E" w:rsidRPr="006F74DB">
        <w:rPr>
          <w:i/>
          <w:iCs/>
          <w:lang w:val="en-GB"/>
        </w:rPr>
        <w:t>at the request of the minor</w:t>
      </w:r>
      <w:r w:rsidR="00564F7F" w:rsidRPr="006F74DB">
        <w:rPr>
          <w:i/>
          <w:iCs/>
          <w:lang w:val="en-GB"/>
        </w:rPr>
        <w:t>”</w:t>
      </w:r>
      <w:r w:rsidR="00E2764E" w:rsidRPr="006F74DB">
        <w:rPr>
          <w:lang w:val="en-GB"/>
        </w:rPr>
        <w:t xml:space="preserve"> and if they are</w:t>
      </w:r>
      <w:r w:rsidR="00075A6F" w:rsidRPr="006F74DB">
        <w:rPr>
          <w:lang w:val="en-GB"/>
        </w:rPr>
        <w:t xml:space="preserve"> deemed to be</w:t>
      </w:r>
      <w:r w:rsidR="00E2764E" w:rsidRPr="006F74DB">
        <w:rPr>
          <w:lang w:val="en-GB"/>
        </w:rPr>
        <w:t xml:space="preserve"> </w:t>
      </w:r>
      <w:r w:rsidR="00564F7F" w:rsidRPr="006F74DB">
        <w:rPr>
          <w:i/>
          <w:iCs/>
          <w:lang w:val="en-GB"/>
        </w:rPr>
        <w:t>“</w:t>
      </w:r>
      <w:r w:rsidR="00E2764E" w:rsidRPr="006F74DB">
        <w:rPr>
          <w:i/>
          <w:iCs/>
          <w:lang w:val="en-GB"/>
        </w:rPr>
        <w:t>able to give informed consent</w:t>
      </w:r>
      <w:r w:rsidR="00564F7F" w:rsidRPr="006F74DB">
        <w:rPr>
          <w:i/>
          <w:iCs/>
          <w:lang w:val="en-GB"/>
        </w:rPr>
        <w:t>”</w:t>
      </w:r>
      <w:r w:rsidRPr="006F74DB">
        <w:rPr>
          <w:lang w:val="en-GB"/>
        </w:rPr>
        <w:t xml:space="preserve"> (art.</w:t>
      </w:r>
      <w:r w:rsidR="00927C4A" w:rsidRPr="006F74DB">
        <w:rPr>
          <w:lang w:val="en-GB"/>
        </w:rPr>
        <w:t> </w:t>
      </w:r>
      <w:r w:rsidRPr="006F74DB">
        <w:rPr>
          <w:lang w:val="en-GB"/>
        </w:rPr>
        <w:t xml:space="preserve">19.2), </w:t>
      </w:r>
    </w:p>
    <w:p w:rsidR="00BD6E26" w:rsidRPr="006F74DB" w:rsidRDefault="00927C4A" w:rsidP="007160C2">
      <w:pPr>
        <w:pStyle w:val="absatzschattenbericht"/>
        <w:numPr>
          <w:ilvl w:val="0"/>
          <w:numId w:val="26"/>
        </w:numPr>
        <w:ind w:left="709"/>
        <w:rPr>
          <w:lang w:val="en-GB"/>
        </w:rPr>
      </w:pPr>
      <w:r w:rsidRPr="006F74DB">
        <w:rPr>
          <w:lang w:val="en-GB"/>
        </w:rPr>
        <w:t xml:space="preserve">stipulates to </w:t>
      </w:r>
      <w:r w:rsidR="00BD6E26" w:rsidRPr="006F74DB">
        <w:rPr>
          <w:b/>
          <w:bCs/>
          <w:i/>
          <w:iCs/>
          <w:lang w:val="en-GB"/>
        </w:rPr>
        <w:t>“prevent[...] unnecessary examinations or display”</w:t>
      </w:r>
      <w:r w:rsidR="00BD6E26" w:rsidRPr="006F74DB">
        <w:rPr>
          <w:i/>
          <w:iCs/>
          <w:lang w:val="en-GB"/>
        </w:rPr>
        <w:t xml:space="preserve"> </w:t>
      </w:r>
      <w:r w:rsidR="00BD6E26" w:rsidRPr="006F74DB">
        <w:rPr>
          <w:lang w:val="en-GB"/>
        </w:rPr>
        <w:t xml:space="preserve">(art. 19.1), </w:t>
      </w:r>
      <w:r w:rsidR="00E2764E" w:rsidRPr="006F74DB">
        <w:rPr>
          <w:lang w:val="en-GB"/>
        </w:rPr>
        <w:t>and</w:t>
      </w:r>
    </w:p>
    <w:p w:rsidR="00FB05BB" w:rsidRPr="006F74DB" w:rsidRDefault="00E2764E" w:rsidP="007160C2">
      <w:pPr>
        <w:pStyle w:val="absatzschattenbericht"/>
        <w:numPr>
          <w:ilvl w:val="0"/>
          <w:numId w:val="26"/>
        </w:numPr>
        <w:ind w:left="709"/>
        <w:rPr>
          <w:lang w:val="en-GB"/>
        </w:rPr>
      </w:pPr>
      <w:r w:rsidRPr="006F74DB">
        <w:rPr>
          <w:lang w:val="en-GB"/>
        </w:rPr>
        <w:t>to</w:t>
      </w:r>
      <w:r w:rsidRPr="006F74DB">
        <w:rPr>
          <w:i/>
          <w:iCs/>
          <w:lang w:val="en-GB"/>
        </w:rPr>
        <w:t xml:space="preserve"> </w:t>
      </w:r>
      <w:r w:rsidR="00BD6E26" w:rsidRPr="006F74DB">
        <w:rPr>
          <w:i/>
          <w:iCs/>
          <w:lang w:val="en-GB"/>
        </w:rPr>
        <w:t>“</w:t>
      </w:r>
      <w:r w:rsidR="00CD74AF" w:rsidRPr="006F74DB">
        <w:rPr>
          <w:i/>
          <w:iCs/>
          <w:lang w:val="en-GB"/>
        </w:rPr>
        <w:t xml:space="preserve">promote protocols for action on intersex issues that </w:t>
      </w:r>
      <w:r w:rsidR="00BD6E26" w:rsidRPr="006F74DB">
        <w:rPr>
          <w:b/>
          <w:bCs/>
          <w:i/>
          <w:iCs/>
          <w:lang w:val="en-GB"/>
        </w:rPr>
        <w:t>guarantee [...] the provision of counselling and support, including psychological support</w:t>
      </w:r>
      <w:r w:rsidR="00BD6E26" w:rsidRPr="006F74DB">
        <w:rPr>
          <w:i/>
          <w:iCs/>
          <w:lang w:val="en-GB"/>
        </w:rPr>
        <w:t xml:space="preserve">, to intersex minors and their families” </w:t>
      </w:r>
      <w:r w:rsidR="00BD6E26" w:rsidRPr="006F74DB">
        <w:rPr>
          <w:lang w:val="en-GB"/>
        </w:rPr>
        <w:t>(art. 19.3)</w:t>
      </w:r>
    </w:p>
    <w:p w:rsidR="00CD74AF" w:rsidRPr="006F74DB" w:rsidRDefault="00CD74AF" w:rsidP="007160C2">
      <w:pPr>
        <w:pStyle w:val="absatzschattenbericht"/>
        <w:numPr>
          <w:ilvl w:val="0"/>
          <w:numId w:val="26"/>
        </w:numPr>
        <w:ind w:left="709"/>
        <w:rPr>
          <w:lang w:val="en-GB"/>
        </w:rPr>
      </w:pPr>
      <w:r w:rsidRPr="006F74DB">
        <w:rPr>
          <w:lang w:val="en-GB"/>
        </w:rPr>
        <w:lastRenderedPageBreak/>
        <w:t xml:space="preserve">to </w:t>
      </w:r>
      <w:r w:rsidRPr="006F74DB">
        <w:rPr>
          <w:i/>
          <w:iCs/>
          <w:lang w:val="en-GB"/>
        </w:rPr>
        <w:t xml:space="preserve">“guarantee </w:t>
      </w:r>
      <w:r w:rsidRPr="006F74DB">
        <w:rPr>
          <w:b/>
          <w:bCs/>
          <w:i/>
          <w:iCs/>
          <w:lang w:val="en-GB"/>
        </w:rPr>
        <w:t>sufficient, continuous and updated training for health personnel,</w:t>
      </w:r>
      <w:r w:rsidRPr="006F74DB">
        <w:rPr>
          <w:i/>
          <w:iCs/>
          <w:lang w:val="en-GB"/>
        </w:rPr>
        <w:t xml:space="preserve"> which takes into account the </w:t>
      </w:r>
      <w:r w:rsidRPr="006F74DB">
        <w:rPr>
          <w:b/>
          <w:bCs/>
          <w:i/>
          <w:iCs/>
          <w:lang w:val="en-GB"/>
        </w:rPr>
        <w:t>specific needs of intersex people</w:t>
      </w:r>
      <w:r w:rsidRPr="006F74DB">
        <w:rPr>
          <w:i/>
          <w:iCs/>
          <w:lang w:val="en-GB"/>
        </w:rPr>
        <w:t xml:space="preserve">” </w:t>
      </w:r>
      <w:r w:rsidRPr="006F74DB">
        <w:rPr>
          <w:lang w:val="en-GB"/>
        </w:rPr>
        <w:t>(art. 19.4)</w:t>
      </w:r>
    </w:p>
    <w:p w:rsidR="00CD74AF" w:rsidRPr="006F74DB" w:rsidRDefault="001A7A75" w:rsidP="007160C2">
      <w:pPr>
        <w:pStyle w:val="absatzschattenbericht"/>
        <w:ind w:left="284"/>
        <w:rPr>
          <w:lang w:val="en-GB"/>
        </w:rPr>
      </w:pPr>
      <w:r w:rsidRPr="006F74DB">
        <w:rPr>
          <w:b/>
          <w:bCs/>
          <w:lang w:val="en-GB"/>
        </w:rPr>
        <w:t xml:space="preserve">article 79 </w:t>
      </w:r>
      <w:r w:rsidRPr="006F74DB">
        <w:rPr>
          <w:b/>
          <w:bCs/>
          <w:i/>
          <w:iCs/>
          <w:lang w:val="en-GB"/>
        </w:rPr>
        <w:t>“Infringements”</w:t>
      </w:r>
      <w:r w:rsidR="00DD36C2" w:rsidRPr="006F74DB">
        <w:rPr>
          <w:b/>
          <w:bCs/>
          <w:i/>
          <w:iCs/>
          <w:lang w:val="en-GB"/>
        </w:rPr>
        <w:t xml:space="preserve"> </w:t>
      </w:r>
      <w:r w:rsidR="00577B2F" w:rsidRPr="006F74DB">
        <w:rPr>
          <w:lang w:val="en-GB"/>
        </w:rPr>
        <w:t xml:space="preserve">categorises </w:t>
      </w:r>
      <w:r w:rsidR="00965EDD" w:rsidRPr="006F74DB">
        <w:rPr>
          <w:lang w:val="en-GB"/>
        </w:rPr>
        <w:t xml:space="preserve">IGM practices as </w:t>
      </w:r>
      <w:r w:rsidR="00965EDD" w:rsidRPr="006F74DB">
        <w:rPr>
          <w:b/>
          <w:bCs/>
          <w:i/>
          <w:iCs/>
          <w:lang w:val="en-GB"/>
        </w:rPr>
        <w:t>“very serious administrative infringements”</w:t>
      </w:r>
      <w:r w:rsidR="00965EDD" w:rsidRPr="006F74DB">
        <w:rPr>
          <w:lang w:val="en-GB"/>
        </w:rPr>
        <w:t xml:space="preserve">, the most serious infringement available under the law, vaguely adding </w:t>
      </w:r>
      <w:r w:rsidR="00965EDD" w:rsidRPr="006F74DB">
        <w:rPr>
          <w:i/>
          <w:iCs/>
          <w:lang w:val="en-GB"/>
        </w:rPr>
        <w:t>“unless they constitute a criminal offence”</w:t>
      </w:r>
      <w:r w:rsidR="00965EDD" w:rsidRPr="006F74DB">
        <w:rPr>
          <w:lang w:val="en-GB"/>
        </w:rPr>
        <w:t xml:space="preserve"> (art. 79.4.h)).</w:t>
      </w:r>
    </w:p>
    <w:p w:rsidR="00CD74AF" w:rsidRPr="006F74DB" w:rsidRDefault="00965EDD" w:rsidP="007160C2">
      <w:pPr>
        <w:pStyle w:val="absatzschattenbericht"/>
        <w:ind w:left="284"/>
        <w:rPr>
          <w:lang w:val="en-GB"/>
        </w:rPr>
      </w:pPr>
      <w:r w:rsidRPr="006F74DB">
        <w:rPr>
          <w:b/>
          <w:bCs/>
          <w:lang w:val="en-GB"/>
        </w:rPr>
        <w:t xml:space="preserve">article 80 </w:t>
      </w:r>
      <w:r w:rsidRPr="006F74DB">
        <w:rPr>
          <w:b/>
          <w:bCs/>
          <w:i/>
          <w:iCs/>
          <w:lang w:val="en-GB"/>
        </w:rPr>
        <w:t xml:space="preserve">“Penalties </w:t>
      </w:r>
      <w:r w:rsidRPr="006F74DB">
        <w:rPr>
          <w:i/>
          <w:iCs/>
          <w:lang w:val="en-GB"/>
        </w:rPr>
        <w:t>and graduation criteria”</w:t>
      </w:r>
      <w:r w:rsidR="00DD36C2" w:rsidRPr="006F74DB">
        <w:rPr>
          <w:b/>
          <w:bCs/>
          <w:lang w:val="en-GB"/>
        </w:rPr>
        <w:t xml:space="preserve"> </w:t>
      </w:r>
      <w:r w:rsidR="00DD36C2" w:rsidRPr="006F74DB">
        <w:rPr>
          <w:lang w:val="en-GB"/>
        </w:rPr>
        <w:t>stipulates</w:t>
      </w:r>
      <w:r w:rsidRPr="006F74DB">
        <w:rPr>
          <w:lang w:val="en-GB"/>
        </w:rPr>
        <w:t xml:space="preserve">, </w:t>
      </w:r>
      <w:r w:rsidRPr="006F74DB">
        <w:rPr>
          <w:i/>
          <w:iCs/>
          <w:lang w:val="en-GB"/>
        </w:rPr>
        <w:t xml:space="preserve">“Very serious infringements shall be </w:t>
      </w:r>
      <w:r w:rsidRPr="006F74DB">
        <w:rPr>
          <w:b/>
          <w:bCs/>
          <w:i/>
          <w:iCs/>
          <w:lang w:val="en-GB"/>
        </w:rPr>
        <w:t xml:space="preserve">sanctioned </w:t>
      </w:r>
      <w:r w:rsidRPr="006F74DB">
        <w:rPr>
          <w:i/>
          <w:iCs/>
          <w:lang w:val="en-GB"/>
        </w:rPr>
        <w:t>with a</w:t>
      </w:r>
      <w:r w:rsidRPr="006F74DB">
        <w:rPr>
          <w:b/>
          <w:bCs/>
          <w:i/>
          <w:iCs/>
          <w:lang w:val="en-GB"/>
        </w:rPr>
        <w:t xml:space="preserve"> fine of 10,001 to 150,000 euros”</w:t>
      </w:r>
      <w:r w:rsidR="00DD36C2" w:rsidRPr="006F74DB">
        <w:rPr>
          <w:b/>
          <w:bCs/>
          <w:i/>
          <w:iCs/>
          <w:lang w:val="en-GB"/>
        </w:rPr>
        <w:t xml:space="preserve"> </w:t>
      </w:r>
      <w:r w:rsidR="00DD36C2" w:rsidRPr="006F74DB">
        <w:rPr>
          <w:lang w:val="en-GB"/>
        </w:rPr>
        <w:t>(art. 80.</w:t>
      </w:r>
      <w:r w:rsidR="00287CCA" w:rsidRPr="006F74DB">
        <w:rPr>
          <w:lang w:val="en-GB"/>
        </w:rPr>
        <w:t>3</w:t>
      </w:r>
      <w:r w:rsidR="00DD36C2" w:rsidRPr="006F74DB">
        <w:rPr>
          <w:lang w:val="en-GB"/>
        </w:rPr>
        <w:t>)</w:t>
      </w:r>
      <w:r w:rsidR="0060217F" w:rsidRPr="006F74DB">
        <w:rPr>
          <w:lang w:val="en-GB"/>
        </w:rPr>
        <w:t>.</w:t>
      </w:r>
    </w:p>
    <w:p w:rsidR="0060217F" w:rsidRPr="006F74DB" w:rsidRDefault="00287CCA" w:rsidP="007160C2">
      <w:pPr>
        <w:pStyle w:val="absatzschattenbericht"/>
        <w:ind w:left="284"/>
        <w:rPr>
          <w:lang w:val="en-GB"/>
        </w:rPr>
      </w:pPr>
      <w:r w:rsidRPr="006F74DB">
        <w:rPr>
          <w:b/>
          <w:bCs/>
          <w:lang w:val="en-GB"/>
        </w:rPr>
        <w:t xml:space="preserve">article 81 </w:t>
      </w:r>
      <w:r w:rsidRPr="006F74DB">
        <w:rPr>
          <w:b/>
          <w:bCs/>
          <w:i/>
          <w:iCs/>
          <w:lang w:val="en-GB"/>
        </w:rPr>
        <w:t xml:space="preserve">“Prescription </w:t>
      </w:r>
      <w:r w:rsidRPr="006F74DB">
        <w:rPr>
          <w:i/>
          <w:iCs/>
          <w:lang w:val="en-GB"/>
        </w:rPr>
        <w:t>of infringements and penalties”</w:t>
      </w:r>
      <w:r w:rsidRPr="006F74DB">
        <w:rPr>
          <w:b/>
          <w:bCs/>
          <w:i/>
          <w:iCs/>
          <w:lang w:val="en-GB"/>
        </w:rPr>
        <w:t xml:space="preserve"> </w:t>
      </w:r>
      <w:r w:rsidRPr="006F74DB">
        <w:rPr>
          <w:lang w:val="en-GB"/>
        </w:rPr>
        <w:t xml:space="preserve">stipulates, </w:t>
      </w:r>
      <w:r w:rsidRPr="006F74DB">
        <w:rPr>
          <w:i/>
          <w:iCs/>
          <w:lang w:val="en-GB"/>
        </w:rPr>
        <w:t>“Very serious infringements shall be subject to</w:t>
      </w:r>
      <w:r w:rsidR="006450BF" w:rsidRPr="006F74DB">
        <w:rPr>
          <w:i/>
          <w:iCs/>
          <w:lang w:val="en-GB"/>
        </w:rPr>
        <w:t xml:space="preserve"> the</w:t>
      </w:r>
      <w:r w:rsidRPr="006F74DB">
        <w:rPr>
          <w:i/>
          <w:iCs/>
          <w:lang w:val="en-GB"/>
        </w:rPr>
        <w:t xml:space="preserve"> </w:t>
      </w:r>
      <w:r w:rsidRPr="006F74DB">
        <w:rPr>
          <w:b/>
          <w:bCs/>
          <w:i/>
          <w:iCs/>
          <w:lang w:val="en-GB"/>
        </w:rPr>
        <w:t xml:space="preserve">statute of limitations </w:t>
      </w:r>
      <w:r w:rsidRPr="006F74DB">
        <w:rPr>
          <w:i/>
          <w:iCs/>
          <w:lang w:val="en-GB"/>
        </w:rPr>
        <w:t>after</w:t>
      </w:r>
      <w:r w:rsidRPr="006F74DB">
        <w:rPr>
          <w:b/>
          <w:bCs/>
          <w:i/>
          <w:iCs/>
          <w:lang w:val="en-GB"/>
        </w:rPr>
        <w:t xml:space="preserve"> three years</w:t>
      </w:r>
      <w:r w:rsidRPr="006F74DB">
        <w:rPr>
          <w:i/>
          <w:iCs/>
          <w:lang w:val="en-GB"/>
        </w:rPr>
        <w:t xml:space="preserve"> […]” </w:t>
      </w:r>
      <w:r w:rsidRPr="006F74DB">
        <w:rPr>
          <w:lang w:val="en-GB"/>
        </w:rPr>
        <w:t>(art. 81.1).</w:t>
      </w:r>
    </w:p>
    <w:p w:rsidR="005654F1" w:rsidRPr="006F74DB" w:rsidRDefault="007160C2" w:rsidP="008015DD">
      <w:pPr>
        <w:pStyle w:val="absatzschattenbericht"/>
        <w:rPr>
          <w:lang w:val="en-GB"/>
        </w:rPr>
      </w:pPr>
      <w:r w:rsidRPr="006F74DB">
        <w:rPr>
          <w:lang w:val="en-GB"/>
        </w:rPr>
        <w:t xml:space="preserve">Therefore, in comparison with the previous regional laws, the new national </w:t>
      </w:r>
      <w:r w:rsidRPr="006F74DB">
        <w:rPr>
          <w:b/>
          <w:bCs/>
          <w:lang w:val="en-GB"/>
        </w:rPr>
        <w:t xml:space="preserve">Organic Law 4/2023 </w:t>
      </w:r>
      <w:r w:rsidR="002C0A2C" w:rsidRPr="006F74DB">
        <w:rPr>
          <w:lang w:val="en-GB"/>
        </w:rPr>
        <w:t xml:space="preserve">has to be welcomed an </w:t>
      </w:r>
      <w:r w:rsidR="002C0A2C" w:rsidRPr="006F74DB">
        <w:rPr>
          <w:b/>
          <w:bCs/>
          <w:lang w:val="en-GB"/>
        </w:rPr>
        <w:t>improvement</w:t>
      </w:r>
      <w:r w:rsidR="002C0A2C" w:rsidRPr="006F74DB">
        <w:rPr>
          <w:lang w:val="en-GB"/>
        </w:rPr>
        <w:t xml:space="preserve"> and a </w:t>
      </w:r>
      <w:r w:rsidR="002C0A2C" w:rsidRPr="006F74DB">
        <w:rPr>
          <w:b/>
          <w:bCs/>
          <w:lang w:val="en-GB"/>
        </w:rPr>
        <w:t>step in the right direction</w:t>
      </w:r>
      <w:r w:rsidR="002C0A2C" w:rsidRPr="006F74DB">
        <w:rPr>
          <w:lang w:val="en-GB"/>
        </w:rPr>
        <w:t xml:space="preserve">. </w:t>
      </w:r>
    </w:p>
    <w:p w:rsidR="00A16189" w:rsidRPr="006F74DB" w:rsidRDefault="002C0A2C" w:rsidP="00A16189">
      <w:pPr>
        <w:pStyle w:val="absatzschattenbericht"/>
        <w:rPr>
          <w:lang w:val="en-GB"/>
        </w:rPr>
      </w:pPr>
      <w:r w:rsidRPr="006F74DB">
        <w:rPr>
          <w:lang w:val="en-GB"/>
        </w:rPr>
        <w:t xml:space="preserve">However, as demonstrated by above evidence of persisting IGM practices in Spain, </w:t>
      </w:r>
      <w:r w:rsidR="00F52A75" w:rsidRPr="006F74DB">
        <w:rPr>
          <w:lang w:val="en-GB"/>
        </w:rPr>
        <w:t xml:space="preserve">also the new national </w:t>
      </w:r>
      <w:r w:rsidR="00F52A75" w:rsidRPr="006F74DB">
        <w:rPr>
          <w:b/>
          <w:bCs/>
          <w:lang w:val="en-GB"/>
        </w:rPr>
        <w:t xml:space="preserve">Organic Law 4/2023 </w:t>
      </w:r>
      <w:r w:rsidR="00F52A75" w:rsidRPr="006F74DB">
        <w:rPr>
          <w:lang w:val="en-GB"/>
        </w:rPr>
        <w:t xml:space="preserve">nonetheless </w:t>
      </w:r>
      <w:r w:rsidR="00F52A75" w:rsidRPr="006F74DB">
        <w:rPr>
          <w:b/>
          <w:bCs/>
          <w:lang w:val="en-GB"/>
        </w:rPr>
        <w:t>categorically fails</w:t>
      </w:r>
      <w:r w:rsidR="00F52A75" w:rsidRPr="006F74DB">
        <w:rPr>
          <w:lang w:val="en-GB"/>
        </w:rPr>
        <w:t xml:space="preserve"> </w:t>
      </w:r>
      <w:r w:rsidR="00C345F3" w:rsidRPr="006F74DB">
        <w:rPr>
          <w:lang w:val="en-GB"/>
        </w:rPr>
        <w:t xml:space="preserve">to adequately protect intersex children from harmful practices, </w:t>
      </w:r>
      <w:r w:rsidR="007B6EC7" w:rsidRPr="006F74DB">
        <w:rPr>
          <w:lang w:val="en-GB"/>
        </w:rPr>
        <w:t xml:space="preserve">as stipulated by the Convention art. 24(3) and the </w:t>
      </w:r>
      <w:r w:rsidR="00A16189" w:rsidRPr="006F74DB">
        <w:rPr>
          <w:lang w:val="en-GB"/>
        </w:rPr>
        <w:t>CRC-CEDAW Joint General Comment/Recommendation No. 18/31 “on harmful practices”, namely to</w:t>
      </w:r>
    </w:p>
    <w:p w:rsidR="00A16189" w:rsidRPr="006F74DB" w:rsidRDefault="00A16189" w:rsidP="00A16189">
      <w:pPr>
        <w:pStyle w:val="absatzschattenbericht"/>
        <w:numPr>
          <w:ilvl w:val="0"/>
          <w:numId w:val="27"/>
        </w:numPr>
        <w:rPr>
          <w:lang w:val="en-GB"/>
        </w:rPr>
      </w:pPr>
      <w:r w:rsidRPr="006F74DB">
        <w:rPr>
          <w:rFonts w:eastAsia="Baskerville-SemiBoldItalic"/>
          <w:b/>
          <w:bCs/>
          <w:i/>
          <w:lang w:val="en-GB"/>
        </w:rPr>
        <w:t>“adequately sanction or criminalize</w:t>
      </w:r>
      <w:r w:rsidRPr="006F74DB">
        <w:rPr>
          <w:rFonts w:eastAsia="Baskerville-Italic"/>
          <w:i/>
          <w:lang w:val="en-GB"/>
        </w:rPr>
        <w:t xml:space="preserve"> harmful practices [...] and </w:t>
      </w:r>
      <w:r w:rsidRPr="006F74DB">
        <w:rPr>
          <w:rFonts w:eastAsia="Baskerville-Italic"/>
          <w:b/>
          <w:bCs/>
          <w:i/>
          <w:lang w:val="en-GB"/>
        </w:rPr>
        <w:t>combat impunity</w:t>
      </w:r>
      <w:r w:rsidRPr="006F74DB">
        <w:rPr>
          <w:rFonts w:eastAsia="Baskerville-Italic"/>
          <w:i/>
          <w:lang w:val="en-GB"/>
        </w:rPr>
        <w:t>”</w:t>
      </w:r>
      <w:r w:rsidRPr="006F74DB">
        <w:rPr>
          <w:rFonts w:eastAsia="Baskerville-Italic"/>
          <w:lang w:val="en-GB"/>
        </w:rPr>
        <w:t xml:space="preserve"> </w:t>
      </w:r>
      <w:r w:rsidRPr="006F74DB">
        <w:rPr>
          <w:lang w:val="en-GB"/>
        </w:rPr>
        <w:t>(JGC 18/31, para 13)</w:t>
      </w:r>
      <w:r w:rsidR="000F1A32" w:rsidRPr="006F74DB">
        <w:rPr>
          <w:lang w:val="en-GB"/>
        </w:rPr>
        <w:t xml:space="preserve">: Merely a fine for </w:t>
      </w:r>
      <w:r w:rsidR="007857EE" w:rsidRPr="006F74DB">
        <w:rPr>
          <w:i/>
          <w:iCs/>
          <w:lang w:val="en-GB"/>
        </w:rPr>
        <w:t xml:space="preserve">“administrative infringements” </w:t>
      </w:r>
      <w:r w:rsidR="007857EE" w:rsidRPr="006F74DB">
        <w:rPr>
          <w:lang w:val="en-GB"/>
        </w:rPr>
        <w:t>as stipulated by the law clearly falls short.</w:t>
      </w:r>
    </w:p>
    <w:p w:rsidR="00A16189" w:rsidRPr="006F74DB" w:rsidRDefault="00A16189" w:rsidP="00A16189">
      <w:pPr>
        <w:pStyle w:val="absatzschattenbericht"/>
        <w:numPr>
          <w:ilvl w:val="0"/>
          <w:numId w:val="27"/>
        </w:numPr>
        <w:rPr>
          <w:lang w:val="en-GB"/>
        </w:rPr>
      </w:pPr>
      <w:r w:rsidRPr="006F74DB">
        <w:rPr>
          <w:lang w:val="en-GB"/>
        </w:rPr>
        <w:t xml:space="preserve">ensure </w:t>
      </w:r>
      <w:r w:rsidRPr="006F74DB">
        <w:rPr>
          <w:rFonts w:eastAsia="Baskerville-Italic"/>
          <w:i/>
          <w:lang w:val="en-GB"/>
        </w:rPr>
        <w:t xml:space="preserve">“that the </w:t>
      </w:r>
      <w:r w:rsidRPr="006F74DB">
        <w:rPr>
          <w:rFonts w:eastAsia="Baskerville-SemiBoldItalic"/>
          <w:b/>
          <w:bCs/>
          <w:i/>
          <w:lang w:val="en-GB"/>
        </w:rPr>
        <w:t xml:space="preserve">perpetrators and those who aid or condone such practices are held accountable” </w:t>
      </w:r>
      <w:r w:rsidRPr="006F74DB">
        <w:rPr>
          <w:lang w:val="en-GB"/>
        </w:rPr>
        <w:t>(JGC 18/31, para 55 (o))</w:t>
      </w:r>
      <w:r w:rsidR="007857EE" w:rsidRPr="006F74DB">
        <w:rPr>
          <w:lang w:val="en-GB"/>
        </w:rPr>
        <w:t>: Obviously, IGM practices continue with impunity.</w:t>
      </w:r>
    </w:p>
    <w:p w:rsidR="007857EE" w:rsidRPr="006F74DB" w:rsidRDefault="007857EE" w:rsidP="007857EE">
      <w:pPr>
        <w:pStyle w:val="absatzschattenbericht"/>
        <w:numPr>
          <w:ilvl w:val="0"/>
          <w:numId w:val="27"/>
        </w:numPr>
        <w:ind w:right="284"/>
        <w:rPr>
          <w:rFonts w:eastAsia="Baskerville-SemiBoldItalic" w:cs="Times New Roman"/>
          <w:b/>
          <w:bCs/>
          <w:i/>
          <w:iCs/>
          <w:w w:val="99"/>
          <w:lang w:val="en-GB"/>
        </w:rPr>
      </w:pPr>
      <w:r w:rsidRPr="006F74DB">
        <w:rPr>
          <w:rFonts w:eastAsia="Baskerville-Italic" w:cs="Times New Roman"/>
          <w:i/>
          <w:iCs/>
          <w:lang w:val="en-GB"/>
        </w:rPr>
        <w:t>“</w:t>
      </w:r>
      <w:r w:rsidRPr="006F74DB">
        <w:rPr>
          <w:rFonts w:eastAsia="Baskerville-SemiBoldItalic" w:cs="Times New Roman"/>
          <w:i/>
          <w:iCs/>
          <w:lang w:val="en-GB"/>
        </w:rPr>
        <w:t xml:space="preserve">regular evaluation and </w:t>
      </w:r>
      <w:r w:rsidRPr="006F74DB">
        <w:rPr>
          <w:rFonts w:eastAsia="Baskerville-SemiBoldItalic" w:cs="Times New Roman"/>
          <w:i/>
          <w:iCs/>
          <w:kern w:val="24"/>
          <w:lang w:val="en-GB"/>
        </w:rPr>
        <w:t>monitoring</w:t>
      </w:r>
      <w:r w:rsidRPr="006F74DB">
        <w:rPr>
          <w:rFonts w:eastAsia="Baskerville-Italic" w:cs="Times New Roman"/>
          <w:i/>
          <w:iCs/>
          <w:lang w:val="en-GB"/>
        </w:rPr>
        <w:t xml:space="preserve">, including in relation to </w:t>
      </w:r>
      <w:r w:rsidRPr="006F74DB">
        <w:rPr>
          <w:rFonts w:eastAsia="Baskerville-Italic" w:cs="Times New Roman"/>
          <w:b/>
          <w:bCs/>
          <w:i/>
          <w:iCs/>
          <w:lang w:val="en-GB"/>
        </w:rPr>
        <w:t>implementation, enforcement and follow-up</w:t>
      </w:r>
      <w:r w:rsidRPr="006F74DB">
        <w:rPr>
          <w:rFonts w:eastAsia="Baskerville-Italic" w:cs="Times New Roman"/>
          <w:i/>
          <w:iCs/>
          <w:lang w:val="en-GB"/>
        </w:rPr>
        <w:t>”</w:t>
      </w:r>
      <w:r w:rsidRPr="006F74DB">
        <w:rPr>
          <w:rFonts w:cs="Times New Roman"/>
          <w:lang w:val="en-GB"/>
        </w:rPr>
        <w:t xml:space="preserve"> (</w:t>
      </w:r>
      <w:r w:rsidRPr="006F74DB">
        <w:rPr>
          <w:lang w:val="en-GB"/>
        </w:rPr>
        <w:t xml:space="preserve">JGC 18/31, </w:t>
      </w:r>
      <w:r w:rsidRPr="006F74DB">
        <w:rPr>
          <w:rFonts w:cs="Times New Roman"/>
          <w:lang w:val="en-GB"/>
        </w:rPr>
        <w:t xml:space="preserve">para 55 (n)): </w:t>
      </w:r>
      <w:r w:rsidR="00B91CCB" w:rsidRPr="006F74DB">
        <w:rPr>
          <w:rFonts w:cs="Times New Roman"/>
          <w:lang w:val="en-GB"/>
        </w:rPr>
        <w:t>Obviously, regarding IGM, the law is not enforced.</w:t>
      </w:r>
    </w:p>
    <w:p w:rsidR="00B91CCB" w:rsidRPr="006F74DB" w:rsidRDefault="00B91CCB" w:rsidP="00B91CCB">
      <w:pPr>
        <w:pStyle w:val="absatzschattenbericht"/>
        <w:numPr>
          <w:ilvl w:val="0"/>
          <w:numId w:val="27"/>
        </w:numPr>
        <w:ind w:right="284"/>
        <w:rPr>
          <w:rFonts w:eastAsia="Baskerville-Italic" w:cs="Times New Roman"/>
          <w:i/>
          <w:iCs/>
          <w:kern w:val="24"/>
          <w:lang w:val="en-GB"/>
        </w:rPr>
      </w:pPr>
      <w:r w:rsidRPr="006F74DB">
        <w:rPr>
          <w:rFonts w:eastAsia="Baskerville-SemiBoldItalic" w:cs="Times New Roman"/>
          <w:b/>
          <w:bCs/>
          <w:i/>
          <w:iCs/>
          <w:kern w:val="24"/>
          <w:lang w:val="en-GB"/>
        </w:rPr>
        <w:t>“equal access to justice,</w:t>
      </w:r>
      <w:r w:rsidRPr="006F74DB">
        <w:rPr>
          <w:rFonts w:eastAsia="Baskerville-Italic" w:cs="Times New Roman"/>
          <w:i/>
          <w:iCs/>
          <w:kern w:val="24"/>
          <w:lang w:val="en-GB"/>
        </w:rPr>
        <w:t xml:space="preserve"> including by </w:t>
      </w:r>
      <w:r w:rsidRPr="006F74DB">
        <w:rPr>
          <w:rFonts w:eastAsia="Baskerville-SemiBoldItalic" w:cs="Times New Roman"/>
          <w:b/>
          <w:bCs/>
          <w:i/>
          <w:iCs/>
          <w:kern w:val="24"/>
          <w:lang w:val="en-GB"/>
        </w:rPr>
        <w:t>addressing legal and practical barriers to initiating legal proceedings, such as the limitation period”</w:t>
      </w:r>
      <w:r w:rsidRPr="006F74DB">
        <w:rPr>
          <w:rFonts w:cs="Times New Roman"/>
          <w:kern w:val="24"/>
          <w:lang w:val="en-GB"/>
        </w:rPr>
        <w:t xml:space="preserve"> (JGC 18/31, para 55 (o)): </w:t>
      </w:r>
      <w:r w:rsidR="00053386" w:rsidRPr="006F74DB">
        <w:rPr>
          <w:rFonts w:cs="Times New Roman"/>
          <w:kern w:val="24"/>
          <w:lang w:val="en-GB"/>
        </w:rPr>
        <w:t>The statutes of limitations of 3 years are clearly insufficient, if a child is submitted to IGM at age 2, it would need to sue latest at age 5.</w:t>
      </w:r>
    </w:p>
    <w:p w:rsidR="00053386" w:rsidRPr="006F74DB" w:rsidRDefault="00053386" w:rsidP="00053386">
      <w:pPr>
        <w:pStyle w:val="absatzschattenbericht"/>
        <w:numPr>
          <w:ilvl w:val="0"/>
          <w:numId w:val="27"/>
        </w:numPr>
        <w:ind w:right="284"/>
        <w:rPr>
          <w:rFonts w:cs="Times New Roman"/>
          <w:lang w:val="en-GB"/>
        </w:rPr>
      </w:pPr>
      <w:r w:rsidRPr="006F74DB">
        <w:rPr>
          <w:rFonts w:eastAsia="Baskerville-Italic" w:cs="Times New Roman"/>
          <w:i/>
          <w:iCs/>
          <w:lang w:val="en-GB"/>
        </w:rPr>
        <w:t xml:space="preserve">“equal access to </w:t>
      </w:r>
      <w:r w:rsidRPr="006F74DB">
        <w:rPr>
          <w:rFonts w:eastAsia="Baskerville-SemiBoldItalic" w:cs="Times New Roman"/>
          <w:b/>
          <w:bCs/>
          <w:i/>
          <w:iCs/>
          <w:lang w:val="en-GB"/>
        </w:rPr>
        <w:t>legal remedies and appropriate reparations</w:t>
      </w:r>
      <w:r w:rsidRPr="006F74DB">
        <w:rPr>
          <w:rFonts w:eastAsia="Baskerville-Italic" w:cs="Times New Roman"/>
          <w:i/>
          <w:iCs/>
          <w:lang w:val="en-GB"/>
        </w:rPr>
        <w:t xml:space="preserve"> in practice”</w:t>
      </w:r>
      <w:r w:rsidRPr="006F74DB">
        <w:rPr>
          <w:rFonts w:cs="Times New Roman"/>
          <w:lang w:val="en-GB"/>
        </w:rPr>
        <w:t xml:space="preserve"> (JGC 18/31, para 55 (q))</w:t>
      </w:r>
      <w:r w:rsidR="001105F6" w:rsidRPr="006F74DB">
        <w:rPr>
          <w:rFonts w:cs="Times New Roman"/>
          <w:lang w:val="en-GB"/>
        </w:rPr>
        <w:t>: The law includes no remedies or reparations at all.</w:t>
      </w:r>
    </w:p>
    <w:p w:rsidR="002C39D2" w:rsidRPr="006F74DB" w:rsidRDefault="001105F6" w:rsidP="00B47032">
      <w:pPr>
        <w:pStyle w:val="absatzschattenbericht"/>
        <w:rPr>
          <w:lang w:val="en-GB"/>
        </w:rPr>
      </w:pPr>
      <w:bookmarkStart w:id="40" w:name="_Toc2371005"/>
      <w:bookmarkStart w:id="41" w:name="_Toc65413943"/>
      <w:bookmarkEnd w:id="6"/>
      <w:bookmarkEnd w:id="7"/>
      <w:r w:rsidRPr="006F74DB">
        <w:rPr>
          <w:lang w:val="en-GB"/>
        </w:rPr>
        <w:t xml:space="preserve">In contrast, </w:t>
      </w:r>
      <w:r w:rsidRPr="006F74DB">
        <w:rPr>
          <w:b/>
          <w:bCs/>
          <w:lang w:val="en-GB"/>
        </w:rPr>
        <w:t>FGM</w:t>
      </w:r>
      <w:r w:rsidRPr="006F74DB">
        <w:rPr>
          <w:lang w:val="en-GB"/>
        </w:rPr>
        <w:t xml:space="preserve"> is explicitly forbidden in the </w:t>
      </w:r>
      <w:r w:rsidRPr="006F74DB">
        <w:rPr>
          <w:b/>
          <w:bCs/>
          <w:lang w:val="en-GB"/>
        </w:rPr>
        <w:t>Spanish Criminal Code</w:t>
      </w:r>
      <w:r w:rsidRPr="006F74DB">
        <w:rPr>
          <w:lang w:val="en-GB"/>
        </w:rPr>
        <w:t xml:space="preserve">, with </w:t>
      </w:r>
      <w:r w:rsidRPr="006F74DB">
        <w:rPr>
          <w:b/>
          <w:bCs/>
          <w:lang w:val="en-GB"/>
        </w:rPr>
        <w:t>sanctions</w:t>
      </w:r>
      <w:r w:rsidRPr="006F74DB">
        <w:rPr>
          <w:lang w:val="en-GB"/>
        </w:rPr>
        <w:t xml:space="preserve"> including </w:t>
      </w:r>
      <w:r w:rsidRPr="006F74DB">
        <w:rPr>
          <w:b/>
          <w:bCs/>
          <w:i/>
          <w:iCs/>
          <w:lang w:val="en-GB"/>
        </w:rPr>
        <w:t xml:space="preserve">“imprisonment from six to twelve years” </w:t>
      </w:r>
      <w:r w:rsidRPr="006F74DB">
        <w:rPr>
          <w:lang w:val="en-GB"/>
        </w:rPr>
        <w:t xml:space="preserve">(Organic </w:t>
      </w:r>
      <w:r w:rsidR="00D873DE" w:rsidRPr="006F74DB">
        <w:rPr>
          <w:lang w:val="en-GB"/>
        </w:rPr>
        <w:t>Law</w:t>
      </w:r>
      <w:r w:rsidRPr="006F74DB">
        <w:rPr>
          <w:lang w:val="en-GB"/>
        </w:rPr>
        <w:t xml:space="preserve"> 11/2003, modified </w:t>
      </w:r>
      <w:r w:rsidR="002C39D2" w:rsidRPr="006F74DB">
        <w:rPr>
          <w:lang w:val="en-GB"/>
        </w:rPr>
        <w:t>art.</w:t>
      </w:r>
      <w:r w:rsidRPr="006F74DB">
        <w:rPr>
          <w:lang w:val="en-GB"/>
        </w:rPr>
        <w:t xml:space="preserve"> 149.2 of the Criminal Code). Also, </w:t>
      </w:r>
      <w:r w:rsidRPr="006F74DB">
        <w:rPr>
          <w:b/>
          <w:bCs/>
          <w:lang w:val="en-GB"/>
        </w:rPr>
        <w:t>extraterritorial protections</w:t>
      </w:r>
      <w:r w:rsidRPr="006F74DB">
        <w:rPr>
          <w:lang w:val="en-GB"/>
        </w:rPr>
        <w:t xml:space="preserve"> are established (Organic </w:t>
      </w:r>
      <w:r w:rsidR="00D873DE" w:rsidRPr="006F74DB">
        <w:rPr>
          <w:lang w:val="en-GB"/>
        </w:rPr>
        <w:t>Law</w:t>
      </w:r>
      <w:r w:rsidRPr="006F74DB">
        <w:rPr>
          <w:lang w:val="en-GB"/>
        </w:rPr>
        <w:t xml:space="preserve"> 6/1985, </w:t>
      </w:r>
      <w:r w:rsidR="002C39D2" w:rsidRPr="006F74DB">
        <w:rPr>
          <w:lang w:val="en-GB"/>
        </w:rPr>
        <w:t>art.</w:t>
      </w:r>
      <w:r w:rsidR="00102574">
        <w:rPr>
          <w:lang w:val="en-GB"/>
        </w:rPr>
        <w:t> </w:t>
      </w:r>
      <w:r w:rsidRPr="006F74DB">
        <w:rPr>
          <w:lang w:val="en-GB"/>
        </w:rPr>
        <w:t xml:space="preserve">23.4, modified by Organic </w:t>
      </w:r>
      <w:r w:rsidR="00D873DE" w:rsidRPr="006F74DB">
        <w:rPr>
          <w:lang w:val="en-GB"/>
        </w:rPr>
        <w:t>Law</w:t>
      </w:r>
      <w:r w:rsidRPr="006F74DB">
        <w:rPr>
          <w:lang w:val="en-GB"/>
        </w:rPr>
        <w:t xml:space="preserve"> 1/2014). Further, </w:t>
      </w:r>
      <w:r w:rsidR="00E95677" w:rsidRPr="006F74DB">
        <w:rPr>
          <w:lang w:val="en-GB"/>
        </w:rPr>
        <w:t>art.</w:t>
      </w:r>
      <w:r w:rsidRPr="006F74DB">
        <w:rPr>
          <w:lang w:val="en-GB"/>
        </w:rPr>
        <w:t xml:space="preserve"> 158 of the Civil Code, modified by Organic </w:t>
      </w:r>
      <w:r w:rsidR="00933470" w:rsidRPr="006F74DB">
        <w:rPr>
          <w:lang w:val="en-GB"/>
        </w:rPr>
        <w:t>Law</w:t>
      </w:r>
      <w:r w:rsidRPr="006F74DB">
        <w:rPr>
          <w:lang w:val="en-GB"/>
        </w:rPr>
        <w:t xml:space="preserve"> 9/2000, allows judges to adopt </w:t>
      </w:r>
      <w:r w:rsidRPr="006F74DB">
        <w:rPr>
          <w:b/>
          <w:bCs/>
          <w:lang w:val="en-GB"/>
        </w:rPr>
        <w:t>preventive measures</w:t>
      </w:r>
      <w:r w:rsidRPr="006F74DB">
        <w:rPr>
          <w:lang w:val="en-GB"/>
        </w:rPr>
        <w:t xml:space="preserve"> in the case of an imminent risk of genital mutilation. As FGM is considered a crime, professionals aware of an actual or impending incident are therefore subject to </w:t>
      </w:r>
      <w:r w:rsidRPr="006F74DB">
        <w:rPr>
          <w:b/>
          <w:bCs/>
          <w:lang w:val="en-GB"/>
        </w:rPr>
        <w:t>mandatory notification</w:t>
      </w:r>
      <w:r w:rsidRPr="006F74DB">
        <w:rPr>
          <w:lang w:val="en-GB"/>
        </w:rPr>
        <w:t xml:space="preserve"> (</w:t>
      </w:r>
      <w:r w:rsidR="002C39D2" w:rsidRPr="006F74DB">
        <w:rPr>
          <w:lang w:val="en-GB"/>
        </w:rPr>
        <w:t>art.</w:t>
      </w:r>
      <w:r w:rsidRPr="006F74DB">
        <w:rPr>
          <w:lang w:val="en-GB"/>
        </w:rPr>
        <w:t xml:space="preserve"> 450 of the Criminal Code; </w:t>
      </w:r>
      <w:r w:rsidR="002C39D2" w:rsidRPr="006F74DB">
        <w:rPr>
          <w:lang w:val="en-GB"/>
        </w:rPr>
        <w:t>arts.</w:t>
      </w:r>
      <w:r w:rsidRPr="006F74DB">
        <w:rPr>
          <w:lang w:val="en-GB"/>
        </w:rPr>
        <w:t xml:space="preserve"> 262 + 355 of the Civil Procedure Act; Organic </w:t>
      </w:r>
      <w:r w:rsidR="00D873DE" w:rsidRPr="006F74DB">
        <w:rPr>
          <w:lang w:val="en-GB"/>
        </w:rPr>
        <w:t>Law</w:t>
      </w:r>
      <w:r w:rsidRPr="006F74DB">
        <w:rPr>
          <w:lang w:val="en-GB"/>
        </w:rPr>
        <w:t xml:space="preserve"> 1/1996).</w:t>
      </w:r>
      <w:r w:rsidRPr="006F74DB">
        <w:rPr>
          <w:rStyle w:val="Funotenzeichen"/>
          <w:lang w:val="en-GB"/>
        </w:rPr>
        <w:footnoteReference w:id="37"/>
      </w:r>
      <w:r w:rsidRPr="006F74DB">
        <w:rPr>
          <w:lang w:val="en-GB"/>
        </w:rPr>
        <w:t xml:space="preserve"> </w:t>
      </w:r>
      <w:r w:rsidR="002C39D2" w:rsidRPr="006F74DB">
        <w:rPr>
          <w:lang w:val="en-GB"/>
        </w:rPr>
        <w:t xml:space="preserve">Further, the Criminal Code explicitly </w:t>
      </w:r>
      <w:r w:rsidR="002C39D2" w:rsidRPr="006F74DB">
        <w:rPr>
          <w:b/>
          <w:bCs/>
          <w:lang w:val="en-GB"/>
        </w:rPr>
        <w:t>criminalises the participation of medical professionals</w:t>
      </w:r>
      <w:r w:rsidR="002C39D2" w:rsidRPr="006F74DB">
        <w:rPr>
          <w:lang w:val="en-GB"/>
        </w:rPr>
        <w:t xml:space="preserve"> in acts of FGM </w:t>
      </w:r>
      <w:r w:rsidR="002C39D2" w:rsidRPr="006F74DB">
        <w:rPr>
          <w:lang w:val="en-GB"/>
        </w:rPr>
        <w:lastRenderedPageBreak/>
        <w:t>(art.</w:t>
      </w:r>
      <w:r w:rsidR="00102574">
        <w:rPr>
          <w:lang w:val="en-GB"/>
        </w:rPr>
        <w:t> </w:t>
      </w:r>
      <w:r w:rsidR="002C39D2" w:rsidRPr="006F74DB">
        <w:rPr>
          <w:lang w:val="en-GB"/>
        </w:rPr>
        <w:t>149.2).</w:t>
      </w:r>
      <w:r w:rsidR="002C39D2" w:rsidRPr="006F74DB">
        <w:rPr>
          <w:rStyle w:val="Funotenzeichen"/>
          <w:lang w:val="en-GB"/>
        </w:rPr>
        <w:footnoteReference w:id="38"/>
      </w:r>
      <w:r w:rsidR="00B47032" w:rsidRPr="006F74DB">
        <w:rPr>
          <w:lang w:val="en-GB"/>
        </w:rPr>
        <w:t xml:space="preserve"> What’s more, for FGM the </w:t>
      </w:r>
      <w:r w:rsidR="00B47032" w:rsidRPr="006F74DB">
        <w:rPr>
          <w:b/>
          <w:bCs/>
          <w:lang w:val="en-GB"/>
        </w:rPr>
        <w:t>statutes of limitations are 15 years</w:t>
      </w:r>
      <w:r w:rsidR="00B47032" w:rsidRPr="006F74DB">
        <w:rPr>
          <w:lang w:val="en-GB"/>
        </w:rPr>
        <w:t xml:space="preserve">, and when the </w:t>
      </w:r>
      <w:r w:rsidR="00B47032" w:rsidRPr="006F74DB">
        <w:rPr>
          <w:b/>
          <w:bCs/>
          <w:lang w:val="en-GB"/>
        </w:rPr>
        <w:t>victim is a child</w:t>
      </w:r>
      <w:r w:rsidR="00B47032" w:rsidRPr="006F74DB">
        <w:rPr>
          <w:lang w:val="en-GB"/>
        </w:rPr>
        <w:t xml:space="preserve"> under eighteen years of age, the </w:t>
      </w:r>
      <w:r w:rsidR="00B47032" w:rsidRPr="006F74DB">
        <w:rPr>
          <w:b/>
          <w:bCs/>
          <w:lang w:val="en-GB"/>
        </w:rPr>
        <w:t>time limit will only start when the victim reaches thirty-five years</w:t>
      </w:r>
      <w:r w:rsidR="00B47032" w:rsidRPr="006F74DB">
        <w:rPr>
          <w:lang w:val="en-GB"/>
        </w:rPr>
        <w:t>.</w:t>
      </w:r>
      <w:r w:rsidR="00B47032" w:rsidRPr="006F74DB">
        <w:rPr>
          <w:rStyle w:val="Funotenzeichen"/>
          <w:lang w:val="en-GB"/>
        </w:rPr>
        <w:footnoteReference w:id="39"/>
      </w:r>
    </w:p>
    <w:p w:rsidR="001105F6" w:rsidRPr="006F74DB" w:rsidRDefault="00E95677" w:rsidP="008015DD">
      <w:pPr>
        <w:pStyle w:val="absatzschattenbericht"/>
        <w:rPr>
          <w:lang w:val="en-GB"/>
        </w:rPr>
      </w:pPr>
      <w:r w:rsidRPr="006F74DB">
        <w:rPr>
          <w:b/>
          <w:bCs/>
          <w:lang w:val="en-GB"/>
        </w:rPr>
        <w:t>Conclusion:</w:t>
      </w:r>
      <w:r w:rsidRPr="006F74DB">
        <w:rPr>
          <w:lang w:val="en-GB"/>
        </w:rPr>
        <w:t xml:space="preserve"> </w:t>
      </w:r>
      <w:r w:rsidR="00D873DE" w:rsidRPr="006F74DB">
        <w:rPr>
          <w:lang w:val="en-GB"/>
        </w:rPr>
        <w:t xml:space="preserve">Despite </w:t>
      </w:r>
      <w:proofErr w:type="spellStart"/>
      <w:r w:rsidR="00D873DE" w:rsidRPr="006F74DB">
        <w:rPr>
          <w:lang w:val="en-GB"/>
        </w:rPr>
        <w:t>Spains</w:t>
      </w:r>
      <w:proofErr w:type="spellEnd"/>
      <w:r w:rsidR="00D873DE" w:rsidRPr="006F74DB">
        <w:rPr>
          <w:lang w:val="en-GB"/>
        </w:rPr>
        <w:t xml:space="preserve"> </w:t>
      </w:r>
      <w:r w:rsidR="00D873DE" w:rsidRPr="006F74DB">
        <w:rPr>
          <w:b/>
          <w:bCs/>
          <w:lang w:val="en-GB"/>
        </w:rPr>
        <w:t>repeated pledges</w:t>
      </w:r>
      <w:r w:rsidR="00D873DE" w:rsidRPr="006F74DB">
        <w:rPr>
          <w:lang w:val="en-GB"/>
        </w:rPr>
        <w:t xml:space="preserve"> to protect intersex children</w:t>
      </w:r>
      <w:r w:rsidR="00F87A56" w:rsidRPr="006F74DB">
        <w:rPr>
          <w:lang w:val="en-GB"/>
        </w:rPr>
        <w:t xml:space="preserve"> (see above</w:t>
      </w:r>
      <w:r w:rsidR="001815BC">
        <w:rPr>
          <w:lang w:val="en-GB"/>
        </w:rPr>
        <w:t xml:space="preserve"> p. 1-2</w:t>
      </w:r>
      <w:r w:rsidR="00F87A56" w:rsidRPr="006F74DB">
        <w:rPr>
          <w:lang w:val="en-GB"/>
        </w:rPr>
        <w:t>)</w:t>
      </w:r>
      <w:r w:rsidR="00D873DE" w:rsidRPr="006F74DB">
        <w:rPr>
          <w:lang w:val="en-GB"/>
        </w:rPr>
        <w:t xml:space="preserve">, and the </w:t>
      </w:r>
      <w:r w:rsidR="00D873DE" w:rsidRPr="006F74DB">
        <w:rPr>
          <w:b/>
          <w:bCs/>
          <w:lang w:val="en-GB"/>
        </w:rPr>
        <w:t>longstanding public criticism</w:t>
      </w:r>
      <w:r w:rsidR="00D873DE" w:rsidRPr="006F74DB">
        <w:rPr>
          <w:lang w:val="en-GB"/>
        </w:rPr>
        <w:t xml:space="preserve"> of intersex advocates and scholars,</w:t>
      </w:r>
      <w:r w:rsidR="00F87A56" w:rsidRPr="006F74DB">
        <w:rPr>
          <w:rStyle w:val="Funotenzeichen"/>
          <w:lang w:val="en-GB"/>
        </w:rPr>
        <w:footnoteReference w:id="40"/>
      </w:r>
      <w:r w:rsidR="00933470" w:rsidRPr="006F74DB">
        <w:rPr>
          <w:lang w:val="en-GB"/>
        </w:rPr>
        <w:t xml:space="preserve"> </w:t>
      </w:r>
      <w:r w:rsidR="008015DD" w:rsidRPr="006F74DB">
        <w:rPr>
          <w:rStyle w:val="Funotenzeichen"/>
          <w:lang w:val="en-GB"/>
        </w:rPr>
        <w:footnoteReference w:id="41"/>
      </w:r>
      <w:r w:rsidR="008015DD" w:rsidRPr="006F74DB">
        <w:rPr>
          <w:lang w:val="en-GB"/>
        </w:rPr>
        <w:t xml:space="preserve"> </w:t>
      </w:r>
      <w:r w:rsidR="008015DD" w:rsidRPr="006F74DB">
        <w:rPr>
          <w:rStyle w:val="Funotenzeichen"/>
          <w:lang w:val="en-GB"/>
        </w:rPr>
        <w:footnoteReference w:id="42"/>
      </w:r>
      <w:r w:rsidR="008015DD" w:rsidRPr="006F74DB">
        <w:rPr>
          <w:lang w:val="en-GB"/>
        </w:rPr>
        <w:t xml:space="preserve"> </w:t>
      </w:r>
      <w:r w:rsidR="008015DD" w:rsidRPr="006F74DB">
        <w:rPr>
          <w:rStyle w:val="Funotenzeichen"/>
          <w:lang w:val="en-GB"/>
        </w:rPr>
        <w:footnoteReference w:id="43"/>
      </w:r>
      <w:r w:rsidR="008015DD" w:rsidRPr="006F74DB">
        <w:rPr>
          <w:lang w:val="en-GB"/>
        </w:rPr>
        <w:t xml:space="preserve"> </w:t>
      </w:r>
      <w:r w:rsidR="00933470" w:rsidRPr="006F74DB">
        <w:rPr>
          <w:lang w:val="en-GB"/>
        </w:rPr>
        <w:t>the new national</w:t>
      </w:r>
      <w:r w:rsidR="00D873DE" w:rsidRPr="006F74DB">
        <w:rPr>
          <w:lang w:val="en-GB"/>
        </w:rPr>
        <w:t xml:space="preserve"> </w:t>
      </w:r>
      <w:r w:rsidR="00D873DE" w:rsidRPr="006F74DB">
        <w:rPr>
          <w:b/>
          <w:bCs/>
          <w:lang w:val="en-GB"/>
        </w:rPr>
        <w:t xml:space="preserve">Organic Law 4/2023 </w:t>
      </w:r>
      <w:r w:rsidR="00933470" w:rsidRPr="006F74DB">
        <w:rPr>
          <w:lang w:val="en-GB"/>
        </w:rPr>
        <w:t xml:space="preserve">still categorically fails to adequately protect intersex children. Therefore, the State Party </w:t>
      </w:r>
      <w:r w:rsidR="00F87A56" w:rsidRPr="006F74DB">
        <w:rPr>
          <w:lang w:val="en-GB"/>
        </w:rPr>
        <w:t xml:space="preserve">urgently needs to </w:t>
      </w:r>
      <w:r w:rsidR="00F87A56" w:rsidRPr="006F74DB">
        <w:rPr>
          <w:rFonts w:eastAsia="Baskerville-SemiBoldItalic"/>
          <w:b/>
          <w:bCs/>
          <w:i/>
          <w:lang w:val="en-GB"/>
        </w:rPr>
        <w:t>“amend legislation</w:t>
      </w:r>
      <w:r w:rsidR="00F87A56" w:rsidRPr="006F74DB">
        <w:rPr>
          <w:rFonts w:eastAsia="Baskerville-Italic"/>
          <w:i/>
          <w:lang w:val="en-GB"/>
        </w:rPr>
        <w:t xml:space="preserve"> with a view to effectively addressing and eliminating harmful practices”</w:t>
      </w:r>
      <w:r w:rsidR="00F87A56" w:rsidRPr="006F74DB">
        <w:rPr>
          <w:lang w:val="en-GB"/>
        </w:rPr>
        <w:t xml:space="preserve"> (JGC 18/31, para 55).</w:t>
      </w:r>
    </w:p>
    <w:p w:rsidR="00993CAC" w:rsidRPr="006F74DB" w:rsidRDefault="00993CAC">
      <w:pPr>
        <w:spacing w:after="0" w:line="240" w:lineRule="auto"/>
        <w:rPr>
          <w:rFonts w:ascii="Times New Roman" w:eastAsia="Baskerville-SemiBold" w:hAnsi="Times New Roman"/>
          <w:color w:val="000000"/>
          <w:spacing w:val="2"/>
          <w:kern w:val="1"/>
          <w:sz w:val="24"/>
          <w:szCs w:val="24"/>
          <w:lang w:val="en-GB" w:eastAsia="zh-CN" w:bidi="hi-IN"/>
        </w:rPr>
      </w:pPr>
      <w:r w:rsidRPr="006F74DB">
        <w:rPr>
          <w:rFonts w:ascii="Times New Roman" w:eastAsia="Baskerville-SemiBold" w:hAnsi="Times New Roman"/>
          <w:b/>
          <w:bCs/>
          <w:iCs/>
          <w:color w:val="000000"/>
          <w:szCs w:val="24"/>
          <w:lang w:val="en-GB"/>
        </w:rPr>
        <w:br w:type="page"/>
      </w:r>
    </w:p>
    <w:p w:rsidR="003E09DF" w:rsidRPr="006F74DB" w:rsidRDefault="00BD3142" w:rsidP="003E09DF">
      <w:pPr>
        <w:pStyle w:val="Title2"/>
        <w:rPr>
          <w:sz w:val="32"/>
          <w:szCs w:val="32"/>
        </w:rPr>
      </w:pPr>
      <w:bookmarkStart w:id="42" w:name="_Toc173456316"/>
      <w:bookmarkEnd w:id="40"/>
      <w:bookmarkEnd w:id="41"/>
      <w:r w:rsidRPr="006F74DB">
        <w:rPr>
          <w:sz w:val="32"/>
          <w:szCs w:val="32"/>
        </w:rPr>
        <w:lastRenderedPageBreak/>
        <w:t>4</w:t>
      </w:r>
      <w:r w:rsidR="003E09DF" w:rsidRPr="006F74DB">
        <w:rPr>
          <w:sz w:val="32"/>
          <w:szCs w:val="32"/>
        </w:rPr>
        <w:t xml:space="preserve">.  </w:t>
      </w:r>
      <w:r w:rsidR="008F2023" w:rsidRPr="006F74DB">
        <w:rPr>
          <w:sz w:val="32"/>
          <w:szCs w:val="32"/>
        </w:rPr>
        <w:t xml:space="preserve">Suggested </w:t>
      </w:r>
      <w:r w:rsidR="004D74F4" w:rsidRPr="006F74DB">
        <w:rPr>
          <w:sz w:val="32"/>
          <w:szCs w:val="32"/>
        </w:rPr>
        <w:t>Recommendations</w:t>
      </w:r>
      <w:bookmarkEnd w:id="42"/>
    </w:p>
    <w:p w:rsidR="00B0200F" w:rsidRPr="006F74DB" w:rsidRDefault="00B0200F" w:rsidP="00B0200F">
      <w:pPr>
        <w:pStyle w:val="absatzschattenbericht"/>
        <w:rPr>
          <w:lang w:val="en-GB"/>
        </w:rPr>
      </w:pPr>
    </w:p>
    <w:p w:rsidR="001A19D7" w:rsidRPr="006F74DB" w:rsidRDefault="001A19D7" w:rsidP="00BD3142">
      <w:pPr>
        <w:pStyle w:val="absatzschattenbericht"/>
        <w:rPr>
          <w:b/>
          <w:i/>
          <w:iCs/>
          <w:sz w:val="26"/>
          <w:szCs w:val="26"/>
          <w:lang w:val="en-GB"/>
        </w:rPr>
      </w:pPr>
      <w:r w:rsidRPr="006F74DB">
        <w:rPr>
          <w:i/>
          <w:iCs/>
          <w:sz w:val="26"/>
          <w:szCs w:val="26"/>
          <w:lang w:val="en-GB"/>
        </w:rPr>
        <w:t xml:space="preserve">The Rapporteurs respectfully suggest that, with respect to the treatment of intersex persons in </w:t>
      </w:r>
      <w:r w:rsidR="00417452" w:rsidRPr="006F74DB">
        <w:rPr>
          <w:i/>
          <w:iCs/>
          <w:sz w:val="26"/>
          <w:szCs w:val="26"/>
          <w:lang w:val="en-GB"/>
        </w:rPr>
        <w:t>Spain</w:t>
      </w:r>
      <w:r w:rsidRPr="006F74DB">
        <w:rPr>
          <w:i/>
          <w:iCs/>
          <w:sz w:val="26"/>
          <w:szCs w:val="26"/>
          <w:lang w:val="en-GB"/>
        </w:rPr>
        <w:t xml:space="preserve">, the Committee includes the following measures in their recommendations to the </w:t>
      </w:r>
      <w:r w:rsidR="00417452" w:rsidRPr="006F74DB">
        <w:rPr>
          <w:i/>
          <w:iCs/>
          <w:sz w:val="26"/>
          <w:szCs w:val="26"/>
          <w:lang w:val="en-GB"/>
        </w:rPr>
        <w:t>Spanish</w:t>
      </w:r>
      <w:r w:rsidRPr="006F74DB">
        <w:rPr>
          <w:i/>
          <w:iCs/>
          <w:sz w:val="26"/>
          <w:szCs w:val="26"/>
          <w:lang w:val="en-GB"/>
        </w:rPr>
        <w:t xml:space="preserve"> Government (in line with this Committee’s previous recommendations on IGM practices).</w:t>
      </w:r>
    </w:p>
    <w:p w:rsidR="001A19D7" w:rsidRPr="006F74DB" w:rsidRDefault="001A19D7" w:rsidP="001A19D7">
      <w:pPr>
        <w:pStyle w:val="absatzschattenbericht"/>
        <w:rPr>
          <w:sz w:val="12"/>
          <w:szCs w:val="12"/>
          <w:highlight w:val="yellow"/>
          <w:lang w:val="en-GB"/>
        </w:rPr>
      </w:pPr>
    </w:p>
    <w:p w:rsidR="001A19D7" w:rsidRPr="006F74DB" w:rsidRDefault="001A19D7" w:rsidP="001A19D7">
      <w:pPr>
        <w:pStyle w:val="absatzschattenbericht"/>
        <w:rPr>
          <w:b/>
          <w:sz w:val="28"/>
          <w:szCs w:val="28"/>
          <w:lang w:val="en-GB"/>
        </w:rPr>
      </w:pPr>
      <w:r w:rsidRPr="006F74DB">
        <w:rPr>
          <w:b/>
          <w:sz w:val="28"/>
          <w:szCs w:val="28"/>
          <w:lang w:val="en-GB"/>
        </w:rPr>
        <w:t>Harmful practices: Intersex children (art. 24(3))</w:t>
      </w:r>
    </w:p>
    <w:p w:rsidR="001A19D7" w:rsidRPr="006F74DB" w:rsidRDefault="001A19D7" w:rsidP="001A19D7">
      <w:pPr>
        <w:pStyle w:val="absatzschattenbericht"/>
        <w:rPr>
          <w:bCs/>
          <w:sz w:val="28"/>
          <w:szCs w:val="28"/>
          <w:lang w:val="en-GB"/>
        </w:rPr>
      </w:pPr>
      <w:r w:rsidRPr="006F74DB">
        <w:rPr>
          <w:bCs/>
          <w:sz w:val="28"/>
          <w:szCs w:val="28"/>
          <w:lang w:val="en-GB"/>
        </w:rPr>
        <w:t xml:space="preserve">The Committee takes note of the </w:t>
      </w:r>
      <w:r w:rsidR="00F46335" w:rsidRPr="006F74DB">
        <w:rPr>
          <w:bCs/>
          <w:sz w:val="28"/>
          <w:szCs w:val="28"/>
          <w:lang w:val="en-GB"/>
        </w:rPr>
        <w:t>Organic</w:t>
      </w:r>
      <w:r w:rsidRPr="006F74DB">
        <w:rPr>
          <w:bCs/>
          <w:sz w:val="28"/>
          <w:szCs w:val="28"/>
          <w:lang w:val="en-GB"/>
        </w:rPr>
        <w:t xml:space="preserve"> Law </w:t>
      </w:r>
      <w:r w:rsidR="00F46335" w:rsidRPr="006F74DB">
        <w:rPr>
          <w:bCs/>
          <w:sz w:val="28"/>
          <w:szCs w:val="28"/>
          <w:lang w:val="en-GB"/>
        </w:rPr>
        <w:t xml:space="preserve">4/2023. </w:t>
      </w:r>
      <w:r w:rsidRPr="006F74DB">
        <w:rPr>
          <w:bCs/>
          <w:sz w:val="28"/>
          <w:szCs w:val="28"/>
          <w:lang w:val="en-GB"/>
        </w:rPr>
        <w:t>However, it remains seriously concerned about persisting cases of medically unnecessary and irreversible surgery and other treatment on intersex children without their informed consent, which can cause severe suffering, and the lack of redress and compensation in such cases.</w:t>
      </w:r>
    </w:p>
    <w:p w:rsidR="001A19D7" w:rsidRPr="006F74DB" w:rsidRDefault="001A19D7" w:rsidP="001A19D7">
      <w:pPr>
        <w:pStyle w:val="absatzschattenbericht"/>
        <w:rPr>
          <w:b/>
          <w:sz w:val="28"/>
          <w:szCs w:val="28"/>
          <w:lang w:val="en-GB"/>
        </w:rPr>
      </w:pPr>
      <w:r w:rsidRPr="006F74DB">
        <w:rPr>
          <w:b/>
          <w:sz w:val="28"/>
          <w:szCs w:val="28"/>
          <w:lang w:val="en-GB"/>
        </w:rPr>
        <w:t>With reference to the joint general recommendation No. 31 of the Committee on the Elimination of Discrimination against Women/general comment No. 18 of the Committee on the Rights of the Child (2019) on harmful practices, and taking note of target 5.3 of the Sustainable Development Goals, the Committee urges the State party to:</w:t>
      </w:r>
    </w:p>
    <w:p w:rsidR="001A19D7" w:rsidRPr="006F74DB" w:rsidRDefault="000B0FC3" w:rsidP="001A19D7">
      <w:pPr>
        <w:pStyle w:val="absatzschattenbericht"/>
        <w:numPr>
          <w:ilvl w:val="0"/>
          <w:numId w:val="24"/>
        </w:numPr>
        <w:rPr>
          <w:b/>
          <w:sz w:val="28"/>
          <w:szCs w:val="28"/>
          <w:lang w:val="en-GB"/>
        </w:rPr>
      </w:pPr>
      <w:r w:rsidRPr="006F74DB">
        <w:rPr>
          <w:b/>
          <w:sz w:val="28"/>
          <w:szCs w:val="28"/>
          <w:lang w:val="en-GB"/>
        </w:rPr>
        <w:t>Amend its legislation to adequately sanction</w:t>
      </w:r>
      <w:r w:rsidR="001A19D7" w:rsidRPr="006F74DB">
        <w:rPr>
          <w:b/>
          <w:sz w:val="28"/>
          <w:szCs w:val="28"/>
          <w:lang w:val="en-GB"/>
        </w:rPr>
        <w:t xml:space="preserve"> the performance of </w:t>
      </w:r>
      <w:r w:rsidRPr="006F74DB">
        <w:rPr>
          <w:b/>
          <w:sz w:val="28"/>
          <w:szCs w:val="28"/>
          <w:lang w:val="en-GB"/>
        </w:rPr>
        <w:t>involuntary, deferrable</w:t>
      </w:r>
      <w:r w:rsidR="001A19D7" w:rsidRPr="006F74DB">
        <w:rPr>
          <w:b/>
          <w:sz w:val="28"/>
          <w:szCs w:val="28"/>
          <w:lang w:val="en-GB"/>
        </w:rPr>
        <w:t xml:space="preserve"> medical or surgical treatment on intersex children, and provide reparations for children who received unnecessary treatment, including by extending the statute of limitations.</w:t>
      </w:r>
    </w:p>
    <w:p w:rsidR="001A19D7" w:rsidRPr="006F74DB" w:rsidRDefault="000B0FC3" w:rsidP="001A19D7">
      <w:pPr>
        <w:pStyle w:val="absatzschattenbericht"/>
        <w:numPr>
          <w:ilvl w:val="0"/>
          <w:numId w:val="24"/>
        </w:numPr>
        <w:rPr>
          <w:b/>
          <w:sz w:val="28"/>
          <w:szCs w:val="28"/>
          <w:lang w:val="en-GB"/>
        </w:rPr>
      </w:pPr>
      <w:r w:rsidRPr="006F74DB">
        <w:rPr>
          <w:b/>
          <w:sz w:val="28"/>
          <w:szCs w:val="28"/>
          <w:lang w:val="en-GB"/>
        </w:rPr>
        <w:t>Enforce Organic Act 4/2023, art. 19, including to p</w:t>
      </w:r>
      <w:r w:rsidR="001A19D7" w:rsidRPr="006F74DB">
        <w:rPr>
          <w:b/>
          <w:sz w:val="28"/>
          <w:szCs w:val="28"/>
          <w:lang w:val="en-GB"/>
        </w:rPr>
        <w:t>rovide families with intersex children with adequate counselling and support.</w:t>
      </w:r>
    </w:p>
    <w:p w:rsidR="001A19D7" w:rsidRPr="006F74DB" w:rsidRDefault="001A19D7" w:rsidP="001A19D7">
      <w:pPr>
        <w:pStyle w:val="absatzschattenbericht"/>
        <w:numPr>
          <w:ilvl w:val="0"/>
          <w:numId w:val="24"/>
        </w:numPr>
        <w:rPr>
          <w:b/>
          <w:sz w:val="28"/>
          <w:szCs w:val="28"/>
          <w:lang w:val="en-GB"/>
        </w:rPr>
      </w:pPr>
      <w:r w:rsidRPr="006F74DB">
        <w:rPr>
          <w:b/>
          <w:sz w:val="28"/>
          <w:szCs w:val="28"/>
          <w:lang w:val="en-GB"/>
        </w:rPr>
        <w:t xml:space="preserve">Systematically collect data with a view to understanding the extent of these harmful practices so that children at risk can be more easily identified and their abuse prevented. </w:t>
      </w:r>
    </w:p>
    <w:p w:rsidR="00703EDA" w:rsidRPr="006F74DB" w:rsidRDefault="00703EDA" w:rsidP="002B0370">
      <w:pPr>
        <w:pStyle w:val="absatzschattenbericht"/>
        <w:rPr>
          <w:lang w:val="en-GB"/>
        </w:rPr>
      </w:pPr>
    </w:p>
    <w:p w:rsidR="009C6194" w:rsidRPr="006F74DB" w:rsidRDefault="009C6194" w:rsidP="009C6194">
      <w:pPr>
        <w:pStyle w:val="absatzschattenbericht"/>
        <w:rPr>
          <w:lang w:val="en-GB"/>
        </w:rPr>
      </w:pPr>
    </w:p>
    <w:p w:rsidR="009C6194" w:rsidRPr="006F74DB" w:rsidRDefault="009C6194" w:rsidP="009C6194">
      <w:pPr>
        <w:pStyle w:val="absatzschattenbericht"/>
        <w:rPr>
          <w:lang w:val="en-GB"/>
        </w:rPr>
      </w:pPr>
      <w:r w:rsidRPr="006F74DB">
        <w:rPr>
          <w:lang w:val="en-GB"/>
        </w:rPr>
        <w:t>Thank you for your consideration and kind regards,</w:t>
      </w:r>
    </w:p>
    <w:p w:rsidR="009C6194" w:rsidRPr="006F74DB" w:rsidRDefault="009C6194" w:rsidP="009C6194">
      <w:pPr>
        <w:pStyle w:val="absatzschattenbericht"/>
        <w:rPr>
          <w:lang w:val="en-GB"/>
        </w:rPr>
      </w:pPr>
      <w:r w:rsidRPr="006F74DB">
        <w:rPr>
          <w:lang w:val="en-GB"/>
        </w:rPr>
        <w:t>Daniela Truffer &amp; Markus Bauer (StopIGM.org / Zwischengeschlecht.org)</w:t>
      </w:r>
    </w:p>
    <w:p w:rsidR="009C6194" w:rsidRPr="006F74DB" w:rsidRDefault="009C6194" w:rsidP="002B0370">
      <w:pPr>
        <w:pStyle w:val="absatzschattenbericht"/>
        <w:rPr>
          <w:lang w:val="en-GB"/>
        </w:rPr>
      </w:pPr>
    </w:p>
    <w:sectPr w:rsidR="009C6194" w:rsidRPr="006F74DB" w:rsidSect="00FC2867">
      <w:headerReference w:type="default" r:id="rId8"/>
      <w:headerReference w:type="first" r:id="rId9"/>
      <w:footerReference w:type="first" r:id="rId10"/>
      <w:pgSz w:w="11906" w:h="16838"/>
      <w:pgMar w:top="1134" w:right="1134" w:bottom="1134"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4F7CE3" w:rsidRDefault="004F7CE3" w:rsidP="005541D9">
      <w:pPr>
        <w:spacing w:after="0" w:line="240" w:lineRule="auto"/>
      </w:pPr>
      <w:r>
        <w:separator/>
      </w:r>
    </w:p>
  </w:endnote>
  <w:endnote w:type="continuationSeparator" w:id="0">
    <w:p w:rsidR="004F7CE3" w:rsidRDefault="004F7CE3" w:rsidP="005541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OpenSymbol">
    <w:altName w:val="Arial Unicode MS"/>
    <w:panose1 w:val="020B0604020202020204"/>
    <w:charset w:val="80"/>
    <w:family w:val="auto"/>
    <w:pitch w:val="default"/>
  </w:font>
  <w:font w:name="Baskerville">
    <w:altName w:val="Baskerville"/>
    <w:panose1 w:val="02020502070401020303"/>
    <w:charset w:val="00"/>
    <w:family w:val="roman"/>
    <w:pitch w:val="variable"/>
    <w:sig w:usb0="80000067" w:usb1="02000000" w:usb2="00000000" w:usb3="00000000" w:csb0="000001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Helvetica-Bold">
    <w:altName w:val="Yu Gothic"/>
    <w:panose1 w:val="00000000000000000000"/>
    <w:charset w:val="00"/>
    <w:family w:val="auto"/>
    <w:pitch w:val="variable"/>
    <w:sig w:usb0="E00002FF" w:usb1="5000785B"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Baskerville-SemiBold">
    <w:altName w:val="Baskerville Old Face"/>
    <w:panose1 w:val="02020702070400020203"/>
    <w:charset w:val="00"/>
    <w:family w:val="roman"/>
    <w:pitch w:val="variable"/>
    <w:sig w:usb0="00000001" w:usb1="02000040" w:usb2="00000000" w:usb3="00000000" w:csb0="0000019F" w:csb1="00000000"/>
  </w:font>
  <w:font w:name="Baskerville-Bold">
    <w:altName w:val="Cambria Math"/>
    <w:panose1 w:val="02020802070401020303"/>
    <w:charset w:val="80"/>
    <w:family w:val="auto"/>
    <w:pitch w:val="default"/>
  </w:font>
  <w:font w:name="DengXian">
    <w:altName w:val="等线"/>
    <w:panose1 w:val="02010600030101010101"/>
    <w:charset w:val="86"/>
    <w:family w:val="auto"/>
    <w:pitch w:val="variable"/>
    <w:sig w:usb0="A00002BF" w:usb1="38CF7CFA" w:usb2="00000016" w:usb3="00000000" w:csb0="0004000F" w:csb1="00000000"/>
  </w:font>
  <w:font w:name="Baskerville-SemiBoldItalic">
    <w:altName w:val="Baskerville"/>
    <w:panose1 w:val="02020702070400090203"/>
    <w:charset w:val="00"/>
    <w:family w:val="script"/>
    <w:pitch w:val="default"/>
  </w:font>
  <w:font w:name="Baskerville-Italic">
    <w:altName w:val="MS Mincho"/>
    <w:panose1 w:val="02020502070401020303"/>
    <w:charset w:val="80"/>
    <w:family w:val="script"/>
    <w:pitch w:val="default"/>
    <w:sig w:usb0="80000067" w:usb1="0A070000" w:usb2="00000010" w:usb3="00000000" w:csb0="00020000"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BD3142" w:rsidRDefault="00BD3142" w:rsidP="003E391D">
    <w:pPr>
      <w:spacing w:after="0" w:line="240" w:lineRule="auto"/>
      <w:jc w:val="right"/>
      <w:rPr>
        <w:rFonts w:ascii="Century Gothic" w:hAnsi="Century Gothic" w:cs="Century Gothic"/>
        <w:color w:val="660066"/>
        <w:sz w:val="24"/>
      </w:rPr>
    </w:pPr>
  </w:p>
  <w:p w:rsidR="00BD3142" w:rsidRDefault="00BD3142" w:rsidP="003E391D">
    <w:pPr>
      <w:spacing w:after="0" w:line="240" w:lineRule="auto"/>
      <w:jc w:val="right"/>
      <w:rPr>
        <w:rFonts w:ascii="Century Gothic" w:hAnsi="Century Gothic" w:cs="Century Gothic"/>
        <w:color w:val="660066"/>
        <w:sz w:val="24"/>
      </w:rPr>
    </w:pPr>
    <w:r>
      <w:rPr>
        <w:rFonts w:ascii="Century Gothic" w:hAnsi="Century Gothic" w:cs="Century Gothic"/>
        <w:color w:val="660066"/>
        <w:sz w:val="24"/>
      </w:rPr>
      <w:t xml:space="preserve">c/o Zwischengeschlecht.org </w:t>
    </w:r>
    <w:proofErr w:type="gramStart"/>
    <w:r>
      <w:rPr>
        <w:rFonts w:ascii="Century Gothic" w:hAnsi="Century Gothic" w:cs="Century Gothic"/>
        <w:color w:val="660066"/>
        <w:sz w:val="24"/>
      </w:rPr>
      <w:t xml:space="preserve">·  </w:t>
    </w:r>
    <w:proofErr w:type="spellStart"/>
    <w:r>
      <w:rPr>
        <w:rFonts w:ascii="Century Gothic" w:hAnsi="Century Gothic" w:cs="Century Gothic"/>
        <w:color w:val="660066"/>
        <w:sz w:val="24"/>
      </w:rPr>
      <w:t>P.O.Box</w:t>
    </w:r>
    <w:proofErr w:type="spellEnd"/>
    <w:proofErr w:type="gramEnd"/>
    <w:r>
      <w:rPr>
        <w:rFonts w:ascii="Century Gothic" w:hAnsi="Century Gothic" w:cs="Century Gothic"/>
        <w:color w:val="660066"/>
        <w:sz w:val="24"/>
      </w:rPr>
      <w:t xml:space="preserve"> 1318 ·  CH-8031 </w:t>
    </w:r>
    <w:proofErr w:type="spellStart"/>
    <w:r>
      <w:rPr>
        <w:rFonts w:ascii="Century Gothic" w:hAnsi="Century Gothic" w:cs="Century Gothic"/>
        <w:color w:val="660066"/>
        <w:sz w:val="24"/>
      </w:rPr>
      <w:t>Zurich</w:t>
    </w:r>
    <w:proofErr w:type="spellEnd"/>
    <w:r>
      <w:rPr>
        <w:rFonts w:ascii="Century Gothic" w:hAnsi="Century Gothic" w:cs="Century Gothic"/>
        <w:color w:val="660066"/>
        <w:sz w:val="24"/>
      </w:rPr>
      <w:t xml:space="preserve"> ·  </w:t>
    </w:r>
    <w:proofErr w:type="spellStart"/>
    <w:r>
      <w:rPr>
        <w:rFonts w:ascii="Century Gothic" w:hAnsi="Century Gothic" w:cs="Century Gothic"/>
        <w:color w:val="660066"/>
        <w:sz w:val="24"/>
      </w:rPr>
      <w:t>Switzerland</w:t>
    </w:r>
    <w:proofErr w:type="spellEnd"/>
  </w:p>
  <w:p w:rsidR="00BD3142" w:rsidRDefault="00BD3142" w:rsidP="003E391D">
    <w:pPr>
      <w:spacing w:after="0" w:line="240" w:lineRule="auto"/>
      <w:jc w:val="right"/>
      <w:rPr>
        <w:rFonts w:ascii="Century Gothic" w:hAnsi="Century Gothic" w:cs="Century Gothic"/>
        <w:color w:val="660066"/>
        <w:sz w:val="24"/>
      </w:rPr>
    </w:pPr>
    <w:r>
      <w:rPr>
        <w:rFonts w:ascii="Century Gothic" w:hAnsi="Century Gothic" w:cs="Century Gothic"/>
        <w:color w:val="660066"/>
        <w:sz w:val="24"/>
      </w:rPr>
      <w:t>info@zwischengeschlecht.org</w:t>
    </w:r>
  </w:p>
  <w:p w:rsidR="00BD3142" w:rsidRPr="003E391D" w:rsidRDefault="00BD3142" w:rsidP="003E391D">
    <w:pPr>
      <w:spacing w:after="0" w:line="240" w:lineRule="auto"/>
      <w:jc w:val="right"/>
    </w:pPr>
    <w:r>
      <w:rPr>
        <w:rFonts w:ascii="Century Gothic" w:hAnsi="Century Gothic" w:cs="Century Gothic"/>
        <w:color w:val="660066"/>
        <w:sz w:val="24"/>
      </w:rPr>
      <w:t xml:space="preserve">Mobile +41 76 398 06 50 </w:t>
    </w:r>
    <w:proofErr w:type="gramStart"/>
    <w:r>
      <w:rPr>
        <w:rFonts w:ascii="Century Gothic" w:hAnsi="Century Gothic" w:cs="Century Gothic"/>
        <w:color w:val="660066"/>
        <w:sz w:val="24"/>
      </w:rPr>
      <w:t>·  https://stopigm.org</w:t>
    </w:r>
    <w:proofErr w:type="gramEnd"/>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4F7CE3" w:rsidRDefault="004F7CE3" w:rsidP="005541D9">
      <w:pPr>
        <w:spacing w:after="0" w:line="240" w:lineRule="auto"/>
      </w:pPr>
      <w:r>
        <w:separator/>
      </w:r>
    </w:p>
  </w:footnote>
  <w:footnote w:type="continuationSeparator" w:id="0">
    <w:p w:rsidR="004F7CE3" w:rsidRDefault="004F7CE3" w:rsidP="005541D9">
      <w:pPr>
        <w:spacing w:after="0" w:line="240" w:lineRule="auto"/>
      </w:pPr>
      <w:r>
        <w:continuationSeparator/>
      </w:r>
    </w:p>
  </w:footnote>
  <w:footnote w:id="1">
    <w:p w:rsidR="00BD3142" w:rsidRDefault="00BD3142" w:rsidP="00DB4A71">
      <w:pPr>
        <w:pStyle w:val="fussnoteschattenbericht"/>
      </w:pPr>
      <w:r w:rsidRPr="007B1662">
        <w:footnoteRef/>
      </w:r>
      <w:r w:rsidRPr="007B1662">
        <w:tab/>
        <w:t xml:space="preserve">Statement </w:t>
      </w:r>
      <w:r>
        <w:t xml:space="preserve">supported by Spain </w:t>
      </w:r>
      <w:r w:rsidRPr="007B1662">
        <w:t xml:space="preserve">(and </w:t>
      </w:r>
      <w:r>
        <w:t xml:space="preserve">by </w:t>
      </w:r>
      <w:r w:rsidRPr="007B1662">
        <w:t>34 other States) during the 45</w:t>
      </w:r>
      <w:r w:rsidRPr="007B1662">
        <w:rPr>
          <w:vertAlign w:val="superscript"/>
        </w:rPr>
        <w:t>th</w:t>
      </w:r>
      <w:r w:rsidRPr="007B1662">
        <w:t xml:space="preserve"> Session of the Human Rights Council on 1 October 2020, </w:t>
      </w:r>
      <w:hyperlink r:id="rId1" w:history="1">
        <w:r w:rsidRPr="007B1662">
          <w:rPr>
            <w:rStyle w:val="Hyperlink"/>
          </w:rPr>
          <w:t>https://www.dfat.gov.au/international-relations/themes/human-rights/hrc-statements/45th-session-human-rights-council/joint-statement-led-austria-rights-intersex-persons</w:t>
        </w:r>
      </w:hyperlink>
      <w:r>
        <w:t xml:space="preserve"> </w:t>
      </w:r>
    </w:p>
  </w:footnote>
  <w:footnote w:id="2">
    <w:p w:rsidR="00BD3142" w:rsidRPr="00FC7C49" w:rsidRDefault="00BD3142" w:rsidP="00DB4A71">
      <w:pPr>
        <w:pStyle w:val="fussnoteschattenbericht"/>
        <w:rPr>
          <w:rStyle w:val="Hyperlink"/>
        </w:rPr>
      </w:pPr>
      <w:r>
        <w:footnoteRef/>
      </w:r>
      <w:r>
        <w:tab/>
        <w:t>Statement supported by Spain (and 52 other States) during the 48</w:t>
      </w:r>
      <w:r w:rsidRPr="00C04579">
        <w:rPr>
          <w:vertAlign w:val="superscript"/>
        </w:rPr>
        <w:t>th</w:t>
      </w:r>
      <w:r>
        <w:t xml:space="preserve"> Session of the Human Rights Council on 4 October 2021, </w:t>
      </w:r>
      <w:hyperlink r:id="rId2" w:history="1">
        <w:r w:rsidRPr="007041EF">
          <w:rPr>
            <w:rStyle w:val="Hyperlink"/>
          </w:rPr>
          <w:t>https://www.bmeia.gv.at/oev-genf/speeches/alle/2021/10/united-nations-human-rights-council-48th-session-joint-statement-on-the-human-rights-of-intersex-persons/</w:t>
        </w:r>
      </w:hyperlink>
      <w:r>
        <w:t xml:space="preserve"> </w:t>
      </w:r>
    </w:p>
  </w:footnote>
  <w:footnote w:id="3">
    <w:p w:rsidR="00BD3142" w:rsidRDefault="00BD3142" w:rsidP="00DB4A71">
      <w:pPr>
        <w:pStyle w:val="fussnoteschattenbericht"/>
      </w:pPr>
      <w:r w:rsidRPr="007B1662">
        <w:footnoteRef/>
      </w:r>
      <w:r w:rsidRPr="007B1662">
        <w:tab/>
      </w:r>
      <w:r>
        <w:t>Statement supported by Spain (and 55 other States) during the 54</w:t>
      </w:r>
      <w:r w:rsidRPr="00C04579">
        <w:rPr>
          <w:vertAlign w:val="superscript"/>
        </w:rPr>
        <w:t>th</w:t>
      </w:r>
      <w:r>
        <w:t xml:space="preserve"> Session of the Human Rights Council on 4 October 2023</w:t>
      </w:r>
      <w:r w:rsidRPr="007B1662">
        <w:t xml:space="preserve">, </w:t>
      </w:r>
      <w:hyperlink r:id="rId3" w:history="1">
        <w:r w:rsidRPr="000B41E3">
          <w:rPr>
            <w:rStyle w:val="Hyperlink"/>
          </w:rPr>
          <w:t>https://finlandabroad.fi/web/geneve/current-affairs/-/asset_publisher/h5w4iTUJhNne/content/general-debate-item-8/384951</w:t>
        </w:r>
      </w:hyperlink>
      <w:r>
        <w:t xml:space="preserve"> </w:t>
      </w:r>
    </w:p>
  </w:footnote>
  <w:footnote w:id="4">
    <w:p w:rsidR="00BD3142" w:rsidRPr="00C153F5" w:rsidRDefault="00BD3142" w:rsidP="00DB4A71">
      <w:pPr>
        <w:pStyle w:val="fussnoteschattenbericht"/>
      </w:pPr>
      <w:r w:rsidRPr="00DE42B3">
        <w:rPr>
          <w:rStyle w:val="Funotenzeichen"/>
          <w:vertAlign w:val="baseline"/>
        </w:rPr>
        <w:footnoteRef/>
      </w:r>
      <w:r w:rsidRPr="00C153F5">
        <w:rPr>
          <w:rStyle w:val="FootnoteSymbol"/>
          <w:rFonts w:eastAsia="Times New Roman"/>
        </w:rPr>
        <w:tab/>
      </w:r>
      <w:r w:rsidRPr="00C153F5">
        <w:t>For general information, see 2016 CEDAW NGO Report France, p. 47</w:t>
      </w:r>
      <w:r>
        <w:t>,</w:t>
      </w:r>
      <w:r w:rsidRPr="00C153F5">
        <w:t xml:space="preserve"> </w:t>
      </w:r>
      <w:hyperlink r:id="rId4" w:history="1">
        <w:r w:rsidRPr="001B3353">
          <w:rPr>
            <w:rStyle w:val="Hyperlink"/>
          </w:rPr>
          <w:t>https://intersex.shadowreport.org/public/2016-CEDAW-France-NGO-Zwischengeschlecht-Intersex-IGM.pdf</w:t>
        </w:r>
      </w:hyperlink>
    </w:p>
  </w:footnote>
  <w:footnote w:id="5">
    <w:p w:rsidR="00BD3142" w:rsidRPr="00C153F5" w:rsidRDefault="00BD3142" w:rsidP="00DB4A71">
      <w:pPr>
        <w:pStyle w:val="fussnoteschattenbericht"/>
      </w:pPr>
      <w:r w:rsidRPr="00DE42B3">
        <w:rPr>
          <w:rStyle w:val="Funotenzeichen"/>
          <w:vertAlign w:val="baseline"/>
        </w:rPr>
        <w:footnoteRef/>
      </w:r>
      <w:r w:rsidRPr="00DE42B3">
        <w:rPr>
          <w:rStyle w:val="Funotenzeichen"/>
          <w:vertAlign w:val="baseline"/>
        </w:rPr>
        <w:t xml:space="preserve"> </w:t>
      </w:r>
      <w:r w:rsidRPr="00DE42B3">
        <w:tab/>
      </w:r>
      <w:hyperlink r:id="rId5" w:history="1">
        <w:r w:rsidRPr="00530BE6">
          <w:rPr>
            <w:rStyle w:val="Hyperlink"/>
          </w:rPr>
          <w:t>https://uroweb.org/guidelines/endorsement/</w:t>
        </w:r>
      </w:hyperlink>
      <w:r>
        <w:t xml:space="preserve"> </w:t>
      </w:r>
    </w:p>
  </w:footnote>
  <w:footnote w:id="6">
    <w:p w:rsidR="00BD3142" w:rsidRPr="00C153F5" w:rsidRDefault="00BD3142" w:rsidP="00DB4A71">
      <w:pPr>
        <w:pStyle w:val="fussnoteschattenbericht"/>
      </w:pPr>
      <w:r w:rsidRPr="00DE42B3">
        <w:rPr>
          <w:rStyle w:val="Funotenzeichen"/>
          <w:vertAlign w:val="baseline"/>
        </w:rPr>
        <w:footnoteRef/>
      </w:r>
      <w:r w:rsidRPr="00DE42B3">
        <w:rPr>
          <w:rStyle w:val="Funotenzeichen"/>
          <w:vertAlign w:val="baseline"/>
        </w:rPr>
        <w:t xml:space="preserve"> </w:t>
      </w:r>
      <w:r w:rsidRPr="00DE42B3">
        <w:rPr>
          <w:rStyle w:val="Funotenzeichen"/>
          <w:vertAlign w:val="baseline"/>
        </w:rPr>
        <w:tab/>
      </w:r>
      <w:hyperlink r:id="rId6" w:history="1">
        <w:r w:rsidRPr="00547820">
          <w:rPr>
            <w:rStyle w:val="Hyperlink"/>
            <w:sz w:val="19"/>
            <w:szCs w:val="19"/>
          </w:rPr>
          <w:t>https://d56bochluxqnz.cloudfront.net/documents/full-guideline/EAU-Guidelines-on-Paediatric-Urology-2024.pdf</w:t>
        </w:r>
      </w:hyperlink>
      <w:r>
        <w:rPr>
          <w:sz w:val="19"/>
          <w:szCs w:val="19"/>
        </w:rPr>
        <w:t xml:space="preserve"> </w:t>
      </w:r>
    </w:p>
  </w:footnote>
  <w:footnote w:id="7">
    <w:p w:rsidR="00BD3142" w:rsidRPr="00B306CF" w:rsidRDefault="00BD3142" w:rsidP="00DB4A71">
      <w:pPr>
        <w:pStyle w:val="fussnoteschattenbericht"/>
      </w:pPr>
      <w:r w:rsidRPr="00DE42B3">
        <w:rPr>
          <w:rStyle w:val="Funotenzeichen"/>
          <w:vertAlign w:val="baseline"/>
        </w:rPr>
        <w:footnoteRef/>
      </w:r>
      <w:r w:rsidRPr="00DE42B3">
        <w:rPr>
          <w:rStyle w:val="Funotenzeichen"/>
          <w:vertAlign w:val="baseline"/>
        </w:rPr>
        <w:t xml:space="preserve"> </w:t>
      </w:r>
      <w:r w:rsidRPr="00DE42B3">
        <w:rPr>
          <w:rStyle w:val="Funotenzeichen"/>
          <w:vertAlign w:val="baseline"/>
        </w:rPr>
        <w:tab/>
      </w:r>
      <w:r w:rsidRPr="00B306CF">
        <w:t>Ibid., p. 96</w:t>
      </w:r>
    </w:p>
  </w:footnote>
  <w:footnote w:id="8">
    <w:p w:rsidR="00BD3142" w:rsidRPr="00C153F5" w:rsidRDefault="00BD3142" w:rsidP="00DB4A71">
      <w:pPr>
        <w:pStyle w:val="fussnoteschattenbericht"/>
      </w:pPr>
      <w:r w:rsidRPr="00DE42B3">
        <w:rPr>
          <w:rStyle w:val="Funotenzeichen"/>
          <w:vertAlign w:val="baseline"/>
        </w:rPr>
        <w:footnoteRef/>
      </w:r>
      <w:r w:rsidRPr="00DE42B3">
        <w:rPr>
          <w:rStyle w:val="Funotenzeichen"/>
          <w:vertAlign w:val="baseline"/>
        </w:rPr>
        <w:t xml:space="preserve"> </w:t>
      </w:r>
      <w:r w:rsidRPr="00B306CF">
        <w:tab/>
        <w:t>Ibid., p. 95</w:t>
      </w:r>
    </w:p>
  </w:footnote>
  <w:footnote w:id="9">
    <w:p w:rsidR="00BD3142" w:rsidRPr="00C153F5" w:rsidRDefault="00BD3142" w:rsidP="00DB4A71">
      <w:pPr>
        <w:pStyle w:val="fussnoteschattenbericht"/>
        <w:rPr>
          <w:rStyle w:val="Hyperlink"/>
        </w:rPr>
      </w:pPr>
      <w:r w:rsidRPr="00DE42B3">
        <w:rPr>
          <w:rStyle w:val="Funotenzeichen"/>
          <w:vertAlign w:val="baseline"/>
        </w:rPr>
        <w:footnoteRef/>
      </w:r>
      <w:r w:rsidRPr="00DE42B3">
        <w:rPr>
          <w:rStyle w:val="Funotenzeichen"/>
          <w:vertAlign w:val="baseline"/>
        </w:rPr>
        <w:tab/>
      </w:r>
      <w:r w:rsidRPr="00C153F5">
        <w:t xml:space="preserve">P. </w:t>
      </w:r>
      <w:proofErr w:type="spellStart"/>
      <w:r w:rsidRPr="00C153F5">
        <w:t>Mouriquand</w:t>
      </w:r>
      <w:proofErr w:type="spellEnd"/>
      <w:r w:rsidRPr="00C153F5">
        <w:t xml:space="preserve">, A. </w:t>
      </w:r>
      <w:proofErr w:type="spellStart"/>
      <w:r w:rsidRPr="00C153F5">
        <w:t>Caldamone</w:t>
      </w:r>
      <w:proofErr w:type="spellEnd"/>
      <w:r w:rsidRPr="00C153F5">
        <w:t xml:space="preserve">, P. Malone, J.D. Frank, P. </w:t>
      </w:r>
      <w:proofErr w:type="spellStart"/>
      <w:r w:rsidRPr="00C153F5">
        <w:t>Hoebeke</w:t>
      </w:r>
      <w:proofErr w:type="spellEnd"/>
      <w:r w:rsidRPr="00C153F5">
        <w:t>, “The ESPU/SPU standpoint on the surgical management of Disorders of Sex Development (DSD)”, Journal of Pediatric Urology vol. 10, no. 1 (2014), p. 8-10,</w:t>
      </w:r>
      <w:r w:rsidRPr="00C153F5">
        <w:rPr>
          <w:w w:val="99"/>
        </w:rPr>
        <w:t xml:space="preserve"> </w:t>
      </w:r>
      <w:r w:rsidRPr="00C153F5">
        <w:rPr>
          <w:rStyle w:val="Hyperlink"/>
        </w:rPr>
        <w:t>http://www.jpurol.com/article/S1477-5131(13)00313-6/pdf</w:t>
      </w:r>
    </w:p>
  </w:footnote>
  <w:footnote w:id="10">
    <w:p w:rsidR="00BD3142" w:rsidRPr="00090DD3" w:rsidRDefault="00BD3142" w:rsidP="007B4ADC">
      <w:pPr>
        <w:pStyle w:val="fussnoteschattenbericht"/>
      </w:pPr>
      <w:r w:rsidRPr="00F70505">
        <w:rPr>
          <w:rStyle w:val="Funotenzeichen"/>
          <w:vertAlign w:val="baseline"/>
        </w:rPr>
        <w:footnoteRef/>
      </w:r>
      <w:r w:rsidRPr="00F70505">
        <w:rPr>
          <w:rStyle w:val="Funotenzeichen"/>
          <w:vertAlign w:val="baseline"/>
        </w:rPr>
        <w:t xml:space="preserve"> </w:t>
      </w:r>
      <w:r>
        <w:tab/>
      </w:r>
      <w:r w:rsidRPr="00DB1E78">
        <w:t xml:space="preserve">available at </w:t>
      </w:r>
      <w:hyperlink r:id="rId7" w:history="1">
        <w:r w:rsidRPr="000F5193">
          <w:rPr>
            <w:rStyle w:val="Hyperlink"/>
          </w:rPr>
          <w:t>https://www.seep.es/images/site/home/GUIA_MANEJO_ADS_DSD_SEEP.PDF</w:t>
        </w:r>
      </w:hyperlink>
      <w:r>
        <w:t xml:space="preserve"> </w:t>
      </w:r>
    </w:p>
  </w:footnote>
  <w:footnote w:id="11">
    <w:p w:rsidR="00BD3142" w:rsidRPr="00C153F5" w:rsidRDefault="00BD3142" w:rsidP="00F70505">
      <w:pPr>
        <w:pStyle w:val="fussnoteschattenbericht"/>
      </w:pPr>
      <w:r w:rsidRPr="00DE42B3">
        <w:rPr>
          <w:rStyle w:val="Funotenzeichen"/>
          <w:vertAlign w:val="baseline"/>
        </w:rPr>
        <w:footnoteRef/>
      </w:r>
      <w:r w:rsidRPr="00DE42B3">
        <w:rPr>
          <w:rStyle w:val="Funotenzeichen"/>
          <w:vertAlign w:val="baseline"/>
        </w:rPr>
        <w:t xml:space="preserve"> </w:t>
      </w:r>
      <w:r w:rsidRPr="00C153F5">
        <w:tab/>
      </w:r>
      <w:hyperlink r:id="rId8" w:history="1">
        <w:r w:rsidRPr="00404EFF">
          <w:rPr>
            <w:rStyle w:val="Hyperlink"/>
          </w:rPr>
          <w:t>https://intersex.shadowreport.org/public/2021-CRC-Spain-LOIPR-NGO-Intersex-IGM.pdf</w:t>
        </w:r>
      </w:hyperlink>
      <w:r>
        <w:t xml:space="preserve"> </w:t>
      </w:r>
    </w:p>
  </w:footnote>
  <w:footnote w:id="12">
    <w:p w:rsidR="00BD3142" w:rsidRPr="00C153F5" w:rsidRDefault="00BD3142" w:rsidP="00DB4A71">
      <w:pPr>
        <w:pStyle w:val="fussnoteschattenbericht"/>
      </w:pPr>
      <w:r w:rsidRPr="00DE42B3">
        <w:rPr>
          <w:rStyle w:val="Funotenzeichen"/>
          <w:vertAlign w:val="baseline"/>
        </w:rPr>
        <w:footnoteRef/>
      </w:r>
      <w:r w:rsidRPr="00C153F5">
        <w:rPr>
          <w:rStyle w:val="FootnoteSymbol"/>
          <w:rFonts w:eastAsia="Times New Roman"/>
        </w:rPr>
        <w:tab/>
      </w:r>
      <w:r w:rsidRPr="00C153F5">
        <w:t>For general information, see 2016 CEDAW NGO Report France, p. 48</w:t>
      </w:r>
      <w:r>
        <w:t>,</w:t>
      </w:r>
      <w:r w:rsidRPr="00C153F5">
        <w:t xml:space="preserve"> </w:t>
      </w:r>
      <w:hyperlink r:id="rId9" w:history="1">
        <w:r w:rsidRPr="001B3353">
          <w:rPr>
            <w:rStyle w:val="Hyperlink"/>
          </w:rPr>
          <w:t>https://intersex.shadowreport.org/public/2016-CEDAW-France-NGO-Zwischengeschlecht-Intersex-IGM.pdf</w:t>
        </w:r>
      </w:hyperlink>
    </w:p>
  </w:footnote>
  <w:footnote w:id="13">
    <w:p w:rsidR="00BD3142" w:rsidRPr="00C153F5" w:rsidRDefault="00BD3142" w:rsidP="00DB4A71">
      <w:pPr>
        <w:pStyle w:val="fussnoteschattenbericht"/>
      </w:pPr>
      <w:r w:rsidRPr="00DE42B3">
        <w:rPr>
          <w:rStyle w:val="Funotenzeichen"/>
          <w:vertAlign w:val="baseline"/>
        </w:rPr>
        <w:footnoteRef/>
      </w:r>
      <w:r w:rsidRPr="00DE42B3">
        <w:rPr>
          <w:rStyle w:val="Funotenzeichen"/>
          <w:vertAlign w:val="baseline"/>
        </w:rPr>
        <w:t xml:space="preserve"> </w:t>
      </w:r>
      <w:r w:rsidRPr="00C153F5">
        <w:tab/>
      </w:r>
      <w:hyperlink r:id="rId10" w:history="1">
        <w:r w:rsidRPr="00505ABD">
          <w:rPr>
            <w:rStyle w:val="Hyperlink"/>
          </w:rPr>
          <w:t>https://uroweb.org/guidelines/endorsement/</w:t>
        </w:r>
      </w:hyperlink>
      <w:r>
        <w:t xml:space="preserve"> </w:t>
      </w:r>
    </w:p>
  </w:footnote>
  <w:footnote w:id="14">
    <w:p w:rsidR="00BD3142" w:rsidRPr="00C153F5" w:rsidRDefault="00BD3142" w:rsidP="00DB4A71">
      <w:pPr>
        <w:pStyle w:val="fussnoteschattenbericht"/>
      </w:pPr>
      <w:r w:rsidRPr="00DE42B3">
        <w:rPr>
          <w:rStyle w:val="Funotenzeichen"/>
          <w:vertAlign w:val="baseline"/>
        </w:rPr>
        <w:footnoteRef/>
      </w:r>
      <w:r w:rsidRPr="00DE42B3">
        <w:rPr>
          <w:rStyle w:val="Funotenzeichen"/>
          <w:vertAlign w:val="baseline"/>
        </w:rPr>
        <w:t xml:space="preserve"> </w:t>
      </w:r>
      <w:r w:rsidRPr="00C153F5">
        <w:tab/>
      </w:r>
      <w:hyperlink r:id="rId11" w:history="1">
        <w:r w:rsidRPr="00547820">
          <w:rPr>
            <w:rStyle w:val="Hyperlink"/>
            <w:sz w:val="19"/>
            <w:szCs w:val="19"/>
          </w:rPr>
          <w:t>https://d56bochluxqnz.cloudfront.net/documents/full-guideline/EAU-Guidelines-on-Paediatric-Urology-2024.pdf</w:t>
        </w:r>
      </w:hyperlink>
    </w:p>
  </w:footnote>
  <w:footnote w:id="15">
    <w:p w:rsidR="00BD3142" w:rsidRPr="00C153F5" w:rsidRDefault="00BD3142" w:rsidP="00DB4A71">
      <w:pPr>
        <w:pStyle w:val="fussnoteschattenbericht"/>
      </w:pPr>
      <w:r w:rsidRPr="00DE42B3">
        <w:rPr>
          <w:rStyle w:val="Funotenzeichen"/>
          <w:vertAlign w:val="baseline"/>
        </w:rPr>
        <w:footnoteRef/>
      </w:r>
      <w:r w:rsidRPr="00DE42B3">
        <w:rPr>
          <w:rStyle w:val="Funotenzeichen"/>
          <w:vertAlign w:val="baseline"/>
        </w:rPr>
        <w:t xml:space="preserve"> </w:t>
      </w:r>
      <w:r w:rsidRPr="00C153F5">
        <w:tab/>
      </w:r>
      <w:r>
        <w:t>Ibid., p. 91</w:t>
      </w:r>
    </w:p>
  </w:footnote>
  <w:footnote w:id="16">
    <w:p w:rsidR="00BD3142" w:rsidRPr="00C153F5" w:rsidRDefault="00BD3142" w:rsidP="00DB4A71">
      <w:pPr>
        <w:pStyle w:val="fussnoteschattenbericht"/>
      </w:pPr>
      <w:r w:rsidRPr="00DE42B3">
        <w:rPr>
          <w:rStyle w:val="Funotenzeichen"/>
          <w:vertAlign w:val="baseline"/>
        </w:rPr>
        <w:footnoteRef/>
      </w:r>
      <w:r w:rsidRPr="00DE42B3">
        <w:rPr>
          <w:rStyle w:val="Funotenzeichen"/>
          <w:vertAlign w:val="baseline"/>
        </w:rPr>
        <w:t xml:space="preserve"> </w:t>
      </w:r>
      <w:r w:rsidRPr="00C153F5">
        <w:tab/>
      </w:r>
      <w:r>
        <w:t>Ibid., p. 95</w:t>
      </w:r>
    </w:p>
  </w:footnote>
  <w:footnote w:id="17">
    <w:p w:rsidR="00BD3142" w:rsidRPr="00C153F5" w:rsidRDefault="00BD3142" w:rsidP="00DB4A71">
      <w:pPr>
        <w:pStyle w:val="fussnoteschattenbericht"/>
      </w:pPr>
      <w:r w:rsidRPr="00DE42B3">
        <w:rPr>
          <w:rStyle w:val="Funotenzeichen"/>
          <w:vertAlign w:val="baseline"/>
        </w:rPr>
        <w:footnoteRef/>
      </w:r>
      <w:r w:rsidRPr="00DE42B3">
        <w:rPr>
          <w:rStyle w:val="Funotenzeichen"/>
          <w:vertAlign w:val="baseline"/>
        </w:rPr>
        <w:t xml:space="preserve"> </w:t>
      </w:r>
      <w:r w:rsidRPr="00C153F5">
        <w:tab/>
        <w:t>Ibid.</w:t>
      </w:r>
      <w:r>
        <w:t>,</w:t>
      </w:r>
      <w:r w:rsidRPr="00C153F5">
        <w:t xml:space="preserve"> </w:t>
      </w:r>
      <w:r>
        <w:t>p. 95</w:t>
      </w:r>
    </w:p>
  </w:footnote>
  <w:footnote w:id="18">
    <w:p w:rsidR="00BD3142" w:rsidRPr="00C153F5" w:rsidRDefault="00BD3142" w:rsidP="00DB4A71">
      <w:pPr>
        <w:pStyle w:val="fussnoteschattenbericht"/>
      </w:pPr>
      <w:r w:rsidRPr="00DE42B3">
        <w:rPr>
          <w:rStyle w:val="Funotenzeichen"/>
          <w:vertAlign w:val="baseline"/>
        </w:rPr>
        <w:footnoteRef/>
      </w:r>
      <w:r w:rsidRPr="00DE42B3">
        <w:rPr>
          <w:rStyle w:val="Funotenzeichen"/>
          <w:vertAlign w:val="baseline"/>
        </w:rPr>
        <w:t xml:space="preserve"> </w:t>
      </w:r>
      <w:r w:rsidRPr="00C153F5">
        <w:tab/>
        <w:t>Ibid.</w:t>
      </w:r>
      <w:r>
        <w:t>, p. 95-96</w:t>
      </w:r>
    </w:p>
  </w:footnote>
  <w:footnote w:id="19">
    <w:p w:rsidR="00BD3142" w:rsidRPr="00C153F5" w:rsidRDefault="00BD3142" w:rsidP="00DB4A71">
      <w:pPr>
        <w:pStyle w:val="fussnoteschattenbericht"/>
      </w:pPr>
      <w:r w:rsidRPr="00DE42B3">
        <w:rPr>
          <w:rStyle w:val="Funotenzeichen"/>
          <w:vertAlign w:val="baseline"/>
        </w:rPr>
        <w:footnoteRef/>
      </w:r>
      <w:r w:rsidRPr="00DE42B3">
        <w:rPr>
          <w:rStyle w:val="Funotenzeichen"/>
          <w:vertAlign w:val="baseline"/>
        </w:rPr>
        <w:t xml:space="preserve"> </w:t>
      </w:r>
      <w:r w:rsidRPr="00C153F5">
        <w:tab/>
        <w:t>Ibid.</w:t>
      </w:r>
      <w:r>
        <w:t>, p. 96</w:t>
      </w:r>
    </w:p>
  </w:footnote>
  <w:footnote w:id="20">
    <w:p w:rsidR="00BD3142" w:rsidRPr="00C153F5" w:rsidRDefault="00BD3142" w:rsidP="00DB4A71">
      <w:pPr>
        <w:pStyle w:val="fussnoteschattenbericht"/>
      </w:pPr>
      <w:r w:rsidRPr="00DE42B3">
        <w:rPr>
          <w:rStyle w:val="Funotenzeichen"/>
          <w:vertAlign w:val="baseline"/>
        </w:rPr>
        <w:footnoteRef/>
      </w:r>
      <w:r w:rsidRPr="00DE42B3">
        <w:rPr>
          <w:rStyle w:val="Funotenzeichen"/>
          <w:vertAlign w:val="baseline"/>
        </w:rPr>
        <w:t xml:space="preserve"> </w:t>
      </w:r>
      <w:r w:rsidRPr="00C153F5">
        <w:tab/>
      </w:r>
      <w:hyperlink r:id="rId12" w:history="1">
        <w:r w:rsidRPr="00C153F5">
          <w:rPr>
            <w:rStyle w:val="Hyperlink"/>
          </w:rPr>
          <w:t>https://www.espu.org/images/documents/ESPU_Open_Letter_to_COE_2018-01-26.pdf</w:t>
        </w:r>
      </w:hyperlink>
      <w:r w:rsidRPr="00C153F5">
        <w:t xml:space="preserve"> </w:t>
      </w:r>
    </w:p>
  </w:footnote>
  <w:footnote w:id="21">
    <w:p w:rsidR="00BD3142" w:rsidRPr="00C153F5" w:rsidRDefault="00BD3142" w:rsidP="007B4ADC">
      <w:pPr>
        <w:pStyle w:val="fussnoteschattenbericht"/>
      </w:pPr>
      <w:r w:rsidRPr="00DE42B3">
        <w:rPr>
          <w:rStyle w:val="Funotenzeichen"/>
          <w:vertAlign w:val="baseline"/>
        </w:rPr>
        <w:footnoteRef/>
      </w:r>
      <w:r w:rsidRPr="00DE42B3">
        <w:rPr>
          <w:rStyle w:val="Funotenzeichen"/>
          <w:vertAlign w:val="baseline"/>
        </w:rPr>
        <w:t xml:space="preserve"> </w:t>
      </w:r>
      <w:r w:rsidRPr="00C153F5">
        <w:tab/>
      </w:r>
      <w:proofErr w:type="spellStart"/>
      <w:r w:rsidRPr="007B4ADC">
        <w:t>Guía</w:t>
      </w:r>
      <w:proofErr w:type="spellEnd"/>
      <w:r w:rsidRPr="007B4ADC">
        <w:t xml:space="preserve"> para </w:t>
      </w:r>
      <w:proofErr w:type="spellStart"/>
      <w:r w:rsidRPr="007B4ADC">
        <w:t>pacientes</w:t>
      </w:r>
      <w:proofErr w:type="spellEnd"/>
      <w:r w:rsidRPr="007B4ADC">
        <w:t xml:space="preserve"> y </w:t>
      </w:r>
      <w:proofErr w:type="spellStart"/>
      <w:r w:rsidRPr="007B4ADC">
        <w:t>familiares</w:t>
      </w:r>
      <w:proofErr w:type="spellEnd"/>
      <w:r w:rsidRPr="007B4ADC">
        <w:t xml:space="preserve"> con </w:t>
      </w:r>
      <w:proofErr w:type="spellStart"/>
      <w:r w:rsidRPr="007B4ADC">
        <w:t>hiperplasia</w:t>
      </w:r>
      <w:proofErr w:type="spellEnd"/>
      <w:r w:rsidRPr="007B4ADC">
        <w:t xml:space="preserve"> </w:t>
      </w:r>
      <w:proofErr w:type="spellStart"/>
      <w:r w:rsidRPr="007B4ADC">
        <w:t>suprarrenal</w:t>
      </w:r>
      <w:proofErr w:type="spellEnd"/>
      <w:r w:rsidRPr="007B4ADC">
        <w:t xml:space="preserve"> </w:t>
      </w:r>
      <w:proofErr w:type="spellStart"/>
      <w:r w:rsidRPr="007B4ADC">
        <w:t>congénita</w:t>
      </w:r>
      <w:proofErr w:type="spellEnd"/>
      <w:r w:rsidRPr="007B4ADC">
        <w:t xml:space="preserve"> (HSC)</w:t>
      </w:r>
      <w:r>
        <w:t xml:space="preserve">, p. 13-14 (p. 14-15 in PDF), </w:t>
      </w:r>
      <w:hyperlink r:id="rId13" w:history="1">
        <w:r w:rsidRPr="00C56C4C">
          <w:rPr>
            <w:rStyle w:val="Hyperlink"/>
          </w:rPr>
          <w:t>https://www.seep.es/images/site/pacientes/GUIA-HIPERPASIA-SUPRARRENAL.pdf</w:t>
        </w:r>
      </w:hyperlink>
      <w:r>
        <w:t xml:space="preserve"> </w:t>
      </w:r>
    </w:p>
  </w:footnote>
  <w:footnote w:id="22">
    <w:p w:rsidR="00BD3142" w:rsidRPr="00C153F5" w:rsidRDefault="00BD3142" w:rsidP="00F70505">
      <w:pPr>
        <w:pStyle w:val="fussnoteschattenbericht"/>
      </w:pPr>
      <w:r w:rsidRPr="00DE42B3">
        <w:rPr>
          <w:rStyle w:val="Funotenzeichen"/>
          <w:vertAlign w:val="baseline"/>
        </w:rPr>
        <w:footnoteRef/>
      </w:r>
      <w:r w:rsidRPr="00DE42B3">
        <w:rPr>
          <w:rStyle w:val="Funotenzeichen"/>
          <w:vertAlign w:val="baseline"/>
        </w:rPr>
        <w:t xml:space="preserve"> </w:t>
      </w:r>
      <w:r w:rsidRPr="00C153F5">
        <w:tab/>
      </w:r>
      <w:hyperlink r:id="rId14" w:history="1">
        <w:r w:rsidRPr="00404EFF">
          <w:rPr>
            <w:rStyle w:val="Hyperlink"/>
          </w:rPr>
          <w:t>https://intersex.shadowreport.org/public/2021-CRC-Spain-LOIPR-NGO-Intersex-IGM.pdf</w:t>
        </w:r>
      </w:hyperlink>
      <w:r>
        <w:t xml:space="preserve"> </w:t>
      </w:r>
    </w:p>
  </w:footnote>
  <w:footnote w:id="23">
    <w:p w:rsidR="00BD3142" w:rsidRPr="00C153F5" w:rsidRDefault="00BD3142" w:rsidP="00C6138A">
      <w:pPr>
        <w:pStyle w:val="fussnoteschattenbericht"/>
      </w:pPr>
      <w:r w:rsidRPr="00DE42B3">
        <w:rPr>
          <w:rStyle w:val="Funotenzeichen"/>
          <w:vertAlign w:val="baseline"/>
        </w:rPr>
        <w:footnoteRef/>
      </w:r>
      <w:r w:rsidRPr="00DE42B3">
        <w:rPr>
          <w:rStyle w:val="Funotenzeichen"/>
          <w:vertAlign w:val="baseline"/>
        </w:rPr>
        <w:t xml:space="preserve"> </w:t>
      </w:r>
      <w:r w:rsidRPr="00C153F5">
        <w:tab/>
      </w:r>
      <w:hyperlink r:id="rId15" w:history="1">
        <w:r w:rsidRPr="004A5916">
          <w:rPr>
            <w:rStyle w:val="Hyperlink"/>
            <w:sz w:val="19"/>
            <w:szCs w:val="19"/>
          </w:rPr>
          <w:t>https://www.comunidad.madrid/hospital/gregoriomaranon/profesionales/relacion-especialidades/cirugia-pediatrica</w:t>
        </w:r>
      </w:hyperlink>
    </w:p>
  </w:footnote>
  <w:footnote w:id="24">
    <w:p w:rsidR="00BD3142" w:rsidRPr="00C153F5" w:rsidRDefault="00BD3142" w:rsidP="00DB4A71">
      <w:pPr>
        <w:pStyle w:val="fussnoteschattenbericht"/>
      </w:pPr>
      <w:r w:rsidRPr="00DE42B3">
        <w:rPr>
          <w:rStyle w:val="Funotenzeichen"/>
          <w:vertAlign w:val="baseline"/>
        </w:rPr>
        <w:footnoteRef/>
      </w:r>
      <w:r w:rsidRPr="00C153F5">
        <w:rPr>
          <w:rStyle w:val="FootnoteSymbol"/>
          <w:rFonts w:eastAsia="Times New Roman"/>
        </w:rPr>
        <w:tab/>
      </w:r>
      <w:r w:rsidRPr="00C153F5">
        <w:t>For general information, see 2016 CEDAW NGO Report France, p. 48-49</w:t>
      </w:r>
      <w:r>
        <w:t>,</w:t>
      </w:r>
      <w:r w:rsidRPr="00C153F5">
        <w:t xml:space="preserve"> </w:t>
      </w:r>
      <w:hyperlink r:id="rId16" w:history="1">
        <w:r w:rsidRPr="00530BE6">
          <w:rPr>
            <w:rStyle w:val="Hyperlink"/>
          </w:rPr>
          <w:t>https://intersex.shadowreport.org/public/2016-CEDAW-France-NGO-Zwischengeschlecht-Intersex-IGM.pdf</w:t>
        </w:r>
      </w:hyperlink>
      <w:r>
        <w:t xml:space="preserve"> </w:t>
      </w:r>
    </w:p>
  </w:footnote>
  <w:footnote w:id="25">
    <w:p w:rsidR="00BD3142" w:rsidRPr="00C153F5" w:rsidRDefault="00BD3142" w:rsidP="00DB4A71">
      <w:pPr>
        <w:pStyle w:val="fussnoteschattenbericht"/>
      </w:pPr>
      <w:r w:rsidRPr="00DE42B3">
        <w:rPr>
          <w:rStyle w:val="Funotenzeichen"/>
          <w:vertAlign w:val="baseline"/>
        </w:rPr>
        <w:footnoteRef/>
      </w:r>
      <w:r w:rsidRPr="00DE42B3">
        <w:rPr>
          <w:rStyle w:val="Funotenzeichen"/>
          <w:vertAlign w:val="baseline"/>
        </w:rPr>
        <w:t xml:space="preserve"> </w:t>
      </w:r>
      <w:r w:rsidRPr="00C153F5">
        <w:tab/>
      </w:r>
      <w:hyperlink r:id="rId17" w:history="1">
        <w:r w:rsidRPr="00530BE6">
          <w:rPr>
            <w:rStyle w:val="Hyperlink"/>
          </w:rPr>
          <w:t>https://uroweb.org/guidelines/endorsement/</w:t>
        </w:r>
      </w:hyperlink>
      <w:r>
        <w:t xml:space="preserve"> </w:t>
      </w:r>
    </w:p>
  </w:footnote>
  <w:footnote w:id="26">
    <w:p w:rsidR="00BD3142" w:rsidRPr="00C153F5" w:rsidRDefault="00BD3142" w:rsidP="00DB4A71">
      <w:pPr>
        <w:pStyle w:val="fussnoteschattenbericht"/>
      </w:pPr>
      <w:r w:rsidRPr="00DE42B3">
        <w:rPr>
          <w:rStyle w:val="Funotenzeichen"/>
          <w:vertAlign w:val="baseline"/>
        </w:rPr>
        <w:footnoteRef/>
      </w:r>
      <w:r w:rsidRPr="00DE42B3">
        <w:rPr>
          <w:rStyle w:val="Funotenzeichen"/>
          <w:vertAlign w:val="baseline"/>
        </w:rPr>
        <w:t xml:space="preserve"> </w:t>
      </w:r>
      <w:r w:rsidRPr="00C153F5">
        <w:tab/>
      </w:r>
      <w:hyperlink r:id="rId18" w:history="1">
        <w:r w:rsidRPr="00547820">
          <w:rPr>
            <w:rStyle w:val="Hyperlink"/>
            <w:sz w:val="19"/>
            <w:szCs w:val="19"/>
          </w:rPr>
          <w:t>https://d56bochluxqnz.cloudfront.net/documents/full-guideline/EAU-Guidelines-on-Paediatric-Urology-2024.pdf</w:t>
        </w:r>
      </w:hyperlink>
      <w:r>
        <w:rPr>
          <w:sz w:val="19"/>
          <w:szCs w:val="19"/>
        </w:rPr>
        <w:t xml:space="preserve"> </w:t>
      </w:r>
    </w:p>
  </w:footnote>
  <w:footnote w:id="27">
    <w:p w:rsidR="00BD3142" w:rsidRPr="00A7399C" w:rsidRDefault="00BD3142" w:rsidP="00DB4A71">
      <w:pPr>
        <w:pStyle w:val="fussnoteschattenbericht"/>
      </w:pPr>
      <w:r w:rsidRPr="00DE42B3">
        <w:rPr>
          <w:rStyle w:val="Funotenzeichen"/>
          <w:vertAlign w:val="baseline"/>
        </w:rPr>
        <w:footnoteRef/>
      </w:r>
      <w:r w:rsidRPr="00DE42B3">
        <w:rPr>
          <w:rStyle w:val="Funotenzeichen"/>
          <w:vertAlign w:val="baseline"/>
        </w:rPr>
        <w:t xml:space="preserve"> </w:t>
      </w:r>
      <w:r w:rsidRPr="00A7399C">
        <w:tab/>
        <w:t>Ibid., p. 2</w:t>
      </w:r>
      <w:r>
        <w:t>9</w:t>
      </w:r>
    </w:p>
  </w:footnote>
  <w:footnote w:id="28">
    <w:p w:rsidR="00BD3142" w:rsidRPr="00A7399C" w:rsidRDefault="00BD3142" w:rsidP="00DB4A71">
      <w:pPr>
        <w:pStyle w:val="fussnoteschattenbericht"/>
      </w:pPr>
      <w:r w:rsidRPr="00DE42B3">
        <w:rPr>
          <w:rStyle w:val="Funotenzeichen"/>
          <w:vertAlign w:val="baseline"/>
        </w:rPr>
        <w:footnoteRef/>
      </w:r>
      <w:r w:rsidRPr="00DE42B3">
        <w:rPr>
          <w:rStyle w:val="Funotenzeichen"/>
          <w:vertAlign w:val="baseline"/>
        </w:rPr>
        <w:t xml:space="preserve"> </w:t>
      </w:r>
      <w:r w:rsidRPr="00DE42B3">
        <w:rPr>
          <w:rStyle w:val="Funotenzeichen"/>
          <w:vertAlign w:val="baseline"/>
        </w:rPr>
        <w:tab/>
      </w:r>
      <w:r w:rsidRPr="00A7399C">
        <w:t xml:space="preserve">Ibid., p. </w:t>
      </w:r>
      <w:r>
        <w:t>31</w:t>
      </w:r>
    </w:p>
  </w:footnote>
  <w:footnote w:id="29">
    <w:p w:rsidR="00BD3142" w:rsidRPr="00A7399C" w:rsidRDefault="00BD3142" w:rsidP="00DB4A71">
      <w:pPr>
        <w:pStyle w:val="fussnoteschattenbericht"/>
      </w:pPr>
      <w:r w:rsidRPr="00DE42B3">
        <w:rPr>
          <w:rStyle w:val="Funotenzeichen"/>
          <w:vertAlign w:val="baseline"/>
        </w:rPr>
        <w:footnoteRef/>
      </w:r>
      <w:r w:rsidRPr="00DE42B3">
        <w:rPr>
          <w:rStyle w:val="Funotenzeichen"/>
          <w:vertAlign w:val="baseline"/>
        </w:rPr>
        <w:t xml:space="preserve"> </w:t>
      </w:r>
      <w:r w:rsidRPr="00A7399C">
        <w:tab/>
        <w:t xml:space="preserve">Ibid., p. </w:t>
      </w:r>
      <w:r>
        <w:t>31</w:t>
      </w:r>
    </w:p>
  </w:footnote>
  <w:footnote w:id="30">
    <w:p w:rsidR="00BD3142" w:rsidRPr="00C153F5" w:rsidRDefault="00BD3142" w:rsidP="00DB4A71">
      <w:pPr>
        <w:pStyle w:val="fussnoteschattenbericht"/>
      </w:pPr>
      <w:r w:rsidRPr="00DE42B3">
        <w:rPr>
          <w:rStyle w:val="Funotenzeichen"/>
          <w:vertAlign w:val="baseline"/>
        </w:rPr>
        <w:footnoteRef/>
      </w:r>
      <w:r w:rsidRPr="00DE42B3">
        <w:rPr>
          <w:rStyle w:val="Funotenzeichen"/>
          <w:vertAlign w:val="baseline"/>
        </w:rPr>
        <w:t xml:space="preserve"> </w:t>
      </w:r>
      <w:r w:rsidRPr="00A7399C">
        <w:tab/>
        <w:t xml:space="preserve">Ibid., p. </w:t>
      </w:r>
      <w:r>
        <w:t>30-31</w:t>
      </w:r>
    </w:p>
  </w:footnote>
  <w:footnote w:id="31">
    <w:p w:rsidR="00BD3142" w:rsidRPr="00C153F5" w:rsidRDefault="00BD3142" w:rsidP="00F70505">
      <w:pPr>
        <w:pStyle w:val="fussnoteschattenbericht"/>
      </w:pPr>
      <w:r w:rsidRPr="00DE42B3">
        <w:rPr>
          <w:rStyle w:val="Funotenzeichen"/>
          <w:vertAlign w:val="baseline"/>
        </w:rPr>
        <w:footnoteRef/>
      </w:r>
      <w:r w:rsidRPr="00DE42B3">
        <w:rPr>
          <w:rStyle w:val="Funotenzeichen"/>
          <w:vertAlign w:val="baseline"/>
        </w:rPr>
        <w:t xml:space="preserve"> </w:t>
      </w:r>
      <w:r w:rsidRPr="00C153F5">
        <w:tab/>
      </w:r>
      <w:hyperlink r:id="rId19" w:history="1">
        <w:r w:rsidRPr="00404EFF">
          <w:rPr>
            <w:rStyle w:val="Hyperlink"/>
          </w:rPr>
          <w:t>https://intersex.shadowreport.org/public/2021-CRC-Spain-LOIPR-NGO-Intersex-IGM.pdf</w:t>
        </w:r>
      </w:hyperlink>
      <w:r>
        <w:t xml:space="preserve"> </w:t>
      </w:r>
    </w:p>
  </w:footnote>
  <w:footnote w:id="32">
    <w:p w:rsidR="00BD3142" w:rsidRPr="00A7399C" w:rsidRDefault="00BD3142" w:rsidP="00602EE2">
      <w:pPr>
        <w:pStyle w:val="fussnoteschattenbericht"/>
      </w:pPr>
      <w:r w:rsidRPr="00DE42B3">
        <w:rPr>
          <w:rStyle w:val="Funotenzeichen"/>
          <w:vertAlign w:val="baseline"/>
        </w:rPr>
        <w:footnoteRef/>
      </w:r>
      <w:r w:rsidRPr="00DE42B3">
        <w:rPr>
          <w:rStyle w:val="Funotenzeichen"/>
          <w:vertAlign w:val="baseline"/>
        </w:rPr>
        <w:t xml:space="preserve"> </w:t>
      </w:r>
      <w:r w:rsidRPr="00A7399C">
        <w:tab/>
      </w:r>
      <w:hyperlink r:id="rId20" w:history="1">
        <w:r w:rsidRPr="00C56C4C">
          <w:rPr>
            <w:rStyle w:val="Hyperlink"/>
          </w:rPr>
          <w:t>https://www.sjdhospitalbarcelona.org/en/medical-services/urology</w:t>
        </w:r>
      </w:hyperlink>
      <w:r>
        <w:t xml:space="preserve"> </w:t>
      </w:r>
    </w:p>
  </w:footnote>
  <w:footnote w:id="33">
    <w:p w:rsidR="00BD3142" w:rsidRPr="00C153F5" w:rsidRDefault="00BD3142" w:rsidP="009D5876">
      <w:pPr>
        <w:pStyle w:val="fussnoteschattenbericht"/>
      </w:pPr>
      <w:r w:rsidRPr="00DE42B3">
        <w:rPr>
          <w:rStyle w:val="Funotenzeichen"/>
          <w:vertAlign w:val="baseline"/>
        </w:rPr>
        <w:footnoteRef/>
      </w:r>
      <w:r w:rsidRPr="00DE42B3">
        <w:rPr>
          <w:rStyle w:val="Funotenzeichen"/>
          <w:vertAlign w:val="baseline"/>
        </w:rPr>
        <w:t xml:space="preserve"> </w:t>
      </w:r>
      <w:r w:rsidRPr="00C153F5">
        <w:tab/>
      </w:r>
      <w:hyperlink r:id="rId21" w:history="1">
        <w:r w:rsidRPr="004A5916">
          <w:rPr>
            <w:rStyle w:val="Hyperlink"/>
            <w:sz w:val="19"/>
            <w:szCs w:val="19"/>
          </w:rPr>
          <w:t>https://www.comunidad.madrid/hospital/gregoriomaranon/profesionales/relacion-especialidades/cirugia-pediatrica</w:t>
        </w:r>
      </w:hyperlink>
    </w:p>
  </w:footnote>
  <w:footnote w:id="34">
    <w:p w:rsidR="00BD3142" w:rsidRPr="00C153F5" w:rsidRDefault="00BD3142" w:rsidP="00DE5DDB">
      <w:pPr>
        <w:pStyle w:val="fussnoteschattenbericht"/>
      </w:pPr>
      <w:r w:rsidRPr="00DE42B3">
        <w:rPr>
          <w:rStyle w:val="Funotenzeichen"/>
          <w:vertAlign w:val="baseline"/>
        </w:rPr>
        <w:footnoteRef/>
      </w:r>
      <w:r w:rsidRPr="00DE42B3">
        <w:rPr>
          <w:rStyle w:val="Funotenzeichen"/>
          <w:vertAlign w:val="baseline"/>
        </w:rPr>
        <w:t xml:space="preserve"> </w:t>
      </w:r>
      <w:r w:rsidRPr="00C153F5">
        <w:tab/>
      </w:r>
      <w:hyperlink r:id="rId22" w:history="1">
        <w:r w:rsidRPr="00404EFF">
          <w:rPr>
            <w:rStyle w:val="Hyperlink"/>
          </w:rPr>
          <w:t>https://www.lyxurologia.com/en/pediatric-urology/hypospadias/</w:t>
        </w:r>
      </w:hyperlink>
      <w:r>
        <w:t xml:space="preserve"> </w:t>
      </w:r>
    </w:p>
  </w:footnote>
  <w:footnote w:id="35">
    <w:p w:rsidR="00BD3142" w:rsidRPr="00C153F5" w:rsidRDefault="00BD3142" w:rsidP="00CE310F">
      <w:pPr>
        <w:pStyle w:val="fussnoteschattenbericht"/>
      </w:pPr>
      <w:r w:rsidRPr="00DE42B3">
        <w:rPr>
          <w:rStyle w:val="Funotenzeichen"/>
          <w:vertAlign w:val="baseline"/>
        </w:rPr>
        <w:footnoteRef/>
      </w:r>
      <w:r w:rsidRPr="00DE42B3">
        <w:rPr>
          <w:rStyle w:val="Funotenzeichen"/>
          <w:vertAlign w:val="baseline"/>
        </w:rPr>
        <w:t xml:space="preserve"> </w:t>
      </w:r>
      <w:r w:rsidRPr="00C153F5">
        <w:tab/>
      </w:r>
      <w:hyperlink r:id="rId23" w:history="1">
        <w:r w:rsidRPr="00404EFF">
          <w:rPr>
            <w:rStyle w:val="Hyperlink"/>
          </w:rPr>
          <w:t>https://stopigm.org/how-spains-laws-fail-intersex-children/</w:t>
        </w:r>
      </w:hyperlink>
      <w:r>
        <w:t xml:space="preserve"> </w:t>
      </w:r>
    </w:p>
  </w:footnote>
  <w:footnote w:id="36">
    <w:p w:rsidR="00BD3142" w:rsidRPr="00C153F5" w:rsidRDefault="00BD3142" w:rsidP="00CE310F">
      <w:pPr>
        <w:pStyle w:val="fussnoteschattenbericht"/>
      </w:pPr>
      <w:r w:rsidRPr="00DE42B3">
        <w:rPr>
          <w:rStyle w:val="Funotenzeichen"/>
          <w:vertAlign w:val="baseline"/>
        </w:rPr>
        <w:footnoteRef/>
      </w:r>
      <w:r w:rsidRPr="00DE42B3">
        <w:rPr>
          <w:rStyle w:val="Funotenzeichen"/>
          <w:vertAlign w:val="baseline"/>
        </w:rPr>
        <w:t xml:space="preserve"> </w:t>
      </w:r>
      <w:r w:rsidRPr="00C153F5">
        <w:tab/>
      </w:r>
      <w:hyperlink r:id="rId24" w:history="1">
        <w:r w:rsidRPr="00404EFF">
          <w:rPr>
            <w:rStyle w:val="Hyperlink"/>
          </w:rPr>
          <w:t>https://www.boe.es/buscar/doc.php?id=BOE-A-2023-10213</w:t>
        </w:r>
      </w:hyperlink>
      <w:r>
        <w:t xml:space="preserve"> </w:t>
      </w:r>
    </w:p>
  </w:footnote>
  <w:footnote w:id="37">
    <w:p w:rsidR="001105F6" w:rsidRPr="00833C98" w:rsidRDefault="001105F6" w:rsidP="001105F6">
      <w:pPr>
        <w:pStyle w:val="fussnoteschattenbericht"/>
        <w:rPr>
          <w:lang w:val="es-ES"/>
        </w:rPr>
      </w:pPr>
      <w:r w:rsidRPr="00D873DE">
        <w:rPr>
          <w:rStyle w:val="Funotenzeichen"/>
          <w:vertAlign w:val="baseline"/>
        </w:rPr>
        <w:footnoteRef/>
      </w:r>
      <w:r w:rsidRPr="00D873DE">
        <w:rPr>
          <w:lang w:val="es-ES"/>
        </w:rPr>
        <w:t xml:space="preserve"> </w:t>
      </w:r>
      <w:r w:rsidRPr="00D873DE">
        <w:rPr>
          <w:lang w:val="es-ES"/>
        </w:rPr>
        <w:tab/>
      </w:r>
      <w:hyperlink r:id="rId25" w:history="1">
        <w:r w:rsidRPr="00833C98">
          <w:rPr>
            <w:rStyle w:val="Hyperlink"/>
            <w:lang w:val="es-ES"/>
          </w:rPr>
          <w:t>https://uefgm.org/index.php/legislative-framework-es/</w:t>
        </w:r>
      </w:hyperlink>
      <w:r w:rsidRPr="00833C98">
        <w:rPr>
          <w:lang w:val="es-ES"/>
        </w:rPr>
        <w:t xml:space="preserve"> </w:t>
      </w:r>
    </w:p>
  </w:footnote>
  <w:footnote w:id="38">
    <w:p w:rsidR="002C39D2" w:rsidRPr="00833C98" w:rsidRDefault="002C39D2" w:rsidP="002C39D2">
      <w:pPr>
        <w:pStyle w:val="fussnoteschattenbericht"/>
        <w:rPr>
          <w:lang w:val="es-ES"/>
        </w:rPr>
      </w:pPr>
      <w:r w:rsidRPr="00D873DE">
        <w:rPr>
          <w:rStyle w:val="Funotenzeichen"/>
          <w:vertAlign w:val="baseline"/>
        </w:rPr>
        <w:footnoteRef/>
      </w:r>
      <w:r w:rsidRPr="00D873DE">
        <w:rPr>
          <w:lang w:val="es-ES"/>
        </w:rPr>
        <w:t xml:space="preserve"> </w:t>
      </w:r>
      <w:r w:rsidRPr="00833C98">
        <w:rPr>
          <w:lang w:val="es-ES"/>
        </w:rPr>
        <w:tab/>
      </w:r>
      <w:hyperlink r:id="rId26" w:history="1">
        <w:r w:rsidRPr="00404EFF">
          <w:rPr>
            <w:rStyle w:val="Hyperlink"/>
            <w:lang w:val="es-ES"/>
          </w:rPr>
          <w:t>https://www.fgmcri.org/media/uploads/Law%20Reports/spain_law_report_v4_(october_2023).pdf</w:t>
        </w:r>
      </w:hyperlink>
      <w:r>
        <w:rPr>
          <w:lang w:val="es-ES"/>
        </w:rPr>
        <w:t xml:space="preserve"> </w:t>
      </w:r>
    </w:p>
  </w:footnote>
  <w:footnote w:id="39">
    <w:p w:rsidR="00B47032" w:rsidRPr="00833C98" w:rsidRDefault="00B47032" w:rsidP="00B47032">
      <w:pPr>
        <w:pStyle w:val="fussnoteschattenbericht"/>
        <w:rPr>
          <w:lang w:val="es-ES"/>
        </w:rPr>
      </w:pPr>
      <w:r w:rsidRPr="00D873DE">
        <w:rPr>
          <w:rStyle w:val="Funotenzeichen"/>
          <w:vertAlign w:val="baseline"/>
        </w:rPr>
        <w:footnoteRef/>
      </w:r>
      <w:r w:rsidRPr="00D873DE">
        <w:rPr>
          <w:lang w:val="es-ES"/>
        </w:rPr>
        <w:t xml:space="preserve"> </w:t>
      </w:r>
      <w:r w:rsidRPr="00833C98">
        <w:rPr>
          <w:lang w:val="es-ES"/>
        </w:rPr>
        <w:tab/>
      </w:r>
      <w:proofErr w:type="spellStart"/>
      <w:r>
        <w:rPr>
          <w:lang w:val="es-ES"/>
        </w:rPr>
        <w:t>Bachmaier</w:t>
      </w:r>
      <w:proofErr w:type="spellEnd"/>
      <w:r w:rsidRPr="00B47032">
        <w:rPr>
          <w:lang w:val="es-ES"/>
        </w:rPr>
        <w:t xml:space="preserve"> </w:t>
      </w:r>
      <w:r>
        <w:rPr>
          <w:lang w:val="es-ES"/>
        </w:rPr>
        <w:t>Winter</w:t>
      </w:r>
      <w:r w:rsidRPr="00B47032">
        <w:rPr>
          <w:lang w:val="es-ES"/>
        </w:rPr>
        <w:t xml:space="preserve">, Lorena. </w:t>
      </w:r>
      <w:proofErr w:type="spellStart"/>
      <w:r w:rsidRPr="00B47032">
        <w:rPr>
          <w:lang w:val="es-ES"/>
        </w:rPr>
        <w:t>Statute</w:t>
      </w:r>
      <w:proofErr w:type="spellEnd"/>
      <w:r w:rsidRPr="00B47032">
        <w:rPr>
          <w:lang w:val="es-ES"/>
        </w:rPr>
        <w:t xml:space="preserve"> of </w:t>
      </w:r>
      <w:proofErr w:type="spellStart"/>
      <w:r w:rsidRPr="00B47032">
        <w:rPr>
          <w:lang w:val="es-ES"/>
        </w:rPr>
        <w:t>limitations</w:t>
      </w:r>
      <w:proofErr w:type="spellEnd"/>
      <w:r w:rsidRPr="00B47032">
        <w:rPr>
          <w:lang w:val="es-ES"/>
        </w:rPr>
        <w:t xml:space="preserve"> in </w:t>
      </w:r>
      <w:proofErr w:type="spellStart"/>
      <w:r w:rsidRPr="00B47032">
        <w:rPr>
          <w:lang w:val="es-ES"/>
        </w:rPr>
        <w:t>Spain</w:t>
      </w:r>
      <w:proofErr w:type="spellEnd"/>
      <w:r w:rsidRPr="00B47032">
        <w:rPr>
          <w:lang w:val="es-ES"/>
        </w:rPr>
        <w:t xml:space="preserve">. </w:t>
      </w:r>
      <w:proofErr w:type="spellStart"/>
      <w:r w:rsidRPr="00B47032">
        <w:rPr>
          <w:lang w:val="es-ES"/>
        </w:rPr>
        <w:t>Analysis</w:t>
      </w:r>
      <w:proofErr w:type="spellEnd"/>
      <w:r w:rsidRPr="00B47032">
        <w:rPr>
          <w:lang w:val="es-ES"/>
        </w:rPr>
        <w:t xml:space="preserve"> and </w:t>
      </w:r>
      <w:proofErr w:type="spellStart"/>
      <w:r w:rsidRPr="00B47032">
        <w:rPr>
          <w:lang w:val="es-ES"/>
        </w:rPr>
        <w:t>further</w:t>
      </w:r>
      <w:proofErr w:type="spellEnd"/>
      <w:r w:rsidRPr="00B47032">
        <w:rPr>
          <w:lang w:val="es-ES"/>
        </w:rPr>
        <w:t xml:space="preserve"> </w:t>
      </w:r>
      <w:proofErr w:type="spellStart"/>
      <w:r w:rsidRPr="00B47032">
        <w:rPr>
          <w:lang w:val="es-ES"/>
        </w:rPr>
        <w:t>challenges</w:t>
      </w:r>
      <w:proofErr w:type="spellEnd"/>
      <w:r w:rsidRPr="00B47032">
        <w:rPr>
          <w:lang w:val="es-ES"/>
        </w:rPr>
        <w:t xml:space="preserve">. DPCE Online, [S.l.], v. 49, n. 4, </w:t>
      </w:r>
      <w:proofErr w:type="spellStart"/>
      <w:r w:rsidRPr="00B47032">
        <w:rPr>
          <w:lang w:val="es-ES"/>
        </w:rPr>
        <w:t>jan</w:t>
      </w:r>
      <w:proofErr w:type="spellEnd"/>
      <w:r w:rsidRPr="00B47032">
        <w:rPr>
          <w:lang w:val="es-ES"/>
        </w:rPr>
        <w:t>. 2022. ISSN 2037-6677</w:t>
      </w:r>
      <w:r>
        <w:rPr>
          <w:lang w:val="es-ES"/>
        </w:rPr>
        <w:t xml:space="preserve">, </w:t>
      </w:r>
      <w:r w:rsidR="00E95677">
        <w:rPr>
          <w:lang w:val="es-ES"/>
        </w:rPr>
        <w:t xml:space="preserve">p. 6, 8 in PDF, </w:t>
      </w:r>
      <w:hyperlink r:id="rId27" w:history="1">
        <w:r w:rsidR="00E95677" w:rsidRPr="00404EFF">
          <w:rPr>
            <w:rStyle w:val="Hyperlink"/>
            <w:lang w:val="es-ES"/>
          </w:rPr>
          <w:t>https://www.dpceonline.it/index.php/dpceonline/article/view/1450/1428</w:t>
        </w:r>
      </w:hyperlink>
      <w:r w:rsidR="00E95677">
        <w:rPr>
          <w:lang w:val="es-ES"/>
        </w:rPr>
        <w:t xml:space="preserve"> </w:t>
      </w:r>
    </w:p>
  </w:footnote>
  <w:footnote w:id="40">
    <w:p w:rsidR="00F87A56" w:rsidRPr="00833C98" w:rsidRDefault="00F87A56" w:rsidP="00F87A56">
      <w:pPr>
        <w:pStyle w:val="fussnoteschattenbericht"/>
        <w:rPr>
          <w:lang w:val="es-ES"/>
        </w:rPr>
      </w:pPr>
      <w:r w:rsidRPr="00D873DE">
        <w:rPr>
          <w:rStyle w:val="Funotenzeichen"/>
          <w:vertAlign w:val="baseline"/>
        </w:rPr>
        <w:footnoteRef/>
      </w:r>
      <w:r w:rsidRPr="00D873DE">
        <w:rPr>
          <w:lang w:val="es-ES"/>
        </w:rPr>
        <w:t xml:space="preserve"> </w:t>
      </w:r>
      <w:r w:rsidRPr="00D873DE">
        <w:rPr>
          <w:lang w:val="es-ES"/>
        </w:rPr>
        <w:tab/>
      </w:r>
      <w:hyperlink r:id="rId28" w:history="1">
        <w:r w:rsidR="008015DD" w:rsidRPr="00404EFF">
          <w:rPr>
            <w:rStyle w:val="Hyperlink"/>
            <w:lang w:val="es-ES"/>
          </w:rPr>
          <w:t>https://caminarintersx.wordpress.com/quienes-somos/</w:t>
        </w:r>
      </w:hyperlink>
      <w:r w:rsidR="008015DD">
        <w:rPr>
          <w:lang w:val="es-ES"/>
        </w:rPr>
        <w:t xml:space="preserve"> </w:t>
      </w:r>
    </w:p>
  </w:footnote>
  <w:footnote w:id="41">
    <w:p w:rsidR="008015DD" w:rsidRPr="00833C98" w:rsidRDefault="008015DD" w:rsidP="008015DD">
      <w:pPr>
        <w:pStyle w:val="fussnoteschattenbericht"/>
        <w:rPr>
          <w:lang w:val="es-ES"/>
        </w:rPr>
      </w:pPr>
      <w:r w:rsidRPr="00D873DE">
        <w:rPr>
          <w:rStyle w:val="Funotenzeichen"/>
          <w:vertAlign w:val="baseline"/>
        </w:rPr>
        <w:footnoteRef/>
      </w:r>
      <w:r w:rsidRPr="00D873DE">
        <w:rPr>
          <w:lang w:val="es-ES"/>
        </w:rPr>
        <w:t xml:space="preserve"> </w:t>
      </w:r>
      <w:r w:rsidRPr="00D873DE">
        <w:rPr>
          <w:lang w:val="es-ES"/>
        </w:rPr>
        <w:tab/>
      </w:r>
      <w:hyperlink r:id="rId29" w:history="1">
        <w:r w:rsidRPr="00404EFF">
          <w:rPr>
            <w:rStyle w:val="Hyperlink"/>
            <w:lang w:val="es-ES"/>
          </w:rPr>
          <w:t>https://brujulaintersexual.org/?s=espana</w:t>
        </w:r>
      </w:hyperlink>
      <w:r>
        <w:rPr>
          <w:lang w:val="es-ES"/>
        </w:rPr>
        <w:t xml:space="preserve"> </w:t>
      </w:r>
    </w:p>
  </w:footnote>
  <w:footnote w:id="42">
    <w:p w:rsidR="008015DD" w:rsidRPr="00833C98" w:rsidRDefault="008015DD" w:rsidP="008015DD">
      <w:pPr>
        <w:pStyle w:val="fussnoteschattenbericht"/>
        <w:rPr>
          <w:lang w:val="es-ES"/>
        </w:rPr>
      </w:pPr>
      <w:r w:rsidRPr="00D873DE">
        <w:rPr>
          <w:rStyle w:val="Funotenzeichen"/>
          <w:vertAlign w:val="baseline"/>
        </w:rPr>
        <w:footnoteRef/>
      </w:r>
      <w:r w:rsidRPr="00D873DE">
        <w:rPr>
          <w:lang w:val="es-ES"/>
        </w:rPr>
        <w:t xml:space="preserve"> </w:t>
      </w:r>
      <w:r w:rsidRPr="00D873DE">
        <w:rPr>
          <w:lang w:val="es-ES"/>
        </w:rPr>
        <w:tab/>
      </w:r>
      <w:hyperlink r:id="rId30" w:history="1">
        <w:r w:rsidRPr="00137F34">
          <w:rPr>
            <w:rStyle w:val="Hyperlink"/>
          </w:rPr>
          <w:t>https://academic.oup.com/eurpub/article/31/Supplement_3/ckab164.166/6405737</w:t>
        </w:r>
      </w:hyperlink>
    </w:p>
  </w:footnote>
  <w:footnote w:id="43">
    <w:p w:rsidR="008015DD" w:rsidRPr="00833C98" w:rsidRDefault="008015DD" w:rsidP="008015DD">
      <w:pPr>
        <w:pStyle w:val="fussnoteschattenbericht"/>
        <w:rPr>
          <w:lang w:val="es-ES"/>
        </w:rPr>
      </w:pPr>
      <w:r w:rsidRPr="00D873DE">
        <w:rPr>
          <w:rStyle w:val="Funotenzeichen"/>
          <w:vertAlign w:val="baseline"/>
        </w:rPr>
        <w:footnoteRef/>
      </w:r>
      <w:r w:rsidRPr="00D873DE">
        <w:rPr>
          <w:lang w:val="es-ES"/>
        </w:rPr>
        <w:t xml:space="preserve"> </w:t>
      </w:r>
      <w:r w:rsidRPr="00D873DE">
        <w:rPr>
          <w:lang w:val="es-ES"/>
        </w:rPr>
        <w:tab/>
      </w:r>
      <w:hyperlink r:id="rId31" w:history="1">
        <w:r w:rsidRPr="000F5193">
          <w:rPr>
            <w:rStyle w:val="Hyperlink"/>
          </w:rPr>
          <w:t>https://brujulaintersexual.files.wordpress.com/2017/10/intersex-manifesto-english.pdf</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BD3142" w:rsidRPr="00F74BE8" w:rsidRDefault="00BD3142" w:rsidP="00F74BE8">
    <w:pPr>
      <w:spacing w:after="0" w:line="240" w:lineRule="auto"/>
      <w:jc w:val="right"/>
      <w:rPr>
        <w:rFonts w:ascii="Century Gothic" w:hAnsi="Century Gothic" w:cs="Century Gothic"/>
        <w:color w:val="660066"/>
        <w:sz w:val="24"/>
      </w:rPr>
    </w:pPr>
    <w:r w:rsidRPr="007A5C86">
      <w:rPr>
        <w:rFonts w:ascii="Century Gothic" w:hAnsi="Century Gothic" w:cs="Century Gothic"/>
        <w:color w:val="660066"/>
        <w:sz w:val="24"/>
      </w:rPr>
      <w:fldChar w:fldCharType="begin"/>
    </w:r>
    <w:r>
      <w:rPr>
        <w:rFonts w:ascii="Century Gothic" w:hAnsi="Century Gothic" w:cs="Century Gothic"/>
        <w:color w:val="660066"/>
        <w:sz w:val="24"/>
      </w:rPr>
      <w:instrText>PAGE</w:instrText>
    </w:r>
    <w:r w:rsidRPr="007A5C86">
      <w:rPr>
        <w:rFonts w:ascii="Century Gothic" w:hAnsi="Century Gothic" w:cs="Century Gothic"/>
        <w:color w:val="660066"/>
        <w:sz w:val="24"/>
      </w:rPr>
      <w:instrText xml:space="preserve">   \* MERGEFORMAT</w:instrText>
    </w:r>
    <w:r w:rsidRPr="007A5C86">
      <w:rPr>
        <w:rFonts w:ascii="Century Gothic" w:hAnsi="Century Gothic" w:cs="Century Gothic"/>
        <w:color w:val="660066"/>
        <w:sz w:val="24"/>
      </w:rPr>
      <w:fldChar w:fldCharType="separate"/>
    </w:r>
    <w:r>
      <w:rPr>
        <w:rFonts w:ascii="Century Gothic" w:hAnsi="Century Gothic" w:cs="Century Gothic"/>
        <w:noProof/>
        <w:color w:val="660066"/>
        <w:sz w:val="24"/>
      </w:rPr>
      <w:t>2</w:t>
    </w:r>
    <w:r w:rsidRPr="007A5C86">
      <w:rPr>
        <w:rFonts w:ascii="Century Gothic" w:hAnsi="Century Gothic" w:cs="Century Gothic"/>
        <w:color w:val="660066"/>
        <w:sz w:val="24"/>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BD3142" w:rsidRPr="00991D4E" w:rsidRDefault="00BD3142" w:rsidP="002A12D5">
    <w:pPr>
      <w:spacing w:after="0" w:line="240" w:lineRule="auto"/>
      <w:jc w:val="right"/>
      <w:rPr>
        <w:rFonts w:ascii="Century Gothic" w:hAnsi="Century Gothic" w:cs="Century Gothic"/>
        <w:color w:val="660066"/>
        <w:sz w:val="28"/>
        <w:lang w:val="en-US"/>
      </w:rPr>
    </w:pPr>
    <w:r>
      <w:rPr>
        <w:noProof/>
        <w:lang w:eastAsia="de-CH"/>
      </w:rPr>
      <w:drawing>
        <wp:anchor distT="0" distB="0" distL="114300" distR="114300" simplePos="0" relativeHeight="251657728" behindDoc="0" locked="0" layoutInCell="1" allowOverlap="1">
          <wp:simplePos x="0" y="0"/>
          <wp:positionH relativeFrom="column">
            <wp:posOffset>53975</wp:posOffset>
          </wp:positionH>
          <wp:positionV relativeFrom="paragraph">
            <wp:posOffset>-81915</wp:posOffset>
          </wp:positionV>
          <wp:extent cx="979805" cy="1139190"/>
          <wp:effectExtent l="0" t="0" r="0" b="0"/>
          <wp:wrapThrough wrapText="bothSides">
            <wp:wrapPolygon edited="0">
              <wp:start x="0" y="0"/>
              <wp:lineTo x="0" y="21431"/>
              <wp:lineTo x="21278" y="21431"/>
              <wp:lineTo x="21278" y="0"/>
              <wp:lineTo x="0" y="0"/>
            </wp:wrapPolygon>
          </wp:wrapThrough>
          <wp:docPr id="1" name="Bild 2" descr="Beschreibung: Macintosh HD:Users:PowerbookDT:Desktop:StopIGM_org-Logo-Briefkopf.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Bild 2" descr="Beschreibung: Macintosh HD:Users:PowerbookDT:Desktop:StopIGM_org-Logo-Briefkopf.jpg"/>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79805" cy="1139190"/>
                  </a:xfrm>
                  <a:prstGeom prst="rect">
                    <a:avLst/>
                  </a:prstGeom>
                  <a:noFill/>
                </pic:spPr>
              </pic:pic>
            </a:graphicData>
          </a:graphic>
          <wp14:sizeRelH relativeFrom="page">
            <wp14:pctWidth>0</wp14:pctWidth>
          </wp14:sizeRelH>
          <wp14:sizeRelV relativeFrom="page">
            <wp14:pctHeight>0</wp14:pctHeight>
          </wp14:sizeRelV>
        </wp:anchor>
      </w:drawing>
    </w:r>
    <w:r w:rsidRPr="00991D4E">
      <w:rPr>
        <w:rFonts w:ascii="Century Gothic" w:hAnsi="Century Gothic" w:cs="Century Gothic"/>
        <w:color w:val="660066"/>
        <w:sz w:val="40"/>
        <w:lang w:val="en-US"/>
      </w:rPr>
      <w:t>StopIGM.org</w:t>
    </w:r>
  </w:p>
  <w:p w:rsidR="00BD3142" w:rsidRPr="00991D4E" w:rsidRDefault="00BD3142" w:rsidP="002A12D5">
    <w:pPr>
      <w:spacing w:after="0" w:line="240" w:lineRule="auto"/>
      <w:jc w:val="right"/>
      <w:rPr>
        <w:lang w:val="en-US"/>
      </w:rPr>
    </w:pPr>
    <w:r w:rsidRPr="00991D4E">
      <w:rPr>
        <w:rFonts w:ascii="Century Gothic" w:hAnsi="Century Gothic" w:cs="Century Gothic"/>
        <w:color w:val="660066"/>
        <w:sz w:val="28"/>
        <w:lang w:val="en-US"/>
      </w:rPr>
      <w:t>Human Rights for Hermaphrodites Too!</w:t>
    </w:r>
  </w:p>
  <w:p w:rsidR="00BD3142" w:rsidRPr="00991D4E" w:rsidRDefault="00BD3142" w:rsidP="002A12D5">
    <w:pPr>
      <w:pStyle w:val="Kopfzeile"/>
      <w:rPr>
        <w:lang w:val="en-U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1D"/>
    <w:multiLevelType w:val="multilevel"/>
    <w:tmpl w:val="D3424A16"/>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0000001"/>
    <w:multiLevelType w:val="multilevel"/>
    <w:tmpl w:val="00000001"/>
    <w:lvl w:ilvl="0">
      <w:start w:val="1"/>
      <w:numFmt w:val="bullet"/>
      <w:lvlText w:val=""/>
      <w:lvlJc w:val="left"/>
      <w:pPr>
        <w:tabs>
          <w:tab w:val="num" w:pos="0"/>
        </w:tabs>
        <w:ind w:left="720" w:hanging="360"/>
      </w:pPr>
      <w:rPr>
        <w:rFonts w:ascii="Symbol" w:hAnsi="Symbol" w:cs="OpenSymbol"/>
      </w:rPr>
    </w:lvl>
    <w:lvl w:ilvl="1">
      <w:start w:val="1"/>
      <w:numFmt w:val="bullet"/>
      <w:lvlText w:val="◦"/>
      <w:lvlJc w:val="left"/>
      <w:pPr>
        <w:tabs>
          <w:tab w:val="num" w:pos="0"/>
        </w:tabs>
        <w:ind w:left="1080" w:hanging="360"/>
      </w:pPr>
      <w:rPr>
        <w:rFonts w:ascii="OpenSymbol" w:hAnsi="OpenSymbol" w:cs="OpenSymbol"/>
      </w:rPr>
    </w:lvl>
    <w:lvl w:ilvl="2">
      <w:start w:val="1"/>
      <w:numFmt w:val="bullet"/>
      <w:lvlText w:val="▪"/>
      <w:lvlJc w:val="left"/>
      <w:pPr>
        <w:tabs>
          <w:tab w:val="num" w:pos="0"/>
        </w:tabs>
        <w:ind w:left="1440" w:hanging="360"/>
      </w:pPr>
      <w:rPr>
        <w:rFonts w:ascii="OpenSymbol" w:hAnsi="OpenSymbol" w:cs="OpenSymbol"/>
      </w:rPr>
    </w:lvl>
    <w:lvl w:ilvl="3">
      <w:start w:val="1"/>
      <w:numFmt w:val="bullet"/>
      <w:lvlText w:val=""/>
      <w:lvlJc w:val="left"/>
      <w:pPr>
        <w:tabs>
          <w:tab w:val="num" w:pos="0"/>
        </w:tabs>
        <w:ind w:left="1800" w:hanging="360"/>
      </w:pPr>
      <w:rPr>
        <w:rFonts w:ascii="Symbol" w:hAnsi="Symbol" w:cs="OpenSymbol"/>
      </w:rPr>
    </w:lvl>
    <w:lvl w:ilvl="4">
      <w:start w:val="1"/>
      <w:numFmt w:val="bullet"/>
      <w:lvlText w:val="◦"/>
      <w:lvlJc w:val="left"/>
      <w:pPr>
        <w:tabs>
          <w:tab w:val="num" w:pos="0"/>
        </w:tabs>
        <w:ind w:left="2160" w:hanging="360"/>
      </w:pPr>
      <w:rPr>
        <w:rFonts w:ascii="OpenSymbol" w:hAnsi="OpenSymbol" w:cs="OpenSymbol"/>
      </w:rPr>
    </w:lvl>
    <w:lvl w:ilvl="5">
      <w:start w:val="1"/>
      <w:numFmt w:val="bullet"/>
      <w:lvlText w:val="▪"/>
      <w:lvlJc w:val="left"/>
      <w:pPr>
        <w:tabs>
          <w:tab w:val="num" w:pos="0"/>
        </w:tabs>
        <w:ind w:left="2520" w:hanging="360"/>
      </w:pPr>
      <w:rPr>
        <w:rFonts w:ascii="OpenSymbol" w:hAnsi="OpenSymbol" w:cs="OpenSymbol"/>
      </w:rPr>
    </w:lvl>
    <w:lvl w:ilvl="6">
      <w:start w:val="1"/>
      <w:numFmt w:val="bullet"/>
      <w:lvlText w:val=""/>
      <w:lvlJc w:val="left"/>
      <w:pPr>
        <w:tabs>
          <w:tab w:val="num" w:pos="0"/>
        </w:tabs>
        <w:ind w:left="2880" w:hanging="360"/>
      </w:pPr>
      <w:rPr>
        <w:rFonts w:ascii="Symbol" w:hAnsi="Symbol" w:cs="OpenSymbol"/>
      </w:rPr>
    </w:lvl>
    <w:lvl w:ilvl="7">
      <w:start w:val="1"/>
      <w:numFmt w:val="bullet"/>
      <w:lvlText w:val="◦"/>
      <w:lvlJc w:val="left"/>
      <w:pPr>
        <w:tabs>
          <w:tab w:val="num" w:pos="0"/>
        </w:tabs>
        <w:ind w:left="3240" w:hanging="360"/>
      </w:pPr>
      <w:rPr>
        <w:rFonts w:ascii="OpenSymbol" w:hAnsi="OpenSymbol" w:cs="OpenSymbol"/>
      </w:rPr>
    </w:lvl>
    <w:lvl w:ilvl="8">
      <w:start w:val="1"/>
      <w:numFmt w:val="bullet"/>
      <w:lvlText w:val="▪"/>
      <w:lvlJc w:val="left"/>
      <w:pPr>
        <w:tabs>
          <w:tab w:val="num" w:pos="0"/>
        </w:tabs>
        <w:ind w:left="3600" w:hanging="360"/>
      </w:pPr>
      <w:rPr>
        <w:rFonts w:ascii="OpenSymbol" w:hAnsi="OpenSymbol" w:cs="OpenSymbol"/>
      </w:rPr>
    </w:lvl>
  </w:abstractNum>
  <w:abstractNum w:abstractNumId="2" w15:restartNumberingAfterBreak="0">
    <w:nsid w:val="00000002"/>
    <w:multiLevelType w:val="multilevel"/>
    <w:tmpl w:val="00000002"/>
    <w:lvl w:ilvl="0">
      <w:start w:val="1"/>
      <w:numFmt w:val="bullet"/>
      <w:lvlText w:val=""/>
      <w:lvlJc w:val="left"/>
      <w:pPr>
        <w:tabs>
          <w:tab w:val="num" w:pos="0"/>
        </w:tabs>
        <w:ind w:left="720" w:hanging="360"/>
      </w:pPr>
      <w:rPr>
        <w:rFonts w:ascii="Symbol" w:hAnsi="Symbol" w:cs="OpenSymbol"/>
      </w:rPr>
    </w:lvl>
    <w:lvl w:ilvl="1">
      <w:start w:val="1"/>
      <w:numFmt w:val="bullet"/>
      <w:lvlText w:val="◦"/>
      <w:lvlJc w:val="left"/>
      <w:pPr>
        <w:tabs>
          <w:tab w:val="num" w:pos="0"/>
        </w:tabs>
        <w:ind w:left="1080" w:hanging="360"/>
      </w:pPr>
      <w:rPr>
        <w:rFonts w:ascii="OpenSymbol" w:hAnsi="OpenSymbol" w:cs="OpenSymbol"/>
      </w:rPr>
    </w:lvl>
    <w:lvl w:ilvl="2">
      <w:start w:val="1"/>
      <w:numFmt w:val="bullet"/>
      <w:lvlText w:val="▪"/>
      <w:lvlJc w:val="left"/>
      <w:pPr>
        <w:tabs>
          <w:tab w:val="num" w:pos="0"/>
        </w:tabs>
        <w:ind w:left="1440" w:hanging="360"/>
      </w:pPr>
      <w:rPr>
        <w:rFonts w:ascii="OpenSymbol" w:hAnsi="OpenSymbol" w:cs="OpenSymbol"/>
      </w:rPr>
    </w:lvl>
    <w:lvl w:ilvl="3">
      <w:start w:val="1"/>
      <w:numFmt w:val="bullet"/>
      <w:lvlText w:val=""/>
      <w:lvlJc w:val="left"/>
      <w:pPr>
        <w:tabs>
          <w:tab w:val="num" w:pos="0"/>
        </w:tabs>
        <w:ind w:left="1800" w:hanging="360"/>
      </w:pPr>
      <w:rPr>
        <w:rFonts w:ascii="Symbol" w:hAnsi="Symbol" w:cs="OpenSymbol"/>
      </w:rPr>
    </w:lvl>
    <w:lvl w:ilvl="4">
      <w:start w:val="1"/>
      <w:numFmt w:val="bullet"/>
      <w:lvlText w:val="◦"/>
      <w:lvlJc w:val="left"/>
      <w:pPr>
        <w:tabs>
          <w:tab w:val="num" w:pos="0"/>
        </w:tabs>
        <w:ind w:left="2160" w:hanging="360"/>
      </w:pPr>
      <w:rPr>
        <w:rFonts w:ascii="OpenSymbol" w:hAnsi="OpenSymbol" w:cs="OpenSymbol"/>
      </w:rPr>
    </w:lvl>
    <w:lvl w:ilvl="5">
      <w:start w:val="1"/>
      <w:numFmt w:val="bullet"/>
      <w:lvlText w:val="▪"/>
      <w:lvlJc w:val="left"/>
      <w:pPr>
        <w:tabs>
          <w:tab w:val="num" w:pos="0"/>
        </w:tabs>
        <w:ind w:left="2520" w:hanging="360"/>
      </w:pPr>
      <w:rPr>
        <w:rFonts w:ascii="OpenSymbol" w:hAnsi="OpenSymbol" w:cs="OpenSymbol"/>
      </w:rPr>
    </w:lvl>
    <w:lvl w:ilvl="6">
      <w:start w:val="1"/>
      <w:numFmt w:val="bullet"/>
      <w:lvlText w:val=""/>
      <w:lvlJc w:val="left"/>
      <w:pPr>
        <w:tabs>
          <w:tab w:val="num" w:pos="0"/>
        </w:tabs>
        <w:ind w:left="2880" w:hanging="360"/>
      </w:pPr>
      <w:rPr>
        <w:rFonts w:ascii="Symbol" w:hAnsi="Symbol" w:cs="OpenSymbol"/>
      </w:rPr>
    </w:lvl>
    <w:lvl w:ilvl="7">
      <w:start w:val="1"/>
      <w:numFmt w:val="bullet"/>
      <w:lvlText w:val="◦"/>
      <w:lvlJc w:val="left"/>
      <w:pPr>
        <w:tabs>
          <w:tab w:val="num" w:pos="0"/>
        </w:tabs>
        <w:ind w:left="3240" w:hanging="360"/>
      </w:pPr>
      <w:rPr>
        <w:rFonts w:ascii="OpenSymbol" w:hAnsi="OpenSymbol" w:cs="OpenSymbol"/>
      </w:rPr>
    </w:lvl>
    <w:lvl w:ilvl="8">
      <w:start w:val="1"/>
      <w:numFmt w:val="bullet"/>
      <w:lvlText w:val="▪"/>
      <w:lvlJc w:val="left"/>
      <w:pPr>
        <w:tabs>
          <w:tab w:val="num" w:pos="0"/>
        </w:tabs>
        <w:ind w:left="3600" w:hanging="360"/>
      </w:pPr>
      <w:rPr>
        <w:rFonts w:ascii="OpenSymbol" w:hAnsi="OpenSymbol" w:cs="OpenSymbol"/>
      </w:rPr>
    </w:lvl>
  </w:abstractNum>
  <w:abstractNum w:abstractNumId="3" w15:restartNumberingAfterBreak="0">
    <w:nsid w:val="00000003"/>
    <w:multiLevelType w:val="multilevel"/>
    <w:tmpl w:val="00000003"/>
    <w:lvl w:ilvl="0">
      <w:start w:val="1"/>
      <w:numFmt w:val="bullet"/>
      <w:lvlText w:val=""/>
      <w:lvlJc w:val="left"/>
      <w:pPr>
        <w:tabs>
          <w:tab w:val="num" w:pos="0"/>
        </w:tabs>
        <w:ind w:left="720" w:hanging="360"/>
      </w:pPr>
      <w:rPr>
        <w:rFonts w:ascii="Symbol" w:hAnsi="Symbol" w:cs="OpenSymbol"/>
      </w:rPr>
    </w:lvl>
    <w:lvl w:ilvl="1">
      <w:start w:val="1"/>
      <w:numFmt w:val="bullet"/>
      <w:lvlText w:val="◦"/>
      <w:lvlJc w:val="left"/>
      <w:pPr>
        <w:tabs>
          <w:tab w:val="num" w:pos="0"/>
        </w:tabs>
        <w:ind w:left="1080" w:hanging="360"/>
      </w:pPr>
      <w:rPr>
        <w:rFonts w:ascii="OpenSymbol" w:hAnsi="OpenSymbol" w:cs="OpenSymbol"/>
      </w:rPr>
    </w:lvl>
    <w:lvl w:ilvl="2">
      <w:start w:val="1"/>
      <w:numFmt w:val="bullet"/>
      <w:lvlText w:val="▪"/>
      <w:lvlJc w:val="left"/>
      <w:pPr>
        <w:tabs>
          <w:tab w:val="num" w:pos="0"/>
        </w:tabs>
        <w:ind w:left="1440" w:hanging="360"/>
      </w:pPr>
      <w:rPr>
        <w:rFonts w:ascii="OpenSymbol" w:hAnsi="OpenSymbol" w:cs="OpenSymbol"/>
      </w:rPr>
    </w:lvl>
    <w:lvl w:ilvl="3">
      <w:start w:val="1"/>
      <w:numFmt w:val="bullet"/>
      <w:lvlText w:val=""/>
      <w:lvlJc w:val="left"/>
      <w:pPr>
        <w:tabs>
          <w:tab w:val="num" w:pos="0"/>
        </w:tabs>
        <w:ind w:left="1800" w:hanging="360"/>
      </w:pPr>
      <w:rPr>
        <w:rFonts w:ascii="Symbol" w:hAnsi="Symbol" w:cs="OpenSymbol"/>
      </w:rPr>
    </w:lvl>
    <w:lvl w:ilvl="4">
      <w:start w:val="1"/>
      <w:numFmt w:val="bullet"/>
      <w:lvlText w:val="◦"/>
      <w:lvlJc w:val="left"/>
      <w:pPr>
        <w:tabs>
          <w:tab w:val="num" w:pos="0"/>
        </w:tabs>
        <w:ind w:left="2160" w:hanging="360"/>
      </w:pPr>
      <w:rPr>
        <w:rFonts w:ascii="OpenSymbol" w:hAnsi="OpenSymbol" w:cs="OpenSymbol"/>
      </w:rPr>
    </w:lvl>
    <w:lvl w:ilvl="5">
      <w:start w:val="1"/>
      <w:numFmt w:val="bullet"/>
      <w:lvlText w:val="▪"/>
      <w:lvlJc w:val="left"/>
      <w:pPr>
        <w:tabs>
          <w:tab w:val="num" w:pos="0"/>
        </w:tabs>
        <w:ind w:left="2520" w:hanging="360"/>
      </w:pPr>
      <w:rPr>
        <w:rFonts w:ascii="OpenSymbol" w:hAnsi="OpenSymbol" w:cs="OpenSymbol"/>
      </w:rPr>
    </w:lvl>
    <w:lvl w:ilvl="6">
      <w:start w:val="1"/>
      <w:numFmt w:val="bullet"/>
      <w:lvlText w:val=""/>
      <w:lvlJc w:val="left"/>
      <w:pPr>
        <w:tabs>
          <w:tab w:val="num" w:pos="0"/>
        </w:tabs>
        <w:ind w:left="2880" w:hanging="360"/>
      </w:pPr>
      <w:rPr>
        <w:rFonts w:ascii="Symbol" w:hAnsi="Symbol" w:cs="OpenSymbol"/>
      </w:rPr>
    </w:lvl>
    <w:lvl w:ilvl="7">
      <w:start w:val="1"/>
      <w:numFmt w:val="bullet"/>
      <w:lvlText w:val="◦"/>
      <w:lvlJc w:val="left"/>
      <w:pPr>
        <w:tabs>
          <w:tab w:val="num" w:pos="0"/>
        </w:tabs>
        <w:ind w:left="3240" w:hanging="360"/>
      </w:pPr>
      <w:rPr>
        <w:rFonts w:ascii="OpenSymbol" w:hAnsi="OpenSymbol" w:cs="OpenSymbol"/>
      </w:rPr>
    </w:lvl>
    <w:lvl w:ilvl="8">
      <w:start w:val="1"/>
      <w:numFmt w:val="bullet"/>
      <w:lvlText w:val="▪"/>
      <w:lvlJc w:val="left"/>
      <w:pPr>
        <w:tabs>
          <w:tab w:val="num" w:pos="0"/>
        </w:tabs>
        <w:ind w:left="3600" w:hanging="360"/>
      </w:pPr>
      <w:rPr>
        <w:rFonts w:ascii="OpenSymbol" w:hAnsi="OpenSymbol" w:cs="OpenSymbol"/>
      </w:rPr>
    </w:lvl>
  </w:abstractNum>
  <w:abstractNum w:abstractNumId="4" w15:restartNumberingAfterBreak="0">
    <w:nsid w:val="00000004"/>
    <w:multiLevelType w:val="multilevel"/>
    <w:tmpl w:val="00000004"/>
    <w:lvl w:ilvl="0">
      <w:start w:val="1"/>
      <w:numFmt w:val="bullet"/>
      <w:lvlText w:val=""/>
      <w:lvlJc w:val="left"/>
      <w:pPr>
        <w:tabs>
          <w:tab w:val="num" w:pos="0"/>
        </w:tabs>
        <w:ind w:left="720" w:hanging="360"/>
      </w:pPr>
      <w:rPr>
        <w:rFonts w:ascii="Symbol" w:hAnsi="Symbol" w:cs="OpenSymbol"/>
      </w:rPr>
    </w:lvl>
    <w:lvl w:ilvl="1">
      <w:start w:val="1"/>
      <w:numFmt w:val="bullet"/>
      <w:lvlText w:val="◦"/>
      <w:lvlJc w:val="left"/>
      <w:pPr>
        <w:tabs>
          <w:tab w:val="num" w:pos="0"/>
        </w:tabs>
        <w:ind w:left="1080" w:hanging="360"/>
      </w:pPr>
      <w:rPr>
        <w:rFonts w:ascii="OpenSymbol" w:hAnsi="OpenSymbol" w:cs="OpenSymbol"/>
      </w:rPr>
    </w:lvl>
    <w:lvl w:ilvl="2">
      <w:start w:val="1"/>
      <w:numFmt w:val="bullet"/>
      <w:lvlText w:val="▪"/>
      <w:lvlJc w:val="left"/>
      <w:pPr>
        <w:tabs>
          <w:tab w:val="num" w:pos="0"/>
        </w:tabs>
        <w:ind w:left="1440" w:hanging="360"/>
      </w:pPr>
      <w:rPr>
        <w:rFonts w:ascii="OpenSymbol" w:hAnsi="OpenSymbol" w:cs="OpenSymbol"/>
      </w:rPr>
    </w:lvl>
    <w:lvl w:ilvl="3">
      <w:start w:val="1"/>
      <w:numFmt w:val="bullet"/>
      <w:lvlText w:val=""/>
      <w:lvlJc w:val="left"/>
      <w:pPr>
        <w:tabs>
          <w:tab w:val="num" w:pos="0"/>
        </w:tabs>
        <w:ind w:left="1800" w:hanging="360"/>
      </w:pPr>
      <w:rPr>
        <w:rFonts w:ascii="Symbol" w:hAnsi="Symbol" w:cs="OpenSymbol"/>
      </w:rPr>
    </w:lvl>
    <w:lvl w:ilvl="4">
      <w:start w:val="1"/>
      <w:numFmt w:val="bullet"/>
      <w:lvlText w:val="◦"/>
      <w:lvlJc w:val="left"/>
      <w:pPr>
        <w:tabs>
          <w:tab w:val="num" w:pos="0"/>
        </w:tabs>
        <w:ind w:left="2160" w:hanging="360"/>
      </w:pPr>
      <w:rPr>
        <w:rFonts w:ascii="OpenSymbol" w:hAnsi="OpenSymbol" w:cs="OpenSymbol"/>
      </w:rPr>
    </w:lvl>
    <w:lvl w:ilvl="5">
      <w:start w:val="1"/>
      <w:numFmt w:val="bullet"/>
      <w:lvlText w:val="▪"/>
      <w:lvlJc w:val="left"/>
      <w:pPr>
        <w:tabs>
          <w:tab w:val="num" w:pos="0"/>
        </w:tabs>
        <w:ind w:left="2520" w:hanging="360"/>
      </w:pPr>
      <w:rPr>
        <w:rFonts w:ascii="OpenSymbol" w:hAnsi="OpenSymbol" w:cs="OpenSymbol"/>
      </w:rPr>
    </w:lvl>
    <w:lvl w:ilvl="6">
      <w:start w:val="1"/>
      <w:numFmt w:val="bullet"/>
      <w:lvlText w:val=""/>
      <w:lvlJc w:val="left"/>
      <w:pPr>
        <w:tabs>
          <w:tab w:val="num" w:pos="0"/>
        </w:tabs>
        <w:ind w:left="2880" w:hanging="360"/>
      </w:pPr>
      <w:rPr>
        <w:rFonts w:ascii="Symbol" w:hAnsi="Symbol" w:cs="OpenSymbol"/>
      </w:rPr>
    </w:lvl>
    <w:lvl w:ilvl="7">
      <w:start w:val="1"/>
      <w:numFmt w:val="bullet"/>
      <w:lvlText w:val="◦"/>
      <w:lvlJc w:val="left"/>
      <w:pPr>
        <w:tabs>
          <w:tab w:val="num" w:pos="0"/>
        </w:tabs>
        <w:ind w:left="3240" w:hanging="360"/>
      </w:pPr>
      <w:rPr>
        <w:rFonts w:ascii="OpenSymbol" w:hAnsi="OpenSymbol" w:cs="OpenSymbol"/>
      </w:rPr>
    </w:lvl>
    <w:lvl w:ilvl="8">
      <w:start w:val="1"/>
      <w:numFmt w:val="bullet"/>
      <w:lvlText w:val="▪"/>
      <w:lvlJc w:val="left"/>
      <w:pPr>
        <w:tabs>
          <w:tab w:val="num" w:pos="0"/>
        </w:tabs>
        <w:ind w:left="3600" w:hanging="360"/>
      </w:pPr>
      <w:rPr>
        <w:rFonts w:ascii="OpenSymbol" w:hAnsi="OpenSymbol" w:cs="OpenSymbol"/>
      </w:rPr>
    </w:lvl>
  </w:abstractNum>
  <w:abstractNum w:abstractNumId="5" w15:restartNumberingAfterBreak="0">
    <w:nsid w:val="02176287"/>
    <w:multiLevelType w:val="hybridMultilevel"/>
    <w:tmpl w:val="9718000A"/>
    <w:lvl w:ilvl="0" w:tplc="9B4A0936">
      <w:numFmt w:val="bullet"/>
      <w:lvlText w:val="•"/>
      <w:lvlJc w:val="left"/>
      <w:pPr>
        <w:ind w:left="720" w:hanging="360"/>
      </w:pPr>
      <w:rPr>
        <w:rFonts w:ascii="Times New Roman" w:eastAsia="Baskerville" w:hAnsi="Times New Roman" w:cs="Times New Roman"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6" w15:restartNumberingAfterBreak="0">
    <w:nsid w:val="15034348"/>
    <w:multiLevelType w:val="hybridMultilevel"/>
    <w:tmpl w:val="8DDEE06E"/>
    <w:lvl w:ilvl="0" w:tplc="71AEBF62">
      <w:start w:val="1"/>
      <w:numFmt w:val="decimal"/>
      <w:lvlText w:val="%1."/>
      <w:lvlJc w:val="left"/>
      <w:pPr>
        <w:ind w:left="1689" w:hanging="555"/>
      </w:pPr>
      <w:rPr>
        <w:rFonts w:hint="default"/>
        <w:b w:val="0"/>
        <w:bCs/>
        <w:i w:val="0"/>
        <w:iCs w:val="0"/>
        <w:sz w:val="20"/>
        <w:szCs w:val="20"/>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7" w15:restartNumberingAfterBreak="0">
    <w:nsid w:val="18DE3162"/>
    <w:multiLevelType w:val="hybridMultilevel"/>
    <w:tmpl w:val="95B6D7E6"/>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8" w15:restartNumberingAfterBreak="0">
    <w:nsid w:val="1C8A0D94"/>
    <w:multiLevelType w:val="hybridMultilevel"/>
    <w:tmpl w:val="821AAD1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9" w15:restartNumberingAfterBreak="0">
    <w:nsid w:val="20E53185"/>
    <w:multiLevelType w:val="hybridMultilevel"/>
    <w:tmpl w:val="DEE21EC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0" w15:restartNumberingAfterBreak="0">
    <w:nsid w:val="24B6151D"/>
    <w:multiLevelType w:val="hybridMultilevel"/>
    <w:tmpl w:val="5D38B9E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1" w15:restartNumberingAfterBreak="0">
    <w:nsid w:val="2E61690C"/>
    <w:multiLevelType w:val="hybridMultilevel"/>
    <w:tmpl w:val="837A3DF2"/>
    <w:lvl w:ilvl="0" w:tplc="08070001">
      <w:start w:val="1"/>
      <w:numFmt w:val="bullet"/>
      <w:lvlText w:val=""/>
      <w:lvlJc w:val="left"/>
      <w:pPr>
        <w:ind w:left="720" w:hanging="360"/>
      </w:pPr>
      <w:rPr>
        <w:rFonts w:ascii="Symbol" w:hAnsi="Symbo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12" w15:restartNumberingAfterBreak="0">
    <w:nsid w:val="30A312AF"/>
    <w:multiLevelType w:val="hybridMultilevel"/>
    <w:tmpl w:val="FF18E2FE"/>
    <w:lvl w:ilvl="0" w:tplc="08070001">
      <w:start w:val="1"/>
      <w:numFmt w:val="bullet"/>
      <w:lvlText w:val=""/>
      <w:lvlJc w:val="left"/>
      <w:pPr>
        <w:ind w:left="720" w:hanging="360"/>
      </w:pPr>
      <w:rPr>
        <w:rFonts w:ascii="Symbol" w:hAnsi="Symbo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13" w15:restartNumberingAfterBreak="0">
    <w:nsid w:val="312809B7"/>
    <w:multiLevelType w:val="hybridMultilevel"/>
    <w:tmpl w:val="D7AA3C38"/>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4" w15:restartNumberingAfterBreak="0">
    <w:nsid w:val="317F1B1B"/>
    <w:multiLevelType w:val="hybridMultilevel"/>
    <w:tmpl w:val="24E8269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5" w15:restartNumberingAfterBreak="0">
    <w:nsid w:val="33587FAE"/>
    <w:multiLevelType w:val="hybridMultilevel"/>
    <w:tmpl w:val="1278037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6" w15:restartNumberingAfterBreak="0">
    <w:nsid w:val="421D26EE"/>
    <w:multiLevelType w:val="hybridMultilevel"/>
    <w:tmpl w:val="46ACA728"/>
    <w:lvl w:ilvl="0" w:tplc="08070001">
      <w:start w:val="1"/>
      <w:numFmt w:val="bullet"/>
      <w:lvlText w:val=""/>
      <w:lvlJc w:val="left"/>
      <w:pPr>
        <w:ind w:left="720" w:hanging="360"/>
      </w:pPr>
      <w:rPr>
        <w:rFonts w:ascii="Symbol" w:hAnsi="Symbo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17" w15:restartNumberingAfterBreak="0">
    <w:nsid w:val="42707BD7"/>
    <w:multiLevelType w:val="hybridMultilevel"/>
    <w:tmpl w:val="53125C8A"/>
    <w:lvl w:ilvl="0" w:tplc="08070001">
      <w:start w:val="1"/>
      <w:numFmt w:val="bullet"/>
      <w:lvlText w:val=""/>
      <w:lvlJc w:val="left"/>
      <w:pPr>
        <w:ind w:left="720" w:hanging="360"/>
      </w:pPr>
      <w:rPr>
        <w:rFonts w:ascii="Symbol" w:hAnsi="Symbo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18" w15:restartNumberingAfterBreak="0">
    <w:nsid w:val="4278307A"/>
    <w:multiLevelType w:val="hybridMultilevel"/>
    <w:tmpl w:val="8EBAD8E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9" w15:restartNumberingAfterBreak="0">
    <w:nsid w:val="448014E5"/>
    <w:multiLevelType w:val="hybridMultilevel"/>
    <w:tmpl w:val="0374E2E4"/>
    <w:lvl w:ilvl="0" w:tplc="15E680E0">
      <w:start w:val="1"/>
      <w:numFmt w:val="decimal"/>
      <w:lvlText w:val="%1."/>
      <w:lvlJc w:val="left"/>
      <w:pPr>
        <w:ind w:left="1495" w:hanging="360"/>
      </w:pPr>
      <w:rPr>
        <w:rFonts w:ascii="Times New Roman" w:eastAsia="Times New Roman" w:hAnsi="Times New Roman" w:cs="Times New Roman"/>
        <w:b w:val="0"/>
      </w:rPr>
    </w:lvl>
    <w:lvl w:ilvl="1" w:tplc="08090019">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0" w15:restartNumberingAfterBreak="0">
    <w:nsid w:val="4A7F3407"/>
    <w:multiLevelType w:val="hybridMultilevel"/>
    <w:tmpl w:val="4A0C05C0"/>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1" w15:restartNumberingAfterBreak="0">
    <w:nsid w:val="552E0695"/>
    <w:multiLevelType w:val="hybridMultilevel"/>
    <w:tmpl w:val="54E678E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2" w15:restartNumberingAfterBreak="0">
    <w:nsid w:val="59F54979"/>
    <w:multiLevelType w:val="hybridMultilevel"/>
    <w:tmpl w:val="CF4896F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3" w15:restartNumberingAfterBreak="0">
    <w:nsid w:val="6EFF0F49"/>
    <w:multiLevelType w:val="hybridMultilevel"/>
    <w:tmpl w:val="537ADBF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4" w15:restartNumberingAfterBreak="0">
    <w:nsid w:val="6F13004E"/>
    <w:multiLevelType w:val="hybridMultilevel"/>
    <w:tmpl w:val="14D48B4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5" w15:restartNumberingAfterBreak="0">
    <w:nsid w:val="73112D3C"/>
    <w:multiLevelType w:val="hybridMultilevel"/>
    <w:tmpl w:val="365822B0"/>
    <w:lvl w:ilvl="0" w:tplc="B8D68F3A">
      <w:start w:val="1"/>
      <w:numFmt w:val="lowerLetter"/>
      <w:lvlText w:val="(%1)"/>
      <w:lvlJc w:val="left"/>
      <w:pPr>
        <w:ind w:left="760" w:hanging="40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6" w15:restartNumberingAfterBreak="0">
    <w:nsid w:val="784B2C72"/>
    <w:multiLevelType w:val="hybridMultilevel"/>
    <w:tmpl w:val="7B747874"/>
    <w:lvl w:ilvl="0" w:tplc="08070001">
      <w:start w:val="1"/>
      <w:numFmt w:val="bullet"/>
      <w:lvlText w:val=""/>
      <w:lvlJc w:val="left"/>
      <w:pPr>
        <w:ind w:left="720" w:hanging="360"/>
      </w:pPr>
      <w:rPr>
        <w:rFonts w:ascii="Symbol" w:hAnsi="Symbo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3"/>
  </w:num>
  <w:num w:numId="4">
    <w:abstractNumId w:val="4"/>
  </w:num>
  <w:num w:numId="5">
    <w:abstractNumId w:val="11"/>
  </w:num>
  <w:num w:numId="6">
    <w:abstractNumId w:val="16"/>
  </w:num>
  <w:num w:numId="7">
    <w:abstractNumId w:val="17"/>
  </w:num>
  <w:num w:numId="8">
    <w:abstractNumId w:val="5"/>
  </w:num>
  <w:num w:numId="9">
    <w:abstractNumId w:val="0"/>
  </w:num>
  <w:num w:numId="10">
    <w:abstractNumId w:val="19"/>
  </w:num>
  <w:num w:numId="11">
    <w:abstractNumId w:val="6"/>
  </w:num>
  <w:num w:numId="12">
    <w:abstractNumId w:val="10"/>
  </w:num>
  <w:num w:numId="13">
    <w:abstractNumId w:val="8"/>
  </w:num>
  <w:num w:numId="14">
    <w:abstractNumId w:val="13"/>
  </w:num>
  <w:num w:numId="15">
    <w:abstractNumId w:val="14"/>
  </w:num>
  <w:num w:numId="16">
    <w:abstractNumId w:val="21"/>
  </w:num>
  <w:num w:numId="17">
    <w:abstractNumId w:val="25"/>
  </w:num>
  <w:num w:numId="18">
    <w:abstractNumId w:val="12"/>
  </w:num>
  <w:num w:numId="19">
    <w:abstractNumId w:val="20"/>
  </w:num>
  <w:num w:numId="20">
    <w:abstractNumId w:val="26"/>
  </w:num>
  <w:num w:numId="21">
    <w:abstractNumId w:val="9"/>
  </w:num>
  <w:num w:numId="22">
    <w:abstractNumId w:val="15"/>
  </w:num>
  <w:num w:numId="23">
    <w:abstractNumId w:val="18"/>
  </w:num>
  <w:num w:numId="24">
    <w:abstractNumId w:val="24"/>
  </w:num>
  <w:num w:numId="25">
    <w:abstractNumId w:val="23"/>
  </w:num>
  <w:num w:numId="26">
    <w:abstractNumId w:val="22"/>
  </w:num>
  <w:num w:numId="2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71"/>
  <w:hideSpellingErrors/>
  <w:proofState w:spelling="clean" w:grammar="clean"/>
  <w:stylePaneFormatFilter w:val="3F21" w:allStyles="1" w:customStyles="0" w:latentStyles="0" w:stylesInUse="0" w:headingStyles="1"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5541D9"/>
    <w:rsid w:val="0000386D"/>
    <w:rsid w:val="0000435E"/>
    <w:rsid w:val="000160D3"/>
    <w:rsid w:val="00016549"/>
    <w:rsid w:val="000178EE"/>
    <w:rsid w:val="000217A7"/>
    <w:rsid w:val="00030049"/>
    <w:rsid w:val="00031253"/>
    <w:rsid w:val="00031EF4"/>
    <w:rsid w:val="00033F4B"/>
    <w:rsid w:val="0003457E"/>
    <w:rsid w:val="00034A0B"/>
    <w:rsid w:val="000370DA"/>
    <w:rsid w:val="00044561"/>
    <w:rsid w:val="00046241"/>
    <w:rsid w:val="00050EAC"/>
    <w:rsid w:val="00053386"/>
    <w:rsid w:val="000576ED"/>
    <w:rsid w:val="00064184"/>
    <w:rsid w:val="00064617"/>
    <w:rsid w:val="00064BE9"/>
    <w:rsid w:val="00065C38"/>
    <w:rsid w:val="00066FC1"/>
    <w:rsid w:val="00070BDE"/>
    <w:rsid w:val="0007409D"/>
    <w:rsid w:val="00074CF3"/>
    <w:rsid w:val="00075A6F"/>
    <w:rsid w:val="000764CF"/>
    <w:rsid w:val="00077801"/>
    <w:rsid w:val="00081B9B"/>
    <w:rsid w:val="00093952"/>
    <w:rsid w:val="000971B8"/>
    <w:rsid w:val="000A120B"/>
    <w:rsid w:val="000A7002"/>
    <w:rsid w:val="000A7082"/>
    <w:rsid w:val="000A7D56"/>
    <w:rsid w:val="000B0BF4"/>
    <w:rsid w:val="000B0FC3"/>
    <w:rsid w:val="000B30C0"/>
    <w:rsid w:val="000B377C"/>
    <w:rsid w:val="000B5656"/>
    <w:rsid w:val="000B57A1"/>
    <w:rsid w:val="000B6183"/>
    <w:rsid w:val="000C24B7"/>
    <w:rsid w:val="000C3349"/>
    <w:rsid w:val="000C7211"/>
    <w:rsid w:val="000D3261"/>
    <w:rsid w:val="000D54E3"/>
    <w:rsid w:val="000E0AB1"/>
    <w:rsid w:val="000E4B94"/>
    <w:rsid w:val="000E6CC4"/>
    <w:rsid w:val="000E7C36"/>
    <w:rsid w:val="000F0E17"/>
    <w:rsid w:val="000F1A32"/>
    <w:rsid w:val="000F388A"/>
    <w:rsid w:val="000F5866"/>
    <w:rsid w:val="000F6721"/>
    <w:rsid w:val="000F721B"/>
    <w:rsid w:val="000F7483"/>
    <w:rsid w:val="000F79BC"/>
    <w:rsid w:val="00102574"/>
    <w:rsid w:val="00104781"/>
    <w:rsid w:val="00107F9B"/>
    <w:rsid w:val="001105F6"/>
    <w:rsid w:val="001108EA"/>
    <w:rsid w:val="00114579"/>
    <w:rsid w:val="001158FE"/>
    <w:rsid w:val="001161BF"/>
    <w:rsid w:val="0012174D"/>
    <w:rsid w:val="001237DD"/>
    <w:rsid w:val="00123D38"/>
    <w:rsid w:val="001248BC"/>
    <w:rsid w:val="00125018"/>
    <w:rsid w:val="0013539E"/>
    <w:rsid w:val="00137BD9"/>
    <w:rsid w:val="001435A6"/>
    <w:rsid w:val="00144164"/>
    <w:rsid w:val="00144FDC"/>
    <w:rsid w:val="00146992"/>
    <w:rsid w:val="00147317"/>
    <w:rsid w:val="00147B45"/>
    <w:rsid w:val="00147C7E"/>
    <w:rsid w:val="0015009A"/>
    <w:rsid w:val="00157573"/>
    <w:rsid w:val="00157C3E"/>
    <w:rsid w:val="0016557C"/>
    <w:rsid w:val="001668FD"/>
    <w:rsid w:val="00167FB1"/>
    <w:rsid w:val="00171F46"/>
    <w:rsid w:val="00172DD9"/>
    <w:rsid w:val="001815BC"/>
    <w:rsid w:val="001828D9"/>
    <w:rsid w:val="00182ADE"/>
    <w:rsid w:val="0018397C"/>
    <w:rsid w:val="00187A9C"/>
    <w:rsid w:val="00193252"/>
    <w:rsid w:val="0019543F"/>
    <w:rsid w:val="001A19D7"/>
    <w:rsid w:val="001A20D8"/>
    <w:rsid w:val="001A7A75"/>
    <w:rsid w:val="001B3CE4"/>
    <w:rsid w:val="001B76FE"/>
    <w:rsid w:val="001B7765"/>
    <w:rsid w:val="001B7B05"/>
    <w:rsid w:val="001C258A"/>
    <w:rsid w:val="001C348A"/>
    <w:rsid w:val="001C4361"/>
    <w:rsid w:val="001C5573"/>
    <w:rsid w:val="001D3954"/>
    <w:rsid w:val="001D65E7"/>
    <w:rsid w:val="001D6E1F"/>
    <w:rsid w:val="001E5382"/>
    <w:rsid w:val="001F22E4"/>
    <w:rsid w:val="001F2EE6"/>
    <w:rsid w:val="002005DF"/>
    <w:rsid w:val="002032E2"/>
    <w:rsid w:val="00203D98"/>
    <w:rsid w:val="00205FE7"/>
    <w:rsid w:val="0021013B"/>
    <w:rsid w:val="00211CFC"/>
    <w:rsid w:val="00214EDF"/>
    <w:rsid w:val="00215F96"/>
    <w:rsid w:val="00217707"/>
    <w:rsid w:val="00220F7D"/>
    <w:rsid w:val="00222CAE"/>
    <w:rsid w:val="002236CB"/>
    <w:rsid w:val="00223DF2"/>
    <w:rsid w:val="00234057"/>
    <w:rsid w:val="002345BC"/>
    <w:rsid w:val="0023568D"/>
    <w:rsid w:val="00240CC7"/>
    <w:rsid w:val="00241181"/>
    <w:rsid w:val="002417A8"/>
    <w:rsid w:val="00241C89"/>
    <w:rsid w:val="00243E82"/>
    <w:rsid w:val="00253576"/>
    <w:rsid w:val="00255B2A"/>
    <w:rsid w:val="00257051"/>
    <w:rsid w:val="0025741D"/>
    <w:rsid w:val="00264DC2"/>
    <w:rsid w:val="00266830"/>
    <w:rsid w:val="00275078"/>
    <w:rsid w:val="0027555D"/>
    <w:rsid w:val="00275596"/>
    <w:rsid w:val="002829FE"/>
    <w:rsid w:val="00282E83"/>
    <w:rsid w:val="00286499"/>
    <w:rsid w:val="00287CCA"/>
    <w:rsid w:val="00290A09"/>
    <w:rsid w:val="00295D6B"/>
    <w:rsid w:val="002A0BB7"/>
    <w:rsid w:val="002A0CD1"/>
    <w:rsid w:val="002A12D5"/>
    <w:rsid w:val="002A1BF0"/>
    <w:rsid w:val="002A2D20"/>
    <w:rsid w:val="002A4CF2"/>
    <w:rsid w:val="002A68F3"/>
    <w:rsid w:val="002A6948"/>
    <w:rsid w:val="002B0370"/>
    <w:rsid w:val="002B0547"/>
    <w:rsid w:val="002B2C21"/>
    <w:rsid w:val="002B47C8"/>
    <w:rsid w:val="002B5CAB"/>
    <w:rsid w:val="002C0A2C"/>
    <w:rsid w:val="002C3181"/>
    <w:rsid w:val="002C39D2"/>
    <w:rsid w:val="002C4C78"/>
    <w:rsid w:val="002C6033"/>
    <w:rsid w:val="002D00B1"/>
    <w:rsid w:val="002D2ABB"/>
    <w:rsid w:val="002E26D9"/>
    <w:rsid w:val="002E3F4E"/>
    <w:rsid w:val="002E6405"/>
    <w:rsid w:val="002E64A6"/>
    <w:rsid w:val="002F00B4"/>
    <w:rsid w:val="002F0581"/>
    <w:rsid w:val="002F0F83"/>
    <w:rsid w:val="002F1F2B"/>
    <w:rsid w:val="002F4292"/>
    <w:rsid w:val="002F4F33"/>
    <w:rsid w:val="002F571A"/>
    <w:rsid w:val="002F7A6B"/>
    <w:rsid w:val="00301E79"/>
    <w:rsid w:val="00306737"/>
    <w:rsid w:val="00307489"/>
    <w:rsid w:val="00312A97"/>
    <w:rsid w:val="0031410C"/>
    <w:rsid w:val="0032346B"/>
    <w:rsid w:val="00326626"/>
    <w:rsid w:val="0033595A"/>
    <w:rsid w:val="00335EEA"/>
    <w:rsid w:val="003360D3"/>
    <w:rsid w:val="003412AE"/>
    <w:rsid w:val="00342367"/>
    <w:rsid w:val="003464BA"/>
    <w:rsid w:val="003505FD"/>
    <w:rsid w:val="00351657"/>
    <w:rsid w:val="00352972"/>
    <w:rsid w:val="003533D8"/>
    <w:rsid w:val="00356ABE"/>
    <w:rsid w:val="003607E1"/>
    <w:rsid w:val="0036112F"/>
    <w:rsid w:val="003613DA"/>
    <w:rsid w:val="00364B65"/>
    <w:rsid w:val="00365C19"/>
    <w:rsid w:val="00370BE6"/>
    <w:rsid w:val="00371C65"/>
    <w:rsid w:val="0037586C"/>
    <w:rsid w:val="00377288"/>
    <w:rsid w:val="003776FF"/>
    <w:rsid w:val="003824DA"/>
    <w:rsid w:val="00383FBD"/>
    <w:rsid w:val="00384C73"/>
    <w:rsid w:val="00386155"/>
    <w:rsid w:val="00396F0A"/>
    <w:rsid w:val="00397B35"/>
    <w:rsid w:val="003A48DB"/>
    <w:rsid w:val="003A5C2D"/>
    <w:rsid w:val="003A7F5F"/>
    <w:rsid w:val="003B03EE"/>
    <w:rsid w:val="003B0825"/>
    <w:rsid w:val="003B0834"/>
    <w:rsid w:val="003B2944"/>
    <w:rsid w:val="003B331A"/>
    <w:rsid w:val="003B3833"/>
    <w:rsid w:val="003B3B29"/>
    <w:rsid w:val="003C0E9E"/>
    <w:rsid w:val="003C1B69"/>
    <w:rsid w:val="003C3C33"/>
    <w:rsid w:val="003C7069"/>
    <w:rsid w:val="003D0872"/>
    <w:rsid w:val="003D3524"/>
    <w:rsid w:val="003D7C87"/>
    <w:rsid w:val="003E09DF"/>
    <w:rsid w:val="003E1B43"/>
    <w:rsid w:val="003E391D"/>
    <w:rsid w:val="003E6DAB"/>
    <w:rsid w:val="003E7F52"/>
    <w:rsid w:val="003F0D29"/>
    <w:rsid w:val="003F2F4F"/>
    <w:rsid w:val="003F6C38"/>
    <w:rsid w:val="0040757C"/>
    <w:rsid w:val="00410CB7"/>
    <w:rsid w:val="00413E6E"/>
    <w:rsid w:val="004145A1"/>
    <w:rsid w:val="00417452"/>
    <w:rsid w:val="00420A0C"/>
    <w:rsid w:val="004225E3"/>
    <w:rsid w:val="00423C19"/>
    <w:rsid w:val="00426E79"/>
    <w:rsid w:val="00427194"/>
    <w:rsid w:val="00435205"/>
    <w:rsid w:val="004377C7"/>
    <w:rsid w:val="0043791A"/>
    <w:rsid w:val="004414F4"/>
    <w:rsid w:val="0044402F"/>
    <w:rsid w:val="004461E0"/>
    <w:rsid w:val="00447F3C"/>
    <w:rsid w:val="00450E1B"/>
    <w:rsid w:val="00454320"/>
    <w:rsid w:val="00454D7B"/>
    <w:rsid w:val="00462002"/>
    <w:rsid w:val="004637B5"/>
    <w:rsid w:val="00463AF2"/>
    <w:rsid w:val="00465602"/>
    <w:rsid w:val="00467F94"/>
    <w:rsid w:val="00474AF2"/>
    <w:rsid w:val="004779EE"/>
    <w:rsid w:val="00481981"/>
    <w:rsid w:val="00482EEC"/>
    <w:rsid w:val="004A2B4A"/>
    <w:rsid w:val="004A3447"/>
    <w:rsid w:val="004A3D43"/>
    <w:rsid w:val="004A5916"/>
    <w:rsid w:val="004B0D07"/>
    <w:rsid w:val="004B0E10"/>
    <w:rsid w:val="004B5D0D"/>
    <w:rsid w:val="004C1693"/>
    <w:rsid w:val="004C20B6"/>
    <w:rsid w:val="004C2495"/>
    <w:rsid w:val="004C29D5"/>
    <w:rsid w:val="004C3D6E"/>
    <w:rsid w:val="004C4C84"/>
    <w:rsid w:val="004D7000"/>
    <w:rsid w:val="004D74F4"/>
    <w:rsid w:val="004E29D6"/>
    <w:rsid w:val="004E2C26"/>
    <w:rsid w:val="004E2F8B"/>
    <w:rsid w:val="004E48C1"/>
    <w:rsid w:val="004E4CF0"/>
    <w:rsid w:val="004F5AF8"/>
    <w:rsid w:val="004F673C"/>
    <w:rsid w:val="004F7A6F"/>
    <w:rsid w:val="004F7CE3"/>
    <w:rsid w:val="005047E7"/>
    <w:rsid w:val="00504F2A"/>
    <w:rsid w:val="0050614A"/>
    <w:rsid w:val="00506DA7"/>
    <w:rsid w:val="00507873"/>
    <w:rsid w:val="00507E9A"/>
    <w:rsid w:val="0051046C"/>
    <w:rsid w:val="00511623"/>
    <w:rsid w:val="005119C7"/>
    <w:rsid w:val="00514165"/>
    <w:rsid w:val="00515555"/>
    <w:rsid w:val="00517B5F"/>
    <w:rsid w:val="00517D2B"/>
    <w:rsid w:val="00521FEB"/>
    <w:rsid w:val="0052264E"/>
    <w:rsid w:val="00524DA2"/>
    <w:rsid w:val="00525603"/>
    <w:rsid w:val="00525F08"/>
    <w:rsid w:val="00536342"/>
    <w:rsid w:val="00543A93"/>
    <w:rsid w:val="00543F73"/>
    <w:rsid w:val="005442D5"/>
    <w:rsid w:val="00545AA6"/>
    <w:rsid w:val="00545DA7"/>
    <w:rsid w:val="005515C3"/>
    <w:rsid w:val="00552F8F"/>
    <w:rsid w:val="00553604"/>
    <w:rsid w:val="005541D9"/>
    <w:rsid w:val="005542C5"/>
    <w:rsid w:val="00554FBA"/>
    <w:rsid w:val="0055544F"/>
    <w:rsid w:val="00557424"/>
    <w:rsid w:val="005574A0"/>
    <w:rsid w:val="00557A4E"/>
    <w:rsid w:val="005602AA"/>
    <w:rsid w:val="0056225E"/>
    <w:rsid w:val="00562FA2"/>
    <w:rsid w:val="00564F7F"/>
    <w:rsid w:val="005654F1"/>
    <w:rsid w:val="005661CF"/>
    <w:rsid w:val="005675B8"/>
    <w:rsid w:val="0057435F"/>
    <w:rsid w:val="00577760"/>
    <w:rsid w:val="00577B2F"/>
    <w:rsid w:val="00577EA1"/>
    <w:rsid w:val="00580838"/>
    <w:rsid w:val="00581111"/>
    <w:rsid w:val="00581A68"/>
    <w:rsid w:val="0058252D"/>
    <w:rsid w:val="00583E10"/>
    <w:rsid w:val="0058463A"/>
    <w:rsid w:val="00591E8E"/>
    <w:rsid w:val="00593F82"/>
    <w:rsid w:val="00595C72"/>
    <w:rsid w:val="0059793A"/>
    <w:rsid w:val="00597ADE"/>
    <w:rsid w:val="00597ED1"/>
    <w:rsid w:val="005B006C"/>
    <w:rsid w:val="005B0346"/>
    <w:rsid w:val="005B0DF4"/>
    <w:rsid w:val="005B2CF4"/>
    <w:rsid w:val="005B360C"/>
    <w:rsid w:val="005B46A5"/>
    <w:rsid w:val="005C147F"/>
    <w:rsid w:val="005C665B"/>
    <w:rsid w:val="005D041C"/>
    <w:rsid w:val="005D18BF"/>
    <w:rsid w:val="005D4698"/>
    <w:rsid w:val="005D7A43"/>
    <w:rsid w:val="005D7FCF"/>
    <w:rsid w:val="005E1ED5"/>
    <w:rsid w:val="005E2A3C"/>
    <w:rsid w:val="005E41CF"/>
    <w:rsid w:val="005E5EDE"/>
    <w:rsid w:val="005F3FFB"/>
    <w:rsid w:val="005F48F7"/>
    <w:rsid w:val="0060217F"/>
    <w:rsid w:val="00602EE2"/>
    <w:rsid w:val="00605E44"/>
    <w:rsid w:val="0061492D"/>
    <w:rsid w:val="00614A8B"/>
    <w:rsid w:val="006205E1"/>
    <w:rsid w:val="006223A1"/>
    <w:rsid w:val="00623CDF"/>
    <w:rsid w:val="00623D50"/>
    <w:rsid w:val="00626F54"/>
    <w:rsid w:val="0062721E"/>
    <w:rsid w:val="00633EB7"/>
    <w:rsid w:val="006373FA"/>
    <w:rsid w:val="00641D7F"/>
    <w:rsid w:val="006422B5"/>
    <w:rsid w:val="00643D5F"/>
    <w:rsid w:val="006450BF"/>
    <w:rsid w:val="00645A95"/>
    <w:rsid w:val="00651EFC"/>
    <w:rsid w:val="006529C8"/>
    <w:rsid w:val="00652F2A"/>
    <w:rsid w:val="0065327F"/>
    <w:rsid w:val="00656DCA"/>
    <w:rsid w:val="00656F95"/>
    <w:rsid w:val="006626D4"/>
    <w:rsid w:val="00664AAC"/>
    <w:rsid w:val="00670D65"/>
    <w:rsid w:val="0067414F"/>
    <w:rsid w:val="00676869"/>
    <w:rsid w:val="00680C5F"/>
    <w:rsid w:val="00681812"/>
    <w:rsid w:val="00682E9A"/>
    <w:rsid w:val="00683E76"/>
    <w:rsid w:val="00686ECE"/>
    <w:rsid w:val="00690808"/>
    <w:rsid w:val="00692CBA"/>
    <w:rsid w:val="00697735"/>
    <w:rsid w:val="006A18C4"/>
    <w:rsid w:val="006A23CF"/>
    <w:rsid w:val="006A3404"/>
    <w:rsid w:val="006A3425"/>
    <w:rsid w:val="006A51D4"/>
    <w:rsid w:val="006A5B6D"/>
    <w:rsid w:val="006A65E4"/>
    <w:rsid w:val="006B34F0"/>
    <w:rsid w:val="006B46DE"/>
    <w:rsid w:val="006B5B4C"/>
    <w:rsid w:val="006B7CE2"/>
    <w:rsid w:val="006C1765"/>
    <w:rsid w:val="006C5C5E"/>
    <w:rsid w:val="006C7D41"/>
    <w:rsid w:val="006D4A11"/>
    <w:rsid w:val="006E40A8"/>
    <w:rsid w:val="006F2DB3"/>
    <w:rsid w:val="006F6A10"/>
    <w:rsid w:val="006F74DB"/>
    <w:rsid w:val="006F7FB6"/>
    <w:rsid w:val="00700C97"/>
    <w:rsid w:val="00701865"/>
    <w:rsid w:val="00703EDA"/>
    <w:rsid w:val="00707408"/>
    <w:rsid w:val="00710661"/>
    <w:rsid w:val="0071269C"/>
    <w:rsid w:val="007127B8"/>
    <w:rsid w:val="00713BD8"/>
    <w:rsid w:val="00713E1A"/>
    <w:rsid w:val="007143B8"/>
    <w:rsid w:val="007160C2"/>
    <w:rsid w:val="0071756F"/>
    <w:rsid w:val="00721661"/>
    <w:rsid w:val="007274DF"/>
    <w:rsid w:val="0073041F"/>
    <w:rsid w:val="00733113"/>
    <w:rsid w:val="00733A7D"/>
    <w:rsid w:val="00740065"/>
    <w:rsid w:val="0074364E"/>
    <w:rsid w:val="00744F30"/>
    <w:rsid w:val="00746282"/>
    <w:rsid w:val="00755EBE"/>
    <w:rsid w:val="00757684"/>
    <w:rsid w:val="00757A30"/>
    <w:rsid w:val="007621DA"/>
    <w:rsid w:val="007644CA"/>
    <w:rsid w:val="007664BA"/>
    <w:rsid w:val="00767323"/>
    <w:rsid w:val="00773940"/>
    <w:rsid w:val="00775673"/>
    <w:rsid w:val="00776760"/>
    <w:rsid w:val="007836E8"/>
    <w:rsid w:val="007857EE"/>
    <w:rsid w:val="00786C15"/>
    <w:rsid w:val="00793AE8"/>
    <w:rsid w:val="007A38AE"/>
    <w:rsid w:val="007A4DEC"/>
    <w:rsid w:val="007A5C86"/>
    <w:rsid w:val="007B4ADC"/>
    <w:rsid w:val="007B6EC7"/>
    <w:rsid w:val="007C0C61"/>
    <w:rsid w:val="007C3CED"/>
    <w:rsid w:val="007C4251"/>
    <w:rsid w:val="007C5196"/>
    <w:rsid w:val="007C5E5B"/>
    <w:rsid w:val="007C73A2"/>
    <w:rsid w:val="007C77E8"/>
    <w:rsid w:val="007D2697"/>
    <w:rsid w:val="007D2A3B"/>
    <w:rsid w:val="007D62A9"/>
    <w:rsid w:val="007E0929"/>
    <w:rsid w:val="007E49F2"/>
    <w:rsid w:val="007E7A39"/>
    <w:rsid w:val="007F138C"/>
    <w:rsid w:val="007F17ED"/>
    <w:rsid w:val="007F31C9"/>
    <w:rsid w:val="007F7465"/>
    <w:rsid w:val="00800B0B"/>
    <w:rsid w:val="00801579"/>
    <w:rsid w:val="008015DD"/>
    <w:rsid w:val="00802563"/>
    <w:rsid w:val="00805700"/>
    <w:rsid w:val="00806763"/>
    <w:rsid w:val="00810547"/>
    <w:rsid w:val="00811781"/>
    <w:rsid w:val="00812D8B"/>
    <w:rsid w:val="008135A9"/>
    <w:rsid w:val="00815DCE"/>
    <w:rsid w:val="00817CEF"/>
    <w:rsid w:val="00823442"/>
    <w:rsid w:val="00823F3A"/>
    <w:rsid w:val="00826591"/>
    <w:rsid w:val="00826E72"/>
    <w:rsid w:val="00830A64"/>
    <w:rsid w:val="00832983"/>
    <w:rsid w:val="00834B70"/>
    <w:rsid w:val="00850654"/>
    <w:rsid w:val="008509EB"/>
    <w:rsid w:val="008521BF"/>
    <w:rsid w:val="00853CB5"/>
    <w:rsid w:val="00855D6E"/>
    <w:rsid w:val="00855ED0"/>
    <w:rsid w:val="00857837"/>
    <w:rsid w:val="00857C22"/>
    <w:rsid w:val="0086055C"/>
    <w:rsid w:val="00863EA1"/>
    <w:rsid w:val="008642D3"/>
    <w:rsid w:val="008774A9"/>
    <w:rsid w:val="00884B9F"/>
    <w:rsid w:val="00894D5F"/>
    <w:rsid w:val="00897681"/>
    <w:rsid w:val="008A0C60"/>
    <w:rsid w:val="008A3E38"/>
    <w:rsid w:val="008A61AA"/>
    <w:rsid w:val="008B2D32"/>
    <w:rsid w:val="008C05B1"/>
    <w:rsid w:val="008C2B46"/>
    <w:rsid w:val="008C34FF"/>
    <w:rsid w:val="008D1235"/>
    <w:rsid w:val="008D1453"/>
    <w:rsid w:val="008D2475"/>
    <w:rsid w:val="008D4867"/>
    <w:rsid w:val="008D626E"/>
    <w:rsid w:val="008E1E97"/>
    <w:rsid w:val="008E265D"/>
    <w:rsid w:val="008F0FA1"/>
    <w:rsid w:val="008F2023"/>
    <w:rsid w:val="009004D4"/>
    <w:rsid w:val="00900724"/>
    <w:rsid w:val="00902123"/>
    <w:rsid w:val="00906108"/>
    <w:rsid w:val="00911EAA"/>
    <w:rsid w:val="00912D8E"/>
    <w:rsid w:val="00913F90"/>
    <w:rsid w:val="009157E7"/>
    <w:rsid w:val="00915B4E"/>
    <w:rsid w:val="00917BF1"/>
    <w:rsid w:val="0092198A"/>
    <w:rsid w:val="00927C4A"/>
    <w:rsid w:val="00930484"/>
    <w:rsid w:val="00931257"/>
    <w:rsid w:val="0093222C"/>
    <w:rsid w:val="00933470"/>
    <w:rsid w:val="00936727"/>
    <w:rsid w:val="00941023"/>
    <w:rsid w:val="00941296"/>
    <w:rsid w:val="009444F5"/>
    <w:rsid w:val="00945688"/>
    <w:rsid w:val="00945F7D"/>
    <w:rsid w:val="0094612C"/>
    <w:rsid w:val="0094659E"/>
    <w:rsid w:val="00950DDB"/>
    <w:rsid w:val="00956F60"/>
    <w:rsid w:val="00961AB9"/>
    <w:rsid w:val="00965EDD"/>
    <w:rsid w:val="0096686B"/>
    <w:rsid w:val="009766E2"/>
    <w:rsid w:val="00977FB5"/>
    <w:rsid w:val="00982E0D"/>
    <w:rsid w:val="0098487A"/>
    <w:rsid w:val="00986222"/>
    <w:rsid w:val="0098699F"/>
    <w:rsid w:val="00991D4E"/>
    <w:rsid w:val="00993C8E"/>
    <w:rsid w:val="00993CAC"/>
    <w:rsid w:val="00995F41"/>
    <w:rsid w:val="00995F45"/>
    <w:rsid w:val="0099651C"/>
    <w:rsid w:val="00997EC4"/>
    <w:rsid w:val="009A5845"/>
    <w:rsid w:val="009A58B8"/>
    <w:rsid w:val="009A5D4A"/>
    <w:rsid w:val="009B04DA"/>
    <w:rsid w:val="009B279E"/>
    <w:rsid w:val="009B60E0"/>
    <w:rsid w:val="009B7C85"/>
    <w:rsid w:val="009C0F87"/>
    <w:rsid w:val="009C2580"/>
    <w:rsid w:val="009C6194"/>
    <w:rsid w:val="009D47AC"/>
    <w:rsid w:val="009D5876"/>
    <w:rsid w:val="009E16C5"/>
    <w:rsid w:val="009E2BAE"/>
    <w:rsid w:val="009E5172"/>
    <w:rsid w:val="009F1BA1"/>
    <w:rsid w:val="009F224C"/>
    <w:rsid w:val="009F70FD"/>
    <w:rsid w:val="00A01EE8"/>
    <w:rsid w:val="00A0334F"/>
    <w:rsid w:val="00A03A82"/>
    <w:rsid w:val="00A04264"/>
    <w:rsid w:val="00A074F3"/>
    <w:rsid w:val="00A10997"/>
    <w:rsid w:val="00A14796"/>
    <w:rsid w:val="00A16189"/>
    <w:rsid w:val="00A21CC1"/>
    <w:rsid w:val="00A22802"/>
    <w:rsid w:val="00A25A68"/>
    <w:rsid w:val="00A40D18"/>
    <w:rsid w:val="00A427DC"/>
    <w:rsid w:val="00A46F11"/>
    <w:rsid w:val="00A53EC5"/>
    <w:rsid w:val="00A555E2"/>
    <w:rsid w:val="00A6017A"/>
    <w:rsid w:val="00A6122A"/>
    <w:rsid w:val="00A61339"/>
    <w:rsid w:val="00A6167B"/>
    <w:rsid w:val="00A62D0F"/>
    <w:rsid w:val="00A72B15"/>
    <w:rsid w:val="00A73976"/>
    <w:rsid w:val="00A87A90"/>
    <w:rsid w:val="00A87CF4"/>
    <w:rsid w:val="00A916D7"/>
    <w:rsid w:val="00A916E0"/>
    <w:rsid w:val="00A9282B"/>
    <w:rsid w:val="00A93D95"/>
    <w:rsid w:val="00AA19BE"/>
    <w:rsid w:val="00AB27FF"/>
    <w:rsid w:val="00AB4095"/>
    <w:rsid w:val="00AB6B9C"/>
    <w:rsid w:val="00AC22FD"/>
    <w:rsid w:val="00AC33EC"/>
    <w:rsid w:val="00AC48A0"/>
    <w:rsid w:val="00AC492E"/>
    <w:rsid w:val="00AC50CD"/>
    <w:rsid w:val="00AC58A4"/>
    <w:rsid w:val="00AD06E3"/>
    <w:rsid w:val="00AD12F1"/>
    <w:rsid w:val="00AD4811"/>
    <w:rsid w:val="00AD54BF"/>
    <w:rsid w:val="00AD5865"/>
    <w:rsid w:val="00AD5876"/>
    <w:rsid w:val="00AD7BF5"/>
    <w:rsid w:val="00AE68CB"/>
    <w:rsid w:val="00AF60F8"/>
    <w:rsid w:val="00B0200F"/>
    <w:rsid w:val="00B02E24"/>
    <w:rsid w:val="00B03E25"/>
    <w:rsid w:val="00B04B9C"/>
    <w:rsid w:val="00B0767A"/>
    <w:rsid w:val="00B1105D"/>
    <w:rsid w:val="00B1271B"/>
    <w:rsid w:val="00B1495F"/>
    <w:rsid w:val="00B16609"/>
    <w:rsid w:val="00B17B48"/>
    <w:rsid w:val="00B21BE6"/>
    <w:rsid w:val="00B22335"/>
    <w:rsid w:val="00B230F0"/>
    <w:rsid w:val="00B25629"/>
    <w:rsid w:val="00B2743C"/>
    <w:rsid w:val="00B276BD"/>
    <w:rsid w:val="00B35346"/>
    <w:rsid w:val="00B37660"/>
    <w:rsid w:val="00B42605"/>
    <w:rsid w:val="00B44A0F"/>
    <w:rsid w:val="00B46757"/>
    <w:rsid w:val="00B47032"/>
    <w:rsid w:val="00B53843"/>
    <w:rsid w:val="00B54B5B"/>
    <w:rsid w:val="00B575BF"/>
    <w:rsid w:val="00B640CD"/>
    <w:rsid w:val="00B647CB"/>
    <w:rsid w:val="00B65FF2"/>
    <w:rsid w:val="00B66E62"/>
    <w:rsid w:val="00B702E0"/>
    <w:rsid w:val="00B76C69"/>
    <w:rsid w:val="00B80D0E"/>
    <w:rsid w:val="00B8413D"/>
    <w:rsid w:val="00B8762F"/>
    <w:rsid w:val="00B91CCB"/>
    <w:rsid w:val="00B92972"/>
    <w:rsid w:val="00BA346F"/>
    <w:rsid w:val="00BB18A6"/>
    <w:rsid w:val="00BB2863"/>
    <w:rsid w:val="00BB39C1"/>
    <w:rsid w:val="00BC0F83"/>
    <w:rsid w:val="00BC1D1B"/>
    <w:rsid w:val="00BC51FF"/>
    <w:rsid w:val="00BC7767"/>
    <w:rsid w:val="00BC7BA2"/>
    <w:rsid w:val="00BD2A5F"/>
    <w:rsid w:val="00BD3142"/>
    <w:rsid w:val="00BD6E26"/>
    <w:rsid w:val="00BE06EF"/>
    <w:rsid w:val="00BE5D8B"/>
    <w:rsid w:val="00BE6396"/>
    <w:rsid w:val="00BE7404"/>
    <w:rsid w:val="00BF1DD6"/>
    <w:rsid w:val="00BF51E5"/>
    <w:rsid w:val="00C02170"/>
    <w:rsid w:val="00C03A05"/>
    <w:rsid w:val="00C04297"/>
    <w:rsid w:val="00C04C8C"/>
    <w:rsid w:val="00C11DC0"/>
    <w:rsid w:val="00C14EB3"/>
    <w:rsid w:val="00C2488F"/>
    <w:rsid w:val="00C264C8"/>
    <w:rsid w:val="00C345F3"/>
    <w:rsid w:val="00C3540C"/>
    <w:rsid w:val="00C35DA6"/>
    <w:rsid w:val="00C4031D"/>
    <w:rsid w:val="00C43ADC"/>
    <w:rsid w:val="00C45B25"/>
    <w:rsid w:val="00C47EE1"/>
    <w:rsid w:val="00C547EE"/>
    <w:rsid w:val="00C5540D"/>
    <w:rsid w:val="00C6138A"/>
    <w:rsid w:val="00C628D1"/>
    <w:rsid w:val="00C663D5"/>
    <w:rsid w:val="00C67F79"/>
    <w:rsid w:val="00C72441"/>
    <w:rsid w:val="00C732F8"/>
    <w:rsid w:val="00C7737D"/>
    <w:rsid w:val="00C77BB1"/>
    <w:rsid w:val="00C80EE0"/>
    <w:rsid w:val="00C8344D"/>
    <w:rsid w:val="00C845F3"/>
    <w:rsid w:val="00C85B2A"/>
    <w:rsid w:val="00C8771B"/>
    <w:rsid w:val="00C933AC"/>
    <w:rsid w:val="00C93B92"/>
    <w:rsid w:val="00C94AE1"/>
    <w:rsid w:val="00C95B3C"/>
    <w:rsid w:val="00C96C27"/>
    <w:rsid w:val="00CA01D8"/>
    <w:rsid w:val="00CA1B9D"/>
    <w:rsid w:val="00CA1C14"/>
    <w:rsid w:val="00CA1D4D"/>
    <w:rsid w:val="00CA4CCE"/>
    <w:rsid w:val="00CB4701"/>
    <w:rsid w:val="00CC2337"/>
    <w:rsid w:val="00CC2F93"/>
    <w:rsid w:val="00CC3C27"/>
    <w:rsid w:val="00CC621D"/>
    <w:rsid w:val="00CC79FE"/>
    <w:rsid w:val="00CD2374"/>
    <w:rsid w:val="00CD439B"/>
    <w:rsid w:val="00CD45F0"/>
    <w:rsid w:val="00CD74AF"/>
    <w:rsid w:val="00CD75A1"/>
    <w:rsid w:val="00CE310F"/>
    <w:rsid w:val="00CE313C"/>
    <w:rsid w:val="00CE4945"/>
    <w:rsid w:val="00CE5326"/>
    <w:rsid w:val="00CF0216"/>
    <w:rsid w:val="00CF04FD"/>
    <w:rsid w:val="00CF0C78"/>
    <w:rsid w:val="00CF10FC"/>
    <w:rsid w:val="00CF25FB"/>
    <w:rsid w:val="00CF665C"/>
    <w:rsid w:val="00D011BF"/>
    <w:rsid w:val="00D04243"/>
    <w:rsid w:val="00D072AA"/>
    <w:rsid w:val="00D11340"/>
    <w:rsid w:val="00D1283C"/>
    <w:rsid w:val="00D1488C"/>
    <w:rsid w:val="00D14FE0"/>
    <w:rsid w:val="00D2276E"/>
    <w:rsid w:val="00D23157"/>
    <w:rsid w:val="00D31F91"/>
    <w:rsid w:val="00D33CE1"/>
    <w:rsid w:val="00D35648"/>
    <w:rsid w:val="00D422B4"/>
    <w:rsid w:val="00D42561"/>
    <w:rsid w:val="00D46515"/>
    <w:rsid w:val="00D5566E"/>
    <w:rsid w:val="00D5668E"/>
    <w:rsid w:val="00D609C8"/>
    <w:rsid w:val="00D61913"/>
    <w:rsid w:val="00D6376B"/>
    <w:rsid w:val="00D73312"/>
    <w:rsid w:val="00D739DC"/>
    <w:rsid w:val="00D7440E"/>
    <w:rsid w:val="00D776DC"/>
    <w:rsid w:val="00D8691E"/>
    <w:rsid w:val="00D873DE"/>
    <w:rsid w:val="00D93025"/>
    <w:rsid w:val="00DA267C"/>
    <w:rsid w:val="00DA3D57"/>
    <w:rsid w:val="00DA4930"/>
    <w:rsid w:val="00DA652E"/>
    <w:rsid w:val="00DB03D5"/>
    <w:rsid w:val="00DB0BE3"/>
    <w:rsid w:val="00DB1C88"/>
    <w:rsid w:val="00DB1EB8"/>
    <w:rsid w:val="00DB255F"/>
    <w:rsid w:val="00DB36FA"/>
    <w:rsid w:val="00DB4A71"/>
    <w:rsid w:val="00DC1605"/>
    <w:rsid w:val="00DC1C51"/>
    <w:rsid w:val="00DC41BE"/>
    <w:rsid w:val="00DC7E83"/>
    <w:rsid w:val="00DD2601"/>
    <w:rsid w:val="00DD36C2"/>
    <w:rsid w:val="00DD5239"/>
    <w:rsid w:val="00DE24DC"/>
    <w:rsid w:val="00DE5DDB"/>
    <w:rsid w:val="00DE6EA6"/>
    <w:rsid w:val="00DF2C66"/>
    <w:rsid w:val="00DF3D7B"/>
    <w:rsid w:val="00DF4D75"/>
    <w:rsid w:val="00DF5131"/>
    <w:rsid w:val="00DF6209"/>
    <w:rsid w:val="00E03212"/>
    <w:rsid w:val="00E05D2E"/>
    <w:rsid w:val="00E064BF"/>
    <w:rsid w:val="00E13B7A"/>
    <w:rsid w:val="00E15B6A"/>
    <w:rsid w:val="00E2345B"/>
    <w:rsid w:val="00E24978"/>
    <w:rsid w:val="00E2764E"/>
    <w:rsid w:val="00E304E9"/>
    <w:rsid w:val="00E309E0"/>
    <w:rsid w:val="00E32ECE"/>
    <w:rsid w:val="00E3418A"/>
    <w:rsid w:val="00E34596"/>
    <w:rsid w:val="00E35E81"/>
    <w:rsid w:val="00E36B0C"/>
    <w:rsid w:val="00E40DC5"/>
    <w:rsid w:val="00E44702"/>
    <w:rsid w:val="00E45454"/>
    <w:rsid w:val="00E46FA4"/>
    <w:rsid w:val="00E507D6"/>
    <w:rsid w:val="00E5326E"/>
    <w:rsid w:val="00E5366A"/>
    <w:rsid w:val="00E54CBC"/>
    <w:rsid w:val="00E561EF"/>
    <w:rsid w:val="00E568FB"/>
    <w:rsid w:val="00E61DD9"/>
    <w:rsid w:val="00E64BEC"/>
    <w:rsid w:val="00E662BA"/>
    <w:rsid w:val="00E6647E"/>
    <w:rsid w:val="00E70912"/>
    <w:rsid w:val="00E72AED"/>
    <w:rsid w:val="00E7335E"/>
    <w:rsid w:val="00E761C2"/>
    <w:rsid w:val="00E8123C"/>
    <w:rsid w:val="00E8313D"/>
    <w:rsid w:val="00E8637C"/>
    <w:rsid w:val="00E86492"/>
    <w:rsid w:val="00E86ADC"/>
    <w:rsid w:val="00E93A0B"/>
    <w:rsid w:val="00E95677"/>
    <w:rsid w:val="00EA1796"/>
    <w:rsid w:val="00EA3BA5"/>
    <w:rsid w:val="00EA3ED5"/>
    <w:rsid w:val="00EA5E56"/>
    <w:rsid w:val="00EB26F9"/>
    <w:rsid w:val="00EB31C2"/>
    <w:rsid w:val="00EB3E10"/>
    <w:rsid w:val="00EB582C"/>
    <w:rsid w:val="00EB798E"/>
    <w:rsid w:val="00EC301D"/>
    <w:rsid w:val="00EC32A2"/>
    <w:rsid w:val="00EC4379"/>
    <w:rsid w:val="00ED00EB"/>
    <w:rsid w:val="00ED3555"/>
    <w:rsid w:val="00ED3D31"/>
    <w:rsid w:val="00ED3EEB"/>
    <w:rsid w:val="00ED6476"/>
    <w:rsid w:val="00ED68C4"/>
    <w:rsid w:val="00EE14DC"/>
    <w:rsid w:val="00EE222D"/>
    <w:rsid w:val="00EE282C"/>
    <w:rsid w:val="00EE5C85"/>
    <w:rsid w:val="00EF3FDB"/>
    <w:rsid w:val="00EF4399"/>
    <w:rsid w:val="00EF5B26"/>
    <w:rsid w:val="00EF607C"/>
    <w:rsid w:val="00EF74A8"/>
    <w:rsid w:val="00F00F75"/>
    <w:rsid w:val="00F02789"/>
    <w:rsid w:val="00F02E41"/>
    <w:rsid w:val="00F04ECD"/>
    <w:rsid w:val="00F1001F"/>
    <w:rsid w:val="00F12245"/>
    <w:rsid w:val="00F16D25"/>
    <w:rsid w:val="00F1710B"/>
    <w:rsid w:val="00F1738E"/>
    <w:rsid w:val="00F179A0"/>
    <w:rsid w:val="00F213B0"/>
    <w:rsid w:val="00F21B26"/>
    <w:rsid w:val="00F31A26"/>
    <w:rsid w:val="00F3240B"/>
    <w:rsid w:val="00F3646C"/>
    <w:rsid w:val="00F40FE9"/>
    <w:rsid w:val="00F424A1"/>
    <w:rsid w:val="00F42D13"/>
    <w:rsid w:val="00F45F78"/>
    <w:rsid w:val="00F46335"/>
    <w:rsid w:val="00F50BD4"/>
    <w:rsid w:val="00F50DE1"/>
    <w:rsid w:val="00F52A75"/>
    <w:rsid w:val="00F53276"/>
    <w:rsid w:val="00F541ED"/>
    <w:rsid w:val="00F54275"/>
    <w:rsid w:val="00F61CD2"/>
    <w:rsid w:val="00F64470"/>
    <w:rsid w:val="00F64487"/>
    <w:rsid w:val="00F65789"/>
    <w:rsid w:val="00F70505"/>
    <w:rsid w:val="00F708C7"/>
    <w:rsid w:val="00F744E9"/>
    <w:rsid w:val="00F74BE8"/>
    <w:rsid w:val="00F75C2B"/>
    <w:rsid w:val="00F76221"/>
    <w:rsid w:val="00F76F1A"/>
    <w:rsid w:val="00F777B5"/>
    <w:rsid w:val="00F806DB"/>
    <w:rsid w:val="00F81186"/>
    <w:rsid w:val="00F84465"/>
    <w:rsid w:val="00F84AFE"/>
    <w:rsid w:val="00F87A56"/>
    <w:rsid w:val="00F93A34"/>
    <w:rsid w:val="00F9445C"/>
    <w:rsid w:val="00FA07FB"/>
    <w:rsid w:val="00FA414D"/>
    <w:rsid w:val="00FA76A1"/>
    <w:rsid w:val="00FB05BB"/>
    <w:rsid w:val="00FB0850"/>
    <w:rsid w:val="00FB18A8"/>
    <w:rsid w:val="00FB2B66"/>
    <w:rsid w:val="00FB4DAB"/>
    <w:rsid w:val="00FB4EAC"/>
    <w:rsid w:val="00FB7BF1"/>
    <w:rsid w:val="00FC232A"/>
    <w:rsid w:val="00FC2867"/>
    <w:rsid w:val="00FC358F"/>
    <w:rsid w:val="00FC3764"/>
    <w:rsid w:val="00FC5345"/>
    <w:rsid w:val="00FD42AA"/>
    <w:rsid w:val="00FD4F4B"/>
    <w:rsid w:val="00FD529D"/>
    <w:rsid w:val="00FD5992"/>
    <w:rsid w:val="00FD688A"/>
    <w:rsid w:val="00FE2215"/>
    <w:rsid w:val="00FE3664"/>
    <w:rsid w:val="00FF1F44"/>
    <w:rsid w:val="00FF418B"/>
    <w:rsid w:val="00FF4388"/>
  </w:rsids>
  <m:mathPr>
    <m:mathFont m:val="Cambria Math"/>
    <m:brkBin m:val="before"/>
    <m:brkBinSub m:val="--"/>
    <m:smallFrac m:val="0"/>
    <m:dispDef/>
    <m:lMargin m:val="0"/>
    <m:rMargin m:val="0"/>
    <m:defJc m:val="centerGroup"/>
    <m:wrapIndent m:val="1440"/>
    <m:intLim m:val="subSup"/>
    <m:naryLim m:val="undOvr"/>
  </m:mathPr>
  <w:themeFontLang w:val="de-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790B117"/>
  <w15:docId w15:val="{4312E801-A175-1647-837A-15E2A4AA9A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Times New Roman"/>
        <w:lang w:val="de-CH"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pPr>
      <w:spacing w:after="200" w:line="276" w:lineRule="auto"/>
    </w:pPr>
    <w:rPr>
      <w:sz w:val="22"/>
      <w:szCs w:val="22"/>
      <w:lang w:eastAsia="en-US"/>
    </w:rPr>
  </w:style>
  <w:style w:type="paragraph" w:styleId="berschrift1">
    <w:name w:val="heading 1"/>
    <w:basedOn w:val="Standard"/>
    <w:next w:val="Standard"/>
    <w:link w:val="berschrift1Zchn"/>
    <w:uiPriority w:val="9"/>
    <w:qFormat/>
    <w:rsid w:val="0065327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berschrift2">
    <w:name w:val="heading 2"/>
    <w:basedOn w:val="Standard"/>
    <w:next w:val="Standard"/>
    <w:link w:val="berschrift2Zchn"/>
    <w:uiPriority w:val="9"/>
    <w:unhideWhenUsed/>
    <w:qFormat/>
    <w:rsid w:val="0065327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berschrift3">
    <w:name w:val="heading 3"/>
    <w:basedOn w:val="Standard"/>
    <w:next w:val="Standard"/>
    <w:link w:val="berschrift3Zchn"/>
    <w:uiPriority w:val="9"/>
    <w:semiHidden/>
    <w:unhideWhenUsed/>
    <w:qFormat/>
    <w:rsid w:val="0065327F"/>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berschrift4">
    <w:name w:val="heading 4"/>
    <w:basedOn w:val="Standard"/>
    <w:next w:val="Standard"/>
    <w:link w:val="berschrift4Zchn"/>
    <w:uiPriority w:val="9"/>
    <w:semiHidden/>
    <w:unhideWhenUsed/>
    <w:qFormat/>
    <w:rsid w:val="00F40FE9"/>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unhideWhenUsed/>
    <w:rsid w:val="005541D9"/>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5541D9"/>
  </w:style>
  <w:style w:type="paragraph" w:styleId="Fuzeile">
    <w:name w:val="footer"/>
    <w:basedOn w:val="Standard"/>
    <w:link w:val="FuzeileZchn"/>
    <w:uiPriority w:val="99"/>
    <w:unhideWhenUsed/>
    <w:rsid w:val="005541D9"/>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5541D9"/>
  </w:style>
  <w:style w:type="paragraph" w:styleId="Funotentext">
    <w:name w:val="footnote text"/>
    <w:basedOn w:val="Standard"/>
    <w:link w:val="FunotentextZchn"/>
    <w:unhideWhenUsed/>
    <w:rsid w:val="00FA76A1"/>
    <w:rPr>
      <w:sz w:val="20"/>
      <w:szCs w:val="20"/>
    </w:rPr>
  </w:style>
  <w:style w:type="character" w:customStyle="1" w:styleId="FunotentextZchn">
    <w:name w:val="Fußnotentext Zchn"/>
    <w:link w:val="Funotentext"/>
    <w:rsid w:val="00FA76A1"/>
    <w:rPr>
      <w:lang w:eastAsia="en-US"/>
    </w:rPr>
  </w:style>
  <w:style w:type="character" w:styleId="Funotenzeichen">
    <w:name w:val="footnote reference"/>
    <w:aliases w:val="Fußnotenzeichen ECHR"/>
    <w:unhideWhenUsed/>
    <w:qFormat/>
    <w:rsid w:val="00FA76A1"/>
    <w:rPr>
      <w:vertAlign w:val="superscript"/>
    </w:rPr>
  </w:style>
  <w:style w:type="character" w:customStyle="1" w:styleId="Absatz-Standardschriftart1">
    <w:name w:val="Absatz-Standardschriftart1"/>
    <w:rsid w:val="00F9445C"/>
  </w:style>
  <w:style w:type="character" w:styleId="Hyperlink">
    <w:name w:val="Hyperlink"/>
    <w:uiPriority w:val="99"/>
    <w:qFormat/>
    <w:rsid w:val="003C0E9E"/>
    <w:rPr>
      <w:color w:val="0000FF"/>
      <w:u w:val="single"/>
    </w:rPr>
  </w:style>
  <w:style w:type="character" w:customStyle="1" w:styleId="Funotenzeichen1">
    <w:name w:val="Fußnotenzeichen1"/>
    <w:rsid w:val="00F9445C"/>
  </w:style>
  <w:style w:type="character" w:customStyle="1" w:styleId="Funotenzeichen2">
    <w:name w:val="Fußnotenzeichen2"/>
    <w:qFormat/>
    <w:rsid w:val="00F9445C"/>
    <w:rPr>
      <w:sz w:val="18"/>
      <w:vertAlign w:val="baseline"/>
    </w:rPr>
  </w:style>
  <w:style w:type="character" w:customStyle="1" w:styleId="Funotenzeichen3">
    <w:name w:val="Fußnotenzeichen3"/>
    <w:rsid w:val="00F9445C"/>
    <w:rPr>
      <w:vertAlign w:val="superscript"/>
    </w:rPr>
  </w:style>
  <w:style w:type="paragraph" w:customStyle="1" w:styleId="absatzschattenbericht">
    <w:name w:val="absatz schattenbericht"/>
    <w:basedOn w:val="Standard"/>
    <w:rsid w:val="00F9445C"/>
    <w:pPr>
      <w:widowControl w:val="0"/>
      <w:suppressAutoHyphens/>
      <w:autoSpaceDE w:val="0"/>
      <w:spacing w:after="113" w:line="288" w:lineRule="auto"/>
      <w:jc w:val="both"/>
      <w:textAlignment w:val="center"/>
    </w:pPr>
    <w:rPr>
      <w:rFonts w:ascii="Times New Roman" w:eastAsia="Baskerville" w:hAnsi="Times New Roman" w:cs="Baskerville"/>
      <w:color w:val="000000"/>
      <w:spacing w:val="2"/>
      <w:kern w:val="1"/>
      <w:sz w:val="24"/>
      <w:szCs w:val="24"/>
      <w:lang w:val="en-US" w:eastAsia="zh-CN" w:bidi="hi-IN"/>
    </w:rPr>
  </w:style>
  <w:style w:type="paragraph" w:customStyle="1" w:styleId="Title1">
    <w:name w:val="Title 1"/>
    <w:basedOn w:val="Standard"/>
    <w:rsid w:val="000F0E17"/>
    <w:pPr>
      <w:widowControl w:val="0"/>
      <w:suppressLineNumbers/>
      <w:suppressAutoHyphens/>
      <w:spacing w:before="120" w:after="120" w:line="240" w:lineRule="auto"/>
    </w:pPr>
    <w:rPr>
      <w:rFonts w:ascii="Arial" w:eastAsia="Helvetica-Bold" w:hAnsi="Arial" w:cs="Helvetica-Bold"/>
      <w:b/>
      <w:bCs/>
      <w:iCs/>
      <w:color w:val="5E175E"/>
      <w:spacing w:val="3"/>
      <w:kern w:val="1"/>
      <w:sz w:val="28"/>
      <w:szCs w:val="28"/>
      <w:lang w:val="de-DE" w:eastAsia="zh-CN" w:bidi="hi-IN"/>
    </w:rPr>
  </w:style>
  <w:style w:type="paragraph" w:customStyle="1" w:styleId="Title2">
    <w:name w:val="Title 2"/>
    <w:basedOn w:val="Standard"/>
    <w:rsid w:val="00F9445C"/>
    <w:pPr>
      <w:widowControl w:val="0"/>
      <w:suppressLineNumbers/>
      <w:suppressAutoHyphens/>
      <w:autoSpaceDE w:val="0"/>
      <w:spacing w:after="113" w:line="288" w:lineRule="atLeast"/>
      <w:textAlignment w:val="center"/>
    </w:pPr>
    <w:rPr>
      <w:rFonts w:ascii="Arial" w:eastAsia="Helvetica-Bold" w:hAnsi="Arial" w:cs="Arial"/>
      <w:b/>
      <w:bCs/>
      <w:iCs/>
      <w:color w:val="5E175E"/>
      <w:spacing w:val="2"/>
      <w:kern w:val="1"/>
      <w:sz w:val="24"/>
      <w:szCs w:val="28"/>
      <w:lang w:val="en-GB" w:eastAsia="zh-CN" w:bidi="hi-IN"/>
    </w:rPr>
  </w:style>
  <w:style w:type="paragraph" w:customStyle="1" w:styleId="Title3">
    <w:name w:val="Title 3"/>
    <w:basedOn w:val="Title2"/>
    <w:rsid w:val="00F9445C"/>
    <w:pPr>
      <w:spacing w:before="28" w:after="85"/>
    </w:pPr>
    <w:rPr>
      <w:color w:val="232657"/>
      <w:szCs w:val="24"/>
    </w:rPr>
  </w:style>
  <w:style w:type="character" w:customStyle="1" w:styleId="FootnoteSymbol">
    <w:name w:val="Footnote Symbol"/>
    <w:rsid w:val="004F673C"/>
    <w:rPr>
      <w:rFonts w:ascii="Times New Roman" w:hAnsi="Times New Roman"/>
      <w:sz w:val="20"/>
    </w:rPr>
  </w:style>
  <w:style w:type="character" w:styleId="BesuchterLink">
    <w:name w:val="FollowedHyperlink"/>
    <w:rsid w:val="004F673C"/>
    <w:rPr>
      <w:color w:val="0070C0"/>
      <w:u w:val="single"/>
    </w:rPr>
  </w:style>
  <w:style w:type="paragraph" w:customStyle="1" w:styleId="fussnoteschattenbericht">
    <w:name w:val="fussnote schattenbericht"/>
    <w:basedOn w:val="Standard"/>
    <w:autoRedefine/>
    <w:rsid w:val="003A48DB"/>
    <w:pPr>
      <w:widowControl w:val="0"/>
      <w:suppressAutoHyphens/>
      <w:autoSpaceDE w:val="0"/>
      <w:spacing w:after="0" w:line="264" w:lineRule="auto"/>
      <w:ind w:left="454" w:hanging="448"/>
      <w:textAlignment w:val="center"/>
    </w:pPr>
    <w:rPr>
      <w:rFonts w:ascii="Times New Roman" w:eastAsia="Baskerville" w:hAnsi="Times New Roman"/>
      <w:color w:val="000000"/>
      <w:spacing w:val="2"/>
      <w:kern w:val="1"/>
      <w:sz w:val="20"/>
      <w:szCs w:val="20"/>
      <w:lang w:val="en-US" w:eastAsia="zh-CN" w:bidi="hi-IN"/>
    </w:rPr>
  </w:style>
  <w:style w:type="paragraph" w:styleId="Kommentartext">
    <w:name w:val="annotation text"/>
    <w:basedOn w:val="Standard"/>
    <w:link w:val="KommentartextZchn"/>
    <w:uiPriority w:val="99"/>
    <w:semiHidden/>
    <w:unhideWhenUsed/>
    <w:rsid w:val="00740065"/>
    <w:rPr>
      <w:sz w:val="24"/>
      <w:szCs w:val="24"/>
    </w:rPr>
  </w:style>
  <w:style w:type="paragraph" w:customStyle="1" w:styleId="AbsatzConcludingObs">
    <w:name w:val="Absatz Concluding Obs"/>
    <w:basedOn w:val="absatzschattenbericht"/>
    <w:qFormat/>
    <w:rsid w:val="00F3646C"/>
    <w:pPr>
      <w:tabs>
        <w:tab w:val="left" w:pos="567"/>
        <w:tab w:val="left" w:pos="1134"/>
      </w:tabs>
    </w:pPr>
    <w:rPr>
      <w:i/>
      <w:iCs/>
      <w:lang w:val="fr-FR"/>
    </w:rPr>
  </w:style>
  <w:style w:type="character" w:customStyle="1" w:styleId="KommentartextZchn">
    <w:name w:val="Kommentartext Zchn"/>
    <w:link w:val="Kommentartext"/>
    <w:uiPriority w:val="99"/>
    <w:semiHidden/>
    <w:rsid w:val="00740065"/>
    <w:rPr>
      <w:sz w:val="24"/>
      <w:szCs w:val="24"/>
      <w:lang w:val="de-CH" w:eastAsia="en-US"/>
    </w:rPr>
  </w:style>
  <w:style w:type="paragraph" w:styleId="Kommentarthema">
    <w:name w:val="annotation subject"/>
    <w:basedOn w:val="Kommentartext"/>
    <w:next w:val="Kommentartext"/>
    <w:link w:val="KommentarthemaZchn"/>
    <w:uiPriority w:val="99"/>
    <w:semiHidden/>
    <w:unhideWhenUsed/>
    <w:rsid w:val="00740065"/>
    <w:pPr>
      <w:suppressAutoHyphens/>
      <w:spacing w:after="0" w:line="240" w:lineRule="auto"/>
    </w:pPr>
    <w:rPr>
      <w:rFonts w:ascii="Times New Roman" w:eastAsia="SimSun" w:hAnsi="Times New Roman"/>
      <w:b/>
      <w:bCs/>
      <w:sz w:val="20"/>
      <w:szCs w:val="20"/>
      <w:lang w:val="fr-CH"/>
    </w:rPr>
  </w:style>
  <w:style w:type="character" w:customStyle="1" w:styleId="KommentarthemaZchn">
    <w:name w:val="Kommentarthema Zchn"/>
    <w:link w:val="Kommentarthema"/>
    <w:uiPriority w:val="99"/>
    <w:semiHidden/>
    <w:rsid w:val="00740065"/>
    <w:rPr>
      <w:rFonts w:ascii="Times New Roman" w:eastAsia="SimSun" w:hAnsi="Times New Roman"/>
      <w:b/>
      <w:bCs/>
      <w:sz w:val="24"/>
      <w:szCs w:val="24"/>
      <w:lang w:val="fr-CH" w:eastAsia="en-US"/>
    </w:rPr>
  </w:style>
  <w:style w:type="character" w:styleId="Endnotenzeichen">
    <w:name w:val="endnote reference"/>
    <w:aliases w:val="1_G"/>
    <w:rsid w:val="00426E79"/>
    <w:rPr>
      <w:rFonts w:ascii="Times New Roman" w:hAnsi="Times New Roman"/>
      <w:sz w:val="18"/>
      <w:vertAlign w:val="superscript"/>
    </w:rPr>
  </w:style>
  <w:style w:type="paragraph" w:styleId="Untertitel">
    <w:name w:val="Subtitle"/>
    <w:basedOn w:val="Standard"/>
    <w:next w:val="Standard"/>
    <w:link w:val="UntertitelZchn"/>
    <w:uiPriority w:val="11"/>
    <w:qFormat/>
    <w:rsid w:val="00C85B2A"/>
    <w:pPr>
      <w:spacing w:after="60"/>
      <w:jc w:val="center"/>
      <w:outlineLvl w:val="1"/>
    </w:pPr>
    <w:rPr>
      <w:rFonts w:eastAsia="MS Gothic"/>
      <w:sz w:val="24"/>
      <w:szCs w:val="24"/>
    </w:rPr>
  </w:style>
  <w:style w:type="character" w:customStyle="1" w:styleId="UntertitelZchn">
    <w:name w:val="Untertitel Zchn"/>
    <w:link w:val="Untertitel"/>
    <w:uiPriority w:val="11"/>
    <w:rsid w:val="00C85B2A"/>
    <w:rPr>
      <w:rFonts w:ascii="Calibri" w:eastAsia="MS Gothic" w:hAnsi="Calibri" w:cs="Times New Roman"/>
      <w:sz w:val="24"/>
      <w:szCs w:val="24"/>
      <w:lang w:val="de-CH" w:eastAsia="en-US"/>
    </w:rPr>
  </w:style>
  <w:style w:type="character" w:customStyle="1" w:styleId="NichtaufgelsteErwhnung1">
    <w:name w:val="Nicht aufgelöste Erwähnung1"/>
    <w:basedOn w:val="Absatz-Standardschriftart"/>
    <w:uiPriority w:val="99"/>
    <w:semiHidden/>
    <w:unhideWhenUsed/>
    <w:rsid w:val="00515555"/>
    <w:rPr>
      <w:color w:val="605E5C"/>
      <w:shd w:val="clear" w:color="auto" w:fill="E1DFDD"/>
    </w:rPr>
  </w:style>
  <w:style w:type="paragraph" w:styleId="StandardWeb">
    <w:name w:val="Normal (Web)"/>
    <w:basedOn w:val="Standard"/>
    <w:uiPriority w:val="99"/>
    <w:semiHidden/>
    <w:unhideWhenUsed/>
    <w:rsid w:val="006B7CE2"/>
    <w:rPr>
      <w:rFonts w:ascii="Times New Roman" w:hAnsi="Times New Roman"/>
      <w:sz w:val="24"/>
      <w:szCs w:val="24"/>
    </w:rPr>
  </w:style>
  <w:style w:type="character" w:customStyle="1" w:styleId="WW8Num1z3">
    <w:name w:val="WW8Num1z3"/>
    <w:rsid w:val="003824DA"/>
  </w:style>
  <w:style w:type="paragraph" w:styleId="Sprechblasentext">
    <w:name w:val="Balloon Text"/>
    <w:basedOn w:val="Standard"/>
    <w:link w:val="SprechblasentextZchn"/>
    <w:uiPriority w:val="99"/>
    <w:semiHidden/>
    <w:unhideWhenUsed/>
    <w:rsid w:val="003B331A"/>
    <w:pPr>
      <w:spacing w:after="0" w:line="240" w:lineRule="auto"/>
    </w:pPr>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3B331A"/>
    <w:rPr>
      <w:rFonts w:ascii="Tahoma" w:hAnsi="Tahoma" w:cs="Tahoma"/>
      <w:sz w:val="16"/>
      <w:szCs w:val="16"/>
      <w:lang w:eastAsia="en-US"/>
    </w:rPr>
  </w:style>
  <w:style w:type="character" w:customStyle="1" w:styleId="berschrift1Zchn">
    <w:name w:val="Überschrift 1 Zchn"/>
    <w:basedOn w:val="Absatz-Standardschriftart"/>
    <w:link w:val="berschrift1"/>
    <w:uiPriority w:val="9"/>
    <w:rsid w:val="0065327F"/>
    <w:rPr>
      <w:rFonts w:asciiTheme="majorHAnsi" w:eastAsiaTheme="majorEastAsia" w:hAnsiTheme="majorHAnsi" w:cstheme="majorBidi"/>
      <w:color w:val="2F5496" w:themeColor="accent1" w:themeShade="BF"/>
      <w:sz w:val="32"/>
      <w:szCs w:val="32"/>
      <w:lang w:eastAsia="en-US"/>
    </w:rPr>
  </w:style>
  <w:style w:type="character" w:customStyle="1" w:styleId="berschrift2Zchn">
    <w:name w:val="Überschrift 2 Zchn"/>
    <w:basedOn w:val="Absatz-Standardschriftart"/>
    <w:link w:val="berschrift2"/>
    <w:uiPriority w:val="9"/>
    <w:rsid w:val="0065327F"/>
    <w:rPr>
      <w:rFonts w:asciiTheme="majorHAnsi" w:eastAsiaTheme="majorEastAsia" w:hAnsiTheme="majorHAnsi" w:cstheme="majorBidi"/>
      <w:color w:val="2F5496" w:themeColor="accent1" w:themeShade="BF"/>
      <w:sz w:val="26"/>
      <w:szCs w:val="26"/>
      <w:lang w:eastAsia="en-US"/>
    </w:rPr>
  </w:style>
  <w:style w:type="character" w:customStyle="1" w:styleId="berschrift3Zchn">
    <w:name w:val="Überschrift 3 Zchn"/>
    <w:basedOn w:val="Absatz-Standardschriftart"/>
    <w:link w:val="berschrift3"/>
    <w:uiPriority w:val="9"/>
    <w:semiHidden/>
    <w:rsid w:val="0065327F"/>
    <w:rPr>
      <w:rFonts w:asciiTheme="majorHAnsi" w:eastAsiaTheme="majorEastAsia" w:hAnsiTheme="majorHAnsi" w:cstheme="majorBidi"/>
      <w:color w:val="1F3763" w:themeColor="accent1" w:themeShade="7F"/>
      <w:sz w:val="24"/>
      <w:szCs w:val="24"/>
      <w:lang w:eastAsia="en-US"/>
    </w:rPr>
  </w:style>
  <w:style w:type="paragraph" w:styleId="Verzeichnis1">
    <w:name w:val="toc 1"/>
    <w:basedOn w:val="Standard"/>
    <w:next w:val="Standard"/>
    <w:autoRedefine/>
    <w:uiPriority w:val="39"/>
    <w:unhideWhenUsed/>
    <w:rsid w:val="005D7FCF"/>
    <w:pPr>
      <w:tabs>
        <w:tab w:val="right" w:leader="dot" w:pos="9628"/>
      </w:tabs>
      <w:spacing w:after="20" w:line="264" w:lineRule="auto"/>
      <w:ind w:left="284"/>
    </w:pPr>
    <w:rPr>
      <w:rFonts w:ascii="Arial" w:hAnsi="Arial" w:cs="Arial"/>
      <w:noProof/>
      <w:sz w:val="21"/>
      <w:szCs w:val="21"/>
      <w:lang w:bidi="hi-IN"/>
    </w:rPr>
  </w:style>
  <w:style w:type="paragraph" w:styleId="Verzeichnis2">
    <w:name w:val="toc 2"/>
    <w:basedOn w:val="Standard"/>
    <w:next w:val="Standard"/>
    <w:autoRedefine/>
    <w:uiPriority w:val="39"/>
    <w:unhideWhenUsed/>
    <w:rsid w:val="0065327F"/>
    <w:pPr>
      <w:spacing w:after="100"/>
      <w:ind w:left="220"/>
    </w:pPr>
  </w:style>
  <w:style w:type="character" w:customStyle="1" w:styleId="NichtaufgelsteErwhnung2">
    <w:name w:val="Nicht aufgelöste Erwähnung2"/>
    <w:basedOn w:val="Absatz-Standardschriftart"/>
    <w:uiPriority w:val="99"/>
    <w:semiHidden/>
    <w:unhideWhenUsed/>
    <w:rsid w:val="008D626E"/>
    <w:rPr>
      <w:color w:val="605E5C"/>
      <w:shd w:val="clear" w:color="auto" w:fill="E1DFDD"/>
    </w:rPr>
  </w:style>
  <w:style w:type="character" w:styleId="Kommentarzeichen">
    <w:name w:val="annotation reference"/>
    <w:basedOn w:val="Absatz-Standardschriftart"/>
    <w:uiPriority w:val="99"/>
    <w:semiHidden/>
    <w:unhideWhenUsed/>
    <w:rsid w:val="002A68F3"/>
    <w:rPr>
      <w:sz w:val="16"/>
      <w:szCs w:val="16"/>
    </w:rPr>
  </w:style>
  <w:style w:type="character" w:customStyle="1" w:styleId="Funotenanker">
    <w:name w:val="Fußnotenanker"/>
    <w:rsid w:val="003776FF"/>
    <w:rPr>
      <w:vertAlign w:val="superscript"/>
    </w:rPr>
  </w:style>
  <w:style w:type="character" w:customStyle="1" w:styleId="NichtaufgelsteErwhnung3">
    <w:name w:val="Nicht aufgelöste Erwähnung3"/>
    <w:basedOn w:val="Absatz-Standardschriftart"/>
    <w:uiPriority w:val="99"/>
    <w:semiHidden/>
    <w:unhideWhenUsed/>
    <w:rsid w:val="000C3349"/>
    <w:rPr>
      <w:color w:val="605E5C"/>
      <w:shd w:val="clear" w:color="auto" w:fill="E1DFDD"/>
    </w:rPr>
  </w:style>
  <w:style w:type="character" w:customStyle="1" w:styleId="WW8Num2z3">
    <w:name w:val="WW8Num2z3"/>
    <w:rsid w:val="006223A1"/>
  </w:style>
  <w:style w:type="character" w:customStyle="1" w:styleId="NichtaufgelsteErwhnung4">
    <w:name w:val="Nicht aufgelöste Erwähnung4"/>
    <w:basedOn w:val="Absatz-Standardschriftart"/>
    <w:uiPriority w:val="99"/>
    <w:semiHidden/>
    <w:unhideWhenUsed/>
    <w:rsid w:val="000370DA"/>
    <w:rPr>
      <w:color w:val="605E5C"/>
      <w:shd w:val="clear" w:color="auto" w:fill="E1DFDD"/>
    </w:rPr>
  </w:style>
  <w:style w:type="character" w:customStyle="1" w:styleId="berschrift4Zchn">
    <w:name w:val="Überschrift 4 Zchn"/>
    <w:basedOn w:val="Absatz-Standardschriftart"/>
    <w:link w:val="berschrift4"/>
    <w:uiPriority w:val="9"/>
    <w:semiHidden/>
    <w:rsid w:val="00F40FE9"/>
    <w:rPr>
      <w:rFonts w:asciiTheme="majorHAnsi" w:eastAsiaTheme="majorEastAsia" w:hAnsiTheme="majorHAnsi" w:cstheme="majorBidi"/>
      <w:i/>
      <w:iCs/>
      <w:color w:val="2F5496" w:themeColor="accent1" w:themeShade="BF"/>
      <w:sz w:val="22"/>
      <w:szCs w:val="22"/>
      <w:lang w:eastAsia="en-US"/>
    </w:rPr>
  </w:style>
  <w:style w:type="character" w:styleId="NichtaufgelsteErwhnung">
    <w:name w:val="Unresolved Mention"/>
    <w:basedOn w:val="Absatz-Standardschriftart"/>
    <w:uiPriority w:val="99"/>
    <w:semiHidden/>
    <w:unhideWhenUsed/>
    <w:rsid w:val="00A62D0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7605905">
      <w:bodyDiv w:val="1"/>
      <w:marLeft w:val="0"/>
      <w:marRight w:val="0"/>
      <w:marTop w:val="0"/>
      <w:marBottom w:val="0"/>
      <w:divBdr>
        <w:top w:val="none" w:sz="0" w:space="0" w:color="auto"/>
        <w:left w:val="none" w:sz="0" w:space="0" w:color="auto"/>
        <w:bottom w:val="none" w:sz="0" w:space="0" w:color="auto"/>
        <w:right w:val="none" w:sz="0" w:space="0" w:color="auto"/>
      </w:divBdr>
    </w:div>
    <w:div w:id="74205084">
      <w:bodyDiv w:val="1"/>
      <w:marLeft w:val="0"/>
      <w:marRight w:val="0"/>
      <w:marTop w:val="0"/>
      <w:marBottom w:val="0"/>
      <w:divBdr>
        <w:top w:val="none" w:sz="0" w:space="0" w:color="auto"/>
        <w:left w:val="none" w:sz="0" w:space="0" w:color="auto"/>
        <w:bottom w:val="none" w:sz="0" w:space="0" w:color="auto"/>
        <w:right w:val="none" w:sz="0" w:space="0" w:color="auto"/>
      </w:divBdr>
    </w:div>
    <w:div w:id="152456268">
      <w:bodyDiv w:val="1"/>
      <w:marLeft w:val="0"/>
      <w:marRight w:val="0"/>
      <w:marTop w:val="0"/>
      <w:marBottom w:val="0"/>
      <w:divBdr>
        <w:top w:val="none" w:sz="0" w:space="0" w:color="auto"/>
        <w:left w:val="none" w:sz="0" w:space="0" w:color="auto"/>
        <w:bottom w:val="none" w:sz="0" w:space="0" w:color="auto"/>
        <w:right w:val="none" w:sz="0" w:space="0" w:color="auto"/>
      </w:divBdr>
    </w:div>
    <w:div w:id="194848356">
      <w:bodyDiv w:val="1"/>
      <w:marLeft w:val="0"/>
      <w:marRight w:val="0"/>
      <w:marTop w:val="0"/>
      <w:marBottom w:val="0"/>
      <w:divBdr>
        <w:top w:val="none" w:sz="0" w:space="0" w:color="auto"/>
        <w:left w:val="none" w:sz="0" w:space="0" w:color="auto"/>
        <w:bottom w:val="none" w:sz="0" w:space="0" w:color="auto"/>
        <w:right w:val="none" w:sz="0" w:space="0" w:color="auto"/>
      </w:divBdr>
      <w:divsChild>
        <w:div w:id="890114319">
          <w:marLeft w:val="0"/>
          <w:marRight w:val="0"/>
          <w:marTop w:val="0"/>
          <w:marBottom w:val="0"/>
          <w:divBdr>
            <w:top w:val="none" w:sz="0" w:space="0" w:color="auto"/>
            <w:left w:val="none" w:sz="0" w:space="0" w:color="auto"/>
            <w:bottom w:val="none" w:sz="0" w:space="0" w:color="auto"/>
            <w:right w:val="none" w:sz="0" w:space="0" w:color="auto"/>
          </w:divBdr>
          <w:divsChild>
            <w:div w:id="2039501874">
              <w:marLeft w:val="0"/>
              <w:marRight w:val="0"/>
              <w:marTop w:val="0"/>
              <w:marBottom w:val="0"/>
              <w:divBdr>
                <w:top w:val="none" w:sz="0" w:space="0" w:color="auto"/>
                <w:left w:val="none" w:sz="0" w:space="0" w:color="auto"/>
                <w:bottom w:val="none" w:sz="0" w:space="0" w:color="auto"/>
                <w:right w:val="none" w:sz="0" w:space="0" w:color="auto"/>
              </w:divBdr>
              <w:divsChild>
                <w:div w:id="1052266988">
                  <w:marLeft w:val="0"/>
                  <w:marRight w:val="0"/>
                  <w:marTop w:val="0"/>
                  <w:marBottom w:val="0"/>
                  <w:divBdr>
                    <w:top w:val="none" w:sz="0" w:space="0" w:color="auto"/>
                    <w:left w:val="none" w:sz="0" w:space="0" w:color="auto"/>
                    <w:bottom w:val="none" w:sz="0" w:space="0" w:color="auto"/>
                    <w:right w:val="none" w:sz="0" w:space="0" w:color="auto"/>
                  </w:divBdr>
                  <w:divsChild>
                    <w:div w:id="10127600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06713794">
      <w:bodyDiv w:val="1"/>
      <w:marLeft w:val="0"/>
      <w:marRight w:val="0"/>
      <w:marTop w:val="0"/>
      <w:marBottom w:val="0"/>
      <w:divBdr>
        <w:top w:val="none" w:sz="0" w:space="0" w:color="auto"/>
        <w:left w:val="none" w:sz="0" w:space="0" w:color="auto"/>
        <w:bottom w:val="none" w:sz="0" w:space="0" w:color="auto"/>
        <w:right w:val="none" w:sz="0" w:space="0" w:color="auto"/>
      </w:divBdr>
      <w:divsChild>
        <w:div w:id="685330441">
          <w:marLeft w:val="0"/>
          <w:marRight w:val="0"/>
          <w:marTop w:val="0"/>
          <w:marBottom w:val="0"/>
          <w:divBdr>
            <w:top w:val="none" w:sz="0" w:space="0" w:color="auto"/>
            <w:left w:val="none" w:sz="0" w:space="0" w:color="auto"/>
            <w:bottom w:val="none" w:sz="0" w:space="0" w:color="auto"/>
            <w:right w:val="none" w:sz="0" w:space="0" w:color="auto"/>
          </w:divBdr>
          <w:divsChild>
            <w:div w:id="914323402">
              <w:marLeft w:val="0"/>
              <w:marRight w:val="0"/>
              <w:marTop w:val="0"/>
              <w:marBottom w:val="0"/>
              <w:divBdr>
                <w:top w:val="none" w:sz="0" w:space="0" w:color="auto"/>
                <w:left w:val="none" w:sz="0" w:space="0" w:color="auto"/>
                <w:bottom w:val="none" w:sz="0" w:space="0" w:color="auto"/>
                <w:right w:val="none" w:sz="0" w:space="0" w:color="auto"/>
              </w:divBdr>
              <w:divsChild>
                <w:div w:id="1617129998">
                  <w:marLeft w:val="0"/>
                  <w:marRight w:val="0"/>
                  <w:marTop w:val="0"/>
                  <w:marBottom w:val="0"/>
                  <w:divBdr>
                    <w:top w:val="none" w:sz="0" w:space="0" w:color="auto"/>
                    <w:left w:val="none" w:sz="0" w:space="0" w:color="auto"/>
                    <w:bottom w:val="none" w:sz="0" w:space="0" w:color="auto"/>
                    <w:right w:val="none" w:sz="0" w:space="0" w:color="auto"/>
                  </w:divBdr>
                  <w:divsChild>
                    <w:div w:id="1701197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26121072">
      <w:bodyDiv w:val="1"/>
      <w:marLeft w:val="0"/>
      <w:marRight w:val="0"/>
      <w:marTop w:val="0"/>
      <w:marBottom w:val="0"/>
      <w:divBdr>
        <w:top w:val="none" w:sz="0" w:space="0" w:color="auto"/>
        <w:left w:val="none" w:sz="0" w:space="0" w:color="auto"/>
        <w:bottom w:val="none" w:sz="0" w:space="0" w:color="auto"/>
        <w:right w:val="none" w:sz="0" w:space="0" w:color="auto"/>
      </w:divBdr>
    </w:div>
    <w:div w:id="483352160">
      <w:bodyDiv w:val="1"/>
      <w:marLeft w:val="0"/>
      <w:marRight w:val="0"/>
      <w:marTop w:val="0"/>
      <w:marBottom w:val="0"/>
      <w:divBdr>
        <w:top w:val="none" w:sz="0" w:space="0" w:color="auto"/>
        <w:left w:val="none" w:sz="0" w:space="0" w:color="auto"/>
        <w:bottom w:val="none" w:sz="0" w:space="0" w:color="auto"/>
        <w:right w:val="none" w:sz="0" w:space="0" w:color="auto"/>
      </w:divBdr>
    </w:div>
    <w:div w:id="510099394">
      <w:bodyDiv w:val="1"/>
      <w:marLeft w:val="0"/>
      <w:marRight w:val="0"/>
      <w:marTop w:val="0"/>
      <w:marBottom w:val="0"/>
      <w:divBdr>
        <w:top w:val="none" w:sz="0" w:space="0" w:color="auto"/>
        <w:left w:val="none" w:sz="0" w:space="0" w:color="auto"/>
        <w:bottom w:val="none" w:sz="0" w:space="0" w:color="auto"/>
        <w:right w:val="none" w:sz="0" w:space="0" w:color="auto"/>
      </w:divBdr>
      <w:divsChild>
        <w:div w:id="1939094526">
          <w:marLeft w:val="0"/>
          <w:marRight w:val="0"/>
          <w:marTop w:val="0"/>
          <w:marBottom w:val="0"/>
          <w:divBdr>
            <w:top w:val="none" w:sz="0" w:space="0" w:color="auto"/>
            <w:left w:val="none" w:sz="0" w:space="0" w:color="auto"/>
            <w:bottom w:val="none" w:sz="0" w:space="0" w:color="auto"/>
            <w:right w:val="none" w:sz="0" w:space="0" w:color="auto"/>
          </w:divBdr>
          <w:divsChild>
            <w:div w:id="1347976123">
              <w:marLeft w:val="0"/>
              <w:marRight w:val="0"/>
              <w:marTop w:val="0"/>
              <w:marBottom w:val="0"/>
              <w:divBdr>
                <w:top w:val="none" w:sz="0" w:space="0" w:color="auto"/>
                <w:left w:val="none" w:sz="0" w:space="0" w:color="auto"/>
                <w:bottom w:val="none" w:sz="0" w:space="0" w:color="auto"/>
                <w:right w:val="none" w:sz="0" w:space="0" w:color="auto"/>
              </w:divBdr>
              <w:divsChild>
                <w:div w:id="12688490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33422699">
      <w:bodyDiv w:val="1"/>
      <w:marLeft w:val="0"/>
      <w:marRight w:val="0"/>
      <w:marTop w:val="0"/>
      <w:marBottom w:val="0"/>
      <w:divBdr>
        <w:top w:val="none" w:sz="0" w:space="0" w:color="auto"/>
        <w:left w:val="none" w:sz="0" w:space="0" w:color="auto"/>
        <w:bottom w:val="none" w:sz="0" w:space="0" w:color="auto"/>
        <w:right w:val="none" w:sz="0" w:space="0" w:color="auto"/>
      </w:divBdr>
    </w:div>
    <w:div w:id="598832121">
      <w:bodyDiv w:val="1"/>
      <w:marLeft w:val="0"/>
      <w:marRight w:val="0"/>
      <w:marTop w:val="0"/>
      <w:marBottom w:val="0"/>
      <w:divBdr>
        <w:top w:val="none" w:sz="0" w:space="0" w:color="auto"/>
        <w:left w:val="none" w:sz="0" w:space="0" w:color="auto"/>
        <w:bottom w:val="none" w:sz="0" w:space="0" w:color="auto"/>
        <w:right w:val="none" w:sz="0" w:space="0" w:color="auto"/>
      </w:divBdr>
      <w:divsChild>
        <w:div w:id="2026974022">
          <w:marLeft w:val="0"/>
          <w:marRight w:val="0"/>
          <w:marTop w:val="0"/>
          <w:marBottom w:val="0"/>
          <w:divBdr>
            <w:top w:val="none" w:sz="0" w:space="0" w:color="auto"/>
            <w:left w:val="none" w:sz="0" w:space="0" w:color="auto"/>
            <w:bottom w:val="none" w:sz="0" w:space="0" w:color="auto"/>
            <w:right w:val="none" w:sz="0" w:space="0" w:color="auto"/>
          </w:divBdr>
          <w:divsChild>
            <w:div w:id="996806530">
              <w:marLeft w:val="0"/>
              <w:marRight w:val="0"/>
              <w:marTop w:val="0"/>
              <w:marBottom w:val="0"/>
              <w:divBdr>
                <w:top w:val="none" w:sz="0" w:space="0" w:color="auto"/>
                <w:left w:val="none" w:sz="0" w:space="0" w:color="auto"/>
                <w:bottom w:val="none" w:sz="0" w:space="0" w:color="auto"/>
                <w:right w:val="none" w:sz="0" w:space="0" w:color="auto"/>
              </w:divBdr>
              <w:divsChild>
                <w:div w:id="839393614">
                  <w:marLeft w:val="0"/>
                  <w:marRight w:val="0"/>
                  <w:marTop w:val="0"/>
                  <w:marBottom w:val="0"/>
                  <w:divBdr>
                    <w:top w:val="none" w:sz="0" w:space="0" w:color="auto"/>
                    <w:left w:val="none" w:sz="0" w:space="0" w:color="auto"/>
                    <w:bottom w:val="none" w:sz="0" w:space="0" w:color="auto"/>
                    <w:right w:val="none" w:sz="0" w:space="0" w:color="auto"/>
                  </w:divBdr>
                  <w:divsChild>
                    <w:div w:id="17616324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20503924">
      <w:bodyDiv w:val="1"/>
      <w:marLeft w:val="0"/>
      <w:marRight w:val="0"/>
      <w:marTop w:val="0"/>
      <w:marBottom w:val="0"/>
      <w:divBdr>
        <w:top w:val="none" w:sz="0" w:space="0" w:color="auto"/>
        <w:left w:val="none" w:sz="0" w:space="0" w:color="auto"/>
        <w:bottom w:val="none" w:sz="0" w:space="0" w:color="auto"/>
        <w:right w:val="none" w:sz="0" w:space="0" w:color="auto"/>
      </w:divBdr>
      <w:divsChild>
        <w:div w:id="1695111298">
          <w:marLeft w:val="0"/>
          <w:marRight w:val="0"/>
          <w:marTop w:val="0"/>
          <w:marBottom w:val="0"/>
          <w:divBdr>
            <w:top w:val="none" w:sz="0" w:space="0" w:color="auto"/>
            <w:left w:val="none" w:sz="0" w:space="0" w:color="auto"/>
            <w:bottom w:val="none" w:sz="0" w:space="0" w:color="auto"/>
            <w:right w:val="none" w:sz="0" w:space="0" w:color="auto"/>
          </w:divBdr>
          <w:divsChild>
            <w:div w:id="1275551726">
              <w:marLeft w:val="0"/>
              <w:marRight w:val="0"/>
              <w:marTop w:val="0"/>
              <w:marBottom w:val="0"/>
              <w:divBdr>
                <w:top w:val="none" w:sz="0" w:space="0" w:color="auto"/>
                <w:left w:val="none" w:sz="0" w:space="0" w:color="auto"/>
                <w:bottom w:val="none" w:sz="0" w:space="0" w:color="auto"/>
                <w:right w:val="none" w:sz="0" w:space="0" w:color="auto"/>
              </w:divBdr>
              <w:divsChild>
                <w:div w:id="1168324937">
                  <w:marLeft w:val="0"/>
                  <w:marRight w:val="0"/>
                  <w:marTop w:val="0"/>
                  <w:marBottom w:val="0"/>
                  <w:divBdr>
                    <w:top w:val="none" w:sz="0" w:space="0" w:color="auto"/>
                    <w:left w:val="none" w:sz="0" w:space="0" w:color="auto"/>
                    <w:bottom w:val="none" w:sz="0" w:space="0" w:color="auto"/>
                    <w:right w:val="none" w:sz="0" w:space="0" w:color="auto"/>
                  </w:divBdr>
                  <w:divsChild>
                    <w:div w:id="19594110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57802777">
      <w:bodyDiv w:val="1"/>
      <w:marLeft w:val="0"/>
      <w:marRight w:val="0"/>
      <w:marTop w:val="0"/>
      <w:marBottom w:val="0"/>
      <w:divBdr>
        <w:top w:val="none" w:sz="0" w:space="0" w:color="auto"/>
        <w:left w:val="none" w:sz="0" w:space="0" w:color="auto"/>
        <w:bottom w:val="none" w:sz="0" w:space="0" w:color="auto"/>
        <w:right w:val="none" w:sz="0" w:space="0" w:color="auto"/>
      </w:divBdr>
      <w:divsChild>
        <w:div w:id="1661542607">
          <w:marLeft w:val="0"/>
          <w:marRight w:val="0"/>
          <w:marTop w:val="0"/>
          <w:marBottom w:val="0"/>
          <w:divBdr>
            <w:top w:val="none" w:sz="0" w:space="0" w:color="auto"/>
            <w:left w:val="none" w:sz="0" w:space="0" w:color="auto"/>
            <w:bottom w:val="none" w:sz="0" w:space="0" w:color="auto"/>
            <w:right w:val="none" w:sz="0" w:space="0" w:color="auto"/>
          </w:divBdr>
          <w:divsChild>
            <w:div w:id="1025054430">
              <w:marLeft w:val="0"/>
              <w:marRight w:val="0"/>
              <w:marTop w:val="0"/>
              <w:marBottom w:val="0"/>
              <w:divBdr>
                <w:top w:val="none" w:sz="0" w:space="0" w:color="auto"/>
                <w:left w:val="none" w:sz="0" w:space="0" w:color="auto"/>
                <w:bottom w:val="none" w:sz="0" w:space="0" w:color="auto"/>
                <w:right w:val="none" w:sz="0" w:space="0" w:color="auto"/>
              </w:divBdr>
              <w:divsChild>
                <w:div w:id="1184828295">
                  <w:marLeft w:val="0"/>
                  <w:marRight w:val="0"/>
                  <w:marTop w:val="0"/>
                  <w:marBottom w:val="0"/>
                  <w:divBdr>
                    <w:top w:val="none" w:sz="0" w:space="0" w:color="auto"/>
                    <w:left w:val="none" w:sz="0" w:space="0" w:color="auto"/>
                    <w:bottom w:val="none" w:sz="0" w:space="0" w:color="auto"/>
                    <w:right w:val="none" w:sz="0" w:space="0" w:color="auto"/>
                  </w:divBdr>
                </w:div>
              </w:divsChild>
            </w:div>
            <w:div w:id="1945726588">
              <w:marLeft w:val="0"/>
              <w:marRight w:val="0"/>
              <w:marTop w:val="0"/>
              <w:marBottom w:val="0"/>
              <w:divBdr>
                <w:top w:val="none" w:sz="0" w:space="0" w:color="auto"/>
                <w:left w:val="none" w:sz="0" w:space="0" w:color="auto"/>
                <w:bottom w:val="none" w:sz="0" w:space="0" w:color="auto"/>
                <w:right w:val="none" w:sz="0" w:space="0" w:color="auto"/>
              </w:divBdr>
              <w:divsChild>
                <w:div w:id="594484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4199945">
          <w:marLeft w:val="0"/>
          <w:marRight w:val="0"/>
          <w:marTop w:val="0"/>
          <w:marBottom w:val="0"/>
          <w:divBdr>
            <w:top w:val="none" w:sz="0" w:space="0" w:color="auto"/>
            <w:left w:val="none" w:sz="0" w:space="0" w:color="auto"/>
            <w:bottom w:val="none" w:sz="0" w:space="0" w:color="auto"/>
            <w:right w:val="none" w:sz="0" w:space="0" w:color="auto"/>
          </w:divBdr>
          <w:divsChild>
            <w:div w:id="296180969">
              <w:marLeft w:val="0"/>
              <w:marRight w:val="0"/>
              <w:marTop w:val="0"/>
              <w:marBottom w:val="0"/>
              <w:divBdr>
                <w:top w:val="none" w:sz="0" w:space="0" w:color="auto"/>
                <w:left w:val="none" w:sz="0" w:space="0" w:color="auto"/>
                <w:bottom w:val="none" w:sz="0" w:space="0" w:color="auto"/>
                <w:right w:val="none" w:sz="0" w:space="0" w:color="auto"/>
              </w:divBdr>
              <w:divsChild>
                <w:div w:id="769620814">
                  <w:marLeft w:val="0"/>
                  <w:marRight w:val="0"/>
                  <w:marTop w:val="0"/>
                  <w:marBottom w:val="0"/>
                  <w:divBdr>
                    <w:top w:val="none" w:sz="0" w:space="0" w:color="auto"/>
                    <w:left w:val="none" w:sz="0" w:space="0" w:color="auto"/>
                    <w:bottom w:val="none" w:sz="0" w:space="0" w:color="auto"/>
                    <w:right w:val="none" w:sz="0" w:space="0" w:color="auto"/>
                  </w:divBdr>
                </w:div>
              </w:divsChild>
            </w:div>
            <w:div w:id="389039417">
              <w:marLeft w:val="0"/>
              <w:marRight w:val="0"/>
              <w:marTop w:val="0"/>
              <w:marBottom w:val="0"/>
              <w:divBdr>
                <w:top w:val="none" w:sz="0" w:space="0" w:color="auto"/>
                <w:left w:val="none" w:sz="0" w:space="0" w:color="auto"/>
                <w:bottom w:val="none" w:sz="0" w:space="0" w:color="auto"/>
                <w:right w:val="none" w:sz="0" w:space="0" w:color="auto"/>
              </w:divBdr>
              <w:divsChild>
                <w:div w:id="969434938">
                  <w:marLeft w:val="0"/>
                  <w:marRight w:val="0"/>
                  <w:marTop w:val="0"/>
                  <w:marBottom w:val="0"/>
                  <w:divBdr>
                    <w:top w:val="none" w:sz="0" w:space="0" w:color="auto"/>
                    <w:left w:val="none" w:sz="0" w:space="0" w:color="auto"/>
                    <w:bottom w:val="none" w:sz="0" w:space="0" w:color="auto"/>
                    <w:right w:val="none" w:sz="0" w:space="0" w:color="auto"/>
                  </w:divBdr>
                </w:div>
                <w:div w:id="1422801494">
                  <w:marLeft w:val="0"/>
                  <w:marRight w:val="0"/>
                  <w:marTop w:val="0"/>
                  <w:marBottom w:val="0"/>
                  <w:divBdr>
                    <w:top w:val="none" w:sz="0" w:space="0" w:color="auto"/>
                    <w:left w:val="none" w:sz="0" w:space="0" w:color="auto"/>
                    <w:bottom w:val="none" w:sz="0" w:space="0" w:color="auto"/>
                    <w:right w:val="none" w:sz="0" w:space="0" w:color="auto"/>
                  </w:divBdr>
                </w:div>
              </w:divsChild>
            </w:div>
            <w:div w:id="639069223">
              <w:marLeft w:val="0"/>
              <w:marRight w:val="0"/>
              <w:marTop w:val="0"/>
              <w:marBottom w:val="0"/>
              <w:divBdr>
                <w:top w:val="none" w:sz="0" w:space="0" w:color="auto"/>
                <w:left w:val="none" w:sz="0" w:space="0" w:color="auto"/>
                <w:bottom w:val="none" w:sz="0" w:space="0" w:color="auto"/>
                <w:right w:val="none" w:sz="0" w:space="0" w:color="auto"/>
              </w:divBdr>
              <w:divsChild>
                <w:div w:id="995381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58729029">
      <w:bodyDiv w:val="1"/>
      <w:marLeft w:val="0"/>
      <w:marRight w:val="0"/>
      <w:marTop w:val="0"/>
      <w:marBottom w:val="0"/>
      <w:divBdr>
        <w:top w:val="none" w:sz="0" w:space="0" w:color="auto"/>
        <w:left w:val="none" w:sz="0" w:space="0" w:color="auto"/>
        <w:bottom w:val="none" w:sz="0" w:space="0" w:color="auto"/>
        <w:right w:val="none" w:sz="0" w:space="0" w:color="auto"/>
      </w:divBdr>
      <w:divsChild>
        <w:div w:id="768624753">
          <w:marLeft w:val="0"/>
          <w:marRight w:val="0"/>
          <w:marTop w:val="0"/>
          <w:marBottom w:val="0"/>
          <w:divBdr>
            <w:top w:val="none" w:sz="0" w:space="0" w:color="auto"/>
            <w:left w:val="none" w:sz="0" w:space="0" w:color="auto"/>
            <w:bottom w:val="none" w:sz="0" w:space="0" w:color="auto"/>
            <w:right w:val="none" w:sz="0" w:space="0" w:color="auto"/>
          </w:divBdr>
          <w:divsChild>
            <w:div w:id="1601646967">
              <w:marLeft w:val="0"/>
              <w:marRight w:val="0"/>
              <w:marTop w:val="0"/>
              <w:marBottom w:val="0"/>
              <w:divBdr>
                <w:top w:val="none" w:sz="0" w:space="0" w:color="auto"/>
                <w:left w:val="none" w:sz="0" w:space="0" w:color="auto"/>
                <w:bottom w:val="none" w:sz="0" w:space="0" w:color="auto"/>
                <w:right w:val="none" w:sz="0" w:space="0" w:color="auto"/>
              </w:divBdr>
              <w:divsChild>
                <w:div w:id="747967468">
                  <w:marLeft w:val="0"/>
                  <w:marRight w:val="0"/>
                  <w:marTop w:val="0"/>
                  <w:marBottom w:val="0"/>
                  <w:divBdr>
                    <w:top w:val="none" w:sz="0" w:space="0" w:color="auto"/>
                    <w:left w:val="none" w:sz="0" w:space="0" w:color="auto"/>
                    <w:bottom w:val="none" w:sz="0" w:space="0" w:color="auto"/>
                    <w:right w:val="none" w:sz="0" w:space="0" w:color="auto"/>
                  </w:divBdr>
                  <w:divsChild>
                    <w:div w:id="1157576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05761698">
      <w:bodyDiv w:val="1"/>
      <w:marLeft w:val="0"/>
      <w:marRight w:val="0"/>
      <w:marTop w:val="0"/>
      <w:marBottom w:val="0"/>
      <w:divBdr>
        <w:top w:val="none" w:sz="0" w:space="0" w:color="auto"/>
        <w:left w:val="none" w:sz="0" w:space="0" w:color="auto"/>
        <w:bottom w:val="none" w:sz="0" w:space="0" w:color="auto"/>
        <w:right w:val="none" w:sz="0" w:space="0" w:color="auto"/>
      </w:divBdr>
    </w:div>
    <w:div w:id="740518593">
      <w:bodyDiv w:val="1"/>
      <w:marLeft w:val="0"/>
      <w:marRight w:val="0"/>
      <w:marTop w:val="0"/>
      <w:marBottom w:val="0"/>
      <w:divBdr>
        <w:top w:val="none" w:sz="0" w:space="0" w:color="auto"/>
        <w:left w:val="none" w:sz="0" w:space="0" w:color="auto"/>
        <w:bottom w:val="none" w:sz="0" w:space="0" w:color="auto"/>
        <w:right w:val="none" w:sz="0" w:space="0" w:color="auto"/>
      </w:divBdr>
    </w:div>
    <w:div w:id="743837272">
      <w:bodyDiv w:val="1"/>
      <w:marLeft w:val="0"/>
      <w:marRight w:val="0"/>
      <w:marTop w:val="0"/>
      <w:marBottom w:val="0"/>
      <w:divBdr>
        <w:top w:val="none" w:sz="0" w:space="0" w:color="auto"/>
        <w:left w:val="none" w:sz="0" w:space="0" w:color="auto"/>
        <w:bottom w:val="none" w:sz="0" w:space="0" w:color="auto"/>
        <w:right w:val="none" w:sz="0" w:space="0" w:color="auto"/>
      </w:divBdr>
      <w:divsChild>
        <w:div w:id="2062820873">
          <w:marLeft w:val="0"/>
          <w:marRight w:val="0"/>
          <w:marTop w:val="0"/>
          <w:marBottom w:val="0"/>
          <w:divBdr>
            <w:top w:val="none" w:sz="0" w:space="0" w:color="auto"/>
            <w:left w:val="none" w:sz="0" w:space="0" w:color="auto"/>
            <w:bottom w:val="none" w:sz="0" w:space="0" w:color="auto"/>
            <w:right w:val="none" w:sz="0" w:space="0" w:color="auto"/>
          </w:divBdr>
          <w:divsChild>
            <w:div w:id="1408725266">
              <w:marLeft w:val="0"/>
              <w:marRight w:val="0"/>
              <w:marTop w:val="0"/>
              <w:marBottom w:val="0"/>
              <w:divBdr>
                <w:top w:val="none" w:sz="0" w:space="0" w:color="auto"/>
                <w:left w:val="none" w:sz="0" w:space="0" w:color="auto"/>
                <w:bottom w:val="none" w:sz="0" w:space="0" w:color="auto"/>
                <w:right w:val="none" w:sz="0" w:space="0" w:color="auto"/>
              </w:divBdr>
              <w:divsChild>
                <w:div w:id="3746240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4106285">
      <w:bodyDiv w:val="1"/>
      <w:marLeft w:val="0"/>
      <w:marRight w:val="0"/>
      <w:marTop w:val="0"/>
      <w:marBottom w:val="0"/>
      <w:divBdr>
        <w:top w:val="none" w:sz="0" w:space="0" w:color="auto"/>
        <w:left w:val="none" w:sz="0" w:space="0" w:color="auto"/>
        <w:bottom w:val="none" w:sz="0" w:space="0" w:color="auto"/>
        <w:right w:val="none" w:sz="0" w:space="0" w:color="auto"/>
      </w:divBdr>
      <w:divsChild>
        <w:div w:id="469368906">
          <w:marLeft w:val="0"/>
          <w:marRight w:val="0"/>
          <w:marTop w:val="0"/>
          <w:marBottom w:val="0"/>
          <w:divBdr>
            <w:top w:val="none" w:sz="0" w:space="0" w:color="auto"/>
            <w:left w:val="none" w:sz="0" w:space="0" w:color="auto"/>
            <w:bottom w:val="none" w:sz="0" w:space="0" w:color="auto"/>
            <w:right w:val="none" w:sz="0" w:space="0" w:color="auto"/>
          </w:divBdr>
          <w:divsChild>
            <w:div w:id="1036933464">
              <w:marLeft w:val="0"/>
              <w:marRight w:val="0"/>
              <w:marTop w:val="0"/>
              <w:marBottom w:val="0"/>
              <w:divBdr>
                <w:top w:val="none" w:sz="0" w:space="0" w:color="auto"/>
                <w:left w:val="none" w:sz="0" w:space="0" w:color="auto"/>
                <w:bottom w:val="none" w:sz="0" w:space="0" w:color="auto"/>
                <w:right w:val="none" w:sz="0" w:space="0" w:color="auto"/>
              </w:divBdr>
              <w:divsChild>
                <w:div w:id="11556040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53211344">
      <w:bodyDiv w:val="1"/>
      <w:marLeft w:val="0"/>
      <w:marRight w:val="0"/>
      <w:marTop w:val="0"/>
      <w:marBottom w:val="0"/>
      <w:divBdr>
        <w:top w:val="none" w:sz="0" w:space="0" w:color="auto"/>
        <w:left w:val="none" w:sz="0" w:space="0" w:color="auto"/>
        <w:bottom w:val="none" w:sz="0" w:space="0" w:color="auto"/>
        <w:right w:val="none" w:sz="0" w:space="0" w:color="auto"/>
      </w:divBdr>
    </w:div>
    <w:div w:id="773786470">
      <w:bodyDiv w:val="1"/>
      <w:marLeft w:val="0"/>
      <w:marRight w:val="0"/>
      <w:marTop w:val="0"/>
      <w:marBottom w:val="0"/>
      <w:divBdr>
        <w:top w:val="none" w:sz="0" w:space="0" w:color="auto"/>
        <w:left w:val="none" w:sz="0" w:space="0" w:color="auto"/>
        <w:bottom w:val="none" w:sz="0" w:space="0" w:color="auto"/>
        <w:right w:val="none" w:sz="0" w:space="0" w:color="auto"/>
      </w:divBdr>
      <w:divsChild>
        <w:div w:id="1990552094">
          <w:marLeft w:val="0"/>
          <w:marRight w:val="0"/>
          <w:marTop w:val="0"/>
          <w:marBottom w:val="0"/>
          <w:divBdr>
            <w:top w:val="none" w:sz="0" w:space="0" w:color="auto"/>
            <w:left w:val="none" w:sz="0" w:space="0" w:color="auto"/>
            <w:bottom w:val="none" w:sz="0" w:space="0" w:color="auto"/>
            <w:right w:val="none" w:sz="0" w:space="0" w:color="auto"/>
          </w:divBdr>
          <w:divsChild>
            <w:div w:id="18316370">
              <w:marLeft w:val="0"/>
              <w:marRight w:val="0"/>
              <w:marTop w:val="0"/>
              <w:marBottom w:val="0"/>
              <w:divBdr>
                <w:top w:val="none" w:sz="0" w:space="0" w:color="auto"/>
                <w:left w:val="none" w:sz="0" w:space="0" w:color="auto"/>
                <w:bottom w:val="none" w:sz="0" w:space="0" w:color="auto"/>
                <w:right w:val="none" w:sz="0" w:space="0" w:color="auto"/>
              </w:divBdr>
              <w:divsChild>
                <w:div w:id="1216046260">
                  <w:marLeft w:val="0"/>
                  <w:marRight w:val="0"/>
                  <w:marTop w:val="0"/>
                  <w:marBottom w:val="0"/>
                  <w:divBdr>
                    <w:top w:val="none" w:sz="0" w:space="0" w:color="auto"/>
                    <w:left w:val="none" w:sz="0" w:space="0" w:color="auto"/>
                    <w:bottom w:val="none" w:sz="0" w:space="0" w:color="auto"/>
                    <w:right w:val="none" w:sz="0" w:space="0" w:color="auto"/>
                  </w:divBdr>
                  <w:divsChild>
                    <w:div w:id="2063322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93597070">
      <w:bodyDiv w:val="1"/>
      <w:marLeft w:val="0"/>
      <w:marRight w:val="0"/>
      <w:marTop w:val="0"/>
      <w:marBottom w:val="0"/>
      <w:divBdr>
        <w:top w:val="none" w:sz="0" w:space="0" w:color="auto"/>
        <w:left w:val="none" w:sz="0" w:space="0" w:color="auto"/>
        <w:bottom w:val="none" w:sz="0" w:space="0" w:color="auto"/>
        <w:right w:val="none" w:sz="0" w:space="0" w:color="auto"/>
      </w:divBdr>
      <w:divsChild>
        <w:div w:id="1675841179">
          <w:marLeft w:val="0"/>
          <w:marRight w:val="0"/>
          <w:marTop w:val="0"/>
          <w:marBottom w:val="0"/>
          <w:divBdr>
            <w:top w:val="none" w:sz="0" w:space="0" w:color="auto"/>
            <w:left w:val="none" w:sz="0" w:space="0" w:color="auto"/>
            <w:bottom w:val="none" w:sz="0" w:space="0" w:color="auto"/>
            <w:right w:val="none" w:sz="0" w:space="0" w:color="auto"/>
          </w:divBdr>
          <w:divsChild>
            <w:div w:id="1344091045">
              <w:marLeft w:val="0"/>
              <w:marRight w:val="0"/>
              <w:marTop w:val="0"/>
              <w:marBottom w:val="0"/>
              <w:divBdr>
                <w:top w:val="none" w:sz="0" w:space="0" w:color="auto"/>
                <w:left w:val="none" w:sz="0" w:space="0" w:color="auto"/>
                <w:bottom w:val="none" w:sz="0" w:space="0" w:color="auto"/>
                <w:right w:val="none" w:sz="0" w:space="0" w:color="auto"/>
              </w:divBdr>
              <w:divsChild>
                <w:div w:id="675233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6215703">
      <w:bodyDiv w:val="1"/>
      <w:marLeft w:val="0"/>
      <w:marRight w:val="0"/>
      <w:marTop w:val="0"/>
      <w:marBottom w:val="0"/>
      <w:divBdr>
        <w:top w:val="none" w:sz="0" w:space="0" w:color="auto"/>
        <w:left w:val="none" w:sz="0" w:space="0" w:color="auto"/>
        <w:bottom w:val="none" w:sz="0" w:space="0" w:color="auto"/>
        <w:right w:val="none" w:sz="0" w:space="0" w:color="auto"/>
      </w:divBdr>
    </w:div>
    <w:div w:id="856500391">
      <w:bodyDiv w:val="1"/>
      <w:marLeft w:val="0"/>
      <w:marRight w:val="0"/>
      <w:marTop w:val="0"/>
      <w:marBottom w:val="0"/>
      <w:divBdr>
        <w:top w:val="none" w:sz="0" w:space="0" w:color="auto"/>
        <w:left w:val="none" w:sz="0" w:space="0" w:color="auto"/>
        <w:bottom w:val="none" w:sz="0" w:space="0" w:color="auto"/>
        <w:right w:val="none" w:sz="0" w:space="0" w:color="auto"/>
      </w:divBdr>
    </w:div>
    <w:div w:id="872420316">
      <w:bodyDiv w:val="1"/>
      <w:marLeft w:val="0"/>
      <w:marRight w:val="0"/>
      <w:marTop w:val="0"/>
      <w:marBottom w:val="0"/>
      <w:divBdr>
        <w:top w:val="none" w:sz="0" w:space="0" w:color="auto"/>
        <w:left w:val="none" w:sz="0" w:space="0" w:color="auto"/>
        <w:bottom w:val="none" w:sz="0" w:space="0" w:color="auto"/>
        <w:right w:val="none" w:sz="0" w:space="0" w:color="auto"/>
      </w:divBdr>
      <w:divsChild>
        <w:div w:id="437795689">
          <w:marLeft w:val="0"/>
          <w:marRight w:val="0"/>
          <w:marTop w:val="0"/>
          <w:marBottom w:val="0"/>
          <w:divBdr>
            <w:top w:val="none" w:sz="0" w:space="0" w:color="auto"/>
            <w:left w:val="none" w:sz="0" w:space="0" w:color="auto"/>
            <w:bottom w:val="none" w:sz="0" w:space="0" w:color="auto"/>
            <w:right w:val="none" w:sz="0" w:space="0" w:color="auto"/>
          </w:divBdr>
          <w:divsChild>
            <w:div w:id="1334647921">
              <w:marLeft w:val="0"/>
              <w:marRight w:val="0"/>
              <w:marTop w:val="0"/>
              <w:marBottom w:val="0"/>
              <w:divBdr>
                <w:top w:val="none" w:sz="0" w:space="0" w:color="auto"/>
                <w:left w:val="none" w:sz="0" w:space="0" w:color="auto"/>
                <w:bottom w:val="none" w:sz="0" w:space="0" w:color="auto"/>
                <w:right w:val="none" w:sz="0" w:space="0" w:color="auto"/>
              </w:divBdr>
              <w:divsChild>
                <w:div w:id="10793294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6064123">
      <w:bodyDiv w:val="1"/>
      <w:marLeft w:val="0"/>
      <w:marRight w:val="0"/>
      <w:marTop w:val="0"/>
      <w:marBottom w:val="0"/>
      <w:divBdr>
        <w:top w:val="none" w:sz="0" w:space="0" w:color="auto"/>
        <w:left w:val="none" w:sz="0" w:space="0" w:color="auto"/>
        <w:bottom w:val="none" w:sz="0" w:space="0" w:color="auto"/>
        <w:right w:val="none" w:sz="0" w:space="0" w:color="auto"/>
      </w:divBdr>
    </w:div>
    <w:div w:id="913704802">
      <w:bodyDiv w:val="1"/>
      <w:marLeft w:val="0"/>
      <w:marRight w:val="0"/>
      <w:marTop w:val="0"/>
      <w:marBottom w:val="0"/>
      <w:divBdr>
        <w:top w:val="none" w:sz="0" w:space="0" w:color="auto"/>
        <w:left w:val="none" w:sz="0" w:space="0" w:color="auto"/>
        <w:bottom w:val="none" w:sz="0" w:space="0" w:color="auto"/>
        <w:right w:val="none" w:sz="0" w:space="0" w:color="auto"/>
      </w:divBdr>
      <w:divsChild>
        <w:div w:id="1599293263">
          <w:marLeft w:val="0"/>
          <w:marRight w:val="0"/>
          <w:marTop w:val="0"/>
          <w:marBottom w:val="0"/>
          <w:divBdr>
            <w:top w:val="none" w:sz="0" w:space="0" w:color="auto"/>
            <w:left w:val="none" w:sz="0" w:space="0" w:color="auto"/>
            <w:bottom w:val="none" w:sz="0" w:space="0" w:color="auto"/>
            <w:right w:val="none" w:sz="0" w:space="0" w:color="auto"/>
          </w:divBdr>
          <w:divsChild>
            <w:div w:id="599021236">
              <w:marLeft w:val="0"/>
              <w:marRight w:val="0"/>
              <w:marTop w:val="0"/>
              <w:marBottom w:val="0"/>
              <w:divBdr>
                <w:top w:val="none" w:sz="0" w:space="0" w:color="auto"/>
                <w:left w:val="none" w:sz="0" w:space="0" w:color="auto"/>
                <w:bottom w:val="none" w:sz="0" w:space="0" w:color="auto"/>
                <w:right w:val="none" w:sz="0" w:space="0" w:color="auto"/>
              </w:divBdr>
              <w:divsChild>
                <w:div w:id="1188789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2443280">
      <w:bodyDiv w:val="1"/>
      <w:marLeft w:val="0"/>
      <w:marRight w:val="0"/>
      <w:marTop w:val="0"/>
      <w:marBottom w:val="0"/>
      <w:divBdr>
        <w:top w:val="none" w:sz="0" w:space="0" w:color="auto"/>
        <w:left w:val="none" w:sz="0" w:space="0" w:color="auto"/>
        <w:bottom w:val="none" w:sz="0" w:space="0" w:color="auto"/>
        <w:right w:val="none" w:sz="0" w:space="0" w:color="auto"/>
      </w:divBdr>
      <w:divsChild>
        <w:div w:id="167268143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79654687">
      <w:bodyDiv w:val="1"/>
      <w:marLeft w:val="0"/>
      <w:marRight w:val="0"/>
      <w:marTop w:val="0"/>
      <w:marBottom w:val="0"/>
      <w:divBdr>
        <w:top w:val="none" w:sz="0" w:space="0" w:color="auto"/>
        <w:left w:val="none" w:sz="0" w:space="0" w:color="auto"/>
        <w:bottom w:val="none" w:sz="0" w:space="0" w:color="auto"/>
        <w:right w:val="none" w:sz="0" w:space="0" w:color="auto"/>
      </w:divBdr>
    </w:div>
    <w:div w:id="980814916">
      <w:bodyDiv w:val="1"/>
      <w:marLeft w:val="0"/>
      <w:marRight w:val="0"/>
      <w:marTop w:val="0"/>
      <w:marBottom w:val="0"/>
      <w:divBdr>
        <w:top w:val="none" w:sz="0" w:space="0" w:color="auto"/>
        <w:left w:val="none" w:sz="0" w:space="0" w:color="auto"/>
        <w:bottom w:val="none" w:sz="0" w:space="0" w:color="auto"/>
        <w:right w:val="none" w:sz="0" w:space="0" w:color="auto"/>
      </w:divBdr>
    </w:div>
    <w:div w:id="1004086324">
      <w:bodyDiv w:val="1"/>
      <w:marLeft w:val="0"/>
      <w:marRight w:val="0"/>
      <w:marTop w:val="0"/>
      <w:marBottom w:val="0"/>
      <w:divBdr>
        <w:top w:val="none" w:sz="0" w:space="0" w:color="auto"/>
        <w:left w:val="none" w:sz="0" w:space="0" w:color="auto"/>
        <w:bottom w:val="none" w:sz="0" w:space="0" w:color="auto"/>
        <w:right w:val="none" w:sz="0" w:space="0" w:color="auto"/>
      </w:divBdr>
    </w:div>
    <w:div w:id="1064909407">
      <w:bodyDiv w:val="1"/>
      <w:marLeft w:val="0"/>
      <w:marRight w:val="0"/>
      <w:marTop w:val="0"/>
      <w:marBottom w:val="0"/>
      <w:divBdr>
        <w:top w:val="none" w:sz="0" w:space="0" w:color="auto"/>
        <w:left w:val="none" w:sz="0" w:space="0" w:color="auto"/>
        <w:bottom w:val="none" w:sz="0" w:space="0" w:color="auto"/>
        <w:right w:val="none" w:sz="0" w:space="0" w:color="auto"/>
      </w:divBdr>
      <w:divsChild>
        <w:div w:id="1850176045">
          <w:marLeft w:val="0"/>
          <w:marRight w:val="0"/>
          <w:marTop w:val="0"/>
          <w:marBottom w:val="0"/>
          <w:divBdr>
            <w:top w:val="none" w:sz="0" w:space="0" w:color="auto"/>
            <w:left w:val="none" w:sz="0" w:space="0" w:color="auto"/>
            <w:bottom w:val="none" w:sz="0" w:space="0" w:color="auto"/>
            <w:right w:val="none" w:sz="0" w:space="0" w:color="auto"/>
          </w:divBdr>
          <w:divsChild>
            <w:div w:id="286621594">
              <w:marLeft w:val="0"/>
              <w:marRight w:val="0"/>
              <w:marTop w:val="0"/>
              <w:marBottom w:val="0"/>
              <w:divBdr>
                <w:top w:val="none" w:sz="0" w:space="0" w:color="auto"/>
                <w:left w:val="none" w:sz="0" w:space="0" w:color="auto"/>
                <w:bottom w:val="none" w:sz="0" w:space="0" w:color="auto"/>
                <w:right w:val="none" w:sz="0" w:space="0" w:color="auto"/>
              </w:divBdr>
              <w:divsChild>
                <w:div w:id="8601623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9389573">
      <w:bodyDiv w:val="1"/>
      <w:marLeft w:val="0"/>
      <w:marRight w:val="0"/>
      <w:marTop w:val="0"/>
      <w:marBottom w:val="0"/>
      <w:divBdr>
        <w:top w:val="none" w:sz="0" w:space="0" w:color="auto"/>
        <w:left w:val="none" w:sz="0" w:space="0" w:color="auto"/>
        <w:bottom w:val="none" w:sz="0" w:space="0" w:color="auto"/>
        <w:right w:val="none" w:sz="0" w:space="0" w:color="auto"/>
      </w:divBdr>
      <w:divsChild>
        <w:div w:id="2026055020">
          <w:marLeft w:val="0"/>
          <w:marRight w:val="0"/>
          <w:marTop w:val="0"/>
          <w:marBottom w:val="0"/>
          <w:divBdr>
            <w:top w:val="none" w:sz="0" w:space="0" w:color="auto"/>
            <w:left w:val="none" w:sz="0" w:space="0" w:color="auto"/>
            <w:bottom w:val="none" w:sz="0" w:space="0" w:color="auto"/>
            <w:right w:val="none" w:sz="0" w:space="0" w:color="auto"/>
          </w:divBdr>
          <w:divsChild>
            <w:div w:id="315837165">
              <w:marLeft w:val="0"/>
              <w:marRight w:val="0"/>
              <w:marTop w:val="0"/>
              <w:marBottom w:val="0"/>
              <w:divBdr>
                <w:top w:val="none" w:sz="0" w:space="0" w:color="auto"/>
                <w:left w:val="none" w:sz="0" w:space="0" w:color="auto"/>
                <w:bottom w:val="none" w:sz="0" w:space="0" w:color="auto"/>
                <w:right w:val="none" w:sz="0" w:space="0" w:color="auto"/>
              </w:divBdr>
              <w:divsChild>
                <w:div w:id="11393014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7072952">
          <w:marLeft w:val="0"/>
          <w:marRight w:val="0"/>
          <w:marTop w:val="0"/>
          <w:marBottom w:val="0"/>
          <w:divBdr>
            <w:top w:val="none" w:sz="0" w:space="0" w:color="auto"/>
            <w:left w:val="none" w:sz="0" w:space="0" w:color="auto"/>
            <w:bottom w:val="none" w:sz="0" w:space="0" w:color="auto"/>
            <w:right w:val="none" w:sz="0" w:space="0" w:color="auto"/>
          </w:divBdr>
          <w:divsChild>
            <w:div w:id="1947342246">
              <w:marLeft w:val="0"/>
              <w:marRight w:val="0"/>
              <w:marTop w:val="0"/>
              <w:marBottom w:val="0"/>
              <w:divBdr>
                <w:top w:val="none" w:sz="0" w:space="0" w:color="auto"/>
                <w:left w:val="none" w:sz="0" w:space="0" w:color="auto"/>
                <w:bottom w:val="none" w:sz="0" w:space="0" w:color="auto"/>
                <w:right w:val="none" w:sz="0" w:space="0" w:color="auto"/>
              </w:divBdr>
              <w:divsChild>
                <w:div w:id="8249792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5193175">
      <w:bodyDiv w:val="1"/>
      <w:marLeft w:val="0"/>
      <w:marRight w:val="0"/>
      <w:marTop w:val="0"/>
      <w:marBottom w:val="0"/>
      <w:divBdr>
        <w:top w:val="none" w:sz="0" w:space="0" w:color="auto"/>
        <w:left w:val="none" w:sz="0" w:space="0" w:color="auto"/>
        <w:bottom w:val="none" w:sz="0" w:space="0" w:color="auto"/>
        <w:right w:val="none" w:sz="0" w:space="0" w:color="auto"/>
      </w:divBdr>
    </w:div>
    <w:div w:id="1362435868">
      <w:bodyDiv w:val="1"/>
      <w:marLeft w:val="0"/>
      <w:marRight w:val="0"/>
      <w:marTop w:val="0"/>
      <w:marBottom w:val="0"/>
      <w:divBdr>
        <w:top w:val="none" w:sz="0" w:space="0" w:color="auto"/>
        <w:left w:val="none" w:sz="0" w:space="0" w:color="auto"/>
        <w:bottom w:val="none" w:sz="0" w:space="0" w:color="auto"/>
        <w:right w:val="none" w:sz="0" w:space="0" w:color="auto"/>
      </w:divBdr>
    </w:div>
    <w:div w:id="1389841165">
      <w:bodyDiv w:val="1"/>
      <w:marLeft w:val="0"/>
      <w:marRight w:val="0"/>
      <w:marTop w:val="0"/>
      <w:marBottom w:val="0"/>
      <w:divBdr>
        <w:top w:val="none" w:sz="0" w:space="0" w:color="auto"/>
        <w:left w:val="none" w:sz="0" w:space="0" w:color="auto"/>
        <w:bottom w:val="none" w:sz="0" w:space="0" w:color="auto"/>
        <w:right w:val="none" w:sz="0" w:space="0" w:color="auto"/>
      </w:divBdr>
      <w:divsChild>
        <w:div w:id="85424796">
          <w:marLeft w:val="0"/>
          <w:marRight w:val="0"/>
          <w:marTop w:val="0"/>
          <w:marBottom w:val="0"/>
          <w:divBdr>
            <w:top w:val="none" w:sz="0" w:space="0" w:color="auto"/>
            <w:left w:val="none" w:sz="0" w:space="0" w:color="auto"/>
            <w:bottom w:val="none" w:sz="0" w:space="0" w:color="auto"/>
            <w:right w:val="none" w:sz="0" w:space="0" w:color="auto"/>
          </w:divBdr>
          <w:divsChild>
            <w:div w:id="1836415588">
              <w:marLeft w:val="0"/>
              <w:marRight w:val="0"/>
              <w:marTop w:val="0"/>
              <w:marBottom w:val="0"/>
              <w:divBdr>
                <w:top w:val="none" w:sz="0" w:space="0" w:color="auto"/>
                <w:left w:val="none" w:sz="0" w:space="0" w:color="auto"/>
                <w:bottom w:val="none" w:sz="0" w:space="0" w:color="auto"/>
                <w:right w:val="none" w:sz="0" w:space="0" w:color="auto"/>
              </w:divBdr>
              <w:divsChild>
                <w:div w:id="540754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9230028">
      <w:bodyDiv w:val="1"/>
      <w:marLeft w:val="0"/>
      <w:marRight w:val="0"/>
      <w:marTop w:val="0"/>
      <w:marBottom w:val="0"/>
      <w:divBdr>
        <w:top w:val="none" w:sz="0" w:space="0" w:color="auto"/>
        <w:left w:val="none" w:sz="0" w:space="0" w:color="auto"/>
        <w:bottom w:val="none" w:sz="0" w:space="0" w:color="auto"/>
        <w:right w:val="none" w:sz="0" w:space="0" w:color="auto"/>
      </w:divBdr>
      <w:divsChild>
        <w:div w:id="1637830147">
          <w:marLeft w:val="0"/>
          <w:marRight w:val="0"/>
          <w:marTop w:val="0"/>
          <w:marBottom w:val="0"/>
          <w:divBdr>
            <w:top w:val="none" w:sz="0" w:space="0" w:color="auto"/>
            <w:left w:val="none" w:sz="0" w:space="0" w:color="auto"/>
            <w:bottom w:val="none" w:sz="0" w:space="0" w:color="auto"/>
            <w:right w:val="none" w:sz="0" w:space="0" w:color="auto"/>
          </w:divBdr>
          <w:divsChild>
            <w:div w:id="515920364">
              <w:marLeft w:val="0"/>
              <w:marRight w:val="0"/>
              <w:marTop w:val="0"/>
              <w:marBottom w:val="0"/>
              <w:divBdr>
                <w:top w:val="none" w:sz="0" w:space="0" w:color="auto"/>
                <w:left w:val="none" w:sz="0" w:space="0" w:color="auto"/>
                <w:bottom w:val="none" w:sz="0" w:space="0" w:color="auto"/>
                <w:right w:val="none" w:sz="0" w:space="0" w:color="auto"/>
              </w:divBdr>
              <w:divsChild>
                <w:div w:id="12298799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8700488">
      <w:bodyDiv w:val="1"/>
      <w:marLeft w:val="0"/>
      <w:marRight w:val="0"/>
      <w:marTop w:val="0"/>
      <w:marBottom w:val="0"/>
      <w:divBdr>
        <w:top w:val="none" w:sz="0" w:space="0" w:color="auto"/>
        <w:left w:val="none" w:sz="0" w:space="0" w:color="auto"/>
        <w:bottom w:val="none" w:sz="0" w:space="0" w:color="auto"/>
        <w:right w:val="none" w:sz="0" w:space="0" w:color="auto"/>
      </w:divBdr>
    </w:div>
    <w:div w:id="1488859954">
      <w:bodyDiv w:val="1"/>
      <w:marLeft w:val="0"/>
      <w:marRight w:val="0"/>
      <w:marTop w:val="0"/>
      <w:marBottom w:val="0"/>
      <w:divBdr>
        <w:top w:val="none" w:sz="0" w:space="0" w:color="auto"/>
        <w:left w:val="none" w:sz="0" w:space="0" w:color="auto"/>
        <w:bottom w:val="none" w:sz="0" w:space="0" w:color="auto"/>
        <w:right w:val="none" w:sz="0" w:space="0" w:color="auto"/>
      </w:divBdr>
      <w:divsChild>
        <w:div w:id="168834331">
          <w:marLeft w:val="0"/>
          <w:marRight w:val="0"/>
          <w:marTop w:val="0"/>
          <w:marBottom w:val="0"/>
          <w:divBdr>
            <w:top w:val="none" w:sz="0" w:space="0" w:color="auto"/>
            <w:left w:val="none" w:sz="0" w:space="0" w:color="auto"/>
            <w:bottom w:val="none" w:sz="0" w:space="0" w:color="auto"/>
            <w:right w:val="none" w:sz="0" w:space="0" w:color="auto"/>
          </w:divBdr>
          <w:divsChild>
            <w:div w:id="992291523">
              <w:marLeft w:val="0"/>
              <w:marRight w:val="0"/>
              <w:marTop w:val="0"/>
              <w:marBottom w:val="0"/>
              <w:divBdr>
                <w:top w:val="none" w:sz="0" w:space="0" w:color="auto"/>
                <w:left w:val="none" w:sz="0" w:space="0" w:color="auto"/>
                <w:bottom w:val="none" w:sz="0" w:space="0" w:color="auto"/>
                <w:right w:val="none" w:sz="0" w:space="0" w:color="auto"/>
              </w:divBdr>
              <w:divsChild>
                <w:div w:id="12510406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8952328">
      <w:bodyDiv w:val="1"/>
      <w:marLeft w:val="0"/>
      <w:marRight w:val="0"/>
      <w:marTop w:val="0"/>
      <w:marBottom w:val="0"/>
      <w:divBdr>
        <w:top w:val="none" w:sz="0" w:space="0" w:color="auto"/>
        <w:left w:val="none" w:sz="0" w:space="0" w:color="auto"/>
        <w:bottom w:val="none" w:sz="0" w:space="0" w:color="auto"/>
        <w:right w:val="none" w:sz="0" w:space="0" w:color="auto"/>
      </w:divBdr>
    </w:div>
    <w:div w:id="1555505950">
      <w:bodyDiv w:val="1"/>
      <w:marLeft w:val="0"/>
      <w:marRight w:val="0"/>
      <w:marTop w:val="0"/>
      <w:marBottom w:val="0"/>
      <w:divBdr>
        <w:top w:val="none" w:sz="0" w:space="0" w:color="auto"/>
        <w:left w:val="none" w:sz="0" w:space="0" w:color="auto"/>
        <w:bottom w:val="none" w:sz="0" w:space="0" w:color="auto"/>
        <w:right w:val="none" w:sz="0" w:space="0" w:color="auto"/>
      </w:divBdr>
      <w:divsChild>
        <w:div w:id="52892232">
          <w:marLeft w:val="0"/>
          <w:marRight w:val="0"/>
          <w:marTop w:val="0"/>
          <w:marBottom w:val="0"/>
          <w:divBdr>
            <w:top w:val="none" w:sz="0" w:space="0" w:color="auto"/>
            <w:left w:val="none" w:sz="0" w:space="0" w:color="auto"/>
            <w:bottom w:val="none" w:sz="0" w:space="0" w:color="auto"/>
            <w:right w:val="none" w:sz="0" w:space="0" w:color="auto"/>
          </w:divBdr>
          <w:divsChild>
            <w:div w:id="1053963945">
              <w:marLeft w:val="0"/>
              <w:marRight w:val="0"/>
              <w:marTop w:val="0"/>
              <w:marBottom w:val="0"/>
              <w:divBdr>
                <w:top w:val="none" w:sz="0" w:space="0" w:color="auto"/>
                <w:left w:val="none" w:sz="0" w:space="0" w:color="auto"/>
                <w:bottom w:val="none" w:sz="0" w:space="0" w:color="auto"/>
                <w:right w:val="none" w:sz="0" w:space="0" w:color="auto"/>
              </w:divBdr>
              <w:divsChild>
                <w:div w:id="1452554973">
                  <w:marLeft w:val="0"/>
                  <w:marRight w:val="0"/>
                  <w:marTop w:val="0"/>
                  <w:marBottom w:val="0"/>
                  <w:divBdr>
                    <w:top w:val="none" w:sz="0" w:space="0" w:color="auto"/>
                    <w:left w:val="none" w:sz="0" w:space="0" w:color="auto"/>
                    <w:bottom w:val="none" w:sz="0" w:space="0" w:color="auto"/>
                    <w:right w:val="none" w:sz="0" w:space="0" w:color="auto"/>
                  </w:divBdr>
                  <w:divsChild>
                    <w:div w:id="13894589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7440584">
      <w:bodyDiv w:val="1"/>
      <w:marLeft w:val="0"/>
      <w:marRight w:val="0"/>
      <w:marTop w:val="0"/>
      <w:marBottom w:val="0"/>
      <w:divBdr>
        <w:top w:val="none" w:sz="0" w:space="0" w:color="auto"/>
        <w:left w:val="none" w:sz="0" w:space="0" w:color="auto"/>
        <w:bottom w:val="none" w:sz="0" w:space="0" w:color="auto"/>
        <w:right w:val="none" w:sz="0" w:space="0" w:color="auto"/>
      </w:divBdr>
      <w:divsChild>
        <w:div w:id="60107601">
          <w:marLeft w:val="0"/>
          <w:marRight w:val="0"/>
          <w:marTop w:val="0"/>
          <w:marBottom w:val="0"/>
          <w:divBdr>
            <w:top w:val="none" w:sz="0" w:space="0" w:color="auto"/>
            <w:left w:val="none" w:sz="0" w:space="0" w:color="auto"/>
            <w:bottom w:val="none" w:sz="0" w:space="0" w:color="auto"/>
            <w:right w:val="none" w:sz="0" w:space="0" w:color="auto"/>
          </w:divBdr>
          <w:divsChild>
            <w:div w:id="1175805515">
              <w:marLeft w:val="0"/>
              <w:marRight w:val="0"/>
              <w:marTop w:val="0"/>
              <w:marBottom w:val="0"/>
              <w:divBdr>
                <w:top w:val="none" w:sz="0" w:space="0" w:color="auto"/>
                <w:left w:val="none" w:sz="0" w:space="0" w:color="auto"/>
                <w:bottom w:val="none" w:sz="0" w:space="0" w:color="auto"/>
                <w:right w:val="none" w:sz="0" w:space="0" w:color="auto"/>
              </w:divBdr>
              <w:divsChild>
                <w:div w:id="9206805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1713929">
      <w:bodyDiv w:val="1"/>
      <w:marLeft w:val="0"/>
      <w:marRight w:val="0"/>
      <w:marTop w:val="0"/>
      <w:marBottom w:val="0"/>
      <w:divBdr>
        <w:top w:val="none" w:sz="0" w:space="0" w:color="auto"/>
        <w:left w:val="none" w:sz="0" w:space="0" w:color="auto"/>
        <w:bottom w:val="none" w:sz="0" w:space="0" w:color="auto"/>
        <w:right w:val="none" w:sz="0" w:space="0" w:color="auto"/>
      </w:divBdr>
    </w:div>
    <w:div w:id="1641381178">
      <w:bodyDiv w:val="1"/>
      <w:marLeft w:val="0"/>
      <w:marRight w:val="0"/>
      <w:marTop w:val="0"/>
      <w:marBottom w:val="0"/>
      <w:divBdr>
        <w:top w:val="none" w:sz="0" w:space="0" w:color="auto"/>
        <w:left w:val="none" w:sz="0" w:space="0" w:color="auto"/>
        <w:bottom w:val="none" w:sz="0" w:space="0" w:color="auto"/>
        <w:right w:val="none" w:sz="0" w:space="0" w:color="auto"/>
      </w:divBdr>
      <w:divsChild>
        <w:div w:id="1381244709">
          <w:marLeft w:val="0"/>
          <w:marRight w:val="0"/>
          <w:marTop w:val="0"/>
          <w:marBottom w:val="0"/>
          <w:divBdr>
            <w:top w:val="none" w:sz="0" w:space="0" w:color="auto"/>
            <w:left w:val="none" w:sz="0" w:space="0" w:color="auto"/>
            <w:bottom w:val="none" w:sz="0" w:space="0" w:color="auto"/>
            <w:right w:val="none" w:sz="0" w:space="0" w:color="auto"/>
          </w:divBdr>
          <w:divsChild>
            <w:div w:id="1435906877">
              <w:marLeft w:val="0"/>
              <w:marRight w:val="0"/>
              <w:marTop w:val="0"/>
              <w:marBottom w:val="0"/>
              <w:divBdr>
                <w:top w:val="none" w:sz="0" w:space="0" w:color="auto"/>
                <w:left w:val="none" w:sz="0" w:space="0" w:color="auto"/>
                <w:bottom w:val="none" w:sz="0" w:space="0" w:color="auto"/>
                <w:right w:val="none" w:sz="0" w:space="0" w:color="auto"/>
              </w:divBdr>
              <w:divsChild>
                <w:div w:id="225187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6420667">
          <w:marLeft w:val="0"/>
          <w:marRight w:val="0"/>
          <w:marTop w:val="0"/>
          <w:marBottom w:val="0"/>
          <w:divBdr>
            <w:top w:val="none" w:sz="0" w:space="0" w:color="auto"/>
            <w:left w:val="none" w:sz="0" w:space="0" w:color="auto"/>
            <w:bottom w:val="none" w:sz="0" w:space="0" w:color="auto"/>
            <w:right w:val="none" w:sz="0" w:space="0" w:color="auto"/>
          </w:divBdr>
          <w:divsChild>
            <w:div w:id="1958827831">
              <w:marLeft w:val="0"/>
              <w:marRight w:val="0"/>
              <w:marTop w:val="0"/>
              <w:marBottom w:val="0"/>
              <w:divBdr>
                <w:top w:val="none" w:sz="0" w:space="0" w:color="auto"/>
                <w:left w:val="none" w:sz="0" w:space="0" w:color="auto"/>
                <w:bottom w:val="none" w:sz="0" w:space="0" w:color="auto"/>
                <w:right w:val="none" w:sz="0" w:space="0" w:color="auto"/>
              </w:divBdr>
              <w:divsChild>
                <w:div w:id="1431779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9725760">
      <w:bodyDiv w:val="1"/>
      <w:marLeft w:val="0"/>
      <w:marRight w:val="0"/>
      <w:marTop w:val="0"/>
      <w:marBottom w:val="0"/>
      <w:divBdr>
        <w:top w:val="none" w:sz="0" w:space="0" w:color="auto"/>
        <w:left w:val="none" w:sz="0" w:space="0" w:color="auto"/>
        <w:bottom w:val="none" w:sz="0" w:space="0" w:color="auto"/>
        <w:right w:val="none" w:sz="0" w:space="0" w:color="auto"/>
      </w:divBdr>
      <w:divsChild>
        <w:div w:id="283270793">
          <w:marLeft w:val="0"/>
          <w:marRight w:val="0"/>
          <w:marTop w:val="0"/>
          <w:marBottom w:val="0"/>
          <w:divBdr>
            <w:top w:val="none" w:sz="0" w:space="0" w:color="auto"/>
            <w:left w:val="none" w:sz="0" w:space="0" w:color="auto"/>
            <w:bottom w:val="none" w:sz="0" w:space="0" w:color="auto"/>
            <w:right w:val="none" w:sz="0" w:space="0" w:color="auto"/>
          </w:divBdr>
          <w:divsChild>
            <w:div w:id="1363434149">
              <w:marLeft w:val="0"/>
              <w:marRight w:val="0"/>
              <w:marTop w:val="0"/>
              <w:marBottom w:val="0"/>
              <w:divBdr>
                <w:top w:val="none" w:sz="0" w:space="0" w:color="auto"/>
                <w:left w:val="none" w:sz="0" w:space="0" w:color="auto"/>
                <w:bottom w:val="none" w:sz="0" w:space="0" w:color="auto"/>
                <w:right w:val="none" w:sz="0" w:space="0" w:color="auto"/>
              </w:divBdr>
              <w:divsChild>
                <w:div w:id="296571138">
                  <w:marLeft w:val="0"/>
                  <w:marRight w:val="0"/>
                  <w:marTop w:val="0"/>
                  <w:marBottom w:val="0"/>
                  <w:divBdr>
                    <w:top w:val="none" w:sz="0" w:space="0" w:color="auto"/>
                    <w:left w:val="none" w:sz="0" w:space="0" w:color="auto"/>
                    <w:bottom w:val="none" w:sz="0" w:space="0" w:color="auto"/>
                    <w:right w:val="none" w:sz="0" w:space="0" w:color="auto"/>
                  </w:divBdr>
                  <w:divsChild>
                    <w:div w:id="20699141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60034416">
      <w:bodyDiv w:val="1"/>
      <w:marLeft w:val="0"/>
      <w:marRight w:val="0"/>
      <w:marTop w:val="0"/>
      <w:marBottom w:val="0"/>
      <w:divBdr>
        <w:top w:val="none" w:sz="0" w:space="0" w:color="auto"/>
        <w:left w:val="none" w:sz="0" w:space="0" w:color="auto"/>
        <w:bottom w:val="none" w:sz="0" w:space="0" w:color="auto"/>
        <w:right w:val="none" w:sz="0" w:space="0" w:color="auto"/>
      </w:divBdr>
      <w:divsChild>
        <w:div w:id="1154905732">
          <w:marLeft w:val="0"/>
          <w:marRight w:val="0"/>
          <w:marTop w:val="0"/>
          <w:marBottom w:val="0"/>
          <w:divBdr>
            <w:top w:val="none" w:sz="0" w:space="0" w:color="auto"/>
            <w:left w:val="none" w:sz="0" w:space="0" w:color="auto"/>
            <w:bottom w:val="none" w:sz="0" w:space="0" w:color="auto"/>
            <w:right w:val="none" w:sz="0" w:space="0" w:color="auto"/>
          </w:divBdr>
          <w:divsChild>
            <w:div w:id="1987585479">
              <w:marLeft w:val="0"/>
              <w:marRight w:val="0"/>
              <w:marTop w:val="0"/>
              <w:marBottom w:val="0"/>
              <w:divBdr>
                <w:top w:val="none" w:sz="0" w:space="0" w:color="auto"/>
                <w:left w:val="none" w:sz="0" w:space="0" w:color="auto"/>
                <w:bottom w:val="none" w:sz="0" w:space="0" w:color="auto"/>
                <w:right w:val="none" w:sz="0" w:space="0" w:color="auto"/>
              </w:divBdr>
              <w:divsChild>
                <w:div w:id="9367920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6493299">
      <w:bodyDiv w:val="1"/>
      <w:marLeft w:val="0"/>
      <w:marRight w:val="0"/>
      <w:marTop w:val="0"/>
      <w:marBottom w:val="0"/>
      <w:divBdr>
        <w:top w:val="none" w:sz="0" w:space="0" w:color="auto"/>
        <w:left w:val="none" w:sz="0" w:space="0" w:color="auto"/>
        <w:bottom w:val="none" w:sz="0" w:space="0" w:color="auto"/>
        <w:right w:val="none" w:sz="0" w:space="0" w:color="auto"/>
      </w:divBdr>
      <w:divsChild>
        <w:div w:id="951665261">
          <w:marLeft w:val="0"/>
          <w:marRight w:val="0"/>
          <w:marTop w:val="0"/>
          <w:marBottom w:val="0"/>
          <w:divBdr>
            <w:top w:val="none" w:sz="0" w:space="0" w:color="auto"/>
            <w:left w:val="none" w:sz="0" w:space="0" w:color="auto"/>
            <w:bottom w:val="none" w:sz="0" w:space="0" w:color="auto"/>
            <w:right w:val="none" w:sz="0" w:space="0" w:color="auto"/>
          </w:divBdr>
          <w:divsChild>
            <w:div w:id="289096773">
              <w:marLeft w:val="0"/>
              <w:marRight w:val="0"/>
              <w:marTop w:val="0"/>
              <w:marBottom w:val="0"/>
              <w:divBdr>
                <w:top w:val="none" w:sz="0" w:space="0" w:color="auto"/>
                <w:left w:val="none" w:sz="0" w:space="0" w:color="auto"/>
                <w:bottom w:val="none" w:sz="0" w:space="0" w:color="auto"/>
                <w:right w:val="none" w:sz="0" w:space="0" w:color="auto"/>
              </w:divBdr>
              <w:divsChild>
                <w:div w:id="19571296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5304140">
      <w:bodyDiv w:val="1"/>
      <w:marLeft w:val="0"/>
      <w:marRight w:val="0"/>
      <w:marTop w:val="0"/>
      <w:marBottom w:val="0"/>
      <w:divBdr>
        <w:top w:val="none" w:sz="0" w:space="0" w:color="auto"/>
        <w:left w:val="none" w:sz="0" w:space="0" w:color="auto"/>
        <w:bottom w:val="none" w:sz="0" w:space="0" w:color="auto"/>
        <w:right w:val="none" w:sz="0" w:space="0" w:color="auto"/>
      </w:divBdr>
      <w:divsChild>
        <w:div w:id="1143766204">
          <w:marLeft w:val="0"/>
          <w:marRight w:val="0"/>
          <w:marTop w:val="0"/>
          <w:marBottom w:val="0"/>
          <w:divBdr>
            <w:top w:val="none" w:sz="0" w:space="0" w:color="auto"/>
            <w:left w:val="none" w:sz="0" w:space="0" w:color="auto"/>
            <w:bottom w:val="none" w:sz="0" w:space="0" w:color="auto"/>
            <w:right w:val="none" w:sz="0" w:space="0" w:color="auto"/>
          </w:divBdr>
          <w:divsChild>
            <w:div w:id="668026780">
              <w:marLeft w:val="0"/>
              <w:marRight w:val="0"/>
              <w:marTop w:val="0"/>
              <w:marBottom w:val="0"/>
              <w:divBdr>
                <w:top w:val="none" w:sz="0" w:space="0" w:color="auto"/>
                <w:left w:val="none" w:sz="0" w:space="0" w:color="auto"/>
                <w:bottom w:val="none" w:sz="0" w:space="0" w:color="auto"/>
                <w:right w:val="none" w:sz="0" w:space="0" w:color="auto"/>
              </w:divBdr>
              <w:divsChild>
                <w:div w:id="1289818057">
                  <w:marLeft w:val="0"/>
                  <w:marRight w:val="0"/>
                  <w:marTop w:val="0"/>
                  <w:marBottom w:val="0"/>
                  <w:divBdr>
                    <w:top w:val="none" w:sz="0" w:space="0" w:color="auto"/>
                    <w:left w:val="none" w:sz="0" w:space="0" w:color="auto"/>
                    <w:bottom w:val="none" w:sz="0" w:space="0" w:color="auto"/>
                    <w:right w:val="none" w:sz="0" w:space="0" w:color="auto"/>
                  </w:divBdr>
                  <w:divsChild>
                    <w:div w:id="4749561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36273827">
      <w:bodyDiv w:val="1"/>
      <w:marLeft w:val="0"/>
      <w:marRight w:val="0"/>
      <w:marTop w:val="0"/>
      <w:marBottom w:val="0"/>
      <w:divBdr>
        <w:top w:val="none" w:sz="0" w:space="0" w:color="auto"/>
        <w:left w:val="none" w:sz="0" w:space="0" w:color="auto"/>
        <w:bottom w:val="none" w:sz="0" w:space="0" w:color="auto"/>
        <w:right w:val="none" w:sz="0" w:space="0" w:color="auto"/>
      </w:divBdr>
      <w:divsChild>
        <w:div w:id="1659723648">
          <w:marLeft w:val="0"/>
          <w:marRight w:val="0"/>
          <w:marTop w:val="0"/>
          <w:marBottom w:val="0"/>
          <w:divBdr>
            <w:top w:val="none" w:sz="0" w:space="0" w:color="auto"/>
            <w:left w:val="none" w:sz="0" w:space="0" w:color="auto"/>
            <w:bottom w:val="none" w:sz="0" w:space="0" w:color="auto"/>
            <w:right w:val="none" w:sz="0" w:space="0" w:color="auto"/>
          </w:divBdr>
          <w:divsChild>
            <w:div w:id="2059738270">
              <w:marLeft w:val="0"/>
              <w:marRight w:val="0"/>
              <w:marTop w:val="0"/>
              <w:marBottom w:val="0"/>
              <w:divBdr>
                <w:top w:val="none" w:sz="0" w:space="0" w:color="auto"/>
                <w:left w:val="none" w:sz="0" w:space="0" w:color="auto"/>
                <w:bottom w:val="none" w:sz="0" w:space="0" w:color="auto"/>
                <w:right w:val="none" w:sz="0" w:space="0" w:color="auto"/>
              </w:divBdr>
              <w:divsChild>
                <w:div w:id="18221907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8528632">
      <w:bodyDiv w:val="1"/>
      <w:marLeft w:val="0"/>
      <w:marRight w:val="0"/>
      <w:marTop w:val="0"/>
      <w:marBottom w:val="0"/>
      <w:divBdr>
        <w:top w:val="none" w:sz="0" w:space="0" w:color="auto"/>
        <w:left w:val="none" w:sz="0" w:space="0" w:color="auto"/>
        <w:bottom w:val="none" w:sz="0" w:space="0" w:color="auto"/>
        <w:right w:val="none" w:sz="0" w:space="0" w:color="auto"/>
      </w:divBdr>
      <w:divsChild>
        <w:div w:id="315300992">
          <w:marLeft w:val="0"/>
          <w:marRight w:val="0"/>
          <w:marTop w:val="0"/>
          <w:marBottom w:val="0"/>
          <w:divBdr>
            <w:top w:val="none" w:sz="0" w:space="0" w:color="auto"/>
            <w:left w:val="none" w:sz="0" w:space="0" w:color="auto"/>
            <w:bottom w:val="none" w:sz="0" w:space="0" w:color="auto"/>
            <w:right w:val="none" w:sz="0" w:space="0" w:color="auto"/>
          </w:divBdr>
          <w:divsChild>
            <w:div w:id="551769698">
              <w:marLeft w:val="0"/>
              <w:marRight w:val="0"/>
              <w:marTop w:val="0"/>
              <w:marBottom w:val="0"/>
              <w:divBdr>
                <w:top w:val="none" w:sz="0" w:space="0" w:color="auto"/>
                <w:left w:val="none" w:sz="0" w:space="0" w:color="auto"/>
                <w:bottom w:val="none" w:sz="0" w:space="0" w:color="auto"/>
                <w:right w:val="none" w:sz="0" w:space="0" w:color="auto"/>
              </w:divBdr>
              <w:divsChild>
                <w:div w:id="17321909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7311130">
      <w:bodyDiv w:val="1"/>
      <w:marLeft w:val="0"/>
      <w:marRight w:val="0"/>
      <w:marTop w:val="0"/>
      <w:marBottom w:val="0"/>
      <w:divBdr>
        <w:top w:val="none" w:sz="0" w:space="0" w:color="auto"/>
        <w:left w:val="none" w:sz="0" w:space="0" w:color="auto"/>
        <w:bottom w:val="none" w:sz="0" w:space="0" w:color="auto"/>
        <w:right w:val="none" w:sz="0" w:space="0" w:color="auto"/>
      </w:divBdr>
      <w:divsChild>
        <w:div w:id="979455938">
          <w:marLeft w:val="0"/>
          <w:marRight w:val="0"/>
          <w:marTop w:val="0"/>
          <w:marBottom w:val="0"/>
          <w:divBdr>
            <w:top w:val="none" w:sz="0" w:space="0" w:color="auto"/>
            <w:left w:val="none" w:sz="0" w:space="0" w:color="auto"/>
            <w:bottom w:val="none" w:sz="0" w:space="0" w:color="auto"/>
            <w:right w:val="none" w:sz="0" w:space="0" w:color="auto"/>
          </w:divBdr>
          <w:divsChild>
            <w:div w:id="1729188594">
              <w:marLeft w:val="0"/>
              <w:marRight w:val="0"/>
              <w:marTop w:val="0"/>
              <w:marBottom w:val="0"/>
              <w:divBdr>
                <w:top w:val="none" w:sz="0" w:space="0" w:color="auto"/>
                <w:left w:val="none" w:sz="0" w:space="0" w:color="auto"/>
                <w:bottom w:val="none" w:sz="0" w:space="0" w:color="auto"/>
                <w:right w:val="none" w:sz="0" w:space="0" w:color="auto"/>
              </w:divBdr>
              <w:divsChild>
                <w:div w:id="12983429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12021646">
      <w:bodyDiv w:val="1"/>
      <w:marLeft w:val="0"/>
      <w:marRight w:val="0"/>
      <w:marTop w:val="0"/>
      <w:marBottom w:val="0"/>
      <w:divBdr>
        <w:top w:val="none" w:sz="0" w:space="0" w:color="auto"/>
        <w:left w:val="none" w:sz="0" w:space="0" w:color="auto"/>
        <w:bottom w:val="none" w:sz="0" w:space="0" w:color="auto"/>
        <w:right w:val="none" w:sz="0" w:space="0" w:color="auto"/>
      </w:divBdr>
    </w:div>
    <w:div w:id="1840925214">
      <w:bodyDiv w:val="1"/>
      <w:marLeft w:val="0"/>
      <w:marRight w:val="0"/>
      <w:marTop w:val="0"/>
      <w:marBottom w:val="0"/>
      <w:divBdr>
        <w:top w:val="none" w:sz="0" w:space="0" w:color="auto"/>
        <w:left w:val="none" w:sz="0" w:space="0" w:color="auto"/>
        <w:bottom w:val="none" w:sz="0" w:space="0" w:color="auto"/>
        <w:right w:val="none" w:sz="0" w:space="0" w:color="auto"/>
      </w:divBdr>
    </w:div>
    <w:div w:id="1864905023">
      <w:bodyDiv w:val="1"/>
      <w:marLeft w:val="0"/>
      <w:marRight w:val="0"/>
      <w:marTop w:val="0"/>
      <w:marBottom w:val="0"/>
      <w:divBdr>
        <w:top w:val="none" w:sz="0" w:space="0" w:color="auto"/>
        <w:left w:val="none" w:sz="0" w:space="0" w:color="auto"/>
        <w:bottom w:val="none" w:sz="0" w:space="0" w:color="auto"/>
        <w:right w:val="none" w:sz="0" w:space="0" w:color="auto"/>
      </w:divBdr>
    </w:div>
    <w:div w:id="1891960085">
      <w:bodyDiv w:val="1"/>
      <w:marLeft w:val="0"/>
      <w:marRight w:val="0"/>
      <w:marTop w:val="0"/>
      <w:marBottom w:val="0"/>
      <w:divBdr>
        <w:top w:val="none" w:sz="0" w:space="0" w:color="auto"/>
        <w:left w:val="none" w:sz="0" w:space="0" w:color="auto"/>
        <w:bottom w:val="none" w:sz="0" w:space="0" w:color="auto"/>
        <w:right w:val="none" w:sz="0" w:space="0" w:color="auto"/>
      </w:divBdr>
      <w:divsChild>
        <w:div w:id="322659815">
          <w:marLeft w:val="0"/>
          <w:marRight w:val="0"/>
          <w:marTop w:val="0"/>
          <w:marBottom w:val="0"/>
          <w:divBdr>
            <w:top w:val="none" w:sz="0" w:space="0" w:color="auto"/>
            <w:left w:val="none" w:sz="0" w:space="0" w:color="auto"/>
            <w:bottom w:val="none" w:sz="0" w:space="0" w:color="auto"/>
            <w:right w:val="none" w:sz="0" w:space="0" w:color="auto"/>
          </w:divBdr>
          <w:divsChild>
            <w:div w:id="596409223">
              <w:marLeft w:val="0"/>
              <w:marRight w:val="0"/>
              <w:marTop w:val="0"/>
              <w:marBottom w:val="0"/>
              <w:divBdr>
                <w:top w:val="none" w:sz="0" w:space="0" w:color="auto"/>
                <w:left w:val="none" w:sz="0" w:space="0" w:color="auto"/>
                <w:bottom w:val="none" w:sz="0" w:space="0" w:color="auto"/>
                <w:right w:val="none" w:sz="0" w:space="0" w:color="auto"/>
              </w:divBdr>
              <w:divsChild>
                <w:div w:id="9432645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1574063">
      <w:bodyDiv w:val="1"/>
      <w:marLeft w:val="0"/>
      <w:marRight w:val="0"/>
      <w:marTop w:val="0"/>
      <w:marBottom w:val="0"/>
      <w:divBdr>
        <w:top w:val="none" w:sz="0" w:space="0" w:color="auto"/>
        <w:left w:val="none" w:sz="0" w:space="0" w:color="auto"/>
        <w:bottom w:val="none" w:sz="0" w:space="0" w:color="auto"/>
        <w:right w:val="none" w:sz="0" w:space="0" w:color="auto"/>
      </w:divBdr>
      <w:divsChild>
        <w:div w:id="81992428">
          <w:marLeft w:val="0"/>
          <w:marRight w:val="0"/>
          <w:marTop w:val="0"/>
          <w:marBottom w:val="0"/>
          <w:divBdr>
            <w:top w:val="none" w:sz="0" w:space="0" w:color="auto"/>
            <w:left w:val="none" w:sz="0" w:space="0" w:color="auto"/>
            <w:bottom w:val="none" w:sz="0" w:space="0" w:color="auto"/>
            <w:right w:val="none" w:sz="0" w:space="0" w:color="auto"/>
          </w:divBdr>
          <w:divsChild>
            <w:div w:id="362217642">
              <w:marLeft w:val="0"/>
              <w:marRight w:val="0"/>
              <w:marTop w:val="0"/>
              <w:marBottom w:val="0"/>
              <w:divBdr>
                <w:top w:val="none" w:sz="0" w:space="0" w:color="auto"/>
                <w:left w:val="none" w:sz="0" w:space="0" w:color="auto"/>
                <w:bottom w:val="none" w:sz="0" w:space="0" w:color="auto"/>
                <w:right w:val="none" w:sz="0" w:space="0" w:color="auto"/>
              </w:divBdr>
              <w:divsChild>
                <w:div w:id="1892837260">
                  <w:marLeft w:val="0"/>
                  <w:marRight w:val="0"/>
                  <w:marTop w:val="0"/>
                  <w:marBottom w:val="0"/>
                  <w:divBdr>
                    <w:top w:val="none" w:sz="0" w:space="0" w:color="auto"/>
                    <w:left w:val="none" w:sz="0" w:space="0" w:color="auto"/>
                    <w:bottom w:val="none" w:sz="0" w:space="0" w:color="auto"/>
                    <w:right w:val="none" w:sz="0" w:space="0" w:color="auto"/>
                  </w:divBdr>
                  <w:divsChild>
                    <w:div w:id="1006594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18703472">
      <w:bodyDiv w:val="1"/>
      <w:marLeft w:val="0"/>
      <w:marRight w:val="0"/>
      <w:marTop w:val="0"/>
      <w:marBottom w:val="0"/>
      <w:divBdr>
        <w:top w:val="none" w:sz="0" w:space="0" w:color="auto"/>
        <w:left w:val="none" w:sz="0" w:space="0" w:color="auto"/>
        <w:bottom w:val="none" w:sz="0" w:space="0" w:color="auto"/>
        <w:right w:val="none" w:sz="0" w:space="0" w:color="auto"/>
      </w:divBdr>
    </w:div>
    <w:div w:id="2023319864">
      <w:bodyDiv w:val="1"/>
      <w:marLeft w:val="0"/>
      <w:marRight w:val="0"/>
      <w:marTop w:val="0"/>
      <w:marBottom w:val="0"/>
      <w:divBdr>
        <w:top w:val="none" w:sz="0" w:space="0" w:color="auto"/>
        <w:left w:val="none" w:sz="0" w:space="0" w:color="auto"/>
        <w:bottom w:val="none" w:sz="0" w:space="0" w:color="auto"/>
        <w:right w:val="none" w:sz="0" w:space="0" w:color="auto"/>
      </w:divBdr>
      <w:divsChild>
        <w:div w:id="1920938307">
          <w:marLeft w:val="0"/>
          <w:marRight w:val="0"/>
          <w:marTop w:val="0"/>
          <w:marBottom w:val="0"/>
          <w:divBdr>
            <w:top w:val="none" w:sz="0" w:space="0" w:color="auto"/>
            <w:left w:val="none" w:sz="0" w:space="0" w:color="auto"/>
            <w:bottom w:val="none" w:sz="0" w:space="0" w:color="auto"/>
            <w:right w:val="none" w:sz="0" w:space="0" w:color="auto"/>
          </w:divBdr>
          <w:divsChild>
            <w:div w:id="1609968729">
              <w:marLeft w:val="0"/>
              <w:marRight w:val="0"/>
              <w:marTop w:val="0"/>
              <w:marBottom w:val="0"/>
              <w:divBdr>
                <w:top w:val="none" w:sz="0" w:space="0" w:color="auto"/>
                <w:left w:val="none" w:sz="0" w:space="0" w:color="auto"/>
                <w:bottom w:val="none" w:sz="0" w:space="0" w:color="auto"/>
                <w:right w:val="none" w:sz="0" w:space="0" w:color="auto"/>
              </w:divBdr>
              <w:divsChild>
                <w:div w:id="10696169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9524746">
      <w:bodyDiv w:val="1"/>
      <w:marLeft w:val="0"/>
      <w:marRight w:val="0"/>
      <w:marTop w:val="0"/>
      <w:marBottom w:val="0"/>
      <w:divBdr>
        <w:top w:val="none" w:sz="0" w:space="0" w:color="auto"/>
        <w:left w:val="none" w:sz="0" w:space="0" w:color="auto"/>
        <w:bottom w:val="none" w:sz="0" w:space="0" w:color="auto"/>
        <w:right w:val="none" w:sz="0" w:space="0" w:color="auto"/>
      </w:divBdr>
    </w:div>
    <w:div w:id="2049452664">
      <w:bodyDiv w:val="1"/>
      <w:marLeft w:val="0"/>
      <w:marRight w:val="0"/>
      <w:marTop w:val="0"/>
      <w:marBottom w:val="0"/>
      <w:divBdr>
        <w:top w:val="none" w:sz="0" w:space="0" w:color="auto"/>
        <w:left w:val="none" w:sz="0" w:space="0" w:color="auto"/>
        <w:bottom w:val="none" w:sz="0" w:space="0" w:color="auto"/>
        <w:right w:val="none" w:sz="0" w:space="0" w:color="auto"/>
      </w:divBdr>
      <w:divsChild>
        <w:div w:id="388261238">
          <w:marLeft w:val="0"/>
          <w:marRight w:val="0"/>
          <w:marTop w:val="0"/>
          <w:marBottom w:val="0"/>
          <w:divBdr>
            <w:top w:val="none" w:sz="0" w:space="0" w:color="auto"/>
            <w:left w:val="none" w:sz="0" w:space="0" w:color="auto"/>
            <w:bottom w:val="none" w:sz="0" w:space="0" w:color="auto"/>
            <w:right w:val="none" w:sz="0" w:space="0" w:color="auto"/>
          </w:divBdr>
          <w:divsChild>
            <w:div w:id="911893138">
              <w:marLeft w:val="0"/>
              <w:marRight w:val="0"/>
              <w:marTop w:val="0"/>
              <w:marBottom w:val="0"/>
              <w:divBdr>
                <w:top w:val="none" w:sz="0" w:space="0" w:color="auto"/>
                <w:left w:val="none" w:sz="0" w:space="0" w:color="auto"/>
                <w:bottom w:val="none" w:sz="0" w:space="0" w:color="auto"/>
                <w:right w:val="none" w:sz="0" w:space="0" w:color="auto"/>
              </w:divBdr>
              <w:divsChild>
                <w:div w:id="828911821">
                  <w:marLeft w:val="0"/>
                  <w:marRight w:val="0"/>
                  <w:marTop w:val="0"/>
                  <w:marBottom w:val="0"/>
                  <w:divBdr>
                    <w:top w:val="none" w:sz="0" w:space="0" w:color="auto"/>
                    <w:left w:val="none" w:sz="0" w:space="0" w:color="auto"/>
                    <w:bottom w:val="none" w:sz="0" w:space="0" w:color="auto"/>
                    <w:right w:val="none" w:sz="0" w:space="0" w:color="auto"/>
                  </w:divBdr>
                  <w:divsChild>
                    <w:div w:id="11169477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599358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footnotes.xml.rels><?xml version="1.0" encoding="UTF-8" standalone="yes"?>
<Relationships xmlns="http://schemas.openxmlformats.org/package/2006/relationships"><Relationship Id="rId8" Type="http://schemas.openxmlformats.org/officeDocument/2006/relationships/hyperlink" Target="https://intersex.shadowreport.org/public/2021-CRC-Spain-LOIPR-NGO-Intersex-IGM.pdf" TargetMode="External"/><Relationship Id="rId13" Type="http://schemas.openxmlformats.org/officeDocument/2006/relationships/hyperlink" Target="https://www.seep.es/images/site/pacientes/GUIA-HIPERPASIA-SUPRARRENAL.pdf" TargetMode="External"/><Relationship Id="rId18" Type="http://schemas.openxmlformats.org/officeDocument/2006/relationships/hyperlink" Target="https://d56bochluxqnz.cloudfront.net/documents/full-guideline/EAU-Guidelines-on-Paediatric-Urology-2024.pdf" TargetMode="External"/><Relationship Id="rId26" Type="http://schemas.openxmlformats.org/officeDocument/2006/relationships/hyperlink" Target="https://www.fgmcri.org/media/uploads/Law%20Reports/spain_law_report_v4_(october_2023).pdf" TargetMode="External"/><Relationship Id="rId3" Type="http://schemas.openxmlformats.org/officeDocument/2006/relationships/hyperlink" Target="https://finlandabroad.fi/web/geneve/current-affairs/-/asset_publisher/h5w4iTUJhNne/content/general-debate-item-8/384951" TargetMode="External"/><Relationship Id="rId21" Type="http://schemas.openxmlformats.org/officeDocument/2006/relationships/hyperlink" Target="https://www.comunidad.madrid/hospital/gregoriomaranon/profesionales/relacion-especialidades/cirugia-pediatrica" TargetMode="External"/><Relationship Id="rId7" Type="http://schemas.openxmlformats.org/officeDocument/2006/relationships/hyperlink" Target="https://www.seep.es/images/site/home/GUIA_MANEJO_ADS_DSD_SEEP.PDF" TargetMode="External"/><Relationship Id="rId12" Type="http://schemas.openxmlformats.org/officeDocument/2006/relationships/hyperlink" Target="https://www.espu.org/images/documents/ESPU_Open_Letter_to_COE_2018-01-26.pdf" TargetMode="External"/><Relationship Id="rId17" Type="http://schemas.openxmlformats.org/officeDocument/2006/relationships/hyperlink" Target="https://uroweb.org/guidelines/endorsement/" TargetMode="External"/><Relationship Id="rId25" Type="http://schemas.openxmlformats.org/officeDocument/2006/relationships/hyperlink" Target="https://uefgm.org/index.php/legislative-framework-es/" TargetMode="External"/><Relationship Id="rId2" Type="http://schemas.openxmlformats.org/officeDocument/2006/relationships/hyperlink" Target="https://www.bmeia.gv.at/oev-genf/speeches/alle/2021/10/united-nations-human-rights-council-48th-session-joint-statement-on-the-human-rights-of-intersex-persons/" TargetMode="External"/><Relationship Id="rId16" Type="http://schemas.openxmlformats.org/officeDocument/2006/relationships/hyperlink" Target="https://intersex.shadowreport.org/public/2016-CEDAW-France-NGO-Zwischengeschlecht-Intersex-IGM.pdf" TargetMode="External"/><Relationship Id="rId20" Type="http://schemas.openxmlformats.org/officeDocument/2006/relationships/hyperlink" Target="https://www.sjdhospitalbarcelona.org/en/medical-services/urology" TargetMode="External"/><Relationship Id="rId29" Type="http://schemas.openxmlformats.org/officeDocument/2006/relationships/hyperlink" Target="https://brujulaintersexual.org/?s=espana" TargetMode="External"/><Relationship Id="rId1" Type="http://schemas.openxmlformats.org/officeDocument/2006/relationships/hyperlink" Target="https://www.dfat.gov.au/international-relations/themes/human-rights/hrc-statements/45th-session-human-rights-council/joint-statement-led-austria-rights-intersex-persons" TargetMode="External"/><Relationship Id="rId6" Type="http://schemas.openxmlformats.org/officeDocument/2006/relationships/hyperlink" Target="https://d56bochluxqnz.cloudfront.net/documents/full-guideline/EAU-Guidelines-on-Paediatric-Urology-2024.pdf" TargetMode="External"/><Relationship Id="rId11" Type="http://schemas.openxmlformats.org/officeDocument/2006/relationships/hyperlink" Target="https://d56bochluxqnz.cloudfront.net/documents/full-guideline/EAU-Guidelines-on-Paediatric-Urology-2024.pdf" TargetMode="External"/><Relationship Id="rId24" Type="http://schemas.openxmlformats.org/officeDocument/2006/relationships/hyperlink" Target="https://www.boe.es/buscar/doc.php?id=BOE-A-2023-10213" TargetMode="External"/><Relationship Id="rId5" Type="http://schemas.openxmlformats.org/officeDocument/2006/relationships/hyperlink" Target="https://uroweb.org/guidelines/endorsement/" TargetMode="External"/><Relationship Id="rId15" Type="http://schemas.openxmlformats.org/officeDocument/2006/relationships/hyperlink" Target="https://www.comunidad.madrid/hospital/gregoriomaranon/profesionales/relacion-especialidades/cirugia-pediatrica" TargetMode="External"/><Relationship Id="rId23" Type="http://schemas.openxmlformats.org/officeDocument/2006/relationships/hyperlink" Target="https://stopigm.org/how-spains-laws-fail-intersex-children/" TargetMode="External"/><Relationship Id="rId28" Type="http://schemas.openxmlformats.org/officeDocument/2006/relationships/hyperlink" Target="https://caminarintersx.wordpress.com/quienes-somos/" TargetMode="External"/><Relationship Id="rId10" Type="http://schemas.openxmlformats.org/officeDocument/2006/relationships/hyperlink" Target="https://uroweb.org/guidelines/endorsement/" TargetMode="External"/><Relationship Id="rId19" Type="http://schemas.openxmlformats.org/officeDocument/2006/relationships/hyperlink" Target="https://intersex.shadowreport.org/public/2021-CRC-Spain-LOIPR-NGO-Intersex-IGM.pdf" TargetMode="External"/><Relationship Id="rId31" Type="http://schemas.openxmlformats.org/officeDocument/2006/relationships/hyperlink" Target="https://brujulaintersexual.files.wordpress.com/2017/10/intersex-manifesto-english.pdf" TargetMode="External"/><Relationship Id="rId4" Type="http://schemas.openxmlformats.org/officeDocument/2006/relationships/hyperlink" Target="https://intersex.shadowreport.org/public/2016-CEDAW-France-NGO-Zwischengeschlecht-Intersex-IGM.pdf" TargetMode="External"/><Relationship Id="rId9" Type="http://schemas.openxmlformats.org/officeDocument/2006/relationships/hyperlink" Target="https://intersex.shadowreport.org/public/2016-CEDAW-France-NGO-Zwischengeschlecht-Intersex-IGM.pdf" TargetMode="External"/><Relationship Id="rId14" Type="http://schemas.openxmlformats.org/officeDocument/2006/relationships/hyperlink" Target="https://intersex.shadowreport.org/public/2021-CRC-Spain-LOIPR-NGO-Intersex-IGM.pdf" TargetMode="External"/><Relationship Id="rId22" Type="http://schemas.openxmlformats.org/officeDocument/2006/relationships/hyperlink" Target="https://www.lyxurologia.com/en/pediatric-urology/hypospadias/" TargetMode="External"/><Relationship Id="rId27" Type="http://schemas.openxmlformats.org/officeDocument/2006/relationships/hyperlink" Target="https://www.dpceonline.it/index.php/dpceonline/article/view/1450/1428" TargetMode="External"/><Relationship Id="rId30" Type="http://schemas.openxmlformats.org/officeDocument/2006/relationships/hyperlink" Target="https://academic.oup.com/eurpub/article/31/Supplement_3/ckab164.166/6405737"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A2A5737-98A3-4B46-8184-79EF70B920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3020</Words>
  <Characters>17670</Characters>
  <Application>Microsoft Office Word</Application>
  <DocSecurity>0</DocSecurity>
  <Lines>294</Lines>
  <Paragraphs>106</Paragraphs>
  <ScaleCrop>false</ScaleCrop>
  <HeadingPairs>
    <vt:vector size="2" baseType="variant">
      <vt:variant>
        <vt:lpstr>Titel</vt:lpstr>
      </vt:variant>
      <vt:variant>
        <vt:i4>1</vt:i4>
      </vt:variant>
    </vt:vector>
  </HeadingPairs>
  <TitlesOfParts>
    <vt:vector size="1" baseType="lpstr">
      <vt:lpstr>Intersex Genital Mutilation - CRC Spain NGO Report 2024</vt:lpstr>
    </vt:vector>
  </TitlesOfParts>
  <Manager/>
  <Company/>
  <LinksUpToDate>false</LinksUpToDate>
  <CharactersWithSpaces>20584</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Intersex Genital Mutilation in Spain: Update to LOIPR Report</dc:title>
  <dc:subject>NGO Report (for Session) to the 7th Report of Spain on the Convention on the Rights of the Child (CRC)</dc:subject>
  <dc:creator>Zwischengeschlecht.org / StopIGM.org (Markus Bauer, Daniela Truffer)</dc:creator>
  <cp:keywords/>
  <dc:description/>
  <cp:lastModifiedBy>Daniela Truffer</cp:lastModifiedBy>
  <cp:revision>10</cp:revision>
  <cp:lastPrinted>2022-04-16T12:04:00Z</cp:lastPrinted>
  <dcterms:created xsi:type="dcterms:W3CDTF">2024-08-02T00:11:00Z</dcterms:created>
  <dcterms:modified xsi:type="dcterms:W3CDTF">2024-08-02T00:27:00Z</dcterms:modified>
  <cp:category/>
</cp:coreProperties>
</file>