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9C41E2" w14:paraId="50BECBDC" w14:textId="77777777" w:rsidTr="00826D37">
        <w:trPr>
          <w:cantSplit/>
          <w:trHeight w:hRule="exact" w:val="851"/>
        </w:trPr>
        <w:tc>
          <w:tcPr>
            <w:tcW w:w="1276" w:type="dxa"/>
            <w:tcBorders>
              <w:bottom w:val="single" w:sz="4" w:space="0" w:color="auto"/>
            </w:tcBorders>
            <w:shd w:val="clear" w:color="auto" w:fill="auto"/>
            <w:vAlign w:val="bottom"/>
          </w:tcPr>
          <w:p w14:paraId="1D81613A" w14:textId="296E5986" w:rsidR="001E498C" w:rsidRPr="009C41E2" w:rsidRDefault="001E498C" w:rsidP="00826D37">
            <w:pPr>
              <w:spacing w:after="80"/>
            </w:pPr>
            <w:bookmarkStart w:id="0" w:name="_GoBack"/>
            <w:bookmarkEnd w:id="0"/>
          </w:p>
        </w:tc>
        <w:tc>
          <w:tcPr>
            <w:tcW w:w="2268" w:type="dxa"/>
            <w:tcBorders>
              <w:bottom w:val="single" w:sz="4" w:space="0" w:color="auto"/>
            </w:tcBorders>
            <w:shd w:val="clear" w:color="auto" w:fill="auto"/>
            <w:vAlign w:val="bottom"/>
          </w:tcPr>
          <w:p w14:paraId="077BA5D3" w14:textId="77777777" w:rsidR="001E498C" w:rsidRPr="00826D37" w:rsidRDefault="001E498C" w:rsidP="00826D37">
            <w:pPr>
              <w:spacing w:after="80" w:line="300" w:lineRule="exact"/>
              <w:rPr>
                <w:sz w:val="24"/>
                <w:szCs w:val="24"/>
              </w:rPr>
            </w:pPr>
            <w:r w:rsidRPr="00826D37">
              <w:rPr>
                <w:sz w:val="28"/>
                <w:szCs w:val="28"/>
              </w:rPr>
              <w:t>United Nations</w:t>
            </w:r>
          </w:p>
        </w:tc>
        <w:tc>
          <w:tcPr>
            <w:tcW w:w="6095" w:type="dxa"/>
            <w:gridSpan w:val="2"/>
            <w:tcBorders>
              <w:bottom w:val="single" w:sz="4" w:space="0" w:color="auto"/>
            </w:tcBorders>
            <w:shd w:val="clear" w:color="auto" w:fill="auto"/>
            <w:vAlign w:val="bottom"/>
          </w:tcPr>
          <w:p w14:paraId="2D95392A" w14:textId="7DFDDA3B" w:rsidR="001E498C" w:rsidRPr="009C41E2" w:rsidRDefault="003D3938" w:rsidP="00826D37">
            <w:pPr>
              <w:suppressAutoHyphens w:val="0"/>
              <w:spacing w:after="20"/>
              <w:jc w:val="right"/>
            </w:pPr>
            <w:r w:rsidRPr="00826D37">
              <w:rPr>
                <w:sz w:val="40"/>
              </w:rPr>
              <w:t>C</w:t>
            </w:r>
            <w:r w:rsidR="0053631F" w:rsidRPr="00826D37">
              <w:rPr>
                <w:sz w:val="40"/>
              </w:rPr>
              <w:t>AT</w:t>
            </w:r>
            <w:r w:rsidR="001E498C" w:rsidRPr="009C41E2">
              <w:t>/</w:t>
            </w:r>
            <w:r w:rsidR="003B0B0F" w:rsidRPr="009C41E2">
              <w:t>C/SR.</w:t>
            </w:r>
            <w:r w:rsidR="00257838" w:rsidRPr="009C41E2">
              <w:t>1666</w:t>
            </w:r>
          </w:p>
        </w:tc>
      </w:tr>
      <w:tr w:rsidR="001E498C" w:rsidRPr="00B65FCA" w14:paraId="37F66096" w14:textId="77777777" w:rsidTr="00826D37">
        <w:trPr>
          <w:cantSplit/>
          <w:trHeight w:hRule="exact" w:val="2835"/>
        </w:trPr>
        <w:tc>
          <w:tcPr>
            <w:tcW w:w="1276" w:type="dxa"/>
            <w:tcBorders>
              <w:top w:val="single" w:sz="4" w:space="0" w:color="auto"/>
              <w:bottom w:val="single" w:sz="12" w:space="0" w:color="auto"/>
            </w:tcBorders>
            <w:shd w:val="clear" w:color="auto" w:fill="auto"/>
          </w:tcPr>
          <w:p w14:paraId="429F9B53" w14:textId="76DB7750" w:rsidR="001E498C" w:rsidRPr="009C41E2" w:rsidRDefault="00826D37" w:rsidP="00826D37">
            <w:pPr>
              <w:spacing w:before="120"/>
              <w:jc w:val="center"/>
            </w:pPr>
            <w:r w:rsidRPr="00AF074F">
              <w:rPr>
                <w:noProof/>
                <w:lang w:eastAsia="en-GB"/>
              </w:rPr>
              <w:pict w14:anchorId="3C0715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4pt;height:46.8pt;visibility:visible;mso-wrap-style:square">
                  <v:imagedata r:id="rId7" o:title="_unlogo"/>
                </v:shape>
              </w:pict>
            </w:r>
          </w:p>
        </w:tc>
        <w:tc>
          <w:tcPr>
            <w:tcW w:w="5528" w:type="dxa"/>
            <w:gridSpan w:val="2"/>
            <w:tcBorders>
              <w:top w:val="single" w:sz="4" w:space="0" w:color="auto"/>
              <w:bottom w:val="single" w:sz="12" w:space="0" w:color="auto"/>
            </w:tcBorders>
            <w:shd w:val="clear" w:color="auto" w:fill="auto"/>
          </w:tcPr>
          <w:p w14:paraId="0016A848" w14:textId="77777777" w:rsidR="001E498C" w:rsidRPr="00826D37" w:rsidRDefault="005B75E3" w:rsidP="00826D37">
            <w:pPr>
              <w:spacing w:before="120" w:line="380" w:lineRule="exact"/>
              <w:rPr>
                <w:b/>
                <w:bCs/>
                <w:sz w:val="34"/>
                <w:szCs w:val="40"/>
              </w:rPr>
            </w:pPr>
            <w:r w:rsidRPr="00826D37">
              <w:rPr>
                <w:b/>
                <w:sz w:val="34"/>
                <w:szCs w:val="40"/>
              </w:rPr>
              <w:t>Convention against Torture</w:t>
            </w:r>
            <w:r w:rsidRPr="00826D37">
              <w:rPr>
                <w:b/>
                <w:sz w:val="34"/>
                <w:szCs w:val="40"/>
              </w:rPr>
              <w:br/>
              <w:t>and Other Cruel, Inhuman</w:t>
            </w:r>
            <w:r w:rsidRPr="00826D37">
              <w:rPr>
                <w:b/>
                <w:sz w:val="34"/>
                <w:szCs w:val="40"/>
              </w:rPr>
              <w:br/>
              <w:t>or Degrading Treatment</w:t>
            </w:r>
            <w:r w:rsidRPr="00826D37">
              <w:rPr>
                <w:b/>
                <w:sz w:val="34"/>
                <w:szCs w:val="40"/>
              </w:rPr>
              <w:br/>
              <w:t>or Punishment</w:t>
            </w:r>
          </w:p>
        </w:tc>
        <w:tc>
          <w:tcPr>
            <w:tcW w:w="2835" w:type="dxa"/>
            <w:tcBorders>
              <w:top w:val="single" w:sz="4" w:space="0" w:color="auto"/>
              <w:bottom w:val="single" w:sz="12" w:space="0" w:color="auto"/>
            </w:tcBorders>
            <w:shd w:val="clear" w:color="auto" w:fill="auto"/>
          </w:tcPr>
          <w:p w14:paraId="00427F91" w14:textId="002E7BDC" w:rsidR="001E498C" w:rsidRPr="00826D37" w:rsidRDefault="006748CF" w:rsidP="00826D37">
            <w:pPr>
              <w:suppressAutoHyphens w:val="0"/>
              <w:spacing w:before="240" w:line="240" w:lineRule="exact"/>
              <w:rPr>
                <w:lang w:val="fr-CH"/>
              </w:rPr>
            </w:pPr>
            <w:r w:rsidRPr="00826D37">
              <w:rPr>
                <w:lang w:val="fr-CH"/>
              </w:rPr>
              <w:t>Distr.</w:t>
            </w:r>
            <w:r w:rsidR="0046257D" w:rsidRPr="00826D37">
              <w:rPr>
                <w:lang w:val="fr-CH"/>
              </w:rPr>
              <w:t>:</w:t>
            </w:r>
            <w:r w:rsidR="001E498C" w:rsidRPr="00826D37">
              <w:rPr>
                <w:lang w:val="fr-CH"/>
              </w:rPr>
              <w:t xml:space="preserve"> </w:t>
            </w:r>
            <w:r w:rsidR="00257838" w:rsidRPr="00826D37">
              <w:rPr>
                <w:lang w:val="fr-CH"/>
              </w:rPr>
              <w:t>General</w:t>
            </w:r>
          </w:p>
          <w:p w14:paraId="12249401" w14:textId="2EF4EC0D" w:rsidR="001E498C" w:rsidRPr="00826D37" w:rsidRDefault="00717AFF" w:rsidP="00826D37">
            <w:pPr>
              <w:suppressAutoHyphens w:val="0"/>
              <w:rPr>
                <w:lang w:val="fr-CH"/>
              </w:rPr>
            </w:pPr>
            <w:r>
              <w:t>14</w:t>
            </w:r>
            <w:r w:rsidR="00DF1F65">
              <w:t xml:space="preserve"> August 2018</w:t>
            </w:r>
          </w:p>
          <w:p w14:paraId="204E9F95" w14:textId="77777777" w:rsidR="003B0B0F" w:rsidRPr="00826D37" w:rsidRDefault="003B0B0F" w:rsidP="00826D37">
            <w:pPr>
              <w:suppressAutoHyphens w:val="0"/>
              <w:rPr>
                <w:lang w:val="fr-CH"/>
              </w:rPr>
            </w:pPr>
          </w:p>
          <w:p w14:paraId="034CE4E9" w14:textId="1797BCC8" w:rsidR="006056E0" w:rsidRPr="00826D37" w:rsidRDefault="00CB43B4" w:rsidP="00826D37">
            <w:pPr>
              <w:suppressAutoHyphens w:val="0"/>
              <w:rPr>
                <w:lang w:val="fr-CH"/>
              </w:rPr>
            </w:pPr>
            <w:r w:rsidRPr="00826D37">
              <w:rPr>
                <w:lang w:val="fr-CH"/>
              </w:rPr>
              <w:t>Original: English</w:t>
            </w:r>
          </w:p>
        </w:tc>
      </w:tr>
    </w:tbl>
    <w:p w14:paraId="01E43F34" w14:textId="77777777" w:rsidR="00CB43B4" w:rsidRPr="006B204E" w:rsidRDefault="005B75E3" w:rsidP="00CB43B4">
      <w:pPr>
        <w:spacing w:before="120"/>
        <w:rPr>
          <w:b/>
          <w:bCs/>
          <w:sz w:val="24"/>
          <w:szCs w:val="24"/>
        </w:rPr>
      </w:pPr>
      <w:r w:rsidRPr="006B204E">
        <w:rPr>
          <w:b/>
          <w:sz w:val="24"/>
        </w:rPr>
        <w:t>Committee against Torture</w:t>
      </w:r>
    </w:p>
    <w:p w14:paraId="2C5956CE" w14:textId="0EC33622" w:rsidR="003B0B0F" w:rsidRPr="006B204E" w:rsidRDefault="00257838" w:rsidP="00CB43B4">
      <w:pPr>
        <w:spacing w:after="120"/>
        <w:rPr>
          <w:b/>
          <w:bCs/>
        </w:rPr>
      </w:pPr>
      <w:r w:rsidRPr="006B204E">
        <w:rPr>
          <w:b/>
          <w:bCs/>
        </w:rPr>
        <w:t>Sixty-fourth</w:t>
      </w:r>
      <w:r w:rsidR="003B0B0F" w:rsidRPr="006B204E">
        <w:rPr>
          <w:b/>
          <w:bCs/>
        </w:rPr>
        <w:t xml:space="preserve"> session</w:t>
      </w:r>
    </w:p>
    <w:p w14:paraId="7A63D70E" w14:textId="2DA7A3B2" w:rsidR="003B0B0F" w:rsidRPr="006B204E" w:rsidRDefault="003B0B0F" w:rsidP="002E6AF8">
      <w:pPr>
        <w:rPr>
          <w:b/>
          <w:bCs/>
        </w:rPr>
      </w:pPr>
      <w:r w:rsidRPr="006B204E">
        <w:rPr>
          <w:b/>
          <w:bCs/>
        </w:rPr>
        <w:t xml:space="preserve">Summary record of the </w:t>
      </w:r>
      <w:r w:rsidR="002E6AF8" w:rsidRPr="006B204E">
        <w:rPr>
          <w:b/>
          <w:bCs/>
        </w:rPr>
        <w:t xml:space="preserve">1666th </w:t>
      </w:r>
      <w:r w:rsidRPr="006B204E">
        <w:rPr>
          <w:b/>
          <w:bCs/>
        </w:rPr>
        <w:t>meeting</w:t>
      </w:r>
    </w:p>
    <w:p w14:paraId="633E2A19" w14:textId="1394D94B" w:rsidR="003B0B0F" w:rsidRPr="006B204E" w:rsidRDefault="003B0B0F" w:rsidP="00F24D6D">
      <w:pPr>
        <w:spacing w:after="120"/>
      </w:pPr>
      <w:r w:rsidRPr="006B204E">
        <w:t xml:space="preserve">Held at the </w:t>
      </w:r>
      <w:r w:rsidR="00AE7729" w:rsidRPr="006B204E">
        <w:t>Palais Wilson, Geneva</w:t>
      </w:r>
      <w:r w:rsidRPr="006B204E">
        <w:t xml:space="preserve">, on </w:t>
      </w:r>
      <w:r w:rsidR="00AE7729" w:rsidRPr="006B204E">
        <w:t>Tuesday, 31 July 2018, at 10 a.m.</w:t>
      </w:r>
      <w:r w:rsidRPr="006B204E">
        <w:rPr>
          <w:color w:val="FF0000"/>
        </w:rPr>
        <w:t xml:space="preserve"> </w:t>
      </w:r>
    </w:p>
    <w:p w14:paraId="62E1DE37" w14:textId="60D9751F" w:rsidR="003B0B0F" w:rsidRPr="006B204E" w:rsidRDefault="003B0B0F" w:rsidP="00AE7729">
      <w:pPr>
        <w:tabs>
          <w:tab w:val="left" w:pos="1134"/>
          <w:tab w:val="right" w:leader="dot" w:pos="8504"/>
        </w:tabs>
        <w:spacing w:after="120"/>
      </w:pPr>
      <w:r w:rsidRPr="006B204E">
        <w:rPr>
          <w:i/>
        </w:rPr>
        <w:t>Chair</w:t>
      </w:r>
      <w:r w:rsidRPr="006B204E">
        <w:t>:</w:t>
      </w:r>
      <w:r w:rsidRPr="006B204E">
        <w:tab/>
      </w:r>
      <w:r w:rsidR="00AE7729" w:rsidRPr="006B204E">
        <w:t>Mr. Modvig</w:t>
      </w:r>
    </w:p>
    <w:p w14:paraId="0E16DBB8" w14:textId="77777777" w:rsidR="003B0B0F" w:rsidRPr="006B204E" w:rsidRDefault="003B0B0F" w:rsidP="003B0B0F">
      <w:pPr>
        <w:tabs>
          <w:tab w:val="right" w:pos="992"/>
          <w:tab w:val="left" w:pos="1276"/>
          <w:tab w:val="right" w:leader="dot" w:pos="8504"/>
        </w:tabs>
        <w:spacing w:before="360" w:after="240"/>
        <w:rPr>
          <w:sz w:val="28"/>
        </w:rPr>
      </w:pPr>
      <w:r w:rsidRPr="006B204E">
        <w:rPr>
          <w:sz w:val="28"/>
        </w:rPr>
        <w:t>Contents</w:t>
      </w:r>
    </w:p>
    <w:p w14:paraId="1DF7DF5D" w14:textId="285502AC" w:rsidR="004F4BFD" w:rsidRPr="006B204E" w:rsidRDefault="00717AFF" w:rsidP="00C95BA1">
      <w:pPr>
        <w:pStyle w:val="SingleTxtG"/>
        <w:jc w:val="left"/>
      </w:pPr>
      <w:r w:rsidRPr="006B204E">
        <w:t xml:space="preserve">Consideration </w:t>
      </w:r>
      <w:r w:rsidR="004F4BFD" w:rsidRPr="006B204E">
        <w:t xml:space="preserve">of reports </w:t>
      </w:r>
      <w:r w:rsidR="006F6651" w:rsidRPr="006B204E">
        <w:t xml:space="preserve">submitted </w:t>
      </w:r>
      <w:r w:rsidR="004F4BFD" w:rsidRPr="006B204E">
        <w:t>by States parties under article 19 of the Convention (</w:t>
      </w:r>
      <w:r w:rsidR="004F4BFD" w:rsidRPr="006B204E">
        <w:rPr>
          <w:i/>
        </w:rPr>
        <w:t>continued</w:t>
      </w:r>
      <w:r w:rsidR="004F4BFD" w:rsidRPr="006B204E">
        <w:t xml:space="preserve">) </w:t>
      </w:r>
    </w:p>
    <w:p w14:paraId="4940AB22" w14:textId="77777777" w:rsidR="002D0F56" w:rsidRPr="006B204E" w:rsidRDefault="00CA104B" w:rsidP="00C95BA1">
      <w:pPr>
        <w:pStyle w:val="SingleTxtG"/>
        <w:ind w:left="1701"/>
      </w:pPr>
      <w:r w:rsidRPr="006B204E">
        <w:rPr>
          <w:i/>
          <w:iCs/>
        </w:rPr>
        <w:t>Initial report of the Republic of Seychelles</w:t>
      </w:r>
      <w:r w:rsidR="0024159D" w:rsidRPr="006B204E">
        <w:rPr>
          <w:i/>
          <w:iCs/>
        </w:rPr>
        <w:t xml:space="preserve"> </w:t>
      </w:r>
      <w:r w:rsidR="0024159D" w:rsidRPr="006B204E">
        <w:t>(</w:t>
      </w:r>
      <w:r w:rsidR="0024159D" w:rsidRPr="006B204E">
        <w:rPr>
          <w:i/>
          <w:iCs/>
        </w:rPr>
        <w:t>continued</w:t>
      </w:r>
      <w:r w:rsidR="0024159D" w:rsidRPr="006B204E">
        <w:t>)</w:t>
      </w:r>
    </w:p>
    <w:p w14:paraId="0ED2F1D3" w14:textId="1ACEC3EB" w:rsidR="004E2D7B" w:rsidRPr="006B204E" w:rsidRDefault="000C2BDC" w:rsidP="00AF0A00">
      <w:pPr>
        <w:pStyle w:val="SingleTxtG"/>
        <w:rPr>
          <w:i/>
          <w:iCs/>
        </w:rPr>
      </w:pPr>
      <w:r w:rsidRPr="006B204E">
        <w:br w:type="page"/>
      </w:r>
      <w:r w:rsidR="004E2D7B" w:rsidRPr="006B204E">
        <w:rPr>
          <w:i/>
          <w:iCs/>
        </w:rPr>
        <w:lastRenderedPageBreak/>
        <w:t>The meeting was called to order at 10 a.m.</w:t>
      </w:r>
    </w:p>
    <w:p w14:paraId="4D93E8B8" w14:textId="2F83E27A" w:rsidR="004E2D7B" w:rsidRPr="006B204E" w:rsidRDefault="00AF0A00" w:rsidP="00AF0A00">
      <w:pPr>
        <w:pStyle w:val="H23G"/>
      </w:pPr>
      <w:r w:rsidRPr="006B204E">
        <w:tab/>
      </w:r>
      <w:r w:rsidRPr="006B204E">
        <w:tab/>
      </w:r>
      <w:r w:rsidR="004E2D7B" w:rsidRPr="006B204E">
        <w:t xml:space="preserve">Consideration of reports submitted by States parties under article 19 of the Convention </w:t>
      </w:r>
      <w:r w:rsidR="004E2D7B" w:rsidRPr="006B204E">
        <w:rPr>
          <w:b w:val="0"/>
          <w:bCs/>
        </w:rPr>
        <w:t>(</w:t>
      </w:r>
      <w:r w:rsidR="004E2D7B" w:rsidRPr="006B204E">
        <w:rPr>
          <w:b w:val="0"/>
          <w:bCs/>
          <w:i/>
          <w:iCs/>
        </w:rPr>
        <w:t>continued</w:t>
      </w:r>
      <w:r w:rsidR="004E2D7B" w:rsidRPr="006B204E">
        <w:rPr>
          <w:b w:val="0"/>
          <w:bCs/>
        </w:rPr>
        <w:t>)</w:t>
      </w:r>
    </w:p>
    <w:p w14:paraId="3E53B61B" w14:textId="3F464C64" w:rsidR="004E2D7B" w:rsidRPr="006B204E" w:rsidRDefault="004E2D7B" w:rsidP="00AF0A00">
      <w:pPr>
        <w:pStyle w:val="SingleTxtG"/>
        <w:rPr>
          <w:i/>
          <w:iCs/>
        </w:rPr>
      </w:pPr>
      <w:r w:rsidRPr="006B204E">
        <w:rPr>
          <w:i/>
          <w:iCs/>
        </w:rPr>
        <w:tab/>
        <w:t xml:space="preserve">Initial report of the Republic of Seychelles </w:t>
      </w:r>
      <w:r w:rsidRPr="006B204E">
        <w:t>(</w:t>
      </w:r>
      <w:r w:rsidRPr="006B204E">
        <w:rPr>
          <w:i/>
          <w:iCs/>
        </w:rPr>
        <w:t>continued</w:t>
      </w:r>
      <w:r w:rsidRPr="006B204E">
        <w:t>) (</w:t>
      </w:r>
      <w:hyperlink r:id="rId8" w:history="1">
        <w:r w:rsidRPr="006B204E">
          <w:rPr>
            <w:rStyle w:val="Hyperlink"/>
          </w:rPr>
          <w:t>CAT/C/SCY/1</w:t>
        </w:r>
      </w:hyperlink>
      <w:r w:rsidRPr="006B204E">
        <w:t>)</w:t>
      </w:r>
    </w:p>
    <w:p w14:paraId="7ABD7932" w14:textId="03BC2864" w:rsidR="004E2D7B" w:rsidRPr="006B204E" w:rsidRDefault="004E2D7B" w:rsidP="001B6721">
      <w:pPr>
        <w:pStyle w:val="ParNoG"/>
        <w:rPr>
          <w:i/>
          <w:iCs/>
        </w:rPr>
      </w:pPr>
      <w:r w:rsidRPr="006B204E">
        <w:rPr>
          <w:i/>
          <w:iCs/>
        </w:rPr>
        <w:t xml:space="preserve">At the invitation of the Chairperson, the delegation of Seychelles joined the meeting via video link. </w:t>
      </w:r>
    </w:p>
    <w:p w14:paraId="03AD36A9" w14:textId="1BDBDA18" w:rsidR="004E2D7B" w:rsidRPr="006B204E" w:rsidRDefault="004E2D7B" w:rsidP="00A01A36">
      <w:pPr>
        <w:pStyle w:val="ParNoG"/>
      </w:pPr>
      <w:r w:rsidRPr="006B204E">
        <w:rPr>
          <w:b/>
          <w:bCs/>
        </w:rPr>
        <w:t xml:space="preserve">Mr. Barbe </w:t>
      </w:r>
      <w:r w:rsidRPr="006B204E">
        <w:t>(Seychelles), responding to questions raised at the 16</w:t>
      </w:r>
      <w:r w:rsidR="00A01A36" w:rsidRPr="006B204E">
        <w:t>64</w:t>
      </w:r>
      <w:r w:rsidRPr="006B204E">
        <w:t xml:space="preserve">th meeting in relation to legal safeguards, said that persons arrested by the police were informed immediately of the charges against them. They were also informed of their rights, which included the right to remain silent and the right to contact a lawyer by telephone. Should the lawyer prove unavailable, they could contact their families, who could contact the lawyer </w:t>
      </w:r>
      <w:r w:rsidR="00B24782" w:rsidRPr="006B204E">
        <w:t xml:space="preserve">on </w:t>
      </w:r>
      <w:r w:rsidRPr="006B204E">
        <w:t xml:space="preserve">their </w:t>
      </w:r>
      <w:r w:rsidR="00B24782" w:rsidRPr="006B204E">
        <w:t>behalf</w:t>
      </w:r>
      <w:r w:rsidRPr="006B204E">
        <w:t>. Minors also had the right to remain silent and to contact their families or legal guardians who could contact a lawyer on the minor</w:t>
      </w:r>
      <w:r w:rsidR="000A0353">
        <w:t>’</w:t>
      </w:r>
      <w:r w:rsidRPr="006B204E">
        <w:t xml:space="preserve">s behalf. Complaints against the police were filed with the internal affairs unit, which was mandated to investigate and to bring charges in such cases. Use of excessive force and abuse of authority were not considered torture under Seychelles law. There were no cases on record of police officers or prison guards denying fundamental legal safeguards to arrested persons. Were such a case to arise, the perpetrator would be brought to trial. The revision of the Police Force Act of 1959 would clarify the procedures to be followed at crime scenes and emergency and forensic procedures, as well as codifying the function of the police in more detail, </w:t>
      </w:r>
      <w:r w:rsidR="001A2190" w:rsidRPr="006B204E">
        <w:t xml:space="preserve">providing </w:t>
      </w:r>
      <w:r w:rsidRPr="006B204E">
        <w:t>greater clarity in respect of disciplinary matters.</w:t>
      </w:r>
    </w:p>
    <w:p w14:paraId="28898A2A" w14:textId="34D351AA" w:rsidR="004E2D7B" w:rsidRPr="006B204E" w:rsidRDefault="004E2D7B" w:rsidP="001B6721">
      <w:pPr>
        <w:pStyle w:val="ParNoG"/>
      </w:pPr>
      <w:r w:rsidRPr="006B204E">
        <w:rPr>
          <w:b/>
          <w:bCs/>
        </w:rPr>
        <w:t>Mr. Mondon</w:t>
      </w:r>
      <w:r w:rsidRPr="006B204E">
        <w:t xml:space="preserve"> (Seychelles) said that under certain circumstances the police and the armed forces operated jointly to maintain order and ensure security, including at national events, following disasters or serious incidents, at high-level diplomatic events or in case of a major tourism influx. The police </w:t>
      </w:r>
      <w:r w:rsidR="00A01A36" w:rsidRPr="006B204E">
        <w:t xml:space="preserve">force </w:t>
      </w:r>
      <w:r w:rsidRPr="006B204E">
        <w:t xml:space="preserve">took the leading operational role in such instances and was also the service that performed arrests or other procedural acts. Efforts had been made to upgrade police training programmes. The police training institution was closely monitored and evaluated by the Seychelles Qualifications Authority, which validated the curricula and accredited the personnel mandated to implement them. </w:t>
      </w:r>
    </w:p>
    <w:p w14:paraId="187FF403" w14:textId="7CE3BFC7" w:rsidR="004E2D7B" w:rsidRPr="006B204E" w:rsidRDefault="004E2D7B" w:rsidP="001B6721">
      <w:pPr>
        <w:pStyle w:val="ParNoG"/>
      </w:pPr>
      <w:r w:rsidRPr="006B204E">
        <w:rPr>
          <w:b/>
          <w:bCs/>
        </w:rPr>
        <w:t>Ms. Vangadasamy</w:t>
      </w:r>
      <w:r w:rsidRPr="006B204E">
        <w:t xml:space="preserve"> (Seychelles) said that to date there had been </w:t>
      </w:r>
      <w:r w:rsidR="005B2F24" w:rsidRPr="006B204E">
        <w:t xml:space="preserve">only </w:t>
      </w:r>
      <w:r w:rsidRPr="006B204E">
        <w:t xml:space="preserve">one identified case </w:t>
      </w:r>
      <w:r w:rsidR="005B2F24" w:rsidRPr="006B204E">
        <w:t xml:space="preserve">in </w:t>
      </w:r>
      <w:r w:rsidRPr="006B204E">
        <w:t>which the principle of non-refoulement had been taken into consideration in Seychelles. The person</w:t>
      </w:r>
      <w:r w:rsidR="00C9074B" w:rsidRPr="006B204E">
        <w:t xml:space="preserve"> concerned</w:t>
      </w:r>
      <w:r w:rsidRPr="006B204E">
        <w:t>, a refugee, had been allowed to stay in the country, had been given assistance, in cooperation with the Office of the United Nations High Commissioner for Refugees, and had then been relocated and resettled in another country</w:t>
      </w:r>
      <w:r w:rsidR="00BE4C39" w:rsidRPr="006B204E">
        <w:t>.</w:t>
      </w:r>
      <w:r w:rsidRPr="006B204E">
        <w:t xml:space="preserve"> There were no recorded cases of persons being extradited against their will</w:t>
      </w:r>
      <w:r w:rsidR="00961ECA" w:rsidRPr="006B204E">
        <w:t xml:space="preserve">, </w:t>
      </w:r>
      <w:r w:rsidR="00693B60" w:rsidRPr="006B204E">
        <w:t xml:space="preserve">nor were there any </w:t>
      </w:r>
      <w:r w:rsidRPr="006B204E">
        <w:t>case</w:t>
      </w:r>
      <w:r w:rsidR="00693B60" w:rsidRPr="006B204E">
        <w:t>s</w:t>
      </w:r>
      <w:r w:rsidRPr="006B204E">
        <w:t xml:space="preserve"> </w:t>
      </w:r>
      <w:r w:rsidR="00693B60" w:rsidRPr="006B204E">
        <w:t xml:space="preserve">in which the person concerned had claimed that he or she faced </w:t>
      </w:r>
      <w:r w:rsidRPr="006B204E">
        <w:t>a risk of torture or ill</w:t>
      </w:r>
      <w:r w:rsidR="00693B60" w:rsidRPr="006B204E">
        <w:t>-</w:t>
      </w:r>
      <w:r w:rsidRPr="006B204E">
        <w:t xml:space="preserve">treatment in the country of destination. </w:t>
      </w:r>
      <w:r w:rsidR="00D06A4F" w:rsidRPr="006B204E">
        <w:t xml:space="preserve">There was only one identified case of a stateless person in Seychelles. </w:t>
      </w:r>
      <w:r w:rsidRPr="006B204E">
        <w:t>There were no specific laws governing refugees and asylum seekers, although certain provisions of the Immigration Decree, 1981, applied.</w:t>
      </w:r>
    </w:p>
    <w:p w14:paraId="7FC0E610" w14:textId="4B67A43A" w:rsidR="004E2D7B" w:rsidRPr="006B204E" w:rsidRDefault="004E2D7B" w:rsidP="001B6721">
      <w:pPr>
        <w:pStyle w:val="ParNoG"/>
      </w:pPr>
      <w:r w:rsidRPr="006B204E">
        <w:t>The maximum sentence for military crimes was 180 days</w:t>
      </w:r>
      <w:r w:rsidR="000A0353">
        <w:t>’</w:t>
      </w:r>
      <w:r w:rsidRPr="006B204E">
        <w:t xml:space="preserve"> confinement, but not solitary confinement. With the assistance of international partners, including the United Nations Office on Drugs and Crime, the Government had taken steps to upgrade its training programmes in line with the Prevention of Terrorism Act, 2004. A joint task force involving the </w:t>
      </w:r>
      <w:r w:rsidR="00700E25" w:rsidRPr="006B204E">
        <w:t xml:space="preserve">law enforcement, </w:t>
      </w:r>
      <w:r w:rsidRPr="006B204E">
        <w:t xml:space="preserve">employment and immigration authorities conducted visits and investigations into reports of poor living and working conditions for migrant workers. Thirty-five visits had been conducted so far in 2018. </w:t>
      </w:r>
    </w:p>
    <w:p w14:paraId="2646DEE3" w14:textId="472A1AFD" w:rsidR="004E2D7B" w:rsidRPr="006B204E" w:rsidRDefault="004E2D7B" w:rsidP="00A01A36">
      <w:pPr>
        <w:pStyle w:val="ParNoG"/>
      </w:pPr>
      <w:r w:rsidRPr="006B204E">
        <w:t>Concerning the individual cases mentioned in the report (</w:t>
      </w:r>
      <w:hyperlink r:id="rId9" w:history="1">
        <w:r w:rsidRPr="006B204E">
          <w:rPr>
            <w:rStyle w:val="Hyperlink"/>
          </w:rPr>
          <w:t>CAT/C/SYC/1</w:t>
        </w:r>
      </w:hyperlink>
      <w:r w:rsidRPr="006B204E">
        <w:t xml:space="preserve">), one individual would be tried for murder in February 2019 in the case concerning Kevin Bristol. In respect of the case involving Robert Banane, an action plan based on recommendations made following the inquiry would be submitted for approval by the cabinet of ministers. The case of Steve Khan had also been investigated, and the final report of the investigators had been submitted on 20 July 2018. An action plan would likewise be submitted to the </w:t>
      </w:r>
      <w:r w:rsidR="003554B7" w:rsidRPr="006B204E">
        <w:t>C</w:t>
      </w:r>
      <w:r w:rsidRPr="006B204E">
        <w:t xml:space="preserve">abinet of </w:t>
      </w:r>
      <w:r w:rsidR="003554B7" w:rsidRPr="006B204E">
        <w:t>M</w:t>
      </w:r>
      <w:r w:rsidRPr="006B204E">
        <w:t xml:space="preserve">inisters for approval prior to implementation. In the sexual assault case, the police officer responsible had been charged and convicted. The Committee </w:t>
      </w:r>
      <w:r w:rsidRPr="006B204E">
        <w:lastRenderedPageBreak/>
        <w:t xml:space="preserve">should be aware, however, that the victim </w:t>
      </w:r>
      <w:r w:rsidR="00054002" w:rsidRPr="006B204E">
        <w:t xml:space="preserve">had </w:t>
      </w:r>
      <w:r w:rsidRPr="006B204E">
        <w:t xml:space="preserve">not </w:t>
      </w:r>
      <w:r w:rsidR="00054002" w:rsidRPr="006B204E">
        <w:t xml:space="preserve">been </w:t>
      </w:r>
      <w:r w:rsidRPr="006B204E">
        <w:t xml:space="preserve">in police detention at the time of the assault. </w:t>
      </w:r>
    </w:p>
    <w:p w14:paraId="6F1F52B7" w14:textId="339B1E38" w:rsidR="004E2D7B" w:rsidRPr="006B204E" w:rsidRDefault="004E2D7B" w:rsidP="008404D3">
      <w:pPr>
        <w:pStyle w:val="ParNoG"/>
      </w:pPr>
      <w:r w:rsidRPr="006B204E">
        <w:rPr>
          <w:b/>
          <w:bCs/>
        </w:rPr>
        <w:t xml:space="preserve">Ms. Nourrice </w:t>
      </w:r>
      <w:r w:rsidRPr="006B204E">
        <w:t xml:space="preserve">(Seychelles) said that the Government had proposed to repeal the section in the Children Act relating to corporal punishment. A 2017 amendment to the Education Act, 2004, banned the use of corporal punishment as a disciplinary measure in all educational establishments. Seychelles currently had no juvenile detention facilities, and no juveniles were currently in custody. The juvenile court had been applying alternatives to custodial sentences, such as probationary supervision and community service. </w:t>
      </w:r>
      <w:r w:rsidR="001C6D55" w:rsidRPr="006B204E">
        <w:t>T</w:t>
      </w:r>
      <w:r w:rsidRPr="006B204E">
        <w:t xml:space="preserve">hirteen juvenile offenders were currently under probationary supervision. The Ministry of Family Affairs, in cooperation with other ministries, had established a residential centre for juvenile delinquents, where </w:t>
      </w:r>
      <w:r w:rsidR="00512D04" w:rsidRPr="006B204E">
        <w:t xml:space="preserve">young people </w:t>
      </w:r>
      <w:r w:rsidRPr="006B204E">
        <w:t xml:space="preserve">could be placed for up to </w:t>
      </w:r>
      <w:r w:rsidR="00512D04" w:rsidRPr="006B204E">
        <w:t xml:space="preserve">6 </w:t>
      </w:r>
      <w:r w:rsidRPr="006B204E">
        <w:t>months at the order of the family tribunal.</w:t>
      </w:r>
      <w:r w:rsidR="00A622FE" w:rsidRPr="006B204E">
        <w:t xml:space="preserve"> The Ministry of Education had introduced rehabilitation programmes for </w:t>
      </w:r>
      <w:r w:rsidR="00445D0B" w:rsidRPr="006B204E">
        <w:t xml:space="preserve">young offenders, including an </w:t>
      </w:r>
      <w:r w:rsidR="00A622FE" w:rsidRPr="006B204E">
        <w:t>alternative education programme</w:t>
      </w:r>
      <w:r w:rsidR="00445D0B" w:rsidRPr="006B204E">
        <w:t>.</w:t>
      </w:r>
      <w:r w:rsidRPr="006B204E">
        <w:t xml:space="preserve"> </w:t>
      </w:r>
    </w:p>
    <w:p w14:paraId="050E3430" w14:textId="55422051" w:rsidR="004E2D7B" w:rsidRPr="006B204E" w:rsidRDefault="004E2D7B" w:rsidP="001B6721">
      <w:pPr>
        <w:pStyle w:val="ParNoG"/>
      </w:pPr>
      <w:r w:rsidRPr="006B204E">
        <w:t>The Government was carrying out awareness-raising campaigns to combat the exploitation of street children. Violence against women and girls was dealt with under the Family Violence (Protection of Victims) Act, 2000</w:t>
      </w:r>
      <w:r w:rsidR="00F03F74" w:rsidRPr="006B204E">
        <w:t>,</w:t>
      </w:r>
      <w:r w:rsidRPr="006B204E">
        <w:t xml:space="preserve"> and the Penal Code. A Domestic Violence Act was under preparation. A 2016 study had found that 58 per cent of women and 48 per cent of men had at one time in their lives experienced some form of gender-based violence.</w:t>
      </w:r>
    </w:p>
    <w:p w14:paraId="26E91DE1" w14:textId="64DE96BE" w:rsidR="004E2D7B" w:rsidRPr="006B204E" w:rsidRDefault="004E2D7B" w:rsidP="001B6721">
      <w:pPr>
        <w:pStyle w:val="ParNoG"/>
      </w:pPr>
      <w:r w:rsidRPr="006B204E">
        <w:rPr>
          <w:b/>
          <w:bCs/>
        </w:rPr>
        <w:t xml:space="preserve">Ms. Laurencine </w:t>
      </w:r>
      <w:r w:rsidRPr="006B204E">
        <w:t>(Seychelles) said that all Chagossians who had come to the Seychelles had been granted Seychelles citizenship and enjoyed full rights, including free health care, education, voting rights and equal employment opportunities. The Seychelles Anti-Corruption Commission was an independent body mandated to investigate allegations of corruption and promote honesty and integrity. It could collaborate with the Office of the Attorney General and seek assistance from any relevant State ministry or institution.</w:t>
      </w:r>
    </w:p>
    <w:p w14:paraId="2B4CFC3F" w14:textId="4A49F6A0" w:rsidR="004E2D7B" w:rsidRPr="006B204E" w:rsidRDefault="004E2D7B" w:rsidP="001B6721">
      <w:pPr>
        <w:pStyle w:val="ParNoG"/>
      </w:pPr>
      <w:r w:rsidRPr="006B204E">
        <w:rPr>
          <w:b/>
          <w:bCs/>
        </w:rPr>
        <w:t xml:space="preserve">Ms. Murugaiyan Pillay </w:t>
      </w:r>
      <w:r w:rsidRPr="006B204E">
        <w:t xml:space="preserve">(Seychelles) said that the Government was committed to maintaining robust, independent, adequately resourced human rights mechanisms, and was reviewing its National Human Rights Commission in line with the Paris Principles. The Seychelles Human Rights Commission </w:t>
      </w:r>
      <w:r w:rsidR="0058237E" w:rsidRPr="006B204E">
        <w:t xml:space="preserve">Bill </w:t>
      </w:r>
      <w:r w:rsidRPr="006B204E">
        <w:t xml:space="preserve">was currently before the National Assembly. </w:t>
      </w:r>
    </w:p>
    <w:p w14:paraId="181DAD61" w14:textId="12873EC8" w:rsidR="004E2D7B" w:rsidRPr="006B204E" w:rsidRDefault="004E2D7B" w:rsidP="001B6721">
      <w:pPr>
        <w:pStyle w:val="ParNoG"/>
      </w:pPr>
      <w:r w:rsidRPr="006B204E">
        <w:t xml:space="preserve">The Government was implementing legislation to address trafficking in persons, and specific training on the matter was provided to immigration and border control personnel. The first trafficking case, </w:t>
      </w:r>
      <w:r w:rsidR="006E363B" w:rsidRPr="006B204E">
        <w:t xml:space="preserve">which </w:t>
      </w:r>
      <w:r w:rsidRPr="006B204E">
        <w:t>involv</w:t>
      </w:r>
      <w:r w:rsidR="006E363B" w:rsidRPr="006B204E">
        <w:t>ed</w:t>
      </w:r>
      <w:r w:rsidRPr="006B204E">
        <w:t xml:space="preserve"> migrant workers, was currently being prosecuted in the Seychelles courts. The trial was in the final stages, with closing arguments expected shortly. Seychelles intended to become a party to the Optional Protocol to the Convention against Torture; to that end, consultations with relevant sectors were currently being conducted. Regarding the translation of the Convention into Creole, the Government would welcome any assistance that the Committee or the Office of the United Nations High Commissioner for Human Rights could offer.</w:t>
      </w:r>
    </w:p>
    <w:p w14:paraId="45911663" w14:textId="36E779DB" w:rsidR="00DE434F" w:rsidRPr="006B204E" w:rsidRDefault="004E2D7B" w:rsidP="001B6721">
      <w:pPr>
        <w:pStyle w:val="ParNoG"/>
      </w:pPr>
      <w:r w:rsidRPr="006B204E">
        <w:rPr>
          <w:b/>
          <w:bCs/>
        </w:rPr>
        <w:t xml:space="preserve">Mr. Karunakaran </w:t>
      </w:r>
      <w:r w:rsidRPr="006B204E">
        <w:t>(Seychelles) said that Seychelles courts could only apply laws currently on the books. However, they took care to ensure that domestic law was not interpreted in a manner that was inconsistent with any of the country</w:t>
      </w:r>
      <w:r w:rsidR="000A0353">
        <w:t>’</w:t>
      </w:r>
      <w:r w:rsidRPr="006B204E">
        <w:t xml:space="preserve">s international obligations. </w:t>
      </w:r>
      <w:r w:rsidR="00122499" w:rsidRPr="006B204E">
        <w:t xml:space="preserve">National legislation did not apply retroactively unless explicitly stipulated. </w:t>
      </w:r>
      <w:r w:rsidR="00DE434F" w:rsidRPr="006B204E">
        <w:t xml:space="preserve">While Seychelles courts exercised jurisdiction over offences occurring on Seychelles vessels or aircraft, they did not exercise universal jurisdiction. There had been no cases of persons accused of torture being extradited. </w:t>
      </w:r>
    </w:p>
    <w:p w14:paraId="6A14BDFC" w14:textId="752FDE1C" w:rsidR="004E2D7B" w:rsidRPr="006B204E" w:rsidRDefault="004E2D7B" w:rsidP="001B6721">
      <w:pPr>
        <w:pStyle w:val="ParNoG"/>
      </w:pPr>
      <w:r w:rsidRPr="006B204E">
        <w:t xml:space="preserve">The limit of 90 days for initiating proceedings before the Constitutional Court applied to any type of action initiated for any contravention of any provision in the Constitution. </w:t>
      </w:r>
      <w:r w:rsidR="003F3B4E" w:rsidRPr="006B204E">
        <w:t xml:space="preserve">The </w:t>
      </w:r>
      <w:r w:rsidRPr="006B204E">
        <w:t>Court could</w:t>
      </w:r>
      <w:r w:rsidR="003F3B4E" w:rsidRPr="006B204E">
        <w:t>, however,</w:t>
      </w:r>
      <w:r w:rsidRPr="006B204E">
        <w:t xml:space="preserve"> allow more time where sufficient reason was provided</w:t>
      </w:r>
      <w:r w:rsidR="003F3B4E" w:rsidRPr="006B204E">
        <w:t>,</w:t>
      </w:r>
      <w:r w:rsidRPr="006B204E">
        <w:t xml:space="preserve"> for example </w:t>
      </w:r>
      <w:r w:rsidR="003F3B4E" w:rsidRPr="006B204E">
        <w:t xml:space="preserve">in </w:t>
      </w:r>
      <w:r w:rsidRPr="006B204E">
        <w:t>cases related to violations of human rights. He was not in a position to say whether a definition of torture would be included in the Penal Code as part of the review process. However, he wished to point out that the Penal Code listed a number of offences that covered all the elements of physical and psychological torture as defined in the Convention. The Code set penalties for those offences, which ranged from misdemeanours, with sentences of up to three years, to felonies, which carried more severe sentences.</w:t>
      </w:r>
      <w:r w:rsidR="00630AF7" w:rsidRPr="006B204E">
        <w:t xml:space="preserve"> </w:t>
      </w:r>
    </w:p>
    <w:p w14:paraId="227D7200" w14:textId="235A1DBE" w:rsidR="00C90FB6" w:rsidRPr="006B204E" w:rsidRDefault="00C90FB6" w:rsidP="001B6721">
      <w:pPr>
        <w:pStyle w:val="ParNoG"/>
      </w:pPr>
      <w:r w:rsidRPr="006B204E">
        <w:lastRenderedPageBreak/>
        <w:t xml:space="preserve">In the case of </w:t>
      </w:r>
      <w:r w:rsidRPr="006B204E">
        <w:rPr>
          <w:i/>
          <w:iCs/>
        </w:rPr>
        <w:t>Ponnoo v. the Attorney General</w:t>
      </w:r>
      <w:r w:rsidRPr="006B204E">
        <w:t>, the Constitutional Court had considered whether the imposition of a minimum mandatory sentence, as provided for in a law or code, would be inhuman treatment amounting to torture. There had not been any other cases in which the courts had made a similar reference to torture. The courts took a strict stance when determining the admissibility of evidence, which must meet the requirements set out in the Judges</w:t>
      </w:r>
      <w:r w:rsidR="000A0353">
        <w:t>’</w:t>
      </w:r>
      <w:r w:rsidRPr="006B204E">
        <w:t xml:space="preserve"> Rules. The Criminal Procedure Code provided for an inquiry to be conducted in instances where an offence had allegedly been committed. Such inquiries were generally undertaken in cases involving the death </w:t>
      </w:r>
      <w:r w:rsidR="00E36FAF" w:rsidRPr="006B204E">
        <w:t>of someone</w:t>
      </w:r>
      <w:r w:rsidRPr="006B204E">
        <w:t>. If a contradiction were to arise between the Code of Criminal Procedure and the Judges</w:t>
      </w:r>
      <w:r w:rsidR="000A0353">
        <w:t>’</w:t>
      </w:r>
      <w:r w:rsidRPr="006B204E">
        <w:t xml:space="preserve"> Rules, the Code would take precedence. However, no such contradictions existed. </w:t>
      </w:r>
    </w:p>
    <w:p w14:paraId="48709882" w14:textId="759E5685" w:rsidR="00C90FB6" w:rsidRPr="006B204E" w:rsidRDefault="00C90FB6" w:rsidP="001B6721">
      <w:pPr>
        <w:pStyle w:val="ParNoG"/>
      </w:pPr>
      <w:r w:rsidRPr="006B204E">
        <w:t>A number of measures had been adopted to accelerate the legal process and reduce the length of pretrial detention. In any case, for convicted persons</w:t>
      </w:r>
      <w:r w:rsidR="00DB002D" w:rsidRPr="006B204E">
        <w:t>,</w:t>
      </w:r>
      <w:r w:rsidRPr="006B204E">
        <w:t xml:space="preserve"> time spent on remand counted towards the time to be spent in prison</w:t>
      </w:r>
      <w:r w:rsidR="00DB002D" w:rsidRPr="006B204E">
        <w:t xml:space="preserve">. The </w:t>
      </w:r>
      <w:r w:rsidRPr="006B204E">
        <w:t>courts had awarded compensation to the victims</w:t>
      </w:r>
      <w:r w:rsidR="00DB002D" w:rsidRPr="006B204E">
        <w:t xml:space="preserve"> </w:t>
      </w:r>
      <w:r w:rsidR="00705CBC" w:rsidRPr="006B204E">
        <w:t xml:space="preserve">in </w:t>
      </w:r>
      <w:r w:rsidR="00DB002D" w:rsidRPr="006B204E">
        <w:t xml:space="preserve">cases of </w:t>
      </w:r>
      <w:r w:rsidR="00705CBC" w:rsidRPr="006B204E">
        <w:t xml:space="preserve">unlawful </w:t>
      </w:r>
      <w:r w:rsidR="00DB002D" w:rsidRPr="006B204E">
        <w:t>detention</w:t>
      </w:r>
      <w:r w:rsidRPr="006B204E">
        <w:t>. In rare instances, they had imposed punitive damages on the State, mainly in cases involving medical negligence. Civil claims against public officials were always brought against the State, not the official</w:t>
      </w:r>
      <w:r w:rsidR="00736377" w:rsidRPr="006B204E">
        <w:t xml:space="preserve"> concerned</w:t>
      </w:r>
      <w:r w:rsidRPr="006B204E">
        <w:t xml:space="preserve">, who was subject to a separate disciplinary process. There was no national register of violations of fundamental legal safeguards during arrest and pretrial detention. Judges had been recruited from abroad in the past, but increasingly an effort was being made to appoint Seychelles nationals as judges. Unlike foreign judges, nationals were not employed on a contractual basis. </w:t>
      </w:r>
    </w:p>
    <w:p w14:paraId="229782BA" w14:textId="037BAD85" w:rsidR="00C90FB6" w:rsidRPr="006B204E" w:rsidRDefault="00C90FB6" w:rsidP="001B6721">
      <w:pPr>
        <w:pStyle w:val="ParNoG"/>
      </w:pPr>
      <w:r w:rsidRPr="006B204E">
        <w:t>The delegation had done its best to answer the Committee</w:t>
      </w:r>
      <w:r w:rsidR="000A0353">
        <w:t>’</w:t>
      </w:r>
      <w:r w:rsidRPr="006B204E">
        <w:t>s many questions; however, some of them appeared not to fall within the ambit of the Convention.</w:t>
      </w:r>
    </w:p>
    <w:p w14:paraId="297EE8B2" w14:textId="12785031" w:rsidR="00C90FB6" w:rsidRPr="006B204E" w:rsidRDefault="00C90FB6" w:rsidP="001B6721">
      <w:pPr>
        <w:pStyle w:val="ParNoG"/>
      </w:pPr>
      <w:r w:rsidRPr="006B204E">
        <w:rPr>
          <w:b/>
          <w:bCs/>
        </w:rPr>
        <w:t>Mr. St. Ange</w:t>
      </w:r>
      <w:r w:rsidRPr="006B204E">
        <w:t xml:space="preserve"> (Seychelles) said that the review of the Prisons Act would focus on promoting prisoner rehabilitation. Planned amendments included improving the prison management structure, changing the name of the Prison Service to </w:t>
      </w:r>
      <w:r w:rsidR="000A0353">
        <w:t>“</w:t>
      </w:r>
      <w:r w:rsidRPr="006B204E">
        <w:t>Corrections Service</w:t>
      </w:r>
      <w:r w:rsidR="000A0353">
        <w:t>”</w:t>
      </w:r>
      <w:r w:rsidRPr="006B204E">
        <w:t xml:space="preserve"> and repealing section 40 on the death penalty. The Prison Service was drafting a training manual, which would include a module in Creole on the provisions of the Convention and the Nelson Mandela Rules. The Ministry of Health provided training for health-care professionals employed by the Prison Service. He was unable to provide information on training for judges, which was the responsibility of the judiciary.</w:t>
      </w:r>
    </w:p>
    <w:p w14:paraId="04B1C750" w14:textId="48BD1176" w:rsidR="00C90FB6" w:rsidRPr="006B204E" w:rsidRDefault="00C90FB6" w:rsidP="001B6721">
      <w:pPr>
        <w:pStyle w:val="ParNoG"/>
      </w:pPr>
      <w:r w:rsidRPr="006B204E">
        <w:t xml:space="preserve">The Ombudsman had so far conducted two monitoring visits to the Montagne Posée prison in 2018, one to meet with prisoners who had submitted a joint complaint to the Ombudsman and another to discuss the situation of a woman prisoner. The Prison Advisory Board had also visited the prison and held meetings with inmates on several occasions and intended to conduct an initial visit to the remand facility in the near future. Civil society organizations and religious organizations had also visited Montagne Posée prison and met with prisoners. </w:t>
      </w:r>
    </w:p>
    <w:p w14:paraId="333808F4" w14:textId="29782FD9" w:rsidR="00C90FB6" w:rsidRPr="006B204E" w:rsidRDefault="00C90FB6" w:rsidP="008404D3">
      <w:pPr>
        <w:pStyle w:val="ParNoG"/>
      </w:pPr>
      <w:r w:rsidRPr="006B204E">
        <w:t xml:space="preserve">Section 35 of the Prisons Act empowered the President to declare any place in Seychelles a special prison. The former President had declared a section of Marie-Louise Island a special prison. The President had pardoned </w:t>
      </w:r>
      <w:r w:rsidR="008404D3" w:rsidRPr="006B204E">
        <w:t>nine</w:t>
      </w:r>
      <w:r w:rsidRPr="006B204E">
        <w:t xml:space="preserve"> women prisoners in 2016, which represented 32 per cent of the total female prison population. In comparison, the 71 men who had been pardoned represented only 17 per cent of the male prison population. </w:t>
      </w:r>
    </w:p>
    <w:p w14:paraId="07BC37A9" w14:textId="373CB649" w:rsidR="00C90FB6" w:rsidRPr="006B204E" w:rsidRDefault="002C61BC" w:rsidP="001B6721">
      <w:pPr>
        <w:pStyle w:val="ParNoG"/>
      </w:pPr>
      <w:r w:rsidRPr="006B204E">
        <w:t xml:space="preserve">Female </w:t>
      </w:r>
      <w:r w:rsidR="00C90FB6" w:rsidRPr="006B204E">
        <w:t xml:space="preserve">prisoners had access to the same educational, vocational and rehabilitation programmes and services as </w:t>
      </w:r>
      <w:r w:rsidRPr="006B204E">
        <w:t xml:space="preserve">male </w:t>
      </w:r>
      <w:r w:rsidR="00C90FB6" w:rsidRPr="006B204E">
        <w:t>prisoners. There were currently 20 women held in the women</w:t>
      </w:r>
      <w:r w:rsidR="000A0353">
        <w:t>’</w:t>
      </w:r>
      <w:r w:rsidR="00C90FB6" w:rsidRPr="006B204E">
        <w:t>s block at the Montagne Posée prison, 14 of whom were serving sentences and 6 were on remand. There were no plans to construct a separate facility for women pretrial detainees, since Montagne Posée had ample capacity to house both convicted and remand inmates, particularly as an additional 12-bed block had recently been added to the women</w:t>
      </w:r>
      <w:r w:rsidR="000A0353">
        <w:t>’</w:t>
      </w:r>
      <w:r w:rsidR="00C90FB6" w:rsidRPr="006B204E">
        <w:t>s wing. Remand detainees were always held separately from convicted prisoners.</w:t>
      </w:r>
    </w:p>
    <w:p w14:paraId="2BE30998" w14:textId="3DCF2117" w:rsidR="00C90FB6" w:rsidRPr="006B204E" w:rsidRDefault="00C90FB6" w:rsidP="001B6721">
      <w:pPr>
        <w:pStyle w:val="ParNoG"/>
      </w:pPr>
      <w:r w:rsidRPr="006B204E">
        <w:t>Juveniles were housed in a separate area that had originally been designed for women prisoners with babies and young children. Only one young offender had been housed in that block in recent years and he had since been released. The Prison Service had been instructed to prepare to assume responsibility for managing any juvenile offenders who might be housed at the newly built facility on Praslin Island.</w:t>
      </w:r>
      <w:r w:rsidR="00854C69" w:rsidRPr="006B204E">
        <w:t xml:space="preserve"> </w:t>
      </w:r>
      <w:r w:rsidRPr="006B204E">
        <w:t xml:space="preserve">Prisoners with special needs were housed in a separate unit or, for those unable to reside in that unit, a temporary </w:t>
      </w:r>
      <w:r w:rsidRPr="006B204E">
        <w:lastRenderedPageBreak/>
        <w:t xml:space="preserve">holding facility at the Montagne Posée prison. Efforts were under way to make all areas of the prison more accessible, including by installing ramps. </w:t>
      </w:r>
    </w:p>
    <w:p w14:paraId="3FF3C76A" w14:textId="4E35350A" w:rsidR="00C90FB6" w:rsidRPr="006B204E" w:rsidRDefault="00C90FB6" w:rsidP="001B6721">
      <w:pPr>
        <w:pStyle w:val="ParNoG"/>
      </w:pPr>
      <w:r w:rsidRPr="006B204E">
        <w:t xml:space="preserve">There had been 33 cases of inter-prisoner violence recorded between 1 January and 30 June 2018. No violence-related complaints had been received via the official complaints mechanism. </w:t>
      </w:r>
      <w:r w:rsidR="00E23255" w:rsidRPr="006B204E">
        <w:t xml:space="preserve">However, several </w:t>
      </w:r>
      <w:r w:rsidRPr="006B204E">
        <w:t xml:space="preserve">prisoners had approached prison guards directly to register complaints, which </w:t>
      </w:r>
      <w:r w:rsidR="006964D9" w:rsidRPr="006B204E">
        <w:t xml:space="preserve">had been </w:t>
      </w:r>
      <w:r w:rsidRPr="006B204E">
        <w:t>duly recorded. During the same period, the Prison Service had received 35 complaints through the complaints mechanism relating to prisoner welfare issues</w:t>
      </w:r>
      <w:r w:rsidR="000B17B9" w:rsidRPr="006B204E">
        <w:t>,</w:t>
      </w:r>
      <w:r w:rsidRPr="006B204E">
        <w:t xml:space="preserve"> such as the length of visiting time. None of the complaints had resulted in disciplinary action being taken. </w:t>
      </w:r>
    </w:p>
    <w:p w14:paraId="0635F405" w14:textId="00F5FD12" w:rsidR="00C90FB6" w:rsidRPr="006B204E" w:rsidRDefault="00C90FB6" w:rsidP="001B6721">
      <w:pPr>
        <w:pStyle w:val="ParNoG"/>
      </w:pPr>
      <w:r w:rsidRPr="006B204E">
        <w:t xml:space="preserve">Concerning methadone and needle exchange programmes, the prison authorities had conducted a survey in July 2018 to ascertain the extent of drug use and </w:t>
      </w:r>
      <w:r w:rsidR="00A01A36" w:rsidRPr="006B204E">
        <w:t xml:space="preserve">the </w:t>
      </w:r>
      <w:r w:rsidRPr="006B204E">
        <w:t xml:space="preserve">prevalence of HIV and hepatitis C infection among prisoners. The findings of that survey would be discussed with health authorities in the near future. </w:t>
      </w:r>
    </w:p>
    <w:p w14:paraId="5EDF145E" w14:textId="4B05AA8B" w:rsidR="00C90FB6" w:rsidRPr="006B204E" w:rsidRDefault="00C90FB6" w:rsidP="001B6721">
      <w:pPr>
        <w:pStyle w:val="ParNoG"/>
      </w:pPr>
      <w:r w:rsidRPr="006B204E">
        <w:t xml:space="preserve">Under its agreement with the United Nations Office on Drugs and Crime, the Government was obliged to repatriate Somali prisoners convicted of piracy when </w:t>
      </w:r>
      <w:r w:rsidR="000C73B1" w:rsidRPr="006B204E">
        <w:t xml:space="preserve">requested </w:t>
      </w:r>
      <w:r w:rsidRPr="006B204E">
        <w:t xml:space="preserve">to do so. It had received no reports that a former Somali prisoner held in Seychelles had died as a result of ill-treatment. Somali nationals serving prison sentences in Seychelles received the same treatment as other prisoners and had full access to prison health-care facilities. </w:t>
      </w:r>
    </w:p>
    <w:p w14:paraId="126B1407" w14:textId="39235C84" w:rsidR="00C90FB6" w:rsidRPr="00826D37" w:rsidRDefault="00C90FB6" w:rsidP="001C25DF">
      <w:pPr>
        <w:pStyle w:val="ParNoG"/>
      </w:pPr>
      <w:r w:rsidRPr="006B204E">
        <w:rPr>
          <w:b/>
          <w:bCs/>
        </w:rPr>
        <w:t xml:space="preserve">Mr. Hani </w:t>
      </w:r>
      <w:r w:rsidRPr="006B204E">
        <w:t>(Country Rapporteur), welcoming the State party</w:t>
      </w:r>
      <w:r w:rsidR="000A0353">
        <w:t>’</w:t>
      </w:r>
      <w:r w:rsidRPr="006B204E">
        <w:t>s willingness to translate the Convention and the Committee</w:t>
      </w:r>
      <w:r w:rsidR="000A0353">
        <w:t>’</w:t>
      </w:r>
      <w:r w:rsidRPr="006B204E">
        <w:t xml:space="preserve">s concluding observations into Creole, said that all of the questions the Committee had raised at the 1664th meeting fell within the scope of the Convention as it had been interpreted by the Committee through its jurisprudence, which he invited the delegation to consult. He urged the Government to take steps to incorporate </w:t>
      </w:r>
      <w:r w:rsidR="001C25DF" w:rsidRPr="006B204E">
        <w:t>a</w:t>
      </w:r>
      <w:r w:rsidRPr="006B204E">
        <w:t xml:space="preserve"> definition of torture into the Penal Code</w:t>
      </w:r>
      <w:r w:rsidR="000D22DE" w:rsidRPr="006B204E">
        <w:t xml:space="preserve">, in line with </w:t>
      </w:r>
      <w:r w:rsidR="00BB676D" w:rsidRPr="006B204E">
        <w:t>article 1 of the Convention,</w:t>
      </w:r>
      <w:r w:rsidRPr="006B204E">
        <w:t xml:space="preserve"> and </w:t>
      </w:r>
      <w:r w:rsidR="00BB676D" w:rsidRPr="006B204E">
        <w:t xml:space="preserve">to </w:t>
      </w:r>
      <w:r w:rsidRPr="006B204E">
        <w:t>establish sanctions for the offence, in line with article 4.</w:t>
      </w:r>
      <w:r w:rsidR="00BB676D" w:rsidRPr="006B204E">
        <w:t xml:space="preserve"> </w:t>
      </w:r>
      <w:r w:rsidRPr="00826D37">
        <w:t>He would appreciate an update on the progress made in reviewing the Penal Code</w:t>
      </w:r>
      <w:r w:rsidR="00BB676D" w:rsidRPr="00826D37">
        <w:t xml:space="preserve"> and</w:t>
      </w:r>
      <w:r w:rsidRPr="00826D37">
        <w:t xml:space="preserve"> would particularly like to know whether the Convention was being taken into account as part of the review.</w:t>
      </w:r>
    </w:p>
    <w:p w14:paraId="30EC1029" w14:textId="5A6FFF12" w:rsidR="00C90FB6" w:rsidRPr="00826D37" w:rsidRDefault="00C90FB6" w:rsidP="001B6721">
      <w:pPr>
        <w:pStyle w:val="ParNoG"/>
      </w:pPr>
      <w:r w:rsidRPr="00826D37">
        <w:t>With regard to fundamental legal safeguards, he wished to know what legislative provision guaranteed the right of adults deprived of their liberty to contact a family member or close acquaintance.</w:t>
      </w:r>
      <w:r w:rsidR="00344BEF" w:rsidRPr="00826D37">
        <w:t xml:space="preserve"> </w:t>
      </w:r>
      <w:r w:rsidRPr="00826D37">
        <w:t xml:space="preserve">Similarly, he would appreciate information on their right to have a medical examination by an independent physician of their choice. With regard to </w:t>
      </w:r>
      <w:r w:rsidR="00E36FAF" w:rsidRPr="00826D37">
        <w:t>the involvement</w:t>
      </w:r>
      <w:r w:rsidRPr="00826D37">
        <w:t xml:space="preserve"> of the armed forces in police operations, he asked whether the armed forces in some cases arrested people, for example during one of the serious incidents to which the delegation had alluded, and if so whether fundamental legal safeguards were respected.</w:t>
      </w:r>
    </w:p>
    <w:p w14:paraId="6B34B089" w14:textId="20A91F90" w:rsidR="00C90FB6" w:rsidRPr="00826D37" w:rsidRDefault="00C90FB6" w:rsidP="001B6721">
      <w:pPr>
        <w:pStyle w:val="ParNoG"/>
      </w:pPr>
      <w:r w:rsidRPr="00826D37">
        <w:t>He would like to hear how the State party would ensure coordination of the inspection work of the Office of the Ombudsman, the National Human Rights Commission and the national preventive mechanism that would be created after Seychelles</w:t>
      </w:r>
      <w:r w:rsidR="004745A5" w:rsidRPr="00826D37">
        <w:t xml:space="preserve"> </w:t>
      </w:r>
      <w:r w:rsidRPr="00826D37">
        <w:t xml:space="preserve">ratified the </w:t>
      </w:r>
      <w:bookmarkStart w:id="1" w:name="hit1"/>
      <w:bookmarkEnd w:id="1"/>
      <w:r w:rsidRPr="00826D37">
        <w:t xml:space="preserve">Optional </w:t>
      </w:r>
      <w:bookmarkStart w:id="2" w:name="hit2"/>
      <w:bookmarkEnd w:id="2"/>
      <w:r w:rsidRPr="00826D37">
        <w:t xml:space="preserve">Protocol </w:t>
      </w:r>
      <w:bookmarkStart w:id="3" w:name="hit3"/>
      <w:bookmarkEnd w:id="3"/>
      <w:r w:rsidRPr="00826D37">
        <w:t xml:space="preserve">to </w:t>
      </w:r>
      <w:bookmarkStart w:id="4" w:name="hit4"/>
      <w:bookmarkEnd w:id="4"/>
      <w:r w:rsidRPr="00826D37">
        <w:t xml:space="preserve">the </w:t>
      </w:r>
      <w:bookmarkStart w:id="5" w:name="hit5"/>
      <w:bookmarkEnd w:id="5"/>
      <w:r w:rsidRPr="00826D37">
        <w:t xml:space="preserve">Convention. The visits conducted to the Montagne Posée prison could be described as </w:t>
      </w:r>
      <w:r w:rsidR="000A0353" w:rsidRPr="00826D37">
        <w:t>“</w:t>
      </w:r>
      <w:r w:rsidRPr="00826D37">
        <w:t>reactive</w:t>
      </w:r>
      <w:r w:rsidR="000A0353" w:rsidRPr="00826D37">
        <w:t>”</w:t>
      </w:r>
      <w:r w:rsidRPr="00826D37">
        <w:t xml:space="preserve"> visits, made in response to a complaint, whereas preventive visits would be conducted under the Optional Protocol in order to detect systemic risks of torture.</w:t>
      </w:r>
      <w:r w:rsidR="00344BEF" w:rsidRPr="00826D37">
        <w:t xml:space="preserve"> </w:t>
      </w:r>
      <w:r w:rsidRPr="00826D37">
        <w:t>In that connection, he would appreciate more information on how the Government was preparing for ratification of the Optional Protocol, in particular with regard to training and awareness-raising on the role of the national preventive mechanism.</w:t>
      </w:r>
    </w:p>
    <w:p w14:paraId="5F656816" w14:textId="4B8C7BE9" w:rsidR="00C90FB6" w:rsidRPr="006B204E" w:rsidRDefault="00C90FB6" w:rsidP="00A4413D">
      <w:pPr>
        <w:pStyle w:val="ParNoG"/>
      </w:pPr>
      <w:r w:rsidRPr="00826D37">
        <w:t>He would welcome more details of the action plans the delegation had referred to in relation to the cases of Robert Banane, Steve Kh</w:t>
      </w:r>
      <w:r w:rsidR="00A4413D" w:rsidRPr="00826D37">
        <w:t>a</w:t>
      </w:r>
      <w:r w:rsidRPr="00826D37">
        <w:t>n and Kevin Bristol. He would also appreciate clarification as to what specific offences were deemed to constitute torture under the Penal Code. In addition, he wished to know the statute of limitations for those offences. The delegation had said that in some cases the 90-day deadline for referring rights violations to the Constitutional Court could be extended; could examples of such cases be provided</w:t>
      </w:r>
      <w:r w:rsidRPr="006B204E">
        <w:t>?</w:t>
      </w:r>
      <w:r w:rsidR="00344BEF" w:rsidRPr="006B204E">
        <w:t xml:space="preserve"> </w:t>
      </w:r>
    </w:p>
    <w:p w14:paraId="5056F89F" w14:textId="65EC20D6" w:rsidR="00C90FB6" w:rsidRPr="00826D37" w:rsidRDefault="00C90FB6" w:rsidP="001B6721">
      <w:pPr>
        <w:pStyle w:val="ParNoG"/>
      </w:pPr>
      <w:r w:rsidRPr="00826D37">
        <w:t>Contrary to the delegation</w:t>
      </w:r>
      <w:r w:rsidR="000A0353" w:rsidRPr="00826D37">
        <w:t>’</w:t>
      </w:r>
      <w:r w:rsidRPr="00826D37">
        <w:t xml:space="preserve">s assertion that all Chagossians had been granted Seychelles citizenship and enjoyed all rights available to nationals, the Committee had been told that some of them continued to be in a situation of de facto statelessness; he would </w:t>
      </w:r>
      <w:r w:rsidRPr="00826D37">
        <w:lastRenderedPageBreak/>
        <w:t>appreciate more information in that regard. He would also welcome statistics on the number of times legal aid had been granted to indigent persons. Similarly, he would be grateful for statistics regarding cases in which damages had been paid to persons who had been unlawfully detained. In particular, he wished to know more about the cases in which the State had been ordered to pay punitive damages for medical negligence. Had any of those cases concerned persons who had been arrested or detained? If so, the medical negligence would amount to ill-treatment.</w:t>
      </w:r>
    </w:p>
    <w:p w14:paraId="3A321A5E" w14:textId="7A148540" w:rsidR="00C90FB6" w:rsidRPr="00826D37" w:rsidRDefault="00C90FB6" w:rsidP="001B6721">
      <w:pPr>
        <w:pStyle w:val="ParNoG"/>
      </w:pPr>
      <w:r w:rsidRPr="00826D37">
        <w:t xml:space="preserve">He would like to hear how violations of fundamental legal safeguards were punished, and </w:t>
      </w:r>
      <w:r w:rsidR="00074876" w:rsidRPr="00826D37">
        <w:t xml:space="preserve">would like to know </w:t>
      </w:r>
      <w:r w:rsidRPr="00826D37">
        <w:t xml:space="preserve">whether the State party intended to introduce </w:t>
      </w:r>
      <w:r w:rsidR="00074876" w:rsidRPr="00826D37">
        <w:t xml:space="preserve">a </w:t>
      </w:r>
      <w:r w:rsidRPr="00826D37">
        <w:t xml:space="preserve">register to keep track of such violations. Lastly, he wished to point out that the State party would need to incorporate the principle of universal jurisdiction into its amended Penal Code in order to bring it into line with the Convention. </w:t>
      </w:r>
    </w:p>
    <w:p w14:paraId="2F2A65F6" w14:textId="4F0CDBA2" w:rsidR="00C90FB6" w:rsidRPr="00826D37" w:rsidRDefault="00C90FB6" w:rsidP="00B10AB1">
      <w:pPr>
        <w:pStyle w:val="ParNoG"/>
      </w:pPr>
      <w:r w:rsidRPr="00826D37">
        <w:rPr>
          <w:b/>
          <w:bCs/>
        </w:rPr>
        <w:t>Mr. Tuzmukhamedov</w:t>
      </w:r>
      <w:r w:rsidR="001C25DF" w:rsidRPr="00826D37">
        <w:rPr>
          <w:b/>
          <w:bCs/>
        </w:rPr>
        <w:t xml:space="preserve"> </w:t>
      </w:r>
      <w:r w:rsidR="001C25DF" w:rsidRPr="00826D37">
        <w:t>(Country Rapporteur)</w:t>
      </w:r>
      <w:r w:rsidRPr="00826D37">
        <w:t xml:space="preserve">, </w:t>
      </w:r>
      <w:r w:rsidRPr="00826D37">
        <w:rPr>
          <w:bCs/>
        </w:rPr>
        <w:t>noting</w:t>
      </w:r>
      <w:r w:rsidRPr="00826D37">
        <w:t xml:space="preserve"> that the State party had adopted antiterrorism legislation in 2004, said that he would appreciate information on training received by law enforcement agencies on managing threats and acts of terrorism, including on the rights of persons suspected or convicted of acts of terrorism. He would appreciate written confirmation of the total number of persons in detention, disaggregated by sex and citizenship, and distinguishing between those who had been convicted and those who were in pretrial or remand detention. With regard to special prisons, he wished to know their purpose. </w:t>
      </w:r>
    </w:p>
    <w:p w14:paraId="089651BB" w14:textId="553471A4" w:rsidR="00C90FB6" w:rsidRPr="00826D37" w:rsidRDefault="00C90FB6" w:rsidP="001B6721">
      <w:pPr>
        <w:pStyle w:val="ParNoG"/>
      </w:pPr>
      <w:r w:rsidRPr="00826D37">
        <w:t xml:space="preserve">He would appreciate information on the progress made in drafting the Human Rights Commission </w:t>
      </w:r>
      <w:r w:rsidR="00074876" w:rsidRPr="00826D37">
        <w:t>Bill</w:t>
      </w:r>
      <w:r w:rsidRPr="00826D37">
        <w:t>. Noting that current legislation appeared to suggest that children between the ages of 7 and 12 could be held criminally responsible, he asked whether the State party was considering raising the minimum age of criminal responsibility, in line with international standards. With regard to allegations of deplorable living conditions of foreign workers in Seychelles, he wished to receive more information on the work of the inter</w:t>
      </w:r>
      <w:r w:rsidR="00C00737" w:rsidRPr="00826D37">
        <w:t>-</w:t>
      </w:r>
      <w:r w:rsidRPr="00826D37">
        <w:t xml:space="preserve">agency task force and on any disciplinary action that was being considered. </w:t>
      </w:r>
    </w:p>
    <w:p w14:paraId="09CA31BA" w14:textId="058BFEE4" w:rsidR="00C90FB6" w:rsidRPr="00826D37" w:rsidRDefault="00C90FB6" w:rsidP="001B6721">
      <w:pPr>
        <w:pStyle w:val="ParNoG"/>
      </w:pPr>
      <w:r w:rsidRPr="00826D37">
        <w:rPr>
          <w:b/>
          <w:bCs/>
        </w:rPr>
        <w:t>Ms. Belmir</w:t>
      </w:r>
      <w:r w:rsidRPr="00826D37">
        <w:t xml:space="preserve"> asked whether there had been any referrals to the Anti-Corruption Commission of cases concerning persons working in the judicial system.</w:t>
      </w:r>
    </w:p>
    <w:p w14:paraId="2CE2684A" w14:textId="66BE1874" w:rsidR="00C90FB6" w:rsidRPr="00826D37" w:rsidRDefault="00C90FB6" w:rsidP="001B6721">
      <w:pPr>
        <w:pStyle w:val="ParNoG"/>
      </w:pPr>
      <w:r w:rsidRPr="00826D37">
        <w:rPr>
          <w:b/>
          <w:bCs/>
        </w:rPr>
        <w:t>Mr. Rodríguez-Pinzón</w:t>
      </w:r>
      <w:r w:rsidRPr="00826D37">
        <w:rPr>
          <w:b/>
        </w:rPr>
        <w:t xml:space="preserve"> </w:t>
      </w:r>
      <w:r w:rsidRPr="00826D37">
        <w:t>said that he would be grateful if the delegation could obtain and provide information on training for judicial officials.</w:t>
      </w:r>
    </w:p>
    <w:p w14:paraId="04C7AFCF" w14:textId="25BD0E76" w:rsidR="00C90FB6" w:rsidRPr="00826D37" w:rsidRDefault="00C90FB6" w:rsidP="001B6721">
      <w:pPr>
        <w:pStyle w:val="ParNoG"/>
      </w:pPr>
      <w:r w:rsidRPr="00826D37">
        <w:rPr>
          <w:b/>
          <w:bCs/>
        </w:rPr>
        <w:t>The Chair</w:t>
      </w:r>
      <w:r w:rsidRPr="00826D37">
        <w:t>, noting that the prevalence of HIV/AIDS among inmates was extremely high, said that the Committee wished to have information on the number of inmates who had contracted HIV while in prison. He wondered why not all HIV-infected inmates were taking antiretrovirals. He had understood the head of delegation to say that a methadone programme and a needle-exchange programme were being considered, but would appreciate confirmation.</w:t>
      </w:r>
    </w:p>
    <w:p w14:paraId="7BB05244" w14:textId="60A3560E" w:rsidR="00C90FB6" w:rsidRPr="00826D37" w:rsidRDefault="00C90FB6" w:rsidP="001B6721">
      <w:pPr>
        <w:pStyle w:val="ParNoG"/>
      </w:pPr>
      <w:r w:rsidRPr="00826D37">
        <w:rPr>
          <w:b/>
          <w:bCs/>
        </w:rPr>
        <w:t>Mr. Hani</w:t>
      </w:r>
      <w:r w:rsidRPr="00826D37">
        <w:t xml:space="preserve"> said that he had not heard a reply to his question concerning the provisions in the Extradition Act of 1991 that might be used to prohibit the expulsion, return or extradition of a person to a State where that person might be tortured. He wondered whether the State party intended to amend its extradition agreements to include the crime of torture as an extraditable offence. He would appreciate further clarification regarding the penalty of confinement to barracks for members of the military. How was it implemented and did it not essentially amount to solitary confinement? He wished to know how many foreign judges were currently working in Seychelles on short-term contracts. He would also like to hear the delegation</w:t>
      </w:r>
      <w:r w:rsidR="000A0353" w:rsidRPr="00826D37">
        <w:t>’</w:t>
      </w:r>
      <w:r w:rsidRPr="00826D37">
        <w:t xml:space="preserve">s comments on </w:t>
      </w:r>
      <w:r w:rsidR="00E36FAF" w:rsidRPr="00826D37">
        <w:t>allegations of</w:t>
      </w:r>
      <w:r w:rsidRPr="00826D37">
        <w:t xml:space="preserve"> corruption in the judicial system. Concerning the case of human trafficking currently being tried, which he understood involved persons from Bangladesh, press articles about the case had alluded to ill-treatment; he would be grateful for further information in that regard. He found it troubling that, under the Prisons Act, any place in Seychelles could be declared a special prison at any time by the President, which could lead to the creation of secret prisons. Would that provision be reviewed during the forthcoming revision of the Act?</w:t>
      </w:r>
    </w:p>
    <w:p w14:paraId="3650F224" w14:textId="77777777" w:rsidR="00C90FB6" w:rsidRPr="006B204E" w:rsidRDefault="00C90FB6" w:rsidP="00F77B47">
      <w:pPr>
        <w:pStyle w:val="SingleTxtG"/>
        <w:rPr>
          <w:i/>
          <w:iCs/>
        </w:rPr>
      </w:pPr>
      <w:r w:rsidRPr="006B204E">
        <w:rPr>
          <w:i/>
          <w:iCs/>
        </w:rPr>
        <w:t>The meeting was suspended at 11.50 a.m. and resumed at 12.25 p.m.</w:t>
      </w:r>
    </w:p>
    <w:p w14:paraId="5A66173C" w14:textId="4C8B14A0" w:rsidR="00C90FB6" w:rsidRPr="006B204E" w:rsidRDefault="00C90FB6" w:rsidP="001B6721">
      <w:pPr>
        <w:pStyle w:val="ParNoG"/>
      </w:pPr>
      <w:r w:rsidRPr="006B204E">
        <w:rPr>
          <w:b/>
          <w:bCs/>
        </w:rPr>
        <w:t xml:space="preserve">Mr. Mondon </w:t>
      </w:r>
      <w:r w:rsidRPr="006B204E">
        <w:t xml:space="preserve">(Seychelles) said that the police took the leading role in joint operations with the armed forces. The armed forces usually took responsibility for </w:t>
      </w:r>
      <w:r w:rsidRPr="006B204E">
        <w:lastRenderedPageBreak/>
        <w:t xml:space="preserve">protecting personnel and facilities during search operations. In the rare cases in which army </w:t>
      </w:r>
      <w:r w:rsidR="003B4E18" w:rsidRPr="006B204E">
        <w:t xml:space="preserve">personnel were </w:t>
      </w:r>
      <w:r w:rsidRPr="006B204E">
        <w:t xml:space="preserve">required, as a last resort, to make an arrest, </w:t>
      </w:r>
      <w:r w:rsidR="003B4E18" w:rsidRPr="006B204E">
        <w:t xml:space="preserve">they </w:t>
      </w:r>
      <w:r w:rsidRPr="006B204E">
        <w:t>made a citizen</w:t>
      </w:r>
      <w:r w:rsidR="000A0353">
        <w:t>’</w:t>
      </w:r>
      <w:r w:rsidRPr="006B204E">
        <w:t>s arrest.</w:t>
      </w:r>
    </w:p>
    <w:p w14:paraId="19962F91" w14:textId="189B1A65" w:rsidR="00C90FB6" w:rsidRPr="006B204E" w:rsidRDefault="00C90FB6" w:rsidP="001B6721">
      <w:pPr>
        <w:pStyle w:val="ParNoG"/>
      </w:pPr>
      <w:r w:rsidRPr="006B204E">
        <w:rPr>
          <w:b/>
          <w:bCs/>
        </w:rPr>
        <w:t>Mr. Barbe</w:t>
      </w:r>
      <w:r w:rsidRPr="006B204E">
        <w:t xml:space="preserve"> (Seychelles) said that the fundamental legal safeguards in cases of arrest or detention were set out in the Seychellois Charter of Fundamental Human Rights and Freedoms, article 18 (3) of which provided that a person who was arrested had the right to be informed at the time, or as soon as practicable, of the reason for the arrest or detention, in a language that the person concerned understood, and also that an arrested person had the right to remain silent, to select legal counsel and, in the case of minors, to contact a parent or guardian. Access to medical care when in detention was not specifically provided for by law, but care was provided on request.</w:t>
      </w:r>
    </w:p>
    <w:p w14:paraId="31AB8E31" w14:textId="22D82506" w:rsidR="00C90FB6" w:rsidRPr="006B204E" w:rsidRDefault="00C90FB6" w:rsidP="001B6721">
      <w:pPr>
        <w:pStyle w:val="ParNoG"/>
      </w:pPr>
      <w:r w:rsidRPr="006B204E">
        <w:rPr>
          <w:b/>
          <w:bCs/>
        </w:rPr>
        <w:t>Ms. Laurencine</w:t>
      </w:r>
      <w:r w:rsidRPr="006B204E">
        <w:t xml:space="preserve"> (Seychelles) said that there were few outstanding requests for citizenship from Chagossians. Approval of the applications still under consideration had been delayed due to difficulty </w:t>
      </w:r>
      <w:r w:rsidR="000700CA" w:rsidRPr="006B204E">
        <w:t xml:space="preserve">in </w:t>
      </w:r>
      <w:r w:rsidRPr="006B204E">
        <w:t>obtaining the necessary documents; the delays had not been the result of any lack of willingness on the Government</w:t>
      </w:r>
      <w:r w:rsidR="000A0353">
        <w:t>’</w:t>
      </w:r>
      <w:r w:rsidRPr="006B204E">
        <w:t>s part to confer citizenship on persons of Chagossian descent.</w:t>
      </w:r>
    </w:p>
    <w:p w14:paraId="1D7AB057" w14:textId="00E63D46" w:rsidR="00C90FB6" w:rsidRPr="006B204E" w:rsidRDefault="00C90FB6" w:rsidP="001B6721">
      <w:pPr>
        <w:pStyle w:val="ParNoG"/>
      </w:pPr>
      <w:r w:rsidRPr="006B204E">
        <w:rPr>
          <w:b/>
          <w:bCs/>
        </w:rPr>
        <w:t>Ms. Vangadasamy</w:t>
      </w:r>
      <w:r w:rsidRPr="006B204E">
        <w:t xml:space="preserve"> (Seychelles) said that the maximum penalty that could be imposed by a military tribunal was 180 days</w:t>
      </w:r>
      <w:r w:rsidR="000A0353">
        <w:t>’</w:t>
      </w:r>
      <w:r w:rsidRPr="006B204E">
        <w:t xml:space="preserve"> confinement. It was not a penalty of solitary confinement, but rather of restriction to the military base. A joint task force had conducted a total of 35 visits to inspect the living conditions of foreign workers. In some cases, contraventions of the law had led to the revocation of permits and the initiation of legal proceedings — several such cases were currently before the courts.</w:t>
      </w:r>
    </w:p>
    <w:p w14:paraId="1001D2BF" w14:textId="75BB52B3" w:rsidR="00C90FB6" w:rsidRPr="006B204E" w:rsidRDefault="00C90FB6" w:rsidP="001B6721">
      <w:pPr>
        <w:pStyle w:val="ParNoG"/>
      </w:pPr>
      <w:r w:rsidRPr="006B204E">
        <w:t>The police investigation into the case of Kevin Bristol had been completed. The accused had been charged with murder and the trial would take place in February 2019. The prison authority was still conducting an internal inquiry, the findings of which would be reported to the Ministry of Home Affairs.</w:t>
      </w:r>
      <w:r w:rsidR="000700CA" w:rsidRPr="006B204E">
        <w:t xml:space="preserve"> </w:t>
      </w:r>
      <w:r w:rsidRPr="006B204E">
        <w:t>The action plan being developed in response to the events leading up to the death of Robert Banane would set out how prison riots should be dealt with and include a contingency plan for police assistance in the event of a riot.</w:t>
      </w:r>
      <w:r w:rsidR="003F71EB" w:rsidRPr="006B204E">
        <w:t xml:space="preserve"> </w:t>
      </w:r>
      <w:r w:rsidRPr="006B204E">
        <w:t xml:space="preserve">With regard to the case of Steve Khan, work on the related action plan and recommendations had not yet </w:t>
      </w:r>
      <w:r w:rsidR="003F71EB" w:rsidRPr="006B204E">
        <w:t xml:space="preserve">begun </w:t>
      </w:r>
      <w:r w:rsidRPr="006B204E">
        <w:t>because the matter had only recently been submitted to the President. Nonetheless, related measures were included in a strategic plan and proposals that had been submitted by the Superintendent of the Prison Service and the prison management, and had been discussed by the High-Level Committee on Prison Reform and Prison Rehabilitation.</w:t>
      </w:r>
    </w:p>
    <w:p w14:paraId="30FEA3D5" w14:textId="3110DBF1" w:rsidR="00C90FB6" w:rsidRPr="006B204E" w:rsidRDefault="00C90FB6" w:rsidP="00B10AB1">
      <w:pPr>
        <w:pStyle w:val="ParNoG"/>
      </w:pPr>
      <w:r w:rsidRPr="006B204E">
        <w:t xml:space="preserve">Although Seychelles had not faced any terrorist threats and there had been no cases of suspected terrorists being held in detention, a counter-terrorism unit had been set up and its staff had received extensive training. A National Countering of Financing of Terrorism Committee, chaired by the Minister </w:t>
      </w:r>
      <w:r w:rsidR="00B10AB1" w:rsidRPr="006B204E">
        <w:t xml:space="preserve">of </w:t>
      </w:r>
      <w:r w:rsidRPr="006B204E">
        <w:t xml:space="preserve">Home Affairs, had been appointed in 2017. Assistance with training and possibly with updating the Prevention of Terrorism Act had been requested at a recent training session held </w:t>
      </w:r>
      <w:r w:rsidR="00AF0389" w:rsidRPr="006B204E">
        <w:t xml:space="preserve">by the United Nations Office on Drugs and Crime </w:t>
      </w:r>
      <w:r w:rsidRPr="006B204E">
        <w:t xml:space="preserve">in Nairobi. </w:t>
      </w:r>
    </w:p>
    <w:p w14:paraId="3104573A" w14:textId="499CA7B4" w:rsidR="00C90FB6" w:rsidRPr="006B204E" w:rsidRDefault="00C90FB6" w:rsidP="001B6721">
      <w:pPr>
        <w:pStyle w:val="ParNoG"/>
      </w:pPr>
      <w:r w:rsidRPr="006B204E">
        <w:rPr>
          <w:b/>
          <w:bCs/>
        </w:rPr>
        <w:t>Ms. Murugaiyan Pillay</w:t>
      </w:r>
      <w:r w:rsidRPr="006B204E">
        <w:t xml:space="preserve"> (Seychelles) said that, with the aim of ensuring efficiency and avoiding overlapping mandates, careful consideration would be given to whether to establish a stand-alone national preventive mechanism under the Optional Protocol or to create one within an existing institution, such as the Office of the Ombudsman or the National Human </w:t>
      </w:r>
      <w:r w:rsidR="00AF0389" w:rsidRPr="006B204E">
        <w:t>Rights Commission</w:t>
      </w:r>
      <w:r w:rsidRPr="006B204E">
        <w:t>. The provisions of the Convention and the Optional Protocol would, of course, be taken into account when establishing that mechanism. The Seychelles Human Rights Commission Bill 2018 had passed the parliamentary readings stage of consideration and was currently being studied by the Bills Committee of the National Assembly.</w:t>
      </w:r>
    </w:p>
    <w:p w14:paraId="0E9316C7" w14:textId="19DA7B76" w:rsidR="00C90FB6" w:rsidRPr="006B204E" w:rsidRDefault="00C90FB6" w:rsidP="001B6721">
      <w:pPr>
        <w:pStyle w:val="ParNoG"/>
      </w:pPr>
      <w:r w:rsidRPr="006B204E">
        <w:t xml:space="preserve">The investigation into the case of trafficking in persons involving Bangladeshi nationals had been launched in August 2016. The four victims, who possessed work permits, had been given temporary visas for the duration of the investigation and provided with accommodation, food and all other necessities at the expense of the State. The State had also paid for a translator to come to Seychelles to assist </w:t>
      </w:r>
      <w:r w:rsidR="00DB6AF5" w:rsidRPr="006B204E">
        <w:t xml:space="preserve">in </w:t>
      </w:r>
      <w:r w:rsidRPr="006B204E">
        <w:t xml:space="preserve">the investigation and a case conferencing group had been established by the National Coordinating Committee on Trafficking in Persons. As of October 2016, the suspected victims had been issued new </w:t>
      </w:r>
      <w:r w:rsidRPr="006B204E">
        <w:lastRenderedPageBreak/>
        <w:t>work permits, as they had found jobs with new employers and had expressed a desire to remain and work in Seychelles. One person had been charged with trafficking under the Prohibition of Trafficking in Persons Act and, as noted earlier, the legal proceedings were in the final stages. The Government hoped that its response to the case would encourage other victims of trafficking in persons to come forward without fear of deportation.</w:t>
      </w:r>
    </w:p>
    <w:p w14:paraId="3BDD8771" w14:textId="3386C248" w:rsidR="00C90FB6" w:rsidRPr="006B204E" w:rsidRDefault="00C90FB6" w:rsidP="001B6721">
      <w:pPr>
        <w:pStyle w:val="ParNoG"/>
      </w:pPr>
      <w:r w:rsidRPr="006B204E">
        <w:rPr>
          <w:b/>
          <w:bCs/>
        </w:rPr>
        <w:t>Mr. Karunakaran</w:t>
      </w:r>
      <w:r w:rsidRPr="006B204E">
        <w:t xml:space="preserve"> (Seychelles) said that the provisions of the Penal Code that covered acts that could constitute torture included those on common assault that caused bodily harm or grievous harm, kidnapping and abduction, and assault on officers performing their duties. The penalty for common assault was 2 years in prison. If the offence committed obstructed an officer in the pursuit of his or her duties, the penalty was 5 years. Penalties for sexual assault could be up to 20 years. Other offences that could constitute torture included extortion accompanied by violence or threats of violence; causing another person to execute an act, threatening another person with a crime or accusing another person of a crime with the intention to extort; corruption or extortion by public officials and the abuse of authority or making false claims; and threatening another person with injury, damage or loss with intent to cause them to carry out or refrain from carrying out an act. Criminal responsibility was diminished under section 17 of the Penal Code if the offence was committed by several offenders who acted under compulsion or threat of violence or death. The Penal Code also provided that attempted offences could be deemed to constitute torture, even </w:t>
      </w:r>
      <w:r w:rsidR="00B10AB1" w:rsidRPr="006B204E">
        <w:t xml:space="preserve">if </w:t>
      </w:r>
      <w:r w:rsidRPr="006B204E">
        <w:t>they had not resulted in actual harm to the intended victim.</w:t>
      </w:r>
    </w:p>
    <w:p w14:paraId="257EB832" w14:textId="1931F2E1" w:rsidR="00C90FB6" w:rsidRPr="006B204E" w:rsidRDefault="00C90FB6" w:rsidP="001B6721">
      <w:pPr>
        <w:pStyle w:val="ParNoG"/>
      </w:pPr>
      <w:r w:rsidRPr="006B204E">
        <w:t xml:space="preserve">In practice, there was no time limit for initiating proceedings in a criminal case involving offences that could amount to torture. </w:t>
      </w:r>
      <w:r w:rsidR="004C22D9" w:rsidRPr="006B204E">
        <w:t xml:space="preserve">Furthermore, in </w:t>
      </w:r>
      <w:r w:rsidRPr="006B204E">
        <w:t xml:space="preserve">cases </w:t>
      </w:r>
      <w:r w:rsidR="00E36FAF" w:rsidRPr="006B204E">
        <w:t>where wrongs</w:t>
      </w:r>
      <w:r w:rsidRPr="006B204E">
        <w:t xml:space="preserve"> or infringements or their effects were ongoing, the concept of continuing cause of action could be applied, thereby allowing the court to bypass any time limits for the initiation of proceedings. </w:t>
      </w:r>
      <w:r w:rsidR="004C22D9" w:rsidRPr="006B204E">
        <w:t xml:space="preserve">The court could award compensation to victims in a criminal case at its discretion. Where no compensation had been awarded, the victim could launch civil proceedings against the perpetrator. </w:t>
      </w:r>
      <w:r w:rsidRPr="006B204E">
        <w:t xml:space="preserve">The majority of the medical negligence cases in which individuals had been awarded compensation had related to procedures that had been performed improperly. None had involved persons in detention. </w:t>
      </w:r>
    </w:p>
    <w:p w14:paraId="381A5E9D" w14:textId="13FB8872" w:rsidR="00C90FB6" w:rsidRPr="006B204E" w:rsidRDefault="0093508B" w:rsidP="001B6721">
      <w:pPr>
        <w:pStyle w:val="ParNoG"/>
      </w:pPr>
      <w:r w:rsidRPr="006B204E">
        <w:t>There had been a few cases in which the courts had been cognizant of conventions to which Seychelles was a party and had interpreted existing domestic legislation in consonance with the country</w:t>
      </w:r>
      <w:r w:rsidR="000A0353">
        <w:t>’</w:t>
      </w:r>
      <w:r w:rsidRPr="006B204E">
        <w:t xml:space="preserve">s obligations under those instruments. The courts of Seychelles exercised universal jurisdiction with respect to piracy and related offences. </w:t>
      </w:r>
      <w:r w:rsidR="00C90FB6" w:rsidRPr="006B204E">
        <w:t xml:space="preserve">He could not provide information on the number of foreign judges present in Seychelles, but would endeavour to do so in due course. It was the Constitutional Appointments Authority that would have information on any complaints of corruption in the judiciary. The Authority was an independent body responsible for making constitutional appointments and receiving complaints against appointees, including judges. Complaints were assessed by the Authority to identify those with merit. Legal aid was provided in cases where a person charged with an offence was unable to seek legal counsel. Access to legal aid was not necessarily based on economic or any other status. </w:t>
      </w:r>
    </w:p>
    <w:p w14:paraId="66AC6CCC" w14:textId="10F18793" w:rsidR="00C90FB6" w:rsidRPr="006B204E" w:rsidRDefault="00C90FB6" w:rsidP="00B10AB1">
      <w:pPr>
        <w:pStyle w:val="ParNoG"/>
      </w:pPr>
      <w:r w:rsidRPr="006B204E">
        <w:rPr>
          <w:b/>
          <w:bCs/>
        </w:rPr>
        <w:t>Mr. St. Ange</w:t>
      </w:r>
      <w:r w:rsidRPr="006B204E">
        <w:t xml:space="preserve"> (Seychelles) said that there were currently 393 adult prisoners in Seychelles; 324 were male convicts, 49 were male detainees on remand, 14 were female convicts and 6 were female detainees on remand. The </w:t>
      </w:r>
      <w:r w:rsidR="00B10AB1" w:rsidRPr="006B204E">
        <w:t>incarcerated</w:t>
      </w:r>
      <w:r w:rsidRPr="006B204E">
        <w:t xml:space="preserve"> population included six men from China, two men from the Islamic Republic of Iran, three women and two men from Kenya, two men from Mauritius, one woman </w:t>
      </w:r>
      <w:r w:rsidR="00CD0A73" w:rsidRPr="006B204E">
        <w:t xml:space="preserve">from </w:t>
      </w:r>
      <w:r w:rsidRPr="006B204E">
        <w:t xml:space="preserve">Mozambique, one man from Nigeria, seven men from Somalia, one woman from South Africa, one man from Tanzania and one woman from Zimbabwe. The prevalence of HIV infection in prisons was a concern. All prisoners living with HIV had access to antiretroviral therapy. In cases where a prisoner refused treatment for HIV, counselling was provided and the prisoner </w:t>
      </w:r>
      <w:r w:rsidR="00F67682" w:rsidRPr="006B204E">
        <w:t xml:space="preserve">was </w:t>
      </w:r>
      <w:r w:rsidRPr="006B204E">
        <w:t>encouraged to commence or resume treatment. Removal of the provision relating to special prisons was being considered in the discussions on the revision of the Prisons Act. The prison on Marie-Louise Island had been put into operation mainly to house drug traffickers whose behaviour was causing problems in the main prison and prisoners who were considered dangerous and had escaped from prison multiple times. Marie-Louise was an outer island which made escape from the prison difficult.</w:t>
      </w:r>
    </w:p>
    <w:p w14:paraId="7FD6BE0C" w14:textId="11A87A17" w:rsidR="00C90FB6" w:rsidRPr="006B204E" w:rsidRDefault="00C90FB6" w:rsidP="001B6721">
      <w:pPr>
        <w:pStyle w:val="ParNoG"/>
      </w:pPr>
      <w:r w:rsidRPr="006B204E">
        <w:lastRenderedPageBreak/>
        <w:t xml:space="preserve">In closing, he wished to thank the Committee for the opportunity to hold an interactive dialogue. The delegation had given careful consideration to all questions raised and endeavoured to provide answers to them. It had taken note of the potential gaps identified in the domestic legal framework and other mechanisms related to implementation of the Convention. His Government remained committed to protecting the fundamental human rights of its people and complying with its international obligations under all the United Nations human rights treaties. </w:t>
      </w:r>
    </w:p>
    <w:p w14:paraId="6C45E0CC" w14:textId="4705B85F" w:rsidR="00C90FB6" w:rsidRPr="006B204E" w:rsidRDefault="00C90FB6" w:rsidP="00EA587D">
      <w:pPr>
        <w:pStyle w:val="ParNoG"/>
      </w:pPr>
      <w:r w:rsidRPr="006B204E">
        <w:rPr>
          <w:b/>
          <w:bCs/>
        </w:rPr>
        <w:t>The Chair</w:t>
      </w:r>
      <w:r w:rsidRPr="006B204E">
        <w:t>,</w:t>
      </w:r>
      <w:r w:rsidRPr="006B204E">
        <w:rPr>
          <w:b/>
          <w:bCs/>
        </w:rPr>
        <w:t xml:space="preserve"> </w:t>
      </w:r>
      <w:r w:rsidRPr="006B204E">
        <w:t xml:space="preserve">thanking the </w:t>
      </w:r>
      <w:r w:rsidR="00EA587D" w:rsidRPr="006B204E">
        <w:t xml:space="preserve">members of the </w:t>
      </w:r>
      <w:r w:rsidRPr="006B204E">
        <w:t xml:space="preserve">delegation of Seychelles for their cooperation with the Committee, said that he hoped that the interactive dialogue would mark the start of regular reporting by the State party. The Committee looked forward to receiving </w:t>
      </w:r>
      <w:r w:rsidR="00EA587D" w:rsidRPr="006B204E">
        <w:t>the</w:t>
      </w:r>
      <w:r w:rsidR="00C10D16" w:rsidRPr="006B204E">
        <w:t xml:space="preserve"> </w:t>
      </w:r>
      <w:r w:rsidRPr="006B204E">
        <w:t xml:space="preserve">second periodic report </w:t>
      </w:r>
      <w:r w:rsidR="00EA587D" w:rsidRPr="006B204E">
        <w:t xml:space="preserve">of Seychelles </w:t>
      </w:r>
      <w:r w:rsidRPr="006B204E">
        <w:t>in four years.</w:t>
      </w:r>
    </w:p>
    <w:p w14:paraId="001502CA" w14:textId="691BDA9B" w:rsidR="000C2BDC" w:rsidRPr="006B204E" w:rsidRDefault="00C90FB6" w:rsidP="001B6721">
      <w:pPr>
        <w:pStyle w:val="SingleTxtG"/>
        <w:rPr>
          <w:i/>
          <w:iCs/>
        </w:rPr>
      </w:pPr>
      <w:r w:rsidRPr="006B204E">
        <w:rPr>
          <w:i/>
          <w:iCs/>
        </w:rPr>
        <w:t xml:space="preserve">The meeting rose at 1 p.m. </w:t>
      </w:r>
    </w:p>
    <w:sectPr w:rsidR="000C2BDC" w:rsidRPr="006B204E"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2C09C1" w14:textId="77777777" w:rsidR="009A7ED9" w:rsidRDefault="009A7ED9" w:rsidP="00F95C08">
      <w:pPr>
        <w:spacing w:line="240" w:lineRule="auto"/>
      </w:pPr>
    </w:p>
  </w:endnote>
  <w:endnote w:type="continuationSeparator" w:id="0">
    <w:p w14:paraId="211827A9" w14:textId="77777777" w:rsidR="009A7ED9" w:rsidRPr="00AC3823" w:rsidRDefault="009A7ED9" w:rsidP="00AC3823">
      <w:pPr>
        <w:pStyle w:val="Footer"/>
      </w:pPr>
    </w:p>
  </w:endnote>
  <w:endnote w:type="continuationNotice" w:id="1">
    <w:p w14:paraId="0A220178" w14:textId="77777777" w:rsidR="009A7ED9" w:rsidRDefault="009A7E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2BB80" w14:textId="2A895100" w:rsidR="00C90FB6" w:rsidRPr="002E7400" w:rsidRDefault="002E7400" w:rsidP="002E7400">
    <w:pPr>
      <w:pStyle w:val="Footer"/>
      <w:tabs>
        <w:tab w:val="right" w:pos="9638"/>
      </w:tabs>
    </w:pPr>
    <w:r w:rsidRPr="002E7400">
      <w:rPr>
        <w:b/>
        <w:bCs/>
        <w:sz w:val="18"/>
      </w:rPr>
      <w:fldChar w:fldCharType="begin"/>
    </w:r>
    <w:r w:rsidRPr="002E7400">
      <w:rPr>
        <w:b/>
        <w:bCs/>
        <w:sz w:val="18"/>
      </w:rPr>
      <w:instrText xml:space="preserve"> PAGE  \* MERGEFORMAT </w:instrText>
    </w:r>
    <w:r w:rsidRPr="002E7400">
      <w:rPr>
        <w:b/>
        <w:bCs/>
        <w:sz w:val="18"/>
      </w:rPr>
      <w:fldChar w:fldCharType="separate"/>
    </w:r>
    <w:r w:rsidR="00826D37">
      <w:rPr>
        <w:b/>
        <w:bCs/>
        <w:noProof/>
        <w:sz w:val="18"/>
      </w:rPr>
      <w:t>2</w:t>
    </w:r>
    <w:r w:rsidRPr="002E7400">
      <w:rPr>
        <w:b/>
        <w:bCs/>
        <w:sz w:val="18"/>
      </w:rPr>
      <w:fldChar w:fldCharType="end"/>
    </w:r>
    <w:r>
      <w:tab/>
      <w:t>GE.18-12723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B03B03" w14:textId="407F006C" w:rsidR="00C90FB6" w:rsidRPr="002E7400" w:rsidRDefault="002E7400" w:rsidP="002E7400">
    <w:pPr>
      <w:pStyle w:val="Footer"/>
      <w:tabs>
        <w:tab w:val="right" w:pos="9638"/>
      </w:tabs>
    </w:pPr>
    <w:r>
      <w:t>GE.18-12723</w:t>
    </w:r>
    <w:r>
      <w:tab/>
    </w:r>
    <w:r w:rsidRPr="002E7400">
      <w:rPr>
        <w:b/>
        <w:bCs/>
        <w:sz w:val="18"/>
      </w:rPr>
      <w:fldChar w:fldCharType="begin"/>
    </w:r>
    <w:r w:rsidRPr="002E7400">
      <w:rPr>
        <w:b/>
        <w:bCs/>
        <w:sz w:val="18"/>
      </w:rPr>
      <w:instrText xml:space="preserve"> PAGE  \* MERGEFORMAT </w:instrText>
    </w:r>
    <w:r w:rsidRPr="002E7400">
      <w:rPr>
        <w:b/>
        <w:bCs/>
        <w:sz w:val="18"/>
      </w:rPr>
      <w:fldChar w:fldCharType="separate"/>
    </w:r>
    <w:r w:rsidR="00826D37">
      <w:rPr>
        <w:b/>
        <w:bCs/>
        <w:noProof/>
        <w:sz w:val="18"/>
      </w:rPr>
      <w:t>9</w:t>
    </w:r>
    <w:r w:rsidRPr="002E7400">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50EB8" w14:textId="77777777" w:rsidR="00C90FB6" w:rsidRDefault="00C90FB6" w:rsidP="003B0B0F">
    <w:pPr>
      <w:pStyle w:val="FootnoteText"/>
      <w:pBdr>
        <w:bottom w:val="single" w:sz="4" w:space="1" w:color="auto"/>
      </w:pBdr>
      <w:tabs>
        <w:tab w:val="clear" w:pos="1021"/>
      </w:tabs>
      <w:ind w:left="0" w:right="0" w:firstLine="0"/>
    </w:pPr>
  </w:p>
  <w:p w14:paraId="13625C6E" w14:textId="77777777" w:rsidR="00C90FB6" w:rsidRDefault="00C90FB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F80A948" w14:textId="77777777" w:rsidR="00C90FB6" w:rsidRPr="003B0B0F" w:rsidRDefault="00C90FB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B22E2BC" w14:textId="6174A931" w:rsidR="002E7400" w:rsidRDefault="00826D37" w:rsidP="00717AFF">
    <w:pPr>
      <w:pStyle w:val="Footer"/>
      <w:spacing w:before="120"/>
      <w:rPr>
        <w:sz w:val="20"/>
      </w:rPr>
    </w:pPr>
    <w:r>
      <w:rPr>
        <w:noProof/>
      </w:rPr>
      <w:pict w14:anchorId="313BE2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42" type="#_x0000_t75" style="position:absolute;margin-left:340.2pt;margin-top:720.1pt;width:73.4pt;height:1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1" o:title=""/>
          <w10:wrap type="tight" anchorx="margin" anchory="margin"/>
          <w10:anchorlock/>
        </v:shape>
      </w:pict>
    </w:r>
    <w:r w:rsidR="002E7400">
      <w:rPr>
        <w:sz w:val="20"/>
      </w:rPr>
      <w:t>GE.18-12723  (E)</w:t>
    </w:r>
    <w:r w:rsidR="00C95BA1">
      <w:rPr>
        <w:sz w:val="20"/>
      </w:rPr>
      <w:t xml:space="preserve">    130818    </w:t>
    </w:r>
    <w:r w:rsidR="00717AFF">
      <w:rPr>
        <w:sz w:val="20"/>
      </w:rPr>
      <w:t>14</w:t>
    </w:r>
    <w:r w:rsidR="00C95BA1">
      <w:rPr>
        <w:sz w:val="20"/>
      </w:rPr>
      <w:t>0818</w:t>
    </w:r>
  </w:p>
  <w:p w14:paraId="6BCC4E77" w14:textId="724F92B4" w:rsidR="002E7400" w:rsidRPr="002E7400" w:rsidRDefault="002E7400" w:rsidP="002E740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826D37">
      <w:rPr>
        <w:noProof/>
      </w:rPr>
      <w:pict w14:anchorId="4FAB1B9F">
        <v:shape id="Picture 1" o:spid="_x0000_s10241" type="#_x0000_t75" alt="https://undocs.org/m2/QRCode.ashx?DS=CAT/C/SR.1666&amp;Size=2 &amp;Lang=E" style="position:absolute;margin-left:431.4pt;margin-top:692.5pt;width:50.25pt;height:5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v:imagedata r:id="rId2" o:title="SR"/>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8A40C3" w14:textId="77777777" w:rsidR="009A7ED9" w:rsidRPr="00AC3823" w:rsidRDefault="009A7ED9" w:rsidP="00AC3823">
      <w:pPr>
        <w:pStyle w:val="Footer"/>
        <w:tabs>
          <w:tab w:val="right" w:pos="2155"/>
        </w:tabs>
        <w:spacing w:after="80" w:line="240" w:lineRule="atLeast"/>
        <w:ind w:left="680"/>
        <w:rPr>
          <w:u w:val="single"/>
        </w:rPr>
      </w:pPr>
      <w:r>
        <w:rPr>
          <w:u w:val="single"/>
        </w:rPr>
        <w:tab/>
      </w:r>
    </w:p>
  </w:footnote>
  <w:footnote w:type="continuationSeparator" w:id="0">
    <w:p w14:paraId="71C58774" w14:textId="77777777" w:rsidR="009A7ED9" w:rsidRPr="00AC3823" w:rsidRDefault="009A7ED9" w:rsidP="00AC3823">
      <w:pPr>
        <w:pStyle w:val="Footer"/>
        <w:tabs>
          <w:tab w:val="right" w:pos="2155"/>
        </w:tabs>
        <w:spacing w:after="80" w:line="240" w:lineRule="atLeast"/>
        <w:ind w:left="680"/>
        <w:rPr>
          <w:u w:val="single"/>
        </w:rPr>
      </w:pPr>
      <w:r>
        <w:rPr>
          <w:u w:val="single"/>
        </w:rPr>
        <w:tab/>
      </w:r>
    </w:p>
  </w:footnote>
  <w:footnote w:type="continuationNotice" w:id="1">
    <w:p w14:paraId="55FC428C" w14:textId="77777777" w:rsidR="009A7ED9" w:rsidRPr="00AC3823" w:rsidRDefault="009A7ED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448C0A" w14:textId="5C7D11B7" w:rsidR="00C90FB6" w:rsidRDefault="00F54A3E">
    <w:pPr>
      <w:pStyle w:val="Header"/>
    </w:pPr>
    <w:fldSimple w:instr=" DOCPROPERTY  symh  \* MERGEFORMAT ">
      <w:r w:rsidR="00DC0864">
        <w:t>CAT/C/SR.1666</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5410C" w14:textId="16B58FC4" w:rsidR="00C90FB6" w:rsidRDefault="00F54A3E" w:rsidP="005B6BC9">
    <w:pPr>
      <w:pStyle w:val="Header"/>
      <w:jc w:val="right"/>
    </w:pPr>
    <w:fldSimple w:instr=" DOCPROPERTY  symh  \* MERGEFORMAT ">
      <w:r w:rsidR="00DC0864">
        <w:t>CAT/C/SR.1666</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fr-CH" w:vendorID="64" w:dllVersion="131078" w:nlCheck="1" w:checkStyle="0"/>
  <w:activeWritingStyle w:appName="MSWord" w:lang="en-GB" w:vendorID="64" w:dllVersion="131078" w:nlCheck="1" w:checkStyle="0"/>
  <w:doNotTrackMoves/>
  <w:defaultTabStop w:val="567"/>
  <w:hyphenationZone w:val="425"/>
  <w:evenAndOddHeaders/>
  <w:characterSpacingControl w:val="doNotCompress"/>
  <w:hdrShapeDefaults>
    <o:shapedefaults v:ext="edit" spidmax="10243"/>
    <o:shapelayout v:ext="edit">
      <o:idmap v:ext="edit" data="10"/>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4E9D"/>
    <w:rsid w:val="000047B1"/>
    <w:rsid w:val="00017F94"/>
    <w:rsid w:val="00023842"/>
    <w:rsid w:val="000334F9"/>
    <w:rsid w:val="00042404"/>
    <w:rsid w:val="00054002"/>
    <w:rsid w:val="000700CA"/>
    <w:rsid w:val="00074876"/>
    <w:rsid w:val="0007796D"/>
    <w:rsid w:val="00096827"/>
    <w:rsid w:val="000A0353"/>
    <w:rsid w:val="000B17B9"/>
    <w:rsid w:val="000B7790"/>
    <w:rsid w:val="000C2BDC"/>
    <w:rsid w:val="000C390E"/>
    <w:rsid w:val="000C4A15"/>
    <w:rsid w:val="000C73B1"/>
    <w:rsid w:val="000D22DE"/>
    <w:rsid w:val="00111F2F"/>
    <w:rsid w:val="00122499"/>
    <w:rsid w:val="0014365E"/>
    <w:rsid w:val="00150724"/>
    <w:rsid w:val="00150DB2"/>
    <w:rsid w:val="00176178"/>
    <w:rsid w:val="001A2190"/>
    <w:rsid w:val="001A6406"/>
    <w:rsid w:val="001B6721"/>
    <w:rsid w:val="001C25DF"/>
    <w:rsid w:val="001C6D55"/>
    <w:rsid w:val="001E498C"/>
    <w:rsid w:val="001F525A"/>
    <w:rsid w:val="00223272"/>
    <w:rsid w:val="00224249"/>
    <w:rsid w:val="0024159D"/>
    <w:rsid w:val="00243D11"/>
    <w:rsid w:val="0024779E"/>
    <w:rsid w:val="002524C9"/>
    <w:rsid w:val="00257838"/>
    <w:rsid w:val="00291F1D"/>
    <w:rsid w:val="00294A18"/>
    <w:rsid w:val="002A7EB0"/>
    <w:rsid w:val="002C61BC"/>
    <w:rsid w:val="002D0F56"/>
    <w:rsid w:val="002E6AF8"/>
    <w:rsid w:val="002E7400"/>
    <w:rsid w:val="002F1C80"/>
    <w:rsid w:val="00301F0D"/>
    <w:rsid w:val="00344BEF"/>
    <w:rsid w:val="00351C40"/>
    <w:rsid w:val="00353ED5"/>
    <w:rsid w:val="003554B7"/>
    <w:rsid w:val="0039005B"/>
    <w:rsid w:val="00396CAC"/>
    <w:rsid w:val="003B0B0F"/>
    <w:rsid w:val="003B4E18"/>
    <w:rsid w:val="003D1AD0"/>
    <w:rsid w:val="003D3938"/>
    <w:rsid w:val="003F3B4E"/>
    <w:rsid w:val="003F71EB"/>
    <w:rsid w:val="00445D0B"/>
    <w:rsid w:val="00446FE5"/>
    <w:rsid w:val="00452396"/>
    <w:rsid w:val="00457CD7"/>
    <w:rsid w:val="0046257D"/>
    <w:rsid w:val="004745A5"/>
    <w:rsid w:val="00482156"/>
    <w:rsid w:val="004C22D9"/>
    <w:rsid w:val="004D0848"/>
    <w:rsid w:val="004E12E1"/>
    <w:rsid w:val="004E2D7B"/>
    <w:rsid w:val="004F4BFD"/>
    <w:rsid w:val="00512D04"/>
    <w:rsid w:val="0053631F"/>
    <w:rsid w:val="005505B7"/>
    <w:rsid w:val="00573BE5"/>
    <w:rsid w:val="0058237E"/>
    <w:rsid w:val="00586ED3"/>
    <w:rsid w:val="00596AA9"/>
    <w:rsid w:val="005A14CB"/>
    <w:rsid w:val="005B2F24"/>
    <w:rsid w:val="005B43E7"/>
    <w:rsid w:val="005B6BC9"/>
    <w:rsid w:val="005B75E3"/>
    <w:rsid w:val="005C06D4"/>
    <w:rsid w:val="006056E0"/>
    <w:rsid w:val="00630AF7"/>
    <w:rsid w:val="00670DFB"/>
    <w:rsid w:val="006748CF"/>
    <w:rsid w:val="006813D2"/>
    <w:rsid w:val="006861E6"/>
    <w:rsid w:val="0069335D"/>
    <w:rsid w:val="00693B60"/>
    <w:rsid w:val="006964D9"/>
    <w:rsid w:val="006B204E"/>
    <w:rsid w:val="006B2ED5"/>
    <w:rsid w:val="006B627B"/>
    <w:rsid w:val="006D2BC1"/>
    <w:rsid w:val="006E363B"/>
    <w:rsid w:val="006E3F0A"/>
    <w:rsid w:val="006F6651"/>
    <w:rsid w:val="00700E25"/>
    <w:rsid w:val="00705CBC"/>
    <w:rsid w:val="00706E82"/>
    <w:rsid w:val="0071601D"/>
    <w:rsid w:val="00717AFF"/>
    <w:rsid w:val="00736377"/>
    <w:rsid w:val="00766CEC"/>
    <w:rsid w:val="0079358D"/>
    <w:rsid w:val="007A26B7"/>
    <w:rsid w:val="007A62E6"/>
    <w:rsid w:val="0080684C"/>
    <w:rsid w:val="00815502"/>
    <w:rsid w:val="00825968"/>
    <w:rsid w:val="00826D37"/>
    <w:rsid w:val="00831242"/>
    <w:rsid w:val="008404D3"/>
    <w:rsid w:val="00854C69"/>
    <w:rsid w:val="00861053"/>
    <w:rsid w:val="00863948"/>
    <w:rsid w:val="008646E1"/>
    <w:rsid w:val="00871C75"/>
    <w:rsid w:val="008776DC"/>
    <w:rsid w:val="00880106"/>
    <w:rsid w:val="008873A3"/>
    <w:rsid w:val="008C7952"/>
    <w:rsid w:val="008E2BD2"/>
    <w:rsid w:val="008F69EF"/>
    <w:rsid w:val="00923F05"/>
    <w:rsid w:val="0093508B"/>
    <w:rsid w:val="00957790"/>
    <w:rsid w:val="00961ECA"/>
    <w:rsid w:val="009705C8"/>
    <w:rsid w:val="00973931"/>
    <w:rsid w:val="009A7ED9"/>
    <w:rsid w:val="009B2CDB"/>
    <w:rsid w:val="009C41E2"/>
    <w:rsid w:val="00A01A36"/>
    <w:rsid w:val="00A319E9"/>
    <w:rsid w:val="00A4413D"/>
    <w:rsid w:val="00A622FE"/>
    <w:rsid w:val="00A75EB9"/>
    <w:rsid w:val="00A815AF"/>
    <w:rsid w:val="00AB7E73"/>
    <w:rsid w:val="00AC2CCD"/>
    <w:rsid w:val="00AC3823"/>
    <w:rsid w:val="00AE323C"/>
    <w:rsid w:val="00AE7729"/>
    <w:rsid w:val="00AF0389"/>
    <w:rsid w:val="00AF0A00"/>
    <w:rsid w:val="00B00181"/>
    <w:rsid w:val="00B10543"/>
    <w:rsid w:val="00B10AB1"/>
    <w:rsid w:val="00B24782"/>
    <w:rsid w:val="00B34BE7"/>
    <w:rsid w:val="00B41FDC"/>
    <w:rsid w:val="00B43C66"/>
    <w:rsid w:val="00B65FCA"/>
    <w:rsid w:val="00B74973"/>
    <w:rsid w:val="00B765F7"/>
    <w:rsid w:val="00B9024D"/>
    <w:rsid w:val="00BA07AB"/>
    <w:rsid w:val="00BA0CA9"/>
    <w:rsid w:val="00BB676D"/>
    <w:rsid w:val="00BE4745"/>
    <w:rsid w:val="00BE4C39"/>
    <w:rsid w:val="00BF30B9"/>
    <w:rsid w:val="00BF3C2C"/>
    <w:rsid w:val="00C00737"/>
    <w:rsid w:val="00C02897"/>
    <w:rsid w:val="00C10D16"/>
    <w:rsid w:val="00C10F72"/>
    <w:rsid w:val="00C12091"/>
    <w:rsid w:val="00C47E31"/>
    <w:rsid w:val="00C638E5"/>
    <w:rsid w:val="00C9068D"/>
    <w:rsid w:val="00C9074B"/>
    <w:rsid w:val="00C90FB6"/>
    <w:rsid w:val="00C95BA1"/>
    <w:rsid w:val="00CA104B"/>
    <w:rsid w:val="00CB43B4"/>
    <w:rsid w:val="00CB56FC"/>
    <w:rsid w:val="00CC2887"/>
    <w:rsid w:val="00CD0A73"/>
    <w:rsid w:val="00D06A4F"/>
    <w:rsid w:val="00D3439C"/>
    <w:rsid w:val="00D835A4"/>
    <w:rsid w:val="00D95A44"/>
    <w:rsid w:val="00DA22F4"/>
    <w:rsid w:val="00DA40FE"/>
    <w:rsid w:val="00DB002D"/>
    <w:rsid w:val="00DB1831"/>
    <w:rsid w:val="00DB6AF5"/>
    <w:rsid w:val="00DC0864"/>
    <w:rsid w:val="00DC0AE6"/>
    <w:rsid w:val="00DD3BFD"/>
    <w:rsid w:val="00DE434F"/>
    <w:rsid w:val="00DF1F65"/>
    <w:rsid w:val="00DF6678"/>
    <w:rsid w:val="00E22CF2"/>
    <w:rsid w:val="00E23255"/>
    <w:rsid w:val="00E36FAF"/>
    <w:rsid w:val="00E52D9F"/>
    <w:rsid w:val="00E56B4F"/>
    <w:rsid w:val="00E71011"/>
    <w:rsid w:val="00EA587D"/>
    <w:rsid w:val="00ED0C23"/>
    <w:rsid w:val="00F01808"/>
    <w:rsid w:val="00F03F74"/>
    <w:rsid w:val="00F164B0"/>
    <w:rsid w:val="00F24D6D"/>
    <w:rsid w:val="00F4130F"/>
    <w:rsid w:val="00F54A3E"/>
    <w:rsid w:val="00F660DF"/>
    <w:rsid w:val="00F67682"/>
    <w:rsid w:val="00F77B47"/>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14:docId w14:val="28843AB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Calibr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Calibr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Calibr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Calibr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Calibr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Calibr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Calibr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Calibr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Calibri"/>
      <w:b/>
      <w:sz w:val="18"/>
    </w:rPr>
  </w:style>
  <w:style w:type="character" w:customStyle="1" w:styleId="HeaderChar">
    <w:name w:val="Header Char"/>
    <w:aliases w:val="6_G Char"/>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Calibri"/>
      <w:sz w:val="16"/>
    </w:rPr>
  </w:style>
  <w:style w:type="character" w:customStyle="1" w:styleId="FooterChar">
    <w:name w:val="Footer Char"/>
    <w:aliases w:val="3_G Char"/>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Calibr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Calibr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Calibr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Calibr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Calibr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Calibr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Calibri"/>
    </w:rPr>
  </w:style>
  <w:style w:type="character" w:styleId="FootnoteReference">
    <w:name w:val="footnote reference"/>
    <w:aliases w:val="4_G"/>
    <w:qFormat/>
    <w:rsid w:val="00482156"/>
    <w:rPr>
      <w:rFonts w:ascii="Times New Roman" w:hAnsi="Times New Roman"/>
      <w:sz w:val="18"/>
      <w:vertAlign w:val="superscript"/>
      <w:lang w:val="en-GB"/>
    </w:rPr>
  </w:style>
  <w:style w:type="character" w:styleId="EndnoteReference">
    <w:name w:val="endnote reference"/>
    <w:aliases w:val="1_G"/>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line="240" w:lineRule="atLeas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82156"/>
    <w:rPr>
      <w:color w:val="0000FF"/>
      <w:u w:val="none"/>
    </w:rPr>
  </w:style>
  <w:style w:type="character" w:styleId="FollowedHyperlink">
    <w:name w:val="FollowedHyperlink"/>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Calibri"/>
      <w:sz w:val="18"/>
    </w:rPr>
  </w:style>
  <w:style w:type="character" w:customStyle="1" w:styleId="FootnoteTextChar">
    <w:name w:val="Footnote Text Char"/>
    <w:aliases w:val="5_G Char"/>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link w:val="EndnoteText"/>
    <w:rsid w:val="00482156"/>
    <w:rPr>
      <w:rFonts w:ascii="Times New Roman" w:hAnsi="Times New Roman" w:cs="Times New Roman"/>
      <w:sz w:val="18"/>
      <w:szCs w:val="20"/>
      <w:lang w:val="en-GB"/>
    </w:rPr>
  </w:style>
  <w:style w:type="character" w:styleId="PageNumber">
    <w:name w:val="page number"/>
    <w:aliases w:val="7_G"/>
    <w:qFormat/>
    <w:rsid w:val="00482156"/>
    <w:rPr>
      <w:rFonts w:ascii="Times New Roman" w:hAnsi="Times New Roman"/>
      <w:b/>
      <w:sz w:val="18"/>
      <w:lang w:val="en-GB"/>
    </w:rPr>
  </w:style>
  <w:style w:type="character" w:customStyle="1" w:styleId="Heading1Char">
    <w:name w:val="Heading 1 Char"/>
    <w:aliases w:val="Table_G Char"/>
    <w:link w:val="Heading1"/>
    <w:rsid w:val="00482156"/>
    <w:rPr>
      <w:rFonts w:ascii="Times New Roman" w:hAnsi="Times New Roman" w:cs="Times New Roman"/>
      <w:sz w:val="20"/>
      <w:szCs w:val="20"/>
      <w:lang w:val="en-GB"/>
    </w:rPr>
  </w:style>
  <w:style w:type="character" w:customStyle="1" w:styleId="Heading2Char">
    <w:name w:val="Heading 2 Char"/>
    <w:link w:val="Heading2"/>
    <w:semiHidden/>
    <w:rsid w:val="00482156"/>
    <w:rPr>
      <w:rFonts w:ascii="Times New Roman" w:hAnsi="Times New Roman" w:cs="Times New Roman"/>
      <w:sz w:val="20"/>
      <w:szCs w:val="20"/>
    </w:rPr>
  </w:style>
  <w:style w:type="character" w:customStyle="1" w:styleId="Heading3Char">
    <w:name w:val="Heading 3 Char"/>
    <w:link w:val="Heading3"/>
    <w:semiHidden/>
    <w:rsid w:val="00482156"/>
    <w:rPr>
      <w:rFonts w:ascii="Times New Roman" w:hAnsi="Times New Roman" w:cs="Times New Roman"/>
      <w:sz w:val="20"/>
      <w:szCs w:val="20"/>
    </w:rPr>
  </w:style>
  <w:style w:type="character" w:customStyle="1" w:styleId="Heading4Char">
    <w:name w:val="Heading 4 Char"/>
    <w:link w:val="Heading4"/>
    <w:semiHidden/>
    <w:rsid w:val="00482156"/>
    <w:rPr>
      <w:rFonts w:ascii="Times New Roman" w:hAnsi="Times New Roman" w:cs="Times New Roman"/>
      <w:sz w:val="20"/>
      <w:szCs w:val="20"/>
    </w:rPr>
  </w:style>
  <w:style w:type="character" w:customStyle="1" w:styleId="Heading5Char">
    <w:name w:val="Heading 5 Char"/>
    <w:link w:val="Heading5"/>
    <w:semiHidden/>
    <w:rsid w:val="00482156"/>
    <w:rPr>
      <w:rFonts w:ascii="Times New Roman" w:hAnsi="Times New Roman" w:cs="Times New Roman"/>
      <w:sz w:val="20"/>
      <w:szCs w:val="20"/>
    </w:rPr>
  </w:style>
  <w:style w:type="character" w:customStyle="1" w:styleId="Heading6Char">
    <w:name w:val="Heading 6 Char"/>
    <w:link w:val="Heading6"/>
    <w:semiHidden/>
    <w:rsid w:val="00482156"/>
    <w:rPr>
      <w:rFonts w:ascii="Times New Roman" w:hAnsi="Times New Roman" w:cs="Times New Roman"/>
      <w:sz w:val="20"/>
      <w:szCs w:val="20"/>
    </w:rPr>
  </w:style>
  <w:style w:type="character" w:customStyle="1" w:styleId="Heading7Char">
    <w:name w:val="Heading 7 Char"/>
    <w:link w:val="Heading7"/>
    <w:semiHidden/>
    <w:rsid w:val="00482156"/>
    <w:rPr>
      <w:rFonts w:ascii="Times New Roman" w:hAnsi="Times New Roman" w:cs="Times New Roman"/>
      <w:sz w:val="20"/>
      <w:szCs w:val="20"/>
    </w:rPr>
  </w:style>
  <w:style w:type="character" w:customStyle="1" w:styleId="Heading8Char">
    <w:name w:val="Heading 8 Char"/>
    <w:link w:val="Heading8"/>
    <w:semiHidden/>
    <w:rsid w:val="00482156"/>
    <w:rPr>
      <w:rFonts w:ascii="Times New Roman" w:hAnsi="Times New Roman" w:cs="Times New Roman"/>
      <w:sz w:val="20"/>
      <w:szCs w:val="20"/>
    </w:rPr>
  </w:style>
  <w:style w:type="character" w:customStyle="1" w:styleId="Heading9Char">
    <w:name w:val="Heading 9 Char"/>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line="240" w:lineRule="atLeast"/>
    </w:pPr>
    <w:rPr>
      <w:rFonts w:ascii="Times New Roman" w:hAnsi="Times New Roman" w:cs="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CommentReference">
    <w:name w:val="annotation reference"/>
    <w:uiPriority w:val="99"/>
    <w:semiHidden/>
    <w:unhideWhenUsed/>
    <w:rsid w:val="004E2D7B"/>
    <w:rPr>
      <w:sz w:val="16"/>
      <w:szCs w:val="16"/>
    </w:rPr>
  </w:style>
  <w:style w:type="paragraph" w:styleId="CommentText">
    <w:name w:val="annotation text"/>
    <w:basedOn w:val="Normal"/>
    <w:link w:val="CommentTextChar"/>
    <w:uiPriority w:val="99"/>
    <w:semiHidden/>
    <w:unhideWhenUsed/>
    <w:rsid w:val="004E2D7B"/>
    <w:pPr>
      <w:spacing w:line="240" w:lineRule="auto"/>
    </w:pPr>
    <w:rPr>
      <w:rFonts w:eastAsia="SimSun"/>
    </w:rPr>
  </w:style>
  <w:style w:type="character" w:customStyle="1" w:styleId="CommentTextChar">
    <w:name w:val="Comment Text Char"/>
    <w:link w:val="CommentText"/>
    <w:uiPriority w:val="99"/>
    <w:semiHidden/>
    <w:rsid w:val="004E2D7B"/>
    <w:rPr>
      <w:rFonts w:ascii="Times New Roman" w:eastAsia="SimSu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SCY/1"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undocs.org/en/CAT/C/SYC/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68F52B-5667-4C70-91CA-45AB759D94E0}"/>
</file>

<file path=customXml/itemProps2.xml><?xml version="1.0" encoding="utf-8"?>
<ds:datastoreItem xmlns:ds="http://schemas.openxmlformats.org/officeDocument/2006/customXml" ds:itemID="{73D80292-0EC6-4AE4-A4F2-9FC17E09627F}"/>
</file>

<file path=customXml/itemProps3.xml><?xml version="1.0" encoding="utf-8"?>
<ds:datastoreItem xmlns:ds="http://schemas.openxmlformats.org/officeDocument/2006/customXml" ds:itemID="{4FB71D69-1B83-4C47-B663-CCE54E0D6C39}"/>
</file>

<file path=docProps/app.xml><?xml version="1.0" encoding="utf-8"?>
<Properties xmlns="http://schemas.openxmlformats.org/officeDocument/2006/extended-properties" xmlns:vt="http://schemas.openxmlformats.org/officeDocument/2006/docPropsVTypes">
  <Template>Normal.dotm</Template>
  <TotalTime>0</TotalTime>
  <Pages>9</Pages>
  <Words>4966</Words>
  <Characters>28311</Characters>
  <Application>Microsoft Office Word</Application>
  <DocSecurity>0</DocSecurity>
  <Lines>235</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CAT/C/SR.1666</vt:lpstr>
      <vt:lpstr/>
      <vt:lpstr/>
    </vt:vector>
  </TitlesOfParts>
  <Company>DCM</Company>
  <LinksUpToDate>false</LinksUpToDate>
  <CharactersWithSpaces>33211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CAT/C/SR.1666</dc:title>
  <dc:subject>1812723</dc:subject>
  <dc:creator>Escalante</dc:creator>
  <cp:keywords/>
  <dc:description/>
  <cp:lastModifiedBy>Hélène Orrü</cp:lastModifiedBy>
  <cp:revision>2</cp:revision>
  <cp:lastPrinted>2018-08-14T12:51:00Z</cp:lastPrinted>
  <dcterms:created xsi:type="dcterms:W3CDTF">2018-09-03T10:13:00Z</dcterms:created>
  <dcterms:modified xsi:type="dcterms:W3CDTF">2018-09-03T10:13:00Z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1666</vt:lpwstr>
  </property>
  <property fmtid="{D5CDD505-2E9C-101B-9397-08002B2CF9AE}" pid="15" name="symh">
    <vt:lpwstr>CAT/C/SR.1666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31 July 2018,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Sixty-fourth</vt:lpwstr>
  </property>
  <property fmtid="{D5CDD505-2E9C-101B-9397-08002B2CF9AE}" pid="25" name="mnum">
    <vt:lpwstr>1666th</vt:lpwstr>
  </property>
  <property fmtid="{D5CDD505-2E9C-101B-9397-08002B2CF9AE}" pid="26" name="Date-Generated">
    <vt:lpwstr>7/31/2018 11:53:58 AM</vt:lpwstr>
  </property>
  <property fmtid="{D5CDD505-2E9C-101B-9397-08002B2CF9AE}" pid="27" name="ContentTypeId">
    <vt:lpwstr>0x01010022B3C51BB8F9654FB8068485B2E4975B</vt:lpwstr>
  </property>
</Properties>
</file>