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_rels/fontTable.xml.rels" ContentType="application/vnd.openxmlformats-package.relationships+xml"/>
  <Override PartName="/word/_rels/footnotes.xml.rels" ContentType="application/vnd.openxmlformats-package.relationships+xml"/>
  <Override PartName="/word/_rels/document.xml.rels" ContentType="application/vnd.openxmlformats-package.relationships+xml"/>
  <Override PartName="/word/media/image1.jpeg" ContentType="image/jpeg"/>
  <Override PartName="/word/media/image2.png" ContentType="image/png"/>
  <Override PartName="/word/media/image3.png" ContentType="image/png"/>
  <Override PartName="/word/media/image4.png" ContentType="image/png"/>
  <Override PartName="/word/media/image5.png" ContentType="image/png"/>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notes.xml" ContentType="application/vnd.openxmlformats-officedocument.wordprocessingml.footnotes+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1"/>
        <w:keepNext w:val="false"/>
        <w:keepLines w:val="false"/>
        <w:pageBreakBefore w:val="false"/>
        <w:widowControl/>
        <w:shd w:val="clear" w:fill="auto"/>
        <w:spacing w:lineRule="auto" w:line="276" w:before="0" w:after="0"/>
        <w:ind w:hanging="0" w:left="0" w:right="0"/>
        <w:jc w:val="center"/>
        <w:rPr>
          <w:rFonts w:ascii="Arial" w:hAnsi="Arial" w:eastAsia="Arial" w:cs="Arial"/>
          <w:b/>
          <w:bCs/>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bCs/>
          <w:i w:val="false"/>
          <w:iCs w:val="false"/>
          <w:caps w:val="false"/>
          <w:smallCaps w:val="false"/>
          <w:strike w:val="false"/>
          <w:dstrike w:val="false"/>
          <w:color w:val="000000"/>
          <w:position w:val="0"/>
          <w:sz w:val="22"/>
          <w:sz w:val="22"/>
          <w:szCs w:val="22"/>
          <w:u w:val="none"/>
          <w:shd w:fill="auto" w:val="clear"/>
          <w:vertAlign w:val="baseline"/>
        </w:rPr>
        <w:drawing>
          <wp:anchor behindDoc="0" distT="0" distB="0" distL="0" distR="0" simplePos="0" locked="0" layoutInCell="0" allowOverlap="1" relativeHeight="2">
            <wp:simplePos x="0" y="0"/>
            <wp:positionH relativeFrom="column">
              <wp:posOffset>3475355</wp:posOffset>
            </wp:positionH>
            <wp:positionV relativeFrom="paragraph">
              <wp:posOffset>151130</wp:posOffset>
            </wp:positionV>
            <wp:extent cx="1423035" cy="859790"/>
            <wp:effectExtent l="0" t="0" r="0" b="0"/>
            <wp:wrapSquare wrapText="bothSides"/>
            <wp:docPr id="1" name="image2.jp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jpg" descr=""/>
                    <pic:cNvPicPr>
                      <a:picLocks noChangeAspect="1" noChangeArrowheads="1"/>
                    </pic:cNvPicPr>
                  </pic:nvPicPr>
                  <pic:blipFill>
                    <a:blip r:embed="rId2"/>
                    <a:stretch>
                      <a:fillRect/>
                    </a:stretch>
                  </pic:blipFill>
                  <pic:spPr bwMode="auto">
                    <a:xfrm>
                      <a:off x="0" y="0"/>
                      <a:ext cx="1423035" cy="859790"/>
                    </a:xfrm>
                    <a:prstGeom prst="rect">
                      <a:avLst/>
                    </a:prstGeom>
                  </pic:spPr>
                </pic:pic>
              </a:graphicData>
            </a:graphic>
          </wp:anchor>
        </w:drawing>
        <w:drawing>
          <wp:anchor behindDoc="0" distT="0" distB="0" distL="0" distR="0" simplePos="0" locked="0" layoutInCell="0" allowOverlap="1" relativeHeight="3">
            <wp:simplePos x="0" y="0"/>
            <wp:positionH relativeFrom="column">
              <wp:posOffset>403860</wp:posOffset>
            </wp:positionH>
            <wp:positionV relativeFrom="paragraph">
              <wp:posOffset>69850</wp:posOffset>
            </wp:positionV>
            <wp:extent cx="2659380" cy="877570"/>
            <wp:effectExtent l="0" t="0" r="0" b="0"/>
            <wp:wrapSquare wrapText="bothSides"/>
            <wp:docPr id="2"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descr=""/>
                    <pic:cNvPicPr>
                      <a:picLocks noChangeAspect="1" noChangeArrowheads="1"/>
                    </pic:cNvPicPr>
                  </pic:nvPicPr>
                  <pic:blipFill>
                    <a:blip r:embed="rId3"/>
                    <a:stretch>
                      <a:fillRect/>
                    </a:stretch>
                  </pic:blipFill>
                  <pic:spPr bwMode="auto">
                    <a:xfrm>
                      <a:off x="0" y="0"/>
                      <a:ext cx="2659380" cy="877570"/>
                    </a:xfrm>
                    <a:prstGeom prst="rect">
                      <a:avLst/>
                    </a:prstGeom>
                  </pic:spPr>
                </pic:pic>
              </a:graphicData>
            </a:graphic>
          </wp:anchor>
        </w:drawing>
      </w:r>
    </w:p>
    <w:p>
      <w:pPr>
        <w:pStyle w:val="normal1"/>
        <w:keepNext w:val="false"/>
        <w:keepLines w:val="false"/>
        <w:pageBreakBefore w:val="false"/>
        <w:widowControl/>
        <w:shd w:val="clear" w:fill="auto"/>
        <w:spacing w:lineRule="auto" w:line="276" w:before="0" w:after="0"/>
        <w:ind w:hanging="0" w:left="0" w:right="0"/>
        <w:jc w:val="center"/>
        <w:rPr>
          <w:rFonts w:ascii="Arial" w:hAnsi="Arial" w:eastAsia="Arial" w:cs="Arial"/>
          <w:b/>
          <w:bCs/>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bCs/>
          <w:i w:val="false"/>
          <w:iCs w:val="false"/>
          <w:caps w:val="false"/>
          <w:smallCaps w:val="false"/>
          <w:strike w:val="false"/>
          <w:dstrike w:val="false"/>
          <w:color w:val="000000"/>
          <w:position w:val="0"/>
          <w:sz w:val="22"/>
          <w:sz w:val="22"/>
          <w:szCs w:val="22"/>
          <w:u w:val="none"/>
          <w:shd w:fill="auto" w:val="clear"/>
          <w:vertAlign w:val="baseline"/>
        </w:rPr>
      </w:r>
    </w:p>
    <w:p>
      <w:pPr>
        <w:pStyle w:val="normal1"/>
        <w:keepNext w:val="false"/>
        <w:keepLines w:val="false"/>
        <w:pageBreakBefore w:val="false"/>
        <w:widowControl/>
        <w:shd w:val="clear" w:fill="auto"/>
        <w:spacing w:lineRule="auto" w:line="276" w:before="0" w:after="0"/>
        <w:ind w:hanging="0" w:left="0" w:right="0"/>
        <w:jc w:val="center"/>
        <w:rPr>
          <w:rFonts w:ascii="Arial" w:hAnsi="Arial" w:eastAsia="Arial" w:cs="Arial"/>
          <w:b/>
          <w:bCs/>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bCs/>
          <w:i w:val="false"/>
          <w:iCs w:val="false"/>
          <w:caps w:val="false"/>
          <w:smallCaps w:val="false"/>
          <w:strike w:val="false"/>
          <w:dstrike w:val="false"/>
          <w:color w:val="000000"/>
          <w:position w:val="0"/>
          <w:sz w:val="22"/>
          <w:sz w:val="22"/>
          <w:szCs w:val="22"/>
          <w:u w:val="none"/>
          <w:shd w:fill="auto" w:val="clear"/>
          <w:vertAlign w:val="baseline"/>
        </w:rPr>
      </w:r>
    </w:p>
    <w:p>
      <w:pPr>
        <w:pStyle w:val="normal1"/>
        <w:keepNext w:val="false"/>
        <w:keepLines w:val="false"/>
        <w:pageBreakBefore w:val="false"/>
        <w:widowControl/>
        <w:shd w:val="clear" w:fill="auto"/>
        <w:spacing w:lineRule="auto" w:line="276" w:before="0" w:after="0"/>
        <w:ind w:hanging="0" w:left="0" w:right="0"/>
        <w:jc w:val="center"/>
        <w:rPr>
          <w:rFonts w:ascii="Arial" w:hAnsi="Arial" w:eastAsia="Arial" w:cs="Arial"/>
          <w:b/>
          <w:bCs/>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bCs/>
          <w:i w:val="false"/>
          <w:iCs w:val="false"/>
          <w:caps w:val="false"/>
          <w:smallCaps w:val="false"/>
          <w:strike w:val="false"/>
          <w:dstrike w:val="false"/>
          <w:color w:val="000000"/>
          <w:position w:val="0"/>
          <w:sz w:val="22"/>
          <w:sz w:val="22"/>
          <w:szCs w:val="22"/>
          <w:u w:val="none"/>
          <w:shd w:fill="auto" w:val="clear"/>
          <w:vertAlign w:val="baseline"/>
        </w:rPr>
      </w:r>
    </w:p>
    <w:p>
      <w:pPr>
        <w:pStyle w:val="normal1"/>
        <w:keepNext w:val="false"/>
        <w:keepLines w:val="false"/>
        <w:pageBreakBefore w:val="false"/>
        <w:widowControl/>
        <w:shd w:val="clear" w:fill="auto"/>
        <w:spacing w:lineRule="auto" w:line="276" w:before="0" w:after="0"/>
        <w:ind w:hanging="0" w:left="0" w:right="0"/>
        <w:jc w:val="center"/>
        <w:rPr>
          <w:rFonts w:ascii="Arial" w:hAnsi="Arial" w:eastAsia="Arial" w:cs="Arial"/>
          <w:b/>
          <w:bCs/>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bCs/>
          <w:i w:val="false"/>
          <w:iCs w:val="false"/>
          <w:caps w:val="false"/>
          <w:smallCaps w:val="false"/>
          <w:strike w:val="false"/>
          <w:dstrike w:val="false"/>
          <w:color w:val="000000"/>
          <w:position w:val="0"/>
          <w:sz w:val="22"/>
          <w:sz w:val="22"/>
          <w:szCs w:val="22"/>
          <w:u w:val="none"/>
          <w:shd w:fill="auto" w:val="clear"/>
          <w:vertAlign w:val="baseline"/>
        </w:rPr>
      </w:r>
    </w:p>
    <w:p>
      <w:pPr>
        <w:pStyle w:val="normal1"/>
        <w:keepNext w:val="false"/>
        <w:keepLines w:val="false"/>
        <w:pageBreakBefore w:val="false"/>
        <w:widowControl/>
        <w:shd w:val="clear" w:fill="auto"/>
        <w:spacing w:lineRule="auto" w:line="276" w:before="0" w:after="0"/>
        <w:ind w:hanging="0" w:left="0" w:right="0"/>
        <w:jc w:val="center"/>
        <w:rPr>
          <w:rFonts w:ascii="Arial" w:hAnsi="Arial" w:eastAsia="Arial" w:cs="Arial"/>
          <w:b/>
          <w:bCs/>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bCs/>
          <w:i w:val="false"/>
          <w:iCs w:val="false"/>
          <w:caps w:val="false"/>
          <w:smallCaps w:val="false"/>
          <w:strike w:val="false"/>
          <w:dstrike w:val="false"/>
          <w:color w:val="000000"/>
          <w:position w:val="0"/>
          <w:sz w:val="22"/>
          <w:sz w:val="22"/>
          <w:szCs w:val="22"/>
          <w:u w:val="none"/>
          <w:shd w:fill="auto" w:val="clear"/>
          <w:vertAlign w:val="baseline"/>
        </w:rPr>
        <w:drawing>
          <wp:anchor behindDoc="0" distT="0" distB="0" distL="0" distR="0" simplePos="0" locked="0" layoutInCell="0" allowOverlap="1" relativeHeight="5">
            <wp:simplePos x="0" y="0"/>
            <wp:positionH relativeFrom="column">
              <wp:posOffset>173355</wp:posOffset>
            </wp:positionH>
            <wp:positionV relativeFrom="paragraph">
              <wp:posOffset>121285</wp:posOffset>
            </wp:positionV>
            <wp:extent cx="1395095" cy="1381760"/>
            <wp:effectExtent l="0" t="0" r="0" b="0"/>
            <wp:wrapSquare wrapText="largest"/>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4"/>
                    <a:stretch>
                      <a:fillRect/>
                    </a:stretch>
                  </pic:blipFill>
                  <pic:spPr bwMode="auto">
                    <a:xfrm>
                      <a:off x="0" y="0"/>
                      <a:ext cx="1395095" cy="1381760"/>
                    </a:xfrm>
                    <a:prstGeom prst="rect">
                      <a:avLst/>
                    </a:prstGeom>
                  </pic:spPr>
                </pic:pic>
              </a:graphicData>
            </a:graphic>
          </wp:anchor>
        </w:drawing>
        <w:drawing>
          <wp:anchor behindDoc="0" distT="0" distB="0" distL="0" distR="0" simplePos="0" locked="0" layoutInCell="0" allowOverlap="1" relativeHeight="6">
            <wp:simplePos x="0" y="0"/>
            <wp:positionH relativeFrom="column">
              <wp:posOffset>4462780</wp:posOffset>
            </wp:positionH>
            <wp:positionV relativeFrom="paragraph">
              <wp:posOffset>139700</wp:posOffset>
            </wp:positionV>
            <wp:extent cx="1447800" cy="1447800"/>
            <wp:effectExtent l="0" t="0" r="0" b="0"/>
            <wp:wrapSquare wrapText="largest"/>
            <wp:docPr id="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 descr=""/>
                    <pic:cNvPicPr>
                      <a:picLocks noChangeAspect="1" noChangeArrowheads="1"/>
                    </pic:cNvPicPr>
                  </pic:nvPicPr>
                  <pic:blipFill>
                    <a:blip r:embed="rId5"/>
                    <a:stretch>
                      <a:fillRect/>
                    </a:stretch>
                  </pic:blipFill>
                  <pic:spPr bwMode="auto">
                    <a:xfrm>
                      <a:off x="0" y="0"/>
                      <a:ext cx="1447800" cy="1447800"/>
                    </a:xfrm>
                    <a:prstGeom prst="rect">
                      <a:avLst/>
                    </a:prstGeom>
                  </pic:spPr>
                </pic:pic>
              </a:graphicData>
            </a:graphic>
          </wp:anchor>
        </w:drawing>
      </w:r>
    </w:p>
    <w:p>
      <w:pPr>
        <w:pStyle w:val="normal1"/>
        <w:keepNext w:val="false"/>
        <w:keepLines w:val="false"/>
        <w:pageBreakBefore w:val="false"/>
        <w:widowControl/>
        <w:shd w:val="clear" w:fill="auto"/>
        <w:spacing w:lineRule="auto" w:line="276" w:before="0" w:after="0"/>
        <w:ind w:hanging="0" w:left="0" w:right="0"/>
        <w:jc w:val="center"/>
        <w:rPr>
          <w:rFonts w:ascii="Arial" w:hAnsi="Arial" w:eastAsia="Arial" w:cs="Arial"/>
          <w:b/>
          <w:bCs/>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bCs/>
          <w:i w:val="false"/>
          <w:iCs w:val="false"/>
          <w:caps w:val="false"/>
          <w:smallCaps w:val="false"/>
          <w:strike w:val="false"/>
          <w:dstrike w:val="false"/>
          <w:color w:val="000000"/>
          <w:position w:val="0"/>
          <w:sz w:val="22"/>
          <w:sz w:val="22"/>
          <w:szCs w:val="22"/>
          <w:u w:val="none"/>
          <w:shd w:fill="auto" w:val="clear"/>
          <w:vertAlign w:val="baseline"/>
        </w:rPr>
        <w:drawing>
          <wp:anchor behindDoc="0" distT="0" distB="0" distL="0" distR="0" simplePos="0" locked="0" layoutInCell="0" allowOverlap="1" relativeHeight="4">
            <wp:simplePos x="0" y="0"/>
            <wp:positionH relativeFrom="column">
              <wp:posOffset>2221865</wp:posOffset>
            </wp:positionH>
            <wp:positionV relativeFrom="paragraph">
              <wp:posOffset>1270</wp:posOffset>
            </wp:positionV>
            <wp:extent cx="1656080" cy="1469390"/>
            <wp:effectExtent l="0" t="0" r="0" b="0"/>
            <wp:wrapSquare wrapText="largest"/>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6"/>
                    <a:stretch>
                      <a:fillRect/>
                    </a:stretch>
                  </pic:blipFill>
                  <pic:spPr bwMode="auto">
                    <a:xfrm>
                      <a:off x="0" y="0"/>
                      <a:ext cx="1656080" cy="1469390"/>
                    </a:xfrm>
                    <a:prstGeom prst="rect">
                      <a:avLst/>
                    </a:prstGeom>
                  </pic:spPr>
                </pic:pic>
              </a:graphicData>
            </a:graphic>
          </wp:anchor>
        </w:drawing>
      </w:r>
    </w:p>
    <w:p>
      <w:pPr>
        <w:pStyle w:val="normal1"/>
        <w:keepNext w:val="false"/>
        <w:keepLines w:val="false"/>
        <w:pageBreakBefore w:val="false"/>
        <w:widowControl/>
        <w:shd w:val="clear" w:fill="auto"/>
        <w:spacing w:lineRule="auto" w:line="276" w:before="0" w:after="0"/>
        <w:ind w:hanging="0" w:left="0" w:right="0"/>
        <w:jc w:val="center"/>
        <w:rPr>
          <w:rFonts w:ascii="Arial" w:hAnsi="Arial" w:eastAsia="Arial" w:cs="Arial"/>
          <w:b/>
          <w:bCs/>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bCs/>
          <w:i w:val="false"/>
          <w:iCs w:val="false"/>
          <w:caps w:val="false"/>
          <w:smallCaps w:val="false"/>
          <w:strike w:val="false"/>
          <w:dstrike w:val="false"/>
          <w:color w:val="000000"/>
          <w:position w:val="0"/>
          <w:sz w:val="22"/>
          <w:sz w:val="22"/>
          <w:szCs w:val="22"/>
          <w:u w:val="none"/>
          <w:shd w:fill="auto" w:val="clear"/>
          <w:vertAlign w:val="baseline"/>
        </w:rPr>
      </w:r>
    </w:p>
    <w:p>
      <w:pPr>
        <w:pStyle w:val="normal1"/>
        <w:keepNext w:val="false"/>
        <w:keepLines w:val="false"/>
        <w:pageBreakBefore w:val="false"/>
        <w:widowControl/>
        <w:shd w:val="clear" w:fill="auto"/>
        <w:spacing w:lineRule="auto" w:line="276" w:before="0" w:after="0"/>
        <w:ind w:hanging="0" w:left="0" w:right="0"/>
        <w:jc w:val="center"/>
        <w:rPr>
          <w:rFonts w:ascii="Arial" w:hAnsi="Arial" w:eastAsia="Arial" w:cs="Arial"/>
          <w:b/>
          <w:bCs/>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bCs/>
          <w:i w:val="false"/>
          <w:iCs w:val="false"/>
          <w:caps w:val="false"/>
          <w:smallCaps w:val="false"/>
          <w:strike w:val="false"/>
          <w:dstrike w:val="false"/>
          <w:color w:val="000000"/>
          <w:position w:val="0"/>
          <w:sz w:val="22"/>
          <w:sz w:val="22"/>
          <w:szCs w:val="22"/>
          <w:u w:val="none"/>
          <w:shd w:fill="auto" w:val="clear"/>
          <w:vertAlign w:val="baseline"/>
        </w:rPr>
      </w:r>
    </w:p>
    <w:p>
      <w:pPr>
        <w:pStyle w:val="normal1"/>
        <w:keepNext w:val="false"/>
        <w:keepLines w:val="false"/>
        <w:pageBreakBefore w:val="false"/>
        <w:widowControl/>
        <w:shd w:val="clear" w:fill="auto"/>
        <w:spacing w:lineRule="auto" w:line="276" w:before="0" w:after="0"/>
        <w:ind w:hanging="0" w:left="0" w:right="0"/>
        <w:jc w:val="center"/>
        <w:rPr>
          <w:rFonts w:ascii="Arial" w:hAnsi="Arial" w:eastAsia="Arial" w:cs="Arial"/>
          <w:b/>
          <w:bCs/>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bCs/>
          <w:i w:val="false"/>
          <w:iCs w:val="false"/>
          <w:caps w:val="false"/>
          <w:smallCaps w:val="false"/>
          <w:strike w:val="false"/>
          <w:dstrike w:val="false"/>
          <w:color w:val="000000"/>
          <w:position w:val="0"/>
          <w:sz w:val="22"/>
          <w:sz w:val="22"/>
          <w:szCs w:val="22"/>
          <w:u w:val="none"/>
          <w:shd w:fill="auto" w:val="clear"/>
          <w:vertAlign w:val="baseline"/>
        </w:rPr>
      </w:r>
    </w:p>
    <w:p>
      <w:pPr>
        <w:pStyle w:val="normal1"/>
        <w:widowControl/>
        <w:shd w:val="clear" w:fill="auto"/>
        <w:spacing w:lineRule="auto" w:line="276" w:before="0" w:after="0"/>
        <w:ind w:hanging="0" w:left="0" w:right="0"/>
        <w:jc w:val="center"/>
        <w:rPr>
          <w:rFonts w:ascii="Arial" w:hAnsi="Arial" w:eastAsia="Arial" w:cs="Arial"/>
          <w:b/>
          <w:bCs/>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bCs/>
          <w:i w:val="false"/>
          <w:iCs w:val="false"/>
          <w:caps w:val="false"/>
          <w:smallCaps w:val="false"/>
          <w:strike w:val="false"/>
          <w:dstrike w:val="false"/>
          <w:color w:val="000000"/>
          <w:position w:val="0"/>
          <w:sz w:val="22"/>
          <w:sz w:val="22"/>
          <w:szCs w:val="22"/>
          <w:u w:val="none"/>
          <w:shd w:fill="auto" w:val="clear"/>
          <w:vertAlign w:val="baseline"/>
        </w:rPr>
      </w:r>
    </w:p>
    <w:p>
      <w:pPr>
        <w:pStyle w:val="normal1"/>
        <w:widowControl/>
        <w:shd w:val="clear" w:fill="auto"/>
        <w:spacing w:lineRule="auto" w:line="276" w:before="0" w:after="0"/>
        <w:ind w:hanging="0" w:left="0" w:right="0"/>
        <w:jc w:val="center"/>
        <w:rPr>
          <w:rFonts w:ascii="Arial" w:hAnsi="Arial" w:eastAsia="Arial" w:cs="Arial"/>
          <w:b/>
          <w:bCs/>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bCs/>
          <w:i w:val="false"/>
          <w:iCs w:val="false"/>
          <w:caps w:val="false"/>
          <w:smallCaps w:val="false"/>
          <w:strike w:val="false"/>
          <w:dstrike w:val="false"/>
          <w:color w:val="000000"/>
          <w:position w:val="0"/>
          <w:sz w:val="22"/>
          <w:sz w:val="22"/>
          <w:szCs w:val="22"/>
          <w:u w:val="none"/>
          <w:shd w:fill="auto" w:val="clear"/>
          <w:vertAlign w:val="baseline"/>
        </w:rPr>
      </w:r>
    </w:p>
    <w:p>
      <w:pPr>
        <w:pStyle w:val="normal1"/>
        <w:widowControl/>
        <w:shd w:val="clear" w:fill="auto"/>
        <w:spacing w:lineRule="auto" w:line="276" w:before="0" w:after="0"/>
        <w:ind w:hanging="0" w:left="0" w:right="0"/>
        <w:jc w:val="center"/>
        <w:rPr>
          <w:rFonts w:ascii="Arial" w:hAnsi="Arial" w:eastAsia="Arial" w:cs="Arial"/>
          <w:b/>
          <w:bCs/>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bCs/>
          <w:i w:val="false"/>
          <w:iCs w:val="false"/>
          <w:caps w:val="false"/>
          <w:smallCaps w:val="false"/>
          <w:strike w:val="false"/>
          <w:dstrike w:val="false"/>
          <w:color w:val="000000"/>
          <w:position w:val="0"/>
          <w:sz w:val="22"/>
          <w:sz w:val="22"/>
          <w:szCs w:val="22"/>
          <w:u w:val="none"/>
          <w:shd w:fill="auto" w:val="clear"/>
          <w:vertAlign w:val="baseline"/>
        </w:rPr>
      </w:r>
    </w:p>
    <w:p>
      <w:pPr>
        <w:pStyle w:val="normal1"/>
        <w:widowControl/>
        <w:shd w:val="clear" w:fill="auto"/>
        <w:spacing w:lineRule="auto" w:line="276" w:before="0" w:after="0"/>
        <w:ind w:hanging="0" w:left="0" w:right="0"/>
        <w:jc w:val="center"/>
        <w:rPr>
          <w:rFonts w:ascii="Arial" w:hAnsi="Arial" w:eastAsia="Arial" w:cs="Arial"/>
          <w:b/>
          <w:bCs/>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bCs/>
          <w:i w:val="false"/>
          <w:iCs w:val="false"/>
          <w:caps w:val="false"/>
          <w:smallCaps w:val="false"/>
          <w:strike w:val="false"/>
          <w:dstrike w:val="false"/>
          <w:color w:val="000000"/>
          <w:position w:val="0"/>
          <w:sz w:val="22"/>
          <w:sz w:val="22"/>
          <w:szCs w:val="22"/>
          <w:u w:val="none"/>
          <w:shd w:fill="auto" w:val="clear"/>
          <w:vertAlign w:val="baseline"/>
        </w:rPr>
      </w:r>
    </w:p>
    <w:p>
      <w:pPr>
        <w:pStyle w:val="normal1"/>
        <w:widowControl/>
        <w:shd w:val="clear" w:fill="auto"/>
        <w:spacing w:lineRule="auto" w:line="276" w:before="0" w:after="0"/>
        <w:ind w:hanging="0" w:left="0" w:right="0"/>
        <w:jc w:val="center"/>
        <w:rPr>
          <w:rFonts w:ascii="Arial" w:hAnsi="Arial" w:eastAsia="Arial" w:cs="Arial"/>
          <w:b/>
          <w:bCs/>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bCs/>
          <w:i w:val="false"/>
          <w:iCs w:val="false"/>
          <w:caps w:val="false"/>
          <w:smallCaps w:val="false"/>
          <w:strike w:val="false"/>
          <w:dstrike w:val="false"/>
          <w:color w:val="000000"/>
          <w:position w:val="0"/>
          <w:sz w:val="22"/>
          <w:sz w:val="22"/>
          <w:szCs w:val="22"/>
          <w:u w:val="none"/>
          <w:shd w:fill="auto" w:val="clear"/>
          <w:vertAlign w:val="baseline"/>
        </w:rPr>
      </w:r>
    </w:p>
    <w:p>
      <w:pPr>
        <w:pStyle w:val="normal1"/>
        <w:widowControl/>
        <w:shd w:val="clear" w:fill="auto"/>
        <w:spacing w:lineRule="auto" w:line="276" w:before="0" w:after="0"/>
        <w:ind w:hanging="0" w:left="0" w:right="0"/>
        <w:jc w:val="center"/>
        <w:rPr>
          <w:rFonts w:ascii="Arial" w:hAnsi="Arial" w:eastAsia="Arial" w:cs="Arial"/>
          <w:b/>
          <w:bCs/>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bCs/>
          <w:i w:val="false"/>
          <w:iCs w:val="false"/>
          <w:caps w:val="false"/>
          <w:smallCaps w:val="false"/>
          <w:strike w:val="false"/>
          <w:dstrike w:val="false"/>
          <w:color w:val="000000"/>
          <w:position w:val="0"/>
          <w:sz w:val="22"/>
          <w:sz w:val="22"/>
          <w:szCs w:val="22"/>
          <w:u w:val="none"/>
          <w:shd w:fill="auto" w:val="clear"/>
          <w:vertAlign w:val="baseline"/>
        </w:rPr>
        <w:t xml:space="preserve">TCHAD </w:t>
      </w:r>
      <w:r>
        <w:rPr>
          <w:rFonts w:eastAsia="Arial" w:cs="Arial" w:ascii="Arial" w:hAnsi="Arial"/>
          <w:b/>
          <w:bCs/>
          <w:sz w:val="22"/>
          <w:szCs w:val="22"/>
        </w:rPr>
        <w:t>– Espace civique et défenseur·es des droits humains</w:t>
      </w:r>
      <w:r>
        <w:rPr>
          <w:rFonts w:eastAsia="Arial" w:cs="Arial" w:ascii="Arial" w:hAnsi="Arial"/>
          <w:b/>
          <w:bCs/>
          <w:i w:val="false"/>
          <w:iCs w:val="false"/>
          <w:caps w:val="false"/>
          <w:smallCaps w:val="false"/>
          <w:strike w:val="false"/>
          <w:dstrike w:val="false"/>
          <w:color w:val="000000"/>
          <w:position w:val="0"/>
          <w:sz w:val="22"/>
          <w:sz w:val="22"/>
          <w:szCs w:val="22"/>
          <w:u w:val="none"/>
          <w:shd w:fill="auto" w:val="clear"/>
          <w:vertAlign w:val="baseline"/>
        </w:rPr>
        <w:t xml:space="preserve"> </w:t>
      </w:r>
    </w:p>
    <w:p>
      <w:pPr>
        <w:pStyle w:val="normal1"/>
        <w:keepNext w:val="false"/>
        <w:keepLines w:val="false"/>
        <w:pageBreakBefore w:val="false"/>
        <w:widowControl/>
        <w:shd w:val="clear" w:fill="auto"/>
        <w:spacing w:lineRule="auto" w:line="276" w:before="0" w:after="0"/>
        <w:ind w:hanging="0" w:left="0" w:right="0"/>
        <w:jc w:val="center"/>
        <w:rPr>
          <w:rFonts w:ascii="Arial" w:hAnsi="Arial" w:eastAsia="Arial" w:cs="Arial"/>
          <w:b/>
          <w:bCs/>
          <w:sz w:val="22"/>
          <w:szCs w:val="22"/>
        </w:rPr>
      </w:pPr>
      <w:r>
        <w:rPr>
          <w:rFonts w:eastAsia="Arial" w:cs="Arial" w:ascii="Arial" w:hAnsi="Arial"/>
          <w:b/>
          <w:bCs/>
          <w:sz w:val="22"/>
          <w:szCs w:val="22"/>
        </w:rPr>
      </w:r>
    </w:p>
    <w:p>
      <w:pPr>
        <w:pStyle w:val="normal1"/>
        <w:keepNext w:val="false"/>
        <w:keepLines w:val="false"/>
        <w:pageBreakBefore w:val="false"/>
        <w:widowControl/>
        <w:shd w:val="clear" w:fill="auto"/>
        <w:spacing w:lineRule="auto" w:line="276" w:before="0" w:after="0"/>
        <w:ind w:hanging="0" w:left="0" w:right="0"/>
        <w:jc w:val="center"/>
        <w:rPr>
          <w:rFonts w:ascii="Arial" w:hAnsi="Arial" w:eastAsia="Arial" w:cs="Arial"/>
          <w:b/>
          <w:bCs/>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bCs/>
          <w:i w:val="false"/>
          <w:iCs w:val="false"/>
          <w:caps w:val="false"/>
          <w:smallCaps w:val="false"/>
          <w:strike w:val="false"/>
          <w:dstrike w:val="false"/>
          <w:color w:val="000000"/>
          <w:position w:val="0"/>
          <w:sz w:val="22"/>
          <w:sz w:val="22"/>
          <w:szCs w:val="22"/>
          <w:u w:val="none"/>
          <w:shd w:fill="auto" w:val="clear"/>
          <w:vertAlign w:val="baseline"/>
        </w:rPr>
        <w:t>Rapport alternatif à l’occasion de l’examen du</w:t>
      </w:r>
    </w:p>
    <w:p>
      <w:pPr>
        <w:pStyle w:val="normal1"/>
        <w:keepNext w:val="false"/>
        <w:keepLines w:val="false"/>
        <w:pageBreakBefore w:val="false"/>
        <w:widowControl/>
        <w:shd w:val="clear" w:fill="auto"/>
        <w:spacing w:lineRule="auto" w:line="276" w:before="0" w:after="0"/>
        <w:ind w:hanging="0" w:left="0" w:right="0"/>
        <w:jc w:val="center"/>
        <w:rPr>
          <w:rFonts w:ascii="Arial" w:hAnsi="Arial" w:eastAsia="Arial" w:cs="Arial"/>
          <w:b/>
          <w:bCs/>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bCs/>
          <w:i w:val="false"/>
          <w:iCs w:val="false"/>
          <w:caps w:val="false"/>
          <w:smallCaps w:val="false"/>
          <w:strike w:val="false"/>
          <w:dstrike w:val="false"/>
          <w:color w:val="000000"/>
          <w:position w:val="0"/>
          <w:sz w:val="22"/>
          <w:sz w:val="22"/>
          <w:szCs w:val="22"/>
          <w:u w:val="none"/>
          <w:shd w:fill="auto" w:val="clear"/>
          <w:vertAlign w:val="baseline"/>
        </w:rPr>
        <w:t>troisième rapport périodique du Tchad sur la mise en</w:t>
      </w:r>
    </w:p>
    <w:p>
      <w:pPr>
        <w:pStyle w:val="normal1"/>
        <w:keepNext w:val="false"/>
        <w:keepLines w:val="false"/>
        <w:pageBreakBefore w:val="false"/>
        <w:widowControl/>
        <w:shd w:val="clear" w:fill="auto"/>
        <w:spacing w:lineRule="auto" w:line="276" w:before="0" w:after="0"/>
        <w:ind w:hanging="0" w:left="0" w:right="0"/>
        <w:jc w:val="center"/>
        <w:rPr>
          <w:rFonts w:ascii="Arial" w:hAnsi="Arial" w:eastAsia="Arial" w:cs="Arial"/>
          <w:b/>
          <w:bCs/>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bCs/>
          <w:i w:val="false"/>
          <w:iCs w:val="false"/>
          <w:caps w:val="false"/>
          <w:smallCaps w:val="false"/>
          <w:strike w:val="false"/>
          <w:dstrike w:val="false"/>
          <w:color w:val="000000"/>
          <w:position w:val="0"/>
          <w:sz w:val="22"/>
          <w:sz w:val="22"/>
          <w:szCs w:val="22"/>
          <w:u w:val="none"/>
          <w:shd w:fill="auto" w:val="clear"/>
          <w:vertAlign w:val="baseline"/>
        </w:rPr>
        <w:t>œuvre du Pacte international relatif aux droits civils et</w:t>
      </w:r>
    </w:p>
    <w:p>
      <w:pPr>
        <w:pStyle w:val="normal1"/>
        <w:keepNext w:val="false"/>
        <w:keepLines w:val="false"/>
        <w:pageBreakBefore w:val="false"/>
        <w:widowControl/>
        <w:shd w:val="clear" w:fill="auto"/>
        <w:spacing w:lineRule="auto" w:line="276" w:before="0" w:after="0"/>
        <w:ind w:hanging="0" w:left="0" w:right="0"/>
        <w:jc w:val="center"/>
        <w:rPr>
          <w:rFonts w:ascii="Arial" w:hAnsi="Arial" w:eastAsia="Arial" w:cs="Arial"/>
          <w:b/>
          <w:bCs/>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bCs/>
          <w:i w:val="false"/>
          <w:iCs w:val="false"/>
          <w:caps w:val="false"/>
          <w:smallCaps w:val="false"/>
          <w:strike w:val="false"/>
          <w:dstrike w:val="false"/>
          <w:color w:val="000000"/>
          <w:position w:val="0"/>
          <w:sz w:val="22"/>
          <w:sz w:val="22"/>
          <w:szCs w:val="22"/>
          <w:u w:val="none"/>
          <w:shd w:fill="auto" w:val="clear"/>
          <w:vertAlign w:val="baseline"/>
        </w:rPr>
        <w:t xml:space="preserve">politiques </w:t>
      </w:r>
    </w:p>
    <w:p>
      <w:pPr>
        <w:pStyle w:val="normal1"/>
        <w:keepNext w:val="false"/>
        <w:keepLines w:val="false"/>
        <w:pageBreakBefore w:val="false"/>
        <w:widowControl/>
        <w:shd w:val="clear" w:fill="auto"/>
        <w:spacing w:lineRule="auto" w:line="276" w:before="0" w:after="0"/>
        <w:ind w:hanging="0" w:left="0" w:right="0"/>
        <w:jc w:val="center"/>
        <w:rPr>
          <w:rFonts w:ascii="Arial" w:hAnsi="Arial" w:eastAsia="Arial" w:cs="Arial"/>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pour la 145e session du Comité des droits de l’Homme des Nations unies</w:t>
      </w:r>
    </w:p>
    <w:p>
      <w:pPr>
        <w:pStyle w:val="normal1"/>
        <w:keepNext w:val="false"/>
        <w:keepLines w:val="false"/>
        <w:pageBreakBefore w:val="false"/>
        <w:widowControl/>
        <w:shd w:val="clear" w:fill="auto"/>
        <w:spacing w:lineRule="auto" w:line="276" w:before="0" w:after="0"/>
        <w:ind w:hanging="0" w:left="0" w:right="0"/>
        <w:jc w:val="center"/>
        <w:rPr>
          <w:rFonts w:ascii="Arial" w:hAnsi="Arial" w:eastAsia="Arial" w:cs="Arial"/>
          <w:b w:val="false"/>
          <w:bCs w:val="false"/>
          <w:i w:val="false"/>
          <w:i w:val="false"/>
          <w:iCs w:val="false"/>
          <w:caps w:val="false"/>
          <w:smallCaps w:val="false"/>
          <w:strike w:val="false"/>
          <w:dstrike w:val="false"/>
          <w:color w:val="000000"/>
          <w:position w:val="0"/>
          <w:sz w:val="22"/>
          <w:sz w:val="22"/>
          <w:szCs w:val="22"/>
          <w:u w:val="none"/>
          <w:vertAlign w:val="baseline"/>
        </w:rPr>
      </w:pP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Soumis le</w:t>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vertAlign w:val="baseline"/>
        </w:rPr>
        <w:t xml:space="preserve"> </w:t>
      </w:r>
      <w:r>
        <w:rPr>
          <w:rFonts w:eastAsia="Arial" w:cs="Arial" w:ascii="Arial" w:hAnsi="Arial"/>
          <w:sz w:val="22"/>
          <w:szCs w:val="22"/>
        </w:rPr>
        <w:t>2 février</w:t>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vertAlign w:val="baseline"/>
        </w:rPr>
        <w:t xml:space="preserve"> 2026</w:t>
      </w:r>
    </w:p>
    <w:p>
      <w:pPr>
        <w:pStyle w:val="normal1"/>
        <w:keepNext w:val="false"/>
        <w:keepLines w:val="false"/>
        <w:pageBreakBefore w:val="false"/>
        <w:widowControl/>
        <w:shd w:val="clear" w:fill="auto"/>
        <w:spacing w:lineRule="auto" w:line="276" w:before="0" w:after="0"/>
        <w:ind w:hanging="0" w:left="0" w:right="0"/>
        <w:jc w:val="center"/>
        <w:rPr>
          <w:rFonts w:ascii="Arial" w:hAnsi="Arial" w:eastAsia="Arial" w:cs="Arial"/>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br/>
        <w:t xml:space="preserve">par </w:t>
      </w:r>
    </w:p>
    <w:p>
      <w:pPr>
        <w:pStyle w:val="normal1"/>
        <w:keepNext w:val="false"/>
        <w:keepLines w:val="false"/>
        <w:pageBreakBefore w:val="false"/>
        <w:widowControl/>
        <w:shd w:val="clear" w:fill="auto"/>
        <w:spacing w:lineRule="auto" w:line="276" w:before="0" w:after="0"/>
        <w:ind w:hanging="0" w:left="0" w:right="0"/>
        <w:jc w:val="center"/>
        <w:rPr>
          <w:rFonts w:ascii="Arial" w:hAnsi="Arial" w:eastAsia="Arial" w:cs="Arial"/>
          <w:b/>
          <w:bCs/>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xml:space="preserve">la </w:t>
      </w:r>
      <w:r>
        <w:rPr>
          <w:rFonts w:eastAsia="Arial" w:cs="Arial" w:ascii="Arial" w:hAnsi="Arial"/>
          <w:b/>
          <w:bCs/>
          <w:i w:val="false"/>
          <w:iCs w:val="false"/>
          <w:caps w:val="false"/>
          <w:smallCaps w:val="false"/>
          <w:strike w:val="false"/>
          <w:dstrike w:val="false"/>
          <w:color w:val="000000"/>
          <w:position w:val="0"/>
          <w:sz w:val="22"/>
          <w:sz w:val="22"/>
          <w:szCs w:val="22"/>
          <w:u w:val="none"/>
          <w:shd w:fill="auto" w:val="clear"/>
          <w:vertAlign w:val="baseline"/>
        </w:rPr>
        <w:t>Fédération internationale pour les droits humains (FIDH)</w:t>
      </w:r>
    </w:p>
    <w:p>
      <w:pPr>
        <w:pStyle w:val="normal1"/>
        <w:keepNext w:val="false"/>
        <w:keepLines w:val="false"/>
        <w:pageBreakBefore w:val="false"/>
        <w:widowControl/>
        <w:shd w:val="clear" w:fill="auto"/>
        <w:spacing w:lineRule="auto" w:line="276" w:before="0" w:after="0"/>
        <w:ind w:hanging="0" w:left="0" w:right="0"/>
        <w:jc w:val="center"/>
        <w:rPr>
          <w:rFonts w:ascii="Arial" w:hAnsi="Arial" w:eastAsia="Arial" w:cs="Arial"/>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organisation non gouvernementale dotée du statut consultatif spécial</w:t>
      </w:r>
    </w:p>
    <w:p>
      <w:pPr>
        <w:pStyle w:val="normal1"/>
        <w:keepNext w:val="false"/>
        <w:keepLines w:val="false"/>
        <w:pageBreakBefore w:val="false"/>
        <w:widowControl/>
        <w:shd w:val="clear" w:fill="auto"/>
        <w:spacing w:lineRule="auto" w:line="276" w:before="0" w:after="0"/>
        <w:ind w:hanging="0" w:left="0" w:right="0"/>
        <w:jc w:val="center"/>
        <w:rPr>
          <w:rFonts w:ascii="Arial" w:hAnsi="Arial" w:eastAsia="Arial" w:cs="Arial"/>
          <w:sz w:val="22"/>
          <w:szCs w:val="22"/>
        </w:rPr>
      </w:pPr>
      <w:r>
        <w:rPr>
          <w:rFonts w:eastAsia="Arial" w:cs="Arial" w:ascii="Arial" w:hAnsi="Arial"/>
          <w:sz w:val="22"/>
          <w:szCs w:val="22"/>
        </w:rPr>
      </w:r>
    </w:p>
    <w:p>
      <w:pPr>
        <w:pStyle w:val="normal1"/>
        <w:keepNext w:val="false"/>
        <w:keepLines w:val="false"/>
        <w:pageBreakBefore w:val="false"/>
        <w:widowControl/>
        <w:shd w:val="clear" w:fill="auto"/>
        <w:spacing w:lineRule="auto" w:line="276" w:before="0" w:after="0"/>
        <w:ind w:hanging="0" w:left="0" w:right="0"/>
        <w:jc w:val="center"/>
        <w:rPr>
          <w:rFonts w:ascii="Arial" w:hAnsi="Arial" w:eastAsia="Arial" w:cs="Arial"/>
          <w:b/>
          <w:bCs/>
          <w:i w:val="false"/>
          <w:i w:val="false"/>
          <w:iCs w:val="false"/>
          <w:caps w:val="false"/>
          <w:smallCaps w:val="false"/>
          <w:strike w:val="false"/>
          <w:dstrike w:val="false"/>
          <w:color w:val="000000"/>
          <w:position w:val="0"/>
          <w:sz w:val="22"/>
          <w:sz w:val="22"/>
          <w:szCs w:val="22"/>
          <w:u w:val="none"/>
          <w:vertAlign w:val="baseline"/>
        </w:rPr>
      </w:pPr>
      <w:r>
        <w:rPr>
          <w:rFonts w:eastAsia="Arial" w:cs="Arial" w:ascii="Arial" w:hAnsi="Arial"/>
          <w:b/>
          <w:bCs/>
          <w:i w:val="false"/>
          <w:iCs w:val="false"/>
          <w:caps w:val="false"/>
          <w:smallCaps w:val="false"/>
          <w:strike w:val="false"/>
          <w:dstrike w:val="false"/>
          <w:color w:val="000000"/>
          <w:position w:val="0"/>
          <w:sz w:val="22"/>
          <w:sz w:val="22"/>
          <w:szCs w:val="22"/>
          <w:u w:val="none"/>
          <w:vertAlign w:val="baseline"/>
        </w:rPr>
        <w:t>l’Organisation mondiale contre la torture (OMCT)</w:t>
      </w:r>
    </w:p>
    <w:p>
      <w:pPr>
        <w:pStyle w:val="normal1"/>
        <w:keepNext w:val="false"/>
        <w:keepLines w:val="false"/>
        <w:pageBreakBefore w:val="false"/>
        <w:widowControl/>
        <w:shd w:val="clear" w:fill="auto"/>
        <w:spacing w:lineRule="auto" w:line="276" w:before="0" w:after="0"/>
        <w:ind w:hanging="0" w:left="0" w:right="0"/>
        <w:jc w:val="center"/>
        <w:rPr>
          <w:rFonts w:ascii="Arial" w:hAnsi="Arial" w:eastAsia="Arial" w:cs="Arial"/>
          <w:b w:val="false"/>
          <w:bCs w:val="false"/>
          <w:i w:val="false"/>
          <w:i w:val="false"/>
          <w:iCs w:val="false"/>
          <w:caps w:val="false"/>
          <w:smallCaps w:val="false"/>
          <w:strike w:val="false"/>
          <w:dstrike w:val="false"/>
          <w:color w:val="000000"/>
          <w:position w:val="0"/>
          <w:sz w:val="22"/>
          <w:sz w:val="22"/>
          <w:szCs w:val="22"/>
          <w:u w:val="none"/>
          <w:vertAlign w:val="baseline"/>
        </w:rPr>
      </w:pPr>
      <w:r>
        <w:rPr>
          <w:rFonts w:eastAsia="Arial" w:cs="Arial" w:ascii="Arial" w:hAnsi="Arial"/>
          <w:b w:val="false"/>
          <w:bCs w:val="false"/>
          <w:i w:val="false"/>
          <w:iCs w:val="false"/>
          <w:caps w:val="false"/>
          <w:smallCaps w:val="false"/>
          <w:strike w:val="false"/>
          <w:dstrike w:val="false"/>
          <w:color w:val="000000"/>
          <w:position w:val="0"/>
          <w:sz w:val="22"/>
          <w:sz w:val="22"/>
          <w:szCs w:val="22"/>
          <w:u w:val="none"/>
          <w:vertAlign w:val="baseline"/>
        </w:rPr>
        <w:t>organisation non gouvernementale dotée du statut consultatif spécial</w:t>
        <w:br/>
      </w:r>
    </w:p>
    <w:p>
      <w:pPr>
        <w:pStyle w:val="normal1"/>
        <w:spacing w:lineRule="auto" w:line="276"/>
        <w:ind w:hanging="0" w:left="0"/>
        <w:jc w:val="center"/>
        <w:rPr>
          <w:rFonts w:ascii="Arial" w:hAnsi="Arial" w:eastAsia="Arial" w:cs="Arial"/>
          <w:b/>
          <w:bCs/>
          <w:sz w:val="22"/>
          <w:szCs w:val="22"/>
        </w:rPr>
      </w:pPr>
      <w:r>
        <w:rPr>
          <w:rFonts w:eastAsia="Arial" w:cs="Arial" w:ascii="Arial" w:hAnsi="Arial"/>
          <w:b/>
          <w:bCs/>
          <w:sz w:val="22"/>
          <w:szCs w:val="22"/>
        </w:rPr>
        <w:t>l’Association tchadienne pour la promotion et la défense des droits de l’Homme (ATPDH)</w:t>
      </w:r>
    </w:p>
    <w:p>
      <w:pPr>
        <w:pStyle w:val="normal1"/>
        <w:spacing w:lineRule="auto" w:line="276"/>
        <w:ind w:hanging="0" w:left="720"/>
        <w:jc w:val="center"/>
        <w:rPr>
          <w:rFonts w:ascii="Arial" w:hAnsi="Arial" w:eastAsia="Arial" w:cs="Arial"/>
          <w:sz w:val="22"/>
          <w:szCs w:val="22"/>
        </w:rPr>
      </w:pPr>
      <w:r>
        <w:rPr>
          <w:rFonts w:eastAsia="Arial" w:cs="Arial" w:ascii="Arial" w:hAnsi="Arial"/>
          <w:sz w:val="22"/>
          <w:szCs w:val="22"/>
        </w:rPr>
      </w:r>
    </w:p>
    <w:p>
      <w:pPr>
        <w:pStyle w:val="normal1"/>
        <w:spacing w:lineRule="auto" w:line="276"/>
        <w:ind w:hanging="0" w:left="0"/>
        <w:jc w:val="center"/>
        <w:rPr>
          <w:rFonts w:ascii="Arial" w:hAnsi="Arial" w:eastAsia="Arial" w:cs="Arial"/>
          <w:b/>
          <w:bCs/>
          <w:sz w:val="22"/>
          <w:szCs w:val="22"/>
        </w:rPr>
      </w:pPr>
      <w:r>
        <w:rPr>
          <w:rFonts w:eastAsia="Arial" w:cs="Arial" w:ascii="Arial" w:hAnsi="Arial"/>
          <w:b/>
          <w:bCs/>
          <w:sz w:val="22"/>
          <w:szCs w:val="22"/>
        </w:rPr>
        <w:t>la Ligue tchadienne des droits de l’Homme (LTDH)</w:t>
      </w:r>
    </w:p>
    <w:p>
      <w:pPr>
        <w:pStyle w:val="normal1"/>
        <w:spacing w:lineRule="auto" w:line="276"/>
        <w:ind w:hanging="0" w:left="0"/>
        <w:jc w:val="center"/>
        <w:rPr>
          <w:rFonts w:ascii="Arial" w:hAnsi="Arial" w:eastAsia="Arial" w:cs="Arial"/>
          <w:sz w:val="22"/>
          <w:szCs w:val="22"/>
        </w:rPr>
      </w:pPr>
      <w:r>
        <w:rPr>
          <w:rFonts w:eastAsia="Arial" w:cs="Arial" w:ascii="Arial" w:hAnsi="Arial"/>
          <w:sz w:val="22"/>
          <w:szCs w:val="22"/>
        </w:rPr>
        <w:t>et</w:t>
      </w:r>
    </w:p>
    <w:p>
      <w:pPr>
        <w:pStyle w:val="normal1"/>
        <w:spacing w:lineRule="auto" w:line="276"/>
        <w:ind w:hanging="0" w:left="0"/>
        <w:jc w:val="center"/>
        <w:rPr>
          <w:rFonts w:ascii="Arial" w:hAnsi="Arial" w:eastAsia="Arial" w:cs="Arial"/>
          <w:b/>
          <w:bCs/>
          <w:sz w:val="22"/>
          <w:szCs w:val="22"/>
        </w:rPr>
      </w:pPr>
      <w:r>
        <w:rPr>
          <w:rFonts w:eastAsia="Arial" w:cs="Arial" w:ascii="Arial" w:hAnsi="Arial"/>
          <w:b/>
          <w:bCs/>
          <w:sz w:val="22"/>
          <w:szCs w:val="22"/>
        </w:rPr>
        <w:t>le Public Interest Law Center (PILC)</w:t>
      </w:r>
    </w:p>
    <w:p>
      <w:pPr>
        <w:pStyle w:val="normal1"/>
        <w:keepNext w:val="false"/>
        <w:keepLines w:val="false"/>
        <w:pageBreakBefore w:val="false"/>
        <w:widowControl/>
        <w:shd w:val="clear" w:fill="auto"/>
        <w:spacing w:lineRule="auto" w:line="276" w:before="0" w:after="0"/>
        <w:ind w:hanging="0" w:left="720" w:right="0"/>
        <w:jc w:val="left"/>
        <w:rPr>
          <w:rFonts w:ascii="Arial" w:hAnsi="Arial" w:eastAsia="Arial" w:cs="Arial"/>
          <w:sz w:val="22"/>
          <w:szCs w:val="22"/>
          <w:highlight w:val="yellow"/>
        </w:rPr>
      </w:pPr>
      <w:r>
        <w:rPr>
          <w:rFonts w:eastAsia="Arial" w:cs="Arial" w:ascii="Arial" w:hAnsi="Arial"/>
          <w:sz w:val="22"/>
          <w:szCs w:val="22"/>
          <w:highlight w:val="yellow"/>
        </w:rPr>
      </w:r>
    </w:p>
    <w:p>
      <w:pPr>
        <w:pStyle w:val="normal1"/>
        <w:keepNext w:val="false"/>
        <w:keepLines w:val="false"/>
        <w:pageBreakBefore w:val="false"/>
        <w:widowControl/>
        <w:shd w:val="clear" w:fill="auto"/>
        <w:spacing w:lineRule="auto" w:line="276" w:before="0" w:after="0"/>
        <w:ind w:hanging="0" w:left="720" w:right="0"/>
        <w:jc w:val="both"/>
        <w:rPr>
          <w:rFonts w:ascii="Arial" w:hAnsi="Arial" w:eastAsia="Arial" w:cs="Arial"/>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r>
    </w:p>
    <w:p>
      <w:pPr>
        <w:pStyle w:val="normal1"/>
        <w:keepNext w:val="false"/>
        <w:keepLines w:val="false"/>
        <w:pageBreakBefore w:val="false"/>
        <w:widowControl/>
        <w:shd w:val="clear" w:fill="auto"/>
        <w:spacing w:lineRule="auto" w:line="276" w:before="0" w:after="0"/>
        <w:ind w:hanging="0" w:left="720" w:right="0"/>
        <w:jc w:val="both"/>
        <w:rPr>
          <w:rFonts w:ascii="Arial" w:hAnsi="Arial" w:eastAsia="Arial" w:cs="Arial"/>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La présente soumission a été préparée par la Fédération internationale pour les droits humains (</w:t>
      </w:r>
      <w:r>
        <w:rPr>
          <w:rFonts w:eastAsia="Arial" w:cs="Arial" w:ascii="Arial" w:hAnsi="Arial"/>
          <w:sz w:val="22"/>
          <w:szCs w:val="22"/>
        </w:rPr>
        <w:t>FIDH),</w:t>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xml:space="preserve"> l’Organisation mondiale contre la torture (OMCT),</w:t>
      </w:r>
      <w:r>
        <w:rPr>
          <w:rFonts w:eastAsia="Arial" w:cs="Arial" w:ascii="Arial" w:hAnsi="Arial"/>
          <w:sz w:val="22"/>
          <w:szCs w:val="22"/>
        </w:rPr>
        <w:t xml:space="preserve"> l’Association tchadienne pour la promotion et la défense des droits de l’Homme (ATPDH), la Ligue tchadienne des droits de l’Homme (LTDH)  et le Public Interest Law Center (PILC)</w:t>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xml:space="preserve">. </w:t>
      </w:r>
    </w:p>
    <w:p>
      <w:pPr>
        <w:pStyle w:val="normal1"/>
        <w:keepNext w:val="false"/>
        <w:keepLines w:val="false"/>
        <w:pageBreakBefore w:val="false"/>
        <w:widowControl/>
        <w:shd w:val="clear" w:fill="auto"/>
        <w:spacing w:lineRule="auto" w:line="276" w:before="0" w:after="0"/>
        <w:ind w:hanging="0" w:left="720" w:right="0"/>
        <w:jc w:val="both"/>
        <w:rPr>
          <w:rFonts w:ascii="Arial" w:hAnsi="Arial" w:eastAsia="Arial" w:cs="Arial"/>
          <w:sz w:val="22"/>
          <w:szCs w:val="22"/>
        </w:rPr>
      </w:pPr>
      <w:r>
        <w:rPr>
          <w:rFonts w:eastAsia="Arial" w:cs="Arial" w:ascii="Arial" w:hAnsi="Arial"/>
          <w:sz w:val="22"/>
          <w:szCs w:val="22"/>
        </w:rPr>
      </w:r>
    </w:p>
    <w:p>
      <w:pPr>
        <w:pStyle w:val="normal1"/>
        <w:keepNext w:val="false"/>
        <w:keepLines w:val="false"/>
        <w:pageBreakBefore w:val="false"/>
        <w:widowControl/>
        <w:shd w:val="clear" w:fill="auto"/>
        <w:spacing w:lineRule="auto" w:line="276" w:before="0" w:after="0"/>
        <w:ind w:hanging="0" w:left="720" w:right="0"/>
        <w:jc w:val="both"/>
        <w:rPr>
          <w:rFonts w:ascii="Arial" w:hAnsi="Arial" w:eastAsia="Arial" w:cs="Arial"/>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xml:space="preserve">La FIDH est une organisation non gouvernementale (ONG) internationale de défense des droits humains qui regroupe près de 200 organisations nationales de défense des droits humains dans 115 pays. Depuis 1922, la FIDH est engagée dans la défense de tous les droits civils, politiques, économiques, sociaux et culturels tels que définis dans la Déclaration universelle des droits de l’Homme. </w:t>
      </w:r>
    </w:p>
    <w:p>
      <w:pPr>
        <w:pStyle w:val="normal1"/>
        <w:keepNext w:val="false"/>
        <w:keepLines w:val="false"/>
        <w:pageBreakBefore w:val="false"/>
        <w:widowControl/>
        <w:shd w:val="clear" w:fill="auto"/>
        <w:spacing w:lineRule="auto" w:line="276" w:before="0" w:after="0"/>
        <w:ind w:hanging="0" w:left="720" w:right="0"/>
        <w:jc w:val="both"/>
        <w:rPr>
          <w:rFonts w:ascii="Arial" w:hAnsi="Arial" w:eastAsia="Arial" w:cs="Arial"/>
          <w:sz w:val="22"/>
          <w:szCs w:val="22"/>
        </w:rPr>
      </w:pPr>
      <w:r>
        <w:rPr>
          <w:rFonts w:eastAsia="Arial" w:cs="Arial" w:ascii="Arial" w:hAnsi="Arial"/>
          <w:sz w:val="22"/>
          <w:szCs w:val="22"/>
        </w:rPr>
      </w:r>
    </w:p>
    <w:p>
      <w:pPr>
        <w:pStyle w:val="normal1"/>
        <w:keepNext w:val="false"/>
        <w:keepLines w:val="false"/>
        <w:pageBreakBefore w:val="false"/>
        <w:widowControl/>
        <w:shd w:val="clear" w:fill="auto"/>
        <w:spacing w:lineRule="auto" w:line="276" w:before="0" w:after="0"/>
        <w:ind w:hanging="0" w:left="720" w:right="0"/>
        <w:jc w:val="both"/>
        <w:rPr>
          <w:rFonts w:ascii="Arial" w:hAnsi="Arial" w:eastAsia="Arial" w:cs="Arial"/>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L’OMCT est une ONG internationale regroupant plus de 200 organisations locales, membres du Réseau SOS-Torture et active dans plus de 90 pays à travers le monde. Depuis 1985, l’OMCT œuvre dans tous les domaines du travail contre la torture – prévention, lutte contre l’impunité, assistance directe, réhabilitation, réparation et protection – pour les victimes et leurs familles, pour les défenseur·es des droits humains et pour que tout un chacun puisse vivre dans un monde sans torture.</w:t>
      </w:r>
    </w:p>
    <w:p>
      <w:pPr>
        <w:pStyle w:val="normal1"/>
        <w:keepNext w:val="false"/>
        <w:keepLines w:val="false"/>
        <w:pageBreakBefore w:val="false"/>
        <w:widowControl/>
        <w:shd w:val="clear" w:fill="auto"/>
        <w:spacing w:lineRule="auto" w:line="276" w:before="0" w:after="0"/>
        <w:ind w:hanging="0" w:left="720" w:right="0"/>
        <w:jc w:val="both"/>
        <w:rPr>
          <w:rFonts w:ascii="Arial" w:hAnsi="Arial" w:eastAsia="Arial" w:cs="Arial"/>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r>
    </w:p>
    <w:p>
      <w:pPr>
        <w:pStyle w:val="normal1"/>
        <w:keepNext w:val="false"/>
        <w:keepLines w:val="false"/>
        <w:pageBreakBefore w:val="false"/>
        <w:widowControl/>
        <w:shd w:val="clear" w:fill="auto"/>
        <w:spacing w:lineRule="auto" w:line="276" w:before="0" w:after="0"/>
        <w:ind w:hanging="0" w:left="720" w:right="0"/>
        <w:jc w:val="both"/>
        <w:rPr>
          <w:rFonts w:ascii="Arial" w:hAnsi="Arial" w:eastAsia="Arial" w:cs="Arial"/>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La FIDH et l'OMCT fournissent également un système complet et holistique de soutien et de protection aux défenseur·es des droits humains, notamment dans le cadre de leur programme conjoint de l'Observatoire pour la protection des défenseur·es des droits humains.</w:t>
      </w:r>
    </w:p>
    <w:p>
      <w:pPr>
        <w:pStyle w:val="normal1"/>
        <w:keepNext w:val="false"/>
        <w:keepLines w:val="false"/>
        <w:pageBreakBefore w:val="false"/>
        <w:widowControl/>
        <w:shd w:val="clear" w:fill="auto"/>
        <w:spacing w:lineRule="auto" w:line="276" w:before="0" w:after="0"/>
        <w:ind w:hanging="0" w:left="720" w:right="0"/>
        <w:jc w:val="both"/>
        <w:rPr>
          <w:rFonts w:ascii="Arial" w:hAnsi="Arial" w:eastAsia="Arial" w:cs="Arial"/>
          <w:sz w:val="22"/>
          <w:szCs w:val="22"/>
        </w:rPr>
      </w:pPr>
      <w:r>
        <w:rPr>
          <w:rFonts w:eastAsia="Arial" w:cs="Arial" w:ascii="Arial" w:hAnsi="Arial"/>
          <w:sz w:val="22"/>
          <w:szCs w:val="22"/>
        </w:rPr>
      </w:r>
    </w:p>
    <w:p>
      <w:pPr>
        <w:pStyle w:val="normal1"/>
        <w:keepNext w:val="false"/>
        <w:keepLines w:val="false"/>
        <w:pageBreakBefore w:val="false"/>
        <w:widowControl/>
        <w:shd w:val="clear" w:fill="auto"/>
        <w:spacing w:lineRule="auto" w:line="276" w:before="0" w:after="0"/>
        <w:ind w:hanging="0" w:left="720" w:right="0"/>
        <w:jc w:val="both"/>
        <w:rPr>
          <w:rFonts w:ascii="Arial" w:hAnsi="Arial" w:eastAsia="Arial" w:cs="Arial"/>
          <w:sz w:val="22"/>
          <w:szCs w:val="22"/>
        </w:rPr>
      </w:pPr>
      <w:r>
        <w:rPr>
          <w:rFonts w:eastAsia="Arial" w:cs="Arial" w:ascii="Arial" w:hAnsi="Arial"/>
          <w:sz w:val="22"/>
          <w:szCs w:val="22"/>
        </w:rPr>
        <w:t xml:space="preserve">L’Association tchadienne pour la promotion et la défense des droits de l’Homme (ATPDH) est une organisation de droit tchadien, laïque et à but non lucratif oeuvrant depuis plus de trente ans en faveur de la paix, de l'unité, de la justice, des libertés et des droits fondamentaux de la personne humaine et lutte pour la démocratie, le développement et l'instauration d'un État de droit au Tchad. </w:t>
      </w:r>
    </w:p>
    <w:p>
      <w:pPr>
        <w:pStyle w:val="normal1"/>
        <w:keepNext w:val="false"/>
        <w:keepLines w:val="false"/>
        <w:pageBreakBefore w:val="false"/>
        <w:widowControl/>
        <w:shd w:val="clear" w:fill="auto"/>
        <w:spacing w:lineRule="auto" w:line="276" w:before="0" w:after="0"/>
        <w:ind w:hanging="0" w:left="720" w:right="0"/>
        <w:jc w:val="both"/>
        <w:rPr>
          <w:rFonts w:ascii="Arial" w:hAnsi="Arial" w:eastAsia="Arial" w:cs="Arial"/>
          <w:sz w:val="22"/>
          <w:szCs w:val="22"/>
        </w:rPr>
      </w:pPr>
      <w:r>
        <w:rPr>
          <w:rFonts w:eastAsia="Arial" w:cs="Arial" w:ascii="Arial" w:hAnsi="Arial"/>
          <w:sz w:val="22"/>
          <w:szCs w:val="22"/>
        </w:rPr>
      </w:r>
    </w:p>
    <w:p>
      <w:pPr>
        <w:pStyle w:val="normal1"/>
        <w:keepNext w:val="false"/>
        <w:keepLines w:val="false"/>
        <w:pageBreakBefore w:val="false"/>
        <w:widowControl/>
        <w:shd w:val="clear" w:fill="auto"/>
        <w:spacing w:lineRule="auto" w:line="276" w:before="0" w:after="0"/>
        <w:ind w:hanging="0" w:left="720" w:right="0"/>
        <w:jc w:val="both"/>
        <w:rPr>
          <w:rFonts w:ascii="Arial" w:hAnsi="Arial" w:eastAsia="Arial" w:cs="Arial"/>
          <w:sz w:val="22"/>
          <w:szCs w:val="22"/>
        </w:rPr>
      </w:pPr>
      <w:r>
        <w:rPr>
          <w:rFonts w:eastAsia="Arial" w:cs="Arial" w:ascii="Arial" w:hAnsi="Arial"/>
          <w:sz w:val="22"/>
          <w:szCs w:val="22"/>
        </w:rPr>
        <w:t xml:space="preserve">La Ligue tchadienne des droits de l’Homme (LTDH) est une organisation nationale, apolitique et à but non lucratif, créée en 1991 par des Tchadiennes et des Tchadiens engagés pour la paix, la justice et la liberté, dans le contexte de l’amorce du processus de démocratisation au Tchad. Légalement reconnue depuis le 9 juin 1991, la LTDH est la première organisation de défense des droits humains du pays. </w:t>
      </w:r>
    </w:p>
    <w:p>
      <w:pPr>
        <w:pStyle w:val="normal1"/>
        <w:keepNext w:val="false"/>
        <w:keepLines w:val="false"/>
        <w:pageBreakBefore w:val="false"/>
        <w:widowControl/>
        <w:shd w:val="clear" w:fill="auto"/>
        <w:spacing w:lineRule="auto" w:line="276" w:before="0" w:after="0"/>
        <w:ind w:hanging="0" w:left="720" w:right="0"/>
        <w:jc w:val="both"/>
        <w:rPr>
          <w:rFonts w:ascii="Arial" w:hAnsi="Arial" w:eastAsia="Arial" w:cs="Arial"/>
          <w:sz w:val="22"/>
          <w:szCs w:val="22"/>
        </w:rPr>
      </w:pPr>
      <w:r>
        <w:rPr>
          <w:rFonts w:eastAsia="Arial" w:cs="Arial" w:ascii="Arial" w:hAnsi="Arial"/>
          <w:sz w:val="22"/>
          <w:szCs w:val="22"/>
        </w:rPr>
      </w:r>
    </w:p>
    <w:p>
      <w:pPr>
        <w:pStyle w:val="normal1"/>
        <w:keepNext w:val="false"/>
        <w:keepLines w:val="false"/>
        <w:pageBreakBefore w:val="false"/>
        <w:widowControl/>
        <w:shd w:val="clear" w:fill="auto"/>
        <w:spacing w:lineRule="auto" w:line="276" w:before="0" w:after="0"/>
        <w:ind w:hanging="0" w:left="720" w:right="0"/>
        <w:jc w:val="both"/>
        <w:rPr>
          <w:rFonts w:ascii="Arial" w:hAnsi="Arial" w:eastAsia="Arial" w:cs="Arial"/>
          <w:sz w:val="22"/>
          <w:szCs w:val="22"/>
        </w:rPr>
      </w:pPr>
      <w:r>
        <w:rPr>
          <w:rFonts w:eastAsia="Arial" w:cs="Arial" w:ascii="Arial" w:hAnsi="Arial"/>
          <w:sz w:val="22"/>
          <w:szCs w:val="22"/>
        </w:rPr>
        <w:t>Le Public Interest Law Center (PILC) est une organisation non gouvernementale tchadienne, créée en 2006 ayant pour objectif de favoriser l’accès des populations vulnérables, notamment les femmes, les enfants, et les communautés marginalisées, à la justice et aux droits humains. Il œuvre pour un Tchad où l’État de droit et la justice sont accessibles à tous, en particulier aux populations souvent exclues ou marginalisées dans le système judiciaire.</w:t>
      </w:r>
    </w:p>
    <w:p>
      <w:pPr>
        <w:pStyle w:val="normal1"/>
        <w:keepNext w:val="false"/>
        <w:keepLines w:val="false"/>
        <w:pageBreakBefore w:val="false"/>
        <w:widowControl/>
        <w:shd w:val="clear" w:fill="auto"/>
        <w:spacing w:lineRule="auto" w:line="276" w:before="0" w:after="0"/>
        <w:ind w:hanging="0" w:left="0" w:right="0"/>
        <w:jc w:val="both"/>
        <w:rPr>
          <w:rFonts w:ascii="Arial" w:hAnsi="Arial" w:eastAsia="Arial" w:cs="Arial"/>
          <w:b/>
          <w:bCs/>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bCs/>
          <w:i w:val="false"/>
          <w:iCs w:val="false"/>
          <w:caps w:val="false"/>
          <w:smallCaps w:val="false"/>
          <w:strike w:val="false"/>
          <w:dstrike w:val="false"/>
          <w:color w:val="000000"/>
          <w:position w:val="0"/>
          <w:sz w:val="22"/>
          <w:sz w:val="22"/>
          <w:szCs w:val="22"/>
          <w:u w:val="none"/>
          <w:shd w:fill="auto" w:val="clear"/>
          <w:vertAlign w:val="baseline"/>
        </w:rPr>
      </w:r>
    </w:p>
    <w:p>
      <w:pPr>
        <w:pStyle w:val="normal1"/>
        <w:keepNext w:val="false"/>
        <w:keepLines w:val="false"/>
        <w:pageBreakBefore w:val="false"/>
        <w:widowControl/>
        <w:shd w:val="clear" w:fill="auto"/>
        <w:spacing w:lineRule="auto" w:line="276" w:before="0" w:after="0"/>
        <w:ind w:hanging="0" w:left="720" w:right="0"/>
        <w:jc w:val="both"/>
        <w:rPr>
          <w:rFonts w:ascii="Arial" w:hAnsi="Arial" w:eastAsia="Arial" w:cs="Arial"/>
          <w:b/>
          <w:bCs/>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bCs/>
          <w:i w:val="false"/>
          <w:iCs w:val="false"/>
          <w:caps w:val="false"/>
          <w:smallCaps w:val="false"/>
          <w:strike w:val="false"/>
          <w:dstrike w:val="false"/>
          <w:color w:val="000000"/>
          <w:position w:val="0"/>
          <w:sz w:val="22"/>
          <w:sz w:val="22"/>
          <w:szCs w:val="22"/>
          <w:u w:val="none"/>
          <w:shd w:fill="auto" w:val="clear"/>
          <w:vertAlign w:val="baseline"/>
        </w:rPr>
      </w:r>
    </w:p>
    <w:p>
      <w:pPr>
        <w:pStyle w:val="normal1"/>
        <w:keepNext w:val="false"/>
        <w:keepLines w:val="false"/>
        <w:pageBreakBefore w:val="false"/>
        <w:widowControl/>
        <w:shd w:val="clear" w:fill="auto"/>
        <w:spacing w:lineRule="auto" w:line="276" w:before="0" w:after="0"/>
        <w:ind w:hanging="0" w:left="720" w:right="0"/>
        <w:jc w:val="both"/>
        <w:rPr>
          <w:rFonts w:ascii="Arial" w:hAnsi="Arial" w:eastAsia="Arial" w:cs="Arial"/>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bCs/>
          <w:i w:val="false"/>
          <w:iCs w:val="false"/>
          <w:caps w:val="false"/>
          <w:smallCaps w:val="false"/>
          <w:strike w:val="false"/>
          <w:dstrike w:val="false"/>
          <w:color w:val="000000"/>
          <w:position w:val="0"/>
          <w:sz w:val="22"/>
          <w:sz w:val="22"/>
          <w:szCs w:val="22"/>
          <w:u w:val="none"/>
          <w:shd w:fill="auto" w:val="clear"/>
          <w:vertAlign w:val="baseline"/>
        </w:rPr>
        <w:t>Introduction</w:t>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xml:space="preserve"> </w:t>
      </w:r>
    </w:p>
    <w:p>
      <w:pPr>
        <w:pStyle w:val="normal1"/>
        <w:keepNext w:val="false"/>
        <w:keepLines w:val="false"/>
        <w:pageBreakBefore w:val="false"/>
        <w:widowControl/>
        <w:shd w:val="clear" w:fill="auto"/>
        <w:spacing w:lineRule="auto" w:line="276" w:before="0" w:after="0"/>
        <w:ind w:hanging="0" w:left="720" w:right="0"/>
        <w:jc w:val="both"/>
        <w:rPr>
          <w:rFonts w:ascii="Arial" w:hAnsi="Arial" w:eastAsia="Arial" w:cs="Arial"/>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r>
    </w:p>
    <w:p>
      <w:pPr>
        <w:pStyle w:val="normal1"/>
        <w:keepNext w:val="false"/>
        <w:keepLines w:val="false"/>
        <w:pageBreakBefore w:val="false"/>
        <w:widowControl/>
        <w:numPr>
          <w:ilvl w:val="0"/>
          <w:numId w:val="1"/>
        </w:numPr>
        <w:shd w:val="clear" w:fill="auto"/>
        <w:spacing w:lineRule="auto" w:line="276" w:before="0" w:after="0"/>
        <w:ind w:hanging="360" w:left="1440" w:right="0"/>
        <w:jc w:val="both"/>
        <w:rPr>
          <w:rFonts w:ascii="Arial" w:hAnsi="Arial" w:eastAsia="Arial" w:cs="Arial"/>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Depuis l’examen du deuxième rapport périodique du Tchad en mars 2014</w:t>
      </w:r>
      <w:r>
        <w:rPr>
          <w:rStyle w:val="FootnoteReference"/>
          <w:rFonts w:eastAsia="Arial" w:cs="Arial" w:ascii="Arial" w:hAnsi="Arial"/>
          <w:b w:val="false"/>
          <w:bCs w:val="false"/>
          <w:i w:val="false"/>
          <w:iCs w:val="false"/>
          <w:caps w:val="false"/>
          <w:smallCaps w:val="false"/>
          <w:strike w:val="false"/>
          <w:dstrike w:val="false"/>
          <w:color w:val="000000"/>
          <w:sz w:val="22"/>
          <w:szCs w:val="22"/>
          <w:u w:val="none"/>
          <w:shd w:fill="auto" w:val="clear"/>
          <w:vertAlign w:val="superscript"/>
        </w:rPr>
        <w:footnoteReference w:id="2"/>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xml:space="preserve">, la situation des droits humains est restée très préoccupante dans le pays, y compris en ce qui concerne l’espace civique et les défenseur·es des droits humains. La criminalisation systématique de la société civile défendant les droits humains s’est poursuivie sous le régime d’Idriss Déby Itno, puis sous celui de son fils, Mahamat Idriss Déby, qui a pris le pouvoir suite au coup d’État du 21 avril 2021, au lendemain du décès de son père qui avait passé 30 ans à la tête du pays. Le 21 avril 2021, une Charte de la Transition a été adoptée par le Conseil militaire de transition (CMT) constitué la veille, de façon unilatérale et sans consultation des acteurs et actrices politiques et de la société civile. Cette Charte a entériné la création de trois organes de transition pour les 18 mois suivants, abrogé la loi fondamentale en vigueur, </w:t>
      </w:r>
      <w:r>
        <w:rPr>
          <w:rFonts w:eastAsia="Arial" w:cs="Arial" w:ascii="Arial" w:hAnsi="Arial"/>
          <w:sz w:val="22"/>
          <w:szCs w:val="22"/>
        </w:rPr>
        <w:t>annoncé</w:t>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xml:space="preserve"> l’adoption d’une nouvelle Constitution par voie de référendum et promis l’organisation d’élections libres et transparentes à l’issue d’une période de transition de 18 mois, renouvelable une fois. </w:t>
      </w:r>
    </w:p>
    <w:p>
      <w:pPr>
        <w:pStyle w:val="normal1"/>
        <w:keepNext w:val="false"/>
        <w:keepLines w:val="false"/>
        <w:pageBreakBefore w:val="false"/>
        <w:widowControl/>
        <w:numPr>
          <w:ilvl w:val="0"/>
          <w:numId w:val="1"/>
        </w:numPr>
        <w:shd w:val="clear" w:fill="auto"/>
        <w:spacing w:lineRule="auto" w:line="276" w:before="0" w:after="0"/>
        <w:ind w:hanging="360" w:left="1440" w:right="0"/>
        <w:jc w:val="both"/>
        <w:rPr>
          <w:rFonts w:ascii="Arial" w:hAnsi="Arial" w:eastAsia="Arial" w:cs="Arial"/>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xml:space="preserve">À l’occasion du « dialogue national inclusif et souverain du Tchad » tenu en septembre 2022, le Maréchal Mahamat Idriss Déby a prolongé la Transition et fait </w:t>
      </w:r>
      <w:r>
        <w:rPr>
          <w:rFonts w:eastAsia="Arial" w:cs="Arial" w:ascii="Arial" w:hAnsi="Arial"/>
          <w:sz w:val="22"/>
          <w:szCs w:val="22"/>
        </w:rPr>
        <w:t xml:space="preserve">« </w:t>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sauter le verrou de la Charte</w:t>
      </w:r>
      <w:r>
        <w:rPr>
          <w:rFonts w:eastAsia="Arial" w:cs="Arial" w:ascii="Arial" w:hAnsi="Arial"/>
          <w:sz w:val="22"/>
          <w:szCs w:val="22"/>
        </w:rPr>
        <w:t xml:space="preserve"> »</w:t>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xml:space="preserve"> qui l’empêchait de se porter candidat à l’élection présidentielle </w:t>
      </w:r>
      <w:r>
        <w:rPr>
          <w:rFonts w:eastAsia="Arial" w:cs="Arial" w:ascii="Arial" w:hAnsi="Arial"/>
          <w:sz w:val="22"/>
          <w:szCs w:val="22"/>
        </w:rPr>
        <w:t>de</w:t>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xml:space="preserve"> sortie de la Transition. Mahamat Idriss Déby s’est ainsi présenté à l’élection présidentielle du 6 mai 2024, où il a été déclaré vainqueur dès le premier tour, sur fond de contestation, de violences post-électorales et de musellement de l’opposition politique. </w:t>
      </w:r>
    </w:p>
    <w:p>
      <w:pPr>
        <w:pStyle w:val="normal1"/>
        <w:keepNext w:val="false"/>
        <w:keepLines w:val="false"/>
        <w:pageBreakBefore w:val="false"/>
        <w:widowControl/>
        <w:numPr>
          <w:ilvl w:val="0"/>
          <w:numId w:val="1"/>
        </w:numPr>
        <w:shd w:val="clear" w:fill="auto"/>
        <w:spacing w:lineRule="auto" w:line="276" w:before="0" w:after="0"/>
        <w:ind w:hanging="360" w:left="1440" w:right="0"/>
        <w:jc w:val="both"/>
        <w:rPr>
          <w:rFonts w:ascii="Arial" w:hAnsi="Arial" w:eastAsia="Arial" w:cs="Arial"/>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Le 3 octobre 2025, le Parlement tchadien, dominé par le Mouvement patriotique du salut (MPS), parti du régime au pouvoir, a révisé, à travers une procédure expresse et sans débats contradictoires, la Constitution du pays adoptée par référendum le 29 décembre 2023. La loi constitutionnelle a été promulguée par le Président tchadien le 8 octobre 2025. La révision a consisté à remplacer le quinquennat en vigueur jusqu’alors par un septennat, et à supprimer la limitation du nombre de mandats présidentiels. La loi constitutionnelle donne ainsi au Maréchal Mahamat Idriss Déby Itno la possibilité d’être Président à vie. Le nouveau texte étend également le mandat des député·es de cinq à six ans. La révision a par ailleurs introduit une nouvelle disposition permettant au Président tchadien d’invoquer le cas de force majeure pour ne pas organiser les élections dans les délais constitutionnels (nouvel article 285).</w:t>
      </w:r>
    </w:p>
    <w:p>
      <w:pPr>
        <w:pStyle w:val="normal1"/>
        <w:keepNext w:val="false"/>
        <w:keepLines w:val="false"/>
        <w:pageBreakBefore w:val="false"/>
        <w:widowControl/>
        <w:numPr>
          <w:ilvl w:val="0"/>
          <w:numId w:val="1"/>
        </w:numPr>
        <w:shd w:val="clear" w:fill="auto"/>
        <w:spacing w:lineRule="auto" w:line="276" w:before="0" w:after="0"/>
        <w:ind w:hanging="360" w:left="1440" w:right="0"/>
        <w:jc w:val="both"/>
        <w:rPr>
          <w:rFonts w:ascii="Arial" w:hAnsi="Arial" w:eastAsia="Arial" w:cs="Arial"/>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Dans ce contexte, et afin de faire taire toute voix contestataire, le régime militaire a multiplié les actes de tortures, de disparitions forcées, d’arrestations arbitraires, de harcèlement judiciaire et de surveillance à l’encontre de défenseur·e des droits humains et a porté atteinte à de nombreux droits fondamentaux de la population tchadienne, y compris les droits à la liberté d’expression, de réunion pacifique et d’association, et ce en violation flagrante du Pacte international relatif aux droits civils et politiques (PIDCP) ratifié par le Tchad (par voie d'adhésion) le 9 juin 1995. Les défenseur·es des droits humains tchadien·es subissent les effets d’une culture de l’impunité et de l’absence d’un État de droit qui prévaut dans l’ensemble du pays. Depuis plusieurs années, la FIDH et l’OMCT,</w:t>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vertAlign w:val="baseline"/>
        </w:rPr>
        <w:t xml:space="preserve"> et leurs organisations membres au T</w:t>
      </w:r>
      <w:r>
        <w:rPr>
          <w:rFonts w:eastAsia="Arial" w:cs="Arial" w:ascii="Arial" w:hAnsi="Arial"/>
          <w:sz w:val="22"/>
          <w:szCs w:val="22"/>
        </w:rPr>
        <w:t xml:space="preserve">chad </w:t>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alertent sur le musellement des voix en faveur d’une démocratie véritable au Tchad, caractéristique des régimes successifs depuis plus de trente ans.</w:t>
      </w:r>
    </w:p>
    <w:p>
      <w:pPr>
        <w:pStyle w:val="normal1"/>
        <w:keepNext w:val="false"/>
        <w:keepLines w:val="false"/>
        <w:pageBreakBefore w:val="false"/>
        <w:widowControl/>
        <w:shd w:val="clear" w:fill="auto"/>
        <w:spacing w:lineRule="auto" w:line="276" w:before="0" w:after="0"/>
        <w:ind w:hanging="0" w:left="0" w:right="0"/>
        <w:jc w:val="both"/>
        <w:rPr>
          <w:rFonts w:ascii="Arial" w:hAnsi="Arial" w:eastAsia="Arial" w:cs="Arial"/>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r>
    </w:p>
    <w:p>
      <w:pPr>
        <w:pStyle w:val="normal1"/>
        <w:keepNext w:val="false"/>
        <w:keepLines w:val="false"/>
        <w:pageBreakBefore w:val="false"/>
        <w:widowControl/>
        <w:shd w:val="clear" w:fill="auto"/>
        <w:spacing w:lineRule="auto" w:line="276" w:before="0" w:after="0"/>
        <w:ind w:hanging="0" w:left="0" w:right="0"/>
        <w:jc w:val="both"/>
        <w:rPr>
          <w:rFonts w:ascii="Arial" w:hAnsi="Arial" w:eastAsia="Arial" w:cs="Arial"/>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bCs/>
          <w:i w:val="false"/>
          <w:iCs w:val="false"/>
          <w:caps w:val="false"/>
          <w:smallCaps w:val="false"/>
          <w:strike w:val="false"/>
          <w:dstrike w:val="false"/>
          <w:color w:val="000000"/>
          <w:position w:val="0"/>
          <w:sz w:val="22"/>
          <w:sz w:val="22"/>
          <w:szCs w:val="22"/>
          <w:u w:val="none"/>
          <w:shd w:fill="auto" w:val="clear"/>
          <w:vertAlign w:val="baseline"/>
        </w:rPr>
        <w:t>Disparitions forcées (art. 6, 9 et 12)</w:t>
      </w:r>
    </w:p>
    <w:p>
      <w:pPr>
        <w:pStyle w:val="normal1"/>
        <w:keepNext w:val="false"/>
        <w:keepLines w:val="false"/>
        <w:pageBreakBefore w:val="false"/>
        <w:widowControl/>
        <w:shd w:val="clear" w:fill="auto"/>
        <w:spacing w:lineRule="auto" w:line="276" w:before="0" w:after="0"/>
        <w:ind w:hanging="0" w:left="0" w:right="0"/>
        <w:jc w:val="both"/>
        <w:rPr>
          <w:rFonts w:ascii="Arial" w:hAnsi="Arial" w:eastAsia="Arial" w:cs="Arial"/>
          <w:b/>
          <w:bCs/>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bCs/>
          <w:i w:val="false"/>
          <w:iCs w:val="false"/>
          <w:caps w:val="false"/>
          <w:smallCaps w:val="false"/>
          <w:strike w:val="false"/>
          <w:dstrike w:val="false"/>
          <w:color w:val="000000"/>
          <w:position w:val="0"/>
          <w:sz w:val="22"/>
          <w:sz w:val="22"/>
          <w:szCs w:val="22"/>
          <w:u w:val="none"/>
          <w:shd w:fill="auto" w:val="clear"/>
          <w:vertAlign w:val="baseline"/>
        </w:rPr>
      </w:r>
    </w:p>
    <w:p>
      <w:pPr>
        <w:pStyle w:val="normal1"/>
        <w:keepNext w:val="false"/>
        <w:keepLines w:val="false"/>
        <w:pageBreakBefore w:val="false"/>
        <w:widowControl/>
        <w:numPr>
          <w:ilvl w:val="0"/>
          <w:numId w:val="1"/>
        </w:numPr>
        <w:shd w:val="clear" w:fill="auto"/>
        <w:spacing w:lineRule="auto" w:line="276" w:before="0" w:after="0"/>
        <w:ind w:hanging="360" w:left="1440" w:right="0"/>
        <w:jc w:val="both"/>
        <w:rPr>
          <w:rFonts w:ascii="Arial" w:hAnsi="Arial" w:eastAsia="Arial" w:cs="Arial"/>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Lors de l’examen du deuxième rapport périodique du Tchad en mars 2014, le Comité des droits de l’Homme a recommandé au Tchad de « prendre toutes les mesures nécessaires pour prévenir la survenance de cas de disparitions forcées sur son territoire et éviter l’impunité de leurs auteurs »</w:t>
      </w:r>
      <w:r>
        <w:rPr>
          <w:rStyle w:val="FootnoteReference"/>
          <w:rFonts w:eastAsia="Arial" w:cs="Arial" w:ascii="Arial" w:hAnsi="Arial"/>
          <w:b w:val="false"/>
          <w:bCs w:val="false"/>
          <w:i w:val="false"/>
          <w:iCs w:val="false"/>
          <w:caps w:val="false"/>
          <w:smallCaps w:val="false"/>
          <w:strike w:val="false"/>
          <w:dstrike w:val="false"/>
          <w:color w:val="000000"/>
          <w:sz w:val="22"/>
          <w:szCs w:val="22"/>
          <w:u w:val="none"/>
          <w:shd w:fill="auto" w:val="clear"/>
          <w:vertAlign w:val="superscript"/>
        </w:rPr>
        <w:footnoteReference w:id="3"/>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Dans son troisième rapport périodique soumis en août 2023</w:t>
      </w:r>
      <w:r>
        <w:rPr>
          <w:rStyle w:val="FootnoteReference"/>
          <w:rFonts w:eastAsia="Arial" w:cs="Arial" w:ascii="Arial" w:hAnsi="Arial"/>
          <w:b w:val="false"/>
          <w:bCs w:val="false"/>
          <w:i w:val="false"/>
          <w:iCs w:val="false"/>
          <w:caps w:val="false"/>
          <w:smallCaps w:val="false"/>
          <w:strike w:val="false"/>
          <w:dstrike w:val="false"/>
          <w:color w:val="000000"/>
          <w:sz w:val="22"/>
          <w:szCs w:val="22"/>
          <w:u w:val="none"/>
          <w:shd w:fill="auto" w:val="clear"/>
          <w:vertAlign w:val="superscript"/>
        </w:rPr>
        <w:footnoteReference w:id="4"/>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xml:space="preserve">, le Tchad a assuré que  « Pour prévenir les cas de disparitions forcées, le législateur tchadien à travers l’article 292 du Code pénal, a internalisé les dispositions de la Convention contre la torture et autres peines ou traitements cruels, inhumains ou dégradants. Il prévoit et punit ainsi les coupables de crimes contre l’humanité de l’emprisonnement à vie. » </w:t>
      </w:r>
    </w:p>
    <w:p>
      <w:pPr>
        <w:pStyle w:val="normal1"/>
        <w:keepNext w:val="false"/>
        <w:keepLines w:val="false"/>
        <w:pageBreakBefore w:val="false"/>
        <w:widowControl/>
        <w:numPr>
          <w:ilvl w:val="0"/>
          <w:numId w:val="1"/>
        </w:numPr>
        <w:shd w:val="clear" w:fill="auto"/>
        <w:spacing w:lineRule="auto" w:line="276" w:before="0" w:after="0"/>
        <w:ind w:hanging="360" w:left="1440" w:right="0"/>
        <w:jc w:val="both"/>
        <w:rPr>
          <w:rFonts w:ascii="Arial" w:hAnsi="Arial" w:eastAsia="Arial" w:cs="Arial"/>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xml:space="preserve">Pour autant, des activistes de la société civile sont toujours la cible d’enlèvements et de disparitions forcées, dans le but de les intimider et de les faire taire, en violation des articles 6, 9 et 12 du PIDCP, et ce sans que les auteurs ne soient inquiétés. </w:t>
      </w:r>
    </w:p>
    <w:p>
      <w:pPr>
        <w:pStyle w:val="normal1"/>
        <w:keepNext w:val="false"/>
        <w:keepLines w:val="false"/>
        <w:pageBreakBefore w:val="false"/>
        <w:widowControl/>
        <w:numPr>
          <w:ilvl w:val="0"/>
          <w:numId w:val="1"/>
        </w:numPr>
        <w:shd w:val="clear" w:fill="auto"/>
        <w:spacing w:lineRule="auto" w:line="276" w:before="0" w:after="0"/>
        <w:ind w:hanging="360" w:left="1440" w:right="0"/>
        <w:jc w:val="both"/>
        <w:rPr>
          <w:rFonts w:ascii="Arial" w:hAnsi="Arial" w:eastAsia="Arial" w:cs="Arial"/>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xml:space="preserve">À titre d’exemple, </w:t>
      </w:r>
      <w:r>
        <w:rPr>
          <w:rFonts w:eastAsia="Arial" w:cs="Arial" w:ascii="Arial" w:hAnsi="Arial"/>
          <w:b/>
          <w:bCs/>
          <w:i w:val="false"/>
          <w:iCs w:val="false"/>
          <w:caps w:val="false"/>
          <w:smallCaps w:val="false"/>
          <w:strike w:val="false"/>
          <w:dstrike w:val="false"/>
          <w:color w:val="000000"/>
          <w:position w:val="0"/>
          <w:sz w:val="22"/>
          <w:sz w:val="22"/>
          <w:szCs w:val="22"/>
          <w:u w:val="none"/>
          <w:shd w:fill="auto" w:val="clear"/>
          <w:vertAlign w:val="baseline"/>
        </w:rPr>
        <w:t>Ahmat Haroun Larry</w:t>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activiste et lanceur d’alerte, président du Groupe de réflexion sur l’avenir et la construction du Tchad (GRAC-TCHAD), a été victime de disparition forcée pendant 34 jours du 10 mai au 13 juin 2024. Il a été arrêté le 10 mai 2024 par les services de l’Agence nationale de sécurité de l’État (ANSE), et ni ses avocats ni les organisations des droits humains locales n’ont eu accès à son lieu de détention</w:t>
      </w:r>
      <w:r>
        <w:rPr>
          <w:rFonts w:eastAsia="Arial" w:cs="Arial" w:ascii="Arial" w:hAnsi="Arial"/>
          <w:sz w:val="22"/>
          <w:szCs w:val="22"/>
        </w:rPr>
        <w:t>. En outre,</w:t>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xml:space="preserve"> sa famille est restée sans nouvelles de lui jusqu’à sa libération le 13 juin 2024. Les motifs précis de son arrestation restent inconnus, mais ses avocats soupçonnent qu’elle soit liée à des déclarations que M. Ahmat Haroun Larry a </w:t>
      </w:r>
      <w:r>
        <w:rPr>
          <w:rFonts w:eastAsia="Arial" w:cs="Arial" w:ascii="Arial" w:hAnsi="Arial"/>
          <w:sz w:val="22"/>
          <w:szCs w:val="22"/>
        </w:rPr>
        <w:t>réalisées</w:t>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xml:space="preserve"> en direct sur les réseaux sociaux au cours desquelles il a critiqué à plusieurs reprises le Président de la Transition tchadienne, Mahamat Idriss Déby Itno, ainsi que son directeur de cabinet, Idriss Youssouf Boy. Ses dernières déclarations avant son arrestation portaient notamment sur des « mesures impopulaires » ayant entraîné une augmentation importante du coût de la vie au Tchad, en particulier celui du carburant.</w:t>
      </w:r>
      <w:r>
        <w:rPr>
          <w:rStyle w:val="FootnoteReference"/>
          <w:rFonts w:eastAsia="Arial" w:cs="Arial" w:ascii="Arial" w:hAnsi="Arial"/>
          <w:b w:val="false"/>
          <w:bCs w:val="false"/>
          <w:i w:val="false"/>
          <w:iCs w:val="false"/>
          <w:caps w:val="false"/>
          <w:smallCaps w:val="false"/>
          <w:strike w:val="false"/>
          <w:dstrike w:val="false"/>
          <w:color w:val="000000"/>
          <w:sz w:val="22"/>
          <w:szCs w:val="22"/>
          <w:u w:val="none"/>
          <w:shd w:fill="auto" w:val="clear"/>
          <w:vertAlign w:val="superscript"/>
        </w:rPr>
        <w:footnoteReference w:id="5"/>
      </w:r>
    </w:p>
    <w:p>
      <w:pPr>
        <w:pStyle w:val="normal1"/>
        <w:widowControl/>
        <w:numPr>
          <w:ilvl w:val="0"/>
          <w:numId w:val="1"/>
        </w:numPr>
        <w:shd w:val="clear" w:fill="auto"/>
        <w:spacing w:lineRule="auto" w:line="276" w:before="0" w:after="0"/>
        <w:ind w:hanging="360" w:left="1440" w:right="0"/>
        <w:jc w:val="both"/>
        <w:rPr>
          <w:rFonts w:ascii="Arial" w:hAnsi="Arial" w:eastAsia="Arial" w:cs="Arial"/>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sz w:val="22"/>
          <w:szCs w:val="22"/>
        </w:rPr>
        <w:t xml:space="preserve">Durant l’année 2025, au moins 10 cas de disparitions forcées ont été documentés au Tchad. Ce chiffre figure parmi un total de 697 violations des droits humains recensées par le Réseau des journalistes reporters tchadiens (RJRT), incluant des arrestations arbitraires, assassinats, enlèvements et autres formes d’abus, qui touchent non seulement des défenseur·es et activistes de la société civile, mais également des opposant·es politiques. C’est le cas de Game Robert, Secrétaire général du Parti socialiste sans frontières (PSF), enlevé le 20 sept 2024 par des inconnus. Après huit mois de disparition forcée, il a été libéré en juin 2025. </w:t>
      </w:r>
    </w:p>
    <w:p>
      <w:pPr>
        <w:pStyle w:val="normal1"/>
        <w:keepNext w:val="false"/>
        <w:keepLines w:val="false"/>
        <w:pageBreakBefore w:val="false"/>
        <w:widowControl/>
        <w:shd w:val="clear" w:fill="auto"/>
        <w:spacing w:lineRule="auto" w:line="276" w:before="0" w:after="0"/>
        <w:ind w:hanging="0" w:left="0" w:right="0"/>
        <w:jc w:val="both"/>
        <w:rPr>
          <w:rFonts w:ascii="Arial" w:hAnsi="Arial" w:eastAsia="Arial" w:cs="Arial"/>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r>
    </w:p>
    <w:p>
      <w:pPr>
        <w:pStyle w:val="normal1"/>
        <w:widowControl/>
        <w:shd w:val="clear" w:fill="auto"/>
        <w:spacing w:lineRule="auto" w:line="276" w:before="0" w:after="0"/>
        <w:ind w:hanging="0" w:left="0" w:right="0"/>
        <w:jc w:val="both"/>
        <w:rPr>
          <w:rFonts w:ascii="Arial" w:hAnsi="Arial" w:eastAsia="Arial" w:cs="Arial"/>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bCs/>
          <w:i w:val="false"/>
          <w:iCs w:val="false"/>
          <w:caps w:val="false"/>
          <w:smallCaps w:val="false"/>
          <w:strike w:val="false"/>
          <w:dstrike w:val="false"/>
          <w:color w:val="000000"/>
          <w:position w:val="0"/>
          <w:sz w:val="22"/>
          <w:sz w:val="22"/>
          <w:szCs w:val="22"/>
          <w:u w:val="none"/>
          <w:shd w:fill="auto" w:val="clear"/>
          <w:vertAlign w:val="baseline"/>
        </w:rPr>
        <w:t>Interdiction de la torture et des autres peines ou traitements cruels, inhumains ou dégradants (art. 6, 7 et 10)</w:t>
      </w:r>
    </w:p>
    <w:p>
      <w:pPr>
        <w:pStyle w:val="normal1"/>
        <w:keepNext w:val="false"/>
        <w:keepLines w:val="false"/>
        <w:pageBreakBefore w:val="false"/>
        <w:widowControl/>
        <w:shd w:val="clear" w:fill="auto"/>
        <w:spacing w:lineRule="auto" w:line="276" w:before="0" w:after="0"/>
        <w:ind w:hanging="0" w:left="0" w:right="0"/>
        <w:jc w:val="both"/>
        <w:rPr>
          <w:rFonts w:ascii="Arial" w:hAnsi="Arial" w:eastAsia="Arial" w:cs="Arial"/>
          <w:b/>
          <w:bCs/>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bCs/>
          <w:i w:val="false"/>
          <w:iCs w:val="false"/>
          <w:caps w:val="false"/>
          <w:smallCaps w:val="false"/>
          <w:strike w:val="false"/>
          <w:dstrike w:val="false"/>
          <w:color w:val="000000"/>
          <w:position w:val="0"/>
          <w:sz w:val="22"/>
          <w:sz w:val="22"/>
          <w:szCs w:val="22"/>
          <w:u w:val="none"/>
          <w:shd w:fill="auto" w:val="clear"/>
          <w:vertAlign w:val="baseline"/>
        </w:rPr>
      </w:r>
    </w:p>
    <w:p>
      <w:pPr>
        <w:pStyle w:val="normal1"/>
        <w:keepNext w:val="false"/>
        <w:keepLines w:val="false"/>
        <w:pageBreakBefore w:val="false"/>
        <w:widowControl/>
        <w:numPr>
          <w:ilvl w:val="0"/>
          <w:numId w:val="1"/>
        </w:numPr>
        <w:shd w:val="clear" w:fill="auto"/>
        <w:spacing w:lineRule="auto" w:line="276" w:before="0" w:after="0"/>
        <w:ind w:hanging="360" w:left="1440" w:right="0"/>
        <w:jc w:val="both"/>
        <w:rPr>
          <w:rFonts w:ascii="Arial" w:hAnsi="Arial" w:eastAsia="Arial" w:cs="Arial"/>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Dans les conclusions du précédent rapport périodique du Tchad, le Comité des droits de l’Homme a enjoint le Tchad à « veiller à prévenir la torture sur son territoire et s’assurer que les cas présumés de torture et de mauvais traitements font l’objet d’une enquête approfondie »</w:t>
      </w:r>
      <w:r>
        <w:rPr>
          <w:rStyle w:val="FootnoteReference"/>
          <w:rFonts w:eastAsia="Arial" w:cs="Arial" w:ascii="Arial" w:hAnsi="Arial"/>
          <w:b w:val="false"/>
          <w:bCs w:val="false"/>
          <w:i w:val="false"/>
          <w:iCs w:val="false"/>
          <w:caps w:val="false"/>
          <w:smallCaps w:val="false"/>
          <w:strike w:val="false"/>
          <w:dstrike w:val="false"/>
          <w:color w:val="000000"/>
          <w:sz w:val="22"/>
          <w:szCs w:val="22"/>
          <w:u w:val="none"/>
          <w:shd w:fill="auto" w:val="clear"/>
          <w:vertAlign w:val="superscript"/>
        </w:rPr>
        <w:footnoteReference w:id="6"/>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Malgré l’affirmation de la prohibition de la torture à l’article 19 de la Constitution tchadienne, et les efforts mis en avant par les autorités pour lutter contre la torture dans leur troisième rapport périodique</w:t>
      </w:r>
      <w:r>
        <w:rPr>
          <w:rStyle w:val="FootnoteReference"/>
          <w:rFonts w:eastAsia="Arial" w:cs="Arial" w:ascii="Arial" w:hAnsi="Arial"/>
          <w:b w:val="false"/>
          <w:bCs w:val="false"/>
          <w:i w:val="false"/>
          <w:iCs w:val="false"/>
          <w:caps w:val="false"/>
          <w:smallCaps w:val="false"/>
          <w:strike w:val="false"/>
          <w:dstrike w:val="false"/>
          <w:color w:val="000000"/>
          <w:sz w:val="22"/>
          <w:szCs w:val="22"/>
          <w:u w:val="none"/>
          <w:shd w:fill="auto" w:val="clear"/>
          <w:vertAlign w:val="superscript"/>
        </w:rPr>
        <w:footnoteReference w:id="7"/>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xml:space="preserve">, de tels actes continuent d’être perpétrés dans le pays, y compris par des agents de l’ANSE, en violation des articles 6, 7 et 10 du PIDCP. </w:t>
      </w:r>
    </w:p>
    <w:p>
      <w:pPr>
        <w:pStyle w:val="normal1"/>
        <w:keepNext w:val="false"/>
        <w:keepLines w:val="false"/>
        <w:pageBreakBefore w:val="false"/>
        <w:widowControl/>
        <w:numPr>
          <w:ilvl w:val="0"/>
          <w:numId w:val="1"/>
        </w:numPr>
        <w:shd w:val="clear" w:fill="auto"/>
        <w:spacing w:lineRule="auto" w:line="276" w:before="0" w:after="0"/>
        <w:ind w:hanging="360" w:left="1440" w:right="0"/>
        <w:jc w:val="both"/>
        <w:rPr>
          <w:rFonts w:ascii="Arial" w:hAnsi="Arial" w:eastAsia="Arial" w:cs="Arial"/>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Le cas de M. </w:t>
      </w:r>
      <w:r>
        <w:rPr>
          <w:rFonts w:eastAsia="Arial" w:cs="Arial" w:ascii="Arial" w:hAnsi="Arial"/>
          <w:b/>
          <w:bCs/>
          <w:i w:val="false"/>
          <w:iCs w:val="false"/>
          <w:caps w:val="false"/>
          <w:smallCaps w:val="false"/>
          <w:strike w:val="false"/>
          <w:dstrike w:val="false"/>
          <w:color w:val="000000"/>
          <w:position w:val="0"/>
          <w:sz w:val="22"/>
          <w:sz w:val="22"/>
          <w:szCs w:val="22"/>
          <w:u w:val="none"/>
          <w:shd w:fill="auto" w:val="clear"/>
          <w:vertAlign w:val="baseline"/>
        </w:rPr>
        <w:t>Mahamat Souleymane Irégué</w:t>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un jeune activiste membre du mouvement citoyen « Wakit Tamma », signifiant « l’heure est arrivée » en arabe local du Tchad, qui défend la justice et les libertés fondamentales dans le pays, est une illustration de la persistance de cette pratique. Le 27 août 2025, Mahamat Souleymane Irégué a été arrêté par des agents de l’ANSE aux environs de l’aéroport de N’Djamena. Malgré les prises de contact de ses proches avec l’ANSE, l’Agence a toujours nié détenir Mahamat Souleymane Irégué, laissant donc ses proches dans l’ignorance de son sort et sa localisation jusqu’à sa libération.</w:t>
      </w:r>
      <w:r>
        <w:rPr>
          <w:rStyle w:val="FootnoteReference"/>
          <w:rFonts w:eastAsia="Arial" w:cs="Arial" w:ascii="Arial" w:hAnsi="Arial"/>
          <w:sz w:val="22"/>
          <w:szCs w:val="22"/>
          <w:vertAlign w:val="superscript"/>
        </w:rPr>
        <w:footnoteReference w:id="8"/>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xml:space="preserve"> </w:t>
      </w:r>
    </w:p>
    <w:p>
      <w:pPr>
        <w:pStyle w:val="normal1"/>
        <w:keepNext w:val="false"/>
        <w:keepLines w:val="false"/>
        <w:pageBreakBefore w:val="false"/>
        <w:widowControl/>
        <w:numPr>
          <w:ilvl w:val="0"/>
          <w:numId w:val="1"/>
        </w:numPr>
        <w:shd w:val="clear" w:fill="auto"/>
        <w:spacing w:lineRule="auto" w:line="276" w:before="0" w:after="0"/>
        <w:ind w:hanging="360" w:left="1440" w:right="0"/>
        <w:jc w:val="both"/>
        <w:rPr>
          <w:rFonts w:ascii="Arial" w:hAnsi="Arial" w:eastAsia="Arial" w:cs="Arial"/>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Dans les locaux de l’ANSE à N’Djamena, Mahamat Souleymane Irégué a subi des actes de torture. En présence de mercenaires russes venus former les agents tchadiens, des agents de l’ANSE cagoulés lui ont bandé les yeux, attaché les mains et les pieds sur une chaise en fer ; infligé des décharges électriques ; l’ont noyé dans de l’eau puante et très chaude ; lui ont versé de l’eau chaude et piquante sur tout le corps ; ont tenté de l’asphyxier en lui faisant porter un sac plastique rempli de piment sur la tête pendant plusieurs minutes et de manière répétée ; l’ont frappé avec un bâton, une matraque, des cordelettes comportant des fers et menacé de mort avec un revolver sur la tempe. Ces actes de torture, perpétrés pendant l’interrogatoire de Mahamat Souleymane Irégué, ont été filmés par les agents de l’ANSE. Durant l’interrogatoire, Mahamat Souleymane Irégué a été accusé de communiquer des informations sur la vie politique du Tchad aux « ONG, organisations internationales et européennes », de « complicité avec les occidentaux », de « fomenter un coup d’État », « d’inciter à la haine contre le Président et à la révolte populaire », et de « faciliter le procès de l’assassinat de l’opposant Yaya Dillo Djerou au niveau international »</w:t>
      </w:r>
      <w:r>
        <w:rPr>
          <w:rStyle w:val="FootnoteReference"/>
          <w:rFonts w:eastAsia="Arial" w:cs="Arial" w:ascii="Arial" w:hAnsi="Arial"/>
          <w:b w:val="false"/>
          <w:bCs w:val="false"/>
          <w:i w:val="false"/>
          <w:iCs w:val="false"/>
          <w:caps w:val="false"/>
          <w:smallCaps w:val="false"/>
          <w:strike w:val="false"/>
          <w:dstrike w:val="false"/>
          <w:color w:val="000000"/>
          <w:sz w:val="22"/>
          <w:szCs w:val="22"/>
          <w:u w:val="none"/>
          <w:shd w:fill="auto" w:val="clear"/>
          <w:vertAlign w:val="superscript"/>
        </w:rPr>
        <w:footnoteReference w:id="9"/>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Dans la nuit du 27 au 28 août 2025, Mahamat Souleymane Irégué a été placé dans une cellule d’environ 1,5 m</w:t>
      </w:r>
      <w:r>
        <w:rPr>
          <w:rFonts w:eastAsia="Arial" w:cs="Arial" w:ascii="Arial" w:hAnsi="Arial"/>
          <w:b w:val="false"/>
          <w:bCs w:val="false"/>
          <w:i w:val="false"/>
          <w:iCs w:val="false"/>
          <w:caps w:val="false"/>
          <w:smallCaps w:val="false"/>
          <w:strike w:val="false"/>
          <w:dstrike w:val="false"/>
          <w:color w:val="000000"/>
          <w:sz w:val="22"/>
          <w:szCs w:val="22"/>
          <w:u w:val="none"/>
          <w:shd w:fill="auto" w:val="clear"/>
          <w:vertAlign w:val="superscript"/>
        </w:rPr>
        <w:t>2</w:t>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xml:space="preserve"> avec trois autres détenus. Il n’a été autorisé à boire et manger qu’une seule fois et en quantité insuffisante durant toute la durée de sa détention. Le soir du 28 août, Mahamat Souleymane Irégué a été libéré et a pu quitter les locaux de l’ANSE. I</w:t>
      </w:r>
      <w:r>
        <w:rPr>
          <w:rFonts w:eastAsia="Arial" w:cs="Arial" w:ascii="Arial" w:hAnsi="Arial"/>
          <w:sz w:val="22"/>
          <w:szCs w:val="22"/>
        </w:rPr>
        <w:t>l a été contraint à l’exil depuis sa libération.</w:t>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xml:space="preserve"> Les autorités tchadiennes n'ont mené aucune enquête sur les auteurs de ces actes de torture.</w:t>
      </w:r>
    </w:p>
    <w:p>
      <w:pPr>
        <w:pStyle w:val="normal1"/>
        <w:keepNext w:val="false"/>
        <w:keepLines w:val="false"/>
        <w:pageBreakBefore w:val="false"/>
        <w:widowControl/>
        <w:shd w:val="clear" w:fill="auto"/>
        <w:spacing w:lineRule="auto" w:line="276" w:before="0" w:after="0"/>
        <w:ind w:hanging="0" w:left="0" w:right="0"/>
        <w:jc w:val="both"/>
        <w:rPr>
          <w:rFonts w:ascii="Arial" w:hAnsi="Arial" w:eastAsia="Arial" w:cs="Arial"/>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r>
    </w:p>
    <w:p>
      <w:pPr>
        <w:pStyle w:val="normal1"/>
        <w:keepNext w:val="false"/>
        <w:keepLines w:val="false"/>
        <w:pageBreakBefore w:val="false"/>
        <w:widowControl/>
        <w:shd w:val="clear" w:fill="auto"/>
        <w:spacing w:lineRule="auto" w:line="276" w:before="0" w:after="0"/>
        <w:ind w:hanging="0" w:left="0" w:right="0"/>
        <w:jc w:val="both"/>
        <w:rPr>
          <w:rFonts w:ascii="Arial" w:hAnsi="Arial" w:eastAsia="Arial" w:cs="Arial"/>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bCs/>
          <w:i w:val="false"/>
          <w:iCs w:val="false"/>
          <w:caps w:val="false"/>
          <w:smallCaps w:val="false"/>
          <w:strike w:val="false"/>
          <w:dstrike w:val="false"/>
          <w:color w:val="000000"/>
          <w:position w:val="0"/>
          <w:sz w:val="22"/>
          <w:sz w:val="22"/>
          <w:szCs w:val="22"/>
          <w:u w:val="none"/>
          <w:shd w:fill="auto" w:val="clear"/>
          <w:vertAlign w:val="baseline"/>
        </w:rPr>
        <w:t>Liberté et sécurité de la personne et conditions de détention (art. 9, 10 et 14)</w:t>
      </w:r>
    </w:p>
    <w:p>
      <w:pPr>
        <w:pStyle w:val="normal1"/>
        <w:keepNext w:val="false"/>
        <w:keepLines w:val="false"/>
        <w:pageBreakBefore w:val="false"/>
        <w:widowControl/>
        <w:shd w:val="clear" w:fill="auto"/>
        <w:spacing w:lineRule="auto" w:line="276" w:before="0" w:after="0"/>
        <w:ind w:hanging="0" w:left="0" w:right="0"/>
        <w:jc w:val="both"/>
        <w:rPr>
          <w:rFonts w:ascii="Arial" w:hAnsi="Arial" w:eastAsia="Arial" w:cs="Arial"/>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r>
    </w:p>
    <w:p>
      <w:pPr>
        <w:pStyle w:val="normal1"/>
        <w:keepNext w:val="false"/>
        <w:keepLines w:val="false"/>
        <w:pageBreakBefore w:val="false"/>
        <w:widowControl/>
        <w:numPr>
          <w:ilvl w:val="0"/>
          <w:numId w:val="1"/>
        </w:numPr>
        <w:shd w:val="clear" w:fill="auto"/>
        <w:spacing w:lineRule="auto" w:line="276" w:before="0" w:after="0"/>
        <w:ind w:hanging="360" w:left="1440" w:right="0"/>
        <w:jc w:val="both"/>
        <w:rPr>
          <w:rFonts w:ascii="Arial" w:hAnsi="Arial" w:eastAsia="Arial" w:cs="Arial"/>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Malgré les alertes du Comité des droits de l’homme au sujet de la persistance des détentions arbitraires</w:t>
      </w:r>
      <w:r>
        <w:rPr>
          <w:rStyle w:val="FootnoteReference"/>
          <w:rFonts w:eastAsia="Arial" w:cs="Arial" w:ascii="Arial" w:hAnsi="Arial"/>
          <w:b w:val="false"/>
          <w:bCs w:val="false"/>
          <w:i w:val="false"/>
          <w:iCs w:val="false"/>
          <w:caps w:val="false"/>
          <w:smallCaps w:val="false"/>
          <w:strike w:val="false"/>
          <w:dstrike w:val="false"/>
          <w:color w:val="000000"/>
          <w:sz w:val="22"/>
          <w:szCs w:val="22"/>
          <w:u w:val="none"/>
          <w:shd w:fill="auto" w:val="clear"/>
          <w:vertAlign w:val="superscript"/>
        </w:rPr>
        <w:footnoteReference w:id="10"/>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xml:space="preserve">, et bien que celles-ci soient interdites </w:t>
      </w:r>
      <w:r>
        <w:rPr>
          <w:rFonts w:eastAsia="Arial" w:cs="Arial" w:ascii="Arial" w:hAnsi="Arial"/>
          <w:sz w:val="22"/>
          <w:szCs w:val="22"/>
        </w:rPr>
        <w:t>par</w:t>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xml:space="preserve"> l’article 22 de la Constitution tchadienne, les autorités du pays ont continué à enlever les défenseur·es des droits humains et à les détenir arbitrairement dans le but de les intimider, en contradiction avec l’article 9 du PIDCP. </w:t>
      </w:r>
    </w:p>
    <w:p>
      <w:pPr>
        <w:pStyle w:val="normal1"/>
        <w:keepNext w:val="false"/>
        <w:keepLines w:val="false"/>
        <w:pageBreakBefore w:val="false"/>
        <w:widowControl/>
        <w:numPr>
          <w:ilvl w:val="0"/>
          <w:numId w:val="1"/>
        </w:numPr>
        <w:shd w:val="clear" w:fill="auto"/>
        <w:spacing w:lineRule="auto" w:line="276" w:before="0" w:after="0"/>
        <w:ind w:hanging="360" w:left="1440" w:right="0"/>
        <w:jc w:val="both"/>
        <w:rPr>
          <w:rFonts w:ascii="Arial" w:hAnsi="Arial" w:eastAsia="Arial" w:cs="Arial"/>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xml:space="preserve">Cela a été le cas de </w:t>
      </w:r>
      <w:r>
        <w:rPr>
          <w:rFonts w:eastAsia="Arial" w:cs="Arial" w:ascii="Arial" w:hAnsi="Arial"/>
          <w:b/>
          <w:bCs/>
          <w:i w:val="false"/>
          <w:iCs w:val="false"/>
          <w:caps w:val="false"/>
          <w:smallCaps w:val="false"/>
          <w:strike w:val="false"/>
          <w:dstrike w:val="false"/>
          <w:color w:val="000000"/>
          <w:position w:val="0"/>
          <w:sz w:val="22"/>
          <w:sz w:val="22"/>
          <w:szCs w:val="22"/>
          <w:u w:val="none"/>
          <w:shd w:fill="auto" w:val="clear"/>
          <w:vertAlign w:val="baseline"/>
        </w:rPr>
        <w:t>Gilbert Morba</w:t>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membre de la Coordination des actions citoyennes « Wakit Tama », chargé des mobilisations, qui a été arbitrairement arrêté le 26 avril 2021. À la sortie de son cabinet de consultance dans le quartier de Chagoua à N’Djamena, M. Morba a été enlevé par des hommes armés non identifiés à bord d’un véhicule, et emmené vers une destination inconnue. Il a été aperçu plus tard le même jour dans les locaux des services de Renseignements généraux à N’Djamena. Faute de preuves, Gilbert Morba a été libéré dans la soirée du 27 mai 2021, après plus d’un mois de détention arbitraire.</w:t>
      </w:r>
      <w:r>
        <w:rPr>
          <w:rStyle w:val="FootnoteReference"/>
          <w:rFonts w:eastAsia="Arial" w:cs="Arial" w:ascii="Arial" w:hAnsi="Arial"/>
          <w:b w:val="false"/>
          <w:bCs w:val="false"/>
          <w:i w:val="false"/>
          <w:iCs w:val="false"/>
          <w:caps w:val="false"/>
          <w:smallCaps w:val="false"/>
          <w:strike w:val="false"/>
          <w:dstrike w:val="false"/>
          <w:color w:val="000000"/>
          <w:sz w:val="22"/>
          <w:szCs w:val="22"/>
          <w:u w:val="none"/>
          <w:shd w:fill="auto" w:val="clear"/>
          <w:vertAlign w:val="superscript"/>
        </w:rPr>
        <w:footnoteReference w:id="11"/>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xml:space="preserve"> </w:t>
      </w:r>
    </w:p>
    <w:p>
      <w:pPr>
        <w:pStyle w:val="normal1"/>
        <w:keepNext w:val="false"/>
        <w:keepLines w:val="false"/>
        <w:pageBreakBefore w:val="false"/>
        <w:widowControl/>
        <w:numPr>
          <w:ilvl w:val="0"/>
          <w:numId w:val="1"/>
        </w:numPr>
        <w:shd w:val="clear" w:fill="auto"/>
        <w:spacing w:lineRule="auto" w:line="276" w:before="0" w:after="0"/>
        <w:ind w:hanging="360" w:left="1440" w:right="0"/>
        <w:jc w:val="both"/>
        <w:rPr>
          <w:rFonts w:ascii="Arial" w:hAnsi="Arial" w:eastAsia="Arial" w:cs="Arial"/>
          <w:sz w:val="22"/>
          <w:szCs w:val="22"/>
          <w:u w:val="none"/>
        </w:rPr>
      </w:pPr>
      <w:r>
        <w:rPr>
          <w:rFonts w:eastAsia="Arial" w:cs="Arial" w:ascii="Arial" w:hAnsi="Arial"/>
          <w:sz w:val="22"/>
          <w:szCs w:val="22"/>
        </w:rPr>
        <w:t xml:space="preserve">Cela a également été le cas de l’abbé </w:t>
      </w:r>
      <w:r>
        <w:rPr>
          <w:rFonts w:eastAsia="Arial" w:cs="Arial" w:ascii="Arial" w:hAnsi="Arial"/>
          <w:b/>
          <w:bCs/>
          <w:sz w:val="22"/>
          <w:szCs w:val="22"/>
        </w:rPr>
        <w:t>Simon-Pierre Madou</w:t>
      </w:r>
      <w:r>
        <w:rPr>
          <w:rFonts w:eastAsia="Arial" w:cs="Arial" w:ascii="Arial" w:hAnsi="Arial"/>
          <w:sz w:val="22"/>
          <w:szCs w:val="22"/>
        </w:rPr>
        <w:t>, curé de la Paroisse Saint Isidore Bakandja de Walia Goré, dans la commune du 9ème arrondissement de N’Djamena, qui a été enlevé le 5 août 2024 au sein de sa Paroisse par des inconnus qui l’ont emmené à bord d’un véhicule. Il a été libéré le lendemain, le 6 août 2024, après 24h de détention arbitraire. Son arrestation aurait fait suite à des « propos récurrents incitant à la division et mettant en péril la cohésion nationale » d’après Abderaman Koulamallah, porte-parole du gouvernement.</w:t>
      </w:r>
    </w:p>
    <w:p>
      <w:pPr>
        <w:pStyle w:val="normal1"/>
        <w:keepNext w:val="false"/>
        <w:keepLines w:val="false"/>
        <w:pageBreakBefore w:val="false"/>
        <w:widowControl/>
        <w:numPr>
          <w:ilvl w:val="0"/>
          <w:numId w:val="1"/>
        </w:numPr>
        <w:shd w:val="clear" w:fill="auto"/>
        <w:spacing w:lineRule="auto" w:line="276" w:before="0" w:after="0"/>
        <w:ind w:hanging="360" w:left="1440" w:right="0"/>
        <w:jc w:val="both"/>
        <w:rPr>
          <w:rFonts w:ascii="Arial" w:hAnsi="Arial" w:eastAsia="Arial" w:cs="Arial"/>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xml:space="preserve">Il convient également de citer les cas de Ahmat Haroun Larry et Mahamat Souleymane Irégué, exposés ci-dessus, et de Baradine Berdei Targuio, Badour Oumar Ali, Olivier </w:t>
      </w:r>
      <w:r>
        <w:rPr>
          <w:rFonts w:eastAsia="Arial" w:cs="Arial" w:ascii="Arial" w:hAnsi="Arial"/>
          <w:sz w:val="22"/>
          <w:szCs w:val="22"/>
        </w:rPr>
        <w:t>Monodji Mbaindiguim</w:t>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et Mahamat Saleh Alhissein, développés ci-dessous, qui démontrent que les détentions arbitraires de défenseur·es, de journa</w:t>
      </w:r>
      <w:r>
        <w:rPr>
          <w:rFonts w:eastAsia="Arial" w:cs="Arial" w:ascii="Arial" w:hAnsi="Arial"/>
          <w:sz w:val="22"/>
          <w:szCs w:val="22"/>
        </w:rPr>
        <w:t>listes</w:t>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xml:space="preserve"> et d’acteur·ices de la société civile restent fréquentes au Tchad.</w:t>
      </w:r>
    </w:p>
    <w:p>
      <w:pPr>
        <w:pStyle w:val="normal1"/>
        <w:numPr>
          <w:ilvl w:val="0"/>
          <w:numId w:val="1"/>
        </w:numPr>
        <w:spacing w:lineRule="auto" w:line="276"/>
        <w:ind w:hanging="360" w:left="1440"/>
        <w:jc w:val="both"/>
        <w:rPr>
          <w:rFonts w:ascii="Arial" w:hAnsi="Arial" w:eastAsia="Arial" w:cs="Arial"/>
          <w:sz w:val="22"/>
          <w:szCs w:val="22"/>
        </w:rPr>
      </w:pPr>
      <w:r>
        <w:rPr>
          <w:rFonts w:eastAsia="Arial" w:cs="Arial" w:ascii="Arial" w:hAnsi="Arial"/>
          <w:sz w:val="22"/>
          <w:szCs w:val="22"/>
        </w:rPr>
        <w:t>Au-delà des défenseur·es de droits humains, les opposant·es politique font aussi l’objet d’arrestations arbitraires, tels que Succès Masra, leader du parti d’opposition Les Transformateurs, qui a été interpellé le 16 mai 2025 à son domicile à N’Djamena par des hommes armés en tenue militaire. Son entourage et son parti ont qualifié l’opération d’enlèvement brutal, dénonçant l’absence de procédure judiciaire transparente au moment de l’arrestation. Cette affaire a suscité de vives réactions au sein de la classe politique et de la société civile, qui y voient un signal préoccupant quant à l’usage de méthodes coercitives contre des figures de l’opposition.</w:t>
      </w:r>
    </w:p>
    <w:p>
      <w:pPr>
        <w:pStyle w:val="normal1"/>
        <w:keepNext w:val="false"/>
        <w:keepLines w:val="false"/>
        <w:pageBreakBefore w:val="false"/>
        <w:widowControl/>
        <w:shd w:val="clear" w:fill="auto"/>
        <w:spacing w:lineRule="auto" w:line="276" w:before="0" w:after="0"/>
        <w:ind w:hanging="0" w:left="0" w:right="0"/>
        <w:jc w:val="both"/>
        <w:rPr>
          <w:rFonts w:ascii="Arial" w:hAnsi="Arial" w:eastAsia="Arial" w:cs="Arial"/>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r>
    </w:p>
    <w:p>
      <w:pPr>
        <w:pStyle w:val="normal1"/>
        <w:keepNext w:val="false"/>
        <w:keepLines w:val="false"/>
        <w:pageBreakBefore w:val="false"/>
        <w:widowControl/>
        <w:shd w:val="clear" w:fill="auto"/>
        <w:spacing w:lineRule="auto" w:line="276" w:before="0" w:after="0"/>
        <w:ind w:hanging="0" w:left="0" w:right="0"/>
        <w:jc w:val="both"/>
        <w:rPr>
          <w:rFonts w:ascii="Arial" w:hAnsi="Arial" w:eastAsia="Arial" w:cs="Arial"/>
          <w:b/>
          <w:bCs/>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bCs/>
          <w:i w:val="false"/>
          <w:iCs w:val="false"/>
          <w:caps w:val="false"/>
          <w:smallCaps w:val="false"/>
          <w:strike w:val="false"/>
          <w:dstrike w:val="false"/>
          <w:color w:val="000000"/>
          <w:position w:val="0"/>
          <w:sz w:val="22"/>
          <w:sz w:val="22"/>
          <w:szCs w:val="22"/>
          <w:u w:val="none"/>
          <w:shd w:fill="auto" w:val="clear"/>
          <w:vertAlign w:val="baseline"/>
        </w:rPr>
        <w:t xml:space="preserve">Liberté d’expression (article 19) </w:t>
      </w:r>
    </w:p>
    <w:p>
      <w:pPr>
        <w:pStyle w:val="normal1"/>
        <w:keepNext w:val="false"/>
        <w:keepLines w:val="false"/>
        <w:pageBreakBefore w:val="false"/>
        <w:widowControl/>
        <w:shd w:val="clear" w:fill="auto"/>
        <w:spacing w:lineRule="auto" w:line="276" w:before="0" w:after="0"/>
        <w:ind w:hanging="0" w:left="0" w:right="0"/>
        <w:jc w:val="both"/>
        <w:rPr>
          <w:rFonts w:ascii="Arial" w:hAnsi="Arial" w:eastAsia="Arial" w:cs="Arial"/>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r>
    </w:p>
    <w:p>
      <w:pPr>
        <w:pStyle w:val="normal1"/>
        <w:keepNext w:val="false"/>
        <w:keepLines w:val="false"/>
        <w:pageBreakBefore w:val="false"/>
        <w:widowControl/>
        <w:numPr>
          <w:ilvl w:val="0"/>
          <w:numId w:val="1"/>
        </w:numPr>
        <w:shd w:val="clear" w:fill="auto"/>
        <w:spacing w:lineRule="auto" w:line="276" w:before="0" w:after="0"/>
        <w:ind w:hanging="360" w:left="1440" w:right="0"/>
        <w:jc w:val="both"/>
        <w:rPr>
          <w:rFonts w:ascii="Arial" w:hAnsi="Arial" w:eastAsia="Arial" w:cs="Arial"/>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Conformément aux recommandations formulées par le Comité des droits de l’homme lors du deuxième examen périodique du Tchad, l’État devrait « prendre les mesures nécessaires pour assurer la protection des journalistes et des défenseurs des droits de l’homme contre les menaces et les intimidations et leur donner la latitude nécessaire à l’exercice de leurs activités, et enquêter, poursuivre et condamner les responsables d’actes de harcèlement, de menace et d’intimidation »</w:t>
      </w:r>
      <w:r>
        <w:rPr>
          <w:rStyle w:val="FootnoteReference"/>
          <w:rFonts w:eastAsia="Arial" w:cs="Arial" w:ascii="Arial" w:hAnsi="Arial"/>
          <w:b w:val="false"/>
          <w:bCs w:val="false"/>
          <w:i w:val="false"/>
          <w:iCs w:val="false"/>
          <w:caps w:val="false"/>
          <w:smallCaps w:val="false"/>
          <w:strike w:val="false"/>
          <w:dstrike w:val="false"/>
          <w:color w:val="000000"/>
          <w:sz w:val="22"/>
          <w:szCs w:val="22"/>
          <w:u w:val="none"/>
          <w:shd w:fill="auto" w:val="clear"/>
          <w:vertAlign w:val="superscript"/>
        </w:rPr>
        <w:footnoteReference w:id="12"/>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Bien que les autorités tchadiennes aient affirmé dans leur troisième rapport périodique soumis en 2023 que « la liberté d’expression et d’opinion est fondamentale pour le développement des partis politiques, des syndicats, des associations culturelles et en général, de tous ceux qui souhaitent influencer l’opinion publique »</w:t>
      </w:r>
      <w:r>
        <w:rPr>
          <w:rStyle w:val="FootnoteReference"/>
          <w:rFonts w:eastAsia="Arial" w:cs="Arial" w:ascii="Arial" w:hAnsi="Arial"/>
          <w:b w:val="false"/>
          <w:bCs w:val="false"/>
          <w:i w:val="false"/>
          <w:iCs w:val="false"/>
          <w:caps w:val="false"/>
          <w:smallCaps w:val="false"/>
          <w:strike w:val="false"/>
          <w:dstrike w:val="false"/>
          <w:color w:val="000000"/>
          <w:sz w:val="22"/>
          <w:szCs w:val="22"/>
          <w:u w:val="none"/>
          <w:shd w:fill="auto" w:val="clear"/>
          <w:vertAlign w:val="superscript"/>
        </w:rPr>
        <w:footnoteReference w:id="13"/>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xml:space="preserve">, et que la liberté d’expression soit consacrée à l’article 28 de la Constitution, en pratique, les défenseur·es et membres de la société civile qui dénoncent les violations des droits humains restent réprimé·es dans le pays, et ce en violation de l’article 19 du PIDCP. </w:t>
      </w:r>
    </w:p>
    <w:p>
      <w:pPr>
        <w:pStyle w:val="normal1"/>
        <w:keepNext w:val="false"/>
        <w:keepLines w:val="false"/>
        <w:pageBreakBefore w:val="false"/>
        <w:widowControl/>
        <w:numPr>
          <w:ilvl w:val="0"/>
          <w:numId w:val="1"/>
        </w:numPr>
        <w:shd w:val="clear" w:fill="auto"/>
        <w:spacing w:lineRule="auto" w:line="276" w:before="0" w:after="0"/>
        <w:ind w:hanging="360" w:left="1440" w:right="0"/>
        <w:jc w:val="both"/>
        <w:rPr>
          <w:rFonts w:ascii="Arial" w:hAnsi="Arial" w:eastAsia="Arial" w:cs="Arial"/>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xml:space="preserve">Outre le cas de l’activiste et lanceur d’alerte Ahmat Haroun Larry mentionné plus haut, il convient de citer le cas de M. </w:t>
      </w:r>
      <w:r>
        <w:rPr>
          <w:rFonts w:eastAsia="Arial" w:cs="Arial" w:ascii="Arial" w:hAnsi="Arial"/>
          <w:b/>
          <w:bCs/>
          <w:i w:val="false"/>
          <w:iCs w:val="false"/>
          <w:caps w:val="false"/>
          <w:smallCaps w:val="false"/>
          <w:strike w:val="false"/>
          <w:dstrike w:val="false"/>
          <w:color w:val="000000"/>
          <w:position w:val="0"/>
          <w:sz w:val="22"/>
          <w:sz w:val="22"/>
          <w:szCs w:val="22"/>
          <w:u w:val="none"/>
          <w:shd w:fill="auto" w:val="clear"/>
          <w:vertAlign w:val="baseline"/>
        </w:rPr>
        <w:t>Baradine Berdei Targuio</w:t>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xml:space="preserve">, Président de l’Organisation tchadienne des droits humains (OTDH), arbitrairement arrêté le 24 janvier 2020. Après avoir été détenu au secret pendant près de sept mois, durant lesquels il n’a eu accès ni à ses proches, ni à ses avocats, M. Baradine Berdei Targuio a été remis à la justice le 21 août 2020 et accusé « d’atteinte à la sécurité nationale », de « possession illégale d’armes » et de « coups et blessures ». Ces charges ont finalement été abandonnées et requalifiées d’« atteinte à l’ordre constitutionnel » par la Cour criminelle du Tchad qui l’a condamné, le 18 février 2021, à trois ans de prison et à une amende de 250 000 francs CFA (approximativement 380 Euros). Il a été libéré le 10 juin 2021. Deux jours avant son arrestation, le 22 janvier 2020, Baradine Berdei Targuio avait publié sur Facebook un message évoquant les problèmes de santé présumés du Président </w:t>
      </w:r>
      <w:r>
        <w:rPr>
          <w:rFonts w:eastAsia="Arial" w:cs="Arial" w:ascii="Arial" w:hAnsi="Arial"/>
          <w:sz w:val="22"/>
          <w:szCs w:val="22"/>
        </w:rPr>
        <w:t>de l'époque</w:t>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xml:space="preserve"> Idriss Déby Itno. Il avait précédemment adressé une lettre ouverte au président tchadien, dans laquelle il exprimait des inquiétudes au sujet de la situation des droits humains dans la région du Tibesti. Le 24 mai 2023, Baradine Berdei Targuio a bénéficié d’une amnistie.</w:t>
      </w:r>
      <w:r>
        <w:rPr>
          <w:rStyle w:val="FootnoteReference"/>
          <w:rFonts w:eastAsia="Arial" w:cs="Arial" w:ascii="Arial" w:hAnsi="Arial"/>
          <w:b w:val="false"/>
          <w:bCs w:val="false"/>
          <w:i w:val="false"/>
          <w:iCs w:val="false"/>
          <w:caps w:val="false"/>
          <w:smallCaps w:val="false"/>
          <w:strike w:val="false"/>
          <w:dstrike w:val="false"/>
          <w:color w:val="000000"/>
          <w:sz w:val="22"/>
          <w:szCs w:val="22"/>
          <w:u w:val="none"/>
          <w:shd w:fill="auto" w:val="clear"/>
          <w:vertAlign w:val="superscript"/>
        </w:rPr>
        <w:footnoteReference w:id="14"/>
      </w:r>
    </w:p>
    <w:p>
      <w:pPr>
        <w:pStyle w:val="normal1"/>
        <w:keepNext w:val="false"/>
        <w:keepLines w:val="false"/>
        <w:pageBreakBefore w:val="false"/>
        <w:widowControl/>
        <w:numPr>
          <w:ilvl w:val="0"/>
          <w:numId w:val="1"/>
        </w:numPr>
        <w:shd w:val="clear" w:fill="auto"/>
        <w:spacing w:lineRule="auto" w:line="276" w:before="0" w:after="0"/>
        <w:ind w:hanging="360" w:left="1440" w:right="0"/>
        <w:jc w:val="both"/>
        <w:rPr>
          <w:rFonts w:ascii="Arial" w:hAnsi="Arial" w:eastAsia="Arial" w:cs="Arial"/>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xml:space="preserve">Le 11 avril 2022, </w:t>
      </w:r>
      <w:r>
        <w:rPr>
          <w:rFonts w:eastAsia="Arial" w:cs="Arial" w:ascii="Arial" w:hAnsi="Arial"/>
          <w:b/>
          <w:bCs/>
          <w:i w:val="false"/>
          <w:iCs w:val="false"/>
          <w:caps w:val="false"/>
          <w:smallCaps w:val="false"/>
          <w:strike w:val="false"/>
          <w:dstrike w:val="false"/>
          <w:color w:val="000000"/>
          <w:position w:val="0"/>
          <w:sz w:val="22"/>
          <w:sz w:val="22"/>
          <w:szCs w:val="22"/>
          <w:u w:val="none"/>
          <w:shd w:fill="auto" w:val="clear"/>
          <w:vertAlign w:val="baseline"/>
        </w:rPr>
        <w:t>Baldal Oyamta</w:t>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coordinateur national de la LTDH, a échappé à une tentative d’assassinat, vraisemblablement en raison de ses diverses prises de positions. Dans la nuit, un individu inconnu armé d’un pistolet et d’une arme blanche, a pénétré son domicile à N’Djamena, et lui a tiré dessus à bout portant au niveau du visage. Blessé au front, mais sans plaie grave au niveau du crâne, Baldal Oyamta a été pris en charge au niveau médical. L’auteur du coup de feu, un ancien militaire, a pris la fuite mais a été retrouvé le lendemain par des jeunes du quartier qui l’ont remis à la police. Il a été placé sous mandat de dépôt à la prison de Klessoum en attendant l’instruction de son dossier. Baldal Oyamta a déjà été l’objet de menaces de mort par le passé. En novembre 2020, en l’espace de deux semaines, il avait reçu 23 SMS de menaces liés à ses activités professionnelles en tant que défenseur des droits humains, et plus particulièrement à ses travaux sur l’accaparement des terres au Tchad. Malgré un dépôt de plainte contre X, aucune enquête n’a été ouverte sur ces menaces.</w:t>
      </w:r>
      <w:r>
        <w:rPr>
          <w:rStyle w:val="FootnoteReference"/>
          <w:rFonts w:eastAsia="Arial" w:cs="Arial" w:ascii="Arial" w:hAnsi="Arial"/>
          <w:b w:val="false"/>
          <w:bCs w:val="false"/>
          <w:i w:val="false"/>
          <w:iCs w:val="false"/>
          <w:caps w:val="false"/>
          <w:smallCaps w:val="false"/>
          <w:strike w:val="false"/>
          <w:dstrike w:val="false"/>
          <w:color w:val="000000"/>
          <w:sz w:val="22"/>
          <w:szCs w:val="22"/>
          <w:u w:val="none"/>
          <w:shd w:fill="auto" w:val="clear"/>
          <w:vertAlign w:val="superscript"/>
        </w:rPr>
        <w:footnoteReference w:id="15"/>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xml:space="preserve"> </w:t>
      </w:r>
    </w:p>
    <w:p>
      <w:pPr>
        <w:pStyle w:val="normal1"/>
        <w:keepNext w:val="false"/>
        <w:keepLines w:val="false"/>
        <w:pageBreakBefore w:val="false"/>
        <w:widowControl/>
        <w:numPr>
          <w:ilvl w:val="0"/>
          <w:numId w:val="1"/>
        </w:numPr>
        <w:shd w:val="clear" w:fill="auto"/>
        <w:spacing w:lineRule="auto" w:line="276" w:before="0" w:after="0"/>
        <w:ind w:hanging="360" w:left="1440" w:right="0"/>
        <w:jc w:val="both"/>
        <w:rPr>
          <w:rFonts w:ascii="Arial" w:hAnsi="Arial" w:eastAsia="Arial" w:cs="Arial"/>
          <w:sz w:val="22"/>
          <w:szCs w:val="22"/>
          <w:u w:val="none"/>
        </w:rPr>
      </w:pPr>
      <w:r>
        <w:rPr>
          <w:rFonts w:eastAsia="Arial" w:cs="Arial" w:ascii="Arial" w:hAnsi="Arial"/>
          <w:sz w:val="22"/>
          <w:szCs w:val="22"/>
        </w:rPr>
        <w:t xml:space="preserve">La situation des journalistes reste également précaire et risquée, marquée par des actes d’intimidation, de filature, de censure, des détentions arbitraires et des violences, notamment lors de la couverture de conflits. La liberté de la presse reste menacée par le pouvoir et la Haute autorité des médias et de l’audiovisuel (HAMA). </w:t>
      </w:r>
    </w:p>
    <w:p>
      <w:pPr>
        <w:pStyle w:val="normal1"/>
        <w:keepNext w:val="false"/>
        <w:keepLines w:val="false"/>
        <w:pageBreakBefore w:val="false"/>
        <w:widowControl/>
        <w:numPr>
          <w:ilvl w:val="0"/>
          <w:numId w:val="1"/>
        </w:numPr>
        <w:shd w:val="clear" w:fill="auto"/>
        <w:spacing w:lineRule="auto" w:line="276" w:before="0" w:after="0"/>
        <w:ind w:hanging="360" w:left="1440" w:right="0"/>
        <w:jc w:val="both"/>
        <w:rPr>
          <w:rFonts w:ascii="Arial" w:hAnsi="Arial" w:eastAsia="Arial" w:cs="Arial"/>
          <w:sz w:val="22"/>
          <w:szCs w:val="22"/>
          <w:u w:val="none"/>
        </w:rPr>
      </w:pPr>
      <w:r>
        <w:rPr>
          <w:rFonts w:eastAsia="Arial" w:cs="Arial" w:ascii="Arial" w:hAnsi="Arial"/>
          <w:sz w:val="22"/>
          <w:szCs w:val="22"/>
        </w:rPr>
        <w:t xml:space="preserve">À titre d’exemple, M. </w:t>
      </w:r>
      <w:r>
        <w:rPr>
          <w:rFonts w:eastAsia="Arial" w:cs="Arial" w:ascii="Arial" w:hAnsi="Arial"/>
          <w:b/>
          <w:bCs/>
          <w:sz w:val="22"/>
          <w:szCs w:val="22"/>
        </w:rPr>
        <w:t>Badour Oumar Ali</w:t>
      </w:r>
      <w:r>
        <w:rPr>
          <w:rFonts w:eastAsia="Arial" w:cs="Arial" w:ascii="Arial" w:hAnsi="Arial"/>
          <w:sz w:val="22"/>
          <w:szCs w:val="22"/>
        </w:rPr>
        <w:t xml:space="preserve">, rédacteur en chef de la rédaction web du journal </w:t>
      </w:r>
      <w:r>
        <w:rPr>
          <w:rFonts w:eastAsia="Arial" w:cs="Arial" w:ascii="Arial" w:hAnsi="Arial"/>
          <w:i/>
          <w:iCs/>
          <w:sz w:val="22"/>
          <w:szCs w:val="22"/>
        </w:rPr>
        <w:t>Tchadinfos</w:t>
      </w:r>
      <w:r>
        <w:rPr>
          <w:rFonts w:eastAsia="Arial" w:cs="Arial" w:ascii="Arial" w:hAnsi="Arial"/>
          <w:sz w:val="22"/>
          <w:szCs w:val="22"/>
        </w:rPr>
        <w:t>, a été arbitrairement arrêté le 7 août 2024 et emmené à l'Agence nationale de la sécurité d'État par des hommes encagoulés, alors qu'il se rendait au commissariat du 8ᵉ arrondissement de N'Djamena pour une convocation judiciaire. Il a été libéré le 8 août 2025, après 24 heures de détention par les services de renseignement.</w:t>
      </w:r>
    </w:p>
    <w:p>
      <w:pPr>
        <w:pStyle w:val="normal1"/>
        <w:keepNext w:val="false"/>
        <w:keepLines w:val="false"/>
        <w:pageBreakBefore w:val="false"/>
        <w:widowControl/>
        <w:numPr>
          <w:ilvl w:val="0"/>
          <w:numId w:val="1"/>
        </w:numPr>
        <w:shd w:val="clear" w:fill="auto"/>
        <w:spacing w:lineRule="auto" w:line="276" w:before="0" w:after="0"/>
        <w:ind w:hanging="360" w:left="1440" w:right="0"/>
        <w:jc w:val="both"/>
        <w:rPr>
          <w:rFonts w:ascii="Arial" w:hAnsi="Arial" w:eastAsia="Arial" w:cs="Arial"/>
          <w:sz w:val="22"/>
          <w:szCs w:val="22"/>
          <w:u w:val="none"/>
        </w:rPr>
      </w:pPr>
      <w:r>
        <w:rPr>
          <w:rFonts w:eastAsia="Arial" w:cs="Arial" w:ascii="Arial" w:hAnsi="Arial"/>
          <w:sz w:val="22"/>
          <w:szCs w:val="22"/>
        </w:rPr>
        <w:t xml:space="preserve">Les journalistes </w:t>
      </w:r>
      <w:r>
        <w:rPr>
          <w:rFonts w:eastAsia="Arial" w:cs="Arial" w:ascii="Arial" w:hAnsi="Arial"/>
          <w:b/>
          <w:bCs/>
          <w:sz w:val="22"/>
          <w:szCs w:val="22"/>
        </w:rPr>
        <w:t>Olivier Monodji Mbaindiguim</w:t>
      </w:r>
      <w:r>
        <w:rPr>
          <w:rFonts w:eastAsia="Arial" w:cs="Arial" w:ascii="Arial" w:hAnsi="Arial"/>
          <w:sz w:val="22"/>
          <w:szCs w:val="22"/>
        </w:rPr>
        <w:t xml:space="preserve">, directeur de publication du journal </w:t>
      </w:r>
      <w:r>
        <w:rPr>
          <w:rFonts w:eastAsia="Arial" w:cs="Arial" w:ascii="Arial" w:hAnsi="Arial"/>
          <w:i/>
          <w:iCs/>
          <w:sz w:val="22"/>
          <w:szCs w:val="22"/>
        </w:rPr>
        <w:t>Le Pays</w:t>
      </w:r>
      <w:r>
        <w:rPr>
          <w:rFonts w:eastAsia="Arial" w:cs="Arial" w:ascii="Arial" w:hAnsi="Arial"/>
          <w:sz w:val="22"/>
          <w:szCs w:val="22"/>
        </w:rPr>
        <w:t xml:space="preserve"> et correspondant de Radio France internationale (RFI) au Tchad,  et </w:t>
      </w:r>
      <w:r>
        <w:rPr>
          <w:rFonts w:eastAsia="Arial" w:cs="Arial" w:ascii="Arial" w:hAnsi="Arial"/>
          <w:b/>
          <w:bCs/>
          <w:sz w:val="22"/>
          <w:szCs w:val="22"/>
        </w:rPr>
        <w:t>Mahamat Saleh Alhissein</w:t>
      </w:r>
      <w:r>
        <w:rPr>
          <w:rFonts w:eastAsia="Arial" w:cs="Arial" w:ascii="Arial" w:hAnsi="Arial"/>
          <w:sz w:val="22"/>
          <w:szCs w:val="22"/>
        </w:rPr>
        <w:t xml:space="preserve">, de la </w:t>
      </w:r>
      <w:r>
        <w:rPr>
          <w:rFonts w:eastAsia="Arial" w:cs="Arial" w:ascii="Arial" w:hAnsi="Arial"/>
          <w:i/>
          <w:iCs/>
          <w:sz w:val="22"/>
          <w:szCs w:val="22"/>
        </w:rPr>
        <w:t>télé Tchad</w:t>
      </w:r>
      <w:r>
        <w:rPr>
          <w:rFonts w:eastAsia="Arial" w:cs="Arial" w:ascii="Arial" w:hAnsi="Arial"/>
          <w:sz w:val="22"/>
          <w:szCs w:val="22"/>
        </w:rPr>
        <w:t>, ont été arbitrairement arrêtés respectivement les 5 et 9 mars 2025, inculpés le 10 mars 2025 « d'intelligence avec l'ennemi, attentat contre les institutions et complot » et placés sous mandat de dépôt. Le 8 juillet 2025, après quatre mois de détention arbitraire, ils ont été jugés et déclarés non coupables par le tribunal de grande instance de N’Djamena. On leur reprochait de fournir des informations liées à la sécurité et à l’économie à la Russie, suite notamment à la publication d’un article sur l’inauguration de la maison Russe à N’Djamena.</w:t>
      </w:r>
    </w:p>
    <w:p>
      <w:pPr>
        <w:pStyle w:val="normal1"/>
        <w:keepNext w:val="false"/>
        <w:keepLines w:val="false"/>
        <w:pageBreakBefore w:val="false"/>
        <w:widowControl/>
        <w:shd w:val="clear" w:fill="auto"/>
        <w:spacing w:lineRule="auto" w:line="276" w:before="0" w:after="0"/>
        <w:ind w:hanging="0" w:left="0" w:right="0"/>
        <w:jc w:val="both"/>
        <w:rPr>
          <w:rFonts w:ascii="Arial" w:hAnsi="Arial" w:eastAsia="Arial" w:cs="Arial"/>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r>
    </w:p>
    <w:p>
      <w:pPr>
        <w:pStyle w:val="normal1"/>
        <w:keepNext w:val="false"/>
        <w:keepLines w:val="false"/>
        <w:pageBreakBefore w:val="false"/>
        <w:widowControl/>
        <w:shd w:val="clear" w:fill="auto"/>
        <w:spacing w:lineRule="auto" w:line="276" w:before="0" w:after="0"/>
        <w:ind w:hanging="0" w:left="0" w:right="0"/>
        <w:jc w:val="both"/>
        <w:rPr>
          <w:rFonts w:ascii="Arial" w:hAnsi="Arial" w:eastAsia="Arial" w:cs="Arial"/>
          <w:b/>
          <w:bCs/>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bCs/>
          <w:i w:val="false"/>
          <w:iCs w:val="false"/>
          <w:caps w:val="false"/>
          <w:smallCaps w:val="false"/>
          <w:strike w:val="false"/>
          <w:dstrike w:val="false"/>
          <w:color w:val="000000"/>
          <w:position w:val="0"/>
          <w:sz w:val="22"/>
          <w:sz w:val="22"/>
          <w:szCs w:val="22"/>
          <w:u w:val="none"/>
          <w:shd w:fill="auto" w:val="clear"/>
          <w:vertAlign w:val="baseline"/>
        </w:rPr>
        <w:t xml:space="preserve">Liberté de réunion pacifique et d’association (art. 21 et 22) </w:t>
      </w:r>
    </w:p>
    <w:p>
      <w:pPr>
        <w:pStyle w:val="normal1"/>
        <w:keepNext w:val="false"/>
        <w:keepLines w:val="false"/>
        <w:pageBreakBefore w:val="false"/>
        <w:widowControl/>
        <w:shd w:val="clear" w:fill="auto"/>
        <w:spacing w:lineRule="auto" w:line="276" w:before="0" w:after="0"/>
        <w:ind w:hanging="0" w:left="0" w:right="0"/>
        <w:jc w:val="both"/>
        <w:rPr>
          <w:rFonts w:ascii="Arial" w:hAnsi="Arial" w:eastAsia="Arial" w:cs="Arial"/>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r>
    </w:p>
    <w:p>
      <w:pPr>
        <w:pStyle w:val="normal1"/>
        <w:keepNext w:val="false"/>
        <w:keepLines w:val="false"/>
        <w:pageBreakBefore w:val="false"/>
        <w:widowControl/>
        <w:numPr>
          <w:ilvl w:val="0"/>
          <w:numId w:val="1"/>
        </w:numPr>
        <w:shd w:val="clear" w:fill="auto"/>
        <w:spacing w:lineRule="auto" w:line="276" w:before="0" w:after="0"/>
        <w:ind w:hanging="360" w:left="1440" w:right="0"/>
        <w:jc w:val="both"/>
        <w:rPr>
          <w:rFonts w:ascii="Arial" w:hAnsi="Arial" w:eastAsia="Arial" w:cs="Arial"/>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Les libertés d’association et de réunion sont consacrées à l’article 28 de la Constitution tchadienne et, dans son troisième rapport périodique, le Tchad affirme que « la liberté d’association et de réunion pacifique est réelle au Tchad »</w:t>
      </w:r>
      <w:r>
        <w:rPr>
          <w:rStyle w:val="FootnoteReference"/>
          <w:rFonts w:eastAsia="Arial" w:cs="Arial" w:ascii="Arial" w:hAnsi="Arial"/>
          <w:b w:val="false"/>
          <w:bCs w:val="false"/>
          <w:i w:val="false"/>
          <w:iCs w:val="false"/>
          <w:caps w:val="false"/>
          <w:smallCaps w:val="false"/>
          <w:strike w:val="false"/>
          <w:dstrike w:val="false"/>
          <w:color w:val="000000"/>
          <w:sz w:val="22"/>
          <w:szCs w:val="22"/>
          <w:u w:val="none"/>
          <w:shd w:fill="auto" w:val="clear"/>
          <w:vertAlign w:val="superscript"/>
        </w:rPr>
        <w:footnoteReference w:id="16"/>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xml:space="preserve">. Cependant, dans les faits, le droit à la liberté de réunion pacifique a été sérieusement remis en cause à plusieurs reprises depuis le début de la Transition, en contradiction avec l’article 21 du PIDCP. </w:t>
      </w:r>
    </w:p>
    <w:p>
      <w:pPr>
        <w:pStyle w:val="normal1"/>
        <w:keepNext w:val="false"/>
        <w:keepLines w:val="false"/>
        <w:pageBreakBefore w:val="false"/>
        <w:widowControl/>
        <w:numPr>
          <w:ilvl w:val="0"/>
          <w:numId w:val="1"/>
        </w:numPr>
        <w:shd w:val="clear" w:fill="auto"/>
        <w:spacing w:lineRule="auto" w:line="276" w:before="0" w:after="0"/>
        <w:ind w:hanging="360" w:left="1440" w:right="0"/>
        <w:jc w:val="both"/>
        <w:rPr>
          <w:rFonts w:ascii="Arial" w:hAnsi="Arial" w:eastAsia="Arial" w:cs="Arial"/>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En 2021, le gouvernement de transition militaire a interdit 14 manifestations pacifiques organisées par la société civile et les partis politiques. Lorsqu’elles ont eu lieu, ces manifestations ont été violemment réprimées. Plusieurs défenseur·es des droits humains et figures de la société civile tchadienne ont été arrêté·es arbitrairement en marge des manifestations organisées en mai et octobre 2022.</w:t>
      </w:r>
    </w:p>
    <w:p>
      <w:pPr>
        <w:pStyle w:val="normal1"/>
        <w:keepNext w:val="false"/>
        <w:keepLines w:val="false"/>
        <w:pageBreakBefore w:val="false"/>
        <w:widowControl/>
        <w:numPr>
          <w:ilvl w:val="0"/>
          <w:numId w:val="1"/>
        </w:numPr>
        <w:shd w:val="clear" w:fill="auto"/>
        <w:spacing w:lineRule="auto" w:line="276" w:before="0" w:after="0"/>
        <w:ind w:hanging="360" w:left="1440" w:right="0"/>
        <w:jc w:val="both"/>
        <w:rPr>
          <w:rFonts w:ascii="Arial" w:hAnsi="Arial" w:eastAsia="Arial" w:cs="Arial"/>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xml:space="preserve">Le 6 juin 2022, six défenseurs des droits humains et figures de la société civile tchadienne ont été arbitrairement arrêtés avant d’être condamnés le 16 juin 2022 à des peines de prison avec sursis. Leur arrestation est intervenue à la suite de leur participation à une manifestation pacifique autorisée visant à dénoncer le soutien de la France aux autorités militaires de la transition au Tchad organisée le 14 mai 2022 à N’Djamena, et qui a été violemment réprimée. À l’issue de la marche, </w:t>
      </w:r>
      <w:r>
        <w:rPr>
          <w:rFonts w:eastAsia="Arial" w:cs="Arial" w:ascii="Arial" w:hAnsi="Arial"/>
          <w:b/>
          <w:bCs/>
          <w:i w:val="false"/>
          <w:iCs w:val="false"/>
          <w:caps w:val="false"/>
          <w:smallCaps w:val="false"/>
          <w:strike w:val="false"/>
          <w:dstrike w:val="false"/>
          <w:color w:val="000000"/>
          <w:position w:val="0"/>
          <w:sz w:val="22"/>
          <w:sz w:val="22"/>
          <w:szCs w:val="22"/>
          <w:u w:val="none"/>
          <w:shd w:fill="auto" w:val="clear"/>
          <w:vertAlign w:val="baseline"/>
        </w:rPr>
        <w:t>Max Loalngar Yogangnan</w:t>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xml:space="preserve">, avocat, porte-parole de la coalition citoyenne Wakit Tama et ancien président de la Ligue tchadienne des droits de l’homme (LTDH), </w:t>
      </w:r>
      <w:r>
        <w:rPr>
          <w:rFonts w:eastAsia="Arial" w:cs="Arial" w:ascii="Arial" w:hAnsi="Arial"/>
          <w:b/>
          <w:bCs/>
          <w:i w:val="false"/>
          <w:iCs w:val="false"/>
          <w:caps w:val="false"/>
          <w:smallCaps w:val="false"/>
          <w:strike w:val="false"/>
          <w:dstrike w:val="false"/>
          <w:color w:val="000000"/>
          <w:position w:val="0"/>
          <w:sz w:val="22"/>
          <w:sz w:val="22"/>
          <w:szCs w:val="22"/>
          <w:u w:val="none"/>
          <w:shd w:fill="auto" w:val="clear"/>
          <w:vertAlign w:val="baseline"/>
        </w:rPr>
        <w:t>Gounoug Vaima Ganfare</w:t>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xml:space="preserve">, secrétaire général de l’Union des syndicats du Tchad (UST), </w:t>
      </w:r>
      <w:r>
        <w:rPr>
          <w:rFonts w:eastAsia="Arial" w:cs="Arial" w:ascii="Arial" w:hAnsi="Arial"/>
          <w:b/>
          <w:bCs/>
          <w:i w:val="false"/>
          <w:iCs w:val="false"/>
          <w:caps w:val="false"/>
          <w:smallCaps w:val="false"/>
          <w:strike w:val="false"/>
          <w:dstrike w:val="false"/>
          <w:color w:val="000000"/>
          <w:position w:val="0"/>
          <w:sz w:val="22"/>
          <w:sz w:val="22"/>
          <w:szCs w:val="22"/>
          <w:u w:val="none"/>
          <w:shd w:fill="auto" w:val="clear"/>
          <w:vertAlign w:val="baseline"/>
        </w:rPr>
        <w:t>Koudé Mbaïnaïssem</w:t>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xml:space="preserve">, avocat au Barreau du Tchad, tous deux membres de Wakit Tama, </w:t>
      </w:r>
      <w:r>
        <w:rPr>
          <w:rFonts w:eastAsia="Arial" w:cs="Arial" w:ascii="Arial" w:hAnsi="Arial"/>
          <w:b/>
          <w:bCs/>
          <w:i w:val="false"/>
          <w:iCs w:val="false"/>
          <w:caps w:val="false"/>
          <w:smallCaps w:val="false"/>
          <w:strike w:val="false"/>
          <w:dstrike w:val="false"/>
          <w:color w:val="000000"/>
          <w:position w:val="0"/>
          <w:sz w:val="22"/>
          <w:sz w:val="22"/>
          <w:szCs w:val="22"/>
          <w:u w:val="none"/>
          <w:shd w:fill="auto" w:val="clear"/>
          <w:vertAlign w:val="baseline"/>
        </w:rPr>
        <w:t>Hissène Massar Hissène</w:t>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xml:space="preserve">, président du Rassemblement des cadres de la société civile, </w:t>
      </w:r>
      <w:r>
        <w:rPr>
          <w:rFonts w:eastAsia="Arial" w:cs="Arial" w:ascii="Arial" w:hAnsi="Arial"/>
          <w:b/>
          <w:bCs/>
          <w:i w:val="false"/>
          <w:iCs w:val="false"/>
          <w:caps w:val="false"/>
          <w:smallCaps w:val="false"/>
          <w:strike w:val="false"/>
          <w:dstrike w:val="false"/>
          <w:color w:val="000000"/>
          <w:position w:val="0"/>
          <w:sz w:val="22"/>
          <w:sz w:val="22"/>
          <w:szCs w:val="22"/>
          <w:u w:val="none"/>
          <w:shd w:fill="auto" w:val="clear"/>
          <w:vertAlign w:val="baseline"/>
        </w:rPr>
        <w:t>Allamine Adoudou</w:t>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xml:space="preserve">, ancien Ambassadeur et </w:t>
      </w:r>
      <w:r>
        <w:rPr>
          <w:rFonts w:eastAsia="Arial" w:cs="Arial" w:ascii="Arial" w:hAnsi="Arial"/>
          <w:b/>
          <w:bCs/>
          <w:i w:val="false"/>
          <w:iCs w:val="false"/>
          <w:caps w:val="false"/>
          <w:smallCaps w:val="false"/>
          <w:strike w:val="false"/>
          <w:dstrike w:val="false"/>
          <w:color w:val="000000"/>
          <w:position w:val="0"/>
          <w:sz w:val="22"/>
          <w:sz w:val="22"/>
          <w:szCs w:val="22"/>
          <w:u w:val="none"/>
          <w:shd w:fill="auto" w:val="clear"/>
          <w:vertAlign w:val="baseline"/>
        </w:rPr>
        <w:t>Youssouf Korom</w:t>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secrétaire général du Syndicat des commerçants fournisseurs tchadiens, ont été arrêtés par des individus présumés membres des renseignements généraux du Tchad. Ils ont été placés sous mandat de dépôt par le Procureur de la République près le Tribunal de N’Djamena, poursuivis pour « destruction de biens » et « troubles à l’ordre public », « atteinte à l’intégrité corporelle de personnes, incendie et destruction de biens», et incarcérés à la maison d’arrêt de Klessoum, à N’Djamena. Le 16 juin 2022, le tribunal de Moussoro les a jugés et condamnés à 12 mois de prison avec sursis et 10 millions de FCFA (environ 15 000 Euros) de dommages et intérêts.</w:t>
      </w:r>
      <w:r>
        <w:rPr>
          <w:rStyle w:val="FootnoteReference"/>
          <w:rFonts w:eastAsia="Arial" w:cs="Arial" w:ascii="Arial" w:hAnsi="Arial"/>
          <w:b w:val="false"/>
          <w:bCs w:val="false"/>
          <w:i w:val="false"/>
          <w:iCs w:val="false"/>
          <w:caps w:val="false"/>
          <w:smallCaps w:val="false"/>
          <w:strike w:val="false"/>
          <w:dstrike w:val="false"/>
          <w:color w:val="000000"/>
          <w:sz w:val="22"/>
          <w:szCs w:val="22"/>
          <w:u w:val="none"/>
          <w:shd w:fill="auto" w:val="clear"/>
          <w:vertAlign w:val="superscript"/>
        </w:rPr>
        <w:footnoteReference w:id="17"/>
      </w:r>
    </w:p>
    <w:p>
      <w:pPr>
        <w:pStyle w:val="normal1"/>
        <w:keepNext w:val="false"/>
        <w:keepLines w:val="false"/>
        <w:pageBreakBefore w:val="false"/>
        <w:widowControl/>
        <w:numPr>
          <w:ilvl w:val="0"/>
          <w:numId w:val="1"/>
        </w:numPr>
        <w:shd w:val="clear" w:fill="auto"/>
        <w:spacing w:lineRule="auto" w:line="276" w:before="0" w:after="0"/>
        <w:ind w:hanging="360" w:left="1440" w:right="0"/>
        <w:jc w:val="both"/>
        <w:rPr>
          <w:rFonts w:ascii="Arial" w:hAnsi="Arial" w:eastAsia="Arial" w:cs="Arial"/>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Le 20 octobre 2022, à l’appel de l’opposition et de plusieurs organisations de la société civile, des manifestant·es se sont réuni·es, malgré l’interdiction des autorités, dans plusieurs villes du pays pour protester contre la prolongation pour deux ans de la période de Transition et le maintien de Mahamat Idriss Déby en tant que Président du Tchad. Ces manifestations ont été violemment réprimées par les autorités tchadiennes. Dans le rapport conjoint « Jeudi noir » publié en avril 2023</w:t>
      </w:r>
      <w:r>
        <w:rPr>
          <w:rStyle w:val="FootnoteReference"/>
          <w:rFonts w:eastAsia="Arial" w:cs="Arial" w:ascii="Arial" w:hAnsi="Arial"/>
          <w:b w:val="false"/>
          <w:bCs w:val="false"/>
          <w:i w:val="false"/>
          <w:iCs w:val="false"/>
          <w:caps w:val="false"/>
          <w:smallCaps w:val="false"/>
          <w:strike w:val="false"/>
          <w:dstrike w:val="false"/>
          <w:color w:val="000000"/>
          <w:sz w:val="22"/>
          <w:szCs w:val="22"/>
          <w:u w:val="none"/>
          <w:shd w:fill="auto" w:val="clear"/>
          <w:vertAlign w:val="superscript"/>
        </w:rPr>
        <w:footnoteReference w:id="18"/>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xml:space="preserve">, la LTDH et l’OMCT ont documenté l’usage planifié et disproportionné de la force armée, la traque des opposant·es, les disparitions forcées et les déportations massives vers des lieux de détention où la torture a été pratiquée, avec un bilan de 218 morts, des dizaines de personnes torturées, des centaines de blessé·es, au moins 40 cas de disparitions et 1300 arrestations. Parmi les victimes, on déplore notamment le décès du journaliste </w:t>
      </w:r>
      <w:r>
        <w:rPr>
          <w:rFonts w:eastAsia="Arial" w:cs="Arial" w:ascii="Arial" w:hAnsi="Arial"/>
          <w:b/>
          <w:bCs/>
          <w:i w:val="false"/>
          <w:iCs w:val="false"/>
          <w:caps w:val="false"/>
          <w:smallCaps w:val="false"/>
          <w:strike w:val="false"/>
          <w:dstrike w:val="false"/>
          <w:color w:val="000000"/>
          <w:position w:val="0"/>
          <w:sz w:val="22"/>
          <w:sz w:val="22"/>
          <w:szCs w:val="22"/>
          <w:u w:val="none"/>
          <w:shd w:fill="auto" w:val="clear"/>
          <w:vertAlign w:val="baseline"/>
        </w:rPr>
        <w:t>Narcisse Oredje</w:t>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xml:space="preserve">, tué par balle chez lui où il s’était réfugié. Il a été inhumé le 28 octobre 2022 à Kournari, à la sortie sud de N'Djamena. L’artiste </w:t>
      </w:r>
      <w:r>
        <w:rPr>
          <w:rFonts w:eastAsia="Arial" w:cs="Arial" w:ascii="Arial" w:hAnsi="Arial"/>
          <w:b/>
          <w:bCs/>
          <w:i w:val="false"/>
          <w:iCs w:val="false"/>
          <w:caps w:val="false"/>
          <w:smallCaps w:val="false"/>
          <w:strike w:val="false"/>
          <w:dstrike w:val="false"/>
          <w:color w:val="000000"/>
          <w:position w:val="0"/>
          <w:sz w:val="22"/>
          <w:sz w:val="22"/>
          <w:szCs w:val="22"/>
          <w:u w:val="none"/>
          <w:shd w:fill="auto" w:val="clear"/>
          <w:vertAlign w:val="baseline"/>
        </w:rPr>
        <w:t>Ray’s Kim</w:t>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xml:space="preserve">, de son vrai nom Djasrabé Kimassoum Yilmian, rappeur et slameur engagé depuis de nombreuses années dans la promotion des droits humains et de la démocratie, a lui été grièvement blessé. </w:t>
      </w:r>
      <w:r>
        <w:rPr>
          <w:rFonts w:eastAsia="Arial" w:cs="Arial" w:ascii="Arial" w:hAnsi="Arial"/>
          <w:sz w:val="22"/>
          <w:szCs w:val="22"/>
        </w:rPr>
        <w:t>I</w:t>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xml:space="preserve">l </w:t>
      </w:r>
      <w:r>
        <w:rPr>
          <w:rFonts w:eastAsia="Arial" w:cs="Arial" w:ascii="Arial" w:hAnsi="Arial"/>
          <w:sz w:val="22"/>
          <w:szCs w:val="22"/>
        </w:rPr>
        <w:t>est</w:t>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xml:space="preserve"> décédé des suites d’une maladie le 7 octobre 2025. Ces deux cas sont emblématiques de la brutalité qui s’est abattue sur tou·tes les citoyen·nes présent·es dans les rues tchadiennes ce jeudi 20 octobre 2022. </w:t>
      </w:r>
    </w:p>
    <w:p>
      <w:pPr>
        <w:pStyle w:val="normal1"/>
        <w:keepNext w:val="false"/>
        <w:keepLines w:val="false"/>
        <w:pageBreakBefore w:val="false"/>
        <w:widowControl/>
        <w:numPr>
          <w:ilvl w:val="0"/>
          <w:numId w:val="1"/>
        </w:numPr>
        <w:shd w:val="clear" w:fill="auto"/>
        <w:spacing w:lineRule="auto" w:line="276" w:before="0" w:after="0"/>
        <w:ind w:hanging="360" w:left="1440" w:right="0"/>
        <w:jc w:val="both"/>
        <w:rPr>
          <w:rFonts w:ascii="Arial" w:hAnsi="Arial" w:eastAsia="Arial" w:cs="Arial"/>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xml:space="preserve">Début décembre 2022, le gouvernement de Transition a annoncé la condamnation de plus de 250 manifestant·es à des peines de prison ferme, lors de procès expéditifs tenus depuis la prison de Korotoro en plein désert et sans la présence des avocat·es des prévenu·es. Dans une déclaration commune du 26 octobre 2022, des experts indépendants des Nations unies et de l’Union africaine ont condamné la répression et appelé les autorités à « libérer rapidement ces personnes dont le seul crime est celui d’avoir exercé leur droit à la liberté de réunion pacifique ». Ils ont également rappelé « aux autorités tchadiennes qu’en vertu des obligations qui lui incombent vis-à-vis du droit international relatif aux droits humains, </w:t>
      </w:r>
      <w:r>
        <w:rPr>
          <w:rFonts w:eastAsia="Arial" w:cs="Arial" w:ascii="Arial" w:hAnsi="Arial"/>
          <w:sz w:val="22"/>
          <w:szCs w:val="22"/>
        </w:rPr>
        <w:t>elles</w:t>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xml:space="preserve"> se doivent de garantir et de protéger l’exercice des droits à la liberté de réunion pacifique et d’association, ainsi qu’à la liberté d’opinion et d’expression ». </w:t>
      </w:r>
    </w:p>
    <w:p>
      <w:pPr>
        <w:pStyle w:val="normal1"/>
        <w:keepNext w:val="false"/>
        <w:keepLines w:val="false"/>
        <w:pageBreakBefore w:val="false"/>
        <w:widowControl/>
        <w:numPr>
          <w:ilvl w:val="0"/>
          <w:numId w:val="1"/>
        </w:numPr>
        <w:shd w:val="clear" w:fill="auto"/>
        <w:spacing w:lineRule="auto" w:line="276" w:before="0" w:after="0"/>
        <w:ind w:hanging="360" w:left="1440" w:right="0"/>
        <w:jc w:val="both"/>
        <w:rPr>
          <w:rFonts w:ascii="Arial" w:hAnsi="Arial" w:eastAsia="Arial" w:cs="Arial"/>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xml:space="preserve">Au lieu de rendre justice aux victimes de ces violations graves des droits humains, le Conseil national de transition tchadien, organe législatif, a voté, le 23 novembre 2023, une loi d’amnistie générale afin de mettre fin à toutes les poursuites consécutives à la répression violente par les forces de l’ordre des manifestations organisées par la société civile et l’opposition tchadienne le 20 octobre 2022. Dans ce climat de répression permanente, en plus de la pression des autorités militaires, les défenseur·es des droits humains tchadien·nes se retrouvent confronté·es au rejet d’une partie de la population, traumatisée par la violence d’octobre 2022 et voyant dans le combat pour les droits humains et la défense de l’État de droit le risque d’une nouvelle répression violente. Parfois isolé·es ou pris·es à partie, des défenseur·es des droits humains au Tchad craignent désormais que la résignation d’une partie de la population force à l’auto-censure. </w:t>
      </w:r>
    </w:p>
    <w:p>
      <w:pPr>
        <w:pStyle w:val="normal1"/>
        <w:keepNext w:val="false"/>
        <w:keepLines w:val="false"/>
        <w:pageBreakBefore w:val="false"/>
        <w:widowControl/>
        <w:numPr>
          <w:ilvl w:val="0"/>
          <w:numId w:val="1"/>
        </w:numPr>
        <w:shd w:val="clear" w:fill="auto"/>
        <w:spacing w:lineRule="auto" w:line="276" w:before="0" w:after="0"/>
        <w:ind w:hanging="360" w:left="1440" w:right="0"/>
        <w:jc w:val="both"/>
        <w:rPr>
          <w:rFonts w:ascii="Arial" w:hAnsi="Arial" w:eastAsia="Arial" w:cs="Arial"/>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Depuis les manifestations sanglantes du 20 octobre 2022, la liberté de manifester est considérablement restreinte. En 2023, les ordonnances n°011/PR/2023 du 1er août 2023, relative aux manifestations sur la voie publique, et n°009</w:t>
      </w:r>
      <w:r>
        <w:rPr>
          <w:rFonts w:eastAsia="Arial" w:cs="Arial" w:ascii="Arial" w:hAnsi="Arial"/>
          <w:sz w:val="22"/>
          <w:szCs w:val="22"/>
        </w:rPr>
        <w:t>/</w:t>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xml:space="preserve">IPT/2023 </w:t>
      </w:r>
      <w:r>
        <w:rPr>
          <w:rFonts w:eastAsia="Arial" w:cs="Arial" w:ascii="Arial" w:hAnsi="Arial"/>
          <w:sz w:val="22"/>
          <w:szCs w:val="22"/>
        </w:rPr>
        <w:t>portant</w:t>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xml:space="preserve"> </w:t>
      </w:r>
      <w:r>
        <w:rPr>
          <w:rFonts w:eastAsia="Arial" w:cs="Arial" w:ascii="Arial" w:hAnsi="Arial"/>
          <w:sz w:val="22"/>
          <w:szCs w:val="22"/>
        </w:rPr>
        <w:t>sur les</w:t>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xml:space="preserve"> attroupements, </w:t>
      </w:r>
      <w:r>
        <w:rPr>
          <w:rFonts w:eastAsia="Arial" w:cs="Arial" w:ascii="Arial" w:hAnsi="Arial"/>
          <w:sz w:val="22"/>
          <w:szCs w:val="22"/>
        </w:rPr>
        <w:t>ont instauré</w:t>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xml:space="preserve"> des peines </w:t>
      </w:r>
      <w:r>
        <w:rPr>
          <w:rFonts w:eastAsia="Arial" w:cs="Arial" w:ascii="Arial" w:hAnsi="Arial"/>
          <w:sz w:val="22"/>
          <w:szCs w:val="22"/>
        </w:rPr>
        <w:t>sévères</w:t>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xml:space="preserve"> pour les manifestant·es et autorisent l’usage de la force pour disperser </w:t>
      </w:r>
      <w:r>
        <w:rPr>
          <w:rFonts w:eastAsia="Arial" w:cs="Arial" w:ascii="Arial" w:hAnsi="Arial"/>
          <w:sz w:val="22"/>
          <w:szCs w:val="22"/>
        </w:rPr>
        <w:t>les rassemblements</w:t>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Au cours de l</w:t>
      </w:r>
      <w:r>
        <w:rPr>
          <w:rFonts w:eastAsia="Arial" w:cs="Arial" w:ascii="Arial" w:hAnsi="Arial"/>
          <w:sz w:val="22"/>
          <w:szCs w:val="22"/>
        </w:rPr>
        <w:t>’année 2025, le PILC a documenté l’interdiction d’</w:t>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xml:space="preserve">au moins </w:t>
      </w:r>
      <w:r>
        <w:rPr>
          <w:rFonts w:eastAsia="Arial" w:cs="Arial" w:ascii="Arial" w:hAnsi="Arial"/>
          <w:sz w:val="22"/>
          <w:szCs w:val="22"/>
        </w:rPr>
        <w:t>sept</w:t>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xml:space="preserve"> manifestations </w:t>
      </w:r>
      <w:r>
        <w:rPr>
          <w:rFonts w:eastAsia="Arial" w:cs="Arial" w:ascii="Arial" w:hAnsi="Arial"/>
          <w:sz w:val="22"/>
          <w:szCs w:val="22"/>
        </w:rPr>
        <w:t>au motif de</w:t>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xml:space="preserve"> risques pour l’ordre public.</w:t>
      </w:r>
    </w:p>
    <w:p>
      <w:pPr>
        <w:pStyle w:val="normal1"/>
        <w:keepNext w:val="false"/>
        <w:keepLines w:val="false"/>
        <w:pageBreakBefore w:val="false"/>
        <w:widowControl/>
        <w:numPr>
          <w:ilvl w:val="0"/>
          <w:numId w:val="1"/>
        </w:numPr>
        <w:shd w:val="clear" w:fill="auto"/>
        <w:spacing w:lineRule="auto" w:line="276" w:before="0" w:after="0"/>
        <w:ind w:hanging="360" w:left="1440" w:right="0"/>
        <w:jc w:val="both"/>
        <w:rPr>
          <w:rFonts w:ascii="Arial" w:hAnsi="Arial" w:eastAsia="Arial" w:cs="Arial"/>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Le droit à la liberté d’association a lui aussi été remis en question, en violation de l’article 22 du PIDCP. En effet, le 26 avril 2021, la LTDH a fait l’objet de harcèlement à la suite de la passation inconstitutionnelle du pouvoir subséquente au décès du Président tchadien Idriss Déby Itno, le 20 avril 2021. Huit véhicules de police avaient encerclé ses bureaux. La LTDH faisait l’objet d’une surveillance accrue de la part des autorités tchadiennes, et ses membres ont vu leur accès aux locaux de l’ONG limité en raison de la présence quotidienne de policiers dès 6h du matin.</w:t>
      </w:r>
    </w:p>
    <w:p>
      <w:pPr>
        <w:pStyle w:val="normal1"/>
        <w:keepNext w:val="false"/>
        <w:keepLines w:val="false"/>
        <w:pageBreakBefore w:val="false"/>
        <w:widowControl/>
        <w:shd w:val="clear" w:fill="auto"/>
        <w:spacing w:lineRule="auto" w:line="276" w:before="0" w:after="0"/>
        <w:ind w:hanging="0" w:left="0" w:right="0"/>
        <w:jc w:val="both"/>
        <w:rPr>
          <w:rFonts w:ascii="Arial" w:hAnsi="Arial" w:eastAsia="Arial" w:cs="Arial"/>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r>
    </w:p>
    <w:p>
      <w:pPr>
        <w:pStyle w:val="normal1"/>
        <w:keepNext w:val="false"/>
        <w:keepLines w:val="false"/>
        <w:pageBreakBefore w:val="false"/>
        <w:widowControl/>
        <w:shd w:val="clear" w:fill="auto"/>
        <w:spacing w:lineRule="auto" w:line="276" w:before="0" w:after="0"/>
        <w:ind w:hanging="0" w:left="0" w:right="0"/>
        <w:jc w:val="both"/>
        <w:rPr>
          <w:rFonts w:ascii="Arial" w:hAnsi="Arial" w:eastAsia="Arial" w:cs="Arial"/>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bCs/>
          <w:i w:val="false"/>
          <w:iCs w:val="false"/>
          <w:caps w:val="false"/>
          <w:smallCaps w:val="false"/>
          <w:strike w:val="false"/>
          <w:dstrike w:val="false"/>
          <w:color w:val="000000"/>
          <w:position w:val="0"/>
          <w:sz w:val="22"/>
          <w:sz w:val="22"/>
          <w:szCs w:val="22"/>
          <w:u w:val="none"/>
          <w:shd w:fill="auto" w:val="clear"/>
          <w:vertAlign w:val="baseline"/>
        </w:rPr>
        <w:t>Liberté de circulation (article 12)</w:t>
      </w:r>
    </w:p>
    <w:p>
      <w:pPr>
        <w:pStyle w:val="normal1"/>
        <w:keepNext w:val="false"/>
        <w:keepLines w:val="false"/>
        <w:pageBreakBefore w:val="false"/>
        <w:widowControl/>
        <w:shd w:val="clear" w:fill="auto"/>
        <w:spacing w:lineRule="auto" w:line="276" w:before="0" w:after="0"/>
        <w:ind w:hanging="0" w:left="0" w:right="0"/>
        <w:jc w:val="both"/>
        <w:rPr>
          <w:rFonts w:ascii="Arial" w:hAnsi="Arial" w:eastAsia="Arial" w:cs="Arial"/>
          <w:b/>
          <w:bCs/>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bCs/>
          <w:i w:val="false"/>
          <w:iCs w:val="false"/>
          <w:caps w:val="false"/>
          <w:smallCaps w:val="false"/>
          <w:strike w:val="false"/>
          <w:dstrike w:val="false"/>
          <w:color w:val="000000"/>
          <w:position w:val="0"/>
          <w:sz w:val="22"/>
          <w:sz w:val="22"/>
          <w:szCs w:val="22"/>
          <w:u w:val="none"/>
          <w:shd w:fill="auto" w:val="clear"/>
          <w:vertAlign w:val="baseline"/>
        </w:rPr>
      </w:r>
    </w:p>
    <w:p>
      <w:pPr>
        <w:pStyle w:val="normal1"/>
        <w:keepNext w:val="false"/>
        <w:keepLines w:val="false"/>
        <w:pageBreakBefore w:val="false"/>
        <w:widowControl/>
        <w:numPr>
          <w:ilvl w:val="0"/>
          <w:numId w:val="1"/>
        </w:numPr>
        <w:shd w:val="clear" w:fill="auto"/>
        <w:spacing w:lineRule="auto" w:line="276" w:before="0" w:after="0"/>
        <w:ind w:hanging="360" w:left="1440" w:right="0"/>
        <w:jc w:val="both"/>
        <w:rPr>
          <w:rFonts w:ascii="Arial" w:hAnsi="Arial" w:eastAsia="Arial" w:cs="Arial"/>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Au titre de l’article 12 du PIDCP</w:t>
      </w:r>
      <w:r>
        <w:rPr>
          <w:rFonts w:eastAsia="Arial" w:cs="Arial" w:ascii="Arial" w:hAnsi="Arial"/>
          <w:sz w:val="22"/>
          <w:szCs w:val="22"/>
        </w:rPr>
        <w:t>,</w:t>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xml:space="preserve"> « Quiconque se trouve légalement sur le territoire d'un État a le droit d'y circuler librement ». Ce droit n’est pourtant pas pleinement respecté au Tchad, où quatre membres de la Ligue tchadienne des droits de l’Homme (LTDH), Mme </w:t>
      </w:r>
      <w:r>
        <w:rPr>
          <w:rFonts w:eastAsia="Arial" w:cs="Arial" w:ascii="Arial" w:hAnsi="Arial"/>
          <w:b/>
          <w:bCs/>
          <w:i w:val="false"/>
          <w:iCs w:val="false"/>
          <w:caps w:val="false"/>
          <w:smallCaps w:val="false"/>
          <w:strike w:val="false"/>
          <w:dstrike w:val="false"/>
          <w:color w:val="000000"/>
          <w:position w:val="0"/>
          <w:sz w:val="22"/>
          <w:sz w:val="22"/>
          <w:szCs w:val="22"/>
          <w:u w:val="none"/>
          <w:shd w:fill="auto" w:val="clear"/>
          <w:vertAlign w:val="baseline"/>
        </w:rPr>
        <w:t>Teresa Boyalngar</w:t>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chargée des activités socio-économiques, et MM. </w:t>
      </w:r>
      <w:r>
        <w:rPr>
          <w:rFonts w:eastAsia="Arial" w:cs="Arial" w:ascii="Arial" w:hAnsi="Arial"/>
          <w:b/>
          <w:bCs/>
          <w:i w:val="false"/>
          <w:iCs w:val="false"/>
          <w:caps w:val="false"/>
          <w:smallCaps w:val="false"/>
          <w:strike w:val="false"/>
          <w:dstrike w:val="false"/>
          <w:color w:val="000000"/>
          <w:position w:val="0"/>
          <w:sz w:val="22"/>
          <w:sz w:val="22"/>
          <w:szCs w:val="22"/>
          <w:u w:val="none"/>
          <w:shd w:fill="auto" w:val="clear"/>
          <w:vertAlign w:val="baseline"/>
        </w:rPr>
        <w:t>Lamtouin Lagasso</w:t>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xml:space="preserve">, chargé des programmes, </w:t>
      </w:r>
      <w:r>
        <w:rPr>
          <w:rFonts w:eastAsia="Arial" w:cs="Arial" w:ascii="Arial" w:hAnsi="Arial"/>
          <w:b/>
          <w:bCs/>
          <w:i w:val="false"/>
          <w:iCs w:val="false"/>
          <w:caps w:val="false"/>
          <w:smallCaps w:val="false"/>
          <w:strike w:val="false"/>
          <w:dstrike w:val="false"/>
          <w:color w:val="000000"/>
          <w:position w:val="0"/>
          <w:sz w:val="22"/>
          <w:sz w:val="22"/>
          <w:szCs w:val="22"/>
          <w:u w:val="none"/>
          <w:shd w:fill="auto" w:val="clear"/>
          <w:vertAlign w:val="baseline"/>
        </w:rPr>
        <w:t>Djasrabe Weilengar</w:t>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xml:space="preserve">, gestionnaire, et </w:t>
      </w:r>
      <w:r>
        <w:rPr>
          <w:rFonts w:eastAsia="Arial" w:cs="Arial" w:ascii="Arial" w:hAnsi="Arial"/>
          <w:b/>
          <w:bCs/>
          <w:i w:val="false"/>
          <w:iCs w:val="false"/>
          <w:caps w:val="false"/>
          <w:smallCaps w:val="false"/>
          <w:strike w:val="false"/>
          <w:dstrike w:val="false"/>
          <w:color w:val="000000"/>
          <w:position w:val="0"/>
          <w:sz w:val="22"/>
          <w:sz w:val="22"/>
          <w:szCs w:val="22"/>
          <w:u w:val="none"/>
          <w:shd w:fill="auto" w:val="clear"/>
          <w:vertAlign w:val="baseline"/>
        </w:rPr>
        <w:t>Madjingue Djimtoingar</w:t>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le chauffeur de l’organisation, ont vu leur liberté de circulation obstruée. Le 6 novembre 2025, alors qu’ils s’étaient rendus présenter leurs « civilités » au Délégué général du gouvernement auprès de la province du Lac, le général Saleh Tidjani Hagar, ce dernier a qualifié la LTDH « d’ONG infiltrée » et ses représentant·es d’« espions », avant de leur « interdire de quitter la ville de Bol tant que les premiers responsables de l’organisation ne se présente[raie]nt pas ». Les quatre membres de la LTDH étaient parti·es le 29 octobre 2025 au nord de N’Djamena, la capitale, en mission dans la province du Lac, pour réaliser des activités dans six localités, à savoir Kouloudia, Doum-doum, N’gouri, Bol, Baga-Sola et Liwa jusqu’au 15 novembre 2025. Leurs activités s’inscrivaient dans le cadre du projet</w:t>
      </w:r>
      <w:r>
        <w:rPr>
          <w:rFonts w:eastAsia="Arial" w:cs="Arial" w:ascii="Arial" w:hAnsi="Arial"/>
          <w:sz w:val="22"/>
          <w:szCs w:val="22"/>
        </w:rPr>
        <w:t xml:space="preserve"> de la LTDH intitulé</w:t>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xml:space="preserve"> « Prévention de la radicalisation et de l’extrémisme violent dans le Lac », </w:t>
      </w:r>
      <w:r>
        <w:rPr>
          <w:rFonts w:eastAsia="Arial" w:cs="Arial" w:ascii="Arial" w:hAnsi="Arial"/>
          <w:sz w:val="22"/>
          <w:szCs w:val="22"/>
        </w:rPr>
        <w:t xml:space="preserve">et </w:t>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soutenu par le Fonds mondial pour l’engagement de la communauté et la résilience (GCERF), un fonds suisse créé à Genève en 2014 pour soutenir des ONG à travers le monde. Après avoir mis en œuvre les activités escomptées à Doum-doum, Kouloudia et N’gouri, l’équipe de la LTDH était arrivée à Bol le 5 novembre 2025.</w:t>
      </w:r>
      <w:r>
        <w:rPr>
          <w:rStyle w:val="FootnoteReference"/>
          <w:rFonts w:eastAsia="Arial" w:cs="Arial" w:ascii="Arial" w:hAnsi="Arial"/>
          <w:b w:val="false"/>
          <w:bCs w:val="false"/>
          <w:i w:val="false"/>
          <w:iCs w:val="false"/>
          <w:caps w:val="false"/>
          <w:smallCaps w:val="false"/>
          <w:strike w:val="false"/>
          <w:dstrike w:val="false"/>
          <w:color w:val="000000"/>
          <w:sz w:val="22"/>
          <w:szCs w:val="22"/>
          <w:u w:val="none"/>
          <w:shd w:fill="auto" w:val="clear"/>
          <w:vertAlign w:val="superscript"/>
        </w:rPr>
        <w:footnoteReference w:id="19"/>
      </w:r>
    </w:p>
    <w:p>
      <w:pPr>
        <w:pStyle w:val="normal1"/>
        <w:keepNext w:val="false"/>
        <w:keepLines w:val="false"/>
        <w:pageBreakBefore w:val="false"/>
        <w:widowControl/>
        <w:shd w:val="clear" w:fill="auto"/>
        <w:spacing w:lineRule="auto" w:line="276" w:before="0" w:after="0"/>
        <w:ind w:hanging="0" w:left="0" w:right="0"/>
        <w:jc w:val="both"/>
        <w:rPr>
          <w:rFonts w:ascii="Arial" w:hAnsi="Arial" w:eastAsia="Arial" w:cs="Arial"/>
          <w:b/>
          <w:bCs/>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bCs/>
          <w:i w:val="false"/>
          <w:iCs w:val="false"/>
          <w:caps w:val="false"/>
          <w:smallCaps w:val="false"/>
          <w:strike w:val="false"/>
          <w:dstrike w:val="false"/>
          <w:color w:val="000000"/>
          <w:position w:val="0"/>
          <w:sz w:val="22"/>
          <w:sz w:val="22"/>
          <w:szCs w:val="22"/>
          <w:u w:val="none"/>
          <w:shd w:fill="auto" w:val="clear"/>
          <w:vertAlign w:val="baseline"/>
        </w:rPr>
      </w:r>
    </w:p>
    <w:p>
      <w:pPr>
        <w:pStyle w:val="normal1"/>
        <w:keepNext w:val="false"/>
        <w:keepLines w:val="false"/>
        <w:pageBreakBefore w:val="false"/>
        <w:widowControl/>
        <w:shd w:val="clear" w:fill="auto"/>
        <w:spacing w:lineRule="auto" w:line="276" w:before="0" w:after="0"/>
        <w:ind w:hanging="0" w:left="0" w:right="0"/>
        <w:jc w:val="both"/>
        <w:rPr>
          <w:rFonts w:ascii="Arial" w:hAnsi="Arial" w:eastAsia="Arial" w:cs="Arial"/>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bCs/>
          <w:sz w:val="22"/>
          <w:szCs w:val="22"/>
        </w:rPr>
        <w:t xml:space="preserve">Interdiction de l’apatridie / </w:t>
      </w:r>
      <w:r>
        <w:rPr>
          <w:rFonts w:eastAsia="Arial" w:cs="Arial" w:ascii="Arial" w:hAnsi="Arial"/>
          <w:b/>
          <w:bCs/>
          <w:i w:val="false"/>
          <w:iCs w:val="false"/>
          <w:caps w:val="false"/>
          <w:smallCaps w:val="false"/>
          <w:strike w:val="false"/>
          <w:dstrike w:val="false"/>
          <w:color w:val="000000"/>
          <w:position w:val="0"/>
          <w:sz w:val="22"/>
          <w:sz w:val="22"/>
          <w:szCs w:val="22"/>
          <w:u w:val="none"/>
          <w:shd w:fill="auto" w:val="clear"/>
          <w:vertAlign w:val="baseline"/>
        </w:rPr>
        <w:t>Droit à la nationalité (articles 24 et 26)</w:t>
      </w:r>
    </w:p>
    <w:p>
      <w:pPr>
        <w:pStyle w:val="normal1"/>
        <w:keepNext w:val="false"/>
        <w:keepLines w:val="false"/>
        <w:pageBreakBefore w:val="false"/>
        <w:widowControl/>
        <w:shd w:val="clear" w:fill="auto"/>
        <w:spacing w:lineRule="auto" w:line="276" w:before="0" w:after="0"/>
        <w:ind w:hanging="0" w:left="0" w:right="0"/>
        <w:jc w:val="both"/>
        <w:rPr>
          <w:rFonts w:ascii="Arial" w:hAnsi="Arial" w:eastAsia="Arial" w:cs="Arial"/>
          <w:b w:val="false"/>
          <w:bCs w:val="false"/>
          <w:i w:val="false"/>
          <w:i w:val="false"/>
          <w:iCs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r>
    </w:p>
    <w:p>
      <w:pPr>
        <w:pStyle w:val="normal1"/>
        <w:keepNext w:val="false"/>
        <w:keepLines w:val="false"/>
        <w:pageBreakBefore w:val="false"/>
        <w:widowControl/>
        <w:numPr>
          <w:ilvl w:val="0"/>
          <w:numId w:val="1"/>
        </w:numPr>
        <w:shd w:val="clear" w:fill="auto"/>
        <w:spacing w:lineRule="auto" w:line="276" w:before="0" w:after="0"/>
        <w:ind w:hanging="360" w:left="1440" w:right="0"/>
        <w:jc w:val="both"/>
        <w:rPr>
          <w:rFonts w:ascii="Arial" w:hAnsi="Arial" w:eastAsia="Arial" w:cs="Arial"/>
          <w:b w:val="false"/>
          <w:bCs w:val="false"/>
          <w:i w:val="false"/>
          <w:i w:val="false"/>
          <w:iCs w:val="false"/>
          <w:caps w:val="false"/>
          <w:smallCaps w:val="false"/>
          <w:strike w:val="false"/>
          <w:dstrike w:val="false"/>
          <w:color w:val="000000"/>
          <w:position w:val="0"/>
          <w:sz w:val="22"/>
          <w:sz w:val="22"/>
          <w:szCs w:val="22"/>
          <w:shd w:fill="auto" w:val="clear"/>
          <w:vertAlign w:val="baseline"/>
        </w:rPr>
      </w:pPr>
      <w:r>
        <w:rPr>
          <w:rFonts w:eastAsia="Arial" w:cs="Arial" w:ascii="Arial" w:hAnsi="Arial"/>
          <w:sz w:val="22"/>
          <w:szCs w:val="22"/>
        </w:rPr>
        <w:t xml:space="preserve">Le code de nationalité tchadien ne prévoit pas la déchéance de nationalité pour les tchadien·nes d’origine, elle est en revanche possible pour ceux qui ont acquis la nationalité tchadienne par naturalisation. Or, le 17 septembre 2025, le Président de la République a, par un décret, prononcé la déchéance de nationalité de deux voix critiques de l’actuel régime tchadien forcés à l’exil, MM. </w:t>
      </w:r>
      <w:r>
        <w:rPr>
          <w:rFonts w:eastAsia="Arial" w:cs="Arial" w:ascii="Arial" w:hAnsi="Arial"/>
          <w:b/>
          <w:bCs/>
          <w:sz w:val="22"/>
          <w:szCs w:val="22"/>
        </w:rPr>
        <w:t>Nguebla Makaïla</w:t>
      </w:r>
      <w:r>
        <w:rPr>
          <w:rFonts w:eastAsia="Arial" w:cs="Arial" w:ascii="Arial" w:hAnsi="Arial"/>
          <w:sz w:val="22"/>
          <w:szCs w:val="22"/>
        </w:rPr>
        <w:t xml:space="preserve">, blogueur et activiste, et </w:t>
      </w:r>
      <w:r>
        <w:rPr>
          <w:rFonts w:eastAsia="Arial" w:cs="Arial" w:ascii="Arial" w:hAnsi="Arial"/>
          <w:b/>
          <w:bCs/>
          <w:sz w:val="22"/>
          <w:szCs w:val="22"/>
        </w:rPr>
        <w:t>Charfardine Galmaye Saleh</w:t>
      </w:r>
      <w:r>
        <w:rPr>
          <w:rFonts w:eastAsia="Arial" w:cs="Arial" w:ascii="Arial" w:hAnsi="Arial"/>
          <w:sz w:val="22"/>
          <w:szCs w:val="22"/>
        </w:rPr>
        <w:t>, journaliste et analyste, pour « intelligence avec les puissances étrangères » et « activités incompatibles avec la qualité de citoyen tchadien ». Cette mesure, exposant les deux défenseurs à l’apatridie, contrevient au code de nationalité tchadienne, à la Déclaration universelle des droits de l’Homme (article 15) ainsi qu’au Pacte international relatif aux droits civils et politiques (articles 24 et 26). Cette mesure de représailles à l’égard des deux défenseurs des droits humains constitue également une violation des droits à la liberté d’opinion, d’expression, de presse, d’association et de réunion, pourtant garantis par l’article 28 de la Constitution tchadienne du 29 décembre 2024.</w:t>
      </w:r>
      <w:r>
        <w:rPr>
          <w:rStyle w:val="FootnoteReference"/>
          <w:rFonts w:eastAsia="Arial" w:cs="Arial" w:ascii="Arial" w:hAnsi="Arial"/>
          <w:sz w:val="22"/>
          <w:szCs w:val="22"/>
          <w:vertAlign w:val="superscript"/>
        </w:rPr>
        <w:footnoteReference w:id="20"/>
      </w:r>
    </w:p>
    <w:p>
      <w:pPr>
        <w:pStyle w:val="normal1"/>
        <w:jc w:val="both"/>
        <w:rPr>
          <w:rFonts w:ascii="Arial" w:hAnsi="Arial" w:eastAsia="Arial" w:cs="Arial"/>
          <w:sz w:val="22"/>
          <w:szCs w:val="22"/>
        </w:rPr>
      </w:pPr>
      <w:r>
        <w:rPr>
          <w:rFonts w:eastAsia="Arial" w:cs="Arial" w:ascii="Arial" w:hAnsi="Arial"/>
          <w:sz w:val="22"/>
          <w:szCs w:val="22"/>
        </w:rPr>
      </w:r>
    </w:p>
    <w:p>
      <w:pPr>
        <w:pStyle w:val="normal1"/>
        <w:jc w:val="both"/>
        <w:rPr>
          <w:b/>
          <w:bCs/>
        </w:rPr>
      </w:pPr>
      <w:r>
        <w:rPr>
          <w:b/>
          <w:bCs/>
        </w:rPr>
      </w:r>
    </w:p>
    <w:p>
      <w:pPr>
        <w:pStyle w:val="normal1"/>
        <w:jc w:val="both"/>
        <w:rPr>
          <w:rFonts w:ascii="Arial" w:hAnsi="Arial" w:eastAsia="Arial" w:cs="Arial"/>
          <w:sz w:val="22"/>
          <w:szCs w:val="22"/>
        </w:rPr>
      </w:pPr>
      <w:r>
        <w:rPr>
          <w:rFonts w:eastAsia="Arial" w:cs="Arial" w:ascii="Arial" w:hAnsi="Arial"/>
          <w:sz w:val="22"/>
          <w:szCs w:val="22"/>
        </w:rPr>
      </w:r>
    </w:p>
    <w:p>
      <w:pPr>
        <w:pStyle w:val="normal1"/>
        <w:jc w:val="both"/>
        <w:rPr>
          <w:rFonts w:ascii="Arial" w:hAnsi="Arial" w:eastAsia="Arial" w:cs="Arial"/>
          <w:sz w:val="22"/>
          <w:szCs w:val="22"/>
        </w:rPr>
      </w:pPr>
      <w:r>
        <w:rPr>
          <w:rFonts w:eastAsia="Arial" w:cs="Arial" w:ascii="Arial" w:hAnsi="Arial"/>
          <w:sz w:val="22"/>
          <w:szCs w:val="22"/>
        </w:rPr>
      </w:r>
    </w:p>
    <w:p>
      <w:pPr>
        <w:pStyle w:val="normal1"/>
        <w:jc w:val="both"/>
        <w:rPr>
          <w:rFonts w:ascii="Arial" w:hAnsi="Arial" w:eastAsia="Arial" w:cs="Arial"/>
          <w:sz w:val="22"/>
          <w:szCs w:val="22"/>
        </w:rPr>
      </w:pPr>
      <w:r>
        <w:rPr>
          <w:rFonts w:eastAsia="Arial" w:cs="Arial" w:ascii="Arial" w:hAnsi="Arial"/>
          <w:b/>
          <w:bCs/>
          <w:sz w:val="22"/>
          <w:szCs w:val="22"/>
        </w:rPr>
        <w:t>Recommandations</w:t>
      </w:r>
    </w:p>
    <w:p>
      <w:pPr>
        <w:pStyle w:val="normal1"/>
        <w:jc w:val="both"/>
        <w:rPr>
          <w:rFonts w:ascii="Arial" w:hAnsi="Arial" w:eastAsia="Arial" w:cs="Arial"/>
          <w:sz w:val="22"/>
          <w:szCs w:val="22"/>
        </w:rPr>
      </w:pPr>
      <w:r>
        <w:rPr>
          <w:rFonts w:eastAsia="Arial" w:cs="Arial" w:ascii="Arial" w:hAnsi="Arial"/>
          <w:sz w:val="22"/>
          <w:szCs w:val="22"/>
        </w:rPr>
      </w:r>
    </w:p>
    <w:p>
      <w:pPr>
        <w:pStyle w:val="normal1"/>
        <w:jc w:val="both"/>
        <w:rPr>
          <w:rFonts w:ascii="Arial" w:hAnsi="Arial" w:eastAsia="Arial" w:cs="Arial"/>
          <w:sz w:val="22"/>
          <w:szCs w:val="22"/>
        </w:rPr>
      </w:pPr>
      <w:r>
        <w:rPr>
          <w:rFonts w:eastAsia="Arial" w:cs="Arial" w:ascii="Arial" w:hAnsi="Arial"/>
          <w:sz w:val="22"/>
          <w:szCs w:val="22"/>
        </w:rPr>
        <w:t>La FIDH, l’OMCT, la LTDH, l’ATPDH et le PILC appellent le Comité des droits de l'homme des Nations unies à recommander au gouvernement tchadien de prendre toutes les mesures nécessaires pour :</w:t>
      </w:r>
    </w:p>
    <w:p>
      <w:pPr>
        <w:pStyle w:val="normal1"/>
        <w:jc w:val="both"/>
        <w:rPr>
          <w:rFonts w:ascii="Arial" w:hAnsi="Arial" w:eastAsia="Arial" w:cs="Arial"/>
          <w:sz w:val="22"/>
          <w:szCs w:val="22"/>
        </w:rPr>
      </w:pPr>
      <w:r>
        <w:rPr>
          <w:rFonts w:eastAsia="Arial" w:cs="Arial" w:ascii="Arial" w:hAnsi="Arial"/>
          <w:sz w:val="22"/>
          <w:szCs w:val="22"/>
        </w:rPr>
      </w:r>
    </w:p>
    <w:p>
      <w:pPr>
        <w:pStyle w:val="normal1"/>
        <w:jc w:val="both"/>
        <w:rPr>
          <w:rFonts w:ascii="Arial" w:hAnsi="Arial" w:eastAsia="Arial" w:cs="Arial"/>
          <w:sz w:val="22"/>
          <w:szCs w:val="22"/>
        </w:rPr>
      </w:pPr>
      <w:r>
        <w:rPr>
          <w:rFonts w:eastAsia="Arial" w:cs="Arial" w:ascii="Arial" w:hAnsi="Arial"/>
          <w:sz w:val="22"/>
          <w:szCs w:val="22"/>
        </w:rPr>
        <w:t>- Mettre un terme à la pratique des détentions arbitraires, ainsi qu’ à toute forme de harcèlement, y compris au niveau judiciaire, à l’encontre de l’ensemble des défenseur·es des droits humains et abandonner toutes les charges à leur encontre ;</w:t>
      </w:r>
    </w:p>
    <w:p>
      <w:pPr>
        <w:pStyle w:val="normal1"/>
        <w:jc w:val="both"/>
        <w:rPr>
          <w:rFonts w:ascii="Arial" w:hAnsi="Arial" w:eastAsia="Arial" w:cs="Arial"/>
          <w:sz w:val="22"/>
          <w:szCs w:val="22"/>
        </w:rPr>
      </w:pPr>
      <w:r>
        <w:rPr>
          <w:rFonts w:eastAsia="Arial" w:cs="Arial" w:ascii="Arial" w:hAnsi="Arial"/>
          <w:sz w:val="22"/>
          <w:szCs w:val="22"/>
        </w:rPr>
      </w:r>
    </w:p>
    <w:p>
      <w:pPr>
        <w:pStyle w:val="normal1"/>
        <w:jc w:val="both"/>
        <w:rPr>
          <w:rFonts w:ascii="Arial" w:hAnsi="Arial" w:eastAsia="Arial" w:cs="Arial"/>
          <w:sz w:val="22"/>
          <w:szCs w:val="22"/>
        </w:rPr>
      </w:pPr>
      <w:r>
        <w:rPr>
          <w:rFonts w:eastAsia="Arial" w:cs="Arial" w:ascii="Arial" w:hAnsi="Arial"/>
          <w:sz w:val="22"/>
          <w:szCs w:val="22"/>
        </w:rPr>
        <w:t>- Mettre un terme à la pratique des disparitions forcées et en poursuivre les auteurs en justice  ;</w:t>
      </w:r>
    </w:p>
    <w:p>
      <w:pPr>
        <w:pStyle w:val="normal1"/>
        <w:jc w:val="both"/>
        <w:rPr>
          <w:rFonts w:ascii="Arial" w:hAnsi="Arial" w:eastAsia="Arial" w:cs="Arial"/>
          <w:sz w:val="22"/>
          <w:szCs w:val="22"/>
        </w:rPr>
      </w:pPr>
      <w:r>
        <w:rPr>
          <w:rFonts w:eastAsia="Arial" w:cs="Arial" w:ascii="Arial" w:hAnsi="Arial"/>
          <w:sz w:val="22"/>
          <w:szCs w:val="22"/>
        </w:rPr>
      </w:r>
    </w:p>
    <w:p>
      <w:pPr>
        <w:pStyle w:val="normal1"/>
        <w:jc w:val="both"/>
        <w:rPr>
          <w:rFonts w:ascii="Arial" w:hAnsi="Arial" w:eastAsia="Arial" w:cs="Arial"/>
          <w:sz w:val="22"/>
          <w:szCs w:val="22"/>
        </w:rPr>
      </w:pPr>
      <w:r>
        <w:rPr>
          <w:rFonts w:eastAsia="Arial" w:cs="Arial" w:ascii="Arial" w:hAnsi="Arial"/>
          <w:sz w:val="22"/>
          <w:szCs w:val="22"/>
        </w:rPr>
        <w:t>- Mettre un terme à la pratique de la torture et des traitements inhumains et dégradants, ordonner des enquêtes impartiales, approfondies et transparentes lorsque des cas de torture sont dénoncés afin que les responsables soient identifiés et poursuivis et, s’ils sont déclarés coupables, condamnés, et garantir des mesures adéquates de réparation et de réhabilitation aux victimes ;</w:t>
      </w:r>
    </w:p>
    <w:p>
      <w:pPr>
        <w:pStyle w:val="normal1"/>
        <w:jc w:val="both"/>
        <w:rPr>
          <w:rFonts w:ascii="Arial" w:hAnsi="Arial" w:eastAsia="Arial" w:cs="Arial"/>
          <w:sz w:val="22"/>
          <w:szCs w:val="22"/>
        </w:rPr>
      </w:pPr>
      <w:r>
        <w:rPr>
          <w:rFonts w:eastAsia="Arial" w:cs="Arial" w:ascii="Arial" w:hAnsi="Arial"/>
          <w:sz w:val="22"/>
          <w:szCs w:val="22"/>
        </w:rPr>
      </w:r>
    </w:p>
    <w:p>
      <w:pPr>
        <w:pStyle w:val="normal1"/>
        <w:jc w:val="both"/>
        <w:rPr>
          <w:rFonts w:ascii="Arial" w:hAnsi="Arial" w:eastAsia="Arial" w:cs="Arial"/>
          <w:sz w:val="22"/>
          <w:szCs w:val="22"/>
        </w:rPr>
      </w:pPr>
      <w:r>
        <w:rPr>
          <w:rFonts w:eastAsia="Arial" w:cs="Arial" w:ascii="Arial" w:hAnsi="Arial"/>
          <w:sz w:val="22"/>
          <w:szCs w:val="22"/>
        </w:rPr>
        <w:t>- Révoquer la déchéance de nationalité prononcée à l’encontre de MM. Nguebla Makaïla et Charfardine Galmaye Saleh ;</w:t>
      </w:r>
    </w:p>
    <w:p>
      <w:pPr>
        <w:pStyle w:val="normal1"/>
        <w:jc w:val="both"/>
        <w:rPr>
          <w:rFonts w:ascii="Arial" w:hAnsi="Arial" w:eastAsia="Arial" w:cs="Arial"/>
          <w:sz w:val="22"/>
          <w:szCs w:val="22"/>
        </w:rPr>
      </w:pPr>
      <w:r>
        <w:rPr>
          <w:rFonts w:eastAsia="Arial" w:cs="Arial" w:ascii="Arial" w:hAnsi="Arial"/>
          <w:sz w:val="22"/>
          <w:szCs w:val="22"/>
        </w:rPr>
      </w:r>
    </w:p>
    <w:p>
      <w:pPr>
        <w:pStyle w:val="normal1"/>
        <w:jc w:val="both"/>
        <w:rPr>
          <w:rFonts w:ascii="Arial" w:hAnsi="Arial" w:eastAsia="Arial" w:cs="Arial"/>
          <w:sz w:val="22"/>
          <w:szCs w:val="22"/>
        </w:rPr>
      </w:pPr>
      <w:r>
        <w:rPr>
          <w:rFonts w:eastAsia="Arial" w:cs="Arial" w:ascii="Arial" w:hAnsi="Arial"/>
          <w:sz w:val="22"/>
          <w:szCs w:val="22"/>
        </w:rPr>
        <w:t>- Mettre la législation nationale en conformité avec le PIDCP, y compris en révisant l’Ordonnance n°011/PR/2023 relative aux manifestations sur la voie publique, et abroger toutes les lois qui restreignent indûment l'exercice des droits civils et politiques ;</w:t>
      </w:r>
    </w:p>
    <w:p>
      <w:pPr>
        <w:pStyle w:val="normal1"/>
        <w:jc w:val="both"/>
        <w:rPr>
          <w:rFonts w:ascii="Arial" w:hAnsi="Arial" w:eastAsia="Arial" w:cs="Arial"/>
          <w:sz w:val="22"/>
          <w:szCs w:val="22"/>
        </w:rPr>
      </w:pPr>
      <w:r>
        <w:rPr>
          <w:rFonts w:eastAsia="Arial" w:cs="Arial" w:ascii="Arial" w:hAnsi="Arial"/>
          <w:sz w:val="22"/>
          <w:szCs w:val="22"/>
        </w:rPr>
      </w:r>
    </w:p>
    <w:p>
      <w:pPr>
        <w:pStyle w:val="normal1"/>
        <w:jc w:val="both"/>
        <w:rPr>
          <w:rFonts w:ascii="Arial" w:hAnsi="Arial" w:eastAsia="Arial" w:cs="Arial"/>
          <w:sz w:val="22"/>
          <w:szCs w:val="22"/>
        </w:rPr>
      </w:pPr>
      <w:r>
        <w:rPr>
          <w:rFonts w:eastAsia="Arial" w:cs="Arial" w:ascii="Arial" w:hAnsi="Arial"/>
          <w:sz w:val="22"/>
          <w:szCs w:val="22"/>
        </w:rPr>
        <w:t>- Garantir le respect des droits à la liberté d’expression, d’association et de circulation dans le pays;</w:t>
      </w:r>
    </w:p>
    <w:p>
      <w:pPr>
        <w:pStyle w:val="normal1"/>
        <w:jc w:val="both"/>
        <w:rPr>
          <w:rFonts w:ascii="Arial" w:hAnsi="Arial" w:eastAsia="Arial" w:cs="Arial"/>
          <w:sz w:val="22"/>
          <w:szCs w:val="22"/>
        </w:rPr>
      </w:pPr>
      <w:r>
        <w:rPr>
          <w:rFonts w:eastAsia="Arial" w:cs="Arial" w:ascii="Arial" w:hAnsi="Arial"/>
          <w:sz w:val="22"/>
          <w:szCs w:val="22"/>
        </w:rPr>
      </w:r>
    </w:p>
    <w:p>
      <w:pPr>
        <w:pStyle w:val="normal1"/>
        <w:jc w:val="both"/>
        <w:rPr>
          <w:rFonts w:ascii="Arial" w:hAnsi="Arial" w:eastAsia="Arial" w:cs="Arial"/>
          <w:sz w:val="22"/>
          <w:szCs w:val="22"/>
        </w:rPr>
      </w:pPr>
      <w:r>
        <w:rPr>
          <w:rFonts w:eastAsia="Arial" w:cs="Arial" w:ascii="Arial" w:hAnsi="Arial"/>
          <w:sz w:val="22"/>
          <w:szCs w:val="22"/>
        </w:rPr>
        <w:t>- Garantir le respect du droit à la liberté de réunion pacifique et mettre un terme aux interdictions générales et préventives de manifestations pacifiques ;</w:t>
      </w:r>
    </w:p>
    <w:p>
      <w:pPr>
        <w:pStyle w:val="normal1"/>
        <w:jc w:val="both"/>
        <w:rPr>
          <w:rFonts w:ascii="Arial" w:hAnsi="Arial" w:eastAsia="Arial" w:cs="Arial"/>
          <w:sz w:val="22"/>
          <w:szCs w:val="22"/>
        </w:rPr>
      </w:pPr>
      <w:r>
        <w:rPr>
          <w:rFonts w:eastAsia="Arial" w:cs="Arial" w:ascii="Arial" w:hAnsi="Arial"/>
          <w:sz w:val="22"/>
          <w:szCs w:val="22"/>
        </w:rPr>
      </w:r>
    </w:p>
    <w:p>
      <w:pPr>
        <w:pStyle w:val="normal1"/>
        <w:jc w:val="both"/>
        <w:rPr>
          <w:rFonts w:ascii="Arial" w:hAnsi="Arial" w:eastAsia="Arial" w:cs="Arial"/>
          <w:sz w:val="22"/>
          <w:szCs w:val="22"/>
        </w:rPr>
      </w:pPr>
      <w:r>
        <w:rPr>
          <w:rFonts w:eastAsia="Arial" w:cs="Arial" w:ascii="Arial" w:hAnsi="Arial"/>
          <w:sz w:val="22"/>
          <w:szCs w:val="22"/>
        </w:rPr>
        <w:t>- Abroger la loi d'amnistie relative à la répression des manifestations du 20 octobre 2022 et  garantir les droits des victimes à la justice et à la réparation ;</w:t>
      </w:r>
    </w:p>
    <w:p>
      <w:pPr>
        <w:pStyle w:val="normal1"/>
        <w:jc w:val="both"/>
        <w:rPr>
          <w:rFonts w:ascii="Arial" w:hAnsi="Arial" w:eastAsia="Arial" w:cs="Arial"/>
          <w:sz w:val="22"/>
          <w:szCs w:val="22"/>
        </w:rPr>
      </w:pPr>
      <w:r>
        <w:rPr>
          <w:rFonts w:eastAsia="Arial" w:cs="Arial" w:ascii="Arial" w:hAnsi="Arial"/>
          <w:sz w:val="22"/>
          <w:szCs w:val="22"/>
        </w:rPr>
      </w:r>
    </w:p>
    <w:p>
      <w:pPr>
        <w:pStyle w:val="normal1"/>
        <w:jc w:val="both"/>
        <w:rPr>
          <w:rFonts w:ascii="Arial" w:hAnsi="Arial" w:eastAsia="Arial" w:cs="Arial"/>
          <w:sz w:val="22"/>
          <w:szCs w:val="22"/>
        </w:rPr>
      </w:pPr>
      <w:r>
        <w:rPr>
          <w:rFonts w:eastAsia="Arial" w:cs="Arial" w:ascii="Arial" w:hAnsi="Arial"/>
          <w:sz w:val="22"/>
          <w:szCs w:val="22"/>
        </w:rPr>
        <w:t>- Soutenir les organisations et initiatives de la société civile tchadienne œuvrant pour la protection des libertés publiques et la promotion et de la défense des droits humains ;</w:t>
      </w:r>
    </w:p>
    <w:p>
      <w:pPr>
        <w:pStyle w:val="normal1"/>
        <w:jc w:val="both"/>
        <w:rPr>
          <w:rFonts w:ascii="Arial" w:hAnsi="Arial" w:eastAsia="Arial" w:cs="Arial"/>
          <w:sz w:val="22"/>
          <w:szCs w:val="22"/>
        </w:rPr>
      </w:pPr>
      <w:r>
        <w:rPr>
          <w:rFonts w:eastAsia="Arial" w:cs="Arial" w:ascii="Arial" w:hAnsi="Arial"/>
          <w:sz w:val="22"/>
          <w:szCs w:val="22"/>
        </w:rPr>
      </w:r>
    </w:p>
    <w:p>
      <w:pPr>
        <w:pStyle w:val="normal1"/>
        <w:jc w:val="both"/>
        <w:rPr>
          <w:rFonts w:ascii="Arial" w:hAnsi="Arial" w:eastAsia="Arial" w:cs="Arial"/>
          <w:sz w:val="22"/>
          <w:szCs w:val="22"/>
        </w:rPr>
      </w:pPr>
      <w:r>
        <w:rPr>
          <w:rFonts w:eastAsia="Arial" w:cs="Arial" w:ascii="Arial" w:hAnsi="Arial"/>
          <w:sz w:val="22"/>
          <w:szCs w:val="22"/>
        </w:rPr>
        <w:t>- Respecter les droits des défenseur·es des droits humains en tout temps, garantir les conditions</w:t>
      </w:r>
    </w:p>
    <w:p>
      <w:pPr>
        <w:pStyle w:val="normal1"/>
        <w:jc w:val="both"/>
        <w:rPr>
          <w:rFonts w:ascii="Arial" w:hAnsi="Arial" w:eastAsia="Arial" w:cs="Arial"/>
          <w:sz w:val="22"/>
          <w:szCs w:val="22"/>
        </w:rPr>
      </w:pPr>
      <w:r>
        <w:rPr>
          <w:rFonts w:eastAsia="Arial" w:cs="Arial" w:ascii="Arial" w:hAnsi="Arial"/>
          <w:sz w:val="22"/>
          <w:szCs w:val="22"/>
        </w:rPr>
        <w:t>d’un environnement favorable à leur action légitime de promotion et de défense des droits et cesser toutes formes de pression exercées sur la société civile ;</w:t>
      </w:r>
    </w:p>
    <w:p>
      <w:pPr>
        <w:pStyle w:val="normal1"/>
        <w:jc w:val="both"/>
        <w:rPr>
          <w:rFonts w:ascii="Arial" w:hAnsi="Arial" w:eastAsia="Arial" w:cs="Arial"/>
          <w:sz w:val="22"/>
          <w:szCs w:val="22"/>
        </w:rPr>
      </w:pPr>
      <w:r>
        <w:rPr>
          <w:rFonts w:eastAsia="Arial" w:cs="Arial" w:ascii="Arial" w:hAnsi="Arial"/>
          <w:sz w:val="22"/>
          <w:szCs w:val="22"/>
        </w:rPr>
      </w:r>
    </w:p>
    <w:p>
      <w:pPr>
        <w:pStyle w:val="normal1"/>
        <w:jc w:val="both"/>
        <w:rPr>
          <w:rFonts w:ascii="Arial" w:hAnsi="Arial" w:eastAsia="Arial" w:cs="Arial"/>
          <w:sz w:val="22"/>
          <w:szCs w:val="22"/>
        </w:rPr>
      </w:pPr>
      <w:r>
        <w:rPr>
          <w:rFonts w:eastAsia="Arial" w:cs="Arial" w:ascii="Arial" w:hAnsi="Arial"/>
          <w:sz w:val="22"/>
          <w:szCs w:val="22"/>
        </w:rPr>
        <w:t>- Établir un dialogue politique véritable et inclusif de toutes les parties prenantes de la société tchadienne, en y intégrant la question de l'espace civique, afin de favoriser le débat et la recherche de solutions pérennes.</w:t>
      </w:r>
    </w:p>
    <w:sectPr>
      <w:footnotePr>
        <w:numFmt w:val="decimal"/>
      </w:footnotePr>
      <w:type w:val="nextPage"/>
      <w:pgSz w:w="11906" w:h="16838"/>
      <w:pgMar w:left="1134" w:right="1134" w:gutter="0" w:header="0" w:top="1134" w:footer="0" w:bottom="1134"/>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embedRegular r:id="rId1" w:fontKey="{01014A78-CABC-4EF0-12AC-5CD89AEFDE01}"/>
    <w:embedBold r:id="rId2" w:fontKey="{02014A78-CABC-4EF0-12AC-5CD89AEFDE02}"/>
    <w:embedItalic r:id="rId3" w:fontKey="{03014A78-CABC-4EF0-12AC-5CD89AEFDE03}"/>
    <w:embedBoldItalic r:id="rId4" w:fontKey="{04014A78-CABC-4EF0-12AC-5CD89AEFDE04}"/>
  </w:font>
  <w:font w:name="Liberation Sans">
    <w:altName w:val="Arial"/>
    <w:charset w:val="01"/>
    <w:family w:val="roman"/>
    <w:pitch w:val="variable"/>
    <w:embedRegular r:id="rId5" w:fontKey="{05014A78-CABC-4EF0-12AC-5CD89AEFDE05}"/>
    <w:embedBold r:id="rId6" w:fontKey="{06014A78-CABC-4EF0-12AC-5CD89AEFDE06}"/>
    <w:embedItalic r:id="rId7" w:fontKey="{07014A78-CABC-4EF0-12AC-5CD89AEFDE07}"/>
    <w:embedBoldItalic r:id="rId8" w:fontKey="{08014A78-CABC-4EF0-12AC-5CD89AEFDE08}"/>
  </w:font>
  <w:font w:name="Georgia">
    <w:charset w:val="01"/>
    <w:family w:val="roman"/>
    <w:pitch w:val="variable"/>
  </w:font>
  <w:font w:name="Arial">
    <w:charset w:val="01"/>
    <w:family w:val="roman"/>
    <w:pitch w:val="variable"/>
  </w:font>
  <w:font w:name="Arial">
    <w:charset w:val="01"/>
    <w:family w:val="swiss"/>
    <w:pitch w:val="default"/>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pPr>
        <w:rPr>
          <w:sz w:val="12"/>
        </w:rPr>
      </w:pPr>
      <w:r/>
    </w:p>
  </w:footnote>
  <w:footnote w:id="1" w:type="continuationSeparator">
    <w:p>
      <w:pPr>
        <w:rPr>
          <w:sz w:val="12"/>
        </w:rPr>
      </w:pPr>
      <w:r/>
    </w:p>
  </w:footnote>
  <w:footnote w:id="2">
    <w:p>
      <w:pPr>
        <w:pStyle w:val="FootnoteText"/>
        <w:rPr/>
      </w:pPr>
      <w:r>
        <w:rPr>
          <w:rStyle w:val="Caractresdenotedebasdepage"/>
        </w:rPr>
        <w:footnoteRef/>
      </w:r>
      <w:r>
        <w:rPr/>
        <w:t xml:space="preserve"> </w:t>
      </w:r>
      <w:r>
        <w:rPr>
          <w:rFonts w:ascii="Arial" w:hAnsi="Arial"/>
          <w:sz w:val="20"/>
          <w:szCs w:val="20"/>
        </w:rPr>
        <w:t xml:space="preserve">Observations finales concernant le deuxième rapport périodique du Tchad, Comité des droits de l’Homme des Nations unies, 15 avril 2014, CCPR/C/TCD/CO/2, </w:t>
      </w:r>
      <w:hyperlink r:id="rId1">
        <w:r>
          <w:rPr>
            <w:rStyle w:val="Hyperlink"/>
            <w:rFonts w:ascii="Arial" w:hAnsi="Arial"/>
            <w:sz w:val="20"/>
            <w:szCs w:val="20"/>
          </w:rPr>
          <w:t>https://docs.un.org/fr/CCPR/C/TCD/CO/2</w:t>
        </w:r>
      </w:hyperlink>
      <w:hyperlink r:id="rId2">
        <w:r>
          <w:rPr>
            <w:rFonts w:ascii="Arial" w:hAnsi="Arial"/>
            <w:sz w:val="20"/>
            <w:szCs w:val="20"/>
          </w:rPr>
          <w:t xml:space="preserve">   </w:t>
        </w:r>
      </w:hyperlink>
    </w:p>
  </w:footnote>
  <w:footnote w:id="3">
    <w:p>
      <w:pPr>
        <w:pStyle w:val="FootnoteText"/>
        <w:rPr/>
      </w:pPr>
      <w:r>
        <w:rPr>
          <w:rStyle w:val="Caractresdenotedebasdepage"/>
        </w:rPr>
        <w:footnoteRef/>
      </w:r>
      <w:r>
        <w:rPr>
          <w:rFonts w:ascii="Arial" w:hAnsi="Arial"/>
          <w:sz w:val="20"/>
          <w:szCs w:val="20"/>
        </w:rPr>
        <w:t xml:space="preserve"> </w:t>
      </w:r>
      <w:r>
        <w:rPr>
          <w:rFonts w:ascii="Arial" w:hAnsi="Arial"/>
          <w:sz w:val="20"/>
          <w:szCs w:val="20"/>
        </w:rPr>
        <w:t xml:space="preserve">Observations finales concernant le deuxième rapport périodique du Tchad, Comité des droits de l’homme des Nations unies, 15 avril 2014, CCPR/C/TCD/CO/2, </w:t>
      </w:r>
      <w:hyperlink r:id="rId3">
        <w:r>
          <w:rPr>
            <w:rStyle w:val="Hyperlink"/>
            <w:rFonts w:ascii="Arial" w:hAnsi="Arial"/>
            <w:sz w:val="20"/>
            <w:szCs w:val="20"/>
          </w:rPr>
          <w:t>https://docs.un.org/fr/CCPR/C/TCD/CO/2</w:t>
        </w:r>
      </w:hyperlink>
      <w:r>
        <w:rPr>
          <w:rFonts w:ascii="Arial" w:hAnsi="Arial"/>
          <w:sz w:val="20"/>
          <w:szCs w:val="20"/>
        </w:rPr>
        <w:t xml:space="preserve">, par. 13 </w:t>
      </w:r>
    </w:p>
  </w:footnote>
  <w:footnote w:id="4">
    <w:p>
      <w:pPr>
        <w:pStyle w:val="FootnoteText"/>
        <w:rPr/>
      </w:pPr>
      <w:r>
        <w:rPr>
          <w:rStyle w:val="Caractresdenotedebasdepage"/>
        </w:rPr>
        <w:footnoteRef/>
      </w:r>
      <w:r>
        <w:rPr>
          <w:rFonts w:ascii="Arial" w:hAnsi="Arial"/>
          <w:sz w:val="20"/>
          <w:szCs w:val="20"/>
        </w:rPr>
        <w:t xml:space="preserve"> </w:t>
      </w:r>
      <w:r>
        <w:rPr>
          <w:rFonts w:ascii="Arial" w:hAnsi="Arial"/>
          <w:sz w:val="20"/>
          <w:szCs w:val="20"/>
        </w:rPr>
        <w:t xml:space="preserve">Troisième rapport périodique soumis par le Tchad en application de l’article 40 du Pacte, attendu en 2018, Comité des droits de l’homme des Nations unies, 20 novembre 2023, CCPR/C/TCD/3, </w:t>
      </w:r>
      <w:hyperlink r:id="rId4">
        <w:r>
          <w:rPr>
            <w:rStyle w:val="Hyperlink"/>
            <w:rFonts w:ascii="Arial" w:hAnsi="Arial"/>
            <w:sz w:val="20"/>
            <w:szCs w:val="20"/>
          </w:rPr>
          <w:t>https://docs.un.org/fr/CCPR/C/TCD/3</w:t>
        </w:r>
      </w:hyperlink>
      <w:hyperlink r:id="rId5">
        <w:r>
          <w:rPr>
            <w:rFonts w:ascii="Arial" w:hAnsi="Arial"/>
            <w:sz w:val="20"/>
            <w:szCs w:val="20"/>
          </w:rPr>
          <w:t xml:space="preserve"> </w:t>
        </w:r>
      </w:hyperlink>
    </w:p>
  </w:footnote>
  <w:footnote w:id="5">
    <w:p>
      <w:pPr>
        <w:pStyle w:val="normal1"/>
        <w:rPr>
          <w:sz w:val="20"/>
          <w:szCs w:val="20"/>
        </w:rPr>
      </w:pPr>
      <w:r>
        <w:rPr>
          <w:rStyle w:val="Caractresdenotedebasdepage"/>
        </w:rPr>
        <w:footnoteRef/>
      </w:r>
      <w:r>
        <w:rPr>
          <w:sz w:val="20"/>
          <w:szCs w:val="20"/>
        </w:rPr>
        <w:t xml:space="preserve"> </w:t>
      </w:r>
      <w:r>
        <w:rPr>
          <w:rFonts w:ascii="Arial" w:hAnsi="Arial"/>
          <w:sz w:val="20"/>
          <w:szCs w:val="20"/>
        </w:rPr>
        <w:t xml:space="preserve">L’Observatoire pour la protection des défenseur·es des droits humains (FIDH-OMCT). Appel urgent TCD 001/ 0524/ OBS 019 « Tchad : Arrestation et détention au secret du président du GRAC-TCHAD Ahmat Haroun Larry », 30 mai 2024, </w:t>
      </w:r>
      <w:hyperlink r:id="rId6">
        <w:r>
          <w:rPr>
            <w:rStyle w:val="Hyperlink"/>
            <w:rFonts w:ascii="Arial" w:hAnsi="Arial"/>
            <w:sz w:val="20"/>
            <w:szCs w:val="20"/>
          </w:rPr>
          <w:t>https://www.fidh.org/fr/themes/defenseurs-des-droits-humains/tchad-arrestation-et-de-la-detention-au-secret-du-president-du-grac</w:t>
        </w:r>
      </w:hyperlink>
      <w:hyperlink r:id="rId7">
        <w:r>
          <w:rPr>
            <w:rFonts w:ascii="Arial" w:hAnsi="Arial"/>
            <w:sz w:val="20"/>
            <w:szCs w:val="20"/>
          </w:rPr>
          <w:t xml:space="preserve"> </w:t>
        </w:r>
      </w:hyperlink>
    </w:p>
  </w:footnote>
  <w:footnote w:id="6">
    <w:p>
      <w:pPr>
        <w:pStyle w:val="FootnoteText"/>
        <w:rPr/>
      </w:pPr>
      <w:r>
        <w:rPr>
          <w:rStyle w:val="Caractresdenotedebasdepage"/>
        </w:rPr>
        <w:footnoteRef/>
      </w:r>
      <w:r>
        <w:rPr/>
        <w:t xml:space="preserve"> </w:t>
      </w:r>
      <w:r>
        <w:rPr>
          <w:rFonts w:ascii="Arial" w:hAnsi="Arial"/>
          <w:sz w:val="20"/>
          <w:szCs w:val="20"/>
        </w:rPr>
        <w:t xml:space="preserve">Observations finales concernant le deuxième rapport périodique du Tchad, Comité des droits de l’homme des Nations unies, 15 avril 2014, CCPR/C/TCD/CO/2, </w:t>
      </w:r>
      <w:hyperlink r:id="rId8">
        <w:r>
          <w:rPr>
            <w:rStyle w:val="Hyperlink"/>
            <w:rFonts w:ascii="Arial" w:hAnsi="Arial"/>
            <w:sz w:val="20"/>
            <w:szCs w:val="20"/>
          </w:rPr>
          <w:t>https://docs.un.org/fr/CCPR/C/TCD/CO/2</w:t>
        </w:r>
      </w:hyperlink>
      <w:r>
        <w:rPr>
          <w:rFonts w:ascii="Arial" w:hAnsi="Arial"/>
          <w:sz w:val="20"/>
          <w:szCs w:val="20"/>
        </w:rPr>
        <w:t>, par. 14</w:t>
      </w:r>
    </w:p>
  </w:footnote>
  <w:footnote w:id="7">
    <w:p>
      <w:pPr>
        <w:pStyle w:val="FootnoteText"/>
        <w:rPr/>
      </w:pPr>
      <w:r>
        <w:rPr>
          <w:rStyle w:val="Caractresdenotedebasdepage"/>
        </w:rPr>
        <w:footnoteRef/>
      </w:r>
      <w:r>
        <w:rPr>
          <w:rFonts w:ascii="Arial" w:hAnsi="Arial"/>
          <w:sz w:val="20"/>
          <w:szCs w:val="20"/>
        </w:rPr>
        <w:t xml:space="preserve"> </w:t>
      </w:r>
      <w:r>
        <w:rPr>
          <w:rFonts w:ascii="Arial" w:hAnsi="Arial"/>
          <w:sz w:val="20"/>
          <w:szCs w:val="20"/>
        </w:rPr>
        <w:t xml:space="preserve">Troisième rapport périodique soumis par le Tchad en application de l’article 40 du Pacte, attendu en 2018, Comité des droits de l’homme des Nations unies, 20 novembre 2023, CCPR/C/TCD/3, </w:t>
      </w:r>
      <w:hyperlink r:id="rId9">
        <w:r>
          <w:rPr>
            <w:rStyle w:val="Hyperlink"/>
            <w:rFonts w:ascii="Arial" w:hAnsi="Arial"/>
            <w:sz w:val="20"/>
            <w:szCs w:val="20"/>
          </w:rPr>
          <w:t>https://docs.un.org/fr/CCPR/C/TCD/3</w:t>
        </w:r>
      </w:hyperlink>
      <w:r>
        <w:rPr>
          <w:rFonts w:ascii="Arial" w:hAnsi="Arial"/>
          <w:sz w:val="20"/>
          <w:szCs w:val="20"/>
        </w:rPr>
        <w:t>, par. 48 à 54</w:t>
      </w:r>
    </w:p>
  </w:footnote>
  <w:footnote w:id="8">
    <w:p>
      <w:pPr>
        <w:pStyle w:val="normal1"/>
        <w:rPr>
          <w:sz w:val="20"/>
          <w:szCs w:val="20"/>
        </w:rPr>
      </w:pPr>
      <w:r>
        <w:rPr>
          <w:rStyle w:val="Caractresdenotedebasdepage"/>
        </w:rPr>
        <w:footnoteRef/>
      </w:r>
      <w:r>
        <w:rPr>
          <w:sz w:val="20"/>
          <w:szCs w:val="20"/>
        </w:rPr>
        <w:t xml:space="preserve"> </w:t>
      </w:r>
      <w:r>
        <w:rPr>
          <w:rFonts w:ascii="Arial" w:hAnsi="Arial"/>
          <w:sz w:val="20"/>
          <w:szCs w:val="20"/>
        </w:rPr>
        <w:t xml:space="preserve">L’Observatoire pour la protection des défenseur·es des droits humains (FIDH-OMCT). Appel urgent TCD 001 / 0925 / OBS 053 </w:t>
      </w:r>
      <w:r>
        <w:rPr>
          <w:rFonts w:eastAsia="Arial" w:cs="Arial" w:ascii="Arial" w:hAnsi="Arial"/>
          <w:sz w:val="20"/>
          <w:szCs w:val="20"/>
        </w:rPr>
        <w:t xml:space="preserve">« Tchad : l’État doit ouvrir des enquêtes sur l’arrestation arbitraire et les actes de torture subis par Mahamat Souleymane Irégué », 5 septembre 2025, </w:t>
      </w:r>
      <w:hyperlink r:id="rId10">
        <w:r>
          <w:rPr>
            <w:rStyle w:val="Hyperlink"/>
            <w:rFonts w:eastAsia="Arial" w:cs="Arial" w:ascii="Arial" w:hAnsi="Arial"/>
            <w:sz w:val="20"/>
            <w:szCs w:val="20"/>
          </w:rPr>
          <w:t>https://www.fidh.org/fr/themes/defenseurs-des-droits-humains/tchad-l-etat-doit-ouvrir-des-enquetes-sur-l-arrestation-arbitraire-et</w:t>
        </w:r>
      </w:hyperlink>
      <w:hyperlink r:id="rId11">
        <w:r>
          <w:rPr>
            <w:rFonts w:eastAsia="Arial" w:cs="Arial" w:ascii="Arial" w:hAnsi="Arial"/>
            <w:sz w:val="20"/>
            <w:szCs w:val="20"/>
          </w:rPr>
          <w:t xml:space="preserve"> </w:t>
        </w:r>
      </w:hyperlink>
    </w:p>
  </w:footnote>
  <w:footnote w:id="9">
    <w:p>
      <w:pPr>
        <w:pStyle w:val="normal1"/>
        <w:rPr>
          <w:sz w:val="20"/>
          <w:szCs w:val="20"/>
        </w:rPr>
      </w:pPr>
      <w:r>
        <w:rPr>
          <w:rStyle w:val="Caractresdenotedebasdepage"/>
        </w:rPr>
        <w:footnoteRef/>
      </w:r>
      <w:r>
        <w:rPr>
          <w:sz w:val="20"/>
          <w:szCs w:val="20"/>
        </w:rPr>
        <w:t xml:space="preserve"> </w:t>
      </w:r>
      <w:r>
        <w:rPr>
          <w:rFonts w:ascii="Arial" w:hAnsi="Arial"/>
          <w:sz w:val="20"/>
          <w:szCs w:val="20"/>
        </w:rPr>
        <w:t xml:space="preserve">Le 28 février 2024, le siège du Parti socialiste sans frontières (PSF), principale formation politique opposée au Général Mahamat Idriss Déby Itno, Président de la transition du Tchad, a été pris d’assaut par l’armée. Plusieurs partisans du PSF ont trouvé la mort dans l’assaut du siège du parti, dont Yaya Dillo, premier opposant au régime Déby. </w:t>
      </w:r>
      <w:r>
        <w:rPr>
          <w:rFonts w:ascii="Arial" w:hAnsi="Arial"/>
          <w:sz w:val="20"/>
          <w:szCs w:val="20"/>
        </w:rPr>
        <w:t xml:space="preserve">Voir :  FIDH « Tchad : la FIDH réclame une enquête indépendante sur la mort de l’opposant Yaya Dillo », 8 mars 2024, </w:t>
      </w:r>
      <w:hyperlink r:id="rId12">
        <w:r>
          <w:rPr>
            <w:rStyle w:val="Hyperlink"/>
            <w:rFonts w:ascii="Arial" w:hAnsi="Arial"/>
            <w:sz w:val="20"/>
            <w:szCs w:val="20"/>
          </w:rPr>
          <w:t>https://www.fidh.org/fr/regions/afrique/tchad/tchad-une-enquete-independante-sur-les-violences-et-la-mort-de-l</w:t>
        </w:r>
      </w:hyperlink>
      <w:hyperlink r:id="rId13">
        <w:r>
          <w:rPr>
            <w:rFonts w:ascii="Arial" w:hAnsi="Arial"/>
            <w:sz w:val="20"/>
            <w:szCs w:val="20"/>
          </w:rPr>
          <w:t xml:space="preserve"> </w:t>
        </w:r>
      </w:hyperlink>
    </w:p>
  </w:footnote>
  <w:footnote w:id="10">
    <w:p>
      <w:pPr>
        <w:pStyle w:val="FootnoteText"/>
        <w:rPr/>
      </w:pPr>
      <w:r>
        <w:rPr>
          <w:rStyle w:val="Caractresdenotedebasdepage"/>
        </w:rPr>
        <w:footnoteRef/>
      </w:r>
      <w:r>
        <w:rPr>
          <w:rFonts w:ascii="Arial" w:hAnsi="Arial"/>
          <w:sz w:val="20"/>
          <w:szCs w:val="20"/>
        </w:rPr>
        <w:t xml:space="preserve"> </w:t>
      </w:r>
      <w:r>
        <w:rPr>
          <w:rFonts w:ascii="Arial" w:hAnsi="Arial"/>
          <w:sz w:val="20"/>
          <w:szCs w:val="20"/>
        </w:rPr>
        <w:t xml:space="preserve">Liste de points concernant le troisième rapport périodique du Tchad, Comité des droits de l’homme des Nations unies, 24 avril 2025, CCPR/C/TCD/Q/3, </w:t>
      </w:r>
      <w:hyperlink r:id="rId14">
        <w:r>
          <w:rPr>
            <w:rStyle w:val="Hyperlink"/>
            <w:rFonts w:ascii="Arial" w:hAnsi="Arial"/>
            <w:sz w:val="20"/>
            <w:szCs w:val="20"/>
          </w:rPr>
          <w:t>https://tbinternet.ohchr.org/_layouts/15/treatybodyexternal/Download.aspx?symbolno=CCPR%2FC%2FTCD%2FQ%2F3&amp;Lang=en</w:t>
        </w:r>
      </w:hyperlink>
      <w:hyperlink r:id="rId15">
        <w:r>
          <w:rPr>
            <w:rFonts w:ascii="Arial" w:hAnsi="Arial"/>
            <w:sz w:val="20"/>
            <w:szCs w:val="20"/>
          </w:rPr>
          <w:t xml:space="preserve">   </w:t>
        </w:r>
      </w:hyperlink>
    </w:p>
  </w:footnote>
  <w:footnote w:id="11">
    <w:p>
      <w:pPr>
        <w:pStyle w:val="normal1"/>
        <w:rPr>
          <w:sz w:val="20"/>
          <w:szCs w:val="20"/>
        </w:rPr>
      </w:pPr>
      <w:r>
        <w:rPr>
          <w:rStyle w:val="Caractresdenotedebasdepage"/>
        </w:rPr>
        <w:footnoteRef/>
      </w:r>
      <w:r>
        <w:rPr>
          <w:sz w:val="20"/>
          <w:szCs w:val="20"/>
        </w:rPr>
        <w:t xml:space="preserve"> </w:t>
      </w:r>
      <w:r>
        <w:rPr>
          <w:rFonts w:ascii="Arial" w:hAnsi="Arial"/>
          <w:sz w:val="20"/>
          <w:szCs w:val="20"/>
        </w:rPr>
        <w:t xml:space="preserve">L’Observatoire pour la protection des défenseur·es des droits humains (FIDH-OMCT). Appel urgent TCD 003 / 0521 / OBS 063 </w:t>
      </w:r>
      <w:r>
        <w:rPr>
          <w:rFonts w:eastAsia="Arial" w:cs="Arial" w:ascii="Arial" w:hAnsi="Arial"/>
          <w:sz w:val="20"/>
          <w:szCs w:val="20"/>
        </w:rPr>
        <w:t xml:space="preserve">« Tchad : Disparition et libération de Gilbert Morba », 28 mai 2021, </w:t>
      </w:r>
      <w:hyperlink r:id="rId16">
        <w:r>
          <w:rPr>
            <w:rStyle w:val="Hyperlink"/>
            <w:rFonts w:eastAsia="Arial" w:cs="Arial" w:ascii="Arial" w:hAnsi="Arial"/>
            <w:sz w:val="20"/>
            <w:szCs w:val="20"/>
          </w:rPr>
          <w:t>https://www.fidh.org/fr/themes/defenseurs-des-droits-humains/tchad-disparition-et-liberation-de-gilbert-morba</w:t>
        </w:r>
      </w:hyperlink>
      <w:hyperlink r:id="rId17">
        <w:r>
          <w:rPr>
            <w:rFonts w:eastAsia="Arial" w:cs="Arial" w:ascii="Arial" w:hAnsi="Arial"/>
            <w:sz w:val="20"/>
            <w:szCs w:val="20"/>
          </w:rPr>
          <w:t xml:space="preserve"> </w:t>
        </w:r>
      </w:hyperlink>
    </w:p>
  </w:footnote>
  <w:footnote w:id="12">
    <w:p>
      <w:pPr>
        <w:pStyle w:val="FootnoteText"/>
        <w:rPr/>
      </w:pPr>
      <w:r>
        <w:rPr>
          <w:rStyle w:val="Caractresdenotedebasdepage"/>
        </w:rPr>
        <w:footnoteRef/>
      </w:r>
      <w:r>
        <w:rPr/>
        <w:t xml:space="preserve"> </w:t>
      </w:r>
      <w:r>
        <w:rPr>
          <w:rFonts w:ascii="Arial" w:hAnsi="Arial"/>
          <w:sz w:val="20"/>
          <w:szCs w:val="20"/>
        </w:rPr>
        <w:t xml:space="preserve">Observations finales concernant le deuxième rapport périodique du Tchad, Comité des droits de l’homme des Nations unies, 15 avril 2014, CCPR/C/TCD/CO/2, </w:t>
      </w:r>
      <w:hyperlink r:id="rId18">
        <w:r>
          <w:rPr>
            <w:rStyle w:val="Hyperlink"/>
            <w:rFonts w:ascii="Arial" w:hAnsi="Arial"/>
            <w:sz w:val="20"/>
            <w:szCs w:val="20"/>
          </w:rPr>
          <w:t>https://docs.un.org/fr/CCPR/C/TCD/CO/2</w:t>
        </w:r>
      </w:hyperlink>
      <w:r>
        <w:rPr>
          <w:rFonts w:ascii="Arial" w:hAnsi="Arial"/>
          <w:sz w:val="20"/>
          <w:szCs w:val="20"/>
        </w:rPr>
        <w:t>, par. 20</w:t>
      </w:r>
    </w:p>
  </w:footnote>
  <w:footnote w:id="13">
    <w:p>
      <w:pPr>
        <w:pStyle w:val="FootnoteText"/>
        <w:rPr/>
      </w:pPr>
      <w:r>
        <w:rPr>
          <w:rStyle w:val="Caractresdenotedebasdepage"/>
        </w:rPr>
        <w:footnoteRef/>
      </w:r>
      <w:r>
        <w:rPr>
          <w:rFonts w:ascii="Arial" w:hAnsi="Arial"/>
          <w:sz w:val="20"/>
          <w:szCs w:val="20"/>
        </w:rPr>
        <w:t xml:space="preserve"> </w:t>
      </w:r>
      <w:r>
        <w:rPr>
          <w:rFonts w:ascii="Arial" w:hAnsi="Arial"/>
          <w:sz w:val="20"/>
          <w:szCs w:val="20"/>
        </w:rPr>
        <w:t xml:space="preserve">Troisième rapport périodique soumis par le Tchad en application de l’article 40 du Pacte, attendu en 2018, Comité des droits de l’homme des Nations unies, 20 novembre 2023, CCPR/C/TCD/3, </w:t>
      </w:r>
      <w:hyperlink r:id="rId19">
        <w:r>
          <w:rPr>
            <w:rStyle w:val="Hyperlink"/>
            <w:rFonts w:ascii="Arial" w:hAnsi="Arial"/>
            <w:sz w:val="20"/>
            <w:szCs w:val="20"/>
          </w:rPr>
          <w:t>https://docs.un.org/fr/CCPR/C/TCD/3</w:t>
        </w:r>
      </w:hyperlink>
      <w:r>
        <w:rPr>
          <w:rFonts w:ascii="Arial" w:hAnsi="Arial"/>
          <w:sz w:val="20"/>
          <w:szCs w:val="20"/>
        </w:rPr>
        <w:t>, par. 70</w:t>
      </w:r>
    </w:p>
  </w:footnote>
  <w:footnote w:id="14">
    <w:p>
      <w:pPr>
        <w:pStyle w:val="normal1"/>
        <w:rPr>
          <w:sz w:val="20"/>
          <w:szCs w:val="20"/>
        </w:rPr>
      </w:pPr>
      <w:r>
        <w:rPr>
          <w:rStyle w:val="Caractresdenotedebasdepage"/>
        </w:rPr>
        <w:footnoteRef/>
      </w:r>
      <w:r>
        <w:rPr>
          <w:sz w:val="20"/>
          <w:szCs w:val="20"/>
        </w:rPr>
        <w:t xml:space="preserve"> </w:t>
      </w:r>
      <w:r>
        <w:rPr>
          <w:rFonts w:ascii="Arial" w:hAnsi="Arial"/>
          <w:sz w:val="20"/>
          <w:szCs w:val="20"/>
        </w:rPr>
        <w:t xml:space="preserve">L’Observatoire pour la protection des défenseur·es des droits humains (FIDH-OMCT). Déclaration </w:t>
      </w:r>
      <w:r>
        <w:rPr>
          <w:rFonts w:eastAsia="Arial" w:cs="Arial" w:ascii="Arial" w:hAnsi="Arial"/>
          <w:sz w:val="20"/>
          <w:szCs w:val="20"/>
        </w:rPr>
        <w:t xml:space="preserve">« Tchad : Le président de l’Organisation Tchadienne des Droits Humains Baradine Berdei Targuio doit être libéré ! », 3 septembre 2020, </w:t>
      </w:r>
      <w:hyperlink r:id="rId20">
        <w:r>
          <w:rPr>
            <w:rStyle w:val="Hyperlink"/>
            <w:rFonts w:eastAsia="Arial" w:cs="Arial" w:ascii="Arial" w:hAnsi="Arial"/>
            <w:sz w:val="20"/>
            <w:szCs w:val="20"/>
          </w:rPr>
          <w:t>https://www.fidh.org/fr/regions/afrique/tchad/tchad-le-president-de-l-organisation-tchadienne-des-droits-humains</w:t>
        </w:r>
      </w:hyperlink>
      <w:hyperlink r:id="rId21">
        <w:r>
          <w:rPr>
            <w:rFonts w:eastAsia="Arial" w:cs="Arial" w:ascii="Arial" w:hAnsi="Arial"/>
            <w:sz w:val="20"/>
            <w:szCs w:val="20"/>
          </w:rPr>
          <w:t xml:space="preserve"> </w:t>
        </w:r>
      </w:hyperlink>
    </w:p>
  </w:footnote>
  <w:footnote w:id="15">
    <w:p>
      <w:pPr>
        <w:pStyle w:val="normal1"/>
        <w:rPr>
          <w:sz w:val="20"/>
          <w:szCs w:val="20"/>
        </w:rPr>
      </w:pPr>
      <w:r>
        <w:rPr>
          <w:rStyle w:val="Caractresdenotedebasdepage"/>
        </w:rPr>
        <w:footnoteRef/>
      </w:r>
      <w:r>
        <w:rPr>
          <w:sz w:val="20"/>
          <w:szCs w:val="20"/>
        </w:rPr>
        <w:t xml:space="preserve"> </w:t>
      </w:r>
      <w:r>
        <w:rPr>
          <w:rFonts w:ascii="Arial" w:hAnsi="Arial"/>
          <w:sz w:val="20"/>
          <w:szCs w:val="20"/>
        </w:rPr>
        <w:t xml:space="preserve">L’Observatoire pour la protection des défenseur·es des droits humains (FIDH-OMCT). Appel urgent TCD 001 / 0522 / OBS 035 </w:t>
      </w:r>
      <w:r>
        <w:rPr>
          <w:rFonts w:eastAsia="Arial" w:cs="Arial" w:ascii="Arial" w:hAnsi="Arial"/>
          <w:sz w:val="20"/>
          <w:szCs w:val="20"/>
        </w:rPr>
        <w:t xml:space="preserve">« Tchad : tentative d’assassinat de Baldal Oyamta, Ligue tchadienne des Droits de l’homme (LTDH) », 5 mai 2022, </w:t>
      </w:r>
      <w:hyperlink r:id="rId22">
        <w:r>
          <w:rPr>
            <w:rStyle w:val="Hyperlink"/>
            <w:rFonts w:eastAsia="Arial" w:cs="Arial" w:ascii="Arial" w:hAnsi="Arial"/>
            <w:sz w:val="20"/>
            <w:szCs w:val="20"/>
          </w:rPr>
          <w:t>https://www.fidh.org/fr/themes/defenseurs-des-droits-humains/tchad-tentative-d-assassinat-de-baldal-oyamta-ligue-tchadienne-des</w:t>
        </w:r>
      </w:hyperlink>
      <w:hyperlink r:id="rId23">
        <w:r>
          <w:rPr>
            <w:rFonts w:eastAsia="Arial" w:cs="Arial" w:ascii="Arial" w:hAnsi="Arial"/>
            <w:sz w:val="20"/>
            <w:szCs w:val="20"/>
          </w:rPr>
          <w:t xml:space="preserve"> </w:t>
        </w:r>
      </w:hyperlink>
    </w:p>
  </w:footnote>
  <w:footnote w:id="16">
    <w:p>
      <w:pPr>
        <w:pStyle w:val="FootnoteText"/>
        <w:rPr/>
      </w:pPr>
      <w:r>
        <w:rPr>
          <w:rStyle w:val="Caractresdenotedebasdepage"/>
        </w:rPr>
        <w:footnoteRef/>
      </w:r>
      <w:r>
        <w:rPr/>
        <w:t xml:space="preserve"> </w:t>
      </w:r>
      <w:r>
        <w:rPr>
          <w:rFonts w:ascii="Arial" w:hAnsi="Arial"/>
          <w:sz w:val="20"/>
          <w:szCs w:val="20"/>
        </w:rPr>
        <w:t xml:space="preserve">Troisième rapport périodique soumis par le Tchad en application de l’article 40 du Pacte, attendu en 2018, Comité des droits de l’homme des Nations unies, 20 novembre 2023, CCPR/C/TCD/3, </w:t>
      </w:r>
      <w:hyperlink r:id="rId24">
        <w:r>
          <w:rPr>
            <w:rStyle w:val="Hyperlink"/>
            <w:rFonts w:ascii="Arial" w:hAnsi="Arial"/>
            <w:sz w:val="20"/>
            <w:szCs w:val="20"/>
          </w:rPr>
          <w:t>https://docs.un.org/fr/CCPR/C/TCD/3</w:t>
        </w:r>
      </w:hyperlink>
      <w:r>
        <w:rPr>
          <w:rFonts w:ascii="Arial" w:hAnsi="Arial"/>
          <w:sz w:val="20"/>
          <w:szCs w:val="20"/>
        </w:rPr>
        <w:t>, par. 246</w:t>
      </w:r>
    </w:p>
  </w:footnote>
  <w:footnote w:id="17">
    <w:p>
      <w:pPr>
        <w:pStyle w:val="normal1"/>
        <w:rPr>
          <w:sz w:val="20"/>
          <w:szCs w:val="20"/>
        </w:rPr>
      </w:pPr>
      <w:r>
        <w:rPr>
          <w:rStyle w:val="Caractresdenotedebasdepage"/>
        </w:rPr>
        <w:footnoteRef/>
      </w:r>
      <w:r>
        <w:rPr>
          <w:sz w:val="20"/>
          <w:szCs w:val="20"/>
        </w:rPr>
        <w:t xml:space="preserve"> </w:t>
      </w:r>
      <w:r>
        <w:rPr>
          <w:rFonts w:ascii="Arial" w:hAnsi="Arial"/>
          <w:sz w:val="20"/>
          <w:szCs w:val="20"/>
        </w:rPr>
        <w:t xml:space="preserve">L’Observatoire pour la protection des défenseur·es des droits humains (FIDH-OMCT). Appel urgent TCD 002 / 0622 / OBS 043 </w:t>
      </w:r>
      <w:r>
        <w:rPr>
          <w:rFonts w:eastAsia="Arial" w:cs="Arial" w:ascii="Arial" w:hAnsi="Arial"/>
          <w:sz w:val="20"/>
          <w:szCs w:val="20"/>
        </w:rPr>
        <w:t xml:space="preserve">« Tchad : condamnation de six défenseurs des droits humains », 13 juin 2022, </w:t>
      </w:r>
      <w:hyperlink r:id="rId25">
        <w:r>
          <w:rPr>
            <w:rStyle w:val="Hyperlink"/>
            <w:rFonts w:eastAsia="Arial" w:cs="Arial" w:ascii="Arial" w:hAnsi="Arial"/>
            <w:sz w:val="20"/>
            <w:szCs w:val="20"/>
          </w:rPr>
          <w:t>https://www.fidh.org/fr/themes/defenseurs-des-droits-humains/tchad-condamnation-defenseurs-droits-humains</w:t>
        </w:r>
      </w:hyperlink>
      <w:hyperlink r:id="rId26">
        <w:r>
          <w:rPr>
            <w:rFonts w:eastAsia="Arial" w:cs="Arial" w:ascii="Arial" w:hAnsi="Arial"/>
            <w:sz w:val="20"/>
            <w:szCs w:val="20"/>
          </w:rPr>
          <w:t xml:space="preserve"> </w:t>
        </w:r>
      </w:hyperlink>
    </w:p>
  </w:footnote>
  <w:footnote w:id="18">
    <w:p>
      <w:pPr>
        <w:pStyle w:val="FootnoteText"/>
        <w:rPr/>
      </w:pPr>
      <w:r>
        <w:rPr>
          <w:rStyle w:val="Caractresdenotedebasdepage"/>
        </w:rPr>
        <w:footnoteRef/>
      </w:r>
      <w:r>
        <w:rPr/>
        <w:t xml:space="preserve"> </w:t>
      </w:r>
      <w:r>
        <w:rPr>
          <w:rFonts w:ascii="Arial" w:hAnsi="Arial"/>
          <w:sz w:val="20"/>
          <w:szCs w:val="20"/>
        </w:rPr>
        <w:t xml:space="preserve">Organisation mondiale contre la torture (OMCT) et Ligue tchadienne des droits de l’homme (LTDH), « Jeudi Noir “Ils ont enlevé trois de mes fils” - Rapport d’enquête sur la répression sanglante des manifestations du 20 octobre 2022 au Tchad », avril 2023, </w:t>
      </w:r>
      <w:hyperlink r:id="rId27">
        <w:r>
          <w:rPr>
            <w:rStyle w:val="Hyperlink"/>
            <w:rFonts w:ascii="Arial" w:hAnsi="Arial"/>
            <w:sz w:val="20"/>
            <w:szCs w:val="20"/>
          </w:rPr>
          <w:t>https://www.omct.org/site-resources/files/Rapport-Tchad-OMCT-LTDH-_-Avril-2023.pdf</w:t>
        </w:r>
      </w:hyperlink>
      <w:hyperlink r:id="rId28">
        <w:r>
          <w:rPr>
            <w:rFonts w:ascii="Arial" w:hAnsi="Arial"/>
            <w:sz w:val="20"/>
            <w:szCs w:val="20"/>
          </w:rPr>
          <w:t xml:space="preserve">  </w:t>
        </w:r>
      </w:hyperlink>
    </w:p>
  </w:footnote>
  <w:footnote w:id="19">
    <w:p>
      <w:pPr>
        <w:pStyle w:val="normal1"/>
        <w:rPr>
          <w:sz w:val="20"/>
          <w:szCs w:val="20"/>
        </w:rPr>
      </w:pPr>
      <w:r>
        <w:rPr>
          <w:rStyle w:val="Caractresdenotedebasdepage"/>
        </w:rPr>
        <w:footnoteRef/>
      </w:r>
      <w:r>
        <w:rPr>
          <w:sz w:val="20"/>
          <w:szCs w:val="20"/>
        </w:rPr>
        <w:t xml:space="preserve"> </w:t>
      </w:r>
      <w:r>
        <w:rPr>
          <w:rFonts w:ascii="Arial" w:hAnsi="Arial"/>
          <w:sz w:val="20"/>
          <w:szCs w:val="20"/>
        </w:rPr>
        <w:t xml:space="preserve">L’Observatoire pour la protection des défenseur·es des droits humains (FIDH-OMCT). Appel urgent TCD 003 / 1125 / OBS 073 </w:t>
      </w:r>
      <w:r>
        <w:rPr>
          <w:rFonts w:eastAsia="Arial" w:cs="Arial" w:ascii="Arial" w:hAnsi="Arial"/>
          <w:sz w:val="20"/>
          <w:szCs w:val="20"/>
        </w:rPr>
        <w:t xml:space="preserve">« Tchad : obstruction à la liberté de circulation de quatre membres de la LTDH par le Délégué général du gouvernement auprès de la province du Lac », 12 novembre 2025, </w:t>
      </w:r>
      <w:hyperlink r:id="rId29">
        <w:r>
          <w:rPr>
            <w:rStyle w:val="Hyperlink"/>
            <w:rFonts w:eastAsia="Arial" w:cs="Arial" w:ascii="Arial" w:hAnsi="Arial"/>
            <w:sz w:val="20"/>
            <w:szCs w:val="20"/>
          </w:rPr>
          <w:t>https://www.fidh.org/fr/themes/defenseurs-des-droits-humains/tchad-obstruction-a-la-liberte-de-circulation-de-quatre-membres-de-la</w:t>
        </w:r>
      </w:hyperlink>
      <w:hyperlink r:id="rId30">
        <w:r>
          <w:rPr>
            <w:rFonts w:eastAsia="Arial" w:cs="Arial" w:ascii="Arial" w:hAnsi="Arial"/>
            <w:sz w:val="20"/>
            <w:szCs w:val="20"/>
          </w:rPr>
          <w:t xml:space="preserve"> </w:t>
        </w:r>
      </w:hyperlink>
    </w:p>
  </w:footnote>
  <w:footnote w:id="20">
    <w:p>
      <w:pPr>
        <w:pStyle w:val="normal1"/>
        <w:rPr>
          <w:sz w:val="20"/>
          <w:szCs w:val="20"/>
        </w:rPr>
      </w:pPr>
      <w:r>
        <w:rPr>
          <w:rStyle w:val="Caractresdenotedebasdepage"/>
        </w:rPr>
        <w:footnoteRef/>
      </w:r>
      <w:r>
        <w:rPr>
          <w:sz w:val="20"/>
          <w:szCs w:val="20"/>
        </w:rPr>
        <w:t xml:space="preserve"> </w:t>
      </w:r>
      <w:r>
        <w:rPr>
          <w:rFonts w:ascii="Arial" w:hAnsi="Arial"/>
          <w:sz w:val="20"/>
          <w:szCs w:val="20"/>
        </w:rPr>
        <w:t xml:space="preserve">L’Observatoire pour la protection des défenseur·es des droits humains (FIDH-OMCT). Appel urgent TCD 002 / 0925 / OBS 060 </w:t>
      </w:r>
      <w:r>
        <w:rPr>
          <w:rFonts w:eastAsia="Arial" w:cs="Arial" w:ascii="Arial" w:hAnsi="Arial"/>
          <w:sz w:val="20"/>
          <w:szCs w:val="20"/>
        </w:rPr>
        <w:t xml:space="preserve">« Tchad : déchéance de nationalité de MM. Nguebla Makaïla et Charfadine Galmaye Saleh », 25 septembre 2025, </w:t>
      </w:r>
      <w:hyperlink r:id="rId31">
        <w:r>
          <w:rPr>
            <w:rStyle w:val="Hyperlink"/>
            <w:rFonts w:eastAsia="Arial" w:cs="Arial" w:ascii="Arial" w:hAnsi="Arial"/>
            <w:sz w:val="20"/>
            <w:szCs w:val="20"/>
          </w:rPr>
          <w:t>https://www.fidh.org/fr/themes/defenseurs-des-droits-humains/tchad-decheance-de-nationalite-de-mm-nguebla-makaila-et-charfadine</w:t>
        </w:r>
      </w:hyperlink>
      <w:hyperlink r:id="rId32">
        <w:r>
          <w:rPr>
            <w:rFonts w:eastAsia="Arial" w:cs="Arial" w:ascii="Arial" w:hAnsi="Arial"/>
            <w:sz w:val="20"/>
            <w:szCs w:val="20"/>
          </w:rPr>
          <w:t xml:space="preserve"> </w:t>
        </w:r>
      </w:hyperlink>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1440" w:hanging="360"/>
      </w:pPr>
      <w:rPr/>
    </w:lvl>
    <w:lvl w:ilvl="1">
      <w:start w:val="1"/>
      <w:numFmt w:val="decimal"/>
      <w:lvlText w:val="%2."/>
      <w:lvlJc w:val="left"/>
      <w:pPr>
        <w:tabs>
          <w:tab w:val="num" w:pos="0"/>
        </w:tabs>
        <w:ind w:left="1800" w:hanging="360"/>
      </w:pPr>
      <w:rPr/>
    </w:lvl>
    <w:lvl w:ilvl="2">
      <w:start w:val="1"/>
      <w:numFmt w:val="decimal"/>
      <w:lvlText w:val="%3."/>
      <w:lvlJc w:val="left"/>
      <w:pPr>
        <w:tabs>
          <w:tab w:val="num" w:pos="0"/>
        </w:tabs>
        <w:ind w:left="2160" w:hanging="360"/>
      </w:pPr>
      <w:rPr/>
    </w:lvl>
    <w:lvl w:ilvl="3">
      <w:start w:val="1"/>
      <w:numFmt w:val="decimal"/>
      <w:lvlText w:val="%4."/>
      <w:lvlJc w:val="left"/>
      <w:pPr>
        <w:tabs>
          <w:tab w:val="num" w:pos="0"/>
        </w:tabs>
        <w:ind w:left="2520" w:hanging="360"/>
      </w:pPr>
      <w:rPr/>
    </w:lvl>
    <w:lvl w:ilvl="4">
      <w:start w:val="1"/>
      <w:numFmt w:val="decimal"/>
      <w:lvlText w:val="%5."/>
      <w:lvlJc w:val="left"/>
      <w:pPr>
        <w:tabs>
          <w:tab w:val="num" w:pos="0"/>
        </w:tabs>
        <w:ind w:left="2880" w:hanging="360"/>
      </w:pPr>
      <w:rPr/>
    </w:lvl>
    <w:lvl w:ilvl="5">
      <w:start w:val="1"/>
      <w:numFmt w:val="decimal"/>
      <w:lvlText w:val="%6."/>
      <w:lvlJc w:val="left"/>
      <w:pPr>
        <w:tabs>
          <w:tab w:val="num" w:pos="0"/>
        </w:tabs>
        <w:ind w:left="3240" w:hanging="360"/>
      </w:pPr>
      <w:rPr/>
    </w:lvl>
    <w:lvl w:ilvl="6">
      <w:start w:val="1"/>
      <w:numFmt w:val="decimal"/>
      <w:lvlText w:val="%7."/>
      <w:lvlJc w:val="left"/>
      <w:pPr>
        <w:tabs>
          <w:tab w:val="num" w:pos="0"/>
        </w:tabs>
        <w:ind w:left="3600" w:hanging="360"/>
      </w:pPr>
      <w:rPr/>
    </w:lvl>
    <w:lvl w:ilvl="7">
      <w:start w:val="1"/>
      <w:numFmt w:val="decimal"/>
      <w:lvlText w:val="%8."/>
      <w:lvlJc w:val="left"/>
      <w:pPr>
        <w:tabs>
          <w:tab w:val="num" w:pos="0"/>
        </w:tabs>
        <w:ind w:left="3960" w:hanging="360"/>
      </w:pPr>
      <w:rPr/>
    </w:lvl>
    <w:lvl w:ilvl="8">
      <w:start w:val="1"/>
      <w:numFmt w:val="decimal"/>
      <w:lvlText w:val="%9."/>
      <w:lvlJc w:val="left"/>
      <w:pPr>
        <w:tabs>
          <w:tab w:val="num" w:pos="0"/>
        </w:tabs>
        <w:ind w:left="4320" w:hanging="36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90"/>
  <w:embedTrueTypeFonts/>
  <w:defaultTabStop w:val="720"/>
  <w:autoHyphenation w:val="true"/>
  <w:footnotePr>
    <w:numFmt w:val="decimal"/>
    <w:footnote w:id="0"/>
    <w:footnote w:id="1"/>
  </w:footnotePr>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Liberation Serif" w:cs="Liberation Serif"/>
        <w:sz w:val="24"/>
        <w:szCs w:val="24"/>
        <w:lang w:val="fr-FR"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Liberation Serif" w:hAnsi="Liberation Serif" w:eastAsia="Liberation Serif" w:cs="Liberation Serif"/>
      <w:color w:val="auto"/>
      <w:kern w:val="0"/>
      <w:sz w:val="24"/>
      <w:szCs w:val="24"/>
      <w:lang w:val="fr-FR" w:eastAsia="zh-CN" w:bidi="hi-IN"/>
    </w:rPr>
  </w:style>
  <w:style w:type="paragraph" w:styleId="Heading1">
    <w:name w:val="Heading 1"/>
    <w:basedOn w:val="normal1"/>
    <w:next w:val="normal1"/>
    <w:qFormat/>
    <w:pPr>
      <w:keepNext w:val="true"/>
      <w:keepLines/>
      <w:pageBreakBefore w:val="false"/>
      <w:spacing w:lineRule="auto" w:line="240" w:before="480" w:after="120"/>
    </w:pPr>
    <w:rPr>
      <w:b/>
      <w:bCs/>
      <w:sz w:val="48"/>
      <w:szCs w:val="48"/>
    </w:rPr>
  </w:style>
  <w:style w:type="paragraph" w:styleId="Heading2">
    <w:name w:val="Heading 2"/>
    <w:basedOn w:val="normal1"/>
    <w:next w:val="normal1"/>
    <w:qFormat/>
    <w:pPr>
      <w:keepNext w:val="true"/>
      <w:keepLines/>
      <w:pageBreakBefore w:val="false"/>
      <w:spacing w:lineRule="auto" w:line="240" w:before="360" w:after="80"/>
    </w:pPr>
    <w:rPr>
      <w:b/>
      <w:bCs/>
      <w:sz w:val="36"/>
      <w:szCs w:val="36"/>
    </w:rPr>
  </w:style>
  <w:style w:type="paragraph" w:styleId="Heading3">
    <w:name w:val="Heading 3"/>
    <w:basedOn w:val="normal1"/>
    <w:next w:val="normal1"/>
    <w:qFormat/>
    <w:pPr>
      <w:keepNext w:val="true"/>
      <w:keepLines/>
      <w:pageBreakBefore w:val="false"/>
      <w:spacing w:lineRule="auto" w:line="240" w:before="280" w:after="80"/>
    </w:pPr>
    <w:rPr>
      <w:b/>
      <w:bCs/>
      <w:sz w:val="28"/>
      <w:szCs w:val="28"/>
    </w:rPr>
  </w:style>
  <w:style w:type="paragraph" w:styleId="Heading4">
    <w:name w:val="Heading 4"/>
    <w:basedOn w:val="normal1"/>
    <w:next w:val="normal1"/>
    <w:qFormat/>
    <w:pPr>
      <w:keepNext w:val="true"/>
      <w:keepLines/>
      <w:pageBreakBefore w:val="false"/>
      <w:spacing w:lineRule="auto" w:line="240" w:before="240" w:after="40"/>
    </w:pPr>
    <w:rPr>
      <w:b/>
      <w:bCs/>
      <w:sz w:val="24"/>
      <w:szCs w:val="24"/>
    </w:rPr>
  </w:style>
  <w:style w:type="paragraph" w:styleId="Heading5">
    <w:name w:val="Heading 5"/>
    <w:basedOn w:val="normal1"/>
    <w:next w:val="normal1"/>
    <w:qFormat/>
    <w:pPr>
      <w:keepNext w:val="true"/>
      <w:keepLines/>
      <w:pageBreakBefore w:val="false"/>
      <w:spacing w:lineRule="auto" w:line="240" w:before="220" w:after="40"/>
    </w:pPr>
    <w:rPr>
      <w:b/>
      <w:bCs/>
      <w:sz w:val="22"/>
      <w:szCs w:val="22"/>
    </w:rPr>
  </w:style>
  <w:style w:type="paragraph" w:styleId="Heading6">
    <w:name w:val="Heading 6"/>
    <w:basedOn w:val="normal1"/>
    <w:next w:val="normal1"/>
    <w:qFormat/>
    <w:pPr>
      <w:keepNext w:val="true"/>
      <w:keepLines/>
      <w:pageBreakBefore w:val="false"/>
      <w:spacing w:lineRule="auto" w:line="240" w:before="200" w:after="40"/>
    </w:pPr>
    <w:rPr>
      <w:b/>
      <w:bCs/>
      <w:sz w:val="20"/>
      <w:szCs w:val="20"/>
    </w:rPr>
  </w:style>
  <w:style w:type="character" w:styleId="Hyperlink">
    <w:name w:val="Hyperlink"/>
    <w:rPr>
      <w:color w:val="000080"/>
      <w:u w:val="single"/>
    </w:rPr>
  </w:style>
  <w:style w:type="character" w:styleId="LineNumber">
    <w:name w:val="Line Number"/>
    <w:rPr/>
  </w:style>
  <w:style w:type="character" w:styleId="Caractresdenotedebasdepage">
    <w:name w:val="Caractères de note de bas de page"/>
    <w:qFormat/>
    <w:rPr/>
  </w:style>
  <w:style w:type="character" w:styleId="FootnoteReference">
    <w:name w:val="Footnote Reference"/>
    <w:rPr>
      <w:vertAlign w:val="superscript"/>
    </w:rPr>
  </w:style>
  <w:style w:type="character" w:styleId="Caractresdenotedefin">
    <w:name w:val="Caractères de note de fin"/>
    <w:qFormat/>
    <w:rPr/>
  </w:style>
  <w:style w:type="character" w:styleId="EndnoteReference">
    <w:name w:val="Endnote Reference"/>
    <w:rPr>
      <w:vertAlign w:val="superscript"/>
    </w:rPr>
  </w:style>
  <w:style w:type="paragraph" w:styleId="Titre">
    <w:name w:val="Titre"/>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Index">
    <w:name w:val="Index"/>
    <w:basedOn w:val="Normal"/>
    <w:qFormat/>
    <w:pPr>
      <w:suppressLineNumbers/>
    </w:pPr>
    <w:rPr>
      <w:rFonts w:cs="Noto Sans Devanagari"/>
    </w:rPr>
  </w:style>
  <w:style w:type="paragraph" w:styleId="normal1" w:default="1">
    <w:name w:val="normal1"/>
    <w:qFormat/>
    <w:pPr>
      <w:widowControl/>
      <w:suppressAutoHyphens w:val="true"/>
      <w:bidi w:val="0"/>
      <w:spacing w:before="0" w:after="0"/>
      <w:jc w:val="left"/>
    </w:pPr>
    <w:rPr>
      <w:rFonts w:ascii="Liberation Serif" w:hAnsi="Liberation Serif" w:eastAsia="Liberation Serif" w:cs="Liberation Serif"/>
      <w:color w:val="auto"/>
      <w:kern w:val="0"/>
      <w:sz w:val="24"/>
      <w:szCs w:val="24"/>
      <w:lang w:val="fr-FR" w:eastAsia="zh-CN" w:bidi="hi-IN"/>
    </w:rPr>
  </w:style>
  <w:style w:type="paragraph" w:styleId="Title">
    <w:name w:val="Title"/>
    <w:basedOn w:val="normal1"/>
    <w:next w:val="normal1"/>
    <w:qFormat/>
    <w:pPr>
      <w:keepNext w:val="true"/>
      <w:keepLines/>
      <w:pageBreakBefore w:val="false"/>
      <w:spacing w:lineRule="auto" w:line="240" w:before="480" w:after="120"/>
    </w:pPr>
    <w:rPr>
      <w:b/>
      <w:bCs/>
      <w:sz w:val="72"/>
      <w:szCs w:val="72"/>
    </w:rPr>
  </w:style>
  <w:style w:type="paragraph" w:styleId="Subtitle">
    <w:name w:val="Subtitle"/>
    <w:basedOn w:val="normal1"/>
    <w:next w:val="normal1"/>
    <w:qFormat/>
    <w:pPr>
      <w:keepNext w:val="true"/>
      <w:keepLines/>
      <w:pageBreakBefore w:val="false"/>
      <w:spacing w:lineRule="auto" w:line="240" w:before="360" w:after="80"/>
    </w:pPr>
    <w:rPr>
      <w:rFonts w:ascii="Georgia" w:hAnsi="Georgia" w:eastAsia="Georgia" w:cs="Georgia"/>
      <w:i/>
      <w:iCs/>
      <w:color w:val="666666"/>
      <w:sz w:val="48"/>
      <w:szCs w:val="48"/>
    </w:rPr>
  </w:style>
  <w:style w:type="paragraph" w:styleId="FootnoteText">
    <w:name w:val="Footnote Text"/>
    <w:basedOn w:val="Normal"/>
    <w:pPr/>
    <w:rPr/>
  </w:style>
  <w:style w:type="table" w:default="1" w:styleId="TableNormal">
    <w:name w:val="TableNormal"/>
    <w:tblPr>
      <w:tblCellMar>
        <w:top w:w="100" w:type="dxa"/>
        <w:left w:w="100" w:type="dxa"/>
        <w:bottom w:w="100" w:type="dxa"/>
        <w:right w:w="10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footnotes" Target="footnotes.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_rels/fontTable.xml.rels><?xml version="1.0" encoding="UTF-8"?>
<Relationships xmlns="http://schemas.openxmlformats.org/package/2006/relationships"><Relationship Id="rId1" Type="http://schemas.openxmlformats.org/officeDocument/2006/relationships/font" Target="fonts/font1.odttf"/><Relationship Id="rId2" Type="http://schemas.openxmlformats.org/officeDocument/2006/relationships/font" Target="fonts/font2.odttf"/><Relationship Id="rId3" Type="http://schemas.openxmlformats.org/officeDocument/2006/relationships/font" Target="fonts/font3.odttf"/><Relationship Id="rId4" Type="http://schemas.openxmlformats.org/officeDocument/2006/relationships/font" Target="fonts/font4.odttf"/><Relationship Id="rId5" Type="http://schemas.openxmlformats.org/officeDocument/2006/relationships/font" Target="fonts/font5.odttf"/><Relationship Id="rId6" Type="http://schemas.openxmlformats.org/officeDocument/2006/relationships/font" Target="fonts/font6.odttf"/><Relationship Id="rId7" Type="http://schemas.openxmlformats.org/officeDocument/2006/relationships/font" Target="fonts/font7.odttf"/><Relationship Id="rId8" Type="http://schemas.openxmlformats.org/officeDocument/2006/relationships/font" Target="fonts/font8.odttf"/>
</Relationships>
</file>

<file path=word/_rels/footnotes.xml.rels><?xml version="1.0" encoding="UTF-8"?>
<Relationships xmlns="http://schemas.openxmlformats.org/package/2006/relationships"><Relationship Id="rId1" Type="http://schemas.openxmlformats.org/officeDocument/2006/relationships/hyperlink" Target="https://docs.un.org/fr/CCPR/C/TCD/CO/2" TargetMode="External"/><Relationship Id="rId2" Type="http://schemas.openxmlformats.org/officeDocument/2006/relationships/hyperlink" Target="" TargetMode="External"/><Relationship Id="rId3" Type="http://schemas.openxmlformats.org/officeDocument/2006/relationships/hyperlink" Target="https://docs.un.org/fr/CCPR/C/TCD/CO/2" TargetMode="External"/><Relationship Id="rId4" Type="http://schemas.openxmlformats.org/officeDocument/2006/relationships/hyperlink" Target="https://docs.un.org/fr/CCPR/C/TCD/3" TargetMode="External"/><Relationship Id="rId5" Type="http://schemas.openxmlformats.org/officeDocument/2006/relationships/hyperlink" Target="" TargetMode="External"/><Relationship Id="rId6" Type="http://schemas.openxmlformats.org/officeDocument/2006/relationships/hyperlink" Target="https://www.fidh.org/fr/themes/defenseurs-des-droits-humains/tchad-arrestation-et-de-la-detention-au-secret-du-president-du-grac" TargetMode="External"/><Relationship Id="rId7" Type="http://schemas.openxmlformats.org/officeDocument/2006/relationships/hyperlink" Target="" TargetMode="External"/><Relationship Id="rId8" Type="http://schemas.openxmlformats.org/officeDocument/2006/relationships/hyperlink" Target="https://docs.un.org/fr/CCPR/C/TCD/CO/2" TargetMode="External"/><Relationship Id="rId9" Type="http://schemas.openxmlformats.org/officeDocument/2006/relationships/hyperlink" Target="https://docs.un.org/fr/CCPR/C/TCD/3" TargetMode="External"/><Relationship Id="rId10" Type="http://schemas.openxmlformats.org/officeDocument/2006/relationships/hyperlink" Target="https://www.fidh.org/fr/themes/defenseurs-des-droits-humains/tchad-l-etat-doit-ouvrir-des-enquetes-sur-l-arrestation-arbitraire-et" TargetMode="External"/><Relationship Id="rId11" Type="http://schemas.openxmlformats.org/officeDocument/2006/relationships/hyperlink" Target="" TargetMode="External"/><Relationship Id="rId12" Type="http://schemas.openxmlformats.org/officeDocument/2006/relationships/hyperlink" Target="https://www.fidh.org/fr/regions/afrique/tchad/tchad-une-enquete-independante-sur-les-violences-et-la-mort-de-l" TargetMode="External"/><Relationship Id="rId13" Type="http://schemas.openxmlformats.org/officeDocument/2006/relationships/hyperlink" Target="" TargetMode="External"/><Relationship Id="rId14" Type="http://schemas.openxmlformats.org/officeDocument/2006/relationships/hyperlink" Target="https://tbinternet.ohchr.org/_layouts/15/treatybodyexternal/Download.aspx?symbolno=CCPR%2FC%2FTCD%2FQ%2F3&amp;Lang=en" TargetMode="External"/><Relationship Id="rId15" Type="http://schemas.openxmlformats.org/officeDocument/2006/relationships/hyperlink" Target="" TargetMode="External"/><Relationship Id="rId16" Type="http://schemas.openxmlformats.org/officeDocument/2006/relationships/hyperlink" Target="https://www.fidh.org/fr/themes/defenseurs-des-droits-humains/tchad-disparition-et-liberation-de-gilbert-morba" TargetMode="External"/><Relationship Id="rId17" Type="http://schemas.openxmlformats.org/officeDocument/2006/relationships/hyperlink" Target="" TargetMode="External"/><Relationship Id="rId18" Type="http://schemas.openxmlformats.org/officeDocument/2006/relationships/hyperlink" Target="https://docs.un.org/fr/CCPR/C/TCD/CO/2" TargetMode="External"/><Relationship Id="rId19" Type="http://schemas.openxmlformats.org/officeDocument/2006/relationships/hyperlink" Target="https://docs.un.org/fr/CCPR/C/TCD/3" TargetMode="External"/><Relationship Id="rId20" Type="http://schemas.openxmlformats.org/officeDocument/2006/relationships/hyperlink" Target="https://www.fidh.org/fr/regions/afrique/tchad/tchad-le-president-de-l-organisation-tchadienne-des-droits-humains" TargetMode="External"/><Relationship Id="rId21" Type="http://schemas.openxmlformats.org/officeDocument/2006/relationships/hyperlink" Target="" TargetMode="External"/><Relationship Id="rId22" Type="http://schemas.openxmlformats.org/officeDocument/2006/relationships/hyperlink" Target="https://www.fidh.org/fr/themes/defenseurs-des-droits-humains/tchad-tentative-d-assassinat-de-baldal-oyamta-ligue-tchadienne-des" TargetMode="External"/><Relationship Id="rId23" Type="http://schemas.openxmlformats.org/officeDocument/2006/relationships/hyperlink" Target="" TargetMode="External"/><Relationship Id="rId24" Type="http://schemas.openxmlformats.org/officeDocument/2006/relationships/hyperlink" Target="https://docs.un.org/fr/CCPR/C/TCD/3" TargetMode="External"/><Relationship Id="rId25" Type="http://schemas.openxmlformats.org/officeDocument/2006/relationships/hyperlink" Target="https://www.fidh.org/fr/themes/defenseurs-des-droits-humains/tchad-condamnation-defenseurs-droits-humains" TargetMode="External"/><Relationship Id="rId26" Type="http://schemas.openxmlformats.org/officeDocument/2006/relationships/hyperlink" Target="" TargetMode="External"/><Relationship Id="rId27" Type="http://schemas.openxmlformats.org/officeDocument/2006/relationships/hyperlink" Target="https://www.omct.org/site-resources/files/Rapport-Tchad-OMCT-LTDH-_-Avril-2023.pdf" TargetMode="External"/><Relationship Id="rId28" Type="http://schemas.openxmlformats.org/officeDocument/2006/relationships/hyperlink" Target="" TargetMode="External"/><Relationship Id="rId29" Type="http://schemas.openxmlformats.org/officeDocument/2006/relationships/hyperlink" Target="https://www.fidh.org/fr/themes/defenseurs-des-droits-humains/tchad-obstruction-a-la-liberte-de-circulation-de-quatre-membres-de-la" TargetMode="External"/><Relationship Id="rId30" Type="http://schemas.openxmlformats.org/officeDocument/2006/relationships/hyperlink" Target="" TargetMode="External"/><Relationship Id="rId31" Type="http://schemas.openxmlformats.org/officeDocument/2006/relationships/hyperlink" Target="https://www.fidh.org/fr/themes/defenseurs-des-droits-humains/tchad-decheance-de-nationalite-de-mm-nguebla-makaila-et-charfadine" TargetMode="External"/><Relationship Id="rId32" Type="http://schemas.openxmlformats.org/officeDocument/2006/relationships/hyperlink" Target="" TargetMode="Externa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
  <TotalTime>17</TotalTime>
  <Application>LibreOffice/24.2.7.2$Linux_X86_64 LibreOffice_project/420$Build-2</Application>
  <AppVersion>15.0000</AppVersion>
  <Pages>11</Pages>
  <Words>5993</Words>
  <Characters>32811</Characters>
  <CharactersWithSpaces>38751</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fr-FR</dc:language>
  <cp:lastModifiedBy>Justine Lavarde (FIDH)</cp:lastModifiedBy>
  <dcterms:modified xsi:type="dcterms:W3CDTF">2026-02-02T19:00:53Z</dcterms:modified>
  <cp:revision>4</cp:revision>
  <dc:subject/>
  <dc:title/>
</cp:coreProperties>
</file>

<file path=docProps/custom.xml><?xml version="1.0" encoding="utf-8"?>
<Properties xmlns="http://schemas.openxmlformats.org/officeDocument/2006/custom-properties" xmlns:vt="http://schemas.openxmlformats.org/officeDocument/2006/docPropsVTypes"/>
</file>