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93F2E" w:rsidP="00B93F2E" w:rsidRDefault="00B93F2E" w14:paraId="2987D58A" w14:textId="56906DCD">
      <w:pPr>
        <w:pStyle w:val="Heading1"/>
      </w:pPr>
      <w:r>
        <w:t>Shadow Report for Aotearoa New Zealand’s 23</w:t>
      </w:r>
      <w:r w:rsidRPr="61496F30">
        <w:rPr>
          <w:vertAlign w:val="superscript"/>
        </w:rPr>
        <w:t>rd</w:t>
      </w:r>
      <w:r>
        <w:t xml:space="preserve"> and 24</w:t>
      </w:r>
      <w:r w:rsidRPr="61496F30">
        <w:rPr>
          <w:vertAlign w:val="superscript"/>
        </w:rPr>
        <w:t>th</w:t>
      </w:r>
      <w:r>
        <w:t xml:space="preserve"> periodic CERD review (2025)</w:t>
      </w:r>
      <w:r w:rsidR="5E3F97A6">
        <w:t xml:space="preserve"> </w:t>
      </w:r>
    </w:p>
    <w:p w:rsidRPr="00B93F2E" w:rsidR="00B93F2E" w:rsidP="00B93F2E" w:rsidRDefault="00B93F2E" w14:paraId="73B9D531" w14:textId="234A4428">
      <w:pPr>
        <w:pStyle w:val="Heading2"/>
      </w:pPr>
      <w:r>
        <w:t xml:space="preserve">Prepared by </w:t>
      </w:r>
      <w:r w:rsidRPr="00B93F2E">
        <w:t>Deaf Aotearoa</w:t>
      </w:r>
    </w:p>
    <w:p w:rsidR="00B93F2E" w:rsidP="00B93F2E" w:rsidRDefault="00B93F2E" w14:paraId="3B2D5BC8" w14:textId="29E81088">
      <w:pPr>
        <w:textAlignment w:val="baseline"/>
        <w:rPr>
          <w:rStyle w:val="normaltextrun"/>
          <w:color w:val="000000"/>
          <w:shd w:val="clear" w:color="auto" w:fill="FFFFFF"/>
        </w:rPr>
      </w:pPr>
      <w:r w:rsidRPr="777E286C">
        <w:rPr>
          <w:rStyle w:val="normaltextrun"/>
          <w:color w:val="000000"/>
          <w:shd w:val="clear" w:color="auto" w:fill="FFFFFF"/>
        </w:rPr>
        <w:t xml:space="preserve">Deaf Aotearoa is the primary non-government organisation representing the voice of Deaf people, and we are the national service provider for Deaf people in New Zealand. We are the Disabled People’s Organisation (DPO) for Deaf people, and we are </w:t>
      </w:r>
      <w:r w:rsidR="00C60A3D">
        <w:rPr>
          <w:rStyle w:val="normaltextrun"/>
          <w:color w:val="000000"/>
          <w:shd w:val="clear" w:color="auto" w:fill="FFFFFF"/>
        </w:rPr>
        <w:t xml:space="preserve">a founding member </w:t>
      </w:r>
      <w:r w:rsidRPr="777E286C">
        <w:rPr>
          <w:rStyle w:val="normaltextrun"/>
          <w:color w:val="000000"/>
          <w:shd w:val="clear" w:color="auto" w:fill="FFFFFF"/>
        </w:rPr>
        <w:t>of New Zealand’s DPO Coalition. Our aim is to act in every way within New Zealand, and internationally as appropriate, for the best interests, wellbeing and aspirations of Deaf people and to work towards the goal of equ</w:t>
      </w:r>
      <w:r w:rsidRPr="777E286C" w:rsidR="31E72698">
        <w:rPr>
          <w:rStyle w:val="normaltextrun"/>
          <w:color w:val="000000"/>
          <w:shd w:val="clear" w:color="auto" w:fill="FFFFFF"/>
        </w:rPr>
        <w:t>ity</w:t>
      </w:r>
      <w:r w:rsidRPr="777E286C">
        <w:rPr>
          <w:rStyle w:val="normaltextrun"/>
          <w:color w:val="000000"/>
          <w:shd w:val="clear" w:color="auto" w:fill="FFFFFF"/>
        </w:rPr>
        <w:t xml:space="preserve"> and full participation in society by Deaf individuals.</w:t>
      </w:r>
    </w:p>
    <w:p w:rsidR="009E65E8" w:rsidP="00B93F2E" w:rsidRDefault="009E65E8" w14:paraId="6993F82C" w14:textId="77777777">
      <w:pPr>
        <w:textAlignment w:val="baseline"/>
        <w:rPr>
          <w:rStyle w:val="normaltextrun"/>
          <w:color w:val="000000"/>
          <w:shd w:val="clear" w:color="auto" w:fill="FFFFFF"/>
        </w:rPr>
      </w:pPr>
    </w:p>
    <w:p w:rsidR="00B93F2E" w:rsidP="009E65E8" w:rsidRDefault="009E65E8" w14:paraId="24D442F4" w14:textId="29A28579">
      <w:pPr>
        <w:pStyle w:val="Heading2"/>
      </w:pPr>
      <w:r>
        <w:t>New Zealand’s Report</w:t>
      </w:r>
    </w:p>
    <w:p w:rsidR="007359F8" w:rsidP="4088F1C4" w:rsidRDefault="009E65E8" w14:paraId="750A28F3" w14:textId="4EF154C1" w14:noSpellErr="1">
      <w:pPr>
        <w:rPr>
          <w:b w:val="1"/>
          <w:bCs w:val="1"/>
        </w:rPr>
      </w:pPr>
      <w:r w:rsidRPr="4088F1C4" w:rsidR="009E65E8">
        <w:rPr>
          <w:b w:val="1"/>
          <w:bCs w:val="1"/>
        </w:rPr>
        <w:t>New Zealand’s R</w:t>
      </w:r>
      <w:r w:rsidRPr="4088F1C4" w:rsidR="00B15C21">
        <w:rPr>
          <w:b w:val="1"/>
          <w:bCs w:val="1"/>
        </w:rPr>
        <w:t>eport (CERD/C/NZ</w:t>
      </w:r>
      <w:r w:rsidRPr="4088F1C4" w:rsidR="007359F8">
        <w:rPr>
          <w:b w:val="1"/>
          <w:bCs w:val="1"/>
        </w:rPr>
        <w:t>L/</w:t>
      </w:r>
      <w:r w:rsidRPr="4088F1C4" w:rsidR="00B15C21">
        <w:rPr>
          <w:b w:val="1"/>
          <w:bCs w:val="1"/>
        </w:rPr>
        <w:t>23-24)</w:t>
      </w:r>
      <w:r w:rsidRPr="4088F1C4" w:rsidR="007359F8">
        <w:rPr>
          <w:b w:val="1"/>
          <w:bCs w:val="1"/>
        </w:rPr>
        <w:t xml:space="preserve"> omits experiences of racism by Turi Māori</w:t>
      </w:r>
      <w:r w:rsidRPr="4088F1C4" w:rsidR="43A9483C">
        <w:rPr>
          <w:b w:val="1"/>
          <w:bCs w:val="1"/>
        </w:rPr>
        <w:t xml:space="preserve"> (Māori Deaf)</w:t>
      </w:r>
      <w:r w:rsidRPr="4088F1C4" w:rsidR="007359F8">
        <w:rPr>
          <w:b w:val="1"/>
          <w:bCs w:val="1"/>
        </w:rPr>
        <w:t>.</w:t>
      </w:r>
    </w:p>
    <w:p w:rsidRPr="009E65E8" w:rsidR="00840858" w:rsidP="61496F30" w:rsidRDefault="47F11A39" w14:paraId="2200847A" w14:textId="0AE1B8E4">
      <w:pPr>
        <w:rPr>
          <w:rFonts w:ascii="Aptos" w:hAnsi="Aptos" w:eastAsia="Aptos" w:cs="Aptos"/>
        </w:rPr>
      </w:pPr>
      <w:r>
        <w:t xml:space="preserve">Deaf Aotearoa considers this to be </w:t>
      </w:r>
      <w:r w:rsidR="00FE27E5">
        <w:t xml:space="preserve">a significant omission. </w:t>
      </w:r>
      <w:r w:rsidR="20120AF7">
        <w:t xml:space="preserve">This </w:t>
      </w:r>
      <w:r w:rsidRPr="41005100" w:rsidR="20120AF7">
        <w:rPr>
          <w:rFonts w:ascii="Aptos" w:hAnsi="Aptos" w:eastAsia="Aptos" w:cs="Aptos"/>
        </w:rPr>
        <w:t xml:space="preserve">omission not only undermines the Government’s obligations under </w:t>
      </w:r>
      <w:r w:rsidRPr="41005100" w:rsidR="52660A9C">
        <w:rPr>
          <w:rFonts w:ascii="Aptos" w:hAnsi="Aptos" w:eastAsia="Aptos" w:cs="Aptos"/>
        </w:rPr>
        <w:t>CERD but</w:t>
      </w:r>
      <w:r w:rsidRPr="41005100" w:rsidR="20120AF7">
        <w:rPr>
          <w:rFonts w:ascii="Aptos" w:hAnsi="Aptos" w:eastAsia="Aptos" w:cs="Aptos"/>
        </w:rPr>
        <w:t xml:space="preserve"> is also inconsistent with Te Tiriti o Waitangi</w:t>
      </w:r>
      <w:r w:rsidRPr="41005100" w:rsidR="3DCBDAF1">
        <w:rPr>
          <w:rFonts w:ascii="Aptos" w:hAnsi="Aptos" w:eastAsia="Aptos" w:cs="Aptos"/>
        </w:rPr>
        <w:t xml:space="preserve"> (Te Tiriti)</w:t>
      </w:r>
      <w:r w:rsidRPr="41005100" w:rsidR="20120AF7">
        <w:rPr>
          <w:rFonts w:ascii="Aptos" w:hAnsi="Aptos" w:eastAsia="Aptos" w:cs="Aptos"/>
        </w:rPr>
        <w:t xml:space="preserve">, which affirms the rights of Māori, including Turi Māori, to </w:t>
      </w:r>
      <w:proofErr w:type="spellStart"/>
      <w:r w:rsidRPr="41005100" w:rsidR="20120AF7">
        <w:rPr>
          <w:rFonts w:ascii="Aptos" w:hAnsi="Aptos" w:eastAsia="Aptos" w:cs="Aptos"/>
        </w:rPr>
        <w:t>tino</w:t>
      </w:r>
      <w:proofErr w:type="spellEnd"/>
      <w:r w:rsidRPr="41005100" w:rsidR="20120AF7">
        <w:rPr>
          <w:rFonts w:ascii="Aptos" w:hAnsi="Aptos" w:eastAsia="Aptos" w:cs="Aptos"/>
        </w:rPr>
        <w:t xml:space="preserve"> rangatiratanga, cultural identity, and equitable participation. The continued marginalisation of Turi Māori reflects a failure to uphold the spirit and intent of Te Tiriti in policy and practice.</w:t>
      </w:r>
    </w:p>
    <w:p w:rsidR="009E65E8" w:rsidP="4088F1C4" w:rsidRDefault="4A6A2A1B" w14:paraId="5875AB6F" w14:textId="1503429A" w14:noSpellErr="1">
      <w:pPr>
        <w:spacing w:before="240" w:after="240"/>
        <w:rPr>
          <w:rFonts w:ascii="Aptos" w:hAnsi="Aptos" w:eastAsia="Aptos" w:cs="Aptos"/>
          <w:b w:val="0"/>
          <w:bCs w:val="0"/>
        </w:rPr>
      </w:pPr>
      <w:r w:rsidRPr="4088F1C4" w:rsidR="4A6A2A1B">
        <w:rPr>
          <w:rFonts w:ascii="Aptos" w:hAnsi="Aptos" w:eastAsia="Aptos" w:cs="Aptos"/>
          <w:b w:val="0"/>
          <w:bCs w:val="0"/>
        </w:rPr>
        <w:t xml:space="preserve">Māori have historically, and continue today, to be over-represented within the Deaf community, who </w:t>
      </w:r>
      <w:r w:rsidRPr="4088F1C4" w:rsidR="4A6A2A1B">
        <w:rPr>
          <w:rFonts w:ascii="Aptos" w:hAnsi="Aptos" w:eastAsia="Aptos" w:cs="Aptos"/>
          <w:b w:val="0"/>
          <w:bCs w:val="0"/>
        </w:rPr>
        <w:t>comprise</w:t>
      </w:r>
      <w:r w:rsidRPr="4088F1C4" w:rsidR="4A6A2A1B">
        <w:rPr>
          <w:rFonts w:ascii="Aptos" w:hAnsi="Aptos" w:eastAsia="Aptos" w:cs="Aptos"/>
          <w:b w:val="0"/>
          <w:bCs w:val="0"/>
        </w:rPr>
        <w:t xml:space="preserve"> of somewhere between 34% and 44% (</w:t>
      </w:r>
      <w:r w:rsidRPr="4088F1C4" w:rsidR="4A6A2A1B">
        <w:rPr>
          <w:rFonts w:ascii="Aptos" w:hAnsi="Aptos" w:eastAsia="Aptos" w:cs="Aptos"/>
          <w:b w:val="0"/>
          <w:bCs w:val="0"/>
        </w:rPr>
        <w:t>nearly half</w:t>
      </w:r>
      <w:r w:rsidRPr="4088F1C4" w:rsidR="4A6A2A1B">
        <w:rPr>
          <w:rFonts w:ascii="Aptos" w:hAnsi="Aptos" w:eastAsia="Aptos" w:cs="Aptos"/>
          <w:b w:val="0"/>
          <w:bCs w:val="0"/>
        </w:rPr>
        <w:t>) of the total Deaf population</w:t>
      </w:r>
      <w:r w:rsidRPr="4088F1C4" w:rsidR="704925E1">
        <w:rPr>
          <w:rFonts w:ascii="Aptos" w:hAnsi="Aptos" w:eastAsia="Aptos" w:cs="Aptos"/>
          <w:b w:val="0"/>
          <w:bCs w:val="0"/>
        </w:rPr>
        <w:t>.</w:t>
      </w:r>
    </w:p>
    <w:p w:rsidR="00B93F2E" w:rsidP="215BEAC8" w:rsidRDefault="0018670A" w14:paraId="7F790D5B" w14:textId="381CF115">
      <w:pPr>
        <w:pStyle w:val="Heading2"/>
      </w:pPr>
      <w:r>
        <w:t>Racial discrimination experienced by</w:t>
      </w:r>
      <w:r w:rsidR="00B93F2E">
        <w:t xml:space="preserve"> Turi </w:t>
      </w:r>
      <w:r w:rsidR="00AC1CC6">
        <w:t>Māori</w:t>
      </w:r>
    </w:p>
    <w:p w:rsidRPr="00B93F2E" w:rsidR="00B93F2E" w:rsidP="00B93F2E" w:rsidRDefault="00B93F2E" w14:paraId="4C142B13" w14:textId="07F4F328">
      <w:r>
        <w:t xml:space="preserve">Turi Māori face a unique intersection of discrimination due </w:t>
      </w:r>
      <w:r w:rsidR="469C1D63">
        <w:t>to their</w:t>
      </w:r>
      <w:r>
        <w:t xml:space="preserve"> </w:t>
      </w:r>
      <w:r w:rsidR="00CF3AD3">
        <w:t xml:space="preserve">Māori and Deaf </w:t>
      </w:r>
      <w:r>
        <w:t>cultural identit</w:t>
      </w:r>
      <w:r w:rsidR="00CF3AD3">
        <w:t>ies</w:t>
      </w:r>
      <w:r>
        <w:t xml:space="preserve">. </w:t>
      </w:r>
      <w:r w:rsidR="00CF3AD3">
        <w:t>Cultural r</w:t>
      </w:r>
      <w:r w:rsidR="00AD3FE2">
        <w:t xml:space="preserve">acism </w:t>
      </w:r>
      <w:r w:rsidR="00546CE3">
        <w:t xml:space="preserve">is blended with </w:t>
      </w:r>
      <w:r w:rsidR="00A6640B">
        <w:t>ableism and audi</w:t>
      </w:r>
      <w:r w:rsidR="00137498">
        <w:t>s</w:t>
      </w:r>
      <w:r w:rsidR="00A6640B">
        <w:t>m.</w:t>
      </w:r>
      <w:r w:rsidR="6CC993FF">
        <w:t xml:space="preserve"> Audism is the belief that hearing and speaking are superior to signing and being Deaf.</w:t>
      </w:r>
      <w:r w:rsidR="2C9293F9">
        <w:t xml:space="preserve"> </w:t>
      </w:r>
    </w:p>
    <w:p w:rsidRPr="00B93F2E" w:rsidR="00B93F2E" w:rsidP="00B93F2E" w:rsidRDefault="00546CE3" w14:paraId="4224F7B3" w14:textId="5842A95F">
      <w:r>
        <w:t>This d</w:t>
      </w:r>
      <w:r w:rsidR="0018670A">
        <w:t xml:space="preserve">iscrimination </w:t>
      </w:r>
      <w:r w:rsidR="00B93F2E">
        <w:t>manifest</w:t>
      </w:r>
      <w:r w:rsidR="0018670A">
        <w:t>s</w:t>
      </w:r>
      <w:r w:rsidR="00B93F2E">
        <w:t xml:space="preserve"> in several ways:</w:t>
      </w:r>
    </w:p>
    <w:p w:rsidRPr="00B93F2E" w:rsidR="00B93F2E" w:rsidP="00467DB8" w:rsidRDefault="00B93F2E" w14:paraId="0EF2EA19" w14:textId="5A90309A">
      <w:pPr>
        <w:numPr>
          <w:ilvl w:val="0"/>
          <w:numId w:val="6"/>
        </w:numPr>
      </w:pPr>
      <w:r w:rsidRPr="215BEAC8">
        <w:rPr>
          <w:b/>
          <w:bCs/>
        </w:rPr>
        <w:t xml:space="preserve">Cultural </w:t>
      </w:r>
      <w:r w:rsidRPr="215BEAC8" w:rsidR="3332ECC0">
        <w:rPr>
          <w:b/>
          <w:bCs/>
        </w:rPr>
        <w:t>m</w:t>
      </w:r>
      <w:r w:rsidRPr="215BEAC8">
        <w:rPr>
          <w:b/>
          <w:bCs/>
        </w:rPr>
        <w:t>isunderstanding</w:t>
      </w:r>
      <w:r>
        <w:t xml:space="preserve">: Many Turi Māori </w:t>
      </w:r>
      <w:bookmarkStart w:name="_Int_G9xMi9ev" w:id="0"/>
      <w:r>
        <w:t>experience</w:t>
      </w:r>
      <w:bookmarkEnd w:id="0"/>
      <w:r>
        <w:t xml:space="preserve"> a lack of understanding and respect for their cultural practices and language, both within the Deaf community</w:t>
      </w:r>
      <w:r w:rsidR="73BF8912">
        <w:t xml:space="preserve">, </w:t>
      </w:r>
      <w:r w:rsidR="295B26C5">
        <w:t>T</w:t>
      </w:r>
      <w:r w:rsidR="73BF8912">
        <w:t xml:space="preserve">e </w:t>
      </w:r>
      <w:r w:rsidR="67383FC0">
        <w:t>A</w:t>
      </w:r>
      <w:r w:rsidR="73BF8912">
        <w:t>o Māori (Māori World</w:t>
      </w:r>
      <w:r w:rsidR="0202164B">
        <w:t>view</w:t>
      </w:r>
      <w:r w:rsidR="73BF8912">
        <w:t>),</w:t>
      </w:r>
      <w:r>
        <w:t xml:space="preserve"> and the wider society. This can lead to feelings of isolation and exclusion.</w:t>
      </w:r>
    </w:p>
    <w:p w:rsidRPr="00B93F2E" w:rsidR="00B93F2E" w:rsidP="00CE0F9B" w:rsidRDefault="7A7CF9D2" w14:paraId="7EAFA8B9" w14:textId="629B93A2">
      <w:pPr>
        <w:numPr>
          <w:ilvl w:val="0"/>
          <w:numId w:val="6"/>
        </w:numPr>
      </w:pPr>
      <w:r w:rsidRPr="215BEAC8">
        <w:rPr>
          <w:b/>
          <w:bCs/>
        </w:rPr>
        <w:t>Lack of a</w:t>
      </w:r>
      <w:r w:rsidRPr="215BEAC8" w:rsidR="00B93F2E">
        <w:rPr>
          <w:b/>
          <w:bCs/>
        </w:rPr>
        <w:t xml:space="preserve">ccess to </w:t>
      </w:r>
      <w:r w:rsidRPr="215BEAC8" w:rsidR="20121564">
        <w:rPr>
          <w:b/>
          <w:bCs/>
        </w:rPr>
        <w:t>s</w:t>
      </w:r>
      <w:r w:rsidRPr="215BEAC8" w:rsidR="00B93F2E">
        <w:rPr>
          <w:b/>
          <w:bCs/>
        </w:rPr>
        <w:t>ervices</w:t>
      </w:r>
      <w:r w:rsidR="00B93F2E">
        <w:t>: Turi Māori may struggle to access services that are culturally appropriate and accessible in New Zealand Sign Language (NZSL). This includes healthcare, education, and social services, which can impact their overall well-being.</w:t>
      </w:r>
      <w:r w:rsidR="5BD21637">
        <w:t xml:space="preserve"> </w:t>
      </w:r>
      <w:r w:rsidRPr="215BEAC8" w:rsidR="5BD21637">
        <w:rPr>
          <w:rFonts w:ascii="Aptos" w:hAnsi="Aptos" w:eastAsia="Aptos" w:cs="Aptos"/>
        </w:rPr>
        <w:t>The lack of culturally grounded service provision reflects systemic racism and breaches Turi Māori rights under both CERD and Te Tiriti.</w:t>
      </w:r>
    </w:p>
    <w:p w:rsidRPr="00B93F2E" w:rsidR="00B93F2E" w:rsidP="00614DCA" w:rsidRDefault="00B93F2E" w14:paraId="332E8F14" w14:textId="2189FB3E">
      <w:pPr>
        <w:numPr>
          <w:ilvl w:val="0"/>
          <w:numId w:val="6"/>
        </w:numPr>
      </w:pPr>
      <w:r w:rsidRPr="215BEAC8">
        <w:rPr>
          <w:b/>
          <w:bCs/>
        </w:rPr>
        <w:t xml:space="preserve">Educational </w:t>
      </w:r>
      <w:r w:rsidRPr="215BEAC8" w:rsidR="1CC46050">
        <w:rPr>
          <w:b/>
          <w:bCs/>
        </w:rPr>
        <w:t>b</w:t>
      </w:r>
      <w:r w:rsidRPr="215BEAC8">
        <w:rPr>
          <w:b/>
          <w:bCs/>
        </w:rPr>
        <w:t>arriers</w:t>
      </w:r>
      <w:r>
        <w:t xml:space="preserve">: In educational settings, Turi Māori students might not receive the support they need to succeed. This includes a lack of resources and teachers who </w:t>
      </w:r>
      <w:r w:rsidR="745965D9">
        <w:t xml:space="preserve">are </w:t>
      </w:r>
      <w:r w:rsidR="745965D9">
        <w:lastRenderedPageBreak/>
        <w:t>proficient</w:t>
      </w:r>
      <w:r>
        <w:t xml:space="preserve"> in both NZSL and Te Reo Māori (the Māori language),</w:t>
      </w:r>
      <w:r w:rsidR="3BBF509B">
        <w:t xml:space="preserve"> as well as culturally competent in Deaf culture and </w:t>
      </w:r>
      <w:r w:rsidR="7B017CAF">
        <w:t>T</w:t>
      </w:r>
      <w:r w:rsidR="3BBF509B">
        <w:t xml:space="preserve">e </w:t>
      </w:r>
      <w:r w:rsidR="21183A1A">
        <w:t>A</w:t>
      </w:r>
      <w:r w:rsidR="3BBF509B">
        <w:t>o Māori,</w:t>
      </w:r>
      <w:r>
        <w:t xml:space="preserve"> leading to educational disparities.</w:t>
      </w:r>
    </w:p>
    <w:p w:rsidRPr="00B93F2E" w:rsidR="00B93F2E" w:rsidP="001065F2" w:rsidRDefault="00B93F2E" w14:paraId="67540926" w14:textId="34AC2993">
      <w:pPr>
        <w:numPr>
          <w:ilvl w:val="0"/>
          <w:numId w:val="6"/>
        </w:numPr>
      </w:pPr>
      <w:r w:rsidRPr="215BEAC8">
        <w:rPr>
          <w:b/>
          <w:bCs/>
        </w:rPr>
        <w:t xml:space="preserve">Employment </w:t>
      </w:r>
      <w:r w:rsidRPr="215BEAC8" w:rsidR="2FB093DD">
        <w:rPr>
          <w:b/>
          <w:bCs/>
        </w:rPr>
        <w:t>d</w:t>
      </w:r>
      <w:r w:rsidRPr="215BEAC8">
        <w:rPr>
          <w:b/>
          <w:bCs/>
        </w:rPr>
        <w:t>iscrimination</w:t>
      </w:r>
      <w:r>
        <w:t xml:space="preserve">: Turi Māori often face discrimination in the workplace, where they might be overlooked for promotions or job opportunities due to biases against both their </w:t>
      </w:r>
      <w:r w:rsidR="5341A7D9">
        <w:t xml:space="preserve">Deaf </w:t>
      </w:r>
      <w:r>
        <w:t>and</w:t>
      </w:r>
      <w:r w:rsidR="2E2751C7">
        <w:t xml:space="preserve"> </w:t>
      </w:r>
      <w:r>
        <w:t>Māori identi</w:t>
      </w:r>
      <w:r w:rsidR="097AA8C2">
        <w:t>ties</w:t>
      </w:r>
      <w:r w:rsidR="50DA1E41">
        <w:t>.</w:t>
      </w:r>
    </w:p>
    <w:p w:rsidRPr="00B93F2E" w:rsidR="00B93F2E" w:rsidP="00D73253" w:rsidRDefault="00B93F2E" w14:paraId="1C3C8A19" w14:textId="30942780">
      <w:pPr>
        <w:numPr>
          <w:ilvl w:val="0"/>
          <w:numId w:val="6"/>
        </w:numPr>
      </w:pPr>
      <w:r w:rsidRPr="215BEAC8">
        <w:rPr>
          <w:b/>
          <w:bCs/>
        </w:rPr>
        <w:t xml:space="preserve">Social </w:t>
      </w:r>
      <w:r w:rsidRPr="215BEAC8" w:rsidR="5BE021F1">
        <w:rPr>
          <w:b/>
          <w:bCs/>
        </w:rPr>
        <w:t>e</w:t>
      </w:r>
      <w:r w:rsidRPr="215BEAC8">
        <w:rPr>
          <w:b/>
          <w:bCs/>
        </w:rPr>
        <w:t>xclusion</w:t>
      </w:r>
      <w:r>
        <w:t>: Socially, Turi Māori can experience exclusion from both the Deaf and Māori communities. This dual marginali</w:t>
      </w:r>
      <w:r w:rsidR="1887678E">
        <w:t>s</w:t>
      </w:r>
      <w:r>
        <w:t>ation can make it challenging to find a sense of belonging and community support.</w:t>
      </w:r>
    </w:p>
    <w:p w:rsidR="68EF7F98" w:rsidP="61496F30" w:rsidRDefault="68EF7F98" w14:paraId="121E8381" w14:textId="352F2358">
      <w:pPr>
        <w:numPr>
          <w:ilvl w:val="0"/>
          <w:numId w:val="6"/>
        </w:numPr>
      </w:pPr>
      <w:r w:rsidRPr="215BEAC8">
        <w:rPr>
          <w:b/>
          <w:bCs/>
        </w:rPr>
        <w:t xml:space="preserve">Data </w:t>
      </w:r>
      <w:r w:rsidRPr="215BEAC8" w:rsidR="4C0AA331">
        <w:rPr>
          <w:b/>
          <w:bCs/>
        </w:rPr>
        <w:t>d</w:t>
      </w:r>
      <w:r w:rsidRPr="215BEAC8">
        <w:rPr>
          <w:b/>
          <w:bCs/>
        </w:rPr>
        <w:t>eficit on Turi Māori:</w:t>
      </w:r>
      <w:r>
        <w:t xml:space="preserve"> </w:t>
      </w:r>
      <w:r w:rsidRPr="215BEAC8" w:rsidR="1136E857">
        <w:rPr>
          <w:rFonts w:ascii="Aptos" w:hAnsi="Aptos" w:eastAsia="Aptos" w:cs="Aptos"/>
        </w:rPr>
        <w:t>There is a significant gap in research on Turi Māori, leaving their experiences largely overlooked in official data. While Māori statistics show disparities in health, education, and employment, there is little focused research on how these challenges uniquely affect Turi Māori. Without this data, advocating for systemic change remains difficult</w:t>
      </w:r>
      <w:r w:rsidRPr="215BEAC8" w:rsidR="6F1950C1">
        <w:rPr>
          <w:rFonts w:ascii="Aptos" w:hAnsi="Aptos" w:eastAsia="Aptos" w:cs="Aptos"/>
        </w:rPr>
        <w:t>.</w:t>
      </w:r>
    </w:p>
    <w:p w:rsidR="2AF07D1F" w:rsidP="215BEAC8" w:rsidRDefault="425BCA62" w14:paraId="62DCCEA0" w14:textId="2F1961FB">
      <w:pPr>
        <w:numPr>
          <w:ilvl w:val="0"/>
          <w:numId w:val="6"/>
        </w:numPr>
        <w:rPr>
          <w:rFonts w:ascii="Aptos" w:hAnsi="Aptos" w:eastAsia="Aptos" w:cs="Aptos"/>
        </w:rPr>
      </w:pPr>
      <w:r w:rsidRPr="215BEAC8">
        <w:rPr>
          <w:b/>
          <w:bCs/>
        </w:rPr>
        <w:t xml:space="preserve">Digital exclusion: </w:t>
      </w:r>
      <w:r w:rsidRPr="215BEAC8" w:rsidR="2CA116F9">
        <w:rPr>
          <w:rFonts w:eastAsiaTheme="minorEastAsia"/>
        </w:rPr>
        <w:t xml:space="preserve">Māori make up only 4% of the tech industry workforce, and for Turi Māori, digital accessibility remains a challenge. There are </w:t>
      </w:r>
      <w:r w:rsidRPr="215BEAC8" w:rsidR="356BCF9D">
        <w:rPr>
          <w:rFonts w:eastAsiaTheme="minorEastAsia"/>
        </w:rPr>
        <w:t>limit</w:t>
      </w:r>
      <w:r w:rsidRPr="215BEAC8" w:rsidR="4D6CDF7B">
        <w:rPr>
          <w:rFonts w:eastAsiaTheme="minorEastAsia"/>
        </w:rPr>
        <w:t>ed</w:t>
      </w:r>
      <w:r w:rsidRPr="215BEAC8" w:rsidR="356BCF9D">
        <w:rPr>
          <w:rFonts w:eastAsiaTheme="minorEastAsia"/>
        </w:rPr>
        <w:t xml:space="preserve"> amounts of </w:t>
      </w:r>
      <w:r w:rsidRPr="215BEAC8" w:rsidR="2CA116F9">
        <w:rPr>
          <w:rFonts w:eastAsiaTheme="minorEastAsia"/>
        </w:rPr>
        <w:t>technologies designed with NZSL integration, meaning Turi Māori often face communication barriers, struggle to access online services, and have limited engagement in digital spaces. Without NZSL-friendly tools, tasks like online learning, workplace interactions, and accessing essential services become significantly harder. Similarly, most digital tools fail to integrate Te Ao Māori, making it difficult to engage in culturally meaningful digital spaces. Limited access to affordable internet, devices, and skills training further isolates Turi Māori, creating additional barriers to participation in the digital world.</w:t>
      </w:r>
    </w:p>
    <w:p w:rsidR="2AF07D1F" w:rsidP="215BEAC8" w:rsidRDefault="2AF07D1F" w14:paraId="52DBB1E3" w14:textId="07002E96">
      <w:pPr>
        <w:numPr>
          <w:ilvl w:val="0"/>
          <w:numId w:val="6"/>
        </w:numPr>
        <w:rPr>
          <w:rFonts w:ascii="Aptos" w:hAnsi="Aptos" w:eastAsia="Aptos" w:cs="Aptos"/>
        </w:rPr>
      </w:pPr>
      <w:r w:rsidRPr="215BEAC8">
        <w:rPr>
          <w:rFonts w:eastAsiaTheme="minorEastAsia"/>
          <w:b/>
          <w:bCs/>
        </w:rPr>
        <w:t xml:space="preserve">Layers of </w:t>
      </w:r>
      <w:r w:rsidRPr="215BEAC8" w:rsidR="36A361BC">
        <w:rPr>
          <w:rFonts w:eastAsiaTheme="minorEastAsia"/>
          <w:b/>
          <w:bCs/>
        </w:rPr>
        <w:t>t</w:t>
      </w:r>
      <w:r w:rsidRPr="215BEAC8">
        <w:rPr>
          <w:rFonts w:eastAsiaTheme="minorEastAsia"/>
          <w:b/>
          <w:bCs/>
        </w:rPr>
        <w:t>rauma</w:t>
      </w:r>
      <w:r w:rsidRPr="215BEAC8">
        <w:rPr>
          <w:rFonts w:ascii="Segoe UI" w:hAnsi="Segoe UI" w:eastAsia="Segoe UI" w:cs="Segoe UI"/>
          <w:color w:val="424242"/>
          <w:sz w:val="24"/>
          <w:szCs w:val="24"/>
        </w:rPr>
        <w:t xml:space="preserve">: </w:t>
      </w:r>
      <w:r w:rsidRPr="215BEAC8" w:rsidR="2D9E1D74">
        <w:rPr>
          <w:rFonts w:eastAsiaTheme="minorEastAsia"/>
        </w:rPr>
        <w:t>Turi Māori often experience layered trauma stemming from both colonisation and ableism</w:t>
      </w:r>
      <w:r w:rsidRPr="215BEAC8" w:rsidR="3D52770D">
        <w:rPr>
          <w:rFonts w:eastAsiaTheme="minorEastAsia"/>
        </w:rPr>
        <w:t>/audism</w:t>
      </w:r>
      <w:r w:rsidRPr="215BEAC8" w:rsidR="2D9E1D74">
        <w:rPr>
          <w:rFonts w:eastAsiaTheme="minorEastAsia"/>
        </w:rPr>
        <w:t>. This includes intergenerational trauma, loss of language and culture, and systemic neglect. These experiences can deeply affect mental, emotional, and cultural wellbeing, and are often compounded by a lack of culturally appropriate support.</w:t>
      </w:r>
    </w:p>
    <w:p w:rsidR="0096467D" w:rsidP="0096467D" w:rsidRDefault="006A2C3F" w14:paraId="36EFCBE3" w14:textId="59604852">
      <w:pPr>
        <w:pStyle w:val="Heading2"/>
      </w:pPr>
      <w:r>
        <w:t>Specific e</w:t>
      </w:r>
      <w:r w:rsidR="0096467D">
        <w:t>xample</w:t>
      </w:r>
      <w:r w:rsidR="00723F8A">
        <w:t>/</w:t>
      </w:r>
      <w:r w:rsidR="0096467D">
        <w:t>s</w:t>
      </w:r>
    </w:p>
    <w:p w:rsidRPr="0027362E" w:rsidR="00831ACE" w:rsidP="215BEAC8" w:rsidRDefault="00605BC1" w14:paraId="14DA45FC" w14:textId="625963C3">
      <w:pPr>
        <w:numPr>
          <w:ilvl w:val="0"/>
          <w:numId w:val="7"/>
        </w:numPr>
        <w:rPr>
          <w:b/>
          <w:bCs/>
        </w:rPr>
      </w:pPr>
      <w:r w:rsidRPr="215BEAC8">
        <w:rPr>
          <w:b/>
          <w:bCs/>
        </w:rPr>
        <w:t>L</w:t>
      </w:r>
      <w:r w:rsidRPr="215BEAC8" w:rsidR="002521E0">
        <w:rPr>
          <w:b/>
          <w:bCs/>
        </w:rPr>
        <w:t xml:space="preserve">ack of </w:t>
      </w:r>
      <w:r w:rsidRPr="215BEAC8">
        <w:rPr>
          <w:b/>
          <w:bCs/>
        </w:rPr>
        <w:t xml:space="preserve">trilingual interpreters </w:t>
      </w:r>
      <w:r w:rsidRPr="215BEAC8" w:rsidR="146CC4C5">
        <w:rPr>
          <w:b/>
          <w:bCs/>
        </w:rPr>
        <w:t>on Waitangi Day</w:t>
      </w:r>
    </w:p>
    <w:p w:rsidR="003C7120" w:rsidP="0027362E" w:rsidRDefault="003A7D6D" w14:paraId="4C866AA5" w14:textId="5D803F2A">
      <w:pPr>
        <w:ind w:left="720"/>
      </w:pPr>
      <w:r w:rsidR="002F7A14">
        <w:rPr/>
        <w:t xml:space="preserve">Waitangi Day is a </w:t>
      </w:r>
      <w:r w:rsidR="00E860E9">
        <w:rPr/>
        <w:t xml:space="preserve">significant event on Aotearoa New Zealand’s calendar. Most of the events and proceedings are in </w:t>
      </w:r>
      <w:r w:rsidR="6A3564C9">
        <w:rPr/>
        <w:t>T</w:t>
      </w:r>
      <w:r w:rsidR="00E860E9">
        <w:rPr/>
        <w:t xml:space="preserve">e </w:t>
      </w:r>
      <w:r w:rsidR="7D620FFE">
        <w:rPr/>
        <w:t>R</w:t>
      </w:r>
      <w:r w:rsidR="00E860E9">
        <w:rPr/>
        <w:t>eo Māori</w:t>
      </w:r>
      <w:r w:rsidR="00E860E9">
        <w:rPr/>
        <w:t xml:space="preserve">. </w:t>
      </w:r>
      <w:r w:rsidR="006C436C">
        <w:rPr/>
        <w:t xml:space="preserve">New Zealand has </w:t>
      </w:r>
      <w:r w:rsidR="003266EE">
        <w:rPr/>
        <w:t xml:space="preserve">a </w:t>
      </w:r>
      <w:r w:rsidR="006C436C">
        <w:rPr/>
        <w:t xml:space="preserve">small pool of </w:t>
      </w:r>
      <w:r w:rsidR="00366CD4">
        <w:rPr/>
        <w:t>NZSL</w:t>
      </w:r>
      <w:r w:rsidR="00D73B19">
        <w:rPr/>
        <w:t xml:space="preserve"> interpreters</w:t>
      </w:r>
      <w:r w:rsidR="000F5C0F">
        <w:rPr/>
        <w:t xml:space="preserve"> (~100)</w:t>
      </w:r>
      <w:r w:rsidR="00FB7191">
        <w:rPr/>
        <w:t>,</w:t>
      </w:r>
      <w:r w:rsidR="000F5C0F">
        <w:rPr/>
        <w:t xml:space="preserve"> </w:t>
      </w:r>
      <w:r w:rsidR="0085673D">
        <w:rPr/>
        <w:t xml:space="preserve">who </w:t>
      </w:r>
      <w:r w:rsidR="00D73B19">
        <w:rPr/>
        <w:t xml:space="preserve">interpret between English and </w:t>
      </w:r>
      <w:r w:rsidR="00DE59B8">
        <w:rPr/>
        <w:t xml:space="preserve">NZSL. </w:t>
      </w:r>
      <w:r w:rsidR="00FA442C">
        <w:rPr/>
        <w:t xml:space="preserve">The number of interpreters who can navigate all three languages </w:t>
      </w:r>
      <w:r w:rsidR="0085673D">
        <w:rPr/>
        <w:t xml:space="preserve">effectively </w:t>
      </w:r>
      <w:r w:rsidR="00FA442C">
        <w:rPr/>
        <w:t>(</w:t>
      </w:r>
      <w:r w:rsidR="797244BC">
        <w:rPr/>
        <w:t>T</w:t>
      </w:r>
      <w:r w:rsidR="00FA442C">
        <w:rPr/>
        <w:t xml:space="preserve">e </w:t>
      </w:r>
      <w:r w:rsidR="73899A85">
        <w:rPr/>
        <w:t>R</w:t>
      </w:r>
      <w:r w:rsidR="00FA442C">
        <w:rPr/>
        <w:t>eo</w:t>
      </w:r>
      <w:r w:rsidR="00FA442C">
        <w:rPr/>
        <w:t xml:space="preserve"> </w:t>
      </w:r>
      <w:r w:rsidR="4042DED6">
        <w:rPr/>
        <w:t>Māori</w:t>
      </w:r>
      <w:r w:rsidR="00FA442C">
        <w:rPr/>
        <w:t xml:space="preserve">, NZSL and English) is </w:t>
      </w:r>
      <w:r w:rsidR="00FA442C">
        <w:rPr/>
        <w:t>very low</w:t>
      </w:r>
      <w:r w:rsidR="00FA442C">
        <w:rPr/>
        <w:t xml:space="preserve"> (</w:t>
      </w:r>
      <w:r w:rsidR="001B7A56">
        <w:rPr/>
        <w:t>~</w:t>
      </w:r>
      <w:r w:rsidR="660730C4">
        <w:rPr/>
        <w:t>3</w:t>
      </w:r>
      <w:r w:rsidR="00FA442C">
        <w:rPr/>
        <w:t>).</w:t>
      </w:r>
    </w:p>
    <w:p w:rsidR="00511192" w:rsidP="0027362E" w:rsidRDefault="434BD647" w14:paraId="76EBE596" w14:textId="2D04E800">
      <w:pPr>
        <w:ind w:left="720"/>
      </w:pPr>
      <w:r w:rsidR="434BD647">
        <w:rPr/>
        <w:t xml:space="preserve">Due to </w:t>
      </w:r>
      <w:r w:rsidR="24E86C7F">
        <w:rPr/>
        <w:t xml:space="preserve">the </w:t>
      </w:r>
      <w:r w:rsidR="13273EA0">
        <w:rPr/>
        <w:t>insufficient</w:t>
      </w:r>
      <w:r w:rsidR="434BD647">
        <w:rPr/>
        <w:t xml:space="preserve"> pool of trilingual interpreters, f</w:t>
      </w:r>
      <w:r w:rsidR="00DE59B8">
        <w:rPr/>
        <w:t>o</w:t>
      </w:r>
      <w:r w:rsidR="003C0D95">
        <w:rPr/>
        <w:t xml:space="preserve">r </w:t>
      </w:r>
      <w:r w:rsidR="001A19C4">
        <w:rPr/>
        <w:t xml:space="preserve">Turi </w:t>
      </w:r>
      <w:r w:rsidR="003C0D95">
        <w:rPr/>
        <w:t>Deaf</w:t>
      </w:r>
      <w:r w:rsidR="001A19C4">
        <w:rPr/>
        <w:t xml:space="preserve"> (and any Deaf)</w:t>
      </w:r>
      <w:r w:rsidR="003C0D95">
        <w:rPr/>
        <w:t xml:space="preserve"> attendees</w:t>
      </w:r>
      <w:r w:rsidR="00DE59B8">
        <w:rPr/>
        <w:t>, the Māori words need to be translated into English before it can be interpreted into NZSL</w:t>
      </w:r>
      <w:r w:rsidR="00C36567">
        <w:rPr/>
        <w:t xml:space="preserve">, a </w:t>
      </w:r>
      <w:r w:rsidR="00C36567">
        <w:rPr/>
        <w:t xml:space="preserve">process which can </w:t>
      </w:r>
      <w:r w:rsidR="00403D1E">
        <w:rPr/>
        <w:t>mean a</w:t>
      </w:r>
      <w:r w:rsidR="00C42297">
        <w:rPr/>
        <w:t xml:space="preserve"> </w:t>
      </w:r>
      <w:r w:rsidR="00C36567">
        <w:rPr/>
        <w:t>lag of 10 seconds o</w:t>
      </w:r>
      <w:r w:rsidR="00C42297">
        <w:rPr/>
        <w:t xml:space="preserve">r more before the </w:t>
      </w:r>
      <w:r w:rsidR="2CCAED78">
        <w:rPr/>
        <w:t>T</w:t>
      </w:r>
      <w:r w:rsidR="00C42297">
        <w:rPr/>
        <w:t xml:space="preserve">e </w:t>
      </w:r>
      <w:r w:rsidR="3876E0E8">
        <w:rPr/>
        <w:t>R</w:t>
      </w:r>
      <w:r w:rsidR="00C42297">
        <w:rPr/>
        <w:t>eo Māori word</w:t>
      </w:r>
      <w:r w:rsidR="00765B41">
        <w:rPr/>
        <w:t xml:space="preserve"> that was spoken is interpreted into NZSL</w:t>
      </w:r>
      <w:r w:rsidR="00DE59B8">
        <w:rPr/>
        <w:t>.</w:t>
      </w:r>
      <w:r w:rsidR="00DE59B8">
        <w:rPr/>
        <w:t xml:space="preserve"> This is not linguistically or culturally </w:t>
      </w:r>
      <w:r w:rsidR="00DE59B8">
        <w:rPr/>
        <w:t>appropriate</w:t>
      </w:r>
      <w:r w:rsidR="006D098A">
        <w:rPr/>
        <w:t>,</w:t>
      </w:r>
      <w:r w:rsidR="0006097F">
        <w:rPr/>
        <w:t xml:space="preserve"> </w:t>
      </w:r>
      <w:r w:rsidR="006D098A">
        <w:rPr/>
        <w:t xml:space="preserve">and it emphasises the </w:t>
      </w:r>
      <w:r w:rsidR="009F1E77">
        <w:rPr/>
        <w:t xml:space="preserve">embedded </w:t>
      </w:r>
      <w:r w:rsidR="0072533F">
        <w:rPr/>
        <w:t xml:space="preserve">discrimination that occurs for </w:t>
      </w:r>
      <w:r w:rsidR="006D098A">
        <w:rPr/>
        <w:t xml:space="preserve">Turi </w:t>
      </w:r>
      <w:r w:rsidR="0006097F">
        <w:rPr/>
        <w:t>Māori in terms of their</w:t>
      </w:r>
      <w:r w:rsidR="005C430D">
        <w:rPr/>
        <w:t xml:space="preserve"> (lack of)</w:t>
      </w:r>
      <w:r w:rsidR="0006097F">
        <w:rPr/>
        <w:t xml:space="preserve"> inclusion and representation</w:t>
      </w:r>
      <w:r w:rsidR="00FA442C">
        <w:rPr/>
        <w:t xml:space="preserve"> in society</w:t>
      </w:r>
      <w:r w:rsidR="0006097F">
        <w:rPr/>
        <w:t>.</w:t>
      </w:r>
      <w:r w:rsidR="00FD65C1">
        <w:rPr/>
        <w:t xml:space="preserve"> </w:t>
      </w:r>
      <w:r w:rsidR="5E766079">
        <w:rPr/>
        <w:t xml:space="preserve">Te </w:t>
      </w:r>
      <w:r w:rsidR="7AF9BC82">
        <w:rPr/>
        <w:t>R</w:t>
      </w:r>
      <w:r w:rsidR="5E766079">
        <w:rPr/>
        <w:t>eo</w:t>
      </w:r>
      <w:r w:rsidR="5E766079">
        <w:rPr/>
        <w:t xml:space="preserve"> Māori can be directly interpreted into NZSL and vice versa</w:t>
      </w:r>
      <w:r w:rsidR="691BCF18">
        <w:rPr/>
        <w:t>.</w:t>
      </w:r>
    </w:p>
    <w:p w:rsidRPr="0027362E" w:rsidR="0027362E" w:rsidP="0027362E" w:rsidRDefault="00FB6420" w14:paraId="423C1D65" w14:textId="5C13043C">
      <w:pPr>
        <w:ind w:left="720"/>
      </w:pPr>
      <w:r w:rsidR="00FB6420">
        <w:rPr/>
        <w:t>There is an urgent need for trilingual interpreters</w:t>
      </w:r>
      <w:r w:rsidR="00955840">
        <w:rPr/>
        <w:t xml:space="preserve"> who can </w:t>
      </w:r>
      <w:r w:rsidR="00511192">
        <w:rPr/>
        <w:t xml:space="preserve">effectively </w:t>
      </w:r>
      <w:r w:rsidR="00955840">
        <w:rPr/>
        <w:t xml:space="preserve">translate between NZSL, </w:t>
      </w:r>
      <w:r w:rsidR="241E750F">
        <w:rPr/>
        <w:t>T</w:t>
      </w:r>
      <w:r w:rsidR="00955840">
        <w:rPr/>
        <w:t xml:space="preserve">e </w:t>
      </w:r>
      <w:r w:rsidR="14C8DE35">
        <w:rPr/>
        <w:t>R</w:t>
      </w:r>
      <w:r w:rsidR="00955840">
        <w:rPr/>
        <w:t>eo</w:t>
      </w:r>
      <w:r w:rsidR="00955840">
        <w:rPr/>
        <w:t xml:space="preserve"> </w:t>
      </w:r>
      <w:r w:rsidR="0006097F">
        <w:rPr/>
        <w:t>Māori</w:t>
      </w:r>
      <w:r w:rsidR="00955840">
        <w:rPr/>
        <w:t xml:space="preserve"> and English</w:t>
      </w:r>
      <w:r w:rsidR="006D098A">
        <w:rPr/>
        <w:t xml:space="preserve">. </w:t>
      </w:r>
      <w:r w:rsidR="00595D70">
        <w:rPr/>
        <w:t>This has been raised</w:t>
      </w:r>
      <w:r w:rsidR="69AA0183">
        <w:rPr/>
        <w:t xml:space="preserve"> in multiple fora</w:t>
      </w:r>
      <w:r w:rsidR="00595D70">
        <w:rPr/>
        <w:t>, including the</w:t>
      </w:r>
      <w:r w:rsidR="006E0185">
        <w:rPr/>
        <w:t xml:space="preserve"> </w:t>
      </w:r>
      <w:r w:rsidR="00463FCF">
        <w:rPr/>
        <w:t xml:space="preserve">United Nations </w:t>
      </w:r>
      <w:r w:rsidR="006E0185">
        <w:rPr/>
        <w:t>Committee on the Rights of Persons with Disabilities,</w:t>
      </w:r>
      <w:r w:rsidR="00595D70">
        <w:rPr/>
        <w:t xml:space="preserve"> but</w:t>
      </w:r>
      <w:r w:rsidR="005C430D">
        <w:rPr/>
        <w:t xml:space="preserve"> </w:t>
      </w:r>
      <w:r w:rsidR="00595D70">
        <w:rPr/>
        <w:t>the New Zealand Government</w:t>
      </w:r>
      <w:r w:rsidR="005C430D">
        <w:rPr/>
        <w:t xml:space="preserve"> is yet to respond with any meaningful actions to </w:t>
      </w:r>
      <w:r w:rsidR="002C1EC2">
        <w:rPr/>
        <w:t>address this</w:t>
      </w:r>
      <w:r w:rsidR="00595D70">
        <w:rPr/>
        <w:t>.</w:t>
      </w:r>
    </w:p>
    <w:p w:rsidR="086CE404" w:rsidP="215BEAC8" w:rsidRDefault="12A30BB5" w14:paraId="25169573" w14:textId="346A1D9F">
      <w:pPr>
        <w:pStyle w:val="ListParagraph"/>
        <w:numPr>
          <w:ilvl w:val="0"/>
          <w:numId w:val="7"/>
        </w:numPr>
        <w:rPr>
          <w:b/>
          <w:bCs/>
        </w:rPr>
      </w:pPr>
      <w:r w:rsidRPr="215BEAC8">
        <w:rPr>
          <w:rFonts w:eastAsiaTheme="minorEastAsia"/>
          <w:b/>
          <w:bCs/>
        </w:rPr>
        <w:t>Tangihanga</w:t>
      </w:r>
      <w:r w:rsidRPr="215BEAC8" w:rsidR="086CE404">
        <w:rPr>
          <w:rFonts w:eastAsiaTheme="minorEastAsia"/>
          <w:b/>
          <w:bCs/>
        </w:rPr>
        <w:t xml:space="preserve">: </w:t>
      </w:r>
      <w:r w:rsidRPr="215BEAC8" w:rsidR="41603FF6">
        <w:rPr>
          <w:rFonts w:eastAsiaTheme="minorEastAsia"/>
          <w:b/>
          <w:bCs/>
        </w:rPr>
        <w:t>t</w:t>
      </w:r>
      <w:r w:rsidRPr="215BEAC8" w:rsidR="086CE404">
        <w:rPr>
          <w:rFonts w:eastAsiaTheme="minorEastAsia"/>
          <w:b/>
          <w:bCs/>
        </w:rPr>
        <w:t xml:space="preserve">he </w:t>
      </w:r>
      <w:r w:rsidRPr="215BEAC8" w:rsidR="3C700D36">
        <w:rPr>
          <w:rFonts w:eastAsiaTheme="minorEastAsia"/>
          <w:b/>
          <w:bCs/>
        </w:rPr>
        <w:t>i</w:t>
      </w:r>
      <w:r w:rsidRPr="215BEAC8" w:rsidR="086CE404">
        <w:rPr>
          <w:rFonts w:eastAsiaTheme="minorEastAsia"/>
          <w:b/>
          <w:bCs/>
        </w:rPr>
        <w:t xml:space="preserve">mpact of </w:t>
      </w:r>
      <w:r w:rsidRPr="215BEAC8" w:rsidR="67FCDCA3">
        <w:rPr>
          <w:rFonts w:eastAsiaTheme="minorEastAsia"/>
          <w:b/>
          <w:bCs/>
        </w:rPr>
        <w:t>c</w:t>
      </w:r>
      <w:r w:rsidRPr="215BEAC8" w:rsidR="086CE404">
        <w:rPr>
          <w:rFonts w:eastAsiaTheme="minorEastAsia"/>
          <w:b/>
          <w:bCs/>
        </w:rPr>
        <w:t xml:space="preserve">ultural </w:t>
      </w:r>
      <w:r w:rsidRPr="215BEAC8" w:rsidR="3E32AD6D">
        <w:rPr>
          <w:rFonts w:eastAsiaTheme="minorEastAsia"/>
          <w:b/>
          <w:bCs/>
        </w:rPr>
        <w:t>d</w:t>
      </w:r>
      <w:r w:rsidRPr="215BEAC8" w:rsidR="086CE404">
        <w:rPr>
          <w:rFonts w:eastAsiaTheme="minorEastAsia"/>
          <w:b/>
          <w:bCs/>
        </w:rPr>
        <w:t>isconnection</w:t>
      </w:r>
    </w:p>
    <w:p w:rsidR="086CE404" w:rsidP="215BEAC8" w:rsidRDefault="086CE404" w14:paraId="1B9876C9" w14:textId="71F9DB3C">
      <w:pPr>
        <w:ind w:left="720"/>
      </w:pPr>
      <w:r w:rsidRPr="215BEAC8">
        <w:rPr>
          <w:rFonts w:eastAsiaTheme="minorEastAsia"/>
        </w:rPr>
        <w:t xml:space="preserve">For Māori, </w:t>
      </w:r>
      <w:r w:rsidRPr="215BEAC8">
        <w:rPr>
          <w:rFonts w:eastAsiaTheme="minorEastAsia"/>
          <w:lang w:val="mi-NZ"/>
        </w:rPr>
        <w:t>tūrangawaewae</w:t>
      </w:r>
      <w:r w:rsidRPr="215BEAC8">
        <w:rPr>
          <w:rFonts w:eastAsiaTheme="minorEastAsia"/>
        </w:rPr>
        <w:t xml:space="preserve"> (a place to stand and belong) is deeply tied to marae (cultural meeting house), whakapapa (gene</w:t>
      </w:r>
      <w:r w:rsidRPr="215BEAC8" w:rsidR="4207FB51">
        <w:rPr>
          <w:rFonts w:eastAsiaTheme="minorEastAsia"/>
        </w:rPr>
        <w:t xml:space="preserve">alogy, </w:t>
      </w:r>
      <w:r w:rsidRPr="215BEAC8">
        <w:rPr>
          <w:rFonts w:eastAsiaTheme="minorEastAsia"/>
        </w:rPr>
        <w:t>lineage</w:t>
      </w:r>
      <w:r w:rsidRPr="215BEAC8" w:rsidR="3AC4793E">
        <w:rPr>
          <w:rFonts w:eastAsiaTheme="minorEastAsia"/>
        </w:rPr>
        <w:t>)</w:t>
      </w:r>
      <w:r w:rsidRPr="215BEAC8">
        <w:rPr>
          <w:rFonts w:eastAsiaTheme="minorEastAsia"/>
        </w:rPr>
        <w:t>, and tikanga</w:t>
      </w:r>
      <w:r w:rsidRPr="215BEAC8" w:rsidR="77EDD674">
        <w:rPr>
          <w:rFonts w:eastAsiaTheme="minorEastAsia"/>
        </w:rPr>
        <w:t xml:space="preserve"> </w:t>
      </w:r>
      <w:r w:rsidRPr="215BEAC8" w:rsidR="1F0C5B42">
        <w:rPr>
          <w:rFonts w:eastAsiaTheme="minorEastAsia"/>
        </w:rPr>
        <w:t>(cultural protocols)</w:t>
      </w:r>
      <w:r w:rsidRPr="215BEAC8">
        <w:rPr>
          <w:rFonts w:eastAsiaTheme="minorEastAsia"/>
        </w:rPr>
        <w:t xml:space="preserve">. </w:t>
      </w:r>
    </w:p>
    <w:p w:rsidR="086CE404" w:rsidP="215BEAC8" w:rsidRDefault="086CE404" w14:paraId="3EBB939B" w14:textId="06E5AF88">
      <w:pPr>
        <w:ind w:left="720"/>
      </w:pPr>
      <w:r w:rsidRPr="4088F1C4" w:rsidR="086CE404">
        <w:rPr>
          <w:rFonts w:eastAsia="" w:eastAsiaTheme="minorEastAsia"/>
          <w:lang w:val="mi-NZ"/>
        </w:rPr>
        <w:t>Tangihanga</w:t>
      </w:r>
      <w:r w:rsidRPr="4088F1C4" w:rsidR="086CE404">
        <w:rPr>
          <w:rFonts w:eastAsia="" w:eastAsiaTheme="minorEastAsia"/>
        </w:rPr>
        <w:t>, the mourning process, is one of the most sacred expressions of this connection. Yet, for Turi Māori, systemic barriers often limit participation, weakening their sense of identity</w:t>
      </w:r>
      <w:r w:rsidRPr="4088F1C4" w:rsidR="086CE404">
        <w:rPr>
          <w:rFonts w:eastAsia="" w:eastAsiaTheme="minorEastAsia"/>
        </w:rPr>
        <w:t>.</w:t>
      </w:r>
      <w:r w:rsidRPr="4088F1C4" w:rsidR="03D8C8E8">
        <w:rPr>
          <w:rFonts w:eastAsia="" w:eastAsiaTheme="minorEastAsia"/>
        </w:rPr>
        <w:t xml:space="preserve">  </w:t>
      </w:r>
      <w:r w:rsidRPr="4088F1C4" w:rsidR="086CE404">
        <w:rPr>
          <w:rFonts w:eastAsia="" w:eastAsiaTheme="minorEastAsia"/>
        </w:rPr>
        <w:t xml:space="preserve">Without </w:t>
      </w:r>
      <w:r w:rsidRPr="4088F1C4" w:rsidR="1A457B4B">
        <w:rPr>
          <w:rFonts w:eastAsia="" w:eastAsiaTheme="minorEastAsia"/>
        </w:rPr>
        <w:t>adequate</w:t>
      </w:r>
      <w:r w:rsidRPr="4088F1C4" w:rsidR="553DA9DD">
        <w:rPr>
          <w:rFonts w:eastAsia="" w:eastAsiaTheme="minorEastAsia"/>
        </w:rPr>
        <w:t xml:space="preserve"> language access, inclusive engagement</w:t>
      </w:r>
      <w:r w:rsidRPr="4088F1C4" w:rsidR="25305B48">
        <w:rPr>
          <w:rFonts w:eastAsia="" w:eastAsiaTheme="minorEastAsia"/>
        </w:rPr>
        <w:t>,</w:t>
      </w:r>
      <w:r w:rsidRPr="4088F1C4" w:rsidR="553DA9DD">
        <w:rPr>
          <w:rFonts w:eastAsia="" w:eastAsiaTheme="minorEastAsia"/>
        </w:rPr>
        <w:t xml:space="preserve"> </w:t>
      </w:r>
      <w:r w:rsidRPr="4088F1C4" w:rsidR="553DA9DD">
        <w:rPr>
          <w:rFonts w:eastAsia="" w:eastAsiaTheme="minorEastAsia"/>
        </w:rPr>
        <w:t>k</w:t>
      </w:r>
      <w:r w:rsidRPr="4088F1C4" w:rsidR="086CE404">
        <w:rPr>
          <w:rFonts w:eastAsia="" w:eastAsiaTheme="minorEastAsia"/>
        </w:rPr>
        <w:t>aranga</w:t>
      </w:r>
      <w:r w:rsidRPr="4088F1C4" w:rsidR="4AB76775">
        <w:rPr>
          <w:rFonts w:eastAsia="" w:eastAsiaTheme="minorEastAsia"/>
        </w:rPr>
        <w:t xml:space="preserve"> (ceremonial call)</w:t>
      </w:r>
      <w:r w:rsidRPr="4088F1C4" w:rsidR="086CE404">
        <w:rPr>
          <w:rFonts w:eastAsia="" w:eastAsiaTheme="minorEastAsia"/>
        </w:rPr>
        <w:t xml:space="preserve"> and whaikōrero</w:t>
      </w:r>
      <w:r w:rsidRPr="4088F1C4" w:rsidR="0BA99783">
        <w:rPr>
          <w:rFonts w:eastAsia="" w:eastAsiaTheme="minorEastAsia"/>
        </w:rPr>
        <w:t xml:space="preserve"> (formal </w:t>
      </w:r>
      <w:r w:rsidRPr="4088F1C4" w:rsidR="6E486AB8">
        <w:rPr>
          <w:rFonts w:eastAsia="" w:eastAsiaTheme="minorEastAsia"/>
        </w:rPr>
        <w:t>o</w:t>
      </w:r>
      <w:r w:rsidRPr="4088F1C4" w:rsidR="0BA99783">
        <w:rPr>
          <w:rFonts w:eastAsia="" w:eastAsiaTheme="minorEastAsia"/>
        </w:rPr>
        <w:t>ratory</w:t>
      </w:r>
      <w:r w:rsidRPr="4088F1C4" w:rsidR="0BA99783">
        <w:rPr>
          <w:rFonts w:eastAsia="" w:eastAsiaTheme="minorEastAsia"/>
        </w:rPr>
        <w:t>)</w:t>
      </w:r>
      <w:r w:rsidRPr="4088F1C4" w:rsidR="086CE404">
        <w:rPr>
          <w:rFonts w:eastAsia="" w:eastAsiaTheme="minorEastAsia"/>
        </w:rPr>
        <w:t xml:space="preserve"> at tangihanga remain inaccessible, often filtering te </w:t>
      </w:r>
      <w:r w:rsidRPr="4088F1C4" w:rsidR="086CE404">
        <w:rPr>
          <w:rFonts w:eastAsia="" w:eastAsiaTheme="minorEastAsia"/>
        </w:rPr>
        <w:t>reo</w:t>
      </w:r>
      <w:r w:rsidRPr="4088F1C4" w:rsidR="086CE404">
        <w:rPr>
          <w:rFonts w:eastAsia="" w:eastAsiaTheme="minorEastAsia"/>
        </w:rPr>
        <w:t xml:space="preserve"> Māori through English before reaching NZSL. </w:t>
      </w:r>
    </w:p>
    <w:p w:rsidR="086CE404" w:rsidP="215BEAC8" w:rsidRDefault="086CE404" w14:paraId="4E972D58" w14:textId="108491CD">
      <w:pPr>
        <w:ind w:left="720"/>
        <w:rPr>
          <w:rFonts w:eastAsiaTheme="minorEastAsia"/>
        </w:rPr>
      </w:pPr>
      <w:r w:rsidRPr="215BEAC8">
        <w:rPr>
          <w:rFonts w:eastAsiaTheme="minorEastAsia"/>
        </w:rPr>
        <w:t>This disconnect diminishes cultural meaning. Beyond language, assumptions about Deaf identity can lead to exclusion within marae, reinforcing isolation.</w:t>
      </w:r>
      <w:r w:rsidRPr="215BEAC8" w:rsidR="39C8EE8A">
        <w:rPr>
          <w:rFonts w:eastAsiaTheme="minorEastAsia"/>
        </w:rPr>
        <w:t xml:space="preserve">  </w:t>
      </w:r>
      <w:r w:rsidRPr="215BEAC8">
        <w:rPr>
          <w:rFonts w:eastAsiaTheme="minorEastAsia"/>
        </w:rPr>
        <w:t xml:space="preserve">Research shows that strong cultural identity improves mental health, resilience, and social belonging, while disconnection increases anxiety and depression. When Turi Māori face barriers to </w:t>
      </w:r>
      <w:r w:rsidRPr="215BEAC8">
        <w:rPr>
          <w:rFonts w:eastAsiaTheme="minorEastAsia"/>
          <w:lang w:val="mi-NZ"/>
        </w:rPr>
        <w:t>Te Ao Māori</w:t>
      </w:r>
      <w:r w:rsidRPr="215BEAC8">
        <w:rPr>
          <w:rFonts w:eastAsiaTheme="minorEastAsia"/>
        </w:rPr>
        <w:t xml:space="preserve">, their ability to stand confidently in their </w:t>
      </w:r>
      <w:r w:rsidRPr="215BEAC8">
        <w:rPr>
          <w:rFonts w:eastAsiaTheme="minorEastAsia"/>
          <w:lang w:val="mi-NZ"/>
        </w:rPr>
        <w:t>tūrangawaewae</w:t>
      </w:r>
      <w:r w:rsidRPr="215BEAC8">
        <w:rPr>
          <w:rFonts w:eastAsiaTheme="minorEastAsia"/>
        </w:rPr>
        <w:t xml:space="preserve"> is compromised. </w:t>
      </w:r>
    </w:p>
    <w:p w:rsidR="00BF1C27" w:rsidP="4088F1C4" w:rsidRDefault="00BF1C27" w14:paraId="7FE81C09" w14:textId="05882162">
      <w:pPr>
        <w:ind w:left="720"/>
        <w:rPr>
          <w:rFonts w:eastAsia="" w:eastAsiaTheme="minorEastAsia"/>
        </w:rPr>
      </w:pPr>
      <w:r w:rsidRPr="4088F1C4" w:rsidR="00BF1C27">
        <w:rPr>
          <w:rFonts w:eastAsia="" w:eastAsiaTheme="minorEastAsia"/>
        </w:rPr>
        <w:t xml:space="preserve">The lack of </w:t>
      </w:r>
      <w:r w:rsidRPr="4088F1C4" w:rsidR="001D3977">
        <w:rPr>
          <w:rFonts w:eastAsia="" w:eastAsiaTheme="minorEastAsia"/>
        </w:rPr>
        <w:t xml:space="preserve">sufficient </w:t>
      </w:r>
      <w:r w:rsidRPr="4088F1C4" w:rsidR="00BF1C27">
        <w:rPr>
          <w:rFonts w:eastAsia="" w:eastAsiaTheme="minorEastAsia"/>
        </w:rPr>
        <w:t xml:space="preserve">funding </w:t>
      </w:r>
      <w:r w:rsidRPr="4088F1C4" w:rsidR="0079098F">
        <w:rPr>
          <w:rFonts w:eastAsia="" w:eastAsiaTheme="minorEastAsia"/>
        </w:rPr>
        <w:t xml:space="preserve">to </w:t>
      </w:r>
      <w:r w:rsidRPr="4088F1C4" w:rsidR="00BF1C27">
        <w:rPr>
          <w:rFonts w:eastAsia="" w:eastAsiaTheme="minorEastAsia"/>
        </w:rPr>
        <w:t xml:space="preserve">specifically </w:t>
      </w:r>
      <w:r w:rsidRPr="4088F1C4" w:rsidR="0079098F">
        <w:rPr>
          <w:rFonts w:eastAsia="" w:eastAsiaTheme="minorEastAsia"/>
        </w:rPr>
        <w:t xml:space="preserve">ensure that </w:t>
      </w:r>
      <w:r w:rsidRPr="4088F1C4" w:rsidR="001D3977">
        <w:rPr>
          <w:rFonts w:eastAsia="" w:eastAsiaTheme="minorEastAsia"/>
        </w:rPr>
        <w:t>trilingual interpreters</w:t>
      </w:r>
      <w:r w:rsidRPr="4088F1C4" w:rsidR="0079098F">
        <w:rPr>
          <w:rFonts w:eastAsia="" w:eastAsiaTheme="minorEastAsia"/>
        </w:rPr>
        <w:t xml:space="preserve"> can remain</w:t>
      </w:r>
      <w:r w:rsidRPr="4088F1C4" w:rsidR="001D3977">
        <w:rPr>
          <w:rFonts w:eastAsia="" w:eastAsiaTheme="minorEastAsia"/>
        </w:rPr>
        <w:t xml:space="preserve"> at tangihanga </w:t>
      </w:r>
      <w:r w:rsidRPr="4088F1C4" w:rsidR="0079098F">
        <w:rPr>
          <w:rFonts w:eastAsia="" w:eastAsiaTheme="minorEastAsia"/>
        </w:rPr>
        <w:t xml:space="preserve">for the full period of mourning </w:t>
      </w:r>
      <w:r w:rsidRPr="4088F1C4" w:rsidR="001A11C3">
        <w:rPr>
          <w:rFonts w:eastAsia="" w:eastAsiaTheme="minorEastAsia"/>
        </w:rPr>
        <w:t xml:space="preserve">is a barrier that could be addressed </w:t>
      </w:r>
      <w:r w:rsidRPr="4088F1C4" w:rsidR="001A11C3">
        <w:rPr>
          <w:rFonts w:eastAsia="" w:eastAsiaTheme="minorEastAsia"/>
        </w:rPr>
        <w:t>immediately</w:t>
      </w:r>
      <w:r w:rsidRPr="4088F1C4" w:rsidR="001A11C3">
        <w:rPr>
          <w:rFonts w:eastAsia="" w:eastAsiaTheme="minorEastAsia"/>
        </w:rPr>
        <w:t xml:space="preserve"> </w:t>
      </w:r>
      <w:r w:rsidRPr="4088F1C4" w:rsidR="003448C7">
        <w:rPr>
          <w:rFonts w:eastAsia="" w:eastAsiaTheme="minorEastAsia"/>
        </w:rPr>
        <w:t xml:space="preserve">by </w:t>
      </w:r>
      <w:r w:rsidRPr="4088F1C4" w:rsidR="003448C7">
        <w:rPr>
          <w:rFonts w:eastAsia="" w:eastAsiaTheme="minorEastAsia"/>
        </w:rPr>
        <w:t>additional</w:t>
      </w:r>
      <w:r w:rsidRPr="4088F1C4" w:rsidR="003448C7">
        <w:rPr>
          <w:rFonts w:eastAsia="" w:eastAsiaTheme="minorEastAsia"/>
        </w:rPr>
        <w:t xml:space="preserve"> funding being made available for t</w:t>
      </w:r>
      <w:r w:rsidRPr="4088F1C4" w:rsidR="55D2B9F7">
        <w:rPr>
          <w:rFonts w:eastAsia="" w:eastAsiaTheme="minorEastAsia"/>
        </w:rPr>
        <w:t>h</w:t>
      </w:r>
      <w:r w:rsidRPr="4088F1C4" w:rsidR="003448C7">
        <w:rPr>
          <w:rFonts w:eastAsia="" w:eastAsiaTheme="minorEastAsia"/>
        </w:rPr>
        <w:t>is specific purpose.</w:t>
      </w:r>
      <w:r w:rsidRPr="4088F1C4" w:rsidR="003448C7">
        <w:rPr>
          <w:rFonts w:eastAsia="" w:eastAsiaTheme="minorEastAsia"/>
        </w:rPr>
        <w:t xml:space="preserve"> </w:t>
      </w:r>
    </w:p>
    <w:p w:rsidR="2749BFF9" w:rsidP="215BEAC8" w:rsidRDefault="71E461C1" w14:paraId="02CD38CA" w14:textId="0B86BC0F">
      <w:pPr>
        <w:pStyle w:val="ListParagraph"/>
        <w:numPr>
          <w:ilvl w:val="0"/>
          <w:numId w:val="7"/>
        </w:numPr>
        <w:rPr>
          <w:rFonts w:eastAsiaTheme="minorEastAsia"/>
          <w:b/>
          <w:bCs/>
        </w:rPr>
      </w:pPr>
      <w:r w:rsidRPr="215BEAC8">
        <w:rPr>
          <w:rFonts w:eastAsiaTheme="minorEastAsia"/>
          <w:b/>
          <w:bCs/>
        </w:rPr>
        <w:t>Lack of data and research on Turi</w:t>
      </w:r>
      <w:r w:rsidRPr="215BEAC8" w:rsidR="2749BFF9">
        <w:rPr>
          <w:rFonts w:eastAsiaTheme="minorEastAsia"/>
          <w:b/>
          <w:bCs/>
        </w:rPr>
        <w:t xml:space="preserve"> Māori and NZSL </w:t>
      </w:r>
      <w:r w:rsidRPr="215BEAC8" w:rsidR="37793FE3">
        <w:rPr>
          <w:rFonts w:eastAsiaTheme="minorEastAsia"/>
          <w:b/>
          <w:bCs/>
        </w:rPr>
        <w:t>u</w:t>
      </w:r>
      <w:r w:rsidRPr="215BEAC8" w:rsidR="2749BFF9">
        <w:rPr>
          <w:rFonts w:eastAsiaTheme="minorEastAsia"/>
          <w:b/>
          <w:bCs/>
        </w:rPr>
        <w:t>se</w:t>
      </w:r>
      <w:r w:rsidRPr="215BEAC8" w:rsidR="6723F956">
        <w:rPr>
          <w:rFonts w:eastAsiaTheme="minorEastAsia"/>
          <w:b/>
          <w:bCs/>
        </w:rPr>
        <w:t xml:space="preserve"> in the New Zealand Census</w:t>
      </w:r>
    </w:p>
    <w:p w:rsidR="2749BFF9" w:rsidP="215BEAC8" w:rsidRDefault="2749BFF9" w14:paraId="0AE2FE70" w14:textId="3D241F09">
      <w:pPr>
        <w:ind w:left="720"/>
        <w:rPr>
          <w:rFonts w:eastAsiaTheme="minorEastAsia"/>
        </w:rPr>
      </w:pPr>
      <w:r w:rsidRPr="215BEAC8">
        <w:rPr>
          <w:rFonts w:eastAsiaTheme="minorEastAsia"/>
        </w:rPr>
        <w:t>In the 2023 Census, 978,246 people identified as being of Māori descent, accounting for 19.6% of the total population. Census reporting has focused on gender, age, religion, and language use. Of this population, 18.6% reported being able to hold a conversation in te reo Māori, and 0.8% could do so in New Zealand Sign Language (NZSL).</w:t>
      </w:r>
      <w:r w:rsidRPr="215BEAC8" w:rsidR="2A3CA019">
        <w:rPr>
          <w:rFonts w:eastAsiaTheme="minorEastAsia"/>
        </w:rPr>
        <w:t xml:space="preserve"> </w:t>
      </w:r>
    </w:p>
    <w:p w:rsidR="2749BFF9" w:rsidP="215BEAC8" w:rsidRDefault="2749BFF9" w14:paraId="316E910E" w14:textId="3353D186">
      <w:pPr>
        <w:ind w:left="720"/>
        <w:rPr>
          <w:rFonts w:eastAsiaTheme="minorEastAsia"/>
        </w:rPr>
      </w:pPr>
      <w:r w:rsidRPr="215BEAC8">
        <w:rPr>
          <w:rFonts w:eastAsiaTheme="minorEastAsia"/>
        </w:rPr>
        <w:t xml:space="preserve">Despite these insights, data on Turi Māori remains limited, particularly regarding how many Māori identify as Deaf and how many Deaf Māori use or understand NZSL. The lack of detailed reporting continues to hinder efforts to address systemic barriers, leaving significant gaps in representation and policy development. </w:t>
      </w:r>
    </w:p>
    <w:p w:rsidR="4FB7AD49" w:rsidP="215BEAC8" w:rsidRDefault="49E4C8FE" w14:paraId="2CB28DA8" w14:textId="02B03B8D">
      <w:pPr>
        <w:pStyle w:val="ListParagraph"/>
        <w:numPr>
          <w:ilvl w:val="0"/>
          <w:numId w:val="7"/>
        </w:numPr>
        <w:rPr>
          <w:rFonts w:eastAsiaTheme="minorEastAsia"/>
        </w:rPr>
      </w:pPr>
      <w:r w:rsidRPr="215BEAC8">
        <w:rPr>
          <w:rFonts w:eastAsiaTheme="minorEastAsia"/>
          <w:b/>
          <w:bCs/>
        </w:rPr>
        <w:t xml:space="preserve">New Zealand's Royal Inquiry into </w:t>
      </w:r>
      <w:r w:rsidRPr="215BEAC8" w:rsidR="4FB7AD49">
        <w:rPr>
          <w:rFonts w:eastAsiaTheme="minorEastAsia"/>
          <w:b/>
          <w:bCs/>
        </w:rPr>
        <w:t>Abuse in State Care</w:t>
      </w:r>
    </w:p>
    <w:p w:rsidR="4FB7AD49" w:rsidP="215BEAC8" w:rsidRDefault="5E8BE6AE" w14:paraId="58BAF3AF" w14:textId="244E164D">
      <w:pPr>
        <w:ind w:left="720"/>
        <w:rPr>
          <w:rFonts w:eastAsiaTheme="minorEastAsia"/>
        </w:rPr>
      </w:pPr>
      <w:r w:rsidRPr="215BEAC8">
        <w:rPr>
          <w:rFonts w:eastAsiaTheme="minorEastAsia"/>
        </w:rPr>
        <w:t>The Royal Commission of Inquiry found that Māori were placed in state care far more often than non-Māori, sometimes up to ten times more. Many were separated from their whānau, denied their language and culture, and faced racism, neglect, and abuse. For Turi Māori, the trauma was worsened by communication barriers, leaving them isolated and unable to speak out. This led to long-term emotional harm, loss of identity, and disconnection from both Deaf and Māori communities. These impacts continue to affect individuals, whānau, and generations today</w:t>
      </w:r>
      <w:r w:rsidRPr="215BEAC8" w:rsidR="4E6EDA18">
        <w:rPr>
          <w:rFonts w:eastAsiaTheme="minorEastAsia"/>
        </w:rPr>
        <w:t>.</w:t>
      </w:r>
    </w:p>
    <w:p w:rsidR="61496F30" w:rsidP="61496F30" w:rsidRDefault="61496F30" w14:paraId="57AE782A" w14:textId="64B7FF52"/>
    <w:p w:rsidRPr="00B93F2E" w:rsidR="0096467D" w:rsidP="0096467D" w:rsidRDefault="0096467D" w14:paraId="7437B56C" w14:textId="65A07E2E">
      <w:pPr>
        <w:pStyle w:val="Heading2"/>
      </w:pPr>
      <w:r>
        <w:lastRenderedPageBreak/>
        <w:t>Recommendations</w:t>
      </w:r>
    </w:p>
    <w:p w:rsidR="00AC1CC6" w:rsidP="00AC1CC6" w:rsidRDefault="00AC1CC6" w14:paraId="32B460BE" w14:textId="45C427B1">
      <w:r w:rsidRPr="00B93F2E">
        <w:t xml:space="preserve">Addressing these issues requires a concerted effort </w:t>
      </w:r>
      <w:r w:rsidR="005F6FE8">
        <w:t xml:space="preserve">by the New Zealand Government </w:t>
      </w:r>
      <w:r w:rsidRPr="00B93F2E">
        <w:t xml:space="preserve">to promote cultural competence, accessibility, and inclusivity across all sectors of society. </w:t>
      </w:r>
    </w:p>
    <w:p w:rsidR="00AB2CE1" w:rsidP="215BEAC8" w:rsidRDefault="00AB2CE1" w14:paraId="3B1D2D64" w14:textId="79D10844">
      <w:pPr>
        <w:rPr>
          <w:rFonts w:ascii="Aptos" w:hAnsi="Aptos" w:eastAsia="Aptos" w:cs="Aptos"/>
        </w:rPr>
      </w:pPr>
      <w:r>
        <w:t xml:space="preserve">Deaf </w:t>
      </w:r>
      <w:r w:rsidR="00E33A2D">
        <w:t>Aotearoa</w:t>
      </w:r>
      <w:r>
        <w:t xml:space="preserve"> supports the Committee’s previous recomm</w:t>
      </w:r>
      <w:r w:rsidR="00E33A2D">
        <w:t>endation</w:t>
      </w:r>
      <w:r w:rsidR="002E2C69">
        <w:t>s</w:t>
      </w:r>
      <w:r w:rsidR="0285EEB7">
        <w:t xml:space="preserve"> and offers the following recommendations for the </w:t>
      </w:r>
      <w:r w:rsidR="003175D3">
        <w:t>Committee’s</w:t>
      </w:r>
      <w:r w:rsidR="0285EEB7">
        <w:t xml:space="preserve"> consideration:</w:t>
      </w:r>
      <w:r w:rsidR="002E2C69">
        <w:t xml:space="preserve"> </w:t>
      </w:r>
    </w:p>
    <w:p w:rsidR="69897BD4" w:rsidP="215BEAC8" w:rsidRDefault="69897BD4" w14:paraId="25259144" w14:textId="242F2805">
      <w:pPr>
        <w:pStyle w:val="ListParagraph"/>
        <w:numPr>
          <w:ilvl w:val="0"/>
          <w:numId w:val="1"/>
        </w:numPr>
        <w:rPr>
          <w:rFonts w:ascii="Aptos" w:hAnsi="Aptos" w:eastAsia="Aptos" w:cs="Aptos"/>
        </w:rPr>
      </w:pPr>
      <w:r w:rsidR="05D9ED66">
        <w:rPr/>
        <w:t>Recommend</w:t>
      </w:r>
      <w:r w:rsidR="69897BD4">
        <w:rPr/>
        <w:t xml:space="preserve"> the New Zealand Government take</w:t>
      </w:r>
      <w:r w:rsidR="458C385E">
        <w:rPr/>
        <w:t>s</w:t>
      </w:r>
      <w:r w:rsidR="69897BD4">
        <w:rPr/>
        <w:t xml:space="preserve"> </w:t>
      </w:r>
      <w:r w:rsidR="09728789">
        <w:rPr/>
        <w:t>immediate</w:t>
      </w:r>
      <w:r w:rsidR="69897BD4">
        <w:rPr/>
        <w:t xml:space="preserve"> action to increase the number of trilingual interpreters, by incentivising fluent te </w:t>
      </w:r>
      <w:r w:rsidR="69897BD4">
        <w:rPr/>
        <w:t>r</w:t>
      </w:r>
      <w:r w:rsidR="69897BD4">
        <w:rPr/>
        <w:t>eo</w:t>
      </w:r>
      <w:r w:rsidR="69897BD4">
        <w:rPr/>
        <w:t xml:space="preserve"> </w:t>
      </w:r>
      <w:r w:rsidR="69897BD4">
        <w:rPr/>
        <w:t xml:space="preserve">Māori speakers to learn NZSL, and fluent NZSL interpreters to learn te </w:t>
      </w:r>
      <w:r w:rsidR="69897BD4">
        <w:rPr/>
        <w:t>r</w:t>
      </w:r>
      <w:r w:rsidR="69897BD4">
        <w:rPr/>
        <w:t>eo</w:t>
      </w:r>
      <w:r w:rsidR="69897BD4">
        <w:rPr/>
        <w:t xml:space="preserve"> </w:t>
      </w:r>
      <w:r w:rsidR="69897BD4">
        <w:rPr/>
        <w:t>Māori.</w:t>
      </w:r>
    </w:p>
    <w:p w:rsidR="215BEAC8" w:rsidP="215BEAC8" w:rsidRDefault="215BEAC8" w14:paraId="5EC742F1" w14:textId="31730DAB">
      <w:pPr>
        <w:pStyle w:val="ListParagraph"/>
        <w:rPr>
          <w:rFonts w:ascii="Aptos" w:hAnsi="Aptos" w:eastAsia="Aptos" w:cs="Aptos"/>
        </w:rPr>
      </w:pPr>
    </w:p>
    <w:p w:rsidR="54B5BDB7" w:rsidP="215BEAC8" w:rsidRDefault="54B5BDB7" w14:paraId="38A17777" w14:textId="1D82D925">
      <w:pPr>
        <w:pStyle w:val="ListParagraph"/>
        <w:numPr>
          <w:ilvl w:val="0"/>
          <w:numId w:val="1"/>
        </w:numPr>
        <w:rPr>
          <w:rFonts w:ascii="Aptos" w:hAnsi="Aptos" w:eastAsia="Aptos" w:cs="Aptos"/>
        </w:rPr>
      </w:pPr>
      <w:r w:rsidRPr="4088F1C4" w:rsidR="65B3257D">
        <w:rPr>
          <w:rFonts w:ascii="Aptos" w:hAnsi="Aptos" w:eastAsia="Aptos" w:cs="Aptos"/>
        </w:rPr>
        <w:t>Recommend</w:t>
      </w:r>
      <w:r w:rsidRPr="4088F1C4" w:rsidR="54B5BDB7">
        <w:rPr>
          <w:rFonts w:ascii="Aptos" w:hAnsi="Aptos" w:eastAsia="Aptos" w:cs="Aptos"/>
        </w:rPr>
        <w:t xml:space="preserve"> </w:t>
      </w:r>
      <w:r w:rsidRPr="4088F1C4" w:rsidR="5FFD36E7">
        <w:rPr>
          <w:rFonts w:ascii="Aptos" w:hAnsi="Aptos" w:eastAsia="Aptos" w:cs="Aptos"/>
        </w:rPr>
        <w:t>the New Zealand Government explicit</w:t>
      </w:r>
      <w:r w:rsidRPr="4088F1C4" w:rsidR="3FF59C69">
        <w:rPr>
          <w:rFonts w:ascii="Aptos" w:hAnsi="Aptos" w:eastAsia="Aptos" w:cs="Aptos"/>
        </w:rPr>
        <w:t>ly</w:t>
      </w:r>
      <w:r w:rsidRPr="4088F1C4" w:rsidR="5FFD36E7">
        <w:rPr>
          <w:rFonts w:ascii="Aptos" w:hAnsi="Aptos" w:eastAsia="Aptos" w:cs="Aptos"/>
        </w:rPr>
        <w:t xml:space="preserve"> re</w:t>
      </w:r>
      <w:r w:rsidRPr="4088F1C4" w:rsidR="5FFD36E7">
        <w:rPr>
          <w:rFonts w:ascii="Aptos" w:hAnsi="Aptos" w:eastAsia="Aptos" w:cs="Aptos"/>
        </w:rPr>
        <w:t>cogn</w:t>
      </w:r>
      <w:r w:rsidRPr="4088F1C4" w:rsidR="0EA45644">
        <w:rPr>
          <w:rFonts w:ascii="Aptos" w:hAnsi="Aptos" w:eastAsia="Aptos" w:cs="Aptos"/>
        </w:rPr>
        <w:t>ise</w:t>
      </w:r>
      <w:r w:rsidRPr="4088F1C4" w:rsidR="58508AF5">
        <w:rPr>
          <w:rFonts w:ascii="Aptos" w:hAnsi="Aptos" w:eastAsia="Aptos" w:cs="Aptos"/>
        </w:rPr>
        <w:t>s</w:t>
      </w:r>
      <w:r w:rsidRPr="4088F1C4" w:rsidR="0EA45644">
        <w:rPr>
          <w:rFonts w:ascii="Aptos" w:hAnsi="Aptos" w:eastAsia="Aptos" w:cs="Aptos"/>
        </w:rPr>
        <w:t xml:space="preserve"> T</w:t>
      </w:r>
      <w:r w:rsidRPr="4088F1C4" w:rsidR="0EA45644">
        <w:rPr>
          <w:rFonts w:ascii="Aptos" w:hAnsi="Aptos" w:eastAsia="Aptos" w:cs="Aptos"/>
        </w:rPr>
        <w:t>uri Māori in</w:t>
      </w:r>
      <w:r w:rsidRPr="4088F1C4" w:rsidR="5FFD36E7">
        <w:rPr>
          <w:rFonts w:ascii="Aptos" w:hAnsi="Aptos" w:eastAsia="Aptos" w:cs="Aptos"/>
        </w:rPr>
        <w:t xml:space="preserve"> all references to Māori in the CERD context</w:t>
      </w:r>
      <w:r w:rsidRPr="4088F1C4" w:rsidR="084533B3">
        <w:rPr>
          <w:rFonts w:ascii="Aptos" w:hAnsi="Aptos" w:eastAsia="Aptos" w:cs="Aptos"/>
        </w:rPr>
        <w:t xml:space="preserve">, </w:t>
      </w:r>
      <w:r w:rsidRPr="4088F1C4" w:rsidR="5FFD36E7">
        <w:rPr>
          <w:rFonts w:ascii="Aptos" w:hAnsi="Aptos" w:eastAsia="Aptos" w:cs="Aptos"/>
        </w:rPr>
        <w:t>acknowledging their dual cultural identities and the distinct forms of racism and ableism</w:t>
      </w:r>
      <w:r w:rsidRPr="4088F1C4" w:rsidR="6391A2E3">
        <w:rPr>
          <w:rFonts w:ascii="Aptos" w:hAnsi="Aptos" w:eastAsia="Aptos" w:cs="Aptos"/>
        </w:rPr>
        <w:t>/audism</w:t>
      </w:r>
      <w:r w:rsidRPr="4088F1C4" w:rsidR="5FFD36E7">
        <w:rPr>
          <w:rFonts w:ascii="Aptos" w:hAnsi="Aptos" w:eastAsia="Aptos" w:cs="Aptos"/>
        </w:rPr>
        <w:t xml:space="preserve"> they face.</w:t>
      </w:r>
      <w:r>
        <w:br/>
      </w:r>
    </w:p>
    <w:p w:rsidR="38366A07" w:rsidP="215BEAC8" w:rsidRDefault="534EE367" w14:paraId="62F45C0F" w14:textId="5A4DEC75">
      <w:pPr>
        <w:pStyle w:val="ListParagraph"/>
        <w:numPr>
          <w:ilvl w:val="0"/>
          <w:numId w:val="1"/>
        </w:numPr>
        <w:rPr/>
      </w:pPr>
      <w:r w:rsidR="5790B743">
        <w:rPr/>
        <w:t>Recommend</w:t>
      </w:r>
      <w:r w:rsidR="534EE367">
        <w:rPr/>
        <w:t xml:space="preserve"> the New Zealand Government</w:t>
      </w:r>
      <w:r w:rsidR="2C7BE80A">
        <w:rPr/>
        <w:t xml:space="preserve"> undertake</w:t>
      </w:r>
      <w:r w:rsidR="04134144">
        <w:rPr/>
        <w:t>s</w:t>
      </w:r>
      <w:r w:rsidR="2C7BE80A">
        <w:rPr/>
        <w:t xml:space="preserve"> specific initiatives to:</w:t>
      </w:r>
    </w:p>
    <w:p w:rsidR="38366A07" w:rsidP="61496F30" w:rsidRDefault="56E6801C" w14:paraId="2E5EF683" w14:textId="1D9BE0F5">
      <w:pPr>
        <w:pStyle w:val="ListParagraph"/>
        <w:numPr>
          <w:ilvl w:val="0"/>
          <w:numId w:val="5"/>
        </w:numPr>
      </w:pPr>
      <w:r>
        <w:t xml:space="preserve">involve </w:t>
      </w:r>
      <w:r w:rsidR="2DDD69F7">
        <w:t>Turi Māori in co-</w:t>
      </w:r>
      <w:r w:rsidR="5ABAD8E8">
        <w:t>designing</w:t>
      </w:r>
      <w:r w:rsidR="2DDD69F7">
        <w:t xml:space="preserve"> s</w:t>
      </w:r>
      <w:r w:rsidR="48D7B093">
        <w:t>ervices and research</w:t>
      </w:r>
    </w:p>
    <w:p w:rsidR="0BBF6C3A" w:rsidP="61496F30" w:rsidRDefault="0BBF6C3A" w14:paraId="3FB17324" w14:textId="1F3C7E10">
      <w:pPr>
        <w:pStyle w:val="ListParagraph"/>
        <w:numPr>
          <w:ilvl w:val="0"/>
          <w:numId w:val="5"/>
        </w:numPr>
      </w:pPr>
      <w:r>
        <w:t>support and encourage</w:t>
      </w:r>
      <w:r w:rsidR="395390C2">
        <w:t xml:space="preserve"> Turi </w:t>
      </w:r>
      <w:r w:rsidR="335A39F3">
        <w:t>Māori</w:t>
      </w:r>
      <w:r>
        <w:t xml:space="preserve"> to</w:t>
      </w:r>
      <w:r w:rsidR="510A38AA">
        <w:t xml:space="preserve"> lead research to ensure the data reflects lived experiences and priorities </w:t>
      </w:r>
      <w:r>
        <w:t xml:space="preserve"> </w:t>
      </w:r>
    </w:p>
    <w:p w:rsidR="2CF33143" w:rsidP="215BEAC8" w:rsidRDefault="556E34EA" w14:paraId="5DBB524B" w14:textId="6EDA6BBB">
      <w:pPr>
        <w:pStyle w:val="ListParagraph"/>
        <w:numPr>
          <w:ilvl w:val="0"/>
          <w:numId w:val="5"/>
        </w:numPr>
        <w:rPr/>
      </w:pPr>
      <w:r w:rsidR="556E34EA">
        <w:rPr/>
        <w:t>e</w:t>
      </w:r>
      <w:r w:rsidR="363A4CA7">
        <w:rPr/>
        <w:t>nsure n</w:t>
      </w:r>
      <w:r w:rsidR="0C8A121C">
        <w:rPr/>
        <w:t>ational data collection</w:t>
      </w:r>
      <w:r w:rsidR="79ADA6E2">
        <w:rPr/>
        <w:t>s</w:t>
      </w:r>
      <w:r w:rsidR="0C8A121C">
        <w:rPr/>
        <w:t xml:space="preserve"> </w:t>
      </w:r>
      <w:r w:rsidR="0C8A121C">
        <w:rPr/>
        <w:t>make</w:t>
      </w:r>
      <w:r w:rsidR="30F38ECB">
        <w:rPr/>
        <w:t>s</w:t>
      </w:r>
      <w:r w:rsidR="0C8A121C">
        <w:rPr/>
        <w:t xml:space="preserve"> Turi Māori visible</w:t>
      </w:r>
      <w:r w:rsidR="58935F9A">
        <w:rPr/>
        <w:t>.</w:t>
      </w:r>
      <w:r w:rsidR="4720C363">
        <w:rPr/>
        <w:t xml:space="preserve"> </w:t>
      </w:r>
    </w:p>
    <w:p w:rsidR="2CF33143" w:rsidP="215BEAC8" w:rsidRDefault="2CF33143" w14:paraId="027632DD" w14:textId="11A2F875">
      <w:pPr>
        <w:pStyle w:val="ListParagraph"/>
        <w:ind w:left="1080"/>
      </w:pPr>
    </w:p>
    <w:p w:rsidR="2CF33143" w:rsidP="215BEAC8" w:rsidRDefault="211B022F" w14:paraId="37FAA1CD" w14:textId="1E971C20">
      <w:pPr>
        <w:pStyle w:val="ListParagraph"/>
        <w:numPr>
          <w:ilvl w:val="0"/>
          <w:numId w:val="1"/>
        </w:numPr>
        <w:rPr/>
      </w:pPr>
      <w:r w:rsidR="60AB614B">
        <w:rPr/>
        <w:t>Recommend</w:t>
      </w:r>
      <w:r w:rsidR="211B022F">
        <w:rPr/>
        <w:t xml:space="preserve"> the New Zealand </w:t>
      </w:r>
      <w:r w:rsidR="4A425C46">
        <w:rPr/>
        <w:t>Government</w:t>
      </w:r>
      <w:r w:rsidR="211B022F">
        <w:rPr/>
        <w:t xml:space="preserve"> </w:t>
      </w:r>
      <w:r w:rsidR="7BD1808A">
        <w:rPr/>
        <w:t>develop</w:t>
      </w:r>
      <w:r w:rsidR="0B6E0999">
        <w:rPr/>
        <w:t>s</w:t>
      </w:r>
      <w:r w:rsidR="7BD1808A">
        <w:rPr/>
        <w:t xml:space="preserve"> specific initiative to </w:t>
      </w:r>
      <w:r w:rsidR="211B022F">
        <w:rPr/>
        <w:t>a</w:t>
      </w:r>
      <w:r w:rsidR="2CF33143">
        <w:rPr/>
        <w:t xml:space="preserve">ddress </w:t>
      </w:r>
      <w:r w:rsidR="6FD59770">
        <w:rPr/>
        <w:t>d</w:t>
      </w:r>
      <w:r w:rsidR="14638C3A">
        <w:rPr/>
        <w:t xml:space="preserve">igital </w:t>
      </w:r>
      <w:r w:rsidR="7D5F4251">
        <w:rPr/>
        <w:t xml:space="preserve">exclusion </w:t>
      </w:r>
      <w:r w:rsidR="77FF3596">
        <w:rPr/>
        <w:t>such as</w:t>
      </w:r>
      <w:r w:rsidR="14638C3A">
        <w:rPr/>
        <w:t xml:space="preserve">: </w:t>
      </w:r>
    </w:p>
    <w:p w:rsidR="14638C3A" w:rsidP="215BEAC8" w:rsidRDefault="47FB3303" w14:paraId="189F1C82" w14:textId="37C11677">
      <w:pPr>
        <w:pStyle w:val="ListParagraph"/>
        <w:numPr>
          <w:ilvl w:val="0"/>
          <w:numId w:val="4"/>
        </w:numPr>
        <w:ind w:left="1080"/>
      </w:pPr>
      <w:r>
        <w:t>e</w:t>
      </w:r>
      <w:r w:rsidR="14638C3A">
        <w:t>stablish</w:t>
      </w:r>
      <w:r w:rsidR="5F233DB7">
        <w:t>ing</w:t>
      </w:r>
      <w:r w:rsidR="14638C3A">
        <w:t xml:space="preserve"> dedicated funding to support Turi Māori with access to affordable internet, devices and digital literacy training</w:t>
      </w:r>
      <w:r w:rsidR="42E3781A">
        <w:t xml:space="preserve"> and community-led tech hubs run by Turi Māori</w:t>
      </w:r>
      <w:r w:rsidR="02281F26">
        <w:t xml:space="preserve"> to provide safe spaces for learning, connecting and building confidence with online platforms.</w:t>
      </w:r>
    </w:p>
    <w:p w:rsidR="77816B27" w:rsidP="215BEAC8" w:rsidRDefault="77816B27" w14:paraId="68361043" w14:textId="59EB4B86">
      <w:pPr>
        <w:pStyle w:val="ListParagraph"/>
      </w:pPr>
    </w:p>
    <w:p w:rsidR="61496F30" w:rsidP="215BEAC8" w:rsidRDefault="6267281E" w14:paraId="0B0C1779" w14:textId="053097C8">
      <w:pPr>
        <w:pStyle w:val="ListParagraph"/>
        <w:numPr>
          <w:ilvl w:val="0"/>
          <w:numId w:val="1"/>
        </w:numPr>
        <w:rPr>
          <w:rFonts w:ascii="Aptos" w:hAnsi="Aptos" w:eastAsia="Aptos" w:cs="Aptos"/>
        </w:rPr>
      </w:pPr>
      <w:r w:rsidRPr="4088F1C4" w:rsidR="1EBAE72F">
        <w:rPr>
          <w:rFonts w:ascii="Aptos" w:hAnsi="Aptos" w:eastAsia="Aptos" w:cs="Aptos"/>
        </w:rPr>
        <w:t>Recommend</w:t>
      </w:r>
      <w:r w:rsidRPr="4088F1C4" w:rsidR="6267281E">
        <w:rPr>
          <w:rFonts w:ascii="Aptos" w:hAnsi="Aptos" w:eastAsia="Aptos" w:cs="Aptos"/>
        </w:rPr>
        <w:t xml:space="preserve"> the New Zealand </w:t>
      </w:r>
      <w:r w:rsidRPr="4088F1C4" w:rsidR="1693667D">
        <w:rPr>
          <w:rFonts w:ascii="Aptos" w:hAnsi="Aptos" w:eastAsia="Aptos" w:cs="Aptos"/>
        </w:rPr>
        <w:t>Government</w:t>
      </w:r>
      <w:r w:rsidRPr="4088F1C4" w:rsidR="26CE3DA4">
        <w:rPr>
          <w:rFonts w:ascii="Aptos" w:hAnsi="Aptos" w:eastAsia="Aptos" w:cs="Aptos"/>
        </w:rPr>
        <w:t xml:space="preserve"> develop</w:t>
      </w:r>
      <w:r w:rsidRPr="4088F1C4" w:rsidR="7EEBB30A">
        <w:rPr>
          <w:rFonts w:ascii="Aptos" w:hAnsi="Aptos" w:eastAsia="Aptos" w:cs="Aptos"/>
        </w:rPr>
        <w:t>s</w:t>
      </w:r>
      <w:r w:rsidRPr="4088F1C4" w:rsidR="26CE3DA4">
        <w:rPr>
          <w:rFonts w:ascii="Aptos" w:hAnsi="Aptos" w:eastAsia="Aptos" w:cs="Aptos"/>
        </w:rPr>
        <w:t xml:space="preserve"> s</w:t>
      </w:r>
      <w:r w:rsidRPr="4088F1C4" w:rsidR="1D5D3063">
        <w:rPr>
          <w:rFonts w:ascii="Aptos" w:hAnsi="Aptos" w:eastAsia="Aptos" w:cs="Aptos"/>
        </w:rPr>
        <w:t xml:space="preserve">ervices </w:t>
      </w:r>
      <w:r w:rsidRPr="4088F1C4" w:rsidR="59FBC8DC">
        <w:rPr>
          <w:rFonts w:ascii="Aptos" w:hAnsi="Aptos" w:eastAsia="Aptos" w:cs="Aptos"/>
        </w:rPr>
        <w:t xml:space="preserve">that are based on </w:t>
      </w:r>
      <w:r w:rsidRPr="4088F1C4" w:rsidR="1D5D3063">
        <w:rPr>
          <w:rFonts w:ascii="Aptos" w:hAnsi="Aptos" w:eastAsia="Aptos" w:cs="Aptos"/>
        </w:rPr>
        <w:t xml:space="preserve">trauma-informed care models based on </w:t>
      </w:r>
      <w:r w:rsidRPr="4088F1C4" w:rsidR="697C6883">
        <w:rPr>
          <w:rFonts w:ascii="Aptos" w:hAnsi="Aptos" w:eastAsia="Aptos" w:cs="Aptos"/>
        </w:rPr>
        <w:t>Te</w:t>
      </w:r>
      <w:r w:rsidRPr="4088F1C4" w:rsidR="1D5D3063">
        <w:rPr>
          <w:rFonts w:ascii="Aptos" w:hAnsi="Aptos" w:eastAsia="Aptos" w:cs="Aptos"/>
        </w:rPr>
        <w:t xml:space="preserve"> </w:t>
      </w:r>
      <w:r w:rsidRPr="4088F1C4" w:rsidR="2E53EF78">
        <w:rPr>
          <w:rFonts w:ascii="Aptos" w:hAnsi="Aptos" w:eastAsia="Aptos" w:cs="Aptos"/>
        </w:rPr>
        <w:t>A</w:t>
      </w:r>
      <w:r w:rsidRPr="4088F1C4" w:rsidR="1D5D3063">
        <w:rPr>
          <w:rFonts w:ascii="Aptos" w:hAnsi="Aptos" w:eastAsia="Aptos" w:cs="Aptos"/>
        </w:rPr>
        <w:t>o Māori frameworks, including wānanga, cultural reconnection, and Turi Māori-led healing spaces. Services must also be culturally safe, with staff trained in both Deaf culture and tikanga Māori to ensure respectful and effective support.</w:t>
      </w:r>
    </w:p>
    <w:p w:rsidR="41005100" w:rsidP="41005100" w:rsidRDefault="41005100" w14:paraId="2F4907C8" w14:textId="750C6D43">
      <w:pPr>
        <w:rPr>
          <w:rFonts w:ascii="Aptos" w:hAnsi="Aptos" w:eastAsia="Aptos" w:cs="Aptos"/>
        </w:rPr>
      </w:pPr>
    </w:p>
    <w:p w:rsidR="41005100" w:rsidP="41005100" w:rsidRDefault="41005100" w14:paraId="1D63793F" w14:textId="1B8EE938">
      <w:pPr>
        <w:rPr>
          <w:rFonts w:ascii="Aptos" w:hAnsi="Aptos" w:eastAsia="Aptos" w:cs="Aptos"/>
        </w:rPr>
      </w:pPr>
    </w:p>
    <w:sectPr w:rsidR="4100510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2E0E" w:rsidRDefault="00892E0E" w14:paraId="51BE8E97" w14:textId="77777777">
      <w:pPr>
        <w:spacing w:after="0" w:line="240" w:lineRule="auto"/>
      </w:pPr>
      <w:r>
        <w:separator/>
      </w:r>
    </w:p>
  </w:endnote>
  <w:endnote w:type="continuationSeparator" w:id="0">
    <w:p w:rsidR="00892E0E" w:rsidRDefault="00892E0E" w14:paraId="0E37E4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2E0E" w:rsidRDefault="00892E0E" w14:paraId="19BA278A" w14:textId="77777777">
      <w:pPr>
        <w:spacing w:after="0" w:line="240" w:lineRule="auto"/>
      </w:pPr>
      <w:r>
        <w:separator/>
      </w:r>
    </w:p>
  </w:footnote>
  <w:footnote w:type="continuationSeparator" w:id="0">
    <w:p w:rsidR="00892E0E" w:rsidRDefault="00892E0E" w14:paraId="2A4418CE"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9xMi9ev" int2:invalidationBookmarkName="" int2:hashCode="+W2gKabapDIdcy" int2:id="ocS78TH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E4D75"/>
    <w:multiLevelType w:val="hybridMultilevel"/>
    <w:tmpl w:val="4F02730C"/>
    <w:lvl w:ilvl="0" w:tplc="3206752E">
      <w:start w:val="1"/>
      <w:numFmt w:val="bullet"/>
      <w:lvlText w:val=""/>
      <w:lvlJc w:val="left"/>
      <w:pPr>
        <w:ind w:left="720" w:hanging="360"/>
      </w:pPr>
      <w:rPr>
        <w:rFonts w:hint="default" w:ascii="Symbol" w:hAnsi="Symbol"/>
      </w:rPr>
    </w:lvl>
    <w:lvl w:ilvl="1" w:tplc="D264DB2E">
      <w:start w:val="1"/>
      <w:numFmt w:val="bullet"/>
      <w:lvlText w:val="o"/>
      <w:lvlJc w:val="left"/>
      <w:pPr>
        <w:ind w:left="1440" w:hanging="360"/>
      </w:pPr>
      <w:rPr>
        <w:rFonts w:hint="default" w:ascii="Courier New" w:hAnsi="Courier New"/>
      </w:rPr>
    </w:lvl>
    <w:lvl w:ilvl="2" w:tplc="0DC8FA60">
      <w:start w:val="1"/>
      <w:numFmt w:val="bullet"/>
      <w:lvlText w:val=""/>
      <w:lvlJc w:val="left"/>
      <w:pPr>
        <w:ind w:left="2160" w:hanging="360"/>
      </w:pPr>
      <w:rPr>
        <w:rFonts w:hint="default" w:ascii="Wingdings" w:hAnsi="Wingdings"/>
      </w:rPr>
    </w:lvl>
    <w:lvl w:ilvl="3" w:tplc="EFEA6C9C">
      <w:start w:val="1"/>
      <w:numFmt w:val="bullet"/>
      <w:lvlText w:val=""/>
      <w:lvlJc w:val="left"/>
      <w:pPr>
        <w:ind w:left="2880" w:hanging="360"/>
      </w:pPr>
      <w:rPr>
        <w:rFonts w:hint="default" w:ascii="Symbol" w:hAnsi="Symbol"/>
      </w:rPr>
    </w:lvl>
    <w:lvl w:ilvl="4" w:tplc="3A0C5040">
      <w:start w:val="1"/>
      <w:numFmt w:val="bullet"/>
      <w:lvlText w:val="o"/>
      <w:lvlJc w:val="left"/>
      <w:pPr>
        <w:ind w:left="3600" w:hanging="360"/>
      </w:pPr>
      <w:rPr>
        <w:rFonts w:hint="default" w:ascii="Courier New" w:hAnsi="Courier New"/>
      </w:rPr>
    </w:lvl>
    <w:lvl w:ilvl="5" w:tplc="1D78CE20">
      <w:start w:val="1"/>
      <w:numFmt w:val="bullet"/>
      <w:lvlText w:val=""/>
      <w:lvlJc w:val="left"/>
      <w:pPr>
        <w:ind w:left="4320" w:hanging="360"/>
      </w:pPr>
      <w:rPr>
        <w:rFonts w:hint="default" w:ascii="Wingdings" w:hAnsi="Wingdings"/>
      </w:rPr>
    </w:lvl>
    <w:lvl w:ilvl="6" w:tplc="326A8774">
      <w:start w:val="1"/>
      <w:numFmt w:val="bullet"/>
      <w:lvlText w:val=""/>
      <w:lvlJc w:val="left"/>
      <w:pPr>
        <w:ind w:left="5040" w:hanging="360"/>
      </w:pPr>
      <w:rPr>
        <w:rFonts w:hint="default" w:ascii="Symbol" w:hAnsi="Symbol"/>
      </w:rPr>
    </w:lvl>
    <w:lvl w:ilvl="7" w:tplc="D9BEFA58">
      <w:start w:val="1"/>
      <w:numFmt w:val="bullet"/>
      <w:lvlText w:val="o"/>
      <w:lvlJc w:val="left"/>
      <w:pPr>
        <w:ind w:left="5760" w:hanging="360"/>
      </w:pPr>
      <w:rPr>
        <w:rFonts w:hint="default" w:ascii="Courier New" w:hAnsi="Courier New"/>
      </w:rPr>
    </w:lvl>
    <w:lvl w:ilvl="8" w:tplc="9110A6DE">
      <w:start w:val="1"/>
      <w:numFmt w:val="bullet"/>
      <w:lvlText w:val=""/>
      <w:lvlJc w:val="left"/>
      <w:pPr>
        <w:ind w:left="6480" w:hanging="360"/>
      </w:pPr>
      <w:rPr>
        <w:rFonts w:hint="default" w:ascii="Wingdings" w:hAnsi="Wingdings"/>
      </w:rPr>
    </w:lvl>
  </w:abstractNum>
  <w:abstractNum w:abstractNumId="1" w15:restartNumberingAfterBreak="0">
    <w:nsid w:val="1C232F79"/>
    <w:multiLevelType w:val="multilevel"/>
    <w:tmpl w:val="C02E4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216F81"/>
    <w:multiLevelType w:val="multilevel"/>
    <w:tmpl w:val="E320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73741"/>
    <w:multiLevelType w:val="hybridMultilevel"/>
    <w:tmpl w:val="52DC186A"/>
    <w:lvl w:ilvl="0" w:tplc="1A580FE2">
      <w:start w:val="1"/>
      <w:numFmt w:val="decimal"/>
      <w:lvlText w:val="%1."/>
      <w:lvlJc w:val="left"/>
      <w:pPr>
        <w:ind w:left="720" w:hanging="360"/>
      </w:pPr>
    </w:lvl>
    <w:lvl w:ilvl="1" w:tplc="C3B0CC4A">
      <w:start w:val="1"/>
      <w:numFmt w:val="lowerLetter"/>
      <w:lvlText w:val="%2."/>
      <w:lvlJc w:val="left"/>
      <w:pPr>
        <w:ind w:left="1440" w:hanging="360"/>
      </w:pPr>
    </w:lvl>
    <w:lvl w:ilvl="2" w:tplc="B10C9506">
      <w:start w:val="1"/>
      <w:numFmt w:val="lowerRoman"/>
      <w:lvlText w:val="%3."/>
      <w:lvlJc w:val="right"/>
      <w:pPr>
        <w:ind w:left="2160" w:hanging="180"/>
      </w:pPr>
    </w:lvl>
    <w:lvl w:ilvl="3" w:tplc="A43E63FA">
      <w:start w:val="1"/>
      <w:numFmt w:val="decimal"/>
      <w:lvlText w:val="%4."/>
      <w:lvlJc w:val="left"/>
      <w:pPr>
        <w:ind w:left="2880" w:hanging="360"/>
      </w:pPr>
    </w:lvl>
    <w:lvl w:ilvl="4" w:tplc="CEEA8D34">
      <w:start w:val="1"/>
      <w:numFmt w:val="lowerLetter"/>
      <w:lvlText w:val="%5."/>
      <w:lvlJc w:val="left"/>
      <w:pPr>
        <w:ind w:left="3600" w:hanging="360"/>
      </w:pPr>
    </w:lvl>
    <w:lvl w:ilvl="5" w:tplc="9ECA427E">
      <w:start w:val="1"/>
      <w:numFmt w:val="lowerRoman"/>
      <w:lvlText w:val="%6."/>
      <w:lvlJc w:val="right"/>
      <w:pPr>
        <w:ind w:left="4320" w:hanging="180"/>
      </w:pPr>
    </w:lvl>
    <w:lvl w:ilvl="6" w:tplc="4C7CA928">
      <w:start w:val="1"/>
      <w:numFmt w:val="decimal"/>
      <w:lvlText w:val="%7."/>
      <w:lvlJc w:val="left"/>
      <w:pPr>
        <w:ind w:left="5040" w:hanging="360"/>
      </w:pPr>
    </w:lvl>
    <w:lvl w:ilvl="7" w:tplc="134E15A6">
      <w:start w:val="1"/>
      <w:numFmt w:val="lowerLetter"/>
      <w:lvlText w:val="%8."/>
      <w:lvlJc w:val="left"/>
      <w:pPr>
        <w:ind w:left="5760" w:hanging="360"/>
      </w:pPr>
    </w:lvl>
    <w:lvl w:ilvl="8" w:tplc="013CAA02">
      <w:start w:val="1"/>
      <w:numFmt w:val="lowerRoman"/>
      <w:lvlText w:val="%9."/>
      <w:lvlJc w:val="right"/>
      <w:pPr>
        <w:ind w:left="6480" w:hanging="180"/>
      </w:pPr>
    </w:lvl>
  </w:abstractNum>
  <w:abstractNum w:abstractNumId="4" w15:restartNumberingAfterBreak="0">
    <w:nsid w:val="474F0BD3"/>
    <w:multiLevelType w:val="hybridMultilevel"/>
    <w:tmpl w:val="2AF68440"/>
    <w:lvl w:ilvl="0" w:tplc="2AB6EA24">
      <w:start w:val="1"/>
      <w:numFmt w:val="bullet"/>
      <w:lvlText w:val=""/>
      <w:lvlJc w:val="left"/>
      <w:pPr>
        <w:ind w:left="1080" w:hanging="360"/>
      </w:pPr>
      <w:rPr>
        <w:rFonts w:hint="default" w:ascii="Symbol" w:hAnsi="Symbol"/>
      </w:rPr>
    </w:lvl>
    <w:lvl w:ilvl="1" w:tplc="1812D4A0">
      <w:start w:val="1"/>
      <w:numFmt w:val="bullet"/>
      <w:lvlText w:val="o"/>
      <w:lvlJc w:val="left"/>
      <w:pPr>
        <w:ind w:left="1800" w:hanging="360"/>
      </w:pPr>
      <w:rPr>
        <w:rFonts w:hint="default" w:ascii="Courier New" w:hAnsi="Courier New"/>
      </w:rPr>
    </w:lvl>
    <w:lvl w:ilvl="2" w:tplc="83CEFC78">
      <w:start w:val="1"/>
      <w:numFmt w:val="bullet"/>
      <w:lvlText w:val=""/>
      <w:lvlJc w:val="left"/>
      <w:pPr>
        <w:ind w:left="2520" w:hanging="360"/>
      </w:pPr>
      <w:rPr>
        <w:rFonts w:hint="default" w:ascii="Wingdings" w:hAnsi="Wingdings"/>
      </w:rPr>
    </w:lvl>
    <w:lvl w:ilvl="3" w:tplc="2C02977E">
      <w:start w:val="1"/>
      <w:numFmt w:val="bullet"/>
      <w:lvlText w:val=""/>
      <w:lvlJc w:val="left"/>
      <w:pPr>
        <w:ind w:left="3240" w:hanging="360"/>
      </w:pPr>
      <w:rPr>
        <w:rFonts w:hint="default" w:ascii="Symbol" w:hAnsi="Symbol"/>
      </w:rPr>
    </w:lvl>
    <w:lvl w:ilvl="4" w:tplc="5CACA352">
      <w:start w:val="1"/>
      <w:numFmt w:val="bullet"/>
      <w:lvlText w:val="o"/>
      <w:lvlJc w:val="left"/>
      <w:pPr>
        <w:ind w:left="3960" w:hanging="360"/>
      </w:pPr>
      <w:rPr>
        <w:rFonts w:hint="default" w:ascii="Courier New" w:hAnsi="Courier New"/>
      </w:rPr>
    </w:lvl>
    <w:lvl w:ilvl="5" w:tplc="02B059A0">
      <w:start w:val="1"/>
      <w:numFmt w:val="bullet"/>
      <w:lvlText w:val=""/>
      <w:lvlJc w:val="left"/>
      <w:pPr>
        <w:ind w:left="4680" w:hanging="360"/>
      </w:pPr>
      <w:rPr>
        <w:rFonts w:hint="default" w:ascii="Wingdings" w:hAnsi="Wingdings"/>
      </w:rPr>
    </w:lvl>
    <w:lvl w:ilvl="6" w:tplc="B8485838">
      <w:start w:val="1"/>
      <w:numFmt w:val="bullet"/>
      <w:lvlText w:val=""/>
      <w:lvlJc w:val="left"/>
      <w:pPr>
        <w:ind w:left="5400" w:hanging="360"/>
      </w:pPr>
      <w:rPr>
        <w:rFonts w:hint="default" w:ascii="Symbol" w:hAnsi="Symbol"/>
      </w:rPr>
    </w:lvl>
    <w:lvl w:ilvl="7" w:tplc="E10E988E">
      <w:start w:val="1"/>
      <w:numFmt w:val="bullet"/>
      <w:lvlText w:val="o"/>
      <w:lvlJc w:val="left"/>
      <w:pPr>
        <w:ind w:left="6120" w:hanging="360"/>
      </w:pPr>
      <w:rPr>
        <w:rFonts w:hint="default" w:ascii="Courier New" w:hAnsi="Courier New"/>
      </w:rPr>
    </w:lvl>
    <w:lvl w:ilvl="8" w:tplc="1E6EAF00">
      <w:start w:val="1"/>
      <w:numFmt w:val="bullet"/>
      <w:lvlText w:val=""/>
      <w:lvlJc w:val="left"/>
      <w:pPr>
        <w:ind w:left="6840" w:hanging="360"/>
      </w:pPr>
      <w:rPr>
        <w:rFonts w:hint="default" w:ascii="Wingdings" w:hAnsi="Wingdings"/>
      </w:rPr>
    </w:lvl>
  </w:abstractNum>
  <w:abstractNum w:abstractNumId="5" w15:restartNumberingAfterBreak="0">
    <w:nsid w:val="67AA09FA"/>
    <w:multiLevelType w:val="hybridMultilevel"/>
    <w:tmpl w:val="7D848EBA"/>
    <w:lvl w:ilvl="0" w:tplc="D84EE508">
      <w:start w:val="1"/>
      <w:numFmt w:val="decimal"/>
      <w:lvlText w:val="%1."/>
      <w:lvlJc w:val="left"/>
      <w:pPr>
        <w:ind w:left="720" w:hanging="360"/>
      </w:pPr>
    </w:lvl>
    <w:lvl w:ilvl="1" w:tplc="017C4214">
      <w:start w:val="1"/>
      <w:numFmt w:val="lowerLetter"/>
      <w:lvlText w:val="%2."/>
      <w:lvlJc w:val="left"/>
      <w:pPr>
        <w:ind w:left="1440" w:hanging="360"/>
      </w:pPr>
    </w:lvl>
    <w:lvl w:ilvl="2" w:tplc="8D187536">
      <w:start w:val="1"/>
      <w:numFmt w:val="lowerRoman"/>
      <w:lvlText w:val="%3."/>
      <w:lvlJc w:val="right"/>
      <w:pPr>
        <w:ind w:left="2160" w:hanging="180"/>
      </w:pPr>
    </w:lvl>
    <w:lvl w:ilvl="3" w:tplc="F9609A52">
      <w:start w:val="1"/>
      <w:numFmt w:val="decimal"/>
      <w:lvlText w:val="%4."/>
      <w:lvlJc w:val="left"/>
      <w:pPr>
        <w:ind w:left="2880" w:hanging="360"/>
      </w:pPr>
    </w:lvl>
    <w:lvl w:ilvl="4" w:tplc="B6A670BE">
      <w:start w:val="1"/>
      <w:numFmt w:val="lowerLetter"/>
      <w:lvlText w:val="%5."/>
      <w:lvlJc w:val="left"/>
      <w:pPr>
        <w:ind w:left="3600" w:hanging="360"/>
      </w:pPr>
    </w:lvl>
    <w:lvl w:ilvl="5" w:tplc="9A400F98">
      <w:start w:val="1"/>
      <w:numFmt w:val="lowerRoman"/>
      <w:lvlText w:val="%6."/>
      <w:lvlJc w:val="right"/>
      <w:pPr>
        <w:ind w:left="4320" w:hanging="180"/>
      </w:pPr>
    </w:lvl>
    <w:lvl w:ilvl="6" w:tplc="81981F78">
      <w:start w:val="1"/>
      <w:numFmt w:val="decimal"/>
      <w:lvlText w:val="%7."/>
      <w:lvlJc w:val="left"/>
      <w:pPr>
        <w:ind w:left="5040" w:hanging="360"/>
      </w:pPr>
    </w:lvl>
    <w:lvl w:ilvl="7" w:tplc="91F87084">
      <w:start w:val="1"/>
      <w:numFmt w:val="lowerLetter"/>
      <w:lvlText w:val="%8."/>
      <w:lvlJc w:val="left"/>
      <w:pPr>
        <w:ind w:left="5760" w:hanging="360"/>
      </w:pPr>
    </w:lvl>
    <w:lvl w:ilvl="8" w:tplc="13A293D8">
      <w:start w:val="1"/>
      <w:numFmt w:val="lowerRoman"/>
      <w:lvlText w:val="%9."/>
      <w:lvlJc w:val="right"/>
      <w:pPr>
        <w:ind w:left="6480" w:hanging="180"/>
      </w:pPr>
    </w:lvl>
  </w:abstractNum>
  <w:abstractNum w:abstractNumId="6" w15:restartNumberingAfterBreak="0">
    <w:nsid w:val="73FED843"/>
    <w:multiLevelType w:val="hybridMultilevel"/>
    <w:tmpl w:val="5CD24328"/>
    <w:lvl w:ilvl="0" w:tplc="A6267AC6">
      <w:start w:val="1"/>
      <w:numFmt w:val="decimal"/>
      <w:lvlText w:val="%1."/>
      <w:lvlJc w:val="left"/>
      <w:pPr>
        <w:ind w:left="720" w:hanging="360"/>
      </w:pPr>
    </w:lvl>
    <w:lvl w:ilvl="1" w:tplc="96A6C404">
      <w:start w:val="1"/>
      <w:numFmt w:val="lowerLetter"/>
      <w:lvlText w:val="%2."/>
      <w:lvlJc w:val="left"/>
      <w:pPr>
        <w:ind w:left="1440" w:hanging="360"/>
      </w:pPr>
    </w:lvl>
    <w:lvl w:ilvl="2" w:tplc="678257B2">
      <w:start w:val="1"/>
      <w:numFmt w:val="lowerRoman"/>
      <w:lvlText w:val="%3."/>
      <w:lvlJc w:val="right"/>
      <w:pPr>
        <w:ind w:left="2160" w:hanging="180"/>
      </w:pPr>
    </w:lvl>
    <w:lvl w:ilvl="3" w:tplc="AF1C4B02">
      <w:start w:val="1"/>
      <w:numFmt w:val="decimal"/>
      <w:lvlText w:val="%4."/>
      <w:lvlJc w:val="left"/>
      <w:pPr>
        <w:ind w:left="2880" w:hanging="360"/>
      </w:pPr>
    </w:lvl>
    <w:lvl w:ilvl="4" w:tplc="09625A44">
      <w:start w:val="1"/>
      <w:numFmt w:val="lowerLetter"/>
      <w:lvlText w:val="%5."/>
      <w:lvlJc w:val="left"/>
      <w:pPr>
        <w:ind w:left="3600" w:hanging="360"/>
      </w:pPr>
    </w:lvl>
    <w:lvl w:ilvl="5" w:tplc="37A072F4">
      <w:start w:val="1"/>
      <w:numFmt w:val="lowerRoman"/>
      <w:lvlText w:val="%6."/>
      <w:lvlJc w:val="right"/>
      <w:pPr>
        <w:ind w:left="4320" w:hanging="180"/>
      </w:pPr>
    </w:lvl>
    <w:lvl w:ilvl="6" w:tplc="79729F96">
      <w:start w:val="1"/>
      <w:numFmt w:val="decimal"/>
      <w:lvlText w:val="%7."/>
      <w:lvlJc w:val="left"/>
      <w:pPr>
        <w:ind w:left="5040" w:hanging="360"/>
      </w:pPr>
    </w:lvl>
    <w:lvl w:ilvl="7" w:tplc="C8E0DD5A">
      <w:start w:val="1"/>
      <w:numFmt w:val="lowerLetter"/>
      <w:lvlText w:val="%8."/>
      <w:lvlJc w:val="left"/>
      <w:pPr>
        <w:ind w:left="5760" w:hanging="360"/>
      </w:pPr>
    </w:lvl>
    <w:lvl w:ilvl="8" w:tplc="7C6260B6">
      <w:start w:val="1"/>
      <w:numFmt w:val="lowerRoman"/>
      <w:lvlText w:val="%9."/>
      <w:lvlJc w:val="right"/>
      <w:pPr>
        <w:ind w:left="6480" w:hanging="180"/>
      </w:pPr>
    </w:lvl>
  </w:abstractNum>
  <w:num w:numId="1" w16cid:durableId="486752706">
    <w:abstractNumId w:val="3"/>
  </w:num>
  <w:num w:numId="2" w16cid:durableId="1913923670">
    <w:abstractNumId w:val="5"/>
  </w:num>
  <w:num w:numId="3" w16cid:durableId="364796575">
    <w:abstractNumId w:val="6"/>
  </w:num>
  <w:num w:numId="4" w16cid:durableId="329715638">
    <w:abstractNumId w:val="0"/>
  </w:num>
  <w:num w:numId="5" w16cid:durableId="1700204026">
    <w:abstractNumId w:val="4"/>
  </w:num>
  <w:num w:numId="6" w16cid:durableId="1456944539">
    <w:abstractNumId w:val="1"/>
  </w:num>
  <w:num w:numId="7" w16cid:durableId="661859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F2E"/>
    <w:rsid w:val="000100BF"/>
    <w:rsid w:val="00050723"/>
    <w:rsid w:val="0006097F"/>
    <w:rsid w:val="00086CAF"/>
    <w:rsid w:val="000C6550"/>
    <w:rsid w:val="000F5C0F"/>
    <w:rsid w:val="001156C3"/>
    <w:rsid w:val="001219D1"/>
    <w:rsid w:val="00137498"/>
    <w:rsid w:val="001379F9"/>
    <w:rsid w:val="0018670A"/>
    <w:rsid w:val="001A11C3"/>
    <w:rsid w:val="001A19C4"/>
    <w:rsid w:val="001B7A56"/>
    <w:rsid w:val="001D3977"/>
    <w:rsid w:val="001F1FF2"/>
    <w:rsid w:val="0020269A"/>
    <w:rsid w:val="002521E0"/>
    <w:rsid w:val="0027362E"/>
    <w:rsid w:val="002C1EC2"/>
    <w:rsid w:val="002E2C69"/>
    <w:rsid w:val="002F7A14"/>
    <w:rsid w:val="003175D3"/>
    <w:rsid w:val="003266EE"/>
    <w:rsid w:val="003448C7"/>
    <w:rsid w:val="00362C0A"/>
    <w:rsid w:val="0036593C"/>
    <w:rsid w:val="00366CD4"/>
    <w:rsid w:val="00373EED"/>
    <w:rsid w:val="00377679"/>
    <w:rsid w:val="003A7D6D"/>
    <w:rsid w:val="003C0D95"/>
    <w:rsid w:val="003C7120"/>
    <w:rsid w:val="003D0B18"/>
    <w:rsid w:val="00403D1E"/>
    <w:rsid w:val="00463FCF"/>
    <w:rsid w:val="004A48DC"/>
    <w:rsid w:val="004B37FA"/>
    <w:rsid w:val="004D3982"/>
    <w:rsid w:val="004F4FFF"/>
    <w:rsid w:val="004F74D4"/>
    <w:rsid w:val="00511192"/>
    <w:rsid w:val="00546CE3"/>
    <w:rsid w:val="00556D38"/>
    <w:rsid w:val="00595D70"/>
    <w:rsid w:val="005A290D"/>
    <w:rsid w:val="005C430D"/>
    <w:rsid w:val="005D70A9"/>
    <w:rsid w:val="005F6FE8"/>
    <w:rsid w:val="00605BC1"/>
    <w:rsid w:val="0062754F"/>
    <w:rsid w:val="006A2C3F"/>
    <w:rsid w:val="006C436C"/>
    <w:rsid w:val="006D098A"/>
    <w:rsid w:val="006D64DE"/>
    <w:rsid w:val="006E0185"/>
    <w:rsid w:val="00723F8A"/>
    <w:rsid w:val="0072533F"/>
    <w:rsid w:val="007359F8"/>
    <w:rsid w:val="00765B41"/>
    <w:rsid w:val="0079098F"/>
    <w:rsid w:val="007A6F56"/>
    <w:rsid w:val="007D70A9"/>
    <w:rsid w:val="00831ACE"/>
    <w:rsid w:val="00840858"/>
    <w:rsid w:val="00846E29"/>
    <w:rsid w:val="0085673D"/>
    <w:rsid w:val="00870906"/>
    <w:rsid w:val="00892E0E"/>
    <w:rsid w:val="008A2D4C"/>
    <w:rsid w:val="008C1DC8"/>
    <w:rsid w:val="008C2EFF"/>
    <w:rsid w:val="008D24C6"/>
    <w:rsid w:val="00955840"/>
    <w:rsid w:val="0096467D"/>
    <w:rsid w:val="0096646F"/>
    <w:rsid w:val="009878E1"/>
    <w:rsid w:val="00992FD8"/>
    <w:rsid w:val="009A347C"/>
    <w:rsid w:val="009A7A55"/>
    <w:rsid w:val="009C4CCB"/>
    <w:rsid w:val="009E0B73"/>
    <w:rsid w:val="009E65E8"/>
    <w:rsid w:val="009F1E77"/>
    <w:rsid w:val="00A031FE"/>
    <w:rsid w:val="00A10849"/>
    <w:rsid w:val="00A45AC3"/>
    <w:rsid w:val="00A6640B"/>
    <w:rsid w:val="00AB2CE1"/>
    <w:rsid w:val="00AC1CC6"/>
    <w:rsid w:val="00AD3FE2"/>
    <w:rsid w:val="00B0338B"/>
    <w:rsid w:val="00B15C21"/>
    <w:rsid w:val="00B716B5"/>
    <w:rsid w:val="00B93F2E"/>
    <w:rsid w:val="00BB385E"/>
    <w:rsid w:val="00BF1C27"/>
    <w:rsid w:val="00C164E4"/>
    <w:rsid w:val="00C33D85"/>
    <w:rsid w:val="00C36567"/>
    <w:rsid w:val="00C42297"/>
    <w:rsid w:val="00C60A3D"/>
    <w:rsid w:val="00C6145B"/>
    <w:rsid w:val="00CF1EDE"/>
    <w:rsid w:val="00CF3AD3"/>
    <w:rsid w:val="00D44D21"/>
    <w:rsid w:val="00D73B19"/>
    <w:rsid w:val="00DD519F"/>
    <w:rsid w:val="00DE59B8"/>
    <w:rsid w:val="00E33A2D"/>
    <w:rsid w:val="00E860E9"/>
    <w:rsid w:val="00EA2EEC"/>
    <w:rsid w:val="00EB357A"/>
    <w:rsid w:val="00EE06F7"/>
    <w:rsid w:val="00F27E8E"/>
    <w:rsid w:val="00FA442C"/>
    <w:rsid w:val="00FB6420"/>
    <w:rsid w:val="00FB7191"/>
    <w:rsid w:val="00FD65C1"/>
    <w:rsid w:val="00FE27E5"/>
    <w:rsid w:val="0172176A"/>
    <w:rsid w:val="01842D54"/>
    <w:rsid w:val="0202164B"/>
    <w:rsid w:val="02103428"/>
    <w:rsid w:val="02281F26"/>
    <w:rsid w:val="0285EEB7"/>
    <w:rsid w:val="02A05EB3"/>
    <w:rsid w:val="03030ED4"/>
    <w:rsid w:val="03D8C8E8"/>
    <w:rsid w:val="04134144"/>
    <w:rsid w:val="0479F61A"/>
    <w:rsid w:val="059DD8CD"/>
    <w:rsid w:val="05D9ED66"/>
    <w:rsid w:val="084533B3"/>
    <w:rsid w:val="08603B32"/>
    <w:rsid w:val="086CE404"/>
    <w:rsid w:val="088C0A9F"/>
    <w:rsid w:val="0912740D"/>
    <w:rsid w:val="09469423"/>
    <w:rsid w:val="0971CC1D"/>
    <w:rsid w:val="09728789"/>
    <w:rsid w:val="097AA8C2"/>
    <w:rsid w:val="0A4C2C02"/>
    <w:rsid w:val="0A59623C"/>
    <w:rsid w:val="0B6A5C3C"/>
    <w:rsid w:val="0B6E0999"/>
    <w:rsid w:val="0BA99783"/>
    <w:rsid w:val="0BBF6C3A"/>
    <w:rsid w:val="0BCF5CAE"/>
    <w:rsid w:val="0C8A121C"/>
    <w:rsid w:val="0D55CA28"/>
    <w:rsid w:val="0DF83FAE"/>
    <w:rsid w:val="0E84B80A"/>
    <w:rsid w:val="0EA45644"/>
    <w:rsid w:val="0EE38530"/>
    <w:rsid w:val="0F0F09BE"/>
    <w:rsid w:val="0F176129"/>
    <w:rsid w:val="0F6851EE"/>
    <w:rsid w:val="10D11275"/>
    <w:rsid w:val="1119F65B"/>
    <w:rsid w:val="1136E857"/>
    <w:rsid w:val="11A166A3"/>
    <w:rsid w:val="11A8FF2E"/>
    <w:rsid w:val="12A30BB5"/>
    <w:rsid w:val="1313BAAF"/>
    <w:rsid w:val="131C03AE"/>
    <w:rsid w:val="13273EA0"/>
    <w:rsid w:val="142F868F"/>
    <w:rsid w:val="1457D334"/>
    <w:rsid w:val="14638C3A"/>
    <w:rsid w:val="146CC4C5"/>
    <w:rsid w:val="14C8DE35"/>
    <w:rsid w:val="154CCF7C"/>
    <w:rsid w:val="15618EE7"/>
    <w:rsid w:val="1623D33C"/>
    <w:rsid w:val="1688ACE7"/>
    <w:rsid w:val="1693667D"/>
    <w:rsid w:val="17834E44"/>
    <w:rsid w:val="187FD986"/>
    <w:rsid w:val="1887678E"/>
    <w:rsid w:val="194D4FF7"/>
    <w:rsid w:val="1962602A"/>
    <w:rsid w:val="19C60226"/>
    <w:rsid w:val="19D95D61"/>
    <w:rsid w:val="1A457B4B"/>
    <w:rsid w:val="1CC46050"/>
    <w:rsid w:val="1D00BF5D"/>
    <w:rsid w:val="1D5D3063"/>
    <w:rsid w:val="1D809C5E"/>
    <w:rsid w:val="1D825DE1"/>
    <w:rsid w:val="1E16F953"/>
    <w:rsid w:val="1E608159"/>
    <w:rsid w:val="1EBAE72F"/>
    <w:rsid w:val="1F0C5B42"/>
    <w:rsid w:val="1F1F64A4"/>
    <w:rsid w:val="20120AF7"/>
    <w:rsid w:val="20121564"/>
    <w:rsid w:val="210928F6"/>
    <w:rsid w:val="21183A1A"/>
    <w:rsid w:val="211B022F"/>
    <w:rsid w:val="215BEAC8"/>
    <w:rsid w:val="22D3EC1D"/>
    <w:rsid w:val="2314240B"/>
    <w:rsid w:val="2341447D"/>
    <w:rsid w:val="23AF26A9"/>
    <w:rsid w:val="23F44C17"/>
    <w:rsid w:val="241E750F"/>
    <w:rsid w:val="24CBC78B"/>
    <w:rsid w:val="24E86C7F"/>
    <w:rsid w:val="25305B48"/>
    <w:rsid w:val="26568F2D"/>
    <w:rsid w:val="26CE3DA4"/>
    <w:rsid w:val="26ED8DD2"/>
    <w:rsid w:val="2749BFF9"/>
    <w:rsid w:val="291D7E5F"/>
    <w:rsid w:val="295080B2"/>
    <w:rsid w:val="295B26C5"/>
    <w:rsid w:val="29E8B51B"/>
    <w:rsid w:val="29F556C7"/>
    <w:rsid w:val="2A3CA019"/>
    <w:rsid w:val="2AF07D1F"/>
    <w:rsid w:val="2B133A08"/>
    <w:rsid w:val="2BA23C9A"/>
    <w:rsid w:val="2BFC9FBF"/>
    <w:rsid w:val="2C223BF9"/>
    <w:rsid w:val="2C338C9D"/>
    <w:rsid w:val="2C7BE80A"/>
    <w:rsid w:val="2C7D6F34"/>
    <w:rsid w:val="2C9293F9"/>
    <w:rsid w:val="2CA116F9"/>
    <w:rsid w:val="2CCAED78"/>
    <w:rsid w:val="2CF33143"/>
    <w:rsid w:val="2D3EA3F7"/>
    <w:rsid w:val="2D9E1D74"/>
    <w:rsid w:val="2DDD69F7"/>
    <w:rsid w:val="2E2751C7"/>
    <w:rsid w:val="2E53EF78"/>
    <w:rsid w:val="2E6469FD"/>
    <w:rsid w:val="2F589038"/>
    <w:rsid w:val="2F5C01B6"/>
    <w:rsid w:val="2FB093DD"/>
    <w:rsid w:val="30806219"/>
    <w:rsid w:val="30F38ECB"/>
    <w:rsid w:val="316DA53B"/>
    <w:rsid w:val="31E72698"/>
    <w:rsid w:val="324498F4"/>
    <w:rsid w:val="32567D2D"/>
    <w:rsid w:val="3293EFA3"/>
    <w:rsid w:val="3332ECC0"/>
    <w:rsid w:val="335A39F3"/>
    <w:rsid w:val="336C3DC2"/>
    <w:rsid w:val="338FED79"/>
    <w:rsid w:val="349AB16A"/>
    <w:rsid w:val="356BCF9D"/>
    <w:rsid w:val="35790812"/>
    <w:rsid w:val="3602C7C1"/>
    <w:rsid w:val="363A4CA7"/>
    <w:rsid w:val="36A361BC"/>
    <w:rsid w:val="37793FE3"/>
    <w:rsid w:val="37BE4E44"/>
    <w:rsid w:val="38366A07"/>
    <w:rsid w:val="3876E0E8"/>
    <w:rsid w:val="38784039"/>
    <w:rsid w:val="38922BE9"/>
    <w:rsid w:val="38A74CDF"/>
    <w:rsid w:val="38EA0BCF"/>
    <w:rsid w:val="395390C2"/>
    <w:rsid w:val="39C8EE8A"/>
    <w:rsid w:val="39CE832E"/>
    <w:rsid w:val="3A0EACC5"/>
    <w:rsid w:val="3A2E1DD6"/>
    <w:rsid w:val="3AC4793E"/>
    <w:rsid w:val="3ACF5EB2"/>
    <w:rsid w:val="3BBF509B"/>
    <w:rsid w:val="3BE34186"/>
    <w:rsid w:val="3C700D36"/>
    <w:rsid w:val="3C7BA9A8"/>
    <w:rsid w:val="3D10F02D"/>
    <w:rsid w:val="3D52770D"/>
    <w:rsid w:val="3D6C4F3C"/>
    <w:rsid w:val="3D9B3654"/>
    <w:rsid w:val="3DA356F2"/>
    <w:rsid w:val="3DCBDAF1"/>
    <w:rsid w:val="3DD973C6"/>
    <w:rsid w:val="3E32AD6D"/>
    <w:rsid w:val="3E579B09"/>
    <w:rsid w:val="3ED9AFF4"/>
    <w:rsid w:val="3FF59C69"/>
    <w:rsid w:val="4042DED6"/>
    <w:rsid w:val="4088F1C4"/>
    <w:rsid w:val="41005100"/>
    <w:rsid w:val="41603FF6"/>
    <w:rsid w:val="4207FB51"/>
    <w:rsid w:val="424726B6"/>
    <w:rsid w:val="425BCA62"/>
    <w:rsid w:val="42E3781A"/>
    <w:rsid w:val="42F4CC1E"/>
    <w:rsid w:val="434BD647"/>
    <w:rsid w:val="43A9483C"/>
    <w:rsid w:val="445FDC64"/>
    <w:rsid w:val="44E4D66D"/>
    <w:rsid w:val="44FA46A5"/>
    <w:rsid w:val="4505D0FC"/>
    <w:rsid w:val="458C385E"/>
    <w:rsid w:val="469C1D63"/>
    <w:rsid w:val="4720C363"/>
    <w:rsid w:val="47A70371"/>
    <w:rsid w:val="47F11A39"/>
    <w:rsid w:val="47FB3303"/>
    <w:rsid w:val="48D7B093"/>
    <w:rsid w:val="48FDF066"/>
    <w:rsid w:val="491AE13E"/>
    <w:rsid w:val="49E4C8FE"/>
    <w:rsid w:val="4A425C46"/>
    <w:rsid w:val="4A5F5978"/>
    <w:rsid w:val="4A6A2A1B"/>
    <w:rsid w:val="4AA7A99D"/>
    <w:rsid w:val="4AB76775"/>
    <w:rsid w:val="4AD412FE"/>
    <w:rsid w:val="4B1ED3B1"/>
    <w:rsid w:val="4C0AA331"/>
    <w:rsid w:val="4C1BFA18"/>
    <w:rsid w:val="4C5968EC"/>
    <w:rsid w:val="4CC6AF36"/>
    <w:rsid w:val="4D053FD1"/>
    <w:rsid w:val="4D6CDF7B"/>
    <w:rsid w:val="4DD94EA2"/>
    <w:rsid w:val="4DE96F3D"/>
    <w:rsid w:val="4E5D7F94"/>
    <w:rsid w:val="4E6EDA18"/>
    <w:rsid w:val="4E7C76B5"/>
    <w:rsid w:val="4E7CE475"/>
    <w:rsid w:val="4F51D307"/>
    <w:rsid w:val="4F545AF1"/>
    <w:rsid w:val="4FB7AD49"/>
    <w:rsid w:val="5013906D"/>
    <w:rsid w:val="50DA1E41"/>
    <w:rsid w:val="510A38AA"/>
    <w:rsid w:val="5191ACC7"/>
    <w:rsid w:val="52660A9C"/>
    <w:rsid w:val="52790E91"/>
    <w:rsid w:val="529B09EF"/>
    <w:rsid w:val="52C16714"/>
    <w:rsid w:val="530CD2BE"/>
    <w:rsid w:val="5341A7D9"/>
    <w:rsid w:val="534EE367"/>
    <w:rsid w:val="54A173A5"/>
    <w:rsid w:val="54B5BDB7"/>
    <w:rsid w:val="5530D943"/>
    <w:rsid w:val="55396C6C"/>
    <w:rsid w:val="553DA9DD"/>
    <w:rsid w:val="556E34EA"/>
    <w:rsid w:val="55D2B9F7"/>
    <w:rsid w:val="55F1360B"/>
    <w:rsid w:val="5646836D"/>
    <w:rsid w:val="5682B590"/>
    <w:rsid w:val="56E6801C"/>
    <w:rsid w:val="5790B743"/>
    <w:rsid w:val="57B60579"/>
    <w:rsid w:val="57B81152"/>
    <w:rsid w:val="58508AF5"/>
    <w:rsid w:val="5856E9BE"/>
    <w:rsid w:val="58935F9A"/>
    <w:rsid w:val="594653D2"/>
    <w:rsid w:val="5963D79B"/>
    <w:rsid w:val="59C2F777"/>
    <w:rsid w:val="59FBC8DC"/>
    <w:rsid w:val="5ABAD8E8"/>
    <w:rsid w:val="5BD21637"/>
    <w:rsid w:val="5BD9BA76"/>
    <w:rsid w:val="5BE021F1"/>
    <w:rsid w:val="5D3B894D"/>
    <w:rsid w:val="5DBD8C21"/>
    <w:rsid w:val="5E3F97A6"/>
    <w:rsid w:val="5E766079"/>
    <w:rsid w:val="5E8BE6AE"/>
    <w:rsid w:val="5F233DB7"/>
    <w:rsid w:val="5F935C59"/>
    <w:rsid w:val="5FFD36E7"/>
    <w:rsid w:val="60AB614B"/>
    <w:rsid w:val="61496F30"/>
    <w:rsid w:val="6267281E"/>
    <w:rsid w:val="6391A2E3"/>
    <w:rsid w:val="6398CC53"/>
    <w:rsid w:val="63CEE25C"/>
    <w:rsid w:val="6454F40C"/>
    <w:rsid w:val="64F66567"/>
    <w:rsid w:val="657558C8"/>
    <w:rsid w:val="65AD21BD"/>
    <w:rsid w:val="65B3257D"/>
    <w:rsid w:val="65FB9BB3"/>
    <w:rsid w:val="660730C4"/>
    <w:rsid w:val="661170A7"/>
    <w:rsid w:val="6723F956"/>
    <w:rsid w:val="67383FC0"/>
    <w:rsid w:val="67649620"/>
    <w:rsid w:val="676FECCE"/>
    <w:rsid w:val="67FCDCA3"/>
    <w:rsid w:val="68203D34"/>
    <w:rsid w:val="68A73E3A"/>
    <w:rsid w:val="68B8D31E"/>
    <w:rsid w:val="68EF7F98"/>
    <w:rsid w:val="691BCF18"/>
    <w:rsid w:val="694D35F9"/>
    <w:rsid w:val="697C6883"/>
    <w:rsid w:val="69897BD4"/>
    <w:rsid w:val="69AA0183"/>
    <w:rsid w:val="69EF2581"/>
    <w:rsid w:val="6A3564C9"/>
    <w:rsid w:val="6A94F6F1"/>
    <w:rsid w:val="6AEB4422"/>
    <w:rsid w:val="6B17C919"/>
    <w:rsid w:val="6CC993FF"/>
    <w:rsid w:val="6D78FCBB"/>
    <w:rsid w:val="6DAE3254"/>
    <w:rsid w:val="6E06B58A"/>
    <w:rsid w:val="6E486AB8"/>
    <w:rsid w:val="6EA6099B"/>
    <w:rsid w:val="6F11EB5E"/>
    <w:rsid w:val="6F1950C1"/>
    <w:rsid w:val="6FD59770"/>
    <w:rsid w:val="704925E1"/>
    <w:rsid w:val="712CECE8"/>
    <w:rsid w:val="7171D9A8"/>
    <w:rsid w:val="71B28E33"/>
    <w:rsid w:val="71E461C1"/>
    <w:rsid w:val="71FDDFDD"/>
    <w:rsid w:val="72C75F82"/>
    <w:rsid w:val="73899A85"/>
    <w:rsid w:val="73BF8912"/>
    <w:rsid w:val="745965D9"/>
    <w:rsid w:val="764B19BB"/>
    <w:rsid w:val="76718D80"/>
    <w:rsid w:val="77816B27"/>
    <w:rsid w:val="77EDD674"/>
    <w:rsid w:val="77FF3596"/>
    <w:rsid w:val="7899B688"/>
    <w:rsid w:val="797244BC"/>
    <w:rsid w:val="79ADA6E2"/>
    <w:rsid w:val="7A7CF9D2"/>
    <w:rsid w:val="7AAF9FC4"/>
    <w:rsid w:val="7AF9BC82"/>
    <w:rsid w:val="7B017CAF"/>
    <w:rsid w:val="7B41E92E"/>
    <w:rsid w:val="7B764FCA"/>
    <w:rsid w:val="7BAE1DA2"/>
    <w:rsid w:val="7BD1808A"/>
    <w:rsid w:val="7C1086CA"/>
    <w:rsid w:val="7C4D078D"/>
    <w:rsid w:val="7C983A80"/>
    <w:rsid w:val="7D4C3408"/>
    <w:rsid w:val="7D5F4251"/>
    <w:rsid w:val="7D620FFE"/>
    <w:rsid w:val="7D8A5411"/>
    <w:rsid w:val="7E1260FF"/>
    <w:rsid w:val="7E620ADA"/>
    <w:rsid w:val="7EBBFC6D"/>
    <w:rsid w:val="7EEBB30A"/>
    <w:rsid w:val="7EF49DE0"/>
    <w:rsid w:val="7F5F0BCF"/>
    <w:rsid w:val="7FFFC7E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0E95"/>
  <w15:chartTrackingRefBased/>
  <w15:docId w15:val="{D3986A7B-A4D4-42EF-97EB-2F4CD229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93F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F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3F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F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F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F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F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F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F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93F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B93F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B93F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93F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93F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93F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93F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93F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93F2E"/>
    <w:rPr>
      <w:rFonts w:eastAsiaTheme="majorEastAsia" w:cstheme="majorBidi"/>
      <w:color w:val="272727" w:themeColor="text1" w:themeTint="D8"/>
    </w:rPr>
  </w:style>
  <w:style w:type="paragraph" w:styleId="Title">
    <w:name w:val="Title"/>
    <w:basedOn w:val="Normal"/>
    <w:next w:val="Normal"/>
    <w:link w:val="TitleChar"/>
    <w:uiPriority w:val="10"/>
    <w:qFormat/>
    <w:rsid w:val="00B93F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93F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93F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93F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F2E"/>
    <w:pPr>
      <w:spacing w:before="160"/>
      <w:jc w:val="center"/>
    </w:pPr>
    <w:rPr>
      <w:i/>
      <w:iCs/>
      <w:color w:val="404040" w:themeColor="text1" w:themeTint="BF"/>
    </w:rPr>
  </w:style>
  <w:style w:type="character" w:styleId="QuoteChar" w:customStyle="1">
    <w:name w:val="Quote Char"/>
    <w:basedOn w:val="DefaultParagraphFont"/>
    <w:link w:val="Quote"/>
    <w:uiPriority w:val="29"/>
    <w:rsid w:val="00B93F2E"/>
    <w:rPr>
      <w:i/>
      <w:iCs/>
      <w:color w:val="404040" w:themeColor="text1" w:themeTint="BF"/>
    </w:rPr>
  </w:style>
  <w:style w:type="paragraph" w:styleId="ListParagraph">
    <w:name w:val="List Paragraph"/>
    <w:basedOn w:val="Normal"/>
    <w:uiPriority w:val="34"/>
    <w:qFormat/>
    <w:rsid w:val="00B93F2E"/>
    <w:pPr>
      <w:ind w:left="720"/>
      <w:contextualSpacing/>
    </w:pPr>
  </w:style>
  <w:style w:type="character" w:styleId="IntenseEmphasis">
    <w:name w:val="Intense Emphasis"/>
    <w:basedOn w:val="DefaultParagraphFont"/>
    <w:uiPriority w:val="21"/>
    <w:qFormat/>
    <w:rsid w:val="00B93F2E"/>
    <w:rPr>
      <w:i/>
      <w:iCs/>
      <w:color w:val="0F4761" w:themeColor="accent1" w:themeShade="BF"/>
    </w:rPr>
  </w:style>
  <w:style w:type="paragraph" w:styleId="IntenseQuote">
    <w:name w:val="Intense Quote"/>
    <w:basedOn w:val="Normal"/>
    <w:next w:val="Normal"/>
    <w:link w:val="IntenseQuoteChar"/>
    <w:uiPriority w:val="30"/>
    <w:qFormat/>
    <w:rsid w:val="00B93F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93F2E"/>
    <w:rPr>
      <w:i/>
      <w:iCs/>
      <w:color w:val="0F4761" w:themeColor="accent1" w:themeShade="BF"/>
    </w:rPr>
  </w:style>
  <w:style w:type="character" w:styleId="IntenseReference">
    <w:name w:val="Intense Reference"/>
    <w:basedOn w:val="DefaultParagraphFont"/>
    <w:uiPriority w:val="32"/>
    <w:qFormat/>
    <w:rsid w:val="00B93F2E"/>
    <w:rPr>
      <w:b/>
      <w:bCs/>
      <w:smallCaps/>
      <w:color w:val="0F4761" w:themeColor="accent1" w:themeShade="BF"/>
      <w:spacing w:val="5"/>
    </w:rPr>
  </w:style>
  <w:style w:type="character" w:styleId="normaltextrun" w:customStyle="1">
    <w:name w:val="normaltextrun"/>
    <w:basedOn w:val="DefaultParagraphFont"/>
    <w:rsid w:val="00B93F2E"/>
  </w:style>
  <w:style w:type="paragraph" w:styleId="FootnoteText">
    <w:name w:val="footnote text"/>
    <w:basedOn w:val="Normal"/>
    <w:uiPriority w:val="99"/>
    <w:semiHidden/>
    <w:unhideWhenUsed/>
    <w:rsid w:val="215BEAC8"/>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469091">
      <w:bodyDiv w:val="1"/>
      <w:marLeft w:val="0"/>
      <w:marRight w:val="0"/>
      <w:marTop w:val="0"/>
      <w:marBottom w:val="0"/>
      <w:divBdr>
        <w:top w:val="none" w:sz="0" w:space="0" w:color="auto"/>
        <w:left w:val="none" w:sz="0" w:space="0" w:color="auto"/>
        <w:bottom w:val="none" w:sz="0" w:space="0" w:color="auto"/>
        <w:right w:val="none" w:sz="0" w:space="0" w:color="auto"/>
      </w:divBdr>
      <w:divsChild>
        <w:div w:id="257911153">
          <w:marLeft w:val="0"/>
          <w:marRight w:val="0"/>
          <w:marTop w:val="0"/>
          <w:marBottom w:val="0"/>
          <w:divBdr>
            <w:top w:val="none" w:sz="0" w:space="0" w:color="auto"/>
            <w:left w:val="none" w:sz="0" w:space="0" w:color="auto"/>
            <w:bottom w:val="none" w:sz="0" w:space="0" w:color="auto"/>
            <w:right w:val="none" w:sz="0" w:space="0" w:color="auto"/>
          </w:divBdr>
        </w:div>
        <w:div w:id="1312557680">
          <w:marLeft w:val="0"/>
          <w:marRight w:val="0"/>
          <w:marTop w:val="0"/>
          <w:marBottom w:val="0"/>
          <w:divBdr>
            <w:top w:val="none" w:sz="0" w:space="0" w:color="auto"/>
            <w:left w:val="none" w:sz="0" w:space="0" w:color="auto"/>
            <w:bottom w:val="none" w:sz="0" w:space="0" w:color="auto"/>
            <w:right w:val="none" w:sz="0" w:space="0" w:color="auto"/>
          </w:divBdr>
        </w:div>
        <w:div w:id="1802188391">
          <w:marLeft w:val="0"/>
          <w:marRight w:val="0"/>
          <w:marTop w:val="0"/>
          <w:marBottom w:val="0"/>
          <w:divBdr>
            <w:top w:val="none" w:sz="0" w:space="0" w:color="auto"/>
            <w:left w:val="none" w:sz="0" w:space="0" w:color="auto"/>
            <w:bottom w:val="none" w:sz="0" w:space="0" w:color="auto"/>
            <w:right w:val="none" w:sz="0" w:space="0" w:color="auto"/>
          </w:divBdr>
        </w:div>
        <w:div w:id="632713876">
          <w:marLeft w:val="0"/>
          <w:marRight w:val="0"/>
          <w:marTop w:val="0"/>
          <w:marBottom w:val="0"/>
          <w:divBdr>
            <w:top w:val="none" w:sz="0" w:space="0" w:color="auto"/>
            <w:left w:val="none" w:sz="0" w:space="0" w:color="auto"/>
            <w:bottom w:val="none" w:sz="0" w:space="0" w:color="auto"/>
            <w:right w:val="none" w:sz="0" w:space="0" w:color="auto"/>
          </w:divBdr>
        </w:div>
        <w:div w:id="986009903">
          <w:marLeft w:val="0"/>
          <w:marRight w:val="0"/>
          <w:marTop w:val="0"/>
          <w:marBottom w:val="0"/>
          <w:divBdr>
            <w:top w:val="none" w:sz="0" w:space="0" w:color="auto"/>
            <w:left w:val="none" w:sz="0" w:space="0" w:color="auto"/>
            <w:bottom w:val="none" w:sz="0" w:space="0" w:color="auto"/>
            <w:right w:val="none" w:sz="0" w:space="0" w:color="auto"/>
          </w:divBdr>
        </w:div>
      </w:divsChild>
    </w:div>
    <w:div w:id="605695996">
      <w:bodyDiv w:val="1"/>
      <w:marLeft w:val="0"/>
      <w:marRight w:val="0"/>
      <w:marTop w:val="0"/>
      <w:marBottom w:val="0"/>
      <w:divBdr>
        <w:top w:val="none" w:sz="0" w:space="0" w:color="auto"/>
        <w:left w:val="none" w:sz="0" w:space="0" w:color="auto"/>
        <w:bottom w:val="none" w:sz="0" w:space="0" w:color="auto"/>
        <w:right w:val="none" w:sz="0" w:space="0" w:color="auto"/>
      </w:divBdr>
      <w:divsChild>
        <w:div w:id="1472625907">
          <w:marLeft w:val="0"/>
          <w:marRight w:val="0"/>
          <w:marTop w:val="0"/>
          <w:marBottom w:val="0"/>
          <w:divBdr>
            <w:top w:val="none" w:sz="0" w:space="0" w:color="auto"/>
            <w:left w:val="none" w:sz="0" w:space="0" w:color="auto"/>
            <w:bottom w:val="none" w:sz="0" w:space="0" w:color="auto"/>
            <w:right w:val="none" w:sz="0" w:space="0" w:color="auto"/>
          </w:divBdr>
        </w:div>
        <w:div w:id="473760318">
          <w:marLeft w:val="0"/>
          <w:marRight w:val="0"/>
          <w:marTop w:val="0"/>
          <w:marBottom w:val="0"/>
          <w:divBdr>
            <w:top w:val="none" w:sz="0" w:space="0" w:color="auto"/>
            <w:left w:val="none" w:sz="0" w:space="0" w:color="auto"/>
            <w:bottom w:val="none" w:sz="0" w:space="0" w:color="auto"/>
            <w:right w:val="none" w:sz="0" w:space="0" w:color="auto"/>
          </w:divBdr>
        </w:div>
        <w:div w:id="44960894">
          <w:marLeft w:val="0"/>
          <w:marRight w:val="0"/>
          <w:marTop w:val="0"/>
          <w:marBottom w:val="0"/>
          <w:divBdr>
            <w:top w:val="none" w:sz="0" w:space="0" w:color="auto"/>
            <w:left w:val="none" w:sz="0" w:space="0" w:color="auto"/>
            <w:bottom w:val="none" w:sz="0" w:space="0" w:color="auto"/>
            <w:right w:val="none" w:sz="0" w:space="0" w:color="auto"/>
          </w:divBdr>
        </w:div>
        <w:div w:id="1036656387">
          <w:marLeft w:val="0"/>
          <w:marRight w:val="0"/>
          <w:marTop w:val="0"/>
          <w:marBottom w:val="0"/>
          <w:divBdr>
            <w:top w:val="none" w:sz="0" w:space="0" w:color="auto"/>
            <w:left w:val="none" w:sz="0" w:space="0" w:color="auto"/>
            <w:bottom w:val="none" w:sz="0" w:space="0" w:color="auto"/>
            <w:right w:val="none" w:sz="0" w:space="0" w:color="auto"/>
          </w:divBdr>
        </w:div>
        <w:div w:id="1088422182">
          <w:marLeft w:val="0"/>
          <w:marRight w:val="0"/>
          <w:marTop w:val="0"/>
          <w:marBottom w:val="0"/>
          <w:divBdr>
            <w:top w:val="none" w:sz="0" w:space="0" w:color="auto"/>
            <w:left w:val="none" w:sz="0" w:space="0" w:color="auto"/>
            <w:bottom w:val="none" w:sz="0" w:space="0" w:color="auto"/>
            <w:right w:val="none" w:sz="0" w:space="0" w:color="auto"/>
          </w:divBdr>
        </w:div>
      </w:divsChild>
    </w:div>
    <w:div w:id="1068573379">
      <w:bodyDiv w:val="1"/>
      <w:marLeft w:val="0"/>
      <w:marRight w:val="0"/>
      <w:marTop w:val="0"/>
      <w:marBottom w:val="0"/>
      <w:divBdr>
        <w:top w:val="none" w:sz="0" w:space="0" w:color="auto"/>
        <w:left w:val="none" w:sz="0" w:space="0" w:color="auto"/>
        <w:bottom w:val="none" w:sz="0" w:space="0" w:color="auto"/>
        <w:right w:val="none" w:sz="0" w:space="0" w:color="auto"/>
      </w:divBdr>
      <w:divsChild>
        <w:div w:id="1253054050">
          <w:marLeft w:val="0"/>
          <w:marRight w:val="0"/>
          <w:marTop w:val="0"/>
          <w:marBottom w:val="0"/>
          <w:divBdr>
            <w:top w:val="none" w:sz="0" w:space="0" w:color="auto"/>
            <w:left w:val="none" w:sz="0" w:space="0" w:color="auto"/>
            <w:bottom w:val="none" w:sz="0" w:space="0" w:color="auto"/>
            <w:right w:val="none" w:sz="0" w:space="0" w:color="auto"/>
          </w:divBdr>
        </w:div>
        <w:div w:id="1040208549">
          <w:marLeft w:val="0"/>
          <w:marRight w:val="0"/>
          <w:marTop w:val="0"/>
          <w:marBottom w:val="0"/>
          <w:divBdr>
            <w:top w:val="none" w:sz="0" w:space="0" w:color="auto"/>
            <w:left w:val="none" w:sz="0" w:space="0" w:color="auto"/>
            <w:bottom w:val="none" w:sz="0" w:space="0" w:color="auto"/>
            <w:right w:val="none" w:sz="0" w:space="0" w:color="auto"/>
          </w:divBdr>
        </w:div>
        <w:div w:id="549456948">
          <w:marLeft w:val="0"/>
          <w:marRight w:val="0"/>
          <w:marTop w:val="0"/>
          <w:marBottom w:val="0"/>
          <w:divBdr>
            <w:top w:val="none" w:sz="0" w:space="0" w:color="auto"/>
            <w:left w:val="none" w:sz="0" w:space="0" w:color="auto"/>
            <w:bottom w:val="none" w:sz="0" w:space="0" w:color="auto"/>
            <w:right w:val="none" w:sz="0" w:space="0" w:color="auto"/>
          </w:divBdr>
        </w:div>
        <w:div w:id="1123619095">
          <w:marLeft w:val="0"/>
          <w:marRight w:val="0"/>
          <w:marTop w:val="0"/>
          <w:marBottom w:val="0"/>
          <w:divBdr>
            <w:top w:val="none" w:sz="0" w:space="0" w:color="auto"/>
            <w:left w:val="none" w:sz="0" w:space="0" w:color="auto"/>
            <w:bottom w:val="none" w:sz="0" w:space="0" w:color="auto"/>
            <w:right w:val="none" w:sz="0" w:space="0" w:color="auto"/>
          </w:divBdr>
        </w:div>
        <w:div w:id="570844666">
          <w:marLeft w:val="0"/>
          <w:marRight w:val="0"/>
          <w:marTop w:val="0"/>
          <w:marBottom w:val="0"/>
          <w:divBdr>
            <w:top w:val="none" w:sz="0" w:space="0" w:color="auto"/>
            <w:left w:val="none" w:sz="0" w:space="0" w:color="auto"/>
            <w:bottom w:val="none" w:sz="0" w:space="0" w:color="auto"/>
            <w:right w:val="none" w:sz="0" w:space="0" w:color="auto"/>
          </w:divBdr>
        </w:div>
      </w:divsChild>
    </w:div>
    <w:div w:id="1422263926">
      <w:bodyDiv w:val="1"/>
      <w:marLeft w:val="0"/>
      <w:marRight w:val="0"/>
      <w:marTop w:val="0"/>
      <w:marBottom w:val="0"/>
      <w:divBdr>
        <w:top w:val="none" w:sz="0" w:space="0" w:color="auto"/>
        <w:left w:val="none" w:sz="0" w:space="0" w:color="auto"/>
        <w:bottom w:val="none" w:sz="0" w:space="0" w:color="auto"/>
        <w:right w:val="none" w:sz="0" w:space="0" w:color="auto"/>
      </w:divBdr>
      <w:divsChild>
        <w:div w:id="453333243">
          <w:marLeft w:val="0"/>
          <w:marRight w:val="0"/>
          <w:marTop w:val="0"/>
          <w:marBottom w:val="0"/>
          <w:divBdr>
            <w:top w:val="none" w:sz="0" w:space="0" w:color="auto"/>
            <w:left w:val="none" w:sz="0" w:space="0" w:color="auto"/>
            <w:bottom w:val="none" w:sz="0" w:space="0" w:color="auto"/>
            <w:right w:val="none" w:sz="0" w:space="0" w:color="auto"/>
          </w:divBdr>
        </w:div>
        <w:div w:id="1451514057">
          <w:marLeft w:val="0"/>
          <w:marRight w:val="0"/>
          <w:marTop w:val="0"/>
          <w:marBottom w:val="0"/>
          <w:divBdr>
            <w:top w:val="none" w:sz="0" w:space="0" w:color="auto"/>
            <w:left w:val="none" w:sz="0" w:space="0" w:color="auto"/>
            <w:bottom w:val="none" w:sz="0" w:space="0" w:color="auto"/>
            <w:right w:val="none" w:sz="0" w:space="0" w:color="auto"/>
          </w:divBdr>
        </w:div>
        <w:div w:id="752706977">
          <w:marLeft w:val="0"/>
          <w:marRight w:val="0"/>
          <w:marTop w:val="0"/>
          <w:marBottom w:val="0"/>
          <w:divBdr>
            <w:top w:val="none" w:sz="0" w:space="0" w:color="auto"/>
            <w:left w:val="none" w:sz="0" w:space="0" w:color="auto"/>
            <w:bottom w:val="none" w:sz="0" w:space="0" w:color="auto"/>
            <w:right w:val="none" w:sz="0" w:space="0" w:color="auto"/>
          </w:divBdr>
        </w:div>
        <w:div w:id="1783499540">
          <w:marLeft w:val="0"/>
          <w:marRight w:val="0"/>
          <w:marTop w:val="0"/>
          <w:marBottom w:val="0"/>
          <w:divBdr>
            <w:top w:val="none" w:sz="0" w:space="0" w:color="auto"/>
            <w:left w:val="none" w:sz="0" w:space="0" w:color="auto"/>
            <w:bottom w:val="none" w:sz="0" w:space="0" w:color="auto"/>
            <w:right w:val="none" w:sz="0" w:space="0" w:color="auto"/>
          </w:divBdr>
        </w:div>
        <w:div w:id="171576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2025-07-11T08:23:36+00:00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0DA2B65-694F-4590-BE26-449A1B3CA211}"/>
</file>

<file path=customXml/itemProps2.xml><?xml version="1.0" encoding="utf-8"?>
<ds:datastoreItem xmlns:ds="http://schemas.openxmlformats.org/officeDocument/2006/customXml" ds:itemID="{8FC3651D-539F-4B1C-BEA5-0A77CB7CDC9A}"/>
</file>

<file path=customXml/itemProps3.xml><?xml version="1.0" encoding="utf-8"?>
<ds:datastoreItem xmlns:ds="http://schemas.openxmlformats.org/officeDocument/2006/customXml" ds:itemID="{FC588DF7-428C-417E-AB66-7C11464107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Hargreaves</dc:creator>
  <cp:keywords/>
  <dc:description/>
  <cp:lastModifiedBy>Rachel Hargreaves</cp:lastModifiedBy>
  <cp:revision>117</cp:revision>
  <dcterms:created xsi:type="dcterms:W3CDTF">2025-06-05T01:21:00Z</dcterms:created>
  <dcterms:modified xsi:type="dcterms:W3CDTF">2025-07-10T20:19:08Z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