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endnotes.xml" ContentType="application/vnd.openxmlformats-officedocument.wordprocessingml.endnotes+xml"/>
  <Override PartName="/word/footnotes.xml" ContentType="application/vnd.openxmlformats-officedocument.wordprocessingml.footnotes+xml"/>
  <Override PartName="/word/theme/theme1.xml" ContentType="application/vnd.openxmlformats-officedocument.theme+xml"/>
  <Override PartName="/word/settings.xml" ContentType="application/vnd.openxmlformats-officedocument.wordprocessingml.settings+xml"/>
  <Override PartName="/word/styles.xml" ContentType="application/vnd.openxmlformats-officedocument.wordprocessingml.styles+xml"/>
  <Override PartName="/customXml/itemProps1.xml" ContentType="application/vnd.openxmlformats-officedocument.customXmlProperties+xml"/>
  <Override PartName="/word/numbering.xml" ContentType="application/vnd.openxmlformats-officedocument.wordprocessingml.numbering+xml"/>
  <Override PartName="/docProps/core.xml" ContentType="application/vnd.openxmlformats-package.core-properties+xml"/>
  <Override PartName="/word/fontTable.xml" ContentType="application/vnd.openxmlformats-officedocument.wordprocessingml.fontTable+xml"/>
  <Override PartName="/word/webSettings.xml" ContentType="application/vnd.openxmlformats-officedocument.wordprocessingml.webSettings+xml"/>
  <Override PartName="/docProps/app.xml" ContentType="application/vnd.openxmlformats-officedocument.extended-properties+xml"/>
  <Override PartName="/customXml/itemProps3.xml" ContentType="application/vnd.openxmlformats-officedocument.customXmlProperties+xml"/>
  <Override PartName="/customXml/itemProps2.xml" ContentType="application/vnd.openxmlformats-officedocument.customXmlProperties+xml"/>
  <Override PartName="/customXml/itemProps4.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6F5C2E" w:rsidRDefault="006F5C2E" w:rsidP="00346CB1">
      <w:pPr>
        <w:spacing w:line="360" w:lineRule="auto"/>
        <w:jc w:val="center"/>
        <w:rPr>
          <w:b/>
        </w:rPr>
      </w:pPr>
      <w:r>
        <w:rPr>
          <w:b/>
          <w:noProof/>
          <w:lang w:eastAsia="es-PE"/>
        </w:rPr>
        <w:drawing>
          <wp:inline distT="0" distB="0" distL="0" distR="0">
            <wp:extent cx="1080000" cy="1080000"/>
            <wp:effectExtent l="0" t="0" r="6350" b="6350"/>
            <wp:docPr id="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LOGO-nuevo-CNDDHH.jpg"/>
                    <pic:cNvPicPr/>
                  </pic:nvPicPr>
                  <pic:blipFill>
                    <a:blip r:embed="rId8" cstate="print">
                      <a:extLst>
                        <a:ext uri="{28A0092B-C50C-407E-A947-70E740481C1C}">
                          <a14:useLocalDpi xmlns:a14="http://schemas.microsoft.com/office/drawing/2010/main" val="0"/>
                        </a:ext>
                      </a:extLst>
                    </a:blip>
                    <a:stretch>
                      <a:fillRect/>
                    </a:stretch>
                  </pic:blipFill>
                  <pic:spPr>
                    <a:xfrm>
                      <a:off x="0" y="0"/>
                      <a:ext cx="1080000" cy="1080000"/>
                    </a:xfrm>
                    <a:prstGeom prst="rect">
                      <a:avLst/>
                    </a:prstGeom>
                  </pic:spPr>
                </pic:pic>
              </a:graphicData>
            </a:graphic>
          </wp:inline>
        </w:drawing>
      </w:r>
    </w:p>
    <w:p w:rsidR="00C97B57" w:rsidRDefault="006F5C2E" w:rsidP="00CB7ECD">
      <w:pPr>
        <w:spacing w:line="360" w:lineRule="auto"/>
        <w:jc w:val="center"/>
        <w:rPr>
          <w:b/>
        </w:rPr>
      </w:pPr>
      <w:r w:rsidRPr="006F5C2E">
        <w:rPr>
          <w:b/>
        </w:rPr>
        <w:t>Defensoras y violencia policial en el Perú</w:t>
      </w:r>
    </w:p>
    <w:p w:rsidR="006F5C2E" w:rsidRDefault="006F5C2E" w:rsidP="00CB7ECD">
      <w:pPr>
        <w:spacing w:line="360" w:lineRule="auto"/>
        <w:jc w:val="center"/>
        <w:rPr>
          <w:b/>
        </w:rPr>
      </w:pPr>
      <w:r w:rsidRPr="006F5C2E">
        <w:rPr>
          <w:b/>
        </w:rPr>
        <w:t>81° período de sesiones</w:t>
      </w:r>
    </w:p>
    <w:p w:rsidR="006F5C2E" w:rsidRDefault="006F5C2E" w:rsidP="00CB7ECD">
      <w:pPr>
        <w:spacing w:line="360" w:lineRule="auto"/>
        <w:jc w:val="center"/>
        <w:rPr>
          <w:b/>
        </w:rPr>
      </w:pPr>
      <w:r>
        <w:rPr>
          <w:b/>
        </w:rPr>
        <w:t>CEDAW</w:t>
      </w:r>
    </w:p>
    <w:p w:rsidR="006F5C2E" w:rsidRDefault="006F5C2E" w:rsidP="00CB7ECD">
      <w:pPr>
        <w:pStyle w:val="Prrafodelista"/>
        <w:numPr>
          <w:ilvl w:val="0"/>
          <w:numId w:val="1"/>
        </w:numPr>
        <w:spacing w:line="360" w:lineRule="auto"/>
        <w:jc w:val="both"/>
      </w:pPr>
      <w:r w:rsidRPr="006F5C2E">
        <w:t xml:space="preserve">La presente </w:t>
      </w:r>
      <w:r>
        <w:t xml:space="preserve">comunicación tiene por objetivo remitir al Comité información puntual en relación el cumplimiento de la obligación estatal de proteger a las mujeres defensoras. Si bien constituye un avance importante la promulgación del protocolo para la protección de personas defensoras a cargo del MINJUSDH en el 2019, y su posterior reemplazo por el Mecanismo Intersectorial de Protección a Defensoras, del que forma parte el Ministerio de la Mujer, los impactos concretos de estas políticas públicas sobre la reducción del riesgo de las mujeres defensoras son muy limitados. Hasta la actualidad el mecanismo prioriza la atención de defensores </w:t>
      </w:r>
      <w:r w:rsidR="009139B1">
        <w:t xml:space="preserve">que </w:t>
      </w:r>
      <w:r>
        <w:t xml:space="preserve">sufren amenazas contra la vida en el ámbito de influencia de las economías </w:t>
      </w:r>
      <w:r w:rsidR="009139B1">
        <w:t>ilegales.</w:t>
      </w:r>
    </w:p>
    <w:p w:rsidR="00C113D7" w:rsidRDefault="00C113D7" w:rsidP="00C113D7">
      <w:pPr>
        <w:pStyle w:val="Prrafodelista"/>
        <w:spacing w:line="360" w:lineRule="auto"/>
        <w:ind w:left="360"/>
        <w:jc w:val="both"/>
      </w:pPr>
    </w:p>
    <w:p w:rsidR="00C113D7" w:rsidRDefault="006F5C2E" w:rsidP="00346CB1">
      <w:pPr>
        <w:pStyle w:val="Prrafodelista"/>
        <w:numPr>
          <w:ilvl w:val="0"/>
          <w:numId w:val="1"/>
        </w:numPr>
        <w:spacing w:line="360" w:lineRule="auto"/>
        <w:jc w:val="both"/>
      </w:pPr>
      <w:r>
        <w:t>Sin embargo, de acuerdo con los registros de ataques a personas defensoras de nuestra institución, la principal forma de amenaza contra las defensoras es el acoso y la intimidación a través de las redes sociales, junto con la criminalización</w:t>
      </w:r>
      <w:r>
        <w:rPr>
          <w:rStyle w:val="Refdenotaalpie"/>
        </w:rPr>
        <w:footnoteReference w:id="1"/>
      </w:r>
      <w:r>
        <w:t xml:space="preserve">. </w:t>
      </w:r>
      <w:r w:rsidR="009139B1">
        <w:t xml:space="preserve"> Y un actor importante de las agresiones contra las defensoras son los sectores anti derechos. </w:t>
      </w:r>
      <w:r>
        <w:t xml:space="preserve">Por lo tanto, una política de protección con enfoque de género debería desarrollar respuestas frente a estas </w:t>
      </w:r>
      <w:r w:rsidR="009139B1">
        <w:t xml:space="preserve">formas de agresión que afectan fundamentalmente a las mujeres defensoras. Además, las </w:t>
      </w:r>
      <w:r w:rsidR="00BA206C">
        <w:t xml:space="preserve">medidas adoptadas por </w:t>
      </w:r>
      <w:r w:rsidR="009139B1">
        <w:t>el mecanismo deberían estar marcadas por los principios de debida diligencia, e intervención inmediata y oportuna reconocidos en la legislación sectorial. Por ello resulta preocupante la dilación en la respuesta a los casos que se han presentado ante el protocolo de protección, e</w:t>
      </w:r>
      <w:r w:rsidR="00346CB1">
        <w:t>n algunos casos de varios meses, y la falta de efectividad de las acciones realizadas.</w:t>
      </w:r>
    </w:p>
    <w:p w:rsidR="00C113D7" w:rsidRDefault="00AD2378" w:rsidP="00C113D7">
      <w:pPr>
        <w:pStyle w:val="Prrafodelista"/>
        <w:numPr>
          <w:ilvl w:val="0"/>
          <w:numId w:val="1"/>
        </w:numPr>
        <w:spacing w:line="360" w:lineRule="auto"/>
        <w:jc w:val="both"/>
      </w:pPr>
      <w:r>
        <w:t xml:space="preserve">Por otro lado, debemos destacar que la protesta social continua siendo en el Perú un escenario de especial vulnerabilidad para las mujeres defensoras. Como muestras de ello, en junio del 2020 se recibieron testimonios de tocamientos indebidos por parte de efectivos </w:t>
      </w:r>
      <w:r>
        <w:lastRenderedPageBreak/>
        <w:t xml:space="preserve">policiales contra mujeres que participaron en movilizaciones contra la empresa minera </w:t>
      </w:r>
      <w:proofErr w:type="spellStart"/>
      <w:r>
        <w:t>Glencore</w:t>
      </w:r>
      <w:proofErr w:type="spellEnd"/>
      <w:r>
        <w:rPr>
          <w:rStyle w:val="Refdenotaalpie"/>
        </w:rPr>
        <w:footnoteReference w:id="2"/>
      </w:r>
      <w:r>
        <w:t>.  Durante las protestas contra Manuel Merino ocurridas en noviembre del 2020 dos mujeres fue</w:t>
      </w:r>
      <w:r w:rsidR="003C7B39">
        <w:t>ron detenidas arbitrariamente y sometidas a torturas sexuales</w:t>
      </w:r>
      <w:r>
        <w:t xml:space="preserve"> </w:t>
      </w:r>
      <w:r w:rsidR="003C7B39">
        <w:t>en dependencias policiales</w:t>
      </w:r>
      <w:r>
        <w:t>. Ambas fueron desnudadas, obligadas a adoptar poses humillantes y sometidas a la revisión de sus genitales, imponiéndoseles el procedimiento de intervención personal pese a que no estaban siendo investigadas por tráfico de estupefacientes, sino por su participación en las movilizaciones. La defensa de las jóvenes ha sido asumida nominalmente por el Ministerio de la Mujer, pero no se cuenta hasta la fecha con ninguna información sobre avances concretos en las investigaciones</w:t>
      </w:r>
      <w:r w:rsidR="003C7B39">
        <w:rPr>
          <w:rStyle w:val="Refdenotaalpie"/>
        </w:rPr>
        <w:footnoteReference w:id="3"/>
      </w:r>
      <w:r>
        <w:t>.</w:t>
      </w:r>
      <w:r w:rsidR="003C7B39">
        <w:t xml:space="preserve"> Mediante </w:t>
      </w:r>
      <w:r w:rsidR="003C7B39">
        <w:t>RESOLUCIÓN SUPREMA</w:t>
      </w:r>
      <w:r w:rsidR="003C7B39">
        <w:t xml:space="preserve"> </w:t>
      </w:r>
      <w:r w:rsidR="003C7B39">
        <w:t>N° 271-2020-JUS</w:t>
      </w:r>
      <w:r w:rsidR="003C7B39">
        <w:rPr>
          <w:rStyle w:val="Refdenotaalpie"/>
        </w:rPr>
        <w:footnoteReference w:id="4"/>
      </w:r>
      <w:r w:rsidR="003C7B39">
        <w:t xml:space="preserve"> Ejecutivo creó una Comisión Multisectorial para atender la situación de las personas afectadas durante las movilizaciones, pero las dos jóvenes no fueron incorporadas como beneficiarias.</w:t>
      </w:r>
    </w:p>
    <w:p w:rsidR="003C7B39" w:rsidRDefault="003C7B39" w:rsidP="00CB7ECD">
      <w:pPr>
        <w:pStyle w:val="Prrafodelista"/>
        <w:numPr>
          <w:ilvl w:val="0"/>
          <w:numId w:val="1"/>
        </w:numPr>
        <w:spacing w:line="360" w:lineRule="auto"/>
        <w:jc w:val="both"/>
      </w:pPr>
      <w:r>
        <w:t xml:space="preserve">Por todo lo señalado, proponemos como </w:t>
      </w:r>
      <w:r w:rsidRPr="00CB7ECD">
        <w:rPr>
          <w:b/>
        </w:rPr>
        <w:t xml:space="preserve">recomendaciones </w:t>
      </w:r>
      <w:r>
        <w:t>para su formulación al Estado peruano las siguientes:</w:t>
      </w:r>
    </w:p>
    <w:p w:rsidR="003C7B39" w:rsidRDefault="003C7B39" w:rsidP="00CB7ECD">
      <w:pPr>
        <w:pStyle w:val="Prrafodelista"/>
        <w:numPr>
          <w:ilvl w:val="1"/>
          <w:numId w:val="1"/>
        </w:numPr>
        <w:spacing w:line="360" w:lineRule="auto"/>
        <w:jc w:val="both"/>
      </w:pPr>
      <w:r>
        <w:t>Atender a través del mecanismo intersectorial de protección a defensoras la criminalización y el hostigamiento en redes social</w:t>
      </w:r>
      <w:r w:rsidR="00211CE6">
        <w:t>es</w:t>
      </w:r>
      <w:r>
        <w:t xml:space="preserve">, y los ataques de grupos </w:t>
      </w:r>
      <w:proofErr w:type="spellStart"/>
      <w:r>
        <w:t>antiderechos</w:t>
      </w:r>
      <w:proofErr w:type="spellEnd"/>
      <w:r>
        <w:t>, como modalidades prevalentes de</w:t>
      </w:r>
      <w:r w:rsidR="00211CE6">
        <w:t xml:space="preserve"> la violencia contra las defensoras</w:t>
      </w:r>
      <w:r>
        <w:t xml:space="preserve">, bajo los principios de </w:t>
      </w:r>
      <w:r w:rsidRPr="003C7B39">
        <w:t>principios de debida diligencia, e intervención inmediata y oportuna</w:t>
      </w:r>
      <w:r>
        <w:t>.</w:t>
      </w:r>
    </w:p>
    <w:p w:rsidR="00346CB1" w:rsidRDefault="003C7B39" w:rsidP="00346CB1">
      <w:pPr>
        <w:pStyle w:val="Prrafodelista"/>
        <w:numPr>
          <w:ilvl w:val="1"/>
          <w:numId w:val="1"/>
        </w:numPr>
        <w:spacing w:line="360" w:lineRule="auto"/>
        <w:jc w:val="both"/>
      </w:pPr>
      <w:r>
        <w:t>Aprobar un protocolo para prevenir</w:t>
      </w:r>
      <w:r w:rsidR="009A76FB">
        <w:t xml:space="preserve"> y sancionar administrativamente</w:t>
      </w:r>
      <w:r>
        <w:t xml:space="preserve"> la v</w:t>
      </w:r>
      <w:r w:rsidR="00211CE6">
        <w:t>iolencia sexual durante intervenciones policiales</w:t>
      </w:r>
      <w:r>
        <w:t>, priorizando la regulación del procedimiento de intervención personal por su carácter inv</w:t>
      </w:r>
      <w:r w:rsidR="00CB7ECD">
        <w:t>asivo y restrictivo de derechos.</w:t>
      </w:r>
    </w:p>
    <w:p w:rsidR="00346CB1" w:rsidRDefault="00346CB1" w:rsidP="00346CB1">
      <w:pPr>
        <w:pStyle w:val="Prrafodelista"/>
        <w:spacing w:line="360" w:lineRule="auto"/>
        <w:ind w:left="1080"/>
        <w:jc w:val="both"/>
      </w:pPr>
      <w:bookmarkStart w:id="0" w:name="_GoBack"/>
      <w:bookmarkEnd w:id="0"/>
    </w:p>
    <w:tbl>
      <w:tblPr>
        <w:tblStyle w:val="Tablaconcuadrcula"/>
        <w:tblW w:w="0" w:type="auto"/>
        <w:tblInd w:w="-5" w:type="dxa"/>
        <w:tblLook w:val="04A0" w:firstRow="1" w:lastRow="0" w:firstColumn="1" w:lastColumn="0" w:noHBand="0" w:noVBand="1"/>
      </w:tblPr>
      <w:tblGrid>
        <w:gridCol w:w="8499"/>
      </w:tblGrid>
      <w:tr w:rsidR="00CB7ECD" w:rsidTr="00C113D7">
        <w:tc>
          <w:tcPr>
            <w:tcW w:w="8499" w:type="dxa"/>
          </w:tcPr>
          <w:p w:rsidR="00CB7ECD" w:rsidRDefault="00CB7ECD" w:rsidP="00346CB1">
            <w:pPr>
              <w:pStyle w:val="Prrafodelista"/>
              <w:numPr>
                <w:ilvl w:val="0"/>
                <w:numId w:val="3"/>
              </w:numPr>
              <w:spacing w:line="360" w:lineRule="auto"/>
              <w:jc w:val="both"/>
              <w:rPr>
                <w:sz w:val="20"/>
                <w:szCs w:val="20"/>
              </w:rPr>
            </w:pPr>
            <w:r w:rsidRPr="00CB7ECD">
              <w:rPr>
                <w:sz w:val="20"/>
                <w:szCs w:val="20"/>
              </w:rPr>
              <w:t xml:space="preserve">Para cualquier información adicional pueden contactar a Mar Pérez, Responsable de la Unidad de Protección a Personas Defensoras de la CNDDHH, vía el mail </w:t>
            </w:r>
            <w:hyperlink r:id="rId9" w:history="1">
              <w:r w:rsidRPr="00CB7ECD">
                <w:rPr>
                  <w:rStyle w:val="Hipervnculo"/>
                  <w:sz w:val="20"/>
                  <w:szCs w:val="20"/>
                </w:rPr>
                <w:t>marperez@derechoshumanos.pe</w:t>
              </w:r>
            </w:hyperlink>
            <w:r w:rsidR="00346CB1">
              <w:rPr>
                <w:sz w:val="20"/>
                <w:szCs w:val="20"/>
              </w:rPr>
              <w:t xml:space="preserve"> .</w:t>
            </w:r>
          </w:p>
          <w:p w:rsidR="00874227" w:rsidRPr="00CB7ECD" w:rsidRDefault="00874227" w:rsidP="00346CB1">
            <w:pPr>
              <w:pStyle w:val="Prrafodelista"/>
              <w:numPr>
                <w:ilvl w:val="0"/>
                <w:numId w:val="3"/>
              </w:numPr>
              <w:spacing w:line="360" w:lineRule="auto"/>
              <w:jc w:val="both"/>
              <w:rPr>
                <w:sz w:val="20"/>
                <w:szCs w:val="20"/>
              </w:rPr>
            </w:pPr>
            <w:r>
              <w:rPr>
                <w:sz w:val="20"/>
                <w:szCs w:val="20"/>
              </w:rPr>
              <w:t>La CNDDHH autoriza la publicación web del presente documento.</w:t>
            </w:r>
          </w:p>
        </w:tc>
      </w:tr>
    </w:tbl>
    <w:p w:rsidR="00CB7ECD" w:rsidRDefault="00CB7ECD" w:rsidP="00CB7ECD">
      <w:pPr>
        <w:spacing w:line="360" w:lineRule="auto"/>
        <w:jc w:val="both"/>
      </w:pPr>
    </w:p>
    <w:sectPr w:rsidR="00CB7ECD">
      <w:pgSz w:w="11906" w:h="16838"/>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653F55" w:rsidRDefault="00653F55" w:rsidP="006F5C2E">
      <w:pPr>
        <w:spacing w:after="0" w:line="240" w:lineRule="auto"/>
      </w:pPr>
      <w:r>
        <w:separator/>
      </w:r>
    </w:p>
  </w:endnote>
  <w:endnote w:type="continuationSeparator" w:id="0">
    <w:p w:rsidR="00653F55" w:rsidRDefault="00653F55" w:rsidP="006F5C2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653F55" w:rsidRDefault="00653F55" w:rsidP="006F5C2E">
      <w:pPr>
        <w:spacing w:after="0" w:line="240" w:lineRule="auto"/>
      </w:pPr>
      <w:r>
        <w:separator/>
      </w:r>
    </w:p>
  </w:footnote>
  <w:footnote w:type="continuationSeparator" w:id="0">
    <w:p w:rsidR="00653F55" w:rsidRDefault="00653F55" w:rsidP="006F5C2E">
      <w:pPr>
        <w:spacing w:after="0" w:line="240" w:lineRule="auto"/>
      </w:pPr>
      <w:r>
        <w:continuationSeparator/>
      </w:r>
    </w:p>
  </w:footnote>
  <w:footnote w:id="1">
    <w:p w:rsidR="006F5C2E" w:rsidRDefault="006F5C2E" w:rsidP="00CB7ECD">
      <w:pPr>
        <w:pStyle w:val="Textonotapie"/>
        <w:jc w:val="both"/>
      </w:pPr>
      <w:r>
        <w:rPr>
          <w:rStyle w:val="Refdenotaalpie"/>
        </w:rPr>
        <w:footnoteRef/>
      </w:r>
      <w:r>
        <w:t xml:space="preserve"> Ver </w:t>
      </w:r>
      <w:hyperlink r:id="rId1" w:history="1">
        <w:r w:rsidRPr="00C2572B">
          <w:rPr>
            <w:rStyle w:val="Hipervnculo"/>
          </w:rPr>
          <w:t>https://derechoshumanos.pe/registro-de-ataques-a-defensores-de-ddhh/</w:t>
        </w:r>
      </w:hyperlink>
      <w:r>
        <w:t xml:space="preserve"> .</w:t>
      </w:r>
    </w:p>
  </w:footnote>
  <w:footnote w:id="2">
    <w:p w:rsidR="00AD2378" w:rsidRDefault="00AD2378" w:rsidP="00CB7ECD">
      <w:pPr>
        <w:pStyle w:val="Textonotapie"/>
        <w:jc w:val="both"/>
      </w:pPr>
      <w:r>
        <w:rPr>
          <w:rStyle w:val="Refdenotaalpie"/>
        </w:rPr>
        <w:footnoteRef/>
      </w:r>
      <w:r>
        <w:t xml:space="preserve"> Ver </w:t>
      </w:r>
      <w:proofErr w:type="spellStart"/>
      <w:r>
        <w:t>pág</w:t>
      </w:r>
      <w:proofErr w:type="spellEnd"/>
      <w:r>
        <w:t xml:space="preserve"> 4 </w:t>
      </w:r>
      <w:r w:rsidRPr="00AD2378">
        <w:t>1 Violaciones de derechos humanos en la protesta social de Espinar en julio del 2020</w:t>
      </w:r>
      <w:r>
        <w:t xml:space="preserve">, disponible en </w:t>
      </w:r>
      <w:hyperlink r:id="rId2" w:history="1">
        <w:r w:rsidRPr="00C2572B">
          <w:rPr>
            <w:rStyle w:val="Hipervnculo"/>
          </w:rPr>
          <w:t>https://derechosinfronteras.pe/wp-content/uploads/2020/08/Violaciones-de-derechos-humanos-en-la-protesta-social-de-Espinar-DHSF-y-CNDDH.pdf</w:t>
        </w:r>
      </w:hyperlink>
      <w:r>
        <w:t xml:space="preserve"> .</w:t>
      </w:r>
    </w:p>
  </w:footnote>
  <w:footnote w:id="3">
    <w:p w:rsidR="003C7B39" w:rsidRDefault="003C7B39" w:rsidP="00CB7ECD">
      <w:pPr>
        <w:pStyle w:val="Textonotapie"/>
        <w:jc w:val="both"/>
      </w:pPr>
      <w:r>
        <w:rPr>
          <w:rStyle w:val="Refdenotaalpie"/>
        </w:rPr>
        <w:footnoteRef/>
      </w:r>
      <w:r>
        <w:t xml:space="preserve"> Ver </w:t>
      </w:r>
      <w:hyperlink r:id="rId3" w:history="1">
        <w:r w:rsidRPr="00C2572B">
          <w:rPr>
            <w:rStyle w:val="Hipervnculo"/>
          </w:rPr>
          <w:t>https://larepublica.pe/sociedad/2020/11/22/otra-detenida-en-marcha-denuncia-haber-sido-desnudada-en-comisaria/</w:t>
        </w:r>
      </w:hyperlink>
      <w:r>
        <w:t xml:space="preserve"> .</w:t>
      </w:r>
    </w:p>
  </w:footnote>
  <w:footnote w:id="4">
    <w:p w:rsidR="003C7B39" w:rsidRDefault="003C7B39" w:rsidP="00CB7ECD">
      <w:pPr>
        <w:pStyle w:val="Textonotapie"/>
        <w:jc w:val="both"/>
      </w:pPr>
      <w:r>
        <w:rPr>
          <w:rStyle w:val="Refdenotaalpie"/>
        </w:rPr>
        <w:footnoteRef/>
      </w:r>
      <w:r>
        <w:t xml:space="preserve"> Ver </w:t>
      </w:r>
      <w:hyperlink r:id="rId4" w:history="1">
        <w:r w:rsidRPr="00C2572B">
          <w:rPr>
            <w:rStyle w:val="Hipervnculo"/>
          </w:rPr>
          <w:t>https://busquedas.elperuano.pe/normaslegales/resolucion-suprema-que-crea-la-comision-multisectorial-de-na-resolucion-suprema-n-271-2020-jus-1912705-10/</w:t>
        </w:r>
      </w:hyperlink>
      <w:r>
        <w:t xml:space="preserve"> .</w:t>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8CD55E5"/>
    <w:multiLevelType w:val="hybridMultilevel"/>
    <w:tmpl w:val="08CE2808"/>
    <w:lvl w:ilvl="0" w:tplc="280A000F">
      <w:start w:val="1"/>
      <w:numFmt w:val="decimal"/>
      <w:lvlText w:val="%1."/>
      <w:lvlJc w:val="left"/>
      <w:pPr>
        <w:ind w:left="360" w:hanging="360"/>
      </w:pPr>
    </w:lvl>
    <w:lvl w:ilvl="1" w:tplc="280A0019">
      <w:start w:val="1"/>
      <w:numFmt w:val="lowerLetter"/>
      <w:lvlText w:val="%2."/>
      <w:lvlJc w:val="left"/>
      <w:pPr>
        <w:ind w:left="1080" w:hanging="360"/>
      </w:pPr>
    </w:lvl>
    <w:lvl w:ilvl="2" w:tplc="280A001B" w:tentative="1">
      <w:start w:val="1"/>
      <w:numFmt w:val="lowerRoman"/>
      <w:lvlText w:val="%3."/>
      <w:lvlJc w:val="right"/>
      <w:pPr>
        <w:ind w:left="1800" w:hanging="180"/>
      </w:pPr>
    </w:lvl>
    <w:lvl w:ilvl="3" w:tplc="280A000F" w:tentative="1">
      <w:start w:val="1"/>
      <w:numFmt w:val="decimal"/>
      <w:lvlText w:val="%4."/>
      <w:lvlJc w:val="left"/>
      <w:pPr>
        <w:ind w:left="2520" w:hanging="360"/>
      </w:pPr>
    </w:lvl>
    <w:lvl w:ilvl="4" w:tplc="280A0019" w:tentative="1">
      <w:start w:val="1"/>
      <w:numFmt w:val="lowerLetter"/>
      <w:lvlText w:val="%5."/>
      <w:lvlJc w:val="left"/>
      <w:pPr>
        <w:ind w:left="3240" w:hanging="360"/>
      </w:pPr>
    </w:lvl>
    <w:lvl w:ilvl="5" w:tplc="280A001B" w:tentative="1">
      <w:start w:val="1"/>
      <w:numFmt w:val="lowerRoman"/>
      <w:lvlText w:val="%6."/>
      <w:lvlJc w:val="right"/>
      <w:pPr>
        <w:ind w:left="3960" w:hanging="180"/>
      </w:pPr>
    </w:lvl>
    <w:lvl w:ilvl="6" w:tplc="280A000F" w:tentative="1">
      <w:start w:val="1"/>
      <w:numFmt w:val="decimal"/>
      <w:lvlText w:val="%7."/>
      <w:lvlJc w:val="left"/>
      <w:pPr>
        <w:ind w:left="4680" w:hanging="360"/>
      </w:pPr>
    </w:lvl>
    <w:lvl w:ilvl="7" w:tplc="280A0019" w:tentative="1">
      <w:start w:val="1"/>
      <w:numFmt w:val="lowerLetter"/>
      <w:lvlText w:val="%8."/>
      <w:lvlJc w:val="left"/>
      <w:pPr>
        <w:ind w:left="5400" w:hanging="360"/>
      </w:pPr>
    </w:lvl>
    <w:lvl w:ilvl="8" w:tplc="280A001B" w:tentative="1">
      <w:start w:val="1"/>
      <w:numFmt w:val="lowerRoman"/>
      <w:lvlText w:val="%9."/>
      <w:lvlJc w:val="right"/>
      <w:pPr>
        <w:ind w:left="6120" w:hanging="180"/>
      </w:pPr>
    </w:lvl>
  </w:abstractNum>
  <w:abstractNum w:abstractNumId="1">
    <w:nsid w:val="1F6C2F96"/>
    <w:multiLevelType w:val="hybridMultilevel"/>
    <w:tmpl w:val="9FE6E3BA"/>
    <w:lvl w:ilvl="0" w:tplc="280A000B">
      <w:start w:val="1"/>
      <w:numFmt w:val="bullet"/>
      <w:lvlText w:val=""/>
      <w:lvlJc w:val="left"/>
      <w:pPr>
        <w:ind w:left="720" w:hanging="360"/>
      </w:pPr>
      <w:rPr>
        <w:rFonts w:ascii="Wingdings" w:hAnsi="Wingdings"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2">
    <w:nsid w:val="31A11A4E"/>
    <w:multiLevelType w:val="hybridMultilevel"/>
    <w:tmpl w:val="B1AEDD58"/>
    <w:lvl w:ilvl="0" w:tplc="280A000B">
      <w:start w:val="1"/>
      <w:numFmt w:val="bullet"/>
      <w:lvlText w:val=""/>
      <w:lvlJc w:val="left"/>
      <w:pPr>
        <w:ind w:left="720" w:hanging="360"/>
      </w:pPr>
      <w:rPr>
        <w:rFonts w:ascii="Wingdings" w:hAnsi="Wingdings"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num w:numId="1">
    <w:abstractNumId w:val="0"/>
  </w:num>
  <w:num w:numId="2">
    <w:abstractNumId w:val="2"/>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5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F05A5"/>
    <w:rsid w:val="00211CE6"/>
    <w:rsid w:val="00346CB1"/>
    <w:rsid w:val="003C7B39"/>
    <w:rsid w:val="00653F55"/>
    <w:rsid w:val="006F5C2E"/>
    <w:rsid w:val="00874227"/>
    <w:rsid w:val="009139B1"/>
    <w:rsid w:val="009A76FB"/>
    <w:rsid w:val="009F05A5"/>
    <w:rsid w:val="00AD2378"/>
    <w:rsid w:val="00BA206C"/>
    <w:rsid w:val="00C113D7"/>
    <w:rsid w:val="00C97B57"/>
    <w:rsid w:val="00CB7ECD"/>
  </w:rsids>
  <m:mathPr>
    <m:mathFont m:val="Cambria Math"/>
    <m:brkBin m:val="before"/>
    <m:brkBinSub m:val="--"/>
    <m:smallFrac m:val="0"/>
    <m:dispDef/>
    <m:lMargin m:val="0"/>
    <m:rMargin m:val="0"/>
    <m:defJc m:val="centerGroup"/>
    <m:wrapIndent m:val="1440"/>
    <m:intLim m:val="subSup"/>
    <m:naryLim m:val="undOvr"/>
  </m:mathPr>
  <w:themeFontLang w:val="es-PE"/>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B6BF3604-3FA0-4300-81F7-42CBF724DFC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s-PE"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Textonotapie">
    <w:name w:val="footnote text"/>
    <w:basedOn w:val="Normal"/>
    <w:link w:val="TextonotapieCar"/>
    <w:uiPriority w:val="99"/>
    <w:semiHidden/>
    <w:unhideWhenUsed/>
    <w:rsid w:val="006F5C2E"/>
    <w:pPr>
      <w:spacing w:after="0" w:line="240" w:lineRule="auto"/>
    </w:pPr>
    <w:rPr>
      <w:sz w:val="20"/>
      <w:szCs w:val="20"/>
    </w:rPr>
  </w:style>
  <w:style w:type="character" w:customStyle="1" w:styleId="TextonotapieCar">
    <w:name w:val="Texto nota pie Car"/>
    <w:basedOn w:val="Fuentedeprrafopredeter"/>
    <w:link w:val="Textonotapie"/>
    <w:uiPriority w:val="99"/>
    <w:semiHidden/>
    <w:rsid w:val="006F5C2E"/>
    <w:rPr>
      <w:sz w:val="20"/>
      <w:szCs w:val="20"/>
    </w:rPr>
  </w:style>
  <w:style w:type="character" w:styleId="Refdenotaalpie">
    <w:name w:val="footnote reference"/>
    <w:basedOn w:val="Fuentedeprrafopredeter"/>
    <w:uiPriority w:val="99"/>
    <w:semiHidden/>
    <w:unhideWhenUsed/>
    <w:rsid w:val="006F5C2E"/>
    <w:rPr>
      <w:vertAlign w:val="superscript"/>
    </w:rPr>
  </w:style>
  <w:style w:type="character" w:styleId="Hipervnculo">
    <w:name w:val="Hyperlink"/>
    <w:basedOn w:val="Fuentedeprrafopredeter"/>
    <w:uiPriority w:val="99"/>
    <w:unhideWhenUsed/>
    <w:rsid w:val="006F5C2E"/>
    <w:rPr>
      <w:color w:val="0563C1" w:themeColor="hyperlink"/>
      <w:u w:val="single"/>
    </w:rPr>
  </w:style>
  <w:style w:type="paragraph" w:styleId="Prrafodelista">
    <w:name w:val="List Paragraph"/>
    <w:basedOn w:val="Normal"/>
    <w:uiPriority w:val="34"/>
    <w:qFormat/>
    <w:rsid w:val="00AD2378"/>
    <w:pPr>
      <w:ind w:left="720"/>
      <w:contextualSpacing/>
    </w:pPr>
  </w:style>
  <w:style w:type="table" w:styleId="Tablaconcuadrcula">
    <w:name w:val="Table Grid"/>
    <w:basedOn w:val="Tablanormal"/>
    <w:uiPriority w:val="39"/>
    <w:rsid w:val="00CB7ECD"/>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customXml" Target="../customXml/item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customXml" Target="../customXml/item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yperlink" Target="mailto:marperez@derechoshumanos.pe" TargetMode="External"/><Relationship Id="rId14" Type="http://schemas.openxmlformats.org/officeDocument/2006/relationships/customXml" Target="../customXml/item4.xml"/></Relationships>
</file>

<file path=word/_rels/footnotes.xml.rels><?xml version="1.0" encoding="UTF-8" standalone="yes"?>
<Relationships xmlns="http://schemas.openxmlformats.org/package/2006/relationships"><Relationship Id="rId3" Type="http://schemas.openxmlformats.org/officeDocument/2006/relationships/hyperlink" Target="https://larepublica.pe/sociedad/2020/11/22/otra-detenida-en-marcha-denuncia-haber-sido-desnudada-en-comisaria/" TargetMode="External"/><Relationship Id="rId2" Type="http://schemas.openxmlformats.org/officeDocument/2006/relationships/hyperlink" Target="https://derechosinfronteras.pe/wp-content/uploads/2020/08/Violaciones-de-derechos-humanos-en-la-protesta-social-de-Espinar-DHSF-y-CNDDH.pdf" TargetMode="External"/><Relationship Id="rId1" Type="http://schemas.openxmlformats.org/officeDocument/2006/relationships/hyperlink" Target="https://derechoshumanos.pe/registro-de-ataques-a-defensores-de-ddhh/" TargetMode="External"/><Relationship Id="rId4" Type="http://schemas.openxmlformats.org/officeDocument/2006/relationships/hyperlink" Target="https://busquedas.elperuano.pe/normaslegales/resolucion-suprema-que-crea-la-comision-multisectorial-de-na-resolucion-suprema-n-271-2020-jus-1912705-10/"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ct:contentTypeSchema xmlns:ct="http://schemas.microsoft.com/office/2006/metadata/contentType" xmlns:ma="http://schemas.microsoft.com/office/2006/metadata/properties/metaAttributes" ct:_="" ma:_="" ma:contentTypeName="Document" ma:contentTypeID="0x010100F397614B75B84E4C841CE911BA0CCB9D" ma:contentTypeVersion="0" ma:contentTypeDescription="Create a new document." ma:contentTypeScope="" ma:versionID="1767317f18db5fda6be79de3c4e3da6f">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4D379EB1-1D66-4699-83F5-85955D1052D6}">
  <ds:schemaRefs>
    <ds:schemaRef ds:uri="http://schemas.openxmlformats.org/officeDocument/2006/bibliography"/>
  </ds:schemaRefs>
</ds:datastoreItem>
</file>

<file path=customXml/itemProps2.xml><?xml version="1.0" encoding="utf-8"?>
<ds:datastoreItem xmlns:ds="http://schemas.openxmlformats.org/officeDocument/2006/customXml" ds:itemID="{2F2C067D-1D1F-4C04-891D-DDD58B2265B4}"/>
</file>

<file path=customXml/itemProps3.xml><?xml version="1.0" encoding="utf-8"?>
<ds:datastoreItem xmlns:ds="http://schemas.openxmlformats.org/officeDocument/2006/customXml" ds:itemID="{8199608B-4024-425F-A951-B082736E44D9}"/>
</file>

<file path=customXml/itemProps4.xml><?xml version="1.0" encoding="utf-8"?>
<ds:datastoreItem xmlns:ds="http://schemas.openxmlformats.org/officeDocument/2006/customXml" ds:itemID="{9BA29DCD-34B4-4BD2-A1B6-C8E2A42BBE93}"/>
</file>

<file path=docProps/app.xml><?xml version="1.0" encoding="utf-8"?>
<Properties xmlns="http://schemas.openxmlformats.org/officeDocument/2006/extended-properties" xmlns:vt="http://schemas.openxmlformats.org/officeDocument/2006/docPropsVTypes">
  <Template>Normal</Template>
  <TotalTime>53</TotalTime>
  <Pages>2</Pages>
  <Words>610</Words>
  <Characters>3358</Characters>
  <Application>Microsoft Office Word</Application>
  <DocSecurity>0</DocSecurity>
  <Lines>27</Lines>
  <Paragraphs>7</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3961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Windows User</dc:creator>
  <cp:keywords/>
  <dc:description/>
  <cp:lastModifiedBy>Windows User</cp:lastModifiedBy>
  <cp:revision>8</cp:revision>
  <dcterms:created xsi:type="dcterms:W3CDTF">2022-01-18T00:49:00Z</dcterms:created>
  <dcterms:modified xsi:type="dcterms:W3CDTF">2022-01-18T01:45:00Z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0x010100F397614B75B84E4C841CE911BA0CCB9D</vt:lpwstr>
  </property>
</Properties>
</file>